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CAA22">
      <w:pPr>
        <w:wordWrap w:val="0"/>
        <w:jc w:val="right"/>
        <w:rPr>
          <w:color w:val="auto"/>
          <w:sz w:val="28"/>
          <w:highlight w:val="none"/>
        </w:rPr>
      </w:pPr>
      <w:r>
        <w:rPr>
          <w:rFonts w:hint="eastAsia"/>
          <w:color w:val="auto"/>
          <w:sz w:val="28"/>
          <w:highlight w:val="none"/>
        </w:rPr>
        <w:t>（</w:t>
      </w:r>
      <w:r>
        <w:rPr>
          <w:rFonts w:hint="eastAsia"/>
          <w:color w:val="auto"/>
          <w:sz w:val="28"/>
          <w:highlight w:val="none"/>
          <w:lang w:val="en-US" w:eastAsia="zh-CN"/>
        </w:rPr>
        <w:t>定稿</w:t>
      </w:r>
      <w:r>
        <w:rPr>
          <w:rFonts w:hint="eastAsia"/>
          <w:color w:val="auto"/>
          <w:sz w:val="28"/>
          <w:highlight w:val="none"/>
        </w:rPr>
        <w:t>）</w:t>
      </w:r>
    </w:p>
    <w:p w14:paraId="6618B390">
      <w:pPr>
        <w:pStyle w:val="12"/>
        <w:rPr>
          <w:color w:val="auto"/>
          <w:highlight w:val="none"/>
        </w:rPr>
      </w:pPr>
    </w:p>
    <w:p w14:paraId="28EA198A">
      <w:pPr>
        <w:spacing w:after="120"/>
        <w:jc w:val="center"/>
        <w:outlineLvl w:val="0"/>
        <w:rPr>
          <w:b/>
          <w:color w:val="auto"/>
          <w:sz w:val="52"/>
          <w:szCs w:val="52"/>
          <w:highlight w:val="none"/>
        </w:rPr>
      </w:pPr>
      <w:bookmarkStart w:id="0" w:name="_Toc12811"/>
      <w:r>
        <w:rPr>
          <w:b/>
          <w:color w:val="auto"/>
          <w:sz w:val="52"/>
          <w:szCs w:val="52"/>
          <w:highlight w:val="none"/>
        </w:rPr>
        <w:t>政府采购项目</w:t>
      </w:r>
      <w:bookmarkEnd w:id="0"/>
    </w:p>
    <w:p w14:paraId="75B438B3">
      <w:pPr>
        <w:spacing w:after="120"/>
        <w:jc w:val="center"/>
        <w:rPr>
          <w:b/>
          <w:color w:val="auto"/>
          <w:sz w:val="72"/>
          <w:highlight w:val="none"/>
        </w:rPr>
      </w:pPr>
      <w:r>
        <w:rPr>
          <w:b/>
          <w:color w:val="auto"/>
          <w:sz w:val="72"/>
          <w:highlight w:val="none"/>
        </w:rPr>
        <w:t>国内</w:t>
      </w:r>
      <w:r>
        <w:rPr>
          <w:rFonts w:hint="eastAsia"/>
          <w:b/>
          <w:color w:val="auto"/>
          <w:sz w:val="72"/>
          <w:highlight w:val="none"/>
        </w:rPr>
        <w:t>公开</w:t>
      </w:r>
      <w:r>
        <w:rPr>
          <w:b/>
          <w:color w:val="auto"/>
          <w:sz w:val="72"/>
          <w:highlight w:val="none"/>
        </w:rPr>
        <w:t>招标文件</w:t>
      </w:r>
    </w:p>
    <w:p w14:paraId="0CB26E8C">
      <w:pPr>
        <w:jc w:val="center"/>
        <w:rPr>
          <w:b/>
          <w:color w:val="auto"/>
          <w:sz w:val="52"/>
          <w:highlight w:val="none"/>
        </w:rPr>
      </w:pPr>
      <w:r>
        <w:rPr>
          <w:rFonts w:hint="eastAsia"/>
          <w:b/>
          <w:color w:val="auto"/>
          <w:sz w:val="52"/>
          <w:highlight w:val="none"/>
        </w:rPr>
        <w:t>（全一</w:t>
      </w:r>
      <w:r>
        <w:rPr>
          <w:b/>
          <w:color w:val="auto"/>
          <w:sz w:val="52"/>
          <w:highlight w:val="none"/>
        </w:rPr>
        <w:t>册</w:t>
      </w:r>
      <w:r>
        <w:rPr>
          <w:rFonts w:hint="eastAsia"/>
          <w:b/>
          <w:color w:val="auto"/>
          <w:sz w:val="52"/>
          <w:highlight w:val="none"/>
        </w:rPr>
        <w:t>）</w:t>
      </w:r>
    </w:p>
    <w:p w14:paraId="0B0A59A4">
      <w:pPr>
        <w:jc w:val="center"/>
        <w:rPr>
          <w:color w:val="auto"/>
          <w:sz w:val="28"/>
          <w:highlight w:val="none"/>
        </w:rPr>
      </w:pPr>
    </w:p>
    <w:p w14:paraId="593180EC">
      <w:pPr>
        <w:jc w:val="center"/>
        <w:rPr>
          <w:color w:val="auto"/>
          <w:sz w:val="28"/>
          <w:highlight w:val="none"/>
        </w:rPr>
      </w:pPr>
    </w:p>
    <w:p w14:paraId="11EA32C6">
      <w:pPr>
        <w:jc w:val="center"/>
        <w:rPr>
          <w:color w:val="auto"/>
          <w:sz w:val="28"/>
          <w:highlight w:val="none"/>
        </w:rPr>
      </w:pPr>
    </w:p>
    <w:tbl>
      <w:tblPr>
        <w:tblStyle w:val="29"/>
        <w:tblW w:w="8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7033"/>
      </w:tblGrid>
      <w:tr w14:paraId="6228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90" w:type="dxa"/>
            <w:tcBorders>
              <w:top w:val="nil"/>
              <w:left w:val="nil"/>
              <w:bottom w:val="nil"/>
              <w:right w:val="nil"/>
            </w:tcBorders>
            <w:vAlign w:val="center"/>
          </w:tcPr>
          <w:p w14:paraId="5F22AFAC">
            <w:pPr>
              <w:spacing w:line="520" w:lineRule="exact"/>
              <w:ind w:right="-216"/>
              <w:jc w:val="center"/>
              <w:rPr>
                <w:b/>
                <w:color w:val="auto"/>
                <w:sz w:val="36"/>
                <w:szCs w:val="36"/>
                <w:highlight w:val="none"/>
              </w:rPr>
            </w:pPr>
            <w:r>
              <w:rPr>
                <w:rFonts w:hint="eastAsia"/>
                <w:b/>
                <w:color w:val="auto"/>
                <w:sz w:val="36"/>
                <w:szCs w:val="36"/>
                <w:highlight w:val="none"/>
              </w:rPr>
              <w:t>项目编号：</w:t>
            </w:r>
          </w:p>
        </w:tc>
        <w:tc>
          <w:tcPr>
            <w:tcW w:w="7033" w:type="dxa"/>
            <w:tcBorders>
              <w:top w:val="nil"/>
              <w:left w:val="nil"/>
              <w:bottom w:val="single" w:color="auto" w:sz="4" w:space="0"/>
              <w:right w:val="nil"/>
            </w:tcBorders>
            <w:vAlign w:val="center"/>
          </w:tcPr>
          <w:p w14:paraId="2A1EC8D8">
            <w:pPr>
              <w:spacing w:line="520" w:lineRule="exact"/>
              <w:jc w:val="center"/>
              <w:rPr>
                <w:b/>
                <w:color w:val="auto"/>
                <w:sz w:val="36"/>
                <w:szCs w:val="36"/>
                <w:highlight w:val="none"/>
              </w:rPr>
            </w:pPr>
            <w:r>
              <w:rPr>
                <w:rFonts w:hint="eastAsia"/>
                <w:b/>
                <w:color w:val="auto"/>
                <w:sz w:val="36"/>
                <w:szCs w:val="36"/>
                <w:highlight w:val="none"/>
              </w:rPr>
              <w:t>NBMC-20256197G</w:t>
            </w:r>
          </w:p>
        </w:tc>
      </w:tr>
      <w:tr w14:paraId="533C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90" w:type="dxa"/>
            <w:tcBorders>
              <w:top w:val="nil"/>
              <w:left w:val="nil"/>
              <w:bottom w:val="nil"/>
              <w:right w:val="nil"/>
            </w:tcBorders>
            <w:vAlign w:val="center"/>
          </w:tcPr>
          <w:p w14:paraId="2D3F3499">
            <w:pPr>
              <w:spacing w:line="520" w:lineRule="exact"/>
              <w:ind w:right="-216"/>
              <w:jc w:val="center"/>
              <w:rPr>
                <w:b/>
                <w:color w:val="auto"/>
                <w:sz w:val="36"/>
                <w:szCs w:val="36"/>
                <w:highlight w:val="none"/>
              </w:rPr>
            </w:pPr>
            <w:r>
              <w:rPr>
                <w:rFonts w:hint="eastAsia"/>
                <w:b/>
                <w:color w:val="auto"/>
                <w:sz w:val="36"/>
                <w:szCs w:val="36"/>
                <w:highlight w:val="none"/>
              </w:rPr>
              <w:t>项目名称：</w:t>
            </w:r>
          </w:p>
        </w:tc>
        <w:tc>
          <w:tcPr>
            <w:tcW w:w="7033" w:type="dxa"/>
            <w:tcBorders>
              <w:top w:val="single" w:color="auto" w:sz="4" w:space="0"/>
              <w:left w:val="nil"/>
              <w:bottom w:val="single" w:color="auto" w:sz="4" w:space="0"/>
              <w:right w:val="nil"/>
            </w:tcBorders>
            <w:vAlign w:val="center"/>
          </w:tcPr>
          <w:p w14:paraId="5EEB045B">
            <w:pPr>
              <w:spacing w:line="560" w:lineRule="exact"/>
              <w:jc w:val="center"/>
              <w:rPr>
                <w:b/>
                <w:color w:val="auto"/>
                <w:sz w:val="36"/>
                <w:szCs w:val="36"/>
                <w:highlight w:val="none"/>
              </w:rPr>
            </w:pPr>
            <w:r>
              <w:rPr>
                <w:rFonts w:hint="eastAsia"/>
                <w:b/>
                <w:color w:val="auto"/>
                <w:sz w:val="36"/>
                <w:szCs w:val="36"/>
                <w:highlight w:val="none"/>
              </w:rPr>
              <w:t>宁波大学附属人民医院采购医疗设备项目</w:t>
            </w:r>
          </w:p>
        </w:tc>
      </w:tr>
      <w:tr w14:paraId="7514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90" w:type="dxa"/>
            <w:tcBorders>
              <w:top w:val="nil"/>
              <w:left w:val="nil"/>
              <w:bottom w:val="nil"/>
              <w:right w:val="nil"/>
            </w:tcBorders>
            <w:vAlign w:val="center"/>
          </w:tcPr>
          <w:p w14:paraId="05B8C8E8">
            <w:pPr>
              <w:spacing w:line="520" w:lineRule="exact"/>
              <w:ind w:right="-216"/>
              <w:jc w:val="center"/>
              <w:rPr>
                <w:b/>
                <w:color w:val="auto"/>
                <w:sz w:val="36"/>
                <w:szCs w:val="36"/>
                <w:highlight w:val="none"/>
              </w:rPr>
            </w:pPr>
            <w:r>
              <w:rPr>
                <w:rFonts w:hint="eastAsia"/>
                <w:b/>
                <w:color w:val="auto"/>
                <w:sz w:val="36"/>
                <w:szCs w:val="36"/>
                <w:highlight w:val="none"/>
              </w:rPr>
              <w:t>采 购 人：</w:t>
            </w:r>
          </w:p>
        </w:tc>
        <w:tc>
          <w:tcPr>
            <w:tcW w:w="7033" w:type="dxa"/>
            <w:tcBorders>
              <w:top w:val="single" w:color="auto" w:sz="4" w:space="0"/>
              <w:left w:val="nil"/>
              <w:bottom w:val="single" w:color="auto" w:sz="4" w:space="0"/>
              <w:right w:val="nil"/>
            </w:tcBorders>
            <w:vAlign w:val="center"/>
          </w:tcPr>
          <w:p w14:paraId="11283A86">
            <w:pPr>
              <w:spacing w:line="560" w:lineRule="exact"/>
              <w:jc w:val="center"/>
              <w:rPr>
                <w:b/>
                <w:color w:val="auto"/>
                <w:sz w:val="36"/>
                <w:szCs w:val="36"/>
                <w:highlight w:val="none"/>
              </w:rPr>
            </w:pPr>
            <w:r>
              <w:rPr>
                <w:rFonts w:hint="eastAsia"/>
                <w:b/>
                <w:color w:val="auto"/>
                <w:sz w:val="36"/>
                <w:szCs w:val="36"/>
                <w:highlight w:val="none"/>
              </w:rPr>
              <w:t>宁波大学附属人民医院（盖章）</w:t>
            </w:r>
          </w:p>
        </w:tc>
      </w:tr>
      <w:tr w14:paraId="6DE9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90" w:type="dxa"/>
            <w:tcBorders>
              <w:top w:val="nil"/>
              <w:left w:val="nil"/>
              <w:bottom w:val="nil"/>
              <w:right w:val="nil"/>
            </w:tcBorders>
            <w:vAlign w:val="center"/>
          </w:tcPr>
          <w:p w14:paraId="57DD3A8A">
            <w:pPr>
              <w:spacing w:line="520" w:lineRule="exact"/>
              <w:ind w:right="-216"/>
              <w:jc w:val="center"/>
              <w:rPr>
                <w:b/>
                <w:color w:val="auto"/>
                <w:sz w:val="36"/>
                <w:szCs w:val="36"/>
                <w:highlight w:val="none"/>
              </w:rPr>
            </w:pPr>
            <w:r>
              <w:rPr>
                <w:rFonts w:hint="eastAsia"/>
                <w:b/>
                <w:color w:val="auto"/>
                <w:sz w:val="36"/>
                <w:szCs w:val="36"/>
                <w:highlight w:val="none"/>
              </w:rPr>
              <w:t>采购代理：</w:t>
            </w:r>
          </w:p>
        </w:tc>
        <w:tc>
          <w:tcPr>
            <w:tcW w:w="7033" w:type="dxa"/>
            <w:tcBorders>
              <w:top w:val="single" w:color="auto" w:sz="4" w:space="0"/>
              <w:left w:val="nil"/>
              <w:bottom w:val="single" w:color="auto" w:sz="4" w:space="0"/>
              <w:right w:val="nil"/>
            </w:tcBorders>
            <w:vAlign w:val="center"/>
          </w:tcPr>
          <w:p w14:paraId="200B2A3E">
            <w:pPr>
              <w:spacing w:line="560" w:lineRule="exact"/>
              <w:jc w:val="center"/>
              <w:rPr>
                <w:b/>
                <w:color w:val="auto"/>
                <w:sz w:val="36"/>
                <w:szCs w:val="36"/>
                <w:highlight w:val="none"/>
              </w:rPr>
            </w:pPr>
            <w:r>
              <w:rPr>
                <w:rFonts w:hint="eastAsia"/>
                <w:b/>
                <w:color w:val="auto"/>
                <w:sz w:val="36"/>
                <w:szCs w:val="36"/>
                <w:highlight w:val="none"/>
              </w:rPr>
              <w:t>宁波名诚招标代理有限公司（盖章）</w:t>
            </w:r>
          </w:p>
        </w:tc>
      </w:tr>
    </w:tbl>
    <w:p w14:paraId="17B057BC">
      <w:pPr>
        <w:rPr>
          <w:b/>
          <w:color w:val="auto"/>
          <w:highlight w:val="none"/>
        </w:rPr>
      </w:pPr>
    </w:p>
    <w:p w14:paraId="617C5C1B">
      <w:pPr>
        <w:rPr>
          <w:b/>
          <w:color w:val="auto"/>
          <w:highlight w:val="none"/>
        </w:rPr>
      </w:pPr>
    </w:p>
    <w:p w14:paraId="00F78E98">
      <w:pPr>
        <w:rPr>
          <w:b/>
          <w:color w:val="auto"/>
          <w:highlight w:val="none"/>
        </w:rPr>
      </w:pPr>
    </w:p>
    <w:p w14:paraId="649C735A">
      <w:pPr>
        <w:rPr>
          <w:b/>
          <w:color w:val="auto"/>
          <w:highlight w:val="none"/>
        </w:rPr>
      </w:pPr>
    </w:p>
    <w:p w14:paraId="20D4CAAA">
      <w:pPr>
        <w:rPr>
          <w:b/>
          <w:color w:val="auto"/>
          <w:highlight w:val="none"/>
        </w:rPr>
      </w:pPr>
    </w:p>
    <w:p w14:paraId="289AF864">
      <w:pPr>
        <w:rPr>
          <w:b/>
          <w:color w:val="auto"/>
          <w:highlight w:val="none"/>
        </w:rPr>
      </w:pPr>
    </w:p>
    <w:p w14:paraId="2DE32B79">
      <w:pPr>
        <w:rPr>
          <w:b/>
          <w:color w:val="auto"/>
          <w:highlight w:val="none"/>
        </w:rPr>
      </w:pPr>
    </w:p>
    <w:p w14:paraId="6A23D5C9">
      <w:pPr>
        <w:rPr>
          <w:b/>
          <w:color w:val="auto"/>
          <w:highlight w:val="none"/>
        </w:rPr>
      </w:pPr>
    </w:p>
    <w:p w14:paraId="58140A0E">
      <w:pPr>
        <w:spacing w:line="480" w:lineRule="auto"/>
        <w:jc w:val="center"/>
        <w:rPr>
          <w:color w:val="auto"/>
          <w:sz w:val="44"/>
          <w:highlight w:val="none"/>
        </w:rPr>
      </w:pPr>
    </w:p>
    <w:p w14:paraId="4B39BE9D">
      <w:pPr>
        <w:spacing w:line="480" w:lineRule="auto"/>
        <w:jc w:val="center"/>
        <w:rPr>
          <w:color w:val="auto"/>
          <w:sz w:val="44"/>
          <w:highlight w:val="none"/>
        </w:rPr>
        <w:sectPr>
          <w:footerReference r:id="rId3" w:type="first"/>
          <w:pgSz w:w="11907" w:h="16840"/>
          <w:pgMar w:top="1440" w:right="1797" w:bottom="1440" w:left="1377" w:header="720" w:footer="1197" w:gutter="0"/>
          <w:pgBorders>
            <w:top w:val="none" w:sz="0" w:space="0"/>
            <w:left w:val="none" w:sz="0" w:space="0"/>
            <w:bottom w:val="none" w:sz="0" w:space="0"/>
            <w:right w:val="none" w:sz="0" w:space="0"/>
          </w:pgBorders>
          <w:pgNumType w:start="1"/>
          <w:cols w:space="720" w:num="1"/>
          <w:docGrid w:type="lines" w:linePitch="285" w:charSpace="0"/>
        </w:sectPr>
      </w:pPr>
      <w:r>
        <w:rPr>
          <w:rFonts w:hint="eastAsia"/>
          <w:color w:val="auto"/>
          <w:sz w:val="44"/>
          <w:highlight w:val="none"/>
        </w:rPr>
        <w:t>二○二五年七月</w:t>
      </w:r>
    </w:p>
    <w:sdt>
      <w:sdtPr>
        <w:rPr>
          <w:rFonts w:eastAsia="方正书宋简体"/>
          <w:b/>
          <w:color w:val="auto"/>
          <w:sz w:val="44"/>
          <w:highlight w:val="none"/>
        </w:rPr>
        <w:id w:val="147467108"/>
        <w:docPartObj>
          <w:docPartGallery w:val="Table of Contents"/>
          <w:docPartUnique/>
        </w:docPartObj>
      </w:sdtPr>
      <w:sdtEndPr>
        <w:rPr>
          <w:rFonts w:eastAsia="方正书宋简体"/>
          <w:b/>
          <w:color w:val="auto"/>
          <w:sz w:val="28"/>
          <w:szCs w:val="28"/>
          <w:highlight w:val="none"/>
        </w:rPr>
      </w:sdtEndPr>
      <w:sdtContent>
        <w:p w14:paraId="50FDCA09">
          <w:pPr>
            <w:spacing w:line="480" w:lineRule="auto"/>
            <w:jc w:val="center"/>
            <w:outlineLvl w:val="0"/>
            <w:rPr>
              <w:b/>
              <w:color w:val="auto"/>
              <w:sz w:val="44"/>
              <w:highlight w:val="none"/>
            </w:rPr>
          </w:pPr>
          <w:r>
            <w:rPr>
              <w:b/>
              <w:color w:val="auto"/>
              <w:sz w:val="44"/>
              <w:highlight w:val="none"/>
            </w:rPr>
            <w:t>目录</w:t>
          </w:r>
        </w:p>
        <w:p w14:paraId="2D22D7CB">
          <w:pPr>
            <w:pStyle w:val="101"/>
            <w:tabs>
              <w:tab w:val="right" w:leader="dot" w:pos="8313"/>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p>
        <w:p w14:paraId="199A2E87">
          <w:pPr>
            <w:pStyle w:val="101"/>
            <w:tabs>
              <w:tab w:val="right" w:leader="dot" w:pos="8313"/>
            </w:tabs>
            <w:rPr>
              <w:color w:val="auto"/>
              <w:sz w:val="28"/>
              <w:szCs w:val="28"/>
              <w:highlight w:val="none"/>
            </w:rPr>
          </w:pPr>
          <w:r>
            <w:rPr>
              <w:color w:val="auto"/>
              <w:highlight w:val="none"/>
            </w:rPr>
            <w:fldChar w:fldCharType="begin"/>
          </w:r>
          <w:r>
            <w:rPr>
              <w:color w:val="auto"/>
              <w:highlight w:val="none"/>
            </w:rPr>
            <w:instrText xml:space="preserve"> HYPERLINK \l "_Toc10608" </w:instrText>
          </w:r>
          <w:r>
            <w:rPr>
              <w:color w:val="auto"/>
              <w:highlight w:val="none"/>
            </w:rPr>
            <w:fldChar w:fldCharType="separate"/>
          </w:r>
          <w:r>
            <w:rPr>
              <w:color w:val="auto"/>
              <w:sz w:val="28"/>
              <w:szCs w:val="28"/>
              <w:highlight w:val="none"/>
            </w:rPr>
            <w:t>第</w:t>
          </w:r>
          <w:r>
            <w:rPr>
              <w:rFonts w:hint="eastAsia"/>
              <w:color w:val="auto"/>
              <w:sz w:val="28"/>
              <w:szCs w:val="28"/>
              <w:highlight w:val="none"/>
            </w:rPr>
            <w:t>一</w:t>
          </w:r>
          <w:r>
            <w:rPr>
              <w:color w:val="auto"/>
              <w:sz w:val="28"/>
              <w:szCs w:val="28"/>
              <w:highlight w:val="none"/>
            </w:rPr>
            <w:t xml:space="preserve">部分  </w:t>
          </w:r>
          <w:r>
            <w:rPr>
              <w:rFonts w:hint="eastAsia"/>
              <w:color w:val="auto"/>
              <w:sz w:val="28"/>
              <w:szCs w:val="28"/>
              <w:highlight w:val="none"/>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_Toc10608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27805B7B">
          <w:pPr>
            <w:pStyle w:val="101"/>
            <w:tabs>
              <w:tab w:val="right" w:leader="dot" w:pos="8313"/>
            </w:tabs>
            <w:rPr>
              <w:color w:val="auto"/>
              <w:sz w:val="28"/>
              <w:szCs w:val="28"/>
              <w:highlight w:val="none"/>
            </w:rPr>
          </w:pPr>
          <w:r>
            <w:rPr>
              <w:color w:val="auto"/>
              <w:highlight w:val="none"/>
            </w:rPr>
            <w:fldChar w:fldCharType="begin"/>
          </w:r>
          <w:r>
            <w:rPr>
              <w:color w:val="auto"/>
              <w:highlight w:val="none"/>
            </w:rPr>
            <w:instrText xml:space="preserve"> HYPERLINK \l "_Toc17836" </w:instrText>
          </w:r>
          <w:r>
            <w:rPr>
              <w:color w:val="auto"/>
              <w:highlight w:val="none"/>
            </w:rPr>
            <w:fldChar w:fldCharType="separate"/>
          </w:r>
          <w:r>
            <w:rPr>
              <w:color w:val="auto"/>
              <w:sz w:val="28"/>
              <w:szCs w:val="28"/>
              <w:highlight w:val="none"/>
            </w:rPr>
            <w:t>第</w:t>
          </w:r>
          <w:r>
            <w:rPr>
              <w:rFonts w:hint="eastAsia"/>
              <w:color w:val="auto"/>
              <w:sz w:val="28"/>
              <w:szCs w:val="28"/>
              <w:highlight w:val="none"/>
            </w:rPr>
            <w:t>二</w:t>
          </w:r>
          <w:r>
            <w:rPr>
              <w:color w:val="auto"/>
              <w:sz w:val="28"/>
              <w:szCs w:val="28"/>
              <w:highlight w:val="none"/>
            </w:rPr>
            <w:t xml:space="preserve">部分  </w:t>
          </w:r>
          <w:r>
            <w:rPr>
              <w:rFonts w:hint="eastAsia"/>
              <w:color w:val="auto"/>
              <w:sz w:val="28"/>
              <w:szCs w:val="28"/>
              <w:highlight w:val="none"/>
            </w:rPr>
            <w:t>项目要求</w:t>
          </w:r>
          <w:r>
            <w:rPr>
              <w:color w:val="auto"/>
              <w:sz w:val="28"/>
              <w:szCs w:val="28"/>
              <w:highlight w:val="none"/>
            </w:rPr>
            <w:tab/>
          </w:r>
          <w:r>
            <w:rPr>
              <w:rFonts w:hint="eastAsia"/>
              <w:color w:val="auto"/>
              <w:sz w:val="28"/>
              <w:szCs w:val="28"/>
              <w:highlight w:val="none"/>
            </w:rPr>
            <w:t>6</w:t>
          </w:r>
          <w:r>
            <w:rPr>
              <w:rFonts w:hint="eastAsia"/>
              <w:color w:val="auto"/>
              <w:sz w:val="28"/>
              <w:szCs w:val="28"/>
              <w:highlight w:val="none"/>
            </w:rPr>
            <w:fldChar w:fldCharType="end"/>
          </w:r>
        </w:p>
        <w:p w14:paraId="41D7B1A3">
          <w:pPr>
            <w:pStyle w:val="101"/>
            <w:tabs>
              <w:tab w:val="right" w:leader="dot" w:pos="8313"/>
            </w:tabs>
            <w:rPr>
              <w:color w:val="auto"/>
              <w:sz w:val="28"/>
              <w:szCs w:val="28"/>
              <w:highlight w:val="none"/>
            </w:rPr>
          </w:pPr>
          <w:r>
            <w:rPr>
              <w:color w:val="auto"/>
              <w:highlight w:val="none"/>
            </w:rPr>
            <w:fldChar w:fldCharType="begin"/>
          </w:r>
          <w:r>
            <w:rPr>
              <w:color w:val="auto"/>
              <w:highlight w:val="none"/>
            </w:rPr>
            <w:instrText xml:space="preserve"> HYPERLINK \l "_Toc28653" </w:instrText>
          </w:r>
          <w:r>
            <w:rPr>
              <w:color w:val="auto"/>
              <w:highlight w:val="none"/>
            </w:rPr>
            <w:fldChar w:fldCharType="separate"/>
          </w:r>
          <w:r>
            <w:rPr>
              <w:color w:val="auto"/>
              <w:sz w:val="28"/>
              <w:szCs w:val="28"/>
              <w:highlight w:val="none"/>
            </w:rPr>
            <w:t>第</w:t>
          </w:r>
          <w:r>
            <w:rPr>
              <w:rFonts w:hint="eastAsia"/>
              <w:color w:val="auto"/>
              <w:sz w:val="28"/>
              <w:szCs w:val="28"/>
              <w:highlight w:val="none"/>
            </w:rPr>
            <w:t>三</w:t>
          </w:r>
          <w:r>
            <w:rPr>
              <w:color w:val="auto"/>
              <w:sz w:val="28"/>
              <w:szCs w:val="28"/>
              <w:highlight w:val="none"/>
            </w:rPr>
            <w:t xml:space="preserve">部分  </w:t>
          </w:r>
          <w:r>
            <w:rPr>
              <w:rFonts w:hint="eastAsia"/>
              <w:color w:val="auto"/>
              <w:sz w:val="28"/>
              <w:szCs w:val="28"/>
              <w:highlight w:val="none"/>
            </w:rPr>
            <w:t>投标人须知及前附表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_Toc28653 \h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color w:val="auto"/>
              <w:sz w:val="28"/>
              <w:szCs w:val="28"/>
              <w:highlight w:val="none"/>
            </w:rPr>
            <w:fldChar w:fldCharType="end"/>
          </w:r>
        </w:p>
        <w:p w14:paraId="641BADD7">
          <w:pPr>
            <w:pStyle w:val="101"/>
            <w:tabs>
              <w:tab w:val="right" w:leader="dot" w:pos="8313"/>
            </w:tabs>
            <w:rPr>
              <w:color w:val="auto"/>
              <w:sz w:val="28"/>
              <w:szCs w:val="28"/>
              <w:highlight w:val="none"/>
            </w:rPr>
          </w:pPr>
          <w:r>
            <w:rPr>
              <w:color w:val="auto"/>
              <w:highlight w:val="none"/>
            </w:rPr>
            <w:fldChar w:fldCharType="begin"/>
          </w:r>
          <w:r>
            <w:rPr>
              <w:color w:val="auto"/>
              <w:highlight w:val="none"/>
            </w:rPr>
            <w:instrText xml:space="preserve"> HYPERLINK \l "_Toc18477" </w:instrText>
          </w:r>
          <w:r>
            <w:rPr>
              <w:color w:val="auto"/>
              <w:highlight w:val="none"/>
            </w:rPr>
            <w:fldChar w:fldCharType="separate"/>
          </w:r>
          <w:r>
            <w:rPr>
              <w:color w:val="auto"/>
              <w:sz w:val="28"/>
              <w:szCs w:val="28"/>
              <w:highlight w:val="none"/>
            </w:rPr>
            <w:t>第</w:t>
          </w:r>
          <w:r>
            <w:rPr>
              <w:rFonts w:hint="eastAsia"/>
              <w:color w:val="auto"/>
              <w:sz w:val="28"/>
              <w:szCs w:val="28"/>
              <w:highlight w:val="none"/>
            </w:rPr>
            <w:t>四</w:t>
          </w:r>
          <w:r>
            <w:rPr>
              <w:color w:val="auto"/>
              <w:sz w:val="28"/>
              <w:szCs w:val="28"/>
              <w:highlight w:val="none"/>
            </w:rPr>
            <w:t>部分  评标</w:t>
          </w:r>
          <w:r>
            <w:rPr>
              <w:rFonts w:hint="eastAsia"/>
              <w:color w:val="auto"/>
              <w:sz w:val="28"/>
              <w:szCs w:val="28"/>
              <w:highlight w:val="none"/>
            </w:rPr>
            <w:t>标准</w:t>
          </w:r>
          <w:r>
            <w:rPr>
              <w:color w:val="auto"/>
              <w:sz w:val="28"/>
              <w:szCs w:val="28"/>
              <w:highlight w:val="none"/>
            </w:rPr>
            <w:tab/>
          </w:r>
          <w:r>
            <w:rPr>
              <w:rFonts w:hint="eastAsia"/>
              <w:color w:val="auto"/>
              <w:sz w:val="28"/>
              <w:szCs w:val="28"/>
              <w:highlight w:val="none"/>
            </w:rPr>
            <w:t>2</w:t>
          </w:r>
          <w:r>
            <w:rPr>
              <w:rFonts w:hint="eastAsia"/>
              <w:color w:val="auto"/>
              <w:sz w:val="28"/>
              <w:szCs w:val="28"/>
              <w:highlight w:val="none"/>
            </w:rPr>
            <w:fldChar w:fldCharType="end"/>
          </w:r>
          <w:r>
            <w:rPr>
              <w:rFonts w:hint="eastAsia"/>
              <w:color w:val="auto"/>
              <w:sz w:val="28"/>
              <w:szCs w:val="28"/>
              <w:highlight w:val="none"/>
            </w:rPr>
            <w:t>3</w:t>
          </w:r>
        </w:p>
        <w:p w14:paraId="735249D3">
          <w:pPr>
            <w:pStyle w:val="101"/>
            <w:tabs>
              <w:tab w:val="right" w:leader="dot" w:pos="8313"/>
            </w:tabs>
            <w:rPr>
              <w:color w:val="auto"/>
              <w:sz w:val="28"/>
              <w:szCs w:val="28"/>
              <w:highlight w:val="none"/>
            </w:rPr>
          </w:pPr>
          <w:r>
            <w:rPr>
              <w:color w:val="auto"/>
              <w:highlight w:val="none"/>
            </w:rPr>
            <w:fldChar w:fldCharType="begin"/>
          </w:r>
          <w:r>
            <w:rPr>
              <w:color w:val="auto"/>
              <w:highlight w:val="none"/>
            </w:rPr>
            <w:instrText xml:space="preserve"> HYPERLINK \l "_Toc11753" </w:instrText>
          </w:r>
          <w:r>
            <w:rPr>
              <w:color w:val="auto"/>
              <w:highlight w:val="none"/>
            </w:rPr>
            <w:fldChar w:fldCharType="separate"/>
          </w:r>
          <w:r>
            <w:rPr>
              <w:color w:val="auto"/>
              <w:sz w:val="28"/>
              <w:szCs w:val="28"/>
              <w:highlight w:val="none"/>
            </w:rPr>
            <w:t>第</w:t>
          </w:r>
          <w:r>
            <w:rPr>
              <w:rFonts w:hint="eastAsia"/>
              <w:color w:val="auto"/>
              <w:sz w:val="28"/>
              <w:szCs w:val="28"/>
              <w:highlight w:val="none"/>
            </w:rPr>
            <w:t>五</w:t>
          </w:r>
          <w:r>
            <w:rPr>
              <w:color w:val="auto"/>
              <w:sz w:val="28"/>
              <w:szCs w:val="28"/>
              <w:highlight w:val="none"/>
            </w:rPr>
            <w:t xml:space="preserve">部分  </w:t>
          </w:r>
          <w:r>
            <w:rPr>
              <w:rFonts w:hint="eastAsia"/>
              <w:color w:val="auto"/>
              <w:sz w:val="28"/>
              <w:szCs w:val="28"/>
              <w:highlight w:val="none"/>
            </w:rPr>
            <w:t>合同条款及合同格式</w:t>
          </w:r>
          <w:r>
            <w:rPr>
              <w:color w:val="auto"/>
              <w:sz w:val="28"/>
              <w:szCs w:val="28"/>
              <w:highlight w:val="none"/>
            </w:rPr>
            <w:tab/>
          </w:r>
          <w:r>
            <w:rPr>
              <w:rFonts w:hint="eastAsia"/>
              <w:color w:val="auto"/>
              <w:sz w:val="28"/>
              <w:szCs w:val="28"/>
              <w:highlight w:val="none"/>
            </w:rPr>
            <w:t>3</w:t>
          </w:r>
          <w:r>
            <w:rPr>
              <w:rFonts w:hint="eastAsia"/>
              <w:color w:val="auto"/>
              <w:sz w:val="28"/>
              <w:szCs w:val="28"/>
              <w:highlight w:val="none"/>
            </w:rPr>
            <w:fldChar w:fldCharType="end"/>
          </w:r>
          <w:r>
            <w:rPr>
              <w:rFonts w:hint="eastAsia"/>
              <w:color w:val="auto"/>
              <w:sz w:val="28"/>
              <w:szCs w:val="28"/>
              <w:highlight w:val="none"/>
            </w:rPr>
            <w:t>0</w:t>
          </w:r>
        </w:p>
        <w:p w14:paraId="24682F9C">
          <w:pPr>
            <w:pStyle w:val="101"/>
            <w:tabs>
              <w:tab w:val="right" w:leader="dot" w:pos="8313"/>
            </w:tabs>
            <w:rPr>
              <w:color w:val="auto"/>
              <w:sz w:val="28"/>
              <w:szCs w:val="28"/>
              <w:highlight w:val="none"/>
            </w:rPr>
          </w:pPr>
          <w:r>
            <w:rPr>
              <w:color w:val="auto"/>
              <w:highlight w:val="none"/>
            </w:rPr>
            <w:fldChar w:fldCharType="begin"/>
          </w:r>
          <w:r>
            <w:rPr>
              <w:color w:val="auto"/>
              <w:highlight w:val="none"/>
            </w:rPr>
            <w:instrText xml:space="preserve"> HYPERLINK \l "_Toc2271" </w:instrText>
          </w:r>
          <w:r>
            <w:rPr>
              <w:color w:val="auto"/>
              <w:highlight w:val="none"/>
            </w:rPr>
            <w:fldChar w:fldCharType="separate"/>
          </w:r>
          <w:r>
            <w:rPr>
              <w:color w:val="auto"/>
              <w:sz w:val="28"/>
              <w:szCs w:val="28"/>
              <w:highlight w:val="none"/>
            </w:rPr>
            <w:t>第</w:t>
          </w:r>
          <w:r>
            <w:rPr>
              <w:rFonts w:hint="eastAsia"/>
              <w:color w:val="auto"/>
              <w:sz w:val="28"/>
              <w:szCs w:val="28"/>
              <w:highlight w:val="none"/>
            </w:rPr>
            <w:t>六</w:t>
          </w:r>
          <w:r>
            <w:rPr>
              <w:color w:val="auto"/>
              <w:sz w:val="28"/>
              <w:szCs w:val="28"/>
              <w:highlight w:val="none"/>
            </w:rPr>
            <w:t>部分</w:t>
          </w:r>
          <w:r>
            <w:rPr>
              <w:rFonts w:hint="eastAsia"/>
              <w:color w:val="auto"/>
              <w:sz w:val="28"/>
              <w:szCs w:val="28"/>
              <w:highlight w:val="none"/>
            </w:rPr>
            <w:t xml:space="preserve">  附件（投标文件格式）</w:t>
          </w:r>
          <w:r>
            <w:rPr>
              <w:color w:val="auto"/>
              <w:sz w:val="28"/>
              <w:szCs w:val="28"/>
              <w:highlight w:val="none"/>
            </w:rPr>
            <w:tab/>
          </w:r>
          <w:r>
            <w:rPr>
              <w:rFonts w:hint="eastAsia"/>
              <w:color w:val="auto"/>
              <w:sz w:val="28"/>
              <w:szCs w:val="28"/>
              <w:highlight w:val="none"/>
            </w:rPr>
            <w:t>4</w:t>
          </w:r>
          <w:r>
            <w:rPr>
              <w:rFonts w:hint="eastAsia"/>
              <w:color w:val="auto"/>
              <w:sz w:val="28"/>
              <w:szCs w:val="28"/>
              <w:highlight w:val="none"/>
            </w:rPr>
            <w:fldChar w:fldCharType="end"/>
          </w:r>
          <w:r>
            <w:rPr>
              <w:rFonts w:hint="eastAsia"/>
              <w:color w:val="auto"/>
              <w:sz w:val="28"/>
              <w:szCs w:val="28"/>
              <w:highlight w:val="none"/>
            </w:rPr>
            <w:t>0</w:t>
          </w:r>
        </w:p>
        <w:p w14:paraId="71ABE305">
          <w:pPr>
            <w:pStyle w:val="13"/>
            <w:rPr>
              <w:rFonts w:eastAsia="宋体"/>
              <w:color w:val="auto"/>
              <w:sz w:val="28"/>
              <w:szCs w:val="28"/>
              <w:highlight w:val="none"/>
            </w:rPr>
            <w:sectPr>
              <w:pgSz w:w="11907" w:h="16840"/>
              <w:pgMar w:top="1440" w:right="1797" w:bottom="1440" w:left="1797" w:header="720" w:footer="1197" w:gutter="0"/>
              <w:pgBorders>
                <w:top w:val="none" w:sz="0" w:space="0"/>
                <w:left w:val="none" w:sz="0" w:space="0"/>
                <w:bottom w:val="none" w:sz="0" w:space="0"/>
                <w:right w:val="none" w:sz="0" w:space="0"/>
              </w:pgBorders>
              <w:pgNumType w:start="1"/>
              <w:cols w:space="720" w:num="1"/>
              <w:docGrid w:type="lines" w:linePitch="285" w:charSpace="0"/>
            </w:sectPr>
          </w:pPr>
          <w:r>
            <w:rPr>
              <w:color w:val="auto"/>
              <w:sz w:val="28"/>
              <w:szCs w:val="28"/>
              <w:highlight w:val="none"/>
            </w:rPr>
            <w:fldChar w:fldCharType="end"/>
          </w:r>
        </w:p>
      </w:sdtContent>
    </w:sdt>
    <w:p w14:paraId="3D79B596">
      <w:pPr>
        <w:jc w:val="center"/>
        <w:outlineLvl w:val="0"/>
        <w:rPr>
          <w:b/>
          <w:color w:val="auto"/>
          <w:sz w:val="36"/>
          <w:szCs w:val="36"/>
          <w:highlight w:val="none"/>
        </w:rPr>
      </w:pPr>
      <w:bookmarkStart w:id="1" w:name="_Toc10608"/>
      <w:r>
        <w:rPr>
          <w:b/>
          <w:color w:val="auto"/>
          <w:sz w:val="36"/>
          <w:szCs w:val="36"/>
          <w:highlight w:val="none"/>
        </w:rPr>
        <w:t>第</w:t>
      </w:r>
      <w:r>
        <w:rPr>
          <w:rFonts w:hint="eastAsia"/>
          <w:b/>
          <w:color w:val="auto"/>
          <w:sz w:val="36"/>
          <w:szCs w:val="36"/>
          <w:highlight w:val="none"/>
        </w:rPr>
        <w:t>一</w:t>
      </w:r>
      <w:r>
        <w:rPr>
          <w:b/>
          <w:color w:val="auto"/>
          <w:sz w:val="36"/>
          <w:szCs w:val="36"/>
          <w:highlight w:val="none"/>
        </w:rPr>
        <w:t xml:space="preserve">部分  </w:t>
      </w:r>
      <w:r>
        <w:rPr>
          <w:rFonts w:hint="eastAsia"/>
          <w:b/>
          <w:color w:val="auto"/>
          <w:sz w:val="36"/>
          <w:szCs w:val="36"/>
          <w:highlight w:val="none"/>
        </w:rPr>
        <w:t>招标公告</w:t>
      </w:r>
      <w:bookmarkEnd w:id="1"/>
    </w:p>
    <w:p w14:paraId="098570B0">
      <w:pPr>
        <w:pStyle w:val="25"/>
        <w:pBdr>
          <w:top w:val="single" w:color="auto" w:sz="4" w:space="1"/>
          <w:left w:val="single" w:color="auto" w:sz="4" w:space="4"/>
          <w:bottom w:val="single" w:color="auto" w:sz="4" w:space="1"/>
          <w:right w:val="single" w:color="auto" w:sz="4" w:space="4"/>
        </w:pBdr>
        <w:tabs>
          <w:tab w:val="left" w:pos="0"/>
        </w:tabs>
        <w:spacing w:before="0" w:beforeAutospacing="0" w:after="0" w:afterAutospacing="0" w:line="400" w:lineRule="exact"/>
        <w:jc w:val="both"/>
        <w:rPr>
          <w:rFonts w:cs="宋体"/>
          <w:b/>
          <w:bCs/>
          <w:color w:val="auto"/>
          <w:highlight w:val="none"/>
        </w:rPr>
      </w:pPr>
      <w:r>
        <w:rPr>
          <w:rFonts w:hint="eastAsia" w:cs="宋体"/>
          <w:b/>
          <w:bCs/>
          <w:color w:val="auto"/>
          <w:highlight w:val="none"/>
        </w:rPr>
        <w:t>项目概况</w:t>
      </w:r>
    </w:p>
    <w:p w14:paraId="29D17393">
      <w:pPr>
        <w:pStyle w:val="25"/>
        <w:pBdr>
          <w:top w:val="single" w:color="auto" w:sz="4" w:space="1"/>
          <w:left w:val="single" w:color="auto" w:sz="4" w:space="4"/>
          <w:bottom w:val="single" w:color="auto" w:sz="4" w:space="1"/>
          <w:right w:val="single" w:color="auto" w:sz="4" w:space="4"/>
        </w:pBdr>
        <w:tabs>
          <w:tab w:val="left" w:pos="0"/>
        </w:tabs>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u w:val="single"/>
        </w:rPr>
        <w:t>宁波大学附属人民医院采购医疗设备项目</w:t>
      </w:r>
      <w:r>
        <w:rPr>
          <w:rFonts w:hint="eastAsia" w:cs="宋体"/>
          <w:color w:val="auto"/>
          <w:highlight w:val="none"/>
        </w:rPr>
        <w:t>招标项目的潜在投标人应在浙江政府采购云平台（https://www.zcygov.cn/）获取（下载）招标文件，并于</w:t>
      </w:r>
      <w:r>
        <w:rPr>
          <w:rFonts w:hint="eastAsia" w:cs="宋体"/>
          <w:color w:val="auto"/>
          <w:highlight w:val="none"/>
          <w:u w:val="single"/>
        </w:rPr>
        <w:t>2025年</w:t>
      </w:r>
      <w:r>
        <w:rPr>
          <w:rFonts w:hint="eastAsia" w:cs="宋体"/>
          <w:color w:val="auto"/>
          <w:highlight w:val="none"/>
          <w:u w:val="single"/>
          <w:lang w:val="en-US" w:eastAsia="zh-CN"/>
        </w:rPr>
        <w:t>07</w:t>
      </w:r>
      <w:r>
        <w:rPr>
          <w:rFonts w:hint="eastAsia" w:cs="宋体"/>
          <w:color w:val="auto"/>
          <w:highlight w:val="none"/>
          <w:u w:val="single"/>
        </w:rPr>
        <w:t>月</w:t>
      </w:r>
      <w:r>
        <w:rPr>
          <w:rFonts w:hint="eastAsia" w:cs="宋体"/>
          <w:color w:val="auto"/>
          <w:highlight w:val="none"/>
          <w:u w:val="single"/>
          <w:lang w:val="en-US" w:eastAsia="zh-CN"/>
        </w:rPr>
        <w:t>30</w:t>
      </w:r>
      <w:r>
        <w:rPr>
          <w:rFonts w:hint="eastAsia" w:cs="宋体"/>
          <w:color w:val="auto"/>
          <w:highlight w:val="none"/>
          <w:u w:val="single"/>
        </w:rPr>
        <w:t>日09:00</w:t>
      </w:r>
      <w:r>
        <w:rPr>
          <w:rFonts w:hint="eastAsia" w:cs="宋体"/>
          <w:color w:val="auto"/>
          <w:highlight w:val="none"/>
        </w:rPr>
        <w:t>（北京时间）前递交（上传）投标文件。</w:t>
      </w:r>
    </w:p>
    <w:p w14:paraId="4E8BD6DC">
      <w:pPr>
        <w:pStyle w:val="25"/>
        <w:tabs>
          <w:tab w:val="left" w:pos="0"/>
        </w:tabs>
        <w:spacing w:before="0" w:beforeAutospacing="0" w:after="0" w:afterAutospacing="0" w:line="400" w:lineRule="exact"/>
        <w:jc w:val="both"/>
        <w:rPr>
          <w:rFonts w:cs="宋体"/>
          <w:color w:val="auto"/>
          <w:highlight w:val="none"/>
        </w:rPr>
      </w:pPr>
    </w:p>
    <w:p w14:paraId="5EAAE80D">
      <w:pPr>
        <w:widowControl/>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项目编号：NBMC-20256197G</w:t>
      </w:r>
    </w:p>
    <w:p w14:paraId="176F2AB6">
      <w:pPr>
        <w:widowControl/>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项目名称：宁波大学附属人民医院采购医疗设备项目</w:t>
      </w:r>
    </w:p>
    <w:p w14:paraId="6808CB29">
      <w:pPr>
        <w:widowControl/>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预算金额（元）：1180000</w:t>
      </w:r>
    </w:p>
    <w:p w14:paraId="55F773E4">
      <w:pPr>
        <w:widowControl/>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最高限价（元）：800000，380000</w:t>
      </w:r>
    </w:p>
    <w:p w14:paraId="768A417D">
      <w:pPr>
        <w:widowControl/>
        <w:spacing w:line="400" w:lineRule="exact"/>
        <w:ind w:firstLine="480" w:firstLineChars="200"/>
        <w:rPr>
          <w:rFonts w:ascii="宋体" w:hAnsi="宋体" w:cs="宋体"/>
          <w:color w:val="auto"/>
          <w:kern w:val="0"/>
          <w:sz w:val="24"/>
          <w:szCs w:val="24"/>
          <w:highlight w:val="none"/>
        </w:rPr>
      </w:pPr>
    </w:p>
    <w:p w14:paraId="79D80CC2">
      <w:pPr>
        <w:widowControl/>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采购需求：</w:t>
      </w:r>
    </w:p>
    <w:p w14:paraId="25BA09D3">
      <w:pPr>
        <w:widowControl/>
        <w:spacing w:line="400" w:lineRule="exact"/>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 xml:space="preserve">标项一 </w:t>
      </w:r>
    </w:p>
    <w:p w14:paraId="4CEB3549">
      <w:pPr>
        <w:widowControl/>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标项名称：无创肝纤维化和脂肪变量化检测系统</w:t>
      </w:r>
    </w:p>
    <w:p w14:paraId="7F8407F3">
      <w:pPr>
        <w:widowControl/>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数量: 1</w:t>
      </w:r>
    </w:p>
    <w:p w14:paraId="462339E7">
      <w:pPr>
        <w:widowControl/>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预算金额（元）：800000</w:t>
      </w:r>
    </w:p>
    <w:p w14:paraId="587E1D6D">
      <w:pPr>
        <w:widowControl/>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简要规格描述或项目基本概况介绍、用途：详见《第二部分 项目要求》 </w:t>
      </w:r>
    </w:p>
    <w:p w14:paraId="04717D27">
      <w:pPr>
        <w:widowControl/>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备注：无</w:t>
      </w:r>
    </w:p>
    <w:p w14:paraId="6BC6B6D6">
      <w:pPr>
        <w:widowControl/>
        <w:spacing w:line="400" w:lineRule="exact"/>
        <w:ind w:firstLine="480" w:firstLineChars="200"/>
        <w:rPr>
          <w:rFonts w:ascii="宋体" w:hAnsi="宋体" w:cs="宋体"/>
          <w:color w:val="auto"/>
          <w:kern w:val="0"/>
          <w:sz w:val="24"/>
          <w:szCs w:val="24"/>
          <w:highlight w:val="none"/>
        </w:rPr>
      </w:pPr>
    </w:p>
    <w:p w14:paraId="44F3CB3C">
      <w:pPr>
        <w:widowControl/>
        <w:spacing w:line="400" w:lineRule="exact"/>
        <w:ind w:firstLine="482" w:firstLineChars="20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标项二</w:t>
      </w:r>
    </w:p>
    <w:p w14:paraId="44EFE880">
      <w:pPr>
        <w:widowControl/>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标项名称：自动组织脱水机 </w:t>
      </w:r>
    </w:p>
    <w:p w14:paraId="0785099F">
      <w:pPr>
        <w:widowControl/>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数量: 1</w:t>
      </w:r>
    </w:p>
    <w:p w14:paraId="582B9494">
      <w:pPr>
        <w:widowControl/>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预算金额（元）：380000</w:t>
      </w:r>
    </w:p>
    <w:p w14:paraId="7536F963">
      <w:pPr>
        <w:widowControl/>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简要规格描述或项目基本概况介绍、用途：详见《第二部分 项目要求》 </w:t>
      </w:r>
    </w:p>
    <w:p w14:paraId="1CCD1DF3">
      <w:pPr>
        <w:widowControl/>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备注：无</w:t>
      </w:r>
    </w:p>
    <w:p w14:paraId="173324F0">
      <w:pPr>
        <w:widowControl/>
        <w:spacing w:line="400" w:lineRule="exact"/>
        <w:ind w:firstLine="480" w:firstLineChars="200"/>
        <w:rPr>
          <w:rFonts w:ascii="宋体" w:hAnsi="宋体" w:cs="宋体"/>
          <w:color w:val="auto"/>
          <w:kern w:val="0"/>
          <w:sz w:val="24"/>
          <w:szCs w:val="24"/>
          <w:highlight w:val="none"/>
        </w:rPr>
      </w:pPr>
    </w:p>
    <w:p w14:paraId="4A3D1DDC">
      <w:pPr>
        <w:widowControl/>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合同履约期限：标项1、2，详见《第二部分 项目要求》</w:t>
      </w:r>
    </w:p>
    <w:p w14:paraId="523FBD5B">
      <w:pPr>
        <w:widowControl/>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本项目（否）接受联合体投标。</w:t>
      </w:r>
    </w:p>
    <w:p w14:paraId="03E3EBB3">
      <w:pPr>
        <w:pStyle w:val="25"/>
        <w:spacing w:before="0" w:beforeAutospacing="0" w:after="0" w:afterAutospacing="0" w:line="400" w:lineRule="exact"/>
        <w:jc w:val="both"/>
        <w:rPr>
          <w:rFonts w:cs="宋体"/>
          <w:color w:val="auto"/>
          <w:highlight w:val="none"/>
        </w:rPr>
      </w:pPr>
    </w:p>
    <w:p w14:paraId="043D16F7">
      <w:pPr>
        <w:pStyle w:val="25"/>
        <w:spacing w:before="0" w:beforeAutospacing="0" w:after="0" w:afterAutospacing="0" w:line="400" w:lineRule="exact"/>
        <w:jc w:val="both"/>
        <w:rPr>
          <w:rFonts w:cs="宋体"/>
          <w:color w:val="auto"/>
          <w:highlight w:val="none"/>
        </w:rPr>
      </w:pPr>
      <w:r>
        <w:rPr>
          <w:rStyle w:val="33"/>
          <w:rFonts w:hint="eastAsia" w:cs="宋体"/>
          <w:color w:val="auto"/>
          <w:highlight w:val="none"/>
        </w:rPr>
        <w:t>二、申请人的资格要求：</w:t>
      </w:r>
    </w:p>
    <w:p w14:paraId="71F8B43D">
      <w:pPr>
        <w:pStyle w:val="25"/>
        <w:spacing w:before="0" w:beforeAutospacing="0" w:after="0" w:afterAutospacing="0" w:line="400" w:lineRule="exact"/>
        <w:jc w:val="both"/>
        <w:rPr>
          <w:rFonts w:cs="宋体"/>
          <w:color w:val="auto"/>
          <w:highlight w:val="none"/>
        </w:rPr>
      </w:pPr>
      <w:r>
        <w:rPr>
          <w:rFonts w:hint="eastAsia" w:cs="宋体"/>
          <w:color w:val="auto"/>
          <w:highlight w:val="none"/>
        </w:rPr>
        <w:t>  1.满足《中华人民共和国政府采购法》第二十二条规定；未被“信用中国”（www.creditchina.gov.cn)、中国政府采购网（www.ccgp.gov.cn）列入失信被执行人、重大税收违法失信主体、政府采购严重违法失信行为记录名单。</w:t>
      </w:r>
    </w:p>
    <w:p w14:paraId="43851BD0">
      <w:pPr>
        <w:pStyle w:val="25"/>
        <w:spacing w:before="0" w:beforeAutospacing="0" w:after="0" w:afterAutospacing="0" w:line="400" w:lineRule="exact"/>
        <w:jc w:val="both"/>
        <w:rPr>
          <w:rFonts w:cs="宋体"/>
          <w:color w:val="auto"/>
          <w:highlight w:val="none"/>
        </w:rPr>
      </w:pPr>
      <w:r>
        <w:rPr>
          <w:rFonts w:hint="eastAsia" w:cs="宋体"/>
          <w:color w:val="auto"/>
          <w:highlight w:val="none"/>
        </w:rPr>
        <w:t>  2.落实政府采购政策需满足的资格要求：标项1、2：无。</w:t>
      </w:r>
    </w:p>
    <w:p w14:paraId="5BD2F195">
      <w:pPr>
        <w:pStyle w:val="25"/>
        <w:spacing w:before="0" w:beforeAutospacing="0" w:after="0" w:afterAutospacing="0" w:line="400" w:lineRule="exact"/>
        <w:jc w:val="both"/>
        <w:rPr>
          <w:rFonts w:cs="宋体"/>
          <w:color w:val="auto"/>
          <w:highlight w:val="none"/>
        </w:rPr>
      </w:pPr>
      <w:r>
        <w:rPr>
          <w:rFonts w:hint="eastAsia" w:cs="宋体"/>
          <w:color w:val="auto"/>
          <w:highlight w:val="none"/>
        </w:rPr>
        <w:t>  3.本项目的特定资格要求：无。 </w:t>
      </w:r>
    </w:p>
    <w:p w14:paraId="04E01CA3">
      <w:pPr>
        <w:pStyle w:val="25"/>
        <w:spacing w:before="0" w:beforeAutospacing="0" w:after="0" w:afterAutospacing="0" w:line="400" w:lineRule="exact"/>
        <w:jc w:val="both"/>
        <w:rPr>
          <w:rStyle w:val="33"/>
          <w:rFonts w:cs="宋体"/>
          <w:color w:val="auto"/>
          <w:highlight w:val="none"/>
        </w:rPr>
      </w:pPr>
    </w:p>
    <w:p w14:paraId="5A2686F8">
      <w:pPr>
        <w:pStyle w:val="25"/>
        <w:spacing w:before="0" w:beforeAutospacing="0" w:after="0" w:afterAutospacing="0" w:line="400" w:lineRule="exact"/>
        <w:jc w:val="both"/>
        <w:rPr>
          <w:rFonts w:cs="宋体"/>
          <w:color w:val="auto"/>
          <w:highlight w:val="none"/>
        </w:rPr>
      </w:pPr>
      <w:r>
        <w:rPr>
          <w:rStyle w:val="33"/>
          <w:rFonts w:hint="eastAsia" w:cs="宋体"/>
          <w:color w:val="auto"/>
          <w:highlight w:val="none"/>
        </w:rPr>
        <w:t>三、获取招标文件</w:t>
      </w:r>
    </w:p>
    <w:p w14:paraId="34191BE7">
      <w:pPr>
        <w:pStyle w:val="25"/>
        <w:spacing w:before="0" w:beforeAutospacing="0" w:after="0" w:afterAutospacing="0" w:line="400" w:lineRule="exact"/>
        <w:jc w:val="both"/>
        <w:rPr>
          <w:rFonts w:cs="宋体"/>
          <w:color w:val="auto"/>
          <w:highlight w:val="none"/>
        </w:rPr>
      </w:pPr>
      <w:r>
        <w:rPr>
          <w:rFonts w:hint="eastAsia" w:cs="宋体"/>
          <w:color w:val="auto"/>
          <w:highlight w:val="none"/>
        </w:rPr>
        <w:t>   时间：</w:t>
      </w:r>
      <w:r>
        <w:rPr>
          <w:rFonts w:hint="eastAsia" w:cs="宋体"/>
          <w:color w:val="auto"/>
          <w:highlight w:val="none"/>
          <w:u w:val="single"/>
        </w:rPr>
        <w:t>2025年</w:t>
      </w:r>
      <w:r>
        <w:rPr>
          <w:rFonts w:hint="eastAsia" w:cs="宋体"/>
          <w:color w:val="auto"/>
          <w:highlight w:val="none"/>
          <w:u w:val="single"/>
          <w:lang w:val="en-US" w:eastAsia="zh-CN"/>
        </w:rPr>
        <w:t>07</w:t>
      </w:r>
      <w:r>
        <w:rPr>
          <w:rFonts w:hint="eastAsia" w:cs="宋体"/>
          <w:color w:val="auto"/>
          <w:highlight w:val="none"/>
          <w:u w:val="single"/>
        </w:rPr>
        <w:t>月</w:t>
      </w:r>
      <w:r>
        <w:rPr>
          <w:rFonts w:hint="eastAsia" w:cs="宋体"/>
          <w:color w:val="auto"/>
          <w:highlight w:val="none"/>
          <w:u w:val="single"/>
          <w:lang w:val="en-US" w:eastAsia="zh-CN"/>
        </w:rPr>
        <w:t>10</w:t>
      </w:r>
      <w:r>
        <w:rPr>
          <w:rFonts w:hint="eastAsia" w:cs="宋体"/>
          <w:color w:val="auto"/>
          <w:highlight w:val="none"/>
          <w:u w:val="single"/>
        </w:rPr>
        <w:t>日至2025年</w:t>
      </w:r>
      <w:r>
        <w:rPr>
          <w:rFonts w:hint="eastAsia" w:cs="宋体"/>
          <w:color w:val="auto"/>
          <w:highlight w:val="none"/>
          <w:u w:val="single"/>
          <w:lang w:val="en-US" w:eastAsia="zh-CN"/>
        </w:rPr>
        <w:t>07</w:t>
      </w:r>
      <w:r>
        <w:rPr>
          <w:rFonts w:hint="eastAsia" w:cs="宋体"/>
          <w:color w:val="auto"/>
          <w:highlight w:val="none"/>
          <w:u w:val="single"/>
        </w:rPr>
        <w:t>月</w:t>
      </w:r>
      <w:r>
        <w:rPr>
          <w:rFonts w:hint="eastAsia" w:cs="宋体"/>
          <w:color w:val="auto"/>
          <w:highlight w:val="none"/>
          <w:u w:val="single"/>
          <w:lang w:val="en-US" w:eastAsia="zh-CN"/>
        </w:rPr>
        <w:t>17</w:t>
      </w:r>
      <w:r>
        <w:rPr>
          <w:rFonts w:hint="eastAsia" w:cs="宋体"/>
          <w:color w:val="auto"/>
          <w:highlight w:val="none"/>
          <w:u w:val="single"/>
        </w:rPr>
        <w:t>日</w:t>
      </w:r>
      <w:r>
        <w:rPr>
          <w:rFonts w:hint="eastAsia" w:cs="宋体"/>
          <w:color w:val="auto"/>
          <w:highlight w:val="none"/>
        </w:rPr>
        <w:t>，每天上午00:00至12:00，下午12:00至23:59（北京时间，线上获取法定节假日均可，线下获取文件法定节假日除外）</w:t>
      </w:r>
    </w:p>
    <w:p w14:paraId="43BBC786">
      <w:pPr>
        <w:pStyle w:val="25"/>
        <w:spacing w:before="0" w:beforeAutospacing="0" w:after="0" w:afterAutospacing="0" w:line="400" w:lineRule="exact"/>
        <w:jc w:val="both"/>
        <w:rPr>
          <w:rFonts w:cs="宋体"/>
          <w:color w:val="auto"/>
          <w:highlight w:val="none"/>
        </w:rPr>
      </w:pPr>
      <w:r>
        <w:rPr>
          <w:rFonts w:hint="eastAsia" w:cs="宋体"/>
          <w:color w:val="auto"/>
          <w:highlight w:val="none"/>
        </w:rPr>
        <w:t>    地点（网址）：政府采购云平台（https://www.zcygov.cn/）</w:t>
      </w:r>
    </w:p>
    <w:p w14:paraId="37C92BD4">
      <w:pPr>
        <w:pStyle w:val="25"/>
        <w:spacing w:before="0" w:beforeAutospacing="0" w:after="0" w:afterAutospacing="0" w:line="400" w:lineRule="exact"/>
        <w:ind w:firstLine="730"/>
        <w:jc w:val="both"/>
        <w:rPr>
          <w:rFonts w:cs="宋体"/>
          <w:color w:val="auto"/>
          <w:highlight w:val="none"/>
        </w:rPr>
      </w:pPr>
      <w:r>
        <w:rPr>
          <w:rFonts w:hint="eastAsia" w:cs="宋体"/>
          <w:color w:val="auto"/>
          <w:highlight w:val="none"/>
        </w:rPr>
        <w:t>方式：供应商登录政采云平台的注册账号后，进入政采云系统“项目采购”模块“获取采购文件”菜单，进行网上获取采购文件。如有疑问请及时咨询网站客服，咨询电话：95763。本采购公告附件中的采购文件仅供阅览使用，供应商应在规定的采购文件提供期限内在政采云平台登录上述供应商注册的账号后获取采购文件。供应商未在规定的采购文件提供期限内或未按上述方式获取采购文件的，其投标将被拒绝，并不得对采购文件提起质疑投诉。</w:t>
      </w:r>
    </w:p>
    <w:p w14:paraId="71953427">
      <w:pPr>
        <w:pStyle w:val="25"/>
        <w:spacing w:before="0" w:beforeAutospacing="0" w:after="0" w:afterAutospacing="0" w:line="400" w:lineRule="exact"/>
        <w:jc w:val="both"/>
        <w:rPr>
          <w:rFonts w:cs="宋体"/>
          <w:color w:val="auto"/>
          <w:highlight w:val="none"/>
        </w:rPr>
      </w:pPr>
      <w:r>
        <w:rPr>
          <w:rFonts w:hint="eastAsia" w:cs="宋体"/>
          <w:color w:val="auto"/>
          <w:highlight w:val="none"/>
        </w:rPr>
        <w:t>    售价（元）：0</w:t>
      </w:r>
    </w:p>
    <w:p w14:paraId="16494134">
      <w:pPr>
        <w:pStyle w:val="25"/>
        <w:spacing w:before="0" w:beforeAutospacing="0" w:after="0" w:afterAutospacing="0" w:line="400" w:lineRule="exact"/>
        <w:jc w:val="both"/>
        <w:rPr>
          <w:rStyle w:val="33"/>
          <w:rFonts w:cs="宋体"/>
          <w:color w:val="auto"/>
          <w:highlight w:val="none"/>
        </w:rPr>
      </w:pPr>
    </w:p>
    <w:p w14:paraId="5F8F7AED">
      <w:pPr>
        <w:pStyle w:val="25"/>
        <w:spacing w:before="0" w:beforeAutospacing="0" w:after="0" w:afterAutospacing="0" w:line="400" w:lineRule="exact"/>
        <w:jc w:val="both"/>
        <w:rPr>
          <w:rFonts w:cs="宋体"/>
          <w:color w:val="auto"/>
          <w:highlight w:val="none"/>
        </w:rPr>
      </w:pPr>
      <w:r>
        <w:rPr>
          <w:rStyle w:val="33"/>
          <w:rFonts w:hint="eastAsia" w:cs="宋体"/>
          <w:color w:val="auto"/>
          <w:highlight w:val="none"/>
        </w:rPr>
        <w:t>四、提交投标文件截止时间、开标时间和地点</w:t>
      </w:r>
    </w:p>
    <w:p w14:paraId="13AE1955">
      <w:pPr>
        <w:pStyle w:val="25"/>
        <w:spacing w:before="0" w:beforeAutospacing="0" w:after="0" w:afterAutospacing="0" w:line="400" w:lineRule="exact"/>
        <w:jc w:val="both"/>
        <w:rPr>
          <w:rFonts w:cs="宋体"/>
          <w:color w:val="auto"/>
          <w:highlight w:val="none"/>
        </w:rPr>
      </w:pPr>
      <w:r>
        <w:rPr>
          <w:rFonts w:hint="eastAsia" w:cs="宋体"/>
          <w:color w:val="auto"/>
          <w:highlight w:val="none"/>
        </w:rPr>
        <w:t>    提交投标文件截止时间：</w:t>
      </w:r>
      <w:r>
        <w:rPr>
          <w:rFonts w:hint="eastAsia" w:cs="宋体"/>
          <w:color w:val="auto"/>
          <w:highlight w:val="none"/>
          <w:u w:val="single"/>
        </w:rPr>
        <w:t>2025年</w:t>
      </w:r>
      <w:r>
        <w:rPr>
          <w:rFonts w:hint="eastAsia" w:cs="宋体"/>
          <w:color w:val="auto"/>
          <w:highlight w:val="none"/>
          <w:u w:val="single"/>
          <w:lang w:val="en-US" w:eastAsia="zh-CN"/>
        </w:rPr>
        <w:t>07</w:t>
      </w:r>
      <w:r>
        <w:rPr>
          <w:rFonts w:hint="eastAsia" w:cs="宋体"/>
          <w:color w:val="auto"/>
          <w:highlight w:val="none"/>
          <w:u w:val="single"/>
        </w:rPr>
        <w:t>月</w:t>
      </w:r>
      <w:r>
        <w:rPr>
          <w:rFonts w:hint="eastAsia" w:cs="宋体"/>
          <w:color w:val="auto"/>
          <w:highlight w:val="none"/>
          <w:u w:val="single"/>
          <w:lang w:val="en-US" w:eastAsia="zh-CN"/>
        </w:rPr>
        <w:t>30</w:t>
      </w:r>
      <w:r>
        <w:rPr>
          <w:rFonts w:hint="eastAsia" w:cs="宋体"/>
          <w:color w:val="auto"/>
          <w:highlight w:val="none"/>
          <w:u w:val="single"/>
        </w:rPr>
        <w:t>日09:00</w:t>
      </w:r>
      <w:r>
        <w:rPr>
          <w:rFonts w:hint="eastAsia" w:cs="宋体"/>
          <w:color w:val="auto"/>
          <w:highlight w:val="none"/>
        </w:rPr>
        <w:t>（北京时间）</w:t>
      </w:r>
    </w:p>
    <w:p w14:paraId="34C4A6D4">
      <w:pPr>
        <w:pStyle w:val="25"/>
        <w:spacing w:before="0" w:beforeAutospacing="0" w:after="0" w:afterAutospacing="0" w:line="400" w:lineRule="exact"/>
        <w:jc w:val="both"/>
        <w:rPr>
          <w:rFonts w:cs="宋体"/>
          <w:color w:val="auto"/>
          <w:highlight w:val="none"/>
        </w:rPr>
      </w:pPr>
      <w:r>
        <w:rPr>
          <w:rFonts w:hint="eastAsia" w:cs="宋体"/>
          <w:color w:val="auto"/>
          <w:highlight w:val="none"/>
        </w:rPr>
        <w:t>    投标地点（网址）：政府采购云平台（https://www.zcygov.cn/）</w:t>
      </w:r>
    </w:p>
    <w:p w14:paraId="7F594E37">
      <w:pPr>
        <w:pStyle w:val="25"/>
        <w:spacing w:before="0" w:beforeAutospacing="0" w:after="0" w:afterAutospacing="0" w:line="400" w:lineRule="exact"/>
        <w:ind w:firstLine="720"/>
        <w:jc w:val="both"/>
        <w:rPr>
          <w:rFonts w:cs="宋体"/>
          <w:color w:val="auto"/>
          <w:highlight w:val="none"/>
        </w:rPr>
      </w:pPr>
      <w:r>
        <w:rPr>
          <w:rFonts w:hint="eastAsia" w:cs="宋体"/>
          <w:color w:val="auto"/>
          <w:highlight w:val="none"/>
        </w:rPr>
        <w:t>开标时间：</w:t>
      </w:r>
      <w:r>
        <w:rPr>
          <w:rFonts w:hint="eastAsia" w:cs="宋体"/>
          <w:color w:val="auto"/>
          <w:highlight w:val="none"/>
          <w:u w:val="single"/>
        </w:rPr>
        <w:t>2025年</w:t>
      </w:r>
      <w:r>
        <w:rPr>
          <w:rFonts w:hint="eastAsia" w:cs="宋体"/>
          <w:color w:val="auto"/>
          <w:highlight w:val="none"/>
          <w:u w:val="single"/>
          <w:lang w:val="en-US" w:eastAsia="zh-CN"/>
        </w:rPr>
        <w:t>07</w:t>
      </w:r>
      <w:r>
        <w:rPr>
          <w:rFonts w:hint="eastAsia" w:cs="宋体"/>
          <w:color w:val="auto"/>
          <w:highlight w:val="none"/>
          <w:u w:val="single"/>
        </w:rPr>
        <w:t>月</w:t>
      </w:r>
      <w:r>
        <w:rPr>
          <w:rFonts w:hint="eastAsia" w:cs="宋体"/>
          <w:color w:val="auto"/>
          <w:highlight w:val="none"/>
          <w:u w:val="single"/>
          <w:lang w:val="en-US" w:eastAsia="zh-CN"/>
        </w:rPr>
        <w:t>30</w:t>
      </w:r>
      <w:r>
        <w:rPr>
          <w:rFonts w:hint="eastAsia" w:cs="宋体"/>
          <w:color w:val="auto"/>
          <w:highlight w:val="none"/>
          <w:u w:val="single"/>
        </w:rPr>
        <w:t>日09:00</w:t>
      </w:r>
      <w:r>
        <w:rPr>
          <w:rFonts w:hint="eastAsia" w:cs="宋体"/>
          <w:color w:val="auto"/>
          <w:highlight w:val="none"/>
        </w:rPr>
        <w:t>（北京时间）</w:t>
      </w:r>
    </w:p>
    <w:p w14:paraId="0C6CF99E">
      <w:pPr>
        <w:pStyle w:val="25"/>
        <w:spacing w:before="0" w:beforeAutospacing="0" w:after="0" w:afterAutospacing="0" w:line="400" w:lineRule="exact"/>
        <w:ind w:firstLine="720"/>
        <w:jc w:val="both"/>
        <w:rPr>
          <w:rFonts w:cs="宋体"/>
          <w:color w:val="auto"/>
          <w:highlight w:val="none"/>
        </w:rPr>
      </w:pPr>
      <w:r>
        <w:rPr>
          <w:rFonts w:hint="eastAsia" w:cs="宋体"/>
          <w:color w:val="auto"/>
          <w:highlight w:val="none"/>
        </w:rPr>
        <w:t>开标地点（网址）：宁波市鄞州区政务服务中心5楼（鄞州区蕙江路567号，鄞州区妇儿医院对面，具体开标厅号见大厅大屏幕）。（政府采购云平台（http://www.zcygov.cn/））</w:t>
      </w:r>
    </w:p>
    <w:p w14:paraId="2589CB6C">
      <w:pPr>
        <w:pStyle w:val="25"/>
        <w:spacing w:before="0" w:beforeAutospacing="0" w:after="0" w:afterAutospacing="0" w:line="400" w:lineRule="exact"/>
        <w:jc w:val="both"/>
        <w:rPr>
          <w:rStyle w:val="33"/>
          <w:rFonts w:cs="宋体"/>
          <w:color w:val="auto"/>
          <w:highlight w:val="none"/>
        </w:rPr>
      </w:pPr>
    </w:p>
    <w:p w14:paraId="08A3A315">
      <w:pPr>
        <w:pStyle w:val="25"/>
        <w:spacing w:before="0" w:beforeAutospacing="0" w:after="0" w:afterAutospacing="0" w:line="400" w:lineRule="exact"/>
        <w:jc w:val="both"/>
        <w:rPr>
          <w:rFonts w:cs="宋体"/>
          <w:color w:val="auto"/>
          <w:highlight w:val="none"/>
        </w:rPr>
      </w:pPr>
      <w:r>
        <w:rPr>
          <w:rStyle w:val="33"/>
          <w:rFonts w:hint="eastAsia" w:cs="宋体"/>
          <w:color w:val="auto"/>
          <w:highlight w:val="none"/>
        </w:rPr>
        <w:t>五、公告期限</w:t>
      </w:r>
    </w:p>
    <w:p w14:paraId="692D9C3D">
      <w:pPr>
        <w:pStyle w:val="25"/>
        <w:spacing w:before="0" w:beforeAutospacing="0" w:after="0" w:afterAutospacing="0" w:line="400" w:lineRule="exact"/>
        <w:jc w:val="both"/>
        <w:rPr>
          <w:rFonts w:cs="宋体"/>
          <w:color w:val="auto"/>
          <w:highlight w:val="none"/>
        </w:rPr>
      </w:pPr>
      <w:r>
        <w:rPr>
          <w:rFonts w:hint="eastAsia" w:cs="宋体"/>
          <w:color w:val="auto"/>
          <w:highlight w:val="none"/>
        </w:rPr>
        <w:t>    自本公告发布之日起5个工作日。</w:t>
      </w:r>
    </w:p>
    <w:p w14:paraId="00793AEE">
      <w:pPr>
        <w:pStyle w:val="25"/>
        <w:spacing w:before="0" w:beforeAutospacing="0" w:after="0" w:afterAutospacing="0" w:line="400" w:lineRule="exact"/>
        <w:jc w:val="both"/>
        <w:rPr>
          <w:rStyle w:val="33"/>
          <w:rFonts w:cs="宋体"/>
          <w:color w:val="auto"/>
          <w:highlight w:val="none"/>
        </w:rPr>
      </w:pPr>
    </w:p>
    <w:p w14:paraId="66DEEAEE">
      <w:pPr>
        <w:pStyle w:val="25"/>
        <w:spacing w:before="0" w:beforeAutospacing="0" w:after="0" w:afterAutospacing="0" w:line="400" w:lineRule="exact"/>
        <w:jc w:val="both"/>
        <w:rPr>
          <w:rFonts w:cs="宋体"/>
          <w:color w:val="auto"/>
          <w:highlight w:val="none"/>
        </w:rPr>
      </w:pPr>
      <w:r>
        <w:rPr>
          <w:rStyle w:val="33"/>
          <w:rFonts w:hint="eastAsia" w:cs="宋体"/>
          <w:color w:val="auto"/>
          <w:highlight w:val="none"/>
        </w:rPr>
        <w:t>六、其他补充事宜</w:t>
      </w:r>
    </w:p>
    <w:p w14:paraId="7611CD46">
      <w:pPr>
        <w:pStyle w:val="25"/>
        <w:spacing w:before="0" w:beforeAutospacing="0" w:after="0" w:afterAutospacing="0" w:line="400" w:lineRule="exact"/>
        <w:ind w:firstLine="720"/>
        <w:jc w:val="both"/>
        <w:rPr>
          <w:rFonts w:cs="宋体"/>
          <w:color w:val="auto"/>
          <w:highlight w:val="none"/>
        </w:rPr>
      </w:pPr>
      <w:r>
        <w:rPr>
          <w:rFonts w:hint="eastAsia" w:cs="宋体"/>
          <w:color w:val="auto"/>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E9B00A3">
      <w:pPr>
        <w:pStyle w:val="25"/>
        <w:spacing w:before="0" w:beforeAutospacing="0" w:after="0" w:afterAutospacing="0" w:line="400" w:lineRule="exact"/>
        <w:ind w:firstLine="720"/>
        <w:jc w:val="both"/>
        <w:rPr>
          <w:rFonts w:cs="宋体"/>
          <w:color w:val="auto"/>
          <w:highlight w:val="none"/>
        </w:rPr>
      </w:pPr>
      <w:r>
        <w:rPr>
          <w:rFonts w:hint="eastAsia"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65CD90">
      <w:pPr>
        <w:pStyle w:val="25"/>
        <w:spacing w:before="0" w:beforeAutospacing="0" w:after="0" w:afterAutospacing="0" w:line="400" w:lineRule="exact"/>
        <w:ind w:firstLine="720"/>
        <w:jc w:val="both"/>
        <w:rPr>
          <w:rFonts w:cs="宋体"/>
          <w:color w:val="auto"/>
          <w:highlight w:val="none"/>
        </w:rPr>
      </w:pPr>
      <w:r>
        <w:rPr>
          <w:rFonts w:hint="eastAsia" w:cs="宋体"/>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4C3552C">
      <w:pPr>
        <w:pStyle w:val="25"/>
        <w:wordWrap w:val="0"/>
        <w:spacing w:before="0" w:beforeAutospacing="0" w:after="0" w:afterAutospacing="0" w:line="400" w:lineRule="exact"/>
        <w:ind w:firstLine="720"/>
        <w:jc w:val="both"/>
        <w:rPr>
          <w:rFonts w:cs="宋体"/>
          <w:color w:val="auto"/>
          <w:highlight w:val="none"/>
        </w:rPr>
      </w:pPr>
      <w:r>
        <w:rPr>
          <w:rFonts w:hint="eastAsia" w:cs="宋体"/>
          <w:color w:val="auto"/>
          <w:highlight w:val="none"/>
        </w:rPr>
        <w:t>4.其他事项：</w:t>
      </w:r>
    </w:p>
    <w:p w14:paraId="62546E34">
      <w:pPr>
        <w:pStyle w:val="25"/>
        <w:wordWrap w:val="0"/>
        <w:spacing w:before="0" w:beforeAutospacing="0" w:after="0" w:afterAutospacing="0" w:line="400" w:lineRule="exact"/>
        <w:ind w:firstLine="720"/>
        <w:jc w:val="both"/>
        <w:rPr>
          <w:rFonts w:cs="宋体"/>
          <w:color w:val="auto"/>
          <w:highlight w:val="none"/>
        </w:rPr>
      </w:pPr>
      <w:r>
        <w:rPr>
          <w:rFonts w:hint="eastAsia" w:cs="宋体"/>
          <w:color w:val="auto"/>
          <w:highlight w:val="none"/>
        </w:rPr>
        <w:t>4.1执行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p>
    <w:p w14:paraId="4B48EE8F">
      <w:pPr>
        <w:pStyle w:val="25"/>
        <w:wordWrap w:val="0"/>
        <w:spacing w:before="0" w:beforeAutospacing="0" w:after="0" w:afterAutospacing="0" w:line="400" w:lineRule="exact"/>
        <w:ind w:firstLine="720"/>
        <w:jc w:val="both"/>
        <w:rPr>
          <w:rFonts w:cs="宋体"/>
          <w:color w:val="auto"/>
          <w:highlight w:val="none"/>
        </w:rPr>
      </w:pPr>
      <w:r>
        <w:rPr>
          <w:rFonts w:hint="eastAsia" w:cs="宋体"/>
          <w:color w:val="auto"/>
          <w:highlight w:val="none"/>
        </w:rPr>
        <w:t xml:space="preserve">4.2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https://help.zcygov.cn/web/site_2/2018/11-29/2452.html）。 </w:t>
      </w:r>
    </w:p>
    <w:p w14:paraId="710261D4">
      <w:pPr>
        <w:pStyle w:val="25"/>
        <w:wordWrap w:val="0"/>
        <w:spacing w:before="0" w:beforeAutospacing="0" w:after="0" w:afterAutospacing="0" w:line="400" w:lineRule="exact"/>
        <w:ind w:firstLine="720"/>
        <w:jc w:val="both"/>
        <w:rPr>
          <w:rFonts w:cs="宋体"/>
          <w:color w:val="auto"/>
          <w:highlight w:val="none"/>
        </w:rPr>
      </w:pPr>
      <w:r>
        <w:rPr>
          <w:rFonts w:hint="eastAsia" w:cs="宋体"/>
          <w:color w:val="auto"/>
          <w:highlight w:val="none"/>
        </w:rPr>
        <w:t xml:space="preserve">4.3投标文件制作：（1）按照本项目招标文件和政采云平台的要求编制、加密并递交投标文件。投标人在使用系统进行投标的过程中遇到涉及平台使用的任何问题，可致电政采云平台技术支持热线咨询，联系方式：95763。 （2）投标人通过“政采云”平台电子投标工具制作投标文件，电子投标工具请投标人自行前往浙江省政府采购网下载并安装，（下载网址：http://www.zjzfcg.gov.cn/bidClientTemplate/2019-05-27/12946.html），投标文件制作具体流程详见政采云供应商-政府采购项目电子交易操作指南。（3）投标人应于提交投标文件截止时间前将电子投标文件上传到政府采购云平台（https://www.zcygov.cn/）。开标时间后30分钟内投标人登录政府采购云平台https://www.zcygov.cn/，用“项目采购-开标评标”功能成功解密投标文件。若投标人在规定时间内无法解密或解密失败的，视为投标文件撤回。 </w:t>
      </w:r>
    </w:p>
    <w:p w14:paraId="0B3005F4">
      <w:pPr>
        <w:pStyle w:val="25"/>
        <w:wordWrap w:val="0"/>
        <w:spacing w:before="0" w:beforeAutospacing="0" w:after="0" w:afterAutospacing="0" w:line="400" w:lineRule="exact"/>
        <w:ind w:firstLine="720"/>
        <w:jc w:val="both"/>
        <w:rPr>
          <w:rFonts w:cs="宋体"/>
          <w:color w:val="auto"/>
          <w:highlight w:val="none"/>
        </w:rPr>
      </w:pPr>
      <w:r>
        <w:rPr>
          <w:rFonts w:hint="eastAsia" w:cs="宋体"/>
          <w:color w:val="auto"/>
          <w:highlight w:val="none"/>
        </w:rPr>
        <w:t>4.4本项目发布媒体：浙江政府采购网（http://zfcg.czt.zj.gov.cn/）、宁波政府采购网（http://www.nbzfcg.cn）</w:t>
      </w:r>
      <w:r>
        <w:rPr>
          <w:rFonts w:hint="eastAsia" w:cs="宋体"/>
          <w:color w:val="auto"/>
          <w:highlight w:val="none"/>
          <w:lang w:eastAsia="zh-CN"/>
        </w:rPr>
        <w:t>、宁波市公共资源交易电子服务系统（https://jyxt.zwb.ningbo.gov.cn:4011/website/home）</w:t>
      </w:r>
      <w:bookmarkStart w:id="42" w:name="_GoBack"/>
      <w:bookmarkEnd w:id="42"/>
      <w:r>
        <w:rPr>
          <w:rFonts w:hint="eastAsia" w:cs="宋体"/>
          <w:color w:val="auto"/>
          <w:highlight w:val="none"/>
        </w:rPr>
        <w:t>。投标人有义务在采购活动期间浏览上述网站，公布信息视同送达所有潜在投标人，不再采用其它方式传达相关信息，若因未能及时了解到上述网站上发布的相关信息而导致的一切后果自行承担。</w:t>
      </w:r>
    </w:p>
    <w:p w14:paraId="2C9149DC">
      <w:pPr>
        <w:pStyle w:val="25"/>
        <w:wordWrap w:val="0"/>
        <w:spacing w:before="0" w:beforeAutospacing="0" w:after="0" w:afterAutospacing="0" w:line="400" w:lineRule="exact"/>
        <w:ind w:firstLine="720"/>
        <w:jc w:val="both"/>
        <w:rPr>
          <w:rFonts w:cs="宋体"/>
          <w:color w:val="auto"/>
          <w:highlight w:val="none"/>
        </w:rPr>
      </w:pPr>
      <w:r>
        <w:rPr>
          <w:rFonts w:hint="eastAsia" w:cs="宋体"/>
          <w:color w:val="auto"/>
          <w:highlight w:val="none"/>
        </w:rPr>
        <w:t>4.5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14:paraId="695D5EC0">
      <w:pPr>
        <w:pStyle w:val="25"/>
        <w:spacing w:before="0" w:beforeAutospacing="0" w:after="0" w:afterAutospacing="0" w:line="400" w:lineRule="exact"/>
        <w:jc w:val="both"/>
        <w:rPr>
          <w:rStyle w:val="33"/>
          <w:rFonts w:cs="宋体"/>
          <w:color w:val="auto"/>
          <w:highlight w:val="none"/>
        </w:rPr>
      </w:pPr>
    </w:p>
    <w:p w14:paraId="1C450573">
      <w:pPr>
        <w:pStyle w:val="25"/>
        <w:spacing w:before="0" w:beforeAutospacing="0" w:after="0" w:afterAutospacing="0" w:line="400" w:lineRule="exact"/>
        <w:jc w:val="both"/>
        <w:rPr>
          <w:rFonts w:cs="宋体"/>
          <w:color w:val="auto"/>
          <w:highlight w:val="none"/>
        </w:rPr>
      </w:pPr>
      <w:r>
        <w:rPr>
          <w:rStyle w:val="33"/>
          <w:rFonts w:hint="eastAsia" w:cs="宋体"/>
          <w:color w:val="auto"/>
          <w:highlight w:val="none"/>
        </w:rPr>
        <w:t>七、对本次采购提出询问、质疑、投诉，请按以下方式联系</w:t>
      </w:r>
    </w:p>
    <w:p w14:paraId="767DA6F6">
      <w:pPr>
        <w:pStyle w:val="25"/>
        <w:spacing w:before="0" w:beforeAutospacing="0" w:after="0" w:afterAutospacing="0" w:line="400" w:lineRule="exact"/>
        <w:rPr>
          <w:rFonts w:cs="宋体"/>
          <w:color w:val="auto"/>
          <w:highlight w:val="none"/>
        </w:rPr>
      </w:pPr>
      <w:r>
        <w:rPr>
          <w:rFonts w:hint="eastAsia" w:cs="宋体"/>
          <w:color w:val="auto"/>
          <w:highlight w:val="none"/>
        </w:rPr>
        <w:t>    1.采购人信息</w:t>
      </w:r>
    </w:p>
    <w:p w14:paraId="37FC4BA6">
      <w:pPr>
        <w:pStyle w:val="25"/>
        <w:spacing w:before="75" w:beforeAutospacing="0" w:after="75" w:afterAutospacing="0" w:line="320" w:lineRule="exact"/>
        <w:rPr>
          <w:rFonts w:cs="宋体"/>
          <w:color w:val="auto"/>
          <w:highlight w:val="none"/>
        </w:rPr>
      </w:pPr>
      <w:r>
        <w:rPr>
          <w:rFonts w:hint="eastAsia" w:cs="宋体"/>
          <w:color w:val="auto"/>
          <w:highlight w:val="none"/>
        </w:rPr>
        <w:t>    名  称：宁波大学附属人民医院（宁波市鄞州人民医院医共体总院，宁波市鄞州人民医院）</w:t>
      </w:r>
    </w:p>
    <w:p w14:paraId="043E5C11">
      <w:pPr>
        <w:pStyle w:val="25"/>
        <w:spacing w:before="75" w:beforeAutospacing="0" w:after="75" w:afterAutospacing="0" w:line="320" w:lineRule="exact"/>
        <w:rPr>
          <w:rFonts w:cs="宋体"/>
          <w:color w:val="auto"/>
          <w:highlight w:val="none"/>
        </w:rPr>
      </w:pPr>
      <w:r>
        <w:rPr>
          <w:rFonts w:hint="eastAsia" w:cs="宋体"/>
          <w:color w:val="auto"/>
          <w:highlight w:val="none"/>
        </w:rPr>
        <w:t>    地  址：宁波市鄞州区百丈东路251号</w:t>
      </w:r>
    </w:p>
    <w:p w14:paraId="3CBD62E7">
      <w:pPr>
        <w:pStyle w:val="25"/>
        <w:spacing w:before="75" w:beforeAutospacing="0" w:after="75" w:afterAutospacing="0" w:line="320" w:lineRule="exact"/>
        <w:rPr>
          <w:rFonts w:cs="宋体"/>
          <w:color w:val="auto"/>
          <w:highlight w:val="none"/>
        </w:rPr>
      </w:pPr>
      <w:r>
        <w:rPr>
          <w:rFonts w:hint="eastAsia" w:cs="宋体"/>
          <w:color w:val="auto"/>
          <w:highlight w:val="none"/>
        </w:rPr>
        <w:t>    传  真：/  </w:t>
      </w:r>
    </w:p>
    <w:p w14:paraId="0FDDE02A">
      <w:pPr>
        <w:pStyle w:val="25"/>
        <w:spacing w:before="75" w:beforeAutospacing="0" w:after="75" w:afterAutospacing="0" w:line="320" w:lineRule="exact"/>
        <w:rPr>
          <w:rFonts w:cs="宋体"/>
          <w:color w:val="auto"/>
          <w:highlight w:val="none"/>
        </w:rPr>
      </w:pPr>
      <w:r>
        <w:rPr>
          <w:rFonts w:hint="eastAsia" w:cs="宋体"/>
          <w:color w:val="auto"/>
          <w:highlight w:val="none"/>
        </w:rPr>
        <w:t xml:space="preserve">     项目联系人（询问）：蔡老师   </w:t>
      </w:r>
    </w:p>
    <w:p w14:paraId="67923C73">
      <w:pPr>
        <w:pStyle w:val="25"/>
        <w:spacing w:before="75" w:beforeAutospacing="0" w:after="75" w:afterAutospacing="0" w:line="320" w:lineRule="exact"/>
        <w:rPr>
          <w:rFonts w:cs="宋体"/>
          <w:color w:val="auto"/>
          <w:highlight w:val="none"/>
        </w:rPr>
      </w:pPr>
      <w:r>
        <w:rPr>
          <w:rFonts w:hint="eastAsia" w:cs="宋体"/>
          <w:color w:val="auto"/>
          <w:highlight w:val="none"/>
        </w:rPr>
        <w:t>    项目联系方式（询问）：0574-87016979</w:t>
      </w:r>
    </w:p>
    <w:p w14:paraId="5593CEE3">
      <w:pPr>
        <w:pStyle w:val="25"/>
        <w:spacing w:before="75" w:beforeAutospacing="0" w:after="75" w:afterAutospacing="0" w:line="320" w:lineRule="exact"/>
        <w:rPr>
          <w:rFonts w:cs="宋体"/>
          <w:color w:val="auto"/>
          <w:highlight w:val="none"/>
        </w:rPr>
      </w:pPr>
      <w:r>
        <w:rPr>
          <w:rFonts w:hint="eastAsia" w:cs="宋体"/>
          <w:color w:val="auto"/>
          <w:highlight w:val="none"/>
        </w:rPr>
        <w:t>    质疑联系人：肖老师    </w:t>
      </w:r>
    </w:p>
    <w:p w14:paraId="7FC54A2F">
      <w:pPr>
        <w:pStyle w:val="25"/>
        <w:spacing w:before="0" w:beforeAutospacing="0" w:after="0" w:afterAutospacing="0" w:line="400" w:lineRule="exact"/>
        <w:rPr>
          <w:rFonts w:cs="宋体"/>
          <w:color w:val="auto"/>
          <w:highlight w:val="none"/>
        </w:rPr>
      </w:pPr>
      <w:r>
        <w:rPr>
          <w:rFonts w:hint="eastAsia" w:cs="宋体"/>
          <w:color w:val="auto"/>
          <w:highlight w:val="none"/>
        </w:rPr>
        <w:t>    质疑联系方式：0574-87016979   </w:t>
      </w:r>
    </w:p>
    <w:p w14:paraId="3EC37485">
      <w:pPr>
        <w:pStyle w:val="25"/>
        <w:spacing w:before="75" w:beforeAutospacing="0" w:after="75" w:afterAutospacing="0" w:line="320" w:lineRule="exact"/>
        <w:rPr>
          <w:rFonts w:cs="宋体"/>
          <w:color w:val="auto"/>
          <w:highlight w:val="none"/>
        </w:rPr>
      </w:pPr>
      <w:r>
        <w:rPr>
          <w:rFonts w:hint="eastAsia" w:cs="宋体"/>
          <w:color w:val="auto"/>
          <w:highlight w:val="none"/>
        </w:rPr>
        <w:t>    </w:t>
      </w:r>
    </w:p>
    <w:p w14:paraId="1A3B56EC">
      <w:pPr>
        <w:pStyle w:val="25"/>
        <w:spacing w:before="0" w:beforeAutospacing="0" w:after="0" w:afterAutospacing="0" w:line="400" w:lineRule="exact"/>
        <w:rPr>
          <w:rFonts w:cs="宋体"/>
          <w:color w:val="auto"/>
          <w:highlight w:val="none"/>
        </w:rPr>
      </w:pPr>
      <w:r>
        <w:rPr>
          <w:rFonts w:hint="eastAsia" w:cs="宋体"/>
          <w:color w:val="auto"/>
          <w:highlight w:val="none"/>
        </w:rPr>
        <w:t>    2.采购代理机构信息</w:t>
      </w:r>
    </w:p>
    <w:p w14:paraId="303D44B1">
      <w:pPr>
        <w:pStyle w:val="25"/>
        <w:spacing w:before="0" w:beforeAutospacing="0" w:after="0" w:afterAutospacing="0" w:line="400" w:lineRule="exact"/>
        <w:rPr>
          <w:rFonts w:cs="宋体"/>
          <w:color w:val="auto"/>
          <w:highlight w:val="none"/>
        </w:rPr>
      </w:pPr>
      <w:r>
        <w:rPr>
          <w:rFonts w:hint="eastAsia" w:cs="宋体"/>
          <w:color w:val="auto"/>
          <w:highlight w:val="none"/>
        </w:rPr>
        <w:t>    名  称：宁波名诚招标代理有限公司</w:t>
      </w:r>
    </w:p>
    <w:p w14:paraId="4586EE4F">
      <w:pPr>
        <w:pStyle w:val="25"/>
        <w:spacing w:before="0" w:beforeAutospacing="0" w:after="0" w:afterAutospacing="0" w:line="400" w:lineRule="exact"/>
        <w:ind w:firstLine="720"/>
        <w:rPr>
          <w:rFonts w:cs="宋体"/>
          <w:color w:val="auto"/>
          <w:spacing w:val="-17"/>
          <w:highlight w:val="none"/>
        </w:rPr>
      </w:pPr>
      <w:r>
        <w:rPr>
          <w:rFonts w:hint="eastAsia" w:cs="宋体"/>
          <w:color w:val="auto"/>
          <w:highlight w:val="none"/>
        </w:rPr>
        <w:t>地  址：宁波市海曙区江汇城496号姚江时代14幢3楼</w:t>
      </w:r>
    </w:p>
    <w:p w14:paraId="00F320A3">
      <w:pPr>
        <w:pStyle w:val="25"/>
        <w:spacing w:before="0" w:beforeAutospacing="0" w:after="0" w:afterAutospacing="0" w:line="400" w:lineRule="exact"/>
        <w:rPr>
          <w:rFonts w:cs="宋体"/>
          <w:color w:val="auto"/>
          <w:highlight w:val="none"/>
        </w:rPr>
      </w:pPr>
      <w:r>
        <w:rPr>
          <w:rFonts w:hint="eastAsia" w:cs="宋体"/>
          <w:color w:val="auto"/>
          <w:highlight w:val="none"/>
        </w:rPr>
        <w:t>    传  真：/</w:t>
      </w:r>
    </w:p>
    <w:p w14:paraId="1D22F78D">
      <w:pPr>
        <w:pStyle w:val="25"/>
        <w:spacing w:before="0" w:beforeAutospacing="0" w:after="0" w:afterAutospacing="0" w:line="400" w:lineRule="exact"/>
        <w:rPr>
          <w:rFonts w:cs="宋体"/>
          <w:color w:val="auto"/>
          <w:highlight w:val="none"/>
        </w:rPr>
      </w:pPr>
      <w:r>
        <w:rPr>
          <w:rFonts w:hint="eastAsia" w:cs="宋体"/>
          <w:color w:val="auto"/>
          <w:highlight w:val="none"/>
        </w:rPr>
        <w:t>    项目联系人（询问）：史涛、陈一浩、陈燕</w:t>
      </w:r>
    </w:p>
    <w:p w14:paraId="7E0B090E">
      <w:pPr>
        <w:pStyle w:val="25"/>
        <w:spacing w:before="0" w:beforeAutospacing="0" w:after="0" w:afterAutospacing="0" w:line="400" w:lineRule="exact"/>
        <w:rPr>
          <w:rFonts w:cs="宋体"/>
          <w:color w:val="auto"/>
          <w:highlight w:val="none"/>
        </w:rPr>
      </w:pPr>
      <w:r>
        <w:rPr>
          <w:rFonts w:hint="eastAsia" w:cs="宋体"/>
          <w:color w:val="auto"/>
          <w:highlight w:val="none"/>
        </w:rPr>
        <w:t>    项目联系方式（询问）：0574-87101283</w:t>
      </w:r>
    </w:p>
    <w:p w14:paraId="53B4E337">
      <w:pPr>
        <w:pStyle w:val="25"/>
        <w:spacing w:before="0" w:beforeAutospacing="0" w:after="0" w:afterAutospacing="0" w:line="400" w:lineRule="exact"/>
        <w:rPr>
          <w:rFonts w:cs="宋体"/>
          <w:color w:val="auto"/>
          <w:highlight w:val="none"/>
        </w:rPr>
      </w:pPr>
      <w:r>
        <w:rPr>
          <w:rFonts w:hint="eastAsia" w:cs="宋体"/>
          <w:color w:val="auto"/>
          <w:highlight w:val="none"/>
        </w:rPr>
        <w:t>    质疑联系人：方芳</w:t>
      </w:r>
    </w:p>
    <w:p w14:paraId="58D31ED6">
      <w:pPr>
        <w:pStyle w:val="25"/>
        <w:spacing w:before="0" w:beforeAutospacing="0" w:after="0" w:afterAutospacing="0" w:line="400" w:lineRule="exact"/>
        <w:rPr>
          <w:rFonts w:cs="宋体"/>
          <w:color w:val="auto"/>
          <w:highlight w:val="none"/>
        </w:rPr>
      </w:pPr>
      <w:r>
        <w:rPr>
          <w:rFonts w:hint="eastAsia" w:cs="宋体"/>
          <w:color w:val="auto"/>
          <w:highlight w:val="none"/>
        </w:rPr>
        <w:t>    质疑联系方式：13968311598</w:t>
      </w:r>
    </w:p>
    <w:p w14:paraId="72E8BCBF">
      <w:pPr>
        <w:pStyle w:val="25"/>
        <w:spacing w:before="0" w:beforeAutospacing="0" w:after="0" w:afterAutospacing="0" w:line="400" w:lineRule="exact"/>
        <w:rPr>
          <w:rFonts w:cs="宋体"/>
          <w:color w:val="auto"/>
          <w:highlight w:val="none"/>
        </w:rPr>
      </w:pPr>
      <w:r>
        <w:rPr>
          <w:rFonts w:hint="eastAsia" w:cs="宋体"/>
          <w:color w:val="auto"/>
          <w:highlight w:val="none"/>
        </w:rPr>
        <w:t>    </w:t>
      </w:r>
    </w:p>
    <w:p w14:paraId="1E773947">
      <w:pPr>
        <w:pStyle w:val="25"/>
        <w:spacing w:before="0" w:beforeAutospacing="0" w:after="0" w:afterAutospacing="0" w:line="400" w:lineRule="exact"/>
        <w:rPr>
          <w:rFonts w:cs="宋体"/>
          <w:color w:val="auto"/>
          <w:highlight w:val="none"/>
        </w:rPr>
      </w:pPr>
      <w:r>
        <w:rPr>
          <w:rFonts w:hint="eastAsia" w:cs="宋体"/>
          <w:color w:val="auto"/>
          <w:highlight w:val="none"/>
        </w:rPr>
        <w:t>    3.同级政府采购监督管理部门</w:t>
      </w:r>
    </w:p>
    <w:p w14:paraId="5CF3CA8C">
      <w:pPr>
        <w:pStyle w:val="25"/>
        <w:spacing w:before="0" w:beforeAutospacing="0" w:after="0" w:afterAutospacing="0" w:line="400" w:lineRule="exact"/>
        <w:rPr>
          <w:rFonts w:cs="宋体"/>
          <w:color w:val="auto"/>
          <w:highlight w:val="none"/>
        </w:rPr>
      </w:pPr>
      <w:r>
        <w:rPr>
          <w:rFonts w:hint="eastAsia" w:cs="宋体"/>
          <w:color w:val="auto"/>
          <w:highlight w:val="none"/>
        </w:rPr>
        <w:t>    名  称：宁波市鄞州区政府采购管理办公室</w:t>
      </w:r>
    </w:p>
    <w:p w14:paraId="4970A222">
      <w:pPr>
        <w:pStyle w:val="25"/>
        <w:spacing w:before="0" w:beforeAutospacing="0" w:after="0" w:afterAutospacing="0" w:line="400" w:lineRule="exact"/>
        <w:rPr>
          <w:rFonts w:cs="宋体"/>
          <w:color w:val="auto"/>
          <w:highlight w:val="none"/>
        </w:rPr>
      </w:pPr>
      <w:r>
        <w:rPr>
          <w:rFonts w:hint="eastAsia" w:cs="宋体"/>
          <w:color w:val="auto"/>
          <w:highlight w:val="none"/>
        </w:rPr>
        <w:t>    地  址：宁波市鄞州区民惠东路16号</w:t>
      </w:r>
    </w:p>
    <w:p w14:paraId="2C6082BE">
      <w:pPr>
        <w:pStyle w:val="25"/>
        <w:spacing w:before="0" w:beforeAutospacing="0" w:after="0" w:afterAutospacing="0" w:line="400" w:lineRule="exact"/>
        <w:rPr>
          <w:rFonts w:cs="宋体"/>
          <w:color w:val="auto"/>
          <w:highlight w:val="none"/>
        </w:rPr>
      </w:pPr>
      <w:r>
        <w:rPr>
          <w:rFonts w:hint="eastAsia" w:cs="宋体"/>
          <w:color w:val="auto"/>
          <w:highlight w:val="none"/>
        </w:rPr>
        <w:t>    传  真：/</w:t>
      </w:r>
    </w:p>
    <w:p w14:paraId="3E231339">
      <w:pPr>
        <w:pStyle w:val="25"/>
        <w:spacing w:before="0" w:beforeAutospacing="0" w:after="0" w:afterAutospacing="0" w:line="400" w:lineRule="exact"/>
        <w:rPr>
          <w:rFonts w:cs="宋体"/>
          <w:color w:val="auto"/>
          <w:highlight w:val="none"/>
        </w:rPr>
      </w:pPr>
      <w:r>
        <w:rPr>
          <w:rFonts w:hint="eastAsia" w:cs="宋体"/>
          <w:color w:val="auto"/>
          <w:highlight w:val="none"/>
        </w:rPr>
        <w:t>    联系人 ：郑老师</w:t>
      </w:r>
    </w:p>
    <w:p w14:paraId="5CA954B2">
      <w:pPr>
        <w:pStyle w:val="25"/>
        <w:spacing w:before="0" w:beforeAutospacing="0" w:after="0" w:afterAutospacing="0" w:line="400" w:lineRule="exact"/>
        <w:rPr>
          <w:rFonts w:cs="宋体"/>
          <w:color w:val="auto"/>
          <w:highlight w:val="none"/>
        </w:rPr>
      </w:pPr>
      <w:r>
        <w:rPr>
          <w:rFonts w:hint="eastAsia" w:cs="宋体"/>
          <w:color w:val="auto"/>
          <w:highlight w:val="none"/>
        </w:rPr>
        <w:t>    监督投诉电话：0574-89295894</w:t>
      </w:r>
    </w:p>
    <w:p w14:paraId="42A8F24B">
      <w:pPr>
        <w:widowControl/>
        <w:spacing w:line="400" w:lineRule="exact"/>
        <w:rPr>
          <w:rFonts w:ascii="宋体" w:hAnsi="宋体" w:cs="宋体"/>
          <w:color w:val="auto"/>
          <w:kern w:val="0"/>
          <w:sz w:val="24"/>
          <w:szCs w:val="24"/>
          <w:highlight w:val="none"/>
        </w:rPr>
      </w:pPr>
    </w:p>
    <w:p w14:paraId="4A525C4A">
      <w:pPr>
        <w:widowControl/>
        <w:spacing w:line="400" w:lineRule="exact"/>
        <w:rPr>
          <w:rFonts w:ascii="宋体" w:hAnsi="宋体" w:cs="宋体"/>
          <w:color w:val="auto"/>
          <w:sz w:val="24"/>
          <w:szCs w:val="24"/>
          <w:highlight w:val="none"/>
        </w:rPr>
      </w:pPr>
      <w:r>
        <w:rPr>
          <w:rFonts w:hint="eastAsia" w:ascii="宋体" w:hAnsi="宋体" w:cs="宋体"/>
          <w:color w:val="auto"/>
          <w:kern w:val="0"/>
          <w:sz w:val="24"/>
          <w:szCs w:val="24"/>
          <w:highlight w:val="none"/>
        </w:rPr>
        <w:t>若对项目采购电子交易系统操作有疑问，可登录政采云（https://www.zcygov.cn/），点击右侧咨询小采，获取采小蜜智能服务管家帮助，或拨打政采云服务热线95763获取热线服务帮助。       </w:t>
      </w:r>
    </w:p>
    <w:p w14:paraId="272041C5">
      <w:pPr>
        <w:widowControl/>
        <w:spacing w:line="400" w:lineRule="exact"/>
        <w:rPr>
          <w:rFonts w:ascii="宋体" w:hAnsi="宋体" w:cs="宋体"/>
          <w:color w:val="auto"/>
          <w:sz w:val="24"/>
          <w:szCs w:val="24"/>
          <w:highlight w:val="none"/>
        </w:rPr>
      </w:pPr>
      <w:r>
        <w:rPr>
          <w:rFonts w:hint="eastAsia" w:ascii="宋体" w:hAnsi="宋体" w:cs="宋体"/>
          <w:color w:val="auto"/>
          <w:kern w:val="0"/>
          <w:sz w:val="24"/>
          <w:szCs w:val="24"/>
          <w:highlight w:val="none"/>
        </w:rPr>
        <w:t>CA问题联系电话（人工）：汇信CA 400-888-4636；天谷CA 400-087-8198。</w:t>
      </w:r>
    </w:p>
    <w:p w14:paraId="483612A7">
      <w:pPr>
        <w:pStyle w:val="25"/>
        <w:spacing w:before="0" w:beforeAutospacing="0" w:after="0" w:afterAutospacing="0" w:line="400" w:lineRule="exact"/>
        <w:ind w:firstLine="330"/>
        <w:jc w:val="both"/>
        <w:rPr>
          <w:rFonts w:cs="宋体"/>
          <w:color w:val="auto"/>
          <w:highlight w:val="none"/>
        </w:rPr>
      </w:pPr>
    </w:p>
    <w:p w14:paraId="395431B6">
      <w:pPr>
        <w:spacing w:line="400" w:lineRule="exact"/>
        <w:ind w:firstLine="4080" w:firstLineChars="1700"/>
        <w:rPr>
          <w:rFonts w:ascii="宋体" w:hAnsi="宋体" w:cs="宋体"/>
          <w:color w:val="auto"/>
          <w:sz w:val="24"/>
          <w:szCs w:val="24"/>
          <w:highlight w:val="none"/>
        </w:rPr>
      </w:pPr>
    </w:p>
    <w:p w14:paraId="3456EE69">
      <w:pPr>
        <w:spacing w:line="400" w:lineRule="exact"/>
        <w:jc w:val="right"/>
        <w:rPr>
          <w:rFonts w:ascii="宋体" w:hAnsi="宋体" w:cs="宋体"/>
          <w:color w:val="auto"/>
          <w:sz w:val="24"/>
          <w:szCs w:val="24"/>
          <w:highlight w:val="none"/>
        </w:rPr>
      </w:pPr>
      <w:r>
        <w:rPr>
          <w:rFonts w:hint="eastAsia" w:ascii="宋体" w:hAnsi="宋体" w:cs="宋体"/>
          <w:color w:val="auto"/>
          <w:sz w:val="24"/>
          <w:szCs w:val="24"/>
          <w:highlight w:val="none"/>
        </w:rPr>
        <w:t>发布日期：2025年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日</w:t>
      </w:r>
    </w:p>
    <w:p w14:paraId="26BD1F14">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3C88F763">
      <w:pPr>
        <w:jc w:val="center"/>
        <w:outlineLvl w:val="0"/>
        <w:rPr>
          <w:b/>
          <w:color w:val="auto"/>
          <w:sz w:val="36"/>
          <w:szCs w:val="36"/>
          <w:highlight w:val="none"/>
        </w:rPr>
      </w:pPr>
      <w:bookmarkStart w:id="2" w:name="_Toc17836"/>
      <w:r>
        <w:rPr>
          <w:b/>
          <w:color w:val="auto"/>
          <w:sz w:val="36"/>
          <w:szCs w:val="36"/>
          <w:highlight w:val="none"/>
        </w:rPr>
        <w:t>第</w:t>
      </w:r>
      <w:r>
        <w:rPr>
          <w:rFonts w:hint="eastAsia"/>
          <w:b/>
          <w:color w:val="auto"/>
          <w:sz w:val="36"/>
          <w:szCs w:val="36"/>
          <w:highlight w:val="none"/>
        </w:rPr>
        <w:t>二</w:t>
      </w:r>
      <w:r>
        <w:rPr>
          <w:b/>
          <w:color w:val="auto"/>
          <w:sz w:val="36"/>
          <w:szCs w:val="36"/>
          <w:highlight w:val="none"/>
        </w:rPr>
        <w:t xml:space="preserve">部分  </w:t>
      </w:r>
      <w:r>
        <w:rPr>
          <w:rFonts w:hint="eastAsia"/>
          <w:b/>
          <w:color w:val="auto"/>
          <w:sz w:val="36"/>
          <w:szCs w:val="36"/>
          <w:highlight w:val="none"/>
        </w:rPr>
        <w:t>项目要求</w:t>
      </w:r>
      <w:bookmarkEnd w:id="2"/>
    </w:p>
    <w:p w14:paraId="3BBA0467">
      <w:pPr>
        <w:pStyle w:val="40"/>
        <w:rPr>
          <w:rFonts w:cs="宋体"/>
          <w:color w:val="auto"/>
          <w:szCs w:val="21"/>
          <w:highlight w:val="none"/>
          <w:lang w:val="en-US"/>
        </w:rPr>
      </w:pPr>
    </w:p>
    <w:p w14:paraId="5794C4F0">
      <w:pPr>
        <w:keepNext/>
        <w:keepLines/>
        <w:spacing w:beforeLines="50" w:afterLines="50" w:line="380" w:lineRule="exact"/>
        <w:outlineLvl w:val="0"/>
        <w:rPr>
          <w:rFonts w:ascii="Calibri" w:hAnsi="Calibri"/>
          <w:b/>
          <w:color w:val="auto"/>
          <w:kern w:val="44"/>
          <w:sz w:val="24"/>
          <w:szCs w:val="24"/>
          <w:highlight w:val="none"/>
        </w:rPr>
      </w:pPr>
      <w:r>
        <w:rPr>
          <w:rFonts w:hint="eastAsia" w:ascii="Calibri" w:hAnsi="Calibri"/>
          <w:b/>
          <w:color w:val="auto"/>
          <w:kern w:val="44"/>
          <w:sz w:val="24"/>
          <w:szCs w:val="24"/>
          <w:highlight w:val="none"/>
        </w:rPr>
        <w:t>一、招标项目清单</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253"/>
        <w:gridCol w:w="1293"/>
        <w:gridCol w:w="1355"/>
        <w:gridCol w:w="1324"/>
      </w:tblGrid>
      <w:tr w14:paraId="770D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88" w:type="pct"/>
            <w:noWrap/>
            <w:vAlign w:val="center"/>
          </w:tcPr>
          <w:p w14:paraId="0CAD7A3E">
            <w:pPr>
              <w:widowControl/>
              <w:ind w:left="-105" w:leftChars="-50" w:right="-105" w:rightChars="-50"/>
              <w:jc w:val="center"/>
              <w:rPr>
                <w:b/>
                <w:bCs/>
                <w:color w:val="auto"/>
                <w:kern w:val="0"/>
                <w:sz w:val="24"/>
                <w:szCs w:val="24"/>
                <w:highlight w:val="none"/>
              </w:rPr>
            </w:pPr>
            <w:bookmarkStart w:id="3" w:name="_Toc53913291"/>
            <w:r>
              <w:rPr>
                <w:rFonts w:hint="eastAsia"/>
                <w:b/>
                <w:bCs/>
                <w:color w:val="auto"/>
                <w:kern w:val="0"/>
                <w:sz w:val="24"/>
                <w:szCs w:val="24"/>
                <w:highlight w:val="none"/>
              </w:rPr>
              <w:t>标项</w:t>
            </w:r>
          </w:p>
        </w:tc>
        <w:tc>
          <w:tcPr>
            <w:tcW w:w="2332" w:type="pct"/>
            <w:noWrap/>
            <w:vAlign w:val="center"/>
          </w:tcPr>
          <w:p w14:paraId="6632559E">
            <w:pPr>
              <w:widowControl/>
              <w:jc w:val="center"/>
              <w:rPr>
                <w:color w:val="auto"/>
                <w:kern w:val="0"/>
                <w:sz w:val="24"/>
                <w:szCs w:val="24"/>
                <w:highlight w:val="none"/>
              </w:rPr>
            </w:pPr>
            <w:r>
              <w:rPr>
                <w:b/>
                <w:bCs/>
                <w:color w:val="auto"/>
                <w:kern w:val="0"/>
                <w:sz w:val="24"/>
                <w:szCs w:val="24"/>
                <w:highlight w:val="none"/>
              </w:rPr>
              <w:t>设备名称</w:t>
            </w:r>
          </w:p>
        </w:tc>
        <w:tc>
          <w:tcPr>
            <w:tcW w:w="709" w:type="pct"/>
            <w:noWrap/>
            <w:vAlign w:val="center"/>
          </w:tcPr>
          <w:p w14:paraId="40C64766">
            <w:pPr>
              <w:widowControl/>
              <w:jc w:val="center"/>
              <w:rPr>
                <w:b/>
                <w:color w:val="auto"/>
                <w:kern w:val="0"/>
                <w:sz w:val="24"/>
                <w:szCs w:val="24"/>
                <w:highlight w:val="none"/>
              </w:rPr>
            </w:pPr>
            <w:r>
              <w:rPr>
                <w:b/>
                <w:bCs/>
                <w:color w:val="auto"/>
                <w:kern w:val="0"/>
                <w:sz w:val="24"/>
                <w:szCs w:val="24"/>
                <w:highlight w:val="none"/>
              </w:rPr>
              <w:t>数量</w:t>
            </w:r>
          </w:p>
        </w:tc>
        <w:tc>
          <w:tcPr>
            <w:tcW w:w="743" w:type="pct"/>
            <w:noWrap/>
            <w:vAlign w:val="center"/>
          </w:tcPr>
          <w:p w14:paraId="3A14F3A8">
            <w:pPr>
              <w:widowControl/>
              <w:jc w:val="center"/>
              <w:rPr>
                <w:b/>
                <w:bCs/>
                <w:color w:val="auto"/>
                <w:kern w:val="0"/>
                <w:sz w:val="24"/>
                <w:szCs w:val="24"/>
                <w:highlight w:val="none"/>
              </w:rPr>
            </w:pPr>
            <w:r>
              <w:rPr>
                <w:b/>
                <w:bCs/>
                <w:color w:val="auto"/>
                <w:kern w:val="0"/>
                <w:sz w:val="24"/>
                <w:szCs w:val="24"/>
                <w:highlight w:val="none"/>
              </w:rPr>
              <w:t>采购预算</w:t>
            </w:r>
          </w:p>
        </w:tc>
        <w:tc>
          <w:tcPr>
            <w:tcW w:w="726" w:type="pct"/>
            <w:noWrap/>
            <w:vAlign w:val="center"/>
          </w:tcPr>
          <w:p w14:paraId="02E3B3C8">
            <w:pPr>
              <w:widowControl/>
              <w:jc w:val="center"/>
              <w:rPr>
                <w:b/>
                <w:bCs/>
                <w:color w:val="auto"/>
                <w:kern w:val="0"/>
                <w:sz w:val="24"/>
                <w:szCs w:val="24"/>
                <w:highlight w:val="none"/>
              </w:rPr>
            </w:pPr>
            <w:r>
              <w:rPr>
                <w:b/>
                <w:bCs/>
                <w:color w:val="auto"/>
                <w:kern w:val="0"/>
                <w:sz w:val="24"/>
                <w:szCs w:val="24"/>
                <w:highlight w:val="none"/>
              </w:rPr>
              <w:t>最高限价</w:t>
            </w:r>
          </w:p>
        </w:tc>
      </w:tr>
      <w:tr w14:paraId="44AE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88" w:type="pct"/>
            <w:noWrap/>
            <w:vAlign w:val="center"/>
          </w:tcPr>
          <w:p w14:paraId="34213327">
            <w:pPr>
              <w:widowControl/>
              <w:jc w:val="center"/>
              <w:rPr>
                <w:bCs/>
                <w:color w:val="auto"/>
                <w:kern w:val="0"/>
                <w:sz w:val="24"/>
                <w:szCs w:val="24"/>
                <w:highlight w:val="none"/>
              </w:rPr>
            </w:pPr>
            <w:r>
              <w:rPr>
                <w:rFonts w:hint="eastAsia"/>
                <w:bCs/>
                <w:color w:val="auto"/>
                <w:kern w:val="0"/>
                <w:sz w:val="24"/>
                <w:szCs w:val="24"/>
                <w:highlight w:val="none"/>
              </w:rPr>
              <w:t>一</w:t>
            </w:r>
          </w:p>
        </w:tc>
        <w:tc>
          <w:tcPr>
            <w:tcW w:w="2332" w:type="pct"/>
            <w:noWrap/>
            <w:vAlign w:val="center"/>
          </w:tcPr>
          <w:p w14:paraId="09CED800">
            <w:pPr>
              <w:widowControl/>
              <w:jc w:val="center"/>
              <w:rPr>
                <w:bCs/>
                <w:color w:val="auto"/>
                <w:kern w:val="0"/>
                <w:sz w:val="24"/>
                <w:szCs w:val="24"/>
                <w:highlight w:val="none"/>
              </w:rPr>
            </w:pPr>
            <w:r>
              <w:rPr>
                <w:rFonts w:hint="eastAsia"/>
                <w:bCs/>
                <w:color w:val="auto"/>
                <w:kern w:val="0"/>
                <w:sz w:val="24"/>
                <w:szCs w:val="24"/>
                <w:highlight w:val="none"/>
              </w:rPr>
              <w:t>无创肝纤维化和脂肪变量化检测系统</w:t>
            </w:r>
          </w:p>
        </w:tc>
        <w:tc>
          <w:tcPr>
            <w:tcW w:w="709" w:type="pct"/>
            <w:noWrap/>
            <w:vAlign w:val="center"/>
          </w:tcPr>
          <w:p w14:paraId="1684A3C8">
            <w:pPr>
              <w:widowControl/>
              <w:jc w:val="center"/>
              <w:rPr>
                <w:bCs/>
                <w:color w:val="auto"/>
                <w:kern w:val="0"/>
                <w:sz w:val="24"/>
                <w:szCs w:val="24"/>
                <w:highlight w:val="none"/>
              </w:rPr>
            </w:pPr>
            <w:r>
              <w:rPr>
                <w:rFonts w:hint="eastAsia"/>
                <w:bCs/>
                <w:color w:val="auto"/>
                <w:kern w:val="0"/>
                <w:sz w:val="24"/>
                <w:szCs w:val="24"/>
                <w:highlight w:val="none"/>
              </w:rPr>
              <w:t>1套</w:t>
            </w:r>
          </w:p>
        </w:tc>
        <w:tc>
          <w:tcPr>
            <w:tcW w:w="743" w:type="pct"/>
            <w:noWrap/>
            <w:vAlign w:val="center"/>
          </w:tcPr>
          <w:p w14:paraId="7F8D8DEA">
            <w:pPr>
              <w:widowControl/>
              <w:jc w:val="center"/>
              <w:rPr>
                <w:bCs/>
                <w:color w:val="auto"/>
                <w:kern w:val="0"/>
                <w:sz w:val="24"/>
                <w:szCs w:val="24"/>
                <w:highlight w:val="none"/>
              </w:rPr>
            </w:pPr>
            <w:r>
              <w:rPr>
                <w:rFonts w:hint="eastAsia"/>
                <w:bCs/>
                <w:color w:val="auto"/>
                <w:kern w:val="0"/>
                <w:sz w:val="24"/>
                <w:szCs w:val="24"/>
                <w:highlight w:val="none"/>
              </w:rPr>
              <w:t>80万元</w:t>
            </w:r>
          </w:p>
        </w:tc>
        <w:tc>
          <w:tcPr>
            <w:tcW w:w="726" w:type="pct"/>
            <w:noWrap/>
            <w:vAlign w:val="center"/>
          </w:tcPr>
          <w:p w14:paraId="28043AE0">
            <w:pPr>
              <w:widowControl/>
              <w:jc w:val="center"/>
              <w:rPr>
                <w:bCs/>
                <w:color w:val="auto"/>
                <w:kern w:val="0"/>
                <w:sz w:val="24"/>
                <w:szCs w:val="24"/>
                <w:highlight w:val="none"/>
              </w:rPr>
            </w:pPr>
            <w:r>
              <w:rPr>
                <w:rFonts w:hint="eastAsia"/>
                <w:bCs/>
                <w:color w:val="auto"/>
                <w:kern w:val="0"/>
                <w:sz w:val="24"/>
                <w:szCs w:val="24"/>
                <w:highlight w:val="none"/>
              </w:rPr>
              <w:t>80万元</w:t>
            </w:r>
          </w:p>
        </w:tc>
      </w:tr>
      <w:tr w14:paraId="0696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88" w:type="pct"/>
            <w:noWrap/>
            <w:vAlign w:val="center"/>
          </w:tcPr>
          <w:p w14:paraId="051EC5B3">
            <w:pPr>
              <w:widowControl/>
              <w:jc w:val="center"/>
              <w:rPr>
                <w:bCs/>
                <w:color w:val="auto"/>
                <w:kern w:val="0"/>
                <w:sz w:val="24"/>
                <w:szCs w:val="24"/>
                <w:highlight w:val="none"/>
              </w:rPr>
            </w:pPr>
            <w:r>
              <w:rPr>
                <w:rFonts w:hint="eastAsia"/>
                <w:bCs/>
                <w:color w:val="auto"/>
                <w:kern w:val="0"/>
                <w:sz w:val="24"/>
                <w:szCs w:val="24"/>
                <w:highlight w:val="none"/>
              </w:rPr>
              <w:t>二</w:t>
            </w:r>
          </w:p>
        </w:tc>
        <w:tc>
          <w:tcPr>
            <w:tcW w:w="2332" w:type="pct"/>
            <w:noWrap/>
            <w:vAlign w:val="center"/>
          </w:tcPr>
          <w:p w14:paraId="40914A80">
            <w:pPr>
              <w:widowControl/>
              <w:jc w:val="center"/>
              <w:rPr>
                <w:bCs/>
                <w:color w:val="auto"/>
                <w:kern w:val="0"/>
                <w:sz w:val="24"/>
                <w:szCs w:val="24"/>
                <w:highlight w:val="none"/>
              </w:rPr>
            </w:pPr>
            <w:r>
              <w:rPr>
                <w:rFonts w:hint="eastAsia"/>
                <w:bCs/>
                <w:color w:val="auto"/>
                <w:kern w:val="0"/>
                <w:sz w:val="24"/>
                <w:szCs w:val="24"/>
                <w:highlight w:val="none"/>
              </w:rPr>
              <w:t>自动组织脱水机</w:t>
            </w:r>
          </w:p>
        </w:tc>
        <w:tc>
          <w:tcPr>
            <w:tcW w:w="709" w:type="pct"/>
            <w:noWrap/>
            <w:vAlign w:val="center"/>
          </w:tcPr>
          <w:p w14:paraId="50056B89">
            <w:pPr>
              <w:widowControl/>
              <w:jc w:val="center"/>
              <w:rPr>
                <w:bCs/>
                <w:color w:val="auto"/>
                <w:kern w:val="0"/>
                <w:sz w:val="24"/>
                <w:szCs w:val="24"/>
                <w:highlight w:val="none"/>
              </w:rPr>
            </w:pPr>
            <w:r>
              <w:rPr>
                <w:rFonts w:hint="eastAsia"/>
                <w:bCs/>
                <w:color w:val="auto"/>
                <w:kern w:val="0"/>
                <w:sz w:val="24"/>
                <w:szCs w:val="24"/>
                <w:highlight w:val="none"/>
              </w:rPr>
              <w:t>1套</w:t>
            </w:r>
          </w:p>
        </w:tc>
        <w:tc>
          <w:tcPr>
            <w:tcW w:w="743" w:type="pct"/>
            <w:noWrap/>
            <w:vAlign w:val="center"/>
          </w:tcPr>
          <w:p w14:paraId="45A15B3F">
            <w:pPr>
              <w:widowControl/>
              <w:jc w:val="center"/>
              <w:rPr>
                <w:bCs/>
                <w:color w:val="auto"/>
                <w:kern w:val="0"/>
                <w:sz w:val="24"/>
                <w:szCs w:val="24"/>
                <w:highlight w:val="none"/>
              </w:rPr>
            </w:pPr>
            <w:r>
              <w:rPr>
                <w:rFonts w:hint="eastAsia"/>
                <w:bCs/>
                <w:color w:val="auto"/>
                <w:kern w:val="0"/>
                <w:sz w:val="24"/>
                <w:szCs w:val="24"/>
                <w:highlight w:val="none"/>
              </w:rPr>
              <w:t>38万元</w:t>
            </w:r>
          </w:p>
        </w:tc>
        <w:tc>
          <w:tcPr>
            <w:tcW w:w="726" w:type="pct"/>
            <w:noWrap/>
            <w:vAlign w:val="center"/>
          </w:tcPr>
          <w:p w14:paraId="4A1CA096">
            <w:pPr>
              <w:widowControl/>
              <w:jc w:val="center"/>
              <w:rPr>
                <w:bCs/>
                <w:color w:val="auto"/>
                <w:kern w:val="0"/>
                <w:sz w:val="24"/>
                <w:szCs w:val="24"/>
                <w:highlight w:val="none"/>
              </w:rPr>
            </w:pPr>
            <w:r>
              <w:rPr>
                <w:rFonts w:hint="eastAsia"/>
                <w:bCs/>
                <w:color w:val="auto"/>
                <w:kern w:val="0"/>
                <w:sz w:val="24"/>
                <w:szCs w:val="24"/>
                <w:highlight w:val="none"/>
              </w:rPr>
              <w:t>38万元</w:t>
            </w:r>
          </w:p>
        </w:tc>
      </w:tr>
    </w:tbl>
    <w:p w14:paraId="374AF07F">
      <w:pPr>
        <w:rPr>
          <w:color w:val="auto"/>
          <w:highlight w:val="none"/>
        </w:rPr>
      </w:pPr>
    </w:p>
    <w:p w14:paraId="3444AC74">
      <w:pPr>
        <w:keepNext/>
        <w:keepLines/>
        <w:numPr>
          <w:ilvl w:val="0"/>
          <w:numId w:val="1"/>
        </w:numPr>
        <w:spacing w:afterLines="50" w:line="500" w:lineRule="exact"/>
        <w:outlineLvl w:val="0"/>
        <w:rPr>
          <w:rFonts w:ascii="Calibri" w:hAnsi="Calibri"/>
          <w:b/>
          <w:color w:val="auto"/>
          <w:kern w:val="44"/>
          <w:sz w:val="24"/>
          <w:szCs w:val="24"/>
          <w:highlight w:val="none"/>
        </w:rPr>
      </w:pPr>
      <w:r>
        <w:rPr>
          <w:rFonts w:hint="eastAsia" w:ascii="Calibri" w:hAnsi="Calibri"/>
          <w:b/>
          <w:color w:val="auto"/>
          <w:kern w:val="44"/>
          <w:sz w:val="24"/>
          <w:szCs w:val="24"/>
          <w:highlight w:val="none"/>
        </w:rPr>
        <w:t>技术条款要求</w:t>
      </w:r>
      <w:bookmarkEnd w:id="3"/>
    </w:p>
    <w:p w14:paraId="1FF991E8">
      <w:pPr>
        <w:keepNext/>
        <w:keepLines/>
        <w:spacing w:afterLines="50" w:line="500" w:lineRule="exact"/>
        <w:outlineLvl w:val="0"/>
        <w:rPr>
          <w:rFonts w:ascii="Calibri" w:hAnsi="Calibri"/>
          <w:b/>
          <w:color w:val="auto"/>
          <w:kern w:val="44"/>
          <w:sz w:val="24"/>
          <w:szCs w:val="24"/>
          <w:highlight w:val="none"/>
        </w:rPr>
      </w:pPr>
      <w:r>
        <w:rPr>
          <w:rFonts w:hint="eastAsia" w:ascii="Calibri" w:hAnsi="Calibri"/>
          <w:b/>
          <w:color w:val="auto"/>
          <w:kern w:val="44"/>
          <w:sz w:val="24"/>
          <w:szCs w:val="24"/>
          <w:highlight w:val="none"/>
        </w:rPr>
        <w:t>标项一：无创肝纤维化和脂肪变量化检测系统 1套</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6629"/>
        <w:gridCol w:w="1300"/>
      </w:tblGrid>
      <w:tr w14:paraId="6C5A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46965EF8">
            <w:pPr>
              <w:spacing w:line="360" w:lineRule="atLeast"/>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3636" w:type="pct"/>
            <w:vAlign w:val="center"/>
          </w:tcPr>
          <w:p w14:paraId="41C7FC90">
            <w:pPr>
              <w:spacing w:line="360" w:lineRule="atLeast"/>
              <w:jc w:val="center"/>
              <w:rPr>
                <w:rFonts w:ascii="宋体" w:hAnsi="宋体" w:cs="宋体"/>
                <w:b/>
                <w:color w:val="auto"/>
                <w:sz w:val="24"/>
                <w:szCs w:val="24"/>
                <w:highlight w:val="none"/>
              </w:rPr>
            </w:pPr>
            <w:r>
              <w:rPr>
                <w:rFonts w:hint="eastAsia" w:ascii="宋体" w:hAnsi="宋体" w:cs="宋体"/>
                <w:b/>
                <w:color w:val="auto"/>
                <w:sz w:val="24"/>
                <w:szCs w:val="24"/>
                <w:highlight w:val="none"/>
              </w:rPr>
              <w:t>招标要求</w:t>
            </w:r>
          </w:p>
        </w:tc>
        <w:tc>
          <w:tcPr>
            <w:tcW w:w="713" w:type="pct"/>
          </w:tcPr>
          <w:p w14:paraId="100696AA">
            <w:pPr>
              <w:spacing w:line="360" w:lineRule="atLeast"/>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rPr>
              <w:t>投标响应</w:t>
            </w:r>
          </w:p>
        </w:tc>
      </w:tr>
      <w:tr w14:paraId="506B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1F2CC891">
            <w:pPr>
              <w:spacing w:line="360" w:lineRule="atLeast"/>
              <w:jc w:val="center"/>
              <w:rPr>
                <w:rFonts w:ascii="宋体" w:hAnsi="宋体" w:cs="宋体"/>
                <w:b/>
                <w:color w:val="auto"/>
                <w:sz w:val="24"/>
                <w:szCs w:val="24"/>
                <w:highlight w:val="none"/>
              </w:rPr>
            </w:pPr>
            <w:r>
              <w:rPr>
                <w:rFonts w:hint="eastAsia" w:ascii="宋体" w:hAnsi="宋体" w:cs="宋体"/>
                <w:b/>
                <w:color w:val="auto"/>
                <w:sz w:val="24"/>
                <w:szCs w:val="24"/>
                <w:highlight w:val="none"/>
              </w:rPr>
              <w:t>一、</w:t>
            </w:r>
          </w:p>
        </w:tc>
        <w:tc>
          <w:tcPr>
            <w:tcW w:w="3636" w:type="pct"/>
            <w:vAlign w:val="center"/>
          </w:tcPr>
          <w:p w14:paraId="4183159D">
            <w:pPr>
              <w:spacing w:line="360" w:lineRule="atLeast"/>
              <w:rPr>
                <w:rFonts w:ascii="宋体" w:hAnsi="宋体" w:cs="宋体"/>
                <w:b/>
                <w:color w:val="auto"/>
                <w:sz w:val="24"/>
                <w:szCs w:val="24"/>
                <w:highlight w:val="none"/>
              </w:rPr>
            </w:pPr>
            <w:r>
              <w:rPr>
                <w:rFonts w:hint="eastAsia" w:ascii="宋体" w:hAnsi="宋体" w:cs="宋体"/>
                <w:b/>
                <w:color w:val="auto"/>
                <w:sz w:val="24"/>
                <w:szCs w:val="24"/>
                <w:highlight w:val="none"/>
              </w:rPr>
              <w:t>主要功能用途：</w:t>
            </w:r>
          </w:p>
        </w:tc>
        <w:tc>
          <w:tcPr>
            <w:tcW w:w="713" w:type="pct"/>
          </w:tcPr>
          <w:p w14:paraId="3F0BBE83">
            <w:pPr>
              <w:spacing w:line="360" w:lineRule="atLeast"/>
              <w:rPr>
                <w:rFonts w:ascii="宋体" w:hAnsi="宋体" w:cs="宋体"/>
                <w:b/>
                <w:color w:val="auto"/>
                <w:sz w:val="24"/>
                <w:szCs w:val="24"/>
                <w:highlight w:val="none"/>
              </w:rPr>
            </w:pPr>
          </w:p>
        </w:tc>
      </w:tr>
      <w:tr w14:paraId="011F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3DB3BC67">
            <w:pPr>
              <w:spacing w:after="60" w:line="360" w:lineRule="atLeast"/>
              <w:ind w:left="72" w:right="72"/>
              <w:jc w:val="center"/>
              <w:rPr>
                <w:color w:val="auto"/>
                <w:sz w:val="24"/>
                <w:szCs w:val="24"/>
                <w:highlight w:val="none"/>
              </w:rPr>
            </w:pPr>
            <w:r>
              <w:rPr>
                <w:rFonts w:hint="eastAsia"/>
                <w:color w:val="auto"/>
                <w:sz w:val="24"/>
                <w:szCs w:val="24"/>
                <w:highlight w:val="none"/>
              </w:rPr>
              <w:t>1.1</w:t>
            </w:r>
          </w:p>
        </w:tc>
        <w:tc>
          <w:tcPr>
            <w:tcW w:w="3636" w:type="pct"/>
          </w:tcPr>
          <w:p w14:paraId="47A2E5AD">
            <w:pPr>
              <w:spacing w:line="360" w:lineRule="atLeast"/>
              <w:rPr>
                <w:rFonts w:ascii="宋体" w:hAnsi="宋体" w:cs="宋体"/>
                <w:bCs/>
                <w:color w:val="auto"/>
                <w:sz w:val="24"/>
                <w:szCs w:val="24"/>
                <w:highlight w:val="none"/>
              </w:rPr>
            </w:pPr>
            <w:r>
              <w:rPr>
                <w:rFonts w:hint="eastAsia"/>
                <w:color w:val="auto"/>
                <w:sz w:val="24"/>
                <w:szCs w:val="24"/>
                <w:highlight w:val="none"/>
              </w:rPr>
              <w:t>适合定量监测和评估各类慢性肝病导致的肝纤维化程度。利用瞬时弹性成像技术与剪切波安全无创的特点，每次检测显示量化的肝脏硬度值，以定量评估肝纤维化程度。</w:t>
            </w:r>
          </w:p>
        </w:tc>
        <w:tc>
          <w:tcPr>
            <w:tcW w:w="713" w:type="pct"/>
          </w:tcPr>
          <w:p w14:paraId="6E92E576">
            <w:pPr>
              <w:spacing w:line="360" w:lineRule="atLeast"/>
              <w:rPr>
                <w:rFonts w:ascii="宋体" w:hAnsi="宋体" w:cs="宋体"/>
                <w:bCs/>
                <w:color w:val="auto"/>
                <w:sz w:val="24"/>
                <w:szCs w:val="24"/>
                <w:highlight w:val="none"/>
                <w:lang w:val="zh-CN"/>
              </w:rPr>
            </w:pPr>
          </w:p>
        </w:tc>
      </w:tr>
      <w:tr w14:paraId="6C96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1735A269">
            <w:pPr>
              <w:spacing w:after="60" w:line="360" w:lineRule="atLeast"/>
              <w:ind w:left="72" w:right="72"/>
              <w:jc w:val="center"/>
              <w:rPr>
                <w:color w:val="auto"/>
                <w:sz w:val="24"/>
                <w:szCs w:val="24"/>
                <w:highlight w:val="none"/>
              </w:rPr>
            </w:pPr>
            <w:r>
              <w:rPr>
                <w:rFonts w:hint="eastAsia"/>
                <w:color w:val="auto"/>
                <w:sz w:val="24"/>
                <w:szCs w:val="24"/>
                <w:highlight w:val="none"/>
              </w:rPr>
              <w:t>1.2</w:t>
            </w:r>
          </w:p>
        </w:tc>
        <w:tc>
          <w:tcPr>
            <w:tcW w:w="3636" w:type="pct"/>
          </w:tcPr>
          <w:p w14:paraId="76FBBF37">
            <w:pPr>
              <w:spacing w:line="360" w:lineRule="atLeast"/>
              <w:rPr>
                <w:color w:val="auto"/>
                <w:sz w:val="24"/>
                <w:szCs w:val="24"/>
                <w:highlight w:val="none"/>
              </w:rPr>
            </w:pPr>
            <w:r>
              <w:rPr>
                <w:rFonts w:hint="eastAsia"/>
                <w:color w:val="auto"/>
                <w:sz w:val="24"/>
                <w:szCs w:val="24"/>
                <w:highlight w:val="none"/>
              </w:rPr>
              <w:t>用于肝脏声衰减参数检测，辅助肝脏脂肪变程度诊断。</w:t>
            </w:r>
          </w:p>
        </w:tc>
        <w:tc>
          <w:tcPr>
            <w:tcW w:w="713" w:type="pct"/>
          </w:tcPr>
          <w:p w14:paraId="24328B9B">
            <w:pPr>
              <w:spacing w:line="360" w:lineRule="atLeast"/>
              <w:rPr>
                <w:rFonts w:ascii="宋体" w:hAnsi="宋体" w:cs="宋体"/>
                <w:bCs/>
                <w:color w:val="auto"/>
                <w:sz w:val="24"/>
                <w:szCs w:val="24"/>
                <w:highlight w:val="none"/>
                <w:lang w:val="zh-CN"/>
              </w:rPr>
            </w:pPr>
          </w:p>
        </w:tc>
      </w:tr>
      <w:tr w14:paraId="2754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tcPr>
          <w:p w14:paraId="3112E1AD">
            <w:pPr>
              <w:spacing w:line="360" w:lineRule="atLeast"/>
              <w:jc w:val="center"/>
              <w:rPr>
                <w:rFonts w:ascii="宋体" w:hAnsi="宋体" w:cs="宋体"/>
                <w:color w:val="auto"/>
                <w:sz w:val="24"/>
                <w:szCs w:val="24"/>
                <w:highlight w:val="none"/>
              </w:rPr>
            </w:pPr>
            <w:r>
              <w:rPr>
                <w:rFonts w:hint="eastAsia" w:ascii="宋体" w:hAnsi="宋体" w:cs="宋体"/>
                <w:b/>
                <w:color w:val="auto"/>
                <w:spacing w:val="-2"/>
                <w:sz w:val="24"/>
                <w:szCs w:val="24"/>
                <w:highlight w:val="none"/>
              </w:rPr>
              <w:t>二、</w:t>
            </w:r>
          </w:p>
        </w:tc>
        <w:tc>
          <w:tcPr>
            <w:tcW w:w="3636" w:type="pct"/>
          </w:tcPr>
          <w:p w14:paraId="0C54A1EC">
            <w:pPr>
              <w:autoSpaceDE w:val="0"/>
              <w:autoSpaceDN w:val="0"/>
              <w:adjustRightInd w:val="0"/>
              <w:spacing w:line="360" w:lineRule="atLeast"/>
              <w:rPr>
                <w:rFonts w:ascii="宋体" w:hAnsi="宋体" w:cs="宋体"/>
                <w:b/>
                <w:color w:val="auto"/>
                <w:sz w:val="24"/>
                <w:szCs w:val="24"/>
                <w:highlight w:val="none"/>
              </w:rPr>
            </w:pPr>
            <w:r>
              <w:rPr>
                <w:rFonts w:hint="eastAsia" w:ascii="宋体" w:hAnsi="宋体" w:cs="宋体"/>
                <w:b/>
                <w:color w:val="auto"/>
                <w:sz w:val="24"/>
                <w:szCs w:val="24"/>
                <w:highlight w:val="none"/>
                <w:lang w:val="zh-CN"/>
              </w:rPr>
              <w:t>技术参数要求：</w:t>
            </w:r>
          </w:p>
        </w:tc>
        <w:tc>
          <w:tcPr>
            <w:tcW w:w="713" w:type="pct"/>
          </w:tcPr>
          <w:p w14:paraId="486FD72E">
            <w:pPr>
              <w:autoSpaceDE w:val="0"/>
              <w:autoSpaceDN w:val="0"/>
              <w:adjustRightInd w:val="0"/>
              <w:spacing w:line="360" w:lineRule="atLeast"/>
              <w:rPr>
                <w:rFonts w:ascii="宋体" w:hAnsi="宋体" w:cs="宋体"/>
                <w:bCs/>
                <w:color w:val="auto"/>
                <w:sz w:val="24"/>
                <w:szCs w:val="24"/>
                <w:highlight w:val="none"/>
                <w:lang w:val="zh-CN"/>
              </w:rPr>
            </w:pPr>
          </w:p>
        </w:tc>
      </w:tr>
      <w:tr w14:paraId="14D0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1C89CE76">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2.1</w:t>
            </w:r>
          </w:p>
        </w:tc>
        <w:tc>
          <w:tcPr>
            <w:tcW w:w="3636" w:type="pct"/>
          </w:tcPr>
          <w:p w14:paraId="3E17F1B9">
            <w:pPr>
              <w:spacing w:after="60" w:line="360" w:lineRule="atLeas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原理：利用瞬时弹性成像技术来评估肝脏的硬度;利用超声衰减理论来评估肝组织的声衰减数值，分别以kPa和dB/m为单位，显示每次检测的数值。</w:t>
            </w:r>
          </w:p>
        </w:tc>
        <w:tc>
          <w:tcPr>
            <w:tcW w:w="713" w:type="pct"/>
          </w:tcPr>
          <w:p w14:paraId="404D590B">
            <w:pPr>
              <w:spacing w:line="360" w:lineRule="atLeast"/>
              <w:rPr>
                <w:rFonts w:ascii="宋体" w:hAnsi="宋体" w:cs="宋体"/>
                <w:bCs/>
                <w:color w:val="auto"/>
                <w:sz w:val="24"/>
                <w:szCs w:val="24"/>
                <w:highlight w:val="none"/>
              </w:rPr>
            </w:pPr>
          </w:p>
        </w:tc>
      </w:tr>
      <w:tr w14:paraId="3227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2A1F031B">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2.2</w:t>
            </w:r>
          </w:p>
        </w:tc>
        <w:tc>
          <w:tcPr>
            <w:tcW w:w="3636" w:type="pct"/>
          </w:tcPr>
          <w:p w14:paraId="075A9BAB">
            <w:pPr>
              <w:spacing w:after="60" w:line="360" w:lineRule="atLeast"/>
              <w:rPr>
                <w:rFonts w:ascii="宋体" w:hAnsi="宋体" w:cs="宋体"/>
                <w:bCs/>
                <w:color w:val="auto"/>
                <w:sz w:val="24"/>
                <w:szCs w:val="24"/>
                <w:highlight w:val="none"/>
                <w:lang w:val="zh-CN"/>
              </w:rPr>
            </w:pPr>
            <w:r>
              <w:rPr>
                <w:rFonts w:hint="eastAsia"/>
                <w:color w:val="auto"/>
                <w:sz w:val="24"/>
                <w:szCs w:val="24"/>
                <w:highlight w:val="none"/>
              </w:rPr>
              <w:t>探头剪切波触动方式：手动按钮或脚踏开关激发。</w:t>
            </w:r>
          </w:p>
        </w:tc>
        <w:tc>
          <w:tcPr>
            <w:tcW w:w="713" w:type="pct"/>
          </w:tcPr>
          <w:p w14:paraId="13419582">
            <w:pPr>
              <w:spacing w:line="360" w:lineRule="atLeast"/>
              <w:rPr>
                <w:rFonts w:ascii="宋体" w:hAnsi="宋体" w:cs="宋体"/>
                <w:bCs/>
                <w:color w:val="auto"/>
                <w:sz w:val="24"/>
                <w:szCs w:val="24"/>
                <w:highlight w:val="none"/>
              </w:rPr>
            </w:pPr>
          </w:p>
        </w:tc>
      </w:tr>
      <w:tr w14:paraId="51DC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73547B88">
            <w:pPr>
              <w:spacing w:after="60" w:line="360" w:lineRule="atLeast"/>
              <w:ind w:left="72" w:right="72"/>
              <w:jc w:val="center"/>
              <w:rPr>
                <w:rFonts w:ascii="宋体" w:hAnsi="宋体" w:cs="宋体"/>
                <w:b/>
                <w:color w:val="auto"/>
                <w:sz w:val="24"/>
                <w:szCs w:val="24"/>
                <w:highlight w:val="none"/>
              </w:rPr>
            </w:pPr>
            <w:r>
              <w:rPr>
                <w:rFonts w:hint="eastAsia"/>
                <w:color w:val="auto"/>
                <w:sz w:val="24"/>
                <w:szCs w:val="24"/>
                <w:highlight w:val="none"/>
              </w:rPr>
              <w:t>2.3</w:t>
            </w:r>
          </w:p>
        </w:tc>
        <w:tc>
          <w:tcPr>
            <w:tcW w:w="3636" w:type="pct"/>
          </w:tcPr>
          <w:p w14:paraId="78A579C5">
            <w:pPr>
              <w:spacing w:after="60" w:line="360" w:lineRule="atLeast"/>
              <w:rPr>
                <w:rFonts w:ascii="宋体" w:hAnsi="宋体" w:cs="宋体"/>
                <w:b/>
                <w:color w:val="auto"/>
                <w:sz w:val="24"/>
                <w:szCs w:val="24"/>
                <w:highlight w:val="none"/>
                <w:lang w:val="zh-CN"/>
              </w:rPr>
            </w:pPr>
            <w:r>
              <w:rPr>
                <w:rFonts w:hint="eastAsia"/>
                <w:color w:val="auto"/>
                <w:sz w:val="24"/>
                <w:szCs w:val="24"/>
                <w:highlight w:val="none"/>
              </w:rPr>
              <w:t>主机：显示器≥12"彩色触摸屏，分辨率≥1920 × 1080</w:t>
            </w:r>
          </w:p>
        </w:tc>
        <w:tc>
          <w:tcPr>
            <w:tcW w:w="713" w:type="pct"/>
          </w:tcPr>
          <w:p w14:paraId="15AA2CF3">
            <w:pPr>
              <w:spacing w:line="360" w:lineRule="atLeast"/>
              <w:rPr>
                <w:rFonts w:ascii="宋体" w:hAnsi="宋体" w:cs="宋体"/>
                <w:bCs/>
                <w:color w:val="auto"/>
                <w:sz w:val="24"/>
                <w:szCs w:val="24"/>
                <w:highlight w:val="none"/>
              </w:rPr>
            </w:pPr>
          </w:p>
        </w:tc>
      </w:tr>
      <w:tr w14:paraId="611E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166E2B91">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2.4</w:t>
            </w:r>
          </w:p>
        </w:tc>
        <w:tc>
          <w:tcPr>
            <w:tcW w:w="3636" w:type="pct"/>
          </w:tcPr>
          <w:p w14:paraId="11AF7CBE">
            <w:pPr>
              <w:spacing w:after="60" w:line="360" w:lineRule="atLeast"/>
              <w:rPr>
                <w:rFonts w:ascii="宋体" w:hAnsi="宋体" w:cs="宋体"/>
                <w:bCs/>
                <w:color w:val="auto"/>
                <w:sz w:val="24"/>
                <w:szCs w:val="24"/>
                <w:highlight w:val="none"/>
                <w:lang w:val="zh-CN"/>
              </w:rPr>
            </w:pPr>
            <w:r>
              <w:rPr>
                <w:rFonts w:hint="eastAsia"/>
                <w:color w:val="auto"/>
                <w:sz w:val="24"/>
                <w:szCs w:val="24"/>
                <w:highlight w:val="none"/>
              </w:rPr>
              <w:t>显示值至少包含：患者信息、硬度值中位数、单次测量硬度值、超声衰减参数中位数、单次测量超声衰减参数、IQR、成功率。</w:t>
            </w:r>
          </w:p>
        </w:tc>
        <w:tc>
          <w:tcPr>
            <w:tcW w:w="713" w:type="pct"/>
          </w:tcPr>
          <w:p w14:paraId="240555B3">
            <w:pPr>
              <w:spacing w:line="360" w:lineRule="atLeast"/>
              <w:rPr>
                <w:rFonts w:ascii="宋体" w:hAnsi="宋体" w:cs="宋体"/>
                <w:bCs/>
                <w:color w:val="auto"/>
                <w:sz w:val="24"/>
                <w:szCs w:val="24"/>
                <w:highlight w:val="none"/>
                <w:lang w:val="zh-CN"/>
              </w:rPr>
            </w:pPr>
          </w:p>
        </w:tc>
      </w:tr>
      <w:tr w14:paraId="39DD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6BDDD4A7">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2.5</w:t>
            </w:r>
          </w:p>
        </w:tc>
        <w:tc>
          <w:tcPr>
            <w:tcW w:w="3636" w:type="pct"/>
          </w:tcPr>
          <w:p w14:paraId="51DC091E">
            <w:pPr>
              <w:spacing w:after="60" w:line="360" w:lineRule="atLeas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彩色弹性结果图显示测量深度及时间，通过斜率及图形状态评估结果准确性。</w:t>
            </w:r>
          </w:p>
        </w:tc>
        <w:tc>
          <w:tcPr>
            <w:tcW w:w="713" w:type="pct"/>
          </w:tcPr>
          <w:p w14:paraId="01DD2B60">
            <w:pPr>
              <w:spacing w:line="360" w:lineRule="atLeast"/>
              <w:rPr>
                <w:rFonts w:ascii="宋体" w:hAnsi="宋体" w:cs="宋体"/>
                <w:bCs/>
                <w:color w:val="auto"/>
                <w:sz w:val="24"/>
                <w:szCs w:val="24"/>
                <w:highlight w:val="none"/>
                <w:lang w:val="zh-CN"/>
              </w:rPr>
            </w:pPr>
          </w:p>
        </w:tc>
      </w:tr>
      <w:tr w14:paraId="5737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521A75C1">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2.6</w:t>
            </w:r>
          </w:p>
        </w:tc>
        <w:tc>
          <w:tcPr>
            <w:tcW w:w="3636" w:type="pct"/>
          </w:tcPr>
          <w:p w14:paraId="20AA1E96">
            <w:pPr>
              <w:spacing w:after="60" w:line="360" w:lineRule="atLeas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探头具有工作状态指示灯，显示探头工作状态。</w:t>
            </w:r>
          </w:p>
        </w:tc>
        <w:tc>
          <w:tcPr>
            <w:tcW w:w="713" w:type="pct"/>
          </w:tcPr>
          <w:p w14:paraId="1B94447D">
            <w:pPr>
              <w:spacing w:line="360" w:lineRule="atLeast"/>
              <w:rPr>
                <w:rFonts w:ascii="宋体" w:hAnsi="宋体" w:cs="宋体"/>
                <w:bCs/>
                <w:color w:val="auto"/>
                <w:sz w:val="24"/>
                <w:szCs w:val="24"/>
                <w:highlight w:val="none"/>
                <w:lang w:val="zh-CN"/>
              </w:rPr>
            </w:pPr>
          </w:p>
        </w:tc>
      </w:tr>
      <w:tr w14:paraId="1A5E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488BFD0B">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2.7</w:t>
            </w:r>
          </w:p>
        </w:tc>
        <w:tc>
          <w:tcPr>
            <w:tcW w:w="3636" w:type="pct"/>
          </w:tcPr>
          <w:p w14:paraId="503CEF1D">
            <w:pPr>
              <w:spacing w:after="60" w:line="360" w:lineRule="atLeas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探头压力指示，实时监测探头压力确保检测过程中探头压力合适。</w:t>
            </w:r>
          </w:p>
        </w:tc>
        <w:tc>
          <w:tcPr>
            <w:tcW w:w="713" w:type="pct"/>
          </w:tcPr>
          <w:p w14:paraId="38C3F3BA">
            <w:pPr>
              <w:spacing w:line="360" w:lineRule="atLeast"/>
              <w:rPr>
                <w:rFonts w:ascii="宋体" w:hAnsi="宋体" w:cs="宋体"/>
                <w:bCs/>
                <w:color w:val="auto"/>
                <w:sz w:val="24"/>
                <w:szCs w:val="24"/>
                <w:highlight w:val="none"/>
                <w:lang w:val="zh-CN"/>
              </w:rPr>
            </w:pPr>
          </w:p>
        </w:tc>
      </w:tr>
      <w:tr w14:paraId="4425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01BCA595">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2.8</w:t>
            </w:r>
          </w:p>
        </w:tc>
        <w:tc>
          <w:tcPr>
            <w:tcW w:w="3636" w:type="pct"/>
          </w:tcPr>
          <w:p w14:paraId="17AD727E">
            <w:pPr>
              <w:spacing w:after="60" w:line="360" w:lineRule="atLeas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通过颜色提示肝脏位置,辅助探头定位。</w:t>
            </w:r>
          </w:p>
        </w:tc>
        <w:tc>
          <w:tcPr>
            <w:tcW w:w="713" w:type="pct"/>
          </w:tcPr>
          <w:p w14:paraId="7ACDFD7D">
            <w:pPr>
              <w:spacing w:line="360" w:lineRule="atLeast"/>
              <w:rPr>
                <w:rFonts w:ascii="宋体" w:hAnsi="宋体" w:cs="宋体"/>
                <w:bCs/>
                <w:color w:val="auto"/>
                <w:sz w:val="24"/>
                <w:szCs w:val="24"/>
                <w:highlight w:val="none"/>
                <w:lang w:val="zh-CN"/>
              </w:rPr>
            </w:pPr>
          </w:p>
        </w:tc>
      </w:tr>
      <w:tr w14:paraId="728D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7A01B3CD">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2.99</w:t>
            </w:r>
          </w:p>
        </w:tc>
        <w:tc>
          <w:tcPr>
            <w:tcW w:w="3636" w:type="pct"/>
          </w:tcPr>
          <w:p w14:paraId="283B00A2">
            <w:pPr>
              <w:spacing w:after="60" w:line="360" w:lineRule="atLeas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在不改变探头传感器频率下，支持自动检测皮肤表面到肝脏包膜的距离，从而自动调节测量深度。</w:t>
            </w:r>
          </w:p>
        </w:tc>
        <w:tc>
          <w:tcPr>
            <w:tcW w:w="713" w:type="pct"/>
          </w:tcPr>
          <w:p w14:paraId="2201E9AF">
            <w:pPr>
              <w:spacing w:line="360" w:lineRule="atLeast"/>
              <w:rPr>
                <w:rFonts w:ascii="宋体" w:hAnsi="宋体" w:cs="宋体"/>
                <w:bCs/>
                <w:color w:val="auto"/>
                <w:sz w:val="24"/>
                <w:szCs w:val="24"/>
                <w:highlight w:val="none"/>
                <w:lang w:val="zh-CN"/>
              </w:rPr>
            </w:pPr>
          </w:p>
        </w:tc>
      </w:tr>
      <w:tr w14:paraId="31BC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4BA799DE">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2.10</w:t>
            </w:r>
          </w:p>
        </w:tc>
        <w:tc>
          <w:tcPr>
            <w:tcW w:w="3636" w:type="pct"/>
          </w:tcPr>
          <w:p w14:paraId="3CD4BC6C">
            <w:pPr>
              <w:spacing w:after="60" w:line="360" w:lineRule="atLeas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自动数据质控：当探头放置的检测位置不佳时，自动提示无效测量。</w:t>
            </w:r>
          </w:p>
        </w:tc>
        <w:tc>
          <w:tcPr>
            <w:tcW w:w="713" w:type="pct"/>
          </w:tcPr>
          <w:p w14:paraId="0A65C0B2">
            <w:pPr>
              <w:spacing w:line="360" w:lineRule="atLeast"/>
              <w:rPr>
                <w:rFonts w:ascii="宋体" w:hAnsi="宋体" w:cs="宋体"/>
                <w:bCs/>
                <w:color w:val="auto"/>
                <w:sz w:val="24"/>
                <w:szCs w:val="24"/>
                <w:highlight w:val="none"/>
                <w:lang w:val="zh-CN"/>
              </w:rPr>
            </w:pPr>
          </w:p>
        </w:tc>
      </w:tr>
      <w:tr w14:paraId="541D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vAlign w:val="center"/>
          </w:tcPr>
          <w:p w14:paraId="445F2778">
            <w:pPr>
              <w:spacing w:after="60" w:line="360" w:lineRule="atLeast"/>
              <w:ind w:left="72" w:right="72"/>
              <w:jc w:val="center"/>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color w:val="auto"/>
                <w:sz w:val="24"/>
                <w:szCs w:val="24"/>
                <w:highlight w:val="none"/>
              </w:rPr>
              <w:t>2.11</w:t>
            </w:r>
          </w:p>
        </w:tc>
        <w:tc>
          <w:tcPr>
            <w:tcW w:w="3636" w:type="pct"/>
          </w:tcPr>
          <w:p w14:paraId="08E0282F">
            <w:pPr>
              <w:spacing w:after="60" w:line="360" w:lineRule="atLeas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单探头同步实现二维实时图像引导和硬度检测。</w:t>
            </w:r>
          </w:p>
        </w:tc>
        <w:tc>
          <w:tcPr>
            <w:tcW w:w="713" w:type="pct"/>
          </w:tcPr>
          <w:p w14:paraId="1195B527">
            <w:pPr>
              <w:spacing w:line="360" w:lineRule="atLeast"/>
              <w:rPr>
                <w:rFonts w:ascii="宋体" w:hAnsi="宋体" w:cs="宋体"/>
                <w:bCs/>
                <w:color w:val="auto"/>
                <w:sz w:val="24"/>
                <w:szCs w:val="24"/>
                <w:highlight w:val="none"/>
                <w:lang w:val="zh-CN"/>
              </w:rPr>
            </w:pPr>
          </w:p>
        </w:tc>
      </w:tr>
      <w:tr w14:paraId="74D8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3C3A882E">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w:t>
            </w:r>
            <w:r>
              <w:rPr>
                <w:color w:val="auto"/>
                <w:sz w:val="24"/>
                <w:szCs w:val="24"/>
                <w:highlight w:val="none"/>
              </w:rPr>
              <w:t>1</w:t>
            </w:r>
            <w:r>
              <w:rPr>
                <w:rFonts w:hint="eastAsia"/>
                <w:color w:val="auto"/>
                <w:sz w:val="24"/>
                <w:szCs w:val="24"/>
                <w:highlight w:val="none"/>
              </w:rPr>
              <w:t>2</w:t>
            </w:r>
          </w:p>
        </w:tc>
        <w:tc>
          <w:tcPr>
            <w:tcW w:w="3636" w:type="pct"/>
          </w:tcPr>
          <w:p w14:paraId="0C793805">
            <w:pPr>
              <w:spacing w:after="60" w:line="360" w:lineRule="atLeas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单一硬度检测超声传感器频率固定3.5MHz</w:t>
            </w:r>
          </w:p>
        </w:tc>
        <w:tc>
          <w:tcPr>
            <w:tcW w:w="713" w:type="pct"/>
          </w:tcPr>
          <w:p w14:paraId="5B8F263F">
            <w:pPr>
              <w:spacing w:line="360" w:lineRule="atLeast"/>
              <w:rPr>
                <w:rFonts w:ascii="宋体" w:hAnsi="宋体" w:cs="宋体"/>
                <w:bCs/>
                <w:color w:val="auto"/>
                <w:sz w:val="24"/>
                <w:szCs w:val="24"/>
                <w:highlight w:val="none"/>
                <w:lang w:val="zh-CN"/>
              </w:rPr>
            </w:pPr>
          </w:p>
        </w:tc>
      </w:tr>
      <w:tr w14:paraId="11DE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2BCC119C">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w:t>
            </w:r>
            <w:r>
              <w:rPr>
                <w:color w:val="auto"/>
                <w:sz w:val="24"/>
                <w:szCs w:val="24"/>
                <w:highlight w:val="none"/>
              </w:rPr>
              <w:t>1</w:t>
            </w:r>
            <w:r>
              <w:rPr>
                <w:rFonts w:hint="eastAsia"/>
                <w:color w:val="auto"/>
                <w:sz w:val="24"/>
                <w:szCs w:val="24"/>
                <w:highlight w:val="none"/>
              </w:rPr>
              <w:t>3</w:t>
            </w:r>
          </w:p>
        </w:tc>
        <w:tc>
          <w:tcPr>
            <w:tcW w:w="3636" w:type="pct"/>
          </w:tcPr>
          <w:p w14:paraId="334BA475">
            <w:pPr>
              <w:spacing w:after="60" w:line="360" w:lineRule="atLeas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剪切波频率恒定50Hz</w:t>
            </w:r>
          </w:p>
        </w:tc>
        <w:tc>
          <w:tcPr>
            <w:tcW w:w="713" w:type="pct"/>
          </w:tcPr>
          <w:p w14:paraId="1AF10A54">
            <w:pPr>
              <w:spacing w:line="360" w:lineRule="atLeast"/>
              <w:rPr>
                <w:rFonts w:ascii="宋体" w:hAnsi="宋体" w:cs="宋体"/>
                <w:bCs/>
                <w:color w:val="auto"/>
                <w:sz w:val="24"/>
                <w:szCs w:val="24"/>
                <w:highlight w:val="none"/>
                <w:lang w:val="zh-CN"/>
              </w:rPr>
            </w:pPr>
          </w:p>
        </w:tc>
      </w:tr>
      <w:tr w14:paraId="63E3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25039051">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w:t>
            </w:r>
            <w:r>
              <w:rPr>
                <w:color w:val="auto"/>
                <w:sz w:val="24"/>
                <w:szCs w:val="24"/>
                <w:highlight w:val="none"/>
              </w:rPr>
              <w:t>1</w:t>
            </w:r>
            <w:r>
              <w:rPr>
                <w:rFonts w:hint="eastAsia"/>
                <w:color w:val="auto"/>
                <w:sz w:val="24"/>
                <w:szCs w:val="24"/>
                <w:highlight w:val="none"/>
              </w:rPr>
              <w:t>4</w:t>
            </w:r>
          </w:p>
        </w:tc>
        <w:tc>
          <w:tcPr>
            <w:tcW w:w="3636" w:type="pct"/>
          </w:tcPr>
          <w:p w14:paraId="77DE055E">
            <w:pPr>
              <w:spacing w:after="60" w:line="360" w:lineRule="atLeas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阵元总数：≥16</w:t>
            </w:r>
          </w:p>
        </w:tc>
        <w:tc>
          <w:tcPr>
            <w:tcW w:w="713" w:type="pct"/>
          </w:tcPr>
          <w:p w14:paraId="3F767323">
            <w:pPr>
              <w:spacing w:line="360" w:lineRule="atLeast"/>
              <w:rPr>
                <w:rFonts w:ascii="宋体" w:hAnsi="宋体" w:cs="宋体"/>
                <w:bCs/>
                <w:color w:val="auto"/>
                <w:sz w:val="24"/>
                <w:szCs w:val="24"/>
                <w:highlight w:val="none"/>
                <w:lang w:val="zh-CN"/>
              </w:rPr>
            </w:pPr>
          </w:p>
        </w:tc>
      </w:tr>
      <w:tr w14:paraId="3005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555018B7">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2.15</w:t>
            </w:r>
          </w:p>
        </w:tc>
        <w:tc>
          <w:tcPr>
            <w:tcW w:w="3636" w:type="pct"/>
          </w:tcPr>
          <w:p w14:paraId="0AC6BA1B">
            <w:pPr>
              <w:spacing w:after="60" w:line="360" w:lineRule="atLeast"/>
              <w:rPr>
                <w:rFonts w:ascii="宋体" w:hAnsi="宋体" w:cs="宋体"/>
                <w:color w:val="auto"/>
                <w:sz w:val="24"/>
                <w:szCs w:val="24"/>
                <w:highlight w:val="none"/>
              </w:rPr>
            </w:pPr>
            <w:r>
              <w:rPr>
                <w:rFonts w:hint="eastAsia" w:ascii="宋体" w:hAnsi="宋体" w:cs="宋体"/>
                <w:color w:val="auto"/>
                <w:sz w:val="24"/>
                <w:szCs w:val="24"/>
                <w:highlight w:val="none"/>
              </w:rPr>
              <w:t>针对腹型肥胖人群，具备自动增强功能。</w:t>
            </w:r>
          </w:p>
        </w:tc>
        <w:tc>
          <w:tcPr>
            <w:tcW w:w="713" w:type="pct"/>
          </w:tcPr>
          <w:p w14:paraId="12063CC0">
            <w:pPr>
              <w:spacing w:line="360" w:lineRule="atLeast"/>
              <w:rPr>
                <w:rFonts w:ascii="宋体" w:hAnsi="宋体" w:cs="宋体"/>
                <w:bCs/>
                <w:color w:val="auto"/>
                <w:sz w:val="24"/>
                <w:szCs w:val="24"/>
                <w:highlight w:val="none"/>
              </w:rPr>
            </w:pPr>
          </w:p>
        </w:tc>
      </w:tr>
      <w:tr w14:paraId="3C6C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75029F59">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w:t>
            </w:r>
            <w:r>
              <w:rPr>
                <w:color w:val="auto"/>
                <w:sz w:val="24"/>
                <w:szCs w:val="24"/>
                <w:highlight w:val="none"/>
              </w:rPr>
              <w:t>1</w:t>
            </w:r>
            <w:r>
              <w:rPr>
                <w:rFonts w:hint="eastAsia"/>
                <w:color w:val="auto"/>
                <w:sz w:val="24"/>
                <w:szCs w:val="24"/>
                <w:highlight w:val="none"/>
              </w:rPr>
              <w:t>6</w:t>
            </w:r>
          </w:p>
        </w:tc>
        <w:tc>
          <w:tcPr>
            <w:tcW w:w="3636" w:type="pct"/>
          </w:tcPr>
          <w:p w14:paraId="72087990">
            <w:pPr>
              <w:spacing w:after="60" w:line="360" w:lineRule="atLeast"/>
              <w:rPr>
                <w:rFonts w:ascii="宋体" w:hAnsi="宋体" w:cs="宋体"/>
                <w:b/>
                <w:color w:val="auto"/>
                <w:sz w:val="24"/>
                <w:szCs w:val="24"/>
                <w:highlight w:val="none"/>
              </w:rPr>
            </w:pPr>
            <w:r>
              <w:rPr>
                <w:rFonts w:hint="eastAsia"/>
                <w:color w:val="auto"/>
                <w:sz w:val="24"/>
                <w:szCs w:val="24"/>
                <w:highlight w:val="none"/>
              </w:rPr>
              <w:t>振动幅度支持调节</w:t>
            </w:r>
          </w:p>
        </w:tc>
        <w:tc>
          <w:tcPr>
            <w:tcW w:w="713" w:type="pct"/>
          </w:tcPr>
          <w:p w14:paraId="027A6A4D">
            <w:pPr>
              <w:spacing w:line="360" w:lineRule="atLeast"/>
              <w:rPr>
                <w:rFonts w:ascii="宋体" w:hAnsi="宋体" w:cs="宋体"/>
                <w:bCs/>
                <w:color w:val="auto"/>
                <w:sz w:val="24"/>
                <w:szCs w:val="24"/>
                <w:highlight w:val="none"/>
              </w:rPr>
            </w:pPr>
          </w:p>
        </w:tc>
      </w:tr>
      <w:tr w14:paraId="50D3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1C9EA00D">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w:t>
            </w:r>
            <w:r>
              <w:rPr>
                <w:color w:val="auto"/>
                <w:sz w:val="24"/>
                <w:szCs w:val="24"/>
                <w:highlight w:val="none"/>
              </w:rPr>
              <w:t>1</w:t>
            </w:r>
            <w:r>
              <w:rPr>
                <w:rFonts w:hint="eastAsia"/>
                <w:color w:val="auto"/>
                <w:sz w:val="24"/>
                <w:szCs w:val="24"/>
                <w:highlight w:val="none"/>
              </w:rPr>
              <w:t>7</w:t>
            </w:r>
          </w:p>
        </w:tc>
        <w:tc>
          <w:tcPr>
            <w:tcW w:w="3636" w:type="pct"/>
          </w:tcPr>
          <w:p w14:paraId="742E64B7">
            <w:pPr>
              <w:spacing w:after="60" w:line="360" w:lineRule="atLeast"/>
              <w:rPr>
                <w:rFonts w:ascii="宋体" w:hAnsi="宋体" w:cs="宋体"/>
                <w:b/>
                <w:color w:val="auto"/>
                <w:sz w:val="24"/>
                <w:szCs w:val="24"/>
                <w:highlight w:val="none"/>
              </w:rPr>
            </w:pPr>
            <w:r>
              <w:rPr>
                <w:rFonts w:hint="eastAsia"/>
                <w:color w:val="auto"/>
                <w:sz w:val="24"/>
                <w:szCs w:val="24"/>
                <w:highlight w:val="none"/>
              </w:rPr>
              <w:t>声衰减采样体积≥3cm³</w:t>
            </w:r>
          </w:p>
        </w:tc>
        <w:tc>
          <w:tcPr>
            <w:tcW w:w="713" w:type="pct"/>
          </w:tcPr>
          <w:p w14:paraId="5340DE89">
            <w:pPr>
              <w:spacing w:line="360" w:lineRule="atLeast"/>
              <w:rPr>
                <w:rFonts w:ascii="宋体" w:hAnsi="宋体" w:cs="宋体"/>
                <w:bCs/>
                <w:color w:val="auto"/>
                <w:sz w:val="24"/>
                <w:szCs w:val="24"/>
                <w:highlight w:val="none"/>
              </w:rPr>
            </w:pPr>
          </w:p>
        </w:tc>
      </w:tr>
      <w:tr w14:paraId="1954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2DB5EE54">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w:t>
            </w:r>
            <w:r>
              <w:rPr>
                <w:color w:val="auto"/>
                <w:sz w:val="24"/>
                <w:szCs w:val="24"/>
                <w:highlight w:val="none"/>
              </w:rPr>
              <w:t>1</w:t>
            </w:r>
            <w:r>
              <w:rPr>
                <w:rFonts w:hint="eastAsia"/>
                <w:color w:val="auto"/>
                <w:sz w:val="24"/>
                <w:szCs w:val="24"/>
                <w:highlight w:val="none"/>
              </w:rPr>
              <w:t>8</w:t>
            </w:r>
          </w:p>
        </w:tc>
        <w:tc>
          <w:tcPr>
            <w:tcW w:w="3636" w:type="pct"/>
          </w:tcPr>
          <w:p w14:paraId="5C0D2C7F">
            <w:pPr>
              <w:spacing w:after="60" w:line="360" w:lineRule="atLeast"/>
              <w:rPr>
                <w:rFonts w:ascii="宋体" w:hAnsi="宋体" w:cs="宋体"/>
                <w:b/>
                <w:color w:val="auto"/>
                <w:sz w:val="24"/>
                <w:szCs w:val="24"/>
                <w:highlight w:val="none"/>
              </w:rPr>
            </w:pPr>
            <w:r>
              <w:rPr>
                <w:rFonts w:hint="eastAsia"/>
                <w:color w:val="auto"/>
                <w:sz w:val="24"/>
                <w:szCs w:val="24"/>
                <w:highlight w:val="none"/>
              </w:rPr>
              <w:t>检测时无需输入病人身高、体重即可真实呈现测量数值，检测结果不受身高体重影响。</w:t>
            </w:r>
          </w:p>
        </w:tc>
        <w:tc>
          <w:tcPr>
            <w:tcW w:w="713" w:type="pct"/>
          </w:tcPr>
          <w:p w14:paraId="2A1CC161">
            <w:pPr>
              <w:spacing w:line="360" w:lineRule="atLeast"/>
              <w:rPr>
                <w:rFonts w:ascii="宋体" w:hAnsi="宋体" w:cs="宋体"/>
                <w:bCs/>
                <w:color w:val="auto"/>
                <w:sz w:val="24"/>
                <w:szCs w:val="24"/>
                <w:highlight w:val="none"/>
              </w:rPr>
            </w:pPr>
          </w:p>
        </w:tc>
      </w:tr>
      <w:tr w14:paraId="19C6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52AA0B5B">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2.19</w:t>
            </w:r>
          </w:p>
        </w:tc>
        <w:tc>
          <w:tcPr>
            <w:tcW w:w="3636" w:type="pct"/>
          </w:tcPr>
          <w:p w14:paraId="6FB93AA6">
            <w:pPr>
              <w:spacing w:after="60" w:line="360" w:lineRule="atLeast"/>
              <w:rPr>
                <w:rFonts w:ascii="宋体" w:hAnsi="宋体" w:cs="宋体"/>
                <w:b/>
                <w:color w:val="auto"/>
                <w:sz w:val="24"/>
                <w:szCs w:val="24"/>
                <w:highlight w:val="none"/>
              </w:rPr>
            </w:pPr>
            <w:r>
              <w:rPr>
                <w:rFonts w:hint="eastAsia"/>
                <w:color w:val="auto"/>
                <w:sz w:val="24"/>
                <w:szCs w:val="24"/>
                <w:highlight w:val="none"/>
              </w:rPr>
              <w:t>探头智能检测深度范围至少包含 25mm-65mm</w:t>
            </w:r>
          </w:p>
        </w:tc>
        <w:tc>
          <w:tcPr>
            <w:tcW w:w="713" w:type="pct"/>
          </w:tcPr>
          <w:p w14:paraId="575F1350">
            <w:pPr>
              <w:spacing w:line="360" w:lineRule="atLeast"/>
              <w:rPr>
                <w:rFonts w:ascii="宋体" w:hAnsi="宋体" w:cs="宋体"/>
                <w:bCs/>
                <w:color w:val="auto"/>
                <w:sz w:val="24"/>
                <w:szCs w:val="24"/>
                <w:highlight w:val="none"/>
              </w:rPr>
            </w:pPr>
          </w:p>
        </w:tc>
      </w:tr>
      <w:tr w14:paraId="4C4D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70101476">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w:t>
            </w:r>
            <w:r>
              <w:rPr>
                <w:color w:val="auto"/>
                <w:sz w:val="24"/>
                <w:szCs w:val="24"/>
                <w:highlight w:val="none"/>
              </w:rPr>
              <w:t>2</w:t>
            </w:r>
            <w:r>
              <w:rPr>
                <w:rFonts w:hint="eastAsia"/>
                <w:color w:val="auto"/>
                <w:sz w:val="24"/>
                <w:szCs w:val="24"/>
                <w:highlight w:val="none"/>
              </w:rPr>
              <w:t>0</w:t>
            </w:r>
          </w:p>
        </w:tc>
        <w:tc>
          <w:tcPr>
            <w:tcW w:w="3636" w:type="pct"/>
          </w:tcPr>
          <w:p w14:paraId="410960FF">
            <w:pPr>
              <w:spacing w:after="60" w:line="360" w:lineRule="atLeast"/>
              <w:rPr>
                <w:rFonts w:ascii="宋体" w:hAnsi="宋体" w:cs="宋体"/>
                <w:b/>
                <w:color w:val="auto"/>
                <w:sz w:val="24"/>
                <w:szCs w:val="24"/>
                <w:highlight w:val="none"/>
              </w:rPr>
            </w:pPr>
            <w:r>
              <w:rPr>
                <w:rFonts w:hint="eastAsia"/>
                <w:color w:val="auto"/>
                <w:sz w:val="24"/>
                <w:szCs w:val="24"/>
                <w:highlight w:val="none"/>
              </w:rPr>
              <w:t>硬度检测值范围至少包含 2kPa-70kPa</w:t>
            </w:r>
          </w:p>
        </w:tc>
        <w:tc>
          <w:tcPr>
            <w:tcW w:w="713" w:type="pct"/>
          </w:tcPr>
          <w:p w14:paraId="12B877CC">
            <w:pPr>
              <w:spacing w:line="360" w:lineRule="atLeast"/>
              <w:rPr>
                <w:rFonts w:ascii="宋体" w:hAnsi="宋体" w:cs="宋体"/>
                <w:bCs/>
                <w:color w:val="auto"/>
                <w:sz w:val="24"/>
                <w:szCs w:val="24"/>
                <w:highlight w:val="none"/>
              </w:rPr>
            </w:pPr>
          </w:p>
        </w:tc>
      </w:tr>
      <w:tr w14:paraId="0412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21A5962C">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2.21</w:t>
            </w:r>
          </w:p>
        </w:tc>
        <w:tc>
          <w:tcPr>
            <w:tcW w:w="3636" w:type="pct"/>
          </w:tcPr>
          <w:p w14:paraId="2116B8AD">
            <w:pPr>
              <w:spacing w:after="60" w:line="360" w:lineRule="atLeast"/>
              <w:rPr>
                <w:rFonts w:ascii="宋体" w:hAnsi="宋体" w:cs="宋体"/>
                <w:b/>
                <w:color w:val="auto"/>
                <w:sz w:val="24"/>
                <w:szCs w:val="24"/>
                <w:highlight w:val="none"/>
              </w:rPr>
            </w:pPr>
            <w:r>
              <w:rPr>
                <w:rFonts w:hint="eastAsia"/>
                <w:color w:val="auto"/>
                <w:sz w:val="24"/>
                <w:szCs w:val="24"/>
                <w:highlight w:val="none"/>
              </w:rPr>
              <w:t>声衰减参数检测值范围至少包含 100dB/m-350dB/m</w:t>
            </w:r>
          </w:p>
        </w:tc>
        <w:tc>
          <w:tcPr>
            <w:tcW w:w="713" w:type="pct"/>
          </w:tcPr>
          <w:p w14:paraId="5B13BB54">
            <w:pPr>
              <w:spacing w:line="360" w:lineRule="atLeast"/>
              <w:rPr>
                <w:rFonts w:ascii="宋体" w:hAnsi="宋体" w:cs="宋体"/>
                <w:bCs/>
                <w:color w:val="auto"/>
                <w:sz w:val="24"/>
                <w:szCs w:val="24"/>
                <w:highlight w:val="none"/>
              </w:rPr>
            </w:pPr>
          </w:p>
        </w:tc>
      </w:tr>
      <w:tr w14:paraId="7FC9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77ABDF2E">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w:t>
            </w:r>
            <w:r>
              <w:rPr>
                <w:color w:val="auto"/>
                <w:sz w:val="24"/>
                <w:szCs w:val="24"/>
                <w:highlight w:val="none"/>
              </w:rPr>
              <w:t>2</w:t>
            </w:r>
            <w:r>
              <w:rPr>
                <w:rFonts w:hint="eastAsia"/>
                <w:color w:val="auto"/>
                <w:sz w:val="24"/>
                <w:szCs w:val="24"/>
                <w:highlight w:val="none"/>
              </w:rPr>
              <w:t>2</w:t>
            </w:r>
          </w:p>
        </w:tc>
        <w:tc>
          <w:tcPr>
            <w:tcW w:w="3636" w:type="pct"/>
          </w:tcPr>
          <w:p w14:paraId="3CFCAEF3">
            <w:pPr>
              <w:spacing w:after="60" w:line="360" w:lineRule="atLeast"/>
              <w:rPr>
                <w:rFonts w:ascii="宋体" w:hAnsi="宋体" w:cs="宋体"/>
                <w:b/>
                <w:color w:val="auto"/>
                <w:sz w:val="24"/>
                <w:szCs w:val="24"/>
                <w:highlight w:val="none"/>
              </w:rPr>
            </w:pPr>
            <w:r>
              <w:rPr>
                <w:rFonts w:hint="eastAsia"/>
                <w:color w:val="auto"/>
                <w:sz w:val="24"/>
                <w:szCs w:val="24"/>
                <w:highlight w:val="none"/>
              </w:rPr>
              <w:t>支持B模式下ROI调节</w:t>
            </w:r>
          </w:p>
        </w:tc>
        <w:tc>
          <w:tcPr>
            <w:tcW w:w="713" w:type="pct"/>
          </w:tcPr>
          <w:p w14:paraId="32DD849C">
            <w:pPr>
              <w:spacing w:line="360" w:lineRule="atLeast"/>
              <w:rPr>
                <w:rFonts w:ascii="宋体" w:hAnsi="宋体" w:cs="宋体"/>
                <w:bCs/>
                <w:color w:val="auto"/>
                <w:sz w:val="24"/>
                <w:szCs w:val="24"/>
                <w:highlight w:val="none"/>
              </w:rPr>
            </w:pPr>
          </w:p>
        </w:tc>
      </w:tr>
      <w:tr w14:paraId="20E5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5DB02407">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w:t>
            </w:r>
            <w:r>
              <w:rPr>
                <w:color w:val="auto"/>
                <w:sz w:val="24"/>
                <w:szCs w:val="24"/>
                <w:highlight w:val="none"/>
              </w:rPr>
              <w:t>2</w:t>
            </w:r>
            <w:r>
              <w:rPr>
                <w:rFonts w:hint="eastAsia"/>
                <w:color w:val="auto"/>
                <w:sz w:val="24"/>
                <w:szCs w:val="24"/>
                <w:highlight w:val="none"/>
              </w:rPr>
              <w:t>3</w:t>
            </w:r>
          </w:p>
        </w:tc>
        <w:tc>
          <w:tcPr>
            <w:tcW w:w="3636" w:type="pct"/>
          </w:tcPr>
          <w:p w14:paraId="63985FBB">
            <w:pPr>
              <w:spacing w:after="60" w:line="360" w:lineRule="atLeast"/>
              <w:rPr>
                <w:rFonts w:ascii="宋体" w:hAnsi="宋体" w:cs="宋体"/>
                <w:b/>
                <w:color w:val="auto"/>
                <w:sz w:val="24"/>
                <w:szCs w:val="24"/>
                <w:highlight w:val="none"/>
              </w:rPr>
            </w:pPr>
            <w:r>
              <w:rPr>
                <w:rFonts w:hint="eastAsia"/>
                <w:color w:val="auto"/>
                <w:sz w:val="24"/>
                <w:szCs w:val="24"/>
                <w:highlight w:val="none"/>
              </w:rPr>
              <w:t>侧向分辨力应≤3mm（深度≤80)，≤4mm（80&lt;深度≤130)</w:t>
            </w:r>
          </w:p>
        </w:tc>
        <w:tc>
          <w:tcPr>
            <w:tcW w:w="713" w:type="pct"/>
          </w:tcPr>
          <w:p w14:paraId="3540F08E">
            <w:pPr>
              <w:spacing w:line="360" w:lineRule="atLeast"/>
              <w:rPr>
                <w:rFonts w:ascii="宋体" w:hAnsi="宋体" w:cs="宋体"/>
                <w:bCs/>
                <w:color w:val="auto"/>
                <w:sz w:val="24"/>
                <w:szCs w:val="24"/>
                <w:highlight w:val="none"/>
              </w:rPr>
            </w:pPr>
          </w:p>
        </w:tc>
      </w:tr>
      <w:tr w14:paraId="2D1A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74F2A16F">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w:t>
            </w:r>
            <w:r>
              <w:rPr>
                <w:color w:val="auto"/>
                <w:sz w:val="24"/>
                <w:szCs w:val="24"/>
                <w:highlight w:val="none"/>
              </w:rPr>
              <w:t>2</w:t>
            </w:r>
            <w:r>
              <w:rPr>
                <w:rFonts w:hint="eastAsia"/>
                <w:color w:val="auto"/>
                <w:sz w:val="24"/>
                <w:szCs w:val="24"/>
                <w:highlight w:val="none"/>
              </w:rPr>
              <w:t>4</w:t>
            </w:r>
          </w:p>
        </w:tc>
        <w:tc>
          <w:tcPr>
            <w:tcW w:w="3636" w:type="pct"/>
          </w:tcPr>
          <w:p w14:paraId="369FD504">
            <w:pPr>
              <w:spacing w:after="60" w:line="360" w:lineRule="atLeast"/>
              <w:rPr>
                <w:rFonts w:ascii="宋体" w:hAnsi="宋体" w:cs="宋体"/>
                <w:b/>
                <w:color w:val="auto"/>
                <w:sz w:val="24"/>
                <w:szCs w:val="24"/>
                <w:highlight w:val="none"/>
              </w:rPr>
            </w:pPr>
            <w:r>
              <w:rPr>
                <w:rFonts w:hint="eastAsia"/>
                <w:color w:val="auto"/>
                <w:sz w:val="24"/>
                <w:szCs w:val="24"/>
                <w:highlight w:val="none"/>
              </w:rPr>
              <w:t>盲区应≤8mm</w:t>
            </w:r>
          </w:p>
        </w:tc>
        <w:tc>
          <w:tcPr>
            <w:tcW w:w="713" w:type="pct"/>
          </w:tcPr>
          <w:p w14:paraId="73C77C3A">
            <w:pPr>
              <w:spacing w:line="360" w:lineRule="atLeast"/>
              <w:rPr>
                <w:rFonts w:ascii="宋体" w:hAnsi="宋体" w:cs="宋体"/>
                <w:bCs/>
                <w:color w:val="auto"/>
                <w:sz w:val="24"/>
                <w:szCs w:val="24"/>
                <w:highlight w:val="none"/>
              </w:rPr>
            </w:pPr>
          </w:p>
        </w:tc>
      </w:tr>
      <w:tr w14:paraId="3B5B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69E7953E">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w:t>
            </w:r>
            <w:r>
              <w:rPr>
                <w:color w:val="auto"/>
                <w:sz w:val="24"/>
                <w:szCs w:val="24"/>
                <w:highlight w:val="none"/>
              </w:rPr>
              <w:t>2</w:t>
            </w:r>
            <w:r>
              <w:rPr>
                <w:rFonts w:hint="eastAsia"/>
                <w:color w:val="auto"/>
                <w:sz w:val="24"/>
                <w:szCs w:val="24"/>
                <w:highlight w:val="none"/>
              </w:rPr>
              <w:t>5</w:t>
            </w:r>
          </w:p>
        </w:tc>
        <w:tc>
          <w:tcPr>
            <w:tcW w:w="3636" w:type="pct"/>
          </w:tcPr>
          <w:p w14:paraId="011562B1">
            <w:pPr>
              <w:spacing w:after="60" w:line="360" w:lineRule="atLeast"/>
              <w:rPr>
                <w:rFonts w:ascii="宋体" w:hAnsi="宋体" w:cs="宋体"/>
                <w:b/>
                <w:color w:val="auto"/>
                <w:sz w:val="24"/>
                <w:szCs w:val="24"/>
                <w:highlight w:val="none"/>
              </w:rPr>
            </w:pPr>
            <w:r>
              <w:rPr>
                <w:rFonts w:hint="eastAsia"/>
                <w:color w:val="auto"/>
                <w:sz w:val="24"/>
                <w:szCs w:val="24"/>
                <w:highlight w:val="none"/>
              </w:rPr>
              <w:t>横向几何位置精度≤20%</w:t>
            </w:r>
          </w:p>
        </w:tc>
        <w:tc>
          <w:tcPr>
            <w:tcW w:w="713" w:type="pct"/>
          </w:tcPr>
          <w:p w14:paraId="5538E6E3">
            <w:pPr>
              <w:spacing w:line="360" w:lineRule="atLeast"/>
              <w:rPr>
                <w:rFonts w:ascii="宋体" w:hAnsi="宋体" w:cs="宋体"/>
                <w:bCs/>
                <w:color w:val="auto"/>
                <w:sz w:val="24"/>
                <w:szCs w:val="24"/>
                <w:highlight w:val="none"/>
              </w:rPr>
            </w:pPr>
          </w:p>
        </w:tc>
      </w:tr>
      <w:tr w14:paraId="79F8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65A0EC04">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w:t>
            </w:r>
            <w:r>
              <w:rPr>
                <w:color w:val="auto"/>
                <w:sz w:val="24"/>
                <w:szCs w:val="24"/>
                <w:highlight w:val="none"/>
              </w:rPr>
              <w:t>2</w:t>
            </w:r>
            <w:r>
              <w:rPr>
                <w:rFonts w:hint="eastAsia"/>
                <w:color w:val="auto"/>
                <w:sz w:val="24"/>
                <w:szCs w:val="24"/>
                <w:highlight w:val="none"/>
              </w:rPr>
              <w:t>6</w:t>
            </w:r>
          </w:p>
        </w:tc>
        <w:tc>
          <w:tcPr>
            <w:tcW w:w="3636" w:type="pct"/>
          </w:tcPr>
          <w:p w14:paraId="2A098606">
            <w:pPr>
              <w:spacing w:after="60" w:line="360" w:lineRule="atLeast"/>
              <w:rPr>
                <w:rFonts w:ascii="宋体" w:hAnsi="宋体" w:cs="宋体"/>
                <w:b/>
                <w:color w:val="auto"/>
                <w:sz w:val="24"/>
                <w:szCs w:val="24"/>
                <w:highlight w:val="none"/>
              </w:rPr>
            </w:pPr>
            <w:r>
              <w:rPr>
                <w:rFonts w:hint="eastAsia"/>
                <w:color w:val="auto"/>
                <w:sz w:val="24"/>
                <w:szCs w:val="24"/>
                <w:highlight w:val="none"/>
              </w:rPr>
              <w:t>纵向几何位置精度≤10%</w:t>
            </w:r>
          </w:p>
        </w:tc>
        <w:tc>
          <w:tcPr>
            <w:tcW w:w="713" w:type="pct"/>
          </w:tcPr>
          <w:p w14:paraId="18B37186">
            <w:pPr>
              <w:spacing w:line="360" w:lineRule="atLeast"/>
              <w:rPr>
                <w:rFonts w:ascii="宋体" w:hAnsi="宋体" w:cs="宋体"/>
                <w:bCs/>
                <w:color w:val="auto"/>
                <w:sz w:val="24"/>
                <w:szCs w:val="24"/>
                <w:highlight w:val="none"/>
              </w:rPr>
            </w:pPr>
          </w:p>
        </w:tc>
      </w:tr>
      <w:tr w14:paraId="7039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6CAEE5A1">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2.27</w:t>
            </w:r>
          </w:p>
        </w:tc>
        <w:tc>
          <w:tcPr>
            <w:tcW w:w="3636" w:type="pct"/>
          </w:tcPr>
          <w:p w14:paraId="306E8BE0">
            <w:pPr>
              <w:spacing w:after="60" w:line="360" w:lineRule="atLeast"/>
              <w:rPr>
                <w:rFonts w:ascii="宋体" w:hAnsi="宋体" w:cs="宋体"/>
                <w:b/>
                <w:color w:val="auto"/>
                <w:sz w:val="24"/>
                <w:szCs w:val="24"/>
                <w:highlight w:val="none"/>
              </w:rPr>
            </w:pPr>
            <w:r>
              <w:rPr>
                <w:rFonts w:hint="eastAsia"/>
                <w:color w:val="auto"/>
                <w:sz w:val="24"/>
                <w:szCs w:val="24"/>
                <w:highlight w:val="none"/>
              </w:rPr>
              <w:t>最大探测深度≥80mm</w:t>
            </w:r>
          </w:p>
        </w:tc>
        <w:tc>
          <w:tcPr>
            <w:tcW w:w="713" w:type="pct"/>
          </w:tcPr>
          <w:p w14:paraId="61EDF34F">
            <w:pPr>
              <w:spacing w:line="360" w:lineRule="atLeast"/>
              <w:rPr>
                <w:rFonts w:ascii="宋体" w:hAnsi="宋体" w:cs="宋体"/>
                <w:bCs/>
                <w:color w:val="auto"/>
                <w:sz w:val="24"/>
                <w:szCs w:val="24"/>
                <w:highlight w:val="none"/>
              </w:rPr>
            </w:pPr>
          </w:p>
        </w:tc>
      </w:tr>
      <w:tr w14:paraId="4EC5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0BC061BA">
            <w:pPr>
              <w:spacing w:after="60" w:line="360" w:lineRule="atLeast"/>
              <w:ind w:left="72" w:right="72"/>
              <w:jc w:val="center"/>
              <w:rPr>
                <w:rFonts w:ascii="宋体" w:hAnsi="宋体" w:cs="宋体"/>
                <w:color w:val="auto"/>
                <w:sz w:val="24"/>
                <w:szCs w:val="24"/>
                <w:highlight w:val="none"/>
              </w:rPr>
            </w:pPr>
            <w:r>
              <w:rPr>
                <w:rFonts w:hint="eastAsia"/>
                <w:color w:val="auto"/>
                <w:sz w:val="24"/>
                <w:szCs w:val="24"/>
                <w:highlight w:val="none"/>
              </w:rPr>
              <w:t>2.28</w:t>
            </w:r>
          </w:p>
        </w:tc>
        <w:tc>
          <w:tcPr>
            <w:tcW w:w="3636" w:type="pct"/>
          </w:tcPr>
          <w:p w14:paraId="1755C5C7">
            <w:pPr>
              <w:spacing w:after="60" w:line="360" w:lineRule="atLeast"/>
              <w:rPr>
                <w:rFonts w:ascii="宋体" w:hAnsi="宋体" w:cs="宋体"/>
                <w:b/>
                <w:color w:val="auto"/>
                <w:sz w:val="24"/>
                <w:szCs w:val="24"/>
                <w:highlight w:val="none"/>
              </w:rPr>
            </w:pPr>
            <w:r>
              <w:rPr>
                <w:rFonts w:hint="eastAsia"/>
                <w:color w:val="auto"/>
                <w:sz w:val="24"/>
                <w:szCs w:val="24"/>
                <w:highlight w:val="none"/>
              </w:rPr>
              <w:t>支持病例导出、病历管理、病例搜索等功能</w:t>
            </w:r>
          </w:p>
        </w:tc>
        <w:tc>
          <w:tcPr>
            <w:tcW w:w="713" w:type="pct"/>
          </w:tcPr>
          <w:p w14:paraId="320B5849">
            <w:pPr>
              <w:spacing w:line="360" w:lineRule="atLeast"/>
              <w:rPr>
                <w:rFonts w:ascii="宋体" w:hAnsi="宋体" w:cs="宋体"/>
                <w:bCs/>
                <w:color w:val="auto"/>
                <w:sz w:val="24"/>
                <w:szCs w:val="24"/>
                <w:highlight w:val="none"/>
              </w:rPr>
            </w:pPr>
          </w:p>
        </w:tc>
      </w:tr>
      <w:tr w14:paraId="5B10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142ECF7F">
            <w:pPr>
              <w:spacing w:after="60" w:line="360" w:lineRule="atLeast"/>
              <w:ind w:left="72" w:right="72"/>
              <w:jc w:val="center"/>
              <w:rPr>
                <w:rFonts w:hint="eastAsia"/>
                <w:color w:val="auto"/>
                <w:sz w:val="24"/>
                <w:szCs w:val="24"/>
                <w:highlight w:val="none"/>
              </w:rPr>
            </w:pPr>
            <w:r>
              <w:rPr>
                <w:rFonts w:hint="eastAsia" w:ascii="宋体" w:hAnsi="宋体" w:cs="宋体"/>
                <w:color w:val="auto"/>
                <w:sz w:val="24"/>
                <w:szCs w:val="24"/>
                <w:highlight w:val="none"/>
              </w:rPr>
              <w:t>▲</w:t>
            </w:r>
            <w:r>
              <w:rPr>
                <w:rFonts w:hint="eastAsia"/>
                <w:color w:val="auto"/>
                <w:sz w:val="24"/>
                <w:szCs w:val="24"/>
                <w:highlight w:val="none"/>
              </w:rPr>
              <w:t>2.29</w:t>
            </w:r>
          </w:p>
        </w:tc>
        <w:tc>
          <w:tcPr>
            <w:tcW w:w="3636" w:type="pct"/>
          </w:tcPr>
          <w:p w14:paraId="5AB49FE2">
            <w:pPr>
              <w:spacing w:after="60" w:line="360" w:lineRule="atLeast"/>
              <w:rPr>
                <w:rFonts w:hint="eastAsia"/>
                <w:color w:val="auto"/>
                <w:sz w:val="24"/>
                <w:szCs w:val="24"/>
                <w:highlight w:val="none"/>
              </w:rPr>
            </w:pPr>
            <w:r>
              <w:rPr>
                <w:rFonts w:hint="eastAsia"/>
                <w:color w:val="auto"/>
                <w:sz w:val="24"/>
                <w:szCs w:val="24"/>
                <w:highlight w:val="none"/>
              </w:rPr>
              <w:t>承担与医院HIS系统对接的接口费用。</w:t>
            </w:r>
          </w:p>
        </w:tc>
        <w:tc>
          <w:tcPr>
            <w:tcW w:w="713" w:type="pct"/>
          </w:tcPr>
          <w:p w14:paraId="1E208DE7">
            <w:pPr>
              <w:spacing w:line="360" w:lineRule="atLeast"/>
              <w:rPr>
                <w:rFonts w:ascii="宋体" w:hAnsi="宋体" w:cs="宋体"/>
                <w:bCs/>
                <w:color w:val="auto"/>
                <w:sz w:val="24"/>
                <w:szCs w:val="24"/>
                <w:highlight w:val="none"/>
              </w:rPr>
            </w:pPr>
          </w:p>
        </w:tc>
      </w:tr>
      <w:tr w14:paraId="2656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tcPr>
          <w:p w14:paraId="0526C3B5">
            <w:pPr>
              <w:spacing w:line="360" w:lineRule="atLeast"/>
              <w:jc w:val="center"/>
              <w:rPr>
                <w:rFonts w:ascii="宋体" w:hAnsi="宋体" w:cs="宋体"/>
                <w:color w:val="auto"/>
                <w:sz w:val="24"/>
                <w:szCs w:val="24"/>
                <w:highlight w:val="none"/>
              </w:rPr>
            </w:pPr>
            <w:r>
              <w:rPr>
                <w:rFonts w:hint="eastAsia" w:ascii="宋体" w:hAnsi="宋体" w:cs="宋体"/>
                <w:b/>
                <w:color w:val="auto"/>
                <w:spacing w:val="-2"/>
                <w:sz w:val="24"/>
                <w:szCs w:val="24"/>
                <w:highlight w:val="none"/>
              </w:rPr>
              <w:t>三、</w:t>
            </w:r>
          </w:p>
        </w:tc>
        <w:tc>
          <w:tcPr>
            <w:tcW w:w="3636" w:type="pct"/>
          </w:tcPr>
          <w:p w14:paraId="29F4E835">
            <w:pPr>
              <w:spacing w:line="360" w:lineRule="atLeast"/>
              <w:ind w:left="482" w:hanging="482" w:hangingChars="20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配置要求：</w:t>
            </w:r>
          </w:p>
        </w:tc>
        <w:tc>
          <w:tcPr>
            <w:tcW w:w="713" w:type="pct"/>
          </w:tcPr>
          <w:p w14:paraId="017C72AE">
            <w:pPr>
              <w:spacing w:line="360" w:lineRule="atLeast"/>
              <w:rPr>
                <w:rFonts w:ascii="宋体" w:hAnsi="宋体" w:cs="宋体"/>
                <w:bCs/>
                <w:color w:val="auto"/>
                <w:sz w:val="24"/>
                <w:szCs w:val="24"/>
                <w:highlight w:val="none"/>
              </w:rPr>
            </w:pPr>
          </w:p>
        </w:tc>
      </w:tr>
      <w:tr w14:paraId="04A6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1A8DCE7B">
            <w:pPr>
              <w:spacing w:after="60" w:line="360" w:lineRule="atLeast"/>
              <w:ind w:left="72" w:right="72"/>
              <w:jc w:val="center"/>
              <w:rPr>
                <w:color w:val="auto"/>
                <w:sz w:val="24"/>
                <w:szCs w:val="24"/>
                <w:highlight w:val="none"/>
              </w:rPr>
            </w:pPr>
            <w:r>
              <w:rPr>
                <w:rFonts w:hint="eastAsia"/>
                <w:color w:val="auto"/>
                <w:sz w:val="24"/>
                <w:szCs w:val="24"/>
                <w:highlight w:val="none"/>
              </w:rPr>
              <w:t>3.1</w:t>
            </w:r>
          </w:p>
        </w:tc>
        <w:tc>
          <w:tcPr>
            <w:tcW w:w="3636" w:type="pct"/>
          </w:tcPr>
          <w:p w14:paraId="7213AD58">
            <w:pPr>
              <w:autoSpaceDE w:val="0"/>
              <w:autoSpaceDN w:val="0"/>
              <w:adjustRightInd w:val="0"/>
              <w:spacing w:line="360" w:lineRule="atLeast"/>
              <w:rPr>
                <w:rFonts w:ascii="宋体" w:hAnsi="宋体" w:cs="宋体"/>
                <w:bCs/>
                <w:color w:val="auto"/>
                <w:sz w:val="24"/>
                <w:szCs w:val="24"/>
                <w:highlight w:val="none"/>
              </w:rPr>
            </w:pPr>
            <w:r>
              <w:rPr>
                <w:rFonts w:hint="eastAsia" w:ascii="宋体" w:hAnsi="宋体" w:cs="宋体"/>
                <w:bCs/>
                <w:color w:val="auto"/>
                <w:sz w:val="24"/>
                <w:szCs w:val="24"/>
                <w:highlight w:val="none"/>
              </w:rPr>
              <w:t>无创肝纤维化和脂肪变量化检测系统1套，包含：主机1台，探头1把，主机工作站1套及配套系统软件。</w:t>
            </w:r>
          </w:p>
        </w:tc>
        <w:tc>
          <w:tcPr>
            <w:tcW w:w="713" w:type="pct"/>
          </w:tcPr>
          <w:p w14:paraId="48659BBC">
            <w:pPr>
              <w:autoSpaceDE w:val="0"/>
              <w:autoSpaceDN w:val="0"/>
              <w:adjustRightInd w:val="0"/>
              <w:spacing w:line="360" w:lineRule="atLeast"/>
              <w:rPr>
                <w:rFonts w:ascii="宋体" w:hAnsi="宋体" w:cs="宋体"/>
                <w:bCs/>
                <w:color w:val="auto"/>
                <w:sz w:val="24"/>
                <w:szCs w:val="24"/>
                <w:highlight w:val="none"/>
                <w:lang w:val="zh-CN"/>
              </w:rPr>
            </w:pPr>
          </w:p>
        </w:tc>
      </w:tr>
      <w:tr w14:paraId="5787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390053DC">
            <w:pPr>
              <w:spacing w:after="60" w:line="360" w:lineRule="atLeast"/>
              <w:ind w:left="72" w:right="72"/>
              <w:jc w:val="center"/>
              <w:rPr>
                <w:color w:val="auto"/>
                <w:sz w:val="24"/>
                <w:szCs w:val="24"/>
                <w:highlight w:val="none"/>
              </w:rPr>
            </w:pPr>
            <w:r>
              <w:rPr>
                <w:rFonts w:hint="eastAsia"/>
                <w:color w:val="auto"/>
                <w:sz w:val="24"/>
                <w:szCs w:val="24"/>
                <w:highlight w:val="none"/>
              </w:rPr>
              <w:t>3.2</w:t>
            </w:r>
          </w:p>
        </w:tc>
        <w:tc>
          <w:tcPr>
            <w:tcW w:w="3636" w:type="pct"/>
          </w:tcPr>
          <w:p w14:paraId="16043D7C">
            <w:pPr>
              <w:autoSpaceDE w:val="0"/>
              <w:autoSpaceDN w:val="0"/>
              <w:adjustRightInd w:val="0"/>
              <w:spacing w:line="360" w:lineRule="atLeast"/>
              <w:rPr>
                <w:rFonts w:ascii="宋体" w:hAnsi="宋体" w:cs="宋体"/>
                <w:bCs/>
                <w:color w:val="auto"/>
                <w:sz w:val="24"/>
                <w:szCs w:val="24"/>
                <w:highlight w:val="none"/>
              </w:rPr>
            </w:pPr>
            <w:r>
              <w:rPr>
                <w:rFonts w:hint="eastAsia" w:ascii="宋体" w:hAnsi="宋体" w:cs="宋体"/>
                <w:bCs/>
                <w:color w:val="auto"/>
                <w:sz w:val="24"/>
                <w:szCs w:val="24"/>
                <w:highlight w:val="none"/>
              </w:rPr>
              <w:t>列出详细的设备配置清单，并提供所有选配件和必备附件及消耗品的价格清单（包含规格型号、价格，并提供价格的折扣率），未列出的选项即表示已包含在投标总价中。</w:t>
            </w:r>
          </w:p>
        </w:tc>
        <w:tc>
          <w:tcPr>
            <w:tcW w:w="713" w:type="pct"/>
          </w:tcPr>
          <w:p w14:paraId="50AAF51B">
            <w:pPr>
              <w:autoSpaceDE w:val="0"/>
              <w:autoSpaceDN w:val="0"/>
              <w:adjustRightInd w:val="0"/>
              <w:spacing w:line="360" w:lineRule="atLeast"/>
              <w:rPr>
                <w:rFonts w:ascii="宋体" w:hAnsi="宋体" w:cs="宋体"/>
                <w:bCs/>
                <w:color w:val="auto"/>
                <w:sz w:val="24"/>
                <w:szCs w:val="24"/>
                <w:highlight w:val="none"/>
                <w:lang w:val="zh-CN"/>
              </w:rPr>
            </w:pPr>
          </w:p>
        </w:tc>
      </w:tr>
      <w:tr w14:paraId="0FFD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50" w:type="pct"/>
            <w:vAlign w:val="center"/>
          </w:tcPr>
          <w:p w14:paraId="007FD468">
            <w:pPr>
              <w:spacing w:after="60" w:line="360" w:lineRule="atLeast"/>
              <w:ind w:left="72" w:right="72"/>
              <w:jc w:val="center"/>
              <w:rPr>
                <w:color w:val="auto"/>
                <w:sz w:val="24"/>
                <w:szCs w:val="24"/>
                <w:highlight w:val="none"/>
              </w:rPr>
            </w:pPr>
            <w:r>
              <w:rPr>
                <w:rFonts w:hint="eastAsia"/>
                <w:color w:val="auto"/>
                <w:sz w:val="24"/>
                <w:szCs w:val="24"/>
                <w:highlight w:val="none"/>
              </w:rPr>
              <w:t>3.3</w:t>
            </w:r>
          </w:p>
        </w:tc>
        <w:tc>
          <w:tcPr>
            <w:tcW w:w="3636" w:type="pct"/>
          </w:tcPr>
          <w:p w14:paraId="198CB1B5">
            <w:pPr>
              <w:autoSpaceDE w:val="0"/>
              <w:autoSpaceDN w:val="0"/>
              <w:adjustRightInd w:val="0"/>
              <w:spacing w:line="360" w:lineRule="atLeast"/>
              <w:rPr>
                <w:rFonts w:ascii="宋体" w:hAnsi="宋体" w:cs="宋体"/>
                <w:bCs/>
                <w:color w:val="auto"/>
                <w:sz w:val="24"/>
                <w:szCs w:val="24"/>
                <w:highlight w:val="none"/>
              </w:rPr>
            </w:pPr>
            <w:r>
              <w:rPr>
                <w:rFonts w:hint="eastAsia" w:ascii="宋体" w:hAnsi="宋体" w:cs="宋体"/>
                <w:bCs/>
                <w:color w:val="auto"/>
                <w:sz w:val="24"/>
                <w:szCs w:val="24"/>
                <w:highlight w:val="none"/>
              </w:rPr>
              <w:t>招标文件中未提及的但属标配的功能、软件及配件等均应无条件提供。</w:t>
            </w:r>
          </w:p>
        </w:tc>
        <w:tc>
          <w:tcPr>
            <w:tcW w:w="713" w:type="pct"/>
          </w:tcPr>
          <w:p w14:paraId="071F5FDD">
            <w:pPr>
              <w:autoSpaceDE w:val="0"/>
              <w:autoSpaceDN w:val="0"/>
              <w:adjustRightInd w:val="0"/>
              <w:spacing w:line="360" w:lineRule="atLeast"/>
              <w:rPr>
                <w:rFonts w:ascii="宋体" w:hAnsi="宋体" w:cs="宋体"/>
                <w:bCs/>
                <w:color w:val="auto"/>
                <w:sz w:val="24"/>
                <w:szCs w:val="24"/>
                <w:highlight w:val="none"/>
                <w:lang w:val="zh-CN"/>
              </w:rPr>
            </w:pPr>
          </w:p>
        </w:tc>
      </w:tr>
      <w:tr w14:paraId="146B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05B7280D">
            <w:pPr>
              <w:spacing w:after="60" w:line="360" w:lineRule="atLeast"/>
              <w:ind w:left="72" w:right="72"/>
              <w:jc w:val="center"/>
              <w:rPr>
                <w:color w:val="auto"/>
                <w:sz w:val="24"/>
                <w:szCs w:val="24"/>
                <w:highlight w:val="none"/>
              </w:rPr>
            </w:pPr>
            <w:r>
              <w:rPr>
                <w:rFonts w:hint="eastAsia"/>
                <w:color w:val="auto"/>
                <w:sz w:val="24"/>
                <w:szCs w:val="24"/>
                <w:highlight w:val="none"/>
              </w:rPr>
              <w:t>3.4</w:t>
            </w:r>
          </w:p>
        </w:tc>
        <w:tc>
          <w:tcPr>
            <w:tcW w:w="3636" w:type="pct"/>
          </w:tcPr>
          <w:p w14:paraId="59A5115F">
            <w:pPr>
              <w:autoSpaceDE w:val="0"/>
              <w:autoSpaceDN w:val="0"/>
              <w:adjustRightInd w:val="0"/>
              <w:spacing w:line="360" w:lineRule="atLeast"/>
              <w:rPr>
                <w:rFonts w:ascii="宋体" w:hAnsi="宋体" w:cs="宋体"/>
                <w:bCs/>
                <w:color w:val="auto"/>
                <w:sz w:val="24"/>
                <w:szCs w:val="24"/>
                <w:highlight w:val="none"/>
              </w:rPr>
            </w:pPr>
            <w:r>
              <w:rPr>
                <w:rFonts w:hint="eastAsia" w:ascii="宋体" w:hAnsi="宋体" w:cs="宋体"/>
                <w:bCs/>
                <w:color w:val="auto"/>
                <w:sz w:val="24"/>
                <w:szCs w:val="24"/>
                <w:highlight w:val="none"/>
              </w:rPr>
              <w:t>供应商对不含在投价总价中的功能列出清单，未在该清单中的所有功能视为已含在投标总价中。</w:t>
            </w:r>
          </w:p>
        </w:tc>
        <w:tc>
          <w:tcPr>
            <w:tcW w:w="713" w:type="pct"/>
          </w:tcPr>
          <w:p w14:paraId="082B69C9">
            <w:pPr>
              <w:spacing w:line="360" w:lineRule="atLeast"/>
              <w:rPr>
                <w:rFonts w:ascii="宋体" w:hAnsi="宋体" w:cs="宋体"/>
                <w:bCs/>
                <w:color w:val="auto"/>
                <w:sz w:val="24"/>
                <w:szCs w:val="24"/>
                <w:highlight w:val="none"/>
                <w:lang w:val="zh-CN"/>
              </w:rPr>
            </w:pPr>
          </w:p>
        </w:tc>
      </w:tr>
      <w:tr w14:paraId="18B0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tcPr>
          <w:p w14:paraId="38B39D2C">
            <w:pPr>
              <w:spacing w:line="360" w:lineRule="atLeast"/>
              <w:jc w:val="center"/>
              <w:rPr>
                <w:rFonts w:ascii="宋体" w:hAnsi="宋体" w:cs="宋体"/>
                <w:color w:val="auto"/>
                <w:sz w:val="24"/>
                <w:szCs w:val="24"/>
                <w:highlight w:val="none"/>
              </w:rPr>
            </w:pPr>
            <w:r>
              <w:rPr>
                <w:rFonts w:hint="eastAsia" w:ascii="宋体" w:hAnsi="宋体"/>
                <w:b/>
                <w:color w:val="auto"/>
                <w:sz w:val="24"/>
                <w:szCs w:val="24"/>
                <w:highlight w:val="none"/>
              </w:rPr>
              <w:t>四</w:t>
            </w:r>
          </w:p>
        </w:tc>
        <w:tc>
          <w:tcPr>
            <w:tcW w:w="3636" w:type="pct"/>
          </w:tcPr>
          <w:p w14:paraId="425CA1FA">
            <w:pPr>
              <w:spacing w:line="360" w:lineRule="atLeast"/>
              <w:ind w:left="482" w:hanging="482" w:hangingChars="200"/>
              <w:rPr>
                <w:rFonts w:ascii="宋体" w:hAnsi="宋体" w:cs="宋体"/>
                <w:b/>
                <w:color w:val="auto"/>
                <w:sz w:val="24"/>
                <w:szCs w:val="24"/>
                <w:highlight w:val="none"/>
                <w:lang w:val="zh-CN"/>
              </w:rPr>
            </w:pPr>
            <w:r>
              <w:rPr>
                <w:rFonts w:hint="eastAsia" w:ascii="宋体" w:hAnsi="宋体" w:cs="宋体"/>
                <w:b/>
                <w:color w:val="auto"/>
                <w:sz w:val="24"/>
                <w:szCs w:val="24"/>
                <w:highlight w:val="none"/>
              </w:rPr>
              <w:t>售后服务</w:t>
            </w:r>
            <w:r>
              <w:rPr>
                <w:rFonts w:hint="eastAsia" w:ascii="宋体" w:hAnsi="宋体" w:cs="宋体"/>
                <w:b/>
                <w:color w:val="auto"/>
                <w:sz w:val="24"/>
                <w:szCs w:val="24"/>
                <w:highlight w:val="none"/>
                <w:lang w:val="zh-CN"/>
              </w:rPr>
              <w:t>要求：</w:t>
            </w:r>
          </w:p>
        </w:tc>
        <w:tc>
          <w:tcPr>
            <w:tcW w:w="713" w:type="pct"/>
          </w:tcPr>
          <w:p w14:paraId="16BA4324">
            <w:pPr>
              <w:spacing w:line="360" w:lineRule="atLeast"/>
              <w:rPr>
                <w:rFonts w:ascii="宋体" w:hAnsi="宋体" w:cs="宋体"/>
                <w:bCs/>
                <w:color w:val="auto"/>
                <w:sz w:val="24"/>
                <w:szCs w:val="24"/>
                <w:highlight w:val="none"/>
                <w:lang w:val="zh-CN"/>
              </w:rPr>
            </w:pPr>
          </w:p>
        </w:tc>
      </w:tr>
      <w:tr w14:paraId="592F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7B5C8C0A">
            <w:pPr>
              <w:spacing w:after="60" w:line="360" w:lineRule="atLeast"/>
              <w:ind w:left="72" w:right="72"/>
              <w:jc w:val="center"/>
              <w:rPr>
                <w:color w:val="auto"/>
                <w:sz w:val="24"/>
                <w:szCs w:val="24"/>
                <w:highlight w:val="none"/>
              </w:rPr>
            </w:pPr>
            <w:r>
              <w:rPr>
                <w:rFonts w:hint="eastAsia"/>
                <w:color w:val="auto"/>
                <w:sz w:val="24"/>
                <w:szCs w:val="24"/>
                <w:highlight w:val="none"/>
              </w:rPr>
              <w:t>4.1</w:t>
            </w:r>
          </w:p>
        </w:tc>
        <w:tc>
          <w:tcPr>
            <w:tcW w:w="3636" w:type="pct"/>
            <w:vAlign w:val="center"/>
          </w:tcPr>
          <w:p w14:paraId="3E7EFFB1">
            <w:pPr>
              <w:widowControl/>
              <w:spacing w:line="360" w:lineRule="atLeast"/>
              <w:rPr>
                <w:rFonts w:ascii="宋体" w:hAnsi="宋体"/>
                <w:color w:val="auto"/>
                <w:sz w:val="24"/>
                <w:szCs w:val="24"/>
                <w:highlight w:val="none"/>
              </w:rPr>
            </w:pPr>
            <w:r>
              <w:rPr>
                <w:rFonts w:hint="eastAsia" w:ascii="宋体" w:hAnsi="宋体"/>
                <w:color w:val="auto"/>
                <w:sz w:val="24"/>
                <w:szCs w:val="24"/>
                <w:highlight w:val="none"/>
              </w:rPr>
              <w:t>保修期：设备验收合格后整机及附属设备免费保修≥5年（签订合同时附厂家或总代证明）</w:t>
            </w:r>
          </w:p>
        </w:tc>
        <w:tc>
          <w:tcPr>
            <w:tcW w:w="713" w:type="pct"/>
          </w:tcPr>
          <w:p w14:paraId="1303DFAC">
            <w:pPr>
              <w:spacing w:line="360" w:lineRule="atLeast"/>
              <w:rPr>
                <w:rFonts w:ascii="宋体" w:hAnsi="宋体" w:cs="宋体"/>
                <w:bCs/>
                <w:color w:val="auto"/>
                <w:sz w:val="24"/>
                <w:szCs w:val="24"/>
                <w:highlight w:val="none"/>
                <w:lang w:val="zh-CN"/>
              </w:rPr>
            </w:pPr>
          </w:p>
        </w:tc>
      </w:tr>
      <w:tr w14:paraId="216A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1E6516F5">
            <w:pPr>
              <w:spacing w:after="60" w:line="360" w:lineRule="atLeast"/>
              <w:ind w:left="72" w:right="72"/>
              <w:jc w:val="center"/>
              <w:rPr>
                <w:color w:val="auto"/>
                <w:sz w:val="24"/>
                <w:szCs w:val="24"/>
                <w:highlight w:val="none"/>
              </w:rPr>
            </w:pPr>
            <w:r>
              <w:rPr>
                <w:rFonts w:hint="eastAsia"/>
                <w:color w:val="auto"/>
                <w:sz w:val="24"/>
                <w:szCs w:val="24"/>
                <w:highlight w:val="none"/>
              </w:rPr>
              <w:t>4.2</w:t>
            </w:r>
          </w:p>
        </w:tc>
        <w:tc>
          <w:tcPr>
            <w:tcW w:w="3636" w:type="pct"/>
            <w:vAlign w:val="center"/>
          </w:tcPr>
          <w:p w14:paraId="39D7D6BD">
            <w:pPr>
              <w:widowControl/>
              <w:spacing w:line="360" w:lineRule="atLeast"/>
              <w:rPr>
                <w:rFonts w:ascii="宋体" w:hAnsi="宋体"/>
                <w:color w:val="auto"/>
                <w:sz w:val="24"/>
                <w:szCs w:val="24"/>
                <w:highlight w:val="none"/>
              </w:rPr>
            </w:pPr>
            <w:r>
              <w:rPr>
                <w:rFonts w:hint="eastAsia" w:ascii="宋体" w:hAnsi="宋体"/>
                <w:color w:val="auto"/>
                <w:sz w:val="24"/>
                <w:szCs w:val="24"/>
                <w:highlight w:val="none"/>
              </w:rPr>
              <w:t>提供免费保修期后整机保修方案和费用：设备故障后，由用户启动保修，并包含首次故障维修费用，提供具体保修方案和价格</w:t>
            </w:r>
            <w:r>
              <w:rPr>
                <w:rFonts w:hint="eastAsia" w:ascii="宋体" w:hAnsi="宋体" w:cs="宋体"/>
                <w:color w:val="auto"/>
                <w:sz w:val="24"/>
                <w:szCs w:val="24"/>
                <w:highlight w:val="none"/>
              </w:rPr>
              <w:t>（签订合同时附原厂家证明），不计入总价，作为评标时参考依据。</w:t>
            </w:r>
          </w:p>
        </w:tc>
        <w:tc>
          <w:tcPr>
            <w:tcW w:w="713" w:type="pct"/>
          </w:tcPr>
          <w:p w14:paraId="424B196E">
            <w:pPr>
              <w:spacing w:line="360" w:lineRule="atLeast"/>
              <w:rPr>
                <w:rFonts w:ascii="宋体" w:hAnsi="宋体" w:cs="宋体"/>
                <w:bCs/>
                <w:color w:val="auto"/>
                <w:sz w:val="24"/>
                <w:szCs w:val="24"/>
                <w:highlight w:val="none"/>
                <w:lang w:val="zh-CN"/>
              </w:rPr>
            </w:pPr>
          </w:p>
        </w:tc>
      </w:tr>
      <w:tr w14:paraId="49A8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3F850A70">
            <w:pPr>
              <w:spacing w:after="60" w:line="360" w:lineRule="atLeast"/>
              <w:ind w:left="72" w:right="72"/>
              <w:jc w:val="center"/>
              <w:rPr>
                <w:color w:val="auto"/>
                <w:sz w:val="24"/>
                <w:szCs w:val="24"/>
                <w:highlight w:val="none"/>
              </w:rPr>
            </w:pPr>
            <w:r>
              <w:rPr>
                <w:rFonts w:hint="eastAsia"/>
                <w:color w:val="auto"/>
                <w:sz w:val="24"/>
                <w:szCs w:val="24"/>
                <w:highlight w:val="none"/>
              </w:rPr>
              <w:t>4.3</w:t>
            </w:r>
          </w:p>
        </w:tc>
        <w:tc>
          <w:tcPr>
            <w:tcW w:w="3636" w:type="pct"/>
            <w:vAlign w:val="center"/>
          </w:tcPr>
          <w:p w14:paraId="12074B07">
            <w:pPr>
              <w:widowControl/>
              <w:spacing w:line="360" w:lineRule="atLeast"/>
              <w:rPr>
                <w:rFonts w:ascii="宋体" w:hAnsi="宋体"/>
                <w:color w:val="auto"/>
                <w:sz w:val="24"/>
                <w:szCs w:val="24"/>
                <w:highlight w:val="none"/>
              </w:rPr>
            </w:pPr>
            <w:r>
              <w:rPr>
                <w:rFonts w:hint="eastAsia" w:ascii="宋体" w:hAnsi="宋体"/>
                <w:color w:val="auto"/>
                <w:sz w:val="24"/>
                <w:szCs w:val="24"/>
                <w:highlight w:val="none"/>
                <w:lang w:val="zh-CN"/>
              </w:rPr>
              <w:t>维修响应时间：2小时内响应，24小时内到场维修（包括节假日），提供24小时维修电话和厂家维修点地址，</w:t>
            </w:r>
            <w:r>
              <w:rPr>
                <w:rFonts w:hint="eastAsia" w:ascii="宋体" w:hAnsi="宋体"/>
                <w:color w:val="auto"/>
                <w:sz w:val="24"/>
                <w:szCs w:val="24"/>
                <w:highlight w:val="none"/>
              </w:rPr>
              <w:t>提供消耗品和质保期后常用零配件的供应价格与折扣，按实际售价</w:t>
            </w:r>
            <w:r>
              <w:rPr>
                <w:rFonts w:ascii="宋体" w:hAnsi="宋体"/>
                <w:color w:val="auto"/>
                <w:sz w:val="24"/>
                <w:szCs w:val="24"/>
                <w:highlight w:val="none"/>
              </w:rPr>
              <w:t>7</w:t>
            </w:r>
            <w:r>
              <w:rPr>
                <w:rFonts w:hint="eastAsia" w:ascii="宋体" w:hAnsi="宋体"/>
                <w:color w:val="auto"/>
                <w:sz w:val="24"/>
                <w:szCs w:val="24"/>
                <w:highlight w:val="none"/>
              </w:rPr>
              <w:t>折或更优折扣提供，不收任何维修费、人工费、差旅费等服务性费用。如在报修48小时后仍无法修复，需提供备用设备。</w:t>
            </w:r>
          </w:p>
        </w:tc>
        <w:tc>
          <w:tcPr>
            <w:tcW w:w="713" w:type="pct"/>
          </w:tcPr>
          <w:p w14:paraId="6395DC92">
            <w:pPr>
              <w:spacing w:line="360" w:lineRule="atLeast"/>
              <w:rPr>
                <w:rFonts w:ascii="宋体" w:hAnsi="宋体" w:cs="宋体"/>
                <w:bCs/>
                <w:color w:val="auto"/>
                <w:sz w:val="24"/>
                <w:szCs w:val="24"/>
                <w:highlight w:val="none"/>
                <w:lang w:val="zh-CN"/>
              </w:rPr>
            </w:pPr>
          </w:p>
        </w:tc>
      </w:tr>
      <w:tr w14:paraId="6A01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458F122B">
            <w:pPr>
              <w:spacing w:after="60" w:line="360" w:lineRule="atLeast"/>
              <w:ind w:left="72" w:right="72"/>
              <w:jc w:val="center"/>
              <w:rPr>
                <w:color w:val="auto"/>
                <w:sz w:val="24"/>
                <w:szCs w:val="24"/>
                <w:highlight w:val="none"/>
              </w:rPr>
            </w:pPr>
            <w:r>
              <w:rPr>
                <w:rFonts w:hint="eastAsia"/>
                <w:color w:val="auto"/>
                <w:sz w:val="24"/>
                <w:szCs w:val="24"/>
                <w:highlight w:val="none"/>
              </w:rPr>
              <w:t>4.4</w:t>
            </w:r>
          </w:p>
        </w:tc>
        <w:tc>
          <w:tcPr>
            <w:tcW w:w="3636" w:type="pct"/>
            <w:vAlign w:val="center"/>
          </w:tcPr>
          <w:p w14:paraId="17230854">
            <w:pPr>
              <w:widowControl/>
              <w:spacing w:line="360" w:lineRule="atLeast"/>
              <w:rPr>
                <w:rFonts w:ascii="宋体" w:hAnsi="宋体"/>
                <w:color w:val="auto"/>
                <w:sz w:val="24"/>
                <w:szCs w:val="24"/>
                <w:highlight w:val="none"/>
                <w:lang w:val="zh-CN"/>
              </w:rPr>
            </w:pPr>
            <w:r>
              <w:rPr>
                <w:rFonts w:hint="eastAsia" w:ascii="宋体" w:hAnsi="宋体"/>
                <w:color w:val="auto"/>
                <w:sz w:val="24"/>
                <w:szCs w:val="24"/>
                <w:highlight w:val="none"/>
                <w:lang w:val="zh-CN"/>
              </w:rPr>
              <w:t>保修期外维修付款须做到</w:t>
            </w:r>
            <w:r>
              <w:rPr>
                <w:rFonts w:hint="eastAsia" w:ascii="宋体" w:hAnsi="宋体"/>
                <w:color w:val="auto"/>
                <w:sz w:val="24"/>
                <w:szCs w:val="24"/>
                <w:highlight w:val="none"/>
              </w:rPr>
              <w:t>先维修后付款。</w:t>
            </w:r>
          </w:p>
        </w:tc>
        <w:tc>
          <w:tcPr>
            <w:tcW w:w="713" w:type="pct"/>
          </w:tcPr>
          <w:p w14:paraId="2B460FDC">
            <w:pPr>
              <w:spacing w:line="360" w:lineRule="atLeast"/>
              <w:rPr>
                <w:rFonts w:ascii="宋体" w:hAnsi="宋体" w:cs="宋体"/>
                <w:bCs/>
                <w:color w:val="auto"/>
                <w:sz w:val="24"/>
                <w:szCs w:val="24"/>
                <w:highlight w:val="none"/>
                <w:lang w:val="zh-CN"/>
              </w:rPr>
            </w:pPr>
          </w:p>
        </w:tc>
      </w:tr>
      <w:tr w14:paraId="4E68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58AF8F23">
            <w:pPr>
              <w:spacing w:after="60" w:line="360" w:lineRule="atLeast"/>
              <w:ind w:left="72" w:right="72"/>
              <w:jc w:val="center"/>
              <w:rPr>
                <w:color w:val="auto"/>
                <w:sz w:val="24"/>
                <w:szCs w:val="24"/>
                <w:highlight w:val="none"/>
              </w:rPr>
            </w:pPr>
            <w:r>
              <w:rPr>
                <w:rFonts w:hint="eastAsia"/>
                <w:color w:val="auto"/>
                <w:sz w:val="24"/>
                <w:szCs w:val="24"/>
                <w:highlight w:val="none"/>
              </w:rPr>
              <w:t>4.5</w:t>
            </w:r>
          </w:p>
        </w:tc>
        <w:tc>
          <w:tcPr>
            <w:tcW w:w="3636" w:type="pct"/>
            <w:vAlign w:val="center"/>
          </w:tcPr>
          <w:p w14:paraId="2205F51E">
            <w:pPr>
              <w:widowControl/>
              <w:spacing w:line="360" w:lineRule="atLeast"/>
              <w:rPr>
                <w:rFonts w:ascii="宋体" w:hAnsi="宋体"/>
                <w:color w:val="auto"/>
                <w:sz w:val="24"/>
                <w:szCs w:val="24"/>
                <w:highlight w:val="none"/>
              </w:rPr>
            </w:pPr>
            <w:r>
              <w:rPr>
                <w:rFonts w:hint="eastAsia" w:ascii="宋体" w:hAnsi="宋体" w:cs="宋体"/>
                <w:color w:val="auto"/>
                <w:sz w:val="24"/>
                <w:szCs w:val="24"/>
                <w:highlight w:val="none"/>
              </w:rPr>
              <w:t>为保证设备正常运行，卖方应在中国境内设置备件库，并保证</w:t>
            </w:r>
            <w:r>
              <w:rPr>
                <w:rFonts w:ascii="宋体" w:hAnsi="宋体"/>
                <w:color w:val="auto"/>
                <w:sz w:val="24"/>
                <w:szCs w:val="24"/>
                <w:highlight w:val="none"/>
              </w:rPr>
              <w:t>零配件8年</w:t>
            </w:r>
            <w:r>
              <w:rPr>
                <w:rFonts w:hint="eastAsia" w:ascii="宋体" w:hAnsi="宋体"/>
                <w:color w:val="auto"/>
                <w:sz w:val="24"/>
                <w:szCs w:val="24"/>
                <w:highlight w:val="none"/>
              </w:rPr>
              <w:t>以上的供应期。</w:t>
            </w:r>
          </w:p>
        </w:tc>
        <w:tc>
          <w:tcPr>
            <w:tcW w:w="713" w:type="pct"/>
          </w:tcPr>
          <w:p w14:paraId="1FEFB2AB">
            <w:pPr>
              <w:spacing w:line="360" w:lineRule="atLeast"/>
              <w:rPr>
                <w:rFonts w:ascii="宋体" w:hAnsi="宋体" w:cs="宋体"/>
                <w:bCs/>
                <w:color w:val="auto"/>
                <w:sz w:val="24"/>
                <w:szCs w:val="24"/>
                <w:highlight w:val="none"/>
                <w:lang w:val="zh-CN"/>
              </w:rPr>
            </w:pPr>
          </w:p>
        </w:tc>
      </w:tr>
      <w:tr w14:paraId="7D25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348BFA8E">
            <w:pPr>
              <w:spacing w:after="60" w:line="360" w:lineRule="atLeast"/>
              <w:ind w:left="72" w:right="72"/>
              <w:jc w:val="center"/>
              <w:rPr>
                <w:color w:val="auto"/>
                <w:sz w:val="24"/>
                <w:szCs w:val="24"/>
                <w:highlight w:val="none"/>
              </w:rPr>
            </w:pPr>
            <w:r>
              <w:rPr>
                <w:rFonts w:hint="eastAsia"/>
                <w:color w:val="auto"/>
                <w:sz w:val="24"/>
                <w:szCs w:val="24"/>
                <w:highlight w:val="none"/>
              </w:rPr>
              <w:t>4.6</w:t>
            </w:r>
          </w:p>
        </w:tc>
        <w:tc>
          <w:tcPr>
            <w:tcW w:w="3636" w:type="pct"/>
            <w:vAlign w:val="center"/>
          </w:tcPr>
          <w:p w14:paraId="7D19E371">
            <w:pPr>
              <w:widowControl/>
              <w:spacing w:line="360" w:lineRule="atLeast"/>
              <w:rPr>
                <w:rFonts w:ascii="宋体" w:hAnsi="宋体"/>
                <w:color w:val="auto"/>
                <w:sz w:val="24"/>
                <w:szCs w:val="24"/>
                <w:highlight w:val="none"/>
                <w:lang w:val="zh-CN"/>
              </w:rPr>
            </w:pPr>
            <w:r>
              <w:rPr>
                <w:rFonts w:hint="eastAsia" w:ascii="宋体" w:hAnsi="宋体"/>
                <w:color w:val="auto"/>
                <w:sz w:val="24"/>
                <w:szCs w:val="24"/>
                <w:highlight w:val="none"/>
              </w:rPr>
              <w:t>质保期内免费提供一年2次的全面保养，并提供相应的维护报告，质保期后，每年应免费提供该原厂设备巡检≥2次，并提供相应设备巡检报告。</w:t>
            </w:r>
          </w:p>
        </w:tc>
        <w:tc>
          <w:tcPr>
            <w:tcW w:w="713" w:type="pct"/>
          </w:tcPr>
          <w:p w14:paraId="5D2D0065">
            <w:pPr>
              <w:spacing w:line="360" w:lineRule="atLeast"/>
              <w:rPr>
                <w:rFonts w:ascii="宋体" w:hAnsi="宋体" w:cs="宋体"/>
                <w:bCs/>
                <w:color w:val="auto"/>
                <w:sz w:val="24"/>
                <w:szCs w:val="24"/>
                <w:highlight w:val="none"/>
                <w:lang w:val="zh-CN"/>
              </w:rPr>
            </w:pPr>
          </w:p>
        </w:tc>
      </w:tr>
      <w:tr w14:paraId="19DA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3ACA3104">
            <w:pPr>
              <w:spacing w:after="60" w:line="360" w:lineRule="atLeast"/>
              <w:ind w:left="72" w:right="72"/>
              <w:jc w:val="center"/>
              <w:rPr>
                <w:color w:val="auto"/>
                <w:sz w:val="24"/>
                <w:szCs w:val="24"/>
                <w:highlight w:val="none"/>
              </w:rPr>
            </w:pPr>
            <w:r>
              <w:rPr>
                <w:rFonts w:hint="eastAsia"/>
                <w:color w:val="auto"/>
                <w:sz w:val="24"/>
                <w:szCs w:val="24"/>
                <w:highlight w:val="none"/>
              </w:rPr>
              <w:t>4.7</w:t>
            </w:r>
          </w:p>
        </w:tc>
        <w:tc>
          <w:tcPr>
            <w:tcW w:w="3636" w:type="pct"/>
            <w:vAlign w:val="center"/>
          </w:tcPr>
          <w:p w14:paraId="4268E49F">
            <w:pPr>
              <w:widowControl/>
              <w:spacing w:line="360" w:lineRule="atLeast"/>
              <w:rPr>
                <w:rFonts w:ascii="宋体" w:hAnsi="宋体"/>
                <w:color w:val="auto"/>
                <w:sz w:val="24"/>
                <w:szCs w:val="24"/>
                <w:highlight w:val="none"/>
              </w:rPr>
            </w:pPr>
            <w:r>
              <w:rPr>
                <w:rFonts w:hint="eastAsia" w:ascii="宋体" w:hAnsi="宋体"/>
                <w:color w:val="auto"/>
                <w:sz w:val="24"/>
                <w:szCs w:val="24"/>
                <w:highlight w:val="none"/>
              </w:rPr>
              <w:t>5年内设备软件免费提供升级，</w:t>
            </w:r>
            <w:r>
              <w:rPr>
                <w:rFonts w:hint="eastAsia" w:ascii="宋体" w:hAnsi="宋体" w:cs="宋体"/>
                <w:color w:val="auto"/>
                <w:sz w:val="24"/>
                <w:szCs w:val="24"/>
                <w:highlight w:val="none"/>
              </w:rPr>
              <w:t>用户享有软件的终生使用权。</w:t>
            </w:r>
          </w:p>
        </w:tc>
        <w:tc>
          <w:tcPr>
            <w:tcW w:w="713" w:type="pct"/>
          </w:tcPr>
          <w:p w14:paraId="422B83B5">
            <w:pPr>
              <w:spacing w:line="360" w:lineRule="atLeast"/>
              <w:rPr>
                <w:rFonts w:ascii="宋体" w:hAnsi="宋体" w:cs="宋体"/>
                <w:bCs/>
                <w:color w:val="auto"/>
                <w:sz w:val="24"/>
                <w:szCs w:val="24"/>
                <w:highlight w:val="none"/>
                <w:lang w:val="zh-CN"/>
              </w:rPr>
            </w:pPr>
          </w:p>
        </w:tc>
      </w:tr>
      <w:tr w14:paraId="62A0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405E0AA4">
            <w:pPr>
              <w:spacing w:after="60" w:line="360" w:lineRule="atLeast"/>
              <w:ind w:left="72" w:right="72"/>
              <w:jc w:val="center"/>
              <w:rPr>
                <w:color w:val="auto"/>
                <w:sz w:val="24"/>
                <w:szCs w:val="24"/>
                <w:highlight w:val="none"/>
              </w:rPr>
            </w:pPr>
            <w:r>
              <w:rPr>
                <w:rFonts w:hint="eastAsia"/>
                <w:color w:val="auto"/>
                <w:sz w:val="24"/>
                <w:szCs w:val="24"/>
                <w:highlight w:val="none"/>
              </w:rPr>
              <w:t>4.8</w:t>
            </w:r>
          </w:p>
        </w:tc>
        <w:tc>
          <w:tcPr>
            <w:tcW w:w="3636" w:type="pct"/>
            <w:vAlign w:val="center"/>
          </w:tcPr>
          <w:p w14:paraId="0DAA396F">
            <w:pPr>
              <w:widowControl/>
              <w:spacing w:line="360" w:lineRule="atLeast"/>
              <w:rPr>
                <w:rFonts w:ascii="宋体" w:hAnsi="宋体"/>
                <w:color w:val="auto"/>
                <w:sz w:val="24"/>
                <w:szCs w:val="24"/>
                <w:highlight w:val="none"/>
              </w:rPr>
            </w:pPr>
            <w:r>
              <w:rPr>
                <w:rFonts w:hint="eastAsia" w:ascii="宋体" w:hAnsi="宋体"/>
                <w:color w:val="auto"/>
                <w:sz w:val="24"/>
                <w:szCs w:val="24"/>
                <w:highlight w:val="none"/>
              </w:rPr>
              <w:t>免费提供培训:</w:t>
            </w:r>
            <w:r>
              <w:rPr>
                <w:rFonts w:ascii="宋体" w:hAnsi="宋体"/>
                <w:color w:val="auto"/>
                <w:sz w:val="24"/>
                <w:szCs w:val="24"/>
                <w:highlight w:val="none"/>
              </w:rPr>
              <w:t xml:space="preserve"> 现场操作培训,并提供设备</w:t>
            </w:r>
            <w:r>
              <w:rPr>
                <w:rFonts w:hint="eastAsia" w:ascii="宋体" w:hAnsi="宋体"/>
                <w:color w:val="auto"/>
                <w:sz w:val="24"/>
                <w:szCs w:val="24"/>
                <w:highlight w:val="none"/>
              </w:rPr>
              <w:t>工程师维修</w:t>
            </w:r>
            <w:r>
              <w:rPr>
                <w:rFonts w:ascii="宋体" w:hAnsi="宋体"/>
                <w:color w:val="auto"/>
                <w:sz w:val="24"/>
                <w:szCs w:val="24"/>
                <w:highlight w:val="none"/>
              </w:rPr>
              <w:t>培训</w:t>
            </w:r>
            <w:r>
              <w:rPr>
                <w:rFonts w:hint="eastAsia" w:ascii="宋体" w:hAnsi="宋体"/>
                <w:color w:val="auto"/>
                <w:sz w:val="24"/>
                <w:szCs w:val="24"/>
                <w:highlight w:val="none"/>
              </w:rPr>
              <w:t>（</w:t>
            </w:r>
            <w:r>
              <w:rPr>
                <w:rFonts w:ascii="宋体" w:hAnsi="宋体"/>
                <w:color w:val="auto"/>
                <w:sz w:val="24"/>
                <w:szCs w:val="24"/>
                <w:highlight w:val="none"/>
              </w:rPr>
              <w:t>人员</w:t>
            </w:r>
            <w:r>
              <w:rPr>
                <w:rFonts w:hint="eastAsia" w:ascii="宋体" w:hAnsi="宋体"/>
                <w:color w:val="auto"/>
                <w:sz w:val="24"/>
                <w:szCs w:val="24"/>
                <w:highlight w:val="none"/>
              </w:rPr>
              <w:t>不少于</w:t>
            </w:r>
            <w:r>
              <w:rPr>
                <w:rFonts w:ascii="宋体" w:hAnsi="宋体"/>
                <w:color w:val="auto"/>
                <w:sz w:val="24"/>
                <w:szCs w:val="24"/>
                <w:highlight w:val="none"/>
              </w:rPr>
              <w:t>2</w:t>
            </w:r>
            <w:r>
              <w:rPr>
                <w:rFonts w:hint="eastAsia" w:ascii="宋体" w:hAnsi="宋体"/>
                <w:color w:val="auto"/>
                <w:sz w:val="24"/>
                <w:szCs w:val="24"/>
                <w:highlight w:val="none"/>
              </w:rPr>
              <w:t>名），提供详细的培训计划。</w:t>
            </w:r>
          </w:p>
        </w:tc>
        <w:tc>
          <w:tcPr>
            <w:tcW w:w="713" w:type="pct"/>
          </w:tcPr>
          <w:p w14:paraId="5BA12335">
            <w:pPr>
              <w:spacing w:line="360" w:lineRule="atLeast"/>
              <w:rPr>
                <w:rFonts w:ascii="宋体" w:hAnsi="宋体" w:cs="宋体"/>
                <w:bCs/>
                <w:color w:val="auto"/>
                <w:sz w:val="24"/>
                <w:szCs w:val="24"/>
                <w:highlight w:val="none"/>
                <w:lang w:val="zh-CN"/>
              </w:rPr>
            </w:pPr>
          </w:p>
        </w:tc>
      </w:tr>
      <w:tr w14:paraId="1A53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3B448E68">
            <w:pPr>
              <w:spacing w:after="60" w:line="360" w:lineRule="atLeast"/>
              <w:ind w:left="72" w:right="72"/>
              <w:jc w:val="center"/>
              <w:rPr>
                <w:color w:val="auto"/>
                <w:sz w:val="24"/>
                <w:szCs w:val="24"/>
                <w:highlight w:val="none"/>
              </w:rPr>
            </w:pPr>
            <w:r>
              <w:rPr>
                <w:rFonts w:hint="eastAsia"/>
                <w:color w:val="auto"/>
                <w:sz w:val="24"/>
                <w:szCs w:val="24"/>
                <w:highlight w:val="none"/>
              </w:rPr>
              <w:t>4.9</w:t>
            </w:r>
          </w:p>
        </w:tc>
        <w:tc>
          <w:tcPr>
            <w:tcW w:w="3636" w:type="pct"/>
            <w:vAlign w:val="center"/>
          </w:tcPr>
          <w:p w14:paraId="5AF10925">
            <w:pPr>
              <w:widowControl/>
              <w:spacing w:line="360" w:lineRule="atLeast"/>
              <w:rPr>
                <w:rFonts w:ascii="宋体" w:hAnsi="宋体"/>
                <w:color w:val="auto"/>
                <w:sz w:val="24"/>
                <w:szCs w:val="24"/>
                <w:highlight w:val="none"/>
              </w:rPr>
            </w:pPr>
            <w:r>
              <w:rPr>
                <w:rFonts w:hint="eastAsia" w:ascii="宋体" w:hAnsi="宋体"/>
                <w:color w:val="auto"/>
                <w:sz w:val="24"/>
                <w:szCs w:val="24"/>
                <w:highlight w:val="none"/>
              </w:rPr>
              <w:t>免费提供工程师的维修培训，要求院方工程师必需掌握：设备软件的安装、设备的原理、结构、设备的拆装、设备的保养（PM）步骤、性能检测；设备有维修密码的必须提供维修密码，需提供培训资料及考核资料。</w:t>
            </w:r>
          </w:p>
        </w:tc>
        <w:tc>
          <w:tcPr>
            <w:tcW w:w="713" w:type="pct"/>
          </w:tcPr>
          <w:p w14:paraId="36ECF1DA">
            <w:pPr>
              <w:spacing w:line="360" w:lineRule="atLeast"/>
              <w:rPr>
                <w:rFonts w:ascii="宋体" w:hAnsi="宋体" w:cs="宋体"/>
                <w:bCs/>
                <w:color w:val="auto"/>
                <w:sz w:val="24"/>
                <w:szCs w:val="24"/>
                <w:highlight w:val="none"/>
                <w:lang w:val="zh-CN"/>
              </w:rPr>
            </w:pPr>
          </w:p>
        </w:tc>
      </w:tr>
      <w:tr w14:paraId="355E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5AC2BF08">
            <w:pPr>
              <w:spacing w:after="60" w:line="360" w:lineRule="atLeast"/>
              <w:ind w:left="72" w:right="72"/>
              <w:jc w:val="center"/>
              <w:rPr>
                <w:color w:val="auto"/>
                <w:sz w:val="24"/>
                <w:szCs w:val="24"/>
                <w:highlight w:val="none"/>
              </w:rPr>
            </w:pPr>
            <w:r>
              <w:rPr>
                <w:rFonts w:hint="eastAsia"/>
                <w:color w:val="auto"/>
                <w:sz w:val="24"/>
                <w:szCs w:val="24"/>
                <w:highlight w:val="none"/>
              </w:rPr>
              <w:t>4.10</w:t>
            </w:r>
          </w:p>
        </w:tc>
        <w:tc>
          <w:tcPr>
            <w:tcW w:w="3636" w:type="pct"/>
            <w:vAlign w:val="center"/>
          </w:tcPr>
          <w:p w14:paraId="3AF0AA51">
            <w:pPr>
              <w:widowControl/>
              <w:spacing w:line="360" w:lineRule="atLeast"/>
              <w:ind w:left="630" w:hanging="630"/>
              <w:rPr>
                <w:rFonts w:ascii="宋体" w:hAnsi="宋体"/>
                <w:color w:val="auto"/>
                <w:sz w:val="24"/>
                <w:szCs w:val="24"/>
                <w:highlight w:val="none"/>
              </w:rPr>
            </w:pPr>
            <w:r>
              <w:rPr>
                <w:rFonts w:hint="eastAsia" w:ascii="宋体" w:hAnsi="宋体"/>
                <w:color w:val="auto"/>
                <w:sz w:val="24"/>
                <w:szCs w:val="24"/>
                <w:highlight w:val="none"/>
              </w:rPr>
              <w:t>提供详细操作手册、维修保养手册、安装手册等文件。</w:t>
            </w:r>
          </w:p>
        </w:tc>
        <w:tc>
          <w:tcPr>
            <w:tcW w:w="713" w:type="pct"/>
          </w:tcPr>
          <w:p w14:paraId="1D5E4F90">
            <w:pPr>
              <w:spacing w:line="360" w:lineRule="atLeast"/>
              <w:rPr>
                <w:rFonts w:ascii="宋体" w:hAnsi="宋体" w:cs="宋体"/>
                <w:bCs/>
                <w:color w:val="auto"/>
                <w:sz w:val="24"/>
                <w:szCs w:val="24"/>
                <w:highlight w:val="none"/>
                <w:lang w:val="zh-CN"/>
              </w:rPr>
            </w:pPr>
          </w:p>
        </w:tc>
      </w:tr>
      <w:tr w14:paraId="77A8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3B656292">
            <w:pPr>
              <w:widowControl/>
              <w:spacing w:line="360" w:lineRule="atLeast"/>
              <w:ind w:left="632" w:hanging="632"/>
              <w:jc w:val="center"/>
              <w:rPr>
                <w:rFonts w:ascii="宋体" w:hAnsi="宋体"/>
                <w:color w:val="auto"/>
                <w:sz w:val="24"/>
                <w:szCs w:val="24"/>
                <w:highlight w:val="none"/>
              </w:rPr>
            </w:pPr>
            <w:r>
              <w:rPr>
                <w:rFonts w:hint="eastAsia" w:ascii="宋体" w:hAnsi="宋体"/>
                <w:b/>
                <w:bCs/>
                <w:color w:val="auto"/>
                <w:sz w:val="24"/>
                <w:szCs w:val="24"/>
                <w:highlight w:val="none"/>
              </w:rPr>
              <w:t>五</w:t>
            </w:r>
          </w:p>
        </w:tc>
        <w:tc>
          <w:tcPr>
            <w:tcW w:w="3636" w:type="pct"/>
            <w:vAlign w:val="center"/>
          </w:tcPr>
          <w:p w14:paraId="2DC64CBF">
            <w:pPr>
              <w:widowControl/>
              <w:spacing w:line="360" w:lineRule="atLeast"/>
              <w:ind w:left="630" w:hanging="630"/>
              <w:rPr>
                <w:rFonts w:ascii="宋体" w:hAnsi="宋体"/>
                <w:color w:val="auto"/>
                <w:sz w:val="24"/>
                <w:szCs w:val="24"/>
                <w:highlight w:val="none"/>
              </w:rPr>
            </w:pPr>
            <w:r>
              <w:rPr>
                <w:rFonts w:hint="eastAsia" w:ascii="宋体" w:hAnsi="宋体"/>
                <w:b/>
                <w:color w:val="auto"/>
                <w:sz w:val="24"/>
                <w:szCs w:val="24"/>
                <w:highlight w:val="none"/>
              </w:rPr>
              <w:t>其他要求：</w:t>
            </w:r>
          </w:p>
        </w:tc>
        <w:tc>
          <w:tcPr>
            <w:tcW w:w="713" w:type="pct"/>
          </w:tcPr>
          <w:p w14:paraId="3844DC6B">
            <w:pPr>
              <w:spacing w:line="360" w:lineRule="atLeast"/>
              <w:rPr>
                <w:rFonts w:ascii="宋体" w:hAnsi="宋体" w:cs="宋体"/>
                <w:bCs/>
                <w:color w:val="auto"/>
                <w:sz w:val="24"/>
                <w:szCs w:val="24"/>
                <w:highlight w:val="none"/>
                <w:lang w:val="zh-CN"/>
              </w:rPr>
            </w:pPr>
          </w:p>
        </w:tc>
      </w:tr>
      <w:tr w14:paraId="5391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4C332FFC">
            <w:pPr>
              <w:spacing w:after="60" w:line="360" w:lineRule="atLeast"/>
              <w:ind w:left="72" w:right="72"/>
              <w:jc w:val="center"/>
              <w:rPr>
                <w:color w:val="auto"/>
                <w:sz w:val="24"/>
                <w:szCs w:val="24"/>
                <w:highlight w:val="none"/>
              </w:rPr>
            </w:pPr>
            <w:r>
              <w:rPr>
                <w:rFonts w:hint="eastAsia" w:ascii="宋体" w:hAnsi="宋体" w:cs="宋体"/>
                <w:color w:val="auto"/>
                <w:sz w:val="24"/>
                <w:szCs w:val="24"/>
                <w:highlight w:val="none"/>
              </w:rPr>
              <w:t>★</w:t>
            </w:r>
            <w:r>
              <w:rPr>
                <w:rFonts w:hint="eastAsia"/>
                <w:color w:val="auto"/>
                <w:sz w:val="24"/>
                <w:szCs w:val="24"/>
                <w:highlight w:val="none"/>
              </w:rPr>
              <w:t>5.1</w:t>
            </w:r>
          </w:p>
        </w:tc>
        <w:tc>
          <w:tcPr>
            <w:tcW w:w="3636" w:type="pct"/>
            <w:vAlign w:val="center"/>
          </w:tcPr>
          <w:p w14:paraId="29C4EA1E">
            <w:pPr>
              <w:widowControl/>
              <w:spacing w:line="360" w:lineRule="atLeast"/>
              <w:rPr>
                <w:rFonts w:ascii="宋体" w:hAnsi="宋体"/>
                <w:color w:val="auto"/>
                <w:sz w:val="24"/>
                <w:szCs w:val="24"/>
                <w:highlight w:val="none"/>
              </w:rPr>
            </w:pPr>
            <w:r>
              <w:rPr>
                <w:rFonts w:hint="eastAsia" w:ascii="宋体" w:hAnsi="宋体"/>
                <w:color w:val="auto"/>
                <w:sz w:val="24"/>
                <w:szCs w:val="24"/>
                <w:highlight w:val="none"/>
              </w:rPr>
              <w:t>若投标人所投产品为进口设备，</w:t>
            </w:r>
            <w:r>
              <w:rPr>
                <w:rFonts w:ascii="宋体" w:hAnsi="宋体"/>
                <w:color w:val="auto"/>
                <w:sz w:val="24"/>
                <w:szCs w:val="24"/>
                <w:highlight w:val="none"/>
              </w:rPr>
              <w:t>提</w:t>
            </w:r>
            <w:r>
              <w:rPr>
                <w:rFonts w:hint="eastAsia" w:ascii="宋体" w:hAnsi="宋体"/>
                <w:color w:val="auto"/>
                <w:sz w:val="24"/>
                <w:szCs w:val="24"/>
                <w:highlight w:val="none"/>
              </w:rPr>
              <w:t>供进口</w:t>
            </w:r>
            <w:r>
              <w:rPr>
                <w:rFonts w:ascii="宋体" w:hAnsi="宋体"/>
                <w:color w:val="auto"/>
                <w:sz w:val="24"/>
                <w:szCs w:val="24"/>
                <w:highlight w:val="none"/>
              </w:rPr>
              <w:t>医疗</w:t>
            </w:r>
            <w:r>
              <w:rPr>
                <w:rFonts w:hint="eastAsia" w:ascii="宋体" w:hAnsi="宋体"/>
                <w:color w:val="auto"/>
                <w:sz w:val="24"/>
                <w:szCs w:val="24"/>
                <w:highlight w:val="none"/>
              </w:rPr>
              <w:t>器械</w:t>
            </w:r>
            <w:r>
              <w:rPr>
                <w:rFonts w:ascii="宋体" w:hAnsi="宋体"/>
                <w:color w:val="auto"/>
                <w:sz w:val="24"/>
                <w:szCs w:val="24"/>
                <w:highlight w:val="none"/>
              </w:rPr>
              <w:t>注册证</w:t>
            </w:r>
            <w:r>
              <w:rPr>
                <w:rFonts w:hint="eastAsia" w:ascii="宋体" w:hAnsi="宋体"/>
                <w:color w:val="auto"/>
                <w:sz w:val="24"/>
                <w:szCs w:val="24"/>
                <w:highlight w:val="none"/>
              </w:rPr>
              <w:t>及产品注册登记表，承诺交货时提供海关、商检等相关文件。若投标人</w:t>
            </w:r>
            <w:r>
              <w:rPr>
                <w:rFonts w:hint="eastAsia" w:ascii="宋体" w:hAnsi="宋体"/>
                <w:snapToGrid w:val="0"/>
                <w:color w:val="auto"/>
                <w:sz w:val="24"/>
                <w:szCs w:val="24"/>
                <w:highlight w:val="none"/>
              </w:rPr>
              <w:t>所投产品为国产设备，提供国内医疗器械注册证及产品注册登记表。</w:t>
            </w:r>
          </w:p>
        </w:tc>
        <w:tc>
          <w:tcPr>
            <w:tcW w:w="713" w:type="pct"/>
          </w:tcPr>
          <w:p w14:paraId="53DD609F">
            <w:pPr>
              <w:spacing w:line="360" w:lineRule="atLeast"/>
              <w:rPr>
                <w:rFonts w:ascii="宋体" w:hAnsi="宋体" w:cs="宋体"/>
                <w:bCs/>
                <w:color w:val="auto"/>
                <w:sz w:val="24"/>
                <w:szCs w:val="24"/>
                <w:highlight w:val="none"/>
                <w:lang w:val="zh-CN"/>
              </w:rPr>
            </w:pPr>
          </w:p>
        </w:tc>
      </w:tr>
      <w:tr w14:paraId="1B48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0E91D9D8">
            <w:pPr>
              <w:spacing w:after="60" w:line="360" w:lineRule="atLeast"/>
              <w:ind w:left="72" w:right="72"/>
              <w:jc w:val="center"/>
              <w:rPr>
                <w:color w:val="auto"/>
                <w:sz w:val="24"/>
                <w:szCs w:val="24"/>
                <w:highlight w:val="none"/>
              </w:rPr>
            </w:pPr>
            <w:r>
              <w:rPr>
                <w:rFonts w:hint="eastAsia"/>
                <w:color w:val="auto"/>
                <w:sz w:val="24"/>
                <w:szCs w:val="24"/>
                <w:highlight w:val="none"/>
              </w:rPr>
              <w:t>5.2</w:t>
            </w:r>
          </w:p>
        </w:tc>
        <w:tc>
          <w:tcPr>
            <w:tcW w:w="3636" w:type="pct"/>
            <w:vAlign w:val="center"/>
          </w:tcPr>
          <w:p w14:paraId="3B224A39">
            <w:pPr>
              <w:widowControl/>
              <w:spacing w:line="360" w:lineRule="atLeast"/>
              <w:rPr>
                <w:rFonts w:ascii="宋体" w:hAnsi="宋体"/>
                <w:color w:val="auto"/>
                <w:sz w:val="24"/>
                <w:szCs w:val="24"/>
                <w:highlight w:val="none"/>
              </w:rPr>
            </w:pPr>
            <w:r>
              <w:rPr>
                <w:rFonts w:hint="eastAsia" w:ascii="宋体" w:hAnsi="宋体"/>
                <w:color w:val="auto"/>
                <w:sz w:val="24"/>
                <w:szCs w:val="24"/>
                <w:highlight w:val="none"/>
              </w:rPr>
              <w:t>特殊设备如需计量、商检、压力容器登记注册、3C认证的设备，在安装时需提供相应的报告。</w:t>
            </w:r>
          </w:p>
        </w:tc>
        <w:tc>
          <w:tcPr>
            <w:tcW w:w="713" w:type="pct"/>
          </w:tcPr>
          <w:p w14:paraId="1713BF29">
            <w:pPr>
              <w:spacing w:line="360" w:lineRule="atLeast"/>
              <w:rPr>
                <w:rFonts w:ascii="宋体" w:hAnsi="宋体" w:cs="宋体"/>
                <w:bCs/>
                <w:color w:val="auto"/>
                <w:sz w:val="24"/>
                <w:szCs w:val="24"/>
                <w:highlight w:val="none"/>
                <w:lang w:val="zh-CN"/>
              </w:rPr>
            </w:pPr>
          </w:p>
        </w:tc>
      </w:tr>
      <w:tr w14:paraId="26DB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4A362EEB">
            <w:pPr>
              <w:spacing w:after="60" w:line="360" w:lineRule="atLeast"/>
              <w:ind w:left="72" w:right="72"/>
              <w:jc w:val="center"/>
              <w:rPr>
                <w:color w:val="auto"/>
                <w:sz w:val="24"/>
                <w:szCs w:val="24"/>
                <w:highlight w:val="none"/>
              </w:rPr>
            </w:pPr>
            <w:r>
              <w:rPr>
                <w:rFonts w:hint="eastAsia"/>
                <w:color w:val="auto"/>
                <w:sz w:val="24"/>
                <w:szCs w:val="24"/>
                <w:highlight w:val="none"/>
              </w:rPr>
              <w:t>5.3</w:t>
            </w:r>
          </w:p>
        </w:tc>
        <w:tc>
          <w:tcPr>
            <w:tcW w:w="3636" w:type="pct"/>
            <w:vAlign w:val="center"/>
          </w:tcPr>
          <w:p w14:paraId="7B2C26DF">
            <w:pPr>
              <w:spacing w:line="360" w:lineRule="atLeast"/>
              <w:jc w:val="left"/>
              <w:rPr>
                <w:rFonts w:ascii="宋体" w:hAnsi="宋体"/>
                <w:color w:val="auto"/>
                <w:sz w:val="24"/>
                <w:szCs w:val="24"/>
                <w:highlight w:val="none"/>
              </w:rPr>
            </w:pPr>
            <w:r>
              <w:rPr>
                <w:rFonts w:ascii="宋体" w:hAnsi="宋体"/>
                <w:color w:val="auto"/>
                <w:sz w:val="24"/>
                <w:szCs w:val="24"/>
                <w:highlight w:val="none"/>
              </w:rPr>
              <w:t>提供</w:t>
            </w:r>
            <w:r>
              <w:rPr>
                <w:rFonts w:hint="eastAsia" w:ascii="宋体" w:hAnsi="宋体"/>
                <w:color w:val="auto"/>
                <w:sz w:val="24"/>
                <w:szCs w:val="24"/>
                <w:highlight w:val="none"/>
              </w:rPr>
              <w:t>安装</w:t>
            </w:r>
            <w:r>
              <w:rPr>
                <w:rFonts w:ascii="宋体" w:hAnsi="宋体"/>
                <w:color w:val="auto"/>
                <w:sz w:val="24"/>
                <w:szCs w:val="24"/>
                <w:highlight w:val="none"/>
              </w:rPr>
              <w:t>条件：如水、电等要求，提供设备外观尺寸图纸和安装参数</w:t>
            </w:r>
            <w:r>
              <w:rPr>
                <w:rFonts w:hint="eastAsia" w:ascii="宋体" w:hAnsi="宋体"/>
                <w:color w:val="auto"/>
                <w:sz w:val="24"/>
                <w:szCs w:val="24"/>
                <w:highlight w:val="none"/>
              </w:rPr>
              <w:t>，</w:t>
            </w:r>
            <w:r>
              <w:rPr>
                <w:rFonts w:ascii="宋体" w:hAnsi="宋体"/>
                <w:color w:val="auto"/>
                <w:sz w:val="24"/>
                <w:szCs w:val="24"/>
                <w:highlight w:val="none"/>
              </w:rPr>
              <w:t>详细说明</w:t>
            </w:r>
            <w:r>
              <w:rPr>
                <w:rFonts w:hint="eastAsia" w:ascii="宋体" w:hAnsi="宋体"/>
                <w:color w:val="auto"/>
                <w:sz w:val="24"/>
                <w:szCs w:val="24"/>
                <w:highlight w:val="none"/>
              </w:rPr>
              <w:t>。</w:t>
            </w:r>
          </w:p>
        </w:tc>
        <w:tc>
          <w:tcPr>
            <w:tcW w:w="713" w:type="pct"/>
          </w:tcPr>
          <w:p w14:paraId="4154BA9A">
            <w:pPr>
              <w:spacing w:line="360" w:lineRule="atLeast"/>
              <w:rPr>
                <w:rFonts w:ascii="宋体" w:hAnsi="宋体" w:cs="宋体"/>
                <w:bCs/>
                <w:color w:val="auto"/>
                <w:sz w:val="24"/>
                <w:szCs w:val="24"/>
                <w:highlight w:val="none"/>
                <w:lang w:val="zh-CN"/>
              </w:rPr>
            </w:pPr>
          </w:p>
        </w:tc>
      </w:tr>
      <w:tr w14:paraId="29DB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75C542C0">
            <w:pPr>
              <w:spacing w:after="60" w:line="360" w:lineRule="atLeast"/>
              <w:ind w:left="72" w:right="72"/>
              <w:jc w:val="center"/>
              <w:rPr>
                <w:color w:val="auto"/>
                <w:sz w:val="24"/>
                <w:szCs w:val="24"/>
                <w:highlight w:val="none"/>
              </w:rPr>
            </w:pPr>
            <w:r>
              <w:rPr>
                <w:rFonts w:hint="eastAsia"/>
                <w:color w:val="auto"/>
                <w:sz w:val="24"/>
                <w:szCs w:val="24"/>
                <w:highlight w:val="none"/>
              </w:rPr>
              <w:t>5.4</w:t>
            </w:r>
          </w:p>
        </w:tc>
        <w:tc>
          <w:tcPr>
            <w:tcW w:w="3636" w:type="pct"/>
            <w:vAlign w:val="center"/>
          </w:tcPr>
          <w:p w14:paraId="351A6588">
            <w:pPr>
              <w:spacing w:before="93" w:line="360" w:lineRule="atLeast"/>
              <w:jc w:val="left"/>
              <w:rPr>
                <w:rFonts w:ascii="宋体" w:hAnsi="宋体"/>
                <w:color w:val="auto"/>
                <w:sz w:val="24"/>
                <w:szCs w:val="24"/>
                <w:highlight w:val="none"/>
              </w:rPr>
            </w:pPr>
            <w:r>
              <w:rPr>
                <w:rFonts w:hint="eastAsia" w:ascii="宋体" w:hAnsi="宋体"/>
                <w:color w:val="auto"/>
                <w:sz w:val="24"/>
                <w:szCs w:val="24"/>
                <w:highlight w:val="none"/>
              </w:rPr>
              <w:t>提供各类必要证件（书）,全套设备必须为全新。</w:t>
            </w:r>
          </w:p>
        </w:tc>
        <w:tc>
          <w:tcPr>
            <w:tcW w:w="713" w:type="pct"/>
          </w:tcPr>
          <w:p w14:paraId="75DF87AE">
            <w:pPr>
              <w:spacing w:line="360" w:lineRule="atLeast"/>
              <w:rPr>
                <w:rFonts w:ascii="宋体" w:hAnsi="宋体" w:cs="宋体"/>
                <w:bCs/>
                <w:color w:val="auto"/>
                <w:sz w:val="24"/>
                <w:szCs w:val="24"/>
                <w:highlight w:val="none"/>
                <w:lang w:val="zh-CN"/>
              </w:rPr>
            </w:pPr>
          </w:p>
        </w:tc>
      </w:tr>
      <w:tr w14:paraId="3ACD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099A50E2">
            <w:pPr>
              <w:spacing w:after="60" w:line="360" w:lineRule="atLeast"/>
              <w:ind w:left="72" w:right="72"/>
              <w:jc w:val="center"/>
              <w:rPr>
                <w:color w:val="auto"/>
                <w:sz w:val="24"/>
                <w:szCs w:val="24"/>
                <w:highlight w:val="none"/>
              </w:rPr>
            </w:pPr>
            <w:r>
              <w:rPr>
                <w:rFonts w:hint="eastAsia"/>
                <w:color w:val="auto"/>
                <w:sz w:val="24"/>
                <w:szCs w:val="24"/>
                <w:highlight w:val="none"/>
              </w:rPr>
              <w:t>5.5</w:t>
            </w:r>
          </w:p>
        </w:tc>
        <w:tc>
          <w:tcPr>
            <w:tcW w:w="3636" w:type="pct"/>
            <w:vAlign w:val="center"/>
          </w:tcPr>
          <w:p w14:paraId="2F4C0104">
            <w:pPr>
              <w:widowControl/>
              <w:spacing w:line="360" w:lineRule="atLeast"/>
              <w:rPr>
                <w:rFonts w:ascii="宋体" w:hAnsi="宋体"/>
                <w:color w:val="auto"/>
                <w:sz w:val="24"/>
                <w:szCs w:val="24"/>
                <w:highlight w:val="none"/>
              </w:rPr>
            </w:pPr>
            <w:r>
              <w:rPr>
                <w:rFonts w:hint="eastAsia" w:ascii="宋体" w:hAnsi="宋体"/>
                <w:color w:val="auto"/>
                <w:sz w:val="24"/>
                <w:szCs w:val="24"/>
                <w:highlight w:val="none"/>
              </w:rPr>
              <w:t>提供制造商原厂data sheet，所有技术文件响应必须与data sheet相符。</w:t>
            </w:r>
          </w:p>
        </w:tc>
        <w:tc>
          <w:tcPr>
            <w:tcW w:w="713" w:type="pct"/>
          </w:tcPr>
          <w:p w14:paraId="6DFEDEC3">
            <w:pPr>
              <w:spacing w:line="360" w:lineRule="atLeast"/>
              <w:rPr>
                <w:rFonts w:ascii="宋体" w:hAnsi="宋体" w:cs="宋体"/>
                <w:bCs/>
                <w:color w:val="auto"/>
                <w:sz w:val="24"/>
                <w:szCs w:val="24"/>
                <w:highlight w:val="none"/>
                <w:lang w:val="zh-CN"/>
              </w:rPr>
            </w:pPr>
          </w:p>
        </w:tc>
      </w:tr>
      <w:tr w14:paraId="2720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2C9D691D">
            <w:pPr>
              <w:spacing w:after="60" w:line="360" w:lineRule="atLeast"/>
              <w:ind w:left="72" w:right="72"/>
              <w:jc w:val="center"/>
              <w:rPr>
                <w:color w:val="auto"/>
                <w:sz w:val="24"/>
                <w:szCs w:val="24"/>
                <w:highlight w:val="none"/>
              </w:rPr>
            </w:pPr>
            <w:r>
              <w:rPr>
                <w:rFonts w:hint="eastAsia"/>
                <w:color w:val="auto"/>
                <w:sz w:val="24"/>
                <w:szCs w:val="24"/>
                <w:highlight w:val="none"/>
              </w:rPr>
              <w:t>5.6</w:t>
            </w:r>
          </w:p>
        </w:tc>
        <w:tc>
          <w:tcPr>
            <w:tcW w:w="3636" w:type="pct"/>
            <w:vAlign w:val="center"/>
          </w:tcPr>
          <w:p w14:paraId="12619BF2">
            <w:pPr>
              <w:widowControl/>
              <w:spacing w:line="360" w:lineRule="atLeast"/>
              <w:rPr>
                <w:rFonts w:ascii="宋体" w:hAnsi="宋体"/>
                <w:color w:val="auto"/>
                <w:sz w:val="24"/>
                <w:szCs w:val="24"/>
                <w:highlight w:val="none"/>
              </w:rPr>
            </w:pPr>
            <w:r>
              <w:rPr>
                <w:rFonts w:hint="eastAsia" w:ascii="宋体" w:hAnsi="宋体"/>
                <w:color w:val="auto"/>
                <w:sz w:val="24"/>
                <w:szCs w:val="24"/>
                <w:highlight w:val="none"/>
              </w:rPr>
              <w:t>投标人必须如实响应招标文件并提供相应配置，不得欺骗、隐瞒，招标文件作为合同的一部分，具有相同的法律效应。</w:t>
            </w:r>
          </w:p>
        </w:tc>
        <w:tc>
          <w:tcPr>
            <w:tcW w:w="713" w:type="pct"/>
          </w:tcPr>
          <w:p w14:paraId="00F0B7A5">
            <w:pPr>
              <w:spacing w:line="360" w:lineRule="atLeast"/>
              <w:rPr>
                <w:rFonts w:ascii="宋体" w:hAnsi="宋体" w:cs="宋体"/>
                <w:bCs/>
                <w:color w:val="auto"/>
                <w:sz w:val="24"/>
                <w:szCs w:val="24"/>
                <w:highlight w:val="none"/>
                <w:lang w:val="zh-CN"/>
              </w:rPr>
            </w:pPr>
          </w:p>
        </w:tc>
      </w:tr>
      <w:tr w14:paraId="67E0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7F27D160">
            <w:pPr>
              <w:spacing w:after="60" w:line="360" w:lineRule="atLeast"/>
              <w:ind w:left="72" w:right="72"/>
              <w:jc w:val="center"/>
              <w:rPr>
                <w:color w:val="auto"/>
                <w:sz w:val="24"/>
                <w:szCs w:val="24"/>
                <w:highlight w:val="none"/>
              </w:rPr>
            </w:pPr>
            <w:r>
              <w:rPr>
                <w:rFonts w:hint="eastAsia"/>
                <w:color w:val="auto"/>
                <w:sz w:val="24"/>
                <w:szCs w:val="24"/>
                <w:highlight w:val="none"/>
              </w:rPr>
              <w:t>5.7</w:t>
            </w:r>
          </w:p>
        </w:tc>
        <w:tc>
          <w:tcPr>
            <w:tcW w:w="3636" w:type="pct"/>
            <w:vAlign w:val="center"/>
          </w:tcPr>
          <w:p w14:paraId="3DA4B7B9">
            <w:pPr>
              <w:widowControl/>
              <w:spacing w:line="360" w:lineRule="atLeast"/>
              <w:rPr>
                <w:rFonts w:ascii="宋体" w:hAnsi="宋体"/>
                <w:color w:val="auto"/>
                <w:sz w:val="24"/>
                <w:szCs w:val="24"/>
                <w:highlight w:val="none"/>
              </w:rPr>
            </w:pPr>
            <w:r>
              <w:rPr>
                <w:rFonts w:hint="eastAsia" w:ascii="宋体" w:hAnsi="宋体"/>
                <w:color w:val="auto"/>
                <w:sz w:val="24"/>
                <w:szCs w:val="24"/>
                <w:highlight w:val="none"/>
              </w:rPr>
              <w:t>提供近3年同机型用户名单、联系电话。</w:t>
            </w:r>
          </w:p>
        </w:tc>
        <w:tc>
          <w:tcPr>
            <w:tcW w:w="713" w:type="pct"/>
          </w:tcPr>
          <w:p w14:paraId="551C96F1">
            <w:pPr>
              <w:spacing w:line="360" w:lineRule="atLeast"/>
              <w:rPr>
                <w:rFonts w:ascii="宋体" w:hAnsi="宋体" w:cs="宋体"/>
                <w:bCs/>
                <w:color w:val="auto"/>
                <w:sz w:val="24"/>
                <w:szCs w:val="24"/>
                <w:highlight w:val="none"/>
                <w:lang w:val="zh-CN"/>
              </w:rPr>
            </w:pPr>
          </w:p>
        </w:tc>
      </w:tr>
      <w:tr w14:paraId="100B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24FA697D">
            <w:pPr>
              <w:spacing w:after="60" w:line="360" w:lineRule="atLeast"/>
              <w:ind w:left="72" w:right="72"/>
              <w:jc w:val="center"/>
              <w:rPr>
                <w:color w:val="auto"/>
                <w:sz w:val="24"/>
                <w:szCs w:val="24"/>
                <w:highlight w:val="none"/>
              </w:rPr>
            </w:pPr>
            <w:r>
              <w:rPr>
                <w:rFonts w:hint="eastAsia"/>
                <w:color w:val="auto"/>
                <w:sz w:val="24"/>
                <w:szCs w:val="24"/>
                <w:highlight w:val="none"/>
              </w:rPr>
              <w:t>5.8</w:t>
            </w:r>
          </w:p>
        </w:tc>
        <w:tc>
          <w:tcPr>
            <w:tcW w:w="3636" w:type="pct"/>
            <w:vAlign w:val="center"/>
          </w:tcPr>
          <w:p w14:paraId="7E657C32">
            <w:pPr>
              <w:widowControl/>
              <w:spacing w:line="360" w:lineRule="atLeast"/>
              <w:rPr>
                <w:rFonts w:ascii="宋体" w:hAnsi="宋体"/>
                <w:color w:val="auto"/>
                <w:sz w:val="24"/>
                <w:szCs w:val="24"/>
                <w:highlight w:val="none"/>
              </w:rPr>
            </w:pPr>
            <w:r>
              <w:rPr>
                <w:rFonts w:hint="eastAsia" w:ascii="宋体" w:hAnsi="宋体"/>
                <w:color w:val="auto"/>
                <w:sz w:val="24"/>
                <w:szCs w:val="24"/>
                <w:highlight w:val="none"/>
              </w:rPr>
              <w:t>装机现场提供操作手册、维修手册，并提供操作规程电子版和纸质版。</w:t>
            </w:r>
          </w:p>
        </w:tc>
        <w:tc>
          <w:tcPr>
            <w:tcW w:w="713" w:type="pct"/>
          </w:tcPr>
          <w:p w14:paraId="1043DAEC">
            <w:pPr>
              <w:spacing w:line="360" w:lineRule="atLeast"/>
              <w:rPr>
                <w:rFonts w:ascii="宋体" w:hAnsi="宋体" w:cs="宋体"/>
                <w:bCs/>
                <w:color w:val="auto"/>
                <w:sz w:val="24"/>
                <w:szCs w:val="24"/>
                <w:highlight w:val="none"/>
                <w:lang w:val="zh-CN"/>
              </w:rPr>
            </w:pPr>
          </w:p>
        </w:tc>
      </w:tr>
      <w:tr w14:paraId="6FB3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01913012">
            <w:pPr>
              <w:widowControl/>
              <w:spacing w:line="360" w:lineRule="atLeast"/>
              <w:ind w:left="632" w:hanging="632"/>
              <w:jc w:val="center"/>
              <w:rPr>
                <w:rFonts w:ascii="宋体" w:hAnsi="宋体"/>
                <w:b/>
                <w:color w:val="auto"/>
                <w:sz w:val="24"/>
                <w:szCs w:val="24"/>
                <w:highlight w:val="none"/>
              </w:rPr>
            </w:pPr>
            <w:r>
              <w:rPr>
                <w:rFonts w:hint="eastAsia" w:ascii="宋体" w:hAnsi="宋体"/>
                <w:b/>
                <w:color w:val="auto"/>
                <w:sz w:val="24"/>
                <w:szCs w:val="24"/>
                <w:highlight w:val="none"/>
              </w:rPr>
              <w:t>六</w:t>
            </w:r>
          </w:p>
        </w:tc>
        <w:tc>
          <w:tcPr>
            <w:tcW w:w="3636" w:type="pct"/>
            <w:vAlign w:val="center"/>
          </w:tcPr>
          <w:p w14:paraId="21967E7B">
            <w:pPr>
              <w:widowControl/>
              <w:spacing w:line="360" w:lineRule="atLeast"/>
              <w:rPr>
                <w:rFonts w:ascii="宋体" w:hAnsi="宋体"/>
                <w:b/>
                <w:color w:val="auto"/>
                <w:sz w:val="24"/>
                <w:szCs w:val="24"/>
                <w:highlight w:val="none"/>
              </w:rPr>
            </w:pPr>
            <w:r>
              <w:rPr>
                <w:rFonts w:hint="eastAsia" w:ascii="宋体" w:hAnsi="宋体"/>
                <w:b/>
                <w:color w:val="auto"/>
                <w:sz w:val="24"/>
                <w:szCs w:val="24"/>
                <w:highlight w:val="none"/>
              </w:rPr>
              <w:t>安装及验收要求</w:t>
            </w:r>
          </w:p>
        </w:tc>
        <w:tc>
          <w:tcPr>
            <w:tcW w:w="713" w:type="pct"/>
          </w:tcPr>
          <w:p w14:paraId="44B44899">
            <w:pPr>
              <w:spacing w:line="360" w:lineRule="atLeast"/>
              <w:rPr>
                <w:rFonts w:ascii="宋体" w:hAnsi="宋体" w:cs="宋体"/>
                <w:bCs/>
                <w:color w:val="auto"/>
                <w:sz w:val="24"/>
                <w:szCs w:val="24"/>
                <w:highlight w:val="none"/>
                <w:lang w:val="zh-CN"/>
              </w:rPr>
            </w:pPr>
          </w:p>
        </w:tc>
      </w:tr>
      <w:tr w14:paraId="4CD9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7B05A8F6">
            <w:pPr>
              <w:spacing w:after="60" w:line="360" w:lineRule="atLeast"/>
              <w:ind w:left="72" w:right="72"/>
              <w:jc w:val="center"/>
              <w:rPr>
                <w:color w:val="auto"/>
                <w:sz w:val="24"/>
                <w:szCs w:val="24"/>
                <w:highlight w:val="none"/>
              </w:rPr>
            </w:pPr>
            <w:r>
              <w:rPr>
                <w:rFonts w:hint="eastAsia"/>
                <w:color w:val="auto"/>
                <w:sz w:val="24"/>
                <w:szCs w:val="24"/>
                <w:highlight w:val="none"/>
              </w:rPr>
              <w:t>6.1</w:t>
            </w:r>
          </w:p>
        </w:tc>
        <w:tc>
          <w:tcPr>
            <w:tcW w:w="3636" w:type="pct"/>
            <w:vAlign w:val="center"/>
          </w:tcPr>
          <w:p w14:paraId="7E4520F0">
            <w:pPr>
              <w:widowControl/>
              <w:spacing w:line="360" w:lineRule="atLeast"/>
              <w:rPr>
                <w:rFonts w:ascii="宋体" w:hAnsi="宋体"/>
                <w:color w:val="auto"/>
                <w:sz w:val="24"/>
                <w:szCs w:val="24"/>
                <w:highlight w:val="none"/>
              </w:rPr>
            </w:pPr>
            <w:r>
              <w:rPr>
                <w:rFonts w:hint="eastAsia" w:ascii="宋体" w:hAnsi="宋体" w:cs="宋体"/>
                <w:color w:val="auto"/>
                <w:sz w:val="24"/>
                <w:szCs w:val="24"/>
                <w:highlight w:val="none"/>
              </w:rPr>
              <w:t>安装完成时间：到货后接采购单位通知5天内安装并调试完成。</w:t>
            </w:r>
          </w:p>
        </w:tc>
        <w:tc>
          <w:tcPr>
            <w:tcW w:w="713" w:type="pct"/>
          </w:tcPr>
          <w:p w14:paraId="7437402B">
            <w:pPr>
              <w:spacing w:line="360" w:lineRule="atLeast"/>
              <w:rPr>
                <w:rFonts w:ascii="宋体" w:hAnsi="宋体" w:cs="宋体"/>
                <w:bCs/>
                <w:color w:val="auto"/>
                <w:sz w:val="24"/>
                <w:szCs w:val="24"/>
                <w:highlight w:val="none"/>
                <w:lang w:val="zh-CN"/>
              </w:rPr>
            </w:pPr>
          </w:p>
        </w:tc>
      </w:tr>
      <w:tr w14:paraId="246D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63E62C26">
            <w:pPr>
              <w:spacing w:after="60" w:line="360" w:lineRule="atLeast"/>
              <w:ind w:left="72" w:right="72"/>
              <w:jc w:val="center"/>
              <w:rPr>
                <w:color w:val="auto"/>
                <w:sz w:val="24"/>
                <w:szCs w:val="24"/>
                <w:highlight w:val="none"/>
              </w:rPr>
            </w:pPr>
            <w:r>
              <w:rPr>
                <w:rFonts w:hint="eastAsia"/>
                <w:color w:val="auto"/>
                <w:sz w:val="24"/>
                <w:szCs w:val="24"/>
                <w:highlight w:val="none"/>
              </w:rPr>
              <w:t>6.2</w:t>
            </w:r>
          </w:p>
        </w:tc>
        <w:tc>
          <w:tcPr>
            <w:tcW w:w="3636" w:type="pct"/>
            <w:vAlign w:val="center"/>
          </w:tcPr>
          <w:p w14:paraId="006A381E">
            <w:pPr>
              <w:widowControl/>
              <w:spacing w:line="360" w:lineRule="atLeast"/>
              <w:rPr>
                <w:rFonts w:ascii="宋体" w:hAnsi="宋体"/>
                <w:color w:val="auto"/>
                <w:sz w:val="24"/>
                <w:szCs w:val="24"/>
                <w:highlight w:val="none"/>
              </w:rPr>
            </w:pPr>
            <w:r>
              <w:rPr>
                <w:rFonts w:hint="eastAsia" w:ascii="宋体" w:hAnsi="宋体"/>
                <w:color w:val="auto"/>
                <w:sz w:val="24"/>
                <w:szCs w:val="24"/>
                <w:highlight w:val="none"/>
              </w:rPr>
              <w:t>安装地点：采购方指定地点。</w:t>
            </w:r>
          </w:p>
        </w:tc>
        <w:tc>
          <w:tcPr>
            <w:tcW w:w="713" w:type="pct"/>
          </w:tcPr>
          <w:p w14:paraId="7D9D47F4">
            <w:pPr>
              <w:spacing w:line="360" w:lineRule="atLeast"/>
              <w:rPr>
                <w:rFonts w:ascii="宋体" w:hAnsi="宋体" w:cs="宋体"/>
                <w:bCs/>
                <w:color w:val="auto"/>
                <w:sz w:val="24"/>
                <w:szCs w:val="24"/>
                <w:highlight w:val="none"/>
                <w:lang w:val="zh-CN"/>
              </w:rPr>
            </w:pPr>
          </w:p>
        </w:tc>
      </w:tr>
      <w:tr w14:paraId="7E24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428172AB">
            <w:pPr>
              <w:spacing w:after="60" w:line="360" w:lineRule="atLeast"/>
              <w:ind w:left="72" w:right="72"/>
              <w:jc w:val="center"/>
              <w:rPr>
                <w:color w:val="auto"/>
                <w:sz w:val="24"/>
                <w:szCs w:val="24"/>
                <w:highlight w:val="none"/>
              </w:rPr>
            </w:pPr>
            <w:r>
              <w:rPr>
                <w:rFonts w:hint="eastAsia"/>
                <w:color w:val="auto"/>
                <w:sz w:val="24"/>
                <w:szCs w:val="24"/>
                <w:highlight w:val="none"/>
              </w:rPr>
              <w:t>6.3</w:t>
            </w:r>
          </w:p>
        </w:tc>
        <w:tc>
          <w:tcPr>
            <w:tcW w:w="3636" w:type="pct"/>
            <w:vAlign w:val="center"/>
          </w:tcPr>
          <w:p w14:paraId="41567FA3">
            <w:pPr>
              <w:widowControl/>
              <w:spacing w:line="360" w:lineRule="atLeast"/>
              <w:rPr>
                <w:rFonts w:ascii="宋体" w:hAnsi="宋体"/>
                <w:color w:val="auto"/>
                <w:sz w:val="24"/>
                <w:szCs w:val="24"/>
                <w:highlight w:val="none"/>
              </w:rPr>
            </w:pPr>
            <w:r>
              <w:rPr>
                <w:rFonts w:hint="eastAsia" w:ascii="宋体" w:hAnsi="宋体"/>
                <w:color w:val="auto"/>
                <w:sz w:val="24"/>
                <w:szCs w:val="24"/>
                <w:highlight w:val="none"/>
              </w:rPr>
              <w:t>安装标准：符合我国国家有关技术规范和技术标准。</w:t>
            </w:r>
          </w:p>
        </w:tc>
        <w:tc>
          <w:tcPr>
            <w:tcW w:w="713" w:type="pct"/>
          </w:tcPr>
          <w:p w14:paraId="51489D83">
            <w:pPr>
              <w:spacing w:line="360" w:lineRule="atLeast"/>
              <w:rPr>
                <w:rFonts w:ascii="宋体" w:hAnsi="宋体" w:cs="宋体"/>
                <w:bCs/>
                <w:color w:val="auto"/>
                <w:sz w:val="24"/>
                <w:szCs w:val="24"/>
                <w:highlight w:val="none"/>
                <w:lang w:val="zh-CN"/>
              </w:rPr>
            </w:pPr>
          </w:p>
        </w:tc>
      </w:tr>
      <w:tr w14:paraId="516F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3FB3921B">
            <w:pPr>
              <w:spacing w:after="60" w:line="360" w:lineRule="atLeast"/>
              <w:ind w:left="72" w:right="72"/>
              <w:jc w:val="center"/>
              <w:rPr>
                <w:color w:val="auto"/>
                <w:sz w:val="24"/>
                <w:szCs w:val="24"/>
                <w:highlight w:val="none"/>
              </w:rPr>
            </w:pPr>
            <w:r>
              <w:rPr>
                <w:rFonts w:hint="eastAsia"/>
                <w:color w:val="auto"/>
                <w:sz w:val="24"/>
                <w:szCs w:val="24"/>
                <w:highlight w:val="none"/>
              </w:rPr>
              <w:t>6.4</w:t>
            </w:r>
          </w:p>
        </w:tc>
        <w:tc>
          <w:tcPr>
            <w:tcW w:w="3636" w:type="pct"/>
            <w:vAlign w:val="center"/>
          </w:tcPr>
          <w:p w14:paraId="742F1A0A">
            <w:pPr>
              <w:widowControl/>
              <w:spacing w:line="360" w:lineRule="atLeast"/>
              <w:rPr>
                <w:rFonts w:ascii="宋体" w:hAnsi="宋体"/>
                <w:color w:val="auto"/>
                <w:sz w:val="24"/>
                <w:szCs w:val="24"/>
                <w:highlight w:val="none"/>
              </w:rPr>
            </w:pPr>
            <w:r>
              <w:rPr>
                <w:rFonts w:hint="eastAsia" w:ascii="宋体" w:hAnsi="宋体"/>
                <w:color w:val="auto"/>
                <w:sz w:val="24"/>
                <w:szCs w:val="24"/>
                <w:highlight w:val="none"/>
              </w:rPr>
              <w:t>验收标准：应与产品原始样本技术数据及招标文件一致，应符合我国有关技术规范和技术标准，</w:t>
            </w:r>
            <w:r>
              <w:rPr>
                <w:rFonts w:hint="eastAsia" w:ascii="宋体" w:hAnsi="宋体" w:cs="宋体"/>
                <w:color w:val="auto"/>
                <w:sz w:val="24"/>
                <w:szCs w:val="24"/>
                <w:highlight w:val="none"/>
              </w:rPr>
              <w:t>设备生产日期距离到货日期国产产品不得大于4个月，进口产品不得大于8个月。</w:t>
            </w:r>
          </w:p>
        </w:tc>
        <w:tc>
          <w:tcPr>
            <w:tcW w:w="713" w:type="pct"/>
          </w:tcPr>
          <w:p w14:paraId="69AE1650">
            <w:pPr>
              <w:spacing w:line="360" w:lineRule="atLeast"/>
              <w:rPr>
                <w:rFonts w:ascii="宋体" w:hAnsi="宋体" w:cs="宋体"/>
                <w:bCs/>
                <w:color w:val="auto"/>
                <w:sz w:val="24"/>
                <w:szCs w:val="24"/>
                <w:highlight w:val="none"/>
                <w:lang w:val="zh-CN"/>
              </w:rPr>
            </w:pPr>
          </w:p>
        </w:tc>
      </w:tr>
      <w:tr w14:paraId="4CDC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3552AA0D">
            <w:pPr>
              <w:spacing w:after="60" w:line="360" w:lineRule="atLeast"/>
              <w:ind w:left="72" w:right="72"/>
              <w:jc w:val="center"/>
              <w:rPr>
                <w:color w:val="auto"/>
                <w:sz w:val="24"/>
                <w:szCs w:val="24"/>
                <w:highlight w:val="none"/>
              </w:rPr>
            </w:pPr>
            <w:r>
              <w:rPr>
                <w:rFonts w:hint="eastAsia"/>
                <w:color w:val="auto"/>
                <w:sz w:val="24"/>
                <w:szCs w:val="24"/>
                <w:highlight w:val="none"/>
              </w:rPr>
              <w:t>6.5</w:t>
            </w:r>
          </w:p>
        </w:tc>
        <w:tc>
          <w:tcPr>
            <w:tcW w:w="3636" w:type="pct"/>
            <w:vAlign w:val="center"/>
          </w:tcPr>
          <w:p w14:paraId="79402ECB">
            <w:pPr>
              <w:widowControl/>
              <w:spacing w:line="360" w:lineRule="atLeast"/>
              <w:rPr>
                <w:rFonts w:ascii="宋体" w:hAnsi="宋体" w:cs="宋体"/>
                <w:color w:val="auto"/>
                <w:sz w:val="24"/>
                <w:szCs w:val="24"/>
                <w:highlight w:val="none"/>
              </w:rPr>
            </w:pPr>
            <w:r>
              <w:rPr>
                <w:rFonts w:hint="eastAsia" w:ascii="宋体" w:hAnsi="宋体" w:cs="宋体"/>
                <w:color w:val="auto"/>
                <w:sz w:val="24"/>
                <w:szCs w:val="24"/>
                <w:highlight w:val="none"/>
              </w:rPr>
              <w:t>安装验收完成前产生一切费用（包括卸货、搬运费等）由中标商提供。</w:t>
            </w:r>
          </w:p>
        </w:tc>
        <w:tc>
          <w:tcPr>
            <w:tcW w:w="713" w:type="pct"/>
          </w:tcPr>
          <w:p w14:paraId="6EC23E3E">
            <w:pPr>
              <w:spacing w:line="360" w:lineRule="atLeast"/>
              <w:rPr>
                <w:rFonts w:ascii="宋体" w:hAnsi="宋体" w:cs="宋体"/>
                <w:bCs/>
                <w:color w:val="auto"/>
                <w:sz w:val="24"/>
                <w:szCs w:val="24"/>
                <w:highlight w:val="none"/>
                <w:lang w:val="zh-CN"/>
              </w:rPr>
            </w:pPr>
          </w:p>
        </w:tc>
      </w:tr>
      <w:tr w14:paraId="50F6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0C8F7597">
            <w:pPr>
              <w:spacing w:after="60" w:line="360" w:lineRule="atLeast"/>
              <w:ind w:left="72" w:right="72"/>
              <w:jc w:val="center"/>
              <w:rPr>
                <w:color w:val="auto"/>
                <w:sz w:val="24"/>
                <w:szCs w:val="24"/>
                <w:highlight w:val="none"/>
              </w:rPr>
            </w:pPr>
            <w:r>
              <w:rPr>
                <w:rFonts w:hint="eastAsia"/>
                <w:color w:val="auto"/>
                <w:sz w:val="24"/>
                <w:szCs w:val="24"/>
                <w:highlight w:val="none"/>
              </w:rPr>
              <w:t>6.6</w:t>
            </w:r>
          </w:p>
        </w:tc>
        <w:tc>
          <w:tcPr>
            <w:tcW w:w="3636" w:type="pct"/>
            <w:vAlign w:val="center"/>
          </w:tcPr>
          <w:p w14:paraId="5A4D6E4B">
            <w:pPr>
              <w:widowControl/>
              <w:spacing w:line="360" w:lineRule="atLeast"/>
              <w:rPr>
                <w:rFonts w:ascii="宋体" w:hAnsi="宋体" w:cs="宋体"/>
                <w:color w:val="auto"/>
                <w:sz w:val="24"/>
                <w:szCs w:val="24"/>
                <w:highlight w:val="none"/>
              </w:rPr>
            </w:pPr>
            <w:r>
              <w:rPr>
                <w:rFonts w:hint="eastAsia" w:ascii="宋体" w:hAnsi="宋体" w:cs="宋体"/>
                <w:color w:val="auto"/>
                <w:sz w:val="24"/>
                <w:szCs w:val="24"/>
                <w:highlight w:val="none"/>
              </w:rPr>
              <w:t>安装并调试后必需提供设备的检测报告，否则设备不予以验收。</w:t>
            </w:r>
          </w:p>
        </w:tc>
        <w:tc>
          <w:tcPr>
            <w:tcW w:w="713" w:type="pct"/>
          </w:tcPr>
          <w:p w14:paraId="443F2170">
            <w:pPr>
              <w:spacing w:line="360" w:lineRule="atLeast"/>
              <w:rPr>
                <w:rFonts w:ascii="宋体" w:hAnsi="宋体" w:cs="宋体"/>
                <w:bCs/>
                <w:color w:val="auto"/>
                <w:sz w:val="24"/>
                <w:szCs w:val="24"/>
                <w:highlight w:val="none"/>
                <w:lang w:val="zh-CN"/>
              </w:rPr>
            </w:pPr>
          </w:p>
        </w:tc>
      </w:tr>
      <w:tr w14:paraId="19A7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0" w:type="pct"/>
            <w:vAlign w:val="center"/>
          </w:tcPr>
          <w:p w14:paraId="1DCC0F54">
            <w:pPr>
              <w:spacing w:after="60" w:line="360" w:lineRule="atLeast"/>
              <w:ind w:left="72" w:right="72"/>
              <w:jc w:val="center"/>
              <w:rPr>
                <w:color w:val="auto"/>
                <w:sz w:val="24"/>
                <w:szCs w:val="24"/>
                <w:highlight w:val="none"/>
              </w:rPr>
            </w:pPr>
            <w:r>
              <w:rPr>
                <w:rFonts w:hint="eastAsia"/>
                <w:color w:val="auto"/>
                <w:sz w:val="24"/>
                <w:szCs w:val="24"/>
                <w:highlight w:val="none"/>
              </w:rPr>
              <w:t>6.7</w:t>
            </w:r>
          </w:p>
        </w:tc>
        <w:tc>
          <w:tcPr>
            <w:tcW w:w="3636" w:type="pct"/>
            <w:vAlign w:val="center"/>
          </w:tcPr>
          <w:p w14:paraId="56D425C8">
            <w:pPr>
              <w:widowControl/>
              <w:spacing w:line="360" w:lineRule="atLeast"/>
              <w:ind w:left="630" w:hanging="630"/>
              <w:rPr>
                <w:rFonts w:ascii="宋体" w:hAnsi="宋体"/>
                <w:color w:val="auto"/>
                <w:sz w:val="24"/>
                <w:szCs w:val="24"/>
                <w:highlight w:val="none"/>
              </w:rPr>
            </w:pPr>
            <w:r>
              <w:rPr>
                <w:rFonts w:hint="eastAsia" w:ascii="宋体" w:hAnsi="宋体"/>
                <w:color w:val="auto"/>
                <w:sz w:val="24"/>
                <w:szCs w:val="24"/>
                <w:highlight w:val="none"/>
              </w:rPr>
              <w:t>培训验收：需提供培训资料、培训图片、考核资料。</w:t>
            </w:r>
          </w:p>
        </w:tc>
        <w:tc>
          <w:tcPr>
            <w:tcW w:w="713" w:type="pct"/>
          </w:tcPr>
          <w:p w14:paraId="7924DC88">
            <w:pPr>
              <w:spacing w:line="360" w:lineRule="atLeast"/>
              <w:rPr>
                <w:rFonts w:ascii="宋体" w:hAnsi="宋体" w:cs="宋体"/>
                <w:bCs/>
                <w:color w:val="auto"/>
                <w:sz w:val="24"/>
                <w:szCs w:val="24"/>
                <w:highlight w:val="none"/>
                <w:lang w:val="zh-CN"/>
              </w:rPr>
            </w:pPr>
          </w:p>
        </w:tc>
      </w:tr>
    </w:tbl>
    <w:p w14:paraId="73C51AC2">
      <w:pPr>
        <w:keepNext/>
        <w:keepLines/>
        <w:spacing w:beforeLines="100" w:afterLines="50" w:line="500" w:lineRule="exact"/>
        <w:outlineLvl w:val="0"/>
        <w:rPr>
          <w:rFonts w:ascii="Calibri" w:hAnsi="Calibri"/>
          <w:b/>
          <w:color w:val="auto"/>
          <w:kern w:val="44"/>
          <w:sz w:val="24"/>
          <w:szCs w:val="24"/>
          <w:highlight w:val="none"/>
        </w:rPr>
      </w:pPr>
      <w:r>
        <w:rPr>
          <w:rFonts w:hint="eastAsia" w:ascii="Calibri" w:hAnsi="Calibri"/>
          <w:b/>
          <w:color w:val="auto"/>
          <w:kern w:val="44"/>
          <w:sz w:val="24"/>
          <w:szCs w:val="24"/>
          <w:highlight w:val="none"/>
        </w:rPr>
        <w:t>标项二：无自动组织脱水机 1套</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6649"/>
        <w:gridCol w:w="1300"/>
      </w:tblGrid>
      <w:tr w14:paraId="12F7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4D0DCBBA">
            <w:pPr>
              <w:spacing w:line="36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3647" w:type="pct"/>
            <w:vAlign w:val="center"/>
          </w:tcPr>
          <w:p w14:paraId="601F8B87">
            <w:pPr>
              <w:spacing w:line="36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招标要求</w:t>
            </w:r>
          </w:p>
        </w:tc>
        <w:tc>
          <w:tcPr>
            <w:tcW w:w="713" w:type="pct"/>
          </w:tcPr>
          <w:p w14:paraId="4D09C697">
            <w:pPr>
              <w:spacing w:line="360" w:lineRule="exact"/>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rPr>
              <w:t>投标响应</w:t>
            </w:r>
          </w:p>
        </w:tc>
      </w:tr>
      <w:tr w14:paraId="23DA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1272D716">
            <w:pPr>
              <w:spacing w:line="36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一、</w:t>
            </w:r>
          </w:p>
        </w:tc>
        <w:tc>
          <w:tcPr>
            <w:tcW w:w="3647" w:type="pct"/>
            <w:vAlign w:val="center"/>
          </w:tcPr>
          <w:p w14:paraId="6D1D52CA">
            <w:pPr>
              <w:spacing w:line="360" w:lineRule="exact"/>
              <w:rPr>
                <w:rFonts w:ascii="宋体" w:hAnsi="宋体" w:cs="宋体"/>
                <w:b/>
                <w:color w:val="auto"/>
                <w:sz w:val="24"/>
                <w:szCs w:val="24"/>
                <w:highlight w:val="none"/>
              </w:rPr>
            </w:pPr>
            <w:r>
              <w:rPr>
                <w:rFonts w:hint="eastAsia" w:ascii="宋体" w:hAnsi="宋体" w:cs="宋体"/>
                <w:b/>
                <w:color w:val="auto"/>
                <w:sz w:val="24"/>
                <w:szCs w:val="24"/>
                <w:highlight w:val="none"/>
              </w:rPr>
              <w:t>主要功能用途：</w:t>
            </w:r>
          </w:p>
        </w:tc>
        <w:tc>
          <w:tcPr>
            <w:tcW w:w="713" w:type="pct"/>
          </w:tcPr>
          <w:p w14:paraId="6D45E2FA">
            <w:pPr>
              <w:spacing w:line="360" w:lineRule="exact"/>
              <w:rPr>
                <w:rFonts w:ascii="宋体" w:hAnsi="宋体" w:cs="宋体"/>
                <w:b/>
                <w:color w:val="auto"/>
                <w:sz w:val="24"/>
                <w:szCs w:val="24"/>
                <w:highlight w:val="none"/>
              </w:rPr>
            </w:pPr>
          </w:p>
        </w:tc>
      </w:tr>
      <w:tr w14:paraId="1285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tcPr>
          <w:p w14:paraId="716EE436">
            <w:pPr>
              <w:spacing w:after="60" w:line="360" w:lineRule="exact"/>
              <w:ind w:left="72" w:right="72"/>
              <w:jc w:val="center"/>
              <w:rPr>
                <w:rFonts w:ascii="宋体" w:hAnsi="宋体" w:cs="宋体"/>
                <w:color w:val="auto"/>
                <w:sz w:val="24"/>
                <w:szCs w:val="24"/>
                <w:highlight w:val="none"/>
              </w:rPr>
            </w:pPr>
            <w:r>
              <w:rPr>
                <w:rFonts w:hint="eastAsia" w:ascii="宋体" w:hAnsi="宋体" w:cs="宋体"/>
                <w:bCs/>
                <w:color w:val="auto"/>
                <w:sz w:val="24"/>
                <w:szCs w:val="24"/>
                <w:highlight w:val="none"/>
              </w:rPr>
              <w:t>1.1</w:t>
            </w:r>
          </w:p>
        </w:tc>
        <w:tc>
          <w:tcPr>
            <w:tcW w:w="3647" w:type="pct"/>
          </w:tcPr>
          <w:p w14:paraId="42A4E8E9">
            <w:pPr>
              <w:spacing w:line="360" w:lineRule="exact"/>
              <w:rPr>
                <w:rFonts w:ascii="宋体" w:hAnsi="宋体" w:cs="宋体"/>
                <w:bCs/>
                <w:color w:val="auto"/>
                <w:sz w:val="24"/>
                <w:szCs w:val="24"/>
                <w:highlight w:val="none"/>
              </w:rPr>
            </w:pPr>
            <w:r>
              <w:rPr>
                <w:rFonts w:hint="eastAsia" w:ascii="宋体" w:hAnsi="宋体" w:cs="宋体"/>
                <w:bCs/>
                <w:color w:val="auto"/>
                <w:sz w:val="24"/>
                <w:szCs w:val="24"/>
                <w:highlight w:val="none"/>
                <w:lang w:val="zh-CN"/>
              </w:rPr>
              <w:t>用于实验室组织标本的脱水。</w:t>
            </w:r>
          </w:p>
        </w:tc>
        <w:tc>
          <w:tcPr>
            <w:tcW w:w="713" w:type="pct"/>
          </w:tcPr>
          <w:p w14:paraId="6142E7FD">
            <w:pPr>
              <w:spacing w:line="360" w:lineRule="exact"/>
              <w:rPr>
                <w:rFonts w:ascii="宋体" w:hAnsi="宋体" w:cs="宋体"/>
                <w:bCs/>
                <w:color w:val="auto"/>
                <w:sz w:val="24"/>
                <w:szCs w:val="24"/>
                <w:highlight w:val="none"/>
                <w:lang w:val="zh-CN"/>
              </w:rPr>
            </w:pPr>
          </w:p>
        </w:tc>
      </w:tr>
      <w:tr w14:paraId="4955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tcPr>
          <w:p w14:paraId="3FBF4E0E">
            <w:pPr>
              <w:spacing w:line="360" w:lineRule="exact"/>
              <w:jc w:val="center"/>
              <w:rPr>
                <w:rFonts w:ascii="宋体" w:hAnsi="宋体" w:cs="宋体"/>
                <w:color w:val="auto"/>
                <w:sz w:val="24"/>
                <w:szCs w:val="24"/>
                <w:highlight w:val="none"/>
              </w:rPr>
            </w:pPr>
            <w:r>
              <w:rPr>
                <w:rFonts w:hint="eastAsia" w:ascii="宋体" w:hAnsi="宋体" w:cs="宋体"/>
                <w:b/>
                <w:color w:val="auto"/>
                <w:spacing w:val="-2"/>
                <w:sz w:val="24"/>
                <w:szCs w:val="24"/>
                <w:highlight w:val="none"/>
              </w:rPr>
              <w:t>二、</w:t>
            </w:r>
          </w:p>
        </w:tc>
        <w:tc>
          <w:tcPr>
            <w:tcW w:w="3647" w:type="pct"/>
          </w:tcPr>
          <w:p w14:paraId="250A6F7B">
            <w:pPr>
              <w:autoSpaceDE w:val="0"/>
              <w:autoSpaceDN w:val="0"/>
              <w:adjustRightInd w:val="0"/>
              <w:spacing w:line="360" w:lineRule="exact"/>
              <w:rPr>
                <w:rFonts w:ascii="宋体" w:hAnsi="宋体" w:cs="宋体"/>
                <w:b/>
                <w:color w:val="auto"/>
                <w:sz w:val="24"/>
                <w:szCs w:val="24"/>
                <w:highlight w:val="none"/>
              </w:rPr>
            </w:pPr>
            <w:r>
              <w:rPr>
                <w:rFonts w:hint="eastAsia" w:ascii="宋体" w:hAnsi="宋体" w:cs="宋体"/>
                <w:b/>
                <w:color w:val="auto"/>
                <w:sz w:val="24"/>
                <w:szCs w:val="24"/>
                <w:highlight w:val="none"/>
                <w:lang w:val="zh-CN"/>
              </w:rPr>
              <w:t>技术参数要求：</w:t>
            </w:r>
          </w:p>
        </w:tc>
        <w:tc>
          <w:tcPr>
            <w:tcW w:w="713" w:type="pct"/>
          </w:tcPr>
          <w:p w14:paraId="29226B1A">
            <w:pPr>
              <w:autoSpaceDE w:val="0"/>
              <w:autoSpaceDN w:val="0"/>
              <w:adjustRightInd w:val="0"/>
              <w:spacing w:line="360" w:lineRule="exact"/>
              <w:rPr>
                <w:rFonts w:ascii="宋体" w:hAnsi="宋体" w:cs="宋体"/>
                <w:bCs/>
                <w:color w:val="auto"/>
                <w:sz w:val="24"/>
                <w:szCs w:val="24"/>
                <w:highlight w:val="none"/>
                <w:lang w:val="zh-CN"/>
              </w:rPr>
            </w:pPr>
          </w:p>
        </w:tc>
      </w:tr>
      <w:tr w14:paraId="08CC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1DC1F6C7">
            <w:pPr>
              <w:spacing w:after="60" w:line="360" w:lineRule="exact"/>
              <w:ind w:left="72" w:right="72"/>
              <w:jc w:val="center"/>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color w:val="auto"/>
                <w:sz w:val="24"/>
                <w:szCs w:val="24"/>
                <w:highlight w:val="none"/>
              </w:rPr>
              <w:t>2.1</w:t>
            </w:r>
          </w:p>
        </w:tc>
        <w:tc>
          <w:tcPr>
            <w:tcW w:w="3647" w:type="pct"/>
          </w:tcPr>
          <w:p w14:paraId="5F70BE91">
            <w:pPr>
              <w:spacing w:after="60" w:line="360" w:lineRule="exac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可同时处理包埋盒数量≥400个，脱水缸数量≥2个，且可独立运行，满足用户分类处理不同类型、不同大小组织的需求。</w:t>
            </w:r>
          </w:p>
        </w:tc>
        <w:tc>
          <w:tcPr>
            <w:tcW w:w="713" w:type="pct"/>
          </w:tcPr>
          <w:p w14:paraId="2CF1D435">
            <w:pPr>
              <w:spacing w:line="360" w:lineRule="exact"/>
              <w:rPr>
                <w:rFonts w:ascii="宋体" w:hAnsi="宋体" w:cs="宋体"/>
                <w:bCs/>
                <w:color w:val="auto"/>
                <w:sz w:val="24"/>
                <w:szCs w:val="24"/>
                <w:highlight w:val="none"/>
              </w:rPr>
            </w:pPr>
          </w:p>
        </w:tc>
      </w:tr>
      <w:tr w14:paraId="7E69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49DACCAC">
            <w:pPr>
              <w:spacing w:after="60" w:line="360" w:lineRule="exact"/>
              <w:ind w:left="72" w:right="72"/>
              <w:jc w:val="center"/>
              <w:rPr>
                <w:rFonts w:ascii="宋体" w:hAnsi="宋体" w:cs="宋体"/>
                <w:color w:val="auto"/>
                <w:sz w:val="24"/>
                <w:szCs w:val="24"/>
                <w:highlight w:val="none"/>
              </w:rPr>
            </w:pPr>
            <w:r>
              <w:rPr>
                <w:rFonts w:hint="eastAsia"/>
                <w:color w:val="auto"/>
                <w:sz w:val="24"/>
                <w:szCs w:val="24"/>
                <w:highlight w:val="none"/>
              </w:rPr>
              <w:t>2.2</w:t>
            </w:r>
          </w:p>
        </w:tc>
        <w:tc>
          <w:tcPr>
            <w:tcW w:w="3647" w:type="pct"/>
          </w:tcPr>
          <w:p w14:paraId="5A8272FE">
            <w:pPr>
              <w:spacing w:after="60" w:line="360" w:lineRule="exact"/>
              <w:rPr>
                <w:rFonts w:ascii="宋体" w:hAnsi="宋体" w:cs="宋体"/>
                <w:bCs/>
                <w:color w:val="auto"/>
                <w:sz w:val="24"/>
                <w:szCs w:val="24"/>
                <w:highlight w:val="none"/>
                <w:lang w:val="zh-CN"/>
              </w:rPr>
            </w:pPr>
            <w:r>
              <w:rPr>
                <w:rFonts w:hint="eastAsia"/>
                <w:color w:val="auto"/>
                <w:sz w:val="24"/>
                <w:szCs w:val="24"/>
                <w:highlight w:val="none"/>
              </w:rPr>
              <w:t>双脱水缸可独立运行，并具有自己的温度、压力和搅拌器开/关设置。</w:t>
            </w:r>
          </w:p>
        </w:tc>
        <w:tc>
          <w:tcPr>
            <w:tcW w:w="713" w:type="pct"/>
          </w:tcPr>
          <w:p w14:paraId="59B8C782">
            <w:pPr>
              <w:spacing w:line="360" w:lineRule="exact"/>
              <w:rPr>
                <w:rFonts w:ascii="宋体" w:hAnsi="宋体" w:cs="宋体"/>
                <w:bCs/>
                <w:color w:val="auto"/>
                <w:sz w:val="24"/>
                <w:szCs w:val="24"/>
                <w:highlight w:val="none"/>
              </w:rPr>
            </w:pPr>
          </w:p>
        </w:tc>
      </w:tr>
      <w:tr w14:paraId="0E5C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23341E7A">
            <w:pPr>
              <w:spacing w:after="60" w:line="360" w:lineRule="exact"/>
              <w:ind w:left="72" w:right="72"/>
              <w:jc w:val="center"/>
              <w:rPr>
                <w:rFonts w:ascii="宋体" w:hAnsi="宋体" w:cs="宋体"/>
                <w:b/>
                <w:color w:val="auto"/>
                <w:sz w:val="24"/>
                <w:szCs w:val="24"/>
                <w:highlight w:val="none"/>
              </w:rPr>
            </w:pPr>
            <w:r>
              <w:rPr>
                <w:rFonts w:hint="eastAsia"/>
                <w:color w:val="auto"/>
                <w:sz w:val="24"/>
                <w:szCs w:val="24"/>
                <w:highlight w:val="none"/>
              </w:rPr>
              <w:t>2.3</w:t>
            </w:r>
          </w:p>
        </w:tc>
        <w:tc>
          <w:tcPr>
            <w:tcW w:w="3647" w:type="pct"/>
          </w:tcPr>
          <w:p w14:paraId="6AF8D772">
            <w:pPr>
              <w:spacing w:after="60" w:line="360" w:lineRule="exact"/>
              <w:rPr>
                <w:rFonts w:ascii="宋体" w:hAnsi="宋体" w:cs="宋体"/>
                <w:b/>
                <w:color w:val="auto"/>
                <w:sz w:val="24"/>
                <w:szCs w:val="24"/>
                <w:highlight w:val="none"/>
                <w:lang w:val="zh-CN"/>
              </w:rPr>
            </w:pPr>
            <w:r>
              <w:rPr>
                <w:rFonts w:hint="eastAsia"/>
                <w:color w:val="auto"/>
                <w:sz w:val="24"/>
                <w:szCs w:val="24"/>
                <w:highlight w:val="none"/>
              </w:rPr>
              <w:t>试剂瓶：≥14个；冷凝瓶：≥1个；试剂瓶容量≥3.5L。</w:t>
            </w:r>
          </w:p>
        </w:tc>
        <w:tc>
          <w:tcPr>
            <w:tcW w:w="713" w:type="pct"/>
          </w:tcPr>
          <w:p w14:paraId="5E1C6CA0">
            <w:pPr>
              <w:spacing w:line="360" w:lineRule="exact"/>
              <w:rPr>
                <w:rFonts w:ascii="宋体" w:hAnsi="宋体" w:cs="宋体"/>
                <w:bCs/>
                <w:color w:val="auto"/>
                <w:sz w:val="24"/>
                <w:szCs w:val="24"/>
                <w:highlight w:val="none"/>
              </w:rPr>
            </w:pPr>
          </w:p>
        </w:tc>
      </w:tr>
      <w:tr w14:paraId="1D0D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138AF26C">
            <w:pPr>
              <w:spacing w:after="60" w:line="360" w:lineRule="exact"/>
              <w:ind w:left="72" w:right="72"/>
              <w:jc w:val="center"/>
              <w:rPr>
                <w:rFonts w:ascii="宋体" w:hAnsi="宋体" w:cs="宋体"/>
                <w:color w:val="auto"/>
                <w:sz w:val="24"/>
                <w:szCs w:val="24"/>
                <w:highlight w:val="none"/>
              </w:rPr>
            </w:pPr>
            <w:r>
              <w:rPr>
                <w:rFonts w:hint="eastAsia"/>
                <w:color w:val="auto"/>
                <w:sz w:val="24"/>
                <w:szCs w:val="24"/>
                <w:highlight w:val="none"/>
              </w:rPr>
              <w:t>2.4</w:t>
            </w:r>
          </w:p>
        </w:tc>
        <w:tc>
          <w:tcPr>
            <w:tcW w:w="3647" w:type="pct"/>
          </w:tcPr>
          <w:p w14:paraId="54FABC71">
            <w:pPr>
              <w:spacing w:after="60" w:line="360" w:lineRule="exact"/>
              <w:rPr>
                <w:rFonts w:ascii="宋体" w:hAnsi="宋体" w:cs="宋体"/>
                <w:bCs/>
                <w:color w:val="auto"/>
                <w:sz w:val="24"/>
                <w:szCs w:val="24"/>
                <w:highlight w:val="none"/>
                <w:lang w:val="zh-CN"/>
              </w:rPr>
            </w:pPr>
            <w:r>
              <w:rPr>
                <w:rFonts w:hint="eastAsia"/>
                <w:color w:val="auto"/>
                <w:sz w:val="24"/>
                <w:szCs w:val="24"/>
                <w:highlight w:val="none"/>
              </w:rPr>
              <w:t>试剂瓶具备防溢出设计。</w:t>
            </w:r>
          </w:p>
        </w:tc>
        <w:tc>
          <w:tcPr>
            <w:tcW w:w="713" w:type="pct"/>
          </w:tcPr>
          <w:p w14:paraId="6D62F961">
            <w:pPr>
              <w:spacing w:line="360" w:lineRule="exact"/>
              <w:rPr>
                <w:rFonts w:ascii="宋体" w:hAnsi="宋体" w:cs="宋体"/>
                <w:bCs/>
                <w:color w:val="auto"/>
                <w:sz w:val="24"/>
                <w:szCs w:val="24"/>
                <w:highlight w:val="none"/>
                <w:lang w:val="zh-CN"/>
              </w:rPr>
            </w:pPr>
          </w:p>
        </w:tc>
      </w:tr>
      <w:tr w14:paraId="5229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0A294404">
            <w:pPr>
              <w:spacing w:after="60" w:line="360" w:lineRule="exact"/>
              <w:ind w:left="72" w:right="72"/>
              <w:jc w:val="center"/>
              <w:rPr>
                <w:rFonts w:ascii="宋体" w:hAnsi="宋体" w:cs="宋体"/>
                <w:color w:val="auto"/>
                <w:sz w:val="24"/>
                <w:szCs w:val="24"/>
                <w:highlight w:val="none"/>
              </w:rPr>
            </w:pPr>
            <w:r>
              <w:rPr>
                <w:rFonts w:hint="eastAsia"/>
                <w:color w:val="auto"/>
                <w:sz w:val="24"/>
                <w:szCs w:val="24"/>
                <w:highlight w:val="none"/>
              </w:rPr>
              <w:t>2.5</w:t>
            </w:r>
          </w:p>
        </w:tc>
        <w:tc>
          <w:tcPr>
            <w:tcW w:w="3647" w:type="pct"/>
          </w:tcPr>
          <w:p w14:paraId="0BEBB8BC">
            <w:pPr>
              <w:spacing w:after="60" w:line="360" w:lineRule="exac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具备本地报警和远程报警。</w:t>
            </w:r>
          </w:p>
        </w:tc>
        <w:tc>
          <w:tcPr>
            <w:tcW w:w="713" w:type="pct"/>
          </w:tcPr>
          <w:p w14:paraId="67C99B94">
            <w:pPr>
              <w:spacing w:line="360" w:lineRule="exact"/>
              <w:rPr>
                <w:rFonts w:ascii="宋体" w:hAnsi="宋体" w:cs="宋体"/>
                <w:bCs/>
                <w:color w:val="auto"/>
                <w:sz w:val="24"/>
                <w:szCs w:val="24"/>
                <w:highlight w:val="none"/>
                <w:lang w:val="zh-CN"/>
              </w:rPr>
            </w:pPr>
          </w:p>
        </w:tc>
      </w:tr>
      <w:tr w14:paraId="68F8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4EE2EBE0">
            <w:pPr>
              <w:spacing w:after="60" w:line="360" w:lineRule="exact"/>
              <w:ind w:left="72" w:right="72"/>
              <w:jc w:val="center"/>
              <w:rPr>
                <w:rFonts w:ascii="宋体" w:hAnsi="宋体" w:cs="宋体"/>
                <w:color w:val="auto"/>
                <w:sz w:val="24"/>
                <w:szCs w:val="24"/>
                <w:highlight w:val="none"/>
              </w:rPr>
            </w:pPr>
            <w:r>
              <w:rPr>
                <w:rFonts w:hint="eastAsia"/>
                <w:color w:val="auto"/>
                <w:sz w:val="24"/>
                <w:szCs w:val="24"/>
                <w:highlight w:val="none"/>
              </w:rPr>
              <w:t>2.6</w:t>
            </w:r>
          </w:p>
        </w:tc>
        <w:tc>
          <w:tcPr>
            <w:tcW w:w="3647" w:type="pct"/>
          </w:tcPr>
          <w:p w14:paraId="0AE0D7DE">
            <w:pPr>
              <w:spacing w:after="60" w:line="360" w:lineRule="exac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试剂柜具有背光灯设计，可通过背光灯开启/关闭，直观指示试剂瓶连接状态。</w:t>
            </w:r>
          </w:p>
        </w:tc>
        <w:tc>
          <w:tcPr>
            <w:tcW w:w="713" w:type="pct"/>
          </w:tcPr>
          <w:p w14:paraId="0281B9BD">
            <w:pPr>
              <w:spacing w:line="360" w:lineRule="exact"/>
              <w:rPr>
                <w:rFonts w:ascii="宋体" w:hAnsi="宋体" w:cs="宋体"/>
                <w:bCs/>
                <w:color w:val="auto"/>
                <w:sz w:val="24"/>
                <w:szCs w:val="24"/>
                <w:highlight w:val="none"/>
                <w:lang w:val="zh-CN"/>
              </w:rPr>
            </w:pPr>
          </w:p>
        </w:tc>
      </w:tr>
      <w:tr w14:paraId="24A7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0A932A3F">
            <w:pPr>
              <w:spacing w:after="60" w:line="360" w:lineRule="exact"/>
              <w:ind w:left="72" w:right="72"/>
              <w:jc w:val="center"/>
              <w:rPr>
                <w:rFonts w:ascii="宋体" w:hAnsi="宋体" w:cs="宋体"/>
                <w:color w:val="auto"/>
                <w:sz w:val="24"/>
                <w:szCs w:val="24"/>
                <w:highlight w:val="none"/>
              </w:rPr>
            </w:pPr>
            <w:r>
              <w:rPr>
                <w:rFonts w:hint="eastAsia"/>
                <w:color w:val="auto"/>
                <w:sz w:val="24"/>
                <w:szCs w:val="24"/>
                <w:highlight w:val="none"/>
              </w:rPr>
              <w:t>2.7</w:t>
            </w:r>
          </w:p>
        </w:tc>
        <w:tc>
          <w:tcPr>
            <w:tcW w:w="3647" w:type="pct"/>
          </w:tcPr>
          <w:p w14:paraId="23293ED1">
            <w:pPr>
              <w:spacing w:after="60" w:line="360" w:lineRule="exac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设备液位传感器数≥4个，即每个脱水缸均具备两个液位传感器。</w:t>
            </w:r>
          </w:p>
          <w:p w14:paraId="3D75D410">
            <w:pPr>
              <w:spacing w:after="60" w:line="360" w:lineRule="exac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低位液位传感器，可监测双样品篮液位；</w:t>
            </w:r>
          </w:p>
          <w:p w14:paraId="19D0A4AC">
            <w:pPr>
              <w:spacing w:after="60" w:line="360" w:lineRule="exac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高位传感器具备风险触发监测功能。</w:t>
            </w:r>
          </w:p>
        </w:tc>
        <w:tc>
          <w:tcPr>
            <w:tcW w:w="713" w:type="pct"/>
          </w:tcPr>
          <w:p w14:paraId="492ADB15">
            <w:pPr>
              <w:spacing w:line="360" w:lineRule="exact"/>
              <w:rPr>
                <w:rFonts w:ascii="宋体" w:hAnsi="宋体" w:cs="宋体"/>
                <w:bCs/>
                <w:color w:val="auto"/>
                <w:sz w:val="24"/>
                <w:szCs w:val="24"/>
                <w:highlight w:val="none"/>
                <w:lang w:val="zh-CN"/>
              </w:rPr>
            </w:pPr>
          </w:p>
        </w:tc>
      </w:tr>
      <w:tr w14:paraId="5480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28651C9F">
            <w:pPr>
              <w:spacing w:after="60" w:line="360" w:lineRule="exact"/>
              <w:ind w:left="72" w:right="72"/>
              <w:jc w:val="center"/>
              <w:rPr>
                <w:rFonts w:ascii="宋体" w:hAnsi="宋体" w:cs="宋体"/>
                <w:color w:val="auto"/>
                <w:sz w:val="24"/>
                <w:szCs w:val="24"/>
                <w:highlight w:val="none"/>
              </w:rPr>
            </w:pPr>
            <w:r>
              <w:rPr>
                <w:rFonts w:hint="eastAsia"/>
                <w:color w:val="auto"/>
                <w:sz w:val="24"/>
                <w:szCs w:val="24"/>
                <w:highlight w:val="none"/>
              </w:rPr>
              <w:t>2.8</w:t>
            </w:r>
          </w:p>
        </w:tc>
        <w:tc>
          <w:tcPr>
            <w:tcW w:w="3647" w:type="pct"/>
          </w:tcPr>
          <w:p w14:paraId="1A02462B">
            <w:pPr>
              <w:spacing w:after="60" w:line="360" w:lineRule="exac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设备具备磁力搅拌功能，磁力搅拌器≥2个，即每个脱水缸1个。</w:t>
            </w:r>
          </w:p>
        </w:tc>
        <w:tc>
          <w:tcPr>
            <w:tcW w:w="713" w:type="pct"/>
          </w:tcPr>
          <w:p w14:paraId="69BE1FD0">
            <w:pPr>
              <w:spacing w:line="360" w:lineRule="exact"/>
              <w:rPr>
                <w:rFonts w:ascii="宋体" w:hAnsi="宋体" w:cs="宋体"/>
                <w:bCs/>
                <w:color w:val="auto"/>
                <w:sz w:val="24"/>
                <w:szCs w:val="24"/>
                <w:highlight w:val="none"/>
                <w:lang w:val="zh-CN"/>
              </w:rPr>
            </w:pPr>
          </w:p>
        </w:tc>
      </w:tr>
      <w:tr w14:paraId="5A48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3C2082CF">
            <w:pPr>
              <w:spacing w:after="60" w:line="360" w:lineRule="exact"/>
              <w:ind w:left="72" w:right="72"/>
              <w:jc w:val="center"/>
              <w:rPr>
                <w:rFonts w:ascii="宋体" w:hAnsi="宋体" w:cs="宋体"/>
                <w:color w:val="auto"/>
                <w:sz w:val="24"/>
                <w:szCs w:val="24"/>
                <w:highlight w:val="none"/>
              </w:rPr>
            </w:pPr>
            <w:r>
              <w:rPr>
                <w:rFonts w:hint="eastAsia"/>
                <w:color w:val="auto"/>
                <w:sz w:val="24"/>
                <w:szCs w:val="24"/>
                <w:highlight w:val="none"/>
              </w:rPr>
              <w:t>2.9</w:t>
            </w:r>
          </w:p>
        </w:tc>
        <w:tc>
          <w:tcPr>
            <w:tcW w:w="3647" w:type="pct"/>
          </w:tcPr>
          <w:p w14:paraId="2A20359D">
            <w:pPr>
              <w:spacing w:after="60" w:line="360" w:lineRule="exac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包埋盒样品篮采用不锈钢材质和内置弹簧设计。</w:t>
            </w:r>
          </w:p>
        </w:tc>
        <w:tc>
          <w:tcPr>
            <w:tcW w:w="713" w:type="pct"/>
          </w:tcPr>
          <w:p w14:paraId="511397CF">
            <w:pPr>
              <w:spacing w:line="360" w:lineRule="exact"/>
              <w:rPr>
                <w:rFonts w:ascii="宋体" w:hAnsi="宋体" w:cs="宋体"/>
                <w:bCs/>
                <w:color w:val="auto"/>
                <w:sz w:val="24"/>
                <w:szCs w:val="24"/>
                <w:highlight w:val="none"/>
                <w:lang w:val="zh-CN"/>
              </w:rPr>
            </w:pPr>
          </w:p>
        </w:tc>
      </w:tr>
      <w:tr w14:paraId="0345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4CF63339">
            <w:pPr>
              <w:spacing w:after="60" w:line="360" w:lineRule="exact"/>
              <w:ind w:left="72" w:right="72"/>
              <w:jc w:val="center"/>
              <w:rPr>
                <w:rFonts w:ascii="宋体" w:hAnsi="宋体" w:cs="宋体"/>
                <w:color w:val="auto"/>
                <w:sz w:val="24"/>
                <w:szCs w:val="24"/>
                <w:highlight w:val="none"/>
              </w:rPr>
            </w:pPr>
            <w:r>
              <w:rPr>
                <w:rFonts w:hint="eastAsia"/>
                <w:color w:val="auto"/>
                <w:sz w:val="24"/>
                <w:szCs w:val="24"/>
                <w:highlight w:val="none"/>
              </w:rPr>
              <w:t>2.10</w:t>
            </w:r>
          </w:p>
        </w:tc>
        <w:tc>
          <w:tcPr>
            <w:tcW w:w="3647" w:type="pct"/>
          </w:tcPr>
          <w:p w14:paraId="0AF9AFAF">
            <w:pPr>
              <w:spacing w:after="60" w:line="360" w:lineRule="exac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石蜡缸：≥4个，每个蜡缸容量 ≥ 3.9L; 蜡缸温度：50℃~71℃。蜡缸间需气流相同，压力相同。</w:t>
            </w:r>
          </w:p>
        </w:tc>
        <w:tc>
          <w:tcPr>
            <w:tcW w:w="713" w:type="pct"/>
          </w:tcPr>
          <w:p w14:paraId="64E7F414">
            <w:pPr>
              <w:spacing w:line="360" w:lineRule="exact"/>
              <w:rPr>
                <w:rFonts w:ascii="宋体" w:hAnsi="宋体" w:cs="宋体"/>
                <w:bCs/>
                <w:color w:val="auto"/>
                <w:sz w:val="24"/>
                <w:szCs w:val="24"/>
                <w:highlight w:val="none"/>
                <w:lang w:val="zh-CN"/>
              </w:rPr>
            </w:pPr>
          </w:p>
        </w:tc>
      </w:tr>
      <w:tr w14:paraId="65EC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pct"/>
            <w:vAlign w:val="center"/>
          </w:tcPr>
          <w:p w14:paraId="7996BD84">
            <w:pPr>
              <w:spacing w:after="60" w:line="360" w:lineRule="exact"/>
              <w:ind w:left="72" w:right="72"/>
              <w:jc w:val="center"/>
              <w:rPr>
                <w:rFonts w:ascii="宋体" w:hAnsi="宋体" w:cs="宋体"/>
                <w:color w:val="auto"/>
                <w:sz w:val="24"/>
                <w:szCs w:val="24"/>
                <w:highlight w:val="none"/>
              </w:rPr>
            </w:pPr>
            <w:r>
              <w:rPr>
                <w:rFonts w:hint="eastAsia"/>
                <w:color w:val="auto"/>
                <w:sz w:val="24"/>
                <w:szCs w:val="24"/>
                <w:highlight w:val="none"/>
              </w:rPr>
              <w:t>2.11</w:t>
            </w:r>
          </w:p>
        </w:tc>
        <w:tc>
          <w:tcPr>
            <w:tcW w:w="3647" w:type="pct"/>
          </w:tcPr>
          <w:p w14:paraId="77267DDD">
            <w:pPr>
              <w:spacing w:after="60" w:line="360" w:lineRule="exac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脱水缸温度范围35~85℃，其中石蜡58~85℃，t脱水试剂35~65℃，清洗试剂35~85℃。</w:t>
            </w:r>
          </w:p>
        </w:tc>
        <w:tc>
          <w:tcPr>
            <w:tcW w:w="713" w:type="pct"/>
          </w:tcPr>
          <w:p w14:paraId="39E7F462">
            <w:pPr>
              <w:spacing w:line="360" w:lineRule="exact"/>
              <w:rPr>
                <w:rFonts w:ascii="宋体" w:hAnsi="宋体" w:cs="宋体"/>
                <w:bCs/>
                <w:color w:val="auto"/>
                <w:sz w:val="24"/>
                <w:szCs w:val="24"/>
                <w:highlight w:val="none"/>
                <w:lang w:val="zh-CN"/>
              </w:rPr>
            </w:pPr>
          </w:p>
        </w:tc>
      </w:tr>
      <w:tr w14:paraId="3F56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5F8F22F1">
            <w:pPr>
              <w:spacing w:after="60" w:line="360" w:lineRule="exact"/>
              <w:ind w:left="72" w:right="72"/>
              <w:jc w:val="center"/>
              <w:rPr>
                <w:rFonts w:ascii="宋体" w:hAnsi="宋体" w:cs="宋体"/>
                <w:color w:val="auto"/>
                <w:sz w:val="24"/>
                <w:szCs w:val="24"/>
                <w:highlight w:val="none"/>
              </w:rPr>
            </w:pPr>
            <w:r>
              <w:rPr>
                <w:rFonts w:hint="eastAsia"/>
                <w:color w:val="auto"/>
                <w:sz w:val="24"/>
                <w:szCs w:val="24"/>
                <w:highlight w:val="none"/>
              </w:rPr>
              <w:t>2.</w:t>
            </w:r>
            <w:r>
              <w:rPr>
                <w:color w:val="auto"/>
                <w:sz w:val="24"/>
                <w:szCs w:val="24"/>
                <w:highlight w:val="none"/>
              </w:rPr>
              <w:t>1</w:t>
            </w:r>
            <w:r>
              <w:rPr>
                <w:rFonts w:hint="eastAsia"/>
                <w:color w:val="auto"/>
                <w:sz w:val="24"/>
                <w:szCs w:val="24"/>
                <w:highlight w:val="none"/>
              </w:rPr>
              <w:t>2</w:t>
            </w:r>
          </w:p>
        </w:tc>
        <w:tc>
          <w:tcPr>
            <w:tcW w:w="3647" w:type="pct"/>
          </w:tcPr>
          <w:p w14:paraId="48BCFF84">
            <w:pPr>
              <w:spacing w:after="60" w:line="360" w:lineRule="exac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具备试剂管理系统（RMS），可根据包埋盒数量、脱水周期、试剂使用天数、试剂浓度自动提示试剂更换，以确保组织一直在试剂最佳状态下处理。</w:t>
            </w:r>
          </w:p>
        </w:tc>
        <w:tc>
          <w:tcPr>
            <w:tcW w:w="713" w:type="pct"/>
          </w:tcPr>
          <w:p w14:paraId="6C9AC0C0">
            <w:pPr>
              <w:spacing w:line="360" w:lineRule="exact"/>
              <w:rPr>
                <w:rFonts w:ascii="宋体" w:hAnsi="宋体" w:cs="宋体"/>
                <w:bCs/>
                <w:color w:val="auto"/>
                <w:sz w:val="24"/>
                <w:szCs w:val="24"/>
                <w:highlight w:val="none"/>
                <w:lang w:val="zh-CN"/>
              </w:rPr>
            </w:pPr>
          </w:p>
        </w:tc>
      </w:tr>
      <w:tr w14:paraId="7A3E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5E7CC783">
            <w:pPr>
              <w:spacing w:after="60" w:line="360" w:lineRule="exact"/>
              <w:ind w:left="72" w:right="72"/>
              <w:jc w:val="center"/>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color w:val="auto"/>
                <w:sz w:val="24"/>
                <w:szCs w:val="24"/>
                <w:highlight w:val="none"/>
              </w:rPr>
              <w:t>2.</w:t>
            </w:r>
            <w:r>
              <w:rPr>
                <w:color w:val="auto"/>
                <w:sz w:val="24"/>
                <w:szCs w:val="24"/>
                <w:highlight w:val="none"/>
              </w:rPr>
              <w:t>1</w:t>
            </w:r>
            <w:r>
              <w:rPr>
                <w:rFonts w:hint="eastAsia"/>
                <w:color w:val="auto"/>
                <w:sz w:val="24"/>
                <w:szCs w:val="24"/>
                <w:highlight w:val="none"/>
              </w:rPr>
              <w:t>3</w:t>
            </w:r>
          </w:p>
        </w:tc>
        <w:tc>
          <w:tcPr>
            <w:tcW w:w="3647" w:type="pct"/>
          </w:tcPr>
          <w:p w14:paraId="5F8A6FA2">
            <w:pPr>
              <w:spacing w:after="60" w:line="360" w:lineRule="exac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支持不同标本类型的脱水模式，对于≤1.5mm标本可实现快速脱水，无需专用脱水试剂，脱水时间≤90分钟。（提供彩页或说明书等证明材料）</w:t>
            </w:r>
          </w:p>
        </w:tc>
        <w:tc>
          <w:tcPr>
            <w:tcW w:w="713" w:type="pct"/>
          </w:tcPr>
          <w:p w14:paraId="674DC14E">
            <w:pPr>
              <w:spacing w:line="360" w:lineRule="exact"/>
              <w:rPr>
                <w:rFonts w:ascii="宋体" w:hAnsi="宋体" w:cs="宋体"/>
                <w:bCs/>
                <w:color w:val="auto"/>
                <w:sz w:val="24"/>
                <w:szCs w:val="24"/>
                <w:highlight w:val="none"/>
                <w:lang w:val="zh-CN"/>
              </w:rPr>
            </w:pPr>
          </w:p>
        </w:tc>
      </w:tr>
      <w:tr w14:paraId="4472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45BA3F83">
            <w:pPr>
              <w:spacing w:after="60" w:line="360" w:lineRule="exact"/>
              <w:ind w:left="72" w:right="72"/>
              <w:jc w:val="center"/>
              <w:rPr>
                <w:rFonts w:ascii="宋体" w:hAnsi="宋体" w:cs="宋体"/>
                <w:color w:val="auto"/>
                <w:sz w:val="24"/>
                <w:szCs w:val="24"/>
                <w:highlight w:val="none"/>
              </w:rPr>
            </w:pPr>
            <w:r>
              <w:rPr>
                <w:rFonts w:hint="eastAsia"/>
                <w:color w:val="auto"/>
                <w:sz w:val="24"/>
                <w:szCs w:val="24"/>
                <w:highlight w:val="none"/>
              </w:rPr>
              <w:t>2.</w:t>
            </w:r>
            <w:r>
              <w:rPr>
                <w:color w:val="auto"/>
                <w:sz w:val="24"/>
                <w:szCs w:val="24"/>
                <w:highlight w:val="none"/>
              </w:rPr>
              <w:t>1</w:t>
            </w:r>
            <w:r>
              <w:rPr>
                <w:rFonts w:hint="eastAsia"/>
                <w:color w:val="auto"/>
                <w:sz w:val="24"/>
                <w:szCs w:val="24"/>
                <w:highlight w:val="none"/>
              </w:rPr>
              <w:t>4</w:t>
            </w:r>
          </w:p>
        </w:tc>
        <w:tc>
          <w:tcPr>
            <w:tcW w:w="3647" w:type="pct"/>
          </w:tcPr>
          <w:p w14:paraId="58C393C6">
            <w:pPr>
              <w:spacing w:after="60" w:line="360" w:lineRule="exac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具备外接式加注/排放试剂与石蜡功能，以助于用户避免接触试剂和热石蜡。</w:t>
            </w:r>
          </w:p>
        </w:tc>
        <w:tc>
          <w:tcPr>
            <w:tcW w:w="713" w:type="pct"/>
          </w:tcPr>
          <w:p w14:paraId="16D743F2">
            <w:pPr>
              <w:spacing w:line="360" w:lineRule="exact"/>
              <w:rPr>
                <w:rFonts w:ascii="宋体" w:hAnsi="宋体" w:cs="宋体"/>
                <w:bCs/>
                <w:color w:val="auto"/>
                <w:sz w:val="24"/>
                <w:szCs w:val="24"/>
                <w:highlight w:val="none"/>
                <w:lang w:val="zh-CN"/>
              </w:rPr>
            </w:pPr>
          </w:p>
        </w:tc>
      </w:tr>
      <w:tr w14:paraId="6F28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3542E211">
            <w:pPr>
              <w:spacing w:after="60" w:line="360" w:lineRule="exact"/>
              <w:ind w:left="72" w:right="72"/>
              <w:jc w:val="center"/>
              <w:rPr>
                <w:rFonts w:ascii="宋体" w:hAnsi="宋体" w:cs="宋体"/>
                <w:color w:val="auto"/>
                <w:sz w:val="24"/>
                <w:szCs w:val="24"/>
                <w:highlight w:val="none"/>
              </w:rPr>
            </w:pPr>
            <w:r>
              <w:rPr>
                <w:rFonts w:hint="eastAsia"/>
                <w:color w:val="auto"/>
                <w:sz w:val="24"/>
                <w:szCs w:val="24"/>
                <w:highlight w:val="none"/>
              </w:rPr>
              <w:t>2.15</w:t>
            </w:r>
          </w:p>
        </w:tc>
        <w:tc>
          <w:tcPr>
            <w:tcW w:w="3647" w:type="pct"/>
          </w:tcPr>
          <w:p w14:paraId="06BA407C">
            <w:pPr>
              <w:spacing w:after="60" w:line="360" w:lineRule="exact"/>
              <w:rPr>
                <w:rFonts w:ascii="宋体" w:hAnsi="宋体" w:cs="宋体"/>
                <w:color w:val="auto"/>
                <w:sz w:val="24"/>
                <w:szCs w:val="24"/>
                <w:highlight w:val="none"/>
              </w:rPr>
            </w:pPr>
            <w:r>
              <w:rPr>
                <w:rFonts w:hint="eastAsia" w:ascii="宋体" w:hAnsi="宋体" w:cs="宋体"/>
                <w:color w:val="auto"/>
                <w:sz w:val="24"/>
                <w:szCs w:val="24"/>
                <w:highlight w:val="none"/>
              </w:rPr>
              <w:t>清洗程序带有干燥步骤（高温、负压和空气流）。</w:t>
            </w:r>
          </w:p>
        </w:tc>
        <w:tc>
          <w:tcPr>
            <w:tcW w:w="713" w:type="pct"/>
          </w:tcPr>
          <w:p w14:paraId="0D3DE501">
            <w:pPr>
              <w:spacing w:line="360" w:lineRule="exact"/>
              <w:rPr>
                <w:rFonts w:ascii="宋体" w:hAnsi="宋体" w:cs="宋体"/>
                <w:bCs/>
                <w:color w:val="auto"/>
                <w:sz w:val="24"/>
                <w:szCs w:val="24"/>
                <w:highlight w:val="none"/>
              </w:rPr>
            </w:pPr>
          </w:p>
        </w:tc>
      </w:tr>
      <w:tr w14:paraId="635D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279B3978">
            <w:pPr>
              <w:spacing w:after="60" w:line="360" w:lineRule="exact"/>
              <w:ind w:left="72" w:right="72"/>
              <w:jc w:val="center"/>
              <w:rPr>
                <w:rFonts w:ascii="宋体" w:hAnsi="宋体" w:cs="宋体"/>
                <w:color w:val="auto"/>
                <w:sz w:val="24"/>
                <w:szCs w:val="24"/>
                <w:highlight w:val="none"/>
              </w:rPr>
            </w:pPr>
            <w:r>
              <w:rPr>
                <w:rFonts w:hint="eastAsia"/>
                <w:color w:val="auto"/>
                <w:sz w:val="24"/>
                <w:szCs w:val="24"/>
                <w:highlight w:val="none"/>
              </w:rPr>
              <w:t>2.</w:t>
            </w:r>
            <w:r>
              <w:rPr>
                <w:color w:val="auto"/>
                <w:sz w:val="24"/>
                <w:szCs w:val="24"/>
                <w:highlight w:val="none"/>
              </w:rPr>
              <w:t>1</w:t>
            </w:r>
            <w:r>
              <w:rPr>
                <w:rFonts w:hint="eastAsia"/>
                <w:color w:val="auto"/>
                <w:sz w:val="24"/>
                <w:szCs w:val="24"/>
                <w:highlight w:val="none"/>
              </w:rPr>
              <w:t>6</w:t>
            </w:r>
          </w:p>
        </w:tc>
        <w:tc>
          <w:tcPr>
            <w:tcW w:w="3647" w:type="pct"/>
          </w:tcPr>
          <w:p w14:paraId="62091942">
            <w:pPr>
              <w:spacing w:after="60" w:line="360" w:lineRule="exact"/>
              <w:rPr>
                <w:rFonts w:ascii="宋体" w:hAnsi="宋体" w:cs="宋体"/>
                <w:b/>
                <w:color w:val="auto"/>
                <w:sz w:val="24"/>
                <w:szCs w:val="24"/>
                <w:highlight w:val="none"/>
              </w:rPr>
            </w:pPr>
            <w:r>
              <w:rPr>
                <w:rFonts w:hint="eastAsia"/>
                <w:color w:val="auto"/>
                <w:sz w:val="24"/>
                <w:szCs w:val="24"/>
                <w:highlight w:val="none"/>
              </w:rPr>
              <w:t>具有脱水缸底部及四面缸体包裹式加热功能。</w:t>
            </w:r>
          </w:p>
        </w:tc>
        <w:tc>
          <w:tcPr>
            <w:tcW w:w="713" w:type="pct"/>
          </w:tcPr>
          <w:p w14:paraId="492B4091">
            <w:pPr>
              <w:spacing w:line="360" w:lineRule="exact"/>
              <w:rPr>
                <w:rFonts w:ascii="宋体" w:hAnsi="宋体" w:cs="宋体"/>
                <w:bCs/>
                <w:color w:val="auto"/>
                <w:sz w:val="24"/>
                <w:szCs w:val="24"/>
                <w:highlight w:val="none"/>
              </w:rPr>
            </w:pPr>
          </w:p>
        </w:tc>
      </w:tr>
      <w:tr w14:paraId="11B8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tcPr>
          <w:p w14:paraId="5ECA2F87">
            <w:pPr>
              <w:spacing w:line="360" w:lineRule="exact"/>
              <w:jc w:val="center"/>
              <w:rPr>
                <w:rFonts w:ascii="宋体" w:hAnsi="宋体" w:cs="宋体"/>
                <w:color w:val="auto"/>
                <w:sz w:val="24"/>
                <w:szCs w:val="24"/>
                <w:highlight w:val="none"/>
              </w:rPr>
            </w:pPr>
            <w:r>
              <w:rPr>
                <w:rFonts w:hint="eastAsia" w:ascii="宋体" w:hAnsi="宋体" w:cs="宋体"/>
                <w:b/>
                <w:color w:val="auto"/>
                <w:spacing w:val="-2"/>
                <w:sz w:val="24"/>
                <w:szCs w:val="24"/>
                <w:highlight w:val="none"/>
              </w:rPr>
              <w:t>三、</w:t>
            </w:r>
          </w:p>
        </w:tc>
        <w:tc>
          <w:tcPr>
            <w:tcW w:w="3647" w:type="pct"/>
          </w:tcPr>
          <w:p w14:paraId="2AD787F9">
            <w:pPr>
              <w:spacing w:line="360" w:lineRule="exact"/>
              <w:ind w:left="482" w:hanging="482" w:hangingChars="20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配置要求：</w:t>
            </w:r>
          </w:p>
        </w:tc>
        <w:tc>
          <w:tcPr>
            <w:tcW w:w="713" w:type="pct"/>
          </w:tcPr>
          <w:p w14:paraId="6378C063">
            <w:pPr>
              <w:spacing w:line="360" w:lineRule="exact"/>
              <w:rPr>
                <w:rFonts w:ascii="宋体" w:hAnsi="宋体" w:cs="宋体"/>
                <w:bCs/>
                <w:color w:val="auto"/>
                <w:sz w:val="24"/>
                <w:szCs w:val="24"/>
                <w:highlight w:val="none"/>
              </w:rPr>
            </w:pPr>
          </w:p>
        </w:tc>
      </w:tr>
      <w:tr w14:paraId="6F23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087D1531">
            <w:pPr>
              <w:spacing w:after="60" w:line="360" w:lineRule="exact"/>
              <w:ind w:left="72" w:right="72"/>
              <w:jc w:val="center"/>
              <w:rPr>
                <w:color w:val="auto"/>
                <w:sz w:val="24"/>
                <w:szCs w:val="24"/>
                <w:highlight w:val="none"/>
              </w:rPr>
            </w:pPr>
            <w:r>
              <w:rPr>
                <w:rFonts w:hint="eastAsia"/>
                <w:color w:val="auto"/>
                <w:sz w:val="24"/>
                <w:szCs w:val="24"/>
                <w:highlight w:val="none"/>
              </w:rPr>
              <w:t>3.1</w:t>
            </w:r>
          </w:p>
        </w:tc>
        <w:tc>
          <w:tcPr>
            <w:tcW w:w="3647" w:type="pct"/>
          </w:tcPr>
          <w:p w14:paraId="6337A9F8">
            <w:pPr>
              <w:autoSpaceDE w:val="0"/>
              <w:autoSpaceDN w:val="0"/>
              <w:adjustRightInd w:val="0"/>
              <w:spacing w:line="360" w:lineRule="exact"/>
              <w:rPr>
                <w:rFonts w:ascii="宋体" w:hAnsi="宋体" w:cs="宋体"/>
                <w:bCs/>
                <w:color w:val="auto"/>
                <w:sz w:val="24"/>
                <w:szCs w:val="24"/>
                <w:highlight w:val="none"/>
              </w:rPr>
            </w:pPr>
            <w:r>
              <w:rPr>
                <w:rFonts w:hint="eastAsia" w:ascii="宋体" w:hAnsi="宋体" w:cs="宋体"/>
                <w:bCs/>
                <w:color w:val="auto"/>
                <w:sz w:val="24"/>
                <w:szCs w:val="24"/>
                <w:highlight w:val="none"/>
              </w:rPr>
              <w:t>自动组织脱水机1台。</w:t>
            </w:r>
          </w:p>
        </w:tc>
        <w:tc>
          <w:tcPr>
            <w:tcW w:w="713" w:type="pct"/>
          </w:tcPr>
          <w:p w14:paraId="73D5442E">
            <w:pPr>
              <w:autoSpaceDE w:val="0"/>
              <w:autoSpaceDN w:val="0"/>
              <w:adjustRightInd w:val="0"/>
              <w:spacing w:line="360" w:lineRule="exact"/>
              <w:rPr>
                <w:rFonts w:ascii="宋体" w:hAnsi="宋体" w:cs="宋体"/>
                <w:bCs/>
                <w:color w:val="auto"/>
                <w:sz w:val="24"/>
                <w:szCs w:val="24"/>
                <w:highlight w:val="none"/>
                <w:lang w:val="zh-CN"/>
              </w:rPr>
            </w:pPr>
          </w:p>
        </w:tc>
      </w:tr>
      <w:tr w14:paraId="564F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278263FD">
            <w:pPr>
              <w:spacing w:after="60" w:line="360" w:lineRule="exact"/>
              <w:ind w:left="72" w:right="72"/>
              <w:jc w:val="center"/>
              <w:rPr>
                <w:color w:val="auto"/>
                <w:sz w:val="24"/>
                <w:szCs w:val="24"/>
                <w:highlight w:val="none"/>
              </w:rPr>
            </w:pPr>
            <w:r>
              <w:rPr>
                <w:rFonts w:hint="eastAsia"/>
                <w:color w:val="auto"/>
                <w:sz w:val="24"/>
                <w:szCs w:val="24"/>
                <w:highlight w:val="none"/>
              </w:rPr>
              <w:t>3.2</w:t>
            </w:r>
          </w:p>
        </w:tc>
        <w:tc>
          <w:tcPr>
            <w:tcW w:w="3647" w:type="pct"/>
          </w:tcPr>
          <w:p w14:paraId="14F88FB5">
            <w:pPr>
              <w:autoSpaceDE w:val="0"/>
              <w:autoSpaceDN w:val="0"/>
              <w:adjustRightInd w:val="0"/>
              <w:spacing w:line="360" w:lineRule="exact"/>
              <w:rPr>
                <w:rFonts w:ascii="宋体" w:hAnsi="宋体" w:cs="宋体"/>
                <w:bCs/>
                <w:color w:val="auto"/>
                <w:sz w:val="24"/>
                <w:szCs w:val="24"/>
                <w:highlight w:val="none"/>
              </w:rPr>
            </w:pPr>
            <w:r>
              <w:rPr>
                <w:rFonts w:hint="eastAsia" w:ascii="宋体" w:hAnsi="宋体" w:cs="宋体"/>
                <w:bCs/>
                <w:color w:val="auto"/>
                <w:sz w:val="24"/>
                <w:szCs w:val="24"/>
                <w:highlight w:val="none"/>
              </w:rPr>
              <w:t>列出详细的设备配置清单，并提供所有选配件和必备附件及消耗品的价格清单（包含规格型号、价格，并提供价格的折扣率），未列出的选项即表示已包含在投标总价中；</w:t>
            </w:r>
          </w:p>
        </w:tc>
        <w:tc>
          <w:tcPr>
            <w:tcW w:w="713" w:type="pct"/>
          </w:tcPr>
          <w:p w14:paraId="0138B612">
            <w:pPr>
              <w:autoSpaceDE w:val="0"/>
              <w:autoSpaceDN w:val="0"/>
              <w:adjustRightInd w:val="0"/>
              <w:spacing w:line="360" w:lineRule="exact"/>
              <w:rPr>
                <w:rFonts w:ascii="宋体" w:hAnsi="宋体" w:cs="宋体"/>
                <w:bCs/>
                <w:color w:val="auto"/>
                <w:sz w:val="24"/>
                <w:szCs w:val="24"/>
                <w:highlight w:val="none"/>
                <w:lang w:val="zh-CN"/>
              </w:rPr>
            </w:pPr>
          </w:p>
        </w:tc>
      </w:tr>
      <w:tr w14:paraId="3CAA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0A3FBE85">
            <w:pPr>
              <w:spacing w:after="60" w:line="360" w:lineRule="exact"/>
              <w:ind w:left="72" w:right="72"/>
              <w:jc w:val="center"/>
              <w:rPr>
                <w:color w:val="auto"/>
                <w:sz w:val="24"/>
                <w:szCs w:val="24"/>
                <w:highlight w:val="none"/>
              </w:rPr>
            </w:pPr>
            <w:r>
              <w:rPr>
                <w:rFonts w:hint="eastAsia"/>
                <w:color w:val="auto"/>
                <w:sz w:val="24"/>
                <w:szCs w:val="24"/>
                <w:highlight w:val="none"/>
              </w:rPr>
              <w:t>3.3</w:t>
            </w:r>
          </w:p>
        </w:tc>
        <w:tc>
          <w:tcPr>
            <w:tcW w:w="3647" w:type="pct"/>
          </w:tcPr>
          <w:p w14:paraId="5C3E0080">
            <w:pPr>
              <w:autoSpaceDE w:val="0"/>
              <w:autoSpaceDN w:val="0"/>
              <w:adjustRightInd w:val="0"/>
              <w:spacing w:line="360" w:lineRule="exact"/>
              <w:rPr>
                <w:rFonts w:ascii="宋体" w:hAnsi="宋体" w:cs="宋体"/>
                <w:bCs/>
                <w:color w:val="auto"/>
                <w:sz w:val="24"/>
                <w:szCs w:val="24"/>
                <w:highlight w:val="none"/>
              </w:rPr>
            </w:pPr>
            <w:r>
              <w:rPr>
                <w:rFonts w:hint="eastAsia" w:ascii="宋体" w:hAnsi="宋体" w:cs="宋体"/>
                <w:bCs/>
                <w:color w:val="auto"/>
                <w:sz w:val="24"/>
                <w:szCs w:val="24"/>
                <w:highlight w:val="none"/>
              </w:rPr>
              <w:t>招标文件中未提及的但属标配的功能、软件及配件等均应无条件提供；</w:t>
            </w:r>
          </w:p>
        </w:tc>
        <w:tc>
          <w:tcPr>
            <w:tcW w:w="713" w:type="pct"/>
          </w:tcPr>
          <w:p w14:paraId="7D9BB4E4">
            <w:pPr>
              <w:autoSpaceDE w:val="0"/>
              <w:autoSpaceDN w:val="0"/>
              <w:adjustRightInd w:val="0"/>
              <w:spacing w:line="360" w:lineRule="exact"/>
              <w:rPr>
                <w:rFonts w:ascii="宋体" w:hAnsi="宋体" w:cs="宋体"/>
                <w:bCs/>
                <w:color w:val="auto"/>
                <w:sz w:val="24"/>
                <w:szCs w:val="24"/>
                <w:highlight w:val="none"/>
                <w:lang w:val="zh-CN"/>
              </w:rPr>
            </w:pPr>
          </w:p>
        </w:tc>
      </w:tr>
      <w:tr w14:paraId="6AEA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4F9B7B02">
            <w:pPr>
              <w:spacing w:after="60" w:line="360" w:lineRule="exact"/>
              <w:ind w:left="72" w:right="72"/>
              <w:jc w:val="center"/>
              <w:rPr>
                <w:color w:val="auto"/>
                <w:sz w:val="24"/>
                <w:szCs w:val="24"/>
                <w:highlight w:val="none"/>
              </w:rPr>
            </w:pPr>
            <w:r>
              <w:rPr>
                <w:rFonts w:hint="eastAsia"/>
                <w:color w:val="auto"/>
                <w:sz w:val="24"/>
                <w:szCs w:val="24"/>
                <w:highlight w:val="none"/>
              </w:rPr>
              <w:t>3.4</w:t>
            </w:r>
          </w:p>
        </w:tc>
        <w:tc>
          <w:tcPr>
            <w:tcW w:w="3647" w:type="pct"/>
          </w:tcPr>
          <w:p w14:paraId="5F8438BC">
            <w:pPr>
              <w:autoSpaceDE w:val="0"/>
              <w:autoSpaceDN w:val="0"/>
              <w:adjustRightInd w:val="0"/>
              <w:spacing w:line="360" w:lineRule="exact"/>
              <w:rPr>
                <w:rFonts w:ascii="宋体" w:hAnsi="宋体" w:cs="宋体"/>
                <w:bCs/>
                <w:color w:val="auto"/>
                <w:sz w:val="24"/>
                <w:szCs w:val="24"/>
                <w:highlight w:val="none"/>
              </w:rPr>
            </w:pPr>
            <w:r>
              <w:rPr>
                <w:rFonts w:hint="eastAsia" w:ascii="宋体" w:hAnsi="宋体" w:cs="宋体"/>
                <w:bCs/>
                <w:color w:val="auto"/>
                <w:sz w:val="24"/>
                <w:szCs w:val="24"/>
                <w:highlight w:val="none"/>
              </w:rPr>
              <w:t>供应商对不含在投价总价中的功能列出清单，未在该清单中的所有功能视为已含在投标总价中；</w:t>
            </w:r>
          </w:p>
        </w:tc>
        <w:tc>
          <w:tcPr>
            <w:tcW w:w="713" w:type="pct"/>
          </w:tcPr>
          <w:p w14:paraId="251CE772">
            <w:pPr>
              <w:spacing w:line="360" w:lineRule="exact"/>
              <w:rPr>
                <w:rFonts w:ascii="宋体" w:hAnsi="宋体" w:cs="宋体"/>
                <w:bCs/>
                <w:color w:val="auto"/>
                <w:sz w:val="24"/>
                <w:szCs w:val="24"/>
                <w:highlight w:val="none"/>
                <w:lang w:val="zh-CN"/>
              </w:rPr>
            </w:pPr>
          </w:p>
        </w:tc>
      </w:tr>
      <w:tr w14:paraId="630C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tcPr>
          <w:p w14:paraId="6CE56A6A">
            <w:pPr>
              <w:spacing w:line="360" w:lineRule="exact"/>
              <w:jc w:val="center"/>
              <w:rPr>
                <w:rFonts w:ascii="宋体" w:hAnsi="宋体" w:cs="宋体"/>
                <w:color w:val="auto"/>
                <w:sz w:val="24"/>
                <w:szCs w:val="24"/>
                <w:highlight w:val="none"/>
              </w:rPr>
            </w:pPr>
            <w:r>
              <w:rPr>
                <w:rFonts w:hint="eastAsia" w:ascii="宋体" w:hAnsi="宋体"/>
                <w:b/>
                <w:color w:val="auto"/>
                <w:sz w:val="24"/>
                <w:szCs w:val="24"/>
                <w:highlight w:val="none"/>
              </w:rPr>
              <w:t>四</w:t>
            </w:r>
          </w:p>
        </w:tc>
        <w:tc>
          <w:tcPr>
            <w:tcW w:w="3647" w:type="pct"/>
          </w:tcPr>
          <w:p w14:paraId="6BF82879">
            <w:pPr>
              <w:spacing w:line="360" w:lineRule="exact"/>
              <w:ind w:left="482" w:hanging="482" w:hangingChars="200"/>
              <w:rPr>
                <w:rFonts w:ascii="宋体" w:hAnsi="宋体" w:cs="宋体"/>
                <w:b/>
                <w:color w:val="auto"/>
                <w:sz w:val="24"/>
                <w:szCs w:val="24"/>
                <w:highlight w:val="none"/>
                <w:lang w:val="zh-CN"/>
              </w:rPr>
            </w:pPr>
            <w:r>
              <w:rPr>
                <w:rFonts w:hint="eastAsia" w:ascii="宋体" w:hAnsi="宋体" w:cs="宋体"/>
                <w:b/>
                <w:color w:val="auto"/>
                <w:sz w:val="24"/>
                <w:szCs w:val="24"/>
                <w:highlight w:val="none"/>
              </w:rPr>
              <w:t>售后服务</w:t>
            </w:r>
            <w:r>
              <w:rPr>
                <w:rFonts w:hint="eastAsia" w:ascii="宋体" w:hAnsi="宋体" w:cs="宋体"/>
                <w:b/>
                <w:color w:val="auto"/>
                <w:sz w:val="24"/>
                <w:szCs w:val="24"/>
                <w:highlight w:val="none"/>
                <w:lang w:val="zh-CN"/>
              </w:rPr>
              <w:t>要求：</w:t>
            </w:r>
          </w:p>
        </w:tc>
        <w:tc>
          <w:tcPr>
            <w:tcW w:w="713" w:type="pct"/>
          </w:tcPr>
          <w:p w14:paraId="1B0F2DFE">
            <w:pPr>
              <w:spacing w:line="360" w:lineRule="exact"/>
              <w:rPr>
                <w:rFonts w:ascii="宋体" w:hAnsi="宋体" w:cs="宋体"/>
                <w:bCs/>
                <w:color w:val="auto"/>
                <w:sz w:val="24"/>
                <w:szCs w:val="24"/>
                <w:highlight w:val="none"/>
                <w:lang w:val="zh-CN"/>
              </w:rPr>
            </w:pPr>
          </w:p>
        </w:tc>
      </w:tr>
      <w:tr w14:paraId="5954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757A528F">
            <w:pPr>
              <w:spacing w:after="60" w:line="360" w:lineRule="atLeast"/>
              <w:ind w:left="72" w:right="72"/>
              <w:jc w:val="center"/>
              <w:rPr>
                <w:color w:val="auto"/>
                <w:sz w:val="24"/>
                <w:szCs w:val="24"/>
                <w:highlight w:val="none"/>
              </w:rPr>
            </w:pPr>
            <w:r>
              <w:rPr>
                <w:rFonts w:hint="eastAsia"/>
                <w:color w:val="auto"/>
                <w:sz w:val="24"/>
                <w:szCs w:val="24"/>
                <w:highlight w:val="none"/>
              </w:rPr>
              <w:t>4.1</w:t>
            </w:r>
          </w:p>
        </w:tc>
        <w:tc>
          <w:tcPr>
            <w:tcW w:w="3647" w:type="pct"/>
            <w:vAlign w:val="center"/>
          </w:tcPr>
          <w:p w14:paraId="4E47AF7D">
            <w:pPr>
              <w:widowControl/>
              <w:spacing w:line="360" w:lineRule="exact"/>
              <w:rPr>
                <w:rFonts w:ascii="宋体" w:hAnsi="宋体"/>
                <w:color w:val="auto"/>
                <w:sz w:val="24"/>
                <w:szCs w:val="24"/>
                <w:highlight w:val="none"/>
              </w:rPr>
            </w:pPr>
            <w:r>
              <w:rPr>
                <w:rFonts w:hint="eastAsia" w:ascii="宋体" w:hAnsi="宋体"/>
                <w:color w:val="auto"/>
                <w:sz w:val="24"/>
                <w:szCs w:val="24"/>
                <w:highlight w:val="none"/>
              </w:rPr>
              <w:t>保修期：设备验收合格后整机及附属设备免费保修≥5年（签订合同时附厂家或总代证明）。</w:t>
            </w:r>
          </w:p>
        </w:tc>
        <w:tc>
          <w:tcPr>
            <w:tcW w:w="713" w:type="pct"/>
          </w:tcPr>
          <w:p w14:paraId="61FF2AFF">
            <w:pPr>
              <w:spacing w:line="360" w:lineRule="exact"/>
              <w:rPr>
                <w:rFonts w:ascii="宋体" w:hAnsi="宋体" w:cs="宋体"/>
                <w:bCs/>
                <w:color w:val="auto"/>
                <w:sz w:val="24"/>
                <w:szCs w:val="24"/>
                <w:highlight w:val="none"/>
                <w:lang w:val="zh-CN"/>
              </w:rPr>
            </w:pPr>
          </w:p>
        </w:tc>
      </w:tr>
      <w:tr w14:paraId="2C5F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69E09E2B">
            <w:pPr>
              <w:spacing w:after="60" w:line="360" w:lineRule="atLeast"/>
              <w:ind w:left="72" w:right="72"/>
              <w:jc w:val="center"/>
              <w:rPr>
                <w:color w:val="auto"/>
                <w:sz w:val="24"/>
                <w:szCs w:val="24"/>
                <w:highlight w:val="none"/>
              </w:rPr>
            </w:pPr>
            <w:r>
              <w:rPr>
                <w:rFonts w:hint="eastAsia"/>
                <w:color w:val="auto"/>
                <w:sz w:val="24"/>
                <w:szCs w:val="24"/>
                <w:highlight w:val="none"/>
              </w:rPr>
              <w:t>4.2</w:t>
            </w:r>
          </w:p>
        </w:tc>
        <w:tc>
          <w:tcPr>
            <w:tcW w:w="3647" w:type="pct"/>
            <w:vAlign w:val="center"/>
          </w:tcPr>
          <w:p w14:paraId="00853249">
            <w:pPr>
              <w:widowControl/>
              <w:spacing w:line="360" w:lineRule="exact"/>
              <w:rPr>
                <w:rFonts w:ascii="宋体" w:hAnsi="宋体"/>
                <w:color w:val="auto"/>
                <w:sz w:val="24"/>
                <w:szCs w:val="24"/>
                <w:highlight w:val="none"/>
              </w:rPr>
            </w:pPr>
            <w:r>
              <w:rPr>
                <w:rFonts w:hint="eastAsia" w:ascii="宋体" w:hAnsi="宋体"/>
                <w:color w:val="auto"/>
                <w:sz w:val="24"/>
                <w:szCs w:val="24"/>
                <w:highlight w:val="none"/>
              </w:rPr>
              <w:t>提供免费保修期后整机保修方案和费用：设备故障后，由用户启动保修，并包含首次故障维修费用，提供具体保修方案和价格</w:t>
            </w:r>
            <w:r>
              <w:rPr>
                <w:rFonts w:hint="eastAsia" w:ascii="宋体" w:hAnsi="宋体" w:cs="宋体"/>
                <w:color w:val="auto"/>
                <w:sz w:val="24"/>
                <w:szCs w:val="24"/>
                <w:highlight w:val="none"/>
              </w:rPr>
              <w:t>（签订合同时附原厂家证明），不计入总价，作为评标时参考依据。</w:t>
            </w:r>
          </w:p>
        </w:tc>
        <w:tc>
          <w:tcPr>
            <w:tcW w:w="713" w:type="pct"/>
          </w:tcPr>
          <w:p w14:paraId="19030368">
            <w:pPr>
              <w:spacing w:line="360" w:lineRule="exact"/>
              <w:rPr>
                <w:rFonts w:ascii="宋体" w:hAnsi="宋体" w:cs="宋体"/>
                <w:bCs/>
                <w:color w:val="auto"/>
                <w:sz w:val="24"/>
                <w:szCs w:val="24"/>
                <w:highlight w:val="none"/>
                <w:lang w:val="zh-CN"/>
              </w:rPr>
            </w:pPr>
          </w:p>
        </w:tc>
      </w:tr>
      <w:tr w14:paraId="7DD5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5F648001">
            <w:pPr>
              <w:spacing w:after="60" w:line="360" w:lineRule="atLeast"/>
              <w:ind w:left="72" w:right="72"/>
              <w:jc w:val="center"/>
              <w:rPr>
                <w:color w:val="auto"/>
                <w:sz w:val="24"/>
                <w:szCs w:val="24"/>
                <w:highlight w:val="none"/>
              </w:rPr>
            </w:pPr>
            <w:r>
              <w:rPr>
                <w:rFonts w:hint="eastAsia"/>
                <w:color w:val="auto"/>
                <w:sz w:val="24"/>
                <w:szCs w:val="24"/>
                <w:highlight w:val="none"/>
              </w:rPr>
              <w:t>4.3</w:t>
            </w:r>
          </w:p>
        </w:tc>
        <w:tc>
          <w:tcPr>
            <w:tcW w:w="3647" w:type="pct"/>
            <w:vAlign w:val="center"/>
          </w:tcPr>
          <w:p w14:paraId="2D79B240">
            <w:pPr>
              <w:widowControl/>
              <w:spacing w:line="360" w:lineRule="exact"/>
              <w:rPr>
                <w:rFonts w:ascii="宋体" w:hAnsi="宋体"/>
                <w:color w:val="auto"/>
                <w:sz w:val="24"/>
                <w:szCs w:val="24"/>
                <w:highlight w:val="none"/>
              </w:rPr>
            </w:pPr>
            <w:r>
              <w:rPr>
                <w:rFonts w:hint="eastAsia" w:ascii="宋体" w:hAnsi="宋体"/>
                <w:color w:val="auto"/>
                <w:sz w:val="24"/>
                <w:szCs w:val="24"/>
                <w:highlight w:val="none"/>
                <w:lang w:val="zh-CN"/>
              </w:rPr>
              <w:t>维修响应时间：2小时内响应，24小时内到场维修（包括节假日），提供24小时维修电话和厂家维修点地址，</w:t>
            </w:r>
            <w:r>
              <w:rPr>
                <w:rFonts w:hint="eastAsia" w:ascii="宋体" w:hAnsi="宋体"/>
                <w:color w:val="auto"/>
                <w:sz w:val="24"/>
                <w:szCs w:val="24"/>
                <w:highlight w:val="none"/>
              </w:rPr>
              <w:t>提供消耗品和质保期后常用零配件的供应价格与折扣，按实际售价</w:t>
            </w:r>
            <w:r>
              <w:rPr>
                <w:rFonts w:ascii="宋体" w:hAnsi="宋体"/>
                <w:color w:val="auto"/>
                <w:sz w:val="24"/>
                <w:szCs w:val="24"/>
                <w:highlight w:val="none"/>
              </w:rPr>
              <w:t>7</w:t>
            </w:r>
            <w:r>
              <w:rPr>
                <w:rFonts w:hint="eastAsia" w:ascii="宋体" w:hAnsi="宋体"/>
                <w:color w:val="auto"/>
                <w:sz w:val="24"/>
                <w:szCs w:val="24"/>
                <w:highlight w:val="none"/>
              </w:rPr>
              <w:t>折或更优折扣提供，不收任何维修费、人工费、差旅费等服务性费用。如在报修48小时后仍无法修复，需提供备用设备。</w:t>
            </w:r>
          </w:p>
        </w:tc>
        <w:tc>
          <w:tcPr>
            <w:tcW w:w="713" w:type="pct"/>
          </w:tcPr>
          <w:p w14:paraId="54EF1771">
            <w:pPr>
              <w:spacing w:line="360" w:lineRule="exact"/>
              <w:rPr>
                <w:rFonts w:ascii="宋体" w:hAnsi="宋体" w:cs="宋体"/>
                <w:bCs/>
                <w:color w:val="auto"/>
                <w:sz w:val="24"/>
                <w:szCs w:val="24"/>
                <w:highlight w:val="none"/>
                <w:lang w:val="zh-CN"/>
              </w:rPr>
            </w:pPr>
          </w:p>
        </w:tc>
      </w:tr>
      <w:tr w14:paraId="2E91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6977170B">
            <w:pPr>
              <w:spacing w:after="60" w:line="360" w:lineRule="atLeast"/>
              <w:ind w:left="72" w:right="72"/>
              <w:jc w:val="center"/>
              <w:rPr>
                <w:color w:val="auto"/>
                <w:sz w:val="24"/>
                <w:szCs w:val="24"/>
                <w:highlight w:val="none"/>
              </w:rPr>
            </w:pPr>
            <w:r>
              <w:rPr>
                <w:rFonts w:hint="eastAsia"/>
                <w:color w:val="auto"/>
                <w:sz w:val="24"/>
                <w:szCs w:val="24"/>
                <w:highlight w:val="none"/>
              </w:rPr>
              <w:t>4.4</w:t>
            </w:r>
          </w:p>
        </w:tc>
        <w:tc>
          <w:tcPr>
            <w:tcW w:w="3647" w:type="pct"/>
            <w:vAlign w:val="center"/>
          </w:tcPr>
          <w:p w14:paraId="0D88B71F">
            <w:pPr>
              <w:widowControl/>
              <w:spacing w:line="360" w:lineRule="exact"/>
              <w:rPr>
                <w:rFonts w:ascii="宋体" w:hAnsi="宋体"/>
                <w:color w:val="auto"/>
                <w:sz w:val="24"/>
                <w:szCs w:val="24"/>
                <w:highlight w:val="none"/>
                <w:lang w:val="zh-CN"/>
              </w:rPr>
            </w:pPr>
            <w:r>
              <w:rPr>
                <w:rFonts w:hint="eastAsia" w:ascii="宋体" w:hAnsi="宋体"/>
                <w:color w:val="auto"/>
                <w:sz w:val="24"/>
                <w:szCs w:val="24"/>
                <w:highlight w:val="none"/>
                <w:lang w:val="zh-CN"/>
              </w:rPr>
              <w:t>保修期外维修付款须做到</w:t>
            </w:r>
            <w:r>
              <w:rPr>
                <w:rFonts w:hint="eastAsia" w:ascii="宋体" w:hAnsi="宋体"/>
                <w:color w:val="auto"/>
                <w:sz w:val="24"/>
                <w:szCs w:val="24"/>
                <w:highlight w:val="none"/>
              </w:rPr>
              <w:t>先维修后付款。</w:t>
            </w:r>
          </w:p>
        </w:tc>
        <w:tc>
          <w:tcPr>
            <w:tcW w:w="713" w:type="pct"/>
          </w:tcPr>
          <w:p w14:paraId="5FEABD7B">
            <w:pPr>
              <w:spacing w:line="360" w:lineRule="exact"/>
              <w:rPr>
                <w:rFonts w:ascii="宋体" w:hAnsi="宋体" w:cs="宋体"/>
                <w:bCs/>
                <w:color w:val="auto"/>
                <w:sz w:val="24"/>
                <w:szCs w:val="24"/>
                <w:highlight w:val="none"/>
                <w:lang w:val="zh-CN"/>
              </w:rPr>
            </w:pPr>
          </w:p>
        </w:tc>
      </w:tr>
      <w:tr w14:paraId="6D6D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396652D2">
            <w:pPr>
              <w:spacing w:after="60" w:line="360" w:lineRule="atLeast"/>
              <w:ind w:left="72" w:right="72"/>
              <w:jc w:val="center"/>
              <w:rPr>
                <w:color w:val="auto"/>
                <w:sz w:val="24"/>
                <w:szCs w:val="24"/>
                <w:highlight w:val="none"/>
              </w:rPr>
            </w:pPr>
            <w:r>
              <w:rPr>
                <w:rFonts w:hint="eastAsia"/>
                <w:color w:val="auto"/>
                <w:sz w:val="24"/>
                <w:szCs w:val="24"/>
                <w:highlight w:val="none"/>
              </w:rPr>
              <w:t>4.5</w:t>
            </w:r>
          </w:p>
        </w:tc>
        <w:tc>
          <w:tcPr>
            <w:tcW w:w="3647" w:type="pct"/>
            <w:vAlign w:val="center"/>
          </w:tcPr>
          <w:p w14:paraId="2510011E">
            <w:pPr>
              <w:widowControl/>
              <w:spacing w:line="360" w:lineRule="exact"/>
              <w:rPr>
                <w:rFonts w:ascii="宋体" w:hAnsi="宋体"/>
                <w:color w:val="auto"/>
                <w:sz w:val="24"/>
                <w:szCs w:val="24"/>
                <w:highlight w:val="none"/>
              </w:rPr>
            </w:pPr>
            <w:r>
              <w:rPr>
                <w:rFonts w:hint="eastAsia" w:ascii="宋体" w:hAnsi="宋体" w:cs="宋体"/>
                <w:color w:val="auto"/>
                <w:sz w:val="24"/>
                <w:szCs w:val="24"/>
                <w:highlight w:val="none"/>
              </w:rPr>
              <w:t>为保证设备正常运行，卖方应在中国境内设置备件库，并保证</w:t>
            </w:r>
            <w:r>
              <w:rPr>
                <w:rFonts w:ascii="宋体" w:hAnsi="宋体"/>
                <w:color w:val="auto"/>
                <w:sz w:val="24"/>
                <w:szCs w:val="24"/>
                <w:highlight w:val="none"/>
              </w:rPr>
              <w:t>零配件8年</w:t>
            </w:r>
            <w:r>
              <w:rPr>
                <w:rFonts w:hint="eastAsia" w:ascii="宋体" w:hAnsi="宋体"/>
                <w:color w:val="auto"/>
                <w:sz w:val="24"/>
                <w:szCs w:val="24"/>
                <w:highlight w:val="none"/>
              </w:rPr>
              <w:t>以上的供应期。</w:t>
            </w:r>
          </w:p>
        </w:tc>
        <w:tc>
          <w:tcPr>
            <w:tcW w:w="713" w:type="pct"/>
          </w:tcPr>
          <w:p w14:paraId="11D4026E">
            <w:pPr>
              <w:spacing w:line="360" w:lineRule="exact"/>
              <w:rPr>
                <w:rFonts w:ascii="宋体" w:hAnsi="宋体" w:cs="宋体"/>
                <w:bCs/>
                <w:color w:val="auto"/>
                <w:sz w:val="24"/>
                <w:szCs w:val="24"/>
                <w:highlight w:val="none"/>
                <w:lang w:val="zh-CN"/>
              </w:rPr>
            </w:pPr>
          </w:p>
        </w:tc>
      </w:tr>
      <w:tr w14:paraId="6A26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438DD04D">
            <w:pPr>
              <w:spacing w:after="60" w:line="360" w:lineRule="atLeast"/>
              <w:ind w:left="72" w:right="72"/>
              <w:jc w:val="center"/>
              <w:rPr>
                <w:color w:val="auto"/>
                <w:sz w:val="24"/>
                <w:szCs w:val="24"/>
                <w:highlight w:val="none"/>
              </w:rPr>
            </w:pPr>
            <w:r>
              <w:rPr>
                <w:rFonts w:hint="eastAsia"/>
                <w:color w:val="auto"/>
                <w:sz w:val="24"/>
                <w:szCs w:val="24"/>
                <w:highlight w:val="none"/>
              </w:rPr>
              <w:t>4.6</w:t>
            </w:r>
          </w:p>
        </w:tc>
        <w:tc>
          <w:tcPr>
            <w:tcW w:w="3647" w:type="pct"/>
            <w:vAlign w:val="center"/>
          </w:tcPr>
          <w:p w14:paraId="119D5947">
            <w:pPr>
              <w:widowControl/>
              <w:spacing w:line="360" w:lineRule="exact"/>
              <w:rPr>
                <w:rFonts w:ascii="宋体" w:hAnsi="宋体"/>
                <w:color w:val="auto"/>
                <w:sz w:val="24"/>
                <w:szCs w:val="24"/>
                <w:highlight w:val="none"/>
                <w:lang w:val="zh-CN"/>
              </w:rPr>
            </w:pPr>
            <w:r>
              <w:rPr>
                <w:rFonts w:hint="eastAsia" w:ascii="宋体" w:hAnsi="宋体"/>
                <w:color w:val="auto"/>
                <w:sz w:val="24"/>
                <w:szCs w:val="24"/>
                <w:highlight w:val="none"/>
              </w:rPr>
              <w:t>质保期内免费提供一年2次的全面保养，并提供相应的维护报告，质保期后，每年应免费提供该原厂设备巡检≥2次，并提供相应设备巡检报告。</w:t>
            </w:r>
          </w:p>
        </w:tc>
        <w:tc>
          <w:tcPr>
            <w:tcW w:w="713" w:type="pct"/>
          </w:tcPr>
          <w:p w14:paraId="109F0A18">
            <w:pPr>
              <w:spacing w:line="360" w:lineRule="exact"/>
              <w:rPr>
                <w:rFonts w:ascii="宋体" w:hAnsi="宋体" w:cs="宋体"/>
                <w:bCs/>
                <w:color w:val="auto"/>
                <w:sz w:val="24"/>
                <w:szCs w:val="24"/>
                <w:highlight w:val="none"/>
                <w:lang w:val="zh-CN"/>
              </w:rPr>
            </w:pPr>
          </w:p>
        </w:tc>
      </w:tr>
      <w:tr w14:paraId="448D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105199B2">
            <w:pPr>
              <w:spacing w:after="60" w:line="360" w:lineRule="atLeast"/>
              <w:ind w:left="72" w:right="72"/>
              <w:jc w:val="center"/>
              <w:rPr>
                <w:color w:val="auto"/>
                <w:sz w:val="24"/>
                <w:szCs w:val="24"/>
                <w:highlight w:val="none"/>
              </w:rPr>
            </w:pPr>
            <w:r>
              <w:rPr>
                <w:rFonts w:hint="eastAsia"/>
                <w:color w:val="auto"/>
                <w:sz w:val="24"/>
                <w:szCs w:val="24"/>
                <w:highlight w:val="none"/>
              </w:rPr>
              <w:t>4.7</w:t>
            </w:r>
          </w:p>
        </w:tc>
        <w:tc>
          <w:tcPr>
            <w:tcW w:w="3647" w:type="pct"/>
            <w:vAlign w:val="center"/>
          </w:tcPr>
          <w:p w14:paraId="6A98524C">
            <w:pPr>
              <w:widowControl/>
              <w:spacing w:line="360" w:lineRule="exact"/>
              <w:rPr>
                <w:rFonts w:ascii="宋体" w:hAnsi="宋体"/>
                <w:color w:val="auto"/>
                <w:sz w:val="24"/>
                <w:szCs w:val="24"/>
                <w:highlight w:val="none"/>
              </w:rPr>
            </w:pPr>
            <w:r>
              <w:rPr>
                <w:rFonts w:hint="eastAsia" w:ascii="宋体" w:hAnsi="宋体"/>
                <w:color w:val="auto"/>
                <w:sz w:val="24"/>
                <w:szCs w:val="24"/>
                <w:highlight w:val="none"/>
              </w:rPr>
              <w:t>5年内设备软件免费提供升级，</w:t>
            </w:r>
            <w:r>
              <w:rPr>
                <w:rFonts w:hint="eastAsia" w:ascii="宋体" w:hAnsi="宋体" w:cs="宋体"/>
                <w:color w:val="auto"/>
                <w:sz w:val="24"/>
                <w:szCs w:val="24"/>
                <w:highlight w:val="none"/>
              </w:rPr>
              <w:t>用户享有软件的终生使用权。</w:t>
            </w:r>
          </w:p>
        </w:tc>
        <w:tc>
          <w:tcPr>
            <w:tcW w:w="713" w:type="pct"/>
          </w:tcPr>
          <w:p w14:paraId="3116601B">
            <w:pPr>
              <w:spacing w:line="360" w:lineRule="exact"/>
              <w:rPr>
                <w:rFonts w:ascii="宋体" w:hAnsi="宋体" w:cs="宋体"/>
                <w:bCs/>
                <w:color w:val="auto"/>
                <w:sz w:val="24"/>
                <w:szCs w:val="24"/>
                <w:highlight w:val="none"/>
                <w:lang w:val="zh-CN"/>
              </w:rPr>
            </w:pPr>
          </w:p>
        </w:tc>
      </w:tr>
      <w:tr w14:paraId="19E7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234F2380">
            <w:pPr>
              <w:spacing w:after="60" w:line="360" w:lineRule="atLeast"/>
              <w:ind w:left="72" w:right="72"/>
              <w:jc w:val="center"/>
              <w:rPr>
                <w:color w:val="auto"/>
                <w:sz w:val="24"/>
                <w:szCs w:val="24"/>
                <w:highlight w:val="none"/>
              </w:rPr>
            </w:pPr>
            <w:r>
              <w:rPr>
                <w:rFonts w:hint="eastAsia"/>
                <w:color w:val="auto"/>
                <w:sz w:val="24"/>
                <w:szCs w:val="24"/>
                <w:highlight w:val="none"/>
              </w:rPr>
              <w:t>4.8</w:t>
            </w:r>
          </w:p>
        </w:tc>
        <w:tc>
          <w:tcPr>
            <w:tcW w:w="3647" w:type="pct"/>
            <w:vAlign w:val="center"/>
          </w:tcPr>
          <w:p w14:paraId="19BD7A4A">
            <w:pPr>
              <w:widowControl/>
              <w:spacing w:line="360" w:lineRule="exact"/>
              <w:rPr>
                <w:rFonts w:ascii="宋体" w:hAnsi="宋体"/>
                <w:color w:val="auto"/>
                <w:sz w:val="24"/>
                <w:szCs w:val="24"/>
                <w:highlight w:val="none"/>
              </w:rPr>
            </w:pPr>
            <w:r>
              <w:rPr>
                <w:rFonts w:hint="eastAsia" w:ascii="宋体" w:hAnsi="宋体"/>
                <w:color w:val="auto"/>
                <w:sz w:val="24"/>
                <w:szCs w:val="24"/>
                <w:highlight w:val="none"/>
              </w:rPr>
              <w:t>免费提供培训:</w:t>
            </w:r>
            <w:r>
              <w:rPr>
                <w:rFonts w:ascii="宋体" w:hAnsi="宋体"/>
                <w:color w:val="auto"/>
                <w:sz w:val="24"/>
                <w:szCs w:val="24"/>
                <w:highlight w:val="none"/>
              </w:rPr>
              <w:t xml:space="preserve"> 现场操作培训,并提供设备</w:t>
            </w:r>
            <w:r>
              <w:rPr>
                <w:rFonts w:hint="eastAsia" w:ascii="宋体" w:hAnsi="宋体"/>
                <w:color w:val="auto"/>
                <w:sz w:val="24"/>
                <w:szCs w:val="24"/>
                <w:highlight w:val="none"/>
              </w:rPr>
              <w:t>工程师维修</w:t>
            </w:r>
            <w:r>
              <w:rPr>
                <w:rFonts w:ascii="宋体" w:hAnsi="宋体"/>
                <w:color w:val="auto"/>
                <w:sz w:val="24"/>
                <w:szCs w:val="24"/>
                <w:highlight w:val="none"/>
              </w:rPr>
              <w:t>培训</w:t>
            </w:r>
            <w:r>
              <w:rPr>
                <w:rFonts w:hint="eastAsia" w:ascii="宋体" w:hAnsi="宋体"/>
                <w:color w:val="auto"/>
                <w:sz w:val="24"/>
                <w:szCs w:val="24"/>
                <w:highlight w:val="none"/>
              </w:rPr>
              <w:t>（</w:t>
            </w:r>
            <w:r>
              <w:rPr>
                <w:rFonts w:ascii="宋体" w:hAnsi="宋体"/>
                <w:color w:val="auto"/>
                <w:sz w:val="24"/>
                <w:szCs w:val="24"/>
                <w:highlight w:val="none"/>
              </w:rPr>
              <w:t>人员</w:t>
            </w:r>
            <w:r>
              <w:rPr>
                <w:rFonts w:hint="eastAsia" w:ascii="宋体" w:hAnsi="宋体"/>
                <w:color w:val="auto"/>
                <w:sz w:val="24"/>
                <w:szCs w:val="24"/>
                <w:highlight w:val="none"/>
              </w:rPr>
              <w:t>不少于</w:t>
            </w:r>
            <w:r>
              <w:rPr>
                <w:rFonts w:ascii="宋体" w:hAnsi="宋体"/>
                <w:color w:val="auto"/>
                <w:sz w:val="24"/>
                <w:szCs w:val="24"/>
                <w:highlight w:val="none"/>
              </w:rPr>
              <w:t>2</w:t>
            </w:r>
            <w:r>
              <w:rPr>
                <w:rFonts w:hint="eastAsia" w:ascii="宋体" w:hAnsi="宋体"/>
                <w:color w:val="auto"/>
                <w:sz w:val="24"/>
                <w:szCs w:val="24"/>
                <w:highlight w:val="none"/>
              </w:rPr>
              <w:t>名），提供详细的培训计划。</w:t>
            </w:r>
          </w:p>
        </w:tc>
        <w:tc>
          <w:tcPr>
            <w:tcW w:w="713" w:type="pct"/>
          </w:tcPr>
          <w:p w14:paraId="2CC8270D">
            <w:pPr>
              <w:spacing w:line="360" w:lineRule="exact"/>
              <w:rPr>
                <w:rFonts w:ascii="宋体" w:hAnsi="宋体" w:cs="宋体"/>
                <w:bCs/>
                <w:color w:val="auto"/>
                <w:sz w:val="24"/>
                <w:szCs w:val="24"/>
                <w:highlight w:val="none"/>
                <w:lang w:val="zh-CN"/>
              </w:rPr>
            </w:pPr>
          </w:p>
        </w:tc>
      </w:tr>
      <w:tr w14:paraId="54B1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5AF17EEE">
            <w:pPr>
              <w:spacing w:after="60" w:line="360" w:lineRule="atLeast"/>
              <w:ind w:left="72" w:right="72"/>
              <w:jc w:val="center"/>
              <w:rPr>
                <w:color w:val="auto"/>
                <w:sz w:val="24"/>
                <w:szCs w:val="24"/>
                <w:highlight w:val="none"/>
              </w:rPr>
            </w:pPr>
            <w:r>
              <w:rPr>
                <w:rFonts w:hint="eastAsia"/>
                <w:color w:val="auto"/>
                <w:sz w:val="24"/>
                <w:szCs w:val="24"/>
                <w:highlight w:val="none"/>
              </w:rPr>
              <w:t>4.9</w:t>
            </w:r>
          </w:p>
        </w:tc>
        <w:tc>
          <w:tcPr>
            <w:tcW w:w="3647" w:type="pct"/>
            <w:vAlign w:val="center"/>
          </w:tcPr>
          <w:p w14:paraId="504F9850">
            <w:pPr>
              <w:widowControl/>
              <w:spacing w:line="360" w:lineRule="exact"/>
              <w:rPr>
                <w:rFonts w:ascii="宋体" w:hAnsi="宋体"/>
                <w:color w:val="auto"/>
                <w:sz w:val="24"/>
                <w:szCs w:val="24"/>
                <w:highlight w:val="none"/>
              </w:rPr>
            </w:pPr>
            <w:r>
              <w:rPr>
                <w:rFonts w:hint="eastAsia" w:ascii="宋体" w:hAnsi="宋体"/>
                <w:color w:val="auto"/>
                <w:sz w:val="24"/>
                <w:szCs w:val="24"/>
                <w:highlight w:val="none"/>
              </w:rPr>
              <w:t>免费提供工程师的维修培训，要求院方工程师必需掌握：设备软件的安装、设备的原理、结构、设备的拆装、设备的保养（PM）步骤、性能检测；设备有维修密码的必须提供维修密码，需提供培训资料及考核资料。</w:t>
            </w:r>
          </w:p>
        </w:tc>
        <w:tc>
          <w:tcPr>
            <w:tcW w:w="713" w:type="pct"/>
          </w:tcPr>
          <w:p w14:paraId="75D5ADCC">
            <w:pPr>
              <w:spacing w:line="360" w:lineRule="exact"/>
              <w:rPr>
                <w:rFonts w:ascii="宋体" w:hAnsi="宋体" w:cs="宋体"/>
                <w:bCs/>
                <w:color w:val="auto"/>
                <w:sz w:val="24"/>
                <w:szCs w:val="24"/>
                <w:highlight w:val="none"/>
                <w:lang w:val="zh-CN"/>
              </w:rPr>
            </w:pPr>
          </w:p>
        </w:tc>
      </w:tr>
      <w:tr w14:paraId="345B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1BB6FCA6">
            <w:pPr>
              <w:spacing w:after="60" w:line="360" w:lineRule="atLeast"/>
              <w:ind w:left="72" w:right="72"/>
              <w:jc w:val="center"/>
              <w:rPr>
                <w:color w:val="auto"/>
                <w:sz w:val="24"/>
                <w:szCs w:val="24"/>
                <w:highlight w:val="none"/>
              </w:rPr>
            </w:pPr>
            <w:r>
              <w:rPr>
                <w:rFonts w:hint="eastAsia"/>
                <w:color w:val="auto"/>
                <w:sz w:val="24"/>
                <w:szCs w:val="24"/>
                <w:highlight w:val="none"/>
              </w:rPr>
              <w:t>4.10</w:t>
            </w:r>
          </w:p>
        </w:tc>
        <w:tc>
          <w:tcPr>
            <w:tcW w:w="3647" w:type="pct"/>
            <w:vAlign w:val="center"/>
          </w:tcPr>
          <w:p w14:paraId="7246334B">
            <w:pPr>
              <w:widowControl/>
              <w:spacing w:line="360" w:lineRule="exact"/>
              <w:ind w:left="630" w:hanging="630"/>
              <w:rPr>
                <w:rFonts w:ascii="宋体" w:hAnsi="宋体"/>
                <w:color w:val="auto"/>
                <w:sz w:val="24"/>
                <w:szCs w:val="24"/>
                <w:highlight w:val="none"/>
              </w:rPr>
            </w:pPr>
            <w:r>
              <w:rPr>
                <w:rFonts w:hint="eastAsia" w:ascii="宋体" w:hAnsi="宋体"/>
                <w:color w:val="auto"/>
                <w:sz w:val="24"/>
                <w:szCs w:val="24"/>
                <w:highlight w:val="none"/>
              </w:rPr>
              <w:t>提供详细操作手册、维修保养手册、安装手册等文件。</w:t>
            </w:r>
          </w:p>
        </w:tc>
        <w:tc>
          <w:tcPr>
            <w:tcW w:w="713" w:type="pct"/>
          </w:tcPr>
          <w:p w14:paraId="1B29A756">
            <w:pPr>
              <w:spacing w:line="360" w:lineRule="exact"/>
              <w:rPr>
                <w:rFonts w:ascii="宋体" w:hAnsi="宋体" w:cs="宋体"/>
                <w:bCs/>
                <w:color w:val="auto"/>
                <w:sz w:val="24"/>
                <w:szCs w:val="24"/>
                <w:highlight w:val="none"/>
                <w:lang w:val="zh-CN"/>
              </w:rPr>
            </w:pPr>
          </w:p>
        </w:tc>
      </w:tr>
      <w:tr w14:paraId="30E7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7E501BF6">
            <w:pPr>
              <w:widowControl/>
              <w:spacing w:line="360" w:lineRule="exact"/>
              <w:ind w:left="632" w:hanging="632"/>
              <w:jc w:val="center"/>
              <w:rPr>
                <w:rFonts w:ascii="宋体" w:hAnsi="宋体"/>
                <w:color w:val="auto"/>
                <w:sz w:val="24"/>
                <w:szCs w:val="24"/>
                <w:highlight w:val="none"/>
              </w:rPr>
            </w:pPr>
            <w:r>
              <w:rPr>
                <w:rFonts w:hint="eastAsia" w:ascii="宋体" w:hAnsi="宋体"/>
                <w:b/>
                <w:bCs/>
                <w:color w:val="auto"/>
                <w:sz w:val="24"/>
                <w:szCs w:val="24"/>
                <w:highlight w:val="none"/>
              </w:rPr>
              <w:t>五</w:t>
            </w:r>
          </w:p>
        </w:tc>
        <w:tc>
          <w:tcPr>
            <w:tcW w:w="3647" w:type="pct"/>
            <w:vAlign w:val="center"/>
          </w:tcPr>
          <w:p w14:paraId="484591B8">
            <w:pPr>
              <w:widowControl/>
              <w:spacing w:line="360" w:lineRule="exact"/>
              <w:ind w:left="630" w:hanging="630"/>
              <w:rPr>
                <w:rFonts w:ascii="宋体" w:hAnsi="宋体"/>
                <w:color w:val="auto"/>
                <w:sz w:val="24"/>
                <w:szCs w:val="24"/>
                <w:highlight w:val="none"/>
              </w:rPr>
            </w:pPr>
            <w:r>
              <w:rPr>
                <w:rFonts w:hint="eastAsia" w:ascii="宋体" w:hAnsi="宋体"/>
                <w:b/>
                <w:color w:val="auto"/>
                <w:sz w:val="24"/>
                <w:szCs w:val="24"/>
                <w:highlight w:val="none"/>
              </w:rPr>
              <w:t>其他要求：</w:t>
            </w:r>
          </w:p>
        </w:tc>
        <w:tc>
          <w:tcPr>
            <w:tcW w:w="713" w:type="pct"/>
          </w:tcPr>
          <w:p w14:paraId="7FF8528D">
            <w:pPr>
              <w:spacing w:line="360" w:lineRule="exact"/>
              <w:rPr>
                <w:rFonts w:ascii="宋体" w:hAnsi="宋体" w:cs="宋体"/>
                <w:bCs/>
                <w:color w:val="auto"/>
                <w:sz w:val="24"/>
                <w:szCs w:val="24"/>
                <w:highlight w:val="none"/>
                <w:lang w:val="zh-CN"/>
              </w:rPr>
            </w:pPr>
          </w:p>
        </w:tc>
      </w:tr>
      <w:tr w14:paraId="08D2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4F72EB5E">
            <w:pPr>
              <w:spacing w:after="60" w:line="360" w:lineRule="atLeast"/>
              <w:ind w:left="72" w:right="72"/>
              <w:jc w:val="center"/>
              <w:rPr>
                <w:color w:val="auto"/>
                <w:sz w:val="24"/>
                <w:szCs w:val="24"/>
                <w:highlight w:val="none"/>
              </w:rPr>
            </w:pPr>
            <w:r>
              <w:rPr>
                <w:rFonts w:hint="eastAsia" w:ascii="宋体" w:hAnsi="宋体" w:cs="宋体"/>
                <w:color w:val="auto"/>
                <w:sz w:val="24"/>
                <w:szCs w:val="24"/>
                <w:highlight w:val="none"/>
              </w:rPr>
              <w:t>★</w:t>
            </w:r>
            <w:r>
              <w:rPr>
                <w:rFonts w:hint="eastAsia"/>
                <w:color w:val="auto"/>
                <w:sz w:val="24"/>
                <w:szCs w:val="24"/>
                <w:highlight w:val="none"/>
              </w:rPr>
              <w:t>5.1</w:t>
            </w:r>
          </w:p>
        </w:tc>
        <w:tc>
          <w:tcPr>
            <w:tcW w:w="3647" w:type="pct"/>
            <w:vAlign w:val="center"/>
          </w:tcPr>
          <w:p w14:paraId="2756DA5D">
            <w:pPr>
              <w:widowControl/>
              <w:spacing w:line="360" w:lineRule="exact"/>
              <w:rPr>
                <w:rFonts w:ascii="宋体" w:hAnsi="宋体"/>
                <w:color w:val="auto"/>
                <w:sz w:val="24"/>
                <w:szCs w:val="24"/>
                <w:highlight w:val="none"/>
              </w:rPr>
            </w:pPr>
            <w:r>
              <w:rPr>
                <w:rFonts w:hint="eastAsia" w:ascii="宋体" w:hAnsi="宋体"/>
                <w:color w:val="auto"/>
                <w:sz w:val="24"/>
                <w:szCs w:val="24"/>
                <w:highlight w:val="none"/>
              </w:rPr>
              <w:t>若投标人所投产品为进口设备，</w:t>
            </w:r>
            <w:r>
              <w:rPr>
                <w:rFonts w:ascii="宋体" w:hAnsi="宋体"/>
                <w:color w:val="auto"/>
                <w:sz w:val="24"/>
                <w:szCs w:val="24"/>
                <w:highlight w:val="none"/>
              </w:rPr>
              <w:t>提</w:t>
            </w:r>
            <w:r>
              <w:rPr>
                <w:rFonts w:hint="eastAsia" w:ascii="宋体" w:hAnsi="宋体"/>
                <w:color w:val="auto"/>
                <w:sz w:val="24"/>
                <w:szCs w:val="24"/>
                <w:highlight w:val="none"/>
              </w:rPr>
              <w:t>供进口</w:t>
            </w:r>
            <w:r>
              <w:rPr>
                <w:rFonts w:ascii="宋体" w:hAnsi="宋体"/>
                <w:color w:val="auto"/>
                <w:sz w:val="24"/>
                <w:szCs w:val="24"/>
                <w:highlight w:val="none"/>
              </w:rPr>
              <w:t>医疗</w:t>
            </w:r>
            <w:r>
              <w:rPr>
                <w:rFonts w:hint="eastAsia" w:ascii="宋体" w:hAnsi="宋体"/>
                <w:color w:val="auto"/>
                <w:sz w:val="24"/>
                <w:szCs w:val="24"/>
                <w:highlight w:val="none"/>
              </w:rPr>
              <w:t>器械</w:t>
            </w:r>
            <w:r>
              <w:rPr>
                <w:rFonts w:ascii="宋体" w:hAnsi="宋体"/>
                <w:color w:val="auto"/>
                <w:sz w:val="24"/>
                <w:szCs w:val="24"/>
                <w:highlight w:val="none"/>
              </w:rPr>
              <w:t>注册证</w:t>
            </w:r>
            <w:r>
              <w:rPr>
                <w:rFonts w:hint="eastAsia" w:ascii="宋体" w:hAnsi="宋体"/>
                <w:color w:val="auto"/>
                <w:sz w:val="24"/>
                <w:szCs w:val="24"/>
                <w:highlight w:val="none"/>
              </w:rPr>
              <w:t>及产品注册登记表，承诺交货时提供海关、商检等相关文件。若投标人</w:t>
            </w:r>
            <w:r>
              <w:rPr>
                <w:rFonts w:hint="eastAsia" w:ascii="宋体" w:hAnsi="宋体"/>
                <w:snapToGrid w:val="0"/>
                <w:color w:val="auto"/>
                <w:sz w:val="24"/>
                <w:szCs w:val="24"/>
                <w:highlight w:val="none"/>
              </w:rPr>
              <w:t>所投产品为国产设备，提供国内医疗器械注册证及产品注册登记表。</w:t>
            </w:r>
          </w:p>
        </w:tc>
        <w:tc>
          <w:tcPr>
            <w:tcW w:w="713" w:type="pct"/>
          </w:tcPr>
          <w:p w14:paraId="29F1A641">
            <w:pPr>
              <w:spacing w:line="360" w:lineRule="exact"/>
              <w:rPr>
                <w:rFonts w:ascii="宋体" w:hAnsi="宋体" w:cs="宋体"/>
                <w:bCs/>
                <w:color w:val="auto"/>
                <w:sz w:val="24"/>
                <w:szCs w:val="24"/>
                <w:highlight w:val="none"/>
                <w:lang w:val="zh-CN"/>
              </w:rPr>
            </w:pPr>
          </w:p>
        </w:tc>
      </w:tr>
      <w:tr w14:paraId="6BE6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1F0655CD">
            <w:pPr>
              <w:spacing w:after="60" w:line="360" w:lineRule="atLeast"/>
              <w:ind w:left="72" w:right="72"/>
              <w:jc w:val="center"/>
              <w:rPr>
                <w:color w:val="auto"/>
                <w:sz w:val="24"/>
                <w:szCs w:val="24"/>
                <w:highlight w:val="none"/>
              </w:rPr>
            </w:pPr>
            <w:r>
              <w:rPr>
                <w:rFonts w:hint="eastAsia"/>
                <w:color w:val="auto"/>
                <w:sz w:val="24"/>
                <w:szCs w:val="24"/>
                <w:highlight w:val="none"/>
              </w:rPr>
              <w:t>5.2</w:t>
            </w:r>
          </w:p>
        </w:tc>
        <w:tc>
          <w:tcPr>
            <w:tcW w:w="3647" w:type="pct"/>
            <w:vAlign w:val="center"/>
          </w:tcPr>
          <w:p w14:paraId="15FA21F8">
            <w:pPr>
              <w:widowControl/>
              <w:spacing w:line="360" w:lineRule="exact"/>
              <w:rPr>
                <w:rFonts w:ascii="宋体" w:hAnsi="宋体"/>
                <w:color w:val="auto"/>
                <w:sz w:val="24"/>
                <w:szCs w:val="24"/>
                <w:highlight w:val="none"/>
              </w:rPr>
            </w:pPr>
            <w:r>
              <w:rPr>
                <w:rFonts w:hint="eastAsia" w:ascii="宋体" w:hAnsi="宋体"/>
                <w:color w:val="auto"/>
                <w:sz w:val="24"/>
                <w:szCs w:val="24"/>
                <w:highlight w:val="none"/>
              </w:rPr>
              <w:t>特殊设备如需计量、商检、压力容器登记注册、3C认证的设备，在安装时需提供相应的报告</w:t>
            </w:r>
          </w:p>
        </w:tc>
        <w:tc>
          <w:tcPr>
            <w:tcW w:w="713" w:type="pct"/>
          </w:tcPr>
          <w:p w14:paraId="2180135C">
            <w:pPr>
              <w:spacing w:line="360" w:lineRule="exact"/>
              <w:rPr>
                <w:rFonts w:ascii="宋体" w:hAnsi="宋体" w:cs="宋体"/>
                <w:bCs/>
                <w:color w:val="auto"/>
                <w:sz w:val="24"/>
                <w:szCs w:val="24"/>
                <w:highlight w:val="none"/>
                <w:lang w:val="zh-CN"/>
              </w:rPr>
            </w:pPr>
          </w:p>
        </w:tc>
      </w:tr>
      <w:tr w14:paraId="730C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457EA3C3">
            <w:pPr>
              <w:spacing w:after="60" w:line="360" w:lineRule="atLeast"/>
              <w:ind w:left="72" w:right="72"/>
              <w:jc w:val="center"/>
              <w:rPr>
                <w:color w:val="auto"/>
                <w:sz w:val="24"/>
                <w:szCs w:val="24"/>
                <w:highlight w:val="none"/>
              </w:rPr>
            </w:pPr>
            <w:r>
              <w:rPr>
                <w:rFonts w:hint="eastAsia"/>
                <w:color w:val="auto"/>
                <w:sz w:val="24"/>
                <w:szCs w:val="24"/>
                <w:highlight w:val="none"/>
              </w:rPr>
              <w:t>5.3</w:t>
            </w:r>
          </w:p>
        </w:tc>
        <w:tc>
          <w:tcPr>
            <w:tcW w:w="3647" w:type="pct"/>
            <w:vAlign w:val="center"/>
          </w:tcPr>
          <w:p w14:paraId="53ECD63A">
            <w:pPr>
              <w:spacing w:before="94" w:line="360" w:lineRule="exact"/>
              <w:jc w:val="left"/>
              <w:rPr>
                <w:rFonts w:ascii="宋体" w:hAnsi="宋体"/>
                <w:color w:val="auto"/>
                <w:sz w:val="24"/>
                <w:szCs w:val="24"/>
                <w:highlight w:val="none"/>
              </w:rPr>
            </w:pPr>
            <w:r>
              <w:rPr>
                <w:rFonts w:ascii="宋体" w:hAnsi="宋体"/>
                <w:color w:val="auto"/>
                <w:sz w:val="24"/>
                <w:szCs w:val="24"/>
                <w:highlight w:val="none"/>
              </w:rPr>
              <w:t>提供</w:t>
            </w:r>
            <w:r>
              <w:rPr>
                <w:rFonts w:hint="eastAsia" w:ascii="宋体" w:hAnsi="宋体"/>
                <w:color w:val="auto"/>
                <w:sz w:val="24"/>
                <w:szCs w:val="24"/>
                <w:highlight w:val="none"/>
              </w:rPr>
              <w:t>安装</w:t>
            </w:r>
            <w:r>
              <w:rPr>
                <w:rFonts w:ascii="宋体" w:hAnsi="宋体"/>
                <w:color w:val="auto"/>
                <w:sz w:val="24"/>
                <w:szCs w:val="24"/>
                <w:highlight w:val="none"/>
              </w:rPr>
              <w:t>条件：如水、电等要求，提供设备外观尺寸图纸和安装参数</w:t>
            </w:r>
            <w:r>
              <w:rPr>
                <w:rFonts w:hint="eastAsia" w:ascii="宋体" w:hAnsi="宋体"/>
                <w:color w:val="auto"/>
                <w:sz w:val="24"/>
                <w:szCs w:val="24"/>
                <w:highlight w:val="none"/>
              </w:rPr>
              <w:t>，</w:t>
            </w:r>
            <w:r>
              <w:rPr>
                <w:rFonts w:ascii="宋体" w:hAnsi="宋体"/>
                <w:color w:val="auto"/>
                <w:sz w:val="24"/>
                <w:szCs w:val="24"/>
                <w:highlight w:val="none"/>
              </w:rPr>
              <w:t>详细说明</w:t>
            </w:r>
          </w:p>
        </w:tc>
        <w:tc>
          <w:tcPr>
            <w:tcW w:w="713" w:type="pct"/>
          </w:tcPr>
          <w:p w14:paraId="56BDE007">
            <w:pPr>
              <w:spacing w:line="360" w:lineRule="exact"/>
              <w:rPr>
                <w:rFonts w:ascii="宋体" w:hAnsi="宋体" w:cs="宋体"/>
                <w:bCs/>
                <w:color w:val="auto"/>
                <w:sz w:val="24"/>
                <w:szCs w:val="24"/>
                <w:highlight w:val="none"/>
                <w:lang w:val="zh-CN"/>
              </w:rPr>
            </w:pPr>
          </w:p>
        </w:tc>
      </w:tr>
      <w:tr w14:paraId="2A12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172C98B0">
            <w:pPr>
              <w:spacing w:after="60" w:line="360" w:lineRule="atLeast"/>
              <w:ind w:left="72" w:right="72"/>
              <w:jc w:val="center"/>
              <w:rPr>
                <w:color w:val="auto"/>
                <w:sz w:val="24"/>
                <w:szCs w:val="24"/>
                <w:highlight w:val="none"/>
              </w:rPr>
            </w:pPr>
            <w:r>
              <w:rPr>
                <w:rFonts w:hint="eastAsia"/>
                <w:color w:val="auto"/>
                <w:sz w:val="24"/>
                <w:szCs w:val="24"/>
                <w:highlight w:val="none"/>
              </w:rPr>
              <w:t>5.4</w:t>
            </w:r>
          </w:p>
        </w:tc>
        <w:tc>
          <w:tcPr>
            <w:tcW w:w="3647" w:type="pct"/>
            <w:vAlign w:val="center"/>
          </w:tcPr>
          <w:p w14:paraId="08DB547C">
            <w:pPr>
              <w:spacing w:before="93" w:line="360" w:lineRule="exact"/>
              <w:jc w:val="left"/>
              <w:rPr>
                <w:rFonts w:ascii="宋体" w:hAnsi="宋体"/>
                <w:color w:val="auto"/>
                <w:sz w:val="24"/>
                <w:szCs w:val="24"/>
                <w:highlight w:val="none"/>
              </w:rPr>
            </w:pPr>
            <w:r>
              <w:rPr>
                <w:rFonts w:hint="eastAsia" w:ascii="宋体" w:hAnsi="宋体"/>
                <w:color w:val="auto"/>
                <w:sz w:val="24"/>
                <w:szCs w:val="24"/>
                <w:highlight w:val="none"/>
              </w:rPr>
              <w:t>提供各类必要证件（书）,全套设备必须为全新。</w:t>
            </w:r>
          </w:p>
        </w:tc>
        <w:tc>
          <w:tcPr>
            <w:tcW w:w="713" w:type="pct"/>
          </w:tcPr>
          <w:p w14:paraId="2ACF8A2F">
            <w:pPr>
              <w:spacing w:line="360" w:lineRule="exact"/>
              <w:rPr>
                <w:rFonts w:ascii="宋体" w:hAnsi="宋体" w:cs="宋体"/>
                <w:bCs/>
                <w:color w:val="auto"/>
                <w:sz w:val="24"/>
                <w:szCs w:val="24"/>
                <w:highlight w:val="none"/>
                <w:lang w:val="zh-CN"/>
              </w:rPr>
            </w:pPr>
          </w:p>
        </w:tc>
      </w:tr>
      <w:tr w14:paraId="01CC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0CFCF895">
            <w:pPr>
              <w:spacing w:after="60" w:line="360" w:lineRule="atLeast"/>
              <w:ind w:left="72" w:right="72"/>
              <w:jc w:val="center"/>
              <w:rPr>
                <w:color w:val="auto"/>
                <w:sz w:val="24"/>
                <w:szCs w:val="24"/>
                <w:highlight w:val="none"/>
              </w:rPr>
            </w:pPr>
            <w:r>
              <w:rPr>
                <w:rFonts w:hint="eastAsia"/>
                <w:color w:val="auto"/>
                <w:sz w:val="24"/>
                <w:szCs w:val="24"/>
                <w:highlight w:val="none"/>
              </w:rPr>
              <w:t>5.5</w:t>
            </w:r>
          </w:p>
        </w:tc>
        <w:tc>
          <w:tcPr>
            <w:tcW w:w="3647" w:type="pct"/>
            <w:vAlign w:val="center"/>
          </w:tcPr>
          <w:p w14:paraId="4F008946">
            <w:pPr>
              <w:widowControl/>
              <w:spacing w:line="360" w:lineRule="exact"/>
              <w:rPr>
                <w:rFonts w:ascii="宋体" w:hAnsi="宋体"/>
                <w:color w:val="auto"/>
                <w:sz w:val="24"/>
                <w:szCs w:val="24"/>
                <w:highlight w:val="none"/>
              </w:rPr>
            </w:pPr>
            <w:r>
              <w:rPr>
                <w:rFonts w:hint="eastAsia" w:ascii="宋体" w:hAnsi="宋体"/>
                <w:color w:val="auto"/>
                <w:sz w:val="24"/>
                <w:szCs w:val="24"/>
                <w:highlight w:val="none"/>
              </w:rPr>
              <w:t>提供制造商原厂data sheet，所有技术文件响应必须与data sheet相符。</w:t>
            </w:r>
          </w:p>
        </w:tc>
        <w:tc>
          <w:tcPr>
            <w:tcW w:w="713" w:type="pct"/>
          </w:tcPr>
          <w:p w14:paraId="64BFEA23">
            <w:pPr>
              <w:spacing w:line="360" w:lineRule="exact"/>
              <w:rPr>
                <w:rFonts w:ascii="宋体" w:hAnsi="宋体" w:cs="宋体"/>
                <w:bCs/>
                <w:color w:val="auto"/>
                <w:sz w:val="24"/>
                <w:szCs w:val="24"/>
                <w:highlight w:val="none"/>
                <w:lang w:val="zh-CN"/>
              </w:rPr>
            </w:pPr>
          </w:p>
        </w:tc>
      </w:tr>
      <w:tr w14:paraId="79F0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1393F078">
            <w:pPr>
              <w:spacing w:after="60" w:line="360" w:lineRule="atLeast"/>
              <w:ind w:left="72" w:right="72"/>
              <w:jc w:val="center"/>
              <w:rPr>
                <w:color w:val="auto"/>
                <w:sz w:val="24"/>
                <w:szCs w:val="24"/>
                <w:highlight w:val="none"/>
              </w:rPr>
            </w:pPr>
            <w:r>
              <w:rPr>
                <w:rFonts w:hint="eastAsia"/>
                <w:color w:val="auto"/>
                <w:sz w:val="24"/>
                <w:szCs w:val="24"/>
                <w:highlight w:val="none"/>
              </w:rPr>
              <w:t>5.6</w:t>
            </w:r>
          </w:p>
        </w:tc>
        <w:tc>
          <w:tcPr>
            <w:tcW w:w="3647" w:type="pct"/>
            <w:vAlign w:val="center"/>
          </w:tcPr>
          <w:p w14:paraId="2A830F19">
            <w:pPr>
              <w:widowControl/>
              <w:spacing w:line="360" w:lineRule="exact"/>
              <w:rPr>
                <w:rFonts w:ascii="宋体" w:hAnsi="宋体"/>
                <w:color w:val="auto"/>
                <w:sz w:val="24"/>
                <w:szCs w:val="24"/>
                <w:highlight w:val="none"/>
              </w:rPr>
            </w:pPr>
            <w:r>
              <w:rPr>
                <w:rFonts w:hint="eastAsia" w:ascii="宋体" w:hAnsi="宋体"/>
                <w:color w:val="auto"/>
                <w:sz w:val="24"/>
                <w:szCs w:val="24"/>
                <w:highlight w:val="none"/>
              </w:rPr>
              <w:t>投标人必须如实响应招标文件并提供相应配置，不得欺骗、隐瞒，招标文件作为合同的一部分，具有相同的法律效应。</w:t>
            </w:r>
          </w:p>
        </w:tc>
        <w:tc>
          <w:tcPr>
            <w:tcW w:w="713" w:type="pct"/>
          </w:tcPr>
          <w:p w14:paraId="1C3A4BD4">
            <w:pPr>
              <w:spacing w:line="360" w:lineRule="exact"/>
              <w:rPr>
                <w:rFonts w:ascii="宋体" w:hAnsi="宋体" w:cs="宋体"/>
                <w:bCs/>
                <w:color w:val="auto"/>
                <w:sz w:val="24"/>
                <w:szCs w:val="24"/>
                <w:highlight w:val="none"/>
                <w:lang w:val="zh-CN"/>
              </w:rPr>
            </w:pPr>
          </w:p>
        </w:tc>
      </w:tr>
      <w:tr w14:paraId="69C9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5D25C9B1">
            <w:pPr>
              <w:spacing w:after="60" w:line="360" w:lineRule="atLeast"/>
              <w:ind w:left="72" w:right="72"/>
              <w:jc w:val="center"/>
              <w:rPr>
                <w:color w:val="auto"/>
                <w:sz w:val="24"/>
                <w:szCs w:val="24"/>
                <w:highlight w:val="none"/>
              </w:rPr>
            </w:pPr>
            <w:r>
              <w:rPr>
                <w:rFonts w:hint="eastAsia"/>
                <w:color w:val="auto"/>
                <w:sz w:val="24"/>
                <w:szCs w:val="24"/>
                <w:highlight w:val="none"/>
              </w:rPr>
              <w:t>5.7</w:t>
            </w:r>
          </w:p>
        </w:tc>
        <w:tc>
          <w:tcPr>
            <w:tcW w:w="3647" w:type="pct"/>
            <w:vAlign w:val="center"/>
          </w:tcPr>
          <w:p w14:paraId="46D770F6">
            <w:pPr>
              <w:widowControl/>
              <w:spacing w:line="360" w:lineRule="exact"/>
              <w:rPr>
                <w:rFonts w:ascii="宋体" w:hAnsi="宋体"/>
                <w:color w:val="auto"/>
                <w:sz w:val="24"/>
                <w:szCs w:val="24"/>
                <w:highlight w:val="none"/>
              </w:rPr>
            </w:pPr>
            <w:r>
              <w:rPr>
                <w:rFonts w:hint="eastAsia" w:ascii="宋体" w:hAnsi="宋体"/>
                <w:color w:val="auto"/>
                <w:sz w:val="24"/>
                <w:szCs w:val="24"/>
                <w:highlight w:val="none"/>
              </w:rPr>
              <w:t>提供近3年同机型用户名单、联系电话。</w:t>
            </w:r>
          </w:p>
        </w:tc>
        <w:tc>
          <w:tcPr>
            <w:tcW w:w="713" w:type="pct"/>
          </w:tcPr>
          <w:p w14:paraId="28DC6180">
            <w:pPr>
              <w:spacing w:line="360" w:lineRule="exact"/>
              <w:rPr>
                <w:rFonts w:ascii="宋体" w:hAnsi="宋体" w:cs="宋体"/>
                <w:bCs/>
                <w:color w:val="auto"/>
                <w:sz w:val="24"/>
                <w:szCs w:val="24"/>
                <w:highlight w:val="none"/>
                <w:lang w:val="zh-CN"/>
              </w:rPr>
            </w:pPr>
          </w:p>
        </w:tc>
      </w:tr>
      <w:tr w14:paraId="7B61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1CBF78A8">
            <w:pPr>
              <w:spacing w:after="60" w:line="360" w:lineRule="atLeast"/>
              <w:ind w:left="72" w:right="72"/>
              <w:jc w:val="center"/>
              <w:rPr>
                <w:color w:val="auto"/>
                <w:sz w:val="24"/>
                <w:szCs w:val="24"/>
                <w:highlight w:val="none"/>
              </w:rPr>
            </w:pPr>
            <w:r>
              <w:rPr>
                <w:rFonts w:hint="eastAsia"/>
                <w:color w:val="auto"/>
                <w:sz w:val="24"/>
                <w:szCs w:val="24"/>
                <w:highlight w:val="none"/>
              </w:rPr>
              <w:t>5.8</w:t>
            </w:r>
          </w:p>
        </w:tc>
        <w:tc>
          <w:tcPr>
            <w:tcW w:w="3647" w:type="pct"/>
            <w:vAlign w:val="center"/>
          </w:tcPr>
          <w:p w14:paraId="3E55A3AD">
            <w:pPr>
              <w:widowControl/>
              <w:spacing w:line="360" w:lineRule="exact"/>
              <w:rPr>
                <w:rFonts w:ascii="宋体" w:hAnsi="宋体"/>
                <w:color w:val="auto"/>
                <w:sz w:val="24"/>
                <w:szCs w:val="24"/>
                <w:highlight w:val="none"/>
              </w:rPr>
            </w:pPr>
            <w:r>
              <w:rPr>
                <w:rFonts w:hint="eastAsia" w:ascii="宋体" w:hAnsi="宋体"/>
                <w:color w:val="auto"/>
                <w:sz w:val="24"/>
                <w:szCs w:val="24"/>
                <w:highlight w:val="none"/>
              </w:rPr>
              <w:t>装机现场提供操作手册、维修手册，并提供操作规程电子版和纸质版。</w:t>
            </w:r>
          </w:p>
        </w:tc>
        <w:tc>
          <w:tcPr>
            <w:tcW w:w="713" w:type="pct"/>
          </w:tcPr>
          <w:p w14:paraId="22CD1518">
            <w:pPr>
              <w:spacing w:line="360" w:lineRule="exact"/>
              <w:rPr>
                <w:rFonts w:ascii="宋体" w:hAnsi="宋体" w:cs="宋体"/>
                <w:bCs/>
                <w:color w:val="auto"/>
                <w:sz w:val="24"/>
                <w:szCs w:val="24"/>
                <w:highlight w:val="none"/>
                <w:lang w:val="zh-CN"/>
              </w:rPr>
            </w:pPr>
          </w:p>
        </w:tc>
      </w:tr>
      <w:tr w14:paraId="0C26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223230E0">
            <w:pPr>
              <w:widowControl/>
              <w:spacing w:line="360" w:lineRule="exact"/>
              <w:ind w:left="632" w:hanging="632"/>
              <w:jc w:val="center"/>
              <w:rPr>
                <w:rFonts w:ascii="宋体" w:hAnsi="宋体"/>
                <w:b/>
                <w:color w:val="auto"/>
                <w:sz w:val="24"/>
                <w:szCs w:val="24"/>
                <w:highlight w:val="none"/>
              </w:rPr>
            </w:pPr>
            <w:r>
              <w:rPr>
                <w:rFonts w:hint="eastAsia" w:ascii="宋体" w:hAnsi="宋体"/>
                <w:b/>
                <w:color w:val="auto"/>
                <w:sz w:val="24"/>
                <w:szCs w:val="24"/>
                <w:highlight w:val="none"/>
              </w:rPr>
              <w:t>六</w:t>
            </w:r>
          </w:p>
        </w:tc>
        <w:tc>
          <w:tcPr>
            <w:tcW w:w="3647" w:type="pct"/>
            <w:vAlign w:val="center"/>
          </w:tcPr>
          <w:p w14:paraId="000A6218">
            <w:pPr>
              <w:widowControl/>
              <w:spacing w:line="360" w:lineRule="exact"/>
              <w:rPr>
                <w:rFonts w:ascii="宋体" w:hAnsi="宋体"/>
                <w:b/>
                <w:color w:val="auto"/>
                <w:sz w:val="24"/>
                <w:szCs w:val="24"/>
                <w:highlight w:val="none"/>
              </w:rPr>
            </w:pPr>
            <w:r>
              <w:rPr>
                <w:rFonts w:hint="eastAsia" w:ascii="宋体" w:hAnsi="宋体"/>
                <w:b/>
                <w:color w:val="auto"/>
                <w:sz w:val="24"/>
                <w:szCs w:val="24"/>
                <w:highlight w:val="none"/>
              </w:rPr>
              <w:t>安装及验收要求</w:t>
            </w:r>
          </w:p>
        </w:tc>
        <w:tc>
          <w:tcPr>
            <w:tcW w:w="713" w:type="pct"/>
          </w:tcPr>
          <w:p w14:paraId="31C1B85B">
            <w:pPr>
              <w:spacing w:line="360" w:lineRule="exact"/>
              <w:rPr>
                <w:rFonts w:ascii="宋体" w:hAnsi="宋体" w:cs="宋体"/>
                <w:bCs/>
                <w:color w:val="auto"/>
                <w:sz w:val="24"/>
                <w:szCs w:val="24"/>
                <w:highlight w:val="none"/>
                <w:lang w:val="zh-CN"/>
              </w:rPr>
            </w:pPr>
          </w:p>
        </w:tc>
      </w:tr>
      <w:tr w14:paraId="6071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001976F1">
            <w:pPr>
              <w:spacing w:after="60" w:line="360" w:lineRule="atLeast"/>
              <w:ind w:left="72" w:right="72"/>
              <w:jc w:val="center"/>
              <w:rPr>
                <w:rFonts w:ascii="宋体" w:hAnsi="宋体"/>
                <w:color w:val="auto"/>
                <w:sz w:val="24"/>
                <w:szCs w:val="24"/>
                <w:highlight w:val="none"/>
              </w:rPr>
            </w:pPr>
            <w:r>
              <w:rPr>
                <w:rFonts w:hint="eastAsia"/>
                <w:color w:val="auto"/>
                <w:sz w:val="24"/>
                <w:szCs w:val="24"/>
                <w:highlight w:val="none"/>
              </w:rPr>
              <w:t>6.1</w:t>
            </w:r>
          </w:p>
        </w:tc>
        <w:tc>
          <w:tcPr>
            <w:tcW w:w="3647" w:type="pct"/>
            <w:vAlign w:val="center"/>
          </w:tcPr>
          <w:p w14:paraId="2FE61F09">
            <w:pPr>
              <w:widowControl/>
              <w:spacing w:line="360" w:lineRule="exact"/>
              <w:rPr>
                <w:rFonts w:ascii="宋体" w:hAnsi="宋体"/>
                <w:color w:val="auto"/>
                <w:sz w:val="24"/>
                <w:szCs w:val="24"/>
                <w:highlight w:val="none"/>
              </w:rPr>
            </w:pPr>
            <w:r>
              <w:rPr>
                <w:rFonts w:hint="eastAsia" w:ascii="宋体" w:hAnsi="宋体" w:cs="宋体"/>
                <w:color w:val="auto"/>
                <w:sz w:val="24"/>
                <w:szCs w:val="24"/>
                <w:highlight w:val="none"/>
              </w:rPr>
              <w:t>安装完成时间：到货后接采购单位通知5天内安装并调试完成。</w:t>
            </w:r>
          </w:p>
        </w:tc>
        <w:tc>
          <w:tcPr>
            <w:tcW w:w="713" w:type="pct"/>
          </w:tcPr>
          <w:p w14:paraId="7C30ACA2">
            <w:pPr>
              <w:spacing w:line="360" w:lineRule="exact"/>
              <w:rPr>
                <w:rFonts w:ascii="宋体" w:hAnsi="宋体" w:cs="宋体"/>
                <w:bCs/>
                <w:color w:val="auto"/>
                <w:sz w:val="24"/>
                <w:szCs w:val="24"/>
                <w:highlight w:val="none"/>
                <w:lang w:val="zh-CN"/>
              </w:rPr>
            </w:pPr>
          </w:p>
        </w:tc>
      </w:tr>
      <w:tr w14:paraId="4F28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5E89D838">
            <w:pPr>
              <w:spacing w:after="60" w:line="360" w:lineRule="atLeast"/>
              <w:ind w:left="72" w:right="72"/>
              <w:jc w:val="center"/>
              <w:rPr>
                <w:color w:val="auto"/>
                <w:sz w:val="24"/>
                <w:szCs w:val="24"/>
                <w:highlight w:val="none"/>
              </w:rPr>
            </w:pPr>
            <w:r>
              <w:rPr>
                <w:rFonts w:hint="eastAsia"/>
                <w:color w:val="auto"/>
                <w:sz w:val="24"/>
                <w:szCs w:val="24"/>
                <w:highlight w:val="none"/>
              </w:rPr>
              <w:t>6.2</w:t>
            </w:r>
          </w:p>
        </w:tc>
        <w:tc>
          <w:tcPr>
            <w:tcW w:w="3647" w:type="pct"/>
            <w:vAlign w:val="center"/>
          </w:tcPr>
          <w:p w14:paraId="3BA019F8">
            <w:pPr>
              <w:widowControl/>
              <w:spacing w:line="360" w:lineRule="exact"/>
              <w:rPr>
                <w:rFonts w:ascii="宋体" w:hAnsi="宋体"/>
                <w:color w:val="auto"/>
                <w:sz w:val="24"/>
                <w:szCs w:val="24"/>
                <w:highlight w:val="none"/>
              </w:rPr>
            </w:pPr>
            <w:r>
              <w:rPr>
                <w:rFonts w:hint="eastAsia" w:ascii="宋体" w:hAnsi="宋体"/>
                <w:color w:val="auto"/>
                <w:sz w:val="24"/>
                <w:szCs w:val="24"/>
                <w:highlight w:val="none"/>
              </w:rPr>
              <w:t>安装地点：采购方指定地点。</w:t>
            </w:r>
          </w:p>
        </w:tc>
        <w:tc>
          <w:tcPr>
            <w:tcW w:w="713" w:type="pct"/>
          </w:tcPr>
          <w:p w14:paraId="7F52A5E5">
            <w:pPr>
              <w:spacing w:line="360" w:lineRule="exact"/>
              <w:rPr>
                <w:rFonts w:ascii="宋体" w:hAnsi="宋体" w:cs="宋体"/>
                <w:bCs/>
                <w:color w:val="auto"/>
                <w:sz w:val="24"/>
                <w:szCs w:val="24"/>
                <w:highlight w:val="none"/>
                <w:lang w:val="zh-CN"/>
              </w:rPr>
            </w:pPr>
          </w:p>
        </w:tc>
      </w:tr>
      <w:tr w14:paraId="1FA8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14307726">
            <w:pPr>
              <w:spacing w:after="60" w:line="360" w:lineRule="atLeast"/>
              <w:ind w:left="72" w:right="72"/>
              <w:jc w:val="center"/>
              <w:rPr>
                <w:color w:val="auto"/>
                <w:sz w:val="24"/>
                <w:szCs w:val="24"/>
                <w:highlight w:val="none"/>
              </w:rPr>
            </w:pPr>
            <w:r>
              <w:rPr>
                <w:rFonts w:hint="eastAsia"/>
                <w:color w:val="auto"/>
                <w:sz w:val="24"/>
                <w:szCs w:val="24"/>
                <w:highlight w:val="none"/>
              </w:rPr>
              <w:t>6.3</w:t>
            </w:r>
          </w:p>
        </w:tc>
        <w:tc>
          <w:tcPr>
            <w:tcW w:w="3647" w:type="pct"/>
            <w:vAlign w:val="center"/>
          </w:tcPr>
          <w:p w14:paraId="535C23EB">
            <w:pPr>
              <w:widowControl/>
              <w:spacing w:line="360" w:lineRule="exact"/>
              <w:rPr>
                <w:rFonts w:ascii="宋体" w:hAnsi="宋体"/>
                <w:color w:val="auto"/>
                <w:sz w:val="24"/>
                <w:szCs w:val="24"/>
                <w:highlight w:val="none"/>
              </w:rPr>
            </w:pPr>
            <w:r>
              <w:rPr>
                <w:rFonts w:hint="eastAsia" w:ascii="宋体" w:hAnsi="宋体"/>
                <w:color w:val="auto"/>
                <w:sz w:val="24"/>
                <w:szCs w:val="24"/>
                <w:highlight w:val="none"/>
              </w:rPr>
              <w:t>安装标准：符合我国国家有关技术规范和技术标准。</w:t>
            </w:r>
          </w:p>
        </w:tc>
        <w:tc>
          <w:tcPr>
            <w:tcW w:w="713" w:type="pct"/>
          </w:tcPr>
          <w:p w14:paraId="388E6B34">
            <w:pPr>
              <w:spacing w:line="360" w:lineRule="exact"/>
              <w:rPr>
                <w:rFonts w:ascii="宋体" w:hAnsi="宋体" w:cs="宋体"/>
                <w:bCs/>
                <w:color w:val="auto"/>
                <w:sz w:val="24"/>
                <w:szCs w:val="24"/>
                <w:highlight w:val="none"/>
                <w:lang w:val="zh-CN"/>
              </w:rPr>
            </w:pPr>
          </w:p>
        </w:tc>
      </w:tr>
      <w:tr w14:paraId="34C4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4540FA46">
            <w:pPr>
              <w:spacing w:after="60" w:line="360" w:lineRule="atLeast"/>
              <w:ind w:left="72" w:right="72"/>
              <w:jc w:val="center"/>
              <w:rPr>
                <w:color w:val="auto"/>
                <w:sz w:val="24"/>
                <w:szCs w:val="24"/>
                <w:highlight w:val="none"/>
              </w:rPr>
            </w:pPr>
            <w:r>
              <w:rPr>
                <w:rFonts w:hint="eastAsia"/>
                <w:color w:val="auto"/>
                <w:sz w:val="24"/>
                <w:szCs w:val="24"/>
                <w:highlight w:val="none"/>
              </w:rPr>
              <w:t>6.4</w:t>
            </w:r>
          </w:p>
        </w:tc>
        <w:tc>
          <w:tcPr>
            <w:tcW w:w="3647" w:type="pct"/>
            <w:vAlign w:val="center"/>
          </w:tcPr>
          <w:p w14:paraId="16B25D54">
            <w:pPr>
              <w:widowControl/>
              <w:spacing w:line="360" w:lineRule="exact"/>
              <w:rPr>
                <w:rFonts w:ascii="宋体" w:hAnsi="宋体"/>
                <w:color w:val="auto"/>
                <w:sz w:val="24"/>
                <w:szCs w:val="24"/>
                <w:highlight w:val="none"/>
              </w:rPr>
            </w:pPr>
            <w:r>
              <w:rPr>
                <w:rFonts w:hint="eastAsia" w:ascii="宋体" w:hAnsi="宋体"/>
                <w:color w:val="auto"/>
                <w:sz w:val="24"/>
                <w:szCs w:val="24"/>
                <w:highlight w:val="none"/>
              </w:rPr>
              <w:t>验收标准：应与产品原始样本技术数据及招标文件一致，应符合我国有关技术规范和技术标准，</w:t>
            </w:r>
            <w:r>
              <w:rPr>
                <w:rFonts w:hint="eastAsia" w:ascii="宋体" w:hAnsi="宋体" w:cs="宋体"/>
                <w:color w:val="auto"/>
                <w:sz w:val="24"/>
                <w:szCs w:val="24"/>
                <w:highlight w:val="none"/>
              </w:rPr>
              <w:t>设备生产日期距离到货日期国产产品不得大于4个月，进口产品不得大于8个月。</w:t>
            </w:r>
          </w:p>
        </w:tc>
        <w:tc>
          <w:tcPr>
            <w:tcW w:w="713" w:type="pct"/>
          </w:tcPr>
          <w:p w14:paraId="166F6902">
            <w:pPr>
              <w:spacing w:line="360" w:lineRule="exact"/>
              <w:rPr>
                <w:rFonts w:ascii="宋体" w:hAnsi="宋体" w:cs="宋体"/>
                <w:bCs/>
                <w:color w:val="auto"/>
                <w:sz w:val="24"/>
                <w:szCs w:val="24"/>
                <w:highlight w:val="none"/>
                <w:lang w:val="zh-CN"/>
              </w:rPr>
            </w:pPr>
          </w:p>
        </w:tc>
      </w:tr>
      <w:tr w14:paraId="1195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0A5898AD">
            <w:pPr>
              <w:spacing w:after="60" w:line="360" w:lineRule="atLeast"/>
              <w:ind w:left="72" w:right="72"/>
              <w:jc w:val="center"/>
              <w:rPr>
                <w:color w:val="auto"/>
                <w:sz w:val="24"/>
                <w:szCs w:val="24"/>
                <w:highlight w:val="none"/>
              </w:rPr>
            </w:pPr>
            <w:r>
              <w:rPr>
                <w:rFonts w:hint="eastAsia"/>
                <w:color w:val="auto"/>
                <w:sz w:val="24"/>
                <w:szCs w:val="24"/>
                <w:highlight w:val="none"/>
              </w:rPr>
              <w:t>6.5</w:t>
            </w:r>
          </w:p>
        </w:tc>
        <w:tc>
          <w:tcPr>
            <w:tcW w:w="3647" w:type="pct"/>
            <w:vAlign w:val="center"/>
          </w:tcPr>
          <w:p w14:paraId="30EBA382">
            <w:pPr>
              <w:widowControl/>
              <w:spacing w:line="360" w:lineRule="exact"/>
              <w:rPr>
                <w:rFonts w:ascii="宋体" w:hAnsi="宋体"/>
                <w:color w:val="auto"/>
                <w:sz w:val="24"/>
                <w:szCs w:val="24"/>
                <w:highlight w:val="none"/>
              </w:rPr>
            </w:pPr>
            <w:r>
              <w:rPr>
                <w:rFonts w:hint="eastAsia" w:ascii="宋体" w:hAnsi="宋体"/>
                <w:color w:val="auto"/>
                <w:sz w:val="24"/>
                <w:szCs w:val="24"/>
                <w:highlight w:val="none"/>
              </w:rPr>
              <w:t>安装验收</w:t>
            </w:r>
            <w:r>
              <w:rPr>
                <w:rFonts w:hint="eastAsia" w:ascii="宋体" w:hAnsi="宋体" w:cs="宋体"/>
                <w:color w:val="auto"/>
                <w:sz w:val="24"/>
                <w:szCs w:val="24"/>
                <w:highlight w:val="none"/>
              </w:rPr>
              <w:t>完成</w:t>
            </w:r>
            <w:r>
              <w:rPr>
                <w:rFonts w:hint="eastAsia" w:ascii="宋体" w:hAnsi="宋体"/>
                <w:color w:val="auto"/>
                <w:sz w:val="24"/>
                <w:szCs w:val="24"/>
                <w:highlight w:val="none"/>
              </w:rPr>
              <w:t>前产生一切费用（包括卸货、搬运费等）由中标商提供。</w:t>
            </w:r>
          </w:p>
        </w:tc>
        <w:tc>
          <w:tcPr>
            <w:tcW w:w="713" w:type="pct"/>
          </w:tcPr>
          <w:p w14:paraId="7F608F27">
            <w:pPr>
              <w:spacing w:line="360" w:lineRule="exact"/>
              <w:rPr>
                <w:rFonts w:ascii="宋体" w:hAnsi="宋体" w:cs="宋体"/>
                <w:bCs/>
                <w:color w:val="auto"/>
                <w:sz w:val="24"/>
                <w:szCs w:val="24"/>
                <w:highlight w:val="none"/>
                <w:lang w:val="zh-CN"/>
              </w:rPr>
            </w:pPr>
          </w:p>
        </w:tc>
      </w:tr>
      <w:tr w14:paraId="40A7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45E15809">
            <w:pPr>
              <w:spacing w:after="60" w:line="360" w:lineRule="atLeast"/>
              <w:ind w:left="72" w:right="72"/>
              <w:jc w:val="center"/>
              <w:rPr>
                <w:color w:val="auto"/>
                <w:sz w:val="24"/>
                <w:szCs w:val="24"/>
                <w:highlight w:val="none"/>
              </w:rPr>
            </w:pPr>
            <w:r>
              <w:rPr>
                <w:rFonts w:hint="eastAsia"/>
                <w:color w:val="auto"/>
                <w:sz w:val="24"/>
                <w:szCs w:val="24"/>
                <w:highlight w:val="none"/>
              </w:rPr>
              <w:t>6.6</w:t>
            </w:r>
          </w:p>
        </w:tc>
        <w:tc>
          <w:tcPr>
            <w:tcW w:w="3647" w:type="pct"/>
            <w:vAlign w:val="center"/>
          </w:tcPr>
          <w:p w14:paraId="648110D2">
            <w:pPr>
              <w:widowControl/>
              <w:spacing w:line="360" w:lineRule="exact"/>
              <w:ind w:left="630" w:hanging="630"/>
              <w:rPr>
                <w:rFonts w:ascii="宋体" w:hAnsi="宋体"/>
                <w:color w:val="auto"/>
                <w:sz w:val="24"/>
                <w:szCs w:val="24"/>
                <w:highlight w:val="none"/>
              </w:rPr>
            </w:pPr>
            <w:r>
              <w:rPr>
                <w:rFonts w:hint="eastAsia" w:ascii="宋体" w:hAnsi="宋体"/>
                <w:color w:val="auto"/>
                <w:sz w:val="24"/>
                <w:szCs w:val="24"/>
                <w:highlight w:val="none"/>
              </w:rPr>
              <w:t>安装并调试后必需提供设备的检测报告，否则设备不予以验收。</w:t>
            </w:r>
          </w:p>
        </w:tc>
        <w:tc>
          <w:tcPr>
            <w:tcW w:w="713" w:type="pct"/>
          </w:tcPr>
          <w:p w14:paraId="54368767">
            <w:pPr>
              <w:spacing w:line="360" w:lineRule="exact"/>
              <w:rPr>
                <w:rFonts w:ascii="宋体" w:hAnsi="宋体" w:cs="宋体"/>
                <w:bCs/>
                <w:color w:val="auto"/>
                <w:sz w:val="24"/>
                <w:szCs w:val="24"/>
                <w:highlight w:val="none"/>
                <w:lang w:val="zh-CN"/>
              </w:rPr>
            </w:pPr>
          </w:p>
        </w:tc>
      </w:tr>
      <w:tr w14:paraId="125F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9" w:type="pct"/>
            <w:vAlign w:val="center"/>
          </w:tcPr>
          <w:p w14:paraId="6B4834D1">
            <w:pPr>
              <w:spacing w:after="60" w:line="360" w:lineRule="atLeast"/>
              <w:ind w:left="72" w:right="72"/>
              <w:jc w:val="center"/>
              <w:rPr>
                <w:color w:val="auto"/>
                <w:sz w:val="24"/>
                <w:szCs w:val="24"/>
                <w:highlight w:val="none"/>
              </w:rPr>
            </w:pPr>
            <w:r>
              <w:rPr>
                <w:rFonts w:hint="eastAsia"/>
                <w:color w:val="auto"/>
                <w:sz w:val="24"/>
                <w:szCs w:val="24"/>
                <w:highlight w:val="none"/>
              </w:rPr>
              <w:t>6.7</w:t>
            </w:r>
          </w:p>
        </w:tc>
        <w:tc>
          <w:tcPr>
            <w:tcW w:w="3647" w:type="pct"/>
            <w:vAlign w:val="center"/>
          </w:tcPr>
          <w:p w14:paraId="4895D5B4">
            <w:pPr>
              <w:widowControl/>
              <w:spacing w:line="360" w:lineRule="exact"/>
              <w:ind w:left="630" w:hanging="630"/>
              <w:rPr>
                <w:rFonts w:ascii="宋体" w:hAnsi="宋体"/>
                <w:color w:val="auto"/>
                <w:sz w:val="24"/>
                <w:szCs w:val="24"/>
                <w:highlight w:val="none"/>
              </w:rPr>
            </w:pPr>
            <w:r>
              <w:rPr>
                <w:rFonts w:hint="eastAsia" w:ascii="宋体" w:hAnsi="宋体"/>
                <w:color w:val="auto"/>
                <w:sz w:val="24"/>
                <w:szCs w:val="24"/>
                <w:highlight w:val="none"/>
              </w:rPr>
              <w:t>培训验收：需提供培训资料、培训图片、考核资料。</w:t>
            </w:r>
          </w:p>
        </w:tc>
        <w:tc>
          <w:tcPr>
            <w:tcW w:w="713" w:type="pct"/>
          </w:tcPr>
          <w:p w14:paraId="30DE129C">
            <w:pPr>
              <w:spacing w:line="360" w:lineRule="exact"/>
              <w:rPr>
                <w:rFonts w:ascii="宋体" w:hAnsi="宋体" w:cs="宋体"/>
                <w:bCs/>
                <w:color w:val="auto"/>
                <w:sz w:val="24"/>
                <w:szCs w:val="24"/>
                <w:highlight w:val="none"/>
                <w:lang w:val="zh-CN"/>
              </w:rPr>
            </w:pPr>
          </w:p>
        </w:tc>
      </w:tr>
    </w:tbl>
    <w:p w14:paraId="13F3E039">
      <w:pPr>
        <w:keepNext/>
        <w:keepLines/>
        <w:spacing w:beforeLines="100" w:afterLines="50" w:line="500" w:lineRule="exact"/>
        <w:outlineLvl w:val="0"/>
        <w:rPr>
          <w:rFonts w:ascii="Calibri" w:hAnsi="Calibri"/>
          <w:b/>
          <w:color w:val="auto"/>
          <w:kern w:val="44"/>
          <w:sz w:val="24"/>
          <w:szCs w:val="24"/>
          <w:highlight w:val="none"/>
        </w:rPr>
      </w:pPr>
      <w:r>
        <w:rPr>
          <w:rFonts w:hint="eastAsia" w:ascii="Calibri" w:hAnsi="Calibri"/>
          <w:b/>
          <w:color w:val="auto"/>
          <w:kern w:val="44"/>
          <w:sz w:val="24"/>
          <w:szCs w:val="24"/>
          <w:highlight w:val="none"/>
        </w:rPr>
        <w:t>三、招标商务要求（标项一、二）</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7955"/>
      </w:tblGrid>
      <w:tr w14:paraId="65BF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pct"/>
            <w:tcBorders>
              <w:tl2br w:val="nil"/>
              <w:tr2bl w:val="nil"/>
            </w:tcBorders>
            <w:vAlign w:val="center"/>
          </w:tcPr>
          <w:p w14:paraId="531A803D">
            <w:pPr>
              <w:autoSpaceDE w:val="0"/>
              <w:autoSpaceDN w:val="0"/>
              <w:adjustRightInd w:val="0"/>
              <w:spacing w:line="38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4363" w:type="pct"/>
            <w:tcBorders>
              <w:tl2br w:val="nil"/>
              <w:tr2bl w:val="nil"/>
            </w:tcBorders>
            <w:vAlign w:val="center"/>
          </w:tcPr>
          <w:p w14:paraId="1AFAB4A2">
            <w:pPr>
              <w:autoSpaceDE w:val="0"/>
              <w:autoSpaceDN w:val="0"/>
              <w:adjustRightInd w:val="0"/>
              <w:spacing w:line="38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商务条款要求</w:t>
            </w:r>
          </w:p>
        </w:tc>
      </w:tr>
      <w:tr w14:paraId="4C47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pct"/>
            <w:tcBorders>
              <w:tl2br w:val="nil"/>
              <w:tr2bl w:val="nil"/>
            </w:tcBorders>
            <w:vAlign w:val="center"/>
          </w:tcPr>
          <w:p w14:paraId="702B03D5">
            <w:pPr>
              <w:autoSpaceDE w:val="0"/>
              <w:autoSpaceDN w:val="0"/>
              <w:adjustRightInd w:val="0"/>
              <w:spacing w:line="380" w:lineRule="exact"/>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4363" w:type="pct"/>
            <w:tcBorders>
              <w:tl2br w:val="nil"/>
              <w:tr2bl w:val="nil"/>
            </w:tcBorders>
            <w:vAlign w:val="center"/>
          </w:tcPr>
          <w:p w14:paraId="2A04D99D">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履约保证金：不适用。</w:t>
            </w:r>
          </w:p>
        </w:tc>
      </w:tr>
      <w:tr w14:paraId="7314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pct"/>
            <w:tcBorders>
              <w:tl2br w:val="nil"/>
              <w:tr2bl w:val="nil"/>
            </w:tcBorders>
            <w:vAlign w:val="center"/>
          </w:tcPr>
          <w:p w14:paraId="1BCF9E7B">
            <w:pPr>
              <w:autoSpaceDE w:val="0"/>
              <w:autoSpaceDN w:val="0"/>
              <w:adjustRightInd w:val="0"/>
              <w:spacing w:line="380" w:lineRule="exact"/>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4363" w:type="pct"/>
            <w:tcBorders>
              <w:tl2br w:val="nil"/>
              <w:tr2bl w:val="nil"/>
            </w:tcBorders>
            <w:vAlign w:val="center"/>
          </w:tcPr>
          <w:p w14:paraId="3CF92986">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交货期：合同签订后60天内到货。</w:t>
            </w:r>
          </w:p>
          <w:p w14:paraId="35D1D82D">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交货地点：采购人指定地点。</w:t>
            </w:r>
          </w:p>
        </w:tc>
      </w:tr>
      <w:tr w14:paraId="0A30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pct"/>
            <w:tcBorders>
              <w:tl2br w:val="nil"/>
              <w:tr2bl w:val="nil"/>
            </w:tcBorders>
            <w:vAlign w:val="center"/>
          </w:tcPr>
          <w:p w14:paraId="29A2A7E3">
            <w:pPr>
              <w:autoSpaceDE w:val="0"/>
              <w:autoSpaceDN w:val="0"/>
              <w:adjustRightInd w:val="0"/>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4363" w:type="pct"/>
            <w:tcBorders>
              <w:tl2br w:val="nil"/>
              <w:tr2bl w:val="nil"/>
            </w:tcBorders>
            <w:vAlign w:val="center"/>
          </w:tcPr>
          <w:p w14:paraId="2C201001">
            <w:pPr>
              <w:tabs>
                <w:tab w:val="left" w:pos="0"/>
              </w:tabs>
              <w:spacing w:line="380" w:lineRule="exact"/>
              <w:contextualSpacing/>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付款方法：</w:t>
            </w:r>
          </w:p>
          <w:p w14:paraId="7A68FD4A">
            <w:pPr>
              <w:widowControl/>
              <w:spacing w:line="380" w:lineRule="exact"/>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）合同生效并具备实施条件后7个工作日内支付合同金额的40%作为预付款；</w:t>
            </w:r>
          </w:p>
          <w:p w14:paraId="100BFE8C">
            <w:pPr>
              <w:widowControl/>
              <w:spacing w:line="380" w:lineRule="exact"/>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）验收合格后付清余款。</w:t>
            </w:r>
          </w:p>
          <w:p w14:paraId="6ECB97C2">
            <w:pPr>
              <w:tabs>
                <w:tab w:val="left" w:pos="0"/>
              </w:tabs>
              <w:spacing w:line="380" w:lineRule="exact"/>
              <w:contextualSpacing/>
              <w:rPr>
                <w:rFonts w:ascii="宋体" w:hAnsi="宋体" w:cs="宋体"/>
                <w:color w:val="auto"/>
                <w:sz w:val="24"/>
                <w:szCs w:val="24"/>
                <w:highlight w:val="none"/>
              </w:rPr>
            </w:pPr>
            <w:r>
              <w:rPr>
                <w:rFonts w:hint="eastAsia" w:ascii="宋体" w:hAnsi="宋体" w:cs="宋体"/>
                <w:color w:val="auto"/>
                <w:sz w:val="24"/>
                <w:szCs w:val="24"/>
                <w:highlight w:val="none"/>
              </w:rPr>
              <w:t>供应商如有更优惠的付款方式欢迎提供。</w:t>
            </w:r>
          </w:p>
        </w:tc>
      </w:tr>
      <w:tr w14:paraId="09AF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pct"/>
            <w:tcBorders>
              <w:tl2br w:val="nil"/>
              <w:tr2bl w:val="nil"/>
            </w:tcBorders>
            <w:vAlign w:val="center"/>
          </w:tcPr>
          <w:p w14:paraId="1147C6DC">
            <w:pPr>
              <w:autoSpaceDE w:val="0"/>
              <w:autoSpaceDN w:val="0"/>
              <w:adjustRightInd w:val="0"/>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4363" w:type="pct"/>
            <w:tcBorders>
              <w:tl2br w:val="nil"/>
              <w:tr2bl w:val="nil"/>
            </w:tcBorders>
            <w:vAlign w:val="center"/>
          </w:tcPr>
          <w:p w14:paraId="0916E35B">
            <w:pPr>
              <w:autoSpaceDE w:val="0"/>
              <w:autoSpaceDN w:val="0"/>
              <w:adjustRightInd w:val="0"/>
              <w:spacing w:line="380" w:lineRule="exac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合同签订：</w:t>
            </w:r>
          </w:p>
          <w:p w14:paraId="339622C1">
            <w:pPr>
              <w:autoSpaceDE w:val="0"/>
              <w:autoSpaceDN w:val="0"/>
              <w:adjustRightInd w:val="0"/>
              <w:spacing w:line="380" w:lineRule="exac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中标通知书发出之日起30天内，中标供应商应按照招标文件、中标供应商的投标文件及中标通知书确定的内容签订合同。</w:t>
            </w:r>
          </w:p>
        </w:tc>
      </w:tr>
      <w:tr w14:paraId="5402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pct"/>
            <w:tcBorders>
              <w:tl2br w:val="nil"/>
              <w:tr2bl w:val="nil"/>
            </w:tcBorders>
            <w:vAlign w:val="center"/>
          </w:tcPr>
          <w:p w14:paraId="3CD69CA3">
            <w:pPr>
              <w:autoSpaceDE w:val="0"/>
              <w:autoSpaceDN w:val="0"/>
              <w:adjustRightInd w:val="0"/>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4363" w:type="pct"/>
            <w:tcBorders>
              <w:tl2br w:val="nil"/>
              <w:tr2bl w:val="nil"/>
            </w:tcBorders>
            <w:vAlign w:val="center"/>
          </w:tcPr>
          <w:p w14:paraId="44F01DD5">
            <w:pPr>
              <w:autoSpaceDE w:val="0"/>
              <w:autoSpaceDN w:val="0"/>
              <w:adjustRightInd w:val="0"/>
              <w:spacing w:line="380" w:lineRule="exac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投标文件提供符合国家NMPA管理要求的投标人及产品的证明文件：</w:t>
            </w:r>
          </w:p>
          <w:p w14:paraId="04EE3013">
            <w:pPr>
              <w:autoSpaceDE w:val="0"/>
              <w:autoSpaceDN w:val="0"/>
              <w:adjustRightInd w:val="0"/>
              <w:spacing w:line="380" w:lineRule="exac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招标产品纳入中华人民共和国医疗器械监督管理的：</w:t>
            </w:r>
          </w:p>
          <w:p w14:paraId="5BF6C3F9">
            <w:pPr>
              <w:autoSpaceDE w:val="0"/>
              <w:autoSpaceDN w:val="0"/>
              <w:adjustRightInd w:val="0"/>
              <w:spacing w:line="380" w:lineRule="exac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第一类医疗器械必须具备食品药品监督管理部门颁发的医疗器械备案凭证；第二、三类医疗器械必须具备食品药品监督管理部门颁发的医疗器械注册证；2）投标人为医疗器械生产企业的：第一类医疗器械生产企业提供第一类医疗器械生产备案凭证；第二类、第三类医疗器械生产企业提供《医疗器械生产许可证》；3）投标人为医疗器械经营企业的：第二类医疗器械经营企业提供第二类医疗器械经营备案凭证；第三类医疗器械经营企业提供《医疗器械经营许可证》。</w:t>
            </w:r>
          </w:p>
        </w:tc>
      </w:tr>
    </w:tbl>
    <w:p w14:paraId="03ACDC04">
      <w:pPr>
        <w:rPr>
          <w:i/>
          <w:color w:val="auto"/>
          <w:sz w:val="24"/>
          <w:szCs w:val="24"/>
          <w:highlight w:val="none"/>
        </w:rPr>
      </w:pPr>
    </w:p>
    <w:p w14:paraId="7E96B5B2">
      <w:pPr>
        <w:spacing w:line="360" w:lineRule="auto"/>
        <w:ind w:firstLine="482" w:firstLineChars="200"/>
        <w:jc w:val="left"/>
        <w:rPr>
          <w:b/>
          <w:bCs/>
          <w:i/>
          <w:color w:val="auto"/>
          <w:sz w:val="24"/>
          <w:highlight w:val="none"/>
        </w:rPr>
      </w:pPr>
    </w:p>
    <w:p w14:paraId="74A22035">
      <w:pPr>
        <w:rPr>
          <w:rFonts w:cs="宋体"/>
          <w:b/>
          <w:color w:val="auto"/>
          <w:sz w:val="28"/>
          <w:szCs w:val="28"/>
          <w:highlight w:val="none"/>
        </w:rPr>
      </w:pPr>
      <w:r>
        <w:rPr>
          <w:rFonts w:hint="eastAsia" w:cs="宋体"/>
          <w:b/>
          <w:color w:val="auto"/>
          <w:sz w:val="28"/>
          <w:szCs w:val="28"/>
          <w:highlight w:val="none"/>
        </w:rPr>
        <w:br w:type="page"/>
      </w:r>
    </w:p>
    <w:p w14:paraId="0B66B318">
      <w:pPr>
        <w:jc w:val="center"/>
        <w:outlineLvl w:val="0"/>
        <w:rPr>
          <w:b/>
          <w:color w:val="auto"/>
          <w:sz w:val="36"/>
          <w:szCs w:val="36"/>
          <w:highlight w:val="none"/>
        </w:rPr>
      </w:pPr>
      <w:bookmarkStart w:id="4" w:name="_Toc28653"/>
      <w:r>
        <w:rPr>
          <w:b/>
          <w:color w:val="auto"/>
          <w:sz w:val="36"/>
          <w:szCs w:val="36"/>
          <w:highlight w:val="none"/>
        </w:rPr>
        <w:t>第</w:t>
      </w:r>
      <w:r>
        <w:rPr>
          <w:rFonts w:hint="eastAsia"/>
          <w:b/>
          <w:color w:val="auto"/>
          <w:sz w:val="36"/>
          <w:szCs w:val="36"/>
          <w:highlight w:val="none"/>
        </w:rPr>
        <w:t>三</w:t>
      </w:r>
      <w:r>
        <w:rPr>
          <w:b/>
          <w:color w:val="auto"/>
          <w:sz w:val="36"/>
          <w:szCs w:val="36"/>
          <w:highlight w:val="none"/>
        </w:rPr>
        <w:t xml:space="preserve">部分  </w:t>
      </w:r>
      <w:r>
        <w:rPr>
          <w:rFonts w:hint="eastAsia"/>
          <w:b/>
          <w:color w:val="auto"/>
          <w:sz w:val="36"/>
          <w:szCs w:val="36"/>
          <w:highlight w:val="none"/>
        </w:rPr>
        <w:t>投标人须知及前附表</w:t>
      </w:r>
      <w:bookmarkEnd w:id="4"/>
    </w:p>
    <w:p w14:paraId="76CEF6AC">
      <w:pPr>
        <w:pStyle w:val="23"/>
        <w:spacing w:beforeLines="100" w:afterLines="100" w:line="400" w:lineRule="exact"/>
        <w:ind w:right="-191" w:rightChars="-91" w:firstLine="482"/>
        <w:jc w:val="center"/>
        <w:rPr>
          <w:i w:val="0"/>
          <w:iCs w:val="0"/>
          <w:color w:val="auto"/>
          <w:sz w:val="24"/>
          <w:szCs w:val="24"/>
          <w:highlight w:val="none"/>
        </w:rPr>
      </w:pPr>
      <w:r>
        <w:rPr>
          <w:rFonts w:hint="eastAsia"/>
          <w:b/>
          <w:i w:val="0"/>
          <w:color w:val="auto"/>
          <w:sz w:val="36"/>
          <w:szCs w:val="36"/>
          <w:highlight w:val="none"/>
        </w:rPr>
        <w:t>前附表</w:t>
      </w:r>
    </w:p>
    <w:tbl>
      <w:tblPr>
        <w:tblStyle w:val="29"/>
        <w:tblW w:w="4999" w:type="pct"/>
        <w:tblInd w:w="0"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autofit"/>
        <w:tblCellMar>
          <w:top w:w="0" w:type="dxa"/>
          <w:left w:w="108" w:type="dxa"/>
          <w:bottom w:w="0" w:type="dxa"/>
          <w:right w:w="108" w:type="dxa"/>
        </w:tblCellMar>
      </w:tblPr>
      <w:tblGrid>
        <w:gridCol w:w="1439"/>
        <w:gridCol w:w="7678"/>
      </w:tblGrid>
      <w:tr w14:paraId="6BD9A51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789" w:type="pct"/>
            <w:tcBorders>
              <w:top w:val="single" w:color="auto" w:sz="12" w:space="0"/>
              <w:left w:val="single" w:color="auto" w:sz="12" w:space="0"/>
              <w:bottom w:val="single" w:color="000000" w:sz="6" w:space="0"/>
            </w:tcBorders>
            <w:vAlign w:val="center"/>
          </w:tcPr>
          <w:p w14:paraId="02152C21">
            <w:pPr>
              <w:spacing w:line="360" w:lineRule="exact"/>
              <w:jc w:val="center"/>
              <w:rPr>
                <w:b/>
                <w:bCs/>
                <w:color w:val="auto"/>
                <w:sz w:val="24"/>
                <w:szCs w:val="24"/>
                <w:highlight w:val="none"/>
              </w:rPr>
            </w:pPr>
            <w:r>
              <w:rPr>
                <w:rFonts w:hAnsi="宋体"/>
                <w:b/>
                <w:bCs/>
                <w:color w:val="auto"/>
                <w:sz w:val="24"/>
                <w:szCs w:val="24"/>
                <w:highlight w:val="none"/>
              </w:rPr>
              <w:t>条款号</w:t>
            </w:r>
          </w:p>
        </w:tc>
        <w:tc>
          <w:tcPr>
            <w:tcW w:w="4210" w:type="pct"/>
            <w:tcBorders>
              <w:top w:val="single" w:color="auto" w:sz="12" w:space="0"/>
              <w:bottom w:val="single" w:color="000000" w:sz="6" w:space="0"/>
              <w:right w:val="single" w:color="auto" w:sz="12" w:space="0"/>
            </w:tcBorders>
            <w:vAlign w:val="center"/>
          </w:tcPr>
          <w:p w14:paraId="6510B1C3">
            <w:pPr>
              <w:spacing w:line="360" w:lineRule="exact"/>
              <w:jc w:val="center"/>
              <w:rPr>
                <w:b/>
                <w:bCs/>
                <w:color w:val="auto"/>
                <w:sz w:val="24"/>
                <w:szCs w:val="24"/>
                <w:highlight w:val="none"/>
              </w:rPr>
            </w:pPr>
            <w:r>
              <w:rPr>
                <w:rFonts w:hAnsi="宋体"/>
                <w:b/>
                <w:bCs/>
                <w:color w:val="auto"/>
                <w:sz w:val="24"/>
                <w:szCs w:val="24"/>
                <w:highlight w:val="none"/>
              </w:rPr>
              <w:t>内容</w:t>
            </w:r>
          </w:p>
        </w:tc>
      </w:tr>
      <w:tr w14:paraId="643F07E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000" w:type="pct"/>
            <w:gridSpan w:val="2"/>
            <w:tcBorders>
              <w:top w:val="nil"/>
              <w:left w:val="single" w:color="auto" w:sz="12" w:space="0"/>
              <w:bottom w:val="single" w:color="auto" w:sz="4" w:space="0"/>
              <w:right w:val="single" w:color="auto" w:sz="12" w:space="0"/>
            </w:tcBorders>
            <w:vAlign w:val="center"/>
          </w:tcPr>
          <w:p w14:paraId="6557D1BD">
            <w:pPr>
              <w:spacing w:line="360" w:lineRule="exact"/>
              <w:jc w:val="center"/>
              <w:rPr>
                <w:b/>
                <w:color w:val="auto"/>
                <w:sz w:val="24"/>
                <w:szCs w:val="24"/>
                <w:highlight w:val="none"/>
              </w:rPr>
            </w:pPr>
            <w:r>
              <w:rPr>
                <w:rFonts w:hAnsi="宋体"/>
                <w:b/>
                <w:color w:val="auto"/>
                <w:sz w:val="24"/>
                <w:szCs w:val="24"/>
                <w:highlight w:val="none"/>
              </w:rPr>
              <w:t>说明</w:t>
            </w:r>
          </w:p>
        </w:tc>
      </w:tr>
      <w:tr w14:paraId="29863F3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789" w:type="pct"/>
            <w:tcBorders>
              <w:top w:val="single" w:color="auto" w:sz="4" w:space="0"/>
              <w:left w:val="single" w:color="auto" w:sz="12" w:space="0"/>
              <w:bottom w:val="single" w:color="auto" w:sz="4" w:space="0"/>
            </w:tcBorders>
            <w:vAlign w:val="center"/>
          </w:tcPr>
          <w:p w14:paraId="1EC8654C">
            <w:pPr>
              <w:spacing w:line="360" w:lineRule="exact"/>
              <w:jc w:val="center"/>
              <w:rPr>
                <w:color w:val="auto"/>
                <w:sz w:val="24"/>
                <w:szCs w:val="24"/>
                <w:highlight w:val="none"/>
              </w:rPr>
            </w:pPr>
            <w:r>
              <w:rPr>
                <w:rFonts w:hint="eastAsia"/>
                <w:color w:val="auto"/>
                <w:sz w:val="24"/>
                <w:szCs w:val="24"/>
                <w:highlight w:val="none"/>
              </w:rPr>
              <w:t>1</w:t>
            </w:r>
          </w:p>
        </w:tc>
        <w:tc>
          <w:tcPr>
            <w:tcW w:w="4210" w:type="pct"/>
            <w:tcBorders>
              <w:top w:val="single" w:color="auto" w:sz="4" w:space="0"/>
              <w:bottom w:val="single" w:color="auto" w:sz="4" w:space="0"/>
              <w:right w:val="single" w:color="auto" w:sz="12" w:space="0"/>
            </w:tcBorders>
            <w:vAlign w:val="center"/>
          </w:tcPr>
          <w:p w14:paraId="11D1D6DF">
            <w:pPr>
              <w:spacing w:line="360" w:lineRule="exact"/>
              <w:rPr>
                <w:color w:val="auto"/>
                <w:sz w:val="24"/>
                <w:szCs w:val="24"/>
                <w:highlight w:val="none"/>
                <w:u w:val="single"/>
              </w:rPr>
            </w:pPr>
            <w:r>
              <w:rPr>
                <w:rFonts w:hAnsi="宋体"/>
                <w:color w:val="auto"/>
                <w:sz w:val="24"/>
                <w:szCs w:val="24"/>
                <w:highlight w:val="none"/>
              </w:rPr>
              <w:t>采购人名称：</w:t>
            </w:r>
            <w:r>
              <w:rPr>
                <w:rFonts w:hint="eastAsia"/>
                <w:color w:val="auto"/>
                <w:sz w:val="24"/>
                <w:szCs w:val="24"/>
                <w:highlight w:val="none"/>
                <w:u w:val="single"/>
              </w:rPr>
              <w:t>宁波大学附属人民医院</w:t>
            </w:r>
          </w:p>
        </w:tc>
      </w:tr>
      <w:tr w14:paraId="6FC8AFD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789" w:type="pct"/>
            <w:tcBorders>
              <w:top w:val="single" w:color="auto" w:sz="4" w:space="0"/>
              <w:left w:val="single" w:color="auto" w:sz="12" w:space="0"/>
              <w:bottom w:val="single" w:color="auto" w:sz="4" w:space="0"/>
            </w:tcBorders>
            <w:vAlign w:val="center"/>
          </w:tcPr>
          <w:p w14:paraId="05E5BD01">
            <w:pPr>
              <w:spacing w:line="360" w:lineRule="exact"/>
              <w:jc w:val="center"/>
              <w:rPr>
                <w:color w:val="auto"/>
                <w:sz w:val="24"/>
                <w:szCs w:val="24"/>
                <w:highlight w:val="none"/>
              </w:rPr>
            </w:pPr>
            <w:r>
              <w:rPr>
                <w:rFonts w:hint="eastAsia"/>
                <w:color w:val="auto"/>
                <w:sz w:val="24"/>
                <w:szCs w:val="24"/>
                <w:highlight w:val="none"/>
              </w:rPr>
              <w:t>2</w:t>
            </w:r>
          </w:p>
        </w:tc>
        <w:tc>
          <w:tcPr>
            <w:tcW w:w="4210" w:type="pct"/>
            <w:tcBorders>
              <w:top w:val="single" w:color="auto" w:sz="4" w:space="0"/>
              <w:bottom w:val="single" w:color="auto" w:sz="4" w:space="0"/>
              <w:right w:val="single" w:color="auto" w:sz="12" w:space="0"/>
            </w:tcBorders>
            <w:vAlign w:val="center"/>
          </w:tcPr>
          <w:p w14:paraId="295CB402">
            <w:pPr>
              <w:spacing w:line="360" w:lineRule="exact"/>
              <w:rPr>
                <w:color w:val="auto"/>
                <w:sz w:val="24"/>
                <w:szCs w:val="24"/>
                <w:highlight w:val="none"/>
                <w:u w:val="single"/>
              </w:rPr>
            </w:pPr>
            <w:r>
              <w:rPr>
                <w:rFonts w:hAnsi="宋体"/>
                <w:color w:val="auto"/>
                <w:sz w:val="24"/>
                <w:szCs w:val="24"/>
                <w:highlight w:val="none"/>
              </w:rPr>
              <w:t>采购代理名称：</w:t>
            </w:r>
            <w:r>
              <w:rPr>
                <w:rFonts w:hint="eastAsia" w:hAnsi="宋体"/>
                <w:color w:val="auto"/>
                <w:sz w:val="24"/>
                <w:szCs w:val="24"/>
                <w:highlight w:val="none"/>
                <w:u w:val="single"/>
              </w:rPr>
              <w:t>宁波名诚招标代理有限公司</w:t>
            </w:r>
          </w:p>
        </w:tc>
      </w:tr>
      <w:tr w14:paraId="7EA08CC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789" w:type="pct"/>
            <w:tcBorders>
              <w:top w:val="single" w:color="auto" w:sz="4" w:space="0"/>
              <w:left w:val="single" w:color="auto" w:sz="12" w:space="0"/>
              <w:bottom w:val="single" w:color="auto" w:sz="4" w:space="0"/>
            </w:tcBorders>
            <w:vAlign w:val="center"/>
          </w:tcPr>
          <w:p w14:paraId="009CF627">
            <w:pPr>
              <w:spacing w:line="360" w:lineRule="exact"/>
              <w:jc w:val="center"/>
              <w:rPr>
                <w:color w:val="auto"/>
                <w:sz w:val="24"/>
                <w:szCs w:val="24"/>
                <w:highlight w:val="none"/>
              </w:rPr>
            </w:pPr>
            <w:r>
              <w:rPr>
                <w:rFonts w:hint="eastAsia"/>
                <w:color w:val="auto"/>
                <w:sz w:val="24"/>
                <w:szCs w:val="24"/>
                <w:highlight w:val="none"/>
              </w:rPr>
              <w:t>3</w:t>
            </w:r>
          </w:p>
        </w:tc>
        <w:tc>
          <w:tcPr>
            <w:tcW w:w="4210" w:type="pct"/>
            <w:tcBorders>
              <w:top w:val="single" w:color="auto" w:sz="4" w:space="0"/>
              <w:bottom w:val="single" w:color="auto" w:sz="4" w:space="0"/>
              <w:right w:val="single" w:color="auto" w:sz="12" w:space="0"/>
            </w:tcBorders>
            <w:vAlign w:val="center"/>
          </w:tcPr>
          <w:p w14:paraId="14CE7850">
            <w:pPr>
              <w:spacing w:line="360" w:lineRule="exact"/>
              <w:rPr>
                <w:i/>
                <w:color w:val="auto"/>
                <w:sz w:val="24"/>
                <w:szCs w:val="24"/>
                <w:highlight w:val="none"/>
              </w:rPr>
            </w:pPr>
            <w:r>
              <w:rPr>
                <w:rFonts w:hAnsi="宋体"/>
                <w:color w:val="auto"/>
                <w:sz w:val="24"/>
                <w:szCs w:val="24"/>
                <w:highlight w:val="none"/>
              </w:rPr>
              <w:t>合同名称：</w:t>
            </w:r>
            <w:r>
              <w:rPr>
                <w:rFonts w:hint="eastAsia"/>
                <w:color w:val="auto"/>
                <w:sz w:val="24"/>
                <w:szCs w:val="24"/>
                <w:highlight w:val="none"/>
                <w:u w:val="single"/>
              </w:rPr>
              <w:t>宁波大学附属人民医院采购医疗设备项目</w:t>
            </w:r>
            <w:r>
              <w:rPr>
                <w:rFonts w:hAnsi="宋体"/>
                <w:color w:val="auto"/>
                <w:sz w:val="24"/>
                <w:szCs w:val="24"/>
                <w:highlight w:val="none"/>
                <w:u w:val="single"/>
              </w:rPr>
              <w:t>合同</w:t>
            </w:r>
          </w:p>
        </w:tc>
      </w:tr>
      <w:tr w14:paraId="5286197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789" w:type="pct"/>
            <w:vMerge w:val="restart"/>
            <w:tcBorders>
              <w:top w:val="single" w:color="auto" w:sz="4" w:space="0"/>
              <w:left w:val="single" w:color="auto" w:sz="12" w:space="0"/>
            </w:tcBorders>
            <w:vAlign w:val="center"/>
          </w:tcPr>
          <w:p w14:paraId="1CB9C20A">
            <w:pPr>
              <w:spacing w:line="360" w:lineRule="exact"/>
              <w:jc w:val="center"/>
              <w:rPr>
                <w:color w:val="auto"/>
                <w:sz w:val="24"/>
                <w:szCs w:val="24"/>
                <w:highlight w:val="none"/>
              </w:rPr>
            </w:pPr>
            <w:r>
              <w:rPr>
                <w:rFonts w:hint="eastAsia"/>
                <w:color w:val="auto"/>
                <w:sz w:val="24"/>
                <w:szCs w:val="24"/>
                <w:highlight w:val="none"/>
              </w:rPr>
              <w:t>4</w:t>
            </w:r>
          </w:p>
        </w:tc>
        <w:tc>
          <w:tcPr>
            <w:tcW w:w="4210" w:type="pct"/>
            <w:tcBorders>
              <w:top w:val="single" w:color="auto" w:sz="4" w:space="0"/>
              <w:bottom w:val="single" w:color="auto" w:sz="4" w:space="0"/>
              <w:right w:val="single" w:color="auto" w:sz="12" w:space="0"/>
            </w:tcBorders>
            <w:vAlign w:val="center"/>
          </w:tcPr>
          <w:p w14:paraId="5A64C09C">
            <w:pPr>
              <w:spacing w:line="360" w:lineRule="exact"/>
              <w:rPr>
                <w:color w:val="auto"/>
                <w:highlight w:val="none"/>
              </w:rPr>
            </w:pPr>
            <w:r>
              <w:rPr>
                <w:rFonts w:hint="eastAsia" w:hAnsi="宋体"/>
                <w:color w:val="auto"/>
                <w:sz w:val="24"/>
                <w:szCs w:val="24"/>
                <w:highlight w:val="none"/>
              </w:rPr>
              <w:t>其他说明：</w:t>
            </w:r>
          </w:p>
          <w:p w14:paraId="6141A127">
            <w:pPr>
              <w:spacing w:line="360" w:lineRule="exact"/>
              <w:rPr>
                <w:color w:val="auto"/>
                <w:highlight w:val="none"/>
              </w:rPr>
            </w:pPr>
            <w:r>
              <w:rPr>
                <w:rFonts w:hint="eastAsia"/>
                <w:color w:val="auto"/>
                <w:sz w:val="24"/>
                <w:szCs w:val="24"/>
                <w:highlight w:val="none"/>
                <w:u w:val="single"/>
              </w:rPr>
              <w:t>标项一：无创肝纤维化和脂肪变量化检测系统；标项二：自动组织脱水机。</w:t>
            </w:r>
            <w:r>
              <w:rPr>
                <w:rFonts w:hint="eastAsia"/>
                <w:color w:val="auto"/>
                <w:sz w:val="24"/>
                <w:szCs w:val="24"/>
                <w:highlight w:val="none"/>
              </w:rPr>
              <w:t>经过进口产品专家论证和采购需求调研，经核准本项目可以采购进口产品，优先采购向我国企业转让技术、与我国企业签订消化吸收再创新方案的供应商的进口产品；但如果因信息不对称等原因，仍有满足需求的国内产品要求参与采购竞争的，采购人及其采购代理机构不对其加以限制，将按照公平竞争原则实施采购。</w:t>
            </w:r>
          </w:p>
        </w:tc>
      </w:tr>
      <w:tr w14:paraId="68867BA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789" w:type="pct"/>
            <w:vMerge w:val="continue"/>
            <w:tcBorders>
              <w:left w:val="single" w:color="auto" w:sz="12" w:space="0"/>
            </w:tcBorders>
            <w:vAlign w:val="center"/>
          </w:tcPr>
          <w:p w14:paraId="54295005">
            <w:pPr>
              <w:spacing w:line="360" w:lineRule="exact"/>
              <w:jc w:val="center"/>
              <w:rPr>
                <w:color w:val="auto"/>
                <w:sz w:val="24"/>
                <w:szCs w:val="24"/>
                <w:highlight w:val="none"/>
              </w:rPr>
            </w:pPr>
          </w:p>
        </w:tc>
        <w:tc>
          <w:tcPr>
            <w:tcW w:w="4210" w:type="pct"/>
            <w:tcBorders>
              <w:top w:val="single" w:color="auto" w:sz="4" w:space="0"/>
              <w:bottom w:val="single" w:color="auto" w:sz="4" w:space="0"/>
              <w:right w:val="single" w:color="auto" w:sz="12" w:space="0"/>
            </w:tcBorders>
            <w:vAlign w:val="center"/>
          </w:tcPr>
          <w:p w14:paraId="13801FC7">
            <w:pPr>
              <w:spacing w:line="360" w:lineRule="exact"/>
              <w:rPr>
                <w:color w:val="auto"/>
                <w:highlight w:val="none"/>
              </w:rPr>
            </w:pPr>
            <w:r>
              <w:rPr>
                <w:rFonts w:hint="eastAsia"/>
                <w:color w:val="auto"/>
                <w:sz w:val="24"/>
                <w:szCs w:val="24"/>
                <w:highlight w:val="none"/>
              </w:rPr>
              <w:t>单一产品或核心产品：</w:t>
            </w:r>
            <w:r>
              <w:rPr>
                <w:rFonts w:hint="eastAsia"/>
                <w:color w:val="auto"/>
                <w:sz w:val="24"/>
                <w:szCs w:val="24"/>
                <w:highlight w:val="none"/>
                <w:u w:val="single"/>
              </w:rPr>
              <w:t>标项一：无创肝纤维化和脂肪变量化检测系统；标项二：自动组织脱水机。</w:t>
            </w:r>
          </w:p>
          <w:p w14:paraId="7E5D53A8">
            <w:pPr>
              <w:spacing w:line="360" w:lineRule="exact"/>
              <w:rPr>
                <w:color w:val="auto"/>
                <w:highlight w:val="none"/>
              </w:rPr>
            </w:pPr>
            <w:r>
              <w:rPr>
                <w:rFonts w:hint="eastAsia"/>
                <w:color w:val="auto"/>
                <w:sz w:val="24"/>
                <w:szCs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报价评审得分最高的同品牌供应商获得中标人推荐资格；评审得分和报价评审得分均相同的，由采购人或评标委员会采取随机抽取方式确定，其他同品牌供应商不作为中标候选人。</w:t>
            </w:r>
          </w:p>
        </w:tc>
      </w:tr>
      <w:tr w14:paraId="75DD186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789" w:type="pct"/>
            <w:vMerge w:val="continue"/>
            <w:tcBorders>
              <w:left w:val="single" w:color="auto" w:sz="12" w:space="0"/>
            </w:tcBorders>
            <w:vAlign w:val="center"/>
          </w:tcPr>
          <w:p w14:paraId="41F22104">
            <w:pPr>
              <w:spacing w:line="360" w:lineRule="exact"/>
              <w:jc w:val="center"/>
              <w:rPr>
                <w:color w:val="auto"/>
                <w:sz w:val="24"/>
                <w:szCs w:val="24"/>
                <w:highlight w:val="none"/>
              </w:rPr>
            </w:pPr>
          </w:p>
        </w:tc>
        <w:tc>
          <w:tcPr>
            <w:tcW w:w="4210" w:type="pct"/>
            <w:tcBorders>
              <w:top w:val="single" w:color="auto" w:sz="4" w:space="0"/>
              <w:bottom w:val="single" w:color="auto" w:sz="4" w:space="0"/>
              <w:right w:val="single" w:color="auto" w:sz="12" w:space="0"/>
            </w:tcBorders>
            <w:vAlign w:val="center"/>
          </w:tcPr>
          <w:p w14:paraId="43F19387">
            <w:pPr>
              <w:spacing w:line="360" w:lineRule="exact"/>
              <w:rPr>
                <w:color w:val="auto"/>
                <w:sz w:val="24"/>
                <w:szCs w:val="24"/>
                <w:highlight w:val="none"/>
              </w:rPr>
            </w:pPr>
            <w:r>
              <w:rPr>
                <w:rFonts w:hint="eastAsia"/>
                <w:color w:val="auto"/>
                <w:sz w:val="24"/>
                <w:szCs w:val="24"/>
                <w:highlight w:val="none"/>
              </w:rPr>
              <w:t>本项目为非面向中小企业采购项目。</w:t>
            </w:r>
          </w:p>
          <w:p w14:paraId="1A04EAC7">
            <w:pPr>
              <w:spacing w:line="360" w:lineRule="exact"/>
              <w:rPr>
                <w:color w:val="auto"/>
                <w:sz w:val="24"/>
                <w:szCs w:val="24"/>
                <w:highlight w:val="none"/>
              </w:rPr>
            </w:pPr>
            <w:r>
              <w:rPr>
                <w:rFonts w:hint="eastAsia"/>
                <w:color w:val="auto"/>
                <w:sz w:val="24"/>
                <w:szCs w:val="24"/>
                <w:highlight w:val="none"/>
              </w:rPr>
              <w:t>标项一标的：</w:t>
            </w:r>
            <w:r>
              <w:rPr>
                <w:rFonts w:hint="eastAsia"/>
                <w:color w:val="auto"/>
                <w:sz w:val="24"/>
                <w:szCs w:val="24"/>
                <w:highlight w:val="none"/>
                <w:u w:val="single"/>
              </w:rPr>
              <w:t>无创肝纤维化和脂肪变量化检测系统</w:t>
            </w:r>
            <w:r>
              <w:rPr>
                <w:rFonts w:hint="eastAsia"/>
                <w:color w:val="auto"/>
                <w:sz w:val="24"/>
                <w:szCs w:val="24"/>
                <w:highlight w:val="none"/>
              </w:rPr>
              <w:t>，属于</w:t>
            </w:r>
            <w:r>
              <w:rPr>
                <w:rFonts w:hint="eastAsia"/>
                <w:color w:val="auto"/>
                <w:sz w:val="24"/>
                <w:szCs w:val="24"/>
                <w:highlight w:val="none"/>
                <w:u w:val="single"/>
              </w:rPr>
              <w:t>工业</w:t>
            </w:r>
            <w:r>
              <w:rPr>
                <w:rFonts w:hint="eastAsia"/>
                <w:color w:val="auto"/>
                <w:sz w:val="24"/>
                <w:szCs w:val="24"/>
                <w:highlight w:val="none"/>
              </w:rPr>
              <w:t>行业。</w:t>
            </w:r>
          </w:p>
          <w:p w14:paraId="3A845ABC">
            <w:pPr>
              <w:spacing w:line="360" w:lineRule="exact"/>
              <w:rPr>
                <w:color w:val="auto"/>
                <w:sz w:val="24"/>
                <w:szCs w:val="24"/>
                <w:highlight w:val="none"/>
              </w:rPr>
            </w:pPr>
            <w:r>
              <w:rPr>
                <w:rFonts w:hint="eastAsia"/>
                <w:color w:val="auto"/>
                <w:sz w:val="24"/>
                <w:szCs w:val="24"/>
                <w:highlight w:val="none"/>
              </w:rPr>
              <w:t>标项二标的：</w:t>
            </w:r>
            <w:r>
              <w:rPr>
                <w:rFonts w:hint="eastAsia"/>
                <w:color w:val="auto"/>
                <w:sz w:val="24"/>
                <w:szCs w:val="24"/>
                <w:highlight w:val="none"/>
                <w:u w:val="single"/>
              </w:rPr>
              <w:t>自动组织脱水机</w:t>
            </w:r>
            <w:r>
              <w:rPr>
                <w:rFonts w:hint="eastAsia"/>
                <w:color w:val="auto"/>
                <w:sz w:val="24"/>
                <w:szCs w:val="24"/>
                <w:highlight w:val="none"/>
              </w:rPr>
              <w:t>，属于</w:t>
            </w:r>
            <w:r>
              <w:rPr>
                <w:rFonts w:hint="eastAsia"/>
                <w:color w:val="auto"/>
                <w:sz w:val="24"/>
                <w:szCs w:val="24"/>
                <w:highlight w:val="none"/>
                <w:u w:val="single"/>
              </w:rPr>
              <w:t>工业</w:t>
            </w:r>
            <w:r>
              <w:rPr>
                <w:rFonts w:hint="eastAsia"/>
                <w:color w:val="auto"/>
                <w:sz w:val="24"/>
                <w:szCs w:val="24"/>
                <w:highlight w:val="none"/>
              </w:rPr>
              <w:t>行业。</w:t>
            </w:r>
          </w:p>
        </w:tc>
      </w:tr>
      <w:tr w14:paraId="09EA5C5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000" w:type="pct"/>
            <w:gridSpan w:val="2"/>
            <w:tcBorders>
              <w:top w:val="single" w:color="auto" w:sz="4" w:space="0"/>
              <w:left w:val="single" w:color="auto" w:sz="12" w:space="0"/>
              <w:bottom w:val="single" w:color="auto" w:sz="4" w:space="0"/>
              <w:right w:val="single" w:color="auto" w:sz="12" w:space="0"/>
            </w:tcBorders>
            <w:vAlign w:val="center"/>
          </w:tcPr>
          <w:p w14:paraId="42AA270F">
            <w:pPr>
              <w:spacing w:line="360" w:lineRule="exact"/>
              <w:jc w:val="center"/>
              <w:rPr>
                <w:b/>
                <w:color w:val="auto"/>
                <w:sz w:val="24"/>
                <w:szCs w:val="24"/>
                <w:highlight w:val="none"/>
              </w:rPr>
            </w:pPr>
            <w:r>
              <w:rPr>
                <w:rFonts w:hAnsi="宋体"/>
                <w:b/>
                <w:color w:val="auto"/>
                <w:sz w:val="24"/>
                <w:szCs w:val="24"/>
                <w:highlight w:val="none"/>
              </w:rPr>
              <w:t>投标报价和货币</w:t>
            </w:r>
          </w:p>
        </w:tc>
      </w:tr>
      <w:tr w14:paraId="2C61CE9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789" w:type="pct"/>
            <w:tcBorders>
              <w:top w:val="single" w:color="auto" w:sz="4" w:space="0"/>
              <w:left w:val="single" w:color="auto" w:sz="12" w:space="0"/>
            </w:tcBorders>
            <w:vAlign w:val="center"/>
          </w:tcPr>
          <w:p w14:paraId="01557166">
            <w:pPr>
              <w:spacing w:line="360" w:lineRule="exact"/>
              <w:jc w:val="center"/>
              <w:rPr>
                <w:color w:val="auto"/>
                <w:sz w:val="24"/>
                <w:szCs w:val="24"/>
                <w:highlight w:val="none"/>
              </w:rPr>
            </w:pPr>
            <w:r>
              <w:rPr>
                <w:rFonts w:hint="eastAsia"/>
                <w:color w:val="auto"/>
                <w:sz w:val="24"/>
                <w:szCs w:val="24"/>
                <w:highlight w:val="none"/>
              </w:rPr>
              <w:t>★5</w:t>
            </w:r>
          </w:p>
        </w:tc>
        <w:tc>
          <w:tcPr>
            <w:tcW w:w="4210" w:type="pct"/>
            <w:tcBorders>
              <w:top w:val="single" w:color="auto" w:sz="4" w:space="0"/>
              <w:bottom w:val="single" w:color="auto" w:sz="4" w:space="0"/>
              <w:right w:val="single" w:color="auto" w:sz="12" w:space="0"/>
            </w:tcBorders>
            <w:vAlign w:val="center"/>
          </w:tcPr>
          <w:p w14:paraId="6157952A">
            <w:pPr>
              <w:spacing w:line="360" w:lineRule="exact"/>
              <w:rPr>
                <w:color w:val="auto"/>
                <w:sz w:val="24"/>
                <w:szCs w:val="24"/>
                <w:highlight w:val="none"/>
                <w:u w:val="single"/>
              </w:rPr>
            </w:pPr>
            <w:r>
              <w:rPr>
                <w:rFonts w:hAnsi="宋体"/>
                <w:color w:val="auto"/>
                <w:sz w:val="24"/>
                <w:szCs w:val="24"/>
                <w:highlight w:val="none"/>
              </w:rPr>
              <w:t>投标报价：</w:t>
            </w:r>
            <w:r>
              <w:rPr>
                <w:color w:val="auto"/>
                <w:sz w:val="24"/>
                <w:szCs w:val="24"/>
                <w:highlight w:val="none"/>
                <w:u w:val="single"/>
              </w:rPr>
              <w:t>报价中包含</w:t>
            </w:r>
            <w:r>
              <w:rPr>
                <w:rFonts w:hint="eastAsia"/>
                <w:color w:val="auto"/>
                <w:sz w:val="24"/>
                <w:szCs w:val="24"/>
                <w:highlight w:val="none"/>
                <w:u w:val="single"/>
              </w:rPr>
              <w:t>招标</w:t>
            </w:r>
            <w:r>
              <w:rPr>
                <w:color w:val="auto"/>
                <w:sz w:val="24"/>
                <w:szCs w:val="24"/>
                <w:highlight w:val="none"/>
                <w:u w:val="single"/>
              </w:rPr>
              <w:t>文件“第</w:t>
            </w:r>
            <w:r>
              <w:rPr>
                <w:rFonts w:hint="eastAsia"/>
                <w:color w:val="auto"/>
                <w:sz w:val="24"/>
                <w:szCs w:val="24"/>
                <w:highlight w:val="none"/>
                <w:u w:val="single"/>
              </w:rPr>
              <w:t>二</w:t>
            </w:r>
            <w:r>
              <w:rPr>
                <w:color w:val="auto"/>
                <w:sz w:val="24"/>
                <w:szCs w:val="24"/>
                <w:highlight w:val="none"/>
                <w:u w:val="single"/>
              </w:rPr>
              <w:t>部分项目要求”中要求的一切费用。本项目采购预算（或最高限价）详见</w:t>
            </w:r>
            <w:r>
              <w:rPr>
                <w:rFonts w:hint="eastAsia"/>
                <w:color w:val="auto"/>
                <w:sz w:val="24"/>
                <w:szCs w:val="24"/>
                <w:highlight w:val="none"/>
                <w:u w:val="single"/>
              </w:rPr>
              <w:t>招标公告</w:t>
            </w:r>
            <w:r>
              <w:rPr>
                <w:color w:val="auto"/>
                <w:sz w:val="24"/>
                <w:szCs w:val="24"/>
                <w:highlight w:val="none"/>
                <w:u w:val="single"/>
              </w:rPr>
              <w:t>，投标报价超过预算（或最高限价）的作无效标处理。</w:t>
            </w:r>
          </w:p>
        </w:tc>
      </w:tr>
      <w:tr w14:paraId="322887D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789" w:type="pct"/>
            <w:tcBorders>
              <w:top w:val="single" w:color="auto" w:sz="4" w:space="0"/>
              <w:left w:val="single" w:color="auto" w:sz="12" w:space="0"/>
              <w:bottom w:val="single" w:color="auto" w:sz="4" w:space="0"/>
            </w:tcBorders>
            <w:vAlign w:val="center"/>
          </w:tcPr>
          <w:p w14:paraId="25DAA84E">
            <w:pPr>
              <w:spacing w:line="360" w:lineRule="exact"/>
              <w:jc w:val="center"/>
              <w:rPr>
                <w:color w:val="auto"/>
                <w:sz w:val="24"/>
                <w:szCs w:val="24"/>
                <w:highlight w:val="none"/>
              </w:rPr>
            </w:pPr>
            <w:r>
              <w:rPr>
                <w:rFonts w:hint="eastAsia"/>
                <w:color w:val="auto"/>
                <w:sz w:val="24"/>
                <w:szCs w:val="24"/>
                <w:highlight w:val="none"/>
              </w:rPr>
              <w:t>6</w:t>
            </w:r>
          </w:p>
        </w:tc>
        <w:tc>
          <w:tcPr>
            <w:tcW w:w="4210" w:type="pct"/>
            <w:tcBorders>
              <w:top w:val="single" w:color="auto" w:sz="4" w:space="0"/>
              <w:bottom w:val="single" w:color="auto" w:sz="4" w:space="0"/>
              <w:right w:val="single" w:color="auto" w:sz="12" w:space="0"/>
            </w:tcBorders>
            <w:vAlign w:val="center"/>
          </w:tcPr>
          <w:p w14:paraId="305AA949">
            <w:pPr>
              <w:spacing w:line="360" w:lineRule="exact"/>
              <w:rPr>
                <w:color w:val="auto"/>
                <w:sz w:val="24"/>
                <w:szCs w:val="24"/>
                <w:highlight w:val="none"/>
              </w:rPr>
            </w:pPr>
            <w:r>
              <w:rPr>
                <w:rFonts w:hAnsi="宋体"/>
                <w:color w:val="auto"/>
                <w:sz w:val="24"/>
                <w:szCs w:val="24"/>
                <w:highlight w:val="none"/>
              </w:rPr>
              <w:t>投标货币：</w:t>
            </w:r>
            <w:r>
              <w:rPr>
                <w:rFonts w:hAnsi="宋体"/>
                <w:color w:val="auto"/>
                <w:sz w:val="24"/>
                <w:szCs w:val="24"/>
                <w:highlight w:val="none"/>
                <w:u w:val="single"/>
              </w:rPr>
              <w:t>人民币</w:t>
            </w:r>
          </w:p>
        </w:tc>
      </w:tr>
      <w:tr w14:paraId="7751F77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000" w:type="pct"/>
            <w:gridSpan w:val="2"/>
            <w:tcBorders>
              <w:top w:val="single" w:color="auto" w:sz="4" w:space="0"/>
              <w:left w:val="single" w:color="auto" w:sz="12" w:space="0"/>
              <w:bottom w:val="single" w:color="auto" w:sz="4" w:space="0"/>
              <w:right w:val="single" w:color="auto" w:sz="12" w:space="0"/>
            </w:tcBorders>
            <w:vAlign w:val="center"/>
          </w:tcPr>
          <w:p w14:paraId="290A4C7A">
            <w:pPr>
              <w:spacing w:line="360" w:lineRule="exact"/>
              <w:jc w:val="center"/>
              <w:rPr>
                <w:b/>
                <w:color w:val="auto"/>
                <w:sz w:val="24"/>
                <w:szCs w:val="24"/>
                <w:highlight w:val="none"/>
              </w:rPr>
            </w:pPr>
            <w:r>
              <w:rPr>
                <w:rFonts w:hAnsi="宋体"/>
                <w:b/>
                <w:color w:val="auto"/>
                <w:sz w:val="24"/>
                <w:szCs w:val="24"/>
                <w:highlight w:val="none"/>
              </w:rPr>
              <w:t>投标文件的编制和递交</w:t>
            </w:r>
          </w:p>
        </w:tc>
      </w:tr>
      <w:tr w14:paraId="1BBF4F3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789" w:type="pct"/>
            <w:tcBorders>
              <w:top w:val="single" w:color="auto" w:sz="4" w:space="0"/>
              <w:left w:val="single" w:color="auto" w:sz="12" w:space="0"/>
              <w:bottom w:val="single" w:color="auto" w:sz="4" w:space="0"/>
            </w:tcBorders>
            <w:vAlign w:val="center"/>
          </w:tcPr>
          <w:p w14:paraId="2D5D56A1">
            <w:pPr>
              <w:spacing w:line="360" w:lineRule="exact"/>
              <w:jc w:val="center"/>
              <w:rPr>
                <w:color w:val="auto"/>
                <w:sz w:val="24"/>
                <w:szCs w:val="24"/>
                <w:highlight w:val="none"/>
              </w:rPr>
            </w:pPr>
            <w:r>
              <w:rPr>
                <w:rFonts w:hint="eastAsia" w:ascii="宋体" w:hAnsi="宋体" w:cs="宋体"/>
                <w:color w:val="auto"/>
                <w:sz w:val="24"/>
                <w:szCs w:val="24"/>
                <w:highlight w:val="none"/>
              </w:rPr>
              <w:t>★</w:t>
            </w:r>
            <w:r>
              <w:rPr>
                <w:rFonts w:hint="eastAsia"/>
                <w:color w:val="auto"/>
                <w:sz w:val="24"/>
                <w:szCs w:val="24"/>
                <w:highlight w:val="none"/>
              </w:rPr>
              <w:t>7</w:t>
            </w:r>
          </w:p>
        </w:tc>
        <w:tc>
          <w:tcPr>
            <w:tcW w:w="4210" w:type="pct"/>
            <w:tcBorders>
              <w:top w:val="single" w:color="auto" w:sz="4" w:space="0"/>
              <w:bottom w:val="single" w:color="auto" w:sz="4" w:space="0"/>
              <w:right w:val="single" w:color="auto" w:sz="12" w:space="0"/>
            </w:tcBorders>
            <w:vAlign w:val="center"/>
          </w:tcPr>
          <w:p w14:paraId="5DEE1C83">
            <w:pPr>
              <w:spacing w:line="360" w:lineRule="exact"/>
              <w:ind w:left="38" w:leftChars="18"/>
              <w:rPr>
                <w:color w:val="auto"/>
                <w:sz w:val="24"/>
                <w:szCs w:val="24"/>
                <w:highlight w:val="none"/>
              </w:rPr>
            </w:pPr>
            <w:r>
              <w:rPr>
                <w:rFonts w:hAnsi="宋体"/>
                <w:color w:val="auto"/>
                <w:sz w:val="24"/>
                <w:szCs w:val="24"/>
                <w:highlight w:val="none"/>
              </w:rPr>
              <w:t>资格标准：</w:t>
            </w:r>
            <w:r>
              <w:rPr>
                <w:rFonts w:hint="eastAsia"/>
                <w:color w:val="auto"/>
                <w:sz w:val="24"/>
                <w:szCs w:val="24"/>
                <w:highlight w:val="none"/>
                <w:u w:val="single"/>
              </w:rPr>
              <w:t xml:space="preserve">详见《招标公告》第2条 </w:t>
            </w:r>
          </w:p>
        </w:tc>
      </w:tr>
      <w:tr w14:paraId="6C24114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789" w:type="pct"/>
            <w:vMerge w:val="restart"/>
            <w:tcBorders>
              <w:top w:val="single" w:color="auto" w:sz="4" w:space="0"/>
              <w:left w:val="single" w:color="auto" w:sz="12" w:space="0"/>
            </w:tcBorders>
            <w:vAlign w:val="center"/>
          </w:tcPr>
          <w:p w14:paraId="11DA6BDB">
            <w:pPr>
              <w:spacing w:line="360" w:lineRule="exact"/>
              <w:jc w:val="center"/>
              <w:rPr>
                <w:color w:val="auto"/>
                <w:sz w:val="24"/>
                <w:szCs w:val="24"/>
                <w:highlight w:val="none"/>
              </w:rPr>
            </w:pPr>
            <w:r>
              <w:rPr>
                <w:rFonts w:hint="eastAsia"/>
                <w:color w:val="auto"/>
                <w:sz w:val="24"/>
                <w:szCs w:val="24"/>
                <w:highlight w:val="none"/>
              </w:rPr>
              <w:t>8</w:t>
            </w:r>
          </w:p>
        </w:tc>
        <w:tc>
          <w:tcPr>
            <w:tcW w:w="4210" w:type="pct"/>
            <w:tcBorders>
              <w:top w:val="single" w:color="auto" w:sz="4" w:space="0"/>
              <w:bottom w:val="single" w:color="auto" w:sz="4" w:space="0"/>
              <w:right w:val="single" w:color="auto" w:sz="12" w:space="0"/>
            </w:tcBorders>
            <w:vAlign w:val="center"/>
          </w:tcPr>
          <w:p w14:paraId="7AD2375A">
            <w:pPr>
              <w:spacing w:line="360" w:lineRule="exact"/>
              <w:rPr>
                <w:b/>
                <w:color w:val="auto"/>
                <w:sz w:val="24"/>
                <w:szCs w:val="24"/>
                <w:highlight w:val="none"/>
                <w:u w:val="single"/>
              </w:rPr>
            </w:pPr>
            <w:r>
              <w:rPr>
                <w:rFonts w:hint="eastAsia" w:hAnsi="宋体"/>
                <w:color w:val="auto"/>
                <w:sz w:val="24"/>
                <w:highlight w:val="none"/>
              </w:rPr>
              <w:t>投标文件的组成：</w:t>
            </w:r>
            <w:r>
              <w:rPr>
                <w:rFonts w:hint="eastAsia" w:hAnsi="宋体"/>
                <w:color w:val="auto"/>
                <w:sz w:val="24"/>
                <w:highlight w:val="none"/>
                <w:u w:val="single"/>
              </w:rPr>
              <w:t xml:space="preserve">按《供应商须知》第7条规定 </w:t>
            </w:r>
          </w:p>
        </w:tc>
      </w:tr>
      <w:tr w14:paraId="046A4BA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789" w:type="pct"/>
            <w:vMerge w:val="continue"/>
            <w:tcBorders>
              <w:left w:val="single" w:color="auto" w:sz="12" w:space="0"/>
            </w:tcBorders>
            <w:vAlign w:val="center"/>
          </w:tcPr>
          <w:p w14:paraId="52111420">
            <w:pPr>
              <w:spacing w:line="360" w:lineRule="exact"/>
              <w:jc w:val="center"/>
              <w:rPr>
                <w:rFonts w:ascii="宋体" w:hAnsi="宋体" w:cs="宋体"/>
                <w:color w:val="auto"/>
                <w:sz w:val="24"/>
                <w:szCs w:val="24"/>
                <w:highlight w:val="none"/>
              </w:rPr>
            </w:pPr>
          </w:p>
        </w:tc>
        <w:tc>
          <w:tcPr>
            <w:tcW w:w="4210" w:type="pct"/>
            <w:tcBorders>
              <w:top w:val="single" w:color="auto" w:sz="4" w:space="0"/>
              <w:bottom w:val="single" w:color="auto" w:sz="4" w:space="0"/>
              <w:right w:val="single" w:color="auto" w:sz="12" w:space="0"/>
            </w:tcBorders>
            <w:vAlign w:val="center"/>
          </w:tcPr>
          <w:p w14:paraId="6E946BDD">
            <w:pPr>
              <w:spacing w:line="360" w:lineRule="exact"/>
              <w:rPr>
                <w:rFonts w:hAnsi="宋体"/>
                <w:color w:val="auto"/>
                <w:sz w:val="24"/>
                <w:highlight w:val="none"/>
              </w:rPr>
            </w:pPr>
            <w:r>
              <w:rPr>
                <w:rFonts w:hint="eastAsia" w:hAnsi="宋体"/>
                <w:color w:val="auto"/>
                <w:sz w:val="24"/>
                <w:highlight w:val="none"/>
              </w:rPr>
              <w:t>投标文件的份数：</w:t>
            </w:r>
            <w:r>
              <w:rPr>
                <w:rFonts w:hint="eastAsia" w:ascii="宋体" w:hAnsi="宋体" w:cs="宋体"/>
                <w:color w:val="auto"/>
                <w:sz w:val="24"/>
                <w:szCs w:val="24"/>
                <w:highlight w:val="none"/>
              </w:rPr>
              <w:t>★</w:t>
            </w:r>
            <w:r>
              <w:rPr>
                <w:rFonts w:hint="eastAsia" w:hAnsi="宋体"/>
                <w:b/>
                <w:color w:val="auto"/>
                <w:sz w:val="24"/>
                <w:highlight w:val="none"/>
                <w:u w:val="single"/>
              </w:rPr>
              <w:t xml:space="preserve">上传到政采云平台的电子投标文件1份 </w:t>
            </w:r>
          </w:p>
        </w:tc>
      </w:tr>
      <w:tr w14:paraId="304394D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789" w:type="pct"/>
            <w:vMerge w:val="continue"/>
            <w:tcBorders>
              <w:left w:val="single" w:color="auto" w:sz="12" w:space="0"/>
              <w:bottom w:val="single" w:color="auto" w:sz="4" w:space="0"/>
            </w:tcBorders>
            <w:vAlign w:val="center"/>
          </w:tcPr>
          <w:p w14:paraId="41C455DD">
            <w:pPr>
              <w:spacing w:line="360" w:lineRule="exact"/>
              <w:jc w:val="center"/>
              <w:rPr>
                <w:rFonts w:ascii="宋体" w:hAnsi="宋体" w:cs="宋体"/>
                <w:color w:val="auto"/>
                <w:sz w:val="24"/>
                <w:szCs w:val="24"/>
                <w:highlight w:val="none"/>
              </w:rPr>
            </w:pPr>
          </w:p>
        </w:tc>
        <w:tc>
          <w:tcPr>
            <w:tcW w:w="4210" w:type="pct"/>
            <w:tcBorders>
              <w:top w:val="single" w:color="auto" w:sz="4" w:space="0"/>
              <w:bottom w:val="single" w:color="auto" w:sz="4" w:space="0"/>
              <w:right w:val="single" w:color="auto" w:sz="12" w:space="0"/>
            </w:tcBorders>
            <w:vAlign w:val="center"/>
          </w:tcPr>
          <w:p w14:paraId="2D82125B">
            <w:pPr>
              <w:spacing w:line="360" w:lineRule="exact"/>
              <w:rPr>
                <w:rFonts w:hAnsi="宋体"/>
                <w:color w:val="auto"/>
                <w:sz w:val="24"/>
                <w:highlight w:val="none"/>
              </w:rPr>
            </w:pPr>
            <w:r>
              <w:rPr>
                <w:rFonts w:hint="eastAsia" w:hAnsi="宋体"/>
                <w:bCs/>
                <w:color w:val="auto"/>
                <w:sz w:val="24"/>
                <w:highlight w:val="none"/>
                <w:u w:val="single"/>
              </w:rPr>
              <w:t>供应商可提供电子备份投标文件1份（备份投标文件于截止时间前送到或邮寄到开标地点，备份文件用于异常情况处理，不做强制性要求）</w:t>
            </w:r>
          </w:p>
        </w:tc>
      </w:tr>
      <w:tr w14:paraId="305A5B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789" w:type="pct"/>
            <w:tcBorders>
              <w:top w:val="single" w:color="auto" w:sz="4" w:space="0"/>
              <w:left w:val="single" w:color="auto" w:sz="12" w:space="0"/>
              <w:bottom w:val="single" w:color="000000" w:sz="6" w:space="0"/>
            </w:tcBorders>
            <w:vAlign w:val="center"/>
          </w:tcPr>
          <w:p w14:paraId="28AA46A5">
            <w:pPr>
              <w:spacing w:line="360" w:lineRule="exact"/>
              <w:jc w:val="center"/>
              <w:rPr>
                <w:color w:val="auto"/>
                <w:sz w:val="24"/>
                <w:szCs w:val="24"/>
                <w:highlight w:val="none"/>
              </w:rPr>
            </w:pPr>
            <w:r>
              <w:rPr>
                <w:rFonts w:hint="eastAsia"/>
                <w:color w:val="auto"/>
                <w:sz w:val="24"/>
                <w:szCs w:val="24"/>
                <w:highlight w:val="none"/>
              </w:rPr>
              <w:t>9</w:t>
            </w:r>
          </w:p>
        </w:tc>
        <w:tc>
          <w:tcPr>
            <w:tcW w:w="4210" w:type="pct"/>
            <w:tcBorders>
              <w:top w:val="single" w:color="auto" w:sz="4" w:space="0"/>
              <w:bottom w:val="single" w:color="000000" w:sz="6" w:space="0"/>
              <w:right w:val="single" w:color="auto" w:sz="12" w:space="0"/>
            </w:tcBorders>
            <w:vAlign w:val="center"/>
          </w:tcPr>
          <w:p w14:paraId="05811ED4">
            <w:pPr>
              <w:spacing w:line="360" w:lineRule="exact"/>
              <w:rPr>
                <w:color w:val="auto"/>
                <w:sz w:val="24"/>
                <w:szCs w:val="24"/>
                <w:highlight w:val="none"/>
                <w:u w:val="single"/>
              </w:rPr>
            </w:pPr>
            <w:r>
              <w:rPr>
                <w:rFonts w:hAnsi="宋体"/>
                <w:color w:val="auto"/>
                <w:sz w:val="24"/>
                <w:szCs w:val="24"/>
                <w:highlight w:val="none"/>
              </w:rPr>
              <w:t>投标保证金：</w:t>
            </w:r>
            <w:r>
              <w:rPr>
                <w:rFonts w:hint="eastAsia" w:hAnsi="宋体"/>
                <w:color w:val="auto"/>
                <w:sz w:val="24"/>
                <w:szCs w:val="24"/>
                <w:highlight w:val="none"/>
                <w:u w:val="single"/>
              </w:rPr>
              <w:t xml:space="preserve">不收取 </w:t>
            </w:r>
          </w:p>
        </w:tc>
      </w:tr>
      <w:tr w14:paraId="5E09A57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789" w:type="pct"/>
            <w:tcBorders>
              <w:top w:val="single" w:color="auto" w:sz="4" w:space="0"/>
              <w:left w:val="single" w:color="auto" w:sz="12" w:space="0"/>
              <w:bottom w:val="single" w:color="auto" w:sz="4" w:space="0"/>
              <w:right w:val="single" w:color="auto" w:sz="4" w:space="0"/>
            </w:tcBorders>
            <w:vAlign w:val="center"/>
          </w:tcPr>
          <w:p w14:paraId="21D460DD">
            <w:pPr>
              <w:spacing w:line="360" w:lineRule="exact"/>
              <w:jc w:val="center"/>
              <w:rPr>
                <w:color w:val="auto"/>
                <w:sz w:val="24"/>
                <w:szCs w:val="24"/>
                <w:highlight w:val="none"/>
              </w:rPr>
            </w:pPr>
            <w:r>
              <w:rPr>
                <w:rFonts w:hint="eastAsia" w:ascii="宋体" w:hAnsi="宋体" w:cs="宋体"/>
                <w:color w:val="auto"/>
                <w:sz w:val="24"/>
                <w:szCs w:val="24"/>
                <w:highlight w:val="none"/>
              </w:rPr>
              <w:t>★</w:t>
            </w:r>
            <w:r>
              <w:rPr>
                <w:color w:val="auto"/>
                <w:sz w:val="24"/>
                <w:szCs w:val="24"/>
                <w:highlight w:val="none"/>
              </w:rPr>
              <w:t>1</w:t>
            </w:r>
            <w:r>
              <w:rPr>
                <w:rFonts w:hint="eastAsia"/>
                <w:color w:val="auto"/>
                <w:sz w:val="24"/>
                <w:szCs w:val="24"/>
                <w:highlight w:val="none"/>
              </w:rPr>
              <w:t>0</w:t>
            </w:r>
          </w:p>
        </w:tc>
        <w:tc>
          <w:tcPr>
            <w:tcW w:w="4210" w:type="pct"/>
            <w:tcBorders>
              <w:top w:val="single" w:color="auto" w:sz="4" w:space="0"/>
              <w:left w:val="single" w:color="auto" w:sz="4" w:space="0"/>
              <w:bottom w:val="single" w:color="auto" w:sz="4" w:space="0"/>
              <w:right w:val="single" w:color="auto" w:sz="12" w:space="0"/>
            </w:tcBorders>
            <w:vAlign w:val="center"/>
          </w:tcPr>
          <w:p w14:paraId="5236D3B7">
            <w:pPr>
              <w:spacing w:line="360" w:lineRule="exact"/>
              <w:rPr>
                <w:i/>
                <w:color w:val="auto"/>
                <w:sz w:val="24"/>
                <w:szCs w:val="24"/>
                <w:highlight w:val="none"/>
              </w:rPr>
            </w:pPr>
            <w:r>
              <w:rPr>
                <w:rFonts w:hAnsi="宋体"/>
                <w:color w:val="auto"/>
                <w:sz w:val="24"/>
                <w:szCs w:val="24"/>
                <w:highlight w:val="none"/>
              </w:rPr>
              <w:t>投标有效期：</w:t>
            </w:r>
            <w:r>
              <w:rPr>
                <w:rFonts w:hint="eastAsia" w:hAnsi="宋体"/>
                <w:color w:val="auto"/>
                <w:sz w:val="24"/>
                <w:szCs w:val="24"/>
                <w:highlight w:val="none"/>
              </w:rPr>
              <w:t>开标之日起</w:t>
            </w:r>
            <w:r>
              <w:rPr>
                <w:color w:val="auto"/>
                <w:sz w:val="24"/>
                <w:szCs w:val="24"/>
                <w:highlight w:val="none"/>
                <w:u w:val="single"/>
              </w:rPr>
              <w:t xml:space="preserve">  90  </w:t>
            </w:r>
            <w:r>
              <w:rPr>
                <w:rFonts w:hAnsi="宋体"/>
                <w:color w:val="auto"/>
                <w:sz w:val="24"/>
                <w:szCs w:val="24"/>
                <w:highlight w:val="none"/>
              </w:rPr>
              <w:t>天</w:t>
            </w:r>
          </w:p>
        </w:tc>
      </w:tr>
      <w:tr w14:paraId="50CE666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000" w:type="pct"/>
            <w:gridSpan w:val="2"/>
            <w:tcBorders>
              <w:top w:val="single" w:color="auto" w:sz="4" w:space="0"/>
              <w:left w:val="single" w:color="auto" w:sz="12" w:space="0"/>
              <w:bottom w:val="single" w:color="auto" w:sz="4" w:space="0"/>
              <w:right w:val="single" w:color="auto" w:sz="12" w:space="0"/>
            </w:tcBorders>
            <w:vAlign w:val="center"/>
          </w:tcPr>
          <w:p w14:paraId="4CAA5AF7">
            <w:pPr>
              <w:spacing w:line="360" w:lineRule="exact"/>
              <w:jc w:val="center"/>
              <w:rPr>
                <w:b/>
                <w:color w:val="auto"/>
                <w:sz w:val="24"/>
                <w:szCs w:val="24"/>
                <w:highlight w:val="none"/>
              </w:rPr>
            </w:pPr>
            <w:r>
              <w:rPr>
                <w:b/>
                <w:color w:val="auto"/>
                <w:sz w:val="24"/>
                <w:szCs w:val="24"/>
                <w:highlight w:val="none"/>
              </w:rPr>
              <w:t>授   予   合   同</w:t>
            </w:r>
          </w:p>
        </w:tc>
      </w:tr>
      <w:tr w14:paraId="669AE5D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789" w:type="pct"/>
            <w:tcBorders>
              <w:top w:val="single" w:color="auto" w:sz="4" w:space="0"/>
              <w:left w:val="single" w:color="auto" w:sz="12" w:space="0"/>
              <w:bottom w:val="single" w:color="auto" w:sz="4" w:space="0"/>
            </w:tcBorders>
            <w:vAlign w:val="center"/>
          </w:tcPr>
          <w:p w14:paraId="4300404A">
            <w:pPr>
              <w:spacing w:line="360" w:lineRule="exact"/>
              <w:jc w:val="center"/>
              <w:rPr>
                <w:color w:val="auto"/>
                <w:sz w:val="24"/>
                <w:szCs w:val="24"/>
                <w:highlight w:val="none"/>
              </w:rPr>
            </w:pPr>
            <w:r>
              <w:rPr>
                <w:rFonts w:hint="eastAsia"/>
                <w:color w:val="auto"/>
                <w:sz w:val="24"/>
                <w:szCs w:val="24"/>
                <w:highlight w:val="none"/>
              </w:rPr>
              <w:t>11</w:t>
            </w:r>
          </w:p>
        </w:tc>
        <w:tc>
          <w:tcPr>
            <w:tcW w:w="4210" w:type="pct"/>
            <w:tcBorders>
              <w:top w:val="single" w:color="auto" w:sz="4" w:space="0"/>
              <w:bottom w:val="single" w:color="auto" w:sz="4" w:space="0"/>
              <w:right w:val="single" w:color="auto" w:sz="12" w:space="0"/>
            </w:tcBorders>
            <w:vAlign w:val="center"/>
          </w:tcPr>
          <w:p w14:paraId="4F458E9A">
            <w:pPr>
              <w:spacing w:line="360" w:lineRule="exact"/>
              <w:rPr>
                <w:i/>
                <w:color w:val="auto"/>
                <w:sz w:val="24"/>
                <w:szCs w:val="24"/>
                <w:highlight w:val="none"/>
              </w:rPr>
            </w:pPr>
            <w:r>
              <w:rPr>
                <w:color w:val="auto"/>
                <w:sz w:val="24"/>
                <w:szCs w:val="24"/>
                <w:highlight w:val="none"/>
              </w:rPr>
              <w:t>按照政府采购管理办公室</w:t>
            </w:r>
            <w:r>
              <w:rPr>
                <w:rFonts w:hint="eastAsia"/>
                <w:color w:val="auto"/>
                <w:sz w:val="24"/>
                <w:szCs w:val="24"/>
                <w:highlight w:val="none"/>
              </w:rPr>
              <w:t>的规定</w:t>
            </w:r>
            <w:r>
              <w:rPr>
                <w:color w:val="auto"/>
                <w:sz w:val="24"/>
                <w:szCs w:val="24"/>
                <w:highlight w:val="none"/>
              </w:rPr>
              <w:t>、</w:t>
            </w:r>
            <w:r>
              <w:rPr>
                <w:rFonts w:hint="eastAsia"/>
                <w:color w:val="auto"/>
                <w:sz w:val="24"/>
                <w:szCs w:val="24"/>
                <w:highlight w:val="none"/>
              </w:rPr>
              <w:t>招标文件</w:t>
            </w:r>
            <w:r>
              <w:rPr>
                <w:color w:val="auto"/>
                <w:sz w:val="24"/>
                <w:szCs w:val="24"/>
                <w:highlight w:val="none"/>
              </w:rPr>
              <w:t>、中标</w:t>
            </w:r>
            <w:r>
              <w:rPr>
                <w:rFonts w:hint="eastAsia"/>
                <w:color w:val="auto"/>
                <w:sz w:val="24"/>
                <w:szCs w:val="24"/>
                <w:highlight w:val="none"/>
              </w:rPr>
              <w:t>供应商</w:t>
            </w:r>
            <w:r>
              <w:rPr>
                <w:color w:val="auto"/>
                <w:sz w:val="24"/>
                <w:szCs w:val="24"/>
                <w:highlight w:val="none"/>
              </w:rPr>
              <w:t>的投标</w:t>
            </w:r>
            <w:r>
              <w:rPr>
                <w:rFonts w:hint="eastAsia"/>
                <w:color w:val="auto"/>
                <w:sz w:val="24"/>
                <w:szCs w:val="24"/>
                <w:highlight w:val="none"/>
              </w:rPr>
              <w:t>文件</w:t>
            </w:r>
            <w:r>
              <w:rPr>
                <w:color w:val="auto"/>
                <w:sz w:val="24"/>
                <w:szCs w:val="24"/>
                <w:highlight w:val="none"/>
              </w:rPr>
              <w:t>、中标通知书确定的</w:t>
            </w:r>
            <w:r>
              <w:rPr>
                <w:rFonts w:hint="eastAsia"/>
                <w:color w:val="auto"/>
                <w:sz w:val="24"/>
                <w:szCs w:val="24"/>
                <w:highlight w:val="none"/>
              </w:rPr>
              <w:t>内容</w:t>
            </w:r>
            <w:r>
              <w:rPr>
                <w:color w:val="auto"/>
                <w:sz w:val="24"/>
                <w:szCs w:val="24"/>
                <w:highlight w:val="none"/>
              </w:rPr>
              <w:t>签订合同。</w:t>
            </w:r>
          </w:p>
        </w:tc>
      </w:tr>
      <w:tr w14:paraId="67A8C12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000" w:type="pct"/>
            <w:gridSpan w:val="2"/>
            <w:tcBorders>
              <w:top w:val="single" w:color="auto" w:sz="4" w:space="0"/>
              <w:left w:val="single" w:color="auto" w:sz="12" w:space="0"/>
              <w:bottom w:val="single" w:color="auto" w:sz="4" w:space="0"/>
              <w:right w:val="single" w:color="auto" w:sz="12" w:space="0"/>
            </w:tcBorders>
            <w:vAlign w:val="center"/>
          </w:tcPr>
          <w:p w14:paraId="05A0EB03">
            <w:pPr>
              <w:spacing w:line="360" w:lineRule="exact"/>
              <w:jc w:val="center"/>
              <w:rPr>
                <w:color w:val="auto"/>
                <w:sz w:val="24"/>
                <w:szCs w:val="24"/>
                <w:highlight w:val="none"/>
              </w:rPr>
            </w:pPr>
            <w:r>
              <w:rPr>
                <w:rFonts w:hint="eastAsia"/>
                <w:b/>
                <w:color w:val="auto"/>
                <w:sz w:val="24"/>
                <w:szCs w:val="24"/>
                <w:highlight w:val="none"/>
              </w:rPr>
              <w:t>发布本次招标公告、中标公告的媒体</w:t>
            </w:r>
          </w:p>
        </w:tc>
      </w:tr>
      <w:tr w14:paraId="4470207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789" w:type="pct"/>
            <w:tcBorders>
              <w:top w:val="single" w:color="auto" w:sz="4" w:space="0"/>
              <w:left w:val="single" w:color="auto" w:sz="12" w:space="0"/>
              <w:bottom w:val="single" w:color="auto" w:sz="4" w:space="0"/>
            </w:tcBorders>
            <w:vAlign w:val="center"/>
          </w:tcPr>
          <w:p w14:paraId="54BBAB64">
            <w:pPr>
              <w:spacing w:line="360" w:lineRule="exact"/>
              <w:jc w:val="center"/>
              <w:rPr>
                <w:color w:val="auto"/>
                <w:sz w:val="24"/>
                <w:szCs w:val="24"/>
                <w:highlight w:val="none"/>
              </w:rPr>
            </w:pPr>
            <w:r>
              <w:rPr>
                <w:rFonts w:hint="eastAsia"/>
                <w:color w:val="auto"/>
                <w:sz w:val="24"/>
                <w:szCs w:val="24"/>
                <w:highlight w:val="none"/>
              </w:rPr>
              <w:t>12</w:t>
            </w:r>
          </w:p>
        </w:tc>
        <w:tc>
          <w:tcPr>
            <w:tcW w:w="4210" w:type="pct"/>
            <w:tcBorders>
              <w:top w:val="single" w:color="auto" w:sz="4" w:space="0"/>
              <w:bottom w:val="single" w:color="auto" w:sz="4" w:space="0"/>
              <w:right w:val="single" w:color="auto" w:sz="12" w:space="0"/>
            </w:tcBorders>
            <w:vAlign w:val="center"/>
          </w:tcPr>
          <w:p w14:paraId="4F50D4FF">
            <w:pPr>
              <w:spacing w:line="360" w:lineRule="exact"/>
              <w:rPr>
                <w:color w:val="auto"/>
                <w:sz w:val="24"/>
                <w:szCs w:val="24"/>
                <w:highlight w:val="none"/>
              </w:rPr>
            </w:pPr>
            <w:r>
              <w:rPr>
                <w:rFonts w:hint="eastAsia"/>
                <w:color w:val="auto"/>
                <w:sz w:val="24"/>
                <w:szCs w:val="24"/>
                <w:highlight w:val="none"/>
              </w:rPr>
              <w:t>浙江政府采购网</w:t>
            </w:r>
          </w:p>
          <w:p w14:paraId="40909EC8">
            <w:pPr>
              <w:spacing w:line="360" w:lineRule="exact"/>
              <w:rPr>
                <w:color w:val="auto"/>
                <w:sz w:val="24"/>
                <w:szCs w:val="24"/>
                <w:highlight w:val="none"/>
              </w:rPr>
            </w:pPr>
            <w:r>
              <w:rPr>
                <w:rFonts w:hint="eastAsia"/>
                <w:color w:val="auto"/>
                <w:sz w:val="24"/>
                <w:szCs w:val="24"/>
                <w:highlight w:val="none"/>
              </w:rPr>
              <w:t>宁波政府采购网（政采云）</w:t>
            </w:r>
          </w:p>
          <w:p w14:paraId="403B7019">
            <w:pPr>
              <w:spacing w:line="360" w:lineRule="exact"/>
              <w:rPr>
                <w:color w:val="auto"/>
                <w:sz w:val="24"/>
                <w:szCs w:val="24"/>
                <w:highlight w:val="none"/>
              </w:rPr>
            </w:pPr>
            <w:r>
              <w:rPr>
                <w:rFonts w:hint="eastAsia"/>
                <w:color w:val="auto"/>
                <w:sz w:val="24"/>
                <w:szCs w:val="24"/>
                <w:highlight w:val="none"/>
              </w:rPr>
              <w:t>宁波市公共资源交易电子服务系统</w:t>
            </w:r>
          </w:p>
        </w:tc>
      </w:tr>
      <w:tr w14:paraId="6BCCFB3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000" w:type="pct"/>
            <w:gridSpan w:val="2"/>
            <w:tcBorders>
              <w:top w:val="single" w:color="auto" w:sz="4" w:space="0"/>
              <w:left w:val="single" w:color="auto" w:sz="12" w:space="0"/>
              <w:bottom w:val="single" w:color="auto" w:sz="4" w:space="0"/>
              <w:right w:val="single" w:color="auto" w:sz="12" w:space="0"/>
            </w:tcBorders>
            <w:vAlign w:val="center"/>
          </w:tcPr>
          <w:p w14:paraId="0ADFFE89">
            <w:pPr>
              <w:spacing w:line="360" w:lineRule="exact"/>
              <w:jc w:val="center"/>
              <w:rPr>
                <w:color w:val="auto"/>
                <w:sz w:val="24"/>
                <w:szCs w:val="24"/>
                <w:highlight w:val="none"/>
              </w:rPr>
            </w:pPr>
            <w:r>
              <w:rPr>
                <w:b/>
                <w:color w:val="auto"/>
                <w:sz w:val="24"/>
                <w:szCs w:val="24"/>
                <w:highlight w:val="none"/>
              </w:rPr>
              <w:t>中  标  服  务  费</w:t>
            </w:r>
          </w:p>
        </w:tc>
      </w:tr>
      <w:tr w14:paraId="758BEA0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000" w:type="pct"/>
            <w:gridSpan w:val="2"/>
            <w:tcBorders>
              <w:top w:val="single" w:color="auto" w:sz="4" w:space="0"/>
              <w:left w:val="single" w:color="auto" w:sz="12" w:space="0"/>
              <w:bottom w:val="single" w:color="auto" w:sz="12" w:space="0"/>
              <w:right w:val="single" w:color="auto" w:sz="12" w:space="0"/>
            </w:tcBorders>
            <w:vAlign w:val="center"/>
          </w:tcPr>
          <w:p w14:paraId="68FB2926">
            <w:pPr>
              <w:spacing w:line="360" w:lineRule="exact"/>
              <w:rPr>
                <w:color w:val="auto"/>
                <w:sz w:val="24"/>
                <w:szCs w:val="24"/>
                <w:highlight w:val="none"/>
              </w:rPr>
            </w:pPr>
            <w:r>
              <w:rPr>
                <w:rFonts w:hint="eastAsia"/>
                <w:color w:val="auto"/>
                <w:sz w:val="24"/>
                <w:szCs w:val="24"/>
                <w:highlight w:val="none"/>
              </w:rPr>
              <w:t>1.本</w:t>
            </w:r>
            <w:r>
              <w:rPr>
                <w:rFonts w:hint="eastAsia" w:ascii="宋体" w:hAnsi="宋体" w:cs="宋体"/>
                <w:color w:val="auto"/>
                <w:sz w:val="24"/>
                <w:szCs w:val="24"/>
                <w:highlight w:val="none"/>
              </w:rPr>
              <w:t>采购代理公司</w:t>
            </w:r>
            <w:r>
              <w:rPr>
                <w:rFonts w:hint="eastAsia"/>
                <w:color w:val="auto"/>
                <w:sz w:val="24"/>
                <w:szCs w:val="24"/>
                <w:highlight w:val="none"/>
              </w:rPr>
              <w:t>参照国家发改委发改办价格[2003]857号通知和原国家计委计价格[2002]1980号文件规定的货物招标费率标准下浮23%，按照中标通知书确定的中标金额，向中标供应商收取中标服务费。</w:t>
            </w:r>
          </w:p>
          <w:p w14:paraId="49499868">
            <w:pPr>
              <w:spacing w:line="360" w:lineRule="exact"/>
              <w:rPr>
                <w:color w:val="auto"/>
                <w:sz w:val="24"/>
                <w:szCs w:val="24"/>
                <w:highlight w:val="none"/>
              </w:rPr>
            </w:pPr>
            <w:r>
              <w:rPr>
                <w:rFonts w:hint="eastAsia"/>
                <w:color w:val="auto"/>
                <w:sz w:val="24"/>
                <w:szCs w:val="24"/>
                <w:highlight w:val="none"/>
              </w:rPr>
              <w:t>2.中标供应商应在中标通知书发出后5个工作日内支付中标服务费。</w:t>
            </w:r>
          </w:p>
          <w:p w14:paraId="64DD305D">
            <w:pPr>
              <w:spacing w:line="360" w:lineRule="exact"/>
              <w:rPr>
                <w:color w:val="auto"/>
                <w:sz w:val="24"/>
                <w:szCs w:val="24"/>
                <w:highlight w:val="none"/>
              </w:rPr>
            </w:pPr>
            <w:r>
              <w:rPr>
                <w:rFonts w:hint="eastAsia"/>
                <w:color w:val="auto"/>
                <w:sz w:val="24"/>
                <w:szCs w:val="24"/>
                <w:highlight w:val="none"/>
              </w:rPr>
              <w:t>3.中标服务费只收现金、银行票汇款、电汇款。</w:t>
            </w:r>
          </w:p>
          <w:p w14:paraId="550E6E7F">
            <w:pPr>
              <w:spacing w:line="360" w:lineRule="exact"/>
              <w:rPr>
                <w:color w:val="auto"/>
                <w:sz w:val="24"/>
                <w:szCs w:val="24"/>
                <w:highlight w:val="none"/>
              </w:rPr>
            </w:pPr>
            <w:r>
              <w:rPr>
                <w:rFonts w:hint="eastAsia"/>
                <w:color w:val="auto"/>
                <w:sz w:val="24"/>
                <w:szCs w:val="24"/>
                <w:highlight w:val="none"/>
              </w:rPr>
              <w:t>（户名：宁波名诚招标代理有限公司，开户银行：中国工商银行宁波市鼓楼支行，账号：3901110019200459750）。</w:t>
            </w:r>
          </w:p>
        </w:tc>
      </w:tr>
    </w:tbl>
    <w:p w14:paraId="46DB4C6D">
      <w:pPr>
        <w:spacing w:line="400" w:lineRule="exact"/>
        <w:ind w:left="1355" w:hanging="1355" w:hangingChars="375"/>
        <w:jc w:val="center"/>
        <w:rPr>
          <w:b/>
          <w:color w:val="auto"/>
          <w:sz w:val="36"/>
          <w:szCs w:val="36"/>
          <w:highlight w:val="none"/>
        </w:rPr>
      </w:pPr>
    </w:p>
    <w:p w14:paraId="4D145030">
      <w:pPr>
        <w:spacing w:line="400" w:lineRule="exact"/>
        <w:rPr>
          <w:b/>
          <w:color w:val="auto"/>
          <w:sz w:val="36"/>
          <w:szCs w:val="36"/>
          <w:highlight w:val="none"/>
        </w:rPr>
      </w:pPr>
    </w:p>
    <w:p w14:paraId="6661D1C4">
      <w:pPr>
        <w:spacing w:line="400" w:lineRule="exact"/>
        <w:ind w:left="1355" w:hanging="1355" w:hangingChars="375"/>
        <w:jc w:val="center"/>
        <w:rPr>
          <w:b/>
          <w:color w:val="auto"/>
          <w:sz w:val="36"/>
          <w:szCs w:val="36"/>
          <w:highlight w:val="none"/>
        </w:rPr>
      </w:pPr>
      <w:r>
        <w:rPr>
          <w:rFonts w:hint="eastAsia"/>
          <w:b/>
          <w:color w:val="auto"/>
          <w:sz w:val="36"/>
          <w:szCs w:val="36"/>
          <w:highlight w:val="none"/>
        </w:rPr>
        <w:t>投标人须知</w:t>
      </w:r>
    </w:p>
    <w:p w14:paraId="3FC935FE">
      <w:pPr>
        <w:spacing w:line="400" w:lineRule="exact"/>
        <w:jc w:val="center"/>
        <w:rPr>
          <w:rFonts w:eastAsia="方正书宋简体"/>
          <w:color w:val="auto"/>
          <w:highlight w:val="none"/>
        </w:rPr>
      </w:pPr>
    </w:p>
    <w:p w14:paraId="59B96CD2">
      <w:pPr>
        <w:spacing w:line="400" w:lineRule="exact"/>
        <w:jc w:val="center"/>
        <w:rPr>
          <w:rFonts w:hAnsi="宋体"/>
          <w:b/>
          <w:color w:val="auto"/>
          <w:sz w:val="24"/>
          <w:szCs w:val="24"/>
          <w:highlight w:val="none"/>
        </w:rPr>
      </w:pPr>
      <w:r>
        <w:rPr>
          <w:b/>
          <w:color w:val="auto"/>
          <w:sz w:val="24"/>
          <w:szCs w:val="24"/>
          <w:highlight w:val="none"/>
        </w:rPr>
        <w:t xml:space="preserve">A  </w:t>
      </w:r>
      <w:r>
        <w:rPr>
          <w:rFonts w:hAnsi="宋体"/>
          <w:b/>
          <w:color w:val="auto"/>
          <w:sz w:val="24"/>
          <w:szCs w:val="24"/>
          <w:highlight w:val="none"/>
        </w:rPr>
        <w:t>投标人</w:t>
      </w:r>
    </w:p>
    <w:p w14:paraId="1478D297">
      <w:pPr>
        <w:spacing w:line="400" w:lineRule="exact"/>
        <w:jc w:val="center"/>
        <w:rPr>
          <w:rFonts w:eastAsia="方正书宋简体"/>
          <w:color w:val="auto"/>
          <w:highlight w:val="none"/>
        </w:rPr>
      </w:pPr>
    </w:p>
    <w:p w14:paraId="212D193C">
      <w:pPr>
        <w:spacing w:line="400" w:lineRule="exact"/>
        <w:rPr>
          <w:color w:val="auto"/>
          <w:sz w:val="24"/>
          <w:szCs w:val="24"/>
          <w:highlight w:val="none"/>
        </w:rPr>
      </w:pPr>
      <w:r>
        <w:rPr>
          <w:b/>
          <w:color w:val="auto"/>
          <w:sz w:val="24"/>
          <w:szCs w:val="24"/>
          <w:highlight w:val="none"/>
        </w:rPr>
        <w:t xml:space="preserve">1.   </w:t>
      </w:r>
      <w:r>
        <w:rPr>
          <w:rFonts w:hAnsi="宋体"/>
          <w:b/>
          <w:color w:val="auto"/>
          <w:sz w:val="24"/>
          <w:szCs w:val="24"/>
          <w:highlight w:val="none"/>
        </w:rPr>
        <w:t>合格的投标人</w:t>
      </w:r>
    </w:p>
    <w:p w14:paraId="02F587AE">
      <w:pPr>
        <w:spacing w:line="400" w:lineRule="exact"/>
        <w:rPr>
          <w:rFonts w:hAnsi="宋体"/>
          <w:color w:val="auto"/>
          <w:sz w:val="24"/>
          <w:szCs w:val="24"/>
          <w:highlight w:val="none"/>
        </w:rPr>
      </w:pPr>
      <w:r>
        <w:rPr>
          <w:b/>
          <w:color w:val="auto"/>
          <w:sz w:val="24"/>
          <w:szCs w:val="24"/>
          <w:highlight w:val="none"/>
        </w:rPr>
        <w:t xml:space="preserve">1.1  </w:t>
      </w:r>
      <w:r>
        <w:rPr>
          <w:rFonts w:hAnsi="宋体"/>
          <w:color w:val="auto"/>
          <w:sz w:val="24"/>
          <w:szCs w:val="24"/>
          <w:highlight w:val="none"/>
        </w:rPr>
        <w:t>合格的投标人应该是：</w:t>
      </w:r>
      <w:r>
        <w:rPr>
          <w:rFonts w:hint="eastAsia" w:hAnsi="宋体"/>
          <w:color w:val="auto"/>
          <w:sz w:val="24"/>
          <w:szCs w:val="24"/>
          <w:highlight w:val="none"/>
        </w:rPr>
        <w:t xml:space="preserve">符合《中华人民共和国政府采购法》第二十二条规定的供应商资格条件； </w:t>
      </w:r>
    </w:p>
    <w:p w14:paraId="3B98DBFD">
      <w:pPr>
        <w:spacing w:line="400" w:lineRule="exact"/>
        <w:ind w:firstLine="240" w:firstLineChars="100"/>
        <w:rPr>
          <w:rFonts w:hAnsi="宋体"/>
          <w:color w:val="auto"/>
          <w:sz w:val="24"/>
          <w:szCs w:val="24"/>
          <w:highlight w:val="none"/>
        </w:rPr>
      </w:pPr>
      <w:r>
        <w:rPr>
          <w:rFonts w:hint="eastAsia" w:hAnsi="宋体"/>
          <w:color w:val="auto"/>
          <w:sz w:val="24"/>
          <w:szCs w:val="24"/>
          <w:highlight w:val="none"/>
        </w:rPr>
        <w:t>（1）具有独立承担民事责任的能力；</w:t>
      </w:r>
    </w:p>
    <w:p w14:paraId="11F1216A">
      <w:pPr>
        <w:spacing w:line="400" w:lineRule="exact"/>
        <w:ind w:firstLine="240" w:firstLineChars="100"/>
        <w:rPr>
          <w:rFonts w:hAnsi="宋体"/>
          <w:color w:val="auto"/>
          <w:sz w:val="24"/>
          <w:szCs w:val="24"/>
          <w:highlight w:val="none"/>
        </w:rPr>
      </w:pPr>
      <w:r>
        <w:rPr>
          <w:rFonts w:hint="eastAsia" w:hAnsi="宋体"/>
          <w:color w:val="auto"/>
          <w:sz w:val="24"/>
          <w:szCs w:val="24"/>
          <w:highlight w:val="none"/>
        </w:rPr>
        <w:t>（2）具有良好的商业信誉和健全的财务会计制度；</w:t>
      </w:r>
    </w:p>
    <w:p w14:paraId="3E9A8452">
      <w:pPr>
        <w:spacing w:line="400" w:lineRule="exact"/>
        <w:ind w:firstLine="240" w:firstLineChars="100"/>
        <w:rPr>
          <w:rFonts w:hAnsi="宋体"/>
          <w:color w:val="auto"/>
          <w:sz w:val="24"/>
          <w:szCs w:val="24"/>
          <w:highlight w:val="none"/>
        </w:rPr>
      </w:pPr>
      <w:r>
        <w:rPr>
          <w:rFonts w:hint="eastAsia" w:hAnsi="宋体"/>
          <w:color w:val="auto"/>
          <w:sz w:val="24"/>
          <w:szCs w:val="24"/>
          <w:highlight w:val="none"/>
        </w:rPr>
        <w:t>（3）具有履行合同所必需的设备和专业技术能力；</w:t>
      </w:r>
    </w:p>
    <w:p w14:paraId="5AEFA054">
      <w:pPr>
        <w:spacing w:line="400" w:lineRule="exact"/>
        <w:ind w:firstLine="240" w:firstLineChars="100"/>
        <w:rPr>
          <w:rFonts w:hAnsi="宋体"/>
          <w:color w:val="auto"/>
          <w:sz w:val="24"/>
          <w:szCs w:val="24"/>
          <w:highlight w:val="none"/>
        </w:rPr>
      </w:pPr>
      <w:r>
        <w:rPr>
          <w:rFonts w:hint="eastAsia" w:hAnsi="宋体"/>
          <w:color w:val="auto"/>
          <w:sz w:val="24"/>
          <w:szCs w:val="24"/>
          <w:highlight w:val="none"/>
        </w:rPr>
        <w:t>（4）有依法缴纳税收和社会保障资金的良好记录；</w:t>
      </w:r>
    </w:p>
    <w:p w14:paraId="511FC35F">
      <w:pPr>
        <w:spacing w:line="400" w:lineRule="exact"/>
        <w:ind w:firstLine="240" w:firstLineChars="100"/>
        <w:rPr>
          <w:rFonts w:hAnsi="宋体"/>
          <w:color w:val="auto"/>
          <w:sz w:val="24"/>
          <w:szCs w:val="24"/>
          <w:highlight w:val="none"/>
        </w:rPr>
      </w:pPr>
      <w:r>
        <w:rPr>
          <w:rFonts w:hint="eastAsia" w:hAnsi="宋体"/>
          <w:color w:val="auto"/>
          <w:sz w:val="24"/>
          <w:szCs w:val="24"/>
          <w:highlight w:val="none"/>
        </w:rPr>
        <w:t>（5）参加政府采购活动前三年内，在经营活动中没有重大违法记录。</w:t>
      </w:r>
    </w:p>
    <w:p w14:paraId="3C73C24E">
      <w:pPr>
        <w:spacing w:line="400" w:lineRule="exact"/>
        <w:ind w:firstLine="240" w:firstLineChars="100"/>
        <w:rPr>
          <w:rFonts w:hAnsi="宋体"/>
          <w:color w:val="auto"/>
          <w:sz w:val="24"/>
          <w:szCs w:val="24"/>
          <w:highlight w:val="none"/>
        </w:rPr>
      </w:pPr>
      <w:r>
        <w:rPr>
          <w:rFonts w:hint="eastAsia" w:hAnsi="宋体"/>
          <w:color w:val="auto"/>
          <w:sz w:val="24"/>
          <w:szCs w:val="24"/>
          <w:highlight w:val="none"/>
        </w:rPr>
        <w:t>（6）法律、行政法规规定的其他条件。</w:t>
      </w:r>
    </w:p>
    <w:p w14:paraId="425010A6">
      <w:pPr>
        <w:spacing w:line="400" w:lineRule="exact"/>
        <w:rPr>
          <w:rFonts w:hAnsi="宋体"/>
          <w:color w:val="auto"/>
          <w:sz w:val="24"/>
          <w:szCs w:val="24"/>
          <w:highlight w:val="none"/>
        </w:rPr>
      </w:pPr>
      <w:r>
        <w:rPr>
          <w:rFonts w:hint="eastAsia"/>
          <w:b/>
          <w:color w:val="auto"/>
          <w:sz w:val="24"/>
          <w:szCs w:val="24"/>
          <w:highlight w:val="none"/>
        </w:rPr>
        <w:t xml:space="preserve">1.2 </w:t>
      </w:r>
      <w:r>
        <w:rPr>
          <w:rFonts w:hint="eastAsia" w:hAnsi="宋体"/>
          <w:color w:val="auto"/>
          <w:sz w:val="24"/>
          <w:szCs w:val="24"/>
          <w:highlight w:val="none"/>
        </w:rPr>
        <w:t>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14:paraId="34AD3955">
      <w:pPr>
        <w:spacing w:line="400" w:lineRule="exact"/>
        <w:rPr>
          <w:rFonts w:hAnsi="宋体"/>
          <w:color w:val="auto"/>
          <w:sz w:val="24"/>
          <w:szCs w:val="24"/>
          <w:highlight w:val="none"/>
        </w:rPr>
      </w:pPr>
      <w:r>
        <w:rPr>
          <w:b/>
          <w:color w:val="auto"/>
          <w:sz w:val="24"/>
          <w:szCs w:val="24"/>
          <w:highlight w:val="none"/>
        </w:rPr>
        <w:t>1.</w:t>
      </w:r>
      <w:r>
        <w:rPr>
          <w:rFonts w:hint="eastAsia"/>
          <w:b/>
          <w:color w:val="auto"/>
          <w:sz w:val="24"/>
          <w:szCs w:val="24"/>
          <w:highlight w:val="none"/>
        </w:rPr>
        <w:t>3</w:t>
      </w:r>
      <w:r>
        <w:rPr>
          <w:rFonts w:hAnsi="宋体"/>
          <w:color w:val="auto"/>
          <w:sz w:val="24"/>
          <w:szCs w:val="24"/>
          <w:highlight w:val="none"/>
        </w:rPr>
        <w:t>符合本</w:t>
      </w:r>
      <w:r>
        <w:rPr>
          <w:rFonts w:hint="eastAsia" w:hAnsi="宋体"/>
          <w:color w:val="auto"/>
          <w:sz w:val="24"/>
          <w:szCs w:val="24"/>
          <w:highlight w:val="none"/>
        </w:rPr>
        <w:t>招标公告</w:t>
      </w:r>
      <w:r>
        <w:rPr>
          <w:rFonts w:hAnsi="宋体"/>
          <w:color w:val="auto"/>
          <w:sz w:val="24"/>
          <w:szCs w:val="24"/>
          <w:highlight w:val="none"/>
        </w:rPr>
        <w:t>规定的其他</w:t>
      </w:r>
      <w:r>
        <w:rPr>
          <w:rFonts w:hint="eastAsia" w:hAnsi="宋体"/>
          <w:color w:val="auto"/>
          <w:sz w:val="24"/>
          <w:szCs w:val="24"/>
          <w:highlight w:val="none"/>
        </w:rPr>
        <w:t>资格</w:t>
      </w:r>
      <w:r>
        <w:rPr>
          <w:rFonts w:hAnsi="宋体"/>
          <w:color w:val="auto"/>
          <w:sz w:val="24"/>
          <w:szCs w:val="24"/>
          <w:highlight w:val="none"/>
        </w:rPr>
        <w:t>要求。</w:t>
      </w:r>
    </w:p>
    <w:p w14:paraId="5C312CCD">
      <w:pPr>
        <w:spacing w:line="400" w:lineRule="exact"/>
        <w:rPr>
          <w:color w:val="auto"/>
          <w:sz w:val="24"/>
          <w:szCs w:val="24"/>
          <w:highlight w:val="none"/>
        </w:rPr>
      </w:pPr>
    </w:p>
    <w:p w14:paraId="7502CA8C">
      <w:pPr>
        <w:spacing w:line="400" w:lineRule="exact"/>
        <w:rPr>
          <w:color w:val="auto"/>
          <w:sz w:val="24"/>
          <w:szCs w:val="24"/>
          <w:highlight w:val="none"/>
        </w:rPr>
      </w:pPr>
      <w:r>
        <w:rPr>
          <w:b/>
          <w:color w:val="auto"/>
          <w:sz w:val="24"/>
          <w:szCs w:val="24"/>
          <w:highlight w:val="none"/>
        </w:rPr>
        <w:t>2.</w:t>
      </w:r>
      <w:r>
        <w:rPr>
          <w:rFonts w:hAnsi="宋体"/>
          <w:b/>
          <w:color w:val="auto"/>
          <w:sz w:val="24"/>
          <w:szCs w:val="24"/>
          <w:highlight w:val="none"/>
        </w:rPr>
        <w:t>投标人代表</w:t>
      </w:r>
    </w:p>
    <w:p w14:paraId="1D371133">
      <w:pPr>
        <w:spacing w:line="400" w:lineRule="exact"/>
        <w:rPr>
          <w:rFonts w:hAnsi="宋体"/>
          <w:color w:val="auto"/>
          <w:sz w:val="24"/>
          <w:szCs w:val="24"/>
          <w:highlight w:val="none"/>
        </w:rPr>
      </w:pPr>
      <w:r>
        <w:rPr>
          <w:b/>
          <w:color w:val="auto"/>
          <w:sz w:val="24"/>
          <w:szCs w:val="24"/>
          <w:highlight w:val="none"/>
        </w:rPr>
        <w:t>2.</w:t>
      </w:r>
      <w:r>
        <w:rPr>
          <w:rFonts w:hint="eastAsia"/>
          <w:b/>
          <w:color w:val="auto"/>
          <w:sz w:val="24"/>
          <w:szCs w:val="24"/>
          <w:highlight w:val="none"/>
        </w:rPr>
        <w:t>1</w:t>
      </w:r>
      <w:r>
        <w:rPr>
          <w:rFonts w:hAnsi="宋体"/>
          <w:color w:val="auto"/>
          <w:sz w:val="24"/>
          <w:szCs w:val="24"/>
          <w:highlight w:val="none"/>
        </w:rPr>
        <w:t>若投标人代表是法定代表人，则</w:t>
      </w:r>
      <w:r>
        <w:rPr>
          <w:rFonts w:hint="eastAsia" w:hAnsi="宋体"/>
          <w:color w:val="auto"/>
          <w:sz w:val="24"/>
          <w:szCs w:val="24"/>
          <w:highlight w:val="none"/>
        </w:rPr>
        <w:t>提供法定代表人身份证明</w:t>
      </w:r>
      <w:r>
        <w:rPr>
          <w:rFonts w:hAnsi="宋体"/>
          <w:color w:val="auto"/>
          <w:sz w:val="24"/>
          <w:szCs w:val="24"/>
          <w:highlight w:val="none"/>
        </w:rPr>
        <w:t>。</w:t>
      </w:r>
    </w:p>
    <w:p w14:paraId="552E80D3">
      <w:pPr>
        <w:spacing w:line="400" w:lineRule="exact"/>
        <w:rPr>
          <w:color w:val="auto"/>
          <w:sz w:val="24"/>
          <w:szCs w:val="24"/>
          <w:highlight w:val="none"/>
        </w:rPr>
      </w:pPr>
      <w:r>
        <w:rPr>
          <w:b/>
          <w:color w:val="auto"/>
          <w:sz w:val="24"/>
          <w:szCs w:val="24"/>
          <w:highlight w:val="none"/>
        </w:rPr>
        <w:t>2.</w:t>
      </w:r>
      <w:r>
        <w:rPr>
          <w:rFonts w:hint="eastAsia"/>
          <w:b/>
          <w:color w:val="auto"/>
          <w:sz w:val="24"/>
          <w:szCs w:val="24"/>
          <w:highlight w:val="none"/>
        </w:rPr>
        <w:t>2</w:t>
      </w:r>
      <w:r>
        <w:rPr>
          <w:rFonts w:hAnsi="宋体"/>
          <w:color w:val="auto"/>
          <w:sz w:val="24"/>
          <w:szCs w:val="24"/>
          <w:highlight w:val="none"/>
        </w:rPr>
        <w:t>若投标人代表不是法定代表人，须持有《法定代表人授权书》或《组织授权书》（适用非法人的其它组织）</w:t>
      </w:r>
      <w:r>
        <w:rPr>
          <w:rFonts w:hint="eastAsia" w:hAnsi="宋体"/>
          <w:color w:val="auto"/>
          <w:sz w:val="24"/>
          <w:szCs w:val="24"/>
          <w:highlight w:val="none"/>
        </w:rPr>
        <w:t>。</w:t>
      </w:r>
    </w:p>
    <w:p w14:paraId="218B13D6">
      <w:pPr>
        <w:spacing w:line="400" w:lineRule="exact"/>
        <w:rPr>
          <w:color w:val="auto"/>
          <w:sz w:val="24"/>
          <w:szCs w:val="24"/>
          <w:highlight w:val="none"/>
        </w:rPr>
      </w:pPr>
    </w:p>
    <w:p w14:paraId="72ECA204">
      <w:pPr>
        <w:spacing w:line="400" w:lineRule="exact"/>
        <w:rPr>
          <w:b/>
          <w:color w:val="auto"/>
          <w:sz w:val="24"/>
          <w:szCs w:val="24"/>
          <w:highlight w:val="none"/>
        </w:rPr>
      </w:pPr>
      <w:r>
        <w:rPr>
          <w:b/>
          <w:color w:val="auto"/>
          <w:sz w:val="24"/>
          <w:szCs w:val="24"/>
          <w:highlight w:val="none"/>
        </w:rPr>
        <w:t>3.</w:t>
      </w:r>
      <w:r>
        <w:rPr>
          <w:rFonts w:hint="eastAsia" w:hAnsi="宋体"/>
          <w:b/>
          <w:color w:val="auto"/>
          <w:sz w:val="24"/>
          <w:szCs w:val="24"/>
          <w:highlight w:val="none"/>
        </w:rPr>
        <w:t>其他说明</w:t>
      </w:r>
    </w:p>
    <w:p w14:paraId="75441506">
      <w:pPr>
        <w:spacing w:line="400" w:lineRule="exact"/>
        <w:rPr>
          <w:rFonts w:hAnsi="宋体"/>
          <w:color w:val="auto"/>
          <w:sz w:val="24"/>
          <w:szCs w:val="24"/>
          <w:highlight w:val="none"/>
        </w:rPr>
      </w:pPr>
      <w:r>
        <w:rPr>
          <w:b/>
          <w:color w:val="auto"/>
          <w:sz w:val="24"/>
          <w:szCs w:val="24"/>
          <w:highlight w:val="none"/>
        </w:rPr>
        <w:t>3.1</w:t>
      </w:r>
      <w:r>
        <w:rPr>
          <w:rFonts w:hAnsi="宋体"/>
          <w:color w:val="auto"/>
          <w:sz w:val="24"/>
          <w:szCs w:val="24"/>
          <w:highlight w:val="none"/>
        </w:rPr>
        <w:t>不论招标的结果如何，投标人自行承担其参加本次投标有关的全部费用。</w:t>
      </w:r>
    </w:p>
    <w:p w14:paraId="1A278D63">
      <w:pPr>
        <w:spacing w:line="400" w:lineRule="exact"/>
        <w:rPr>
          <w:bCs/>
          <w:color w:val="auto"/>
          <w:sz w:val="24"/>
          <w:szCs w:val="24"/>
          <w:highlight w:val="none"/>
        </w:rPr>
      </w:pPr>
      <w:r>
        <w:rPr>
          <w:rFonts w:hint="eastAsia"/>
          <w:b/>
          <w:color w:val="auto"/>
          <w:sz w:val="24"/>
          <w:szCs w:val="24"/>
          <w:highlight w:val="none"/>
        </w:rPr>
        <w:t>3.2</w:t>
      </w:r>
      <w:r>
        <w:rPr>
          <w:rFonts w:hint="eastAsia"/>
          <w:bCs/>
          <w:color w:val="auto"/>
          <w:sz w:val="24"/>
          <w:szCs w:val="24"/>
          <w:highlight w:val="none"/>
        </w:rPr>
        <w:t xml:space="preserve">  若投标货物或服务是国家实行许可证制度或生产注册证制度的产品或服务，则应具备相应有效的证书。国家规定有标准及规范的，投标货物或服务应按有效的标准及规范执行，并符合国家及招标文件提出的有关技术、质量、安全标准。</w:t>
      </w:r>
    </w:p>
    <w:p w14:paraId="309DDF50">
      <w:pPr>
        <w:spacing w:line="400" w:lineRule="exact"/>
        <w:rPr>
          <w:bCs/>
          <w:color w:val="auto"/>
          <w:sz w:val="24"/>
          <w:szCs w:val="24"/>
          <w:highlight w:val="none"/>
        </w:rPr>
      </w:pPr>
      <w:r>
        <w:rPr>
          <w:rFonts w:hint="eastAsia"/>
          <w:b/>
          <w:color w:val="auto"/>
          <w:sz w:val="24"/>
          <w:szCs w:val="24"/>
          <w:highlight w:val="none"/>
        </w:rPr>
        <w:t>3.3</w:t>
      </w:r>
      <w:r>
        <w:rPr>
          <w:rFonts w:hint="eastAsia"/>
          <w:bCs/>
          <w:color w:val="auto"/>
          <w:sz w:val="24"/>
          <w:szCs w:val="24"/>
          <w:highlight w:val="none"/>
        </w:rPr>
        <w:t>投标人应保证所提供的货物或服务免受第三方提出侵犯其知识产权（专利权、商标权、工业设计权及使用权等）的索赔或起诉，否则，由此可能产生的一切法律责任和经济责任均由投标人承担。</w:t>
      </w:r>
    </w:p>
    <w:p w14:paraId="4B11F19A">
      <w:pPr>
        <w:spacing w:line="400" w:lineRule="exact"/>
        <w:rPr>
          <w:bCs/>
          <w:color w:val="auto"/>
          <w:sz w:val="24"/>
          <w:szCs w:val="24"/>
          <w:highlight w:val="none"/>
        </w:rPr>
      </w:pPr>
      <w:r>
        <w:rPr>
          <w:rFonts w:hint="eastAsia"/>
          <w:b/>
          <w:color w:val="auto"/>
          <w:sz w:val="24"/>
          <w:szCs w:val="24"/>
          <w:highlight w:val="none"/>
        </w:rPr>
        <w:t xml:space="preserve">3.4 </w:t>
      </w:r>
      <w:r>
        <w:rPr>
          <w:rFonts w:hint="eastAsia"/>
          <w:bCs/>
          <w:color w:val="auto"/>
          <w:sz w:val="24"/>
          <w:szCs w:val="24"/>
          <w:highlight w:val="none"/>
        </w:rPr>
        <w:t>采购人优先采购被认定为首台套产品和“制造精品”的自主创新产品；投标人投标时提供相关证明材料，证明其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32D5D24">
      <w:pPr>
        <w:spacing w:line="400" w:lineRule="exact"/>
        <w:rPr>
          <w:bCs/>
          <w:color w:val="auto"/>
          <w:sz w:val="24"/>
          <w:szCs w:val="24"/>
          <w:highlight w:val="none"/>
        </w:rPr>
      </w:pPr>
      <w:r>
        <w:rPr>
          <w:rFonts w:hint="eastAsia"/>
          <w:b/>
          <w:color w:val="auto"/>
          <w:sz w:val="24"/>
          <w:szCs w:val="24"/>
          <w:highlight w:val="none"/>
        </w:rPr>
        <w:t xml:space="preserve">3.5 </w:t>
      </w:r>
      <w:r>
        <w:rPr>
          <w:rFonts w:hint="eastAsia"/>
          <w:bCs/>
          <w:color w:val="auto"/>
          <w:sz w:val="24"/>
          <w:szCs w:val="24"/>
          <w:highlight w:val="none"/>
        </w:rPr>
        <w:t>除银行、保险、石油石化、电力、电信等特殊行业外，法人的分支机构由于不能独立承担民事责任，不能以分支机构的身份参加政府采购，只能以法人身份参加。</w:t>
      </w:r>
    </w:p>
    <w:p w14:paraId="3FBA6834">
      <w:pPr>
        <w:spacing w:line="400" w:lineRule="exact"/>
        <w:jc w:val="center"/>
        <w:rPr>
          <w:rFonts w:eastAsia="方正书宋简体"/>
          <w:color w:val="auto"/>
          <w:highlight w:val="none"/>
        </w:rPr>
      </w:pPr>
    </w:p>
    <w:p w14:paraId="518E2034">
      <w:pPr>
        <w:spacing w:line="400" w:lineRule="exact"/>
        <w:jc w:val="center"/>
        <w:rPr>
          <w:rFonts w:eastAsia="方正书宋简体"/>
          <w:color w:val="auto"/>
          <w:highlight w:val="none"/>
        </w:rPr>
      </w:pPr>
      <w:r>
        <w:rPr>
          <w:b/>
          <w:color w:val="auto"/>
          <w:sz w:val="24"/>
          <w:szCs w:val="24"/>
          <w:highlight w:val="none"/>
        </w:rPr>
        <w:t xml:space="preserve">B  </w:t>
      </w:r>
      <w:r>
        <w:rPr>
          <w:rFonts w:hAnsi="宋体"/>
          <w:b/>
          <w:color w:val="auto"/>
          <w:sz w:val="24"/>
          <w:szCs w:val="24"/>
          <w:highlight w:val="none"/>
        </w:rPr>
        <w:t>招标文件</w:t>
      </w:r>
    </w:p>
    <w:p w14:paraId="4DCAE908">
      <w:pPr>
        <w:spacing w:line="400" w:lineRule="exact"/>
        <w:jc w:val="center"/>
        <w:rPr>
          <w:b/>
          <w:color w:val="auto"/>
          <w:sz w:val="24"/>
          <w:szCs w:val="24"/>
          <w:highlight w:val="none"/>
        </w:rPr>
      </w:pPr>
    </w:p>
    <w:p w14:paraId="0B8F0D67">
      <w:pPr>
        <w:spacing w:line="400" w:lineRule="exact"/>
        <w:rPr>
          <w:color w:val="auto"/>
          <w:sz w:val="24"/>
          <w:szCs w:val="24"/>
          <w:highlight w:val="none"/>
        </w:rPr>
      </w:pPr>
      <w:r>
        <w:rPr>
          <w:b/>
          <w:color w:val="auto"/>
          <w:sz w:val="24"/>
          <w:szCs w:val="24"/>
          <w:highlight w:val="none"/>
        </w:rPr>
        <w:t>4.</w:t>
      </w:r>
      <w:r>
        <w:rPr>
          <w:rFonts w:hAnsi="宋体"/>
          <w:b/>
          <w:color w:val="auto"/>
          <w:sz w:val="24"/>
          <w:szCs w:val="24"/>
          <w:highlight w:val="none"/>
        </w:rPr>
        <w:t>招标文件的构成</w:t>
      </w:r>
    </w:p>
    <w:p w14:paraId="4519EABD">
      <w:pPr>
        <w:spacing w:line="400" w:lineRule="exact"/>
        <w:rPr>
          <w:color w:val="auto"/>
          <w:sz w:val="24"/>
          <w:szCs w:val="24"/>
          <w:highlight w:val="none"/>
        </w:rPr>
      </w:pPr>
      <w:r>
        <w:rPr>
          <w:b/>
          <w:color w:val="auto"/>
          <w:sz w:val="24"/>
          <w:szCs w:val="24"/>
          <w:highlight w:val="none"/>
        </w:rPr>
        <w:t>4.1</w:t>
      </w:r>
      <w:r>
        <w:rPr>
          <w:rFonts w:hAnsi="宋体"/>
          <w:color w:val="auto"/>
          <w:sz w:val="24"/>
          <w:szCs w:val="24"/>
          <w:highlight w:val="none"/>
        </w:rPr>
        <w:t>招标文件共有</w:t>
      </w:r>
      <w:r>
        <w:rPr>
          <w:rFonts w:hint="eastAsia" w:hAnsi="宋体"/>
          <w:color w:val="auto"/>
          <w:sz w:val="24"/>
          <w:szCs w:val="24"/>
          <w:highlight w:val="none"/>
        </w:rPr>
        <w:t>六</w:t>
      </w:r>
      <w:r>
        <w:rPr>
          <w:rFonts w:hAnsi="宋体"/>
          <w:color w:val="auto"/>
          <w:sz w:val="24"/>
          <w:szCs w:val="24"/>
          <w:highlight w:val="none"/>
        </w:rPr>
        <w:t>部分，内容如下：</w:t>
      </w:r>
    </w:p>
    <w:p w14:paraId="02231BCF">
      <w:pPr>
        <w:spacing w:line="400" w:lineRule="exact"/>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一</w:t>
      </w:r>
      <w:r>
        <w:rPr>
          <w:rFonts w:hAnsi="宋体"/>
          <w:color w:val="auto"/>
          <w:sz w:val="24"/>
          <w:szCs w:val="24"/>
          <w:highlight w:val="none"/>
        </w:rPr>
        <w:t xml:space="preserve">部分     </w:t>
      </w:r>
      <w:r>
        <w:rPr>
          <w:rFonts w:hint="eastAsia" w:hAnsi="宋体"/>
          <w:color w:val="auto"/>
          <w:sz w:val="24"/>
          <w:szCs w:val="24"/>
          <w:highlight w:val="none"/>
        </w:rPr>
        <w:t>招标公告</w:t>
      </w:r>
    </w:p>
    <w:p w14:paraId="10C50E59">
      <w:pPr>
        <w:spacing w:line="400" w:lineRule="exact"/>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二</w:t>
      </w:r>
      <w:r>
        <w:rPr>
          <w:rFonts w:hAnsi="宋体"/>
          <w:color w:val="auto"/>
          <w:sz w:val="24"/>
          <w:szCs w:val="24"/>
          <w:highlight w:val="none"/>
        </w:rPr>
        <w:t xml:space="preserve">部分     </w:t>
      </w:r>
      <w:r>
        <w:rPr>
          <w:rFonts w:hint="eastAsia" w:hAnsi="宋体"/>
          <w:color w:val="auto"/>
          <w:sz w:val="24"/>
          <w:szCs w:val="24"/>
          <w:highlight w:val="none"/>
        </w:rPr>
        <w:t>项目要求</w:t>
      </w:r>
    </w:p>
    <w:p w14:paraId="1857A755">
      <w:pPr>
        <w:spacing w:line="400" w:lineRule="exact"/>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三</w:t>
      </w:r>
      <w:r>
        <w:rPr>
          <w:rFonts w:hAnsi="宋体"/>
          <w:color w:val="auto"/>
          <w:sz w:val="24"/>
          <w:szCs w:val="24"/>
          <w:highlight w:val="none"/>
        </w:rPr>
        <w:t xml:space="preserve">部分     </w:t>
      </w:r>
      <w:r>
        <w:rPr>
          <w:rFonts w:hint="eastAsia" w:hAnsi="宋体"/>
          <w:color w:val="auto"/>
          <w:sz w:val="24"/>
          <w:szCs w:val="24"/>
          <w:highlight w:val="none"/>
        </w:rPr>
        <w:t>投标人须知及前附表</w:t>
      </w:r>
    </w:p>
    <w:p w14:paraId="36A02039">
      <w:pPr>
        <w:spacing w:line="400" w:lineRule="exact"/>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四</w:t>
      </w:r>
      <w:r>
        <w:rPr>
          <w:rFonts w:hAnsi="宋体"/>
          <w:color w:val="auto"/>
          <w:sz w:val="24"/>
          <w:szCs w:val="24"/>
          <w:highlight w:val="none"/>
        </w:rPr>
        <w:t>部分     评标</w:t>
      </w:r>
      <w:r>
        <w:rPr>
          <w:rFonts w:hint="eastAsia" w:hAnsi="宋体"/>
          <w:color w:val="auto"/>
          <w:sz w:val="24"/>
          <w:szCs w:val="24"/>
          <w:highlight w:val="none"/>
        </w:rPr>
        <w:t>标准</w:t>
      </w:r>
    </w:p>
    <w:p w14:paraId="694F18A5">
      <w:pPr>
        <w:spacing w:line="400" w:lineRule="exact"/>
        <w:rPr>
          <w:rFonts w:hAnsi="宋体"/>
          <w:color w:val="auto"/>
          <w:sz w:val="24"/>
          <w:szCs w:val="24"/>
          <w:highlight w:val="none"/>
        </w:rPr>
      </w:pPr>
      <w:r>
        <w:rPr>
          <w:rFonts w:hint="eastAsia" w:hAnsi="宋体"/>
          <w:color w:val="auto"/>
          <w:sz w:val="24"/>
          <w:szCs w:val="24"/>
          <w:highlight w:val="none"/>
        </w:rPr>
        <w:t>第五部分合同条款及合同格式</w:t>
      </w:r>
    </w:p>
    <w:p w14:paraId="02054BEC">
      <w:pPr>
        <w:spacing w:line="400" w:lineRule="exact"/>
        <w:rPr>
          <w:rFonts w:hAnsi="宋体"/>
          <w:color w:val="auto"/>
          <w:sz w:val="24"/>
          <w:szCs w:val="24"/>
          <w:highlight w:val="none"/>
        </w:rPr>
      </w:pPr>
      <w:r>
        <w:rPr>
          <w:rFonts w:hint="eastAsia" w:hAnsi="宋体"/>
          <w:color w:val="auto"/>
          <w:sz w:val="24"/>
          <w:szCs w:val="24"/>
          <w:highlight w:val="none"/>
        </w:rPr>
        <w:t>第六部分     附件（投标文件格式）</w:t>
      </w:r>
    </w:p>
    <w:p w14:paraId="29099564">
      <w:pPr>
        <w:spacing w:line="400" w:lineRule="exact"/>
        <w:rPr>
          <w:b/>
          <w:color w:val="auto"/>
          <w:sz w:val="24"/>
          <w:szCs w:val="24"/>
          <w:highlight w:val="none"/>
        </w:rPr>
      </w:pPr>
    </w:p>
    <w:p w14:paraId="77325171">
      <w:pPr>
        <w:spacing w:line="400" w:lineRule="exact"/>
        <w:rPr>
          <w:color w:val="auto"/>
          <w:sz w:val="24"/>
          <w:szCs w:val="24"/>
          <w:highlight w:val="none"/>
        </w:rPr>
      </w:pPr>
      <w:r>
        <w:rPr>
          <w:b/>
          <w:color w:val="auto"/>
          <w:sz w:val="24"/>
          <w:szCs w:val="24"/>
          <w:highlight w:val="none"/>
        </w:rPr>
        <w:t>5.</w:t>
      </w:r>
      <w:r>
        <w:rPr>
          <w:rFonts w:hAnsi="宋体"/>
          <w:b/>
          <w:color w:val="auto"/>
          <w:sz w:val="24"/>
          <w:szCs w:val="24"/>
          <w:highlight w:val="none"/>
        </w:rPr>
        <w:t>招标文件的澄清</w:t>
      </w:r>
      <w:r>
        <w:rPr>
          <w:rFonts w:hint="eastAsia" w:hAnsi="宋体"/>
          <w:b/>
          <w:color w:val="auto"/>
          <w:sz w:val="24"/>
          <w:szCs w:val="24"/>
          <w:highlight w:val="none"/>
        </w:rPr>
        <w:t>与修改</w:t>
      </w:r>
    </w:p>
    <w:p w14:paraId="1BCEF2C7">
      <w:pPr>
        <w:spacing w:line="400" w:lineRule="exact"/>
        <w:rPr>
          <w:rFonts w:hAnsi="宋体"/>
          <w:color w:val="auto"/>
          <w:sz w:val="24"/>
          <w:szCs w:val="24"/>
          <w:highlight w:val="none"/>
        </w:rPr>
      </w:pPr>
      <w:r>
        <w:rPr>
          <w:b/>
          <w:color w:val="auto"/>
          <w:sz w:val="24"/>
          <w:szCs w:val="24"/>
          <w:highlight w:val="none"/>
        </w:rPr>
        <w:t>5.1</w:t>
      </w:r>
      <w:r>
        <w:rPr>
          <w:rFonts w:hAnsi="宋体"/>
          <w:color w:val="auto"/>
          <w:sz w:val="24"/>
          <w:szCs w:val="24"/>
          <w:highlight w:val="none"/>
        </w:rPr>
        <w:t>在投标截止时间前，</w:t>
      </w:r>
      <w:r>
        <w:rPr>
          <w:rFonts w:hint="eastAsia" w:hAnsi="宋体"/>
          <w:color w:val="auto"/>
          <w:sz w:val="24"/>
          <w:szCs w:val="24"/>
          <w:highlight w:val="none"/>
        </w:rPr>
        <w:t>采购人和</w:t>
      </w:r>
      <w:r>
        <w:rPr>
          <w:rFonts w:hAnsi="宋体"/>
          <w:color w:val="auto"/>
          <w:sz w:val="24"/>
          <w:szCs w:val="24"/>
          <w:highlight w:val="none"/>
        </w:rPr>
        <w:t>采购代理公司可用</w:t>
      </w:r>
      <w:r>
        <w:rPr>
          <w:rFonts w:hint="eastAsia" w:hAnsi="宋体"/>
          <w:color w:val="auto"/>
          <w:sz w:val="24"/>
          <w:szCs w:val="24"/>
          <w:highlight w:val="none"/>
        </w:rPr>
        <w:t>招标文件更正公告</w:t>
      </w:r>
      <w:r>
        <w:rPr>
          <w:rFonts w:hAnsi="宋体"/>
          <w:color w:val="auto"/>
          <w:sz w:val="24"/>
          <w:szCs w:val="24"/>
          <w:highlight w:val="none"/>
        </w:rPr>
        <w:t>的方式对已发出的招标文件进行必要的</w:t>
      </w:r>
      <w:r>
        <w:rPr>
          <w:rFonts w:hint="eastAsia" w:hAnsi="宋体"/>
          <w:color w:val="auto"/>
          <w:sz w:val="24"/>
          <w:szCs w:val="24"/>
          <w:highlight w:val="none"/>
        </w:rPr>
        <w:t>澄清与</w:t>
      </w:r>
      <w:r>
        <w:rPr>
          <w:rFonts w:hAnsi="宋体"/>
          <w:color w:val="auto"/>
          <w:sz w:val="24"/>
          <w:szCs w:val="24"/>
          <w:highlight w:val="none"/>
        </w:rPr>
        <w:t>修改，采购代理公司应在投标截止时间</w:t>
      </w:r>
      <w:r>
        <w:rPr>
          <w:color w:val="auto"/>
          <w:sz w:val="24"/>
          <w:szCs w:val="24"/>
          <w:highlight w:val="none"/>
        </w:rPr>
        <w:t>15</w:t>
      </w:r>
      <w:r>
        <w:rPr>
          <w:rFonts w:hAnsi="宋体"/>
          <w:color w:val="auto"/>
          <w:sz w:val="24"/>
          <w:szCs w:val="24"/>
          <w:highlight w:val="none"/>
        </w:rPr>
        <w:t>日前在规定的政府采购信息发布媒体上发布</w:t>
      </w:r>
      <w:r>
        <w:rPr>
          <w:color w:val="auto"/>
          <w:sz w:val="24"/>
          <w:szCs w:val="24"/>
          <w:highlight w:val="none"/>
        </w:rPr>
        <w:t xml:space="preserve"> “</w:t>
      </w:r>
      <w:r>
        <w:rPr>
          <w:rFonts w:hint="eastAsia" w:hAnsi="宋体"/>
          <w:color w:val="auto"/>
          <w:sz w:val="24"/>
          <w:szCs w:val="24"/>
          <w:highlight w:val="none"/>
        </w:rPr>
        <w:t>更正公告</w:t>
      </w:r>
      <w:r>
        <w:rPr>
          <w:color w:val="auto"/>
          <w:sz w:val="24"/>
          <w:szCs w:val="24"/>
          <w:highlight w:val="none"/>
        </w:rPr>
        <w:t>”</w:t>
      </w:r>
      <w:r>
        <w:rPr>
          <w:rFonts w:hAnsi="宋体"/>
          <w:color w:val="auto"/>
          <w:sz w:val="24"/>
          <w:szCs w:val="24"/>
          <w:highlight w:val="none"/>
        </w:rPr>
        <w:t>。</w:t>
      </w:r>
      <w:r>
        <w:rPr>
          <w:rFonts w:hint="eastAsia" w:hAnsi="宋体"/>
          <w:color w:val="auto"/>
          <w:sz w:val="24"/>
          <w:szCs w:val="24"/>
          <w:highlight w:val="none"/>
        </w:rPr>
        <w:t>如发布“更正公告”的时间距投标截止时间不足15日的，则对投标截止时间作相应的延期。</w:t>
      </w:r>
    </w:p>
    <w:p w14:paraId="68177D0E">
      <w:pPr>
        <w:spacing w:line="400" w:lineRule="exact"/>
        <w:rPr>
          <w:b/>
          <w:color w:val="auto"/>
          <w:sz w:val="24"/>
          <w:szCs w:val="24"/>
          <w:highlight w:val="none"/>
        </w:rPr>
      </w:pPr>
      <w:r>
        <w:rPr>
          <w:rFonts w:hint="eastAsia" w:hAnsi="宋体"/>
          <w:b/>
          <w:color w:val="auto"/>
          <w:sz w:val="24"/>
          <w:szCs w:val="24"/>
          <w:highlight w:val="none"/>
        </w:rPr>
        <w:t>5.2</w:t>
      </w:r>
      <w:r>
        <w:rPr>
          <w:rFonts w:hAnsi="宋体"/>
          <w:color w:val="auto"/>
          <w:sz w:val="24"/>
          <w:szCs w:val="24"/>
          <w:highlight w:val="none"/>
        </w:rPr>
        <w:t>这些</w:t>
      </w:r>
      <w:r>
        <w:rPr>
          <w:rFonts w:hint="eastAsia" w:hAnsi="宋体"/>
          <w:color w:val="auto"/>
          <w:sz w:val="24"/>
          <w:szCs w:val="24"/>
          <w:highlight w:val="none"/>
        </w:rPr>
        <w:t>招标文件更正公告</w:t>
      </w:r>
      <w:r>
        <w:rPr>
          <w:rFonts w:hAnsi="宋体"/>
          <w:color w:val="auto"/>
          <w:sz w:val="24"/>
          <w:szCs w:val="24"/>
          <w:highlight w:val="none"/>
        </w:rPr>
        <w:t>是招标文件的组成部分，对</w:t>
      </w:r>
      <w:r>
        <w:rPr>
          <w:rFonts w:hint="eastAsia" w:hAnsi="宋体"/>
          <w:color w:val="auto"/>
          <w:sz w:val="24"/>
          <w:szCs w:val="24"/>
          <w:highlight w:val="none"/>
        </w:rPr>
        <w:t>采购人和</w:t>
      </w:r>
      <w:r>
        <w:rPr>
          <w:rFonts w:hAnsi="宋体"/>
          <w:color w:val="auto"/>
          <w:sz w:val="24"/>
          <w:szCs w:val="24"/>
          <w:highlight w:val="none"/>
        </w:rPr>
        <w:t>投标人有</w:t>
      </w:r>
      <w:r>
        <w:rPr>
          <w:rFonts w:hint="eastAsia" w:hAnsi="宋体"/>
          <w:color w:val="auto"/>
          <w:sz w:val="24"/>
          <w:szCs w:val="24"/>
          <w:highlight w:val="none"/>
        </w:rPr>
        <w:t>同样的</w:t>
      </w:r>
      <w:r>
        <w:rPr>
          <w:rFonts w:hAnsi="宋体"/>
          <w:color w:val="auto"/>
          <w:sz w:val="24"/>
          <w:szCs w:val="24"/>
          <w:highlight w:val="none"/>
        </w:rPr>
        <w:t>约束力。</w:t>
      </w:r>
    </w:p>
    <w:p w14:paraId="7D96E459">
      <w:pPr>
        <w:spacing w:line="400" w:lineRule="exact"/>
        <w:rPr>
          <w:color w:val="auto"/>
          <w:sz w:val="24"/>
          <w:szCs w:val="24"/>
          <w:highlight w:val="none"/>
        </w:rPr>
      </w:pPr>
    </w:p>
    <w:p w14:paraId="6220E596">
      <w:pPr>
        <w:spacing w:line="400" w:lineRule="exact"/>
        <w:rPr>
          <w:rFonts w:hAnsi="宋体"/>
          <w:color w:val="auto"/>
          <w:sz w:val="24"/>
          <w:szCs w:val="24"/>
          <w:highlight w:val="none"/>
        </w:rPr>
      </w:pPr>
      <w:r>
        <w:rPr>
          <w:rFonts w:hint="eastAsia"/>
          <w:b/>
          <w:color w:val="auto"/>
          <w:sz w:val="24"/>
          <w:szCs w:val="24"/>
          <w:highlight w:val="none"/>
        </w:rPr>
        <w:t xml:space="preserve">6. </w:t>
      </w:r>
      <w:r>
        <w:rPr>
          <w:rFonts w:hAnsi="宋体"/>
          <w:color w:val="auto"/>
          <w:sz w:val="24"/>
          <w:szCs w:val="24"/>
          <w:highlight w:val="none"/>
        </w:rPr>
        <w:t>投标人应详细阅读招标文件的全部内容和要求，不按招标文件的要求提供投标文件和资料导致的风险由投标人承担。</w:t>
      </w:r>
    </w:p>
    <w:p w14:paraId="11986010">
      <w:pPr>
        <w:spacing w:line="400" w:lineRule="exact"/>
        <w:rPr>
          <w:color w:val="auto"/>
          <w:sz w:val="24"/>
          <w:szCs w:val="24"/>
          <w:highlight w:val="none"/>
        </w:rPr>
      </w:pPr>
    </w:p>
    <w:p w14:paraId="4D5BCD2C">
      <w:pPr>
        <w:spacing w:line="400" w:lineRule="exact"/>
        <w:jc w:val="center"/>
        <w:rPr>
          <w:color w:val="auto"/>
          <w:sz w:val="24"/>
          <w:szCs w:val="24"/>
          <w:highlight w:val="none"/>
        </w:rPr>
      </w:pPr>
      <w:r>
        <w:rPr>
          <w:b/>
          <w:color w:val="auto"/>
          <w:sz w:val="24"/>
          <w:szCs w:val="24"/>
          <w:highlight w:val="none"/>
        </w:rPr>
        <w:t xml:space="preserve">C  </w:t>
      </w:r>
      <w:r>
        <w:rPr>
          <w:rFonts w:hAnsi="宋体"/>
          <w:b/>
          <w:color w:val="auto"/>
          <w:sz w:val="24"/>
          <w:szCs w:val="24"/>
          <w:highlight w:val="none"/>
        </w:rPr>
        <w:t>投标文件</w:t>
      </w:r>
    </w:p>
    <w:p w14:paraId="18E83EC2">
      <w:pPr>
        <w:spacing w:line="400" w:lineRule="exact"/>
        <w:rPr>
          <w:b/>
          <w:color w:val="auto"/>
          <w:sz w:val="24"/>
          <w:szCs w:val="24"/>
          <w:highlight w:val="none"/>
        </w:rPr>
      </w:pPr>
      <w:r>
        <w:rPr>
          <w:rFonts w:hint="eastAsia"/>
          <w:b/>
          <w:color w:val="auto"/>
          <w:sz w:val="24"/>
          <w:szCs w:val="24"/>
          <w:highlight w:val="none"/>
        </w:rPr>
        <w:t xml:space="preserve">7. </w:t>
      </w:r>
      <w:r>
        <w:rPr>
          <w:b/>
          <w:color w:val="auto"/>
          <w:sz w:val="24"/>
          <w:szCs w:val="24"/>
          <w:highlight w:val="none"/>
          <w:u w:val="single"/>
        </w:rPr>
        <w:t>投标文件的组成</w:t>
      </w:r>
      <w:r>
        <w:rPr>
          <w:b/>
          <w:color w:val="auto"/>
          <w:sz w:val="24"/>
          <w:szCs w:val="24"/>
          <w:highlight w:val="none"/>
        </w:rPr>
        <w:t>：</w:t>
      </w:r>
    </w:p>
    <w:p w14:paraId="604E4791">
      <w:pPr>
        <w:spacing w:line="400" w:lineRule="exact"/>
        <w:ind w:firstLine="480" w:firstLineChars="200"/>
        <w:rPr>
          <w:rFonts w:ascii="Calibri" w:hAnsi="宋体" w:cs="宋体"/>
          <w:color w:val="auto"/>
          <w:sz w:val="24"/>
          <w:szCs w:val="24"/>
          <w:highlight w:val="none"/>
        </w:rPr>
      </w:pPr>
      <w:r>
        <w:rPr>
          <w:rFonts w:hint="eastAsia" w:ascii="Calibri" w:hAnsi="宋体" w:cs="宋体"/>
          <w:color w:val="auto"/>
          <w:sz w:val="24"/>
          <w:szCs w:val="24"/>
          <w:highlight w:val="none"/>
        </w:rPr>
        <w:t>投标文件组成：资格文件、技术商务文件、报价文件，格式详见《第六部分附件（投标文件格式）》。</w:t>
      </w:r>
    </w:p>
    <w:p w14:paraId="121A2236">
      <w:pPr>
        <w:spacing w:line="400" w:lineRule="exact"/>
        <w:ind w:left="399" w:leftChars="190"/>
        <w:rPr>
          <w:rFonts w:ascii="Calibri" w:hAnsi="宋体" w:cs="宋体"/>
          <w:b/>
          <w:bCs/>
          <w:color w:val="auto"/>
          <w:sz w:val="24"/>
          <w:szCs w:val="24"/>
          <w:highlight w:val="none"/>
        </w:rPr>
      </w:pPr>
      <w:r>
        <w:rPr>
          <w:rFonts w:hint="eastAsia" w:ascii="Calibri" w:hAnsi="宋体" w:cs="宋体"/>
          <w:b/>
          <w:bCs/>
          <w:color w:val="auto"/>
          <w:sz w:val="24"/>
          <w:szCs w:val="24"/>
          <w:highlight w:val="none"/>
        </w:rPr>
        <w:t>（一）资格文件：</w:t>
      </w:r>
    </w:p>
    <w:p w14:paraId="257EAE79">
      <w:pPr>
        <w:spacing w:line="400" w:lineRule="exact"/>
        <w:ind w:firstLine="480" w:firstLineChars="200"/>
        <w:rPr>
          <w:rFonts w:ascii="Calibri" w:hAnsi="宋体" w:cs="宋体"/>
          <w:color w:val="auto"/>
          <w:sz w:val="24"/>
          <w:szCs w:val="24"/>
          <w:highlight w:val="none"/>
        </w:rPr>
      </w:pPr>
      <w:r>
        <w:rPr>
          <w:rFonts w:hint="eastAsia" w:ascii="Calibri" w:hAnsi="宋体" w:cs="宋体"/>
          <w:color w:val="auto"/>
          <w:sz w:val="24"/>
          <w:szCs w:val="24"/>
          <w:highlight w:val="none"/>
        </w:rPr>
        <w:t>1、营业执照</w:t>
      </w:r>
    </w:p>
    <w:p w14:paraId="401EFAC7">
      <w:pPr>
        <w:spacing w:line="400" w:lineRule="exact"/>
        <w:ind w:firstLine="480" w:firstLineChars="200"/>
        <w:rPr>
          <w:rFonts w:ascii="Calibri" w:hAnsi="宋体" w:cs="宋体"/>
          <w:color w:val="auto"/>
          <w:sz w:val="24"/>
          <w:szCs w:val="24"/>
          <w:highlight w:val="none"/>
        </w:rPr>
      </w:pPr>
      <w:r>
        <w:rPr>
          <w:rFonts w:hint="eastAsia" w:ascii="Calibri" w:hAnsi="宋体" w:cs="宋体"/>
          <w:color w:val="auto"/>
          <w:sz w:val="24"/>
          <w:szCs w:val="24"/>
          <w:highlight w:val="none"/>
        </w:rPr>
        <w:t>2、合格供应商的资格承诺书</w:t>
      </w:r>
    </w:p>
    <w:p w14:paraId="11CA8BCA">
      <w:pPr>
        <w:spacing w:line="400" w:lineRule="exact"/>
        <w:ind w:firstLine="480" w:firstLineChars="200"/>
        <w:rPr>
          <w:rFonts w:ascii="Calibri" w:hAnsi="宋体" w:cs="宋体"/>
          <w:color w:val="auto"/>
          <w:sz w:val="24"/>
          <w:szCs w:val="24"/>
          <w:highlight w:val="none"/>
        </w:rPr>
      </w:pPr>
      <w:r>
        <w:rPr>
          <w:rFonts w:hint="eastAsia" w:ascii="Calibri" w:hAnsi="宋体" w:cs="宋体"/>
          <w:color w:val="auto"/>
          <w:sz w:val="24"/>
          <w:szCs w:val="24"/>
          <w:highlight w:val="none"/>
        </w:rPr>
        <w:t>3、本项目的特定资格要求（如适用）</w:t>
      </w:r>
    </w:p>
    <w:p w14:paraId="6F8559CF">
      <w:pPr>
        <w:spacing w:line="400" w:lineRule="exact"/>
        <w:ind w:left="399" w:leftChars="190"/>
        <w:rPr>
          <w:rFonts w:ascii="Calibri" w:hAnsi="宋体" w:cs="宋体"/>
          <w:b/>
          <w:bCs/>
          <w:color w:val="auto"/>
          <w:sz w:val="24"/>
          <w:szCs w:val="24"/>
          <w:highlight w:val="none"/>
        </w:rPr>
      </w:pPr>
      <w:r>
        <w:rPr>
          <w:rFonts w:hint="eastAsia" w:ascii="Calibri" w:hAnsi="宋体" w:cs="宋体"/>
          <w:b/>
          <w:bCs/>
          <w:color w:val="auto"/>
          <w:sz w:val="24"/>
          <w:szCs w:val="24"/>
          <w:highlight w:val="none"/>
        </w:rPr>
        <w:t>（二）技术商务文件：</w:t>
      </w:r>
    </w:p>
    <w:p w14:paraId="547903E5">
      <w:pPr>
        <w:spacing w:line="400" w:lineRule="exact"/>
        <w:ind w:firstLine="480" w:firstLineChars="200"/>
        <w:rPr>
          <w:rFonts w:ascii="Calibri" w:hAnsi="宋体" w:cs="宋体"/>
          <w:color w:val="auto"/>
          <w:sz w:val="24"/>
          <w:szCs w:val="24"/>
          <w:highlight w:val="none"/>
        </w:rPr>
      </w:pPr>
      <w:r>
        <w:rPr>
          <w:rFonts w:hint="eastAsia" w:ascii="Calibri" w:hAnsi="宋体" w:cs="宋体"/>
          <w:color w:val="auto"/>
          <w:sz w:val="24"/>
          <w:szCs w:val="24"/>
          <w:highlight w:val="none"/>
        </w:rPr>
        <w:t>1、投标函</w:t>
      </w:r>
    </w:p>
    <w:p w14:paraId="32EE7BD9">
      <w:pPr>
        <w:spacing w:line="400" w:lineRule="exact"/>
        <w:ind w:firstLine="480" w:firstLineChars="200"/>
        <w:rPr>
          <w:rFonts w:ascii="Calibri" w:hAnsi="宋体" w:cs="宋体"/>
          <w:color w:val="auto"/>
          <w:sz w:val="24"/>
          <w:szCs w:val="24"/>
          <w:highlight w:val="none"/>
        </w:rPr>
      </w:pPr>
      <w:r>
        <w:rPr>
          <w:rFonts w:hint="eastAsia" w:ascii="Calibri" w:hAnsi="宋体" w:cs="宋体"/>
          <w:color w:val="auto"/>
          <w:sz w:val="24"/>
          <w:szCs w:val="24"/>
          <w:highlight w:val="none"/>
        </w:rPr>
        <w:t>2、技术条款响应表</w:t>
      </w:r>
    </w:p>
    <w:p w14:paraId="7C008312">
      <w:pPr>
        <w:spacing w:line="400" w:lineRule="exact"/>
        <w:ind w:firstLine="480" w:firstLineChars="200"/>
        <w:rPr>
          <w:rFonts w:ascii="Calibri" w:hAnsi="宋体" w:cs="宋体"/>
          <w:color w:val="auto"/>
          <w:sz w:val="24"/>
          <w:szCs w:val="24"/>
          <w:highlight w:val="none"/>
        </w:rPr>
      </w:pPr>
      <w:r>
        <w:rPr>
          <w:rFonts w:hint="eastAsia" w:ascii="Calibri" w:hAnsi="宋体" w:cs="宋体"/>
          <w:color w:val="auto"/>
          <w:sz w:val="24"/>
          <w:szCs w:val="24"/>
          <w:highlight w:val="none"/>
        </w:rPr>
        <w:t>3、商务条款响应表</w:t>
      </w:r>
    </w:p>
    <w:p w14:paraId="5EBD2691">
      <w:pPr>
        <w:spacing w:line="400" w:lineRule="exact"/>
        <w:ind w:firstLine="480" w:firstLineChars="200"/>
        <w:rPr>
          <w:rFonts w:ascii="Calibri" w:hAnsi="宋体" w:cs="宋体"/>
          <w:color w:val="auto"/>
          <w:sz w:val="24"/>
          <w:szCs w:val="24"/>
          <w:highlight w:val="none"/>
        </w:rPr>
      </w:pPr>
      <w:r>
        <w:rPr>
          <w:rFonts w:hint="eastAsia" w:ascii="Calibri" w:hAnsi="宋体" w:cs="宋体"/>
          <w:color w:val="auto"/>
          <w:sz w:val="24"/>
          <w:szCs w:val="24"/>
          <w:highlight w:val="none"/>
        </w:rPr>
        <w:t>4、法定代表人授权书或法定代表人身份证明</w:t>
      </w:r>
    </w:p>
    <w:p w14:paraId="05B38838">
      <w:pPr>
        <w:spacing w:line="400" w:lineRule="exact"/>
        <w:ind w:firstLine="480" w:firstLineChars="200"/>
        <w:rPr>
          <w:rFonts w:ascii="Calibri" w:hAnsi="宋体" w:cs="宋体"/>
          <w:color w:val="auto"/>
          <w:sz w:val="24"/>
          <w:szCs w:val="24"/>
          <w:highlight w:val="none"/>
        </w:rPr>
      </w:pPr>
      <w:r>
        <w:rPr>
          <w:rFonts w:hint="eastAsia" w:ascii="Calibri" w:hAnsi="宋体" w:cs="宋体"/>
          <w:color w:val="auto"/>
          <w:sz w:val="24"/>
          <w:szCs w:val="24"/>
          <w:highlight w:val="none"/>
        </w:rPr>
        <w:t>5、售后服务承诺书</w:t>
      </w:r>
    </w:p>
    <w:p w14:paraId="69DAB362">
      <w:pPr>
        <w:spacing w:line="400" w:lineRule="exact"/>
        <w:ind w:firstLine="480" w:firstLineChars="200"/>
        <w:rPr>
          <w:rFonts w:ascii="Calibri" w:hAnsi="宋体" w:cs="宋体"/>
          <w:color w:val="auto"/>
          <w:sz w:val="24"/>
          <w:szCs w:val="24"/>
          <w:highlight w:val="none"/>
        </w:rPr>
      </w:pPr>
      <w:r>
        <w:rPr>
          <w:rFonts w:hint="eastAsia" w:ascii="Calibri" w:hAnsi="宋体" w:cs="宋体"/>
          <w:color w:val="auto"/>
          <w:sz w:val="24"/>
          <w:szCs w:val="24"/>
          <w:highlight w:val="none"/>
        </w:rPr>
        <w:t>6、同类项目业绩表</w:t>
      </w:r>
    </w:p>
    <w:p w14:paraId="691EC781">
      <w:pPr>
        <w:spacing w:line="400" w:lineRule="exact"/>
        <w:ind w:firstLine="480" w:firstLineChars="200"/>
        <w:rPr>
          <w:rFonts w:ascii="Calibri" w:hAnsi="宋体" w:cs="宋体"/>
          <w:color w:val="auto"/>
          <w:sz w:val="24"/>
          <w:szCs w:val="24"/>
          <w:highlight w:val="none"/>
          <w:lang w:val="zh-CN"/>
        </w:rPr>
      </w:pPr>
      <w:r>
        <w:rPr>
          <w:rFonts w:hint="eastAsia" w:ascii="Calibri" w:hAnsi="宋体" w:cs="宋体"/>
          <w:color w:val="auto"/>
          <w:sz w:val="24"/>
          <w:szCs w:val="24"/>
          <w:highlight w:val="none"/>
        </w:rPr>
        <w:t>7、</w:t>
      </w:r>
      <w:r>
        <w:rPr>
          <w:rFonts w:hint="eastAsia" w:ascii="Calibri" w:hAnsi="宋体" w:cs="宋体"/>
          <w:color w:val="auto"/>
          <w:sz w:val="24"/>
          <w:szCs w:val="24"/>
          <w:highlight w:val="none"/>
          <w:lang w:val="zh-CN"/>
        </w:rPr>
        <w:t>政府采购供应商廉洁自律承诺书</w:t>
      </w:r>
    </w:p>
    <w:p w14:paraId="798B0AF2">
      <w:pPr>
        <w:spacing w:line="400" w:lineRule="exact"/>
        <w:ind w:firstLine="480" w:firstLineChars="200"/>
        <w:rPr>
          <w:rFonts w:ascii="Calibri" w:hAnsi="宋体" w:cs="宋体"/>
          <w:color w:val="auto"/>
          <w:sz w:val="24"/>
          <w:szCs w:val="24"/>
          <w:highlight w:val="none"/>
        </w:rPr>
      </w:pPr>
      <w:r>
        <w:rPr>
          <w:rFonts w:hint="eastAsia" w:ascii="Calibri" w:hAnsi="宋体" w:cs="宋体"/>
          <w:color w:val="auto"/>
          <w:sz w:val="24"/>
          <w:szCs w:val="24"/>
          <w:highlight w:val="none"/>
        </w:rPr>
        <w:t>8、</w:t>
      </w:r>
      <w:r>
        <w:rPr>
          <w:rFonts w:hint="eastAsia" w:hAnsi="宋体"/>
          <w:color w:val="auto"/>
          <w:sz w:val="24"/>
          <w:szCs w:val="24"/>
          <w:highlight w:val="none"/>
        </w:rPr>
        <w:t>招标文件要求或投标人认为需要提供的其他资料</w:t>
      </w:r>
    </w:p>
    <w:p w14:paraId="4F3A9F5B">
      <w:pPr>
        <w:spacing w:line="400" w:lineRule="exact"/>
        <w:ind w:left="399" w:leftChars="190"/>
        <w:rPr>
          <w:rFonts w:ascii="Calibri" w:hAnsi="宋体" w:cs="宋体"/>
          <w:b/>
          <w:bCs/>
          <w:color w:val="auto"/>
          <w:sz w:val="24"/>
          <w:szCs w:val="24"/>
          <w:highlight w:val="none"/>
        </w:rPr>
      </w:pPr>
      <w:r>
        <w:rPr>
          <w:rFonts w:hint="eastAsia" w:ascii="Calibri" w:hAnsi="宋体" w:cs="宋体"/>
          <w:b/>
          <w:bCs/>
          <w:color w:val="auto"/>
          <w:sz w:val="24"/>
          <w:szCs w:val="24"/>
          <w:highlight w:val="none"/>
        </w:rPr>
        <w:t>（三）报价文件</w:t>
      </w:r>
    </w:p>
    <w:p w14:paraId="355A3C0D">
      <w:pPr>
        <w:spacing w:line="400" w:lineRule="exact"/>
        <w:ind w:firstLine="480" w:firstLineChars="200"/>
        <w:rPr>
          <w:rFonts w:ascii="Calibri" w:hAnsi="宋体" w:cs="宋体"/>
          <w:color w:val="auto"/>
          <w:sz w:val="24"/>
          <w:szCs w:val="24"/>
          <w:highlight w:val="none"/>
        </w:rPr>
      </w:pPr>
      <w:r>
        <w:rPr>
          <w:rFonts w:hint="eastAsia" w:ascii="Calibri" w:hAnsi="宋体" w:cs="宋体"/>
          <w:color w:val="auto"/>
          <w:sz w:val="24"/>
          <w:szCs w:val="24"/>
          <w:highlight w:val="none"/>
        </w:rPr>
        <w:t>1、开标一览表</w:t>
      </w:r>
    </w:p>
    <w:p w14:paraId="3D8A1B3B">
      <w:pPr>
        <w:spacing w:line="400" w:lineRule="exact"/>
        <w:ind w:firstLine="480" w:firstLineChars="200"/>
        <w:rPr>
          <w:rFonts w:ascii="Calibri" w:hAnsi="宋体" w:cs="宋体"/>
          <w:color w:val="auto"/>
          <w:sz w:val="24"/>
          <w:szCs w:val="24"/>
          <w:highlight w:val="none"/>
        </w:rPr>
      </w:pPr>
      <w:r>
        <w:rPr>
          <w:rFonts w:hint="eastAsia" w:ascii="Calibri" w:hAnsi="宋体" w:cs="宋体"/>
          <w:color w:val="auto"/>
          <w:sz w:val="24"/>
          <w:szCs w:val="24"/>
          <w:highlight w:val="none"/>
        </w:rPr>
        <w:t>2、分项报价表</w:t>
      </w:r>
    </w:p>
    <w:p w14:paraId="512AD780">
      <w:pPr>
        <w:spacing w:line="400" w:lineRule="exact"/>
        <w:ind w:firstLine="480" w:firstLineChars="200"/>
        <w:rPr>
          <w:rFonts w:ascii="Calibri" w:hAnsi="宋体" w:cs="宋体"/>
          <w:color w:val="auto"/>
          <w:sz w:val="24"/>
          <w:szCs w:val="24"/>
          <w:highlight w:val="none"/>
        </w:rPr>
      </w:pPr>
      <w:r>
        <w:rPr>
          <w:rFonts w:hint="eastAsia" w:ascii="Calibri" w:hAnsi="宋体" w:cs="宋体"/>
          <w:color w:val="auto"/>
          <w:sz w:val="24"/>
          <w:szCs w:val="24"/>
          <w:highlight w:val="none"/>
        </w:rPr>
        <w:t>3、中小企业声明函（或残疾人福利性单位声明函，或监狱企业的证明文件）</w:t>
      </w:r>
    </w:p>
    <w:p w14:paraId="46CAAC14">
      <w:pPr>
        <w:spacing w:line="400" w:lineRule="exact"/>
        <w:rPr>
          <w:b/>
          <w:color w:val="auto"/>
          <w:sz w:val="24"/>
          <w:szCs w:val="24"/>
          <w:highlight w:val="none"/>
        </w:rPr>
      </w:pPr>
    </w:p>
    <w:p w14:paraId="07039FCB">
      <w:pPr>
        <w:spacing w:line="400" w:lineRule="exact"/>
        <w:rPr>
          <w:b/>
          <w:color w:val="auto"/>
          <w:sz w:val="24"/>
          <w:szCs w:val="24"/>
          <w:highlight w:val="none"/>
        </w:rPr>
      </w:pPr>
      <w:r>
        <w:rPr>
          <w:b/>
          <w:color w:val="auto"/>
          <w:sz w:val="24"/>
          <w:szCs w:val="24"/>
          <w:highlight w:val="none"/>
        </w:rPr>
        <w:t xml:space="preserve">8.  </w:t>
      </w:r>
      <w:r>
        <w:rPr>
          <w:rFonts w:hAnsi="宋体"/>
          <w:b/>
          <w:color w:val="auto"/>
          <w:sz w:val="24"/>
          <w:szCs w:val="24"/>
          <w:highlight w:val="none"/>
        </w:rPr>
        <w:t>投标报价</w:t>
      </w:r>
    </w:p>
    <w:p w14:paraId="767F06E4">
      <w:pPr>
        <w:spacing w:line="400" w:lineRule="exact"/>
        <w:rPr>
          <w:color w:val="auto"/>
          <w:sz w:val="24"/>
          <w:szCs w:val="24"/>
          <w:highlight w:val="none"/>
        </w:rPr>
      </w:pPr>
      <w:r>
        <w:rPr>
          <w:b/>
          <w:color w:val="auto"/>
          <w:sz w:val="24"/>
          <w:szCs w:val="24"/>
          <w:highlight w:val="none"/>
        </w:rPr>
        <w:t>8.1</w:t>
      </w:r>
      <w:r>
        <w:rPr>
          <w:rFonts w:hAnsi="宋体"/>
          <w:color w:val="auto"/>
          <w:sz w:val="24"/>
          <w:szCs w:val="24"/>
          <w:highlight w:val="none"/>
        </w:rPr>
        <w:t>所有投标报价必须以人民币报价，</w:t>
      </w:r>
      <w:r>
        <w:rPr>
          <w:rFonts w:hint="eastAsia" w:hAnsi="宋体"/>
          <w:color w:val="auto"/>
          <w:sz w:val="24"/>
          <w:szCs w:val="24"/>
          <w:highlight w:val="none"/>
        </w:rPr>
        <w:t>具体要求详见《前附表》中规定</w:t>
      </w:r>
      <w:r>
        <w:rPr>
          <w:rFonts w:hAnsi="宋体"/>
          <w:color w:val="auto"/>
          <w:sz w:val="24"/>
          <w:szCs w:val="24"/>
          <w:highlight w:val="none"/>
        </w:rPr>
        <w:t>。</w:t>
      </w:r>
    </w:p>
    <w:p w14:paraId="4B2CAF4A">
      <w:pPr>
        <w:spacing w:line="400" w:lineRule="exact"/>
        <w:rPr>
          <w:color w:val="auto"/>
          <w:sz w:val="24"/>
          <w:szCs w:val="24"/>
          <w:highlight w:val="none"/>
        </w:rPr>
      </w:pPr>
      <w:r>
        <w:rPr>
          <w:b/>
          <w:color w:val="auto"/>
          <w:sz w:val="24"/>
          <w:szCs w:val="24"/>
          <w:highlight w:val="none"/>
        </w:rPr>
        <w:t xml:space="preserve">8.2  </w:t>
      </w:r>
      <w:r>
        <w:rPr>
          <w:rFonts w:hAnsi="宋体"/>
          <w:color w:val="auto"/>
          <w:sz w:val="24"/>
          <w:szCs w:val="24"/>
          <w:highlight w:val="none"/>
        </w:rPr>
        <w:t>投标人要按</w:t>
      </w:r>
      <w:r>
        <w:rPr>
          <w:rFonts w:hint="eastAsia" w:hAnsi="宋体"/>
          <w:color w:val="auto"/>
          <w:sz w:val="24"/>
          <w:szCs w:val="24"/>
          <w:highlight w:val="none"/>
        </w:rPr>
        <w:t>“</w:t>
      </w:r>
      <w:r>
        <w:rPr>
          <w:rFonts w:hAnsi="宋体"/>
          <w:color w:val="auto"/>
          <w:sz w:val="24"/>
          <w:szCs w:val="24"/>
          <w:highlight w:val="none"/>
        </w:rPr>
        <w:t>分项报价表</w:t>
      </w:r>
      <w:r>
        <w:rPr>
          <w:rFonts w:hint="eastAsia" w:hAnsi="宋体"/>
          <w:color w:val="auto"/>
          <w:sz w:val="24"/>
          <w:szCs w:val="24"/>
          <w:highlight w:val="none"/>
        </w:rPr>
        <w:t>”</w:t>
      </w:r>
      <w:r>
        <w:rPr>
          <w:rFonts w:hAnsi="宋体"/>
          <w:color w:val="auto"/>
          <w:sz w:val="24"/>
          <w:szCs w:val="24"/>
          <w:highlight w:val="none"/>
        </w:rPr>
        <w:t>的格式和内容完整填写单价、总价及其他事项，并由法定代表人或授权代表签署。</w:t>
      </w:r>
    </w:p>
    <w:p w14:paraId="0D5E4E0B">
      <w:pPr>
        <w:spacing w:line="400" w:lineRule="exact"/>
        <w:rPr>
          <w:color w:val="auto"/>
          <w:sz w:val="24"/>
          <w:szCs w:val="24"/>
          <w:highlight w:val="none"/>
        </w:rPr>
      </w:pPr>
      <w:r>
        <w:rPr>
          <w:b/>
          <w:color w:val="auto"/>
          <w:sz w:val="24"/>
          <w:szCs w:val="24"/>
          <w:highlight w:val="none"/>
        </w:rPr>
        <w:t>8.</w:t>
      </w:r>
      <w:r>
        <w:rPr>
          <w:rFonts w:hint="eastAsia"/>
          <w:b/>
          <w:color w:val="auto"/>
          <w:sz w:val="24"/>
          <w:szCs w:val="24"/>
          <w:highlight w:val="none"/>
        </w:rPr>
        <w:t>3</w:t>
      </w:r>
      <w:r>
        <w:rPr>
          <w:rFonts w:hint="eastAsia" w:hAnsi="宋体"/>
          <w:color w:val="auto"/>
          <w:sz w:val="24"/>
          <w:szCs w:val="24"/>
          <w:highlight w:val="none"/>
        </w:rPr>
        <w:t>每个子包</w:t>
      </w:r>
      <w:r>
        <w:rPr>
          <w:rFonts w:hAnsi="宋体"/>
          <w:color w:val="auto"/>
          <w:sz w:val="24"/>
          <w:szCs w:val="24"/>
          <w:highlight w:val="none"/>
        </w:rPr>
        <w:t>应该只有一个投标报价</w:t>
      </w:r>
      <w:r>
        <w:rPr>
          <w:rFonts w:hint="eastAsia"/>
          <w:color w:val="auto"/>
          <w:sz w:val="24"/>
          <w:szCs w:val="24"/>
          <w:highlight w:val="none"/>
        </w:rPr>
        <w:t>，</w:t>
      </w:r>
      <w:r>
        <w:rPr>
          <w:rFonts w:hAnsi="宋体"/>
          <w:color w:val="auto"/>
          <w:sz w:val="24"/>
          <w:szCs w:val="24"/>
          <w:highlight w:val="none"/>
        </w:rPr>
        <w:t>而且一经开标，投标</w:t>
      </w:r>
      <w:r>
        <w:rPr>
          <w:rFonts w:hint="eastAsia" w:hAnsi="宋体"/>
          <w:color w:val="auto"/>
          <w:sz w:val="24"/>
          <w:szCs w:val="24"/>
          <w:highlight w:val="none"/>
        </w:rPr>
        <w:t>报</w:t>
      </w:r>
      <w:r>
        <w:rPr>
          <w:rFonts w:hAnsi="宋体"/>
          <w:color w:val="auto"/>
          <w:sz w:val="24"/>
          <w:szCs w:val="24"/>
          <w:highlight w:val="none"/>
        </w:rPr>
        <w:t>价不得变更。如果</w:t>
      </w:r>
      <w:r>
        <w:rPr>
          <w:rFonts w:hint="eastAsia" w:hAnsi="宋体"/>
          <w:color w:val="auto"/>
          <w:sz w:val="24"/>
          <w:szCs w:val="24"/>
          <w:highlight w:val="none"/>
        </w:rPr>
        <w:t>一个子包</w:t>
      </w:r>
      <w:r>
        <w:rPr>
          <w:rFonts w:hAnsi="宋体"/>
          <w:color w:val="auto"/>
          <w:sz w:val="24"/>
          <w:szCs w:val="24"/>
          <w:highlight w:val="none"/>
        </w:rPr>
        <w:t>出现有两个及以上的报价又未声明以哪一报价方案为主</w:t>
      </w:r>
      <w:r>
        <w:rPr>
          <w:rFonts w:hint="eastAsia"/>
          <w:color w:val="auto"/>
          <w:sz w:val="24"/>
          <w:szCs w:val="24"/>
          <w:highlight w:val="none"/>
        </w:rPr>
        <w:t>，</w:t>
      </w:r>
      <w:r>
        <w:rPr>
          <w:rFonts w:hAnsi="宋体"/>
          <w:color w:val="auto"/>
          <w:sz w:val="24"/>
          <w:szCs w:val="24"/>
          <w:highlight w:val="none"/>
        </w:rPr>
        <w:t>则</w:t>
      </w:r>
      <w:r>
        <w:rPr>
          <w:rFonts w:hint="eastAsia" w:hAnsi="宋体"/>
          <w:color w:val="auto"/>
          <w:sz w:val="24"/>
          <w:szCs w:val="24"/>
          <w:highlight w:val="none"/>
        </w:rPr>
        <w:t>投标无效</w:t>
      </w:r>
      <w:r>
        <w:rPr>
          <w:rFonts w:hAnsi="宋体"/>
          <w:color w:val="auto"/>
          <w:sz w:val="24"/>
          <w:szCs w:val="24"/>
          <w:highlight w:val="none"/>
        </w:rPr>
        <w:t>。</w:t>
      </w:r>
    </w:p>
    <w:p w14:paraId="1729C412">
      <w:pPr>
        <w:spacing w:line="400" w:lineRule="exact"/>
        <w:rPr>
          <w:rFonts w:hAnsi="宋体"/>
          <w:color w:val="auto"/>
          <w:sz w:val="24"/>
          <w:szCs w:val="24"/>
          <w:highlight w:val="none"/>
        </w:rPr>
      </w:pPr>
      <w:r>
        <w:rPr>
          <w:b/>
          <w:color w:val="auto"/>
          <w:sz w:val="24"/>
          <w:szCs w:val="24"/>
          <w:highlight w:val="none"/>
        </w:rPr>
        <w:t>8.</w:t>
      </w:r>
      <w:r>
        <w:rPr>
          <w:rFonts w:hint="eastAsia"/>
          <w:b/>
          <w:color w:val="auto"/>
          <w:sz w:val="24"/>
          <w:szCs w:val="24"/>
          <w:highlight w:val="none"/>
        </w:rPr>
        <w:t>4</w:t>
      </w:r>
      <w:r>
        <w:rPr>
          <w:rFonts w:hAnsi="宋体"/>
          <w:color w:val="auto"/>
          <w:sz w:val="24"/>
          <w:szCs w:val="24"/>
          <w:highlight w:val="none"/>
        </w:rPr>
        <w:t>投标报价在合同执行过程中是固定不变的，投标人不得以任何理由予以变更。任何包含价格调整要求的投标，将被认为是非实质性响应的投标而</w:t>
      </w:r>
      <w:r>
        <w:rPr>
          <w:rFonts w:hint="eastAsia" w:hAnsi="宋体"/>
          <w:color w:val="auto"/>
          <w:sz w:val="24"/>
          <w:szCs w:val="24"/>
          <w:highlight w:val="none"/>
        </w:rPr>
        <w:t>导致投标无效</w:t>
      </w:r>
      <w:r>
        <w:rPr>
          <w:rFonts w:hAnsi="宋体"/>
          <w:color w:val="auto"/>
          <w:sz w:val="24"/>
          <w:szCs w:val="24"/>
          <w:highlight w:val="none"/>
        </w:rPr>
        <w:t>。</w:t>
      </w:r>
    </w:p>
    <w:p w14:paraId="64A27035">
      <w:pPr>
        <w:spacing w:line="400" w:lineRule="exact"/>
        <w:rPr>
          <w:color w:val="auto"/>
          <w:sz w:val="24"/>
          <w:szCs w:val="24"/>
          <w:highlight w:val="none"/>
        </w:rPr>
      </w:pPr>
    </w:p>
    <w:p w14:paraId="2F042E1F">
      <w:pPr>
        <w:spacing w:line="400" w:lineRule="exact"/>
        <w:rPr>
          <w:color w:val="auto"/>
          <w:sz w:val="24"/>
          <w:szCs w:val="24"/>
          <w:highlight w:val="none"/>
        </w:rPr>
      </w:pPr>
      <w:r>
        <w:rPr>
          <w:b/>
          <w:color w:val="auto"/>
          <w:sz w:val="24"/>
          <w:szCs w:val="24"/>
          <w:highlight w:val="none"/>
        </w:rPr>
        <w:t xml:space="preserve">9. </w:t>
      </w:r>
      <w:r>
        <w:rPr>
          <w:rFonts w:hAnsi="宋体"/>
          <w:b/>
          <w:color w:val="auto"/>
          <w:sz w:val="24"/>
          <w:szCs w:val="24"/>
          <w:highlight w:val="none"/>
        </w:rPr>
        <w:t>投标文件格式和编写</w:t>
      </w:r>
    </w:p>
    <w:p w14:paraId="49617550">
      <w:pPr>
        <w:spacing w:line="400" w:lineRule="exact"/>
        <w:rPr>
          <w:color w:val="auto"/>
          <w:sz w:val="24"/>
          <w:szCs w:val="24"/>
          <w:highlight w:val="none"/>
        </w:rPr>
      </w:pPr>
      <w:r>
        <w:rPr>
          <w:b/>
          <w:color w:val="auto"/>
          <w:sz w:val="24"/>
          <w:szCs w:val="24"/>
          <w:highlight w:val="none"/>
        </w:rPr>
        <w:t>9.1</w:t>
      </w:r>
      <w:r>
        <w:rPr>
          <w:rFonts w:hAnsi="宋体"/>
          <w:color w:val="auto"/>
          <w:sz w:val="24"/>
          <w:szCs w:val="24"/>
          <w:highlight w:val="none"/>
        </w:rPr>
        <w:t>投标</w:t>
      </w:r>
      <w:r>
        <w:rPr>
          <w:rFonts w:hint="eastAsia" w:hAnsi="宋体"/>
          <w:color w:val="auto"/>
          <w:sz w:val="24"/>
          <w:szCs w:val="24"/>
          <w:highlight w:val="none"/>
        </w:rPr>
        <w:t>文件</w:t>
      </w:r>
      <w:r>
        <w:rPr>
          <w:rFonts w:hAnsi="宋体"/>
          <w:color w:val="auto"/>
          <w:sz w:val="24"/>
          <w:szCs w:val="24"/>
          <w:highlight w:val="none"/>
        </w:rPr>
        <w:t>按</w:t>
      </w:r>
      <w:r>
        <w:rPr>
          <w:rFonts w:hint="eastAsia" w:hAnsi="宋体"/>
          <w:color w:val="auto"/>
          <w:sz w:val="24"/>
          <w:szCs w:val="24"/>
          <w:highlight w:val="none"/>
        </w:rPr>
        <w:t>招标文件第六部分附件（投标文件格式）的规定</w:t>
      </w:r>
      <w:r>
        <w:rPr>
          <w:rFonts w:hAnsi="宋体"/>
          <w:color w:val="auto"/>
          <w:sz w:val="24"/>
          <w:szCs w:val="24"/>
          <w:highlight w:val="none"/>
        </w:rPr>
        <w:t>统一填写</w:t>
      </w:r>
      <w:r>
        <w:rPr>
          <w:rFonts w:hint="eastAsia" w:hAnsi="宋体"/>
          <w:color w:val="auto"/>
          <w:sz w:val="24"/>
          <w:szCs w:val="24"/>
          <w:highlight w:val="none"/>
        </w:rPr>
        <w:t>编制</w:t>
      </w:r>
      <w:r>
        <w:rPr>
          <w:rFonts w:hAnsi="宋体"/>
          <w:color w:val="auto"/>
          <w:sz w:val="24"/>
          <w:szCs w:val="24"/>
          <w:highlight w:val="none"/>
        </w:rPr>
        <w:t>。</w:t>
      </w:r>
    </w:p>
    <w:p w14:paraId="551C3563">
      <w:pPr>
        <w:spacing w:line="400" w:lineRule="exact"/>
        <w:rPr>
          <w:b/>
          <w:color w:val="auto"/>
          <w:sz w:val="24"/>
          <w:szCs w:val="24"/>
          <w:highlight w:val="none"/>
        </w:rPr>
      </w:pPr>
      <w:r>
        <w:rPr>
          <w:b/>
          <w:color w:val="auto"/>
          <w:sz w:val="24"/>
          <w:szCs w:val="24"/>
          <w:highlight w:val="none"/>
        </w:rPr>
        <w:t xml:space="preserve">9.2  </w:t>
      </w:r>
      <w:r>
        <w:rPr>
          <w:rFonts w:hAnsi="宋体"/>
          <w:color w:val="auto"/>
          <w:sz w:val="24"/>
          <w:szCs w:val="24"/>
          <w:highlight w:val="none"/>
        </w:rPr>
        <w:t>投标语言：中文，当不同文字文本投标文件的解释发生异议的，以中文文本为准。</w:t>
      </w:r>
    </w:p>
    <w:p w14:paraId="10DCD861">
      <w:pPr>
        <w:spacing w:line="400" w:lineRule="exact"/>
        <w:rPr>
          <w:color w:val="auto"/>
          <w:sz w:val="24"/>
          <w:szCs w:val="24"/>
          <w:highlight w:val="none"/>
        </w:rPr>
      </w:pPr>
      <w:r>
        <w:rPr>
          <w:b/>
          <w:color w:val="auto"/>
          <w:sz w:val="24"/>
          <w:szCs w:val="24"/>
          <w:highlight w:val="none"/>
        </w:rPr>
        <w:t xml:space="preserve">9.3 </w:t>
      </w:r>
      <w:r>
        <w:rPr>
          <w:rFonts w:hAnsi="宋体"/>
          <w:color w:val="auto"/>
          <w:sz w:val="24"/>
          <w:szCs w:val="24"/>
          <w:highlight w:val="none"/>
        </w:rPr>
        <w:t>开标一览表系在开标仪式上唱标的内容，应按格式完整填写，不得自行增减内容。</w:t>
      </w:r>
    </w:p>
    <w:p w14:paraId="3D7002D9">
      <w:pPr>
        <w:spacing w:line="400" w:lineRule="exact"/>
        <w:rPr>
          <w:color w:val="auto"/>
          <w:sz w:val="24"/>
          <w:szCs w:val="24"/>
          <w:highlight w:val="none"/>
        </w:rPr>
      </w:pPr>
      <w:r>
        <w:rPr>
          <w:b/>
          <w:color w:val="auto"/>
          <w:sz w:val="24"/>
          <w:szCs w:val="24"/>
          <w:highlight w:val="none"/>
        </w:rPr>
        <w:t>9.</w:t>
      </w:r>
      <w:r>
        <w:rPr>
          <w:rFonts w:hint="eastAsia"/>
          <w:b/>
          <w:color w:val="auto"/>
          <w:sz w:val="24"/>
          <w:szCs w:val="24"/>
          <w:highlight w:val="none"/>
        </w:rPr>
        <w:t>4</w:t>
      </w:r>
      <w:r>
        <w:rPr>
          <w:rFonts w:hAnsi="宋体"/>
          <w:color w:val="auto"/>
          <w:sz w:val="24"/>
          <w:szCs w:val="24"/>
          <w:highlight w:val="none"/>
        </w:rPr>
        <w:t>投标人应注意，在</w:t>
      </w:r>
      <w:r>
        <w:rPr>
          <w:rFonts w:hint="eastAsia" w:hAnsi="宋体"/>
          <w:color w:val="auto"/>
          <w:sz w:val="24"/>
          <w:szCs w:val="24"/>
          <w:highlight w:val="none"/>
        </w:rPr>
        <w:t>招标文件项目要求的</w:t>
      </w:r>
      <w:r>
        <w:rPr>
          <w:rFonts w:hAnsi="宋体"/>
          <w:color w:val="auto"/>
          <w:sz w:val="24"/>
          <w:szCs w:val="24"/>
          <w:highlight w:val="none"/>
        </w:rPr>
        <w:t>技术规格中指出的工艺材料和设备的标准以及参照的</w:t>
      </w:r>
      <w:r>
        <w:rPr>
          <w:rFonts w:hint="eastAsia" w:hAnsi="宋体"/>
          <w:color w:val="auto"/>
          <w:sz w:val="24"/>
          <w:szCs w:val="24"/>
          <w:highlight w:val="none"/>
        </w:rPr>
        <w:t>品牌</w:t>
      </w:r>
      <w:r>
        <w:rPr>
          <w:rFonts w:hAnsi="宋体"/>
          <w:color w:val="auto"/>
          <w:sz w:val="24"/>
          <w:szCs w:val="24"/>
          <w:highlight w:val="none"/>
        </w:rPr>
        <w:t>或分类号仅起说明作用，并没有任何限制性，投标人在投标中可以选用替代标准</w:t>
      </w:r>
      <w:r>
        <w:rPr>
          <w:rFonts w:hint="eastAsia" w:hAnsi="宋体"/>
          <w:color w:val="auto"/>
          <w:sz w:val="24"/>
          <w:szCs w:val="24"/>
          <w:highlight w:val="none"/>
        </w:rPr>
        <w:t>品牌</w:t>
      </w:r>
      <w:r>
        <w:rPr>
          <w:rFonts w:hAnsi="宋体"/>
          <w:color w:val="auto"/>
          <w:sz w:val="24"/>
          <w:szCs w:val="24"/>
          <w:highlight w:val="none"/>
        </w:rPr>
        <w:t>或分类号，但这些替代要实质上优于或相当于招标技术</w:t>
      </w:r>
      <w:r>
        <w:rPr>
          <w:rFonts w:hint="eastAsia" w:hAnsi="宋体"/>
          <w:color w:val="auto"/>
          <w:sz w:val="24"/>
          <w:szCs w:val="24"/>
          <w:highlight w:val="none"/>
        </w:rPr>
        <w:t>参数</w:t>
      </w:r>
      <w:r>
        <w:rPr>
          <w:rFonts w:hAnsi="宋体"/>
          <w:color w:val="auto"/>
          <w:sz w:val="24"/>
          <w:szCs w:val="24"/>
          <w:highlight w:val="none"/>
        </w:rPr>
        <w:t>的要求。</w:t>
      </w:r>
    </w:p>
    <w:p w14:paraId="464C6E0A">
      <w:pPr>
        <w:spacing w:line="400" w:lineRule="exact"/>
        <w:rPr>
          <w:color w:val="auto"/>
          <w:sz w:val="24"/>
          <w:szCs w:val="24"/>
          <w:highlight w:val="none"/>
        </w:rPr>
      </w:pPr>
    </w:p>
    <w:p w14:paraId="0AE03C84">
      <w:pPr>
        <w:spacing w:line="400" w:lineRule="exact"/>
        <w:rPr>
          <w:rFonts w:hAnsi="宋体"/>
          <w:b/>
          <w:color w:val="auto"/>
          <w:sz w:val="24"/>
          <w:szCs w:val="24"/>
          <w:highlight w:val="none"/>
        </w:rPr>
      </w:pPr>
      <w:r>
        <w:rPr>
          <w:rFonts w:hAnsi="宋体"/>
          <w:b/>
          <w:color w:val="auto"/>
          <w:sz w:val="24"/>
          <w:szCs w:val="24"/>
          <w:highlight w:val="none"/>
        </w:rPr>
        <w:t>10.  计量单位</w:t>
      </w:r>
    </w:p>
    <w:p w14:paraId="5CAC2D0D">
      <w:pPr>
        <w:spacing w:line="400" w:lineRule="exact"/>
        <w:rPr>
          <w:color w:val="auto"/>
          <w:sz w:val="24"/>
          <w:szCs w:val="24"/>
          <w:highlight w:val="none"/>
        </w:rPr>
      </w:pPr>
      <w:r>
        <w:rPr>
          <w:rFonts w:hint="eastAsia"/>
          <w:b/>
          <w:color w:val="auto"/>
          <w:sz w:val="24"/>
          <w:szCs w:val="24"/>
          <w:highlight w:val="none"/>
        </w:rPr>
        <w:t>10.1</w:t>
      </w:r>
      <w:r>
        <w:rPr>
          <w:rFonts w:hAnsi="宋体"/>
          <w:color w:val="auto"/>
          <w:sz w:val="24"/>
          <w:szCs w:val="24"/>
          <w:highlight w:val="none"/>
        </w:rPr>
        <w:t>投标文件中所使用的计量单位，除招标文件有特殊要求外，应采用国家法定计量单位。</w:t>
      </w:r>
    </w:p>
    <w:p w14:paraId="2DCC5CC9">
      <w:pPr>
        <w:spacing w:line="400" w:lineRule="exact"/>
        <w:rPr>
          <w:color w:val="auto"/>
          <w:sz w:val="24"/>
          <w:szCs w:val="24"/>
          <w:highlight w:val="none"/>
        </w:rPr>
      </w:pPr>
    </w:p>
    <w:p w14:paraId="147A5494">
      <w:pPr>
        <w:spacing w:line="400" w:lineRule="exact"/>
        <w:rPr>
          <w:color w:val="auto"/>
          <w:sz w:val="24"/>
          <w:szCs w:val="24"/>
          <w:highlight w:val="none"/>
        </w:rPr>
      </w:pPr>
      <w:r>
        <w:rPr>
          <w:b/>
          <w:color w:val="auto"/>
          <w:sz w:val="24"/>
          <w:szCs w:val="24"/>
          <w:highlight w:val="none"/>
        </w:rPr>
        <w:t>11.</w:t>
      </w:r>
      <w:r>
        <w:rPr>
          <w:rFonts w:hAnsi="宋体"/>
          <w:b/>
          <w:color w:val="auto"/>
          <w:sz w:val="24"/>
          <w:szCs w:val="24"/>
          <w:highlight w:val="none"/>
        </w:rPr>
        <w:t>投标文件的有效期</w:t>
      </w:r>
    </w:p>
    <w:p w14:paraId="126707F4">
      <w:pPr>
        <w:spacing w:line="400" w:lineRule="exact"/>
        <w:rPr>
          <w:color w:val="auto"/>
          <w:sz w:val="24"/>
          <w:szCs w:val="24"/>
          <w:highlight w:val="none"/>
        </w:rPr>
      </w:pPr>
      <w:r>
        <w:rPr>
          <w:b/>
          <w:color w:val="auto"/>
          <w:sz w:val="24"/>
          <w:szCs w:val="24"/>
          <w:highlight w:val="none"/>
        </w:rPr>
        <w:t xml:space="preserve">11.1 </w:t>
      </w:r>
      <w:r>
        <w:rPr>
          <w:rFonts w:hAnsi="宋体"/>
          <w:color w:val="auto"/>
          <w:sz w:val="24"/>
          <w:szCs w:val="24"/>
          <w:highlight w:val="none"/>
        </w:rPr>
        <w:t>投标文件的有效期在本招标文件</w:t>
      </w:r>
      <w:r>
        <w:rPr>
          <w:rFonts w:hint="eastAsia" w:hAnsi="宋体"/>
          <w:color w:val="auto"/>
          <w:sz w:val="24"/>
          <w:szCs w:val="24"/>
          <w:highlight w:val="none"/>
        </w:rPr>
        <w:t>“前附表”</w:t>
      </w:r>
      <w:r>
        <w:rPr>
          <w:rFonts w:hAnsi="宋体"/>
          <w:color w:val="auto"/>
          <w:sz w:val="24"/>
          <w:szCs w:val="24"/>
          <w:highlight w:val="none"/>
        </w:rPr>
        <w:t>中作出规定，有效期自开标日起计算，不能小于招标文件的要求。</w:t>
      </w:r>
    </w:p>
    <w:p w14:paraId="44BEBDFE">
      <w:pPr>
        <w:spacing w:line="400" w:lineRule="exact"/>
        <w:rPr>
          <w:rFonts w:hAnsi="宋体"/>
          <w:color w:val="auto"/>
          <w:sz w:val="24"/>
          <w:szCs w:val="24"/>
          <w:highlight w:val="none"/>
        </w:rPr>
      </w:pPr>
      <w:r>
        <w:rPr>
          <w:b/>
          <w:color w:val="auto"/>
          <w:sz w:val="24"/>
          <w:szCs w:val="24"/>
          <w:highlight w:val="none"/>
        </w:rPr>
        <w:t>11.2</w:t>
      </w:r>
      <w:r>
        <w:rPr>
          <w:rFonts w:hAnsi="宋体"/>
          <w:color w:val="auto"/>
          <w:sz w:val="24"/>
          <w:szCs w:val="24"/>
          <w:highlight w:val="none"/>
        </w:rPr>
        <w:t>在特殊情况下，在原投标有效期截止之前，应采购人的要求，采购代理公司可要求投标人延长投标文件的有效期，这种要求的提出和投标人的答复都应以书面的形式进行。</w:t>
      </w:r>
      <w:r>
        <w:rPr>
          <w:rFonts w:hint="eastAsia" w:hAnsi="宋体"/>
          <w:color w:val="auto"/>
          <w:sz w:val="24"/>
          <w:szCs w:val="24"/>
          <w:highlight w:val="none"/>
        </w:rPr>
        <w:t>投标人可以拒绝延期要求；同意延长有效期的，也不会允许或要求修改或撤回其投标文件。</w:t>
      </w:r>
    </w:p>
    <w:p w14:paraId="0B3B36F1">
      <w:pPr>
        <w:spacing w:line="400" w:lineRule="exact"/>
        <w:rPr>
          <w:color w:val="auto"/>
          <w:sz w:val="24"/>
          <w:szCs w:val="24"/>
          <w:highlight w:val="none"/>
        </w:rPr>
      </w:pPr>
    </w:p>
    <w:p w14:paraId="07B67808">
      <w:pPr>
        <w:spacing w:line="400" w:lineRule="exact"/>
        <w:rPr>
          <w:color w:val="auto"/>
          <w:sz w:val="24"/>
          <w:szCs w:val="24"/>
          <w:highlight w:val="none"/>
        </w:rPr>
      </w:pPr>
      <w:r>
        <w:rPr>
          <w:b/>
          <w:color w:val="auto"/>
          <w:sz w:val="24"/>
          <w:szCs w:val="24"/>
          <w:highlight w:val="none"/>
        </w:rPr>
        <w:t xml:space="preserve">12. </w:t>
      </w:r>
      <w:r>
        <w:rPr>
          <w:rFonts w:hAnsi="宋体"/>
          <w:b/>
          <w:color w:val="auto"/>
          <w:sz w:val="24"/>
          <w:szCs w:val="24"/>
          <w:highlight w:val="none"/>
        </w:rPr>
        <w:t>投标保证金</w:t>
      </w:r>
    </w:p>
    <w:p w14:paraId="51D73951">
      <w:pPr>
        <w:spacing w:line="400" w:lineRule="exact"/>
        <w:rPr>
          <w:color w:val="auto"/>
          <w:sz w:val="24"/>
          <w:szCs w:val="24"/>
          <w:highlight w:val="none"/>
        </w:rPr>
      </w:pPr>
      <w:r>
        <w:rPr>
          <w:b/>
          <w:color w:val="auto"/>
          <w:sz w:val="24"/>
          <w:szCs w:val="24"/>
          <w:highlight w:val="none"/>
        </w:rPr>
        <w:t xml:space="preserve">12.1 </w:t>
      </w:r>
      <w:r>
        <w:rPr>
          <w:rFonts w:hint="eastAsia"/>
          <w:color w:val="auto"/>
          <w:sz w:val="24"/>
          <w:szCs w:val="24"/>
          <w:highlight w:val="none"/>
        </w:rPr>
        <w:t>本项目不收取投标保证金。</w:t>
      </w:r>
    </w:p>
    <w:p w14:paraId="10F75322">
      <w:pPr>
        <w:spacing w:line="400" w:lineRule="exact"/>
        <w:rPr>
          <w:color w:val="auto"/>
          <w:sz w:val="24"/>
          <w:szCs w:val="24"/>
          <w:highlight w:val="none"/>
        </w:rPr>
      </w:pPr>
    </w:p>
    <w:p w14:paraId="4922E206">
      <w:pPr>
        <w:spacing w:line="400" w:lineRule="exact"/>
        <w:jc w:val="center"/>
        <w:rPr>
          <w:b/>
          <w:color w:val="auto"/>
          <w:sz w:val="24"/>
          <w:szCs w:val="24"/>
          <w:highlight w:val="none"/>
        </w:rPr>
      </w:pPr>
      <w:r>
        <w:rPr>
          <w:b/>
          <w:color w:val="auto"/>
          <w:sz w:val="24"/>
          <w:szCs w:val="24"/>
          <w:highlight w:val="none"/>
        </w:rPr>
        <w:t xml:space="preserve">D  </w:t>
      </w:r>
      <w:r>
        <w:rPr>
          <w:rFonts w:hAnsi="宋体"/>
          <w:b/>
          <w:color w:val="auto"/>
          <w:sz w:val="24"/>
          <w:szCs w:val="24"/>
          <w:highlight w:val="none"/>
        </w:rPr>
        <w:t>投标文件的递交</w:t>
      </w:r>
    </w:p>
    <w:p w14:paraId="6F5625E9">
      <w:pPr>
        <w:spacing w:line="400" w:lineRule="exact"/>
        <w:jc w:val="center"/>
        <w:rPr>
          <w:b/>
          <w:color w:val="auto"/>
          <w:sz w:val="24"/>
          <w:szCs w:val="24"/>
          <w:highlight w:val="none"/>
        </w:rPr>
      </w:pPr>
    </w:p>
    <w:p w14:paraId="564397B8">
      <w:pPr>
        <w:spacing w:line="400" w:lineRule="exact"/>
        <w:rPr>
          <w:rFonts w:hAnsi="宋体"/>
          <w:b/>
          <w:color w:val="auto"/>
          <w:sz w:val="24"/>
          <w:highlight w:val="none"/>
        </w:rPr>
      </w:pPr>
      <w:r>
        <w:rPr>
          <w:b/>
          <w:color w:val="auto"/>
          <w:sz w:val="24"/>
          <w:highlight w:val="none"/>
        </w:rPr>
        <w:t>13.</w:t>
      </w:r>
      <w:r>
        <w:rPr>
          <w:rFonts w:hAnsi="宋体"/>
          <w:b/>
          <w:color w:val="auto"/>
          <w:sz w:val="24"/>
          <w:highlight w:val="none"/>
        </w:rPr>
        <w:t>投标文件的</w:t>
      </w:r>
      <w:r>
        <w:rPr>
          <w:rFonts w:hint="eastAsia" w:hAnsi="宋体"/>
          <w:b/>
          <w:color w:val="auto"/>
          <w:sz w:val="24"/>
          <w:highlight w:val="none"/>
        </w:rPr>
        <w:t>编制、</w:t>
      </w:r>
      <w:r>
        <w:rPr>
          <w:rFonts w:hAnsi="宋体"/>
          <w:b/>
          <w:color w:val="auto"/>
          <w:sz w:val="24"/>
          <w:highlight w:val="none"/>
        </w:rPr>
        <w:t>签署</w:t>
      </w:r>
      <w:r>
        <w:rPr>
          <w:rFonts w:hint="eastAsia" w:hAnsi="宋体"/>
          <w:b/>
          <w:color w:val="auto"/>
          <w:sz w:val="24"/>
          <w:highlight w:val="none"/>
        </w:rPr>
        <w:t>与要求</w:t>
      </w:r>
    </w:p>
    <w:p w14:paraId="69DB0F4C">
      <w:pPr>
        <w:spacing w:line="400" w:lineRule="exact"/>
        <w:rPr>
          <w:color w:val="auto"/>
          <w:sz w:val="24"/>
          <w:highlight w:val="none"/>
        </w:rPr>
      </w:pPr>
      <w:r>
        <w:rPr>
          <w:rFonts w:hint="eastAsia" w:hAnsi="宋体"/>
          <w:b/>
          <w:color w:val="auto"/>
          <w:sz w:val="24"/>
          <w:highlight w:val="none"/>
        </w:rPr>
        <w:t>13.1  本项目实行网上投标，采用电子投标文件。</w:t>
      </w:r>
      <w:r>
        <w:rPr>
          <w:rFonts w:hint="eastAsia" w:hAnsi="宋体"/>
          <w:color w:val="auto"/>
          <w:sz w:val="24"/>
          <w:highlight w:val="none"/>
        </w:rPr>
        <w:t>投标文件的编制要求详见招标文件《招标公告》和《前附表》中规定。</w:t>
      </w:r>
    </w:p>
    <w:p w14:paraId="028853E4">
      <w:pPr>
        <w:spacing w:line="400" w:lineRule="exact"/>
        <w:rPr>
          <w:rFonts w:hAnsi="宋体"/>
          <w:color w:val="auto"/>
          <w:sz w:val="24"/>
          <w:highlight w:val="none"/>
        </w:rPr>
      </w:pPr>
      <w:r>
        <w:rPr>
          <w:b/>
          <w:color w:val="auto"/>
          <w:sz w:val="24"/>
          <w:highlight w:val="none"/>
        </w:rPr>
        <w:t>13.</w:t>
      </w:r>
      <w:r>
        <w:rPr>
          <w:rFonts w:hint="eastAsia"/>
          <w:b/>
          <w:color w:val="auto"/>
          <w:sz w:val="24"/>
          <w:highlight w:val="none"/>
        </w:rPr>
        <w:t>2</w:t>
      </w:r>
      <w:r>
        <w:rPr>
          <w:rFonts w:hint="eastAsia" w:hAnsi="宋体"/>
          <w:color w:val="auto"/>
          <w:sz w:val="24"/>
          <w:highlight w:val="none"/>
        </w:rPr>
        <w:t>对应招标文件《第六部分附件（投标文件格式）》提供的各种文件格式，投标文件应按要求填写、签署和加盖公章。招标文件中规定需要加盖公章，法定代表人签字、投标代表人签字的部分，投标文件应进行正确签署和盖章。除非招标文件有特别规定，否则盖章均指单位公章（C</w:t>
      </w:r>
      <w:r>
        <w:rPr>
          <w:rFonts w:hAnsi="宋体"/>
          <w:color w:val="auto"/>
          <w:sz w:val="24"/>
          <w:highlight w:val="none"/>
        </w:rPr>
        <w:t>A</w:t>
      </w:r>
      <w:r>
        <w:rPr>
          <w:rFonts w:hint="eastAsia" w:hAnsi="宋体"/>
          <w:color w:val="auto"/>
          <w:sz w:val="24"/>
          <w:highlight w:val="none"/>
        </w:rPr>
        <w:t>章），盖其他章的投标无效。投标文件按照“附件（投标文件格式）”的顺序编写。</w:t>
      </w:r>
    </w:p>
    <w:p w14:paraId="72B0F479">
      <w:pPr>
        <w:spacing w:line="400" w:lineRule="exact"/>
        <w:rPr>
          <w:b/>
          <w:color w:val="auto"/>
          <w:sz w:val="24"/>
          <w:highlight w:val="none"/>
        </w:rPr>
      </w:pPr>
      <w:r>
        <w:rPr>
          <w:rFonts w:hint="eastAsia"/>
          <w:b/>
          <w:color w:val="auto"/>
          <w:sz w:val="24"/>
          <w:highlight w:val="none"/>
        </w:rPr>
        <w:t>1</w:t>
      </w:r>
      <w:r>
        <w:rPr>
          <w:b/>
          <w:color w:val="auto"/>
          <w:sz w:val="24"/>
          <w:highlight w:val="none"/>
        </w:rPr>
        <w:t xml:space="preserve">3.3  </w:t>
      </w:r>
      <w:r>
        <w:rPr>
          <w:rFonts w:hint="eastAsia"/>
          <w:color w:val="auto"/>
          <w:sz w:val="24"/>
          <w:highlight w:val="none"/>
        </w:rPr>
        <w:t>投标人应根据“政采云供应商项目采购-电子招投标操作指南”及本采购文件规定的格式编制电子投标文件并进行关联定位。关联定位规则：一个关联点只能关联一页，不能关联多页；多个关联点可以关联同一页。</w:t>
      </w:r>
    </w:p>
    <w:p w14:paraId="457AB01A">
      <w:pPr>
        <w:spacing w:line="400" w:lineRule="exact"/>
        <w:rPr>
          <w:rFonts w:hAnsi="宋体"/>
          <w:color w:val="auto"/>
          <w:sz w:val="24"/>
          <w:highlight w:val="none"/>
        </w:rPr>
      </w:pPr>
      <w:r>
        <w:rPr>
          <w:b/>
          <w:color w:val="auto"/>
          <w:sz w:val="24"/>
          <w:highlight w:val="none"/>
        </w:rPr>
        <w:t>13.4</w:t>
      </w:r>
      <w:r>
        <w:rPr>
          <w:rFonts w:hint="eastAsia"/>
          <w:color w:val="auto"/>
          <w:sz w:val="24"/>
          <w:highlight w:val="none"/>
        </w:rPr>
        <w:t>不按招标文件要求编制投标文件</w:t>
      </w:r>
      <w:r>
        <w:rPr>
          <w:rFonts w:hint="eastAsia" w:hAnsi="宋体"/>
          <w:color w:val="auto"/>
          <w:sz w:val="24"/>
          <w:highlight w:val="none"/>
        </w:rPr>
        <w:t>所引起的后果由投标人自行承担。</w:t>
      </w:r>
    </w:p>
    <w:p w14:paraId="4DA8B5DA">
      <w:pPr>
        <w:spacing w:line="400" w:lineRule="exact"/>
        <w:rPr>
          <w:color w:val="auto"/>
          <w:sz w:val="24"/>
          <w:highlight w:val="none"/>
        </w:rPr>
      </w:pPr>
    </w:p>
    <w:p w14:paraId="1DC45429">
      <w:pPr>
        <w:spacing w:line="400" w:lineRule="exact"/>
        <w:rPr>
          <w:color w:val="auto"/>
          <w:sz w:val="24"/>
          <w:highlight w:val="none"/>
        </w:rPr>
      </w:pPr>
      <w:r>
        <w:rPr>
          <w:b/>
          <w:color w:val="auto"/>
          <w:sz w:val="24"/>
          <w:highlight w:val="none"/>
        </w:rPr>
        <w:t>14.</w:t>
      </w:r>
      <w:r>
        <w:rPr>
          <w:rFonts w:hAnsi="宋体"/>
          <w:b/>
          <w:color w:val="auto"/>
          <w:sz w:val="24"/>
          <w:highlight w:val="none"/>
        </w:rPr>
        <w:t>投标文件的</w:t>
      </w:r>
      <w:r>
        <w:rPr>
          <w:rFonts w:hint="eastAsia" w:hAnsi="宋体"/>
          <w:b/>
          <w:color w:val="auto"/>
          <w:sz w:val="24"/>
          <w:highlight w:val="none"/>
        </w:rPr>
        <w:t>传输、递交与撤回</w:t>
      </w:r>
    </w:p>
    <w:p w14:paraId="7427F9A3">
      <w:pPr>
        <w:spacing w:line="400" w:lineRule="exact"/>
        <w:rPr>
          <w:color w:val="auto"/>
          <w:sz w:val="24"/>
          <w:highlight w:val="none"/>
        </w:rPr>
      </w:pPr>
      <w:r>
        <w:rPr>
          <w:b/>
          <w:color w:val="auto"/>
          <w:sz w:val="24"/>
          <w:highlight w:val="none"/>
        </w:rPr>
        <w:t>14.1</w:t>
      </w:r>
      <w:r>
        <w:rPr>
          <w:rFonts w:hint="eastAsia"/>
          <w:color w:val="auto"/>
          <w:sz w:val="24"/>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14:paraId="7A7CFED4">
      <w:pPr>
        <w:spacing w:line="400" w:lineRule="exact"/>
        <w:rPr>
          <w:color w:val="auto"/>
          <w:sz w:val="24"/>
          <w:highlight w:val="none"/>
        </w:rPr>
      </w:pPr>
      <w:r>
        <w:rPr>
          <w:rFonts w:hint="eastAsia"/>
          <w:b/>
          <w:color w:val="auto"/>
          <w:sz w:val="24"/>
          <w:highlight w:val="none"/>
        </w:rPr>
        <w:t xml:space="preserve">14.2  </w:t>
      </w:r>
      <w:r>
        <w:rPr>
          <w:rFonts w:hint="eastAsia"/>
          <w:bCs/>
          <w:color w:val="auto"/>
          <w:sz w:val="24"/>
          <w:highlight w:val="none"/>
        </w:rPr>
        <w:t>投标文件的效力：投标文件的启用，按先后顺位分别为政采云电子投标文件、以U盘存储的电子备份投标文件。在下一顺位的投标文件启用时，前一顺位的投标文件自动失效。电子投标文件未能按时解密，供应商提供了电子备份投标文件并上传成功的以电子备份投标文件作为依据，否则视为投标文件撤回。政采云电子投标文件已按时解密的，电子备份投标文件自动失效。</w:t>
      </w:r>
    </w:p>
    <w:p w14:paraId="7644C810">
      <w:pPr>
        <w:spacing w:line="400" w:lineRule="exact"/>
        <w:rPr>
          <w:color w:val="auto"/>
          <w:sz w:val="24"/>
          <w:highlight w:val="none"/>
        </w:rPr>
      </w:pPr>
    </w:p>
    <w:p w14:paraId="13676FE9">
      <w:pPr>
        <w:spacing w:line="400" w:lineRule="exact"/>
        <w:rPr>
          <w:color w:val="auto"/>
          <w:sz w:val="24"/>
          <w:highlight w:val="none"/>
        </w:rPr>
      </w:pPr>
      <w:r>
        <w:rPr>
          <w:b/>
          <w:color w:val="auto"/>
          <w:sz w:val="24"/>
          <w:highlight w:val="none"/>
        </w:rPr>
        <w:t>15.</w:t>
      </w:r>
      <w:r>
        <w:rPr>
          <w:rFonts w:hAnsi="宋体"/>
          <w:b/>
          <w:color w:val="auto"/>
          <w:sz w:val="24"/>
          <w:highlight w:val="none"/>
        </w:rPr>
        <w:t>投标截止时间</w:t>
      </w:r>
    </w:p>
    <w:p w14:paraId="47D03B7E">
      <w:pPr>
        <w:spacing w:line="400" w:lineRule="exact"/>
        <w:rPr>
          <w:color w:val="auto"/>
          <w:sz w:val="24"/>
          <w:highlight w:val="none"/>
        </w:rPr>
      </w:pPr>
      <w:r>
        <w:rPr>
          <w:b/>
          <w:color w:val="auto"/>
          <w:sz w:val="24"/>
          <w:highlight w:val="none"/>
        </w:rPr>
        <w:t xml:space="preserve">15.1 </w:t>
      </w:r>
      <w:r>
        <w:rPr>
          <w:rFonts w:hint="eastAsia"/>
          <w:color w:val="auto"/>
          <w:sz w:val="24"/>
          <w:highlight w:val="none"/>
        </w:rPr>
        <w:t>供应商应当在投标截止时间前完成电子投标文件的传输递交。</w:t>
      </w:r>
    </w:p>
    <w:p w14:paraId="4FE4EAC8">
      <w:pPr>
        <w:spacing w:line="400" w:lineRule="exact"/>
        <w:rPr>
          <w:color w:val="auto"/>
          <w:sz w:val="24"/>
          <w:highlight w:val="none"/>
        </w:rPr>
      </w:pPr>
      <w:r>
        <w:rPr>
          <w:b/>
          <w:color w:val="auto"/>
          <w:sz w:val="24"/>
          <w:highlight w:val="none"/>
        </w:rPr>
        <w:t>15.2</w:t>
      </w:r>
      <w:r>
        <w:rPr>
          <w:rFonts w:hAnsi="宋体"/>
          <w:color w:val="auto"/>
          <w:sz w:val="24"/>
          <w:highlight w:val="none"/>
        </w:rPr>
        <w:t>采购人因故需推迟投标截止时间、开标时间时，采购代理公司应</w:t>
      </w:r>
      <w:r>
        <w:rPr>
          <w:rFonts w:hint="eastAsia" w:hAnsi="宋体"/>
          <w:color w:val="auto"/>
          <w:sz w:val="24"/>
          <w:highlight w:val="none"/>
        </w:rPr>
        <w:t>在投标截止时间3天前</w:t>
      </w:r>
      <w:r>
        <w:rPr>
          <w:rFonts w:hAnsi="宋体"/>
          <w:color w:val="auto"/>
          <w:sz w:val="24"/>
          <w:highlight w:val="none"/>
        </w:rPr>
        <w:t>在规定的政府采购</w:t>
      </w:r>
      <w:r>
        <w:rPr>
          <w:rFonts w:hint="eastAsia" w:hAnsi="宋体"/>
          <w:color w:val="auto"/>
          <w:sz w:val="24"/>
          <w:highlight w:val="none"/>
        </w:rPr>
        <w:t>媒体</w:t>
      </w:r>
      <w:r>
        <w:rPr>
          <w:rFonts w:hAnsi="宋体"/>
          <w:color w:val="auto"/>
          <w:sz w:val="24"/>
          <w:highlight w:val="none"/>
        </w:rPr>
        <w:t>上发布</w:t>
      </w:r>
      <w:r>
        <w:rPr>
          <w:rFonts w:hint="eastAsia" w:hAnsi="宋体"/>
          <w:color w:val="auto"/>
          <w:sz w:val="24"/>
          <w:highlight w:val="none"/>
        </w:rPr>
        <w:t>延期</w:t>
      </w:r>
      <w:r>
        <w:rPr>
          <w:rFonts w:hAnsi="宋体"/>
          <w:color w:val="auto"/>
          <w:sz w:val="24"/>
          <w:highlight w:val="none"/>
        </w:rPr>
        <w:t>公告。在这种情况下，采购人和投标人相应的权利和义务将受到新的投标截止期的约束。</w:t>
      </w:r>
    </w:p>
    <w:p w14:paraId="431843D1">
      <w:pPr>
        <w:spacing w:line="400" w:lineRule="exact"/>
        <w:rPr>
          <w:color w:val="auto"/>
          <w:sz w:val="24"/>
          <w:szCs w:val="24"/>
          <w:highlight w:val="none"/>
        </w:rPr>
      </w:pPr>
    </w:p>
    <w:p w14:paraId="46B75E49">
      <w:pPr>
        <w:spacing w:line="400" w:lineRule="exact"/>
        <w:jc w:val="center"/>
        <w:rPr>
          <w:b/>
          <w:color w:val="auto"/>
          <w:sz w:val="24"/>
          <w:szCs w:val="24"/>
          <w:highlight w:val="none"/>
        </w:rPr>
      </w:pPr>
      <w:r>
        <w:rPr>
          <w:b/>
          <w:color w:val="auto"/>
          <w:sz w:val="24"/>
          <w:szCs w:val="24"/>
          <w:highlight w:val="none"/>
        </w:rPr>
        <w:t xml:space="preserve">E  </w:t>
      </w:r>
      <w:r>
        <w:rPr>
          <w:rFonts w:hAnsi="宋体"/>
          <w:b/>
          <w:color w:val="auto"/>
          <w:sz w:val="24"/>
          <w:szCs w:val="24"/>
          <w:highlight w:val="none"/>
        </w:rPr>
        <w:t>开标</w:t>
      </w:r>
    </w:p>
    <w:p w14:paraId="529799B8">
      <w:pPr>
        <w:spacing w:line="400" w:lineRule="exact"/>
        <w:jc w:val="center"/>
        <w:rPr>
          <w:b/>
          <w:color w:val="auto"/>
          <w:sz w:val="24"/>
          <w:szCs w:val="24"/>
          <w:highlight w:val="none"/>
        </w:rPr>
      </w:pPr>
    </w:p>
    <w:p w14:paraId="269644C5">
      <w:pPr>
        <w:spacing w:line="400" w:lineRule="exact"/>
        <w:rPr>
          <w:b/>
          <w:color w:val="auto"/>
          <w:sz w:val="24"/>
          <w:highlight w:val="none"/>
        </w:rPr>
      </w:pPr>
      <w:r>
        <w:rPr>
          <w:b/>
          <w:color w:val="auto"/>
          <w:sz w:val="24"/>
          <w:highlight w:val="none"/>
        </w:rPr>
        <w:t>1</w:t>
      </w:r>
      <w:r>
        <w:rPr>
          <w:rFonts w:hint="eastAsia"/>
          <w:b/>
          <w:color w:val="auto"/>
          <w:sz w:val="24"/>
          <w:highlight w:val="none"/>
        </w:rPr>
        <w:t>6</w:t>
      </w:r>
      <w:r>
        <w:rPr>
          <w:b/>
          <w:color w:val="auto"/>
          <w:sz w:val="24"/>
          <w:highlight w:val="none"/>
        </w:rPr>
        <w:t xml:space="preserve">. </w:t>
      </w:r>
      <w:r>
        <w:rPr>
          <w:rFonts w:hint="eastAsia"/>
          <w:b/>
          <w:color w:val="auto"/>
          <w:sz w:val="24"/>
          <w:highlight w:val="none"/>
        </w:rPr>
        <w:t>电子招投标开标程序：</w:t>
      </w:r>
    </w:p>
    <w:p w14:paraId="56893BD1">
      <w:pPr>
        <w:spacing w:line="360" w:lineRule="exact"/>
        <w:rPr>
          <w:color w:val="auto"/>
          <w:sz w:val="24"/>
          <w:highlight w:val="none"/>
        </w:rPr>
      </w:pPr>
      <w:r>
        <w:rPr>
          <w:rFonts w:hint="eastAsia"/>
          <w:b/>
          <w:color w:val="auto"/>
          <w:sz w:val="24"/>
          <w:highlight w:val="none"/>
        </w:rPr>
        <w:t xml:space="preserve">16.1  </w:t>
      </w:r>
      <w:r>
        <w:rPr>
          <w:rFonts w:hint="eastAsia"/>
          <w:color w:val="auto"/>
          <w:sz w:val="24"/>
          <w:highlight w:val="none"/>
        </w:rPr>
        <w:t>投标截止时间后，供应商登录政府采购云平台，用“项目采购-开标评标”功能对电子投标文件进行在线解密，</w:t>
      </w:r>
      <w:r>
        <w:rPr>
          <w:rFonts w:hint="eastAsia"/>
          <w:b/>
          <w:bCs/>
          <w:color w:val="auto"/>
          <w:sz w:val="24"/>
          <w:highlight w:val="none"/>
        </w:rPr>
        <w:t>在线解密电子投标文件时间为开标时间后30分钟内。</w:t>
      </w:r>
    </w:p>
    <w:p w14:paraId="2789D3D1">
      <w:pPr>
        <w:spacing w:line="400" w:lineRule="exact"/>
        <w:rPr>
          <w:color w:val="auto"/>
          <w:sz w:val="24"/>
          <w:highlight w:val="none"/>
        </w:rPr>
      </w:pPr>
      <w:r>
        <w:rPr>
          <w:rFonts w:hint="eastAsia"/>
          <w:b/>
          <w:color w:val="auto"/>
          <w:sz w:val="24"/>
          <w:highlight w:val="none"/>
        </w:rPr>
        <w:t xml:space="preserve">16.2  </w:t>
      </w:r>
      <w:r>
        <w:rPr>
          <w:rFonts w:hint="eastAsia"/>
          <w:color w:val="auto"/>
          <w:sz w:val="24"/>
          <w:highlight w:val="none"/>
        </w:rPr>
        <w:t>主持人宣布评标期间的有关事项，告知应当回避的情形，提请有关人员回避；</w:t>
      </w:r>
    </w:p>
    <w:p w14:paraId="4C0A35CD">
      <w:pPr>
        <w:spacing w:line="360" w:lineRule="exact"/>
        <w:rPr>
          <w:bCs/>
          <w:color w:val="auto"/>
          <w:sz w:val="24"/>
          <w:highlight w:val="none"/>
        </w:rPr>
      </w:pPr>
      <w:r>
        <w:rPr>
          <w:rFonts w:hint="eastAsia"/>
          <w:b/>
          <w:color w:val="auto"/>
          <w:sz w:val="24"/>
          <w:highlight w:val="none"/>
        </w:rPr>
        <w:t xml:space="preserve">16.3 </w:t>
      </w:r>
      <w:r>
        <w:rPr>
          <w:rFonts w:hint="eastAsia"/>
          <w:bCs/>
          <w:color w:val="auto"/>
          <w:sz w:val="24"/>
          <w:highlight w:val="none"/>
        </w:rPr>
        <w:t>采购代理机构（或采购人）对资格进行审查，评标委员会对符合性进行审查，并对“技术商务文件”进行评审打分，评分结束后，由主持人在线公布无效投标的投标人名单、投标无效的原因及其他有效投标人的技术商务得分情况；</w:t>
      </w:r>
    </w:p>
    <w:p w14:paraId="38FC810E">
      <w:pPr>
        <w:spacing w:line="360" w:lineRule="exact"/>
        <w:rPr>
          <w:bCs/>
          <w:color w:val="auto"/>
          <w:sz w:val="24"/>
          <w:highlight w:val="none"/>
        </w:rPr>
      </w:pPr>
      <w:r>
        <w:rPr>
          <w:rFonts w:hint="eastAsia"/>
          <w:b/>
          <w:color w:val="auto"/>
          <w:sz w:val="24"/>
          <w:highlight w:val="none"/>
        </w:rPr>
        <w:t>16.4</w:t>
      </w:r>
      <w:r>
        <w:rPr>
          <w:rFonts w:hint="eastAsia"/>
          <w:bCs/>
          <w:color w:val="auto"/>
          <w:sz w:val="24"/>
          <w:highlight w:val="none"/>
        </w:rPr>
        <w:t>由主持人在线开启报价文件，公布《开标一览表》中的投标人名称、投标报价以及其他内容等；</w:t>
      </w:r>
    </w:p>
    <w:p w14:paraId="4BB31096">
      <w:pPr>
        <w:spacing w:line="360" w:lineRule="exact"/>
        <w:rPr>
          <w:bCs/>
          <w:color w:val="auto"/>
          <w:sz w:val="24"/>
          <w:highlight w:val="none"/>
        </w:rPr>
      </w:pPr>
      <w:r>
        <w:rPr>
          <w:rFonts w:hint="eastAsia"/>
          <w:b/>
          <w:color w:val="auto"/>
          <w:sz w:val="24"/>
          <w:highlight w:val="none"/>
        </w:rPr>
        <w:t>16.5</w:t>
      </w:r>
      <w:r>
        <w:rPr>
          <w:rFonts w:hint="eastAsia"/>
          <w:bCs/>
          <w:color w:val="auto"/>
          <w:sz w:val="24"/>
          <w:highlight w:val="none"/>
        </w:rPr>
        <w:t>采购代理机构做开标记录，开启投标人报价确认签字环节；</w:t>
      </w:r>
    </w:p>
    <w:p w14:paraId="12D79E45">
      <w:pPr>
        <w:spacing w:line="360" w:lineRule="exact"/>
        <w:rPr>
          <w:bCs/>
          <w:color w:val="auto"/>
          <w:sz w:val="24"/>
          <w:highlight w:val="none"/>
        </w:rPr>
      </w:pPr>
      <w:r>
        <w:rPr>
          <w:rFonts w:hint="eastAsia"/>
          <w:b/>
          <w:color w:val="auto"/>
          <w:sz w:val="24"/>
          <w:highlight w:val="none"/>
        </w:rPr>
        <w:t>16.6</w:t>
      </w:r>
      <w:r>
        <w:rPr>
          <w:rFonts w:hint="eastAsia"/>
          <w:bCs/>
          <w:color w:val="auto"/>
          <w:sz w:val="24"/>
          <w:highlight w:val="none"/>
        </w:rPr>
        <w:t>评标委员会对“报价文件”进行评审；</w:t>
      </w:r>
    </w:p>
    <w:p w14:paraId="43D8E6E5">
      <w:pPr>
        <w:spacing w:line="360" w:lineRule="exact"/>
        <w:rPr>
          <w:color w:val="auto"/>
          <w:sz w:val="24"/>
          <w:highlight w:val="none"/>
        </w:rPr>
      </w:pPr>
      <w:r>
        <w:rPr>
          <w:rFonts w:hint="eastAsia"/>
          <w:b/>
          <w:color w:val="auto"/>
          <w:sz w:val="24"/>
          <w:highlight w:val="none"/>
        </w:rPr>
        <w:t>16.7</w:t>
      </w:r>
      <w:r>
        <w:rPr>
          <w:rFonts w:hint="eastAsia"/>
          <w:color w:val="auto"/>
          <w:sz w:val="24"/>
          <w:highlight w:val="none"/>
        </w:rPr>
        <w:t>在政府采购云平台公布评审结果。</w:t>
      </w:r>
    </w:p>
    <w:p w14:paraId="4900A46E">
      <w:pPr>
        <w:spacing w:line="360" w:lineRule="exact"/>
        <w:rPr>
          <w:rFonts w:hAnsi="宋体"/>
          <w:color w:val="auto"/>
          <w:sz w:val="24"/>
          <w:szCs w:val="24"/>
          <w:highlight w:val="none"/>
        </w:rPr>
      </w:pPr>
      <w:r>
        <w:rPr>
          <w:rFonts w:hint="eastAsia"/>
          <w:b/>
          <w:color w:val="auto"/>
          <w:sz w:val="24"/>
          <w:highlight w:val="none"/>
        </w:rPr>
        <w:t>16.8</w:t>
      </w:r>
      <w:r>
        <w:rPr>
          <w:rFonts w:hint="eastAsia"/>
          <w:color w:val="auto"/>
          <w:sz w:val="24"/>
          <w:highlight w:val="none"/>
        </w:rPr>
        <w:t>开标会议结束。</w:t>
      </w:r>
    </w:p>
    <w:p w14:paraId="561C2D46">
      <w:pPr>
        <w:spacing w:line="400" w:lineRule="exact"/>
        <w:rPr>
          <w:rFonts w:hAnsi="宋体"/>
          <w:color w:val="auto"/>
          <w:sz w:val="24"/>
          <w:szCs w:val="24"/>
          <w:highlight w:val="none"/>
        </w:rPr>
      </w:pPr>
    </w:p>
    <w:p w14:paraId="0C326B50">
      <w:pPr>
        <w:spacing w:line="400" w:lineRule="exact"/>
        <w:jc w:val="center"/>
        <w:rPr>
          <w:b/>
          <w:color w:val="auto"/>
          <w:sz w:val="24"/>
          <w:szCs w:val="24"/>
          <w:highlight w:val="none"/>
        </w:rPr>
      </w:pPr>
      <w:r>
        <w:rPr>
          <w:b/>
          <w:color w:val="auto"/>
          <w:sz w:val="24"/>
          <w:szCs w:val="24"/>
          <w:highlight w:val="none"/>
        </w:rPr>
        <w:t xml:space="preserve">F  </w:t>
      </w:r>
      <w:r>
        <w:rPr>
          <w:rFonts w:hAnsi="宋体"/>
          <w:b/>
          <w:color w:val="auto"/>
          <w:sz w:val="24"/>
          <w:szCs w:val="24"/>
          <w:highlight w:val="none"/>
        </w:rPr>
        <w:t>评标和定标</w:t>
      </w:r>
    </w:p>
    <w:p w14:paraId="3D2356FE">
      <w:pPr>
        <w:spacing w:line="400" w:lineRule="exact"/>
        <w:jc w:val="center"/>
        <w:rPr>
          <w:b/>
          <w:color w:val="auto"/>
          <w:sz w:val="24"/>
          <w:szCs w:val="24"/>
          <w:highlight w:val="none"/>
        </w:rPr>
      </w:pPr>
    </w:p>
    <w:p w14:paraId="6380E0D0">
      <w:pPr>
        <w:spacing w:line="400" w:lineRule="exact"/>
        <w:rPr>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 xml:space="preserve">. </w:t>
      </w:r>
      <w:r>
        <w:rPr>
          <w:rFonts w:hAnsi="宋体"/>
          <w:b/>
          <w:color w:val="auto"/>
          <w:sz w:val="24"/>
          <w:szCs w:val="24"/>
          <w:highlight w:val="none"/>
        </w:rPr>
        <w:t>评标委员会</w:t>
      </w:r>
    </w:p>
    <w:p w14:paraId="714B2FF7">
      <w:pPr>
        <w:spacing w:line="400" w:lineRule="exact"/>
        <w:rPr>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.1</w:t>
      </w:r>
      <w:r>
        <w:rPr>
          <w:rFonts w:hAnsi="宋体"/>
          <w:color w:val="auto"/>
          <w:sz w:val="24"/>
          <w:szCs w:val="24"/>
          <w:highlight w:val="none"/>
        </w:rPr>
        <w:t>受采购人的委托，采购代理公司根据国家《</w:t>
      </w:r>
      <w:r>
        <w:rPr>
          <w:rFonts w:hint="eastAsia" w:hAnsi="宋体"/>
          <w:color w:val="auto"/>
          <w:sz w:val="24"/>
          <w:szCs w:val="24"/>
          <w:highlight w:val="none"/>
        </w:rPr>
        <w:t>中华人民共和国</w:t>
      </w:r>
      <w:r>
        <w:rPr>
          <w:rFonts w:hAnsi="宋体"/>
          <w:color w:val="auto"/>
          <w:sz w:val="24"/>
          <w:szCs w:val="24"/>
          <w:highlight w:val="none"/>
        </w:rPr>
        <w:t>政府采购法》、《</w:t>
      </w:r>
      <w:r>
        <w:rPr>
          <w:rFonts w:hint="eastAsia" w:hAnsi="宋体"/>
          <w:color w:val="auto"/>
          <w:sz w:val="24"/>
          <w:szCs w:val="24"/>
          <w:highlight w:val="none"/>
        </w:rPr>
        <w:t>中华人民共和国</w:t>
      </w:r>
      <w:r>
        <w:rPr>
          <w:rFonts w:hAnsi="宋体"/>
          <w:color w:val="auto"/>
          <w:sz w:val="24"/>
          <w:szCs w:val="24"/>
          <w:highlight w:val="none"/>
        </w:rPr>
        <w:t>政府采购法</w:t>
      </w:r>
      <w:r>
        <w:rPr>
          <w:rFonts w:hint="eastAsia" w:hAnsi="宋体"/>
          <w:color w:val="auto"/>
          <w:sz w:val="24"/>
          <w:szCs w:val="24"/>
          <w:highlight w:val="none"/>
        </w:rPr>
        <w:t>实施条例</w:t>
      </w:r>
      <w:r>
        <w:rPr>
          <w:rFonts w:hAnsi="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国家财政部第</w:t>
      </w:r>
      <w:r>
        <w:rPr>
          <w:rFonts w:hint="eastAsia"/>
          <w:color w:val="auto"/>
          <w:sz w:val="24"/>
          <w:szCs w:val="24"/>
          <w:highlight w:val="none"/>
        </w:rPr>
        <w:t>87</w:t>
      </w:r>
      <w:r>
        <w:rPr>
          <w:rFonts w:hAnsi="宋体"/>
          <w:color w:val="auto"/>
          <w:sz w:val="24"/>
          <w:szCs w:val="24"/>
          <w:highlight w:val="none"/>
        </w:rPr>
        <w:t>号令</w:t>
      </w:r>
      <w:r>
        <w:rPr>
          <w:rFonts w:hint="eastAsia" w:hAnsi="宋体"/>
          <w:color w:val="auto"/>
          <w:sz w:val="24"/>
          <w:szCs w:val="24"/>
          <w:highlight w:val="none"/>
        </w:rPr>
        <w:t>及其他有关</w:t>
      </w:r>
      <w:r>
        <w:rPr>
          <w:rFonts w:hAnsi="宋体"/>
          <w:color w:val="auto"/>
          <w:sz w:val="24"/>
          <w:szCs w:val="24"/>
          <w:highlight w:val="none"/>
        </w:rPr>
        <w:t>规定组建评标委员会，评标委员会负责评标工作。评标委员会由采购人代表和评审专家组成。</w:t>
      </w:r>
      <w:r>
        <w:rPr>
          <w:rFonts w:hint="eastAsia" w:hAnsi="宋体"/>
          <w:color w:val="auto"/>
          <w:sz w:val="24"/>
          <w:szCs w:val="24"/>
          <w:highlight w:val="none"/>
        </w:rPr>
        <w:t>评审</w:t>
      </w:r>
      <w:r>
        <w:rPr>
          <w:rFonts w:hAnsi="宋体"/>
          <w:color w:val="auto"/>
          <w:sz w:val="24"/>
          <w:szCs w:val="24"/>
          <w:highlight w:val="none"/>
        </w:rPr>
        <w:t>专家将在开标日之前在</w:t>
      </w:r>
      <w:r>
        <w:rPr>
          <w:rFonts w:hint="eastAsia" w:hAnsi="宋体"/>
          <w:color w:val="auto"/>
          <w:sz w:val="24"/>
          <w:szCs w:val="24"/>
          <w:highlight w:val="none"/>
        </w:rPr>
        <w:t>政采云</w:t>
      </w:r>
      <w:r>
        <w:rPr>
          <w:rFonts w:hAnsi="宋体"/>
          <w:color w:val="auto"/>
          <w:sz w:val="24"/>
          <w:szCs w:val="24"/>
          <w:highlight w:val="none"/>
        </w:rPr>
        <w:t>的评标专家库中随机抽取。评标委员会成员名单在招标结果确定之前依法保密。</w:t>
      </w:r>
    </w:p>
    <w:p w14:paraId="1FE17C66">
      <w:pPr>
        <w:spacing w:line="400" w:lineRule="exact"/>
        <w:rPr>
          <w:bCs/>
          <w:color w:val="auto"/>
          <w:sz w:val="24"/>
          <w:szCs w:val="24"/>
          <w:highlight w:val="none"/>
        </w:rPr>
      </w:pPr>
      <w:r>
        <w:rPr>
          <w:rFonts w:hint="eastAsia"/>
          <w:b/>
          <w:color w:val="auto"/>
          <w:sz w:val="24"/>
          <w:szCs w:val="24"/>
          <w:highlight w:val="none"/>
        </w:rPr>
        <w:t xml:space="preserve">17.2 </w:t>
      </w:r>
      <w:r>
        <w:rPr>
          <w:rFonts w:hint="eastAsia"/>
          <w:bCs/>
          <w:color w:val="auto"/>
          <w:sz w:val="24"/>
          <w:szCs w:val="24"/>
          <w:highlight w:val="none"/>
        </w:rPr>
        <w:t>评审专家有下列情形之一的，应主动提出回避，采购人、采购代理也可以要求该评审专家回避：</w:t>
      </w:r>
    </w:p>
    <w:p w14:paraId="6609B2B4">
      <w:pPr>
        <w:spacing w:line="400" w:lineRule="exact"/>
        <w:rPr>
          <w:bCs/>
          <w:color w:val="auto"/>
          <w:sz w:val="24"/>
          <w:szCs w:val="24"/>
          <w:highlight w:val="none"/>
        </w:rPr>
      </w:pPr>
      <w:r>
        <w:rPr>
          <w:rFonts w:hint="eastAsia"/>
          <w:bCs/>
          <w:color w:val="auto"/>
          <w:sz w:val="24"/>
          <w:szCs w:val="24"/>
          <w:highlight w:val="none"/>
        </w:rPr>
        <w:t>（1） 参加采购活动前3年内与供应商存在劳动关系；</w:t>
      </w:r>
    </w:p>
    <w:p w14:paraId="7C738FD5">
      <w:pPr>
        <w:spacing w:line="400" w:lineRule="exact"/>
        <w:rPr>
          <w:bCs/>
          <w:color w:val="auto"/>
          <w:sz w:val="24"/>
          <w:szCs w:val="24"/>
          <w:highlight w:val="none"/>
        </w:rPr>
      </w:pPr>
      <w:r>
        <w:rPr>
          <w:rFonts w:hint="eastAsia"/>
          <w:bCs/>
          <w:color w:val="auto"/>
          <w:sz w:val="24"/>
          <w:szCs w:val="24"/>
          <w:highlight w:val="none"/>
        </w:rPr>
        <w:t>（2） 参加采购活动前3年内担任供应商的董事、监事；</w:t>
      </w:r>
    </w:p>
    <w:p w14:paraId="327F0C45">
      <w:pPr>
        <w:spacing w:line="400" w:lineRule="exact"/>
        <w:rPr>
          <w:bCs/>
          <w:color w:val="auto"/>
          <w:sz w:val="24"/>
          <w:szCs w:val="24"/>
          <w:highlight w:val="none"/>
        </w:rPr>
      </w:pPr>
      <w:r>
        <w:rPr>
          <w:rFonts w:hint="eastAsia"/>
          <w:bCs/>
          <w:color w:val="auto"/>
          <w:sz w:val="24"/>
          <w:szCs w:val="24"/>
          <w:highlight w:val="none"/>
        </w:rPr>
        <w:t>（3） 参加采购活动前3年内是供应商的控股股东或者实际控制人；</w:t>
      </w:r>
    </w:p>
    <w:p w14:paraId="1912A988">
      <w:pPr>
        <w:spacing w:line="400" w:lineRule="exact"/>
        <w:rPr>
          <w:bCs/>
          <w:color w:val="auto"/>
          <w:sz w:val="24"/>
          <w:szCs w:val="24"/>
          <w:highlight w:val="none"/>
        </w:rPr>
      </w:pPr>
      <w:r>
        <w:rPr>
          <w:rFonts w:hint="eastAsia"/>
          <w:bCs/>
          <w:color w:val="auto"/>
          <w:sz w:val="24"/>
          <w:szCs w:val="24"/>
          <w:highlight w:val="none"/>
        </w:rPr>
        <w:t>（4） 与供应商的法定代表人或者负责人有夫妻、直系血亲、三代以内旁系血亲或者近姻亲关系；</w:t>
      </w:r>
    </w:p>
    <w:p w14:paraId="4979DC7B">
      <w:pPr>
        <w:spacing w:line="400" w:lineRule="exact"/>
        <w:rPr>
          <w:b/>
          <w:color w:val="auto"/>
          <w:sz w:val="24"/>
          <w:szCs w:val="24"/>
          <w:highlight w:val="none"/>
        </w:rPr>
      </w:pPr>
      <w:r>
        <w:rPr>
          <w:rFonts w:hint="eastAsia"/>
          <w:bCs/>
          <w:color w:val="auto"/>
          <w:sz w:val="24"/>
          <w:szCs w:val="24"/>
          <w:highlight w:val="none"/>
        </w:rPr>
        <w:t>（5） 与供应商有其他可能影响政府采购活动公平、公正进行的关系。</w:t>
      </w:r>
    </w:p>
    <w:p w14:paraId="5024A922">
      <w:pPr>
        <w:spacing w:line="400" w:lineRule="exact"/>
        <w:rPr>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w:t>
      </w:r>
      <w:r>
        <w:rPr>
          <w:rFonts w:hint="eastAsia"/>
          <w:b/>
          <w:color w:val="auto"/>
          <w:sz w:val="24"/>
          <w:szCs w:val="24"/>
          <w:highlight w:val="none"/>
        </w:rPr>
        <w:t>3</w:t>
      </w:r>
      <w:r>
        <w:rPr>
          <w:rFonts w:hAnsi="宋体"/>
          <w:color w:val="auto"/>
          <w:sz w:val="24"/>
          <w:szCs w:val="24"/>
          <w:highlight w:val="none"/>
        </w:rPr>
        <w:t>评标委员会将遵循公平、公正、科学</w:t>
      </w:r>
      <w:r>
        <w:rPr>
          <w:rFonts w:hint="eastAsia" w:hAnsi="宋体"/>
          <w:color w:val="auto"/>
          <w:sz w:val="24"/>
          <w:szCs w:val="24"/>
          <w:highlight w:val="none"/>
        </w:rPr>
        <w:t>择优</w:t>
      </w:r>
      <w:r>
        <w:rPr>
          <w:rFonts w:hAnsi="宋体"/>
          <w:color w:val="auto"/>
          <w:sz w:val="24"/>
          <w:szCs w:val="24"/>
          <w:highlight w:val="none"/>
        </w:rPr>
        <w:t>的原则和规定的程序进行评标，并且只依据投标文件本身对招标文件的响应情况进行评审。</w:t>
      </w:r>
    </w:p>
    <w:p w14:paraId="36555281">
      <w:pPr>
        <w:spacing w:line="400" w:lineRule="exact"/>
        <w:rPr>
          <w:color w:val="auto"/>
          <w:sz w:val="24"/>
          <w:szCs w:val="24"/>
          <w:highlight w:val="none"/>
        </w:rPr>
      </w:pPr>
    </w:p>
    <w:p w14:paraId="4D6707CF">
      <w:pPr>
        <w:spacing w:line="400" w:lineRule="exact"/>
        <w:rPr>
          <w:color w:val="auto"/>
          <w:sz w:val="24"/>
          <w:szCs w:val="24"/>
          <w:highlight w:val="none"/>
        </w:rPr>
      </w:pPr>
      <w:r>
        <w:rPr>
          <w:rFonts w:hint="eastAsia"/>
          <w:b/>
          <w:color w:val="auto"/>
          <w:sz w:val="24"/>
          <w:szCs w:val="24"/>
          <w:highlight w:val="none"/>
        </w:rPr>
        <w:t>18</w:t>
      </w:r>
      <w:r>
        <w:rPr>
          <w:b/>
          <w:color w:val="auto"/>
          <w:sz w:val="24"/>
          <w:szCs w:val="24"/>
          <w:highlight w:val="none"/>
        </w:rPr>
        <w:t>.</w:t>
      </w:r>
      <w:r>
        <w:rPr>
          <w:rFonts w:hAnsi="宋体"/>
          <w:b/>
          <w:color w:val="auto"/>
          <w:sz w:val="24"/>
          <w:szCs w:val="24"/>
          <w:highlight w:val="none"/>
        </w:rPr>
        <w:t>评标办法</w:t>
      </w:r>
    </w:p>
    <w:p w14:paraId="5AE92EC0">
      <w:pPr>
        <w:spacing w:line="400" w:lineRule="exact"/>
        <w:rPr>
          <w:color w:val="auto"/>
          <w:sz w:val="24"/>
          <w:szCs w:val="24"/>
          <w:highlight w:val="none"/>
        </w:rPr>
      </w:pPr>
      <w:r>
        <w:rPr>
          <w:rFonts w:hint="eastAsia" w:hAnsi="宋体"/>
          <w:b/>
          <w:color w:val="auto"/>
          <w:sz w:val="24"/>
          <w:szCs w:val="24"/>
          <w:highlight w:val="none"/>
        </w:rPr>
        <w:t xml:space="preserve">18.1 </w:t>
      </w:r>
      <w:r>
        <w:rPr>
          <w:rFonts w:hAnsi="宋体"/>
          <w:color w:val="auto"/>
          <w:sz w:val="24"/>
          <w:szCs w:val="24"/>
          <w:highlight w:val="none"/>
        </w:rPr>
        <w:t>本项目采用的评标</w:t>
      </w:r>
      <w:r>
        <w:rPr>
          <w:rFonts w:hint="eastAsia" w:hAnsi="宋体"/>
          <w:color w:val="auto"/>
          <w:sz w:val="24"/>
          <w:szCs w:val="24"/>
          <w:highlight w:val="none"/>
        </w:rPr>
        <w:t>办法</w:t>
      </w:r>
      <w:r>
        <w:rPr>
          <w:rFonts w:hAnsi="宋体"/>
          <w:color w:val="auto"/>
          <w:sz w:val="24"/>
          <w:szCs w:val="24"/>
          <w:highlight w:val="none"/>
        </w:rPr>
        <w:t>载明在招标文件第</w:t>
      </w:r>
      <w:r>
        <w:rPr>
          <w:rFonts w:hint="eastAsia" w:hAnsi="宋体"/>
          <w:color w:val="auto"/>
          <w:sz w:val="24"/>
          <w:szCs w:val="24"/>
          <w:highlight w:val="none"/>
        </w:rPr>
        <w:t>四</w:t>
      </w:r>
      <w:r>
        <w:rPr>
          <w:rFonts w:hAnsi="宋体"/>
          <w:color w:val="auto"/>
          <w:sz w:val="24"/>
          <w:szCs w:val="24"/>
          <w:highlight w:val="none"/>
        </w:rPr>
        <w:t>部分</w:t>
      </w:r>
      <w:r>
        <w:rPr>
          <w:rFonts w:hint="eastAsia" w:hAnsi="宋体"/>
          <w:color w:val="auto"/>
          <w:sz w:val="24"/>
          <w:szCs w:val="24"/>
          <w:highlight w:val="none"/>
        </w:rPr>
        <w:t>“</w:t>
      </w:r>
      <w:r>
        <w:rPr>
          <w:rFonts w:hAnsi="宋体"/>
          <w:color w:val="auto"/>
          <w:sz w:val="24"/>
          <w:szCs w:val="24"/>
          <w:highlight w:val="none"/>
        </w:rPr>
        <w:t>评标标准</w:t>
      </w:r>
      <w:r>
        <w:rPr>
          <w:rFonts w:hint="eastAsia" w:hAnsi="宋体"/>
          <w:color w:val="auto"/>
          <w:sz w:val="24"/>
          <w:szCs w:val="24"/>
          <w:highlight w:val="none"/>
        </w:rPr>
        <w:t>”</w:t>
      </w:r>
      <w:r>
        <w:rPr>
          <w:rFonts w:hAnsi="宋体"/>
          <w:color w:val="auto"/>
          <w:sz w:val="24"/>
          <w:szCs w:val="24"/>
          <w:highlight w:val="none"/>
        </w:rPr>
        <w:t>中。</w:t>
      </w:r>
    </w:p>
    <w:p w14:paraId="5FDA0D74">
      <w:pPr>
        <w:spacing w:line="400" w:lineRule="exact"/>
        <w:rPr>
          <w:color w:val="auto"/>
          <w:sz w:val="24"/>
          <w:szCs w:val="24"/>
          <w:highlight w:val="none"/>
        </w:rPr>
      </w:pPr>
    </w:p>
    <w:p w14:paraId="5048F335">
      <w:pPr>
        <w:spacing w:line="400" w:lineRule="exact"/>
        <w:rPr>
          <w:color w:val="auto"/>
          <w:sz w:val="24"/>
          <w:szCs w:val="24"/>
          <w:highlight w:val="none"/>
        </w:rPr>
      </w:pPr>
      <w:r>
        <w:rPr>
          <w:rFonts w:hint="eastAsia"/>
          <w:b/>
          <w:color w:val="auto"/>
          <w:sz w:val="24"/>
          <w:szCs w:val="24"/>
          <w:highlight w:val="none"/>
        </w:rPr>
        <w:t>19</w:t>
      </w:r>
      <w:r>
        <w:rPr>
          <w:b/>
          <w:color w:val="auto"/>
          <w:sz w:val="24"/>
          <w:szCs w:val="24"/>
          <w:highlight w:val="none"/>
        </w:rPr>
        <w:t>.</w:t>
      </w:r>
      <w:r>
        <w:rPr>
          <w:rFonts w:hint="eastAsia" w:hAnsi="宋体"/>
          <w:b/>
          <w:color w:val="auto"/>
          <w:sz w:val="24"/>
          <w:szCs w:val="24"/>
          <w:highlight w:val="none"/>
        </w:rPr>
        <w:t>确定</w:t>
      </w:r>
      <w:r>
        <w:rPr>
          <w:rFonts w:hAnsi="宋体"/>
          <w:b/>
          <w:color w:val="auto"/>
          <w:sz w:val="24"/>
          <w:szCs w:val="24"/>
          <w:highlight w:val="none"/>
        </w:rPr>
        <w:t>中标</w:t>
      </w:r>
      <w:r>
        <w:rPr>
          <w:rFonts w:hint="eastAsia" w:hAnsi="宋体"/>
          <w:b/>
          <w:color w:val="auto"/>
          <w:sz w:val="24"/>
          <w:szCs w:val="24"/>
          <w:highlight w:val="none"/>
        </w:rPr>
        <w:t>供应商</w:t>
      </w:r>
    </w:p>
    <w:p w14:paraId="1574A8CA">
      <w:pPr>
        <w:spacing w:line="400" w:lineRule="exact"/>
        <w:rPr>
          <w:color w:val="auto"/>
          <w:sz w:val="24"/>
          <w:szCs w:val="24"/>
          <w:highlight w:val="none"/>
        </w:rPr>
      </w:pPr>
      <w:r>
        <w:rPr>
          <w:rFonts w:hint="eastAsia"/>
          <w:b/>
          <w:color w:val="auto"/>
          <w:sz w:val="24"/>
          <w:szCs w:val="24"/>
          <w:highlight w:val="none"/>
        </w:rPr>
        <w:t>19</w:t>
      </w:r>
      <w:r>
        <w:rPr>
          <w:b/>
          <w:color w:val="auto"/>
          <w:sz w:val="24"/>
          <w:szCs w:val="24"/>
          <w:highlight w:val="none"/>
        </w:rPr>
        <w:t>.1</w:t>
      </w:r>
      <w:r>
        <w:rPr>
          <w:rFonts w:hint="eastAsia" w:hAnsi="宋体"/>
          <w:color w:val="auto"/>
          <w:sz w:val="24"/>
          <w:highlight w:val="none"/>
        </w:rPr>
        <w:t>采购人自收到评标报告之日起5个工作日内，按评标报告推荐的中标候选人确定为中标人。</w:t>
      </w:r>
      <w:r>
        <w:rPr>
          <w:rFonts w:hint="eastAsia" w:hAnsi="宋体"/>
          <w:color w:val="auto"/>
          <w:sz w:val="24"/>
          <w:szCs w:val="24"/>
          <w:highlight w:val="none"/>
        </w:rPr>
        <w:t>若中标人放弃中标、或因不可抗力提出不能履行合同、或不能在招标文件规定的期限内提交履约保证金（如适用），采购人将重新组织招标。</w:t>
      </w:r>
    </w:p>
    <w:p w14:paraId="438E3DBF">
      <w:pPr>
        <w:spacing w:line="400" w:lineRule="exact"/>
        <w:rPr>
          <w:color w:val="auto"/>
          <w:sz w:val="24"/>
          <w:szCs w:val="24"/>
          <w:highlight w:val="none"/>
        </w:rPr>
      </w:pPr>
    </w:p>
    <w:p w14:paraId="114341DC">
      <w:pPr>
        <w:spacing w:line="400" w:lineRule="exact"/>
        <w:rPr>
          <w:color w:val="auto"/>
          <w:sz w:val="24"/>
          <w:szCs w:val="24"/>
          <w:highlight w:val="none"/>
        </w:rPr>
      </w:pPr>
      <w:r>
        <w:rPr>
          <w:b/>
          <w:color w:val="auto"/>
          <w:sz w:val="24"/>
          <w:szCs w:val="24"/>
          <w:highlight w:val="none"/>
        </w:rPr>
        <w:t>2</w:t>
      </w:r>
      <w:r>
        <w:rPr>
          <w:rFonts w:hint="eastAsia"/>
          <w:b/>
          <w:color w:val="auto"/>
          <w:sz w:val="24"/>
          <w:szCs w:val="24"/>
          <w:highlight w:val="none"/>
        </w:rPr>
        <w:t>0</w:t>
      </w:r>
      <w:r>
        <w:rPr>
          <w:b/>
          <w:color w:val="auto"/>
          <w:sz w:val="24"/>
          <w:szCs w:val="24"/>
          <w:highlight w:val="none"/>
        </w:rPr>
        <w:t>.</w:t>
      </w:r>
      <w:r>
        <w:rPr>
          <w:rFonts w:hAnsi="宋体"/>
          <w:b/>
          <w:color w:val="auto"/>
          <w:sz w:val="24"/>
          <w:szCs w:val="24"/>
          <w:highlight w:val="none"/>
        </w:rPr>
        <w:t>评标过程保密</w:t>
      </w:r>
    </w:p>
    <w:p w14:paraId="6A32C3D1">
      <w:pPr>
        <w:spacing w:line="400" w:lineRule="exact"/>
        <w:rPr>
          <w:color w:val="auto"/>
          <w:sz w:val="24"/>
          <w:szCs w:val="24"/>
          <w:highlight w:val="none"/>
        </w:rPr>
      </w:pPr>
      <w:r>
        <w:rPr>
          <w:b/>
          <w:color w:val="auto"/>
          <w:sz w:val="24"/>
          <w:szCs w:val="24"/>
          <w:highlight w:val="none"/>
        </w:rPr>
        <w:t>2</w:t>
      </w:r>
      <w:r>
        <w:rPr>
          <w:rFonts w:hint="eastAsia"/>
          <w:b/>
          <w:color w:val="auto"/>
          <w:sz w:val="24"/>
          <w:szCs w:val="24"/>
          <w:highlight w:val="none"/>
        </w:rPr>
        <w:t>0</w:t>
      </w:r>
      <w:r>
        <w:rPr>
          <w:b/>
          <w:color w:val="auto"/>
          <w:sz w:val="24"/>
          <w:szCs w:val="24"/>
          <w:highlight w:val="none"/>
        </w:rPr>
        <w:t xml:space="preserve">.1  </w:t>
      </w:r>
      <w:r>
        <w:rPr>
          <w:rFonts w:hint="eastAsia"/>
          <w:color w:val="auto"/>
          <w:sz w:val="24"/>
          <w:szCs w:val="24"/>
          <w:highlight w:val="none"/>
        </w:rPr>
        <w:t>在</w:t>
      </w:r>
      <w:r>
        <w:rPr>
          <w:rFonts w:hAnsi="宋体"/>
          <w:color w:val="auto"/>
          <w:sz w:val="24"/>
          <w:szCs w:val="24"/>
          <w:highlight w:val="none"/>
        </w:rPr>
        <w:t>中标</w:t>
      </w:r>
      <w:r>
        <w:rPr>
          <w:rFonts w:hint="eastAsia" w:hAnsi="宋体"/>
          <w:color w:val="auto"/>
          <w:sz w:val="24"/>
          <w:szCs w:val="24"/>
          <w:highlight w:val="none"/>
        </w:rPr>
        <w:t>公告发布</w:t>
      </w:r>
      <w:r>
        <w:rPr>
          <w:rFonts w:hAnsi="宋体"/>
          <w:color w:val="auto"/>
          <w:sz w:val="24"/>
          <w:szCs w:val="24"/>
          <w:highlight w:val="none"/>
        </w:rPr>
        <w:t>之前，凡是涉及评标委员会名单</w:t>
      </w:r>
      <w:r>
        <w:rPr>
          <w:rFonts w:hint="eastAsia" w:hAnsi="宋体"/>
          <w:color w:val="auto"/>
          <w:sz w:val="24"/>
          <w:szCs w:val="24"/>
          <w:highlight w:val="none"/>
        </w:rPr>
        <w:t>，</w:t>
      </w:r>
      <w:r>
        <w:rPr>
          <w:rFonts w:hAnsi="宋体"/>
          <w:color w:val="auto"/>
          <w:sz w:val="24"/>
          <w:szCs w:val="24"/>
          <w:highlight w:val="none"/>
        </w:rPr>
        <w:t>投标文件的评价</w:t>
      </w:r>
      <w:r>
        <w:rPr>
          <w:rFonts w:hint="eastAsia" w:hAnsi="宋体"/>
          <w:color w:val="auto"/>
          <w:sz w:val="24"/>
          <w:szCs w:val="24"/>
          <w:highlight w:val="none"/>
        </w:rPr>
        <w:t>与比较，与</w:t>
      </w:r>
      <w:r>
        <w:rPr>
          <w:rFonts w:hAnsi="宋体"/>
          <w:color w:val="auto"/>
          <w:sz w:val="24"/>
          <w:szCs w:val="24"/>
          <w:highlight w:val="none"/>
        </w:rPr>
        <w:t>投标有关</w:t>
      </w:r>
      <w:r>
        <w:rPr>
          <w:rFonts w:hint="eastAsia" w:hAnsi="宋体"/>
          <w:color w:val="auto"/>
          <w:sz w:val="24"/>
          <w:szCs w:val="24"/>
          <w:highlight w:val="none"/>
        </w:rPr>
        <w:t>的</w:t>
      </w:r>
      <w:r>
        <w:rPr>
          <w:rFonts w:hAnsi="宋体"/>
          <w:color w:val="auto"/>
          <w:sz w:val="24"/>
          <w:szCs w:val="24"/>
          <w:highlight w:val="none"/>
        </w:rPr>
        <w:t>资料</w:t>
      </w:r>
      <w:r>
        <w:rPr>
          <w:rFonts w:hint="eastAsia" w:hAnsi="宋体"/>
          <w:color w:val="auto"/>
          <w:sz w:val="24"/>
          <w:szCs w:val="24"/>
          <w:highlight w:val="none"/>
        </w:rPr>
        <w:t>，</w:t>
      </w:r>
      <w:r>
        <w:rPr>
          <w:rFonts w:hAnsi="宋体"/>
          <w:color w:val="auto"/>
          <w:sz w:val="24"/>
          <w:szCs w:val="24"/>
          <w:highlight w:val="none"/>
        </w:rPr>
        <w:t>授标意向等，评标委员会成员、采购人和采购代理公司的有关人员均不得向投标人或其他无关的人员透露。</w:t>
      </w:r>
    </w:p>
    <w:p w14:paraId="06BEAC2E">
      <w:pPr>
        <w:spacing w:line="400" w:lineRule="exact"/>
        <w:rPr>
          <w:color w:val="auto"/>
          <w:sz w:val="24"/>
          <w:szCs w:val="24"/>
          <w:highlight w:val="none"/>
        </w:rPr>
      </w:pPr>
    </w:p>
    <w:p w14:paraId="35F9FF00">
      <w:pPr>
        <w:spacing w:line="400" w:lineRule="exact"/>
        <w:rPr>
          <w:b/>
          <w:color w:val="auto"/>
          <w:sz w:val="24"/>
          <w:szCs w:val="24"/>
          <w:highlight w:val="none"/>
        </w:rPr>
      </w:pPr>
      <w:r>
        <w:rPr>
          <w:b/>
          <w:color w:val="auto"/>
          <w:sz w:val="24"/>
          <w:szCs w:val="24"/>
          <w:highlight w:val="none"/>
        </w:rPr>
        <w:t>2</w:t>
      </w:r>
      <w:r>
        <w:rPr>
          <w:rFonts w:hint="eastAsia"/>
          <w:b/>
          <w:color w:val="auto"/>
          <w:sz w:val="24"/>
          <w:szCs w:val="24"/>
          <w:highlight w:val="none"/>
        </w:rPr>
        <w:t>1</w:t>
      </w:r>
      <w:r>
        <w:rPr>
          <w:b/>
          <w:color w:val="auto"/>
          <w:sz w:val="24"/>
          <w:szCs w:val="24"/>
          <w:highlight w:val="none"/>
        </w:rPr>
        <w:t>.</w:t>
      </w:r>
      <w:r>
        <w:rPr>
          <w:rFonts w:hAnsi="宋体"/>
          <w:b/>
          <w:color w:val="auto"/>
          <w:sz w:val="24"/>
          <w:szCs w:val="24"/>
          <w:highlight w:val="none"/>
        </w:rPr>
        <w:t>确定中标供应商、评标结果</w:t>
      </w:r>
      <w:r>
        <w:rPr>
          <w:rFonts w:hint="eastAsia" w:hAnsi="宋体"/>
          <w:b/>
          <w:color w:val="auto"/>
          <w:sz w:val="24"/>
          <w:szCs w:val="24"/>
          <w:highlight w:val="none"/>
        </w:rPr>
        <w:t>公告</w:t>
      </w:r>
    </w:p>
    <w:p w14:paraId="44E0CAF9">
      <w:pPr>
        <w:spacing w:line="400" w:lineRule="exact"/>
        <w:rPr>
          <w:color w:val="auto"/>
          <w:sz w:val="24"/>
          <w:szCs w:val="24"/>
          <w:highlight w:val="none"/>
        </w:rPr>
      </w:pPr>
      <w:r>
        <w:rPr>
          <w:b/>
          <w:color w:val="auto"/>
          <w:sz w:val="24"/>
          <w:szCs w:val="24"/>
          <w:highlight w:val="none"/>
        </w:rPr>
        <w:t>2</w:t>
      </w:r>
      <w:r>
        <w:rPr>
          <w:rFonts w:hint="eastAsia"/>
          <w:b/>
          <w:color w:val="auto"/>
          <w:sz w:val="24"/>
          <w:szCs w:val="24"/>
          <w:highlight w:val="none"/>
        </w:rPr>
        <w:t>1</w:t>
      </w:r>
      <w:r>
        <w:rPr>
          <w:b/>
          <w:color w:val="auto"/>
          <w:sz w:val="24"/>
          <w:szCs w:val="24"/>
          <w:highlight w:val="none"/>
        </w:rPr>
        <w:t xml:space="preserve">.1  </w:t>
      </w:r>
      <w:r>
        <w:rPr>
          <w:rFonts w:hAnsi="宋体"/>
          <w:color w:val="auto"/>
          <w:sz w:val="24"/>
          <w:szCs w:val="24"/>
          <w:highlight w:val="none"/>
        </w:rPr>
        <w:t>采购人根据评标报告中推荐的中标候选供应商确定中标供应商。中标供应商一经确定，本采购代理公司即在规定的政府采购信息发布媒体上发布中标公告，投标人可到网上查询相关的中标信息。</w:t>
      </w:r>
    </w:p>
    <w:p w14:paraId="68CA0842">
      <w:pPr>
        <w:spacing w:line="400" w:lineRule="exact"/>
        <w:rPr>
          <w:color w:val="auto"/>
          <w:sz w:val="24"/>
          <w:szCs w:val="24"/>
          <w:highlight w:val="none"/>
        </w:rPr>
      </w:pPr>
    </w:p>
    <w:p w14:paraId="5D66D2CE">
      <w:pPr>
        <w:spacing w:line="400" w:lineRule="exact"/>
        <w:jc w:val="center"/>
        <w:rPr>
          <w:b/>
          <w:color w:val="auto"/>
          <w:sz w:val="24"/>
          <w:szCs w:val="24"/>
          <w:highlight w:val="none"/>
        </w:rPr>
      </w:pPr>
      <w:r>
        <w:rPr>
          <w:b/>
          <w:color w:val="auto"/>
          <w:sz w:val="24"/>
          <w:szCs w:val="24"/>
          <w:highlight w:val="none"/>
        </w:rPr>
        <w:t xml:space="preserve">G  </w:t>
      </w:r>
      <w:r>
        <w:rPr>
          <w:rFonts w:hAnsi="宋体"/>
          <w:b/>
          <w:color w:val="auto"/>
          <w:sz w:val="24"/>
          <w:szCs w:val="24"/>
          <w:highlight w:val="none"/>
        </w:rPr>
        <w:t>授予合同</w:t>
      </w:r>
    </w:p>
    <w:p w14:paraId="2710366C">
      <w:pPr>
        <w:spacing w:line="400" w:lineRule="exact"/>
        <w:rPr>
          <w:b/>
          <w:color w:val="auto"/>
          <w:sz w:val="24"/>
          <w:szCs w:val="24"/>
          <w:highlight w:val="none"/>
        </w:rPr>
      </w:pPr>
    </w:p>
    <w:p w14:paraId="77540BC5">
      <w:pPr>
        <w:spacing w:line="400" w:lineRule="exact"/>
        <w:rPr>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 xml:space="preserve">.  </w:t>
      </w:r>
      <w:r>
        <w:rPr>
          <w:rFonts w:hAnsi="宋体"/>
          <w:b/>
          <w:color w:val="auto"/>
          <w:sz w:val="24"/>
          <w:szCs w:val="24"/>
          <w:highlight w:val="none"/>
        </w:rPr>
        <w:t>中标通知</w:t>
      </w:r>
    </w:p>
    <w:p w14:paraId="1B37261C">
      <w:pPr>
        <w:spacing w:line="400" w:lineRule="exact"/>
        <w:rPr>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 xml:space="preserve">.1  </w:t>
      </w:r>
      <w:r>
        <w:rPr>
          <w:rFonts w:hAnsi="宋体"/>
          <w:color w:val="auto"/>
          <w:sz w:val="24"/>
          <w:szCs w:val="24"/>
          <w:highlight w:val="none"/>
        </w:rPr>
        <w:t>在</w:t>
      </w:r>
      <w:r>
        <w:rPr>
          <w:rFonts w:hint="eastAsia" w:hAnsi="宋体"/>
          <w:color w:val="auto"/>
          <w:sz w:val="24"/>
          <w:szCs w:val="24"/>
          <w:highlight w:val="none"/>
        </w:rPr>
        <w:t>发布中标公告同时</w:t>
      </w:r>
      <w:r>
        <w:rPr>
          <w:rFonts w:hAnsi="宋体"/>
          <w:color w:val="auto"/>
          <w:sz w:val="24"/>
          <w:szCs w:val="24"/>
          <w:highlight w:val="none"/>
        </w:rPr>
        <w:t>，本采购代理公司向中标供应商发出中标通知</w:t>
      </w:r>
      <w:r>
        <w:rPr>
          <w:rFonts w:hint="eastAsia" w:hAnsi="宋体"/>
          <w:color w:val="auto"/>
          <w:sz w:val="24"/>
          <w:szCs w:val="24"/>
          <w:highlight w:val="none"/>
        </w:rPr>
        <w:t>书</w:t>
      </w:r>
      <w:r>
        <w:rPr>
          <w:rFonts w:hAnsi="宋体"/>
          <w:color w:val="auto"/>
          <w:sz w:val="24"/>
          <w:szCs w:val="24"/>
          <w:highlight w:val="none"/>
        </w:rPr>
        <w:t>，中标通知书对采购人和中标供应商具有同等法律效力。</w:t>
      </w:r>
    </w:p>
    <w:p w14:paraId="0AE23935">
      <w:pPr>
        <w:spacing w:line="400" w:lineRule="exact"/>
        <w:rPr>
          <w:rFonts w:hAnsi="宋体"/>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.2</w:t>
      </w:r>
      <w:r>
        <w:rPr>
          <w:rFonts w:hAnsi="宋体"/>
          <w:color w:val="auto"/>
          <w:sz w:val="24"/>
          <w:szCs w:val="24"/>
          <w:highlight w:val="none"/>
        </w:rPr>
        <w:t>在中标供应商与采购人签订合同时，中标通知书是合同的一个组成部分。</w:t>
      </w:r>
    </w:p>
    <w:p w14:paraId="545523C4">
      <w:pPr>
        <w:spacing w:line="400" w:lineRule="exact"/>
        <w:rPr>
          <w:color w:val="auto"/>
          <w:sz w:val="24"/>
          <w:szCs w:val="24"/>
          <w:highlight w:val="none"/>
        </w:rPr>
      </w:pPr>
    </w:p>
    <w:p w14:paraId="2E8A4346">
      <w:pPr>
        <w:spacing w:line="400" w:lineRule="exact"/>
        <w:rPr>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w:t>
      </w:r>
      <w:r>
        <w:rPr>
          <w:rFonts w:hAnsi="宋体"/>
          <w:b/>
          <w:color w:val="auto"/>
          <w:sz w:val="24"/>
          <w:szCs w:val="24"/>
          <w:highlight w:val="none"/>
        </w:rPr>
        <w:t>签订合同</w:t>
      </w:r>
    </w:p>
    <w:p w14:paraId="52B5D3EE">
      <w:pPr>
        <w:spacing w:line="400" w:lineRule="exact"/>
        <w:rPr>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.1</w:t>
      </w:r>
      <w:r>
        <w:rPr>
          <w:rFonts w:hAnsi="宋体"/>
          <w:color w:val="auto"/>
          <w:sz w:val="24"/>
          <w:szCs w:val="24"/>
          <w:highlight w:val="none"/>
        </w:rPr>
        <w:t>中标供应商在本采购代理公司发出中标通知书的</w:t>
      </w:r>
      <w:r>
        <w:rPr>
          <w:color w:val="auto"/>
          <w:sz w:val="24"/>
          <w:szCs w:val="24"/>
          <w:highlight w:val="none"/>
        </w:rPr>
        <w:t>30</w:t>
      </w:r>
      <w:r>
        <w:rPr>
          <w:rFonts w:hAnsi="宋体"/>
          <w:color w:val="auto"/>
          <w:sz w:val="24"/>
          <w:szCs w:val="24"/>
          <w:highlight w:val="none"/>
        </w:rPr>
        <w:t>日内</w:t>
      </w:r>
      <w:r>
        <w:rPr>
          <w:rFonts w:hint="eastAsia"/>
          <w:color w:val="auto"/>
          <w:sz w:val="24"/>
          <w:szCs w:val="24"/>
          <w:highlight w:val="none"/>
        </w:rPr>
        <w:t>，</w:t>
      </w:r>
      <w:r>
        <w:rPr>
          <w:rFonts w:hAnsi="宋体"/>
          <w:color w:val="auto"/>
          <w:sz w:val="24"/>
          <w:szCs w:val="24"/>
          <w:highlight w:val="none"/>
        </w:rPr>
        <w:t>应与采购人按照招标文件和中标供应商的投标文件的约定内容签订书面合同。</w:t>
      </w:r>
    </w:p>
    <w:p w14:paraId="36B19F90">
      <w:pPr>
        <w:spacing w:line="400" w:lineRule="exact"/>
        <w:rPr>
          <w:rFonts w:hAnsi="宋体"/>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 xml:space="preserve">.2 </w:t>
      </w:r>
      <w:r>
        <w:rPr>
          <w:rFonts w:hint="eastAsia"/>
          <w:color w:val="auto"/>
          <w:sz w:val="24"/>
          <w:szCs w:val="24"/>
          <w:highlight w:val="none"/>
        </w:rPr>
        <w:t>中标通知书、</w:t>
      </w:r>
      <w:r>
        <w:rPr>
          <w:rFonts w:hAnsi="宋体"/>
          <w:color w:val="auto"/>
          <w:sz w:val="24"/>
          <w:szCs w:val="24"/>
          <w:highlight w:val="none"/>
        </w:rPr>
        <w:t>招标文件、中标供应商的投标文件及</w:t>
      </w:r>
      <w:r>
        <w:rPr>
          <w:rFonts w:hint="eastAsia" w:hAnsi="宋体"/>
          <w:color w:val="auto"/>
          <w:sz w:val="24"/>
          <w:szCs w:val="24"/>
          <w:highlight w:val="none"/>
        </w:rPr>
        <w:t>采购</w:t>
      </w:r>
      <w:r>
        <w:rPr>
          <w:rFonts w:hAnsi="宋体"/>
          <w:color w:val="auto"/>
          <w:sz w:val="24"/>
          <w:szCs w:val="24"/>
          <w:highlight w:val="none"/>
        </w:rPr>
        <w:t>过程中的澄清文件</w:t>
      </w:r>
      <w:r>
        <w:rPr>
          <w:rFonts w:hint="eastAsia" w:hAnsi="宋体"/>
          <w:color w:val="auto"/>
          <w:sz w:val="24"/>
          <w:szCs w:val="24"/>
          <w:highlight w:val="none"/>
        </w:rPr>
        <w:t>（如有）</w:t>
      </w:r>
      <w:r>
        <w:rPr>
          <w:rFonts w:hAnsi="宋体"/>
          <w:color w:val="auto"/>
          <w:sz w:val="24"/>
          <w:szCs w:val="24"/>
          <w:highlight w:val="none"/>
        </w:rPr>
        <w:t>均应作为合同附件。</w:t>
      </w:r>
    </w:p>
    <w:p w14:paraId="708BAA0B">
      <w:pPr>
        <w:spacing w:line="400" w:lineRule="exact"/>
        <w:rPr>
          <w:color w:val="auto"/>
          <w:sz w:val="24"/>
          <w:szCs w:val="24"/>
          <w:highlight w:val="none"/>
        </w:rPr>
      </w:pPr>
    </w:p>
    <w:p w14:paraId="688CF11B">
      <w:pPr>
        <w:spacing w:line="400" w:lineRule="exact"/>
        <w:jc w:val="center"/>
        <w:rPr>
          <w:b/>
          <w:color w:val="auto"/>
          <w:sz w:val="24"/>
          <w:szCs w:val="24"/>
          <w:highlight w:val="none"/>
        </w:rPr>
      </w:pPr>
      <w:r>
        <w:rPr>
          <w:b/>
          <w:color w:val="auto"/>
          <w:sz w:val="24"/>
          <w:szCs w:val="24"/>
          <w:highlight w:val="none"/>
        </w:rPr>
        <w:t xml:space="preserve">H  </w:t>
      </w:r>
      <w:r>
        <w:rPr>
          <w:rFonts w:hint="eastAsia"/>
          <w:b/>
          <w:color w:val="auto"/>
          <w:sz w:val="24"/>
          <w:szCs w:val="24"/>
          <w:highlight w:val="none"/>
        </w:rPr>
        <w:t>质疑</w:t>
      </w:r>
    </w:p>
    <w:p w14:paraId="43A86D21">
      <w:pPr>
        <w:spacing w:line="400" w:lineRule="exact"/>
        <w:rPr>
          <w:b/>
          <w:color w:val="auto"/>
          <w:sz w:val="24"/>
          <w:szCs w:val="24"/>
          <w:highlight w:val="none"/>
        </w:rPr>
      </w:pPr>
    </w:p>
    <w:p w14:paraId="5C70266E">
      <w:pPr>
        <w:spacing w:line="400" w:lineRule="exact"/>
        <w:rPr>
          <w:b/>
          <w:color w:val="auto"/>
          <w:sz w:val="24"/>
          <w:szCs w:val="24"/>
          <w:highlight w:val="none"/>
        </w:rPr>
      </w:pPr>
      <w:r>
        <w:rPr>
          <w:b/>
          <w:color w:val="auto"/>
          <w:sz w:val="24"/>
          <w:szCs w:val="24"/>
          <w:highlight w:val="none"/>
        </w:rPr>
        <w:t>2</w:t>
      </w:r>
      <w:r>
        <w:rPr>
          <w:rFonts w:hint="eastAsia"/>
          <w:b/>
          <w:color w:val="auto"/>
          <w:sz w:val="24"/>
          <w:szCs w:val="24"/>
          <w:highlight w:val="none"/>
        </w:rPr>
        <w:t>4</w:t>
      </w:r>
      <w:r>
        <w:rPr>
          <w:b/>
          <w:color w:val="auto"/>
          <w:sz w:val="24"/>
          <w:szCs w:val="24"/>
          <w:highlight w:val="none"/>
        </w:rPr>
        <w:t xml:space="preserve">.  </w:t>
      </w:r>
      <w:r>
        <w:rPr>
          <w:rFonts w:hint="eastAsia"/>
          <w:b/>
          <w:color w:val="auto"/>
          <w:sz w:val="24"/>
          <w:szCs w:val="24"/>
          <w:highlight w:val="none"/>
        </w:rPr>
        <w:t>对供应商质疑的有关规定</w:t>
      </w:r>
    </w:p>
    <w:p w14:paraId="480013EE">
      <w:pPr>
        <w:spacing w:line="400" w:lineRule="exact"/>
        <w:rPr>
          <w:bCs/>
          <w:color w:val="auto"/>
          <w:sz w:val="24"/>
          <w:szCs w:val="24"/>
          <w:highlight w:val="none"/>
        </w:rPr>
      </w:pPr>
      <w:r>
        <w:rPr>
          <w:rFonts w:hint="eastAsia"/>
          <w:b/>
          <w:color w:val="auto"/>
          <w:sz w:val="24"/>
          <w:szCs w:val="24"/>
          <w:highlight w:val="none"/>
        </w:rPr>
        <w:t>24.1</w:t>
      </w:r>
      <w:r>
        <w:rPr>
          <w:rFonts w:hint="eastAsia"/>
          <w:bCs/>
          <w:color w:val="auto"/>
          <w:sz w:val="24"/>
          <w:szCs w:val="24"/>
          <w:highlight w:val="none"/>
        </w:rPr>
        <w:t>供应商认为采购文件、采购过程、中标结果使自己的权益受到损害的，可以在知道或者应知其权益受到损害之日起7个工作日内，以书面形式向采购人、代理机构提出质疑。</w:t>
      </w:r>
    </w:p>
    <w:p w14:paraId="086CB626">
      <w:pPr>
        <w:spacing w:line="400" w:lineRule="exact"/>
        <w:rPr>
          <w:bCs/>
          <w:color w:val="auto"/>
          <w:sz w:val="24"/>
          <w:szCs w:val="24"/>
          <w:highlight w:val="none"/>
        </w:rPr>
      </w:pPr>
      <w:r>
        <w:rPr>
          <w:rFonts w:hint="eastAsia"/>
          <w:bCs/>
          <w:color w:val="auto"/>
          <w:sz w:val="24"/>
          <w:szCs w:val="24"/>
          <w:highlight w:val="none"/>
        </w:rPr>
        <w:t>提出质疑的期限：</w:t>
      </w:r>
    </w:p>
    <w:p w14:paraId="1A0AE739">
      <w:pPr>
        <w:spacing w:line="400" w:lineRule="exact"/>
        <w:rPr>
          <w:color w:val="auto"/>
          <w:sz w:val="24"/>
          <w:szCs w:val="24"/>
          <w:highlight w:val="none"/>
        </w:rPr>
      </w:pPr>
      <w:r>
        <w:rPr>
          <w:rFonts w:hint="eastAsia"/>
          <w:color w:val="auto"/>
          <w:sz w:val="24"/>
          <w:szCs w:val="24"/>
          <w:highlight w:val="none"/>
        </w:rPr>
        <w:t>对采购文件提出质疑的，为获取采购文件之日或者采购文件公告期限届满之日起七个工作日内；</w:t>
      </w:r>
    </w:p>
    <w:p w14:paraId="49F5DE4B">
      <w:pPr>
        <w:spacing w:line="400" w:lineRule="exact"/>
        <w:rPr>
          <w:bCs/>
          <w:color w:val="auto"/>
          <w:sz w:val="24"/>
          <w:szCs w:val="24"/>
          <w:highlight w:val="none"/>
        </w:rPr>
      </w:pPr>
      <w:r>
        <w:rPr>
          <w:rFonts w:hint="eastAsia"/>
          <w:bCs/>
          <w:color w:val="auto"/>
          <w:sz w:val="24"/>
          <w:szCs w:val="24"/>
          <w:highlight w:val="none"/>
        </w:rPr>
        <w:t>对采购过程提出质疑的，为各采购程序环节结束之日起七个工作日内；</w:t>
      </w:r>
    </w:p>
    <w:p w14:paraId="4AFCF298">
      <w:pPr>
        <w:spacing w:line="400" w:lineRule="exact"/>
        <w:rPr>
          <w:bCs/>
          <w:color w:val="auto"/>
          <w:sz w:val="24"/>
          <w:szCs w:val="24"/>
          <w:highlight w:val="none"/>
        </w:rPr>
      </w:pPr>
      <w:r>
        <w:rPr>
          <w:rFonts w:hint="eastAsia"/>
          <w:bCs/>
          <w:color w:val="auto"/>
          <w:sz w:val="24"/>
          <w:szCs w:val="24"/>
          <w:highlight w:val="none"/>
        </w:rPr>
        <w:t>对中标结果提出质疑的，为中标结果公告期限届满之日起七个工作日内。</w:t>
      </w:r>
    </w:p>
    <w:p w14:paraId="40775514">
      <w:pPr>
        <w:spacing w:line="400" w:lineRule="exact"/>
        <w:rPr>
          <w:bCs/>
          <w:color w:val="auto"/>
          <w:sz w:val="24"/>
          <w:szCs w:val="24"/>
          <w:highlight w:val="none"/>
        </w:rPr>
      </w:pPr>
      <w:r>
        <w:rPr>
          <w:rFonts w:hint="eastAsia"/>
          <w:bCs/>
          <w:color w:val="auto"/>
          <w:sz w:val="24"/>
          <w:szCs w:val="24"/>
          <w:highlight w:val="none"/>
        </w:rPr>
        <w:t>供应商对同一采购程序环节只能一次性提出质疑，第二次提出的质疑采购人、代理机构将不予受理（对于采购人、代理机构作出的澄清或者修改的内容提出质疑的除外）。</w:t>
      </w:r>
    </w:p>
    <w:p w14:paraId="01D7E53A">
      <w:pPr>
        <w:spacing w:line="400" w:lineRule="exact"/>
        <w:rPr>
          <w:bCs/>
          <w:color w:val="auto"/>
          <w:sz w:val="24"/>
          <w:szCs w:val="24"/>
          <w:highlight w:val="none"/>
        </w:rPr>
      </w:pPr>
      <w:r>
        <w:rPr>
          <w:rFonts w:hint="eastAsia"/>
          <w:b/>
          <w:color w:val="auto"/>
          <w:sz w:val="24"/>
          <w:szCs w:val="24"/>
          <w:highlight w:val="none"/>
        </w:rPr>
        <w:t>24.2</w:t>
      </w:r>
      <w:r>
        <w:rPr>
          <w:rFonts w:hint="eastAsia"/>
          <w:bCs/>
          <w:color w:val="auto"/>
          <w:sz w:val="24"/>
          <w:szCs w:val="24"/>
          <w:highlight w:val="none"/>
        </w:rPr>
        <w:t>提出质疑的供应商应当是参与所质疑项目采购活动的供应商。未依法获取采购文件的，不得就采购文件提出质疑；未提交投标文件的供应商，视为与采购结果没有利害关系，不得就投标截止时间后的采购过程、采购结果提出质疑。</w:t>
      </w:r>
    </w:p>
    <w:p w14:paraId="07C49473">
      <w:pPr>
        <w:spacing w:line="400" w:lineRule="exact"/>
        <w:rPr>
          <w:bCs/>
          <w:color w:val="auto"/>
          <w:sz w:val="24"/>
          <w:szCs w:val="24"/>
          <w:highlight w:val="none"/>
        </w:rPr>
      </w:pPr>
      <w:r>
        <w:rPr>
          <w:rFonts w:hint="eastAsia"/>
          <w:b/>
          <w:color w:val="auto"/>
          <w:sz w:val="24"/>
          <w:szCs w:val="24"/>
          <w:highlight w:val="none"/>
        </w:rPr>
        <w:t>24.3</w:t>
      </w:r>
      <w:r>
        <w:rPr>
          <w:rFonts w:hint="eastAsia"/>
          <w:bCs/>
          <w:color w:val="auto"/>
          <w:sz w:val="24"/>
          <w:szCs w:val="24"/>
          <w:highlight w:val="none"/>
        </w:rPr>
        <w:t>供应商提出质疑应当提交质疑函和必要的证明材料，质疑函应当以书面形式提出，质疑函格式和内容须符合财政部《质疑函范本》要求，供应商可到中国政府采购网自行下载财政部《质疑函范本》。</w:t>
      </w:r>
    </w:p>
    <w:p w14:paraId="60E1742E">
      <w:pPr>
        <w:spacing w:line="400" w:lineRule="exact"/>
        <w:rPr>
          <w:bCs/>
          <w:color w:val="auto"/>
          <w:sz w:val="24"/>
          <w:szCs w:val="24"/>
          <w:highlight w:val="none"/>
          <w:lang w:val="zh-CN"/>
        </w:rPr>
      </w:pPr>
      <w:r>
        <w:rPr>
          <w:rFonts w:hint="eastAsia"/>
          <w:bCs/>
          <w:color w:val="auto"/>
          <w:sz w:val="24"/>
          <w:szCs w:val="24"/>
          <w:highlight w:val="none"/>
        </w:rPr>
        <w:t>质疑函应当包括下列内容：</w:t>
      </w:r>
    </w:p>
    <w:p w14:paraId="03C4A840">
      <w:pPr>
        <w:spacing w:line="400" w:lineRule="exact"/>
        <w:rPr>
          <w:bCs/>
          <w:color w:val="auto"/>
          <w:sz w:val="24"/>
          <w:szCs w:val="24"/>
          <w:highlight w:val="none"/>
          <w:lang w:val="zh-CN"/>
        </w:rPr>
      </w:pPr>
      <w:r>
        <w:rPr>
          <w:rFonts w:hint="eastAsia"/>
          <w:bCs/>
          <w:color w:val="auto"/>
          <w:sz w:val="24"/>
          <w:szCs w:val="24"/>
          <w:highlight w:val="none"/>
          <w:lang w:val="zh-CN"/>
        </w:rPr>
        <w:t>供应商名称、地址、邮编、联系人及联系电话；</w:t>
      </w:r>
    </w:p>
    <w:p w14:paraId="697E2F2B">
      <w:pPr>
        <w:spacing w:line="400" w:lineRule="exact"/>
        <w:rPr>
          <w:bCs/>
          <w:color w:val="auto"/>
          <w:sz w:val="24"/>
          <w:szCs w:val="24"/>
          <w:highlight w:val="none"/>
          <w:lang w:val="zh-CN"/>
        </w:rPr>
      </w:pPr>
      <w:r>
        <w:rPr>
          <w:rFonts w:hint="eastAsia"/>
          <w:bCs/>
          <w:color w:val="auto"/>
          <w:sz w:val="24"/>
          <w:szCs w:val="24"/>
          <w:highlight w:val="none"/>
          <w:lang w:val="zh-CN"/>
        </w:rPr>
        <w:t>质疑项目的名称、编号；</w:t>
      </w:r>
    </w:p>
    <w:p w14:paraId="398ECD4E">
      <w:pPr>
        <w:spacing w:line="400" w:lineRule="exact"/>
        <w:rPr>
          <w:bCs/>
          <w:color w:val="auto"/>
          <w:sz w:val="24"/>
          <w:szCs w:val="24"/>
          <w:highlight w:val="none"/>
          <w:lang w:val="zh-CN"/>
        </w:rPr>
      </w:pPr>
      <w:r>
        <w:rPr>
          <w:rFonts w:hint="eastAsia"/>
          <w:bCs/>
          <w:color w:val="auto"/>
          <w:sz w:val="24"/>
          <w:szCs w:val="24"/>
          <w:highlight w:val="none"/>
          <w:lang w:val="zh-CN"/>
        </w:rPr>
        <w:t>具体、明确的质疑事项和与质疑事项相关的请求；</w:t>
      </w:r>
    </w:p>
    <w:p w14:paraId="3A932915">
      <w:pPr>
        <w:spacing w:line="400" w:lineRule="exact"/>
        <w:rPr>
          <w:bCs/>
          <w:color w:val="auto"/>
          <w:sz w:val="24"/>
          <w:szCs w:val="24"/>
          <w:highlight w:val="none"/>
          <w:lang w:val="zh-CN"/>
        </w:rPr>
      </w:pPr>
      <w:r>
        <w:rPr>
          <w:rFonts w:hint="eastAsia"/>
          <w:bCs/>
          <w:color w:val="auto"/>
          <w:sz w:val="24"/>
          <w:szCs w:val="24"/>
          <w:highlight w:val="none"/>
          <w:lang w:val="zh-CN"/>
        </w:rPr>
        <w:t>事实依据；</w:t>
      </w:r>
    </w:p>
    <w:p w14:paraId="743583FA">
      <w:pPr>
        <w:spacing w:line="400" w:lineRule="exact"/>
        <w:rPr>
          <w:bCs/>
          <w:color w:val="auto"/>
          <w:sz w:val="24"/>
          <w:szCs w:val="24"/>
          <w:highlight w:val="none"/>
          <w:lang w:val="zh-CN"/>
        </w:rPr>
      </w:pPr>
      <w:r>
        <w:rPr>
          <w:rFonts w:hint="eastAsia"/>
          <w:bCs/>
          <w:color w:val="auto"/>
          <w:sz w:val="24"/>
          <w:szCs w:val="24"/>
          <w:highlight w:val="none"/>
          <w:lang w:val="zh-CN"/>
        </w:rPr>
        <w:t>必要的法律依据；</w:t>
      </w:r>
    </w:p>
    <w:p w14:paraId="28D77A1C">
      <w:pPr>
        <w:spacing w:line="400" w:lineRule="exact"/>
        <w:rPr>
          <w:bCs/>
          <w:color w:val="auto"/>
          <w:sz w:val="24"/>
          <w:szCs w:val="24"/>
          <w:highlight w:val="none"/>
          <w:lang w:val="zh-CN"/>
        </w:rPr>
      </w:pPr>
      <w:r>
        <w:rPr>
          <w:rFonts w:hint="eastAsia"/>
          <w:bCs/>
          <w:color w:val="auto"/>
          <w:sz w:val="24"/>
          <w:szCs w:val="24"/>
          <w:highlight w:val="none"/>
          <w:lang w:val="zh-CN"/>
        </w:rPr>
        <w:t>提出质疑的日期。</w:t>
      </w:r>
    </w:p>
    <w:p w14:paraId="4CA362CF">
      <w:pPr>
        <w:spacing w:line="400" w:lineRule="exact"/>
        <w:rPr>
          <w:bCs/>
          <w:color w:val="auto"/>
          <w:sz w:val="24"/>
          <w:szCs w:val="24"/>
          <w:highlight w:val="none"/>
          <w:lang w:val="zh-CN"/>
        </w:rPr>
      </w:pPr>
      <w:r>
        <w:rPr>
          <w:rFonts w:hint="eastAsia"/>
          <w:bCs/>
          <w:color w:val="auto"/>
          <w:sz w:val="24"/>
          <w:szCs w:val="24"/>
          <w:highlight w:val="none"/>
          <w:lang w:val="zh-CN"/>
        </w:rPr>
        <w:t>质疑函</w:t>
      </w:r>
      <w:r>
        <w:rPr>
          <w:rFonts w:hint="eastAsia"/>
          <w:bCs/>
          <w:color w:val="auto"/>
          <w:sz w:val="24"/>
          <w:szCs w:val="24"/>
          <w:highlight w:val="none"/>
        </w:rPr>
        <w:t>应当由法定代表人、主要负责人，或者其授权代表签字，并加盖公章。以联合体形式参加政府采购活动的，其质疑应当由组成联合体的所有供应商共同提出。</w:t>
      </w:r>
    </w:p>
    <w:p w14:paraId="215B8864">
      <w:pPr>
        <w:spacing w:line="400" w:lineRule="exact"/>
        <w:rPr>
          <w:bCs/>
          <w:color w:val="auto"/>
          <w:sz w:val="24"/>
          <w:szCs w:val="24"/>
          <w:highlight w:val="none"/>
        </w:rPr>
      </w:pPr>
      <w:r>
        <w:rPr>
          <w:rFonts w:hint="eastAsia"/>
          <w:b/>
          <w:color w:val="auto"/>
          <w:sz w:val="24"/>
          <w:szCs w:val="24"/>
          <w:highlight w:val="none"/>
        </w:rPr>
        <w:t>24.4</w:t>
      </w:r>
      <w:r>
        <w:rPr>
          <w:rFonts w:hint="eastAsia"/>
          <w:bCs/>
          <w:color w:val="auto"/>
          <w:sz w:val="24"/>
          <w:szCs w:val="24"/>
          <w:highlight w:val="none"/>
        </w:rPr>
        <w:t>采购人、代理机构接收质疑函的方式：只接受质疑函原件，采购人、代理机构以实际收到质疑函原件之日为收到质疑函的日期。</w:t>
      </w:r>
    </w:p>
    <w:p w14:paraId="714FE6D8">
      <w:pPr>
        <w:spacing w:line="400" w:lineRule="exact"/>
        <w:rPr>
          <w:bCs/>
          <w:color w:val="auto"/>
          <w:sz w:val="24"/>
          <w:szCs w:val="24"/>
          <w:highlight w:val="none"/>
          <w:lang w:val="zh-CN"/>
        </w:rPr>
      </w:pPr>
      <w:r>
        <w:rPr>
          <w:rFonts w:hint="eastAsia"/>
          <w:b/>
          <w:color w:val="auto"/>
          <w:sz w:val="24"/>
          <w:szCs w:val="24"/>
          <w:highlight w:val="none"/>
        </w:rPr>
        <w:t>24.5</w:t>
      </w:r>
      <w:r>
        <w:rPr>
          <w:rFonts w:hint="eastAsia"/>
          <w:bCs/>
          <w:color w:val="auto"/>
          <w:sz w:val="24"/>
          <w:szCs w:val="24"/>
          <w:highlight w:val="none"/>
        </w:rPr>
        <w:t xml:space="preserve"> 采购人或者</w:t>
      </w:r>
      <w:r>
        <w:rPr>
          <w:rFonts w:hint="eastAsia"/>
          <w:bCs/>
          <w:color w:val="auto"/>
          <w:sz w:val="24"/>
          <w:szCs w:val="24"/>
          <w:highlight w:val="none"/>
          <w:lang w:val="zh-CN"/>
        </w:rPr>
        <w:t>采购代理机构</w:t>
      </w:r>
      <w:r>
        <w:rPr>
          <w:rFonts w:hint="eastAsia"/>
          <w:bCs/>
          <w:color w:val="auto"/>
          <w:sz w:val="24"/>
          <w:szCs w:val="24"/>
          <w:highlight w:val="none"/>
        </w:rPr>
        <w:t>应当在收到供应商的质疑函原件后七个工作日内作出答复，并以书面形式通知质疑供应商和其他与质疑处理结果有利害关系的政府采购当事人，但答复的内容不得涉及商业秘密。</w:t>
      </w:r>
    </w:p>
    <w:p w14:paraId="31F04667">
      <w:pPr>
        <w:spacing w:line="400" w:lineRule="exact"/>
        <w:rPr>
          <w:b/>
          <w:color w:val="auto"/>
          <w:sz w:val="24"/>
          <w:szCs w:val="24"/>
          <w:highlight w:val="none"/>
        </w:rPr>
      </w:pPr>
      <w:r>
        <w:rPr>
          <w:b/>
          <w:color w:val="auto"/>
          <w:sz w:val="24"/>
          <w:szCs w:val="24"/>
          <w:highlight w:val="none"/>
        </w:rPr>
        <w:t>2</w:t>
      </w:r>
      <w:r>
        <w:rPr>
          <w:rFonts w:hint="eastAsia"/>
          <w:b/>
          <w:color w:val="auto"/>
          <w:sz w:val="24"/>
          <w:szCs w:val="24"/>
          <w:highlight w:val="none"/>
        </w:rPr>
        <w:t>4</w:t>
      </w:r>
      <w:r>
        <w:rPr>
          <w:b/>
          <w:color w:val="auto"/>
          <w:sz w:val="24"/>
          <w:szCs w:val="24"/>
          <w:highlight w:val="none"/>
        </w:rPr>
        <w:t>.</w:t>
      </w:r>
      <w:r>
        <w:rPr>
          <w:rFonts w:hint="eastAsia"/>
          <w:b/>
          <w:color w:val="auto"/>
          <w:sz w:val="24"/>
          <w:szCs w:val="24"/>
          <w:highlight w:val="none"/>
        </w:rPr>
        <w:t>6</w:t>
      </w:r>
      <w:r>
        <w:rPr>
          <w:color w:val="auto"/>
          <w:sz w:val="24"/>
          <w:szCs w:val="24"/>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14:paraId="073AD179">
      <w:pPr>
        <w:spacing w:line="400" w:lineRule="exact"/>
        <w:rPr>
          <w:rFonts w:hAnsi="宋体"/>
          <w:color w:val="auto"/>
          <w:sz w:val="24"/>
          <w:szCs w:val="24"/>
          <w:highlight w:val="none"/>
        </w:rPr>
      </w:pPr>
      <w:r>
        <w:rPr>
          <w:rFonts w:hint="eastAsia"/>
          <w:b/>
          <w:color w:val="auto"/>
          <w:sz w:val="24"/>
          <w:szCs w:val="24"/>
          <w:highlight w:val="none"/>
        </w:rPr>
        <w:t>24</w:t>
      </w:r>
      <w:r>
        <w:rPr>
          <w:b/>
          <w:color w:val="auto"/>
          <w:sz w:val="24"/>
          <w:szCs w:val="24"/>
          <w:highlight w:val="none"/>
        </w:rPr>
        <w:t>.</w:t>
      </w:r>
      <w:r>
        <w:rPr>
          <w:rFonts w:hint="eastAsia"/>
          <w:b/>
          <w:color w:val="auto"/>
          <w:sz w:val="24"/>
          <w:szCs w:val="24"/>
          <w:highlight w:val="none"/>
        </w:rPr>
        <w:t>7</w:t>
      </w:r>
      <w:r>
        <w:rPr>
          <w:rFonts w:hint="eastAsia"/>
          <w:color w:val="auto"/>
          <w:sz w:val="24"/>
          <w:szCs w:val="24"/>
          <w:highlight w:val="none"/>
        </w:rPr>
        <w:t xml:space="preserve"> 采购人、代理机构接收质疑函的联系人、联系电话和通讯地址等信息详见采购公告。</w:t>
      </w:r>
    </w:p>
    <w:p w14:paraId="3B2151B6">
      <w:pPr>
        <w:spacing w:line="400" w:lineRule="exact"/>
        <w:jc w:val="center"/>
        <w:rPr>
          <w:b/>
          <w:color w:val="auto"/>
          <w:sz w:val="24"/>
          <w:szCs w:val="24"/>
          <w:highlight w:val="none"/>
        </w:rPr>
      </w:pPr>
    </w:p>
    <w:p w14:paraId="2DCDB6BE">
      <w:pPr>
        <w:spacing w:line="400" w:lineRule="exact"/>
        <w:jc w:val="center"/>
        <w:outlineLvl w:val="0"/>
        <w:rPr>
          <w:b/>
          <w:color w:val="auto"/>
          <w:sz w:val="24"/>
          <w:szCs w:val="24"/>
          <w:highlight w:val="none"/>
        </w:rPr>
      </w:pPr>
      <w:bookmarkStart w:id="5" w:name="_Toc16130"/>
      <w:r>
        <w:rPr>
          <w:b/>
          <w:color w:val="auto"/>
          <w:sz w:val="24"/>
          <w:szCs w:val="24"/>
          <w:highlight w:val="none"/>
        </w:rPr>
        <w:t xml:space="preserve">I  </w:t>
      </w:r>
      <w:r>
        <w:rPr>
          <w:rFonts w:hint="eastAsia"/>
          <w:b/>
          <w:color w:val="auto"/>
          <w:sz w:val="24"/>
          <w:szCs w:val="24"/>
          <w:highlight w:val="none"/>
        </w:rPr>
        <w:t>执行</w:t>
      </w:r>
      <w:r>
        <w:rPr>
          <w:rFonts w:hint="eastAsia" w:hAnsi="宋体"/>
          <w:b/>
          <w:color w:val="auto"/>
          <w:sz w:val="24"/>
          <w:szCs w:val="24"/>
          <w:highlight w:val="none"/>
        </w:rPr>
        <w:t>政府采购政策</w:t>
      </w:r>
      <w:r>
        <w:rPr>
          <w:rFonts w:hAnsi="宋体"/>
          <w:b/>
          <w:color w:val="auto"/>
          <w:sz w:val="24"/>
          <w:szCs w:val="24"/>
          <w:highlight w:val="none"/>
        </w:rPr>
        <w:t>说明</w:t>
      </w:r>
      <w:bookmarkEnd w:id="5"/>
    </w:p>
    <w:p w14:paraId="10DB201F">
      <w:pPr>
        <w:spacing w:line="400" w:lineRule="exact"/>
        <w:jc w:val="center"/>
        <w:rPr>
          <w:b/>
          <w:color w:val="auto"/>
          <w:sz w:val="24"/>
          <w:szCs w:val="24"/>
          <w:highlight w:val="none"/>
        </w:rPr>
      </w:pPr>
    </w:p>
    <w:p w14:paraId="6B93B45B">
      <w:pPr>
        <w:spacing w:line="400" w:lineRule="exact"/>
        <w:rPr>
          <w:rFonts w:ascii="ˎ̥" w:hAnsi="ˎ̥" w:cs="宋体"/>
          <w:color w:val="auto"/>
          <w:kern w:val="0"/>
          <w:sz w:val="24"/>
          <w:szCs w:val="24"/>
          <w:highlight w:val="none"/>
        </w:rPr>
      </w:pPr>
      <w:r>
        <w:rPr>
          <w:rFonts w:hint="eastAsia"/>
          <w:b/>
          <w:color w:val="auto"/>
          <w:sz w:val="24"/>
          <w:szCs w:val="24"/>
          <w:highlight w:val="none"/>
        </w:rPr>
        <w:t>25</w:t>
      </w:r>
      <w:r>
        <w:rPr>
          <w:b/>
          <w:color w:val="auto"/>
          <w:sz w:val="24"/>
          <w:szCs w:val="24"/>
          <w:highlight w:val="none"/>
        </w:rPr>
        <w:t>.</w:t>
      </w:r>
      <w:r>
        <w:rPr>
          <w:rFonts w:ascii="ˎ̥" w:hAnsi="ˎ̥" w:cs="宋体"/>
          <w:color w:val="auto"/>
          <w:kern w:val="0"/>
          <w:sz w:val="24"/>
          <w:szCs w:val="24"/>
          <w:highlight w:val="none"/>
        </w:rPr>
        <w:t>执行财政部、工业和信息化部《政府采购促进中小企业发展管理办法》（财库〔2020〕46号）。政府采购活动中有关中小企业的相关规定如下：</w:t>
      </w:r>
    </w:p>
    <w:p w14:paraId="71BD83AE">
      <w:pPr>
        <w:spacing w:line="400" w:lineRule="exact"/>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.1  中小企业，是指在中华人民共和国境内依法设立，依据国务院批准的中小企业划分标准确定的中型企业、小型企业和微型企业，但与大企业的负责人为同一人，或者与大企业存在直接控股、管理关系的除外。</w:t>
      </w:r>
    </w:p>
    <w:p w14:paraId="3B1DAE26">
      <w:pPr>
        <w:spacing w:line="400" w:lineRule="exact"/>
        <w:rPr>
          <w:rFonts w:hAnsi="宋体"/>
          <w:color w:val="auto"/>
          <w:sz w:val="24"/>
          <w:szCs w:val="24"/>
          <w:highlight w:val="none"/>
        </w:rPr>
      </w:pPr>
      <w:r>
        <w:rPr>
          <w:rFonts w:hAnsi="宋体"/>
          <w:color w:val="auto"/>
          <w:sz w:val="24"/>
          <w:szCs w:val="24"/>
          <w:highlight w:val="none"/>
        </w:rPr>
        <w:t>符合中小企业划分标准的个体工商户，在政府采购活动中视同中小企业。</w:t>
      </w:r>
    </w:p>
    <w:p w14:paraId="6DF5EB12">
      <w:pPr>
        <w:spacing w:line="400" w:lineRule="exact"/>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.2  在政府采购活动中，供应商提供的货物、工程或者服务符合下列情形的，享受《政府采购促进中小企业发展管理办法》规定的中小企业扶持政策：</w:t>
      </w:r>
    </w:p>
    <w:p w14:paraId="2B1BB3D1">
      <w:pPr>
        <w:spacing w:line="400" w:lineRule="exact"/>
        <w:rPr>
          <w:rFonts w:hAnsi="宋体"/>
          <w:color w:val="auto"/>
          <w:sz w:val="24"/>
          <w:szCs w:val="24"/>
          <w:highlight w:val="none"/>
        </w:rPr>
      </w:pPr>
      <w:r>
        <w:rPr>
          <w:rFonts w:hAnsi="宋体"/>
          <w:color w:val="auto"/>
          <w:sz w:val="24"/>
          <w:szCs w:val="24"/>
          <w:highlight w:val="none"/>
        </w:rPr>
        <w:t>（1）、在货物采购项目中，货物由中小企业制造，即货物由中小企业生产且使用该中小企业商号或者注册商标；</w:t>
      </w:r>
    </w:p>
    <w:p w14:paraId="06EABAE0">
      <w:pPr>
        <w:spacing w:line="400" w:lineRule="exact"/>
        <w:rPr>
          <w:rFonts w:hAnsi="宋体"/>
          <w:color w:val="auto"/>
          <w:sz w:val="24"/>
          <w:szCs w:val="24"/>
          <w:highlight w:val="none"/>
        </w:rPr>
      </w:pPr>
      <w:r>
        <w:rPr>
          <w:rFonts w:hAnsi="宋体"/>
          <w:color w:val="auto"/>
          <w:sz w:val="24"/>
          <w:szCs w:val="24"/>
          <w:highlight w:val="none"/>
        </w:rPr>
        <w:t>（2）、在工程采购项目中，工程由中小企业承建，即工程施工单位为中小企业；</w:t>
      </w:r>
    </w:p>
    <w:p w14:paraId="3914E9D9">
      <w:pPr>
        <w:spacing w:line="400" w:lineRule="exact"/>
        <w:rPr>
          <w:rFonts w:hAnsi="宋体"/>
          <w:color w:val="auto"/>
          <w:sz w:val="24"/>
          <w:szCs w:val="24"/>
          <w:highlight w:val="none"/>
        </w:rPr>
      </w:pPr>
      <w:r>
        <w:rPr>
          <w:rFonts w:hAnsi="宋体"/>
          <w:color w:val="auto"/>
          <w:sz w:val="24"/>
          <w:szCs w:val="24"/>
          <w:highlight w:val="none"/>
        </w:rPr>
        <w:t>（3）、在服务采购项目中，服务由中小企业承接，即提供服务的人员为中小企业依照《中华人民共和国劳动合同法》订立劳动合同的从业人员。</w:t>
      </w:r>
    </w:p>
    <w:p w14:paraId="6898046F">
      <w:pPr>
        <w:spacing w:line="400" w:lineRule="exact"/>
        <w:rPr>
          <w:rFonts w:hAnsi="宋体"/>
          <w:color w:val="auto"/>
          <w:sz w:val="24"/>
          <w:szCs w:val="24"/>
          <w:highlight w:val="none"/>
        </w:rPr>
      </w:pPr>
      <w:r>
        <w:rPr>
          <w:rFonts w:hAnsi="宋体"/>
          <w:color w:val="auto"/>
          <w:sz w:val="24"/>
          <w:szCs w:val="24"/>
          <w:highlight w:val="none"/>
        </w:rPr>
        <w:t>在货物采购项目中，供应商提供的货物既有中小企业制造货物，也有大型企业制造货物的，不享受《政府采购促进中小企业发展管理办法》规定的中小企业扶持政策。</w:t>
      </w:r>
    </w:p>
    <w:p w14:paraId="3A54CB71">
      <w:pPr>
        <w:spacing w:line="400" w:lineRule="exact"/>
        <w:rPr>
          <w:rFonts w:hAnsi="宋体"/>
          <w:color w:val="auto"/>
          <w:sz w:val="24"/>
          <w:szCs w:val="24"/>
          <w:highlight w:val="none"/>
        </w:rPr>
      </w:pPr>
      <w:r>
        <w:rPr>
          <w:rFonts w:hAnsi="宋体"/>
          <w:color w:val="auto"/>
          <w:sz w:val="24"/>
          <w:szCs w:val="24"/>
          <w:highlight w:val="none"/>
        </w:rPr>
        <w:t>以联合体形式参加政府采购活动，联合体各方均为中小企业的，联合体视同中小企业。其中，联合体各方均为小微企业的，联合体视同小微企业。</w:t>
      </w:r>
    </w:p>
    <w:p w14:paraId="2578B581">
      <w:pPr>
        <w:spacing w:line="400" w:lineRule="exact"/>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.3  中小企业参加政府采购活动，应当出具《政府采购促进中小企业发展管理办法》规定的《中小企业声明函》（格式见附件），否则不得享受中小企业扶持政策。</w:t>
      </w:r>
    </w:p>
    <w:p w14:paraId="5D891408">
      <w:pPr>
        <w:spacing w:line="400" w:lineRule="exact"/>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.4  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35AA0773">
      <w:pPr>
        <w:spacing w:line="400" w:lineRule="exact"/>
        <w:rPr>
          <w:rFonts w:hAnsi="宋体"/>
          <w:color w:val="auto"/>
          <w:sz w:val="24"/>
          <w:szCs w:val="24"/>
          <w:highlight w:val="none"/>
        </w:rPr>
      </w:pPr>
      <w:r>
        <w:rPr>
          <w:rFonts w:hAnsi="宋体"/>
          <w:color w:val="auto"/>
          <w:sz w:val="24"/>
          <w:szCs w:val="24"/>
          <w:highlight w:val="none"/>
        </w:rPr>
        <w:t>供应商提供声明函内容不实的，属于提供虚假材料谋取中标、成交，依照《中华人民共和国政府采购法》等国家有关规定追究相应责任。</w:t>
      </w:r>
    </w:p>
    <w:p w14:paraId="6CF1B49C">
      <w:pPr>
        <w:spacing w:line="400" w:lineRule="exact"/>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.5 《中小企业声明函》由参加投标的供应商提交，如供应商为代理商，须自行采集制造商的中小企业划分类型信息填入相应栏目并对其真实性负责。</w:t>
      </w:r>
    </w:p>
    <w:p w14:paraId="258F2A40">
      <w:pPr>
        <w:spacing w:line="400" w:lineRule="exact"/>
        <w:rPr>
          <w:color w:val="auto"/>
          <w:sz w:val="24"/>
          <w:szCs w:val="24"/>
          <w:highlight w:val="none"/>
        </w:rPr>
      </w:pPr>
      <w:r>
        <w:rPr>
          <w:rFonts w:hint="eastAsia"/>
          <w:color w:val="auto"/>
          <w:sz w:val="24"/>
          <w:szCs w:val="24"/>
          <w:highlight w:val="none"/>
        </w:rPr>
        <w:t>25</w:t>
      </w:r>
      <w:r>
        <w:rPr>
          <w:color w:val="auto"/>
          <w:sz w:val="24"/>
          <w:szCs w:val="24"/>
          <w:highlight w:val="none"/>
        </w:rPr>
        <w:t>.6</w:t>
      </w:r>
      <w:r>
        <w:rPr>
          <w:rFonts w:hint="eastAsia"/>
          <w:color w:val="auto"/>
          <w:sz w:val="24"/>
          <w:szCs w:val="24"/>
          <w:highlight w:val="none"/>
        </w:rPr>
        <w:t>根据《财政部司法部关于政府采购支持监狱企业发展有关问题的通知》（财库〔</w:t>
      </w:r>
      <w:r>
        <w:rPr>
          <w:color w:val="auto"/>
          <w:sz w:val="24"/>
          <w:szCs w:val="24"/>
          <w:highlight w:val="none"/>
        </w:rPr>
        <w:t>2014</w:t>
      </w:r>
      <w:r>
        <w:rPr>
          <w:rFonts w:hint="eastAsia"/>
          <w:color w:val="auto"/>
          <w:sz w:val="24"/>
          <w:szCs w:val="24"/>
          <w:highlight w:val="none"/>
        </w:rPr>
        <w:t>〕</w:t>
      </w:r>
      <w:r>
        <w:rPr>
          <w:color w:val="auto"/>
          <w:sz w:val="24"/>
          <w:szCs w:val="24"/>
          <w:highlight w:val="none"/>
        </w:rPr>
        <w:t>68</w:t>
      </w:r>
      <w:r>
        <w:rPr>
          <w:rFonts w:hint="eastAsia"/>
          <w:color w:val="auto"/>
          <w:sz w:val="24"/>
          <w:szCs w:val="24"/>
          <w:highlight w:val="none"/>
        </w:rPr>
        <w:t>号）规定，监狱企业视同小型、微型企业。监狱企业参加政府采购活动时，应当提供由省级以上监狱管理局、戒毒管理局（含新疆生产建设兵团）出具的属于监狱企业的证明文件。</w:t>
      </w:r>
    </w:p>
    <w:p w14:paraId="3C4FD407">
      <w:pPr>
        <w:spacing w:line="400" w:lineRule="exact"/>
        <w:rPr>
          <w:color w:val="auto"/>
          <w:sz w:val="24"/>
          <w:szCs w:val="24"/>
          <w:highlight w:val="none"/>
        </w:rPr>
      </w:pPr>
      <w:r>
        <w:rPr>
          <w:rFonts w:hint="eastAsia"/>
          <w:color w:val="auto"/>
          <w:sz w:val="24"/>
          <w:szCs w:val="24"/>
          <w:highlight w:val="none"/>
        </w:rPr>
        <w:t>25</w:t>
      </w:r>
      <w:r>
        <w:rPr>
          <w:color w:val="auto"/>
          <w:sz w:val="24"/>
          <w:szCs w:val="24"/>
          <w:highlight w:val="none"/>
        </w:rPr>
        <w:t>.7</w:t>
      </w:r>
      <w:r>
        <w:rPr>
          <w:rFonts w:hint="eastAsia"/>
          <w:color w:val="auto"/>
          <w:sz w:val="24"/>
          <w:szCs w:val="24"/>
          <w:highlight w:val="none"/>
        </w:rPr>
        <w:t>执行《三部门联合发布关于促进残疾人就业政府采购政策的通知》</w:t>
      </w:r>
      <w:r>
        <w:rPr>
          <w:color w:val="auto"/>
          <w:sz w:val="24"/>
          <w:szCs w:val="24"/>
          <w:highlight w:val="none"/>
        </w:rPr>
        <w:t>, </w:t>
      </w:r>
      <w:r>
        <w:rPr>
          <w:rFonts w:hint="eastAsia"/>
          <w:color w:val="auto"/>
          <w:sz w:val="24"/>
          <w:szCs w:val="24"/>
          <w:highlight w:val="none"/>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14:paraId="50E13F0A">
      <w:pPr>
        <w:spacing w:line="400" w:lineRule="exact"/>
        <w:ind w:left="1355" w:hanging="1355" w:hangingChars="375"/>
        <w:jc w:val="center"/>
        <w:outlineLvl w:val="0"/>
        <w:rPr>
          <w:b/>
          <w:color w:val="auto"/>
          <w:sz w:val="36"/>
          <w:szCs w:val="36"/>
          <w:highlight w:val="none"/>
        </w:rPr>
      </w:pPr>
      <w:bookmarkStart w:id="6" w:name="_Toc18477"/>
      <w:r>
        <w:rPr>
          <w:b/>
          <w:color w:val="auto"/>
          <w:sz w:val="36"/>
          <w:szCs w:val="36"/>
          <w:highlight w:val="none"/>
        </w:rPr>
        <w:t>第</w:t>
      </w:r>
      <w:r>
        <w:rPr>
          <w:rFonts w:hint="eastAsia"/>
          <w:b/>
          <w:color w:val="auto"/>
          <w:sz w:val="36"/>
          <w:szCs w:val="36"/>
          <w:highlight w:val="none"/>
        </w:rPr>
        <w:t>四</w:t>
      </w:r>
      <w:r>
        <w:rPr>
          <w:b/>
          <w:color w:val="auto"/>
          <w:sz w:val="36"/>
          <w:szCs w:val="36"/>
          <w:highlight w:val="none"/>
        </w:rPr>
        <w:t>部分  评标</w:t>
      </w:r>
      <w:r>
        <w:rPr>
          <w:rFonts w:hint="eastAsia"/>
          <w:b/>
          <w:color w:val="auto"/>
          <w:sz w:val="36"/>
          <w:szCs w:val="36"/>
          <w:highlight w:val="none"/>
        </w:rPr>
        <w:t>标准</w:t>
      </w:r>
      <w:bookmarkEnd w:id="6"/>
    </w:p>
    <w:p w14:paraId="6BA029AE">
      <w:pPr>
        <w:spacing w:line="400" w:lineRule="exact"/>
        <w:ind w:firstLine="480" w:firstLineChars="200"/>
        <w:rPr>
          <w:color w:val="auto"/>
          <w:sz w:val="24"/>
          <w:szCs w:val="24"/>
          <w:highlight w:val="none"/>
        </w:rPr>
      </w:pPr>
    </w:p>
    <w:p w14:paraId="0978F185">
      <w:pPr>
        <w:spacing w:line="400" w:lineRule="exact"/>
        <w:ind w:firstLine="480" w:firstLineChars="200"/>
        <w:rPr>
          <w:color w:val="auto"/>
          <w:sz w:val="24"/>
          <w:highlight w:val="none"/>
        </w:rPr>
      </w:pPr>
      <w:r>
        <w:rPr>
          <w:color w:val="auto"/>
          <w:sz w:val="24"/>
          <w:szCs w:val="24"/>
          <w:highlight w:val="none"/>
        </w:rPr>
        <w:t>评标委员会遵循公平、公正、科学</w:t>
      </w:r>
      <w:r>
        <w:rPr>
          <w:rFonts w:hint="eastAsia"/>
          <w:color w:val="auto"/>
          <w:sz w:val="24"/>
          <w:szCs w:val="24"/>
          <w:highlight w:val="none"/>
        </w:rPr>
        <w:t>择优</w:t>
      </w:r>
      <w:r>
        <w:rPr>
          <w:color w:val="auto"/>
          <w:sz w:val="24"/>
          <w:szCs w:val="24"/>
          <w:highlight w:val="none"/>
        </w:rPr>
        <w:t>的原则和规定的程序进行评标，依据投标文件和招标文件的内容进行评审。</w:t>
      </w:r>
    </w:p>
    <w:p w14:paraId="0972CD16">
      <w:pPr>
        <w:spacing w:line="400" w:lineRule="exact"/>
        <w:rPr>
          <w:color w:val="auto"/>
          <w:sz w:val="24"/>
          <w:highlight w:val="none"/>
        </w:rPr>
      </w:pPr>
    </w:p>
    <w:p w14:paraId="6FADB39B">
      <w:pPr>
        <w:spacing w:line="400" w:lineRule="exact"/>
        <w:rPr>
          <w:b/>
          <w:color w:val="auto"/>
          <w:sz w:val="24"/>
          <w:highlight w:val="none"/>
        </w:rPr>
      </w:pPr>
      <w:r>
        <w:rPr>
          <w:b/>
          <w:color w:val="auto"/>
          <w:sz w:val="24"/>
          <w:highlight w:val="none"/>
        </w:rPr>
        <w:t>一、评标</w:t>
      </w:r>
      <w:r>
        <w:rPr>
          <w:rFonts w:hint="eastAsia"/>
          <w:b/>
          <w:color w:val="auto"/>
          <w:sz w:val="24"/>
          <w:highlight w:val="none"/>
        </w:rPr>
        <w:t>总则</w:t>
      </w:r>
    </w:p>
    <w:p w14:paraId="27C55BE1">
      <w:pPr>
        <w:spacing w:line="400" w:lineRule="exact"/>
        <w:rPr>
          <w:color w:val="auto"/>
          <w:sz w:val="24"/>
          <w:highlight w:val="none"/>
        </w:rPr>
      </w:pPr>
      <w:r>
        <w:rPr>
          <w:color w:val="auto"/>
          <w:sz w:val="24"/>
          <w:highlight w:val="none"/>
        </w:rPr>
        <w:t>1．本项目采用综合评分法。</w:t>
      </w:r>
    </w:p>
    <w:p w14:paraId="6F05DE5B">
      <w:pPr>
        <w:spacing w:line="400" w:lineRule="exact"/>
        <w:rPr>
          <w:color w:val="auto"/>
          <w:sz w:val="24"/>
          <w:highlight w:val="none"/>
        </w:rPr>
      </w:pPr>
      <w:r>
        <w:rPr>
          <w:color w:val="auto"/>
          <w:sz w:val="24"/>
          <w:highlight w:val="none"/>
        </w:rPr>
        <w:t>2．综合评分法：</w:t>
      </w:r>
      <w:r>
        <w:rPr>
          <w:rFonts w:hint="eastAsia"/>
          <w:color w:val="auto"/>
          <w:sz w:val="24"/>
          <w:highlight w:val="none"/>
        </w:rPr>
        <w:t>评标委员会每位成员各自按照《评委打分表》规定的内容，对所有有效的投标文件进行打分，汇总各评委对各投标人的评分。计算全体评委评出的总分的算术平均值，作为各投标人的综合得分。按各投标人的综合得分自高向低次序排出评标结果排序。</w:t>
      </w:r>
    </w:p>
    <w:p w14:paraId="11606F29">
      <w:pPr>
        <w:spacing w:line="400" w:lineRule="exact"/>
        <w:rPr>
          <w:color w:val="auto"/>
          <w:sz w:val="24"/>
          <w:highlight w:val="none"/>
        </w:rPr>
      </w:pPr>
      <w:r>
        <w:rPr>
          <w:rFonts w:hint="eastAsia"/>
          <w:color w:val="auto"/>
          <w:sz w:val="24"/>
          <w:highlight w:val="none"/>
        </w:rPr>
        <w:t>3．评标过程中如发现异常情况，由评标委员会集体讨论决定。</w:t>
      </w:r>
    </w:p>
    <w:p w14:paraId="614098DF">
      <w:pPr>
        <w:spacing w:line="400" w:lineRule="exact"/>
        <w:rPr>
          <w:color w:val="auto"/>
          <w:sz w:val="24"/>
          <w:highlight w:val="none"/>
        </w:rPr>
      </w:pPr>
    </w:p>
    <w:p w14:paraId="63F14B4F">
      <w:pPr>
        <w:spacing w:line="400" w:lineRule="exact"/>
        <w:rPr>
          <w:b/>
          <w:color w:val="auto"/>
          <w:sz w:val="24"/>
          <w:highlight w:val="none"/>
        </w:rPr>
      </w:pPr>
      <w:r>
        <w:rPr>
          <w:b/>
          <w:color w:val="auto"/>
          <w:sz w:val="24"/>
          <w:highlight w:val="none"/>
        </w:rPr>
        <w:t>二、评标程序</w:t>
      </w:r>
    </w:p>
    <w:p w14:paraId="0D367DDD">
      <w:pPr>
        <w:spacing w:line="400" w:lineRule="exact"/>
        <w:ind w:firstLine="480" w:firstLineChars="200"/>
        <w:rPr>
          <w:color w:val="auto"/>
          <w:sz w:val="24"/>
          <w:szCs w:val="24"/>
          <w:highlight w:val="none"/>
          <w:shd w:val="pct10" w:color="auto" w:fill="FFFFFF"/>
        </w:rPr>
      </w:pPr>
      <w:r>
        <w:rPr>
          <w:rFonts w:hAnsi="宋体"/>
          <w:color w:val="auto"/>
          <w:sz w:val="24"/>
          <w:szCs w:val="24"/>
          <w:highlight w:val="none"/>
        </w:rPr>
        <w:t>评标程序：遵循</w:t>
      </w:r>
      <w:r>
        <w:rPr>
          <w:rFonts w:hint="eastAsia" w:hAnsi="宋体"/>
          <w:color w:val="auto"/>
          <w:sz w:val="24"/>
          <w:szCs w:val="24"/>
          <w:highlight w:val="none"/>
        </w:rPr>
        <w:t>初步审查</w:t>
      </w:r>
      <w:r>
        <w:rPr>
          <w:rFonts w:hAnsi="宋体"/>
          <w:color w:val="auto"/>
          <w:sz w:val="24"/>
          <w:szCs w:val="24"/>
          <w:highlight w:val="none"/>
        </w:rPr>
        <w:t>、澄清问题、比较与评价、推荐中标候选人的程序依次进行。</w:t>
      </w:r>
    </w:p>
    <w:p w14:paraId="6AE54617">
      <w:pPr>
        <w:spacing w:line="400" w:lineRule="exact"/>
        <w:rPr>
          <w:b/>
          <w:color w:val="auto"/>
          <w:sz w:val="24"/>
          <w:szCs w:val="24"/>
          <w:highlight w:val="none"/>
        </w:rPr>
      </w:pPr>
      <w:r>
        <w:rPr>
          <w:rFonts w:hint="eastAsia"/>
          <w:b/>
          <w:color w:val="auto"/>
          <w:sz w:val="24"/>
          <w:szCs w:val="24"/>
          <w:highlight w:val="none"/>
        </w:rPr>
        <w:t>1．</w:t>
      </w:r>
      <w:r>
        <w:rPr>
          <w:rFonts w:hint="eastAsia" w:hAnsi="宋体"/>
          <w:b/>
          <w:color w:val="auto"/>
          <w:sz w:val="24"/>
          <w:szCs w:val="24"/>
          <w:highlight w:val="none"/>
        </w:rPr>
        <w:t>初步</w:t>
      </w:r>
      <w:r>
        <w:rPr>
          <w:rFonts w:hAnsi="宋体"/>
          <w:b/>
          <w:color w:val="auto"/>
          <w:sz w:val="24"/>
          <w:szCs w:val="24"/>
          <w:highlight w:val="none"/>
        </w:rPr>
        <w:t>审查：</w:t>
      </w:r>
      <w:r>
        <w:rPr>
          <w:rFonts w:hAnsi="宋体"/>
          <w:color w:val="auto"/>
          <w:sz w:val="24"/>
          <w:szCs w:val="24"/>
          <w:highlight w:val="none"/>
        </w:rPr>
        <w:t>包含资格性审查和符合性审查。</w:t>
      </w:r>
      <w:r>
        <w:rPr>
          <w:rFonts w:hint="eastAsia" w:hAnsi="宋体"/>
          <w:color w:val="auto"/>
          <w:sz w:val="24"/>
          <w:szCs w:val="24"/>
          <w:highlight w:val="none"/>
        </w:rPr>
        <w:t>初步</w:t>
      </w:r>
      <w:r>
        <w:rPr>
          <w:rFonts w:hAnsi="宋体"/>
          <w:color w:val="auto"/>
          <w:sz w:val="24"/>
          <w:szCs w:val="24"/>
          <w:highlight w:val="none"/>
        </w:rPr>
        <w:t>审查不合格者</w:t>
      </w:r>
      <w:r>
        <w:rPr>
          <w:rFonts w:hint="eastAsia" w:hAnsi="宋体"/>
          <w:color w:val="auto"/>
          <w:sz w:val="24"/>
          <w:szCs w:val="24"/>
          <w:highlight w:val="none"/>
        </w:rPr>
        <w:t>投标无效</w:t>
      </w:r>
      <w:r>
        <w:rPr>
          <w:rFonts w:hAnsi="宋体"/>
          <w:color w:val="auto"/>
          <w:sz w:val="24"/>
          <w:szCs w:val="24"/>
          <w:highlight w:val="none"/>
        </w:rPr>
        <w:t>。</w:t>
      </w:r>
    </w:p>
    <w:p w14:paraId="6594FA74">
      <w:pPr>
        <w:spacing w:line="400" w:lineRule="exact"/>
        <w:rPr>
          <w:rFonts w:hAnsi="宋体"/>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w:t>
      </w:r>
      <w:r>
        <w:rPr>
          <w:rFonts w:hAnsi="宋体"/>
          <w:b/>
          <w:color w:val="auto"/>
          <w:sz w:val="24"/>
          <w:szCs w:val="24"/>
          <w:highlight w:val="none"/>
        </w:rPr>
        <w:t>资格性审查：</w:t>
      </w:r>
      <w:r>
        <w:rPr>
          <w:rFonts w:hint="eastAsia"/>
          <w:color w:val="auto"/>
          <w:sz w:val="24"/>
          <w:highlight w:val="none"/>
        </w:rPr>
        <w:t>采购人或采购代理机构</w:t>
      </w:r>
      <w:r>
        <w:rPr>
          <w:rFonts w:hAnsi="宋体"/>
          <w:color w:val="auto"/>
          <w:sz w:val="24"/>
          <w:szCs w:val="24"/>
          <w:highlight w:val="none"/>
        </w:rPr>
        <w:t>依据</w:t>
      </w:r>
      <w:r>
        <w:rPr>
          <w:rFonts w:hint="eastAsia" w:hAnsi="宋体"/>
          <w:color w:val="auto"/>
          <w:sz w:val="24"/>
          <w:szCs w:val="24"/>
          <w:highlight w:val="none"/>
        </w:rPr>
        <w:t>招标文件的要求，</w:t>
      </w:r>
      <w:r>
        <w:rPr>
          <w:rFonts w:hAnsi="宋体"/>
          <w:color w:val="auto"/>
          <w:sz w:val="24"/>
          <w:szCs w:val="24"/>
          <w:highlight w:val="none"/>
        </w:rPr>
        <w:t>对</w:t>
      </w:r>
      <w:r>
        <w:rPr>
          <w:rFonts w:hint="eastAsia" w:hAnsi="宋体"/>
          <w:color w:val="auto"/>
          <w:sz w:val="24"/>
          <w:szCs w:val="24"/>
          <w:highlight w:val="none"/>
        </w:rPr>
        <w:t>投标文件中</w:t>
      </w:r>
      <w:r>
        <w:rPr>
          <w:rFonts w:hAnsi="宋体"/>
          <w:color w:val="auto"/>
          <w:sz w:val="24"/>
          <w:szCs w:val="24"/>
          <w:highlight w:val="none"/>
        </w:rPr>
        <w:t>资格文件</w:t>
      </w:r>
      <w:r>
        <w:rPr>
          <w:rFonts w:hint="eastAsia" w:hAnsi="宋体"/>
          <w:color w:val="auto"/>
          <w:sz w:val="24"/>
          <w:szCs w:val="24"/>
          <w:highlight w:val="none"/>
        </w:rPr>
        <w:t>的完整</w:t>
      </w:r>
      <w:r>
        <w:rPr>
          <w:rFonts w:hAnsi="宋体"/>
          <w:color w:val="auto"/>
          <w:sz w:val="24"/>
          <w:szCs w:val="24"/>
          <w:highlight w:val="none"/>
        </w:rPr>
        <w:t>性和有效性进行审查。</w:t>
      </w:r>
      <w:r>
        <w:rPr>
          <w:rFonts w:hint="eastAsia" w:hAnsi="宋体"/>
          <w:color w:val="auto"/>
          <w:sz w:val="24"/>
          <w:szCs w:val="24"/>
          <w:highlight w:val="none"/>
        </w:rPr>
        <w:t>对列入失信被执行人、重大税收违法案件当事人</w:t>
      </w:r>
      <w:r>
        <w:rPr>
          <w:rFonts w:hint="eastAsia"/>
          <w:color w:val="auto"/>
          <w:sz w:val="24"/>
          <w:highlight w:val="none"/>
        </w:rPr>
        <w:t>（重大税收违法失信主体）</w:t>
      </w:r>
      <w:r>
        <w:rPr>
          <w:rFonts w:hint="eastAsia" w:hAnsi="宋体"/>
          <w:color w:val="auto"/>
          <w:sz w:val="24"/>
          <w:szCs w:val="24"/>
          <w:highlight w:val="none"/>
        </w:rPr>
        <w:t>名单、政府采购严重违法失信行为记录名单的投标人，拒绝其参与政府采购活动。开标日当天通过“信用中国”网站（</w:t>
      </w:r>
      <w:r>
        <w:rPr>
          <w:rFonts w:hAnsi="宋体"/>
          <w:color w:val="auto"/>
          <w:sz w:val="24"/>
          <w:szCs w:val="24"/>
          <w:highlight w:val="none"/>
        </w:rPr>
        <w:t>www.creditchina.gov.cn</w:t>
      </w:r>
      <w:r>
        <w:rPr>
          <w:rFonts w:hint="eastAsia" w:hAnsi="宋体"/>
          <w:color w:val="auto"/>
          <w:sz w:val="24"/>
          <w:szCs w:val="24"/>
          <w:highlight w:val="none"/>
        </w:rPr>
        <w:t>）查询投标人失信被执行人、</w:t>
      </w:r>
      <w:r>
        <w:rPr>
          <w:rFonts w:hint="eastAsia"/>
          <w:color w:val="auto"/>
          <w:sz w:val="24"/>
          <w:highlight w:val="none"/>
        </w:rPr>
        <w:t>重大税收违法失信主体</w:t>
      </w:r>
      <w:r>
        <w:rPr>
          <w:rFonts w:hint="eastAsia" w:hAnsi="宋体"/>
          <w:color w:val="auto"/>
          <w:sz w:val="24"/>
          <w:szCs w:val="24"/>
          <w:highlight w:val="none"/>
        </w:rPr>
        <w:t>信用记录，通过中国政府采购网（</w:t>
      </w:r>
      <w:r>
        <w:rPr>
          <w:rFonts w:hAnsi="宋体"/>
          <w:color w:val="auto"/>
          <w:sz w:val="24"/>
          <w:szCs w:val="24"/>
          <w:highlight w:val="none"/>
        </w:rPr>
        <w:t>www.ccgp.gov.cn</w:t>
      </w:r>
      <w:r>
        <w:rPr>
          <w:rFonts w:hint="eastAsia" w:hAnsi="宋体"/>
          <w:color w:val="auto"/>
          <w:sz w:val="24"/>
          <w:szCs w:val="24"/>
          <w:highlight w:val="none"/>
        </w:rPr>
        <w:t>）查询投标人政府采购严重违法失信行为信用记录。投标人如被列入失信被执行人、</w:t>
      </w:r>
      <w:r>
        <w:rPr>
          <w:rFonts w:hint="eastAsia"/>
          <w:color w:val="auto"/>
          <w:sz w:val="24"/>
          <w:highlight w:val="none"/>
        </w:rPr>
        <w:t>重大税收违法失信主体</w:t>
      </w:r>
      <w:r>
        <w:rPr>
          <w:rFonts w:hint="eastAsia" w:hAnsi="宋体"/>
          <w:color w:val="auto"/>
          <w:sz w:val="24"/>
          <w:szCs w:val="24"/>
          <w:highlight w:val="none"/>
        </w:rPr>
        <w:t>、政府采购严重违法失信行为记录名单，其资格审查为不合格，其投标将被认定为无效投标。</w:t>
      </w:r>
    </w:p>
    <w:p w14:paraId="3934F106">
      <w:pPr>
        <w:spacing w:line="400" w:lineRule="exact"/>
        <w:rPr>
          <w:color w:val="auto"/>
          <w:sz w:val="24"/>
          <w:szCs w:val="24"/>
          <w:highlight w:val="none"/>
        </w:rPr>
      </w:pPr>
    </w:p>
    <w:p w14:paraId="43D06959">
      <w:pPr>
        <w:spacing w:line="400" w:lineRule="exact"/>
        <w:rPr>
          <w:rFonts w:hAnsi="宋体"/>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w:t>
      </w:r>
      <w:r>
        <w:rPr>
          <w:rFonts w:hAnsi="宋体"/>
          <w:b/>
          <w:color w:val="auto"/>
          <w:sz w:val="24"/>
          <w:szCs w:val="24"/>
          <w:highlight w:val="none"/>
        </w:rPr>
        <w:t>符合性检查：</w:t>
      </w:r>
      <w:r>
        <w:rPr>
          <w:rFonts w:hint="eastAsia" w:hAnsi="宋体"/>
          <w:bCs/>
          <w:color w:val="auto"/>
          <w:sz w:val="24"/>
          <w:szCs w:val="24"/>
          <w:highlight w:val="none"/>
        </w:rPr>
        <w:t>评标委员会</w:t>
      </w:r>
      <w:r>
        <w:rPr>
          <w:rFonts w:hAnsi="宋体"/>
          <w:bCs/>
          <w:color w:val="auto"/>
          <w:sz w:val="24"/>
          <w:szCs w:val="24"/>
          <w:highlight w:val="none"/>
        </w:rPr>
        <w:t>依据</w:t>
      </w:r>
      <w:r>
        <w:rPr>
          <w:rFonts w:hint="eastAsia" w:hAnsi="宋体"/>
          <w:color w:val="auto"/>
          <w:sz w:val="24"/>
          <w:szCs w:val="24"/>
          <w:highlight w:val="none"/>
        </w:rPr>
        <w:t>招标文件的</w:t>
      </w:r>
      <w:r>
        <w:rPr>
          <w:rFonts w:hAnsi="宋体"/>
          <w:color w:val="auto"/>
          <w:sz w:val="24"/>
          <w:szCs w:val="24"/>
          <w:highlight w:val="none"/>
        </w:rPr>
        <w:t>规定，对投标文件的完整性和有效性</w:t>
      </w:r>
      <w:r>
        <w:rPr>
          <w:rFonts w:hint="eastAsia" w:hAnsi="宋体"/>
          <w:color w:val="auto"/>
          <w:sz w:val="24"/>
          <w:szCs w:val="24"/>
          <w:highlight w:val="none"/>
        </w:rPr>
        <w:t>审查，审查</w:t>
      </w:r>
      <w:r>
        <w:rPr>
          <w:rFonts w:hAnsi="宋体"/>
          <w:color w:val="auto"/>
          <w:sz w:val="24"/>
          <w:szCs w:val="24"/>
          <w:highlight w:val="none"/>
        </w:rPr>
        <w:t>投标有效期是否符合要求</w:t>
      </w:r>
      <w:r>
        <w:rPr>
          <w:rFonts w:hint="eastAsia" w:hAnsi="宋体"/>
          <w:color w:val="auto"/>
          <w:sz w:val="24"/>
          <w:szCs w:val="24"/>
          <w:highlight w:val="none"/>
        </w:rPr>
        <w:t>；审查投标文件</w:t>
      </w:r>
      <w:r>
        <w:rPr>
          <w:rFonts w:hAnsi="宋体"/>
          <w:color w:val="auto"/>
          <w:sz w:val="24"/>
          <w:szCs w:val="24"/>
          <w:highlight w:val="none"/>
        </w:rPr>
        <w:t>是否</w:t>
      </w:r>
      <w:r>
        <w:rPr>
          <w:rFonts w:hint="eastAsia" w:hAnsi="宋体"/>
          <w:color w:val="auto"/>
          <w:sz w:val="24"/>
          <w:szCs w:val="24"/>
          <w:highlight w:val="none"/>
        </w:rPr>
        <w:t>对招标文件</w:t>
      </w:r>
      <w:r>
        <w:rPr>
          <w:rFonts w:hAnsi="宋体"/>
          <w:color w:val="auto"/>
          <w:sz w:val="24"/>
          <w:szCs w:val="24"/>
          <w:highlight w:val="none"/>
        </w:rPr>
        <w:t>做出实质性响应</w:t>
      </w:r>
      <w:r>
        <w:rPr>
          <w:rFonts w:hint="eastAsia" w:hAnsi="宋体"/>
          <w:color w:val="auto"/>
          <w:sz w:val="24"/>
          <w:szCs w:val="24"/>
          <w:highlight w:val="none"/>
        </w:rPr>
        <w:t>（对招标文件标注★号的条款是否负偏离或未实质性响应）</w:t>
      </w:r>
      <w:r>
        <w:rPr>
          <w:rFonts w:hAnsi="宋体"/>
          <w:color w:val="auto"/>
          <w:sz w:val="24"/>
          <w:szCs w:val="24"/>
          <w:highlight w:val="none"/>
        </w:rPr>
        <w:t>；并</w:t>
      </w:r>
      <w:r>
        <w:rPr>
          <w:rFonts w:hint="eastAsia" w:hAnsi="宋体"/>
          <w:color w:val="auto"/>
          <w:sz w:val="24"/>
          <w:szCs w:val="24"/>
          <w:highlight w:val="none"/>
        </w:rPr>
        <w:t>审查</w:t>
      </w:r>
      <w:r>
        <w:rPr>
          <w:rFonts w:hAnsi="宋体"/>
          <w:color w:val="auto"/>
          <w:sz w:val="24"/>
          <w:szCs w:val="24"/>
          <w:highlight w:val="none"/>
        </w:rPr>
        <w:t>其</w:t>
      </w:r>
      <w:r>
        <w:rPr>
          <w:rFonts w:hint="eastAsia" w:hAnsi="宋体"/>
          <w:color w:val="auto"/>
          <w:sz w:val="24"/>
          <w:szCs w:val="24"/>
          <w:highlight w:val="none"/>
        </w:rPr>
        <w:t>投标报价</w:t>
      </w:r>
      <w:r>
        <w:rPr>
          <w:rFonts w:hAnsi="宋体"/>
          <w:color w:val="auto"/>
          <w:sz w:val="24"/>
          <w:szCs w:val="24"/>
          <w:highlight w:val="none"/>
        </w:rPr>
        <w:t>是否</w:t>
      </w:r>
      <w:r>
        <w:rPr>
          <w:rFonts w:hint="eastAsia" w:hAnsi="宋体"/>
          <w:color w:val="auto"/>
          <w:sz w:val="24"/>
          <w:szCs w:val="24"/>
          <w:highlight w:val="none"/>
        </w:rPr>
        <w:t>高于采购预算（或最高限价）等</w:t>
      </w:r>
      <w:r>
        <w:rPr>
          <w:rFonts w:hAnsi="宋体"/>
          <w:color w:val="auto"/>
          <w:sz w:val="24"/>
          <w:szCs w:val="24"/>
          <w:highlight w:val="none"/>
        </w:rPr>
        <w:t>。</w:t>
      </w:r>
    </w:p>
    <w:p w14:paraId="5E9F2DD0">
      <w:pPr>
        <w:spacing w:line="400" w:lineRule="exact"/>
        <w:rPr>
          <w:rFonts w:hAnsi="宋体"/>
          <w:color w:val="auto"/>
          <w:sz w:val="24"/>
          <w:szCs w:val="24"/>
          <w:highlight w:val="none"/>
        </w:rPr>
      </w:pPr>
    </w:p>
    <w:p w14:paraId="50EF9B2C">
      <w:pPr>
        <w:spacing w:line="400" w:lineRule="exact"/>
        <w:rPr>
          <w:color w:val="auto"/>
          <w:sz w:val="24"/>
          <w:szCs w:val="24"/>
          <w:highlight w:val="none"/>
        </w:rPr>
      </w:pPr>
      <w:r>
        <w:rPr>
          <w:rFonts w:hint="eastAsia"/>
          <w:color w:val="auto"/>
          <w:sz w:val="24"/>
          <w:szCs w:val="24"/>
          <w:highlight w:val="none"/>
        </w:rPr>
        <w:t>（3）</w:t>
      </w:r>
      <w:r>
        <w:rPr>
          <w:b/>
          <w:color w:val="auto"/>
          <w:sz w:val="24"/>
          <w:szCs w:val="24"/>
          <w:highlight w:val="none"/>
        </w:rPr>
        <w:t>投标文件有以下</w:t>
      </w:r>
      <w:r>
        <w:rPr>
          <w:rFonts w:hint="eastAsia"/>
          <w:b/>
          <w:color w:val="auto"/>
          <w:sz w:val="24"/>
          <w:szCs w:val="24"/>
          <w:highlight w:val="none"/>
        </w:rPr>
        <w:t>重大</w:t>
      </w:r>
      <w:r>
        <w:rPr>
          <w:b/>
          <w:color w:val="auto"/>
          <w:sz w:val="24"/>
          <w:szCs w:val="24"/>
          <w:highlight w:val="none"/>
        </w:rPr>
        <w:t>偏差</w:t>
      </w:r>
      <w:r>
        <w:rPr>
          <w:rFonts w:hint="eastAsia"/>
          <w:b/>
          <w:color w:val="auto"/>
          <w:sz w:val="24"/>
          <w:szCs w:val="24"/>
          <w:highlight w:val="none"/>
        </w:rPr>
        <w:t>之一</w:t>
      </w:r>
      <w:r>
        <w:rPr>
          <w:b/>
          <w:color w:val="auto"/>
          <w:sz w:val="24"/>
          <w:szCs w:val="24"/>
          <w:highlight w:val="none"/>
        </w:rPr>
        <w:t>的</w:t>
      </w:r>
      <w:r>
        <w:rPr>
          <w:rFonts w:hint="eastAsia"/>
          <w:b/>
          <w:color w:val="auto"/>
          <w:sz w:val="24"/>
          <w:szCs w:val="24"/>
          <w:highlight w:val="none"/>
        </w:rPr>
        <w:t>投标无效</w:t>
      </w:r>
      <w:r>
        <w:rPr>
          <w:b/>
          <w:color w:val="auto"/>
          <w:sz w:val="24"/>
          <w:szCs w:val="24"/>
          <w:highlight w:val="none"/>
        </w:rPr>
        <w:t>：</w:t>
      </w:r>
    </w:p>
    <w:p w14:paraId="52A46124">
      <w:pPr>
        <w:spacing w:line="400" w:lineRule="exact"/>
        <w:rPr>
          <w:color w:val="auto"/>
          <w:sz w:val="24"/>
          <w:szCs w:val="24"/>
          <w:highlight w:val="none"/>
        </w:rPr>
      </w:pPr>
      <w:r>
        <w:rPr>
          <w:rFonts w:hint="eastAsia"/>
          <w:color w:val="auto"/>
          <w:sz w:val="24"/>
          <w:szCs w:val="24"/>
          <w:highlight w:val="none"/>
        </w:rPr>
        <w:t xml:space="preserve">（3.1） </w:t>
      </w:r>
      <w:r>
        <w:rPr>
          <w:color w:val="auto"/>
          <w:sz w:val="24"/>
          <w:szCs w:val="24"/>
          <w:highlight w:val="none"/>
        </w:rPr>
        <w:t>资格审查不合格的：</w:t>
      </w:r>
      <w:r>
        <w:rPr>
          <w:rFonts w:hint="eastAsia"/>
          <w:color w:val="auto"/>
          <w:sz w:val="24"/>
          <w:szCs w:val="24"/>
          <w:highlight w:val="none"/>
        </w:rPr>
        <w:t>投标文件的资格文件不符合招标文件“第六部分附件（投标文件格式）（一）资格文件”要求的</w:t>
      </w:r>
      <w:r>
        <w:rPr>
          <w:color w:val="auto"/>
          <w:sz w:val="24"/>
          <w:szCs w:val="24"/>
          <w:highlight w:val="none"/>
        </w:rPr>
        <w:t>；</w:t>
      </w:r>
    </w:p>
    <w:p w14:paraId="5886F7F7">
      <w:pPr>
        <w:spacing w:line="400" w:lineRule="exact"/>
        <w:rPr>
          <w:color w:val="auto"/>
          <w:sz w:val="24"/>
          <w:szCs w:val="24"/>
          <w:highlight w:val="none"/>
        </w:rPr>
      </w:pPr>
      <w:r>
        <w:rPr>
          <w:rFonts w:hint="eastAsia"/>
          <w:color w:val="auto"/>
          <w:sz w:val="24"/>
          <w:szCs w:val="24"/>
          <w:highlight w:val="none"/>
        </w:rPr>
        <w:t>（3.2）投标报价超过采购预算（或最高限价）的；</w:t>
      </w:r>
    </w:p>
    <w:p w14:paraId="102F5CD3">
      <w:pPr>
        <w:spacing w:line="400" w:lineRule="exact"/>
        <w:rPr>
          <w:color w:val="auto"/>
          <w:sz w:val="24"/>
          <w:szCs w:val="24"/>
          <w:highlight w:val="none"/>
        </w:rPr>
      </w:pPr>
      <w:r>
        <w:rPr>
          <w:rFonts w:hint="eastAsia"/>
          <w:color w:val="auto"/>
          <w:sz w:val="24"/>
          <w:szCs w:val="24"/>
          <w:highlight w:val="none"/>
        </w:rPr>
        <w:t>（3.3）</w:t>
      </w:r>
      <w:r>
        <w:rPr>
          <w:color w:val="auto"/>
          <w:sz w:val="24"/>
          <w:szCs w:val="24"/>
          <w:highlight w:val="none"/>
        </w:rPr>
        <w:t>投标有效期不符合招标文件的要求的；</w:t>
      </w:r>
    </w:p>
    <w:p w14:paraId="7AB6ADB9">
      <w:pPr>
        <w:spacing w:line="400" w:lineRule="exact"/>
        <w:rPr>
          <w:color w:val="auto"/>
          <w:sz w:val="24"/>
          <w:szCs w:val="24"/>
          <w:highlight w:val="none"/>
        </w:rPr>
      </w:pPr>
      <w:r>
        <w:rPr>
          <w:rFonts w:hint="eastAsia"/>
          <w:color w:val="auto"/>
          <w:sz w:val="24"/>
          <w:szCs w:val="24"/>
          <w:highlight w:val="none"/>
        </w:rPr>
        <w:t>（3.4）招标文件中标注</w:t>
      </w:r>
      <w:r>
        <w:rPr>
          <w:color w:val="auto"/>
          <w:sz w:val="24"/>
          <w:szCs w:val="24"/>
          <w:highlight w:val="none"/>
        </w:rPr>
        <w:t>“</w:t>
      </w:r>
      <w:bookmarkStart w:id="7" w:name="_Hlk100300949"/>
      <w:r>
        <w:rPr>
          <w:rFonts w:hint="eastAsia"/>
          <w:color w:val="auto"/>
          <w:sz w:val="24"/>
          <w:szCs w:val="24"/>
          <w:highlight w:val="none"/>
        </w:rPr>
        <w:t>★</w:t>
      </w:r>
      <w:bookmarkEnd w:id="7"/>
      <w:r>
        <w:rPr>
          <w:color w:val="auto"/>
          <w:sz w:val="24"/>
          <w:szCs w:val="24"/>
          <w:highlight w:val="none"/>
        </w:rPr>
        <w:t>”</w:t>
      </w:r>
      <w:r>
        <w:rPr>
          <w:rFonts w:hint="eastAsia"/>
          <w:color w:val="auto"/>
          <w:sz w:val="24"/>
          <w:szCs w:val="24"/>
          <w:highlight w:val="none"/>
        </w:rPr>
        <w:t>号的条款为主要条款，投标文件中对主要条款的任何负偏离或未实质性响应的；</w:t>
      </w:r>
    </w:p>
    <w:p w14:paraId="04C25C03">
      <w:pPr>
        <w:spacing w:line="400" w:lineRule="exact"/>
        <w:rPr>
          <w:color w:val="auto"/>
          <w:sz w:val="24"/>
          <w:szCs w:val="24"/>
          <w:highlight w:val="none"/>
        </w:rPr>
      </w:pPr>
      <w:r>
        <w:rPr>
          <w:rFonts w:hint="eastAsia"/>
          <w:color w:val="auto"/>
          <w:sz w:val="24"/>
          <w:szCs w:val="24"/>
          <w:highlight w:val="none"/>
        </w:rPr>
        <w:t>（3.5）投标文件的签署和盖章不符合招标文件规定的；</w:t>
      </w:r>
    </w:p>
    <w:p w14:paraId="4865D839">
      <w:pPr>
        <w:spacing w:line="400" w:lineRule="exact"/>
        <w:rPr>
          <w:color w:val="auto"/>
          <w:sz w:val="24"/>
          <w:szCs w:val="24"/>
          <w:highlight w:val="none"/>
        </w:rPr>
      </w:pPr>
      <w:r>
        <w:rPr>
          <w:rFonts w:hint="eastAsia"/>
          <w:color w:val="auto"/>
          <w:sz w:val="24"/>
          <w:szCs w:val="24"/>
          <w:highlight w:val="none"/>
        </w:rPr>
        <w:t>（3.6）投标文件出现两个及以上不同的投标方案或投标报价的；</w:t>
      </w:r>
    </w:p>
    <w:p w14:paraId="46D537EE">
      <w:pPr>
        <w:spacing w:line="400" w:lineRule="exact"/>
        <w:rPr>
          <w:color w:val="auto"/>
          <w:sz w:val="24"/>
          <w:szCs w:val="24"/>
          <w:highlight w:val="none"/>
        </w:rPr>
      </w:pPr>
      <w:r>
        <w:rPr>
          <w:rFonts w:hint="eastAsia"/>
          <w:color w:val="auto"/>
          <w:sz w:val="24"/>
          <w:szCs w:val="24"/>
          <w:highlight w:val="none"/>
        </w:rPr>
        <w:t>（3.7）评标委员会认为供应商的报价明显低于其他通过初步审查的供应商的报价，有可能影响产品质量或者不能诚信履约的，应当要求其在评标现场合理的时间内（30分钟）提供书面说明，必要时提交相关证明材料；供应商不能证明其报价合理性的，投标无效；</w:t>
      </w:r>
    </w:p>
    <w:p w14:paraId="07D391E3">
      <w:pPr>
        <w:spacing w:line="400" w:lineRule="exact"/>
        <w:rPr>
          <w:color w:val="auto"/>
          <w:sz w:val="24"/>
          <w:szCs w:val="24"/>
          <w:highlight w:val="none"/>
        </w:rPr>
      </w:pPr>
      <w:r>
        <w:rPr>
          <w:rFonts w:hint="eastAsia"/>
          <w:color w:val="auto"/>
          <w:sz w:val="24"/>
          <w:szCs w:val="24"/>
          <w:highlight w:val="none"/>
        </w:rPr>
        <w:t>（3.8）符合招标文件规定的投标无效的情况；</w:t>
      </w:r>
    </w:p>
    <w:p w14:paraId="3275E113">
      <w:pPr>
        <w:spacing w:line="400" w:lineRule="exact"/>
        <w:rPr>
          <w:color w:val="auto"/>
          <w:sz w:val="24"/>
          <w:szCs w:val="24"/>
          <w:highlight w:val="none"/>
        </w:rPr>
      </w:pPr>
      <w:r>
        <w:rPr>
          <w:rFonts w:hint="eastAsia"/>
          <w:color w:val="auto"/>
          <w:sz w:val="24"/>
          <w:szCs w:val="24"/>
          <w:highlight w:val="none"/>
        </w:rPr>
        <w:t>（3.9）评标委员会经过审查，发现投标文件有虚假响应的；</w:t>
      </w:r>
    </w:p>
    <w:p w14:paraId="3AF57C39">
      <w:pPr>
        <w:spacing w:line="400" w:lineRule="exact"/>
        <w:rPr>
          <w:color w:val="auto"/>
          <w:sz w:val="24"/>
          <w:szCs w:val="24"/>
          <w:highlight w:val="none"/>
        </w:rPr>
      </w:pPr>
      <w:r>
        <w:rPr>
          <w:rFonts w:hint="eastAsia"/>
          <w:color w:val="auto"/>
          <w:sz w:val="24"/>
          <w:szCs w:val="24"/>
          <w:highlight w:val="none"/>
        </w:rPr>
        <w:t>（3.10）评标委员会经过审查，发现投标文件有不符合国家法律法规规定的情形</w:t>
      </w:r>
      <w:r>
        <w:rPr>
          <w:color w:val="auto"/>
          <w:sz w:val="24"/>
          <w:szCs w:val="24"/>
          <w:highlight w:val="none"/>
        </w:rPr>
        <w:t>。</w:t>
      </w:r>
    </w:p>
    <w:p w14:paraId="1BFC04E7">
      <w:pPr>
        <w:spacing w:line="400" w:lineRule="exact"/>
        <w:ind w:firstLine="480" w:firstLineChars="200"/>
        <w:rPr>
          <w:rFonts w:hAnsi="宋体"/>
          <w:color w:val="auto"/>
          <w:sz w:val="24"/>
          <w:szCs w:val="24"/>
          <w:highlight w:val="none"/>
        </w:rPr>
      </w:pPr>
      <w:r>
        <w:rPr>
          <w:rFonts w:hAnsi="宋体"/>
          <w:color w:val="auto"/>
          <w:sz w:val="24"/>
          <w:szCs w:val="24"/>
          <w:highlight w:val="none"/>
        </w:rPr>
        <w:t>在评标、定标期间，评标委员会若发现投标人在投标中有腐败或欺诈行为或试图对评标委员会的评标和采购人授予合同的决定进行影响，将依法否决其投标，并向管理部门上报其不良行为纪录。</w:t>
      </w:r>
    </w:p>
    <w:p w14:paraId="26DCAF0A">
      <w:pPr>
        <w:spacing w:line="400" w:lineRule="exact"/>
        <w:rPr>
          <w:color w:val="auto"/>
          <w:sz w:val="24"/>
          <w:szCs w:val="24"/>
          <w:highlight w:val="none"/>
        </w:rPr>
      </w:pPr>
    </w:p>
    <w:p w14:paraId="5C43D64D">
      <w:pPr>
        <w:spacing w:line="400" w:lineRule="exact"/>
        <w:rPr>
          <w:color w:val="auto"/>
          <w:sz w:val="24"/>
          <w:szCs w:val="24"/>
          <w:highlight w:val="none"/>
        </w:rPr>
      </w:pPr>
      <w:r>
        <w:rPr>
          <w:rFonts w:hint="eastAsia"/>
          <w:color w:val="auto"/>
          <w:sz w:val="24"/>
          <w:szCs w:val="24"/>
          <w:highlight w:val="none"/>
        </w:rPr>
        <w:t>（4）</w:t>
      </w:r>
      <w:r>
        <w:rPr>
          <w:rFonts w:hint="eastAsia"/>
          <w:b/>
          <w:color w:val="auto"/>
          <w:sz w:val="24"/>
          <w:szCs w:val="24"/>
          <w:highlight w:val="none"/>
        </w:rPr>
        <w:t>有下列情形之一的，视为投标人串通投标，其投标无效：</w:t>
      </w:r>
    </w:p>
    <w:p w14:paraId="64CE55D0">
      <w:pPr>
        <w:spacing w:line="400" w:lineRule="exact"/>
        <w:rPr>
          <w:color w:val="auto"/>
          <w:sz w:val="24"/>
          <w:szCs w:val="24"/>
          <w:highlight w:val="none"/>
        </w:rPr>
      </w:pPr>
      <w:r>
        <w:rPr>
          <w:rFonts w:hint="eastAsia"/>
          <w:color w:val="auto"/>
          <w:sz w:val="24"/>
          <w:szCs w:val="24"/>
          <w:highlight w:val="none"/>
        </w:rPr>
        <w:t>（4.</w:t>
      </w:r>
      <w:r>
        <w:rPr>
          <w:color w:val="auto"/>
          <w:sz w:val="24"/>
          <w:szCs w:val="24"/>
          <w:highlight w:val="none"/>
        </w:rPr>
        <w:t>1</w:t>
      </w:r>
      <w:r>
        <w:rPr>
          <w:rFonts w:hint="eastAsia"/>
          <w:color w:val="auto"/>
          <w:sz w:val="24"/>
          <w:szCs w:val="24"/>
          <w:highlight w:val="none"/>
        </w:rPr>
        <w:t>）不同投标人的投标文件由同一单位或者个人编制；</w:t>
      </w:r>
    </w:p>
    <w:p w14:paraId="40B31016">
      <w:pPr>
        <w:spacing w:line="400" w:lineRule="exact"/>
        <w:rPr>
          <w:color w:val="auto"/>
          <w:sz w:val="24"/>
          <w:szCs w:val="24"/>
          <w:highlight w:val="none"/>
        </w:rPr>
      </w:pPr>
      <w:r>
        <w:rPr>
          <w:rFonts w:hint="eastAsia"/>
          <w:color w:val="auto"/>
          <w:sz w:val="24"/>
          <w:szCs w:val="24"/>
          <w:highlight w:val="none"/>
        </w:rPr>
        <w:t>（4.</w:t>
      </w:r>
      <w:r>
        <w:rPr>
          <w:color w:val="auto"/>
          <w:sz w:val="24"/>
          <w:szCs w:val="24"/>
          <w:highlight w:val="none"/>
        </w:rPr>
        <w:t>2</w:t>
      </w:r>
      <w:r>
        <w:rPr>
          <w:rFonts w:hint="eastAsia"/>
          <w:color w:val="auto"/>
          <w:sz w:val="24"/>
          <w:szCs w:val="24"/>
          <w:highlight w:val="none"/>
        </w:rPr>
        <w:t>）不同投标人委托同一单位或者个人办理投标事宜；</w:t>
      </w:r>
    </w:p>
    <w:p w14:paraId="5DD7C067">
      <w:pPr>
        <w:spacing w:line="400" w:lineRule="exact"/>
        <w:rPr>
          <w:color w:val="auto"/>
          <w:sz w:val="24"/>
          <w:szCs w:val="24"/>
          <w:highlight w:val="none"/>
        </w:rPr>
      </w:pPr>
      <w:r>
        <w:rPr>
          <w:rFonts w:hint="eastAsia"/>
          <w:color w:val="auto"/>
          <w:sz w:val="24"/>
          <w:szCs w:val="24"/>
          <w:highlight w:val="none"/>
        </w:rPr>
        <w:t>（4.</w:t>
      </w:r>
      <w:r>
        <w:rPr>
          <w:color w:val="auto"/>
          <w:sz w:val="24"/>
          <w:szCs w:val="24"/>
          <w:highlight w:val="none"/>
        </w:rPr>
        <w:t>3</w:t>
      </w:r>
      <w:r>
        <w:rPr>
          <w:rFonts w:hint="eastAsia"/>
          <w:color w:val="auto"/>
          <w:sz w:val="24"/>
          <w:szCs w:val="24"/>
          <w:highlight w:val="none"/>
        </w:rPr>
        <w:t>）不同投标人的投标文件载明的项目管理成员或者联系人员为同一人；</w:t>
      </w:r>
    </w:p>
    <w:p w14:paraId="5884687F">
      <w:pPr>
        <w:spacing w:line="400" w:lineRule="exact"/>
        <w:rPr>
          <w:color w:val="auto"/>
          <w:sz w:val="24"/>
          <w:szCs w:val="24"/>
          <w:highlight w:val="none"/>
        </w:rPr>
      </w:pPr>
      <w:r>
        <w:rPr>
          <w:rFonts w:hint="eastAsia"/>
          <w:color w:val="auto"/>
          <w:sz w:val="24"/>
          <w:szCs w:val="24"/>
          <w:highlight w:val="none"/>
        </w:rPr>
        <w:t>（4.</w:t>
      </w:r>
      <w:r>
        <w:rPr>
          <w:color w:val="auto"/>
          <w:sz w:val="24"/>
          <w:szCs w:val="24"/>
          <w:highlight w:val="none"/>
        </w:rPr>
        <w:t>4</w:t>
      </w:r>
      <w:r>
        <w:rPr>
          <w:rFonts w:hint="eastAsia"/>
          <w:color w:val="auto"/>
          <w:sz w:val="24"/>
          <w:szCs w:val="24"/>
          <w:highlight w:val="none"/>
        </w:rPr>
        <w:t>）不同投标人的投标文件异常一致或者投标报价呈规律性差异；</w:t>
      </w:r>
    </w:p>
    <w:p w14:paraId="3D840370">
      <w:pPr>
        <w:spacing w:line="400" w:lineRule="exact"/>
        <w:rPr>
          <w:color w:val="auto"/>
          <w:sz w:val="24"/>
          <w:szCs w:val="24"/>
          <w:highlight w:val="none"/>
        </w:rPr>
      </w:pPr>
      <w:r>
        <w:rPr>
          <w:rFonts w:hint="eastAsia"/>
          <w:color w:val="auto"/>
          <w:sz w:val="24"/>
          <w:szCs w:val="24"/>
          <w:highlight w:val="none"/>
        </w:rPr>
        <w:t>（4.</w:t>
      </w:r>
      <w:r>
        <w:rPr>
          <w:color w:val="auto"/>
          <w:sz w:val="24"/>
          <w:szCs w:val="24"/>
          <w:highlight w:val="none"/>
        </w:rPr>
        <w:t>5</w:t>
      </w:r>
      <w:r>
        <w:rPr>
          <w:rFonts w:hint="eastAsia"/>
          <w:color w:val="auto"/>
          <w:sz w:val="24"/>
          <w:szCs w:val="24"/>
          <w:highlight w:val="none"/>
        </w:rPr>
        <w:t>）不同投标人的投标文件相互混装。</w:t>
      </w:r>
    </w:p>
    <w:p w14:paraId="79785E45">
      <w:pPr>
        <w:spacing w:line="400" w:lineRule="exact"/>
        <w:rPr>
          <w:color w:val="auto"/>
          <w:sz w:val="24"/>
          <w:szCs w:val="24"/>
          <w:highlight w:val="none"/>
        </w:rPr>
      </w:pPr>
    </w:p>
    <w:p w14:paraId="55E5BFF3">
      <w:pPr>
        <w:spacing w:line="400" w:lineRule="exact"/>
        <w:rPr>
          <w:b/>
          <w:color w:val="auto"/>
          <w:sz w:val="24"/>
          <w:szCs w:val="24"/>
          <w:highlight w:val="none"/>
        </w:rPr>
      </w:pPr>
      <w:r>
        <w:rPr>
          <w:rFonts w:hint="eastAsia"/>
          <w:b/>
          <w:color w:val="auto"/>
          <w:sz w:val="24"/>
          <w:szCs w:val="24"/>
          <w:highlight w:val="none"/>
        </w:rPr>
        <w:t>（5）其他投标无效情形：</w:t>
      </w:r>
    </w:p>
    <w:p w14:paraId="7CABCBB1">
      <w:pPr>
        <w:spacing w:line="400" w:lineRule="exact"/>
        <w:rPr>
          <w:color w:val="auto"/>
          <w:sz w:val="24"/>
          <w:szCs w:val="24"/>
          <w:highlight w:val="none"/>
        </w:rPr>
      </w:pPr>
      <w:r>
        <w:rPr>
          <w:rFonts w:hint="eastAsia"/>
          <w:color w:val="auto"/>
          <w:sz w:val="24"/>
          <w:szCs w:val="24"/>
          <w:highlight w:val="none"/>
        </w:rPr>
        <w:t>（5.1） 不同</w:t>
      </w:r>
      <w:r>
        <w:rPr>
          <w:rFonts w:hint="eastAsia"/>
          <w:color w:val="auto"/>
          <w:sz w:val="24"/>
          <w:szCs w:val="24"/>
          <w:highlight w:val="none"/>
          <w:lang w:val="zh-CN"/>
        </w:rPr>
        <w:t>供应商</w:t>
      </w:r>
      <w:r>
        <w:rPr>
          <w:rFonts w:hint="eastAsia"/>
          <w:color w:val="auto"/>
          <w:sz w:val="24"/>
          <w:szCs w:val="24"/>
          <w:highlight w:val="none"/>
        </w:rPr>
        <w:t>的投标文件出自同一终端设备或在相同Internet主机分配地址（相同IP地址）进行网上报名、投标的；不同供应商的电子投标文件上传计算机的网卡MAC地址或硬盘序列号等硬件信息相同的；</w:t>
      </w:r>
    </w:p>
    <w:p w14:paraId="461D50B8">
      <w:pPr>
        <w:spacing w:line="400" w:lineRule="exact"/>
        <w:rPr>
          <w:color w:val="auto"/>
          <w:sz w:val="24"/>
          <w:szCs w:val="24"/>
          <w:highlight w:val="none"/>
        </w:rPr>
      </w:pPr>
      <w:r>
        <w:rPr>
          <w:rFonts w:hint="eastAsia"/>
          <w:color w:val="auto"/>
          <w:sz w:val="24"/>
          <w:szCs w:val="24"/>
          <w:highlight w:val="none"/>
        </w:rPr>
        <w:t>（5.2） 上传的电子投标文件若出现使用本项目其他投标供应商的数字证书加密的，或者加盖本项目其他投标供应商的电子印章的；</w:t>
      </w:r>
    </w:p>
    <w:p w14:paraId="792F3FAB">
      <w:pPr>
        <w:spacing w:line="400" w:lineRule="exact"/>
        <w:rPr>
          <w:color w:val="auto"/>
          <w:sz w:val="24"/>
          <w:szCs w:val="24"/>
          <w:highlight w:val="none"/>
        </w:rPr>
      </w:pPr>
      <w:r>
        <w:rPr>
          <w:rFonts w:hint="eastAsia"/>
          <w:color w:val="auto"/>
          <w:sz w:val="24"/>
          <w:szCs w:val="24"/>
          <w:highlight w:val="none"/>
        </w:rPr>
        <w:t>（5.3） 不同供应商的投标文件的内容存在3处（含）以上错误一致的；</w:t>
      </w:r>
    </w:p>
    <w:p w14:paraId="61F44E2C">
      <w:pPr>
        <w:spacing w:line="400" w:lineRule="exact"/>
        <w:rPr>
          <w:color w:val="auto"/>
          <w:sz w:val="24"/>
          <w:szCs w:val="24"/>
          <w:highlight w:val="none"/>
        </w:rPr>
      </w:pPr>
      <w:r>
        <w:rPr>
          <w:rFonts w:hint="eastAsia"/>
          <w:color w:val="auto"/>
          <w:sz w:val="24"/>
          <w:szCs w:val="24"/>
          <w:highlight w:val="none"/>
        </w:rPr>
        <w:t>（5.4） 不同供应商联系人为同一人或不同联系人的联系电话一致的；</w:t>
      </w:r>
    </w:p>
    <w:p w14:paraId="6EE24D59">
      <w:pPr>
        <w:spacing w:line="400" w:lineRule="exact"/>
        <w:rPr>
          <w:color w:val="auto"/>
          <w:sz w:val="24"/>
          <w:szCs w:val="24"/>
          <w:highlight w:val="none"/>
        </w:rPr>
      </w:pPr>
      <w:r>
        <w:rPr>
          <w:rFonts w:hint="eastAsia"/>
          <w:color w:val="auto"/>
          <w:sz w:val="24"/>
          <w:szCs w:val="24"/>
          <w:highlight w:val="none"/>
        </w:rPr>
        <w:t>（5.5） 法律、法规、规章（适用本市的）及省级以上规范性文件（适用本市的）规定的其他无效情形。</w:t>
      </w:r>
    </w:p>
    <w:p w14:paraId="0311C239">
      <w:pPr>
        <w:spacing w:line="400" w:lineRule="exact"/>
        <w:rPr>
          <w:color w:val="auto"/>
          <w:sz w:val="24"/>
          <w:szCs w:val="24"/>
          <w:highlight w:val="none"/>
        </w:rPr>
      </w:pPr>
    </w:p>
    <w:p w14:paraId="17A84558">
      <w:pPr>
        <w:rPr>
          <w:color w:val="auto"/>
          <w:highlight w:val="none"/>
        </w:rPr>
      </w:pPr>
    </w:p>
    <w:p w14:paraId="37A5E465">
      <w:pPr>
        <w:spacing w:line="400" w:lineRule="exact"/>
        <w:rPr>
          <w:rFonts w:hAnsi="宋体"/>
          <w:color w:val="auto"/>
          <w:sz w:val="24"/>
          <w:szCs w:val="24"/>
          <w:highlight w:val="none"/>
        </w:rPr>
      </w:pPr>
      <w:r>
        <w:rPr>
          <w:rFonts w:hint="eastAsia"/>
          <w:b/>
          <w:color w:val="auto"/>
          <w:sz w:val="24"/>
          <w:szCs w:val="24"/>
          <w:highlight w:val="none"/>
        </w:rPr>
        <w:t>2．</w:t>
      </w:r>
      <w:r>
        <w:rPr>
          <w:rFonts w:hAnsi="宋体"/>
          <w:b/>
          <w:color w:val="auto"/>
          <w:sz w:val="24"/>
          <w:szCs w:val="24"/>
          <w:highlight w:val="none"/>
        </w:rPr>
        <w:t>澄清问题：</w:t>
      </w:r>
    </w:p>
    <w:p w14:paraId="72BFF072">
      <w:pPr>
        <w:spacing w:line="400" w:lineRule="exact"/>
        <w:rPr>
          <w:rFonts w:hAnsi="宋体"/>
          <w:color w:val="auto"/>
          <w:sz w:val="24"/>
          <w:szCs w:val="24"/>
          <w:highlight w:val="none"/>
        </w:rPr>
      </w:pPr>
      <w:r>
        <w:rPr>
          <w:rFonts w:hint="eastAsia"/>
          <w:color w:val="auto"/>
          <w:sz w:val="24"/>
          <w:szCs w:val="24"/>
          <w:highlight w:val="none"/>
        </w:rPr>
        <w:t xml:space="preserve">（1） </w:t>
      </w:r>
      <w:r>
        <w:rPr>
          <w:rFonts w:hint="eastAsia" w:hAnsi="宋体"/>
          <w:color w:val="auto"/>
          <w:sz w:val="24"/>
          <w:szCs w:val="24"/>
          <w:highlight w:val="none"/>
        </w:rPr>
        <w:t>投标文件的投标报价如果出现计算或表达上的错误，修正错误的原则如下：</w:t>
      </w:r>
    </w:p>
    <w:p w14:paraId="15D9B69D">
      <w:pPr>
        <w:spacing w:line="400" w:lineRule="exact"/>
        <w:rPr>
          <w:color w:val="auto"/>
          <w:sz w:val="24"/>
          <w:szCs w:val="24"/>
          <w:highlight w:val="none"/>
        </w:rPr>
      </w:pPr>
      <w:r>
        <w:rPr>
          <w:rFonts w:hint="eastAsia"/>
          <w:color w:val="auto"/>
          <w:sz w:val="24"/>
          <w:szCs w:val="24"/>
          <w:highlight w:val="none"/>
        </w:rPr>
        <w:t>（1.1）投标文件中开标一览表内容与投标文件中相应内容不一致的，以开标一览表为准；</w:t>
      </w:r>
    </w:p>
    <w:p w14:paraId="01206671">
      <w:pPr>
        <w:spacing w:line="400" w:lineRule="exact"/>
        <w:rPr>
          <w:color w:val="auto"/>
          <w:sz w:val="24"/>
          <w:szCs w:val="24"/>
          <w:highlight w:val="none"/>
        </w:rPr>
      </w:pPr>
      <w:r>
        <w:rPr>
          <w:rFonts w:hint="eastAsia"/>
          <w:color w:val="auto"/>
          <w:sz w:val="24"/>
          <w:szCs w:val="24"/>
          <w:highlight w:val="none"/>
        </w:rPr>
        <w:t>（1.2）大写金额和小写金额不一致的，以大写金额为准；</w:t>
      </w:r>
    </w:p>
    <w:p w14:paraId="7F239F69">
      <w:pPr>
        <w:spacing w:line="400" w:lineRule="exact"/>
        <w:rPr>
          <w:color w:val="auto"/>
          <w:sz w:val="24"/>
          <w:szCs w:val="24"/>
          <w:highlight w:val="none"/>
        </w:rPr>
      </w:pPr>
      <w:r>
        <w:rPr>
          <w:rFonts w:hint="eastAsia"/>
          <w:color w:val="auto"/>
          <w:sz w:val="24"/>
          <w:szCs w:val="24"/>
          <w:highlight w:val="none"/>
        </w:rPr>
        <w:t>（1.3）单价金额小数点或者百分比有明显错位的，以开标一览表的总价为准，并修改单价；</w:t>
      </w:r>
    </w:p>
    <w:p w14:paraId="17260747">
      <w:pPr>
        <w:spacing w:line="400" w:lineRule="exact"/>
        <w:rPr>
          <w:color w:val="auto"/>
          <w:sz w:val="24"/>
          <w:szCs w:val="24"/>
          <w:highlight w:val="none"/>
        </w:rPr>
      </w:pPr>
      <w:r>
        <w:rPr>
          <w:rFonts w:hint="eastAsia"/>
          <w:color w:val="auto"/>
          <w:sz w:val="24"/>
          <w:szCs w:val="24"/>
          <w:highlight w:val="none"/>
        </w:rPr>
        <w:t>（1.4）总价金额与按单价汇总金额不一致的，以单价金额计算结果为准。</w:t>
      </w:r>
    </w:p>
    <w:p w14:paraId="5D57FB77">
      <w:pPr>
        <w:spacing w:line="400" w:lineRule="exact"/>
        <w:ind w:firstLine="480" w:firstLineChars="200"/>
        <w:rPr>
          <w:rFonts w:hAnsi="宋体"/>
          <w:color w:val="auto"/>
          <w:sz w:val="24"/>
          <w:szCs w:val="24"/>
          <w:highlight w:val="none"/>
        </w:rPr>
      </w:pPr>
      <w:r>
        <w:rPr>
          <w:rFonts w:hint="eastAsia" w:hAnsi="宋体"/>
          <w:color w:val="auto"/>
          <w:sz w:val="24"/>
          <w:szCs w:val="24"/>
          <w:highlight w:val="none"/>
        </w:rPr>
        <w:t>同时出现两种以上不一致的，按照前款规定的顺序修正。修正后的报价经投标人确认后产生约束力，投标人不确认的，其投标无效。</w:t>
      </w:r>
    </w:p>
    <w:p w14:paraId="2AE6495D">
      <w:pPr>
        <w:spacing w:line="400" w:lineRule="exact"/>
        <w:ind w:firstLine="480" w:firstLineChars="200"/>
        <w:rPr>
          <w:color w:val="auto"/>
          <w:sz w:val="24"/>
          <w:szCs w:val="24"/>
          <w:highlight w:val="none"/>
        </w:rPr>
      </w:pPr>
      <w:r>
        <w:rPr>
          <w:rFonts w:hint="eastAsia" w:hAnsi="宋体"/>
          <w:color w:val="auto"/>
          <w:sz w:val="24"/>
          <w:szCs w:val="24"/>
          <w:highlight w:val="none"/>
        </w:rPr>
        <w:t>投标人不按本款规定接受投标报价修正的，投标无效。</w:t>
      </w:r>
    </w:p>
    <w:p w14:paraId="78F7F425">
      <w:pPr>
        <w:spacing w:line="400" w:lineRule="exact"/>
        <w:rPr>
          <w:color w:val="auto"/>
          <w:sz w:val="24"/>
          <w:szCs w:val="24"/>
          <w:highlight w:val="none"/>
        </w:rPr>
      </w:pPr>
      <w:r>
        <w:rPr>
          <w:rFonts w:hint="eastAsia"/>
          <w:color w:val="auto"/>
          <w:sz w:val="24"/>
          <w:szCs w:val="24"/>
          <w:highlight w:val="none"/>
        </w:rPr>
        <w:t>（2）</w:t>
      </w:r>
      <w:r>
        <w:rPr>
          <w:color w:val="auto"/>
          <w:sz w:val="24"/>
          <w:szCs w:val="24"/>
          <w:highlight w:val="none"/>
        </w:rPr>
        <w:t xml:space="preserve"> 投标的澄清</w:t>
      </w:r>
    </w:p>
    <w:p w14:paraId="1814C995">
      <w:pPr>
        <w:spacing w:line="400" w:lineRule="exact"/>
        <w:rPr>
          <w:color w:val="auto"/>
          <w:sz w:val="24"/>
          <w:szCs w:val="24"/>
          <w:highlight w:val="none"/>
        </w:rPr>
      </w:pPr>
      <w:r>
        <w:rPr>
          <w:rFonts w:hint="eastAsia"/>
          <w:color w:val="auto"/>
          <w:sz w:val="24"/>
          <w:szCs w:val="24"/>
          <w:highlight w:val="none"/>
        </w:rPr>
        <w:t>（2.1）</w:t>
      </w:r>
      <w:r>
        <w:rPr>
          <w:rFonts w:hAnsi="宋体"/>
          <w:color w:val="auto"/>
          <w:sz w:val="24"/>
          <w:szCs w:val="24"/>
          <w:highlight w:val="none"/>
        </w:rPr>
        <w:t>对投标文件</w:t>
      </w:r>
      <w:r>
        <w:rPr>
          <w:rFonts w:hint="eastAsia" w:hAnsi="宋体"/>
          <w:color w:val="auto"/>
          <w:sz w:val="24"/>
          <w:szCs w:val="24"/>
          <w:highlight w:val="none"/>
        </w:rPr>
        <w:t>评审</w:t>
      </w:r>
      <w:r>
        <w:rPr>
          <w:rFonts w:hAnsi="宋体"/>
          <w:color w:val="auto"/>
          <w:sz w:val="24"/>
          <w:szCs w:val="24"/>
          <w:highlight w:val="none"/>
        </w:rPr>
        <w:t>中发现的投标文件表达含义不明确、同类问题表述</w:t>
      </w:r>
      <w:r>
        <w:rPr>
          <w:rFonts w:hint="eastAsia" w:hAnsi="宋体"/>
          <w:color w:val="auto"/>
          <w:sz w:val="24"/>
          <w:szCs w:val="24"/>
          <w:highlight w:val="none"/>
        </w:rPr>
        <w:t>前后</w:t>
      </w:r>
      <w:r>
        <w:rPr>
          <w:rFonts w:hAnsi="宋体"/>
          <w:color w:val="auto"/>
          <w:sz w:val="24"/>
          <w:szCs w:val="24"/>
          <w:highlight w:val="none"/>
        </w:rPr>
        <w:t>不一致或者有明显文字和计算错误的内容</w:t>
      </w:r>
      <w:r>
        <w:rPr>
          <w:rFonts w:hint="eastAsia" w:hAnsi="宋体"/>
          <w:color w:val="auto"/>
          <w:sz w:val="24"/>
          <w:szCs w:val="24"/>
          <w:highlight w:val="none"/>
        </w:rPr>
        <w:t>等情形的</w:t>
      </w:r>
      <w:r>
        <w:rPr>
          <w:rFonts w:hAnsi="宋体"/>
          <w:color w:val="auto"/>
          <w:sz w:val="24"/>
          <w:szCs w:val="24"/>
          <w:highlight w:val="none"/>
        </w:rPr>
        <w:t>，评标委员会可要求投标人做出</w:t>
      </w:r>
      <w:r>
        <w:rPr>
          <w:rFonts w:hint="eastAsia" w:hAnsi="宋体"/>
          <w:color w:val="auto"/>
          <w:sz w:val="24"/>
          <w:szCs w:val="24"/>
          <w:highlight w:val="none"/>
        </w:rPr>
        <w:t>书面</w:t>
      </w:r>
      <w:r>
        <w:rPr>
          <w:rFonts w:hAnsi="宋体"/>
          <w:color w:val="auto"/>
          <w:sz w:val="24"/>
          <w:szCs w:val="24"/>
          <w:highlight w:val="none"/>
        </w:rPr>
        <w:t>澄清。投标人必须</w:t>
      </w:r>
      <w:r>
        <w:rPr>
          <w:rFonts w:hint="eastAsia" w:hAnsi="宋体"/>
          <w:color w:val="auto"/>
          <w:sz w:val="24"/>
          <w:szCs w:val="24"/>
          <w:highlight w:val="none"/>
        </w:rPr>
        <w:t>在规定的时间内在政采云上</w:t>
      </w:r>
      <w:r>
        <w:rPr>
          <w:rFonts w:hAnsi="宋体"/>
          <w:color w:val="auto"/>
          <w:sz w:val="24"/>
          <w:szCs w:val="24"/>
          <w:highlight w:val="none"/>
        </w:rPr>
        <w:t>进行</w:t>
      </w:r>
      <w:r>
        <w:rPr>
          <w:rFonts w:hint="eastAsia" w:hAnsi="宋体"/>
          <w:color w:val="auto"/>
          <w:sz w:val="24"/>
          <w:szCs w:val="24"/>
          <w:highlight w:val="none"/>
        </w:rPr>
        <w:t>补充或</w:t>
      </w:r>
      <w:r>
        <w:rPr>
          <w:rFonts w:hAnsi="宋体"/>
          <w:color w:val="auto"/>
          <w:sz w:val="24"/>
          <w:szCs w:val="24"/>
          <w:highlight w:val="none"/>
        </w:rPr>
        <w:t>澄清</w:t>
      </w:r>
      <w:r>
        <w:rPr>
          <w:rFonts w:hint="eastAsia" w:hAnsi="宋体"/>
          <w:color w:val="auto"/>
          <w:sz w:val="24"/>
          <w:szCs w:val="24"/>
          <w:highlight w:val="none"/>
        </w:rPr>
        <w:t>。</w:t>
      </w:r>
    </w:p>
    <w:p w14:paraId="10368DEA">
      <w:pPr>
        <w:spacing w:line="400" w:lineRule="exact"/>
        <w:rPr>
          <w:color w:val="auto"/>
          <w:sz w:val="24"/>
          <w:szCs w:val="24"/>
          <w:highlight w:val="none"/>
        </w:rPr>
      </w:pPr>
      <w:r>
        <w:rPr>
          <w:rFonts w:hint="eastAsia"/>
          <w:color w:val="auto"/>
          <w:sz w:val="24"/>
          <w:szCs w:val="24"/>
          <w:highlight w:val="none"/>
        </w:rPr>
        <w:t>（2.2）</w:t>
      </w:r>
      <w:r>
        <w:rPr>
          <w:rFonts w:hAnsi="宋体"/>
          <w:color w:val="auto"/>
          <w:sz w:val="24"/>
          <w:szCs w:val="24"/>
          <w:highlight w:val="none"/>
        </w:rPr>
        <w:t>投标人对投标文件的澄清不得超出投标文件的范围或改变投标文件的实质性内容。</w:t>
      </w:r>
    </w:p>
    <w:p w14:paraId="50F3DDD9">
      <w:pPr>
        <w:spacing w:line="400" w:lineRule="exact"/>
        <w:rPr>
          <w:rFonts w:hAnsi="宋体"/>
          <w:color w:val="auto"/>
          <w:sz w:val="24"/>
          <w:szCs w:val="24"/>
          <w:highlight w:val="none"/>
          <w:u w:val="single"/>
        </w:rPr>
      </w:pPr>
      <w:r>
        <w:rPr>
          <w:rFonts w:hint="eastAsia"/>
          <w:color w:val="auto"/>
          <w:sz w:val="24"/>
          <w:szCs w:val="24"/>
          <w:highlight w:val="none"/>
        </w:rPr>
        <w:t>（2.3）投标人</w:t>
      </w:r>
      <w:r>
        <w:rPr>
          <w:rFonts w:hint="eastAsia" w:hAnsi="宋体"/>
          <w:color w:val="auto"/>
          <w:sz w:val="24"/>
          <w:szCs w:val="24"/>
          <w:highlight w:val="none"/>
        </w:rPr>
        <w:t>未能按规定作出补充或澄清的评标委员会有权作出不利于投标人的判定</w:t>
      </w:r>
      <w:r>
        <w:rPr>
          <w:rFonts w:hAnsi="宋体"/>
          <w:color w:val="auto"/>
          <w:sz w:val="24"/>
          <w:szCs w:val="24"/>
          <w:highlight w:val="none"/>
        </w:rPr>
        <w:t>。</w:t>
      </w:r>
    </w:p>
    <w:p w14:paraId="39E4A755">
      <w:pPr>
        <w:spacing w:line="400" w:lineRule="exact"/>
        <w:rPr>
          <w:color w:val="auto"/>
          <w:sz w:val="24"/>
          <w:szCs w:val="24"/>
          <w:highlight w:val="none"/>
        </w:rPr>
      </w:pPr>
    </w:p>
    <w:p w14:paraId="596EFB25">
      <w:pPr>
        <w:spacing w:line="400" w:lineRule="exact"/>
        <w:rPr>
          <w:b/>
          <w:color w:val="auto"/>
          <w:sz w:val="24"/>
          <w:szCs w:val="24"/>
          <w:highlight w:val="none"/>
        </w:rPr>
      </w:pPr>
      <w:r>
        <w:rPr>
          <w:rFonts w:hint="eastAsia"/>
          <w:b/>
          <w:color w:val="auto"/>
          <w:sz w:val="24"/>
          <w:szCs w:val="24"/>
          <w:highlight w:val="none"/>
        </w:rPr>
        <w:t>3．</w:t>
      </w:r>
      <w:r>
        <w:rPr>
          <w:b/>
          <w:color w:val="auto"/>
          <w:sz w:val="24"/>
          <w:szCs w:val="24"/>
          <w:highlight w:val="none"/>
        </w:rPr>
        <w:t>比较与评价</w:t>
      </w:r>
      <w:r>
        <w:rPr>
          <w:rFonts w:hint="eastAsia"/>
          <w:b/>
          <w:color w:val="auto"/>
          <w:sz w:val="24"/>
          <w:szCs w:val="24"/>
          <w:highlight w:val="none"/>
        </w:rPr>
        <w:t>：</w:t>
      </w:r>
    </w:p>
    <w:p w14:paraId="54FC6CAE">
      <w:pPr>
        <w:spacing w:line="400" w:lineRule="exact"/>
        <w:rPr>
          <w:b/>
          <w:color w:val="auto"/>
          <w:sz w:val="24"/>
          <w:szCs w:val="24"/>
          <w:highlight w:val="none"/>
        </w:rPr>
      </w:pPr>
      <w:r>
        <w:rPr>
          <w:rFonts w:hint="eastAsia"/>
          <w:color w:val="auto"/>
          <w:sz w:val="24"/>
          <w:highlight w:val="none"/>
        </w:rPr>
        <w:t>（1）评标委员会每位成员各自按照《评委打分表》规定的内容，对所有有效的投标文件进行打分，汇总各评委对各投标人的评分。计算全体评委评出的总分的算术平均值，作为各投标人的综合得分。按各投标人的综合得分自高向低次序排出评标结果排序。</w:t>
      </w:r>
    </w:p>
    <w:p w14:paraId="30E124A9">
      <w:pPr>
        <w:spacing w:line="400" w:lineRule="exact"/>
        <w:rPr>
          <w:rFonts w:ascii="宋体" w:hAnsi="宋体"/>
          <w:color w:val="auto"/>
          <w:kern w:val="0"/>
          <w:sz w:val="24"/>
          <w:highlight w:val="none"/>
        </w:rPr>
      </w:pPr>
      <w:r>
        <w:rPr>
          <w:rFonts w:hint="eastAsia"/>
          <w:color w:val="auto"/>
          <w:sz w:val="24"/>
          <w:highlight w:val="none"/>
        </w:rPr>
        <w:t>（2）评标结果排序：</w:t>
      </w:r>
      <w:r>
        <w:rPr>
          <w:rFonts w:hint="eastAsia" w:ascii="宋体" w:hAnsi="宋体"/>
          <w:color w:val="auto"/>
          <w:kern w:val="0"/>
          <w:sz w:val="24"/>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排序在先。</w:t>
      </w:r>
    </w:p>
    <w:p w14:paraId="3E80F449">
      <w:pPr>
        <w:spacing w:line="400" w:lineRule="exact"/>
        <w:rPr>
          <w:rFonts w:hAnsi="宋体"/>
          <w:color w:val="auto"/>
          <w:sz w:val="24"/>
          <w:szCs w:val="24"/>
          <w:highlight w:val="none"/>
        </w:rPr>
      </w:pPr>
      <w:r>
        <w:rPr>
          <w:rFonts w:hint="eastAsia" w:ascii="宋体" w:hAnsi="宋体"/>
          <w:color w:val="auto"/>
          <w:kern w:val="0"/>
          <w:sz w:val="24"/>
          <w:highlight w:val="none"/>
        </w:rPr>
        <w:t>（</w:t>
      </w:r>
      <w:r>
        <w:rPr>
          <w:rFonts w:hint="eastAsia"/>
          <w:color w:val="auto"/>
          <w:sz w:val="24"/>
          <w:szCs w:val="22"/>
          <w:highlight w:val="none"/>
        </w:rPr>
        <w:t>3</w:t>
      </w:r>
      <w:r>
        <w:rPr>
          <w:rFonts w:hint="eastAsia" w:ascii="宋体" w:hAnsi="宋体"/>
          <w:color w:val="auto"/>
          <w:kern w:val="0"/>
          <w:sz w:val="24"/>
          <w:highlight w:val="none"/>
        </w:rPr>
        <w:t>）评标委员会推荐排序第一的供应商为唯一中标候选人。</w:t>
      </w:r>
    </w:p>
    <w:p w14:paraId="551D023E">
      <w:pPr>
        <w:spacing w:line="400" w:lineRule="exact"/>
        <w:rPr>
          <w:rFonts w:hAnsi="宋体"/>
          <w:color w:val="auto"/>
          <w:sz w:val="24"/>
          <w:szCs w:val="24"/>
          <w:highlight w:val="none"/>
        </w:rPr>
      </w:pPr>
    </w:p>
    <w:p w14:paraId="24195271">
      <w:pPr>
        <w:spacing w:line="400" w:lineRule="exact"/>
        <w:rPr>
          <w:b/>
          <w:color w:val="auto"/>
          <w:sz w:val="24"/>
          <w:szCs w:val="24"/>
          <w:highlight w:val="none"/>
        </w:rPr>
      </w:pPr>
      <w:r>
        <w:rPr>
          <w:rFonts w:hint="eastAsia"/>
          <w:b/>
          <w:color w:val="auto"/>
          <w:sz w:val="24"/>
          <w:szCs w:val="24"/>
          <w:highlight w:val="none"/>
        </w:rPr>
        <w:t>4．确定中标供应商：</w:t>
      </w:r>
    </w:p>
    <w:p w14:paraId="46D6B8F4">
      <w:pPr>
        <w:spacing w:line="400" w:lineRule="exact"/>
        <w:rPr>
          <w:rFonts w:hAnsi="宋体"/>
          <w:color w:val="auto"/>
          <w:sz w:val="24"/>
          <w:szCs w:val="24"/>
          <w:highlight w:val="none"/>
        </w:rPr>
      </w:pPr>
      <w:r>
        <w:rPr>
          <w:rFonts w:hint="eastAsia"/>
          <w:color w:val="auto"/>
          <w:sz w:val="24"/>
          <w:highlight w:val="none"/>
        </w:rPr>
        <w:t>（1）</w:t>
      </w:r>
      <w:r>
        <w:rPr>
          <w:rFonts w:hint="eastAsia" w:hAnsi="宋体"/>
          <w:color w:val="auto"/>
          <w:sz w:val="24"/>
          <w:highlight w:val="none"/>
        </w:rPr>
        <w:t>采购人自收到评标报告之日起5个工作日内，按评标报告推荐的中标候选人确定为中标人。</w:t>
      </w:r>
    </w:p>
    <w:p w14:paraId="4F895FB0">
      <w:pPr>
        <w:spacing w:line="400" w:lineRule="exact"/>
        <w:rPr>
          <w:color w:val="auto"/>
          <w:sz w:val="24"/>
          <w:highlight w:val="none"/>
        </w:rPr>
      </w:pPr>
    </w:p>
    <w:p w14:paraId="66F2ACB6">
      <w:pPr>
        <w:spacing w:line="400" w:lineRule="exact"/>
        <w:rPr>
          <w:b/>
          <w:color w:val="auto"/>
          <w:sz w:val="24"/>
          <w:highlight w:val="none"/>
        </w:rPr>
      </w:pPr>
      <w:r>
        <w:rPr>
          <w:b/>
          <w:color w:val="auto"/>
          <w:sz w:val="24"/>
          <w:highlight w:val="none"/>
        </w:rPr>
        <w:t>三、</w:t>
      </w:r>
      <w:r>
        <w:rPr>
          <w:rFonts w:hint="eastAsia"/>
          <w:b/>
          <w:color w:val="auto"/>
          <w:sz w:val="24"/>
          <w:highlight w:val="none"/>
        </w:rPr>
        <w:t>中标结果公告及</w:t>
      </w:r>
      <w:r>
        <w:rPr>
          <w:b/>
          <w:color w:val="auto"/>
          <w:sz w:val="24"/>
          <w:highlight w:val="none"/>
        </w:rPr>
        <w:t>其他</w:t>
      </w:r>
    </w:p>
    <w:p w14:paraId="559FD8B5">
      <w:pPr>
        <w:spacing w:line="400" w:lineRule="exact"/>
        <w:rPr>
          <w:color w:val="auto"/>
          <w:sz w:val="24"/>
          <w:highlight w:val="none"/>
        </w:rPr>
      </w:pPr>
      <w:r>
        <w:rPr>
          <w:rFonts w:hint="eastAsia" w:hAnsi="宋体"/>
          <w:b/>
          <w:bCs/>
          <w:color w:val="auto"/>
          <w:sz w:val="24"/>
          <w:szCs w:val="24"/>
          <w:highlight w:val="none"/>
        </w:rPr>
        <w:t>1．</w:t>
      </w:r>
      <w:r>
        <w:rPr>
          <w:rFonts w:hAnsi="宋体"/>
          <w:color w:val="auto"/>
          <w:sz w:val="24"/>
          <w:szCs w:val="24"/>
          <w:highlight w:val="none"/>
        </w:rPr>
        <w:t>采购人根据评标报告中推荐的中标候选</w:t>
      </w:r>
      <w:r>
        <w:rPr>
          <w:rFonts w:hint="eastAsia" w:hAnsi="宋体"/>
          <w:color w:val="auto"/>
          <w:sz w:val="24"/>
          <w:szCs w:val="24"/>
          <w:highlight w:val="none"/>
        </w:rPr>
        <w:t>人</w:t>
      </w:r>
      <w:r>
        <w:rPr>
          <w:rFonts w:hAnsi="宋体"/>
          <w:color w:val="auto"/>
          <w:sz w:val="24"/>
          <w:szCs w:val="24"/>
          <w:highlight w:val="none"/>
        </w:rPr>
        <w:t>顺序确定中标供应商（或评标委员会受采购人授权</w:t>
      </w:r>
      <w:r>
        <w:rPr>
          <w:rFonts w:hint="eastAsia" w:hAnsi="宋体"/>
          <w:color w:val="auto"/>
          <w:sz w:val="24"/>
          <w:szCs w:val="24"/>
          <w:highlight w:val="none"/>
        </w:rPr>
        <w:t>直接确定中标供应商</w:t>
      </w:r>
      <w:r>
        <w:rPr>
          <w:rFonts w:hAnsi="宋体"/>
          <w:color w:val="auto"/>
          <w:sz w:val="24"/>
          <w:szCs w:val="24"/>
          <w:highlight w:val="none"/>
        </w:rPr>
        <w:t>）。中标供应商一经确定，采购代理公司在规定的政府采购信息发布媒体上发布中标公告</w:t>
      </w:r>
      <w:r>
        <w:rPr>
          <w:rFonts w:hint="eastAsia" w:hAnsi="宋体"/>
          <w:color w:val="auto"/>
          <w:sz w:val="24"/>
          <w:szCs w:val="24"/>
          <w:highlight w:val="none"/>
        </w:rPr>
        <w:t>。</w:t>
      </w:r>
    </w:p>
    <w:p w14:paraId="138C999B">
      <w:pPr>
        <w:spacing w:line="400" w:lineRule="exact"/>
        <w:rPr>
          <w:rFonts w:hAnsi="宋体"/>
          <w:color w:val="auto"/>
          <w:sz w:val="24"/>
          <w:szCs w:val="24"/>
          <w:highlight w:val="none"/>
        </w:rPr>
      </w:pPr>
      <w:r>
        <w:rPr>
          <w:rFonts w:hint="eastAsia"/>
          <w:b/>
          <w:bCs/>
          <w:color w:val="auto"/>
          <w:sz w:val="24"/>
          <w:highlight w:val="none"/>
        </w:rPr>
        <w:t>2．</w:t>
      </w:r>
      <w:r>
        <w:rPr>
          <w:rFonts w:hAnsi="宋体"/>
          <w:color w:val="auto"/>
          <w:sz w:val="24"/>
          <w:szCs w:val="24"/>
          <w:highlight w:val="none"/>
        </w:rPr>
        <w:t>至投标截止时间，如投标人不足三家，</w:t>
      </w:r>
      <w:r>
        <w:rPr>
          <w:rFonts w:hint="eastAsia" w:hAnsi="宋体"/>
          <w:color w:val="auto"/>
          <w:sz w:val="24"/>
          <w:szCs w:val="24"/>
          <w:highlight w:val="none"/>
        </w:rPr>
        <w:t>或经评审有效标不足三家，</w:t>
      </w:r>
      <w:r>
        <w:rPr>
          <w:rFonts w:hAnsi="宋体"/>
          <w:color w:val="auto"/>
          <w:sz w:val="24"/>
          <w:szCs w:val="24"/>
          <w:highlight w:val="none"/>
        </w:rPr>
        <w:t>则</w:t>
      </w:r>
      <w:r>
        <w:rPr>
          <w:rFonts w:hint="eastAsia" w:hAnsi="宋体"/>
          <w:color w:val="auto"/>
          <w:sz w:val="24"/>
          <w:szCs w:val="24"/>
          <w:highlight w:val="none"/>
        </w:rPr>
        <w:t>招标程序依法终止，</w:t>
      </w:r>
      <w:r>
        <w:rPr>
          <w:rFonts w:hAnsi="宋体"/>
          <w:color w:val="auto"/>
          <w:sz w:val="24"/>
          <w:szCs w:val="24"/>
          <w:highlight w:val="none"/>
        </w:rPr>
        <w:t>重新</w:t>
      </w:r>
      <w:r>
        <w:rPr>
          <w:rFonts w:hint="eastAsia" w:hAnsi="宋体"/>
          <w:color w:val="auto"/>
          <w:sz w:val="24"/>
          <w:szCs w:val="24"/>
          <w:highlight w:val="none"/>
        </w:rPr>
        <w:t>组织采购活动</w:t>
      </w:r>
      <w:r>
        <w:rPr>
          <w:rFonts w:hAnsi="宋体"/>
          <w:color w:val="auto"/>
          <w:sz w:val="24"/>
          <w:szCs w:val="24"/>
          <w:highlight w:val="none"/>
        </w:rPr>
        <w:t>。</w:t>
      </w:r>
    </w:p>
    <w:p w14:paraId="13D80524">
      <w:pPr>
        <w:spacing w:line="400" w:lineRule="exact"/>
        <w:rPr>
          <w:color w:val="auto"/>
          <w:sz w:val="24"/>
          <w:highlight w:val="none"/>
        </w:rPr>
      </w:pPr>
    </w:p>
    <w:p w14:paraId="1C736F77">
      <w:pPr>
        <w:rPr>
          <w:rFonts w:ascii="宋体"/>
          <w:b/>
          <w:color w:val="auto"/>
          <w:sz w:val="30"/>
          <w:szCs w:val="30"/>
          <w:highlight w:val="none"/>
        </w:rPr>
      </w:pPr>
      <w:r>
        <w:rPr>
          <w:rFonts w:hint="eastAsia" w:ascii="宋体"/>
          <w:b/>
          <w:color w:val="auto"/>
          <w:sz w:val="30"/>
          <w:szCs w:val="30"/>
          <w:highlight w:val="none"/>
        </w:rPr>
        <w:br w:type="page"/>
      </w:r>
    </w:p>
    <w:p w14:paraId="42378C21">
      <w:pPr>
        <w:jc w:val="center"/>
        <w:outlineLvl w:val="0"/>
        <w:rPr>
          <w:b/>
          <w:color w:val="auto"/>
          <w:sz w:val="24"/>
          <w:szCs w:val="24"/>
          <w:highlight w:val="none"/>
        </w:rPr>
      </w:pPr>
      <w:bookmarkStart w:id="8" w:name="_Toc27037"/>
      <w:r>
        <w:rPr>
          <w:rFonts w:hint="eastAsia" w:ascii="宋体"/>
          <w:b/>
          <w:color w:val="auto"/>
          <w:sz w:val="30"/>
          <w:szCs w:val="30"/>
          <w:highlight w:val="none"/>
        </w:rPr>
        <w:t>评分标准（评委打分表）</w:t>
      </w:r>
      <w:bookmarkEnd w:id="8"/>
    </w:p>
    <w:p w14:paraId="07B19660">
      <w:pPr>
        <w:spacing w:line="340" w:lineRule="exact"/>
        <w:rPr>
          <w:color w:val="auto"/>
          <w:sz w:val="24"/>
          <w:highlight w:val="none"/>
        </w:rPr>
      </w:pPr>
    </w:p>
    <w:p w14:paraId="25BB8B6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color w:val="auto"/>
          <w:sz w:val="24"/>
          <w:highlight w:val="none"/>
          <w:u w:val="single"/>
        </w:rPr>
      </w:pPr>
      <w:r>
        <w:rPr>
          <w:rFonts w:hint="eastAsia"/>
          <w:color w:val="auto"/>
          <w:sz w:val="24"/>
          <w:highlight w:val="none"/>
        </w:rPr>
        <w:t>项目编号：</w:t>
      </w:r>
      <w:r>
        <w:rPr>
          <w:rFonts w:hint="eastAsia"/>
          <w:color w:val="auto"/>
          <w:sz w:val="24"/>
          <w:highlight w:val="none"/>
          <w:u w:val="single"/>
        </w:rPr>
        <w:t>NBMC-20256197G，适用于所有标项</w:t>
      </w:r>
    </w:p>
    <w:tbl>
      <w:tblPr>
        <w:tblStyle w:val="29"/>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7662"/>
        <w:gridCol w:w="1020"/>
      </w:tblGrid>
      <w:tr w14:paraId="7505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50" w:type="pct"/>
            <w:gridSpan w:val="2"/>
            <w:tcBorders>
              <w:top w:val="single" w:color="auto" w:sz="4" w:space="0"/>
              <w:left w:val="single" w:color="auto" w:sz="4" w:space="0"/>
              <w:bottom w:val="single" w:color="auto" w:sz="4" w:space="0"/>
              <w:right w:val="single" w:color="auto" w:sz="4" w:space="0"/>
            </w:tcBorders>
            <w:noWrap/>
            <w:vAlign w:val="center"/>
          </w:tcPr>
          <w:p w14:paraId="1F1F70CB">
            <w:pPr>
              <w:widowControl/>
              <w:adjustRightInd w:val="0"/>
              <w:snapToGrid w:val="0"/>
              <w:spacing w:line="360" w:lineRule="exact"/>
              <w:jc w:val="center"/>
              <w:rPr>
                <w:rFonts w:cs="Calibri"/>
                <w:color w:val="auto"/>
                <w:sz w:val="24"/>
                <w:szCs w:val="24"/>
                <w:highlight w:val="none"/>
              </w:rPr>
            </w:pPr>
            <w:r>
              <w:rPr>
                <w:rFonts w:hint="eastAsia" w:hAnsi="宋体" w:cs="Calibri"/>
                <w:color w:val="auto"/>
                <w:sz w:val="24"/>
                <w:szCs w:val="24"/>
                <w:highlight w:val="none"/>
              </w:rPr>
              <w:t>评议细则投标单位</w:t>
            </w:r>
          </w:p>
        </w:tc>
        <w:tc>
          <w:tcPr>
            <w:tcW w:w="549" w:type="pct"/>
            <w:tcBorders>
              <w:top w:val="single" w:color="auto" w:sz="4" w:space="0"/>
              <w:left w:val="single" w:color="auto" w:sz="4" w:space="0"/>
              <w:bottom w:val="single" w:color="auto" w:sz="4" w:space="0"/>
              <w:right w:val="single" w:color="auto" w:sz="4" w:space="0"/>
            </w:tcBorders>
            <w:noWrap/>
            <w:vAlign w:val="center"/>
          </w:tcPr>
          <w:p w14:paraId="63907DF8">
            <w:pPr>
              <w:widowControl/>
              <w:adjustRightInd w:val="0"/>
              <w:snapToGrid w:val="0"/>
              <w:spacing w:line="360" w:lineRule="exact"/>
              <w:jc w:val="center"/>
              <w:rPr>
                <w:rFonts w:cs="Calibri"/>
                <w:color w:val="auto"/>
                <w:sz w:val="24"/>
                <w:szCs w:val="24"/>
                <w:highlight w:val="none"/>
              </w:rPr>
            </w:pPr>
            <w:r>
              <w:rPr>
                <w:rFonts w:hint="eastAsia" w:cs="Calibri"/>
                <w:color w:val="auto"/>
                <w:sz w:val="24"/>
                <w:szCs w:val="24"/>
                <w:highlight w:val="none"/>
              </w:rPr>
              <w:t>备注</w:t>
            </w:r>
          </w:p>
        </w:tc>
      </w:tr>
      <w:tr w14:paraId="2A48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 w:type="pct"/>
            <w:vMerge w:val="restart"/>
            <w:tcBorders>
              <w:top w:val="single" w:color="auto" w:sz="4" w:space="0"/>
              <w:left w:val="single" w:color="auto" w:sz="4" w:space="0"/>
              <w:bottom w:val="single" w:color="auto" w:sz="4" w:space="0"/>
              <w:right w:val="single" w:color="auto" w:sz="4" w:space="0"/>
            </w:tcBorders>
            <w:noWrap/>
            <w:vAlign w:val="center"/>
          </w:tcPr>
          <w:p w14:paraId="381104F0">
            <w:pPr>
              <w:spacing w:line="360" w:lineRule="exact"/>
              <w:jc w:val="center"/>
              <w:rPr>
                <w:rFonts w:cs="Calibri"/>
                <w:color w:val="auto"/>
                <w:sz w:val="24"/>
                <w:szCs w:val="24"/>
                <w:highlight w:val="none"/>
              </w:rPr>
            </w:pPr>
            <w:r>
              <w:rPr>
                <w:rFonts w:hint="eastAsia" w:hAnsi="宋体" w:cs="Calibri"/>
                <w:color w:val="auto"/>
                <w:sz w:val="24"/>
                <w:szCs w:val="24"/>
                <w:highlight w:val="none"/>
              </w:rPr>
              <w:t>技术商务</w:t>
            </w:r>
            <w:r>
              <w:rPr>
                <w:rFonts w:hint="eastAsia" w:cs="Calibri"/>
                <w:color w:val="auto"/>
                <w:sz w:val="24"/>
                <w:szCs w:val="24"/>
                <w:highlight w:val="none"/>
              </w:rPr>
              <w:t>70</w:t>
            </w:r>
            <w:r>
              <w:rPr>
                <w:rFonts w:hint="eastAsia" w:hAnsi="宋体" w:cs="Calibri"/>
                <w:color w:val="auto"/>
                <w:sz w:val="24"/>
                <w:szCs w:val="24"/>
                <w:highlight w:val="none"/>
              </w:rPr>
              <w:t>分</w:t>
            </w:r>
          </w:p>
        </w:tc>
        <w:tc>
          <w:tcPr>
            <w:tcW w:w="4125" w:type="pct"/>
            <w:tcBorders>
              <w:top w:val="single" w:color="auto" w:sz="4" w:space="0"/>
              <w:left w:val="single" w:color="auto" w:sz="4" w:space="0"/>
              <w:bottom w:val="single" w:color="auto" w:sz="4" w:space="0"/>
              <w:right w:val="single" w:color="auto" w:sz="4" w:space="0"/>
            </w:tcBorders>
            <w:noWrap/>
            <w:vAlign w:val="center"/>
          </w:tcPr>
          <w:p w14:paraId="0B510E98">
            <w:pPr>
              <w:tabs>
                <w:tab w:val="left" w:pos="4915"/>
              </w:tabs>
              <w:spacing w:line="360" w:lineRule="exact"/>
              <w:rPr>
                <w:rFonts w:cs="宋体"/>
                <w:color w:val="auto"/>
                <w:sz w:val="24"/>
                <w:szCs w:val="24"/>
                <w:highlight w:val="none"/>
              </w:rPr>
            </w:pPr>
            <w:r>
              <w:rPr>
                <w:rFonts w:hint="eastAsia" w:cs="宋体"/>
                <w:color w:val="auto"/>
                <w:sz w:val="24"/>
                <w:szCs w:val="24"/>
                <w:highlight w:val="none"/>
              </w:rPr>
              <w:t>1、技术参数响应情况（36分）</w:t>
            </w:r>
          </w:p>
          <w:p w14:paraId="708C2394">
            <w:pPr>
              <w:tabs>
                <w:tab w:val="left" w:pos="4915"/>
              </w:tabs>
              <w:spacing w:line="360" w:lineRule="exact"/>
              <w:rPr>
                <w:rFonts w:cs="宋体"/>
                <w:color w:val="auto"/>
                <w:sz w:val="24"/>
                <w:szCs w:val="24"/>
                <w:highlight w:val="none"/>
              </w:rPr>
            </w:pPr>
            <w:r>
              <w:rPr>
                <w:rFonts w:hint="eastAsia" w:cs="宋体"/>
                <w:color w:val="auto"/>
                <w:sz w:val="24"/>
                <w:szCs w:val="24"/>
                <w:highlight w:val="none"/>
              </w:rPr>
              <w:t>投标文件对采购文件的技术响应情况：技术指标全部满足招标文件要求的得36分；标记</w:t>
            </w:r>
            <w:r>
              <w:rPr>
                <w:rFonts w:hint="eastAsia" w:ascii="宋体" w:hAnsi="宋体" w:cs="宋体"/>
                <w:color w:val="auto"/>
                <w:sz w:val="24"/>
                <w:szCs w:val="24"/>
                <w:highlight w:val="none"/>
              </w:rPr>
              <w:t>▲号的技术参数，</w:t>
            </w:r>
            <w:r>
              <w:rPr>
                <w:rFonts w:hint="eastAsia" w:cs="宋体"/>
                <w:color w:val="auto"/>
                <w:sz w:val="24"/>
                <w:szCs w:val="24"/>
                <w:highlight w:val="none"/>
              </w:rPr>
              <w:t>每负偏离一项扣减3分；一般技术参数（无任何符号标注），每负偏离一项扣减1分。本项累计扣分≥36分的投标无效。</w:t>
            </w:r>
          </w:p>
          <w:p w14:paraId="14C6C1A7">
            <w:pPr>
              <w:tabs>
                <w:tab w:val="left" w:pos="4915"/>
              </w:tabs>
              <w:spacing w:line="360" w:lineRule="exact"/>
              <w:rPr>
                <w:rFonts w:cs="Calibri"/>
                <w:color w:val="auto"/>
                <w:sz w:val="24"/>
                <w:szCs w:val="24"/>
                <w:highlight w:val="none"/>
              </w:rPr>
            </w:pPr>
            <w:r>
              <w:rPr>
                <w:rFonts w:hint="eastAsia" w:cs="宋体"/>
                <w:color w:val="auto"/>
                <w:sz w:val="24"/>
                <w:szCs w:val="24"/>
                <w:highlight w:val="none"/>
              </w:rPr>
              <w:t>标志“★”的实质性条款不允许任何负偏离，否则投标无效。</w:t>
            </w:r>
          </w:p>
        </w:tc>
        <w:tc>
          <w:tcPr>
            <w:tcW w:w="549" w:type="pct"/>
            <w:tcBorders>
              <w:top w:val="single" w:color="auto" w:sz="4" w:space="0"/>
              <w:left w:val="single" w:color="auto" w:sz="4" w:space="0"/>
              <w:bottom w:val="single" w:color="auto" w:sz="4" w:space="0"/>
              <w:right w:val="single" w:color="auto" w:sz="4" w:space="0"/>
            </w:tcBorders>
            <w:noWrap/>
            <w:vAlign w:val="center"/>
          </w:tcPr>
          <w:p w14:paraId="6635684C">
            <w:pPr>
              <w:spacing w:line="360" w:lineRule="exact"/>
              <w:jc w:val="center"/>
              <w:rPr>
                <w:rFonts w:cs="Calibri"/>
                <w:color w:val="auto"/>
                <w:sz w:val="24"/>
                <w:szCs w:val="24"/>
                <w:highlight w:val="none"/>
              </w:rPr>
            </w:pPr>
            <w:r>
              <w:rPr>
                <w:rFonts w:hint="eastAsia" w:cs="Calibri"/>
                <w:color w:val="auto"/>
                <w:sz w:val="24"/>
                <w:szCs w:val="24"/>
                <w:highlight w:val="none"/>
              </w:rPr>
              <w:t>客观分</w:t>
            </w:r>
          </w:p>
        </w:tc>
      </w:tr>
      <w:tr w14:paraId="3267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 w:type="pct"/>
            <w:vMerge w:val="continue"/>
            <w:tcBorders>
              <w:left w:val="single" w:color="auto" w:sz="4" w:space="0"/>
              <w:right w:val="single" w:color="auto" w:sz="4" w:space="0"/>
            </w:tcBorders>
            <w:noWrap/>
            <w:vAlign w:val="center"/>
          </w:tcPr>
          <w:p w14:paraId="3202A3EA">
            <w:pPr>
              <w:spacing w:line="360" w:lineRule="exact"/>
              <w:rPr>
                <w:rFonts w:hAnsi="宋体" w:cs="Calibri"/>
                <w:color w:val="auto"/>
                <w:sz w:val="24"/>
                <w:szCs w:val="24"/>
                <w:highlight w:val="none"/>
              </w:rPr>
            </w:pPr>
          </w:p>
        </w:tc>
        <w:tc>
          <w:tcPr>
            <w:tcW w:w="4125" w:type="pct"/>
            <w:tcBorders>
              <w:top w:val="single" w:color="auto" w:sz="4" w:space="0"/>
              <w:left w:val="single" w:color="auto" w:sz="4" w:space="0"/>
              <w:bottom w:val="single" w:color="auto" w:sz="4" w:space="0"/>
              <w:right w:val="single" w:color="auto" w:sz="4" w:space="0"/>
            </w:tcBorders>
            <w:noWrap/>
            <w:vAlign w:val="center"/>
          </w:tcPr>
          <w:p w14:paraId="4B68B8F4">
            <w:pPr>
              <w:tabs>
                <w:tab w:val="left" w:pos="4915"/>
              </w:tabs>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2、供货方案（5分）</w:t>
            </w:r>
          </w:p>
          <w:p w14:paraId="3B6BE72E">
            <w:pPr>
              <w:tabs>
                <w:tab w:val="left" w:pos="4915"/>
              </w:tabs>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根据投标人提供的供货方案，包括供货保障措施、运输方式及保险、供货流程要点及实施步骤等内容进行评议。</w:t>
            </w:r>
          </w:p>
          <w:p w14:paraId="1759554E">
            <w:pPr>
              <w:tabs>
                <w:tab w:val="left" w:pos="4915"/>
              </w:tabs>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各项供货保障措施完整有效，运输方式及保险符合项目实际需求，供货流程合理且要点明确，供货实施步骤清晰的得5分；</w:t>
            </w:r>
          </w:p>
          <w:p w14:paraId="7ECEDF22">
            <w:pPr>
              <w:tabs>
                <w:tab w:val="left" w:pos="4915"/>
              </w:tabs>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各项供货保障措施完整，但部分措施有效性略为欠缺、运输方式及保险符合项目实际需求，供货流程及实施步骤不够详细、略有欠缺的得3分；</w:t>
            </w:r>
          </w:p>
          <w:p w14:paraId="7938A8BE">
            <w:pPr>
              <w:tabs>
                <w:tab w:val="left" w:pos="4915"/>
              </w:tabs>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供货保障措施有缺漏，或运输方式及保险与项目实际情况不符，供货流程及实施步骤过于宽泛，与项目需求存在差距的得1分；</w:t>
            </w:r>
          </w:p>
          <w:p w14:paraId="593B423F">
            <w:pPr>
              <w:tabs>
                <w:tab w:val="left" w:pos="4915"/>
              </w:tabs>
              <w:spacing w:line="360" w:lineRule="exact"/>
              <w:rPr>
                <w:rFonts w:cs="宋体"/>
                <w:color w:val="auto"/>
                <w:sz w:val="24"/>
                <w:szCs w:val="24"/>
                <w:highlight w:val="none"/>
              </w:rPr>
            </w:pPr>
            <w:r>
              <w:rPr>
                <w:rFonts w:hint="eastAsia" w:ascii="宋体" w:hAnsi="宋体" w:cs="宋体"/>
                <w:color w:val="auto"/>
                <w:sz w:val="24"/>
                <w:szCs w:val="24"/>
                <w:highlight w:val="none"/>
              </w:rPr>
              <w:t>未提供相关内容的不得分。</w:t>
            </w:r>
          </w:p>
        </w:tc>
        <w:tc>
          <w:tcPr>
            <w:tcW w:w="549" w:type="pct"/>
            <w:tcBorders>
              <w:top w:val="single" w:color="auto" w:sz="4" w:space="0"/>
              <w:left w:val="single" w:color="auto" w:sz="4" w:space="0"/>
              <w:bottom w:val="single" w:color="auto" w:sz="4" w:space="0"/>
              <w:right w:val="single" w:color="auto" w:sz="4" w:space="0"/>
            </w:tcBorders>
            <w:noWrap/>
            <w:vAlign w:val="center"/>
          </w:tcPr>
          <w:p w14:paraId="06A8BBCE">
            <w:pPr>
              <w:spacing w:line="360" w:lineRule="exact"/>
              <w:jc w:val="center"/>
              <w:rPr>
                <w:rFonts w:cs="Calibri"/>
                <w:color w:val="auto"/>
                <w:sz w:val="24"/>
                <w:szCs w:val="24"/>
                <w:highlight w:val="none"/>
              </w:rPr>
            </w:pPr>
            <w:r>
              <w:rPr>
                <w:rFonts w:hint="eastAsia" w:cs="Calibri"/>
                <w:color w:val="auto"/>
                <w:sz w:val="24"/>
                <w:szCs w:val="24"/>
                <w:highlight w:val="none"/>
              </w:rPr>
              <w:t>主观分</w:t>
            </w:r>
          </w:p>
        </w:tc>
      </w:tr>
      <w:tr w14:paraId="2323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 w:type="pct"/>
            <w:vMerge w:val="continue"/>
            <w:tcBorders>
              <w:left w:val="single" w:color="auto" w:sz="4" w:space="0"/>
              <w:right w:val="single" w:color="auto" w:sz="4" w:space="0"/>
            </w:tcBorders>
            <w:noWrap/>
            <w:vAlign w:val="center"/>
          </w:tcPr>
          <w:p w14:paraId="4369DA5E">
            <w:pPr>
              <w:spacing w:line="360" w:lineRule="exact"/>
              <w:rPr>
                <w:rFonts w:hAnsi="宋体" w:cs="Calibri"/>
                <w:color w:val="auto"/>
                <w:sz w:val="24"/>
                <w:szCs w:val="24"/>
                <w:highlight w:val="none"/>
              </w:rPr>
            </w:pPr>
          </w:p>
        </w:tc>
        <w:tc>
          <w:tcPr>
            <w:tcW w:w="4125" w:type="pct"/>
            <w:tcBorders>
              <w:top w:val="single" w:color="auto" w:sz="4" w:space="0"/>
              <w:left w:val="single" w:color="auto" w:sz="4" w:space="0"/>
              <w:bottom w:val="single" w:color="auto" w:sz="4" w:space="0"/>
              <w:right w:val="single" w:color="auto" w:sz="4" w:space="0"/>
            </w:tcBorders>
            <w:noWrap/>
            <w:vAlign w:val="center"/>
          </w:tcPr>
          <w:p w14:paraId="3F604362">
            <w:pPr>
              <w:tabs>
                <w:tab w:val="left" w:pos="4915"/>
              </w:tabs>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3、安装调试方案（5分）</w:t>
            </w:r>
          </w:p>
          <w:p w14:paraId="2929AC0E">
            <w:pPr>
              <w:tabs>
                <w:tab w:val="left" w:pos="4915"/>
              </w:tabs>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根据投标人提供的安装调试方案，包括安装方案、调试方案、安装调试人员及专用仪器设备配置、开箱测试、最终测试及试运行方案进行评议。</w:t>
            </w:r>
          </w:p>
          <w:p w14:paraId="753041E6">
            <w:pPr>
              <w:tabs>
                <w:tab w:val="left" w:pos="4915"/>
              </w:tabs>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安装方案得当，安装人员配置贴合实际需求，调试标准明确，且开箱测试方式科学，最终测试及试运行方案合理，能确保货物顺利通过验收的得5分；</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安装方案及安装人员配置基本贴合实际需求，调试标准比较明确，开箱测试方式和产品验收方案基本可行的得3分；</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安装方案及安装人员配置与实际需求有严重偏差，调试标准不明确、开箱测试方式和产品验收方案不可行的得1分；</w:t>
            </w:r>
          </w:p>
          <w:p w14:paraId="482845D4">
            <w:pPr>
              <w:tabs>
                <w:tab w:val="left" w:pos="4915"/>
              </w:tabs>
              <w:spacing w:line="360" w:lineRule="exact"/>
              <w:rPr>
                <w:rFonts w:cs="宋体"/>
                <w:color w:val="auto"/>
                <w:sz w:val="24"/>
                <w:szCs w:val="24"/>
                <w:highlight w:val="none"/>
              </w:rPr>
            </w:pPr>
            <w:r>
              <w:rPr>
                <w:rFonts w:hint="eastAsia" w:ascii="宋体" w:hAnsi="宋体" w:cs="宋体"/>
                <w:color w:val="auto"/>
                <w:sz w:val="24"/>
                <w:szCs w:val="24"/>
                <w:highlight w:val="none"/>
              </w:rPr>
              <w:t>未提供相关内容不得分。</w:t>
            </w:r>
          </w:p>
        </w:tc>
        <w:tc>
          <w:tcPr>
            <w:tcW w:w="549" w:type="pct"/>
            <w:tcBorders>
              <w:top w:val="single" w:color="auto" w:sz="4" w:space="0"/>
              <w:left w:val="single" w:color="auto" w:sz="4" w:space="0"/>
              <w:bottom w:val="single" w:color="auto" w:sz="4" w:space="0"/>
              <w:right w:val="single" w:color="auto" w:sz="4" w:space="0"/>
            </w:tcBorders>
            <w:noWrap/>
            <w:vAlign w:val="center"/>
          </w:tcPr>
          <w:p w14:paraId="6136BE96">
            <w:pPr>
              <w:spacing w:line="360" w:lineRule="exact"/>
              <w:jc w:val="center"/>
              <w:rPr>
                <w:rFonts w:cs="Calibri"/>
                <w:color w:val="auto"/>
                <w:sz w:val="24"/>
                <w:szCs w:val="24"/>
                <w:highlight w:val="none"/>
              </w:rPr>
            </w:pPr>
            <w:r>
              <w:rPr>
                <w:rFonts w:hint="eastAsia" w:cs="Calibri"/>
                <w:color w:val="auto"/>
                <w:sz w:val="24"/>
                <w:szCs w:val="24"/>
                <w:highlight w:val="none"/>
              </w:rPr>
              <w:t>主观分</w:t>
            </w:r>
          </w:p>
        </w:tc>
      </w:tr>
      <w:tr w14:paraId="1B0B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 w:type="pct"/>
            <w:vMerge w:val="continue"/>
            <w:tcBorders>
              <w:top w:val="single" w:color="auto" w:sz="4" w:space="0"/>
              <w:left w:val="single" w:color="auto" w:sz="4" w:space="0"/>
              <w:bottom w:val="single" w:color="auto" w:sz="4" w:space="0"/>
              <w:right w:val="single" w:color="auto" w:sz="4" w:space="0"/>
            </w:tcBorders>
            <w:noWrap/>
            <w:vAlign w:val="center"/>
          </w:tcPr>
          <w:p w14:paraId="54279EC6">
            <w:pPr>
              <w:widowControl/>
              <w:spacing w:line="360" w:lineRule="exact"/>
              <w:jc w:val="left"/>
              <w:rPr>
                <w:rFonts w:cs="Calibri"/>
                <w:color w:val="auto"/>
                <w:sz w:val="24"/>
                <w:szCs w:val="24"/>
                <w:highlight w:val="none"/>
              </w:rPr>
            </w:pPr>
          </w:p>
        </w:tc>
        <w:tc>
          <w:tcPr>
            <w:tcW w:w="4125" w:type="pct"/>
            <w:tcBorders>
              <w:top w:val="single" w:color="auto" w:sz="4" w:space="0"/>
              <w:left w:val="single" w:color="auto" w:sz="4" w:space="0"/>
              <w:bottom w:val="single" w:color="auto" w:sz="4" w:space="0"/>
              <w:right w:val="single" w:color="auto" w:sz="4" w:space="0"/>
            </w:tcBorders>
            <w:noWrap/>
            <w:vAlign w:val="center"/>
          </w:tcPr>
          <w:p w14:paraId="3CDAB53A">
            <w:pPr>
              <w:spacing w:line="360" w:lineRule="exact"/>
              <w:rPr>
                <w:rFonts w:cs="Calibri"/>
                <w:color w:val="auto"/>
                <w:sz w:val="24"/>
                <w:szCs w:val="24"/>
                <w:highlight w:val="none"/>
              </w:rPr>
            </w:pPr>
            <w:r>
              <w:rPr>
                <w:rFonts w:hint="eastAsia" w:hAnsi="宋体" w:cs="Calibri"/>
                <w:color w:val="auto"/>
                <w:sz w:val="24"/>
                <w:szCs w:val="24"/>
                <w:highlight w:val="none"/>
              </w:rPr>
              <w:t>4、培训方案（5分）</w:t>
            </w:r>
          </w:p>
          <w:p w14:paraId="39C1D602">
            <w:pPr>
              <w:spacing w:line="360" w:lineRule="exact"/>
              <w:rPr>
                <w:rFonts w:hAnsi="宋体" w:cs="Calibri"/>
                <w:color w:val="auto"/>
                <w:sz w:val="24"/>
                <w:szCs w:val="24"/>
                <w:highlight w:val="none"/>
              </w:rPr>
            </w:pPr>
            <w:r>
              <w:rPr>
                <w:rFonts w:hint="eastAsia" w:hAnsi="宋体" w:cs="Calibri"/>
                <w:color w:val="auto"/>
                <w:sz w:val="24"/>
                <w:szCs w:val="24"/>
                <w:highlight w:val="none"/>
              </w:rPr>
              <w:t>根据投标人提供的培训方案：包括培训方式（包括现场培训和培训中心统一培训），培训内容（包括设备软件的安装、设备的原理、结构、设备的拆装、设备的保养（PM）步骤、性能检测等）、接受培训人员及次数时间（现场培训不限人次、外出培训人次供应商提供）、培训师资（上课老师的资历）等进行评议。</w:t>
            </w:r>
          </w:p>
          <w:p w14:paraId="3FE429B3">
            <w:pPr>
              <w:spacing w:line="360" w:lineRule="exact"/>
              <w:rPr>
                <w:rFonts w:hAnsi="宋体" w:cs="Calibri"/>
                <w:color w:val="auto"/>
                <w:sz w:val="24"/>
                <w:szCs w:val="24"/>
                <w:highlight w:val="none"/>
              </w:rPr>
            </w:pPr>
            <w:r>
              <w:rPr>
                <w:rFonts w:hint="eastAsia" w:hAnsi="宋体" w:cs="Calibri"/>
                <w:color w:val="auto"/>
                <w:sz w:val="24"/>
                <w:szCs w:val="24"/>
                <w:highlight w:val="none"/>
              </w:rPr>
              <w:t>接受培训人员及次数时间、培训方式和培训师资完全符合项目实际工作需求、培训课程内容完整涵盖所采购设备的仪器原理，使用方法和维护方法，培训内容规范且系统，能确保仪器各项功能的正确使用得5分；</w:t>
            </w:r>
          </w:p>
          <w:p w14:paraId="64653F41">
            <w:pPr>
              <w:spacing w:line="360" w:lineRule="exact"/>
              <w:rPr>
                <w:rFonts w:hAnsi="宋体" w:cs="Calibri"/>
                <w:color w:val="auto"/>
                <w:sz w:val="24"/>
                <w:szCs w:val="24"/>
                <w:highlight w:val="none"/>
              </w:rPr>
            </w:pPr>
            <w:r>
              <w:rPr>
                <w:rFonts w:hint="eastAsia" w:hAnsi="宋体" w:cs="Calibri"/>
                <w:color w:val="auto"/>
                <w:sz w:val="24"/>
                <w:szCs w:val="24"/>
                <w:highlight w:val="none"/>
              </w:rPr>
              <w:t>接受培训人员及次数时间、培训方式满足项目要求、培训师资力量略有欠缺、或培训课程内容不够规范系统的得3分；</w:t>
            </w:r>
          </w:p>
          <w:p w14:paraId="10ACFBF7">
            <w:pPr>
              <w:spacing w:line="360" w:lineRule="exact"/>
              <w:rPr>
                <w:rFonts w:hAnsi="宋体" w:cs="Calibri"/>
                <w:color w:val="auto"/>
                <w:sz w:val="24"/>
                <w:szCs w:val="24"/>
                <w:highlight w:val="none"/>
              </w:rPr>
            </w:pPr>
            <w:r>
              <w:rPr>
                <w:rFonts w:hint="eastAsia" w:hAnsi="宋体" w:cs="Calibri"/>
                <w:color w:val="auto"/>
                <w:sz w:val="24"/>
                <w:szCs w:val="24"/>
                <w:highlight w:val="none"/>
              </w:rPr>
              <w:t>接受培训人员及次数时间、或培训方式与项目要求有偏差、或培训课程内容过于简单无法满足实际工作需求、或培训师资力量薄弱的得1分。</w:t>
            </w:r>
          </w:p>
          <w:p w14:paraId="35A81CC4">
            <w:pPr>
              <w:spacing w:line="360" w:lineRule="exact"/>
              <w:rPr>
                <w:rFonts w:hAnsi="宋体" w:cs="Calibri"/>
                <w:color w:val="auto"/>
                <w:sz w:val="24"/>
                <w:szCs w:val="24"/>
                <w:highlight w:val="none"/>
              </w:rPr>
            </w:pPr>
            <w:r>
              <w:rPr>
                <w:rFonts w:hint="eastAsia" w:hAnsi="宋体" w:cs="Calibri"/>
                <w:color w:val="auto"/>
                <w:sz w:val="24"/>
                <w:szCs w:val="24"/>
                <w:highlight w:val="none"/>
              </w:rPr>
              <w:t>未提供相关内容的不得分。</w:t>
            </w:r>
          </w:p>
        </w:tc>
        <w:tc>
          <w:tcPr>
            <w:tcW w:w="549" w:type="pct"/>
            <w:tcBorders>
              <w:top w:val="single" w:color="auto" w:sz="4" w:space="0"/>
              <w:left w:val="single" w:color="auto" w:sz="4" w:space="0"/>
              <w:bottom w:val="single" w:color="auto" w:sz="4" w:space="0"/>
              <w:right w:val="single" w:color="auto" w:sz="4" w:space="0"/>
            </w:tcBorders>
            <w:noWrap/>
            <w:vAlign w:val="center"/>
          </w:tcPr>
          <w:p w14:paraId="59C8EC95">
            <w:pPr>
              <w:spacing w:line="360" w:lineRule="exact"/>
              <w:jc w:val="center"/>
              <w:rPr>
                <w:rFonts w:cs="Calibri"/>
                <w:color w:val="auto"/>
                <w:sz w:val="24"/>
                <w:szCs w:val="24"/>
                <w:highlight w:val="none"/>
              </w:rPr>
            </w:pPr>
            <w:r>
              <w:rPr>
                <w:rFonts w:hint="eastAsia" w:cs="Calibri"/>
                <w:color w:val="auto"/>
                <w:sz w:val="24"/>
                <w:szCs w:val="24"/>
                <w:highlight w:val="none"/>
              </w:rPr>
              <w:t>主观分</w:t>
            </w:r>
          </w:p>
        </w:tc>
      </w:tr>
      <w:tr w14:paraId="60BA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 w:type="pct"/>
            <w:vMerge w:val="continue"/>
            <w:tcBorders>
              <w:top w:val="single" w:color="auto" w:sz="4" w:space="0"/>
              <w:left w:val="single" w:color="auto" w:sz="4" w:space="0"/>
              <w:bottom w:val="single" w:color="auto" w:sz="4" w:space="0"/>
              <w:right w:val="single" w:color="auto" w:sz="4" w:space="0"/>
            </w:tcBorders>
            <w:noWrap/>
            <w:vAlign w:val="center"/>
          </w:tcPr>
          <w:p w14:paraId="69FE4857">
            <w:pPr>
              <w:widowControl/>
              <w:spacing w:line="360" w:lineRule="exact"/>
              <w:jc w:val="left"/>
              <w:rPr>
                <w:rFonts w:cs="Calibri"/>
                <w:color w:val="auto"/>
                <w:sz w:val="24"/>
                <w:szCs w:val="24"/>
                <w:highlight w:val="none"/>
              </w:rPr>
            </w:pPr>
          </w:p>
        </w:tc>
        <w:tc>
          <w:tcPr>
            <w:tcW w:w="4125" w:type="pct"/>
            <w:tcBorders>
              <w:top w:val="single" w:color="auto" w:sz="4" w:space="0"/>
              <w:left w:val="single" w:color="auto" w:sz="4" w:space="0"/>
              <w:bottom w:val="single" w:color="auto" w:sz="4" w:space="0"/>
              <w:right w:val="single" w:color="auto" w:sz="4" w:space="0"/>
            </w:tcBorders>
            <w:noWrap/>
            <w:vAlign w:val="center"/>
          </w:tcPr>
          <w:p w14:paraId="5A1DF1BB">
            <w:pPr>
              <w:spacing w:line="360" w:lineRule="exact"/>
              <w:rPr>
                <w:rFonts w:hAnsi="宋体" w:cs="Calibri"/>
                <w:color w:val="auto"/>
                <w:sz w:val="24"/>
                <w:szCs w:val="24"/>
                <w:highlight w:val="none"/>
              </w:rPr>
            </w:pPr>
            <w:r>
              <w:rPr>
                <w:rFonts w:hint="eastAsia" w:hAnsi="宋体" w:cs="Calibri"/>
                <w:color w:val="auto"/>
                <w:sz w:val="24"/>
                <w:szCs w:val="24"/>
                <w:highlight w:val="none"/>
              </w:rPr>
              <w:t>5、维修方案（5分）：</w:t>
            </w:r>
            <w:r>
              <w:rPr>
                <w:rFonts w:hint="eastAsia" w:hAnsi="宋体" w:cs="Calibri"/>
                <w:color w:val="auto"/>
                <w:sz w:val="24"/>
                <w:szCs w:val="24"/>
                <w:highlight w:val="none"/>
              </w:rPr>
              <w:br w:type="textWrapping"/>
            </w:r>
            <w:r>
              <w:rPr>
                <w:rFonts w:hint="eastAsia" w:hAnsi="宋体" w:cs="Calibri"/>
                <w:color w:val="auto"/>
                <w:sz w:val="24"/>
                <w:szCs w:val="24"/>
                <w:highlight w:val="none"/>
              </w:rPr>
              <w:t>根据投标人提供的维修方案，包括提供的保修价格、设备配件价格、维修服务费、维修完成时间及维修质量的保障方案进行评议。</w:t>
            </w:r>
          </w:p>
          <w:p w14:paraId="4B5601AF">
            <w:pPr>
              <w:spacing w:line="360" w:lineRule="exact"/>
              <w:rPr>
                <w:rFonts w:hAnsi="宋体" w:cs="Calibri"/>
                <w:color w:val="auto"/>
                <w:sz w:val="24"/>
                <w:szCs w:val="24"/>
                <w:highlight w:val="none"/>
              </w:rPr>
            </w:pPr>
            <w:r>
              <w:rPr>
                <w:rFonts w:hint="eastAsia" w:hAnsi="宋体" w:cs="Calibri"/>
                <w:color w:val="auto"/>
                <w:sz w:val="24"/>
                <w:szCs w:val="24"/>
                <w:highlight w:val="none"/>
              </w:rPr>
              <w:t>维修成本方案与货物实际相结合，提供的保修价格、设备配件价格、维修服务费合理，维修完成时间及时且能保障维修质量的得5分；</w:t>
            </w:r>
          </w:p>
          <w:p w14:paraId="523C24F6">
            <w:pPr>
              <w:spacing w:line="360" w:lineRule="exact"/>
              <w:rPr>
                <w:rFonts w:hAnsi="宋体" w:cs="Calibri"/>
                <w:color w:val="auto"/>
                <w:sz w:val="24"/>
                <w:szCs w:val="24"/>
                <w:highlight w:val="none"/>
              </w:rPr>
            </w:pPr>
            <w:r>
              <w:rPr>
                <w:rFonts w:hint="eastAsia" w:hAnsi="宋体" w:cs="Calibri"/>
                <w:color w:val="auto"/>
                <w:sz w:val="24"/>
                <w:szCs w:val="24"/>
                <w:highlight w:val="none"/>
              </w:rPr>
              <w:t>提供的保修价格、设备配件价格及维修服务费较合理，维修完成时间及时且能保障维修质量的得3分；</w:t>
            </w:r>
          </w:p>
          <w:p w14:paraId="20D99A59">
            <w:pPr>
              <w:spacing w:line="360" w:lineRule="exact"/>
              <w:rPr>
                <w:rFonts w:hAnsi="宋体" w:cs="Calibri"/>
                <w:color w:val="auto"/>
                <w:sz w:val="24"/>
                <w:szCs w:val="24"/>
                <w:highlight w:val="none"/>
              </w:rPr>
            </w:pPr>
            <w:r>
              <w:rPr>
                <w:rFonts w:hint="eastAsia" w:hAnsi="宋体" w:cs="Calibri"/>
                <w:color w:val="auto"/>
                <w:sz w:val="24"/>
                <w:szCs w:val="24"/>
                <w:highlight w:val="none"/>
              </w:rPr>
              <w:t>未能明确阐述维修的各项价格，维修方案存在缺陷，有待改进的得1分；</w:t>
            </w:r>
          </w:p>
          <w:p w14:paraId="78076A61">
            <w:pPr>
              <w:spacing w:line="360" w:lineRule="exact"/>
              <w:rPr>
                <w:rFonts w:hAnsi="宋体" w:cs="Calibri"/>
                <w:color w:val="auto"/>
                <w:sz w:val="24"/>
                <w:szCs w:val="24"/>
                <w:highlight w:val="none"/>
              </w:rPr>
            </w:pPr>
            <w:r>
              <w:rPr>
                <w:rFonts w:hint="eastAsia" w:hAnsi="宋体" w:cs="Calibri"/>
                <w:color w:val="auto"/>
                <w:sz w:val="24"/>
                <w:szCs w:val="24"/>
                <w:highlight w:val="none"/>
              </w:rPr>
              <w:t>未提供相关内容的不得分。</w:t>
            </w:r>
          </w:p>
        </w:tc>
        <w:tc>
          <w:tcPr>
            <w:tcW w:w="549" w:type="pct"/>
            <w:tcBorders>
              <w:top w:val="single" w:color="auto" w:sz="4" w:space="0"/>
              <w:left w:val="single" w:color="auto" w:sz="4" w:space="0"/>
              <w:bottom w:val="single" w:color="auto" w:sz="4" w:space="0"/>
              <w:right w:val="single" w:color="auto" w:sz="4" w:space="0"/>
            </w:tcBorders>
            <w:noWrap/>
            <w:vAlign w:val="center"/>
          </w:tcPr>
          <w:p w14:paraId="1146D6DF">
            <w:pPr>
              <w:spacing w:line="360" w:lineRule="exact"/>
              <w:jc w:val="center"/>
              <w:rPr>
                <w:rFonts w:cs="Calibri"/>
                <w:color w:val="auto"/>
                <w:sz w:val="24"/>
                <w:szCs w:val="24"/>
                <w:highlight w:val="none"/>
              </w:rPr>
            </w:pPr>
            <w:r>
              <w:rPr>
                <w:rFonts w:hint="eastAsia" w:cs="Calibri"/>
                <w:color w:val="auto"/>
                <w:sz w:val="24"/>
                <w:szCs w:val="24"/>
                <w:highlight w:val="none"/>
              </w:rPr>
              <w:t>主观分</w:t>
            </w:r>
          </w:p>
        </w:tc>
      </w:tr>
      <w:tr w14:paraId="0056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 w:type="pct"/>
            <w:vMerge w:val="continue"/>
            <w:tcBorders>
              <w:top w:val="single" w:color="auto" w:sz="4" w:space="0"/>
              <w:left w:val="single" w:color="auto" w:sz="4" w:space="0"/>
              <w:bottom w:val="single" w:color="auto" w:sz="4" w:space="0"/>
              <w:right w:val="single" w:color="auto" w:sz="4" w:space="0"/>
            </w:tcBorders>
            <w:noWrap/>
            <w:vAlign w:val="center"/>
          </w:tcPr>
          <w:p w14:paraId="6403A209">
            <w:pPr>
              <w:widowControl/>
              <w:spacing w:line="360" w:lineRule="exact"/>
              <w:jc w:val="left"/>
              <w:rPr>
                <w:rFonts w:cs="Calibri"/>
                <w:color w:val="auto"/>
                <w:sz w:val="24"/>
                <w:szCs w:val="24"/>
                <w:highlight w:val="none"/>
              </w:rPr>
            </w:pPr>
          </w:p>
        </w:tc>
        <w:tc>
          <w:tcPr>
            <w:tcW w:w="4125" w:type="pct"/>
            <w:tcBorders>
              <w:top w:val="single" w:color="auto" w:sz="4" w:space="0"/>
              <w:left w:val="single" w:color="auto" w:sz="4" w:space="0"/>
              <w:bottom w:val="single" w:color="auto" w:sz="4" w:space="0"/>
              <w:right w:val="single" w:color="auto" w:sz="4" w:space="0"/>
            </w:tcBorders>
            <w:noWrap/>
            <w:vAlign w:val="center"/>
          </w:tcPr>
          <w:p w14:paraId="482F05E9">
            <w:pPr>
              <w:spacing w:line="360" w:lineRule="exact"/>
              <w:rPr>
                <w:rFonts w:hAnsi="宋体" w:cs="Calibri"/>
                <w:color w:val="auto"/>
                <w:sz w:val="24"/>
                <w:szCs w:val="24"/>
                <w:highlight w:val="none"/>
              </w:rPr>
            </w:pPr>
            <w:r>
              <w:rPr>
                <w:rFonts w:hint="eastAsia" w:hAnsi="宋体" w:cs="Calibri"/>
                <w:color w:val="auto"/>
                <w:sz w:val="24"/>
                <w:szCs w:val="24"/>
                <w:highlight w:val="none"/>
              </w:rPr>
              <w:t>6、售后服务能力（</w:t>
            </w:r>
            <w:r>
              <w:rPr>
                <w:rFonts w:hint="eastAsia" w:cs="Calibri"/>
                <w:color w:val="auto"/>
                <w:sz w:val="24"/>
                <w:szCs w:val="24"/>
                <w:highlight w:val="none"/>
              </w:rPr>
              <w:t>10</w:t>
            </w:r>
            <w:r>
              <w:rPr>
                <w:rFonts w:hint="eastAsia" w:hAnsi="宋体" w:cs="Calibri"/>
                <w:color w:val="auto"/>
                <w:sz w:val="24"/>
                <w:szCs w:val="24"/>
                <w:highlight w:val="none"/>
              </w:rPr>
              <w:t>分）</w:t>
            </w:r>
          </w:p>
        </w:tc>
        <w:tc>
          <w:tcPr>
            <w:tcW w:w="549" w:type="pct"/>
            <w:tcBorders>
              <w:top w:val="single" w:color="auto" w:sz="4" w:space="0"/>
              <w:left w:val="single" w:color="auto" w:sz="4" w:space="0"/>
              <w:bottom w:val="single" w:color="auto" w:sz="4" w:space="0"/>
              <w:right w:val="single" w:color="auto" w:sz="4" w:space="0"/>
            </w:tcBorders>
            <w:noWrap/>
            <w:vAlign w:val="center"/>
          </w:tcPr>
          <w:p w14:paraId="4F0EDF65">
            <w:pPr>
              <w:spacing w:line="360" w:lineRule="exact"/>
              <w:jc w:val="center"/>
              <w:rPr>
                <w:rFonts w:cs="Calibri"/>
                <w:color w:val="auto"/>
                <w:sz w:val="24"/>
                <w:szCs w:val="24"/>
                <w:highlight w:val="none"/>
              </w:rPr>
            </w:pPr>
            <w:r>
              <w:rPr>
                <w:rFonts w:hint="eastAsia" w:cs="Calibri"/>
                <w:color w:val="auto"/>
                <w:sz w:val="24"/>
                <w:szCs w:val="24"/>
                <w:highlight w:val="none"/>
              </w:rPr>
              <w:t>/</w:t>
            </w:r>
          </w:p>
        </w:tc>
      </w:tr>
      <w:tr w14:paraId="1D10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 w:type="pct"/>
            <w:vMerge w:val="continue"/>
            <w:tcBorders>
              <w:top w:val="single" w:color="auto" w:sz="4" w:space="0"/>
              <w:left w:val="single" w:color="auto" w:sz="4" w:space="0"/>
              <w:bottom w:val="single" w:color="auto" w:sz="4" w:space="0"/>
              <w:right w:val="single" w:color="auto" w:sz="4" w:space="0"/>
            </w:tcBorders>
            <w:noWrap/>
            <w:vAlign w:val="center"/>
          </w:tcPr>
          <w:p w14:paraId="5B607F22">
            <w:pPr>
              <w:widowControl/>
              <w:spacing w:line="360" w:lineRule="exact"/>
              <w:jc w:val="left"/>
              <w:rPr>
                <w:rFonts w:cs="Calibri"/>
                <w:color w:val="auto"/>
                <w:sz w:val="24"/>
                <w:szCs w:val="24"/>
                <w:highlight w:val="none"/>
              </w:rPr>
            </w:pPr>
          </w:p>
        </w:tc>
        <w:tc>
          <w:tcPr>
            <w:tcW w:w="4125" w:type="pct"/>
            <w:tcBorders>
              <w:top w:val="single" w:color="auto" w:sz="4" w:space="0"/>
              <w:left w:val="single" w:color="auto" w:sz="4" w:space="0"/>
              <w:bottom w:val="single" w:color="auto" w:sz="4" w:space="0"/>
              <w:right w:val="single" w:color="auto" w:sz="4" w:space="0"/>
            </w:tcBorders>
            <w:noWrap/>
            <w:vAlign w:val="center"/>
          </w:tcPr>
          <w:p w14:paraId="6B142293">
            <w:pPr>
              <w:spacing w:line="360" w:lineRule="exact"/>
              <w:rPr>
                <w:rFonts w:cs="Calibri"/>
                <w:color w:val="auto"/>
                <w:sz w:val="24"/>
                <w:szCs w:val="24"/>
                <w:highlight w:val="none"/>
              </w:rPr>
            </w:pPr>
            <w:r>
              <w:rPr>
                <w:rFonts w:hint="eastAsia" w:hAnsi="宋体" w:cs="Calibri"/>
                <w:color w:val="auto"/>
                <w:sz w:val="24"/>
                <w:szCs w:val="24"/>
                <w:highlight w:val="none"/>
              </w:rPr>
              <w:t>6.1售后服务响应时间：有24小时维修电话、接通知后2小时内响应、24小时内到现场的得2分；有24小时维修电话、4小时内响应、48小时内到现场的得1分；没有24小时维修电话、或响应时间超过4小时或到现场时间超过48小时的不得分。</w:t>
            </w:r>
          </w:p>
        </w:tc>
        <w:tc>
          <w:tcPr>
            <w:tcW w:w="549" w:type="pct"/>
            <w:tcBorders>
              <w:top w:val="single" w:color="auto" w:sz="4" w:space="0"/>
              <w:left w:val="single" w:color="auto" w:sz="4" w:space="0"/>
              <w:bottom w:val="single" w:color="auto" w:sz="4" w:space="0"/>
              <w:right w:val="single" w:color="auto" w:sz="4" w:space="0"/>
            </w:tcBorders>
            <w:noWrap/>
            <w:vAlign w:val="center"/>
          </w:tcPr>
          <w:p w14:paraId="31069331">
            <w:pPr>
              <w:spacing w:line="360" w:lineRule="exact"/>
              <w:jc w:val="center"/>
              <w:rPr>
                <w:rFonts w:cs="Calibri"/>
                <w:color w:val="auto"/>
                <w:sz w:val="24"/>
                <w:szCs w:val="24"/>
                <w:highlight w:val="none"/>
              </w:rPr>
            </w:pPr>
            <w:r>
              <w:rPr>
                <w:rFonts w:hint="eastAsia" w:cs="Calibri"/>
                <w:color w:val="auto"/>
                <w:sz w:val="24"/>
                <w:szCs w:val="24"/>
                <w:highlight w:val="none"/>
              </w:rPr>
              <w:t>客观分</w:t>
            </w:r>
          </w:p>
        </w:tc>
      </w:tr>
      <w:tr w14:paraId="29BE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 w:type="pct"/>
            <w:vMerge w:val="continue"/>
            <w:tcBorders>
              <w:top w:val="single" w:color="auto" w:sz="4" w:space="0"/>
              <w:left w:val="single" w:color="auto" w:sz="4" w:space="0"/>
              <w:bottom w:val="single" w:color="auto" w:sz="4" w:space="0"/>
              <w:right w:val="single" w:color="auto" w:sz="4" w:space="0"/>
            </w:tcBorders>
            <w:noWrap/>
            <w:vAlign w:val="center"/>
          </w:tcPr>
          <w:p w14:paraId="7BE72FAC">
            <w:pPr>
              <w:widowControl/>
              <w:spacing w:line="360" w:lineRule="exact"/>
              <w:jc w:val="left"/>
              <w:rPr>
                <w:rFonts w:cs="Calibri"/>
                <w:color w:val="auto"/>
                <w:sz w:val="24"/>
                <w:szCs w:val="24"/>
                <w:highlight w:val="none"/>
              </w:rPr>
            </w:pPr>
          </w:p>
        </w:tc>
        <w:tc>
          <w:tcPr>
            <w:tcW w:w="4125" w:type="pct"/>
            <w:tcBorders>
              <w:top w:val="single" w:color="auto" w:sz="4" w:space="0"/>
              <w:left w:val="single" w:color="auto" w:sz="4" w:space="0"/>
              <w:bottom w:val="single" w:color="auto" w:sz="4" w:space="0"/>
              <w:right w:val="single" w:color="auto" w:sz="4" w:space="0"/>
            </w:tcBorders>
            <w:noWrap/>
            <w:vAlign w:val="center"/>
          </w:tcPr>
          <w:p w14:paraId="5C977BD6">
            <w:pPr>
              <w:spacing w:line="360" w:lineRule="exact"/>
              <w:rPr>
                <w:rFonts w:hAnsi="宋体" w:cs="Calibri"/>
                <w:color w:val="auto"/>
                <w:sz w:val="24"/>
                <w:szCs w:val="24"/>
                <w:highlight w:val="none"/>
              </w:rPr>
            </w:pPr>
            <w:r>
              <w:rPr>
                <w:rFonts w:hint="eastAsia" w:hAnsi="宋体" w:cs="Calibri"/>
                <w:color w:val="auto"/>
                <w:sz w:val="24"/>
                <w:szCs w:val="24"/>
                <w:highlight w:val="none"/>
              </w:rPr>
              <w:t>6.2维修工程师资质力量：专业维修工程师资历经验丰富、完全满足采购需求得3分；有专业维修工程师但资历经验不足得1分；没有专业维修工程师无法保证项目顺利实施的不得分。</w:t>
            </w:r>
          </w:p>
        </w:tc>
        <w:tc>
          <w:tcPr>
            <w:tcW w:w="549" w:type="pct"/>
            <w:tcBorders>
              <w:top w:val="single" w:color="auto" w:sz="4" w:space="0"/>
              <w:left w:val="single" w:color="auto" w:sz="4" w:space="0"/>
              <w:bottom w:val="single" w:color="auto" w:sz="4" w:space="0"/>
              <w:right w:val="single" w:color="auto" w:sz="4" w:space="0"/>
            </w:tcBorders>
            <w:noWrap/>
            <w:vAlign w:val="center"/>
          </w:tcPr>
          <w:p w14:paraId="323D0625">
            <w:pPr>
              <w:spacing w:line="360" w:lineRule="exact"/>
              <w:jc w:val="center"/>
              <w:rPr>
                <w:rFonts w:cs="Calibri"/>
                <w:color w:val="auto"/>
                <w:sz w:val="24"/>
                <w:szCs w:val="24"/>
                <w:highlight w:val="none"/>
              </w:rPr>
            </w:pPr>
            <w:r>
              <w:rPr>
                <w:rFonts w:hint="eastAsia" w:cs="Calibri"/>
                <w:color w:val="auto"/>
                <w:sz w:val="24"/>
                <w:szCs w:val="24"/>
                <w:highlight w:val="none"/>
              </w:rPr>
              <w:t>主观分</w:t>
            </w:r>
          </w:p>
        </w:tc>
      </w:tr>
      <w:tr w14:paraId="50E3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 w:type="pct"/>
            <w:vMerge w:val="continue"/>
            <w:tcBorders>
              <w:top w:val="single" w:color="auto" w:sz="4" w:space="0"/>
              <w:left w:val="single" w:color="auto" w:sz="4" w:space="0"/>
              <w:bottom w:val="single" w:color="auto" w:sz="4" w:space="0"/>
              <w:right w:val="single" w:color="auto" w:sz="4" w:space="0"/>
            </w:tcBorders>
            <w:noWrap/>
            <w:vAlign w:val="center"/>
          </w:tcPr>
          <w:p w14:paraId="5BEEE744">
            <w:pPr>
              <w:widowControl/>
              <w:spacing w:line="360" w:lineRule="exact"/>
              <w:jc w:val="left"/>
              <w:rPr>
                <w:rFonts w:cs="Calibri"/>
                <w:color w:val="auto"/>
                <w:sz w:val="24"/>
                <w:szCs w:val="24"/>
                <w:highlight w:val="none"/>
              </w:rPr>
            </w:pPr>
          </w:p>
        </w:tc>
        <w:tc>
          <w:tcPr>
            <w:tcW w:w="4125" w:type="pct"/>
            <w:tcBorders>
              <w:top w:val="single" w:color="auto" w:sz="4" w:space="0"/>
              <w:left w:val="single" w:color="auto" w:sz="4" w:space="0"/>
              <w:bottom w:val="single" w:color="auto" w:sz="4" w:space="0"/>
              <w:right w:val="single" w:color="auto" w:sz="4" w:space="0"/>
            </w:tcBorders>
            <w:noWrap/>
            <w:vAlign w:val="center"/>
          </w:tcPr>
          <w:p w14:paraId="060E54E4">
            <w:pPr>
              <w:spacing w:line="360" w:lineRule="exact"/>
              <w:rPr>
                <w:rFonts w:hAnsi="宋体" w:cs="Calibri"/>
                <w:color w:val="auto"/>
                <w:sz w:val="24"/>
                <w:szCs w:val="24"/>
                <w:highlight w:val="none"/>
              </w:rPr>
            </w:pPr>
            <w:r>
              <w:rPr>
                <w:rFonts w:hint="eastAsia" w:hAnsi="宋体" w:cs="Calibri"/>
                <w:color w:val="auto"/>
                <w:sz w:val="24"/>
                <w:szCs w:val="24"/>
                <w:highlight w:val="none"/>
              </w:rPr>
              <w:t>6.3质保期时间：质保期满足采购需求的得2分，不满足采购需求不得分。</w:t>
            </w:r>
          </w:p>
        </w:tc>
        <w:tc>
          <w:tcPr>
            <w:tcW w:w="549" w:type="pct"/>
            <w:tcBorders>
              <w:top w:val="single" w:color="auto" w:sz="4" w:space="0"/>
              <w:left w:val="single" w:color="auto" w:sz="4" w:space="0"/>
              <w:bottom w:val="single" w:color="auto" w:sz="4" w:space="0"/>
              <w:right w:val="single" w:color="auto" w:sz="4" w:space="0"/>
            </w:tcBorders>
            <w:noWrap/>
            <w:vAlign w:val="center"/>
          </w:tcPr>
          <w:p w14:paraId="178B71A3">
            <w:pPr>
              <w:spacing w:line="360" w:lineRule="exact"/>
              <w:jc w:val="center"/>
              <w:rPr>
                <w:rFonts w:cs="Calibri"/>
                <w:color w:val="auto"/>
                <w:sz w:val="24"/>
                <w:szCs w:val="24"/>
                <w:highlight w:val="none"/>
              </w:rPr>
            </w:pPr>
            <w:r>
              <w:rPr>
                <w:rFonts w:hint="eastAsia" w:cs="Calibri"/>
                <w:color w:val="auto"/>
                <w:sz w:val="24"/>
                <w:szCs w:val="24"/>
                <w:highlight w:val="none"/>
              </w:rPr>
              <w:t>客观分</w:t>
            </w:r>
          </w:p>
        </w:tc>
      </w:tr>
      <w:tr w14:paraId="4D52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 w:type="pct"/>
            <w:vMerge w:val="continue"/>
            <w:tcBorders>
              <w:top w:val="single" w:color="auto" w:sz="4" w:space="0"/>
              <w:left w:val="single" w:color="auto" w:sz="4" w:space="0"/>
              <w:bottom w:val="single" w:color="auto" w:sz="4" w:space="0"/>
              <w:right w:val="single" w:color="auto" w:sz="4" w:space="0"/>
            </w:tcBorders>
            <w:noWrap/>
            <w:vAlign w:val="center"/>
          </w:tcPr>
          <w:p w14:paraId="42A84ED1">
            <w:pPr>
              <w:widowControl/>
              <w:spacing w:line="360" w:lineRule="exact"/>
              <w:jc w:val="left"/>
              <w:rPr>
                <w:rFonts w:cs="Calibri"/>
                <w:color w:val="auto"/>
                <w:sz w:val="24"/>
                <w:szCs w:val="24"/>
                <w:highlight w:val="none"/>
              </w:rPr>
            </w:pPr>
          </w:p>
        </w:tc>
        <w:tc>
          <w:tcPr>
            <w:tcW w:w="4125" w:type="pct"/>
            <w:tcBorders>
              <w:top w:val="single" w:color="auto" w:sz="4" w:space="0"/>
              <w:left w:val="single" w:color="auto" w:sz="4" w:space="0"/>
              <w:bottom w:val="single" w:color="auto" w:sz="4" w:space="0"/>
              <w:right w:val="single" w:color="auto" w:sz="4" w:space="0"/>
            </w:tcBorders>
            <w:noWrap/>
            <w:vAlign w:val="center"/>
          </w:tcPr>
          <w:p w14:paraId="097CDD87">
            <w:pPr>
              <w:spacing w:line="360" w:lineRule="exact"/>
              <w:rPr>
                <w:rFonts w:hAnsi="宋体" w:cs="Calibri"/>
                <w:color w:val="auto"/>
                <w:sz w:val="24"/>
                <w:szCs w:val="24"/>
                <w:highlight w:val="none"/>
              </w:rPr>
            </w:pPr>
            <w:r>
              <w:rPr>
                <w:rFonts w:hint="eastAsia" w:hAnsi="宋体" w:cs="Calibri"/>
                <w:color w:val="auto"/>
                <w:sz w:val="24"/>
                <w:szCs w:val="24"/>
                <w:highlight w:val="none"/>
              </w:rPr>
              <w:t>6.4 备件库水平：备件库充足、且能在紧急情况下24小时内为医院提供维修备件的得3分；备件库充足但未承诺紧急情况下24小时提供维修备件得1分；备件库不足的不得分。</w:t>
            </w:r>
          </w:p>
        </w:tc>
        <w:tc>
          <w:tcPr>
            <w:tcW w:w="549" w:type="pct"/>
            <w:tcBorders>
              <w:top w:val="single" w:color="auto" w:sz="4" w:space="0"/>
              <w:left w:val="single" w:color="auto" w:sz="4" w:space="0"/>
              <w:bottom w:val="single" w:color="auto" w:sz="4" w:space="0"/>
              <w:right w:val="single" w:color="auto" w:sz="4" w:space="0"/>
            </w:tcBorders>
            <w:noWrap/>
            <w:vAlign w:val="center"/>
          </w:tcPr>
          <w:p w14:paraId="79511730">
            <w:pPr>
              <w:spacing w:line="360" w:lineRule="exact"/>
              <w:jc w:val="center"/>
              <w:rPr>
                <w:rFonts w:cs="Calibri"/>
                <w:color w:val="auto"/>
                <w:sz w:val="24"/>
                <w:szCs w:val="24"/>
                <w:highlight w:val="none"/>
              </w:rPr>
            </w:pPr>
            <w:r>
              <w:rPr>
                <w:rFonts w:hint="eastAsia" w:cs="Calibri"/>
                <w:color w:val="auto"/>
                <w:sz w:val="24"/>
                <w:szCs w:val="24"/>
                <w:highlight w:val="none"/>
              </w:rPr>
              <w:t>客观分</w:t>
            </w:r>
          </w:p>
        </w:tc>
      </w:tr>
      <w:tr w14:paraId="595B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 w:type="pct"/>
            <w:vMerge w:val="continue"/>
            <w:tcBorders>
              <w:top w:val="single" w:color="auto" w:sz="4" w:space="0"/>
              <w:left w:val="single" w:color="auto" w:sz="4" w:space="0"/>
              <w:bottom w:val="single" w:color="auto" w:sz="4" w:space="0"/>
              <w:right w:val="single" w:color="auto" w:sz="4" w:space="0"/>
            </w:tcBorders>
            <w:noWrap/>
            <w:vAlign w:val="center"/>
          </w:tcPr>
          <w:p w14:paraId="2EBB184E">
            <w:pPr>
              <w:widowControl/>
              <w:spacing w:line="360" w:lineRule="exact"/>
              <w:jc w:val="left"/>
              <w:rPr>
                <w:rFonts w:cs="Calibri"/>
                <w:color w:val="auto"/>
                <w:sz w:val="24"/>
                <w:szCs w:val="24"/>
                <w:highlight w:val="none"/>
              </w:rPr>
            </w:pPr>
          </w:p>
        </w:tc>
        <w:tc>
          <w:tcPr>
            <w:tcW w:w="4125" w:type="pct"/>
            <w:tcBorders>
              <w:top w:val="single" w:color="auto" w:sz="4" w:space="0"/>
              <w:left w:val="single" w:color="auto" w:sz="4" w:space="0"/>
              <w:bottom w:val="single" w:color="auto" w:sz="4" w:space="0"/>
              <w:right w:val="single" w:color="auto" w:sz="4" w:space="0"/>
            </w:tcBorders>
            <w:noWrap/>
            <w:vAlign w:val="center"/>
          </w:tcPr>
          <w:p w14:paraId="03675F4D">
            <w:pPr>
              <w:spacing w:line="360" w:lineRule="exact"/>
              <w:rPr>
                <w:rFonts w:hAnsi="宋体" w:cs="Calibri"/>
                <w:color w:val="auto"/>
                <w:sz w:val="24"/>
                <w:szCs w:val="24"/>
                <w:highlight w:val="none"/>
              </w:rPr>
            </w:pPr>
            <w:r>
              <w:rPr>
                <w:rFonts w:hint="eastAsia" w:hAnsi="宋体" w:cs="Calibri"/>
                <w:color w:val="auto"/>
                <w:sz w:val="24"/>
                <w:szCs w:val="24"/>
                <w:highlight w:val="none"/>
              </w:rPr>
              <w:t>7、同类案例（</w:t>
            </w:r>
            <w:r>
              <w:rPr>
                <w:rFonts w:hint="eastAsia" w:cs="Calibri"/>
                <w:color w:val="auto"/>
                <w:sz w:val="24"/>
                <w:szCs w:val="24"/>
                <w:highlight w:val="none"/>
              </w:rPr>
              <w:t>3</w:t>
            </w:r>
            <w:r>
              <w:rPr>
                <w:rFonts w:hint="eastAsia" w:hAnsi="宋体" w:cs="Calibri"/>
                <w:color w:val="auto"/>
                <w:sz w:val="24"/>
                <w:szCs w:val="24"/>
                <w:highlight w:val="none"/>
              </w:rPr>
              <w:t>分）</w:t>
            </w:r>
          </w:p>
          <w:p w14:paraId="5EE9C9AE">
            <w:pPr>
              <w:spacing w:line="360" w:lineRule="exact"/>
              <w:rPr>
                <w:rFonts w:cs="Calibri"/>
                <w:color w:val="auto"/>
                <w:sz w:val="24"/>
                <w:szCs w:val="24"/>
                <w:highlight w:val="none"/>
              </w:rPr>
            </w:pPr>
            <w:r>
              <w:rPr>
                <w:rFonts w:hint="eastAsia" w:hAnsi="宋体" w:cs="Calibri"/>
                <w:color w:val="auto"/>
                <w:sz w:val="24"/>
                <w:szCs w:val="24"/>
                <w:highlight w:val="none"/>
              </w:rPr>
              <w:t>提供合同复印件，每份合同得</w:t>
            </w:r>
            <w:r>
              <w:rPr>
                <w:rFonts w:cs="Calibri"/>
                <w:color w:val="auto"/>
                <w:sz w:val="24"/>
                <w:szCs w:val="24"/>
                <w:highlight w:val="none"/>
              </w:rPr>
              <w:t>1</w:t>
            </w:r>
            <w:r>
              <w:rPr>
                <w:rFonts w:hint="eastAsia" w:hAnsi="宋体" w:cs="Calibri"/>
                <w:color w:val="auto"/>
                <w:sz w:val="24"/>
                <w:szCs w:val="24"/>
                <w:highlight w:val="none"/>
              </w:rPr>
              <w:t>分，最高</w:t>
            </w:r>
            <w:r>
              <w:rPr>
                <w:rFonts w:hint="eastAsia" w:cs="Calibri"/>
                <w:color w:val="auto"/>
                <w:sz w:val="24"/>
                <w:szCs w:val="24"/>
                <w:highlight w:val="none"/>
              </w:rPr>
              <w:t>3</w:t>
            </w:r>
            <w:r>
              <w:rPr>
                <w:rFonts w:hint="eastAsia" w:hAnsi="宋体" w:cs="Calibri"/>
                <w:color w:val="auto"/>
                <w:sz w:val="24"/>
                <w:szCs w:val="24"/>
                <w:highlight w:val="none"/>
              </w:rPr>
              <w:t>分。</w:t>
            </w:r>
          </w:p>
          <w:p w14:paraId="3B78A4DC">
            <w:pPr>
              <w:spacing w:line="360" w:lineRule="exact"/>
              <w:rPr>
                <w:rFonts w:hAnsi="宋体" w:cs="Calibri"/>
                <w:color w:val="auto"/>
                <w:sz w:val="24"/>
                <w:szCs w:val="24"/>
                <w:highlight w:val="none"/>
              </w:rPr>
            </w:pPr>
            <w:r>
              <w:rPr>
                <w:rFonts w:hint="eastAsia" w:hAnsi="宋体" w:cs="Calibri"/>
                <w:color w:val="auto"/>
                <w:sz w:val="24"/>
                <w:szCs w:val="24"/>
                <w:highlight w:val="none"/>
              </w:rPr>
              <w:t>（合同签订时间为</w:t>
            </w:r>
            <w:r>
              <w:rPr>
                <w:rFonts w:cs="Calibri"/>
                <w:color w:val="auto"/>
                <w:sz w:val="24"/>
                <w:szCs w:val="24"/>
                <w:highlight w:val="none"/>
              </w:rPr>
              <w:t>20</w:t>
            </w:r>
            <w:r>
              <w:rPr>
                <w:rFonts w:hint="eastAsia" w:cs="Calibri"/>
                <w:color w:val="auto"/>
                <w:sz w:val="24"/>
                <w:szCs w:val="24"/>
                <w:highlight w:val="none"/>
              </w:rPr>
              <w:t>22</w:t>
            </w:r>
            <w:r>
              <w:rPr>
                <w:rFonts w:hint="eastAsia" w:hAnsi="宋体" w:cs="Calibri"/>
                <w:color w:val="auto"/>
                <w:sz w:val="24"/>
                <w:szCs w:val="24"/>
                <w:highlight w:val="none"/>
              </w:rPr>
              <w:t>年</w:t>
            </w:r>
            <w:r>
              <w:rPr>
                <w:rFonts w:cs="Calibri"/>
                <w:color w:val="auto"/>
                <w:sz w:val="24"/>
                <w:szCs w:val="24"/>
                <w:highlight w:val="none"/>
              </w:rPr>
              <w:t>1</w:t>
            </w:r>
            <w:r>
              <w:rPr>
                <w:rFonts w:hint="eastAsia" w:hAnsi="宋体" w:cs="Calibri"/>
                <w:color w:val="auto"/>
                <w:sz w:val="24"/>
                <w:szCs w:val="24"/>
                <w:highlight w:val="none"/>
              </w:rPr>
              <w:t>月</w:t>
            </w:r>
            <w:r>
              <w:rPr>
                <w:rFonts w:cs="Calibri"/>
                <w:color w:val="auto"/>
                <w:sz w:val="24"/>
                <w:szCs w:val="24"/>
                <w:highlight w:val="none"/>
              </w:rPr>
              <w:t>1</w:t>
            </w:r>
            <w:r>
              <w:rPr>
                <w:rFonts w:hint="eastAsia" w:hAnsi="宋体" w:cs="Calibri"/>
                <w:color w:val="auto"/>
                <w:sz w:val="24"/>
                <w:szCs w:val="24"/>
                <w:highlight w:val="none"/>
              </w:rPr>
              <w:t>日之后，要求合同内容包含与投标产品一致的产品，不要求合同供货单位与投标人一致）。</w:t>
            </w:r>
          </w:p>
        </w:tc>
        <w:tc>
          <w:tcPr>
            <w:tcW w:w="549" w:type="pct"/>
            <w:tcBorders>
              <w:top w:val="single" w:color="auto" w:sz="4" w:space="0"/>
              <w:left w:val="single" w:color="auto" w:sz="4" w:space="0"/>
              <w:bottom w:val="single" w:color="auto" w:sz="4" w:space="0"/>
              <w:right w:val="single" w:color="auto" w:sz="4" w:space="0"/>
            </w:tcBorders>
            <w:noWrap/>
            <w:vAlign w:val="center"/>
          </w:tcPr>
          <w:p w14:paraId="4A4719B4">
            <w:pPr>
              <w:spacing w:line="360" w:lineRule="exact"/>
              <w:jc w:val="center"/>
              <w:rPr>
                <w:rFonts w:cs="Calibri"/>
                <w:color w:val="auto"/>
                <w:sz w:val="24"/>
                <w:szCs w:val="24"/>
                <w:highlight w:val="none"/>
              </w:rPr>
            </w:pPr>
            <w:r>
              <w:rPr>
                <w:rFonts w:hint="eastAsia" w:cs="Calibri"/>
                <w:color w:val="auto"/>
                <w:sz w:val="24"/>
                <w:szCs w:val="24"/>
                <w:highlight w:val="none"/>
              </w:rPr>
              <w:t>客观分</w:t>
            </w:r>
          </w:p>
        </w:tc>
      </w:tr>
      <w:tr w14:paraId="4803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 w:type="pct"/>
            <w:vMerge w:val="continue"/>
            <w:tcBorders>
              <w:top w:val="single" w:color="auto" w:sz="4" w:space="0"/>
              <w:left w:val="single" w:color="auto" w:sz="4" w:space="0"/>
              <w:bottom w:val="single" w:color="auto" w:sz="4" w:space="0"/>
              <w:right w:val="single" w:color="auto" w:sz="4" w:space="0"/>
            </w:tcBorders>
            <w:noWrap/>
            <w:vAlign w:val="center"/>
          </w:tcPr>
          <w:p w14:paraId="6AA1F5A8">
            <w:pPr>
              <w:widowControl/>
              <w:spacing w:line="360" w:lineRule="exact"/>
              <w:jc w:val="left"/>
              <w:rPr>
                <w:rFonts w:cs="Calibri"/>
                <w:color w:val="auto"/>
                <w:sz w:val="24"/>
                <w:szCs w:val="24"/>
                <w:highlight w:val="none"/>
              </w:rPr>
            </w:pPr>
          </w:p>
        </w:tc>
        <w:tc>
          <w:tcPr>
            <w:tcW w:w="4125" w:type="pct"/>
            <w:tcBorders>
              <w:top w:val="single" w:color="auto" w:sz="4" w:space="0"/>
              <w:left w:val="single" w:color="auto" w:sz="4" w:space="0"/>
              <w:bottom w:val="single" w:color="auto" w:sz="4" w:space="0"/>
              <w:right w:val="single" w:color="auto" w:sz="4" w:space="0"/>
            </w:tcBorders>
            <w:noWrap/>
            <w:vAlign w:val="center"/>
          </w:tcPr>
          <w:p w14:paraId="71547CB9">
            <w:pPr>
              <w:spacing w:line="360" w:lineRule="exact"/>
              <w:rPr>
                <w:rFonts w:cs="Calibri"/>
                <w:color w:val="auto"/>
                <w:sz w:val="24"/>
                <w:szCs w:val="24"/>
                <w:highlight w:val="none"/>
              </w:rPr>
            </w:pPr>
            <w:r>
              <w:rPr>
                <w:rFonts w:hint="eastAsia" w:hAnsi="宋体" w:cs="Calibri"/>
                <w:color w:val="auto"/>
                <w:sz w:val="24"/>
                <w:szCs w:val="24"/>
                <w:highlight w:val="none"/>
              </w:rPr>
              <w:t>8、政策性加分（</w:t>
            </w:r>
            <w:r>
              <w:rPr>
                <w:rFonts w:hint="eastAsia" w:cs="Calibri"/>
                <w:color w:val="auto"/>
                <w:sz w:val="24"/>
                <w:szCs w:val="24"/>
                <w:highlight w:val="none"/>
              </w:rPr>
              <w:t>1</w:t>
            </w:r>
            <w:r>
              <w:rPr>
                <w:rFonts w:hint="eastAsia" w:hAnsi="宋体" w:cs="Calibri"/>
                <w:color w:val="auto"/>
                <w:sz w:val="24"/>
                <w:szCs w:val="24"/>
                <w:highlight w:val="none"/>
              </w:rPr>
              <w:t>分）</w:t>
            </w:r>
          </w:p>
          <w:p w14:paraId="51DB3E22">
            <w:pPr>
              <w:spacing w:line="360" w:lineRule="exact"/>
              <w:rPr>
                <w:rFonts w:cs="Calibri"/>
                <w:color w:val="auto"/>
                <w:sz w:val="24"/>
                <w:szCs w:val="24"/>
                <w:highlight w:val="none"/>
              </w:rPr>
            </w:pPr>
            <w:r>
              <w:rPr>
                <w:rFonts w:hint="eastAsia" w:hAnsi="宋体" w:cs="Calibri"/>
                <w:color w:val="auto"/>
                <w:sz w:val="24"/>
                <w:szCs w:val="24"/>
                <w:highlight w:val="none"/>
              </w:rPr>
              <w:t>投标产品为节能产品的，提供有效期内节能产品认证证书的加</w:t>
            </w:r>
            <w:r>
              <w:rPr>
                <w:rFonts w:hint="eastAsia" w:cs="Calibri"/>
                <w:color w:val="auto"/>
                <w:sz w:val="24"/>
                <w:szCs w:val="24"/>
                <w:highlight w:val="none"/>
              </w:rPr>
              <w:t>0.5</w:t>
            </w:r>
            <w:r>
              <w:rPr>
                <w:rFonts w:hint="eastAsia" w:hAnsi="宋体" w:cs="Calibri"/>
                <w:color w:val="auto"/>
                <w:sz w:val="24"/>
                <w:szCs w:val="24"/>
                <w:highlight w:val="none"/>
              </w:rPr>
              <w:t>分。</w:t>
            </w:r>
          </w:p>
          <w:p w14:paraId="515A7DB8">
            <w:pPr>
              <w:spacing w:line="360" w:lineRule="exact"/>
              <w:rPr>
                <w:rFonts w:cs="Calibri"/>
                <w:color w:val="auto"/>
                <w:sz w:val="24"/>
                <w:szCs w:val="24"/>
                <w:highlight w:val="none"/>
              </w:rPr>
            </w:pPr>
            <w:r>
              <w:rPr>
                <w:rFonts w:hint="eastAsia" w:hAnsi="宋体" w:cs="Calibri"/>
                <w:color w:val="auto"/>
                <w:sz w:val="24"/>
                <w:szCs w:val="24"/>
                <w:highlight w:val="none"/>
              </w:rPr>
              <w:t>投标产品为环境标志产品的，提供有效期内环境标志产品认证证书的加</w:t>
            </w:r>
            <w:r>
              <w:rPr>
                <w:rFonts w:hint="eastAsia" w:cs="Calibri"/>
                <w:color w:val="auto"/>
                <w:sz w:val="24"/>
                <w:szCs w:val="24"/>
                <w:highlight w:val="none"/>
              </w:rPr>
              <w:t>0.5</w:t>
            </w:r>
            <w:r>
              <w:rPr>
                <w:rFonts w:hint="eastAsia" w:hAnsi="宋体" w:cs="Calibri"/>
                <w:color w:val="auto"/>
                <w:sz w:val="24"/>
                <w:szCs w:val="24"/>
                <w:highlight w:val="none"/>
              </w:rPr>
              <w:t>分。</w:t>
            </w:r>
          </w:p>
          <w:p w14:paraId="662E836F">
            <w:pPr>
              <w:spacing w:line="360" w:lineRule="exact"/>
              <w:rPr>
                <w:rFonts w:cs="Calibri"/>
                <w:color w:val="auto"/>
                <w:sz w:val="24"/>
                <w:szCs w:val="24"/>
                <w:highlight w:val="none"/>
              </w:rPr>
            </w:pPr>
            <w:r>
              <w:rPr>
                <w:rFonts w:hint="eastAsia" w:hAnsi="宋体" w:cs="Calibri"/>
                <w:color w:val="auto"/>
                <w:sz w:val="24"/>
                <w:szCs w:val="24"/>
                <w:highlight w:val="none"/>
              </w:rPr>
              <w:t>提供证明文件复印件并加盖公章。</w:t>
            </w:r>
          </w:p>
        </w:tc>
        <w:tc>
          <w:tcPr>
            <w:tcW w:w="549" w:type="pct"/>
            <w:tcBorders>
              <w:top w:val="single" w:color="auto" w:sz="4" w:space="0"/>
              <w:left w:val="single" w:color="auto" w:sz="4" w:space="0"/>
              <w:bottom w:val="single" w:color="auto" w:sz="4" w:space="0"/>
              <w:right w:val="single" w:color="auto" w:sz="4" w:space="0"/>
            </w:tcBorders>
            <w:noWrap/>
            <w:vAlign w:val="center"/>
          </w:tcPr>
          <w:p w14:paraId="446B2529">
            <w:pPr>
              <w:spacing w:line="360" w:lineRule="exact"/>
              <w:jc w:val="center"/>
              <w:rPr>
                <w:rFonts w:cs="Calibri"/>
                <w:color w:val="auto"/>
                <w:sz w:val="24"/>
                <w:szCs w:val="24"/>
                <w:highlight w:val="none"/>
              </w:rPr>
            </w:pPr>
            <w:r>
              <w:rPr>
                <w:rFonts w:hint="eastAsia" w:cs="Calibri"/>
                <w:color w:val="auto"/>
                <w:sz w:val="24"/>
                <w:szCs w:val="24"/>
                <w:highlight w:val="none"/>
              </w:rPr>
              <w:t>客观分</w:t>
            </w:r>
          </w:p>
        </w:tc>
      </w:tr>
      <w:tr w14:paraId="79F1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 w:type="pct"/>
            <w:tcBorders>
              <w:top w:val="single" w:color="auto" w:sz="4" w:space="0"/>
              <w:left w:val="single" w:color="auto" w:sz="4" w:space="0"/>
              <w:bottom w:val="single" w:color="auto" w:sz="4" w:space="0"/>
              <w:right w:val="single" w:color="auto" w:sz="4" w:space="0"/>
            </w:tcBorders>
            <w:noWrap/>
            <w:vAlign w:val="center"/>
          </w:tcPr>
          <w:p w14:paraId="2CC83639">
            <w:pPr>
              <w:spacing w:line="360" w:lineRule="exact"/>
              <w:jc w:val="center"/>
              <w:rPr>
                <w:rFonts w:cs="Calibri"/>
                <w:color w:val="auto"/>
                <w:sz w:val="24"/>
                <w:szCs w:val="24"/>
                <w:highlight w:val="none"/>
              </w:rPr>
            </w:pPr>
            <w:r>
              <w:rPr>
                <w:rFonts w:hint="eastAsia" w:hAnsi="宋体" w:cs="Calibri"/>
                <w:color w:val="auto"/>
                <w:sz w:val="24"/>
                <w:szCs w:val="24"/>
                <w:highlight w:val="none"/>
              </w:rPr>
              <w:t>价格</w:t>
            </w:r>
            <w:r>
              <w:rPr>
                <w:rFonts w:hint="eastAsia" w:cs="Calibri"/>
                <w:color w:val="auto"/>
                <w:sz w:val="24"/>
                <w:szCs w:val="24"/>
                <w:highlight w:val="none"/>
              </w:rPr>
              <w:t>30</w:t>
            </w:r>
            <w:r>
              <w:rPr>
                <w:rFonts w:hint="eastAsia" w:hAnsi="宋体" w:cs="Calibri"/>
                <w:color w:val="auto"/>
                <w:sz w:val="24"/>
                <w:szCs w:val="24"/>
                <w:highlight w:val="none"/>
              </w:rPr>
              <w:t>分</w:t>
            </w:r>
          </w:p>
        </w:tc>
        <w:tc>
          <w:tcPr>
            <w:tcW w:w="4125" w:type="pct"/>
            <w:tcBorders>
              <w:top w:val="single" w:color="auto" w:sz="4" w:space="0"/>
              <w:left w:val="single" w:color="auto" w:sz="4" w:space="0"/>
              <w:bottom w:val="single" w:color="auto" w:sz="4" w:space="0"/>
              <w:right w:val="single" w:color="auto" w:sz="4" w:space="0"/>
            </w:tcBorders>
            <w:noWrap/>
            <w:vAlign w:val="center"/>
          </w:tcPr>
          <w:p w14:paraId="6C581D0E">
            <w:pPr>
              <w:spacing w:line="360" w:lineRule="exact"/>
              <w:rPr>
                <w:rFonts w:cs="Calibri"/>
                <w:color w:val="auto"/>
                <w:sz w:val="24"/>
                <w:szCs w:val="24"/>
                <w:highlight w:val="none"/>
              </w:rPr>
            </w:pPr>
            <w:r>
              <w:rPr>
                <w:rFonts w:hint="eastAsia" w:hAnsi="宋体" w:cs="Calibri"/>
                <w:color w:val="auto"/>
                <w:sz w:val="24"/>
                <w:szCs w:val="24"/>
                <w:highlight w:val="none"/>
              </w:rPr>
              <w:t>满足招标文件要求且最低的参与评审价格为评标基准价，其价格分为满分。</w:t>
            </w:r>
          </w:p>
          <w:p w14:paraId="7088734D">
            <w:pPr>
              <w:spacing w:line="360" w:lineRule="exact"/>
              <w:rPr>
                <w:rFonts w:cs="Calibri"/>
                <w:color w:val="auto"/>
                <w:kern w:val="0"/>
                <w:sz w:val="24"/>
                <w:szCs w:val="24"/>
                <w:highlight w:val="none"/>
                <w:lang w:val="zh-CN"/>
              </w:rPr>
            </w:pPr>
            <w:r>
              <w:rPr>
                <w:rFonts w:hint="eastAsia" w:hAnsi="宋体" w:cs="Calibri"/>
                <w:color w:val="auto"/>
                <w:kern w:val="0"/>
                <w:sz w:val="24"/>
                <w:szCs w:val="24"/>
                <w:highlight w:val="none"/>
                <w:lang w:val="zh-CN"/>
              </w:rPr>
              <w:t>其余投标人价格分为：</w:t>
            </w:r>
          </w:p>
          <w:p w14:paraId="3D249B11">
            <w:pPr>
              <w:spacing w:line="360" w:lineRule="exact"/>
              <w:rPr>
                <w:rFonts w:cs="Calibri"/>
                <w:color w:val="auto"/>
                <w:kern w:val="0"/>
                <w:sz w:val="24"/>
                <w:szCs w:val="24"/>
                <w:highlight w:val="none"/>
              </w:rPr>
            </w:pPr>
            <w:r>
              <w:rPr>
                <w:rFonts w:hint="eastAsia" w:hAnsi="宋体" w:cs="Calibri"/>
                <w:color w:val="auto"/>
                <w:kern w:val="0"/>
                <w:sz w:val="24"/>
                <w:szCs w:val="24"/>
                <w:highlight w:val="none"/>
                <w:lang w:val="zh-CN"/>
              </w:rPr>
              <w:t>报价得分</w:t>
            </w:r>
            <w:r>
              <w:rPr>
                <w:rFonts w:cs="Calibri"/>
                <w:color w:val="auto"/>
                <w:kern w:val="0"/>
                <w:sz w:val="24"/>
                <w:szCs w:val="24"/>
                <w:highlight w:val="none"/>
                <w:lang w:val="zh-CN"/>
              </w:rPr>
              <w:t>=</w:t>
            </w:r>
            <w:r>
              <w:rPr>
                <w:rFonts w:hint="eastAsia" w:hAnsi="宋体" w:cs="Calibri"/>
                <w:color w:val="auto"/>
                <w:kern w:val="0"/>
                <w:sz w:val="24"/>
                <w:szCs w:val="24"/>
                <w:highlight w:val="none"/>
                <w:lang w:val="zh-CN"/>
              </w:rPr>
              <w:t>（评标基准价</w:t>
            </w:r>
            <w:r>
              <w:rPr>
                <w:rFonts w:cs="Calibri"/>
                <w:color w:val="auto"/>
                <w:kern w:val="0"/>
                <w:sz w:val="24"/>
                <w:szCs w:val="24"/>
                <w:highlight w:val="none"/>
                <w:lang w:val="zh-CN"/>
              </w:rPr>
              <w:t>/</w:t>
            </w:r>
            <w:r>
              <w:rPr>
                <w:rFonts w:hint="eastAsia" w:hAnsi="宋体" w:cs="Calibri"/>
                <w:color w:val="auto"/>
                <w:kern w:val="0"/>
                <w:sz w:val="24"/>
                <w:szCs w:val="24"/>
                <w:highlight w:val="none"/>
                <w:lang w:val="zh-CN"/>
              </w:rPr>
              <w:t>参与评审的价格）</w:t>
            </w:r>
            <w:r>
              <w:rPr>
                <w:rFonts w:cs="Calibri"/>
                <w:color w:val="auto"/>
                <w:kern w:val="0"/>
                <w:sz w:val="24"/>
                <w:szCs w:val="24"/>
                <w:highlight w:val="none"/>
                <w:lang w:val="zh-CN"/>
              </w:rPr>
              <w:t>×</w:t>
            </w:r>
            <w:r>
              <w:rPr>
                <w:rFonts w:hint="eastAsia" w:cs="Calibri"/>
                <w:color w:val="auto"/>
                <w:kern w:val="0"/>
                <w:sz w:val="24"/>
                <w:szCs w:val="24"/>
                <w:highlight w:val="none"/>
              </w:rPr>
              <w:t>30</w:t>
            </w:r>
          </w:p>
          <w:p w14:paraId="01F166D3">
            <w:pPr>
              <w:spacing w:line="360" w:lineRule="exact"/>
              <w:rPr>
                <w:rFonts w:cs="Calibri"/>
                <w:color w:val="auto"/>
                <w:kern w:val="0"/>
                <w:sz w:val="24"/>
                <w:szCs w:val="24"/>
                <w:highlight w:val="none"/>
                <w:lang w:val="zh-CN"/>
              </w:rPr>
            </w:pPr>
            <w:r>
              <w:rPr>
                <w:rFonts w:hint="eastAsia" w:hAnsi="宋体" w:cs="Calibri"/>
                <w:color w:val="auto"/>
                <w:kern w:val="0"/>
                <w:sz w:val="24"/>
                <w:szCs w:val="24"/>
                <w:highlight w:val="none"/>
                <w:lang w:val="zh-CN"/>
              </w:rPr>
              <w:t>参与评审的价格</w:t>
            </w:r>
            <w:r>
              <w:rPr>
                <w:rFonts w:cs="Calibri"/>
                <w:color w:val="auto"/>
                <w:kern w:val="0"/>
                <w:sz w:val="24"/>
                <w:szCs w:val="24"/>
                <w:highlight w:val="none"/>
                <w:lang w:val="zh-CN"/>
              </w:rPr>
              <w:t>=</w:t>
            </w:r>
            <w:r>
              <w:rPr>
                <w:rFonts w:hint="eastAsia" w:hAnsi="宋体" w:cs="Calibri"/>
                <w:color w:val="auto"/>
                <w:kern w:val="0"/>
                <w:sz w:val="24"/>
                <w:szCs w:val="24"/>
                <w:highlight w:val="none"/>
                <w:lang w:val="zh-CN"/>
              </w:rPr>
              <w:t>投标价格</w:t>
            </w:r>
            <w:r>
              <w:rPr>
                <w:rFonts w:cs="Calibri"/>
                <w:color w:val="auto"/>
                <w:kern w:val="0"/>
                <w:sz w:val="24"/>
                <w:szCs w:val="24"/>
                <w:highlight w:val="none"/>
                <w:lang w:val="zh-CN"/>
              </w:rPr>
              <w:t>×</w:t>
            </w:r>
            <w:r>
              <w:rPr>
                <w:rFonts w:hint="eastAsia" w:hAnsi="宋体" w:cs="Calibri"/>
                <w:color w:val="auto"/>
                <w:kern w:val="0"/>
                <w:sz w:val="24"/>
                <w:szCs w:val="24"/>
                <w:highlight w:val="none"/>
                <w:lang w:val="zh-CN"/>
              </w:rPr>
              <w:t>（</w:t>
            </w:r>
            <w:r>
              <w:rPr>
                <w:rFonts w:cs="Calibri"/>
                <w:color w:val="auto"/>
                <w:kern w:val="0"/>
                <w:sz w:val="24"/>
                <w:szCs w:val="24"/>
                <w:highlight w:val="none"/>
                <w:lang w:val="zh-CN"/>
              </w:rPr>
              <w:t>1-</w:t>
            </w:r>
            <w:r>
              <w:rPr>
                <w:rFonts w:hint="eastAsia" w:hAnsi="宋体" w:cs="Calibri"/>
                <w:color w:val="auto"/>
                <w:kern w:val="0"/>
                <w:sz w:val="24"/>
                <w:szCs w:val="24"/>
                <w:highlight w:val="none"/>
                <w:lang w:val="zh-CN"/>
              </w:rPr>
              <w:t>小微企业价格优惠值</w:t>
            </w:r>
            <w:r>
              <w:rPr>
                <w:rFonts w:hint="eastAsia" w:cs="Calibri"/>
                <w:color w:val="auto"/>
                <w:kern w:val="0"/>
                <w:sz w:val="24"/>
                <w:szCs w:val="24"/>
                <w:highlight w:val="none"/>
              </w:rPr>
              <w:t>10</w:t>
            </w:r>
            <w:r>
              <w:rPr>
                <w:rFonts w:cs="Calibri"/>
                <w:color w:val="auto"/>
                <w:kern w:val="0"/>
                <w:sz w:val="24"/>
                <w:szCs w:val="24"/>
                <w:highlight w:val="none"/>
                <w:lang w:val="zh-CN"/>
              </w:rPr>
              <w:t>%</w:t>
            </w:r>
            <w:r>
              <w:rPr>
                <w:rFonts w:hint="eastAsia" w:hAnsi="宋体" w:cs="Calibri"/>
                <w:color w:val="auto"/>
                <w:kern w:val="0"/>
                <w:sz w:val="24"/>
                <w:szCs w:val="24"/>
                <w:highlight w:val="none"/>
                <w:lang w:val="zh-CN"/>
              </w:rPr>
              <w:t>）</w:t>
            </w:r>
          </w:p>
          <w:p w14:paraId="52F4FD1E">
            <w:pPr>
              <w:spacing w:line="360" w:lineRule="exact"/>
              <w:rPr>
                <w:rFonts w:cs="Calibri"/>
                <w:color w:val="auto"/>
                <w:sz w:val="24"/>
                <w:szCs w:val="24"/>
                <w:highlight w:val="none"/>
              </w:rPr>
            </w:pPr>
            <w:r>
              <w:rPr>
                <w:rFonts w:hint="eastAsia" w:hAnsi="宋体" w:cs="Calibri"/>
                <w:color w:val="auto"/>
                <w:kern w:val="0"/>
                <w:sz w:val="24"/>
                <w:szCs w:val="24"/>
                <w:highlight w:val="none"/>
                <w:lang w:val="zh-CN"/>
              </w:rPr>
              <w:t>投标报价超过采购预算（或最高限价）的投标无效。</w:t>
            </w:r>
          </w:p>
        </w:tc>
        <w:tc>
          <w:tcPr>
            <w:tcW w:w="549" w:type="pct"/>
            <w:tcBorders>
              <w:top w:val="single" w:color="auto" w:sz="4" w:space="0"/>
              <w:left w:val="single" w:color="auto" w:sz="4" w:space="0"/>
              <w:bottom w:val="single" w:color="auto" w:sz="4" w:space="0"/>
              <w:right w:val="single" w:color="auto" w:sz="4" w:space="0"/>
            </w:tcBorders>
            <w:noWrap/>
            <w:vAlign w:val="center"/>
          </w:tcPr>
          <w:p w14:paraId="449B0E7F">
            <w:pPr>
              <w:widowControl/>
              <w:adjustRightInd w:val="0"/>
              <w:snapToGrid w:val="0"/>
              <w:spacing w:line="360" w:lineRule="exact"/>
              <w:jc w:val="center"/>
              <w:rPr>
                <w:rFonts w:cs="Calibri"/>
                <w:color w:val="auto"/>
                <w:sz w:val="24"/>
                <w:szCs w:val="24"/>
                <w:highlight w:val="none"/>
              </w:rPr>
            </w:pPr>
            <w:r>
              <w:rPr>
                <w:rFonts w:hint="eastAsia" w:cs="Calibri"/>
                <w:color w:val="auto"/>
                <w:sz w:val="24"/>
                <w:szCs w:val="24"/>
                <w:highlight w:val="none"/>
              </w:rPr>
              <w:t>客观分</w:t>
            </w:r>
          </w:p>
        </w:tc>
      </w:tr>
      <w:tr w14:paraId="6395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 w:type="pct"/>
            <w:tcBorders>
              <w:top w:val="single" w:color="auto" w:sz="4" w:space="0"/>
              <w:left w:val="single" w:color="auto" w:sz="4" w:space="0"/>
              <w:bottom w:val="single" w:color="auto" w:sz="4" w:space="0"/>
              <w:right w:val="single" w:color="auto" w:sz="4" w:space="0"/>
            </w:tcBorders>
            <w:noWrap/>
            <w:vAlign w:val="center"/>
          </w:tcPr>
          <w:p w14:paraId="5F74297F">
            <w:pPr>
              <w:spacing w:line="360" w:lineRule="exact"/>
              <w:rPr>
                <w:rFonts w:hAnsi="宋体" w:cs="Calibri"/>
                <w:color w:val="auto"/>
                <w:sz w:val="24"/>
                <w:szCs w:val="24"/>
                <w:highlight w:val="none"/>
              </w:rPr>
            </w:pPr>
          </w:p>
        </w:tc>
        <w:tc>
          <w:tcPr>
            <w:tcW w:w="4125" w:type="pct"/>
            <w:tcBorders>
              <w:top w:val="single" w:color="auto" w:sz="4" w:space="0"/>
              <w:left w:val="single" w:color="auto" w:sz="4" w:space="0"/>
              <w:bottom w:val="single" w:color="auto" w:sz="4" w:space="0"/>
              <w:right w:val="single" w:color="auto" w:sz="4" w:space="0"/>
            </w:tcBorders>
            <w:noWrap/>
            <w:vAlign w:val="center"/>
          </w:tcPr>
          <w:p w14:paraId="46C0DD41">
            <w:pPr>
              <w:spacing w:line="360" w:lineRule="exact"/>
              <w:jc w:val="center"/>
              <w:rPr>
                <w:rFonts w:hAnsi="宋体" w:cs="Calibri"/>
                <w:color w:val="auto"/>
                <w:sz w:val="24"/>
                <w:szCs w:val="24"/>
                <w:highlight w:val="none"/>
              </w:rPr>
            </w:pPr>
            <w:r>
              <w:rPr>
                <w:rFonts w:hint="eastAsia" w:hAnsi="宋体" w:cs="Calibri"/>
                <w:color w:val="auto"/>
                <w:sz w:val="24"/>
                <w:szCs w:val="24"/>
                <w:highlight w:val="none"/>
              </w:rPr>
              <w:t>总分（</w:t>
            </w:r>
            <w:r>
              <w:rPr>
                <w:rFonts w:hAnsi="宋体" w:cs="Calibri"/>
                <w:color w:val="auto"/>
                <w:sz w:val="24"/>
                <w:szCs w:val="24"/>
                <w:highlight w:val="none"/>
              </w:rPr>
              <w:t>100</w:t>
            </w:r>
            <w:r>
              <w:rPr>
                <w:rFonts w:hint="eastAsia" w:hAnsi="宋体" w:cs="Calibri"/>
                <w:color w:val="auto"/>
                <w:sz w:val="24"/>
                <w:szCs w:val="24"/>
                <w:highlight w:val="none"/>
              </w:rPr>
              <w:t>分）</w:t>
            </w:r>
          </w:p>
        </w:tc>
        <w:tc>
          <w:tcPr>
            <w:tcW w:w="549" w:type="pct"/>
            <w:tcBorders>
              <w:top w:val="single" w:color="auto" w:sz="4" w:space="0"/>
              <w:left w:val="single" w:color="auto" w:sz="4" w:space="0"/>
              <w:bottom w:val="single" w:color="auto" w:sz="4" w:space="0"/>
              <w:right w:val="single" w:color="auto" w:sz="4" w:space="0"/>
            </w:tcBorders>
            <w:noWrap/>
            <w:vAlign w:val="center"/>
          </w:tcPr>
          <w:p w14:paraId="240FB15E">
            <w:pPr>
              <w:widowControl/>
              <w:adjustRightInd w:val="0"/>
              <w:snapToGrid w:val="0"/>
              <w:spacing w:line="360" w:lineRule="exact"/>
              <w:jc w:val="center"/>
              <w:rPr>
                <w:rFonts w:cs="Calibri"/>
                <w:color w:val="auto"/>
                <w:sz w:val="24"/>
                <w:szCs w:val="24"/>
                <w:highlight w:val="none"/>
              </w:rPr>
            </w:pPr>
          </w:p>
        </w:tc>
      </w:tr>
    </w:tbl>
    <w:p w14:paraId="7C2FA2F7">
      <w:pPr>
        <w:spacing w:line="400" w:lineRule="exact"/>
        <w:rPr>
          <w:rFonts w:ascii="宋体"/>
          <w:color w:val="auto"/>
          <w:sz w:val="24"/>
          <w:szCs w:val="24"/>
          <w:highlight w:val="none"/>
        </w:rPr>
      </w:pPr>
    </w:p>
    <w:p w14:paraId="0A4B2A90">
      <w:pPr>
        <w:spacing w:line="400" w:lineRule="exact"/>
        <w:rPr>
          <w:rFonts w:ascii="宋体"/>
          <w:color w:val="auto"/>
          <w:sz w:val="24"/>
          <w:szCs w:val="24"/>
          <w:highlight w:val="none"/>
        </w:rPr>
      </w:pPr>
      <w:r>
        <w:rPr>
          <w:rFonts w:hint="eastAsia" w:ascii="宋体"/>
          <w:color w:val="auto"/>
          <w:sz w:val="24"/>
          <w:szCs w:val="24"/>
          <w:highlight w:val="none"/>
        </w:rPr>
        <w:t>评委签名：                                  日期：</w:t>
      </w:r>
    </w:p>
    <w:p w14:paraId="10C9B50E">
      <w:pPr>
        <w:spacing w:line="400" w:lineRule="exact"/>
        <w:rPr>
          <w:rFonts w:ascii="宋体"/>
          <w:color w:val="auto"/>
          <w:sz w:val="24"/>
          <w:szCs w:val="24"/>
          <w:highlight w:val="none"/>
        </w:rPr>
      </w:pPr>
    </w:p>
    <w:p w14:paraId="70E4F23C">
      <w:pPr>
        <w:spacing w:line="400" w:lineRule="exact"/>
        <w:rPr>
          <w:rFonts w:ascii="宋体"/>
          <w:color w:val="auto"/>
          <w:sz w:val="24"/>
          <w:szCs w:val="24"/>
          <w:highlight w:val="none"/>
        </w:rPr>
      </w:pPr>
      <w:r>
        <w:rPr>
          <w:rFonts w:hint="eastAsia" w:ascii="宋体"/>
          <w:color w:val="auto"/>
          <w:sz w:val="24"/>
          <w:szCs w:val="24"/>
          <w:highlight w:val="none"/>
        </w:rPr>
        <w:t>打分说明：</w:t>
      </w:r>
    </w:p>
    <w:p w14:paraId="21D6B065">
      <w:pPr>
        <w:spacing w:line="400" w:lineRule="exact"/>
        <w:rPr>
          <w:rFonts w:ascii="宋体"/>
          <w:color w:val="auto"/>
          <w:sz w:val="24"/>
          <w:szCs w:val="24"/>
          <w:highlight w:val="none"/>
        </w:rPr>
      </w:pPr>
      <w:r>
        <w:rPr>
          <w:rFonts w:hint="eastAsia" w:ascii="宋体"/>
          <w:color w:val="auto"/>
          <w:sz w:val="24"/>
          <w:szCs w:val="24"/>
          <w:highlight w:val="none"/>
        </w:rPr>
        <w:t>（1）评委根据评标情况逐栏打分，每栏分值不得超出本栏规定的分值范围，客观分必须统一；</w:t>
      </w:r>
    </w:p>
    <w:p w14:paraId="6C9CE56E">
      <w:pPr>
        <w:spacing w:line="400" w:lineRule="exact"/>
        <w:rPr>
          <w:rFonts w:ascii="宋体"/>
          <w:color w:val="auto"/>
          <w:sz w:val="24"/>
          <w:szCs w:val="24"/>
          <w:highlight w:val="none"/>
        </w:rPr>
      </w:pPr>
      <w:r>
        <w:rPr>
          <w:rFonts w:hint="eastAsia" w:ascii="宋体"/>
          <w:color w:val="auto"/>
          <w:sz w:val="24"/>
          <w:szCs w:val="24"/>
          <w:highlight w:val="none"/>
        </w:rPr>
        <w:t>（2）各评分因素分值精确到小数点后两位。</w:t>
      </w:r>
    </w:p>
    <w:p w14:paraId="48D629C7">
      <w:pPr>
        <w:rPr>
          <w:color w:val="auto"/>
          <w:sz w:val="24"/>
          <w:szCs w:val="24"/>
          <w:highlight w:val="none"/>
        </w:rPr>
      </w:pPr>
      <w:r>
        <w:rPr>
          <w:color w:val="auto"/>
          <w:sz w:val="24"/>
          <w:szCs w:val="24"/>
          <w:highlight w:val="none"/>
        </w:rPr>
        <w:br w:type="page"/>
      </w:r>
    </w:p>
    <w:p w14:paraId="6190C38F">
      <w:pPr>
        <w:jc w:val="center"/>
        <w:outlineLvl w:val="0"/>
        <w:rPr>
          <w:b/>
          <w:color w:val="auto"/>
          <w:sz w:val="36"/>
          <w:szCs w:val="36"/>
          <w:highlight w:val="none"/>
        </w:rPr>
      </w:pPr>
      <w:bookmarkStart w:id="9" w:name="_Toc11753"/>
      <w:bookmarkStart w:id="10" w:name="_Toc50348105"/>
      <w:r>
        <w:rPr>
          <w:b/>
          <w:color w:val="auto"/>
          <w:sz w:val="36"/>
          <w:szCs w:val="36"/>
          <w:highlight w:val="none"/>
        </w:rPr>
        <w:t>第</w:t>
      </w:r>
      <w:r>
        <w:rPr>
          <w:rFonts w:hint="eastAsia"/>
          <w:b/>
          <w:color w:val="auto"/>
          <w:sz w:val="36"/>
          <w:szCs w:val="36"/>
          <w:highlight w:val="none"/>
        </w:rPr>
        <w:t>五</w:t>
      </w:r>
      <w:r>
        <w:rPr>
          <w:b/>
          <w:color w:val="auto"/>
          <w:sz w:val="36"/>
          <w:szCs w:val="36"/>
          <w:highlight w:val="none"/>
        </w:rPr>
        <w:t xml:space="preserve">部分  </w:t>
      </w:r>
      <w:r>
        <w:rPr>
          <w:rFonts w:hint="eastAsia"/>
          <w:b/>
          <w:color w:val="auto"/>
          <w:sz w:val="36"/>
          <w:szCs w:val="36"/>
          <w:highlight w:val="none"/>
        </w:rPr>
        <w:t>合同条款及合同格式</w:t>
      </w:r>
      <w:bookmarkEnd w:id="9"/>
    </w:p>
    <w:p w14:paraId="490BA520">
      <w:pPr>
        <w:spacing w:line="400" w:lineRule="exact"/>
        <w:ind w:firstLine="181" w:firstLineChars="50"/>
        <w:jc w:val="center"/>
        <w:rPr>
          <w:b/>
          <w:color w:val="auto"/>
          <w:sz w:val="36"/>
          <w:szCs w:val="36"/>
          <w:highlight w:val="none"/>
        </w:rPr>
      </w:pPr>
    </w:p>
    <w:p w14:paraId="7964334E">
      <w:pPr>
        <w:spacing w:line="400" w:lineRule="exact"/>
        <w:ind w:firstLine="181" w:firstLineChars="50"/>
        <w:jc w:val="center"/>
        <w:rPr>
          <w:b/>
          <w:color w:val="auto"/>
          <w:sz w:val="36"/>
          <w:szCs w:val="36"/>
          <w:highlight w:val="none"/>
        </w:rPr>
      </w:pPr>
    </w:p>
    <w:p w14:paraId="5314765F">
      <w:pPr>
        <w:pStyle w:val="28"/>
        <w:ind w:firstLine="480"/>
        <w:rPr>
          <w:color w:val="auto"/>
          <w:highlight w:val="none"/>
        </w:rPr>
      </w:pPr>
    </w:p>
    <w:p w14:paraId="01392109">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合同编号：</w:t>
      </w:r>
    </w:p>
    <w:p w14:paraId="64D89C8B">
      <w:pPr>
        <w:spacing w:line="360" w:lineRule="auto"/>
        <w:jc w:val="center"/>
        <w:rPr>
          <w:rFonts w:ascii="宋体" w:hAnsi="宋体" w:cs="宋体"/>
          <w:b/>
          <w:color w:val="auto"/>
          <w:sz w:val="36"/>
          <w:szCs w:val="36"/>
          <w:highlight w:val="none"/>
        </w:rPr>
      </w:pPr>
    </w:p>
    <w:p w14:paraId="5F2C0328">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政府采购合同文本</w:t>
      </w:r>
    </w:p>
    <w:p w14:paraId="288C0C1D">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63BBC0F7">
      <w:pPr>
        <w:pStyle w:val="102"/>
        <w:autoSpaceDE/>
        <w:autoSpaceDN/>
        <w:ind w:left="0" w:leftChars="0" w:firstLine="0" w:firstLineChars="0"/>
        <w:rPr>
          <w:rFonts w:ascii="宋体" w:hAnsi="宋体" w:cs="宋体"/>
          <w:color w:val="auto"/>
          <w:szCs w:val="24"/>
          <w:highlight w:val="none"/>
        </w:rPr>
      </w:pPr>
    </w:p>
    <w:p w14:paraId="32FB9781">
      <w:pPr>
        <w:pStyle w:val="102"/>
        <w:autoSpaceDE/>
        <w:autoSpaceDN/>
        <w:rPr>
          <w:rFonts w:ascii="宋体" w:hAnsi="宋体" w:cs="宋体"/>
          <w:color w:val="auto"/>
          <w:szCs w:val="24"/>
          <w:highlight w:val="none"/>
        </w:rPr>
      </w:pPr>
    </w:p>
    <w:p w14:paraId="02EF3097">
      <w:pPr>
        <w:spacing w:before="120" w:line="360" w:lineRule="auto"/>
        <w:rPr>
          <w:rFonts w:ascii="宋体" w:hAnsi="宋体" w:cs="宋体"/>
          <w:color w:val="auto"/>
          <w:sz w:val="24"/>
          <w:szCs w:val="24"/>
          <w:highlight w:val="none"/>
        </w:rPr>
      </w:pPr>
    </w:p>
    <w:p w14:paraId="779A33AD">
      <w:pPr>
        <w:spacing w:before="120"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宁波大学附属人民医院采购医疗设备项目 </w:t>
      </w:r>
    </w:p>
    <w:p w14:paraId="5A2028BF">
      <w:pPr>
        <w:pStyle w:val="103"/>
        <w:spacing w:before="120"/>
        <w:rPr>
          <w:rFonts w:ascii="宋体" w:hAnsi="宋体" w:eastAsia="宋体" w:cs="宋体"/>
          <w:color w:val="auto"/>
          <w:szCs w:val="24"/>
          <w:highlight w:val="none"/>
        </w:rPr>
      </w:pPr>
    </w:p>
    <w:p w14:paraId="14FE425E">
      <w:pPr>
        <w:pStyle w:val="103"/>
        <w:spacing w:before="120"/>
        <w:rPr>
          <w:rFonts w:ascii="宋体" w:hAnsi="宋体" w:eastAsia="宋体" w:cs="宋体"/>
          <w:color w:val="auto"/>
          <w:szCs w:val="24"/>
          <w:highlight w:val="none"/>
        </w:rPr>
      </w:pPr>
    </w:p>
    <w:p w14:paraId="3291A0DE">
      <w:pPr>
        <w:spacing w:line="360" w:lineRule="auto"/>
        <w:rPr>
          <w:rFonts w:ascii="宋体" w:hAnsi="宋体" w:cs="宋体"/>
          <w:color w:val="auto"/>
          <w:sz w:val="24"/>
          <w:szCs w:val="24"/>
          <w:highlight w:val="none"/>
        </w:rPr>
      </w:pPr>
    </w:p>
    <w:p w14:paraId="555AC895">
      <w:pPr>
        <w:spacing w:before="120" w:line="480" w:lineRule="auto"/>
        <w:ind w:left="960"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甲方：</w:t>
      </w:r>
      <w:r>
        <w:rPr>
          <w:rFonts w:hint="eastAsia" w:ascii="宋体" w:hAnsi="宋体" w:cs="宋体"/>
          <w:color w:val="auto"/>
          <w:sz w:val="24"/>
          <w:szCs w:val="24"/>
          <w:highlight w:val="none"/>
          <w:u w:val="single"/>
        </w:rPr>
        <w:t>宁波大学附属人民医院</w:t>
      </w:r>
    </w:p>
    <w:p w14:paraId="69D5CE05">
      <w:pPr>
        <w:spacing w:before="120" w:line="480" w:lineRule="auto"/>
        <w:ind w:left="960"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乙方：</w:t>
      </w:r>
    </w:p>
    <w:p w14:paraId="7F731BF6">
      <w:pPr>
        <w:spacing w:before="120" w:line="480" w:lineRule="auto"/>
        <w:ind w:firstLine="1680" w:firstLineChars="700"/>
        <w:rPr>
          <w:rFonts w:ascii="宋体" w:hAnsi="宋体" w:cs="宋体"/>
          <w:color w:val="auto"/>
          <w:sz w:val="24"/>
          <w:szCs w:val="24"/>
          <w:highlight w:val="none"/>
        </w:rPr>
      </w:pPr>
      <w:r>
        <w:rPr>
          <w:rFonts w:hint="eastAsia" w:ascii="宋体" w:hAnsi="宋体" w:cs="宋体"/>
          <w:color w:val="auto"/>
          <w:sz w:val="24"/>
          <w:szCs w:val="24"/>
          <w:highlight w:val="none"/>
        </w:rPr>
        <w:t>签订地：</w:t>
      </w:r>
    </w:p>
    <w:p w14:paraId="195AA983">
      <w:pPr>
        <w:spacing w:before="120" w:line="480" w:lineRule="auto"/>
        <w:ind w:firstLine="1680" w:firstLineChars="700"/>
        <w:rPr>
          <w:rFonts w:ascii="宋体" w:hAnsi="宋体" w:cs="宋体"/>
          <w:color w:val="auto"/>
          <w:sz w:val="24"/>
          <w:szCs w:val="24"/>
          <w:highlight w:val="none"/>
        </w:rPr>
      </w:pPr>
      <w:r>
        <w:rPr>
          <w:rFonts w:hint="eastAsia" w:ascii="宋体" w:hAnsi="宋体" w:cs="宋体"/>
          <w:color w:val="auto"/>
          <w:sz w:val="24"/>
          <w:szCs w:val="24"/>
          <w:highlight w:val="none"/>
        </w:rPr>
        <w:t>签订日期：年月日</w:t>
      </w:r>
    </w:p>
    <w:p w14:paraId="6CA35D68">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u w:val="single"/>
          <w:lang w:val="zh-CN"/>
        </w:rPr>
        <w:br w:type="page"/>
      </w:r>
      <w:r>
        <w:rPr>
          <w:rFonts w:hint="eastAsia" w:ascii="宋体" w:hAnsi="宋体" w:cs="宋体"/>
          <w:color w:val="auto"/>
          <w:sz w:val="24"/>
          <w:szCs w:val="24"/>
          <w:highlight w:val="none"/>
          <w:lang w:val="zh-CN"/>
        </w:rPr>
        <w:t>年月日，</w:t>
      </w:r>
      <w:r>
        <w:rPr>
          <w:rFonts w:hint="eastAsia" w:ascii="宋体" w:hAnsi="宋体" w:cs="宋体"/>
          <w:color w:val="auto"/>
          <w:sz w:val="24"/>
          <w:szCs w:val="24"/>
          <w:highlight w:val="none"/>
          <w:u w:val="single"/>
          <w:lang w:val="zh-CN"/>
        </w:rPr>
        <w:t xml:space="preserve">   （采购人）   </w:t>
      </w:r>
      <w:r>
        <w:rPr>
          <w:rFonts w:hint="eastAsia" w:ascii="宋体" w:hAnsi="宋体" w:cs="宋体"/>
          <w:color w:val="auto"/>
          <w:sz w:val="24"/>
          <w:szCs w:val="24"/>
          <w:highlight w:val="none"/>
          <w:lang w:val="zh-CN"/>
        </w:rPr>
        <w:t>以</w:t>
      </w:r>
      <w:r>
        <w:rPr>
          <w:rFonts w:hint="eastAsia" w:ascii="宋体" w:hAnsi="宋体" w:cs="宋体"/>
          <w:color w:val="auto"/>
          <w:sz w:val="24"/>
          <w:szCs w:val="24"/>
          <w:highlight w:val="none"/>
          <w:u w:val="single"/>
          <w:lang w:val="zh-CN"/>
        </w:rPr>
        <w:t xml:space="preserve">   （政府采购方式）  </w:t>
      </w:r>
      <w:r>
        <w:rPr>
          <w:rFonts w:hint="eastAsia" w:ascii="宋体" w:hAnsi="宋体" w:cs="宋体"/>
          <w:color w:val="auto"/>
          <w:sz w:val="24"/>
          <w:szCs w:val="24"/>
          <w:highlight w:val="none"/>
          <w:lang w:val="zh-CN"/>
        </w:rPr>
        <w:t>对</w:t>
      </w:r>
      <w:r>
        <w:rPr>
          <w:rFonts w:hint="eastAsia" w:ascii="宋体" w:hAnsi="宋体" w:cs="宋体"/>
          <w:color w:val="auto"/>
          <w:sz w:val="24"/>
          <w:szCs w:val="24"/>
          <w:highlight w:val="none"/>
          <w:u w:val="single"/>
        </w:rPr>
        <w:t>宁波大学附属人民医院采购医疗设备项目</w:t>
      </w:r>
      <w:r>
        <w:rPr>
          <w:rFonts w:hint="eastAsia" w:ascii="宋体" w:hAnsi="宋体" w:cs="宋体"/>
          <w:color w:val="auto"/>
          <w:sz w:val="24"/>
          <w:szCs w:val="24"/>
          <w:highlight w:val="none"/>
          <w:lang w:val="zh-CN"/>
        </w:rPr>
        <w:t>进行了采购。经</w:t>
      </w:r>
      <w:r>
        <w:rPr>
          <w:rFonts w:hint="eastAsia" w:ascii="宋体" w:hAnsi="宋体" w:cs="宋体"/>
          <w:color w:val="auto"/>
          <w:sz w:val="24"/>
          <w:szCs w:val="24"/>
          <w:highlight w:val="none"/>
          <w:u w:val="single"/>
          <w:lang w:val="zh-CN"/>
        </w:rPr>
        <w:t xml:space="preserve">  评标委员会   </w:t>
      </w:r>
      <w:r>
        <w:rPr>
          <w:rFonts w:hint="eastAsia" w:ascii="宋体" w:hAnsi="宋体" w:cs="宋体"/>
          <w:color w:val="auto"/>
          <w:sz w:val="24"/>
          <w:szCs w:val="24"/>
          <w:highlight w:val="none"/>
          <w:lang w:val="zh-CN"/>
        </w:rPr>
        <w:t>评定，</w:t>
      </w:r>
      <w:r>
        <w:rPr>
          <w:rFonts w:hint="eastAsia" w:ascii="宋体" w:hAnsi="宋体" w:cs="宋体"/>
          <w:color w:val="auto"/>
          <w:sz w:val="24"/>
          <w:szCs w:val="24"/>
          <w:highlight w:val="none"/>
          <w:u w:val="single"/>
          <w:lang w:val="zh-CN"/>
        </w:rPr>
        <w:t xml:space="preserve">   （中标供应商名称）</w:t>
      </w:r>
      <w:r>
        <w:rPr>
          <w:rFonts w:hint="eastAsia" w:ascii="宋体" w:hAnsi="宋体" w:cs="宋体"/>
          <w:color w:val="auto"/>
          <w:sz w:val="24"/>
          <w:szCs w:val="24"/>
          <w:highlight w:val="none"/>
          <w:lang w:val="zh-CN"/>
        </w:rPr>
        <w:t>为该项目中标供应商。现于中标通知书发出之日起三十日内，按照招标文件确定的事项签订本合同。</w:t>
      </w:r>
    </w:p>
    <w:p w14:paraId="7360C9F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szCs w:val="24"/>
          <w:highlight w:val="none"/>
          <w:u w:val="single"/>
        </w:rPr>
        <w:t xml:space="preserve">   （采购人）   </w:t>
      </w:r>
      <w:r>
        <w:rPr>
          <w:rFonts w:hint="eastAsia" w:ascii="宋体" w:hAnsi="宋体" w:cs="宋体"/>
          <w:color w:val="auto"/>
          <w:sz w:val="24"/>
          <w:szCs w:val="24"/>
          <w:highlight w:val="none"/>
          <w:lang w:val="zh-CN"/>
        </w:rPr>
        <w:t>(以下简称：甲方)和</w:t>
      </w:r>
      <w:r>
        <w:rPr>
          <w:rFonts w:hint="eastAsia" w:ascii="宋体" w:hAnsi="宋体" w:cs="宋体"/>
          <w:color w:val="auto"/>
          <w:sz w:val="24"/>
          <w:szCs w:val="24"/>
          <w:highlight w:val="none"/>
          <w:u w:val="single"/>
        </w:rPr>
        <w:t xml:space="preserve">   （中标供应商名称）   </w:t>
      </w:r>
      <w:r>
        <w:rPr>
          <w:rFonts w:hint="eastAsia" w:ascii="宋体" w:hAnsi="宋体" w:cs="宋体"/>
          <w:color w:val="auto"/>
          <w:sz w:val="24"/>
          <w:szCs w:val="24"/>
          <w:highlight w:val="none"/>
          <w:lang w:val="zh-CN"/>
        </w:rPr>
        <w:t>(以下简称：乙方)协商一致，约定以下合同</w:t>
      </w:r>
      <w:r>
        <w:rPr>
          <w:rFonts w:hint="eastAsia" w:ascii="宋体" w:hAnsi="宋体" w:cs="宋体"/>
          <w:color w:val="auto"/>
          <w:sz w:val="24"/>
          <w:szCs w:val="24"/>
          <w:highlight w:val="none"/>
        </w:rPr>
        <w:t>条款，以兹共同遵守、全面履行。</w:t>
      </w:r>
    </w:p>
    <w:p w14:paraId="342DA337">
      <w:pPr>
        <w:adjustRightInd w:val="0"/>
        <w:spacing w:line="360" w:lineRule="auto"/>
        <w:ind w:firstLine="482" w:firstLineChars="200"/>
        <w:rPr>
          <w:rFonts w:ascii="宋体" w:hAnsi="宋体" w:cs="宋体"/>
          <w:b/>
          <w:color w:val="auto"/>
          <w:sz w:val="24"/>
          <w:szCs w:val="24"/>
          <w:highlight w:val="none"/>
        </w:rPr>
      </w:pPr>
      <w:bookmarkStart w:id="11" w:name="_Toc3029"/>
      <w:bookmarkStart w:id="12" w:name="_Toc24059"/>
      <w:bookmarkStart w:id="13" w:name="_Toc2232"/>
      <w:r>
        <w:rPr>
          <w:rFonts w:hint="eastAsia" w:ascii="宋体" w:hAnsi="宋体" w:cs="宋体"/>
          <w:b/>
          <w:color w:val="auto"/>
          <w:sz w:val="24"/>
          <w:szCs w:val="24"/>
          <w:highlight w:val="none"/>
        </w:rPr>
        <w:t>1 定义</w:t>
      </w:r>
    </w:p>
    <w:p w14:paraId="2B40BC5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本合同中的下列词语应按以下内容进行解释：</w:t>
      </w:r>
    </w:p>
    <w:p w14:paraId="0A660F1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 “合同”系指采购人和中标供应商签订的载明双方当事人所达成的协议，并包括所有的附件、附录和构成合同的其他文件。</w:t>
      </w:r>
    </w:p>
    <w:p w14:paraId="67F2F71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 “合同价”系指根据合同约定，中标供应商在完全履行合同义务后，采购人应支付给中标供应商的价格。</w:t>
      </w:r>
    </w:p>
    <w:p w14:paraId="4E80556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 “货物”系指中标供应商根据合同约定应向采购人交付的一切各种形态和种类的物品，包括原材料、燃料、设备、机械、仪表、备件、计算机软件、产品等，并包括工具、手册等其他相关资料。</w:t>
      </w:r>
    </w:p>
    <w:p w14:paraId="18A309A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 “甲方”系指与中标供应商签署合同的采购人；采购人委托采购代理机构代表其与乙方签订合同的，采购人的授权委托书作为合同附件。</w:t>
      </w:r>
    </w:p>
    <w:p w14:paraId="10E0136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A715E10">
      <w:pP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1.6 “现场”系指合同约定货物将要运至或者安装的地点。</w:t>
      </w:r>
    </w:p>
    <w:p w14:paraId="1AD0B95E">
      <w:pPr>
        <w:adjustRightIn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 合同组成部分</w:t>
      </w:r>
      <w:bookmarkEnd w:id="11"/>
      <w:bookmarkEnd w:id="12"/>
      <w:bookmarkEnd w:id="13"/>
    </w:p>
    <w:p w14:paraId="3C89632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252AF19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 本合同及其补充合同、变更协议；</w:t>
      </w:r>
    </w:p>
    <w:p w14:paraId="0950B1F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 中标通知书；</w:t>
      </w:r>
    </w:p>
    <w:p w14:paraId="2F72E60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 投标文件（含澄清或者说明文件）；</w:t>
      </w:r>
    </w:p>
    <w:p w14:paraId="06C22FA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 招标文件（含澄清或者修改文件）；</w:t>
      </w:r>
    </w:p>
    <w:p w14:paraId="33316AD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 其他相关招标文件。</w:t>
      </w:r>
    </w:p>
    <w:p w14:paraId="76496525">
      <w:pPr>
        <w:adjustRightInd w:val="0"/>
        <w:spacing w:line="360" w:lineRule="auto"/>
        <w:ind w:firstLine="482" w:firstLineChars="200"/>
        <w:rPr>
          <w:rFonts w:ascii="宋体" w:hAnsi="宋体" w:cs="宋体"/>
          <w:b/>
          <w:color w:val="auto"/>
          <w:sz w:val="24"/>
          <w:szCs w:val="24"/>
          <w:highlight w:val="none"/>
        </w:rPr>
      </w:pPr>
      <w:bookmarkStart w:id="14" w:name="_Toc21295"/>
      <w:bookmarkStart w:id="15" w:name="_Toc27126"/>
      <w:bookmarkStart w:id="16" w:name="_Toc24300"/>
      <w:r>
        <w:rPr>
          <w:rFonts w:hint="eastAsia" w:ascii="宋体" w:hAnsi="宋体" w:cs="宋体"/>
          <w:b/>
          <w:color w:val="auto"/>
          <w:sz w:val="24"/>
          <w:szCs w:val="24"/>
          <w:highlight w:val="none"/>
        </w:rPr>
        <w:t>3 货物</w:t>
      </w:r>
      <w:bookmarkEnd w:id="14"/>
      <w:bookmarkEnd w:id="15"/>
      <w:bookmarkEnd w:id="16"/>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14:paraId="1001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ign w:val="center"/>
          </w:tcPr>
          <w:p w14:paraId="2ED326F8">
            <w:pPr>
              <w:pStyle w:val="104"/>
              <w:spacing w:line="360" w:lineRule="auto"/>
              <w:jc w:val="center"/>
              <w:rPr>
                <w:rFonts w:hAnsi="宋体" w:cs="宋体"/>
                <w:color w:val="auto"/>
                <w:sz w:val="24"/>
                <w:szCs w:val="24"/>
                <w:highlight w:val="none"/>
              </w:rPr>
            </w:pPr>
            <w:r>
              <w:rPr>
                <w:rFonts w:hint="eastAsia" w:hAnsi="宋体" w:cs="宋体"/>
                <w:color w:val="auto"/>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noWrap/>
            <w:vAlign w:val="center"/>
          </w:tcPr>
          <w:p w14:paraId="652E6066">
            <w:pPr>
              <w:pStyle w:val="104"/>
              <w:spacing w:line="360" w:lineRule="auto"/>
              <w:jc w:val="center"/>
              <w:rPr>
                <w:rFonts w:hAnsi="宋体" w:cs="宋体"/>
                <w:color w:val="auto"/>
                <w:sz w:val="24"/>
                <w:szCs w:val="24"/>
                <w:highlight w:val="none"/>
              </w:rPr>
            </w:pPr>
            <w:r>
              <w:rPr>
                <w:rFonts w:hint="eastAsia" w:hAnsi="宋体" w:cs="宋体"/>
                <w:color w:val="auto"/>
                <w:sz w:val="24"/>
                <w:szCs w:val="24"/>
                <w:highlight w:val="none"/>
              </w:rPr>
              <w:t>货物名称</w:t>
            </w:r>
          </w:p>
        </w:tc>
        <w:tc>
          <w:tcPr>
            <w:tcW w:w="925" w:type="dxa"/>
            <w:tcBorders>
              <w:top w:val="single" w:color="auto" w:sz="4" w:space="0"/>
              <w:left w:val="single" w:color="auto" w:sz="4" w:space="0"/>
              <w:bottom w:val="single" w:color="auto" w:sz="4" w:space="0"/>
              <w:right w:val="single" w:color="auto" w:sz="4" w:space="0"/>
            </w:tcBorders>
            <w:noWrap/>
            <w:vAlign w:val="center"/>
          </w:tcPr>
          <w:p w14:paraId="4B9A4E4F">
            <w:pPr>
              <w:pStyle w:val="104"/>
              <w:spacing w:line="360" w:lineRule="auto"/>
              <w:jc w:val="center"/>
              <w:rPr>
                <w:rFonts w:hAnsi="宋体" w:cs="宋体"/>
                <w:color w:val="auto"/>
                <w:sz w:val="24"/>
                <w:szCs w:val="24"/>
                <w:highlight w:val="none"/>
              </w:rPr>
            </w:pPr>
            <w:r>
              <w:rPr>
                <w:rFonts w:hint="eastAsia" w:hAnsi="宋体" w:cs="宋体"/>
                <w:color w:val="auto"/>
                <w:sz w:val="24"/>
                <w:szCs w:val="24"/>
                <w:highlight w:val="none"/>
              </w:rPr>
              <w:t>数量</w:t>
            </w:r>
          </w:p>
        </w:tc>
        <w:tc>
          <w:tcPr>
            <w:tcW w:w="1245" w:type="dxa"/>
            <w:tcBorders>
              <w:top w:val="single" w:color="auto" w:sz="4" w:space="0"/>
              <w:left w:val="single" w:color="auto" w:sz="4" w:space="0"/>
              <w:bottom w:val="single" w:color="auto" w:sz="4" w:space="0"/>
              <w:right w:val="single" w:color="auto" w:sz="4" w:space="0"/>
            </w:tcBorders>
            <w:noWrap/>
            <w:vAlign w:val="center"/>
          </w:tcPr>
          <w:p w14:paraId="6A1A8E06">
            <w:pPr>
              <w:pStyle w:val="104"/>
              <w:spacing w:line="360" w:lineRule="auto"/>
              <w:jc w:val="center"/>
              <w:rPr>
                <w:rFonts w:hAnsi="宋体" w:cs="宋体"/>
                <w:color w:val="auto"/>
                <w:sz w:val="24"/>
                <w:szCs w:val="24"/>
                <w:highlight w:val="none"/>
              </w:rPr>
            </w:pPr>
            <w:r>
              <w:rPr>
                <w:rFonts w:hint="eastAsia" w:hAnsi="宋体" w:cs="宋体"/>
                <w:color w:val="auto"/>
                <w:sz w:val="24"/>
                <w:szCs w:val="24"/>
                <w:highlight w:val="none"/>
              </w:rPr>
              <w:t>品牌名称</w:t>
            </w:r>
          </w:p>
        </w:tc>
        <w:tc>
          <w:tcPr>
            <w:tcW w:w="3461" w:type="dxa"/>
            <w:tcBorders>
              <w:top w:val="single" w:color="auto" w:sz="4" w:space="0"/>
              <w:left w:val="single" w:color="auto" w:sz="4" w:space="0"/>
              <w:bottom w:val="single" w:color="auto" w:sz="4" w:space="0"/>
              <w:right w:val="single" w:color="auto" w:sz="4" w:space="0"/>
            </w:tcBorders>
            <w:noWrap/>
            <w:vAlign w:val="center"/>
          </w:tcPr>
          <w:p w14:paraId="771F83D6">
            <w:pPr>
              <w:pStyle w:val="104"/>
              <w:spacing w:line="360" w:lineRule="auto"/>
              <w:rPr>
                <w:rFonts w:hAnsi="宋体" w:cs="宋体"/>
                <w:color w:val="auto"/>
                <w:sz w:val="24"/>
                <w:szCs w:val="24"/>
                <w:highlight w:val="none"/>
              </w:rPr>
            </w:pPr>
            <w:r>
              <w:rPr>
                <w:rFonts w:hint="eastAsia" w:hAnsi="宋体" w:cs="宋体"/>
                <w:color w:val="auto"/>
                <w:sz w:val="24"/>
                <w:szCs w:val="24"/>
                <w:highlight w:val="none"/>
              </w:rPr>
              <w:t>规格型号/技术要求/质量要求</w:t>
            </w:r>
          </w:p>
        </w:tc>
        <w:tc>
          <w:tcPr>
            <w:tcW w:w="1186" w:type="dxa"/>
            <w:tcBorders>
              <w:top w:val="single" w:color="auto" w:sz="4" w:space="0"/>
              <w:left w:val="single" w:color="auto" w:sz="4" w:space="0"/>
              <w:bottom w:val="single" w:color="auto" w:sz="4" w:space="0"/>
              <w:right w:val="single" w:color="auto" w:sz="4" w:space="0"/>
            </w:tcBorders>
            <w:noWrap/>
            <w:vAlign w:val="center"/>
          </w:tcPr>
          <w:p w14:paraId="1D271977">
            <w:pPr>
              <w:pStyle w:val="104"/>
              <w:spacing w:line="360" w:lineRule="auto"/>
              <w:jc w:val="center"/>
              <w:rPr>
                <w:rFonts w:hAnsi="宋体" w:cs="宋体"/>
                <w:color w:val="auto"/>
                <w:sz w:val="24"/>
                <w:szCs w:val="24"/>
                <w:highlight w:val="none"/>
              </w:rPr>
            </w:pPr>
            <w:r>
              <w:rPr>
                <w:rFonts w:hint="eastAsia" w:hAnsi="宋体" w:cs="宋体"/>
                <w:color w:val="auto"/>
                <w:sz w:val="24"/>
                <w:szCs w:val="24"/>
                <w:highlight w:val="none"/>
              </w:rPr>
              <w:t>原产地</w:t>
            </w:r>
          </w:p>
        </w:tc>
      </w:tr>
      <w:tr w14:paraId="5299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ign w:val="center"/>
          </w:tcPr>
          <w:p w14:paraId="66344A92">
            <w:pPr>
              <w:pStyle w:val="104"/>
              <w:spacing w:line="360" w:lineRule="auto"/>
              <w:ind w:firstLine="200"/>
              <w:jc w:val="center"/>
              <w:rPr>
                <w:rFonts w:hAnsi="宋体" w:cs="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2B70D319">
            <w:pPr>
              <w:pStyle w:val="104"/>
              <w:spacing w:line="360" w:lineRule="auto"/>
              <w:ind w:firstLine="200"/>
              <w:jc w:val="center"/>
              <w:rPr>
                <w:rFonts w:hAnsi="宋体" w:cs="宋体"/>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noWrap/>
            <w:vAlign w:val="center"/>
          </w:tcPr>
          <w:p w14:paraId="742069BA">
            <w:pPr>
              <w:pStyle w:val="104"/>
              <w:spacing w:line="360" w:lineRule="auto"/>
              <w:ind w:firstLine="200"/>
              <w:jc w:val="center"/>
              <w:rPr>
                <w:rFonts w:hAnsi="宋体" w:cs="宋体"/>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14:paraId="092A8401">
            <w:pPr>
              <w:pStyle w:val="104"/>
              <w:spacing w:line="360" w:lineRule="auto"/>
              <w:ind w:firstLine="200"/>
              <w:jc w:val="center"/>
              <w:rPr>
                <w:rFonts w:hAnsi="宋体" w:cs="宋体"/>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noWrap/>
            <w:vAlign w:val="center"/>
          </w:tcPr>
          <w:p w14:paraId="63395D2A">
            <w:pPr>
              <w:pStyle w:val="104"/>
              <w:spacing w:line="360" w:lineRule="auto"/>
              <w:ind w:firstLine="200"/>
              <w:jc w:val="center"/>
              <w:rPr>
                <w:rFonts w:hAnsi="宋体" w:cs="宋体"/>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noWrap/>
            <w:vAlign w:val="center"/>
          </w:tcPr>
          <w:p w14:paraId="1047218F">
            <w:pPr>
              <w:pStyle w:val="104"/>
              <w:spacing w:line="360" w:lineRule="auto"/>
              <w:ind w:firstLine="200"/>
              <w:jc w:val="center"/>
              <w:rPr>
                <w:rFonts w:hAnsi="宋体" w:cs="宋体"/>
                <w:color w:val="auto"/>
                <w:sz w:val="24"/>
                <w:szCs w:val="24"/>
                <w:highlight w:val="none"/>
              </w:rPr>
            </w:pPr>
          </w:p>
        </w:tc>
      </w:tr>
      <w:tr w14:paraId="27D6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ign w:val="center"/>
          </w:tcPr>
          <w:p w14:paraId="291633E1">
            <w:pPr>
              <w:pStyle w:val="104"/>
              <w:spacing w:line="360" w:lineRule="auto"/>
              <w:ind w:firstLine="200"/>
              <w:jc w:val="center"/>
              <w:rPr>
                <w:rFonts w:hAnsi="宋体" w:cs="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0FD5CCE3">
            <w:pPr>
              <w:pStyle w:val="104"/>
              <w:spacing w:line="360" w:lineRule="auto"/>
              <w:ind w:firstLine="200"/>
              <w:jc w:val="center"/>
              <w:rPr>
                <w:rFonts w:hAnsi="宋体" w:cs="宋体"/>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noWrap/>
            <w:vAlign w:val="center"/>
          </w:tcPr>
          <w:p w14:paraId="75A2452E">
            <w:pPr>
              <w:pStyle w:val="104"/>
              <w:spacing w:line="360" w:lineRule="auto"/>
              <w:ind w:firstLine="200"/>
              <w:jc w:val="center"/>
              <w:rPr>
                <w:rFonts w:hAnsi="宋体" w:cs="宋体"/>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14:paraId="225B5717">
            <w:pPr>
              <w:pStyle w:val="104"/>
              <w:spacing w:line="360" w:lineRule="auto"/>
              <w:ind w:firstLine="200"/>
              <w:jc w:val="center"/>
              <w:rPr>
                <w:rFonts w:hAnsi="宋体" w:cs="宋体"/>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noWrap/>
            <w:vAlign w:val="center"/>
          </w:tcPr>
          <w:p w14:paraId="2ACC720E">
            <w:pPr>
              <w:pStyle w:val="104"/>
              <w:spacing w:line="360" w:lineRule="auto"/>
              <w:ind w:firstLine="200"/>
              <w:jc w:val="center"/>
              <w:rPr>
                <w:rFonts w:hAnsi="宋体" w:cs="宋体"/>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noWrap/>
            <w:vAlign w:val="center"/>
          </w:tcPr>
          <w:p w14:paraId="39D302C7">
            <w:pPr>
              <w:pStyle w:val="104"/>
              <w:spacing w:line="360" w:lineRule="auto"/>
              <w:ind w:firstLine="200"/>
              <w:jc w:val="center"/>
              <w:rPr>
                <w:rFonts w:hAnsi="宋体" w:cs="宋体"/>
                <w:color w:val="auto"/>
                <w:sz w:val="24"/>
                <w:szCs w:val="24"/>
                <w:highlight w:val="none"/>
              </w:rPr>
            </w:pPr>
          </w:p>
        </w:tc>
      </w:tr>
      <w:tr w14:paraId="4087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ign w:val="center"/>
          </w:tcPr>
          <w:p w14:paraId="177FB341">
            <w:pPr>
              <w:pStyle w:val="104"/>
              <w:spacing w:line="360" w:lineRule="auto"/>
              <w:ind w:firstLine="200"/>
              <w:jc w:val="center"/>
              <w:rPr>
                <w:rFonts w:hAnsi="宋体" w:cs="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37A1C15B">
            <w:pPr>
              <w:pStyle w:val="104"/>
              <w:spacing w:line="360" w:lineRule="auto"/>
              <w:ind w:firstLine="200"/>
              <w:jc w:val="center"/>
              <w:rPr>
                <w:rFonts w:hAnsi="宋体" w:cs="宋体"/>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noWrap/>
            <w:vAlign w:val="center"/>
          </w:tcPr>
          <w:p w14:paraId="2212FF1C">
            <w:pPr>
              <w:pStyle w:val="104"/>
              <w:spacing w:line="360" w:lineRule="auto"/>
              <w:ind w:firstLine="200"/>
              <w:jc w:val="center"/>
              <w:rPr>
                <w:rFonts w:hAnsi="宋体" w:cs="宋体"/>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14:paraId="1B201DEF">
            <w:pPr>
              <w:pStyle w:val="104"/>
              <w:spacing w:line="360" w:lineRule="auto"/>
              <w:ind w:firstLine="200"/>
              <w:jc w:val="center"/>
              <w:rPr>
                <w:rFonts w:hAnsi="宋体" w:cs="宋体"/>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noWrap/>
            <w:vAlign w:val="center"/>
          </w:tcPr>
          <w:p w14:paraId="66638109">
            <w:pPr>
              <w:pStyle w:val="104"/>
              <w:spacing w:line="360" w:lineRule="auto"/>
              <w:ind w:firstLine="200"/>
              <w:jc w:val="center"/>
              <w:rPr>
                <w:rFonts w:hAnsi="宋体" w:cs="宋体"/>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noWrap/>
            <w:vAlign w:val="center"/>
          </w:tcPr>
          <w:p w14:paraId="795EC99E">
            <w:pPr>
              <w:pStyle w:val="104"/>
              <w:spacing w:line="360" w:lineRule="auto"/>
              <w:ind w:firstLine="200"/>
              <w:jc w:val="center"/>
              <w:rPr>
                <w:rFonts w:hAnsi="宋体" w:cs="宋体"/>
                <w:color w:val="auto"/>
                <w:sz w:val="24"/>
                <w:szCs w:val="24"/>
                <w:highlight w:val="none"/>
              </w:rPr>
            </w:pPr>
          </w:p>
        </w:tc>
      </w:tr>
      <w:tr w14:paraId="2C61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ign w:val="center"/>
          </w:tcPr>
          <w:p w14:paraId="1F294153">
            <w:pPr>
              <w:pStyle w:val="104"/>
              <w:spacing w:line="360" w:lineRule="auto"/>
              <w:ind w:firstLine="200"/>
              <w:jc w:val="center"/>
              <w:rPr>
                <w:rFonts w:hAnsi="宋体" w:cs="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7089F45D">
            <w:pPr>
              <w:pStyle w:val="104"/>
              <w:spacing w:line="360" w:lineRule="auto"/>
              <w:ind w:firstLine="200"/>
              <w:jc w:val="center"/>
              <w:rPr>
                <w:rFonts w:hAnsi="宋体" w:cs="宋体"/>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noWrap/>
            <w:vAlign w:val="center"/>
          </w:tcPr>
          <w:p w14:paraId="52CED828">
            <w:pPr>
              <w:pStyle w:val="104"/>
              <w:spacing w:line="360" w:lineRule="auto"/>
              <w:ind w:firstLine="200"/>
              <w:jc w:val="center"/>
              <w:rPr>
                <w:rFonts w:hAnsi="宋体" w:cs="宋体"/>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14:paraId="42BEFBF1">
            <w:pPr>
              <w:pStyle w:val="104"/>
              <w:spacing w:line="360" w:lineRule="auto"/>
              <w:ind w:firstLine="200"/>
              <w:jc w:val="center"/>
              <w:rPr>
                <w:rFonts w:hAnsi="宋体" w:cs="宋体"/>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noWrap/>
            <w:vAlign w:val="center"/>
          </w:tcPr>
          <w:p w14:paraId="7C21BB22">
            <w:pPr>
              <w:pStyle w:val="104"/>
              <w:spacing w:line="360" w:lineRule="auto"/>
              <w:ind w:firstLine="200"/>
              <w:jc w:val="center"/>
              <w:rPr>
                <w:rFonts w:hAnsi="宋体" w:cs="宋体"/>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noWrap/>
            <w:vAlign w:val="center"/>
          </w:tcPr>
          <w:p w14:paraId="3B28D3FD">
            <w:pPr>
              <w:pStyle w:val="104"/>
              <w:spacing w:line="360" w:lineRule="auto"/>
              <w:ind w:firstLine="200"/>
              <w:jc w:val="center"/>
              <w:rPr>
                <w:rFonts w:hAnsi="宋体" w:cs="宋体"/>
                <w:color w:val="auto"/>
                <w:sz w:val="24"/>
                <w:szCs w:val="24"/>
                <w:highlight w:val="none"/>
              </w:rPr>
            </w:pPr>
          </w:p>
        </w:tc>
      </w:tr>
    </w:tbl>
    <w:p w14:paraId="2923DEC3">
      <w:pPr>
        <w:pStyle w:val="105"/>
        <w:ind w:firstLine="560"/>
        <w:rPr>
          <w:rFonts w:ascii="宋体" w:hAnsi="宋体" w:eastAsia="宋体" w:cs="宋体"/>
          <w:color w:val="auto"/>
          <w:highlight w:val="none"/>
        </w:rPr>
      </w:pPr>
    </w:p>
    <w:p w14:paraId="67968BC1">
      <w:pPr>
        <w:adjustRightInd w:val="0"/>
        <w:spacing w:line="360" w:lineRule="auto"/>
        <w:ind w:firstLine="482" w:firstLineChars="200"/>
        <w:rPr>
          <w:rFonts w:ascii="宋体" w:hAnsi="宋体" w:cs="宋体"/>
          <w:b/>
          <w:color w:val="auto"/>
          <w:sz w:val="24"/>
          <w:szCs w:val="24"/>
          <w:highlight w:val="none"/>
        </w:rPr>
      </w:pPr>
      <w:bookmarkStart w:id="17" w:name="_Toc23292"/>
      <w:bookmarkStart w:id="18" w:name="_Toc21551"/>
      <w:bookmarkStart w:id="19" w:name="_Toc21631"/>
      <w:r>
        <w:rPr>
          <w:rFonts w:hint="eastAsia" w:ascii="宋体" w:hAnsi="宋体" w:cs="宋体"/>
          <w:b/>
          <w:color w:val="auto"/>
          <w:sz w:val="24"/>
          <w:szCs w:val="24"/>
          <w:highlight w:val="none"/>
        </w:rPr>
        <w:t>4 价款</w:t>
      </w:r>
      <w:bookmarkEnd w:id="17"/>
      <w:bookmarkEnd w:id="18"/>
      <w:bookmarkEnd w:id="19"/>
    </w:p>
    <w:p w14:paraId="452D5A5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本合同总价为：￥元（大写：元人民币）。</w:t>
      </w:r>
    </w:p>
    <w:p w14:paraId="0FE62B1A">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分项价格：</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048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41E8CF2A">
            <w:pPr>
              <w:pStyle w:val="104"/>
              <w:spacing w:line="360" w:lineRule="auto"/>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ign w:val="center"/>
          </w:tcPr>
          <w:p w14:paraId="4E297709">
            <w:pPr>
              <w:pStyle w:val="104"/>
              <w:spacing w:line="360" w:lineRule="auto"/>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ign w:val="center"/>
          </w:tcPr>
          <w:p w14:paraId="631EC94A">
            <w:pPr>
              <w:pStyle w:val="104"/>
              <w:spacing w:line="360" w:lineRule="auto"/>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086D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0901E1F7">
            <w:pPr>
              <w:pStyle w:val="104"/>
              <w:spacing w:line="360" w:lineRule="auto"/>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3D44B423">
            <w:pPr>
              <w:pStyle w:val="104"/>
              <w:spacing w:line="360" w:lineRule="auto"/>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63EF104">
            <w:pPr>
              <w:pStyle w:val="104"/>
              <w:spacing w:line="360" w:lineRule="auto"/>
              <w:ind w:firstLine="200"/>
              <w:jc w:val="center"/>
              <w:rPr>
                <w:rFonts w:hAnsi="宋体" w:cs="宋体"/>
                <w:color w:val="auto"/>
                <w:sz w:val="24"/>
                <w:szCs w:val="24"/>
                <w:highlight w:val="none"/>
              </w:rPr>
            </w:pPr>
          </w:p>
        </w:tc>
      </w:tr>
      <w:tr w14:paraId="5843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565665D7">
            <w:pPr>
              <w:pStyle w:val="104"/>
              <w:spacing w:line="360" w:lineRule="auto"/>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2F155C1F">
            <w:pPr>
              <w:pStyle w:val="104"/>
              <w:spacing w:line="360" w:lineRule="auto"/>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0ABF815">
            <w:pPr>
              <w:pStyle w:val="104"/>
              <w:spacing w:line="360" w:lineRule="auto"/>
              <w:ind w:firstLine="200"/>
              <w:jc w:val="center"/>
              <w:rPr>
                <w:rFonts w:hAnsi="宋体" w:cs="宋体"/>
                <w:color w:val="auto"/>
                <w:sz w:val="24"/>
                <w:szCs w:val="24"/>
                <w:highlight w:val="none"/>
              </w:rPr>
            </w:pPr>
          </w:p>
        </w:tc>
      </w:tr>
      <w:tr w14:paraId="445C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44517697">
            <w:pPr>
              <w:pStyle w:val="104"/>
              <w:spacing w:line="360" w:lineRule="auto"/>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25EDFD4E">
            <w:pPr>
              <w:pStyle w:val="104"/>
              <w:spacing w:line="360" w:lineRule="auto"/>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4D88A4D2">
            <w:pPr>
              <w:pStyle w:val="104"/>
              <w:spacing w:line="360" w:lineRule="auto"/>
              <w:ind w:firstLine="200"/>
              <w:jc w:val="center"/>
              <w:rPr>
                <w:rFonts w:hAnsi="宋体" w:cs="宋体"/>
                <w:color w:val="auto"/>
                <w:sz w:val="24"/>
                <w:szCs w:val="24"/>
                <w:highlight w:val="none"/>
              </w:rPr>
            </w:pPr>
          </w:p>
        </w:tc>
      </w:tr>
      <w:tr w14:paraId="0F2E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53F5CF8B">
            <w:pPr>
              <w:pStyle w:val="104"/>
              <w:spacing w:line="360" w:lineRule="auto"/>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1958373B">
            <w:pPr>
              <w:pStyle w:val="104"/>
              <w:spacing w:line="360" w:lineRule="auto"/>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5213E0C6">
            <w:pPr>
              <w:pStyle w:val="104"/>
              <w:spacing w:line="360" w:lineRule="auto"/>
              <w:ind w:firstLine="200"/>
              <w:jc w:val="center"/>
              <w:rPr>
                <w:rFonts w:hAnsi="宋体" w:cs="宋体"/>
                <w:color w:val="auto"/>
                <w:sz w:val="24"/>
                <w:szCs w:val="24"/>
                <w:highlight w:val="none"/>
              </w:rPr>
            </w:pPr>
          </w:p>
        </w:tc>
      </w:tr>
      <w:tr w14:paraId="556C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ign w:val="center"/>
          </w:tcPr>
          <w:p w14:paraId="06BF6678">
            <w:pPr>
              <w:pStyle w:val="104"/>
              <w:spacing w:line="360" w:lineRule="auto"/>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ign w:val="center"/>
          </w:tcPr>
          <w:p w14:paraId="7242A4CA">
            <w:pPr>
              <w:pStyle w:val="104"/>
              <w:spacing w:line="360" w:lineRule="auto"/>
              <w:ind w:firstLine="200"/>
              <w:jc w:val="center"/>
              <w:rPr>
                <w:rFonts w:hAnsi="宋体" w:cs="宋体"/>
                <w:color w:val="auto"/>
                <w:sz w:val="24"/>
                <w:szCs w:val="24"/>
                <w:highlight w:val="none"/>
              </w:rPr>
            </w:pPr>
          </w:p>
        </w:tc>
      </w:tr>
    </w:tbl>
    <w:p w14:paraId="732D143A">
      <w:pPr>
        <w:adjustRightInd w:val="0"/>
        <w:spacing w:line="360" w:lineRule="auto"/>
        <w:ind w:firstLine="482" w:firstLineChars="200"/>
        <w:rPr>
          <w:rFonts w:ascii="宋体" w:hAnsi="宋体" w:cs="宋体"/>
          <w:b/>
          <w:color w:val="auto"/>
          <w:sz w:val="24"/>
          <w:szCs w:val="24"/>
          <w:highlight w:val="none"/>
        </w:rPr>
      </w:pPr>
      <w:bookmarkStart w:id="20" w:name="_Toc10340"/>
      <w:bookmarkStart w:id="21" w:name="_Toc1814"/>
      <w:bookmarkStart w:id="22" w:name="_Toc22618"/>
      <w:r>
        <w:rPr>
          <w:rFonts w:hint="eastAsia" w:ascii="宋体" w:hAnsi="宋体" w:cs="宋体"/>
          <w:b/>
          <w:color w:val="auto"/>
          <w:sz w:val="24"/>
          <w:szCs w:val="24"/>
          <w:highlight w:val="none"/>
        </w:rPr>
        <w:t>5 付款</w:t>
      </w:r>
      <w:bookmarkEnd w:id="20"/>
      <w:bookmarkEnd w:id="21"/>
      <w:bookmarkEnd w:id="22"/>
      <w:r>
        <w:rPr>
          <w:rFonts w:hint="eastAsia" w:ascii="宋体" w:hAnsi="宋体" w:cs="宋体"/>
          <w:b/>
          <w:color w:val="auto"/>
          <w:sz w:val="24"/>
          <w:szCs w:val="24"/>
          <w:highlight w:val="none"/>
        </w:rPr>
        <w:t>方式、时间和条件</w:t>
      </w:r>
    </w:p>
    <w:p w14:paraId="448D8546">
      <w:pPr>
        <w:pStyle w:val="106"/>
        <w:spacing w:before="0" w:beforeAutospacing="0" w:after="0" w:afterAutospacing="0" w:line="360" w:lineRule="auto"/>
        <w:ind w:firstLine="480"/>
        <w:rPr>
          <w:b/>
          <w:bCs/>
          <w:i/>
          <w:iCs/>
          <w:color w:val="auto"/>
          <w:kern w:val="2"/>
          <w:highlight w:val="none"/>
          <w:u w:val="single"/>
        </w:rPr>
      </w:pPr>
      <w:bookmarkStart w:id="23" w:name="_Toc32071"/>
      <w:bookmarkStart w:id="24" w:name="_Toc2846"/>
      <w:bookmarkStart w:id="25" w:name="_Toc19304"/>
      <w:r>
        <w:rPr>
          <w:rFonts w:hint="eastAsia"/>
          <w:color w:val="auto"/>
          <w:kern w:val="2"/>
          <w:highlight w:val="none"/>
        </w:rPr>
        <w:t>5.1 资金支付的方式、时间和条件：</w:t>
      </w:r>
    </w:p>
    <w:p w14:paraId="611BA53C">
      <w:pPr>
        <w:pStyle w:val="106"/>
        <w:spacing w:before="0" w:beforeAutospacing="0" w:after="0" w:afterAutospacing="0" w:line="360" w:lineRule="auto"/>
        <w:ind w:firstLine="480"/>
        <w:rPr>
          <w:color w:val="auto"/>
          <w:kern w:val="2"/>
          <w:highlight w:val="none"/>
        </w:rPr>
      </w:pPr>
      <w:r>
        <w:rPr>
          <w:rFonts w:hint="eastAsia"/>
          <w:color w:val="auto"/>
          <w:kern w:val="2"/>
          <w:highlight w:val="none"/>
        </w:rPr>
        <w:t>5.2 乙方收款账户：</w:t>
      </w:r>
    </w:p>
    <w:p w14:paraId="63C6E64E">
      <w:pPr>
        <w:spacing w:line="360" w:lineRule="auto"/>
        <w:ind w:left="1470" w:leftChars="700"/>
        <w:rPr>
          <w:rFonts w:ascii="宋体" w:hAnsi="宋体" w:cs="宋体"/>
          <w:color w:val="auto"/>
          <w:sz w:val="24"/>
          <w:szCs w:val="24"/>
          <w:highlight w:val="none"/>
        </w:rPr>
      </w:pPr>
      <w:r>
        <w:rPr>
          <w:rFonts w:hint="eastAsia" w:ascii="宋体" w:hAnsi="宋体" w:cs="宋体"/>
          <w:color w:val="auto"/>
          <w:sz w:val="24"/>
          <w:szCs w:val="24"/>
          <w:highlight w:val="none"/>
        </w:rPr>
        <w:t>开户银行：</w:t>
      </w:r>
    </w:p>
    <w:p w14:paraId="4CA34FB5">
      <w:pPr>
        <w:spacing w:line="360" w:lineRule="auto"/>
        <w:ind w:left="1470" w:leftChars="700"/>
        <w:rPr>
          <w:rFonts w:ascii="宋体" w:hAnsi="宋体" w:cs="宋体"/>
          <w:color w:val="auto"/>
          <w:sz w:val="24"/>
          <w:szCs w:val="24"/>
          <w:highlight w:val="none"/>
        </w:rPr>
      </w:pPr>
      <w:r>
        <w:rPr>
          <w:rFonts w:hint="eastAsia" w:ascii="宋体" w:hAnsi="宋体" w:cs="宋体"/>
          <w:color w:val="auto"/>
          <w:sz w:val="24"/>
          <w:szCs w:val="24"/>
          <w:highlight w:val="none"/>
        </w:rPr>
        <w:t>开户名称：</w:t>
      </w:r>
    </w:p>
    <w:p w14:paraId="7C9F1B61">
      <w:pPr>
        <w:spacing w:line="360" w:lineRule="auto"/>
        <w:ind w:left="1470" w:leftChars="700"/>
        <w:rPr>
          <w:rFonts w:ascii="宋体" w:hAnsi="宋体" w:cs="宋体"/>
          <w:color w:val="auto"/>
          <w:sz w:val="24"/>
          <w:szCs w:val="24"/>
          <w:highlight w:val="none"/>
          <w:lang w:val="zh-CN"/>
        </w:rPr>
      </w:pPr>
      <w:r>
        <w:rPr>
          <w:rFonts w:hint="eastAsia" w:ascii="宋体" w:hAnsi="宋体" w:cs="宋体"/>
          <w:color w:val="auto"/>
          <w:sz w:val="24"/>
          <w:szCs w:val="24"/>
          <w:highlight w:val="none"/>
        </w:rPr>
        <w:t>开户账号：</w:t>
      </w:r>
    </w:p>
    <w:p w14:paraId="4BDB943D">
      <w:pPr>
        <w:adjustRightIn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6 货物交付期限、地点和方式</w:t>
      </w:r>
      <w:bookmarkEnd w:id="23"/>
      <w:bookmarkEnd w:id="24"/>
      <w:bookmarkEnd w:id="25"/>
    </w:p>
    <w:p w14:paraId="53532483">
      <w:pPr>
        <w:adjustRightIn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6.1 交付期限：</w:t>
      </w:r>
    </w:p>
    <w:p w14:paraId="7287641E">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6.2 交付地点：</w:t>
      </w:r>
    </w:p>
    <w:p w14:paraId="009D4315">
      <w:pPr>
        <w:adjustRightInd w:val="0"/>
        <w:spacing w:line="360" w:lineRule="auto"/>
        <w:ind w:firstLine="480" w:firstLineChars="200"/>
        <w:rPr>
          <w:rFonts w:ascii="宋体" w:hAnsi="宋体" w:cs="宋体"/>
          <w:color w:val="auto"/>
          <w:szCs w:val="24"/>
          <w:highlight w:val="none"/>
        </w:rPr>
      </w:pPr>
      <w:r>
        <w:rPr>
          <w:rFonts w:hint="eastAsia" w:ascii="宋体" w:hAnsi="宋体" w:cs="宋体"/>
          <w:color w:val="auto"/>
          <w:sz w:val="24"/>
          <w:szCs w:val="24"/>
          <w:highlight w:val="none"/>
        </w:rPr>
        <w:t>6.3 交付方式：</w:t>
      </w:r>
    </w:p>
    <w:p w14:paraId="0FB59099">
      <w:pPr>
        <w:adjustRightIn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7 技术规范</w:t>
      </w:r>
    </w:p>
    <w:p w14:paraId="5D2D116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3967B4EC">
      <w:pPr>
        <w:adjustRightIn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8 知识产权</w:t>
      </w:r>
    </w:p>
    <w:p w14:paraId="0DAEE9F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5AD7290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8.2具有知识产权的计算机软件等货物的知识产权归属，除合同另有规定外，归甲方所有。</w:t>
      </w:r>
    </w:p>
    <w:p w14:paraId="5951F984">
      <w:pPr>
        <w:adjustRightIn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9 包装和装运</w:t>
      </w:r>
    </w:p>
    <w:p w14:paraId="7859AAB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D940596">
      <w:pPr>
        <w:spacing w:line="360" w:lineRule="auto"/>
        <w:ind w:firstLine="480" w:firstLineChars="200"/>
        <w:rPr>
          <w:rFonts w:ascii="宋体" w:hAnsi="宋体" w:cs="宋体"/>
          <w:color w:val="auto"/>
          <w:szCs w:val="24"/>
          <w:highlight w:val="none"/>
        </w:rPr>
      </w:pPr>
      <w:r>
        <w:rPr>
          <w:rFonts w:hint="eastAsia" w:ascii="宋体" w:hAnsi="宋体" w:cs="宋体"/>
          <w:color w:val="auto"/>
          <w:sz w:val="24"/>
          <w:szCs w:val="24"/>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2BBB1F93">
      <w:pPr>
        <w:adjustRightIn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10 履约保证金（如适用）</w:t>
      </w:r>
    </w:p>
    <w:p w14:paraId="5109034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 招标文件要求乙方提交履约保证金的，乙方应按方式（可以支票、汇票、本票或者银行保函等非现金形式），在合同签订并生效后日内提交不超过合同金额1%的履约保证金。</w:t>
      </w:r>
    </w:p>
    <w:p w14:paraId="02BCE50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10.2  履约保证金在（合同规定的履约时间）内不予退还。乙方在前述约定期间届满前能履行完合同约定义务事项的，甲方在前述约定期间届满之日起</w:t>
      </w:r>
      <w:r>
        <w:rPr>
          <w:rFonts w:hint="eastAsia" w:ascii="宋体" w:hAnsi="宋体" w:cs="宋体"/>
          <w:color w:val="auto"/>
          <w:sz w:val="24"/>
          <w:szCs w:val="24"/>
          <w:highlight w:val="none"/>
          <w:u w:val="single"/>
        </w:rPr>
        <w:t xml:space="preserve"> 5 </w:t>
      </w:r>
      <w:r>
        <w:rPr>
          <w:rFonts w:hint="eastAsia" w:ascii="宋体" w:hAnsi="宋体" w:cs="宋体"/>
          <w:color w:val="auto"/>
          <w:sz w:val="24"/>
          <w:szCs w:val="24"/>
          <w:highlight w:val="none"/>
        </w:rPr>
        <w:t>个工作日内，将履约保证金无息退还乙方。</w:t>
      </w:r>
    </w:p>
    <w:p w14:paraId="7ECACE3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19215D6">
      <w:pPr>
        <w:adjustRightIn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11 履约检查和问题反馈</w:t>
      </w:r>
    </w:p>
    <w:p w14:paraId="3A174F3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11.1甲方有权在其认为必要时，对乙方是否能够按照合同约定交付货物进行履约检查，以确保乙方所交付的货物能够依约满足甲方之项目需求，但不得因履约检查妨碍乙方的正常工作，乙方应予积极配合；</w:t>
      </w:r>
    </w:p>
    <w:p w14:paraId="0E60215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 合同履行期间，甲方有权将履行过程中出现的问题反馈给乙方，双方当事人应以书面形式约定需要完善和改进的内容。</w:t>
      </w:r>
    </w:p>
    <w:p w14:paraId="6992B8E3">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12 检验和验收</w:t>
      </w:r>
    </w:p>
    <w:p w14:paraId="37BD7222">
      <w:pPr>
        <w:tabs>
          <w:tab w:val="left" w:pos="360"/>
          <w:tab w:val="left" w:pos="540"/>
          <w:tab w:val="left" w:pos="108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12.1货物交付前，乙方应对货物的质量、数量等方面进行详细、全面的检验，并向甲方出具证明货物符合合同约定的文件；货物交付后，甲方在交付后</w:t>
      </w:r>
      <w:r>
        <w:rPr>
          <w:rFonts w:hint="eastAsia" w:ascii="宋体" w:hAnsi="宋体" w:cs="宋体"/>
          <w:color w:val="auto"/>
          <w:sz w:val="24"/>
          <w:szCs w:val="24"/>
          <w:highlight w:val="none"/>
          <w:u w:val="single"/>
        </w:rPr>
        <w:t>7</w:t>
      </w:r>
      <w:r>
        <w:rPr>
          <w:rFonts w:hint="eastAsia" w:ascii="宋体" w:hAnsi="宋体" w:cs="宋体"/>
          <w:color w:val="auto"/>
          <w:sz w:val="24"/>
          <w:szCs w:val="24"/>
          <w:highlight w:val="none"/>
        </w:rPr>
        <w:t>个工作日内组织验收，并可依法邀请相关方参加，验收应出具验收书。</w:t>
      </w:r>
    </w:p>
    <w:p w14:paraId="5770465F">
      <w:pPr>
        <w:tabs>
          <w:tab w:val="left" w:pos="360"/>
          <w:tab w:val="left" w:pos="540"/>
          <w:tab w:val="left" w:pos="108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12.2合同期满或者履行完毕后，甲方有权组织（包括依法邀请国家认可的质量检测机构参加）对项目履约的验收，即：按照合同约定的技术、服务、安全标准，组织对每一项技术、服务、安全标准的履约情况的验收，并出具验收书。</w:t>
      </w:r>
    </w:p>
    <w:p w14:paraId="26DC550D">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13 技术资料和保密义务</w:t>
      </w:r>
    </w:p>
    <w:p w14:paraId="406781A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乙方有权依据合同约定和项目需要，向甲方了解有关情况，调阅有关资料等，甲方应予积极配合；</w:t>
      </w:r>
    </w:p>
    <w:p w14:paraId="448ED87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乙方有义务妥善保管和保护由甲方提供的前款信息和资料等；</w:t>
      </w:r>
    </w:p>
    <w:p w14:paraId="470235C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9F6F368">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14 质量保证</w:t>
      </w:r>
    </w:p>
    <w:p w14:paraId="7D855E6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 乙方应建立和完善履行合同的内部质量保证体系，并提供相关内部规章制度给甲方，以便甲方进行监督检查；</w:t>
      </w:r>
    </w:p>
    <w:p w14:paraId="0151C35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14.2 乙方应保证履行合同的人员数量和素质、软件和硬件设备的配置、场地、环境和设施等满足全面履行合同的要求，并应接受甲方的监督检查。</w:t>
      </w:r>
    </w:p>
    <w:p w14:paraId="2A94DCE4">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15 货物的风险负担</w:t>
      </w:r>
    </w:p>
    <w:p w14:paraId="7CEB02E4">
      <w:pP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货物在未收货前出现的货物毁损、灭失的风险均由乙方承担。</w:t>
      </w:r>
    </w:p>
    <w:p w14:paraId="7A197FFE">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16 延迟交货</w:t>
      </w:r>
    </w:p>
    <w:p w14:paraId="5927761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04FDDCE">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17 合同变更</w:t>
      </w:r>
    </w:p>
    <w:p w14:paraId="1C203A8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0D4E96BF">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18 合同转让和分包（如适用）</w:t>
      </w:r>
    </w:p>
    <w:p w14:paraId="1FD4C80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18.1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743C67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18.2乙方采取分包方式履行合同的，甲方可直接向分包供应商支付款项。</w:t>
      </w:r>
    </w:p>
    <w:p w14:paraId="28D11266">
      <w:pPr>
        <w:spacing w:line="360" w:lineRule="auto"/>
        <w:ind w:firstLine="482" w:firstLineChars="200"/>
        <w:rPr>
          <w:rFonts w:ascii="宋体" w:hAnsi="宋体" w:cs="宋体"/>
          <w:b/>
          <w:color w:val="auto"/>
          <w:sz w:val="24"/>
          <w:szCs w:val="24"/>
          <w:highlight w:val="none"/>
        </w:rPr>
      </w:pPr>
      <w:bookmarkStart w:id="26" w:name="_Toc19554"/>
      <w:bookmarkStart w:id="27" w:name="_Toc27250"/>
      <w:bookmarkStart w:id="28" w:name="_Toc21423"/>
      <w:r>
        <w:rPr>
          <w:rFonts w:hint="eastAsia" w:ascii="宋体" w:hAnsi="宋体" w:cs="宋体"/>
          <w:b/>
          <w:color w:val="auto"/>
          <w:sz w:val="24"/>
          <w:szCs w:val="24"/>
          <w:highlight w:val="none"/>
        </w:rPr>
        <w:t>19 违约责任</w:t>
      </w:r>
      <w:bookmarkEnd w:id="26"/>
      <w:bookmarkEnd w:id="27"/>
      <w:bookmarkEnd w:id="28"/>
    </w:p>
    <w:p w14:paraId="2ECC93C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19.1 除不可抗力外，如果乙方拒绝履行合同，或没有按照本合同约定的期限、地点和方式交付货物，那么甲方可要求乙方支付违约金，违约金按每日计合同总价的</w:t>
      </w:r>
      <w:r>
        <w:rPr>
          <w:rFonts w:hint="eastAsia" w:ascii="宋体" w:hAnsi="宋体" w:cs="宋体"/>
          <w:color w:val="auto"/>
          <w:sz w:val="24"/>
          <w:szCs w:val="24"/>
          <w:highlight w:val="none"/>
          <w:u w:val="single"/>
        </w:rPr>
        <w:t xml:space="preserve">  0.05  </w:t>
      </w:r>
      <w:r>
        <w:rPr>
          <w:rFonts w:hint="eastAsia" w:ascii="宋体" w:hAnsi="宋体" w:cs="宋体"/>
          <w:color w:val="auto"/>
          <w:sz w:val="24"/>
          <w:szCs w:val="24"/>
          <w:highlight w:val="none"/>
        </w:rPr>
        <w:t>%，最高限额为本合同总价的</w:t>
      </w:r>
      <w:r>
        <w:rPr>
          <w:rFonts w:hint="eastAsia" w:ascii="宋体" w:hAnsi="宋体" w:cs="宋体"/>
          <w:color w:val="auto"/>
          <w:sz w:val="24"/>
          <w:szCs w:val="24"/>
          <w:highlight w:val="none"/>
          <w:u w:val="single"/>
        </w:rPr>
        <w:t xml:space="preserve"> 10  </w:t>
      </w:r>
      <w:r>
        <w:rPr>
          <w:rFonts w:hint="eastAsia" w:ascii="宋体" w:hAnsi="宋体" w:cs="宋体"/>
          <w:color w:val="auto"/>
          <w:sz w:val="24"/>
          <w:szCs w:val="24"/>
          <w:highlight w:val="none"/>
        </w:rPr>
        <w:t>%；迟延交付货物的违约金计算数额达到前述最高限额之日起，甲方有权在要求乙方支付违约金的同时，书面通知乙方解除本合同；</w:t>
      </w:r>
    </w:p>
    <w:p w14:paraId="6550406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19.2 除不可抗力外，如果甲方没有按照本合同约定的付款方式付款，那么乙方可要求甲方支付违约金，违约金按每迟延付款一日的应付而未付款的</w:t>
      </w:r>
      <w:r>
        <w:rPr>
          <w:rFonts w:hint="eastAsia" w:ascii="宋体" w:hAnsi="宋体" w:cs="宋体"/>
          <w:color w:val="auto"/>
          <w:sz w:val="24"/>
          <w:szCs w:val="24"/>
          <w:highlight w:val="none"/>
          <w:u w:val="single"/>
        </w:rPr>
        <w:t xml:space="preserve">  0.05  </w:t>
      </w:r>
      <w:r>
        <w:rPr>
          <w:rFonts w:hint="eastAsia" w:ascii="宋体" w:hAnsi="宋体" w:cs="宋体"/>
          <w:color w:val="auto"/>
          <w:sz w:val="24"/>
          <w:szCs w:val="24"/>
          <w:highlight w:val="none"/>
        </w:rPr>
        <w:t>%计算，最高限额为本合同总价的</w:t>
      </w:r>
      <w:r>
        <w:rPr>
          <w:rFonts w:hint="eastAsia" w:ascii="宋体" w:hAnsi="宋体" w:cs="宋体"/>
          <w:color w:val="auto"/>
          <w:sz w:val="24"/>
          <w:szCs w:val="24"/>
          <w:highlight w:val="none"/>
          <w:u w:val="single"/>
        </w:rPr>
        <w:t xml:space="preserve">  10   </w:t>
      </w:r>
      <w:r>
        <w:rPr>
          <w:rFonts w:hint="eastAsia" w:ascii="宋体" w:hAnsi="宋体" w:cs="宋体"/>
          <w:color w:val="auto"/>
          <w:sz w:val="24"/>
          <w:szCs w:val="24"/>
          <w:highlight w:val="none"/>
        </w:rPr>
        <w:t>%；迟延付款的违约金计算数额达到前述最高限额之日起，乙方有权在要求甲方支付违约金的同时，书面通知甲方解除本合同；</w:t>
      </w:r>
    </w:p>
    <w:p w14:paraId="1E7A41A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23E33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CEF940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0EDA6B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19.6 如果出现政府采购监督管理部门在处理投诉事项期间，书面通知甲方暂停采购活动的情形，或者询问或质疑事项可能影响中标结果的，导致甲方中止履行合同的情形，均不视为甲方违约。</w:t>
      </w:r>
    </w:p>
    <w:p w14:paraId="241CDBDB">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20 不可抗力</w:t>
      </w:r>
    </w:p>
    <w:p w14:paraId="5F378B5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20.1如果任何一方遭遇法律规定的不可抗力，致使合同履行受阻时，履行合同的期限应予延长，延长的期限应相当于不可抗力所影响的时间；</w:t>
      </w:r>
    </w:p>
    <w:p w14:paraId="090E773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20.2 因不可抗力致使不能实现合同目的的，当事人可以解除合同；</w:t>
      </w:r>
    </w:p>
    <w:p w14:paraId="722CC6E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20.3 因不可抗力致使合同有变更必要的，双方当事人应在不可抗力发生后</w:t>
      </w:r>
      <w:r>
        <w:rPr>
          <w:rFonts w:hint="eastAsia" w:ascii="宋体" w:hAnsi="宋体" w:cs="宋体"/>
          <w:color w:val="auto"/>
          <w:sz w:val="24"/>
          <w:szCs w:val="24"/>
          <w:highlight w:val="none"/>
          <w:u w:val="single"/>
        </w:rPr>
        <w:t xml:space="preserve"> 10 </w:t>
      </w:r>
      <w:r>
        <w:rPr>
          <w:rFonts w:hint="eastAsia" w:ascii="宋体" w:hAnsi="宋体" w:cs="宋体"/>
          <w:color w:val="auto"/>
          <w:sz w:val="24"/>
          <w:szCs w:val="24"/>
          <w:highlight w:val="none"/>
        </w:rPr>
        <w:t>日内以书面形式变更合同；</w:t>
      </w:r>
    </w:p>
    <w:p w14:paraId="45E82FE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20.4受不可抗力影响的一方在不可抗力发生后，应在</w:t>
      </w:r>
      <w:r>
        <w:rPr>
          <w:rFonts w:hint="eastAsia" w:ascii="宋体" w:hAnsi="宋体" w:cs="宋体"/>
          <w:color w:val="auto"/>
          <w:sz w:val="24"/>
          <w:szCs w:val="24"/>
          <w:highlight w:val="none"/>
          <w:u w:val="single"/>
        </w:rPr>
        <w:t xml:space="preserve">  5  </w:t>
      </w:r>
      <w:r>
        <w:rPr>
          <w:rFonts w:hint="eastAsia" w:ascii="宋体" w:hAnsi="宋体" w:cs="宋体"/>
          <w:color w:val="auto"/>
          <w:sz w:val="24"/>
          <w:szCs w:val="24"/>
          <w:highlight w:val="none"/>
        </w:rPr>
        <w:t>日内以书面形式通知对方当事人，并在</w:t>
      </w:r>
      <w:r>
        <w:rPr>
          <w:rFonts w:hint="eastAsia" w:ascii="宋体" w:hAnsi="宋体" w:cs="宋体"/>
          <w:color w:val="auto"/>
          <w:sz w:val="24"/>
          <w:szCs w:val="24"/>
          <w:highlight w:val="none"/>
          <w:u w:val="single"/>
        </w:rPr>
        <w:t xml:space="preserve">  15  </w:t>
      </w:r>
      <w:r>
        <w:rPr>
          <w:rFonts w:hint="eastAsia" w:ascii="宋体" w:hAnsi="宋体" w:cs="宋体"/>
          <w:color w:val="auto"/>
          <w:sz w:val="24"/>
          <w:szCs w:val="24"/>
          <w:highlight w:val="none"/>
        </w:rPr>
        <w:t>日内，将有关部门出具的证明文件送达对方当事人。</w:t>
      </w:r>
    </w:p>
    <w:p w14:paraId="3C4BED52">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21 税费</w:t>
      </w:r>
    </w:p>
    <w:p w14:paraId="6B14026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与合同有关的一切税费，均按照中华人民共和国法律的相关规定。</w:t>
      </w:r>
    </w:p>
    <w:p w14:paraId="3E75EDC2">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22 乙方破产</w:t>
      </w:r>
    </w:p>
    <w:p w14:paraId="5F05E3C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77BA572">
      <w:pPr>
        <w:spacing w:line="360" w:lineRule="auto"/>
        <w:ind w:firstLine="482" w:firstLineChars="200"/>
        <w:rPr>
          <w:rFonts w:ascii="宋体" w:hAnsi="宋体" w:cs="宋体"/>
          <w:b/>
          <w:color w:val="auto"/>
          <w:sz w:val="24"/>
          <w:szCs w:val="24"/>
          <w:highlight w:val="none"/>
        </w:rPr>
      </w:pPr>
      <w:bookmarkStart w:id="29" w:name="_Toc16021"/>
      <w:bookmarkStart w:id="30" w:name="_Toc28375"/>
      <w:bookmarkStart w:id="31" w:name="_Toc15583"/>
      <w:r>
        <w:rPr>
          <w:rFonts w:hint="eastAsia" w:ascii="宋体" w:hAnsi="宋体" w:cs="宋体"/>
          <w:b/>
          <w:color w:val="auto"/>
          <w:sz w:val="24"/>
          <w:szCs w:val="24"/>
          <w:highlight w:val="none"/>
        </w:rPr>
        <w:t>23 合同争议的解决</w:t>
      </w:r>
      <w:bookmarkEnd w:id="29"/>
      <w:bookmarkEnd w:id="30"/>
      <w:bookmarkEnd w:id="31"/>
    </w:p>
    <w:p w14:paraId="43C4C9E1">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本合同履行过程中发生的任何争议，双方当事人均可通过和解或者调解解决；不愿和解、调解或者和解、调解不成的，可以向宁波市奉化区人民法院提起诉讼。</w:t>
      </w:r>
    </w:p>
    <w:p w14:paraId="4C72FB43">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24 合同中止、终止</w:t>
      </w:r>
    </w:p>
    <w:p w14:paraId="446B893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24.1 双方当事人不得擅自中止或者终止合同；</w:t>
      </w:r>
    </w:p>
    <w:p w14:paraId="60C9083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24.2合同继续履行将损害国家利益和社会公共利益的，双方当事人应当中止或者终止合同。有过错的一方应当承担赔偿责任，双方当事人都有过错的，各自承担相应的责任。</w:t>
      </w:r>
    </w:p>
    <w:p w14:paraId="37C2B0B6">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25 通知和送达</w:t>
      </w:r>
    </w:p>
    <w:p w14:paraId="70268A1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color w:val="auto"/>
          <w:sz w:val="24"/>
          <w:szCs w:val="24"/>
          <w:highlight w:val="none"/>
          <w:u w:val="single"/>
        </w:rPr>
        <w:t>3</w:t>
      </w:r>
      <w:r>
        <w:rPr>
          <w:rFonts w:hint="eastAsia" w:ascii="宋体" w:hAnsi="宋体" w:cs="宋体"/>
          <w:color w:val="auto"/>
          <w:sz w:val="24"/>
          <w:szCs w:val="24"/>
          <w:highlight w:val="none"/>
        </w:rPr>
        <w:t>个工作日内书面通知对方当事人，在对方当事人收到有关变更通知之前，变更前的约定送达方式或者地址仍视为有效。</w:t>
      </w:r>
    </w:p>
    <w:p w14:paraId="7CBAB29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49E55F37">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26 计量单位</w:t>
      </w:r>
    </w:p>
    <w:p w14:paraId="2BC7076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除技术规范中另有规定外,合同的计量单位均使用国家法定计量单位。</w:t>
      </w:r>
    </w:p>
    <w:p w14:paraId="19EA329E">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27合同使用的文字和适用的法律</w:t>
      </w:r>
    </w:p>
    <w:p w14:paraId="50E1017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27.1 合同使用汉语书就、变更和解释；</w:t>
      </w:r>
    </w:p>
    <w:p w14:paraId="2703806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27.2 合同适用中华人民共和国法律。</w:t>
      </w:r>
    </w:p>
    <w:p w14:paraId="7A4C4FE1">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28合同效力</w:t>
      </w:r>
    </w:p>
    <w:p w14:paraId="0C838FB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w:t>
      </w:r>
      <w:r>
        <w:rPr>
          <w:rFonts w:hint="eastAsia" w:ascii="宋体" w:hAnsi="宋体" w:cs="宋体"/>
          <w:color w:val="auto"/>
          <w:sz w:val="24"/>
          <w:szCs w:val="24"/>
          <w:highlight w:val="none"/>
          <w:u w:val="single"/>
        </w:rPr>
        <w:t>一式份</w:t>
      </w:r>
      <w:r>
        <w:rPr>
          <w:rFonts w:hint="eastAsia" w:ascii="宋体" w:hAnsi="宋体" w:cs="宋体"/>
          <w:color w:val="auto"/>
          <w:sz w:val="24"/>
          <w:szCs w:val="24"/>
          <w:highlight w:val="none"/>
        </w:rPr>
        <w:t>，甲乙双方</w:t>
      </w:r>
      <w:r>
        <w:rPr>
          <w:rFonts w:hint="eastAsia" w:ascii="宋体" w:hAnsi="宋体" w:cs="宋体"/>
          <w:color w:val="auto"/>
          <w:sz w:val="24"/>
          <w:szCs w:val="24"/>
          <w:highlight w:val="none"/>
          <w:u w:val="single"/>
        </w:rPr>
        <w:t>各份</w:t>
      </w:r>
      <w:r>
        <w:rPr>
          <w:rFonts w:hint="eastAsia" w:ascii="宋体" w:hAnsi="宋体" w:cs="宋体"/>
          <w:color w:val="auto"/>
          <w:sz w:val="24"/>
          <w:szCs w:val="24"/>
          <w:highlight w:val="none"/>
        </w:rPr>
        <w:t>，份，每份均具有同等法律效力。本合同自双方当事人盖章或者签字时生效。</w:t>
      </w:r>
    </w:p>
    <w:p w14:paraId="467A2010">
      <w:pPr>
        <w:spacing w:line="360" w:lineRule="auto"/>
        <w:rPr>
          <w:rFonts w:ascii="宋体" w:hAnsi="宋体" w:cs="宋体"/>
          <w:color w:val="auto"/>
          <w:sz w:val="24"/>
          <w:szCs w:val="24"/>
          <w:highlight w:val="none"/>
          <w:lang w:val="zh-CN"/>
        </w:rPr>
      </w:pPr>
    </w:p>
    <w:p w14:paraId="4AD5604C">
      <w:pPr>
        <w:spacing w:line="360" w:lineRule="auto"/>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甲方名称（公章）</w:t>
      </w:r>
      <w:r>
        <w:rPr>
          <w:rFonts w:hint="eastAsia" w:ascii="宋体" w:hAnsi="宋体" w:cs="宋体"/>
          <w:color w:val="auto"/>
          <w:sz w:val="24"/>
          <w:szCs w:val="24"/>
          <w:highlight w:val="none"/>
          <w:lang w:val="zh-CN"/>
        </w:rPr>
        <w:t xml:space="preserve">：                       </w:t>
      </w:r>
      <w:r>
        <w:rPr>
          <w:rFonts w:hint="eastAsia" w:ascii="宋体" w:hAnsi="宋体" w:cs="宋体"/>
          <w:b/>
          <w:color w:val="auto"/>
          <w:sz w:val="24"/>
          <w:szCs w:val="24"/>
          <w:highlight w:val="none"/>
          <w:lang w:val="zh-CN"/>
        </w:rPr>
        <w:t>乙方名称（公章）</w:t>
      </w:r>
      <w:r>
        <w:rPr>
          <w:rFonts w:hint="eastAsia" w:ascii="宋体" w:hAnsi="宋体" w:cs="宋体"/>
          <w:color w:val="auto"/>
          <w:sz w:val="24"/>
          <w:szCs w:val="24"/>
          <w:highlight w:val="none"/>
          <w:lang w:val="zh-CN"/>
        </w:rPr>
        <w:t>：</w:t>
      </w:r>
    </w:p>
    <w:p w14:paraId="179FCA04">
      <w:pPr>
        <w:spacing w:line="360" w:lineRule="auto"/>
        <w:rPr>
          <w:rFonts w:ascii="宋体" w:hAnsi="宋体" w:cs="宋体"/>
          <w:color w:val="auto"/>
          <w:sz w:val="24"/>
          <w:szCs w:val="24"/>
          <w:highlight w:val="none"/>
          <w:lang w:val="zh-CN"/>
        </w:rPr>
      </w:pPr>
    </w:p>
    <w:p w14:paraId="45751592">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统一社会信用代码：                       统一社会信用代码或身份证号码：</w:t>
      </w:r>
    </w:p>
    <w:p w14:paraId="5884470D">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住所：                                   住所：</w:t>
      </w:r>
    </w:p>
    <w:p w14:paraId="7A6FB136">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法定代表人或授权代表（签字）：        法定代表人或授权代表（签字）: </w:t>
      </w:r>
    </w:p>
    <w:p w14:paraId="6A0DEAEF">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联系人：                                 联系人：</w:t>
      </w:r>
    </w:p>
    <w:p w14:paraId="3831A171">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约定送达地址：                           约定送达地址：</w:t>
      </w:r>
    </w:p>
    <w:p w14:paraId="3459AA50">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邮政编码：                               邮政编码：</w:t>
      </w:r>
    </w:p>
    <w:p w14:paraId="65BD1443">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电话:                                    电话: </w:t>
      </w:r>
    </w:p>
    <w:p w14:paraId="0A9622A5">
      <w:pPr>
        <w:spacing w:beforeLines="50" w:afterLines="50" w:line="400" w:lineRule="exact"/>
        <w:jc w:val="center"/>
        <w:rPr>
          <w:color w:val="auto"/>
          <w:sz w:val="24"/>
          <w:szCs w:val="24"/>
          <w:highlight w:val="none"/>
        </w:rPr>
      </w:pPr>
    </w:p>
    <w:p w14:paraId="786A374F">
      <w:pPr>
        <w:rPr>
          <w:b/>
          <w:color w:val="auto"/>
          <w:sz w:val="32"/>
          <w:szCs w:val="32"/>
          <w:highlight w:val="none"/>
        </w:rPr>
      </w:pPr>
      <w:r>
        <w:rPr>
          <w:rFonts w:hint="eastAsia"/>
          <w:b/>
          <w:color w:val="auto"/>
          <w:sz w:val="32"/>
          <w:szCs w:val="32"/>
          <w:highlight w:val="none"/>
        </w:rPr>
        <w:br w:type="page"/>
      </w:r>
    </w:p>
    <w:p w14:paraId="346FC303">
      <w:pPr>
        <w:jc w:val="center"/>
        <w:outlineLvl w:val="0"/>
        <w:rPr>
          <w:b/>
          <w:color w:val="auto"/>
          <w:sz w:val="36"/>
          <w:szCs w:val="36"/>
          <w:highlight w:val="none"/>
        </w:rPr>
      </w:pPr>
      <w:bookmarkStart w:id="32" w:name="_Toc2271"/>
      <w:r>
        <w:rPr>
          <w:b/>
          <w:color w:val="auto"/>
          <w:sz w:val="36"/>
          <w:szCs w:val="36"/>
          <w:highlight w:val="none"/>
        </w:rPr>
        <w:t>第</w:t>
      </w:r>
      <w:r>
        <w:rPr>
          <w:rFonts w:hint="eastAsia"/>
          <w:b/>
          <w:color w:val="auto"/>
          <w:sz w:val="36"/>
          <w:szCs w:val="36"/>
          <w:highlight w:val="none"/>
        </w:rPr>
        <w:t>六</w:t>
      </w:r>
      <w:r>
        <w:rPr>
          <w:b/>
          <w:color w:val="auto"/>
          <w:sz w:val="36"/>
          <w:szCs w:val="36"/>
          <w:highlight w:val="none"/>
        </w:rPr>
        <w:t>部分</w:t>
      </w:r>
      <w:r>
        <w:rPr>
          <w:rFonts w:hint="eastAsia"/>
          <w:b/>
          <w:color w:val="auto"/>
          <w:sz w:val="36"/>
          <w:szCs w:val="36"/>
          <w:highlight w:val="none"/>
        </w:rPr>
        <w:t xml:space="preserve">  附件（投标文件格式）</w:t>
      </w:r>
      <w:bookmarkEnd w:id="32"/>
    </w:p>
    <w:p w14:paraId="27E1114E">
      <w:pPr>
        <w:pStyle w:val="13"/>
        <w:ind w:firstLine="0"/>
        <w:rPr>
          <w:rFonts w:ascii="宋体" w:eastAsia="宋体"/>
          <w:b/>
          <w:color w:val="auto"/>
          <w:sz w:val="28"/>
          <w:szCs w:val="28"/>
          <w:highlight w:val="none"/>
        </w:rPr>
      </w:pPr>
    </w:p>
    <w:p w14:paraId="16B3D7A6">
      <w:pPr>
        <w:pStyle w:val="13"/>
        <w:ind w:firstLine="0"/>
        <w:rPr>
          <w:rFonts w:ascii="宋体" w:eastAsia="宋体"/>
          <w:b/>
          <w:color w:val="auto"/>
          <w:sz w:val="28"/>
          <w:szCs w:val="28"/>
          <w:highlight w:val="none"/>
        </w:rPr>
      </w:pPr>
    </w:p>
    <w:p w14:paraId="6902CCDB">
      <w:pPr>
        <w:pStyle w:val="13"/>
        <w:numPr>
          <w:ilvl w:val="0"/>
          <w:numId w:val="2"/>
        </w:numPr>
        <w:ind w:firstLine="0"/>
        <w:rPr>
          <w:rFonts w:ascii="宋体" w:eastAsia="宋体"/>
          <w:b/>
          <w:color w:val="auto"/>
          <w:sz w:val="28"/>
          <w:szCs w:val="28"/>
          <w:highlight w:val="none"/>
        </w:rPr>
      </w:pPr>
      <w:r>
        <w:rPr>
          <w:rFonts w:hint="eastAsia" w:ascii="宋体" w:eastAsia="宋体"/>
          <w:b/>
          <w:color w:val="auto"/>
          <w:sz w:val="28"/>
          <w:szCs w:val="28"/>
          <w:highlight w:val="none"/>
        </w:rPr>
        <w:t>资格文件：</w:t>
      </w:r>
    </w:p>
    <w:p w14:paraId="000FDFA7">
      <w:pPr>
        <w:rPr>
          <w:color w:val="auto"/>
          <w:highlight w:val="none"/>
        </w:rPr>
      </w:pPr>
    </w:p>
    <w:p w14:paraId="40F5ED97">
      <w:pPr>
        <w:pStyle w:val="15"/>
        <w:rPr>
          <w:color w:val="auto"/>
          <w:highlight w:val="none"/>
        </w:rPr>
      </w:pPr>
    </w:p>
    <w:p w14:paraId="3FCA065D">
      <w:pPr>
        <w:rPr>
          <w:color w:val="auto"/>
          <w:highlight w:val="none"/>
        </w:rPr>
      </w:pPr>
    </w:p>
    <w:p w14:paraId="466726D7">
      <w:pPr>
        <w:pStyle w:val="13"/>
        <w:ind w:firstLine="0"/>
        <w:jc w:val="center"/>
        <w:rPr>
          <w:rFonts w:ascii="宋体" w:eastAsia="宋体"/>
          <w:b/>
          <w:color w:val="auto"/>
          <w:sz w:val="28"/>
          <w:highlight w:val="none"/>
        </w:rPr>
      </w:pPr>
    </w:p>
    <w:p w14:paraId="5A057934">
      <w:pPr>
        <w:pStyle w:val="13"/>
        <w:ind w:firstLine="0"/>
        <w:jc w:val="center"/>
        <w:rPr>
          <w:rFonts w:ascii="宋体" w:eastAsia="宋体"/>
          <w:b/>
          <w:color w:val="auto"/>
          <w:sz w:val="28"/>
          <w:highlight w:val="none"/>
        </w:rPr>
      </w:pPr>
      <w:r>
        <w:rPr>
          <w:rFonts w:hint="eastAsia" w:ascii="宋体" w:eastAsia="宋体"/>
          <w:b/>
          <w:color w:val="auto"/>
          <w:sz w:val="28"/>
          <w:highlight w:val="none"/>
        </w:rPr>
        <w:t>一、营业执照</w:t>
      </w:r>
    </w:p>
    <w:p w14:paraId="79B133E7">
      <w:pPr>
        <w:pStyle w:val="13"/>
        <w:ind w:firstLine="0"/>
        <w:jc w:val="center"/>
        <w:rPr>
          <w:rFonts w:ascii="宋体" w:eastAsia="宋体"/>
          <w:color w:val="auto"/>
          <w:highlight w:val="none"/>
        </w:rPr>
      </w:pPr>
    </w:p>
    <w:p w14:paraId="76A30A60">
      <w:pPr>
        <w:pStyle w:val="13"/>
        <w:ind w:firstLine="0"/>
        <w:rPr>
          <w:rFonts w:ascii="宋体" w:eastAsia="宋体"/>
          <w:color w:val="auto"/>
          <w:highlight w:val="none"/>
        </w:rPr>
      </w:pPr>
      <w:r>
        <w:rPr>
          <w:rFonts w:hint="eastAsia" w:ascii="宋体" w:eastAsia="宋体"/>
          <w:color w:val="auto"/>
          <w:highlight w:val="none"/>
        </w:rPr>
        <w:t>有效的企业法人营业执照（或事业法人登记证）、其他组织（个体工商户）的营业执照或者民办非企业单位登记证书；</w:t>
      </w:r>
    </w:p>
    <w:p w14:paraId="0266A15B">
      <w:pPr>
        <w:pStyle w:val="13"/>
        <w:ind w:firstLine="0"/>
        <w:jc w:val="center"/>
        <w:rPr>
          <w:rFonts w:ascii="宋体" w:eastAsia="宋体"/>
          <w:color w:val="auto"/>
          <w:highlight w:val="none"/>
        </w:rPr>
      </w:pPr>
    </w:p>
    <w:p w14:paraId="07A11910">
      <w:pPr>
        <w:pStyle w:val="13"/>
        <w:ind w:firstLine="0"/>
        <w:jc w:val="center"/>
        <w:rPr>
          <w:rFonts w:ascii="宋体" w:eastAsia="宋体"/>
          <w:color w:val="auto"/>
          <w:highlight w:val="none"/>
        </w:rPr>
      </w:pPr>
      <w:r>
        <w:rPr>
          <w:rFonts w:hint="eastAsia" w:ascii="宋体" w:eastAsia="宋体"/>
          <w:color w:val="auto"/>
          <w:highlight w:val="none"/>
        </w:rPr>
        <w:t>（复印件并加盖公章）</w:t>
      </w:r>
    </w:p>
    <w:p w14:paraId="70D1A015">
      <w:pPr>
        <w:pStyle w:val="13"/>
        <w:ind w:firstLine="0"/>
        <w:rPr>
          <w:rFonts w:ascii="宋体" w:eastAsia="宋体"/>
          <w:color w:val="auto"/>
          <w:highlight w:val="none"/>
        </w:rPr>
      </w:pPr>
    </w:p>
    <w:p w14:paraId="5D6E63D4">
      <w:pPr>
        <w:pStyle w:val="13"/>
        <w:ind w:firstLine="0"/>
        <w:rPr>
          <w:rFonts w:ascii="宋体" w:eastAsia="宋体"/>
          <w:color w:val="auto"/>
          <w:highlight w:val="none"/>
        </w:rPr>
      </w:pPr>
    </w:p>
    <w:p w14:paraId="6A3AECCE">
      <w:pPr>
        <w:pStyle w:val="13"/>
        <w:ind w:firstLine="0"/>
        <w:rPr>
          <w:rFonts w:ascii="宋体" w:eastAsia="宋体"/>
          <w:color w:val="auto"/>
          <w:highlight w:val="none"/>
        </w:rPr>
      </w:pPr>
    </w:p>
    <w:p w14:paraId="6E5C90BD">
      <w:pPr>
        <w:pStyle w:val="13"/>
        <w:ind w:firstLine="0"/>
        <w:rPr>
          <w:rFonts w:ascii="宋体" w:eastAsia="宋体"/>
          <w:color w:val="auto"/>
          <w:highlight w:val="none"/>
        </w:rPr>
      </w:pPr>
    </w:p>
    <w:p w14:paraId="0875708D">
      <w:pPr>
        <w:pStyle w:val="13"/>
        <w:ind w:firstLine="0"/>
        <w:rPr>
          <w:rFonts w:ascii="宋体" w:eastAsia="宋体"/>
          <w:b/>
          <w:color w:val="auto"/>
          <w:sz w:val="28"/>
          <w:highlight w:val="none"/>
        </w:rPr>
      </w:pPr>
      <w:r>
        <w:rPr>
          <w:rFonts w:ascii="宋体" w:eastAsia="宋体"/>
          <w:b/>
          <w:color w:val="auto"/>
          <w:sz w:val="28"/>
          <w:highlight w:val="none"/>
        </w:rPr>
        <w:br w:type="page"/>
      </w:r>
    </w:p>
    <w:p w14:paraId="332C34C6">
      <w:pPr>
        <w:pStyle w:val="13"/>
        <w:spacing w:line="480" w:lineRule="auto"/>
        <w:ind w:firstLine="0"/>
        <w:jc w:val="center"/>
        <w:rPr>
          <w:rFonts w:ascii="宋体" w:eastAsia="宋体"/>
          <w:b/>
          <w:color w:val="auto"/>
          <w:sz w:val="28"/>
          <w:highlight w:val="none"/>
        </w:rPr>
      </w:pPr>
      <w:r>
        <w:rPr>
          <w:rFonts w:hint="eastAsia" w:ascii="宋体" w:eastAsia="宋体"/>
          <w:b/>
          <w:color w:val="auto"/>
          <w:sz w:val="28"/>
          <w:highlight w:val="none"/>
        </w:rPr>
        <w:t>二、</w:t>
      </w:r>
      <w:r>
        <w:rPr>
          <w:rFonts w:hint="eastAsia" w:eastAsia="宋体"/>
          <w:b/>
          <w:color w:val="auto"/>
          <w:sz w:val="28"/>
          <w:highlight w:val="none"/>
        </w:rPr>
        <w:t>合格供应商的资格承诺书</w:t>
      </w:r>
    </w:p>
    <w:p w14:paraId="0863E9B9">
      <w:pPr>
        <w:pStyle w:val="13"/>
        <w:spacing w:line="520" w:lineRule="exact"/>
        <w:ind w:firstLine="0"/>
        <w:jc w:val="center"/>
        <w:rPr>
          <w:rFonts w:eastAsia="宋体"/>
          <w:b/>
          <w:color w:val="auto"/>
          <w:sz w:val="28"/>
          <w:highlight w:val="none"/>
        </w:rPr>
      </w:pPr>
      <w:r>
        <w:rPr>
          <w:rFonts w:hint="eastAsia" w:eastAsia="宋体"/>
          <w:b/>
          <w:color w:val="auto"/>
          <w:sz w:val="28"/>
          <w:highlight w:val="none"/>
        </w:rPr>
        <w:t>合格供应商的资格承诺书</w:t>
      </w:r>
    </w:p>
    <w:p w14:paraId="64C3DD32">
      <w:pPr>
        <w:tabs>
          <w:tab w:val="left" w:pos="606"/>
        </w:tabs>
        <w:spacing w:line="360" w:lineRule="auto"/>
        <w:rPr>
          <w:rFonts w:ascii="宋体" w:hAnsi="宋体"/>
          <w:color w:val="auto"/>
          <w:szCs w:val="21"/>
          <w:highlight w:val="none"/>
        </w:rPr>
      </w:pPr>
    </w:p>
    <w:p w14:paraId="432D9AD9">
      <w:pPr>
        <w:tabs>
          <w:tab w:val="left" w:pos="606"/>
        </w:tabs>
        <w:spacing w:line="360" w:lineRule="exact"/>
        <w:rPr>
          <w:rFonts w:ascii="宋体" w:hAnsi="宋体"/>
          <w:color w:val="auto"/>
          <w:sz w:val="24"/>
          <w:szCs w:val="24"/>
          <w:highlight w:val="none"/>
        </w:rPr>
      </w:pPr>
      <w:r>
        <w:rPr>
          <w:rFonts w:hint="eastAsia" w:ascii="宋体" w:hAnsi="宋体"/>
          <w:color w:val="auto"/>
          <w:sz w:val="24"/>
          <w:szCs w:val="24"/>
          <w:highlight w:val="none"/>
        </w:rPr>
        <w:t>（一）我单位符合《中华人民共和国政府采购法》第二十二条规定的供应商资格条件：</w:t>
      </w:r>
    </w:p>
    <w:p w14:paraId="4701EAFA">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1、具有独立承担民事责任的能力；</w:t>
      </w:r>
    </w:p>
    <w:p w14:paraId="55271F20">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14:paraId="602EED38">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14:paraId="7CD55DF9">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4、有依法缴纳税收和社会保障资金的良好记录；</w:t>
      </w:r>
    </w:p>
    <w:p w14:paraId="43B78E1E">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5、参加政府采购活动前三年内，在经营活动中没有重大违法记录；</w:t>
      </w:r>
    </w:p>
    <w:p w14:paraId="47C54286">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6、法律、行政法规规定的其他条件。</w:t>
      </w:r>
    </w:p>
    <w:p w14:paraId="603BD41C">
      <w:pPr>
        <w:tabs>
          <w:tab w:val="left" w:pos="606"/>
        </w:tabs>
        <w:spacing w:line="360" w:lineRule="exact"/>
        <w:rPr>
          <w:rFonts w:ascii="宋体" w:hAnsi="宋体"/>
          <w:color w:val="auto"/>
          <w:sz w:val="24"/>
          <w:szCs w:val="24"/>
          <w:highlight w:val="none"/>
        </w:rPr>
      </w:pPr>
      <w:r>
        <w:rPr>
          <w:rFonts w:hint="eastAsia" w:ascii="宋体" w:hAnsi="宋体"/>
          <w:color w:val="auto"/>
          <w:sz w:val="24"/>
          <w:szCs w:val="24"/>
          <w:highlight w:val="none"/>
        </w:rPr>
        <w:t>（二）我单位承诺遵守以下规定：</w:t>
      </w:r>
    </w:p>
    <w:p w14:paraId="70973962">
      <w:pPr>
        <w:tabs>
          <w:tab w:val="left" w:pos="606"/>
        </w:tabs>
        <w:spacing w:line="360" w:lineRule="exact"/>
        <w:ind w:firstLine="480" w:firstLineChars="200"/>
        <w:rPr>
          <w:rFonts w:ascii="宋体" w:hAnsi="宋体"/>
          <w:color w:val="auto"/>
          <w:sz w:val="24"/>
          <w:szCs w:val="24"/>
          <w:highlight w:val="none"/>
        </w:rPr>
      </w:pPr>
      <w:r>
        <w:rPr>
          <w:rFonts w:hint="eastAsia" w:hAnsi="宋体"/>
          <w:color w:val="auto"/>
          <w:sz w:val="24"/>
          <w:szCs w:val="24"/>
          <w:highlight w:val="none"/>
        </w:rPr>
        <w:t>单位负责人为同一人或者存在直接控股、管理关系的不同投标人，不得同时参加同一合同项下的政府采购活动。为本项目提供整体设计、规范编制或者项目管理、监理、检测等服务的投标人，不得再参加该项目的其他采购活动。</w:t>
      </w:r>
    </w:p>
    <w:p w14:paraId="320D9138">
      <w:pPr>
        <w:tabs>
          <w:tab w:val="left" w:pos="606"/>
        </w:tabs>
        <w:spacing w:line="360" w:lineRule="exact"/>
        <w:rPr>
          <w:rFonts w:ascii="宋体" w:hAnsi="宋体"/>
          <w:color w:val="auto"/>
          <w:sz w:val="24"/>
          <w:szCs w:val="24"/>
          <w:highlight w:val="none"/>
        </w:rPr>
      </w:pPr>
      <w:r>
        <w:rPr>
          <w:rFonts w:hint="eastAsia" w:ascii="宋体" w:hAnsi="宋体"/>
          <w:color w:val="auto"/>
          <w:sz w:val="24"/>
          <w:szCs w:val="24"/>
          <w:highlight w:val="none"/>
        </w:rPr>
        <w:t>（三）我单位</w:t>
      </w:r>
      <w:r>
        <w:rPr>
          <w:rFonts w:hint="eastAsia"/>
          <w:color w:val="auto"/>
          <w:sz w:val="24"/>
          <w:highlight w:val="none"/>
        </w:rPr>
        <w:t>未被信用中国网站（</w:t>
      </w:r>
      <w:r>
        <w:rPr>
          <w:color w:val="auto"/>
          <w:sz w:val="24"/>
          <w:highlight w:val="none"/>
        </w:rPr>
        <w:t>www.creditchina.gov.cn</w:t>
      </w:r>
      <w:r>
        <w:rPr>
          <w:rFonts w:hint="eastAsia"/>
          <w:color w:val="auto"/>
          <w:sz w:val="24"/>
          <w:highlight w:val="none"/>
        </w:rPr>
        <w:t>）列入失信被执行人、重大税收违法失信主体名单；未被中国政府采购网（</w:t>
      </w:r>
      <w:r>
        <w:rPr>
          <w:color w:val="auto"/>
          <w:sz w:val="24"/>
          <w:highlight w:val="none"/>
        </w:rPr>
        <w:t>www.ccgp.gov.cn</w:t>
      </w:r>
      <w:r>
        <w:rPr>
          <w:rFonts w:hint="eastAsia"/>
          <w:color w:val="auto"/>
          <w:sz w:val="24"/>
          <w:highlight w:val="none"/>
        </w:rPr>
        <w:t>）列入政府采购严重违法失信行为记录名单。</w:t>
      </w:r>
    </w:p>
    <w:p w14:paraId="2453054F">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75A9483F">
      <w:pPr>
        <w:pStyle w:val="13"/>
        <w:spacing w:line="520" w:lineRule="exact"/>
        <w:ind w:firstLine="0"/>
        <w:rPr>
          <w:rFonts w:ascii="宋体" w:eastAsia="宋体"/>
          <w:color w:val="auto"/>
          <w:highlight w:val="none"/>
        </w:rPr>
      </w:pPr>
    </w:p>
    <w:p w14:paraId="4F4DCB43">
      <w:pPr>
        <w:pStyle w:val="13"/>
        <w:spacing w:beforeLines="50" w:line="360" w:lineRule="exact"/>
        <w:ind w:firstLine="5143" w:firstLineChars="2143"/>
        <w:rPr>
          <w:rFonts w:eastAsia="宋体"/>
          <w:color w:val="auto"/>
          <w:szCs w:val="24"/>
          <w:highlight w:val="none"/>
        </w:rPr>
      </w:pPr>
      <w:r>
        <w:rPr>
          <w:rFonts w:hint="eastAsia" w:eastAsia="宋体"/>
          <w:color w:val="auto"/>
          <w:szCs w:val="24"/>
          <w:highlight w:val="none"/>
        </w:rPr>
        <w:t>投标人单位（盖公章）：</w:t>
      </w:r>
    </w:p>
    <w:p w14:paraId="736B8FEA">
      <w:pPr>
        <w:pStyle w:val="13"/>
        <w:spacing w:beforeLines="50" w:line="360" w:lineRule="exact"/>
        <w:ind w:firstLine="3902" w:firstLineChars="1626"/>
        <w:rPr>
          <w:rFonts w:eastAsia="宋体"/>
          <w:color w:val="auto"/>
          <w:szCs w:val="24"/>
          <w:highlight w:val="none"/>
        </w:rPr>
      </w:pPr>
      <w:r>
        <w:rPr>
          <w:rFonts w:hint="eastAsia" w:eastAsia="宋体"/>
          <w:color w:val="auto"/>
          <w:szCs w:val="24"/>
          <w:highlight w:val="none"/>
        </w:rPr>
        <w:t>法定代表人或被授权代表人（签字或盖章）：</w:t>
      </w:r>
    </w:p>
    <w:p w14:paraId="3A0CBD49">
      <w:pPr>
        <w:pStyle w:val="13"/>
        <w:spacing w:beforeLines="50" w:line="360" w:lineRule="exact"/>
        <w:ind w:firstLine="5143" w:firstLineChars="2143"/>
        <w:rPr>
          <w:rFonts w:ascii="宋体" w:eastAsia="宋体"/>
          <w:color w:val="auto"/>
          <w:highlight w:val="none"/>
        </w:rPr>
      </w:pPr>
      <w:r>
        <w:rPr>
          <w:rFonts w:hint="eastAsia" w:eastAsia="宋体"/>
          <w:color w:val="auto"/>
          <w:szCs w:val="24"/>
          <w:highlight w:val="none"/>
        </w:rPr>
        <w:t>日期：</w:t>
      </w:r>
    </w:p>
    <w:p w14:paraId="6AB5F14E">
      <w:pPr>
        <w:pStyle w:val="13"/>
        <w:spacing w:line="480" w:lineRule="auto"/>
        <w:ind w:firstLine="0"/>
        <w:rPr>
          <w:rFonts w:ascii="宋体" w:eastAsia="宋体"/>
          <w:b/>
          <w:color w:val="auto"/>
          <w:sz w:val="28"/>
          <w:highlight w:val="none"/>
        </w:rPr>
      </w:pPr>
    </w:p>
    <w:p w14:paraId="60088773">
      <w:pPr>
        <w:rPr>
          <w:rFonts w:ascii="宋体"/>
          <w:b/>
          <w:color w:val="auto"/>
          <w:sz w:val="28"/>
          <w:highlight w:val="none"/>
        </w:rPr>
      </w:pPr>
      <w:r>
        <w:rPr>
          <w:rFonts w:hint="eastAsia" w:ascii="宋体"/>
          <w:b/>
          <w:color w:val="auto"/>
          <w:sz w:val="28"/>
          <w:highlight w:val="none"/>
        </w:rPr>
        <w:br w:type="page"/>
      </w:r>
    </w:p>
    <w:p w14:paraId="55F9050C">
      <w:pPr>
        <w:pStyle w:val="13"/>
        <w:spacing w:line="480" w:lineRule="auto"/>
        <w:ind w:firstLine="0"/>
        <w:jc w:val="center"/>
        <w:rPr>
          <w:rFonts w:ascii="宋体" w:eastAsia="宋体"/>
          <w:b/>
          <w:color w:val="auto"/>
          <w:sz w:val="28"/>
          <w:highlight w:val="none"/>
        </w:rPr>
      </w:pPr>
      <w:r>
        <w:rPr>
          <w:rFonts w:hint="eastAsia" w:ascii="宋体" w:eastAsia="宋体"/>
          <w:b/>
          <w:color w:val="auto"/>
          <w:sz w:val="28"/>
          <w:highlight w:val="none"/>
        </w:rPr>
        <w:t>三、本项目的特定资格要求</w:t>
      </w:r>
    </w:p>
    <w:p w14:paraId="15BE1095">
      <w:pPr>
        <w:pStyle w:val="13"/>
        <w:spacing w:line="480" w:lineRule="auto"/>
        <w:ind w:firstLine="0"/>
        <w:jc w:val="center"/>
        <w:rPr>
          <w:rFonts w:ascii="宋体" w:eastAsia="宋体"/>
          <w:bCs/>
          <w:color w:val="auto"/>
          <w:sz w:val="28"/>
          <w:highlight w:val="none"/>
        </w:rPr>
      </w:pPr>
      <w:r>
        <w:rPr>
          <w:rFonts w:hint="eastAsia" w:ascii="宋体" w:eastAsia="宋体"/>
          <w:bCs/>
          <w:color w:val="auto"/>
          <w:sz w:val="28"/>
          <w:highlight w:val="none"/>
        </w:rPr>
        <w:t>（本项目无）</w:t>
      </w:r>
    </w:p>
    <w:p w14:paraId="20595C2A">
      <w:pPr>
        <w:rPr>
          <w:rFonts w:ascii="宋体"/>
          <w:b/>
          <w:color w:val="auto"/>
          <w:sz w:val="28"/>
          <w:highlight w:val="none"/>
        </w:rPr>
      </w:pPr>
      <w:r>
        <w:rPr>
          <w:rFonts w:hint="eastAsia" w:ascii="宋体"/>
          <w:b/>
          <w:color w:val="auto"/>
          <w:sz w:val="28"/>
          <w:highlight w:val="none"/>
        </w:rPr>
        <w:br w:type="page"/>
      </w:r>
    </w:p>
    <w:p w14:paraId="7599682D">
      <w:pPr>
        <w:pStyle w:val="13"/>
        <w:ind w:firstLine="0"/>
        <w:rPr>
          <w:rFonts w:ascii="宋体" w:eastAsia="宋体"/>
          <w:b/>
          <w:color w:val="auto"/>
          <w:sz w:val="28"/>
          <w:szCs w:val="28"/>
          <w:highlight w:val="none"/>
        </w:rPr>
      </w:pPr>
      <w:r>
        <w:rPr>
          <w:rFonts w:hint="eastAsia" w:ascii="宋体" w:eastAsia="宋体"/>
          <w:b/>
          <w:color w:val="auto"/>
          <w:sz w:val="28"/>
          <w:szCs w:val="28"/>
          <w:highlight w:val="none"/>
        </w:rPr>
        <w:t>（二）技术商务文件：</w:t>
      </w:r>
    </w:p>
    <w:p w14:paraId="0327F2BE">
      <w:pPr>
        <w:rPr>
          <w:color w:val="auto"/>
          <w:highlight w:val="none"/>
        </w:rPr>
      </w:pPr>
    </w:p>
    <w:p w14:paraId="60E1AACB">
      <w:pPr>
        <w:pStyle w:val="13"/>
        <w:ind w:firstLine="0"/>
        <w:jc w:val="center"/>
        <w:rPr>
          <w:rFonts w:ascii="宋体" w:eastAsia="宋体"/>
          <w:b/>
          <w:color w:val="auto"/>
          <w:sz w:val="28"/>
          <w:szCs w:val="28"/>
          <w:highlight w:val="none"/>
        </w:rPr>
      </w:pPr>
      <w:r>
        <w:rPr>
          <w:rFonts w:hint="eastAsia" w:ascii="宋体" w:eastAsia="宋体"/>
          <w:b/>
          <w:color w:val="auto"/>
          <w:sz w:val="28"/>
          <w:szCs w:val="28"/>
          <w:highlight w:val="none"/>
        </w:rPr>
        <w:t>一、投标函</w:t>
      </w:r>
    </w:p>
    <w:p w14:paraId="2F109264">
      <w:pPr>
        <w:pStyle w:val="13"/>
        <w:spacing w:beforeLines="50" w:afterLines="50" w:line="360" w:lineRule="exact"/>
        <w:ind w:firstLine="0"/>
        <w:rPr>
          <w:rFonts w:eastAsia="宋体"/>
          <w:color w:val="auto"/>
          <w:highlight w:val="none"/>
        </w:rPr>
      </w:pPr>
      <w:r>
        <w:rPr>
          <w:rFonts w:eastAsia="宋体"/>
          <w:color w:val="auto"/>
          <w:highlight w:val="none"/>
          <w:u w:val="single"/>
        </w:rPr>
        <w:t xml:space="preserve">   致</w:t>
      </w:r>
      <w:r>
        <w:rPr>
          <w:rFonts w:eastAsia="宋体"/>
          <w:i/>
          <w:color w:val="auto"/>
          <w:highlight w:val="none"/>
          <w:u w:val="single"/>
        </w:rPr>
        <w:t xml:space="preserve">（采购人） </w:t>
      </w:r>
      <w:r>
        <w:rPr>
          <w:rFonts w:eastAsia="宋体"/>
          <w:color w:val="auto"/>
          <w:highlight w:val="none"/>
        </w:rPr>
        <w:t>：</w:t>
      </w:r>
    </w:p>
    <w:p w14:paraId="6C74E07C">
      <w:pPr>
        <w:pStyle w:val="13"/>
        <w:spacing w:line="360" w:lineRule="exact"/>
        <w:ind w:firstLineChars="200"/>
        <w:rPr>
          <w:rFonts w:eastAsia="宋体"/>
          <w:color w:val="auto"/>
          <w:highlight w:val="none"/>
          <w:u w:val="single"/>
        </w:rPr>
      </w:pPr>
      <w:r>
        <w:rPr>
          <w:rFonts w:eastAsia="宋体"/>
          <w:i/>
          <w:color w:val="auto"/>
          <w:highlight w:val="none"/>
          <w:u w:val="single"/>
        </w:rPr>
        <w:t xml:space="preserve"> （投标人全称）</w:t>
      </w:r>
      <w:r>
        <w:rPr>
          <w:rFonts w:eastAsia="宋体"/>
          <w:color w:val="auto"/>
          <w:highlight w:val="none"/>
        </w:rPr>
        <w:t xml:space="preserve"> 授权</w:t>
      </w:r>
      <w:r>
        <w:rPr>
          <w:rFonts w:eastAsia="宋体"/>
          <w:i/>
          <w:color w:val="auto"/>
          <w:highlight w:val="none"/>
          <w:u w:val="single"/>
        </w:rPr>
        <w:t xml:space="preserve">（全权代表姓名、职务） </w:t>
      </w:r>
      <w:r>
        <w:rPr>
          <w:rFonts w:eastAsia="宋体"/>
          <w:color w:val="auto"/>
          <w:highlight w:val="none"/>
        </w:rPr>
        <w:t xml:space="preserve">为本公司合法代理人，参加 </w:t>
      </w:r>
      <w:r>
        <w:rPr>
          <w:rFonts w:eastAsia="宋体"/>
          <w:i/>
          <w:color w:val="auto"/>
          <w:highlight w:val="none"/>
          <w:u w:val="single"/>
        </w:rPr>
        <w:t>（</w:t>
      </w:r>
      <w:r>
        <w:rPr>
          <w:rFonts w:hint="eastAsia" w:eastAsia="宋体"/>
          <w:i/>
          <w:color w:val="auto"/>
          <w:highlight w:val="none"/>
          <w:u w:val="single"/>
        </w:rPr>
        <w:t>项目</w:t>
      </w:r>
      <w:r>
        <w:rPr>
          <w:rFonts w:eastAsia="宋体"/>
          <w:i/>
          <w:color w:val="auto"/>
          <w:highlight w:val="none"/>
          <w:u w:val="single"/>
        </w:rPr>
        <w:t>编号、项目名称）</w:t>
      </w:r>
      <w:r>
        <w:rPr>
          <w:rFonts w:eastAsia="宋体"/>
          <w:color w:val="auto"/>
          <w:highlight w:val="none"/>
        </w:rPr>
        <w:t>招投标活动，代表本公司处理招投标活动中的一切事宜，在此：</w:t>
      </w:r>
    </w:p>
    <w:p w14:paraId="1F3C2A01">
      <w:pPr>
        <w:pStyle w:val="13"/>
        <w:numPr>
          <w:ilvl w:val="0"/>
          <w:numId w:val="3"/>
        </w:numPr>
        <w:tabs>
          <w:tab w:val="left" w:pos="525"/>
          <w:tab w:val="clear" w:pos="840"/>
        </w:tabs>
        <w:spacing w:beforeLines="50" w:line="360" w:lineRule="exact"/>
        <w:ind w:left="0" w:firstLine="0"/>
        <w:rPr>
          <w:rFonts w:eastAsia="宋体"/>
          <w:color w:val="auto"/>
          <w:highlight w:val="none"/>
        </w:rPr>
      </w:pPr>
      <w:r>
        <w:rPr>
          <w:rFonts w:eastAsia="宋体"/>
          <w:color w:val="auto"/>
          <w:highlight w:val="none"/>
        </w:rPr>
        <w:t>提供招标文件中</w:t>
      </w:r>
      <w:r>
        <w:rPr>
          <w:rFonts w:hint="eastAsia" w:eastAsia="宋体"/>
          <w:color w:val="auto"/>
          <w:highlight w:val="none"/>
        </w:rPr>
        <w:t>“</w:t>
      </w:r>
      <w:r>
        <w:rPr>
          <w:rFonts w:eastAsia="宋体"/>
          <w:color w:val="auto"/>
          <w:highlight w:val="none"/>
        </w:rPr>
        <w:t>投标人须知及前附表</w:t>
      </w:r>
      <w:r>
        <w:rPr>
          <w:rFonts w:hint="eastAsia" w:eastAsia="宋体"/>
          <w:color w:val="auto"/>
          <w:highlight w:val="none"/>
        </w:rPr>
        <w:t>”</w:t>
      </w:r>
      <w:r>
        <w:rPr>
          <w:rFonts w:eastAsia="宋体"/>
          <w:color w:val="auto"/>
          <w:highlight w:val="none"/>
        </w:rPr>
        <w:t>中规定的全部投标文件</w:t>
      </w:r>
      <w:r>
        <w:rPr>
          <w:rFonts w:hint="eastAsia" w:eastAsia="宋体"/>
          <w:color w:val="auto"/>
          <w:highlight w:val="none"/>
        </w:rPr>
        <w:t>。</w:t>
      </w:r>
    </w:p>
    <w:p w14:paraId="0CA31EC8">
      <w:pPr>
        <w:pStyle w:val="13"/>
        <w:numPr>
          <w:ilvl w:val="0"/>
          <w:numId w:val="3"/>
        </w:numPr>
        <w:tabs>
          <w:tab w:val="left" w:pos="525"/>
          <w:tab w:val="clear" w:pos="840"/>
        </w:tabs>
        <w:spacing w:beforeLines="50" w:line="360" w:lineRule="exact"/>
        <w:ind w:left="0" w:firstLine="0"/>
        <w:rPr>
          <w:rFonts w:eastAsia="宋体"/>
          <w:color w:val="auto"/>
          <w:highlight w:val="none"/>
        </w:rPr>
      </w:pPr>
      <w:r>
        <w:rPr>
          <w:rFonts w:eastAsia="宋体"/>
          <w:color w:val="auto"/>
          <w:highlight w:val="none"/>
        </w:rPr>
        <w:t>据此函，签字代表宣布并承诺如下：</w:t>
      </w:r>
    </w:p>
    <w:p w14:paraId="18852E45">
      <w:pPr>
        <w:pStyle w:val="13"/>
        <w:spacing w:line="360" w:lineRule="exact"/>
        <w:ind w:firstLine="0"/>
        <w:rPr>
          <w:rFonts w:eastAsia="宋体"/>
          <w:color w:val="auto"/>
          <w:highlight w:val="none"/>
        </w:rPr>
      </w:pPr>
      <w:r>
        <w:rPr>
          <w:rFonts w:eastAsia="宋体"/>
          <w:color w:val="auto"/>
          <w:highlight w:val="none"/>
        </w:rPr>
        <w:t>（1）</w:t>
      </w:r>
      <w:r>
        <w:rPr>
          <w:rFonts w:hint="eastAsia" w:eastAsia="宋体"/>
          <w:color w:val="auto"/>
          <w:highlight w:val="none"/>
        </w:rPr>
        <w:t>本项目</w:t>
      </w:r>
      <w:r>
        <w:rPr>
          <w:rFonts w:eastAsia="宋体"/>
          <w:color w:val="auto"/>
          <w:highlight w:val="none"/>
        </w:rPr>
        <w:t>的投标总价</w:t>
      </w:r>
      <w:r>
        <w:rPr>
          <w:rFonts w:hint="eastAsia" w:eastAsia="宋体"/>
          <w:color w:val="auto"/>
          <w:highlight w:val="none"/>
          <w:u w:val="single"/>
        </w:rPr>
        <w:t xml:space="preserve">详见开标一览表 </w:t>
      </w:r>
      <w:r>
        <w:rPr>
          <w:rFonts w:eastAsia="宋体"/>
          <w:color w:val="auto"/>
          <w:highlight w:val="none"/>
        </w:rPr>
        <w:t>。本报价已经包含了</w:t>
      </w:r>
      <w:r>
        <w:rPr>
          <w:rFonts w:hint="eastAsia" w:eastAsia="宋体"/>
          <w:color w:val="auto"/>
          <w:highlight w:val="none"/>
        </w:rPr>
        <w:t>本项目</w:t>
      </w:r>
      <w:r>
        <w:rPr>
          <w:rFonts w:eastAsia="宋体"/>
          <w:color w:val="auto"/>
          <w:highlight w:val="none"/>
        </w:rPr>
        <w:t>应纳的税金及招标文件规定的报价方式应包含的</w:t>
      </w:r>
      <w:r>
        <w:rPr>
          <w:rFonts w:hint="eastAsia" w:eastAsia="宋体"/>
          <w:color w:val="auto"/>
          <w:highlight w:val="none"/>
        </w:rPr>
        <w:t>所有</w:t>
      </w:r>
      <w:r>
        <w:rPr>
          <w:rFonts w:eastAsia="宋体"/>
          <w:color w:val="auto"/>
          <w:highlight w:val="none"/>
        </w:rPr>
        <w:t>费用。本报价在投标有效期内固定不变，并在合同有效期内不受利率波动的影响。</w:t>
      </w:r>
    </w:p>
    <w:p w14:paraId="53E10FFC">
      <w:pPr>
        <w:pStyle w:val="13"/>
        <w:spacing w:line="360" w:lineRule="exact"/>
        <w:ind w:firstLine="0"/>
        <w:rPr>
          <w:rFonts w:eastAsia="宋体"/>
          <w:color w:val="auto"/>
          <w:highlight w:val="none"/>
        </w:rPr>
      </w:pPr>
      <w:r>
        <w:rPr>
          <w:rFonts w:eastAsia="宋体"/>
          <w:color w:val="auto"/>
          <w:highlight w:val="none"/>
        </w:rPr>
        <w:t>（2）本投标</w:t>
      </w:r>
      <w:r>
        <w:rPr>
          <w:rFonts w:hint="eastAsia" w:eastAsia="宋体"/>
          <w:color w:val="auto"/>
          <w:highlight w:val="none"/>
        </w:rPr>
        <w:t>文件</w:t>
      </w:r>
      <w:r>
        <w:rPr>
          <w:rFonts w:eastAsia="宋体"/>
          <w:color w:val="auto"/>
          <w:highlight w:val="none"/>
        </w:rPr>
        <w:t>自开标之日起</w:t>
      </w:r>
      <w:r>
        <w:rPr>
          <w:rFonts w:hint="eastAsia" w:eastAsia="宋体"/>
          <w:color w:val="auto"/>
          <w:highlight w:val="none"/>
          <w:u w:val="single"/>
        </w:rPr>
        <w:t>90</w:t>
      </w:r>
      <w:r>
        <w:rPr>
          <w:rFonts w:eastAsia="宋体"/>
          <w:color w:val="auto"/>
          <w:highlight w:val="none"/>
        </w:rPr>
        <w:t>天内有效。</w:t>
      </w:r>
    </w:p>
    <w:p w14:paraId="120D6526">
      <w:pPr>
        <w:pStyle w:val="13"/>
        <w:spacing w:line="360" w:lineRule="exact"/>
        <w:ind w:firstLine="0"/>
        <w:rPr>
          <w:rFonts w:eastAsia="宋体"/>
          <w:color w:val="auto"/>
          <w:highlight w:val="none"/>
        </w:rPr>
      </w:pPr>
      <w:r>
        <w:rPr>
          <w:rFonts w:eastAsia="宋体"/>
          <w:color w:val="auto"/>
          <w:highlight w:val="none"/>
        </w:rPr>
        <w:t>（3）我们已详细审查全部招标文件及有关的澄清/修改文件(若有的话)，我们完全理解并同意放弃对这方面提出任何异议的权利。</w:t>
      </w:r>
    </w:p>
    <w:p w14:paraId="017124D8">
      <w:pPr>
        <w:pStyle w:val="13"/>
        <w:spacing w:line="360" w:lineRule="exact"/>
        <w:ind w:firstLine="0"/>
        <w:rPr>
          <w:rFonts w:eastAsia="宋体"/>
          <w:color w:val="auto"/>
          <w:highlight w:val="none"/>
        </w:rPr>
      </w:pPr>
      <w:r>
        <w:rPr>
          <w:rFonts w:eastAsia="宋体"/>
          <w:color w:val="auto"/>
          <w:highlight w:val="none"/>
        </w:rPr>
        <w:t>（4）保证遵守招标文件有关条款规定。</w:t>
      </w:r>
    </w:p>
    <w:p w14:paraId="3D5CF4A0">
      <w:pPr>
        <w:pStyle w:val="13"/>
        <w:spacing w:line="360" w:lineRule="exact"/>
        <w:ind w:firstLine="0"/>
        <w:rPr>
          <w:rFonts w:eastAsia="宋体"/>
          <w:color w:val="auto"/>
          <w:highlight w:val="none"/>
        </w:rPr>
      </w:pPr>
      <w:r>
        <w:rPr>
          <w:rFonts w:eastAsia="宋体"/>
          <w:color w:val="auto"/>
          <w:highlight w:val="none"/>
        </w:rPr>
        <w:t>（5）保证在中标后忠实地执行与采购人所签署的合同，并承担合同规定的责任义务</w:t>
      </w:r>
      <w:r>
        <w:rPr>
          <w:rFonts w:hint="eastAsia" w:eastAsia="宋体"/>
          <w:color w:val="auto"/>
          <w:highlight w:val="none"/>
        </w:rPr>
        <w:t>，</w:t>
      </w:r>
    </w:p>
    <w:p w14:paraId="33BBFEB7">
      <w:pPr>
        <w:pStyle w:val="13"/>
        <w:spacing w:line="360" w:lineRule="exact"/>
        <w:ind w:firstLine="0"/>
        <w:rPr>
          <w:rFonts w:eastAsia="宋体"/>
          <w:color w:val="auto"/>
          <w:highlight w:val="none"/>
        </w:rPr>
      </w:pPr>
      <w:r>
        <w:rPr>
          <w:rFonts w:eastAsia="宋体"/>
          <w:color w:val="auto"/>
          <w:highlight w:val="none"/>
        </w:rPr>
        <w:t>承诺应贵方要求提供任何与</w:t>
      </w:r>
      <w:r>
        <w:rPr>
          <w:rFonts w:hint="eastAsia" w:eastAsia="宋体"/>
          <w:color w:val="auto"/>
          <w:highlight w:val="none"/>
        </w:rPr>
        <w:t>本</w:t>
      </w:r>
      <w:r>
        <w:rPr>
          <w:rFonts w:eastAsia="宋体"/>
          <w:color w:val="auto"/>
          <w:highlight w:val="none"/>
        </w:rPr>
        <w:t>项目有关的数据、情况和技术资料。</w:t>
      </w:r>
    </w:p>
    <w:p w14:paraId="564CCAF2">
      <w:pPr>
        <w:pStyle w:val="13"/>
        <w:spacing w:line="360" w:lineRule="exact"/>
        <w:ind w:firstLine="0"/>
        <w:rPr>
          <w:rFonts w:eastAsia="宋体"/>
          <w:color w:val="auto"/>
          <w:highlight w:val="none"/>
        </w:rPr>
      </w:pPr>
      <w:r>
        <w:rPr>
          <w:rFonts w:eastAsia="宋体"/>
          <w:color w:val="auto"/>
          <w:highlight w:val="none"/>
        </w:rPr>
        <w:t>（6）</w:t>
      </w:r>
      <w:r>
        <w:rPr>
          <w:rFonts w:hint="eastAsia" w:eastAsia="宋体"/>
          <w:color w:val="auto"/>
          <w:highlight w:val="none"/>
        </w:rPr>
        <w:t>同意采购文件中有关中标服务费的条款，保证在中标后按照采购文件的规定，向采购代理一次性交纳中标服务费。</w:t>
      </w:r>
    </w:p>
    <w:p w14:paraId="466C63C9">
      <w:pPr>
        <w:pStyle w:val="13"/>
        <w:spacing w:line="360" w:lineRule="exact"/>
        <w:ind w:firstLine="0"/>
        <w:rPr>
          <w:rFonts w:eastAsia="宋体"/>
          <w:color w:val="auto"/>
          <w:highlight w:val="none"/>
        </w:rPr>
      </w:pPr>
      <w:r>
        <w:rPr>
          <w:rFonts w:eastAsia="宋体"/>
          <w:color w:val="auto"/>
          <w:highlight w:val="none"/>
        </w:rPr>
        <w:t>（</w:t>
      </w:r>
      <w:r>
        <w:rPr>
          <w:rFonts w:hint="eastAsia" w:eastAsia="宋体"/>
          <w:color w:val="auto"/>
          <w:highlight w:val="none"/>
        </w:rPr>
        <w:t>7</w:t>
      </w:r>
      <w:r>
        <w:rPr>
          <w:rFonts w:eastAsia="宋体"/>
          <w:color w:val="auto"/>
          <w:highlight w:val="none"/>
        </w:rPr>
        <w:t>）我们郑重声明：我公司符合政府采购法规定的参加采购活动应当具备的条件：具有独立承担民事责任的能力；具有良好的商业信誉和健全的财务会计制度；具有履行合同所必须的设备和专业技术能力；有依法缴纳税收和社会保障资金的良好记录；参加政府采购活动前三年内，在经营活动中没有重大违法记录。</w:t>
      </w:r>
    </w:p>
    <w:p w14:paraId="0AD46EC5">
      <w:pPr>
        <w:pStyle w:val="13"/>
        <w:numPr>
          <w:ilvl w:val="0"/>
          <w:numId w:val="3"/>
        </w:numPr>
        <w:spacing w:beforeLines="50" w:line="360" w:lineRule="exact"/>
        <w:ind w:left="0" w:firstLine="0"/>
        <w:rPr>
          <w:rFonts w:eastAsia="宋体"/>
          <w:color w:val="auto"/>
          <w:highlight w:val="none"/>
        </w:rPr>
      </w:pPr>
      <w:r>
        <w:rPr>
          <w:rFonts w:eastAsia="宋体"/>
          <w:color w:val="auto"/>
          <w:highlight w:val="none"/>
        </w:rPr>
        <w:t>与本</w:t>
      </w:r>
      <w:r>
        <w:rPr>
          <w:rFonts w:hint="eastAsia" w:eastAsia="宋体"/>
          <w:color w:val="auto"/>
          <w:highlight w:val="none"/>
        </w:rPr>
        <w:t>项目</w:t>
      </w:r>
      <w:r>
        <w:rPr>
          <w:rFonts w:eastAsia="宋体"/>
          <w:color w:val="auto"/>
          <w:highlight w:val="none"/>
        </w:rPr>
        <w:t>有关的一切往来通讯请寄：</w:t>
      </w:r>
    </w:p>
    <w:p w14:paraId="1057EAB3">
      <w:pPr>
        <w:pStyle w:val="13"/>
        <w:spacing w:line="360" w:lineRule="exact"/>
        <w:ind w:firstLine="0"/>
        <w:rPr>
          <w:rFonts w:eastAsia="宋体"/>
          <w:color w:val="auto"/>
          <w:highlight w:val="none"/>
        </w:rPr>
      </w:pPr>
      <w:r>
        <w:rPr>
          <w:rFonts w:eastAsia="宋体"/>
          <w:color w:val="auto"/>
          <w:highlight w:val="none"/>
        </w:rPr>
        <w:t>地址：</w:t>
      </w:r>
    </w:p>
    <w:p w14:paraId="4F5FEE55">
      <w:pPr>
        <w:pStyle w:val="13"/>
        <w:spacing w:line="360" w:lineRule="exact"/>
        <w:ind w:firstLine="0"/>
        <w:rPr>
          <w:rFonts w:eastAsia="宋体"/>
          <w:color w:val="auto"/>
          <w:highlight w:val="none"/>
          <w:u w:val="single"/>
        </w:rPr>
      </w:pPr>
      <w:r>
        <w:rPr>
          <w:rFonts w:eastAsia="宋体"/>
          <w:color w:val="auto"/>
          <w:highlight w:val="none"/>
        </w:rPr>
        <w:t>邮编：电话：</w:t>
      </w:r>
    </w:p>
    <w:p w14:paraId="414945B8">
      <w:pPr>
        <w:pStyle w:val="13"/>
        <w:spacing w:line="360" w:lineRule="exact"/>
        <w:ind w:firstLine="0"/>
        <w:rPr>
          <w:rFonts w:eastAsia="宋体"/>
          <w:color w:val="auto"/>
          <w:highlight w:val="none"/>
        </w:rPr>
      </w:pPr>
    </w:p>
    <w:p w14:paraId="57B05073">
      <w:pPr>
        <w:pStyle w:val="13"/>
        <w:spacing w:beforeLines="50" w:line="360" w:lineRule="exact"/>
        <w:ind w:firstLine="0"/>
        <w:rPr>
          <w:rFonts w:eastAsia="宋体"/>
          <w:color w:val="auto"/>
          <w:highlight w:val="none"/>
        </w:rPr>
      </w:pPr>
      <w:r>
        <w:rPr>
          <w:rFonts w:eastAsia="宋体"/>
          <w:color w:val="auto"/>
          <w:highlight w:val="none"/>
        </w:rPr>
        <w:t>投标人单位（盖公章）：</w:t>
      </w:r>
    </w:p>
    <w:p w14:paraId="50767D81">
      <w:pPr>
        <w:pStyle w:val="13"/>
        <w:spacing w:beforeLines="50" w:line="360" w:lineRule="exact"/>
        <w:ind w:firstLine="0"/>
        <w:rPr>
          <w:rFonts w:eastAsia="宋体"/>
          <w:color w:val="auto"/>
          <w:highlight w:val="none"/>
        </w:rPr>
      </w:pPr>
      <w:r>
        <w:rPr>
          <w:rFonts w:hint="eastAsia" w:eastAsia="宋体"/>
          <w:color w:val="auto"/>
          <w:highlight w:val="none"/>
        </w:rPr>
        <w:t>法定代表人或</w:t>
      </w:r>
      <w:r>
        <w:rPr>
          <w:rFonts w:eastAsia="宋体"/>
          <w:color w:val="auto"/>
          <w:highlight w:val="none"/>
        </w:rPr>
        <w:t>被授权代表人（签字</w:t>
      </w:r>
      <w:r>
        <w:rPr>
          <w:rFonts w:hint="eastAsia" w:eastAsia="宋体"/>
          <w:color w:val="auto"/>
          <w:highlight w:val="none"/>
        </w:rPr>
        <w:t>或盖章</w:t>
      </w:r>
      <w:r>
        <w:rPr>
          <w:rFonts w:eastAsia="宋体"/>
          <w:color w:val="auto"/>
          <w:highlight w:val="none"/>
        </w:rPr>
        <w:t>）：</w:t>
      </w:r>
    </w:p>
    <w:p w14:paraId="58758F0C">
      <w:pPr>
        <w:pStyle w:val="13"/>
        <w:tabs>
          <w:tab w:val="left" w:pos="4841"/>
        </w:tabs>
        <w:spacing w:beforeLines="50" w:line="360" w:lineRule="exact"/>
        <w:ind w:firstLine="0"/>
        <w:rPr>
          <w:rFonts w:ascii="宋体" w:eastAsia="宋体"/>
          <w:b/>
          <w:color w:val="auto"/>
          <w:sz w:val="28"/>
          <w:highlight w:val="none"/>
        </w:rPr>
      </w:pPr>
      <w:r>
        <w:rPr>
          <w:rFonts w:eastAsia="宋体"/>
          <w:color w:val="auto"/>
          <w:highlight w:val="none"/>
        </w:rPr>
        <w:t>日      期：</w:t>
      </w:r>
    </w:p>
    <w:p w14:paraId="69D1E00D">
      <w:pPr>
        <w:pStyle w:val="13"/>
        <w:ind w:firstLine="0"/>
        <w:rPr>
          <w:rFonts w:ascii="宋体" w:eastAsia="宋体"/>
          <w:b/>
          <w:color w:val="auto"/>
          <w:sz w:val="28"/>
          <w:highlight w:val="none"/>
        </w:rPr>
      </w:pPr>
      <w:r>
        <w:rPr>
          <w:rFonts w:ascii="宋体" w:eastAsia="宋体"/>
          <w:b/>
          <w:color w:val="auto"/>
          <w:sz w:val="28"/>
          <w:highlight w:val="none"/>
        </w:rPr>
        <w:br w:type="page"/>
      </w:r>
    </w:p>
    <w:p w14:paraId="64B1E01F">
      <w:pPr>
        <w:jc w:val="center"/>
        <w:rPr>
          <w:rFonts w:ascii="宋体"/>
          <w:b/>
          <w:color w:val="auto"/>
          <w:sz w:val="28"/>
          <w:highlight w:val="none"/>
        </w:rPr>
      </w:pPr>
      <w:r>
        <w:rPr>
          <w:rFonts w:hint="eastAsia" w:ascii="宋体"/>
          <w:b/>
          <w:color w:val="auto"/>
          <w:sz w:val="28"/>
          <w:highlight w:val="none"/>
        </w:rPr>
        <w:t>二、技术条款响应表</w:t>
      </w:r>
    </w:p>
    <w:p w14:paraId="275A0E37">
      <w:pPr>
        <w:rPr>
          <w:rFonts w:ascii="宋体"/>
          <w:color w:val="auto"/>
          <w:szCs w:val="21"/>
          <w:highlight w:val="none"/>
        </w:rPr>
      </w:pPr>
    </w:p>
    <w:p w14:paraId="2B4E2A97">
      <w:pPr>
        <w:rPr>
          <w:rFonts w:ascii="宋体"/>
          <w:color w:val="auto"/>
          <w:sz w:val="24"/>
          <w:szCs w:val="24"/>
          <w:highlight w:val="none"/>
        </w:rPr>
      </w:pPr>
      <w:r>
        <w:rPr>
          <w:rFonts w:hint="eastAsia" w:ascii="宋体"/>
          <w:color w:val="auto"/>
          <w:sz w:val="24"/>
          <w:szCs w:val="24"/>
          <w:highlight w:val="none"/>
        </w:rPr>
        <w:t>项目名称：</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3546"/>
        <w:gridCol w:w="3068"/>
        <w:gridCol w:w="1666"/>
      </w:tblGrid>
      <w:tr w14:paraId="27A0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69F95ACF">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944" w:type="pct"/>
            <w:vAlign w:val="center"/>
          </w:tcPr>
          <w:p w14:paraId="11C98403">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招标文件要求</w:t>
            </w:r>
          </w:p>
        </w:tc>
        <w:tc>
          <w:tcPr>
            <w:tcW w:w="1682" w:type="pct"/>
            <w:vAlign w:val="center"/>
          </w:tcPr>
          <w:p w14:paraId="6DC16C01">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投标响应</w:t>
            </w:r>
          </w:p>
        </w:tc>
        <w:tc>
          <w:tcPr>
            <w:tcW w:w="913" w:type="pct"/>
            <w:vAlign w:val="center"/>
          </w:tcPr>
          <w:p w14:paraId="77E6B7C2">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偏离说明</w:t>
            </w:r>
          </w:p>
        </w:tc>
      </w:tr>
      <w:tr w14:paraId="0A39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5715DE8D">
            <w:pPr>
              <w:jc w:val="center"/>
              <w:rPr>
                <w:rFonts w:ascii="宋体"/>
                <w:color w:val="auto"/>
                <w:sz w:val="24"/>
                <w:highlight w:val="none"/>
              </w:rPr>
            </w:pPr>
          </w:p>
        </w:tc>
        <w:tc>
          <w:tcPr>
            <w:tcW w:w="1944" w:type="pct"/>
            <w:vAlign w:val="center"/>
          </w:tcPr>
          <w:p w14:paraId="468CFC12">
            <w:pPr>
              <w:jc w:val="center"/>
              <w:rPr>
                <w:rFonts w:ascii="宋体"/>
                <w:color w:val="auto"/>
                <w:sz w:val="24"/>
                <w:highlight w:val="none"/>
              </w:rPr>
            </w:pPr>
          </w:p>
        </w:tc>
        <w:tc>
          <w:tcPr>
            <w:tcW w:w="1682" w:type="pct"/>
            <w:vAlign w:val="center"/>
          </w:tcPr>
          <w:p w14:paraId="7DA9B6A8">
            <w:pPr>
              <w:jc w:val="center"/>
              <w:rPr>
                <w:rFonts w:ascii="宋体"/>
                <w:color w:val="auto"/>
                <w:sz w:val="24"/>
                <w:highlight w:val="none"/>
              </w:rPr>
            </w:pPr>
          </w:p>
        </w:tc>
        <w:tc>
          <w:tcPr>
            <w:tcW w:w="913" w:type="pct"/>
            <w:vAlign w:val="center"/>
          </w:tcPr>
          <w:p w14:paraId="74FEE8BB">
            <w:pPr>
              <w:jc w:val="center"/>
              <w:rPr>
                <w:rFonts w:ascii="宋体"/>
                <w:color w:val="auto"/>
                <w:sz w:val="24"/>
                <w:highlight w:val="none"/>
              </w:rPr>
            </w:pPr>
          </w:p>
        </w:tc>
      </w:tr>
      <w:tr w14:paraId="4109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1600AF97">
            <w:pPr>
              <w:jc w:val="center"/>
              <w:rPr>
                <w:rFonts w:ascii="宋体"/>
                <w:color w:val="auto"/>
                <w:sz w:val="24"/>
                <w:highlight w:val="none"/>
              </w:rPr>
            </w:pPr>
          </w:p>
        </w:tc>
        <w:tc>
          <w:tcPr>
            <w:tcW w:w="1944" w:type="pct"/>
            <w:vAlign w:val="center"/>
          </w:tcPr>
          <w:p w14:paraId="1EC376B2">
            <w:pPr>
              <w:jc w:val="center"/>
              <w:rPr>
                <w:rFonts w:ascii="宋体"/>
                <w:color w:val="auto"/>
                <w:sz w:val="24"/>
                <w:highlight w:val="none"/>
              </w:rPr>
            </w:pPr>
          </w:p>
        </w:tc>
        <w:tc>
          <w:tcPr>
            <w:tcW w:w="1682" w:type="pct"/>
            <w:vAlign w:val="center"/>
          </w:tcPr>
          <w:p w14:paraId="661A4E36">
            <w:pPr>
              <w:jc w:val="center"/>
              <w:rPr>
                <w:rFonts w:ascii="宋体"/>
                <w:color w:val="auto"/>
                <w:sz w:val="24"/>
                <w:highlight w:val="none"/>
              </w:rPr>
            </w:pPr>
          </w:p>
        </w:tc>
        <w:tc>
          <w:tcPr>
            <w:tcW w:w="913" w:type="pct"/>
            <w:vAlign w:val="center"/>
          </w:tcPr>
          <w:p w14:paraId="53F2FAB3">
            <w:pPr>
              <w:jc w:val="center"/>
              <w:rPr>
                <w:rFonts w:ascii="宋体"/>
                <w:color w:val="auto"/>
                <w:sz w:val="24"/>
                <w:highlight w:val="none"/>
              </w:rPr>
            </w:pPr>
          </w:p>
        </w:tc>
      </w:tr>
      <w:tr w14:paraId="0A79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193E9718">
            <w:pPr>
              <w:jc w:val="center"/>
              <w:rPr>
                <w:rFonts w:ascii="宋体"/>
                <w:color w:val="auto"/>
                <w:sz w:val="24"/>
                <w:highlight w:val="none"/>
              </w:rPr>
            </w:pPr>
          </w:p>
        </w:tc>
        <w:tc>
          <w:tcPr>
            <w:tcW w:w="1944" w:type="pct"/>
            <w:vAlign w:val="center"/>
          </w:tcPr>
          <w:p w14:paraId="791B4144">
            <w:pPr>
              <w:jc w:val="center"/>
              <w:rPr>
                <w:rFonts w:ascii="宋体"/>
                <w:color w:val="auto"/>
                <w:sz w:val="24"/>
                <w:highlight w:val="none"/>
              </w:rPr>
            </w:pPr>
          </w:p>
        </w:tc>
        <w:tc>
          <w:tcPr>
            <w:tcW w:w="1682" w:type="pct"/>
            <w:vAlign w:val="center"/>
          </w:tcPr>
          <w:p w14:paraId="365CEC0D">
            <w:pPr>
              <w:jc w:val="center"/>
              <w:rPr>
                <w:rFonts w:ascii="宋体"/>
                <w:color w:val="auto"/>
                <w:sz w:val="24"/>
                <w:highlight w:val="none"/>
              </w:rPr>
            </w:pPr>
          </w:p>
        </w:tc>
        <w:tc>
          <w:tcPr>
            <w:tcW w:w="913" w:type="pct"/>
            <w:vAlign w:val="center"/>
          </w:tcPr>
          <w:p w14:paraId="1370E418">
            <w:pPr>
              <w:jc w:val="center"/>
              <w:rPr>
                <w:rFonts w:ascii="宋体"/>
                <w:color w:val="auto"/>
                <w:sz w:val="24"/>
                <w:highlight w:val="none"/>
              </w:rPr>
            </w:pPr>
          </w:p>
        </w:tc>
      </w:tr>
      <w:tr w14:paraId="160E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03CF8CF4">
            <w:pPr>
              <w:jc w:val="center"/>
              <w:rPr>
                <w:rFonts w:ascii="宋体"/>
                <w:color w:val="auto"/>
                <w:sz w:val="24"/>
                <w:highlight w:val="none"/>
              </w:rPr>
            </w:pPr>
          </w:p>
        </w:tc>
        <w:tc>
          <w:tcPr>
            <w:tcW w:w="1944" w:type="pct"/>
            <w:vAlign w:val="center"/>
          </w:tcPr>
          <w:p w14:paraId="640D2595">
            <w:pPr>
              <w:jc w:val="center"/>
              <w:rPr>
                <w:rFonts w:ascii="宋体"/>
                <w:color w:val="auto"/>
                <w:sz w:val="24"/>
                <w:highlight w:val="none"/>
              </w:rPr>
            </w:pPr>
          </w:p>
        </w:tc>
        <w:tc>
          <w:tcPr>
            <w:tcW w:w="1682" w:type="pct"/>
            <w:vAlign w:val="center"/>
          </w:tcPr>
          <w:p w14:paraId="1F026772">
            <w:pPr>
              <w:jc w:val="center"/>
              <w:rPr>
                <w:rFonts w:ascii="宋体"/>
                <w:color w:val="auto"/>
                <w:sz w:val="24"/>
                <w:highlight w:val="none"/>
              </w:rPr>
            </w:pPr>
          </w:p>
        </w:tc>
        <w:tc>
          <w:tcPr>
            <w:tcW w:w="913" w:type="pct"/>
            <w:vAlign w:val="center"/>
          </w:tcPr>
          <w:p w14:paraId="7B7A63CB">
            <w:pPr>
              <w:jc w:val="center"/>
              <w:rPr>
                <w:rFonts w:ascii="宋体"/>
                <w:color w:val="auto"/>
                <w:sz w:val="24"/>
                <w:highlight w:val="none"/>
              </w:rPr>
            </w:pPr>
          </w:p>
        </w:tc>
      </w:tr>
      <w:tr w14:paraId="3434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28EF183D">
            <w:pPr>
              <w:jc w:val="center"/>
              <w:rPr>
                <w:rFonts w:ascii="宋体"/>
                <w:color w:val="auto"/>
                <w:sz w:val="24"/>
                <w:highlight w:val="none"/>
              </w:rPr>
            </w:pPr>
          </w:p>
        </w:tc>
        <w:tc>
          <w:tcPr>
            <w:tcW w:w="1944" w:type="pct"/>
            <w:vAlign w:val="center"/>
          </w:tcPr>
          <w:p w14:paraId="2E3E6DE7">
            <w:pPr>
              <w:jc w:val="center"/>
              <w:rPr>
                <w:rFonts w:ascii="宋体"/>
                <w:color w:val="auto"/>
                <w:sz w:val="24"/>
                <w:highlight w:val="none"/>
              </w:rPr>
            </w:pPr>
          </w:p>
        </w:tc>
        <w:tc>
          <w:tcPr>
            <w:tcW w:w="1682" w:type="pct"/>
            <w:vAlign w:val="center"/>
          </w:tcPr>
          <w:p w14:paraId="0F3ACE98">
            <w:pPr>
              <w:jc w:val="center"/>
              <w:rPr>
                <w:rFonts w:ascii="宋体"/>
                <w:color w:val="auto"/>
                <w:sz w:val="24"/>
                <w:highlight w:val="none"/>
              </w:rPr>
            </w:pPr>
          </w:p>
        </w:tc>
        <w:tc>
          <w:tcPr>
            <w:tcW w:w="913" w:type="pct"/>
            <w:vAlign w:val="center"/>
          </w:tcPr>
          <w:p w14:paraId="427D98AE">
            <w:pPr>
              <w:jc w:val="center"/>
              <w:rPr>
                <w:rFonts w:ascii="宋体"/>
                <w:color w:val="auto"/>
                <w:sz w:val="24"/>
                <w:highlight w:val="none"/>
              </w:rPr>
            </w:pPr>
          </w:p>
        </w:tc>
      </w:tr>
      <w:tr w14:paraId="4902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2EC3367B">
            <w:pPr>
              <w:jc w:val="center"/>
              <w:rPr>
                <w:rFonts w:ascii="宋体"/>
                <w:color w:val="auto"/>
                <w:sz w:val="24"/>
                <w:highlight w:val="none"/>
              </w:rPr>
            </w:pPr>
          </w:p>
        </w:tc>
        <w:tc>
          <w:tcPr>
            <w:tcW w:w="1944" w:type="pct"/>
            <w:vAlign w:val="center"/>
          </w:tcPr>
          <w:p w14:paraId="3DBEFEE0">
            <w:pPr>
              <w:jc w:val="center"/>
              <w:rPr>
                <w:rFonts w:ascii="宋体"/>
                <w:color w:val="auto"/>
                <w:sz w:val="24"/>
                <w:highlight w:val="none"/>
              </w:rPr>
            </w:pPr>
          </w:p>
        </w:tc>
        <w:tc>
          <w:tcPr>
            <w:tcW w:w="1682" w:type="pct"/>
            <w:vAlign w:val="center"/>
          </w:tcPr>
          <w:p w14:paraId="053EE308">
            <w:pPr>
              <w:jc w:val="center"/>
              <w:rPr>
                <w:rFonts w:ascii="宋体"/>
                <w:color w:val="auto"/>
                <w:sz w:val="24"/>
                <w:highlight w:val="none"/>
              </w:rPr>
            </w:pPr>
          </w:p>
        </w:tc>
        <w:tc>
          <w:tcPr>
            <w:tcW w:w="913" w:type="pct"/>
            <w:vAlign w:val="center"/>
          </w:tcPr>
          <w:p w14:paraId="5B9053F5">
            <w:pPr>
              <w:jc w:val="center"/>
              <w:rPr>
                <w:rFonts w:ascii="宋体"/>
                <w:color w:val="auto"/>
                <w:sz w:val="24"/>
                <w:highlight w:val="none"/>
              </w:rPr>
            </w:pPr>
          </w:p>
        </w:tc>
      </w:tr>
      <w:tr w14:paraId="71DC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43D153C4">
            <w:pPr>
              <w:jc w:val="center"/>
              <w:rPr>
                <w:rFonts w:ascii="宋体"/>
                <w:color w:val="auto"/>
                <w:sz w:val="24"/>
                <w:highlight w:val="none"/>
              </w:rPr>
            </w:pPr>
          </w:p>
        </w:tc>
        <w:tc>
          <w:tcPr>
            <w:tcW w:w="1944" w:type="pct"/>
            <w:vAlign w:val="center"/>
          </w:tcPr>
          <w:p w14:paraId="50CE778B">
            <w:pPr>
              <w:jc w:val="center"/>
              <w:rPr>
                <w:rFonts w:ascii="宋体"/>
                <w:color w:val="auto"/>
                <w:sz w:val="24"/>
                <w:highlight w:val="none"/>
              </w:rPr>
            </w:pPr>
          </w:p>
        </w:tc>
        <w:tc>
          <w:tcPr>
            <w:tcW w:w="1682" w:type="pct"/>
            <w:vAlign w:val="center"/>
          </w:tcPr>
          <w:p w14:paraId="6717454E">
            <w:pPr>
              <w:jc w:val="center"/>
              <w:rPr>
                <w:rFonts w:ascii="宋体"/>
                <w:color w:val="auto"/>
                <w:sz w:val="24"/>
                <w:highlight w:val="none"/>
              </w:rPr>
            </w:pPr>
          </w:p>
        </w:tc>
        <w:tc>
          <w:tcPr>
            <w:tcW w:w="913" w:type="pct"/>
            <w:vAlign w:val="center"/>
          </w:tcPr>
          <w:p w14:paraId="5C04C37E">
            <w:pPr>
              <w:jc w:val="center"/>
              <w:rPr>
                <w:rFonts w:ascii="宋体"/>
                <w:color w:val="auto"/>
                <w:sz w:val="24"/>
                <w:highlight w:val="none"/>
              </w:rPr>
            </w:pPr>
          </w:p>
        </w:tc>
      </w:tr>
      <w:tr w14:paraId="2D2A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7FCB1E73">
            <w:pPr>
              <w:jc w:val="center"/>
              <w:rPr>
                <w:rFonts w:ascii="宋体"/>
                <w:color w:val="auto"/>
                <w:sz w:val="24"/>
                <w:highlight w:val="none"/>
              </w:rPr>
            </w:pPr>
          </w:p>
        </w:tc>
        <w:tc>
          <w:tcPr>
            <w:tcW w:w="1944" w:type="pct"/>
            <w:vAlign w:val="center"/>
          </w:tcPr>
          <w:p w14:paraId="60B8B55C">
            <w:pPr>
              <w:jc w:val="center"/>
              <w:rPr>
                <w:rFonts w:ascii="宋体"/>
                <w:color w:val="auto"/>
                <w:sz w:val="24"/>
                <w:highlight w:val="none"/>
              </w:rPr>
            </w:pPr>
          </w:p>
        </w:tc>
        <w:tc>
          <w:tcPr>
            <w:tcW w:w="1682" w:type="pct"/>
            <w:vAlign w:val="center"/>
          </w:tcPr>
          <w:p w14:paraId="2DA8E61E">
            <w:pPr>
              <w:jc w:val="center"/>
              <w:rPr>
                <w:rFonts w:ascii="宋体"/>
                <w:color w:val="auto"/>
                <w:sz w:val="24"/>
                <w:highlight w:val="none"/>
              </w:rPr>
            </w:pPr>
          </w:p>
        </w:tc>
        <w:tc>
          <w:tcPr>
            <w:tcW w:w="913" w:type="pct"/>
            <w:vAlign w:val="center"/>
          </w:tcPr>
          <w:p w14:paraId="49F60859">
            <w:pPr>
              <w:jc w:val="center"/>
              <w:rPr>
                <w:rFonts w:ascii="宋体"/>
                <w:color w:val="auto"/>
                <w:sz w:val="24"/>
                <w:highlight w:val="none"/>
              </w:rPr>
            </w:pPr>
          </w:p>
        </w:tc>
      </w:tr>
      <w:tr w14:paraId="3657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9" w:type="pct"/>
            <w:vAlign w:val="center"/>
          </w:tcPr>
          <w:p w14:paraId="342E90ED">
            <w:pPr>
              <w:jc w:val="center"/>
              <w:rPr>
                <w:rFonts w:ascii="宋体"/>
                <w:color w:val="auto"/>
                <w:sz w:val="24"/>
                <w:highlight w:val="none"/>
              </w:rPr>
            </w:pPr>
          </w:p>
        </w:tc>
        <w:tc>
          <w:tcPr>
            <w:tcW w:w="1944" w:type="pct"/>
            <w:vAlign w:val="center"/>
          </w:tcPr>
          <w:p w14:paraId="18F9B802">
            <w:pPr>
              <w:jc w:val="center"/>
              <w:rPr>
                <w:rFonts w:ascii="宋体"/>
                <w:color w:val="auto"/>
                <w:sz w:val="24"/>
                <w:highlight w:val="none"/>
              </w:rPr>
            </w:pPr>
          </w:p>
        </w:tc>
        <w:tc>
          <w:tcPr>
            <w:tcW w:w="1682" w:type="pct"/>
            <w:vAlign w:val="center"/>
          </w:tcPr>
          <w:p w14:paraId="33DF0594">
            <w:pPr>
              <w:jc w:val="center"/>
              <w:rPr>
                <w:rFonts w:ascii="宋体"/>
                <w:color w:val="auto"/>
                <w:sz w:val="24"/>
                <w:highlight w:val="none"/>
              </w:rPr>
            </w:pPr>
          </w:p>
        </w:tc>
        <w:tc>
          <w:tcPr>
            <w:tcW w:w="913" w:type="pct"/>
            <w:vAlign w:val="center"/>
          </w:tcPr>
          <w:p w14:paraId="67CAE997">
            <w:pPr>
              <w:jc w:val="center"/>
              <w:rPr>
                <w:rFonts w:ascii="宋体"/>
                <w:color w:val="auto"/>
                <w:sz w:val="24"/>
                <w:highlight w:val="none"/>
              </w:rPr>
            </w:pPr>
          </w:p>
        </w:tc>
      </w:tr>
    </w:tbl>
    <w:p w14:paraId="2555808D">
      <w:pPr>
        <w:spacing w:line="440" w:lineRule="exact"/>
        <w:rPr>
          <w:rFonts w:ascii="宋体"/>
          <w:color w:val="auto"/>
          <w:sz w:val="24"/>
          <w:highlight w:val="none"/>
        </w:rPr>
      </w:pPr>
      <w:r>
        <w:rPr>
          <w:rFonts w:hint="eastAsia" w:ascii="宋体"/>
          <w:color w:val="auto"/>
          <w:sz w:val="24"/>
          <w:highlight w:val="none"/>
        </w:rPr>
        <w:t>备注：此表根据“第二部分 项目要求”中“</w:t>
      </w:r>
      <w:r>
        <w:rPr>
          <w:rFonts w:hint="eastAsia" w:ascii="Calibri" w:hAnsi="Calibri" w:cs="Calibri"/>
          <w:b/>
          <w:bCs/>
          <w:color w:val="auto"/>
          <w:sz w:val="24"/>
          <w:szCs w:val="24"/>
          <w:highlight w:val="none"/>
        </w:rPr>
        <w:t>二、技术条款要求</w:t>
      </w:r>
      <w:r>
        <w:rPr>
          <w:rFonts w:hint="eastAsia" w:ascii="宋体"/>
          <w:color w:val="auto"/>
          <w:sz w:val="24"/>
          <w:highlight w:val="none"/>
        </w:rPr>
        <w:t>”填写，不得虚假响应。</w:t>
      </w:r>
    </w:p>
    <w:p w14:paraId="25B0D6A5">
      <w:pPr>
        <w:rPr>
          <w:rFonts w:ascii="宋体"/>
          <w:color w:val="auto"/>
          <w:sz w:val="24"/>
          <w:highlight w:val="none"/>
        </w:rPr>
      </w:pPr>
    </w:p>
    <w:p w14:paraId="7E0AA0EF">
      <w:pPr>
        <w:pStyle w:val="13"/>
        <w:spacing w:beforeLines="50" w:line="360" w:lineRule="exact"/>
        <w:ind w:firstLine="0"/>
        <w:rPr>
          <w:rFonts w:eastAsia="宋体"/>
          <w:color w:val="auto"/>
          <w:szCs w:val="24"/>
          <w:highlight w:val="none"/>
        </w:rPr>
      </w:pPr>
      <w:r>
        <w:rPr>
          <w:rFonts w:hint="eastAsia" w:eastAsia="宋体"/>
          <w:color w:val="auto"/>
          <w:szCs w:val="24"/>
          <w:highlight w:val="none"/>
        </w:rPr>
        <w:t>投标人单位（盖公章）：</w:t>
      </w:r>
    </w:p>
    <w:p w14:paraId="152EBB33">
      <w:pPr>
        <w:pStyle w:val="13"/>
        <w:spacing w:beforeLines="50" w:line="360" w:lineRule="exact"/>
        <w:ind w:firstLine="0"/>
        <w:rPr>
          <w:rFonts w:eastAsia="宋体"/>
          <w:color w:val="auto"/>
          <w:szCs w:val="24"/>
          <w:highlight w:val="none"/>
        </w:rPr>
      </w:pPr>
      <w:r>
        <w:rPr>
          <w:rFonts w:hint="eastAsia"/>
          <w:color w:val="auto"/>
          <w:highlight w:val="none"/>
        </w:rPr>
        <w:t>法定代表人或</w:t>
      </w:r>
      <w:r>
        <w:rPr>
          <w:rFonts w:hint="eastAsia" w:eastAsia="宋体"/>
          <w:color w:val="auto"/>
          <w:szCs w:val="24"/>
          <w:highlight w:val="none"/>
        </w:rPr>
        <w:t>被授权代表人（签字或盖章）：</w:t>
      </w:r>
    </w:p>
    <w:p w14:paraId="73F80D6F">
      <w:pPr>
        <w:spacing w:beforeLines="50"/>
        <w:rPr>
          <w:rFonts w:ascii="宋体"/>
          <w:color w:val="auto"/>
          <w:sz w:val="24"/>
          <w:highlight w:val="none"/>
          <w:u w:val="single"/>
        </w:rPr>
      </w:pPr>
      <w:r>
        <w:rPr>
          <w:rFonts w:hint="eastAsia"/>
          <w:color w:val="auto"/>
          <w:sz w:val="24"/>
          <w:szCs w:val="24"/>
          <w:highlight w:val="none"/>
        </w:rPr>
        <w:t>日期：</w:t>
      </w:r>
    </w:p>
    <w:p w14:paraId="0602DB76">
      <w:pPr>
        <w:rPr>
          <w:rFonts w:ascii="宋体"/>
          <w:color w:val="auto"/>
          <w:sz w:val="24"/>
          <w:highlight w:val="none"/>
        </w:rPr>
      </w:pPr>
    </w:p>
    <w:p w14:paraId="0F81C556">
      <w:pPr>
        <w:rPr>
          <w:rFonts w:ascii="宋体"/>
          <w:color w:val="auto"/>
          <w:sz w:val="24"/>
          <w:highlight w:val="none"/>
        </w:rPr>
      </w:pPr>
    </w:p>
    <w:p w14:paraId="081014A0">
      <w:pPr>
        <w:rPr>
          <w:rFonts w:ascii="宋体"/>
          <w:b/>
          <w:color w:val="auto"/>
          <w:sz w:val="28"/>
          <w:highlight w:val="none"/>
        </w:rPr>
      </w:pPr>
    </w:p>
    <w:p w14:paraId="6637BC4B">
      <w:pPr>
        <w:rPr>
          <w:rFonts w:ascii="宋体"/>
          <w:b/>
          <w:color w:val="auto"/>
          <w:sz w:val="28"/>
          <w:highlight w:val="none"/>
        </w:rPr>
      </w:pPr>
      <w:r>
        <w:rPr>
          <w:rFonts w:ascii="宋体"/>
          <w:b/>
          <w:color w:val="auto"/>
          <w:sz w:val="28"/>
          <w:highlight w:val="none"/>
        </w:rPr>
        <w:br w:type="page"/>
      </w:r>
    </w:p>
    <w:p w14:paraId="41B7C855">
      <w:pPr>
        <w:ind w:firstLine="3089"/>
        <w:rPr>
          <w:rFonts w:ascii="宋体"/>
          <w:b/>
          <w:color w:val="auto"/>
          <w:sz w:val="28"/>
          <w:highlight w:val="none"/>
        </w:rPr>
      </w:pPr>
      <w:r>
        <w:rPr>
          <w:rFonts w:hint="eastAsia" w:ascii="宋体"/>
          <w:b/>
          <w:color w:val="auto"/>
          <w:sz w:val="28"/>
          <w:highlight w:val="none"/>
        </w:rPr>
        <w:t>三、商务条款响应表</w:t>
      </w:r>
    </w:p>
    <w:p w14:paraId="79C72395">
      <w:pPr>
        <w:rPr>
          <w:rFonts w:ascii="宋体"/>
          <w:color w:val="auto"/>
          <w:sz w:val="24"/>
          <w:szCs w:val="24"/>
          <w:highlight w:val="none"/>
        </w:rPr>
      </w:pPr>
    </w:p>
    <w:p w14:paraId="7016E83C">
      <w:pPr>
        <w:rPr>
          <w:rFonts w:ascii="宋体"/>
          <w:color w:val="auto"/>
          <w:sz w:val="24"/>
          <w:highlight w:val="none"/>
        </w:rPr>
      </w:pPr>
      <w:r>
        <w:rPr>
          <w:rFonts w:hint="eastAsia" w:ascii="宋体"/>
          <w:color w:val="auto"/>
          <w:sz w:val="24"/>
          <w:szCs w:val="24"/>
          <w:highlight w:val="none"/>
        </w:rPr>
        <w:t>项目名称：</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369"/>
        <w:gridCol w:w="2920"/>
        <w:gridCol w:w="2039"/>
      </w:tblGrid>
      <w:tr w14:paraId="7A0C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vAlign w:val="center"/>
          </w:tcPr>
          <w:p w14:paraId="3ADD3137">
            <w:pPr>
              <w:spacing w:line="300" w:lineRule="exact"/>
              <w:jc w:val="center"/>
              <w:rPr>
                <w:rFonts w:ascii="宋体"/>
                <w:color w:val="auto"/>
                <w:sz w:val="24"/>
                <w:highlight w:val="none"/>
              </w:rPr>
            </w:pPr>
            <w:r>
              <w:rPr>
                <w:rFonts w:hint="eastAsia" w:ascii="宋体" w:hAnsi="宋体" w:cs="宋体"/>
                <w:color w:val="auto"/>
                <w:sz w:val="24"/>
                <w:szCs w:val="24"/>
                <w:highlight w:val="none"/>
              </w:rPr>
              <w:t>序号</w:t>
            </w:r>
          </w:p>
        </w:tc>
        <w:tc>
          <w:tcPr>
            <w:tcW w:w="1847" w:type="pct"/>
            <w:vAlign w:val="center"/>
          </w:tcPr>
          <w:p w14:paraId="256A1321">
            <w:pPr>
              <w:spacing w:line="300" w:lineRule="exact"/>
              <w:jc w:val="center"/>
              <w:rPr>
                <w:rFonts w:ascii="宋体"/>
                <w:color w:val="auto"/>
                <w:sz w:val="24"/>
                <w:highlight w:val="none"/>
              </w:rPr>
            </w:pPr>
            <w:r>
              <w:rPr>
                <w:rFonts w:hint="eastAsia" w:ascii="宋体" w:hAnsi="宋体" w:cs="宋体"/>
                <w:color w:val="auto"/>
                <w:sz w:val="24"/>
                <w:szCs w:val="24"/>
                <w:highlight w:val="none"/>
              </w:rPr>
              <w:t>招标文件要求</w:t>
            </w:r>
          </w:p>
        </w:tc>
        <w:tc>
          <w:tcPr>
            <w:tcW w:w="1601" w:type="pct"/>
            <w:vAlign w:val="center"/>
          </w:tcPr>
          <w:p w14:paraId="16F9C738">
            <w:pPr>
              <w:spacing w:line="300" w:lineRule="exact"/>
              <w:jc w:val="center"/>
              <w:rPr>
                <w:rFonts w:ascii="宋体"/>
                <w:color w:val="auto"/>
                <w:sz w:val="24"/>
                <w:highlight w:val="none"/>
              </w:rPr>
            </w:pPr>
            <w:r>
              <w:rPr>
                <w:rFonts w:hint="eastAsia" w:ascii="宋体" w:hAnsi="宋体" w:cs="宋体"/>
                <w:color w:val="auto"/>
                <w:sz w:val="24"/>
                <w:szCs w:val="24"/>
                <w:highlight w:val="none"/>
              </w:rPr>
              <w:t>投标响应</w:t>
            </w:r>
          </w:p>
        </w:tc>
        <w:tc>
          <w:tcPr>
            <w:tcW w:w="1118" w:type="pct"/>
            <w:vAlign w:val="center"/>
          </w:tcPr>
          <w:p w14:paraId="6780F1F7">
            <w:pPr>
              <w:spacing w:line="300" w:lineRule="exact"/>
              <w:jc w:val="center"/>
              <w:rPr>
                <w:rFonts w:ascii="宋体"/>
                <w:color w:val="auto"/>
                <w:sz w:val="24"/>
                <w:highlight w:val="none"/>
              </w:rPr>
            </w:pPr>
            <w:r>
              <w:rPr>
                <w:rFonts w:hint="eastAsia" w:ascii="宋体" w:hAnsi="宋体" w:cs="宋体"/>
                <w:color w:val="auto"/>
                <w:sz w:val="24"/>
                <w:szCs w:val="24"/>
                <w:highlight w:val="none"/>
              </w:rPr>
              <w:t>偏离说明</w:t>
            </w:r>
          </w:p>
        </w:tc>
      </w:tr>
      <w:tr w14:paraId="041F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vAlign w:val="center"/>
          </w:tcPr>
          <w:p w14:paraId="21242087">
            <w:pPr>
              <w:jc w:val="center"/>
              <w:rPr>
                <w:rFonts w:ascii="宋体"/>
                <w:color w:val="auto"/>
                <w:sz w:val="24"/>
                <w:highlight w:val="none"/>
              </w:rPr>
            </w:pPr>
          </w:p>
        </w:tc>
        <w:tc>
          <w:tcPr>
            <w:tcW w:w="1847" w:type="pct"/>
            <w:vAlign w:val="center"/>
          </w:tcPr>
          <w:p w14:paraId="6F89AC53">
            <w:pPr>
              <w:jc w:val="center"/>
              <w:rPr>
                <w:rFonts w:ascii="宋体"/>
                <w:color w:val="auto"/>
                <w:sz w:val="24"/>
                <w:highlight w:val="none"/>
              </w:rPr>
            </w:pPr>
          </w:p>
        </w:tc>
        <w:tc>
          <w:tcPr>
            <w:tcW w:w="1601" w:type="pct"/>
            <w:vAlign w:val="center"/>
          </w:tcPr>
          <w:p w14:paraId="5B795AA5">
            <w:pPr>
              <w:jc w:val="center"/>
              <w:rPr>
                <w:rFonts w:ascii="宋体"/>
                <w:color w:val="auto"/>
                <w:sz w:val="24"/>
                <w:highlight w:val="none"/>
              </w:rPr>
            </w:pPr>
          </w:p>
        </w:tc>
        <w:tc>
          <w:tcPr>
            <w:tcW w:w="1118" w:type="pct"/>
            <w:vAlign w:val="center"/>
          </w:tcPr>
          <w:p w14:paraId="3BBF1348">
            <w:pPr>
              <w:jc w:val="center"/>
              <w:rPr>
                <w:rFonts w:ascii="宋体"/>
                <w:color w:val="auto"/>
                <w:sz w:val="24"/>
                <w:highlight w:val="none"/>
              </w:rPr>
            </w:pPr>
          </w:p>
        </w:tc>
      </w:tr>
      <w:tr w14:paraId="264F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vAlign w:val="center"/>
          </w:tcPr>
          <w:p w14:paraId="22E19562">
            <w:pPr>
              <w:jc w:val="center"/>
              <w:rPr>
                <w:rFonts w:ascii="宋体"/>
                <w:color w:val="auto"/>
                <w:sz w:val="24"/>
                <w:highlight w:val="none"/>
              </w:rPr>
            </w:pPr>
          </w:p>
        </w:tc>
        <w:tc>
          <w:tcPr>
            <w:tcW w:w="1847" w:type="pct"/>
            <w:vAlign w:val="center"/>
          </w:tcPr>
          <w:p w14:paraId="49ED3E25">
            <w:pPr>
              <w:jc w:val="center"/>
              <w:rPr>
                <w:rFonts w:ascii="宋体"/>
                <w:color w:val="auto"/>
                <w:sz w:val="24"/>
                <w:highlight w:val="none"/>
              </w:rPr>
            </w:pPr>
          </w:p>
        </w:tc>
        <w:tc>
          <w:tcPr>
            <w:tcW w:w="1601" w:type="pct"/>
            <w:vAlign w:val="center"/>
          </w:tcPr>
          <w:p w14:paraId="7B26396D">
            <w:pPr>
              <w:jc w:val="center"/>
              <w:rPr>
                <w:rFonts w:ascii="宋体"/>
                <w:color w:val="auto"/>
                <w:sz w:val="24"/>
                <w:highlight w:val="none"/>
              </w:rPr>
            </w:pPr>
          </w:p>
        </w:tc>
        <w:tc>
          <w:tcPr>
            <w:tcW w:w="1118" w:type="pct"/>
            <w:vAlign w:val="center"/>
          </w:tcPr>
          <w:p w14:paraId="43FE844F">
            <w:pPr>
              <w:jc w:val="center"/>
              <w:rPr>
                <w:rFonts w:ascii="宋体"/>
                <w:color w:val="auto"/>
                <w:sz w:val="24"/>
                <w:highlight w:val="none"/>
              </w:rPr>
            </w:pPr>
          </w:p>
        </w:tc>
      </w:tr>
      <w:tr w14:paraId="7C20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vAlign w:val="center"/>
          </w:tcPr>
          <w:p w14:paraId="432DF557">
            <w:pPr>
              <w:jc w:val="center"/>
              <w:rPr>
                <w:rFonts w:ascii="宋体"/>
                <w:color w:val="auto"/>
                <w:sz w:val="24"/>
                <w:highlight w:val="none"/>
              </w:rPr>
            </w:pPr>
          </w:p>
        </w:tc>
        <w:tc>
          <w:tcPr>
            <w:tcW w:w="1847" w:type="pct"/>
            <w:vAlign w:val="center"/>
          </w:tcPr>
          <w:p w14:paraId="70B2C70C">
            <w:pPr>
              <w:jc w:val="center"/>
              <w:rPr>
                <w:rFonts w:ascii="宋体"/>
                <w:color w:val="auto"/>
                <w:sz w:val="24"/>
                <w:highlight w:val="none"/>
              </w:rPr>
            </w:pPr>
          </w:p>
        </w:tc>
        <w:tc>
          <w:tcPr>
            <w:tcW w:w="1601" w:type="pct"/>
            <w:vAlign w:val="center"/>
          </w:tcPr>
          <w:p w14:paraId="7654EB43">
            <w:pPr>
              <w:jc w:val="center"/>
              <w:rPr>
                <w:rFonts w:ascii="宋体"/>
                <w:color w:val="auto"/>
                <w:sz w:val="24"/>
                <w:highlight w:val="none"/>
              </w:rPr>
            </w:pPr>
          </w:p>
        </w:tc>
        <w:tc>
          <w:tcPr>
            <w:tcW w:w="1118" w:type="pct"/>
            <w:vAlign w:val="center"/>
          </w:tcPr>
          <w:p w14:paraId="0E79E2A8">
            <w:pPr>
              <w:jc w:val="center"/>
              <w:rPr>
                <w:rFonts w:ascii="宋体"/>
                <w:color w:val="auto"/>
                <w:sz w:val="24"/>
                <w:highlight w:val="none"/>
              </w:rPr>
            </w:pPr>
          </w:p>
        </w:tc>
      </w:tr>
      <w:tr w14:paraId="21C3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vAlign w:val="center"/>
          </w:tcPr>
          <w:p w14:paraId="2B4C150F">
            <w:pPr>
              <w:jc w:val="center"/>
              <w:rPr>
                <w:rFonts w:ascii="宋体"/>
                <w:color w:val="auto"/>
                <w:sz w:val="24"/>
                <w:highlight w:val="none"/>
              </w:rPr>
            </w:pPr>
          </w:p>
        </w:tc>
        <w:tc>
          <w:tcPr>
            <w:tcW w:w="1847" w:type="pct"/>
            <w:vAlign w:val="center"/>
          </w:tcPr>
          <w:p w14:paraId="6C5A41AE">
            <w:pPr>
              <w:jc w:val="center"/>
              <w:rPr>
                <w:rFonts w:ascii="宋体"/>
                <w:color w:val="auto"/>
                <w:sz w:val="24"/>
                <w:highlight w:val="none"/>
              </w:rPr>
            </w:pPr>
          </w:p>
        </w:tc>
        <w:tc>
          <w:tcPr>
            <w:tcW w:w="1601" w:type="pct"/>
            <w:vAlign w:val="center"/>
          </w:tcPr>
          <w:p w14:paraId="1025B542">
            <w:pPr>
              <w:jc w:val="center"/>
              <w:rPr>
                <w:rFonts w:ascii="宋体"/>
                <w:color w:val="auto"/>
                <w:sz w:val="24"/>
                <w:highlight w:val="none"/>
              </w:rPr>
            </w:pPr>
          </w:p>
        </w:tc>
        <w:tc>
          <w:tcPr>
            <w:tcW w:w="1118" w:type="pct"/>
            <w:vAlign w:val="center"/>
          </w:tcPr>
          <w:p w14:paraId="1B2CA94A">
            <w:pPr>
              <w:jc w:val="center"/>
              <w:rPr>
                <w:rFonts w:ascii="宋体"/>
                <w:color w:val="auto"/>
                <w:sz w:val="24"/>
                <w:highlight w:val="none"/>
              </w:rPr>
            </w:pPr>
          </w:p>
        </w:tc>
      </w:tr>
      <w:tr w14:paraId="3C71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vAlign w:val="center"/>
          </w:tcPr>
          <w:p w14:paraId="0C08745F">
            <w:pPr>
              <w:jc w:val="center"/>
              <w:rPr>
                <w:rFonts w:ascii="宋体"/>
                <w:color w:val="auto"/>
                <w:sz w:val="24"/>
                <w:highlight w:val="none"/>
              </w:rPr>
            </w:pPr>
          </w:p>
        </w:tc>
        <w:tc>
          <w:tcPr>
            <w:tcW w:w="1847" w:type="pct"/>
            <w:vAlign w:val="center"/>
          </w:tcPr>
          <w:p w14:paraId="0BAA9B37">
            <w:pPr>
              <w:jc w:val="center"/>
              <w:rPr>
                <w:rFonts w:ascii="宋体"/>
                <w:color w:val="auto"/>
                <w:sz w:val="24"/>
                <w:highlight w:val="none"/>
              </w:rPr>
            </w:pPr>
          </w:p>
        </w:tc>
        <w:tc>
          <w:tcPr>
            <w:tcW w:w="1601" w:type="pct"/>
            <w:vAlign w:val="center"/>
          </w:tcPr>
          <w:p w14:paraId="1DB25C9F">
            <w:pPr>
              <w:jc w:val="center"/>
              <w:rPr>
                <w:rFonts w:ascii="宋体"/>
                <w:color w:val="auto"/>
                <w:sz w:val="24"/>
                <w:highlight w:val="none"/>
              </w:rPr>
            </w:pPr>
          </w:p>
        </w:tc>
        <w:tc>
          <w:tcPr>
            <w:tcW w:w="1118" w:type="pct"/>
            <w:vAlign w:val="center"/>
          </w:tcPr>
          <w:p w14:paraId="626620B1">
            <w:pPr>
              <w:jc w:val="center"/>
              <w:rPr>
                <w:rFonts w:ascii="宋体"/>
                <w:color w:val="auto"/>
                <w:sz w:val="24"/>
                <w:highlight w:val="none"/>
              </w:rPr>
            </w:pPr>
          </w:p>
        </w:tc>
      </w:tr>
    </w:tbl>
    <w:p w14:paraId="33207542">
      <w:pPr>
        <w:spacing w:beforeLines="50"/>
        <w:rPr>
          <w:rFonts w:ascii="宋体"/>
          <w:color w:val="auto"/>
          <w:sz w:val="24"/>
          <w:highlight w:val="none"/>
        </w:rPr>
      </w:pPr>
      <w:r>
        <w:rPr>
          <w:rFonts w:hint="eastAsia" w:ascii="宋体"/>
          <w:color w:val="auto"/>
          <w:sz w:val="24"/>
          <w:highlight w:val="none"/>
        </w:rPr>
        <w:t>备注：此表根据“第二部分 项目要求”中的“</w:t>
      </w:r>
      <w:r>
        <w:rPr>
          <w:rFonts w:hint="eastAsia" w:ascii="宋体"/>
          <w:b/>
          <w:bCs/>
          <w:color w:val="auto"/>
          <w:sz w:val="24"/>
          <w:highlight w:val="none"/>
        </w:rPr>
        <w:t>三、商务条款要求</w:t>
      </w:r>
      <w:r>
        <w:rPr>
          <w:rFonts w:hint="eastAsia" w:ascii="宋体"/>
          <w:color w:val="auto"/>
          <w:sz w:val="24"/>
          <w:highlight w:val="none"/>
        </w:rPr>
        <w:t>”填写，不得虚假响应。</w:t>
      </w:r>
    </w:p>
    <w:p w14:paraId="0B3490DE">
      <w:pPr>
        <w:rPr>
          <w:rFonts w:ascii="宋体"/>
          <w:color w:val="auto"/>
          <w:sz w:val="24"/>
          <w:highlight w:val="none"/>
        </w:rPr>
      </w:pPr>
    </w:p>
    <w:p w14:paraId="3D39B300">
      <w:pPr>
        <w:pStyle w:val="13"/>
        <w:spacing w:beforeLines="50" w:line="360" w:lineRule="exact"/>
        <w:ind w:firstLine="0"/>
        <w:rPr>
          <w:rFonts w:eastAsia="宋体"/>
          <w:color w:val="auto"/>
          <w:szCs w:val="24"/>
          <w:highlight w:val="none"/>
        </w:rPr>
      </w:pPr>
      <w:r>
        <w:rPr>
          <w:rFonts w:hint="eastAsia" w:eastAsia="宋体"/>
          <w:color w:val="auto"/>
          <w:szCs w:val="24"/>
          <w:highlight w:val="none"/>
        </w:rPr>
        <w:t>投标人单位（盖公章）：</w:t>
      </w:r>
    </w:p>
    <w:p w14:paraId="2317F9AD">
      <w:pPr>
        <w:pStyle w:val="13"/>
        <w:spacing w:beforeLines="50" w:line="360" w:lineRule="exact"/>
        <w:ind w:firstLine="0"/>
        <w:rPr>
          <w:rFonts w:eastAsia="宋体"/>
          <w:color w:val="auto"/>
          <w:szCs w:val="24"/>
          <w:highlight w:val="none"/>
        </w:rPr>
      </w:pPr>
      <w:r>
        <w:rPr>
          <w:rFonts w:hint="eastAsia"/>
          <w:color w:val="auto"/>
          <w:highlight w:val="none"/>
        </w:rPr>
        <w:t>法定代表人或</w:t>
      </w:r>
      <w:r>
        <w:rPr>
          <w:rFonts w:hint="eastAsia" w:eastAsia="宋体"/>
          <w:color w:val="auto"/>
          <w:szCs w:val="24"/>
          <w:highlight w:val="none"/>
        </w:rPr>
        <w:t>被授权代表人（签字或盖章）：</w:t>
      </w:r>
    </w:p>
    <w:p w14:paraId="513CAFB7">
      <w:pPr>
        <w:spacing w:beforeLines="50"/>
        <w:rPr>
          <w:rFonts w:ascii="宋体"/>
          <w:color w:val="auto"/>
          <w:sz w:val="24"/>
          <w:highlight w:val="none"/>
          <w:u w:val="single"/>
        </w:rPr>
      </w:pPr>
      <w:r>
        <w:rPr>
          <w:rFonts w:hint="eastAsia"/>
          <w:color w:val="auto"/>
          <w:sz w:val="24"/>
          <w:szCs w:val="24"/>
          <w:highlight w:val="none"/>
        </w:rPr>
        <w:t>日期：</w:t>
      </w:r>
    </w:p>
    <w:p w14:paraId="7058C882">
      <w:pPr>
        <w:rPr>
          <w:rFonts w:ascii="宋体"/>
          <w:b/>
          <w:color w:val="auto"/>
          <w:sz w:val="28"/>
          <w:highlight w:val="none"/>
        </w:rPr>
      </w:pPr>
      <w:r>
        <w:rPr>
          <w:rFonts w:ascii="宋体"/>
          <w:b/>
          <w:color w:val="auto"/>
          <w:sz w:val="28"/>
          <w:highlight w:val="none"/>
        </w:rPr>
        <w:br w:type="page"/>
      </w:r>
    </w:p>
    <w:p w14:paraId="093A8FA1">
      <w:pPr>
        <w:pStyle w:val="13"/>
        <w:ind w:firstLine="0"/>
        <w:jc w:val="center"/>
        <w:rPr>
          <w:rFonts w:ascii="宋体" w:eastAsia="宋体"/>
          <w:b/>
          <w:color w:val="auto"/>
          <w:sz w:val="28"/>
          <w:highlight w:val="none"/>
        </w:rPr>
      </w:pPr>
      <w:r>
        <w:rPr>
          <w:rFonts w:hint="eastAsia" w:ascii="宋体" w:eastAsia="宋体"/>
          <w:b/>
          <w:color w:val="auto"/>
          <w:sz w:val="28"/>
          <w:highlight w:val="none"/>
        </w:rPr>
        <w:t>四、法定代表人授权书或法定代表人身份证明</w:t>
      </w:r>
    </w:p>
    <w:p w14:paraId="77648F0C">
      <w:pPr>
        <w:pStyle w:val="13"/>
        <w:ind w:firstLine="0"/>
        <w:jc w:val="center"/>
        <w:rPr>
          <w:rFonts w:ascii="宋体" w:eastAsia="宋体"/>
          <w:b/>
          <w:color w:val="auto"/>
          <w:sz w:val="28"/>
          <w:highlight w:val="none"/>
        </w:rPr>
      </w:pPr>
    </w:p>
    <w:p w14:paraId="2068F666">
      <w:pPr>
        <w:pStyle w:val="13"/>
        <w:ind w:firstLine="0"/>
        <w:jc w:val="center"/>
        <w:rPr>
          <w:rFonts w:ascii="宋体" w:eastAsia="宋体"/>
          <w:b/>
          <w:color w:val="auto"/>
          <w:sz w:val="28"/>
          <w:highlight w:val="none"/>
        </w:rPr>
      </w:pPr>
      <w:r>
        <w:rPr>
          <w:rFonts w:hint="eastAsia" w:ascii="宋体" w:eastAsia="宋体"/>
          <w:b/>
          <w:color w:val="auto"/>
          <w:sz w:val="28"/>
          <w:highlight w:val="none"/>
        </w:rPr>
        <w:t>法定代表人授权书</w:t>
      </w:r>
    </w:p>
    <w:p w14:paraId="54F44E38">
      <w:pPr>
        <w:pStyle w:val="13"/>
        <w:ind w:firstLine="0"/>
        <w:jc w:val="center"/>
        <w:rPr>
          <w:rFonts w:ascii="宋体" w:eastAsia="宋体"/>
          <w:color w:val="auto"/>
          <w:highlight w:val="none"/>
        </w:rPr>
      </w:pPr>
    </w:p>
    <w:p w14:paraId="7A60CB00">
      <w:pPr>
        <w:pStyle w:val="13"/>
        <w:spacing w:line="440" w:lineRule="exact"/>
        <w:ind w:firstLine="0"/>
        <w:rPr>
          <w:rFonts w:ascii="宋体" w:eastAsia="宋体"/>
          <w:color w:val="auto"/>
          <w:highlight w:val="none"/>
        </w:rPr>
      </w:pPr>
      <w:r>
        <w:rPr>
          <w:rFonts w:hint="eastAsia" w:ascii="宋体" w:eastAsia="宋体"/>
          <w:color w:val="auto"/>
          <w:highlight w:val="none"/>
          <w:u w:val="single"/>
        </w:rPr>
        <w:t xml:space="preserve">  致 （</w:t>
      </w:r>
      <w:r>
        <w:rPr>
          <w:rFonts w:hint="eastAsia" w:ascii="宋体" w:eastAsia="宋体"/>
          <w:i/>
          <w:color w:val="auto"/>
          <w:highlight w:val="none"/>
          <w:u w:val="single"/>
        </w:rPr>
        <w:t>采购人</w:t>
      </w:r>
      <w:r>
        <w:rPr>
          <w:rFonts w:hint="eastAsia" w:ascii="宋体" w:eastAsia="宋体"/>
          <w:color w:val="auto"/>
          <w:highlight w:val="none"/>
          <w:u w:val="single"/>
        </w:rPr>
        <w:t xml:space="preserve">）               </w:t>
      </w:r>
      <w:r>
        <w:rPr>
          <w:rFonts w:hint="eastAsia" w:ascii="宋体" w:eastAsia="宋体"/>
          <w:color w:val="auto"/>
          <w:highlight w:val="none"/>
        </w:rPr>
        <w:t>：</w:t>
      </w:r>
    </w:p>
    <w:p w14:paraId="094900C7">
      <w:pPr>
        <w:pStyle w:val="13"/>
        <w:spacing w:line="440" w:lineRule="exact"/>
        <w:ind w:firstLine="0"/>
        <w:rPr>
          <w:rFonts w:ascii="宋体" w:eastAsia="宋体"/>
          <w:color w:val="auto"/>
          <w:highlight w:val="none"/>
        </w:rPr>
      </w:pPr>
    </w:p>
    <w:p w14:paraId="23C5D12B">
      <w:pPr>
        <w:pStyle w:val="13"/>
        <w:spacing w:line="440" w:lineRule="exact"/>
        <w:ind w:firstLineChars="200"/>
        <w:rPr>
          <w:rFonts w:ascii="宋体" w:eastAsia="宋体"/>
          <w:color w:val="auto"/>
          <w:highlight w:val="none"/>
        </w:rPr>
      </w:pPr>
      <w:r>
        <w:rPr>
          <w:rFonts w:hint="eastAsia" w:ascii="宋体" w:eastAsia="宋体"/>
          <w:color w:val="auto"/>
          <w:highlight w:val="none"/>
          <w:u w:val="single"/>
        </w:rPr>
        <w:t xml:space="preserve">      （</w:t>
      </w:r>
      <w:r>
        <w:rPr>
          <w:rFonts w:hint="eastAsia" w:ascii="宋体" w:eastAsia="宋体"/>
          <w:i/>
          <w:color w:val="auto"/>
          <w:highlight w:val="none"/>
          <w:u w:val="single"/>
        </w:rPr>
        <w:t>投标人全称</w:t>
      </w:r>
      <w:r>
        <w:rPr>
          <w:rFonts w:hint="eastAsia" w:ascii="宋体" w:eastAsia="宋体"/>
          <w:color w:val="auto"/>
          <w:highlight w:val="none"/>
          <w:u w:val="single"/>
        </w:rPr>
        <w:t xml:space="preserve">）   </w:t>
      </w:r>
      <w:r>
        <w:rPr>
          <w:rFonts w:hint="eastAsia" w:ascii="宋体" w:eastAsia="宋体"/>
          <w:color w:val="auto"/>
          <w:highlight w:val="none"/>
        </w:rPr>
        <w:t>法定代表人</w:t>
      </w:r>
      <w:r>
        <w:rPr>
          <w:rFonts w:hint="eastAsia" w:ascii="宋体" w:eastAsia="宋体"/>
          <w:i/>
          <w:color w:val="auto"/>
          <w:highlight w:val="none"/>
          <w:u w:val="single"/>
        </w:rPr>
        <w:t>（姓名、职务）</w:t>
      </w:r>
      <w:r>
        <w:rPr>
          <w:rFonts w:hint="eastAsia" w:ascii="宋体" w:eastAsia="宋体"/>
          <w:color w:val="auto"/>
          <w:highlight w:val="none"/>
        </w:rPr>
        <w:t>授权</w:t>
      </w:r>
      <w:r>
        <w:rPr>
          <w:rFonts w:hint="eastAsia" w:ascii="宋体" w:eastAsia="宋体"/>
          <w:color w:val="auto"/>
          <w:highlight w:val="none"/>
          <w:u w:val="single"/>
        </w:rPr>
        <w:t xml:space="preserve">  （</w:t>
      </w:r>
      <w:r>
        <w:rPr>
          <w:rFonts w:hint="eastAsia" w:ascii="宋体" w:eastAsia="宋体"/>
          <w:i/>
          <w:color w:val="auto"/>
          <w:highlight w:val="none"/>
          <w:u w:val="single"/>
        </w:rPr>
        <w:t>被授权代表姓名、职务</w:t>
      </w:r>
      <w:r>
        <w:rPr>
          <w:rFonts w:hint="eastAsia" w:ascii="宋体" w:eastAsia="宋体"/>
          <w:color w:val="auto"/>
          <w:highlight w:val="none"/>
          <w:u w:val="single"/>
        </w:rPr>
        <w:t xml:space="preserve">）     </w:t>
      </w:r>
      <w:r>
        <w:rPr>
          <w:rFonts w:hint="eastAsia" w:ascii="宋体" w:eastAsia="宋体"/>
          <w:color w:val="auto"/>
          <w:highlight w:val="none"/>
        </w:rPr>
        <w:t>为本公司合法代理人，参加</w:t>
      </w:r>
      <w:r>
        <w:rPr>
          <w:rFonts w:hint="eastAsia" w:ascii="宋体" w:eastAsia="宋体"/>
          <w:i/>
          <w:color w:val="auto"/>
          <w:highlight w:val="none"/>
          <w:u w:val="single"/>
        </w:rPr>
        <w:t>（项目编号）</w:t>
      </w:r>
      <w:r>
        <w:rPr>
          <w:rFonts w:hint="eastAsia" w:ascii="宋体" w:eastAsia="宋体"/>
          <w:color w:val="auto"/>
          <w:highlight w:val="none"/>
          <w:u w:val="single"/>
        </w:rPr>
        <w:t xml:space="preserve"> (</w:t>
      </w:r>
      <w:r>
        <w:rPr>
          <w:rFonts w:hint="eastAsia" w:ascii="宋体" w:eastAsia="宋体"/>
          <w:i/>
          <w:color w:val="auto"/>
          <w:highlight w:val="none"/>
          <w:u w:val="single"/>
        </w:rPr>
        <w:t>项目名称</w:t>
      </w:r>
      <w:r>
        <w:rPr>
          <w:rFonts w:hint="eastAsia" w:ascii="宋体" w:eastAsia="宋体"/>
          <w:color w:val="auto"/>
          <w:highlight w:val="none"/>
          <w:u w:val="single"/>
        </w:rPr>
        <w:t xml:space="preserve">)   </w:t>
      </w:r>
      <w:r>
        <w:rPr>
          <w:rFonts w:hint="eastAsia" w:ascii="宋体" w:eastAsia="宋体"/>
          <w:color w:val="auto"/>
          <w:highlight w:val="none"/>
        </w:rPr>
        <w:t>项目的招标投标活动，代表本公司处理招标投标活动中的一切事宜。</w:t>
      </w:r>
    </w:p>
    <w:p w14:paraId="187328CD">
      <w:pPr>
        <w:pStyle w:val="13"/>
        <w:spacing w:line="440" w:lineRule="exact"/>
        <w:ind w:firstLine="0"/>
        <w:rPr>
          <w:rFonts w:ascii="宋体" w:eastAsia="宋体"/>
          <w:color w:val="auto"/>
          <w:highlight w:val="none"/>
          <w:u w:val="single"/>
        </w:rPr>
      </w:pPr>
      <w:r>
        <w:rPr>
          <w:rFonts w:hint="eastAsia" w:ascii="宋体" w:eastAsia="宋体"/>
          <w:color w:val="auto"/>
          <w:highlight w:val="none"/>
        </w:rPr>
        <w:t xml:space="preserve">     本授权书于</w:t>
      </w:r>
      <w:r>
        <w:rPr>
          <w:rFonts w:hint="eastAsia" w:ascii="宋体" w:eastAsia="宋体"/>
          <w:color w:val="auto"/>
          <w:highlight w:val="none"/>
          <w:u w:val="single"/>
        </w:rPr>
        <w:t xml:space="preserve">       年   月    日</w:t>
      </w:r>
      <w:r>
        <w:rPr>
          <w:rFonts w:hint="eastAsia" w:ascii="宋体" w:eastAsia="宋体"/>
          <w:color w:val="auto"/>
          <w:highlight w:val="none"/>
        </w:rPr>
        <w:t>签字生效,特此声明。</w:t>
      </w:r>
    </w:p>
    <w:p w14:paraId="76FF6D72">
      <w:pPr>
        <w:pStyle w:val="13"/>
        <w:spacing w:line="440" w:lineRule="exact"/>
        <w:ind w:firstLine="0"/>
        <w:rPr>
          <w:rFonts w:ascii="宋体" w:eastAsia="宋体"/>
          <w:color w:val="auto"/>
          <w:highlight w:val="none"/>
        </w:rPr>
      </w:pPr>
    </w:p>
    <w:p w14:paraId="58213F53">
      <w:pPr>
        <w:pStyle w:val="13"/>
        <w:spacing w:line="440" w:lineRule="exact"/>
        <w:ind w:firstLine="0"/>
        <w:rPr>
          <w:rFonts w:ascii="宋体" w:eastAsia="宋体"/>
          <w:color w:val="auto"/>
          <w:highlight w:val="none"/>
        </w:rPr>
      </w:pPr>
      <w:r>
        <w:rPr>
          <w:rFonts w:hint="eastAsia" w:ascii="宋体" w:eastAsia="宋体"/>
          <w:color w:val="auto"/>
          <w:highlight w:val="none"/>
        </w:rPr>
        <w:t xml:space="preserve">                                          法定代表人（签字或盖章）：</w:t>
      </w:r>
    </w:p>
    <w:p w14:paraId="619A3CF0">
      <w:pPr>
        <w:pStyle w:val="13"/>
        <w:spacing w:line="440" w:lineRule="exact"/>
        <w:ind w:firstLine="0"/>
        <w:rPr>
          <w:rFonts w:ascii="宋体" w:eastAsia="宋体"/>
          <w:color w:val="auto"/>
          <w:highlight w:val="none"/>
        </w:rPr>
      </w:pPr>
      <w:r>
        <w:rPr>
          <w:rFonts w:hint="eastAsia" w:ascii="宋体" w:eastAsia="宋体"/>
          <w:color w:val="auto"/>
          <w:highlight w:val="none"/>
        </w:rPr>
        <w:t xml:space="preserve">                                          投标人单位（公章）：</w:t>
      </w:r>
    </w:p>
    <w:p w14:paraId="448C7AD9">
      <w:pPr>
        <w:pStyle w:val="13"/>
        <w:spacing w:line="440" w:lineRule="exact"/>
        <w:ind w:firstLine="0"/>
        <w:rPr>
          <w:rFonts w:ascii="宋体" w:eastAsia="宋体"/>
          <w:color w:val="auto"/>
          <w:highlight w:val="none"/>
        </w:rPr>
      </w:pPr>
      <w:r>
        <w:rPr>
          <w:rFonts w:hint="eastAsia" w:ascii="宋体" w:eastAsia="宋体"/>
          <w:color w:val="auto"/>
          <w:highlight w:val="none"/>
        </w:rPr>
        <w:t xml:space="preserve">                                          日  期：</w:t>
      </w:r>
    </w:p>
    <w:p w14:paraId="4EE00F91">
      <w:pPr>
        <w:pStyle w:val="13"/>
        <w:spacing w:line="400" w:lineRule="exact"/>
        <w:ind w:firstLine="0"/>
        <w:rPr>
          <w:rFonts w:ascii="宋体" w:eastAsia="宋体"/>
          <w:color w:val="auto"/>
          <w:highlight w:val="none"/>
        </w:rPr>
      </w:pPr>
    </w:p>
    <w:p w14:paraId="46F80CF0">
      <w:pPr>
        <w:pStyle w:val="13"/>
        <w:spacing w:line="400" w:lineRule="exact"/>
        <w:ind w:firstLine="0"/>
        <w:rPr>
          <w:rFonts w:ascii="宋体" w:eastAsia="宋体"/>
          <w:color w:val="auto"/>
          <w:highlight w:val="none"/>
        </w:rPr>
      </w:pPr>
      <w:r>
        <w:rPr>
          <w:rFonts w:hint="eastAsia" w:ascii="宋体" w:eastAsia="宋体"/>
          <w:color w:val="auto"/>
          <w:highlight w:val="none"/>
        </w:rPr>
        <w:t>附：</w:t>
      </w:r>
    </w:p>
    <w:p w14:paraId="74D9361F">
      <w:pPr>
        <w:pStyle w:val="13"/>
        <w:spacing w:line="400" w:lineRule="exact"/>
        <w:ind w:firstLine="235"/>
        <w:rPr>
          <w:rFonts w:ascii="宋体" w:eastAsia="宋体"/>
          <w:color w:val="auto"/>
          <w:highlight w:val="none"/>
        </w:rPr>
      </w:pPr>
      <w:r>
        <w:rPr>
          <w:rFonts w:hint="eastAsia" w:ascii="宋体" w:eastAsia="宋体"/>
          <w:color w:val="auto"/>
          <w:highlight w:val="none"/>
        </w:rPr>
        <w:t>被授权代表人（签字或盖章）：</w:t>
      </w:r>
    </w:p>
    <w:p w14:paraId="1DD8529A">
      <w:pPr>
        <w:pStyle w:val="13"/>
        <w:spacing w:line="400" w:lineRule="exact"/>
        <w:ind w:firstLine="0"/>
        <w:rPr>
          <w:rFonts w:ascii="宋体" w:eastAsia="宋体"/>
          <w:color w:val="auto"/>
          <w:highlight w:val="none"/>
        </w:rPr>
      </w:pPr>
      <w:r>
        <w:rPr>
          <w:rFonts w:hint="eastAsia" w:ascii="宋体" w:eastAsia="宋体"/>
          <w:color w:val="auto"/>
          <w:highlight w:val="none"/>
        </w:rPr>
        <w:t xml:space="preserve">  电    话：</w:t>
      </w:r>
    </w:p>
    <w:p w14:paraId="0938AF91">
      <w:pPr>
        <w:pStyle w:val="13"/>
        <w:spacing w:line="400" w:lineRule="exact"/>
        <w:ind w:firstLine="0"/>
        <w:rPr>
          <w:rFonts w:ascii="宋体" w:eastAsia="宋体"/>
          <w:color w:val="auto"/>
          <w:highlight w:val="none"/>
        </w:rPr>
      </w:pPr>
    </w:p>
    <w:p w14:paraId="10861A4C">
      <w:pPr>
        <w:pStyle w:val="13"/>
        <w:spacing w:line="400" w:lineRule="exact"/>
        <w:ind w:firstLine="0"/>
        <w:rPr>
          <w:rFonts w:ascii="宋体" w:eastAsia="宋体"/>
          <w:b/>
          <w:color w:val="auto"/>
          <w:highlight w:val="none"/>
        </w:rPr>
      </w:pPr>
      <w:r>
        <w:rPr>
          <w:rFonts w:hint="eastAsia" w:ascii="宋体" w:eastAsia="宋体"/>
          <w:b/>
          <w:color w:val="auto"/>
          <w:highlight w:val="none"/>
        </w:rPr>
        <w:t>附：法定代表人和被授权代表的身份证复印件。</w:t>
      </w:r>
    </w:p>
    <w:p w14:paraId="0783F09D">
      <w:pPr>
        <w:pStyle w:val="13"/>
        <w:spacing w:line="400" w:lineRule="exact"/>
        <w:ind w:firstLine="0"/>
        <w:rPr>
          <w:rFonts w:ascii="宋体" w:eastAsia="宋体"/>
          <w:b/>
          <w:color w:val="auto"/>
          <w:highlight w:val="none"/>
        </w:rPr>
      </w:pPr>
    </w:p>
    <w:p w14:paraId="3A98EFB7">
      <w:pPr>
        <w:pStyle w:val="13"/>
        <w:spacing w:line="400" w:lineRule="exact"/>
        <w:ind w:firstLine="0"/>
        <w:rPr>
          <w:rFonts w:ascii="宋体" w:eastAsia="宋体"/>
          <w:b/>
          <w:color w:val="auto"/>
          <w:highlight w:val="none"/>
          <w:u w:val="single"/>
        </w:rPr>
      </w:pPr>
      <w:r>
        <w:rPr>
          <w:rFonts w:hint="eastAsia" w:ascii="宋体" w:eastAsia="宋体"/>
          <w:b/>
          <w:color w:val="auto"/>
          <w:highlight w:val="none"/>
          <w:u w:val="single"/>
        </w:rPr>
        <w:t>注：如法定代表人参加投标并签署投标文件的，无需提供此授权书，只需提供法定代表人身份证复印件即可。</w:t>
      </w:r>
    </w:p>
    <w:p w14:paraId="4D8E75E4">
      <w:pPr>
        <w:pStyle w:val="13"/>
        <w:spacing w:line="400" w:lineRule="exact"/>
        <w:ind w:firstLine="0"/>
        <w:rPr>
          <w:rFonts w:ascii="宋体" w:eastAsia="宋体"/>
          <w:b/>
          <w:color w:val="auto"/>
          <w:highlight w:val="none"/>
          <w:u w:val="single"/>
        </w:rPr>
      </w:pPr>
    </w:p>
    <w:p w14:paraId="6ADFF981">
      <w:pPr>
        <w:rPr>
          <w:rFonts w:ascii="宋体"/>
          <w:b/>
          <w:color w:val="auto"/>
          <w:sz w:val="28"/>
          <w:highlight w:val="none"/>
        </w:rPr>
      </w:pPr>
      <w:r>
        <w:rPr>
          <w:rFonts w:ascii="宋体"/>
          <w:b/>
          <w:color w:val="auto"/>
          <w:sz w:val="28"/>
          <w:highlight w:val="none"/>
        </w:rPr>
        <w:br w:type="page"/>
      </w:r>
    </w:p>
    <w:p w14:paraId="33240861">
      <w:pPr>
        <w:jc w:val="center"/>
        <w:rPr>
          <w:rFonts w:ascii="宋体"/>
          <w:b/>
          <w:color w:val="auto"/>
          <w:sz w:val="28"/>
          <w:highlight w:val="none"/>
        </w:rPr>
      </w:pPr>
      <w:r>
        <w:rPr>
          <w:rFonts w:hint="eastAsia" w:ascii="宋体"/>
          <w:b/>
          <w:color w:val="auto"/>
          <w:sz w:val="28"/>
          <w:highlight w:val="none"/>
        </w:rPr>
        <w:t>五、售后服务承诺书</w:t>
      </w:r>
    </w:p>
    <w:p w14:paraId="596243C7">
      <w:pPr>
        <w:jc w:val="center"/>
        <w:rPr>
          <w:rFonts w:ascii="宋体"/>
          <w:color w:val="auto"/>
          <w:sz w:val="24"/>
          <w:szCs w:val="24"/>
          <w:highlight w:val="none"/>
        </w:rPr>
      </w:pPr>
    </w:p>
    <w:p w14:paraId="36F125A9">
      <w:pPr>
        <w:jc w:val="center"/>
        <w:rPr>
          <w:rFonts w:ascii="宋体"/>
          <w:color w:val="auto"/>
          <w:sz w:val="24"/>
          <w:szCs w:val="24"/>
          <w:highlight w:val="none"/>
        </w:rPr>
      </w:pPr>
      <w:r>
        <w:rPr>
          <w:rFonts w:hint="eastAsia" w:ascii="宋体"/>
          <w:color w:val="auto"/>
          <w:sz w:val="24"/>
          <w:szCs w:val="24"/>
          <w:highlight w:val="none"/>
        </w:rPr>
        <w:t>（格式自拟）</w:t>
      </w:r>
    </w:p>
    <w:p w14:paraId="23A72EA0">
      <w:pPr>
        <w:rPr>
          <w:rFonts w:ascii="宋体"/>
          <w:b/>
          <w:color w:val="auto"/>
          <w:sz w:val="28"/>
          <w:highlight w:val="none"/>
        </w:rPr>
      </w:pPr>
    </w:p>
    <w:p w14:paraId="100BF8A8">
      <w:pPr>
        <w:rPr>
          <w:rFonts w:ascii="宋体"/>
          <w:b/>
          <w:color w:val="auto"/>
          <w:sz w:val="28"/>
          <w:highlight w:val="none"/>
        </w:rPr>
      </w:pPr>
      <w:r>
        <w:rPr>
          <w:rFonts w:ascii="宋体"/>
          <w:b/>
          <w:color w:val="auto"/>
          <w:sz w:val="28"/>
          <w:highlight w:val="none"/>
        </w:rPr>
        <w:br w:type="page"/>
      </w:r>
    </w:p>
    <w:p w14:paraId="56D715E9">
      <w:pPr>
        <w:jc w:val="center"/>
        <w:rPr>
          <w:rFonts w:ascii="宋体"/>
          <w:b/>
          <w:color w:val="auto"/>
          <w:sz w:val="28"/>
          <w:highlight w:val="none"/>
        </w:rPr>
      </w:pPr>
      <w:r>
        <w:rPr>
          <w:rFonts w:hint="eastAsia" w:ascii="宋体"/>
          <w:b/>
          <w:color w:val="auto"/>
          <w:sz w:val="28"/>
          <w:highlight w:val="none"/>
        </w:rPr>
        <w:t>六、同类项目业绩表</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193"/>
        <w:gridCol w:w="1483"/>
        <w:gridCol w:w="1589"/>
        <w:gridCol w:w="1695"/>
        <w:gridCol w:w="1271"/>
      </w:tblGrid>
      <w:tr w14:paraId="1A94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pct"/>
            <w:vAlign w:val="center"/>
          </w:tcPr>
          <w:p w14:paraId="045817AF">
            <w:pPr>
              <w:spacing w:line="320" w:lineRule="exact"/>
              <w:jc w:val="center"/>
              <w:rPr>
                <w:color w:val="auto"/>
                <w:sz w:val="24"/>
                <w:szCs w:val="24"/>
                <w:highlight w:val="none"/>
              </w:rPr>
            </w:pPr>
            <w:r>
              <w:rPr>
                <w:color w:val="auto"/>
                <w:sz w:val="24"/>
                <w:szCs w:val="24"/>
                <w:highlight w:val="none"/>
              </w:rPr>
              <w:t>序号</w:t>
            </w:r>
          </w:p>
        </w:tc>
        <w:tc>
          <w:tcPr>
            <w:tcW w:w="1202" w:type="pct"/>
            <w:vAlign w:val="center"/>
          </w:tcPr>
          <w:p w14:paraId="765C9D73">
            <w:pPr>
              <w:spacing w:line="320" w:lineRule="exact"/>
              <w:jc w:val="center"/>
              <w:rPr>
                <w:color w:val="auto"/>
                <w:sz w:val="24"/>
                <w:szCs w:val="24"/>
                <w:highlight w:val="none"/>
              </w:rPr>
            </w:pPr>
            <w:r>
              <w:rPr>
                <w:rFonts w:hint="eastAsia"/>
                <w:color w:val="auto"/>
                <w:sz w:val="24"/>
                <w:szCs w:val="24"/>
                <w:highlight w:val="none"/>
              </w:rPr>
              <w:t>项目名称</w:t>
            </w:r>
          </w:p>
        </w:tc>
        <w:tc>
          <w:tcPr>
            <w:tcW w:w="813" w:type="pct"/>
            <w:vAlign w:val="center"/>
          </w:tcPr>
          <w:p w14:paraId="2F720164">
            <w:pPr>
              <w:spacing w:line="320" w:lineRule="exact"/>
              <w:jc w:val="center"/>
              <w:rPr>
                <w:color w:val="auto"/>
                <w:sz w:val="24"/>
                <w:szCs w:val="24"/>
                <w:highlight w:val="none"/>
              </w:rPr>
            </w:pPr>
            <w:r>
              <w:rPr>
                <w:color w:val="auto"/>
                <w:sz w:val="24"/>
                <w:szCs w:val="24"/>
                <w:highlight w:val="none"/>
              </w:rPr>
              <w:t>业主单位</w:t>
            </w:r>
          </w:p>
        </w:tc>
        <w:tc>
          <w:tcPr>
            <w:tcW w:w="871" w:type="pct"/>
            <w:vAlign w:val="center"/>
          </w:tcPr>
          <w:p w14:paraId="3B5E8DC3">
            <w:pPr>
              <w:spacing w:line="320" w:lineRule="exact"/>
              <w:jc w:val="center"/>
              <w:rPr>
                <w:color w:val="auto"/>
                <w:sz w:val="24"/>
                <w:szCs w:val="24"/>
                <w:highlight w:val="none"/>
              </w:rPr>
            </w:pPr>
            <w:r>
              <w:rPr>
                <w:rFonts w:hint="eastAsia"/>
                <w:color w:val="auto"/>
                <w:sz w:val="24"/>
                <w:szCs w:val="24"/>
                <w:highlight w:val="none"/>
              </w:rPr>
              <w:t>主要内容</w:t>
            </w:r>
          </w:p>
        </w:tc>
        <w:tc>
          <w:tcPr>
            <w:tcW w:w="929" w:type="pct"/>
            <w:vAlign w:val="center"/>
          </w:tcPr>
          <w:p w14:paraId="38084F54">
            <w:pPr>
              <w:spacing w:line="320" w:lineRule="exact"/>
              <w:jc w:val="center"/>
              <w:rPr>
                <w:color w:val="auto"/>
                <w:sz w:val="24"/>
                <w:szCs w:val="24"/>
                <w:highlight w:val="none"/>
              </w:rPr>
            </w:pPr>
            <w:r>
              <w:rPr>
                <w:color w:val="auto"/>
                <w:sz w:val="24"/>
                <w:szCs w:val="24"/>
                <w:highlight w:val="none"/>
              </w:rPr>
              <w:t>联系人电话</w:t>
            </w:r>
          </w:p>
        </w:tc>
        <w:tc>
          <w:tcPr>
            <w:tcW w:w="697" w:type="pct"/>
            <w:vAlign w:val="center"/>
          </w:tcPr>
          <w:p w14:paraId="7EB18BB4">
            <w:pPr>
              <w:spacing w:line="320" w:lineRule="exact"/>
              <w:jc w:val="center"/>
              <w:rPr>
                <w:color w:val="auto"/>
                <w:sz w:val="24"/>
                <w:szCs w:val="24"/>
                <w:highlight w:val="none"/>
              </w:rPr>
            </w:pPr>
            <w:r>
              <w:rPr>
                <w:rFonts w:hint="eastAsia"/>
                <w:color w:val="auto"/>
                <w:sz w:val="24"/>
                <w:szCs w:val="24"/>
                <w:highlight w:val="none"/>
              </w:rPr>
              <w:t>签约</w:t>
            </w:r>
            <w:r>
              <w:rPr>
                <w:color w:val="auto"/>
                <w:sz w:val="24"/>
                <w:szCs w:val="24"/>
                <w:highlight w:val="none"/>
              </w:rPr>
              <w:t>时间</w:t>
            </w:r>
          </w:p>
        </w:tc>
      </w:tr>
      <w:tr w14:paraId="7309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pct"/>
            <w:vAlign w:val="center"/>
          </w:tcPr>
          <w:p w14:paraId="4B45DA3D">
            <w:pPr>
              <w:spacing w:line="320" w:lineRule="exact"/>
              <w:jc w:val="center"/>
              <w:rPr>
                <w:color w:val="auto"/>
                <w:sz w:val="24"/>
                <w:szCs w:val="24"/>
                <w:highlight w:val="none"/>
              </w:rPr>
            </w:pPr>
          </w:p>
        </w:tc>
        <w:tc>
          <w:tcPr>
            <w:tcW w:w="1202" w:type="pct"/>
            <w:vAlign w:val="center"/>
          </w:tcPr>
          <w:p w14:paraId="24B59A4E">
            <w:pPr>
              <w:spacing w:line="320" w:lineRule="exact"/>
              <w:jc w:val="center"/>
              <w:rPr>
                <w:color w:val="auto"/>
                <w:sz w:val="24"/>
                <w:szCs w:val="24"/>
                <w:highlight w:val="none"/>
              </w:rPr>
            </w:pPr>
          </w:p>
        </w:tc>
        <w:tc>
          <w:tcPr>
            <w:tcW w:w="813" w:type="pct"/>
            <w:vAlign w:val="center"/>
          </w:tcPr>
          <w:p w14:paraId="79DB4E25">
            <w:pPr>
              <w:spacing w:line="320" w:lineRule="exact"/>
              <w:jc w:val="center"/>
              <w:rPr>
                <w:color w:val="auto"/>
                <w:sz w:val="24"/>
                <w:szCs w:val="24"/>
                <w:highlight w:val="none"/>
              </w:rPr>
            </w:pPr>
          </w:p>
        </w:tc>
        <w:tc>
          <w:tcPr>
            <w:tcW w:w="871" w:type="pct"/>
            <w:vAlign w:val="center"/>
          </w:tcPr>
          <w:p w14:paraId="15C81287">
            <w:pPr>
              <w:spacing w:line="320" w:lineRule="exact"/>
              <w:jc w:val="center"/>
              <w:rPr>
                <w:color w:val="auto"/>
                <w:sz w:val="24"/>
                <w:szCs w:val="24"/>
                <w:highlight w:val="none"/>
              </w:rPr>
            </w:pPr>
          </w:p>
        </w:tc>
        <w:tc>
          <w:tcPr>
            <w:tcW w:w="929" w:type="pct"/>
            <w:vAlign w:val="center"/>
          </w:tcPr>
          <w:p w14:paraId="479D47A4">
            <w:pPr>
              <w:spacing w:line="320" w:lineRule="exact"/>
              <w:jc w:val="center"/>
              <w:rPr>
                <w:color w:val="auto"/>
                <w:sz w:val="24"/>
                <w:szCs w:val="24"/>
                <w:highlight w:val="none"/>
              </w:rPr>
            </w:pPr>
          </w:p>
        </w:tc>
        <w:tc>
          <w:tcPr>
            <w:tcW w:w="697" w:type="pct"/>
            <w:vAlign w:val="center"/>
          </w:tcPr>
          <w:p w14:paraId="5F2CDC04">
            <w:pPr>
              <w:spacing w:line="320" w:lineRule="exact"/>
              <w:jc w:val="center"/>
              <w:rPr>
                <w:color w:val="auto"/>
                <w:sz w:val="24"/>
                <w:szCs w:val="24"/>
                <w:highlight w:val="none"/>
              </w:rPr>
            </w:pPr>
          </w:p>
        </w:tc>
      </w:tr>
      <w:tr w14:paraId="3D28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pct"/>
            <w:vAlign w:val="center"/>
          </w:tcPr>
          <w:p w14:paraId="24BC2537">
            <w:pPr>
              <w:spacing w:line="320" w:lineRule="exact"/>
              <w:jc w:val="center"/>
              <w:rPr>
                <w:color w:val="auto"/>
                <w:sz w:val="24"/>
                <w:szCs w:val="24"/>
                <w:highlight w:val="none"/>
              </w:rPr>
            </w:pPr>
          </w:p>
        </w:tc>
        <w:tc>
          <w:tcPr>
            <w:tcW w:w="1202" w:type="pct"/>
            <w:vAlign w:val="center"/>
          </w:tcPr>
          <w:p w14:paraId="7F5C994A">
            <w:pPr>
              <w:spacing w:line="320" w:lineRule="exact"/>
              <w:jc w:val="center"/>
              <w:rPr>
                <w:color w:val="auto"/>
                <w:sz w:val="24"/>
                <w:szCs w:val="24"/>
                <w:highlight w:val="none"/>
              </w:rPr>
            </w:pPr>
          </w:p>
        </w:tc>
        <w:tc>
          <w:tcPr>
            <w:tcW w:w="813" w:type="pct"/>
            <w:vAlign w:val="center"/>
          </w:tcPr>
          <w:p w14:paraId="2F185232">
            <w:pPr>
              <w:spacing w:line="320" w:lineRule="exact"/>
              <w:jc w:val="center"/>
              <w:rPr>
                <w:color w:val="auto"/>
                <w:sz w:val="24"/>
                <w:szCs w:val="24"/>
                <w:highlight w:val="none"/>
              </w:rPr>
            </w:pPr>
          </w:p>
        </w:tc>
        <w:tc>
          <w:tcPr>
            <w:tcW w:w="871" w:type="pct"/>
            <w:vAlign w:val="center"/>
          </w:tcPr>
          <w:p w14:paraId="34D19A75">
            <w:pPr>
              <w:spacing w:line="320" w:lineRule="exact"/>
              <w:jc w:val="center"/>
              <w:rPr>
                <w:color w:val="auto"/>
                <w:sz w:val="24"/>
                <w:szCs w:val="24"/>
                <w:highlight w:val="none"/>
              </w:rPr>
            </w:pPr>
          </w:p>
        </w:tc>
        <w:tc>
          <w:tcPr>
            <w:tcW w:w="929" w:type="pct"/>
            <w:vAlign w:val="center"/>
          </w:tcPr>
          <w:p w14:paraId="01DC8D0A">
            <w:pPr>
              <w:spacing w:line="320" w:lineRule="exact"/>
              <w:jc w:val="center"/>
              <w:rPr>
                <w:color w:val="auto"/>
                <w:sz w:val="24"/>
                <w:szCs w:val="24"/>
                <w:highlight w:val="none"/>
              </w:rPr>
            </w:pPr>
          </w:p>
        </w:tc>
        <w:tc>
          <w:tcPr>
            <w:tcW w:w="697" w:type="pct"/>
            <w:vAlign w:val="center"/>
          </w:tcPr>
          <w:p w14:paraId="49C9C864">
            <w:pPr>
              <w:spacing w:line="320" w:lineRule="exact"/>
              <w:jc w:val="center"/>
              <w:rPr>
                <w:color w:val="auto"/>
                <w:sz w:val="24"/>
                <w:szCs w:val="24"/>
                <w:highlight w:val="none"/>
              </w:rPr>
            </w:pPr>
          </w:p>
        </w:tc>
      </w:tr>
      <w:tr w14:paraId="0B32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pct"/>
            <w:vAlign w:val="center"/>
          </w:tcPr>
          <w:p w14:paraId="72D4DCD0">
            <w:pPr>
              <w:spacing w:line="320" w:lineRule="exact"/>
              <w:jc w:val="center"/>
              <w:rPr>
                <w:color w:val="auto"/>
                <w:sz w:val="24"/>
                <w:szCs w:val="24"/>
                <w:highlight w:val="none"/>
              </w:rPr>
            </w:pPr>
          </w:p>
        </w:tc>
        <w:tc>
          <w:tcPr>
            <w:tcW w:w="1202" w:type="pct"/>
            <w:vAlign w:val="center"/>
          </w:tcPr>
          <w:p w14:paraId="3BAB46BE">
            <w:pPr>
              <w:spacing w:line="320" w:lineRule="exact"/>
              <w:jc w:val="center"/>
              <w:rPr>
                <w:color w:val="auto"/>
                <w:sz w:val="24"/>
                <w:szCs w:val="24"/>
                <w:highlight w:val="none"/>
              </w:rPr>
            </w:pPr>
          </w:p>
        </w:tc>
        <w:tc>
          <w:tcPr>
            <w:tcW w:w="813" w:type="pct"/>
            <w:vAlign w:val="center"/>
          </w:tcPr>
          <w:p w14:paraId="4AD6F318">
            <w:pPr>
              <w:spacing w:line="320" w:lineRule="exact"/>
              <w:jc w:val="center"/>
              <w:rPr>
                <w:color w:val="auto"/>
                <w:sz w:val="24"/>
                <w:szCs w:val="24"/>
                <w:highlight w:val="none"/>
              </w:rPr>
            </w:pPr>
          </w:p>
        </w:tc>
        <w:tc>
          <w:tcPr>
            <w:tcW w:w="871" w:type="pct"/>
            <w:vAlign w:val="center"/>
          </w:tcPr>
          <w:p w14:paraId="6661BE8E">
            <w:pPr>
              <w:spacing w:line="320" w:lineRule="exact"/>
              <w:jc w:val="center"/>
              <w:rPr>
                <w:color w:val="auto"/>
                <w:sz w:val="24"/>
                <w:szCs w:val="24"/>
                <w:highlight w:val="none"/>
              </w:rPr>
            </w:pPr>
          </w:p>
        </w:tc>
        <w:tc>
          <w:tcPr>
            <w:tcW w:w="929" w:type="pct"/>
            <w:vAlign w:val="center"/>
          </w:tcPr>
          <w:p w14:paraId="699519E8">
            <w:pPr>
              <w:spacing w:line="320" w:lineRule="exact"/>
              <w:jc w:val="center"/>
              <w:rPr>
                <w:color w:val="auto"/>
                <w:sz w:val="24"/>
                <w:szCs w:val="24"/>
                <w:highlight w:val="none"/>
              </w:rPr>
            </w:pPr>
          </w:p>
        </w:tc>
        <w:tc>
          <w:tcPr>
            <w:tcW w:w="697" w:type="pct"/>
            <w:vAlign w:val="center"/>
          </w:tcPr>
          <w:p w14:paraId="4F25B706">
            <w:pPr>
              <w:spacing w:line="320" w:lineRule="exact"/>
              <w:jc w:val="center"/>
              <w:rPr>
                <w:color w:val="auto"/>
                <w:sz w:val="24"/>
                <w:szCs w:val="24"/>
                <w:highlight w:val="none"/>
              </w:rPr>
            </w:pPr>
          </w:p>
        </w:tc>
      </w:tr>
      <w:tr w14:paraId="5289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 w:type="pct"/>
            <w:vAlign w:val="center"/>
          </w:tcPr>
          <w:p w14:paraId="4A541172">
            <w:pPr>
              <w:spacing w:line="320" w:lineRule="exact"/>
              <w:jc w:val="center"/>
              <w:rPr>
                <w:color w:val="auto"/>
                <w:sz w:val="24"/>
                <w:szCs w:val="24"/>
                <w:highlight w:val="none"/>
              </w:rPr>
            </w:pPr>
          </w:p>
        </w:tc>
        <w:tc>
          <w:tcPr>
            <w:tcW w:w="1202" w:type="pct"/>
            <w:vAlign w:val="center"/>
          </w:tcPr>
          <w:p w14:paraId="15043394">
            <w:pPr>
              <w:spacing w:line="320" w:lineRule="exact"/>
              <w:jc w:val="center"/>
              <w:rPr>
                <w:color w:val="auto"/>
                <w:sz w:val="24"/>
                <w:szCs w:val="24"/>
                <w:highlight w:val="none"/>
              </w:rPr>
            </w:pPr>
          </w:p>
        </w:tc>
        <w:tc>
          <w:tcPr>
            <w:tcW w:w="813" w:type="pct"/>
            <w:vAlign w:val="center"/>
          </w:tcPr>
          <w:p w14:paraId="643671CF">
            <w:pPr>
              <w:spacing w:line="320" w:lineRule="exact"/>
              <w:jc w:val="center"/>
              <w:rPr>
                <w:color w:val="auto"/>
                <w:sz w:val="24"/>
                <w:szCs w:val="24"/>
                <w:highlight w:val="none"/>
              </w:rPr>
            </w:pPr>
          </w:p>
        </w:tc>
        <w:tc>
          <w:tcPr>
            <w:tcW w:w="871" w:type="pct"/>
            <w:vAlign w:val="center"/>
          </w:tcPr>
          <w:p w14:paraId="3BBA0D12">
            <w:pPr>
              <w:spacing w:line="320" w:lineRule="exact"/>
              <w:jc w:val="center"/>
              <w:rPr>
                <w:color w:val="auto"/>
                <w:sz w:val="24"/>
                <w:szCs w:val="24"/>
                <w:highlight w:val="none"/>
              </w:rPr>
            </w:pPr>
          </w:p>
        </w:tc>
        <w:tc>
          <w:tcPr>
            <w:tcW w:w="929" w:type="pct"/>
            <w:vAlign w:val="center"/>
          </w:tcPr>
          <w:p w14:paraId="615B2FDF">
            <w:pPr>
              <w:spacing w:line="320" w:lineRule="exact"/>
              <w:jc w:val="center"/>
              <w:rPr>
                <w:color w:val="auto"/>
                <w:sz w:val="24"/>
                <w:szCs w:val="24"/>
                <w:highlight w:val="none"/>
              </w:rPr>
            </w:pPr>
          </w:p>
        </w:tc>
        <w:tc>
          <w:tcPr>
            <w:tcW w:w="697" w:type="pct"/>
            <w:vAlign w:val="center"/>
          </w:tcPr>
          <w:p w14:paraId="4ED86F34">
            <w:pPr>
              <w:spacing w:line="320" w:lineRule="exact"/>
              <w:jc w:val="center"/>
              <w:rPr>
                <w:color w:val="auto"/>
                <w:sz w:val="24"/>
                <w:szCs w:val="24"/>
                <w:highlight w:val="none"/>
              </w:rPr>
            </w:pPr>
          </w:p>
        </w:tc>
      </w:tr>
    </w:tbl>
    <w:p w14:paraId="54DFDD01">
      <w:pPr>
        <w:rPr>
          <w:rFonts w:ascii="宋体"/>
          <w:color w:val="auto"/>
          <w:sz w:val="24"/>
          <w:highlight w:val="none"/>
          <w:u w:val="single"/>
        </w:rPr>
      </w:pPr>
      <w:r>
        <w:rPr>
          <w:rFonts w:hint="eastAsia"/>
          <w:color w:val="auto"/>
          <w:sz w:val="24"/>
          <w:szCs w:val="24"/>
          <w:highlight w:val="none"/>
        </w:rPr>
        <w:t>根据评标标准要求提供证明文件。</w:t>
      </w:r>
    </w:p>
    <w:p w14:paraId="3652BC04">
      <w:pPr>
        <w:rPr>
          <w:rFonts w:ascii="宋体"/>
          <w:b/>
          <w:color w:val="auto"/>
          <w:sz w:val="28"/>
          <w:highlight w:val="none"/>
        </w:rPr>
      </w:pPr>
      <w:r>
        <w:rPr>
          <w:rFonts w:ascii="宋体"/>
          <w:b/>
          <w:color w:val="auto"/>
          <w:sz w:val="28"/>
          <w:highlight w:val="none"/>
        </w:rPr>
        <w:br w:type="page"/>
      </w:r>
      <w:bookmarkEnd w:id="10"/>
    </w:p>
    <w:p w14:paraId="6CD278AC">
      <w:pPr>
        <w:jc w:val="center"/>
        <w:rPr>
          <w:rFonts w:ascii="Calibri" w:hAnsi="宋体" w:cs="宋体"/>
          <w:b/>
          <w:color w:val="auto"/>
          <w:sz w:val="28"/>
          <w:highlight w:val="none"/>
          <w:lang w:val="zh-CN"/>
        </w:rPr>
      </w:pPr>
      <w:r>
        <w:rPr>
          <w:rFonts w:hint="eastAsia" w:ascii="Calibri" w:hAnsi="宋体" w:cs="宋体"/>
          <w:b/>
          <w:color w:val="auto"/>
          <w:sz w:val="28"/>
          <w:highlight w:val="none"/>
        </w:rPr>
        <w:t>七、</w:t>
      </w:r>
      <w:r>
        <w:rPr>
          <w:rFonts w:hint="eastAsia" w:ascii="Calibri" w:hAnsi="宋体" w:cs="宋体"/>
          <w:b/>
          <w:color w:val="auto"/>
          <w:sz w:val="28"/>
          <w:highlight w:val="none"/>
          <w:lang w:val="zh-CN"/>
        </w:rPr>
        <w:t>政府采购供应商廉洁自律承诺书</w:t>
      </w:r>
    </w:p>
    <w:p w14:paraId="5C987EE4">
      <w:pPr>
        <w:snapToGrid w:val="0"/>
        <w:spacing w:line="360" w:lineRule="auto"/>
        <w:rPr>
          <w:rFonts w:ascii="Calibri" w:hAnsi="宋体" w:cs="宋体"/>
          <w:color w:val="auto"/>
          <w:sz w:val="24"/>
          <w:szCs w:val="24"/>
          <w:highlight w:val="none"/>
        </w:rPr>
      </w:pPr>
    </w:p>
    <w:p w14:paraId="4CDCF965">
      <w:pPr>
        <w:snapToGrid w:val="0"/>
        <w:spacing w:line="360" w:lineRule="auto"/>
        <w:rPr>
          <w:rFonts w:ascii="Calibri" w:hAnsi="宋体" w:cs="宋体"/>
          <w:color w:val="auto"/>
          <w:kern w:val="0"/>
          <w:sz w:val="24"/>
          <w:szCs w:val="24"/>
          <w:highlight w:val="none"/>
        </w:rPr>
      </w:pPr>
      <w:r>
        <w:rPr>
          <w:rFonts w:hint="eastAsia" w:ascii="Calibri" w:hAnsi="宋体" w:cs="宋体"/>
          <w:color w:val="auto"/>
          <w:sz w:val="24"/>
          <w:szCs w:val="24"/>
          <w:highlight w:val="none"/>
          <w:u w:val="single"/>
        </w:rPr>
        <w:t xml:space="preserve">（采购人）   </w:t>
      </w:r>
      <w:r>
        <w:rPr>
          <w:rFonts w:hint="eastAsia" w:ascii="Calibri" w:hAnsi="宋体" w:cs="宋体"/>
          <w:color w:val="auto"/>
          <w:kern w:val="0"/>
          <w:sz w:val="24"/>
          <w:szCs w:val="24"/>
          <w:highlight w:val="none"/>
          <w:lang w:val="zh-CN"/>
        </w:rPr>
        <w:t>：</w:t>
      </w:r>
    </w:p>
    <w:p w14:paraId="130607DA">
      <w:pPr>
        <w:autoSpaceDE w:val="0"/>
        <w:autoSpaceDN w:val="0"/>
        <w:spacing w:line="360" w:lineRule="auto"/>
        <w:ind w:left="2" w:leftChars="1" w:firstLine="480" w:firstLineChars="200"/>
        <w:rPr>
          <w:rFonts w:ascii="Calibri" w:hAnsi="宋体" w:cs="宋体"/>
          <w:color w:val="auto"/>
          <w:kern w:val="0"/>
          <w:sz w:val="24"/>
          <w:szCs w:val="24"/>
          <w:highlight w:val="none"/>
          <w:lang w:val="zh-CN"/>
        </w:rPr>
      </w:pPr>
      <w:r>
        <w:rPr>
          <w:rFonts w:hint="eastAsia" w:ascii="Calibri" w:hAnsi="宋体" w:cs="宋体"/>
          <w:color w:val="auto"/>
          <w:kern w:val="0"/>
          <w:sz w:val="24"/>
          <w:szCs w:val="24"/>
          <w:highlight w:val="none"/>
          <w:lang w:val="zh-CN"/>
        </w:rPr>
        <w:t>我单位响应你</w:t>
      </w:r>
      <w:r>
        <w:rPr>
          <w:rFonts w:hint="eastAsia" w:ascii="Calibri" w:hAnsi="宋体" w:cs="宋体"/>
          <w:color w:val="auto"/>
          <w:sz w:val="24"/>
          <w:szCs w:val="24"/>
          <w:highlight w:val="none"/>
        </w:rPr>
        <w:t>单位</w:t>
      </w:r>
      <w:r>
        <w:rPr>
          <w:rFonts w:hint="eastAsia" w:ascii="Calibri" w:hAnsi="宋体" w:cs="宋体"/>
          <w:color w:val="auto"/>
          <w:kern w:val="0"/>
          <w:sz w:val="24"/>
          <w:szCs w:val="24"/>
          <w:highlight w:val="none"/>
          <w:lang w:val="zh-CN"/>
        </w:rPr>
        <w:t>项目要求参加采购活动。在这次采购活动过程中和获得成交后，我们将严格遵守国家法律法规要求，并郑重承诺：</w:t>
      </w:r>
    </w:p>
    <w:p w14:paraId="2E887730">
      <w:pPr>
        <w:autoSpaceDE w:val="0"/>
        <w:autoSpaceDN w:val="0"/>
        <w:spacing w:line="360" w:lineRule="auto"/>
        <w:ind w:left="2" w:leftChars="1" w:firstLine="480" w:firstLineChars="200"/>
        <w:rPr>
          <w:rFonts w:ascii="Calibri" w:hAnsi="宋体" w:cs="宋体"/>
          <w:color w:val="auto"/>
          <w:kern w:val="0"/>
          <w:sz w:val="24"/>
          <w:szCs w:val="24"/>
          <w:highlight w:val="none"/>
          <w:lang w:val="zh-CN"/>
        </w:rPr>
      </w:pPr>
      <w:r>
        <w:rPr>
          <w:rFonts w:hint="eastAsia" w:ascii="Calibri" w:hAnsi="宋体" w:cs="宋体"/>
          <w:color w:val="auto"/>
          <w:kern w:val="0"/>
          <w:sz w:val="24"/>
          <w:szCs w:val="24"/>
          <w:highlight w:val="none"/>
          <w:lang w:val="zh-CN"/>
        </w:rPr>
        <w:t xml:space="preserve">一、不向项目有关人员及部门赠送礼金礼物、有价证券、回扣以及中介费、介绍费、咨询费等好处费； </w:t>
      </w:r>
    </w:p>
    <w:p w14:paraId="199D37ED">
      <w:pPr>
        <w:autoSpaceDE w:val="0"/>
        <w:autoSpaceDN w:val="0"/>
        <w:spacing w:line="360" w:lineRule="auto"/>
        <w:ind w:left="2" w:leftChars="1" w:firstLine="480" w:firstLineChars="200"/>
        <w:rPr>
          <w:rFonts w:ascii="Calibri" w:hAnsi="宋体" w:cs="宋体"/>
          <w:color w:val="auto"/>
          <w:kern w:val="0"/>
          <w:sz w:val="24"/>
          <w:szCs w:val="24"/>
          <w:highlight w:val="none"/>
          <w:lang w:val="zh-CN"/>
        </w:rPr>
      </w:pPr>
      <w:r>
        <w:rPr>
          <w:rFonts w:hint="eastAsia" w:ascii="Calibri" w:hAnsi="宋体" w:cs="宋体"/>
          <w:color w:val="auto"/>
          <w:kern w:val="0"/>
          <w:sz w:val="24"/>
          <w:szCs w:val="24"/>
          <w:highlight w:val="none"/>
          <w:lang w:val="zh-CN"/>
        </w:rPr>
        <w:t xml:space="preserve">二、不为项目有关人员及部门报销应由你方单位或个人支付的费用； </w:t>
      </w:r>
    </w:p>
    <w:p w14:paraId="13738501">
      <w:pPr>
        <w:autoSpaceDE w:val="0"/>
        <w:autoSpaceDN w:val="0"/>
        <w:spacing w:line="360" w:lineRule="auto"/>
        <w:ind w:left="2" w:leftChars="1" w:firstLine="480" w:firstLineChars="200"/>
        <w:rPr>
          <w:rFonts w:ascii="Calibri" w:hAnsi="宋体" w:cs="宋体"/>
          <w:color w:val="auto"/>
          <w:kern w:val="0"/>
          <w:sz w:val="24"/>
          <w:szCs w:val="24"/>
          <w:highlight w:val="none"/>
          <w:lang w:val="zh-CN"/>
        </w:rPr>
      </w:pPr>
      <w:r>
        <w:rPr>
          <w:rFonts w:hint="eastAsia" w:ascii="Calibri" w:hAnsi="宋体" w:cs="宋体"/>
          <w:color w:val="auto"/>
          <w:kern w:val="0"/>
          <w:sz w:val="24"/>
          <w:szCs w:val="24"/>
          <w:highlight w:val="none"/>
          <w:lang w:val="zh-CN"/>
        </w:rPr>
        <w:t xml:space="preserve">三、不向项目有关人员及部门提供有可能影响公正的宴请和健身娱乐等活动； </w:t>
      </w:r>
    </w:p>
    <w:p w14:paraId="26C0BF5E">
      <w:pPr>
        <w:autoSpaceDE w:val="0"/>
        <w:autoSpaceDN w:val="0"/>
        <w:spacing w:line="360" w:lineRule="auto"/>
        <w:ind w:left="2" w:leftChars="1" w:firstLine="480" w:firstLineChars="200"/>
        <w:rPr>
          <w:rFonts w:ascii="Calibri" w:hAnsi="宋体" w:cs="宋体"/>
          <w:color w:val="auto"/>
          <w:kern w:val="0"/>
          <w:sz w:val="24"/>
          <w:szCs w:val="24"/>
          <w:highlight w:val="none"/>
          <w:lang w:val="zh-CN"/>
        </w:rPr>
      </w:pPr>
      <w:r>
        <w:rPr>
          <w:rFonts w:hint="eastAsia" w:ascii="Calibri" w:hAnsi="宋体" w:cs="宋体"/>
          <w:color w:val="auto"/>
          <w:kern w:val="0"/>
          <w:sz w:val="24"/>
          <w:szCs w:val="24"/>
          <w:highlight w:val="none"/>
          <w:lang w:val="zh-CN"/>
        </w:rPr>
        <w:t>四、不为项目有关人员及部门出国（境）、旅游等提供方便；</w:t>
      </w:r>
    </w:p>
    <w:p w14:paraId="5B9104FE">
      <w:pPr>
        <w:autoSpaceDE w:val="0"/>
        <w:autoSpaceDN w:val="0"/>
        <w:spacing w:line="360" w:lineRule="auto"/>
        <w:ind w:left="481" w:leftChars="229"/>
        <w:rPr>
          <w:rFonts w:ascii="Calibri" w:hAnsi="宋体" w:cs="宋体"/>
          <w:color w:val="auto"/>
          <w:kern w:val="0"/>
          <w:sz w:val="24"/>
          <w:szCs w:val="24"/>
          <w:highlight w:val="none"/>
          <w:lang w:val="zh-CN"/>
        </w:rPr>
      </w:pPr>
      <w:r>
        <w:rPr>
          <w:rFonts w:hint="eastAsia" w:ascii="Calibri" w:hAnsi="宋体" w:cs="宋体"/>
          <w:color w:val="auto"/>
          <w:kern w:val="0"/>
          <w:sz w:val="24"/>
          <w:szCs w:val="24"/>
          <w:highlight w:val="none"/>
          <w:lang w:val="zh-CN"/>
        </w:rPr>
        <w:t>五、不为项目有关人员个人装修住房、婚丧嫁娶、配偶子女工作安排等提供</w:t>
      </w:r>
    </w:p>
    <w:p w14:paraId="5CE00576">
      <w:pPr>
        <w:autoSpaceDE w:val="0"/>
        <w:autoSpaceDN w:val="0"/>
        <w:spacing w:line="360" w:lineRule="auto"/>
        <w:rPr>
          <w:rFonts w:ascii="Calibri" w:hAnsi="宋体" w:cs="宋体"/>
          <w:color w:val="auto"/>
          <w:kern w:val="0"/>
          <w:sz w:val="24"/>
          <w:szCs w:val="24"/>
          <w:highlight w:val="none"/>
          <w:lang w:val="zh-CN"/>
        </w:rPr>
      </w:pPr>
      <w:r>
        <w:rPr>
          <w:rFonts w:hint="eastAsia" w:ascii="Calibri" w:hAnsi="宋体" w:cs="宋体"/>
          <w:color w:val="auto"/>
          <w:kern w:val="0"/>
          <w:sz w:val="24"/>
          <w:szCs w:val="24"/>
          <w:highlight w:val="none"/>
          <w:lang w:val="zh-CN"/>
        </w:rPr>
        <w:t>好处；</w:t>
      </w:r>
    </w:p>
    <w:p w14:paraId="67A9725D">
      <w:pPr>
        <w:autoSpaceDE w:val="0"/>
        <w:autoSpaceDN w:val="0"/>
        <w:spacing w:line="360" w:lineRule="auto"/>
        <w:ind w:firstLine="480" w:firstLineChars="200"/>
        <w:rPr>
          <w:rFonts w:ascii="Calibri" w:hAnsi="宋体" w:cs="宋体"/>
          <w:color w:val="auto"/>
          <w:kern w:val="0"/>
          <w:sz w:val="24"/>
          <w:szCs w:val="24"/>
          <w:highlight w:val="none"/>
          <w:lang w:val="zh-CN"/>
        </w:rPr>
      </w:pPr>
      <w:r>
        <w:rPr>
          <w:rFonts w:hint="eastAsia" w:ascii="Calibri" w:hAnsi="宋体" w:cs="宋体"/>
          <w:color w:val="auto"/>
          <w:kern w:val="0"/>
          <w:sz w:val="24"/>
          <w:szCs w:val="24"/>
          <w:highlight w:val="none"/>
          <w:lang w:val="zh-CN"/>
        </w:rPr>
        <w:t>六、严格遵守《中华人民共和国政府采购法》《</w:t>
      </w:r>
      <w:r>
        <w:rPr>
          <w:rFonts w:hint="eastAsia" w:ascii="Calibri" w:hAnsi="宋体" w:cs="宋体"/>
          <w:color w:val="auto"/>
          <w:sz w:val="24"/>
          <w:szCs w:val="24"/>
          <w:highlight w:val="none"/>
          <w:lang w:val="zh-CN"/>
        </w:rPr>
        <w:t>中华人民共和国</w:t>
      </w:r>
      <w:r>
        <w:rPr>
          <w:rFonts w:hint="eastAsia" w:ascii="Calibri" w:hAnsi="宋体" w:cs="宋体"/>
          <w:color w:val="auto"/>
          <w:kern w:val="0"/>
          <w:sz w:val="24"/>
          <w:szCs w:val="24"/>
          <w:highlight w:val="none"/>
          <w:lang w:val="zh-CN"/>
        </w:rPr>
        <w:t xml:space="preserve">政府采购法实施条例》《中华人民共和国民法典》等法律法规，诚实守信，合法经营，坚决抵制各种违法违纪行为。 </w:t>
      </w:r>
    </w:p>
    <w:p w14:paraId="63FDDECB">
      <w:pPr>
        <w:autoSpaceDE w:val="0"/>
        <w:autoSpaceDN w:val="0"/>
        <w:spacing w:line="360" w:lineRule="auto"/>
        <w:ind w:firstLine="480" w:firstLineChars="200"/>
        <w:rPr>
          <w:rFonts w:ascii="Calibri" w:hAnsi="宋体" w:cs="宋体"/>
          <w:color w:val="auto"/>
          <w:kern w:val="0"/>
          <w:sz w:val="24"/>
          <w:szCs w:val="24"/>
          <w:highlight w:val="none"/>
          <w:lang w:val="zh-CN"/>
        </w:rPr>
      </w:pPr>
      <w:r>
        <w:rPr>
          <w:rFonts w:hint="eastAsia" w:ascii="Calibri" w:hAnsi="宋体" w:cs="宋体"/>
          <w:color w:val="auto"/>
          <w:kern w:val="0"/>
          <w:sz w:val="24"/>
          <w:szCs w:val="24"/>
          <w:highlight w:val="none"/>
          <w:lang w:val="zh-CN"/>
        </w:rPr>
        <w:t>如违反上述承诺，你</w:t>
      </w:r>
      <w:r>
        <w:rPr>
          <w:rFonts w:hint="eastAsia" w:ascii="Calibri" w:hAnsi="宋体" w:cs="宋体"/>
          <w:color w:val="auto"/>
          <w:sz w:val="24"/>
          <w:szCs w:val="24"/>
          <w:highlight w:val="none"/>
        </w:rPr>
        <w:t>单位</w:t>
      </w:r>
      <w:r>
        <w:rPr>
          <w:rFonts w:hint="eastAsia" w:ascii="Calibri" w:hAnsi="宋体" w:cs="宋体"/>
          <w:color w:val="auto"/>
          <w:kern w:val="0"/>
          <w:sz w:val="24"/>
          <w:szCs w:val="24"/>
          <w:highlight w:val="none"/>
          <w:lang w:val="zh-CN"/>
        </w:rPr>
        <w:t>有权立即取消我单位参加采购活动、成交或在建项目的建设资格，有权拒绝我单位在一定时期内进入你</w:t>
      </w:r>
      <w:r>
        <w:rPr>
          <w:rFonts w:hint="eastAsia" w:ascii="Calibri" w:hAnsi="宋体" w:cs="宋体"/>
          <w:color w:val="auto"/>
          <w:sz w:val="24"/>
          <w:szCs w:val="24"/>
          <w:highlight w:val="none"/>
        </w:rPr>
        <w:t>单位</w:t>
      </w:r>
      <w:r>
        <w:rPr>
          <w:rFonts w:hint="eastAsia" w:ascii="Calibri" w:hAnsi="宋体" w:cs="宋体"/>
          <w:color w:val="auto"/>
          <w:kern w:val="0"/>
          <w:sz w:val="24"/>
          <w:szCs w:val="24"/>
          <w:highlight w:val="none"/>
          <w:lang w:val="zh-CN"/>
        </w:rPr>
        <w:t>进行项目建设或其他经营活动，并通报市财政局。由此引起的相应损失均由我单位承担。</w:t>
      </w:r>
    </w:p>
    <w:p w14:paraId="46BA25FF">
      <w:pPr>
        <w:autoSpaceDE w:val="0"/>
        <w:autoSpaceDN w:val="0"/>
        <w:spacing w:line="360" w:lineRule="auto"/>
        <w:ind w:left="2"/>
        <w:jc w:val="left"/>
        <w:rPr>
          <w:rFonts w:ascii="Calibri" w:hAnsi="宋体" w:cs="宋体"/>
          <w:color w:val="auto"/>
          <w:kern w:val="0"/>
          <w:sz w:val="24"/>
          <w:szCs w:val="24"/>
          <w:highlight w:val="none"/>
          <w:lang w:val="zh-CN"/>
        </w:rPr>
      </w:pPr>
    </w:p>
    <w:p w14:paraId="1CD05C41">
      <w:pPr>
        <w:autoSpaceDE w:val="0"/>
        <w:autoSpaceDN w:val="0"/>
        <w:spacing w:line="360" w:lineRule="auto"/>
        <w:ind w:left="2"/>
        <w:jc w:val="left"/>
        <w:rPr>
          <w:rFonts w:ascii="Calibri" w:hAnsi="宋体" w:cs="宋体"/>
          <w:color w:val="auto"/>
          <w:kern w:val="0"/>
          <w:sz w:val="24"/>
          <w:szCs w:val="24"/>
          <w:highlight w:val="none"/>
          <w:lang w:val="zh-CN"/>
        </w:rPr>
      </w:pPr>
    </w:p>
    <w:p w14:paraId="52BE7556">
      <w:pPr>
        <w:pStyle w:val="13"/>
        <w:spacing w:beforeLines="50" w:line="360" w:lineRule="exact"/>
        <w:ind w:firstLine="3180" w:firstLineChars="1325"/>
        <w:rPr>
          <w:rFonts w:ascii="Calibri" w:hAnsi="宋体" w:eastAsia="宋体" w:cs="宋体"/>
          <w:color w:val="auto"/>
          <w:szCs w:val="24"/>
          <w:highlight w:val="none"/>
        </w:rPr>
      </w:pPr>
      <w:r>
        <w:rPr>
          <w:rFonts w:hint="eastAsia" w:ascii="Calibri" w:hAnsi="宋体" w:eastAsia="宋体" w:cs="宋体"/>
          <w:color w:val="auto"/>
          <w:szCs w:val="24"/>
          <w:highlight w:val="none"/>
        </w:rPr>
        <w:t>供应商单位（盖公章）：</w:t>
      </w:r>
    </w:p>
    <w:p w14:paraId="62A699B8">
      <w:pPr>
        <w:pStyle w:val="13"/>
        <w:spacing w:beforeLines="50" w:line="360" w:lineRule="exact"/>
        <w:ind w:firstLine="3180" w:firstLineChars="1325"/>
        <w:rPr>
          <w:rFonts w:ascii="Calibri" w:hAnsi="宋体" w:eastAsia="宋体" w:cs="宋体"/>
          <w:color w:val="auto"/>
          <w:szCs w:val="24"/>
          <w:highlight w:val="none"/>
        </w:rPr>
      </w:pPr>
      <w:r>
        <w:rPr>
          <w:rFonts w:hint="eastAsia" w:ascii="Calibri" w:hAnsi="宋体" w:eastAsia="宋体" w:cs="宋体"/>
          <w:color w:val="auto"/>
          <w:highlight w:val="none"/>
        </w:rPr>
        <w:t>法定代表人或被授权代表人</w:t>
      </w:r>
      <w:r>
        <w:rPr>
          <w:rFonts w:hint="eastAsia" w:ascii="Calibri" w:hAnsi="宋体" w:eastAsia="宋体" w:cs="宋体"/>
          <w:color w:val="auto"/>
          <w:szCs w:val="24"/>
          <w:highlight w:val="none"/>
        </w:rPr>
        <w:t>（</w:t>
      </w:r>
      <w:r>
        <w:rPr>
          <w:rFonts w:hint="eastAsia" w:ascii="Calibri" w:hAnsi="宋体" w:eastAsia="宋体" w:cs="宋体"/>
          <w:color w:val="auto"/>
          <w:highlight w:val="none"/>
        </w:rPr>
        <w:t>签字或印章</w:t>
      </w:r>
      <w:r>
        <w:rPr>
          <w:rFonts w:hint="eastAsia" w:ascii="Calibri" w:hAnsi="宋体" w:eastAsia="宋体" w:cs="宋体"/>
          <w:color w:val="auto"/>
          <w:szCs w:val="24"/>
          <w:highlight w:val="none"/>
        </w:rPr>
        <w:t>）：</w:t>
      </w:r>
    </w:p>
    <w:p w14:paraId="12FD5670">
      <w:pPr>
        <w:spacing w:line="600" w:lineRule="exact"/>
        <w:ind w:firstLine="3180" w:firstLineChars="1325"/>
        <w:rPr>
          <w:rFonts w:ascii="Calibri" w:hAnsi="宋体" w:cs="宋体"/>
          <w:color w:val="auto"/>
          <w:sz w:val="24"/>
          <w:szCs w:val="24"/>
          <w:highlight w:val="none"/>
        </w:rPr>
      </w:pPr>
      <w:r>
        <w:rPr>
          <w:rFonts w:hint="eastAsia" w:ascii="Calibri" w:hAnsi="宋体" w:cs="宋体"/>
          <w:color w:val="auto"/>
          <w:sz w:val="24"/>
          <w:szCs w:val="24"/>
          <w:highlight w:val="none"/>
        </w:rPr>
        <w:t>日      期：</w:t>
      </w:r>
    </w:p>
    <w:p w14:paraId="6CFB1119">
      <w:pPr>
        <w:spacing w:line="360" w:lineRule="exact"/>
        <w:rPr>
          <w:rFonts w:ascii="Calibri" w:hAnsi="宋体" w:cs="宋体"/>
          <w:bCs/>
          <w:color w:val="auto"/>
          <w:sz w:val="24"/>
          <w:szCs w:val="24"/>
          <w:highlight w:val="none"/>
        </w:rPr>
      </w:pPr>
    </w:p>
    <w:p w14:paraId="0EEC6AAE">
      <w:pPr>
        <w:rPr>
          <w:rFonts w:ascii="宋体"/>
          <w:b/>
          <w:color w:val="auto"/>
          <w:sz w:val="28"/>
          <w:szCs w:val="28"/>
          <w:highlight w:val="none"/>
        </w:rPr>
      </w:pPr>
      <w:r>
        <w:rPr>
          <w:rFonts w:ascii="宋体"/>
          <w:b/>
          <w:color w:val="auto"/>
          <w:sz w:val="28"/>
          <w:szCs w:val="28"/>
          <w:highlight w:val="none"/>
        </w:rPr>
        <w:br w:type="page"/>
      </w:r>
    </w:p>
    <w:p w14:paraId="1100D4F8">
      <w:pPr>
        <w:pStyle w:val="13"/>
        <w:spacing w:line="520" w:lineRule="exact"/>
        <w:ind w:firstLine="0"/>
        <w:jc w:val="center"/>
        <w:rPr>
          <w:rFonts w:ascii="宋体" w:eastAsia="宋体"/>
          <w:b/>
          <w:color w:val="auto"/>
          <w:sz w:val="28"/>
          <w:highlight w:val="none"/>
        </w:rPr>
      </w:pPr>
      <w:r>
        <w:rPr>
          <w:rFonts w:hint="eastAsia" w:ascii="宋体" w:eastAsia="宋体"/>
          <w:b/>
          <w:color w:val="auto"/>
          <w:sz w:val="28"/>
          <w:highlight w:val="none"/>
        </w:rPr>
        <w:t>八、招标文件要求或投标人认为需要提供的其他资料</w:t>
      </w:r>
    </w:p>
    <w:p w14:paraId="2F6604D2">
      <w:pPr>
        <w:rPr>
          <w:rFonts w:ascii="宋体"/>
          <w:b/>
          <w:color w:val="auto"/>
          <w:sz w:val="28"/>
          <w:highlight w:val="none"/>
        </w:rPr>
      </w:pPr>
      <w:r>
        <w:rPr>
          <w:rFonts w:hint="eastAsia" w:ascii="宋体"/>
          <w:b/>
          <w:color w:val="auto"/>
          <w:sz w:val="28"/>
          <w:highlight w:val="none"/>
        </w:rPr>
        <w:br w:type="page"/>
      </w:r>
    </w:p>
    <w:p w14:paraId="6C0F2EF1">
      <w:pPr>
        <w:pStyle w:val="13"/>
        <w:ind w:firstLine="0"/>
        <w:rPr>
          <w:rFonts w:ascii="宋体" w:eastAsia="宋体"/>
          <w:b/>
          <w:color w:val="auto"/>
          <w:sz w:val="28"/>
          <w:szCs w:val="28"/>
          <w:highlight w:val="none"/>
        </w:rPr>
      </w:pPr>
      <w:r>
        <w:rPr>
          <w:rFonts w:hint="eastAsia" w:ascii="宋体" w:eastAsia="宋体"/>
          <w:b/>
          <w:color w:val="auto"/>
          <w:sz w:val="28"/>
          <w:szCs w:val="28"/>
          <w:highlight w:val="none"/>
        </w:rPr>
        <w:t>（三）报价文件</w:t>
      </w:r>
    </w:p>
    <w:p w14:paraId="6EC18718">
      <w:pPr>
        <w:rPr>
          <w:color w:val="auto"/>
          <w:highlight w:val="none"/>
        </w:rPr>
      </w:pPr>
    </w:p>
    <w:p w14:paraId="10E36DA2">
      <w:pPr>
        <w:pStyle w:val="13"/>
        <w:jc w:val="center"/>
        <w:rPr>
          <w:rFonts w:ascii="宋体"/>
          <w:b/>
          <w:color w:val="auto"/>
          <w:sz w:val="28"/>
          <w:highlight w:val="none"/>
        </w:rPr>
      </w:pPr>
      <w:r>
        <w:rPr>
          <w:rFonts w:hint="eastAsia" w:ascii="宋体"/>
          <w:b/>
          <w:color w:val="auto"/>
          <w:sz w:val="28"/>
          <w:highlight w:val="none"/>
        </w:rPr>
        <w:t>一、开标一览表</w:t>
      </w:r>
    </w:p>
    <w:p w14:paraId="7740DE69">
      <w:pPr>
        <w:pStyle w:val="13"/>
        <w:spacing w:line="320" w:lineRule="exact"/>
        <w:ind w:firstLine="0"/>
        <w:rPr>
          <w:color w:val="auto"/>
          <w:szCs w:val="24"/>
          <w:highlight w:val="none"/>
        </w:rPr>
      </w:pPr>
    </w:p>
    <w:p w14:paraId="11A6546E">
      <w:pPr>
        <w:pStyle w:val="13"/>
        <w:spacing w:line="320" w:lineRule="exact"/>
        <w:ind w:firstLine="0"/>
        <w:rPr>
          <w:color w:val="auto"/>
          <w:szCs w:val="24"/>
          <w:highlight w:val="none"/>
          <w:u w:val="single"/>
        </w:rPr>
      </w:pPr>
      <w:r>
        <w:rPr>
          <w:color w:val="auto"/>
          <w:szCs w:val="24"/>
          <w:highlight w:val="none"/>
        </w:rPr>
        <w:t>项目名称：</w:t>
      </w:r>
      <w:r>
        <w:rPr>
          <w:rFonts w:hint="eastAsia"/>
          <w:color w:val="auto"/>
          <w:szCs w:val="24"/>
          <w:highlight w:val="none"/>
        </w:rPr>
        <w:t>项目</w:t>
      </w:r>
      <w:r>
        <w:rPr>
          <w:color w:val="auto"/>
          <w:szCs w:val="24"/>
          <w:highlight w:val="none"/>
        </w:rPr>
        <w:t>编号：</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453"/>
        <w:gridCol w:w="1522"/>
        <w:gridCol w:w="2007"/>
        <w:gridCol w:w="1905"/>
        <w:gridCol w:w="1237"/>
      </w:tblGrid>
      <w:tr w14:paraId="25BE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 w:type="pct"/>
            <w:tcBorders>
              <w:top w:val="single" w:color="auto" w:sz="4" w:space="0"/>
              <w:left w:val="single" w:color="auto" w:sz="4" w:space="0"/>
              <w:bottom w:val="single" w:color="auto" w:sz="4" w:space="0"/>
              <w:right w:val="single" w:color="auto" w:sz="4" w:space="0"/>
            </w:tcBorders>
            <w:vAlign w:val="center"/>
          </w:tcPr>
          <w:p w14:paraId="129B7772">
            <w:pPr>
              <w:spacing w:line="360" w:lineRule="exact"/>
              <w:jc w:val="center"/>
              <w:rPr>
                <w:bCs/>
                <w:color w:val="auto"/>
                <w:sz w:val="24"/>
                <w:szCs w:val="24"/>
                <w:highlight w:val="none"/>
              </w:rPr>
            </w:pPr>
            <w:r>
              <w:rPr>
                <w:rFonts w:hint="eastAsia"/>
                <w:bCs/>
                <w:color w:val="auto"/>
                <w:sz w:val="24"/>
                <w:szCs w:val="24"/>
                <w:highlight w:val="none"/>
              </w:rPr>
              <w:t>标项</w:t>
            </w:r>
          </w:p>
        </w:tc>
        <w:tc>
          <w:tcPr>
            <w:tcW w:w="797" w:type="pct"/>
            <w:tcBorders>
              <w:top w:val="single" w:color="auto" w:sz="4" w:space="0"/>
              <w:left w:val="single" w:color="auto" w:sz="4" w:space="0"/>
              <w:bottom w:val="single" w:color="auto" w:sz="4" w:space="0"/>
              <w:right w:val="single" w:color="auto" w:sz="4" w:space="0"/>
            </w:tcBorders>
            <w:vAlign w:val="center"/>
          </w:tcPr>
          <w:p w14:paraId="176B3C45">
            <w:pPr>
              <w:spacing w:line="360" w:lineRule="exact"/>
              <w:jc w:val="center"/>
              <w:rPr>
                <w:bCs/>
                <w:color w:val="auto"/>
                <w:sz w:val="24"/>
                <w:szCs w:val="24"/>
                <w:highlight w:val="none"/>
              </w:rPr>
            </w:pPr>
            <w:r>
              <w:rPr>
                <w:rFonts w:hint="eastAsia"/>
                <w:bCs/>
                <w:color w:val="auto"/>
                <w:sz w:val="24"/>
                <w:szCs w:val="24"/>
                <w:highlight w:val="none"/>
              </w:rPr>
              <w:t>产品名称</w:t>
            </w:r>
          </w:p>
        </w:tc>
        <w:tc>
          <w:tcPr>
            <w:tcW w:w="834" w:type="pct"/>
            <w:tcBorders>
              <w:top w:val="single" w:color="auto" w:sz="4" w:space="0"/>
              <w:left w:val="single" w:color="auto" w:sz="4" w:space="0"/>
              <w:bottom w:val="single" w:color="auto" w:sz="4" w:space="0"/>
              <w:right w:val="single" w:color="auto" w:sz="4" w:space="0"/>
            </w:tcBorders>
            <w:vAlign w:val="center"/>
          </w:tcPr>
          <w:p w14:paraId="78EEE03F">
            <w:pPr>
              <w:spacing w:line="360" w:lineRule="exact"/>
              <w:jc w:val="center"/>
              <w:rPr>
                <w:bCs/>
                <w:color w:val="auto"/>
                <w:sz w:val="24"/>
                <w:szCs w:val="24"/>
                <w:highlight w:val="none"/>
              </w:rPr>
            </w:pPr>
            <w:r>
              <w:rPr>
                <w:rFonts w:hint="eastAsia"/>
                <w:bCs/>
                <w:color w:val="auto"/>
                <w:sz w:val="24"/>
                <w:szCs w:val="24"/>
                <w:highlight w:val="none"/>
              </w:rPr>
              <w:t>数量</w:t>
            </w:r>
          </w:p>
        </w:tc>
        <w:tc>
          <w:tcPr>
            <w:tcW w:w="1101" w:type="pct"/>
            <w:tcBorders>
              <w:top w:val="single" w:color="auto" w:sz="4" w:space="0"/>
              <w:left w:val="single" w:color="auto" w:sz="4" w:space="0"/>
              <w:bottom w:val="single" w:color="auto" w:sz="4" w:space="0"/>
              <w:right w:val="single" w:color="auto" w:sz="4" w:space="0"/>
            </w:tcBorders>
            <w:vAlign w:val="center"/>
          </w:tcPr>
          <w:p w14:paraId="03FDDC12">
            <w:pPr>
              <w:spacing w:line="360" w:lineRule="exact"/>
              <w:jc w:val="center"/>
              <w:rPr>
                <w:bCs/>
                <w:color w:val="auto"/>
                <w:sz w:val="24"/>
                <w:szCs w:val="24"/>
                <w:highlight w:val="none"/>
              </w:rPr>
            </w:pPr>
            <w:r>
              <w:rPr>
                <w:rFonts w:hint="eastAsia"/>
                <w:bCs/>
                <w:color w:val="auto"/>
                <w:sz w:val="24"/>
                <w:szCs w:val="24"/>
                <w:highlight w:val="none"/>
              </w:rPr>
              <w:t>产地品牌</w:t>
            </w:r>
          </w:p>
        </w:tc>
        <w:tc>
          <w:tcPr>
            <w:tcW w:w="1045" w:type="pct"/>
            <w:tcBorders>
              <w:top w:val="single" w:color="auto" w:sz="4" w:space="0"/>
              <w:left w:val="single" w:color="auto" w:sz="4" w:space="0"/>
              <w:bottom w:val="single" w:color="auto" w:sz="4" w:space="0"/>
              <w:right w:val="single" w:color="auto" w:sz="4" w:space="0"/>
            </w:tcBorders>
            <w:vAlign w:val="center"/>
          </w:tcPr>
          <w:p w14:paraId="5016BD6D">
            <w:pPr>
              <w:spacing w:line="360" w:lineRule="exact"/>
              <w:jc w:val="center"/>
              <w:rPr>
                <w:bCs/>
                <w:color w:val="auto"/>
                <w:sz w:val="24"/>
                <w:szCs w:val="24"/>
                <w:highlight w:val="none"/>
              </w:rPr>
            </w:pPr>
            <w:r>
              <w:rPr>
                <w:rFonts w:hint="eastAsia"/>
                <w:bCs/>
                <w:color w:val="auto"/>
                <w:sz w:val="24"/>
                <w:szCs w:val="24"/>
                <w:highlight w:val="none"/>
              </w:rPr>
              <w:t>规格型号</w:t>
            </w:r>
          </w:p>
        </w:tc>
        <w:tc>
          <w:tcPr>
            <w:tcW w:w="678" w:type="pct"/>
            <w:tcBorders>
              <w:top w:val="single" w:color="auto" w:sz="4" w:space="0"/>
              <w:left w:val="single" w:color="auto" w:sz="4" w:space="0"/>
              <w:bottom w:val="single" w:color="auto" w:sz="4" w:space="0"/>
              <w:right w:val="single" w:color="auto" w:sz="4" w:space="0"/>
            </w:tcBorders>
            <w:vAlign w:val="center"/>
          </w:tcPr>
          <w:p w14:paraId="75D3745B">
            <w:pPr>
              <w:spacing w:line="360" w:lineRule="exact"/>
              <w:jc w:val="center"/>
              <w:rPr>
                <w:bCs/>
                <w:color w:val="auto"/>
                <w:sz w:val="24"/>
                <w:szCs w:val="24"/>
                <w:highlight w:val="none"/>
              </w:rPr>
            </w:pPr>
            <w:r>
              <w:rPr>
                <w:rFonts w:hint="eastAsia"/>
                <w:bCs/>
                <w:color w:val="auto"/>
                <w:sz w:val="24"/>
                <w:szCs w:val="24"/>
                <w:highlight w:val="none"/>
              </w:rPr>
              <w:t>备注</w:t>
            </w:r>
          </w:p>
        </w:tc>
      </w:tr>
      <w:tr w14:paraId="43C3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 w:type="pct"/>
            <w:tcBorders>
              <w:top w:val="single" w:color="auto" w:sz="4" w:space="0"/>
              <w:left w:val="single" w:color="auto" w:sz="4" w:space="0"/>
              <w:bottom w:val="single" w:color="auto" w:sz="4" w:space="0"/>
              <w:right w:val="single" w:color="auto" w:sz="4" w:space="0"/>
            </w:tcBorders>
            <w:vAlign w:val="center"/>
          </w:tcPr>
          <w:p w14:paraId="2E141E7A">
            <w:pPr>
              <w:spacing w:line="360" w:lineRule="exact"/>
              <w:jc w:val="center"/>
              <w:rPr>
                <w:caps/>
                <w:color w:val="auto"/>
                <w:sz w:val="24"/>
                <w:szCs w:val="24"/>
                <w:highlight w:val="none"/>
              </w:rPr>
            </w:pPr>
          </w:p>
        </w:tc>
        <w:tc>
          <w:tcPr>
            <w:tcW w:w="797" w:type="pct"/>
            <w:tcBorders>
              <w:top w:val="single" w:color="auto" w:sz="4" w:space="0"/>
              <w:left w:val="single" w:color="auto" w:sz="4" w:space="0"/>
              <w:bottom w:val="single" w:color="auto" w:sz="4" w:space="0"/>
              <w:right w:val="single" w:color="auto" w:sz="4" w:space="0"/>
            </w:tcBorders>
            <w:vAlign w:val="center"/>
          </w:tcPr>
          <w:p w14:paraId="37ACB797">
            <w:pPr>
              <w:spacing w:line="360" w:lineRule="exact"/>
              <w:jc w:val="center"/>
              <w:rPr>
                <w:color w:val="auto"/>
                <w:sz w:val="24"/>
                <w:szCs w:val="24"/>
                <w:highlight w:val="none"/>
              </w:rPr>
            </w:pPr>
          </w:p>
        </w:tc>
        <w:tc>
          <w:tcPr>
            <w:tcW w:w="834" w:type="pct"/>
            <w:tcBorders>
              <w:top w:val="single" w:color="auto" w:sz="4" w:space="0"/>
              <w:left w:val="single" w:color="auto" w:sz="4" w:space="0"/>
              <w:bottom w:val="single" w:color="auto" w:sz="4" w:space="0"/>
              <w:right w:val="single" w:color="auto" w:sz="4" w:space="0"/>
            </w:tcBorders>
            <w:vAlign w:val="center"/>
          </w:tcPr>
          <w:p w14:paraId="0120004D">
            <w:pPr>
              <w:spacing w:line="360" w:lineRule="exact"/>
              <w:jc w:val="center"/>
              <w:rPr>
                <w:color w:val="auto"/>
                <w:sz w:val="24"/>
                <w:szCs w:val="24"/>
                <w:highlight w:val="none"/>
              </w:rPr>
            </w:pPr>
          </w:p>
        </w:tc>
        <w:tc>
          <w:tcPr>
            <w:tcW w:w="1101" w:type="pct"/>
            <w:tcBorders>
              <w:top w:val="single" w:color="auto" w:sz="4" w:space="0"/>
              <w:left w:val="single" w:color="auto" w:sz="4" w:space="0"/>
              <w:bottom w:val="single" w:color="auto" w:sz="4" w:space="0"/>
              <w:right w:val="single" w:color="auto" w:sz="4" w:space="0"/>
            </w:tcBorders>
            <w:vAlign w:val="center"/>
          </w:tcPr>
          <w:p w14:paraId="4F38FA18">
            <w:pPr>
              <w:spacing w:line="360" w:lineRule="exact"/>
              <w:jc w:val="center"/>
              <w:rPr>
                <w:color w:val="auto"/>
                <w:sz w:val="24"/>
                <w:szCs w:val="24"/>
                <w:highlight w:val="none"/>
              </w:rPr>
            </w:pPr>
          </w:p>
        </w:tc>
        <w:tc>
          <w:tcPr>
            <w:tcW w:w="1045" w:type="pct"/>
            <w:tcBorders>
              <w:top w:val="single" w:color="auto" w:sz="4" w:space="0"/>
              <w:left w:val="single" w:color="auto" w:sz="4" w:space="0"/>
              <w:bottom w:val="single" w:color="auto" w:sz="4" w:space="0"/>
              <w:right w:val="single" w:color="auto" w:sz="4" w:space="0"/>
            </w:tcBorders>
            <w:vAlign w:val="center"/>
          </w:tcPr>
          <w:p w14:paraId="6E98B099">
            <w:pPr>
              <w:spacing w:line="360" w:lineRule="exact"/>
              <w:jc w:val="center"/>
              <w:rPr>
                <w:color w:val="auto"/>
                <w:sz w:val="24"/>
                <w:szCs w:val="24"/>
                <w:highlight w:val="none"/>
              </w:rPr>
            </w:pPr>
          </w:p>
        </w:tc>
        <w:tc>
          <w:tcPr>
            <w:tcW w:w="678" w:type="pct"/>
            <w:tcBorders>
              <w:top w:val="single" w:color="auto" w:sz="4" w:space="0"/>
              <w:left w:val="single" w:color="auto" w:sz="4" w:space="0"/>
              <w:bottom w:val="single" w:color="auto" w:sz="4" w:space="0"/>
              <w:right w:val="single" w:color="auto" w:sz="4" w:space="0"/>
            </w:tcBorders>
            <w:vAlign w:val="center"/>
          </w:tcPr>
          <w:p w14:paraId="05286410">
            <w:pPr>
              <w:spacing w:line="360" w:lineRule="exact"/>
              <w:jc w:val="center"/>
              <w:rPr>
                <w:color w:val="auto"/>
                <w:sz w:val="24"/>
                <w:szCs w:val="24"/>
                <w:highlight w:val="none"/>
              </w:rPr>
            </w:pPr>
          </w:p>
        </w:tc>
      </w:tr>
      <w:tr w14:paraId="678B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351A95">
            <w:pPr>
              <w:pStyle w:val="13"/>
              <w:spacing w:line="320" w:lineRule="exact"/>
              <w:ind w:firstLine="0"/>
              <w:jc w:val="center"/>
              <w:rPr>
                <w:rFonts w:eastAsia="宋体"/>
                <w:color w:val="auto"/>
                <w:szCs w:val="24"/>
                <w:highlight w:val="none"/>
              </w:rPr>
            </w:pPr>
            <w:r>
              <w:rPr>
                <w:rFonts w:eastAsia="宋体"/>
                <w:color w:val="auto"/>
                <w:szCs w:val="24"/>
                <w:highlight w:val="none"/>
              </w:rPr>
              <w:t>投标</w:t>
            </w:r>
            <w:r>
              <w:rPr>
                <w:rFonts w:hint="eastAsia" w:eastAsia="宋体"/>
                <w:color w:val="auto"/>
                <w:szCs w:val="24"/>
                <w:highlight w:val="none"/>
              </w:rPr>
              <w:t>总价（小写）</w:t>
            </w:r>
            <w:r>
              <w:rPr>
                <w:rFonts w:eastAsia="宋体"/>
                <w:color w:val="auto"/>
                <w:szCs w:val="24"/>
                <w:highlight w:val="none"/>
              </w:rPr>
              <w:t>（人民币元）</w:t>
            </w:r>
          </w:p>
        </w:tc>
        <w:tc>
          <w:tcPr>
            <w:tcW w:w="2824" w:type="pct"/>
            <w:gridSpan w:val="3"/>
            <w:tcBorders>
              <w:top w:val="single" w:color="auto" w:sz="4" w:space="0"/>
              <w:left w:val="single" w:color="auto" w:sz="4" w:space="0"/>
              <w:bottom w:val="single" w:color="auto" w:sz="4" w:space="0"/>
              <w:right w:val="single" w:color="auto" w:sz="4" w:space="0"/>
            </w:tcBorders>
            <w:vAlign w:val="center"/>
          </w:tcPr>
          <w:p w14:paraId="26FEAEBB">
            <w:pPr>
              <w:spacing w:line="360" w:lineRule="exact"/>
              <w:jc w:val="center"/>
              <w:rPr>
                <w:color w:val="auto"/>
                <w:sz w:val="24"/>
                <w:szCs w:val="24"/>
                <w:highlight w:val="none"/>
              </w:rPr>
            </w:pPr>
          </w:p>
        </w:tc>
      </w:tr>
      <w:tr w14:paraId="5F11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F253C5">
            <w:pPr>
              <w:pStyle w:val="13"/>
              <w:spacing w:line="320" w:lineRule="exact"/>
              <w:ind w:firstLine="0"/>
              <w:jc w:val="center"/>
              <w:rPr>
                <w:rFonts w:eastAsia="宋体"/>
                <w:color w:val="auto"/>
                <w:szCs w:val="24"/>
                <w:highlight w:val="none"/>
              </w:rPr>
            </w:pPr>
            <w:r>
              <w:rPr>
                <w:rFonts w:eastAsia="宋体"/>
                <w:color w:val="auto"/>
                <w:szCs w:val="24"/>
                <w:highlight w:val="none"/>
              </w:rPr>
              <w:t>投标总价（大写）（人民币元）</w:t>
            </w:r>
          </w:p>
        </w:tc>
        <w:tc>
          <w:tcPr>
            <w:tcW w:w="2824" w:type="pct"/>
            <w:gridSpan w:val="3"/>
            <w:tcBorders>
              <w:top w:val="single" w:color="auto" w:sz="4" w:space="0"/>
              <w:left w:val="single" w:color="auto" w:sz="4" w:space="0"/>
              <w:bottom w:val="single" w:color="auto" w:sz="4" w:space="0"/>
              <w:right w:val="single" w:color="auto" w:sz="4" w:space="0"/>
            </w:tcBorders>
            <w:vAlign w:val="center"/>
          </w:tcPr>
          <w:p w14:paraId="03D6ED2D">
            <w:pPr>
              <w:spacing w:line="360" w:lineRule="exact"/>
              <w:jc w:val="center"/>
              <w:rPr>
                <w:color w:val="auto"/>
                <w:sz w:val="24"/>
                <w:szCs w:val="24"/>
                <w:highlight w:val="none"/>
              </w:rPr>
            </w:pPr>
          </w:p>
        </w:tc>
      </w:tr>
    </w:tbl>
    <w:p w14:paraId="22C208BE">
      <w:pPr>
        <w:pStyle w:val="13"/>
        <w:spacing w:line="320" w:lineRule="exact"/>
        <w:ind w:firstLine="0"/>
        <w:rPr>
          <w:color w:val="auto"/>
          <w:szCs w:val="24"/>
          <w:highlight w:val="none"/>
          <w:u w:val="single"/>
        </w:rPr>
      </w:pPr>
    </w:p>
    <w:p w14:paraId="2F22B2C6">
      <w:pPr>
        <w:pStyle w:val="13"/>
        <w:spacing w:line="320" w:lineRule="exact"/>
        <w:ind w:firstLine="0"/>
        <w:rPr>
          <w:color w:val="auto"/>
          <w:szCs w:val="24"/>
          <w:highlight w:val="none"/>
        </w:rPr>
      </w:pPr>
      <w:r>
        <w:rPr>
          <w:color w:val="auto"/>
          <w:szCs w:val="24"/>
          <w:highlight w:val="none"/>
        </w:rPr>
        <w:t>注：</w:t>
      </w:r>
    </w:p>
    <w:p w14:paraId="45B2977B">
      <w:pPr>
        <w:pStyle w:val="13"/>
        <w:spacing w:line="320" w:lineRule="exact"/>
        <w:ind w:firstLine="0"/>
        <w:rPr>
          <w:color w:val="auto"/>
          <w:szCs w:val="24"/>
          <w:highlight w:val="none"/>
        </w:rPr>
      </w:pPr>
      <w:r>
        <w:rPr>
          <w:rFonts w:hint="eastAsia"/>
          <w:color w:val="auto"/>
          <w:szCs w:val="24"/>
          <w:highlight w:val="none"/>
        </w:rPr>
        <w:t>1）</w:t>
      </w:r>
      <w:r>
        <w:rPr>
          <w:color w:val="auto"/>
          <w:szCs w:val="24"/>
          <w:highlight w:val="none"/>
        </w:rPr>
        <w:t>投标总价</w:t>
      </w:r>
      <w:r>
        <w:rPr>
          <w:rFonts w:hint="eastAsia"/>
          <w:color w:val="auto"/>
          <w:szCs w:val="24"/>
          <w:highlight w:val="none"/>
        </w:rPr>
        <w:t>应</w:t>
      </w:r>
      <w:r>
        <w:rPr>
          <w:color w:val="auto"/>
          <w:szCs w:val="24"/>
          <w:highlight w:val="none"/>
        </w:rPr>
        <w:t>与</w:t>
      </w:r>
      <w:r>
        <w:rPr>
          <w:rFonts w:hint="eastAsia"/>
          <w:color w:val="auto"/>
          <w:szCs w:val="24"/>
          <w:highlight w:val="none"/>
        </w:rPr>
        <w:t>“</w:t>
      </w:r>
      <w:r>
        <w:rPr>
          <w:color w:val="auto"/>
          <w:szCs w:val="24"/>
          <w:highlight w:val="none"/>
        </w:rPr>
        <w:t>分项报价表</w:t>
      </w:r>
      <w:r>
        <w:rPr>
          <w:rFonts w:hint="eastAsia"/>
          <w:color w:val="auto"/>
          <w:szCs w:val="24"/>
          <w:highlight w:val="none"/>
        </w:rPr>
        <w:t>”</w:t>
      </w:r>
      <w:r>
        <w:rPr>
          <w:color w:val="auto"/>
          <w:szCs w:val="24"/>
          <w:highlight w:val="none"/>
        </w:rPr>
        <w:t>中</w:t>
      </w:r>
      <w:r>
        <w:rPr>
          <w:rFonts w:hint="eastAsia"/>
          <w:color w:val="auto"/>
          <w:szCs w:val="24"/>
          <w:highlight w:val="none"/>
        </w:rPr>
        <w:t>“</w:t>
      </w:r>
      <w:r>
        <w:rPr>
          <w:color w:val="auto"/>
          <w:szCs w:val="24"/>
          <w:highlight w:val="none"/>
        </w:rPr>
        <w:t>投标总价</w:t>
      </w:r>
      <w:r>
        <w:rPr>
          <w:rFonts w:hint="eastAsia"/>
          <w:color w:val="auto"/>
          <w:szCs w:val="24"/>
          <w:highlight w:val="none"/>
        </w:rPr>
        <w:t>”</w:t>
      </w:r>
      <w:r>
        <w:rPr>
          <w:color w:val="auto"/>
          <w:szCs w:val="24"/>
          <w:highlight w:val="none"/>
        </w:rPr>
        <w:t>一致。</w:t>
      </w:r>
    </w:p>
    <w:p w14:paraId="1B2F51E9">
      <w:pPr>
        <w:pStyle w:val="13"/>
        <w:spacing w:line="360" w:lineRule="exact"/>
        <w:ind w:firstLine="0"/>
        <w:rPr>
          <w:color w:val="auto"/>
          <w:highlight w:val="none"/>
        </w:rPr>
      </w:pPr>
      <w:r>
        <w:rPr>
          <w:rFonts w:hint="eastAsia" w:hAnsi="宋体"/>
          <w:color w:val="auto"/>
          <w:szCs w:val="24"/>
          <w:highlight w:val="none"/>
        </w:rPr>
        <w:t>2）政采云系统上人工填写的报价与上传的电子投标文件的报价不一致，以上传的电子投标文件的报价为准，在评审时进行价格修正。</w:t>
      </w:r>
    </w:p>
    <w:p w14:paraId="2E61EA65">
      <w:pPr>
        <w:pStyle w:val="13"/>
        <w:spacing w:line="360" w:lineRule="exact"/>
        <w:rPr>
          <w:color w:val="auto"/>
          <w:highlight w:val="none"/>
        </w:rPr>
      </w:pPr>
    </w:p>
    <w:p w14:paraId="0C929930">
      <w:pPr>
        <w:pStyle w:val="13"/>
        <w:spacing w:line="360" w:lineRule="exact"/>
        <w:ind w:firstLine="0"/>
        <w:rPr>
          <w:color w:val="auto"/>
          <w:highlight w:val="none"/>
        </w:rPr>
      </w:pPr>
      <w:r>
        <w:rPr>
          <w:rFonts w:hint="eastAsia"/>
          <w:color w:val="auto"/>
          <w:highlight w:val="none"/>
        </w:rPr>
        <w:t>投标人单位（盖公章）：</w:t>
      </w:r>
    </w:p>
    <w:p w14:paraId="429E332D">
      <w:pPr>
        <w:pStyle w:val="13"/>
        <w:spacing w:line="360" w:lineRule="exact"/>
        <w:ind w:firstLine="0"/>
        <w:rPr>
          <w:color w:val="auto"/>
          <w:szCs w:val="21"/>
          <w:highlight w:val="none"/>
        </w:rPr>
      </w:pPr>
      <w:r>
        <w:rPr>
          <w:rFonts w:hint="eastAsia"/>
          <w:color w:val="auto"/>
          <w:szCs w:val="21"/>
          <w:highlight w:val="none"/>
        </w:rPr>
        <w:t>法定代表人或被授权代表人（签字或盖章）：</w:t>
      </w:r>
    </w:p>
    <w:p w14:paraId="38CD4BEE">
      <w:pPr>
        <w:pStyle w:val="13"/>
        <w:spacing w:line="360" w:lineRule="exact"/>
        <w:ind w:firstLine="0"/>
        <w:rPr>
          <w:color w:val="auto"/>
          <w:highlight w:val="none"/>
        </w:rPr>
      </w:pPr>
      <w:r>
        <w:rPr>
          <w:rFonts w:hint="eastAsia"/>
          <w:color w:val="auto"/>
          <w:highlight w:val="none"/>
        </w:rPr>
        <w:t>日期：</w:t>
      </w:r>
    </w:p>
    <w:p w14:paraId="28CC9CA4">
      <w:pPr>
        <w:pStyle w:val="13"/>
        <w:ind w:firstLine="0"/>
        <w:rPr>
          <w:rFonts w:ascii="宋体" w:eastAsia="宋体"/>
          <w:b/>
          <w:color w:val="auto"/>
          <w:sz w:val="28"/>
          <w:highlight w:val="none"/>
        </w:rPr>
      </w:pPr>
    </w:p>
    <w:p w14:paraId="170289B6">
      <w:pPr>
        <w:rPr>
          <w:rFonts w:ascii="宋体"/>
          <w:b/>
          <w:color w:val="auto"/>
          <w:sz w:val="28"/>
          <w:highlight w:val="none"/>
        </w:rPr>
      </w:pPr>
      <w:r>
        <w:rPr>
          <w:rFonts w:ascii="宋体"/>
          <w:b/>
          <w:color w:val="auto"/>
          <w:sz w:val="28"/>
          <w:highlight w:val="none"/>
        </w:rPr>
        <w:br w:type="page"/>
      </w:r>
    </w:p>
    <w:p w14:paraId="1BCC7E45">
      <w:pPr>
        <w:pStyle w:val="13"/>
        <w:ind w:firstLine="0"/>
        <w:jc w:val="center"/>
        <w:rPr>
          <w:rFonts w:ascii="宋体" w:eastAsia="宋体"/>
          <w:b/>
          <w:color w:val="auto"/>
          <w:sz w:val="28"/>
          <w:highlight w:val="none"/>
        </w:rPr>
      </w:pPr>
      <w:r>
        <w:rPr>
          <w:rFonts w:hint="eastAsia" w:ascii="宋体" w:eastAsia="宋体"/>
          <w:b/>
          <w:color w:val="auto"/>
          <w:sz w:val="28"/>
          <w:highlight w:val="none"/>
        </w:rPr>
        <w:t>二、分项报价表</w:t>
      </w:r>
    </w:p>
    <w:p w14:paraId="354B3461">
      <w:pPr>
        <w:pStyle w:val="13"/>
        <w:ind w:firstLine="0"/>
        <w:rPr>
          <w:rFonts w:ascii="宋体"/>
          <w:color w:val="auto"/>
          <w:highlight w:val="none"/>
        </w:rPr>
      </w:pPr>
    </w:p>
    <w:p w14:paraId="4C808313">
      <w:pPr>
        <w:pStyle w:val="13"/>
        <w:ind w:firstLine="0"/>
        <w:rPr>
          <w:rFonts w:eastAsia="宋体"/>
          <w:color w:val="auto"/>
          <w:szCs w:val="24"/>
          <w:highlight w:val="none"/>
          <w:u w:val="single"/>
        </w:rPr>
      </w:pPr>
      <w:r>
        <w:rPr>
          <w:rFonts w:hint="eastAsia" w:eastAsia="宋体"/>
          <w:color w:val="auto"/>
          <w:szCs w:val="24"/>
          <w:highlight w:val="none"/>
        </w:rPr>
        <w:t>项目名称：</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240"/>
        <w:gridCol w:w="988"/>
        <w:gridCol w:w="1725"/>
        <w:gridCol w:w="1748"/>
        <w:gridCol w:w="1338"/>
        <w:gridCol w:w="1231"/>
      </w:tblGrid>
      <w:tr w14:paraId="7DAA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3" w:type="pct"/>
            <w:tcBorders>
              <w:top w:val="single" w:color="auto" w:sz="4" w:space="0"/>
              <w:left w:val="single" w:color="auto" w:sz="4" w:space="0"/>
              <w:bottom w:val="single" w:color="auto" w:sz="4" w:space="0"/>
              <w:right w:val="single" w:color="auto" w:sz="4" w:space="0"/>
            </w:tcBorders>
            <w:vAlign w:val="center"/>
          </w:tcPr>
          <w:p w14:paraId="710EC112">
            <w:pPr>
              <w:spacing w:line="360" w:lineRule="exact"/>
              <w:jc w:val="center"/>
              <w:rPr>
                <w:bCs/>
                <w:color w:val="auto"/>
                <w:sz w:val="24"/>
                <w:szCs w:val="24"/>
                <w:highlight w:val="none"/>
              </w:rPr>
            </w:pPr>
            <w:r>
              <w:rPr>
                <w:rFonts w:hint="eastAsia"/>
                <w:bCs/>
                <w:color w:val="auto"/>
                <w:sz w:val="24"/>
                <w:szCs w:val="24"/>
                <w:highlight w:val="none"/>
              </w:rPr>
              <w:t>序号</w:t>
            </w:r>
          </w:p>
        </w:tc>
        <w:tc>
          <w:tcPr>
            <w:tcW w:w="680" w:type="pct"/>
            <w:tcBorders>
              <w:top w:val="single" w:color="auto" w:sz="4" w:space="0"/>
              <w:left w:val="single" w:color="auto" w:sz="4" w:space="0"/>
              <w:bottom w:val="single" w:color="auto" w:sz="4" w:space="0"/>
              <w:right w:val="single" w:color="auto" w:sz="4" w:space="0"/>
            </w:tcBorders>
            <w:vAlign w:val="center"/>
          </w:tcPr>
          <w:p w14:paraId="7C9A7C92">
            <w:pPr>
              <w:spacing w:line="360" w:lineRule="exact"/>
              <w:jc w:val="center"/>
              <w:rPr>
                <w:bCs/>
                <w:color w:val="auto"/>
                <w:sz w:val="24"/>
                <w:szCs w:val="24"/>
                <w:highlight w:val="none"/>
              </w:rPr>
            </w:pPr>
            <w:r>
              <w:rPr>
                <w:rFonts w:hint="eastAsia"/>
                <w:bCs/>
                <w:color w:val="auto"/>
                <w:sz w:val="24"/>
                <w:szCs w:val="24"/>
                <w:highlight w:val="none"/>
              </w:rPr>
              <w:t>具体配置</w:t>
            </w:r>
          </w:p>
        </w:tc>
        <w:tc>
          <w:tcPr>
            <w:tcW w:w="542" w:type="pct"/>
            <w:tcBorders>
              <w:top w:val="single" w:color="auto" w:sz="4" w:space="0"/>
              <w:left w:val="single" w:color="auto" w:sz="4" w:space="0"/>
              <w:bottom w:val="single" w:color="auto" w:sz="4" w:space="0"/>
              <w:right w:val="single" w:color="auto" w:sz="4" w:space="0"/>
            </w:tcBorders>
            <w:vAlign w:val="center"/>
          </w:tcPr>
          <w:p w14:paraId="519712CA">
            <w:pPr>
              <w:spacing w:line="360" w:lineRule="exact"/>
              <w:jc w:val="center"/>
              <w:rPr>
                <w:bCs/>
                <w:color w:val="auto"/>
                <w:sz w:val="24"/>
                <w:szCs w:val="24"/>
                <w:highlight w:val="none"/>
              </w:rPr>
            </w:pPr>
            <w:r>
              <w:rPr>
                <w:rFonts w:hint="eastAsia"/>
                <w:bCs/>
                <w:color w:val="auto"/>
                <w:sz w:val="24"/>
                <w:szCs w:val="24"/>
                <w:highlight w:val="none"/>
              </w:rPr>
              <w:t>数量</w:t>
            </w:r>
          </w:p>
        </w:tc>
        <w:tc>
          <w:tcPr>
            <w:tcW w:w="946" w:type="pct"/>
            <w:tcBorders>
              <w:top w:val="single" w:color="auto" w:sz="4" w:space="0"/>
              <w:left w:val="single" w:color="auto" w:sz="4" w:space="0"/>
              <w:bottom w:val="single" w:color="auto" w:sz="4" w:space="0"/>
              <w:right w:val="single" w:color="auto" w:sz="4" w:space="0"/>
            </w:tcBorders>
            <w:vAlign w:val="center"/>
          </w:tcPr>
          <w:p w14:paraId="5390A30C">
            <w:pPr>
              <w:spacing w:line="360" w:lineRule="exact"/>
              <w:jc w:val="center"/>
              <w:rPr>
                <w:bCs/>
                <w:color w:val="auto"/>
                <w:sz w:val="24"/>
                <w:szCs w:val="24"/>
                <w:highlight w:val="none"/>
              </w:rPr>
            </w:pPr>
            <w:r>
              <w:rPr>
                <w:rFonts w:hint="eastAsia"/>
                <w:bCs/>
                <w:color w:val="auto"/>
                <w:sz w:val="24"/>
                <w:szCs w:val="24"/>
                <w:highlight w:val="none"/>
              </w:rPr>
              <w:t>产地品牌/如有</w:t>
            </w:r>
          </w:p>
        </w:tc>
        <w:tc>
          <w:tcPr>
            <w:tcW w:w="959" w:type="pct"/>
            <w:tcBorders>
              <w:top w:val="single" w:color="auto" w:sz="4" w:space="0"/>
              <w:left w:val="single" w:color="auto" w:sz="4" w:space="0"/>
              <w:bottom w:val="single" w:color="auto" w:sz="4" w:space="0"/>
              <w:right w:val="single" w:color="auto" w:sz="4" w:space="0"/>
            </w:tcBorders>
            <w:vAlign w:val="center"/>
          </w:tcPr>
          <w:p w14:paraId="645AE82C">
            <w:pPr>
              <w:spacing w:line="360" w:lineRule="exact"/>
              <w:jc w:val="center"/>
              <w:rPr>
                <w:bCs/>
                <w:color w:val="auto"/>
                <w:sz w:val="24"/>
                <w:szCs w:val="24"/>
                <w:highlight w:val="none"/>
              </w:rPr>
            </w:pPr>
            <w:r>
              <w:rPr>
                <w:rFonts w:hint="eastAsia"/>
                <w:bCs/>
                <w:color w:val="auto"/>
                <w:sz w:val="24"/>
                <w:szCs w:val="24"/>
                <w:highlight w:val="none"/>
              </w:rPr>
              <w:t>规格型号/如有</w:t>
            </w:r>
          </w:p>
        </w:tc>
        <w:tc>
          <w:tcPr>
            <w:tcW w:w="732" w:type="pct"/>
            <w:tcBorders>
              <w:top w:val="single" w:color="auto" w:sz="4" w:space="0"/>
              <w:left w:val="single" w:color="auto" w:sz="4" w:space="0"/>
              <w:bottom w:val="single" w:color="auto" w:sz="4" w:space="0"/>
              <w:right w:val="single" w:color="auto" w:sz="4" w:space="0"/>
            </w:tcBorders>
            <w:vAlign w:val="center"/>
          </w:tcPr>
          <w:p w14:paraId="3416A89D">
            <w:pPr>
              <w:spacing w:line="360" w:lineRule="exact"/>
              <w:jc w:val="center"/>
              <w:rPr>
                <w:bCs/>
                <w:color w:val="auto"/>
                <w:sz w:val="24"/>
                <w:szCs w:val="24"/>
                <w:highlight w:val="none"/>
              </w:rPr>
            </w:pPr>
            <w:r>
              <w:rPr>
                <w:rFonts w:hint="eastAsia"/>
                <w:bCs/>
                <w:color w:val="auto"/>
                <w:sz w:val="24"/>
                <w:szCs w:val="24"/>
                <w:highlight w:val="none"/>
              </w:rPr>
              <w:t>单价（元）</w:t>
            </w:r>
          </w:p>
        </w:tc>
        <w:tc>
          <w:tcPr>
            <w:tcW w:w="675" w:type="pct"/>
            <w:tcBorders>
              <w:top w:val="single" w:color="auto" w:sz="4" w:space="0"/>
              <w:left w:val="single" w:color="auto" w:sz="4" w:space="0"/>
              <w:bottom w:val="single" w:color="auto" w:sz="4" w:space="0"/>
              <w:right w:val="single" w:color="auto" w:sz="4" w:space="0"/>
            </w:tcBorders>
            <w:vAlign w:val="center"/>
          </w:tcPr>
          <w:p w14:paraId="39A3DD3E">
            <w:pPr>
              <w:spacing w:line="360" w:lineRule="exact"/>
              <w:jc w:val="center"/>
              <w:rPr>
                <w:bCs/>
                <w:color w:val="auto"/>
                <w:sz w:val="24"/>
                <w:szCs w:val="24"/>
                <w:highlight w:val="none"/>
              </w:rPr>
            </w:pPr>
            <w:r>
              <w:rPr>
                <w:rFonts w:hint="eastAsia"/>
                <w:bCs/>
                <w:color w:val="auto"/>
                <w:sz w:val="24"/>
                <w:szCs w:val="24"/>
                <w:highlight w:val="none"/>
              </w:rPr>
              <w:t>合价（元）</w:t>
            </w:r>
          </w:p>
        </w:tc>
      </w:tr>
      <w:tr w14:paraId="2F13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3" w:type="pct"/>
            <w:tcBorders>
              <w:top w:val="single" w:color="auto" w:sz="4" w:space="0"/>
              <w:left w:val="single" w:color="auto" w:sz="4" w:space="0"/>
              <w:bottom w:val="single" w:color="auto" w:sz="4" w:space="0"/>
              <w:right w:val="single" w:color="auto" w:sz="4" w:space="0"/>
            </w:tcBorders>
            <w:vAlign w:val="center"/>
          </w:tcPr>
          <w:p w14:paraId="22E9B79C">
            <w:pPr>
              <w:spacing w:line="360" w:lineRule="exact"/>
              <w:jc w:val="center"/>
              <w:rPr>
                <w:caps/>
                <w:color w:val="auto"/>
                <w:sz w:val="24"/>
                <w:szCs w:val="24"/>
                <w:highlight w:val="none"/>
              </w:rPr>
            </w:pPr>
            <w:r>
              <w:rPr>
                <w:caps/>
                <w:color w:val="auto"/>
                <w:sz w:val="24"/>
                <w:szCs w:val="24"/>
                <w:highlight w:val="none"/>
              </w:rPr>
              <w:t>1</w:t>
            </w:r>
          </w:p>
        </w:tc>
        <w:tc>
          <w:tcPr>
            <w:tcW w:w="680" w:type="pct"/>
            <w:tcBorders>
              <w:top w:val="single" w:color="auto" w:sz="4" w:space="0"/>
              <w:left w:val="single" w:color="auto" w:sz="4" w:space="0"/>
              <w:bottom w:val="single" w:color="auto" w:sz="4" w:space="0"/>
              <w:right w:val="single" w:color="auto" w:sz="4" w:space="0"/>
            </w:tcBorders>
            <w:vAlign w:val="center"/>
          </w:tcPr>
          <w:p w14:paraId="0C441B13">
            <w:pPr>
              <w:spacing w:line="360" w:lineRule="exact"/>
              <w:jc w:val="center"/>
              <w:rPr>
                <w:color w:val="auto"/>
                <w:sz w:val="24"/>
                <w:szCs w:val="24"/>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14:paraId="0C5EAD40">
            <w:pPr>
              <w:spacing w:line="360" w:lineRule="exact"/>
              <w:jc w:val="center"/>
              <w:rPr>
                <w:color w:val="auto"/>
                <w:sz w:val="24"/>
                <w:szCs w:val="24"/>
                <w:highlight w:val="none"/>
              </w:rPr>
            </w:pPr>
          </w:p>
        </w:tc>
        <w:tc>
          <w:tcPr>
            <w:tcW w:w="946" w:type="pct"/>
            <w:tcBorders>
              <w:top w:val="single" w:color="auto" w:sz="4" w:space="0"/>
              <w:left w:val="single" w:color="auto" w:sz="4" w:space="0"/>
              <w:bottom w:val="single" w:color="auto" w:sz="4" w:space="0"/>
              <w:right w:val="single" w:color="auto" w:sz="4" w:space="0"/>
            </w:tcBorders>
            <w:vAlign w:val="center"/>
          </w:tcPr>
          <w:p w14:paraId="60A79F6B">
            <w:pPr>
              <w:spacing w:line="360" w:lineRule="exact"/>
              <w:jc w:val="center"/>
              <w:rPr>
                <w:color w:val="auto"/>
                <w:sz w:val="24"/>
                <w:szCs w:val="24"/>
                <w:highlight w:val="none"/>
              </w:rPr>
            </w:pPr>
          </w:p>
        </w:tc>
        <w:tc>
          <w:tcPr>
            <w:tcW w:w="959" w:type="pct"/>
            <w:tcBorders>
              <w:top w:val="single" w:color="auto" w:sz="4" w:space="0"/>
              <w:left w:val="single" w:color="auto" w:sz="4" w:space="0"/>
              <w:bottom w:val="single" w:color="auto" w:sz="4" w:space="0"/>
              <w:right w:val="single" w:color="auto" w:sz="4" w:space="0"/>
            </w:tcBorders>
            <w:vAlign w:val="center"/>
          </w:tcPr>
          <w:p w14:paraId="454B0F8E">
            <w:pPr>
              <w:spacing w:line="360" w:lineRule="exact"/>
              <w:jc w:val="center"/>
              <w:rPr>
                <w:color w:val="auto"/>
                <w:sz w:val="24"/>
                <w:szCs w:val="24"/>
                <w:highlight w:val="none"/>
              </w:rPr>
            </w:pPr>
          </w:p>
        </w:tc>
        <w:tc>
          <w:tcPr>
            <w:tcW w:w="732" w:type="pct"/>
            <w:tcBorders>
              <w:top w:val="single" w:color="auto" w:sz="4" w:space="0"/>
              <w:left w:val="single" w:color="auto" w:sz="4" w:space="0"/>
              <w:bottom w:val="single" w:color="auto" w:sz="4" w:space="0"/>
              <w:right w:val="single" w:color="auto" w:sz="4" w:space="0"/>
            </w:tcBorders>
            <w:vAlign w:val="center"/>
          </w:tcPr>
          <w:p w14:paraId="0777049C">
            <w:pPr>
              <w:spacing w:line="360" w:lineRule="exact"/>
              <w:jc w:val="center"/>
              <w:rPr>
                <w:color w:val="auto"/>
                <w:sz w:val="24"/>
                <w:szCs w:val="24"/>
                <w:highlight w:val="none"/>
              </w:rPr>
            </w:pPr>
          </w:p>
        </w:tc>
        <w:tc>
          <w:tcPr>
            <w:tcW w:w="675" w:type="pct"/>
            <w:tcBorders>
              <w:top w:val="single" w:color="auto" w:sz="4" w:space="0"/>
              <w:left w:val="single" w:color="auto" w:sz="4" w:space="0"/>
              <w:bottom w:val="single" w:color="auto" w:sz="4" w:space="0"/>
              <w:right w:val="single" w:color="auto" w:sz="4" w:space="0"/>
            </w:tcBorders>
            <w:vAlign w:val="center"/>
          </w:tcPr>
          <w:p w14:paraId="2C71EE25">
            <w:pPr>
              <w:spacing w:line="360" w:lineRule="exact"/>
              <w:jc w:val="center"/>
              <w:rPr>
                <w:color w:val="auto"/>
                <w:sz w:val="24"/>
                <w:szCs w:val="24"/>
                <w:highlight w:val="none"/>
              </w:rPr>
            </w:pPr>
          </w:p>
        </w:tc>
      </w:tr>
      <w:tr w14:paraId="26DF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3" w:type="pct"/>
            <w:tcBorders>
              <w:top w:val="single" w:color="auto" w:sz="4" w:space="0"/>
              <w:left w:val="single" w:color="auto" w:sz="4" w:space="0"/>
              <w:bottom w:val="single" w:color="auto" w:sz="4" w:space="0"/>
              <w:right w:val="single" w:color="auto" w:sz="4" w:space="0"/>
            </w:tcBorders>
            <w:vAlign w:val="center"/>
          </w:tcPr>
          <w:p w14:paraId="5563185B">
            <w:pPr>
              <w:spacing w:line="360" w:lineRule="exact"/>
              <w:jc w:val="center"/>
              <w:rPr>
                <w:color w:val="auto"/>
                <w:sz w:val="24"/>
                <w:szCs w:val="24"/>
                <w:highlight w:val="none"/>
              </w:rPr>
            </w:pPr>
            <w:r>
              <w:rPr>
                <w:color w:val="auto"/>
                <w:sz w:val="24"/>
                <w:szCs w:val="24"/>
                <w:highlight w:val="none"/>
              </w:rPr>
              <w:t>2</w:t>
            </w:r>
          </w:p>
        </w:tc>
        <w:tc>
          <w:tcPr>
            <w:tcW w:w="680" w:type="pct"/>
            <w:tcBorders>
              <w:top w:val="single" w:color="auto" w:sz="4" w:space="0"/>
              <w:left w:val="single" w:color="auto" w:sz="4" w:space="0"/>
              <w:bottom w:val="single" w:color="auto" w:sz="4" w:space="0"/>
              <w:right w:val="single" w:color="auto" w:sz="4" w:space="0"/>
            </w:tcBorders>
            <w:vAlign w:val="center"/>
          </w:tcPr>
          <w:p w14:paraId="38FCBBF5">
            <w:pPr>
              <w:spacing w:line="360" w:lineRule="exact"/>
              <w:jc w:val="center"/>
              <w:rPr>
                <w:color w:val="auto"/>
                <w:sz w:val="24"/>
                <w:szCs w:val="24"/>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14:paraId="506E904F">
            <w:pPr>
              <w:spacing w:line="360" w:lineRule="exact"/>
              <w:jc w:val="center"/>
              <w:rPr>
                <w:color w:val="auto"/>
                <w:sz w:val="24"/>
                <w:szCs w:val="24"/>
                <w:highlight w:val="none"/>
              </w:rPr>
            </w:pPr>
          </w:p>
        </w:tc>
        <w:tc>
          <w:tcPr>
            <w:tcW w:w="946" w:type="pct"/>
            <w:tcBorders>
              <w:top w:val="single" w:color="auto" w:sz="4" w:space="0"/>
              <w:left w:val="single" w:color="auto" w:sz="4" w:space="0"/>
              <w:bottom w:val="single" w:color="auto" w:sz="4" w:space="0"/>
              <w:right w:val="single" w:color="auto" w:sz="4" w:space="0"/>
            </w:tcBorders>
            <w:vAlign w:val="center"/>
          </w:tcPr>
          <w:p w14:paraId="79449CB3">
            <w:pPr>
              <w:spacing w:line="360" w:lineRule="exact"/>
              <w:jc w:val="center"/>
              <w:rPr>
                <w:color w:val="auto"/>
                <w:sz w:val="24"/>
                <w:szCs w:val="24"/>
                <w:highlight w:val="none"/>
              </w:rPr>
            </w:pPr>
          </w:p>
        </w:tc>
        <w:tc>
          <w:tcPr>
            <w:tcW w:w="959" w:type="pct"/>
            <w:tcBorders>
              <w:top w:val="single" w:color="auto" w:sz="4" w:space="0"/>
              <w:left w:val="single" w:color="auto" w:sz="4" w:space="0"/>
              <w:bottom w:val="single" w:color="auto" w:sz="4" w:space="0"/>
              <w:right w:val="single" w:color="auto" w:sz="4" w:space="0"/>
            </w:tcBorders>
            <w:vAlign w:val="center"/>
          </w:tcPr>
          <w:p w14:paraId="02C0C4B0">
            <w:pPr>
              <w:spacing w:line="360" w:lineRule="exact"/>
              <w:jc w:val="center"/>
              <w:rPr>
                <w:color w:val="auto"/>
                <w:sz w:val="24"/>
                <w:szCs w:val="24"/>
                <w:highlight w:val="none"/>
              </w:rPr>
            </w:pPr>
          </w:p>
        </w:tc>
        <w:tc>
          <w:tcPr>
            <w:tcW w:w="732" w:type="pct"/>
            <w:tcBorders>
              <w:top w:val="single" w:color="auto" w:sz="4" w:space="0"/>
              <w:left w:val="single" w:color="auto" w:sz="4" w:space="0"/>
              <w:bottom w:val="single" w:color="auto" w:sz="4" w:space="0"/>
              <w:right w:val="single" w:color="auto" w:sz="4" w:space="0"/>
            </w:tcBorders>
            <w:vAlign w:val="center"/>
          </w:tcPr>
          <w:p w14:paraId="053FF1C9">
            <w:pPr>
              <w:spacing w:line="360" w:lineRule="exact"/>
              <w:jc w:val="center"/>
              <w:rPr>
                <w:color w:val="auto"/>
                <w:sz w:val="24"/>
                <w:szCs w:val="24"/>
                <w:highlight w:val="none"/>
              </w:rPr>
            </w:pPr>
          </w:p>
        </w:tc>
        <w:tc>
          <w:tcPr>
            <w:tcW w:w="675" w:type="pct"/>
            <w:tcBorders>
              <w:top w:val="single" w:color="auto" w:sz="4" w:space="0"/>
              <w:left w:val="single" w:color="auto" w:sz="4" w:space="0"/>
              <w:bottom w:val="single" w:color="auto" w:sz="4" w:space="0"/>
              <w:right w:val="single" w:color="auto" w:sz="4" w:space="0"/>
            </w:tcBorders>
            <w:vAlign w:val="center"/>
          </w:tcPr>
          <w:p w14:paraId="6C55A3EC">
            <w:pPr>
              <w:spacing w:line="360" w:lineRule="exact"/>
              <w:jc w:val="center"/>
              <w:rPr>
                <w:color w:val="auto"/>
                <w:sz w:val="24"/>
                <w:szCs w:val="24"/>
                <w:highlight w:val="none"/>
              </w:rPr>
            </w:pPr>
          </w:p>
        </w:tc>
      </w:tr>
      <w:tr w14:paraId="3DD7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3" w:type="pct"/>
            <w:tcBorders>
              <w:top w:val="single" w:color="auto" w:sz="4" w:space="0"/>
              <w:left w:val="single" w:color="auto" w:sz="4" w:space="0"/>
              <w:bottom w:val="single" w:color="auto" w:sz="4" w:space="0"/>
              <w:right w:val="single" w:color="auto" w:sz="4" w:space="0"/>
            </w:tcBorders>
            <w:vAlign w:val="center"/>
          </w:tcPr>
          <w:p w14:paraId="2A986962">
            <w:pPr>
              <w:spacing w:line="360" w:lineRule="exact"/>
              <w:jc w:val="center"/>
              <w:rPr>
                <w:color w:val="auto"/>
                <w:sz w:val="24"/>
                <w:szCs w:val="24"/>
                <w:highlight w:val="none"/>
              </w:rPr>
            </w:pPr>
            <w:r>
              <w:rPr>
                <w:color w:val="auto"/>
                <w:sz w:val="24"/>
                <w:szCs w:val="24"/>
                <w:highlight w:val="none"/>
              </w:rPr>
              <w:t>3</w:t>
            </w:r>
          </w:p>
        </w:tc>
        <w:tc>
          <w:tcPr>
            <w:tcW w:w="680" w:type="pct"/>
            <w:tcBorders>
              <w:top w:val="single" w:color="auto" w:sz="4" w:space="0"/>
              <w:left w:val="single" w:color="auto" w:sz="4" w:space="0"/>
              <w:bottom w:val="single" w:color="auto" w:sz="4" w:space="0"/>
              <w:right w:val="single" w:color="auto" w:sz="4" w:space="0"/>
            </w:tcBorders>
            <w:vAlign w:val="center"/>
          </w:tcPr>
          <w:p w14:paraId="5443FDD6">
            <w:pPr>
              <w:spacing w:line="360" w:lineRule="exact"/>
              <w:jc w:val="center"/>
              <w:rPr>
                <w:color w:val="auto"/>
                <w:sz w:val="24"/>
                <w:szCs w:val="24"/>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14:paraId="22F9C63F">
            <w:pPr>
              <w:spacing w:line="360" w:lineRule="exact"/>
              <w:jc w:val="center"/>
              <w:rPr>
                <w:color w:val="auto"/>
                <w:sz w:val="24"/>
                <w:szCs w:val="24"/>
                <w:highlight w:val="none"/>
              </w:rPr>
            </w:pPr>
          </w:p>
        </w:tc>
        <w:tc>
          <w:tcPr>
            <w:tcW w:w="946" w:type="pct"/>
            <w:tcBorders>
              <w:top w:val="single" w:color="auto" w:sz="4" w:space="0"/>
              <w:left w:val="single" w:color="auto" w:sz="4" w:space="0"/>
              <w:bottom w:val="single" w:color="auto" w:sz="4" w:space="0"/>
              <w:right w:val="single" w:color="auto" w:sz="4" w:space="0"/>
            </w:tcBorders>
            <w:vAlign w:val="center"/>
          </w:tcPr>
          <w:p w14:paraId="26808BC1">
            <w:pPr>
              <w:spacing w:line="360" w:lineRule="exact"/>
              <w:jc w:val="center"/>
              <w:rPr>
                <w:color w:val="auto"/>
                <w:sz w:val="24"/>
                <w:szCs w:val="24"/>
                <w:highlight w:val="none"/>
              </w:rPr>
            </w:pPr>
          </w:p>
        </w:tc>
        <w:tc>
          <w:tcPr>
            <w:tcW w:w="959" w:type="pct"/>
            <w:tcBorders>
              <w:top w:val="single" w:color="auto" w:sz="4" w:space="0"/>
              <w:left w:val="single" w:color="auto" w:sz="4" w:space="0"/>
              <w:bottom w:val="single" w:color="auto" w:sz="4" w:space="0"/>
              <w:right w:val="single" w:color="auto" w:sz="4" w:space="0"/>
            </w:tcBorders>
            <w:vAlign w:val="center"/>
          </w:tcPr>
          <w:p w14:paraId="2E6A42E6">
            <w:pPr>
              <w:spacing w:line="360" w:lineRule="exact"/>
              <w:jc w:val="center"/>
              <w:rPr>
                <w:color w:val="auto"/>
                <w:sz w:val="24"/>
                <w:szCs w:val="24"/>
                <w:highlight w:val="none"/>
              </w:rPr>
            </w:pPr>
          </w:p>
        </w:tc>
        <w:tc>
          <w:tcPr>
            <w:tcW w:w="732" w:type="pct"/>
            <w:tcBorders>
              <w:top w:val="single" w:color="auto" w:sz="4" w:space="0"/>
              <w:left w:val="single" w:color="auto" w:sz="4" w:space="0"/>
              <w:bottom w:val="single" w:color="auto" w:sz="4" w:space="0"/>
              <w:right w:val="single" w:color="auto" w:sz="4" w:space="0"/>
            </w:tcBorders>
            <w:vAlign w:val="center"/>
          </w:tcPr>
          <w:p w14:paraId="69834B31">
            <w:pPr>
              <w:spacing w:line="360" w:lineRule="exact"/>
              <w:jc w:val="center"/>
              <w:rPr>
                <w:color w:val="auto"/>
                <w:sz w:val="24"/>
                <w:szCs w:val="24"/>
                <w:highlight w:val="none"/>
              </w:rPr>
            </w:pPr>
          </w:p>
        </w:tc>
        <w:tc>
          <w:tcPr>
            <w:tcW w:w="675" w:type="pct"/>
            <w:tcBorders>
              <w:top w:val="single" w:color="auto" w:sz="4" w:space="0"/>
              <w:left w:val="single" w:color="auto" w:sz="4" w:space="0"/>
              <w:bottom w:val="single" w:color="auto" w:sz="4" w:space="0"/>
              <w:right w:val="single" w:color="auto" w:sz="4" w:space="0"/>
            </w:tcBorders>
            <w:vAlign w:val="center"/>
          </w:tcPr>
          <w:p w14:paraId="3AE950A7">
            <w:pPr>
              <w:spacing w:line="360" w:lineRule="exact"/>
              <w:jc w:val="center"/>
              <w:rPr>
                <w:color w:val="auto"/>
                <w:sz w:val="24"/>
                <w:szCs w:val="24"/>
                <w:highlight w:val="none"/>
              </w:rPr>
            </w:pPr>
          </w:p>
        </w:tc>
      </w:tr>
      <w:tr w14:paraId="0FFA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63" w:type="pct"/>
            <w:tcBorders>
              <w:top w:val="single" w:color="auto" w:sz="4" w:space="0"/>
              <w:left w:val="single" w:color="auto" w:sz="4" w:space="0"/>
              <w:bottom w:val="single" w:color="auto" w:sz="4" w:space="0"/>
              <w:right w:val="single" w:color="auto" w:sz="4" w:space="0"/>
            </w:tcBorders>
            <w:vAlign w:val="center"/>
          </w:tcPr>
          <w:p w14:paraId="05FE4E1A">
            <w:pPr>
              <w:spacing w:line="360" w:lineRule="exact"/>
              <w:jc w:val="center"/>
              <w:rPr>
                <w:color w:val="auto"/>
                <w:sz w:val="24"/>
                <w:szCs w:val="24"/>
                <w:highlight w:val="none"/>
              </w:rPr>
            </w:pPr>
            <w:r>
              <w:rPr>
                <w:color w:val="auto"/>
                <w:sz w:val="24"/>
                <w:szCs w:val="24"/>
                <w:highlight w:val="none"/>
              </w:rPr>
              <w:t>4</w:t>
            </w:r>
          </w:p>
        </w:tc>
        <w:tc>
          <w:tcPr>
            <w:tcW w:w="680" w:type="pct"/>
            <w:tcBorders>
              <w:top w:val="single" w:color="auto" w:sz="4" w:space="0"/>
              <w:left w:val="single" w:color="auto" w:sz="4" w:space="0"/>
              <w:bottom w:val="single" w:color="auto" w:sz="4" w:space="0"/>
              <w:right w:val="single" w:color="auto" w:sz="4" w:space="0"/>
            </w:tcBorders>
            <w:vAlign w:val="center"/>
          </w:tcPr>
          <w:p w14:paraId="64FF524D">
            <w:pPr>
              <w:spacing w:line="360" w:lineRule="exact"/>
              <w:jc w:val="center"/>
              <w:rPr>
                <w:color w:val="auto"/>
                <w:sz w:val="24"/>
                <w:szCs w:val="24"/>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14:paraId="4E524949">
            <w:pPr>
              <w:spacing w:line="360" w:lineRule="exact"/>
              <w:jc w:val="center"/>
              <w:rPr>
                <w:color w:val="auto"/>
                <w:sz w:val="24"/>
                <w:szCs w:val="24"/>
                <w:highlight w:val="none"/>
              </w:rPr>
            </w:pPr>
          </w:p>
        </w:tc>
        <w:tc>
          <w:tcPr>
            <w:tcW w:w="946" w:type="pct"/>
            <w:tcBorders>
              <w:top w:val="single" w:color="auto" w:sz="4" w:space="0"/>
              <w:left w:val="single" w:color="auto" w:sz="4" w:space="0"/>
              <w:bottom w:val="single" w:color="auto" w:sz="4" w:space="0"/>
              <w:right w:val="single" w:color="auto" w:sz="4" w:space="0"/>
            </w:tcBorders>
            <w:vAlign w:val="center"/>
          </w:tcPr>
          <w:p w14:paraId="5C778C45">
            <w:pPr>
              <w:spacing w:line="360" w:lineRule="exact"/>
              <w:jc w:val="center"/>
              <w:rPr>
                <w:color w:val="auto"/>
                <w:sz w:val="24"/>
                <w:szCs w:val="24"/>
                <w:highlight w:val="none"/>
              </w:rPr>
            </w:pPr>
          </w:p>
        </w:tc>
        <w:tc>
          <w:tcPr>
            <w:tcW w:w="959" w:type="pct"/>
            <w:tcBorders>
              <w:top w:val="single" w:color="auto" w:sz="4" w:space="0"/>
              <w:left w:val="single" w:color="auto" w:sz="4" w:space="0"/>
              <w:bottom w:val="single" w:color="auto" w:sz="4" w:space="0"/>
              <w:right w:val="single" w:color="auto" w:sz="4" w:space="0"/>
            </w:tcBorders>
            <w:vAlign w:val="center"/>
          </w:tcPr>
          <w:p w14:paraId="28786D0C">
            <w:pPr>
              <w:spacing w:line="360" w:lineRule="exact"/>
              <w:jc w:val="center"/>
              <w:rPr>
                <w:color w:val="auto"/>
                <w:sz w:val="24"/>
                <w:szCs w:val="24"/>
                <w:highlight w:val="none"/>
              </w:rPr>
            </w:pPr>
          </w:p>
        </w:tc>
        <w:tc>
          <w:tcPr>
            <w:tcW w:w="732" w:type="pct"/>
            <w:tcBorders>
              <w:top w:val="single" w:color="auto" w:sz="4" w:space="0"/>
              <w:left w:val="single" w:color="auto" w:sz="4" w:space="0"/>
              <w:bottom w:val="single" w:color="auto" w:sz="4" w:space="0"/>
              <w:right w:val="single" w:color="auto" w:sz="4" w:space="0"/>
            </w:tcBorders>
            <w:vAlign w:val="center"/>
          </w:tcPr>
          <w:p w14:paraId="1B24973D">
            <w:pPr>
              <w:spacing w:line="360" w:lineRule="exact"/>
              <w:jc w:val="center"/>
              <w:rPr>
                <w:color w:val="auto"/>
                <w:sz w:val="24"/>
                <w:szCs w:val="24"/>
                <w:highlight w:val="none"/>
              </w:rPr>
            </w:pPr>
          </w:p>
        </w:tc>
        <w:tc>
          <w:tcPr>
            <w:tcW w:w="675" w:type="pct"/>
            <w:tcBorders>
              <w:top w:val="single" w:color="auto" w:sz="4" w:space="0"/>
              <w:left w:val="single" w:color="auto" w:sz="4" w:space="0"/>
              <w:bottom w:val="single" w:color="auto" w:sz="4" w:space="0"/>
              <w:right w:val="single" w:color="auto" w:sz="4" w:space="0"/>
            </w:tcBorders>
            <w:vAlign w:val="center"/>
          </w:tcPr>
          <w:p w14:paraId="7347CD30">
            <w:pPr>
              <w:spacing w:line="360" w:lineRule="exact"/>
              <w:jc w:val="center"/>
              <w:rPr>
                <w:color w:val="auto"/>
                <w:sz w:val="24"/>
                <w:szCs w:val="24"/>
                <w:highlight w:val="none"/>
              </w:rPr>
            </w:pPr>
          </w:p>
        </w:tc>
      </w:tr>
      <w:tr w14:paraId="4B6E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3" w:type="pct"/>
            <w:tcBorders>
              <w:top w:val="single" w:color="auto" w:sz="4" w:space="0"/>
              <w:left w:val="single" w:color="auto" w:sz="4" w:space="0"/>
              <w:bottom w:val="single" w:color="auto" w:sz="4" w:space="0"/>
              <w:right w:val="single" w:color="auto" w:sz="4" w:space="0"/>
            </w:tcBorders>
            <w:vAlign w:val="center"/>
          </w:tcPr>
          <w:p w14:paraId="24E784B9">
            <w:pPr>
              <w:spacing w:line="360" w:lineRule="exact"/>
              <w:jc w:val="center"/>
              <w:rPr>
                <w:color w:val="auto"/>
                <w:sz w:val="24"/>
                <w:szCs w:val="24"/>
                <w:highlight w:val="none"/>
              </w:rPr>
            </w:pPr>
            <w:r>
              <w:rPr>
                <w:color w:val="auto"/>
                <w:sz w:val="24"/>
                <w:szCs w:val="24"/>
                <w:highlight w:val="none"/>
              </w:rPr>
              <w:t>5</w:t>
            </w:r>
          </w:p>
        </w:tc>
        <w:tc>
          <w:tcPr>
            <w:tcW w:w="680" w:type="pct"/>
            <w:tcBorders>
              <w:top w:val="single" w:color="auto" w:sz="4" w:space="0"/>
              <w:left w:val="single" w:color="auto" w:sz="4" w:space="0"/>
              <w:bottom w:val="single" w:color="auto" w:sz="4" w:space="0"/>
              <w:right w:val="single" w:color="auto" w:sz="4" w:space="0"/>
            </w:tcBorders>
            <w:vAlign w:val="center"/>
          </w:tcPr>
          <w:p w14:paraId="3DA4A7BB">
            <w:pPr>
              <w:spacing w:line="360" w:lineRule="exact"/>
              <w:jc w:val="center"/>
              <w:rPr>
                <w:color w:val="auto"/>
                <w:sz w:val="24"/>
                <w:szCs w:val="24"/>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14:paraId="6885575D">
            <w:pPr>
              <w:spacing w:line="360" w:lineRule="exact"/>
              <w:jc w:val="center"/>
              <w:rPr>
                <w:color w:val="auto"/>
                <w:sz w:val="24"/>
                <w:szCs w:val="24"/>
                <w:highlight w:val="none"/>
              </w:rPr>
            </w:pPr>
          </w:p>
        </w:tc>
        <w:tc>
          <w:tcPr>
            <w:tcW w:w="946" w:type="pct"/>
            <w:tcBorders>
              <w:top w:val="single" w:color="auto" w:sz="4" w:space="0"/>
              <w:left w:val="single" w:color="auto" w:sz="4" w:space="0"/>
              <w:bottom w:val="single" w:color="auto" w:sz="4" w:space="0"/>
              <w:right w:val="single" w:color="auto" w:sz="4" w:space="0"/>
            </w:tcBorders>
            <w:vAlign w:val="center"/>
          </w:tcPr>
          <w:p w14:paraId="7EE723FD">
            <w:pPr>
              <w:spacing w:line="360" w:lineRule="exact"/>
              <w:jc w:val="center"/>
              <w:rPr>
                <w:color w:val="auto"/>
                <w:sz w:val="24"/>
                <w:szCs w:val="24"/>
                <w:highlight w:val="none"/>
              </w:rPr>
            </w:pPr>
          </w:p>
        </w:tc>
        <w:tc>
          <w:tcPr>
            <w:tcW w:w="959" w:type="pct"/>
            <w:tcBorders>
              <w:top w:val="single" w:color="auto" w:sz="4" w:space="0"/>
              <w:left w:val="single" w:color="auto" w:sz="4" w:space="0"/>
              <w:bottom w:val="single" w:color="auto" w:sz="4" w:space="0"/>
              <w:right w:val="single" w:color="auto" w:sz="4" w:space="0"/>
            </w:tcBorders>
            <w:vAlign w:val="center"/>
          </w:tcPr>
          <w:p w14:paraId="028D8153">
            <w:pPr>
              <w:spacing w:line="360" w:lineRule="exact"/>
              <w:jc w:val="center"/>
              <w:rPr>
                <w:color w:val="auto"/>
                <w:sz w:val="24"/>
                <w:szCs w:val="24"/>
                <w:highlight w:val="none"/>
              </w:rPr>
            </w:pPr>
          </w:p>
        </w:tc>
        <w:tc>
          <w:tcPr>
            <w:tcW w:w="732" w:type="pct"/>
            <w:tcBorders>
              <w:top w:val="single" w:color="auto" w:sz="4" w:space="0"/>
              <w:left w:val="single" w:color="auto" w:sz="4" w:space="0"/>
              <w:bottom w:val="single" w:color="auto" w:sz="4" w:space="0"/>
              <w:right w:val="single" w:color="auto" w:sz="4" w:space="0"/>
            </w:tcBorders>
            <w:vAlign w:val="center"/>
          </w:tcPr>
          <w:p w14:paraId="4296DF99">
            <w:pPr>
              <w:spacing w:line="360" w:lineRule="exact"/>
              <w:jc w:val="center"/>
              <w:rPr>
                <w:color w:val="auto"/>
                <w:sz w:val="24"/>
                <w:szCs w:val="24"/>
                <w:highlight w:val="none"/>
              </w:rPr>
            </w:pPr>
          </w:p>
        </w:tc>
        <w:tc>
          <w:tcPr>
            <w:tcW w:w="675" w:type="pct"/>
            <w:tcBorders>
              <w:top w:val="single" w:color="auto" w:sz="4" w:space="0"/>
              <w:left w:val="single" w:color="auto" w:sz="4" w:space="0"/>
              <w:bottom w:val="single" w:color="auto" w:sz="4" w:space="0"/>
              <w:right w:val="single" w:color="auto" w:sz="4" w:space="0"/>
            </w:tcBorders>
            <w:vAlign w:val="center"/>
          </w:tcPr>
          <w:p w14:paraId="261D5FE9">
            <w:pPr>
              <w:spacing w:line="360" w:lineRule="exact"/>
              <w:jc w:val="center"/>
              <w:rPr>
                <w:color w:val="auto"/>
                <w:sz w:val="24"/>
                <w:szCs w:val="24"/>
                <w:highlight w:val="none"/>
              </w:rPr>
            </w:pPr>
          </w:p>
        </w:tc>
      </w:tr>
      <w:tr w14:paraId="3AE8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3" w:type="pct"/>
            <w:tcBorders>
              <w:top w:val="single" w:color="auto" w:sz="4" w:space="0"/>
              <w:left w:val="single" w:color="auto" w:sz="4" w:space="0"/>
              <w:bottom w:val="single" w:color="auto" w:sz="4" w:space="0"/>
              <w:right w:val="single" w:color="auto" w:sz="4" w:space="0"/>
            </w:tcBorders>
            <w:vAlign w:val="center"/>
          </w:tcPr>
          <w:p w14:paraId="7562C32C">
            <w:pPr>
              <w:spacing w:line="360" w:lineRule="exact"/>
              <w:jc w:val="center"/>
              <w:rPr>
                <w:color w:val="auto"/>
                <w:sz w:val="24"/>
                <w:szCs w:val="24"/>
                <w:highlight w:val="none"/>
              </w:rPr>
            </w:pPr>
            <w:r>
              <w:rPr>
                <w:color w:val="auto"/>
                <w:sz w:val="24"/>
                <w:szCs w:val="24"/>
                <w:highlight w:val="none"/>
              </w:rPr>
              <w:t>6</w:t>
            </w:r>
          </w:p>
        </w:tc>
        <w:tc>
          <w:tcPr>
            <w:tcW w:w="680" w:type="pct"/>
            <w:tcBorders>
              <w:top w:val="single" w:color="auto" w:sz="4" w:space="0"/>
              <w:left w:val="single" w:color="auto" w:sz="4" w:space="0"/>
              <w:bottom w:val="single" w:color="auto" w:sz="4" w:space="0"/>
              <w:right w:val="single" w:color="auto" w:sz="4" w:space="0"/>
            </w:tcBorders>
            <w:vAlign w:val="center"/>
          </w:tcPr>
          <w:p w14:paraId="0C2AA6A2">
            <w:pPr>
              <w:spacing w:line="360" w:lineRule="exact"/>
              <w:jc w:val="center"/>
              <w:rPr>
                <w:color w:val="auto"/>
                <w:sz w:val="24"/>
                <w:szCs w:val="24"/>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14:paraId="3644A699">
            <w:pPr>
              <w:spacing w:line="360" w:lineRule="exact"/>
              <w:jc w:val="center"/>
              <w:rPr>
                <w:color w:val="auto"/>
                <w:sz w:val="24"/>
                <w:szCs w:val="24"/>
                <w:highlight w:val="none"/>
              </w:rPr>
            </w:pPr>
          </w:p>
        </w:tc>
        <w:tc>
          <w:tcPr>
            <w:tcW w:w="946" w:type="pct"/>
            <w:tcBorders>
              <w:top w:val="single" w:color="auto" w:sz="4" w:space="0"/>
              <w:left w:val="single" w:color="auto" w:sz="4" w:space="0"/>
              <w:bottom w:val="single" w:color="auto" w:sz="4" w:space="0"/>
              <w:right w:val="single" w:color="auto" w:sz="4" w:space="0"/>
            </w:tcBorders>
            <w:vAlign w:val="center"/>
          </w:tcPr>
          <w:p w14:paraId="20D67EEF">
            <w:pPr>
              <w:spacing w:line="360" w:lineRule="exact"/>
              <w:jc w:val="center"/>
              <w:rPr>
                <w:color w:val="auto"/>
                <w:sz w:val="24"/>
                <w:szCs w:val="24"/>
                <w:highlight w:val="none"/>
              </w:rPr>
            </w:pPr>
          </w:p>
        </w:tc>
        <w:tc>
          <w:tcPr>
            <w:tcW w:w="959" w:type="pct"/>
            <w:tcBorders>
              <w:top w:val="single" w:color="auto" w:sz="4" w:space="0"/>
              <w:left w:val="single" w:color="auto" w:sz="4" w:space="0"/>
              <w:bottom w:val="single" w:color="auto" w:sz="4" w:space="0"/>
              <w:right w:val="single" w:color="auto" w:sz="4" w:space="0"/>
            </w:tcBorders>
            <w:vAlign w:val="center"/>
          </w:tcPr>
          <w:p w14:paraId="4D0766AB">
            <w:pPr>
              <w:spacing w:line="360" w:lineRule="exact"/>
              <w:jc w:val="center"/>
              <w:rPr>
                <w:color w:val="auto"/>
                <w:sz w:val="24"/>
                <w:szCs w:val="24"/>
                <w:highlight w:val="none"/>
              </w:rPr>
            </w:pPr>
          </w:p>
        </w:tc>
        <w:tc>
          <w:tcPr>
            <w:tcW w:w="732" w:type="pct"/>
            <w:tcBorders>
              <w:top w:val="single" w:color="auto" w:sz="4" w:space="0"/>
              <w:left w:val="single" w:color="auto" w:sz="4" w:space="0"/>
              <w:bottom w:val="single" w:color="auto" w:sz="4" w:space="0"/>
              <w:right w:val="single" w:color="auto" w:sz="4" w:space="0"/>
            </w:tcBorders>
            <w:vAlign w:val="center"/>
          </w:tcPr>
          <w:p w14:paraId="21562941">
            <w:pPr>
              <w:spacing w:line="360" w:lineRule="exact"/>
              <w:jc w:val="center"/>
              <w:rPr>
                <w:color w:val="auto"/>
                <w:sz w:val="24"/>
                <w:szCs w:val="24"/>
                <w:highlight w:val="none"/>
              </w:rPr>
            </w:pPr>
          </w:p>
        </w:tc>
        <w:tc>
          <w:tcPr>
            <w:tcW w:w="675" w:type="pct"/>
            <w:tcBorders>
              <w:top w:val="single" w:color="auto" w:sz="4" w:space="0"/>
              <w:left w:val="single" w:color="auto" w:sz="4" w:space="0"/>
              <w:bottom w:val="single" w:color="auto" w:sz="4" w:space="0"/>
              <w:right w:val="single" w:color="auto" w:sz="4" w:space="0"/>
            </w:tcBorders>
            <w:vAlign w:val="center"/>
          </w:tcPr>
          <w:p w14:paraId="2BE6703D">
            <w:pPr>
              <w:spacing w:line="360" w:lineRule="exact"/>
              <w:jc w:val="center"/>
              <w:rPr>
                <w:color w:val="auto"/>
                <w:sz w:val="24"/>
                <w:szCs w:val="24"/>
                <w:highlight w:val="none"/>
              </w:rPr>
            </w:pPr>
          </w:p>
        </w:tc>
      </w:tr>
      <w:tr w14:paraId="76C0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3" w:type="pct"/>
            <w:tcBorders>
              <w:top w:val="single" w:color="auto" w:sz="4" w:space="0"/>
              <w:left w:val="single" w:color="auto" w:sz="4" w:space="0"/>
              <w:bottom w:val="single" w:color="auto" w:sz="4" w:space="0"/>
              <w:right w:val="single" w:color="auto" w:sz="4" w:space="0"/>
            </w:tcBorders>
            <w:vAlign w:val="center"/>
          </w:tcPr>
          <w:p w14:paraId="39C2C1E1">
            <w:pPr>
              <w:spacing w:line="360" w:lineRule="exact"/>
              <w:jc w:val="center"/>
              <w:rPr>
                <w:color w:val="auto"/>
                <w:sz w:val="24"/>
                <w:szCs w:val="24"/>
                <w:highlight w:val="none"/>
              </w:rPr>
            </w:pPr>
            <w:r>
              <w:rPr>
                <w:color w:val="auto"/>
                <w:sz w:val="24"/>
                <w:szCs w:val="24"/>
                <w:highlight w:val="none"/>
              </w:rPr>
              <w:t>7</w:t>
            </w:r>
          </w:p>
        </w:tc>
        <w:tc>
          <w:tcPr>
            <w:tcW w:w="680" w:type="pct"/>
            <w:tcBorders>
              <w:top w:val="single" w:color="auto" w:sz="4" w:space="0"/>
              <w:left w:val="single" w:color="auto" w:sz="4" w:space="0"/>
              <w:bottom w:val="single" w:color="auto" w:sz="4" w:space="0"/>
              <w:right w:val="single" w:color="auto" w:sz="4" w:space="0"/>
            </w:tcBorders>
            <w:vAlign w:val="center"/>
          </w:tcPr>
          <w:p w14:paraId="3846981C">
            <w:pPr>
              <w:spacing w:line="360" w:lineRule="exact"/>
              <w:jc w:val="center"/>
              <w:rPr>
                <w:color w:val="auto"/>
                <w:sz w:val="24"/>
                <w:szCs w:val="24"/>
                <w:highlight w:val="none"/>
              </w:rPr>
            </w:pPr>
            <w:r>
              <w:rPr>
                <w:color w:val="auto"/>
                <w:sz w:val="24"/>
                <w:szCs w:val="24"/>
                <w:highlight w:val="none"/>
              </w:rPr>
              <w:t>……</w:t>
            </w:r>
          </w:p>
        </w:tc>
        <w:tc>
          <w:tcPr>
            <w:tcW w:w="542" w:type="pct"/>
            <w:tcBorders>
              <w:top w:val="single" w:color="auto" w:sz="4" w:space="0"/>
              <w:left w:val="single" w:color="auto" w:sz="4" w:space="0"/>
              <w:bottom w:val="single" w:color="auto" w:sz="4" w:space="0"/>
              <w:right w:val="single" w:color="auto" w:sz="4" w:space="0"/>
            </w:tcBorders>
            <w:vAlign w:val="center"/>
          </w:tcPr>
          <w:p w14:paraId="1D6F4B54">
            <w:pPr>
              <w:spacing w:line="360" w:lineRule="exact"/>
              <w:jc w:val="center"/>
              <w:rPr>
                <w:color w:val="auto"/>
                <w:sz w:val="24"/>
                <w:szCs w:val="24"/>
                <w:highlight w:val="none"/>
              </w:rPr>
            </w:pPr>
          </w:p>
        </w:tc>
        <w:tc>
          <w:tcPr>
            <w:tcW w:w="946" w:type="pct"/>
            <w:tcBorders>
              <w:top w:val="single" w:color="auto" w:sz="4" w:space="0"/>
              <w:left w:val="single" w:color="auto" w:sz="4" w:space="0"/>
              <w:bottom w:val="single" w:color="auto" w:sz="4" w:space="0"/>
              <w:right w:val="single" w:color="auto" w:sz="4" w:space="0"/>
            </w:tcBorders>
            <w:vAlign w:val="center"/>
          </w:tcPr>
          <w:p w14:paraId="37E2FEC2">
            <w:pPr>
              <w:spacing w:line="360" w:lineRule="exact"/>
              <w:jc w:val="center"/>
              <w:rPr>
                <w:color w:val="auto"/>
                <w:sz w:val="24"/>
                <w:szCs w:val="24"/>
                <w:highlight w:val="none"/>
              </w:rPr>
            </w:pPr>
          </w:p>
        </w:tc>
        <w:tc>
          <w:tcPr>
            <w:tcW w:w="959" w:type="pct"/>
            <w:tcBorders>
              <w:top w:val="single" w:color="auto" w:sz="4" w:space="0"/>
              <w:left w:val="single" w:color="auto" w:sz="4" w:space="0"/>
              <w:bottom w:val="single" w:color="auto" w:sz="4" w:space="0"/>
              <w:right w:val="single" w:color="auto" w:sz="4" w:space="0"/>
            </w:tcBorders>
            <w:vAlign w:val="center"/>
          </w:tcPr>
          <w:p w14:paraId="67A00A38">
            <w:pPr>
              <w:spacing w:line="360" w:lineRule="exact"/>
              <w:jc w:val="center"/>
              <w:rPr>
                <w:color w:val="auto"/>
                <w:sz w:val="24"/>
                <w:szCs w:val="24"/>
                <w:highlight w:val="none"/>
              </w:rPr>
            </w:pPr>
          </w:p>
        </w:tc>
        <w:tc>
          <w:tcPr>
            <w:tcW w:w="732" w:type="pct"/>
            <w:tcBorders>
              <w:top w:val="single" w:color="auto" w:sz="4" w:space="0"/>
              <w:left w:val="single" w:color="auto" w:sz="4" w:space="0"/>
              <w:bottom w:val="single" w:color="auto" w:sz="4" w:space="0"/>
              <w:right w:val="single" w:color="auto" w:sz="4" w:space="0"/>
            </w:tcBorders>
            <w:vAlign w:val="center"/>
          </w:tcPr>
          <w:p w14:paraId="2FA1D622">
            <w:pPr>
              <w:spacing w:line="360" w:lineRule="exact"/>
              <w:jc w:val="center"/>
              <w:rPr>
                <w:color w:val="auto"/>
                <w:sz w:val="24"/>
                <w:szCs w:val="24"/>
                <w:highlight w:val="none"/>
              </w:rPr>
            </w:pPr>
          </w:p>
        </w:tc>
        <w:tc>
          <w:tcPr>
            <w:tcW w:w="675" w:type="pct"/>
            <w:tcBorders>
              <w:top w:val="single" w:color="auto" w:sz="4" w:space="0"/>
              <w:left w:val="single" w:color="auto" w:sz="4" w:space="0"/>
              <w:bottom w:val="single" w:color="auto" w:sz="4" w:space="0"/>
              <w:right w:val="single" w:color="auto" w:sz="4" w:space="0"/>
            </w:tcBorders>
            <w:vAlign w:val="center"/>
          </w:tcPr>
          <w:p w14:paraId="2206F471">
            <w:pPr>
              <w:spacing w:line="360" w:lineRule="exact"/>
              <w:jc w:val="center"/>
              <w:rPr>
                <w:color w:val="auto"/>
                <w:sz w:val="24"/>
                <w:szCs w:val="24"/>
                <w:highlight w:val="none"/>
              </w:rPr>
            </w:pPr>
          </w:p>
        </w:tc>
      </w:tr>
      <w:tr w14:paraId="6EA5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4" w:type="pct"/>
            <w:gridSpan w:val="6"/>
            <w:tcBorders>
              <w:top w:val="single" w:color="auto" w:sz="4" w:space="0"/>
              <w:left w:val="single" w:color="auto" w:sz="4" w:space="0"/>
              <w:bottom w:val="single" w:color="auto" w:sz="4" w:space="0"/>
              <w:right w:val="single" w:color="auto" w:sz="4" w:space="0"/>
            </w:tcBorders>
            <w:vAlign w:val="center"/>
          </w:tcPr>
          <w:p w14:paraId="35D79E93">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投标总价</w:t>
            </w:r>
            <w:r>
              <w:rPr>
                <w:rFonts w:hint="eastAsia" w:ascii="宋体" w:hAnsi="宋体"/>
                <w:bCs/>
                <w:color w:val="auto"/>
                <w:sz w:val="24"/>
                <w:szCs w:val="24"/>
                <w:highlight w:val="none"/>
              </w:rPr>
              <w:t>（人民币元）</w:t>
            </w:r>
          </w:p>
        </w:tc>
        <w:tc>
          <w:tcPr>
            <w:tcW w:w="675" w:type="pct"/>
            <w:tcBorders>
              <w:top w:val="single" w:color="auto" w:sz="4" w:space="0"/>
              <w:left w:val="single" w:color="auto" w:sz="4" w:space="0"/>
              <w:bottom w:val="single" w:color="auto" w:sz="4" w:space="0"/>
              <w:right w:val="single" w:color="auto" w:sz="4" w:space="0"/>
            </w:tcBorders>
            <w:vAlign w:val="center"/>
          </w:tcPr>
          <w:p w14:paraId="3F6CCE66">
            <w:pPr>
              <w:spacing w:line="360" w:lineRule="exact"/>
              <w:jc w:val="center"/>
              <w:rPr>
                <w:rFonts w:ascii="宋体" w:hAnsi="宋体"/>
                <w:color w:val="auto"/>
                <w:sz w:val="24"/>
                <w:szCs w:val="24"/>
                <w:highlight w:val="none"/>
              </w:rPr>
            </w:pPr>
          </w:p>
        </w:tc>
      </w:tr>
    </w:tbl>
    <w:p w14:paraId="5C4E7B0A">
      <w:pPr>
        <w:pStyle w:val="13"/>
        <w:ind w:firstLine="0"/>
        <w:rPr>
          <w:rFonts w:ascii="宋体" w:eastAsia="宋体"/>
          <w:color w:val="auto"/>
          <w:highlight w:val="none"/>
        </w:rPr>
      </w:pPr>
    </w:p>
    <w:p w14:paraId="1EA1F1AF">
      <w:pPr>
        <w:pStyle w:val="13"/>
        <w:ind w:firstLine="0"/>
        <w:rPr>
          <w:rFonts w:eastAsia="宋体"/>
          <w:color w:val="auto"/>
          <w:szCs w:val="24"/>
          <w:highlight w:val="none"/>
        </w:rPr>
      </w:pPr>
      <w:r>
        <w:rPr>
          <w:rFonts w:hint="eastAsia" w:eastAsia="宋体"/>
          <w:color w:val="auto"/>
          <w:szCs w:val="24"/>
          <w:highlight w:val="none"/>
        </w:rPr>
        <w:t>备注：本表格供参考，投标人可根据项目实际情况自拟表格。</w:t>
      </w:r>
    </w:p>
    <w:p w14:paraId="2469C227">
      <w:pPr>
        <w:pStyle w:val="13"/>
        <w:ind w:firstLine="0"/>
        <w:rPr>
          <w:rFonts w:ascii="宋体"/>
          <w:color w:val="auto"/>
          <w:highlight w:val="none"/>
        </w:rPr>
      </w:pPr>
    </w:p>
    <w:p w14:paraId="3D8E3057">
      <w:pPr>
        <w:pStyle w:val="13"/>
        <w:spacing w:beforeLines="50" w:line="360" w:lineRule="exact"/>
        <w:ind w:firstLine="0"/>
        <w:rPr>
          <w:rFonts w:eastAsia="宋体"/>
          <w:color w:val="auto"/>
          <w:highlight w:val="none"/>
        </w:rPr>
      </w:pPr>
      <w:r>
        <w:rPr>
          <w:rFonts w:hint="eastAsia" w:eastAsia="宋体"/>
          <w:color w:val="auto"/>
          <w:highlight w:val="none"/>
        </w:rPr>
        <w:t>投标人单位（盖公章）：</w:t>
      </w:r>
    </w:p>
    <w:p w14:paraId="2F55979D">
      <w:pPr>
        <w:pStyle w:val="13"/>
        <w:spacing w:beforeLines="50" w:line="360" w:lineRule="exact"/>
        <w:ind w:firstLine="0"/>
        <w:rPr>
          <w:rFonts w:eastAsia="宋体"/>
          <w:color w:val="auto"/>
          <w:highlight w:val="none"/>
        </w:rPr>
      </w:pPr>
      <w:r>
        <w:rPr>
          <w:rFonts w:hint="eastAsia"/>
          <w:color w:val="auto"/>
          <w:highlight w:val="none"/>
        </w:rPr>
        <w:t>法定代表人或</w:t>
      </w:r>
      <w:r>
        <w:rPr>
          <w:rFonts w:hint="eastAsia" w:eastAsia="宋体"/>
          <w:color w:val="auto"/>
          <w:highlight w:val="none"/>
        </w:rPr>
        <w:t>被授权代表人（签字或盖章）：</w:t>
      </w:r>
    </w:p>
    <w:p w14:paraId="6A88CCD7">
      <w:pPr>
        <w:rPr>
          <w:color w:val="auto"/>
          <w:highlight w:val="none"/>
        </w:rPr>
      </w:pPr>
      <w:r>
        <w:rPr>
          <w:rFonts w:hint="eastAsia"/>
          <w:color w:val="auto"/>
          <w:highlight w:val="none"/>
        </w:rPr>
        <w:t xml:space="preserve">日期： </w:t>
      </w:r>
    </w:p>
    <w:p w14:paraId="2239BDBE">
      <w:pPr>
        <w:rPr>
          <w:color w:val="auto"/>
          <w:highlight w:val="none"/>
        </w:rPr>
      </w:pPr>
    </w:p>
    <w:p w14:paraId="2E9BAF23">
      <w:pPr>
        <w:pStyle w:val="12"/>
        <w:rPr>
          <w:color w:val="auto"/>
          <w:highlight w:val="none"/>
        </w:rPr>
      </w:pPr>
    </w:p>
    <w:p w14:paraId="77410978">
      <w:pPr>
        <w:pStyle w:val="27"/>
        <w:ind w:firstLine="482"/>
        <w:rPr>
          <w:color w:val="auto"/>
          <w:highlight w:val="none"/>
        </w:rPr>
      </w:pPr>
    </w:p>
    <w:p w14:paraId="3175C7AC">
      <w:pPr>
        <w:rPr>
          <w:rFonts w:ascii="宋体"/>
          <w:color w:val="auto"/>
          <w:sz w:val="28"/>
          <w:highlight w:val="none"/>
        </w:rPr>
      </w:pPr>
      <w:r>
        <w:rPr>
          <w:rFonts w:hint="eastAsia" w:ascii="宋体"/>
          <w:color w:val="auto"/>
          <w:sz w:val="28"/>
          <w:highlight w:val="none"/>
        </w:rPr>
        <w:br w:type="page"/>
      </w:r>
    </w:p>
    <w:p w14:paraId="5E25AAC2">
      <w:pPr>
        <w:pStyle w:val="13"/>
        <w:ind w:firstLine="0"/>
        <w:jc w:val="center"/>
        <w:rPr>
          <w:rFonts w:ascii="宋体" w:eastAsia="宋体"/>
          <w:b/>
          <w:color w:val="auto"/>
          <w:sz w:val="28"/>
          <w:highlight w:val="none"/>
        </w:rPr>
      </w:pPr>
      <w:r>
        <w:rPr>
          <w:rFonts w:hint="eastAsia" w:ascii="宋体" w:eastAsia="宋体"/>
          <w:b/>
          <w:color w:val="auto"/>
          <w:sz w:val="28"/>
          <w:highlight w:val="none"/>
        </w:rPr>
        <w:t>三、中小企业声明函</w:t>
      </w:r>
      <w:r>
        <w:rPr>
          <w:rFonts w:hint="eastAsia" w:ascii="宋体"/>
          <w:b/>
          <w:color w:val="auto"/>
          <w:sz w:val="28"/>
          <w:highlight w:val="none"/>
        </w:rPr>
        <w:t>（货物，如适用）</w:t>
      </w:r>
    </w:p>
    <w:p w14:paraId="41A1CC18">
      <w:pPr>
        <w:pStyle w:val="13"/>
        <w:ind w:firstLine="0"/>
        <w:jc w:val="center"/>
        <w:rPr>
          <w:rFonts w:ascii="宋体" w:eastAsia="宋体"/>
          <w:b/>
          <w:color w:val="auto"/>
          <w:sz w:val="28"/>
          <w:highlight w:val="none"/>
        </w:rPr>
      </w:pPr>
    </w:p>
    <w:p w14:paraId="1FD96899">
      <w:pPr>
        <w:pStyle w:val="13"/>
        <w:spacing w:line="520" w:lineRule="exact"/>
        <w:jc w:val="center"/>
        <w:outlineLvl w:val="0"/>
        <w:rPr>
          <w:rFonts w:ascii="宋体"/>
          <w:b/>
          <w:color w:val="auto"/>
          <w:sz w:val="28"/>
          <w:highlight w:val="none"/>
        </w:rPr>
      </w:pPr>
      <w:bookmarkStart w:id="33" w:name="_Toc23390"/>
      <w:bookmarkStart w:id="34" w:name="OLE_LINK13"/>
      <w:bookmarkStart w:id="35" w:name="OLE_LINK14"/>
      <w:r>
        <w:rPr>
          <w:rFonts w:hint="eastAsia" w:ascii="宋体"/>
          <w:b/>
          <w:color w:val="auto"/>
          <w:sz w:val="28"/>
          <w:highlight w:val="none"/>
        </w:rPr>
        <w:t>中小企业声明函</w:t>
      </w:r>
      <w:bookmarkEnd w:id="33"/>
      <w:r>
        <w:rPr>
          <w:rFonts w:hint="eastAsia" w:ascii="宋体"/>
          <w:b/>
          <w:color w:val="auto"/>
          <w:sz w:val="28"/>
          <w:highlight w:val="none"/>
        </w:rPr>
        <w:t>（标项一）</w:t>
      </w:r>
    </w:p>
    <w:p w14:paraId="7C54009E">
      <w:pPr>
        <w:spacing w:line="440" w:lineRule="exact"/>
        <w:ind w:firstLine="420" w:firstLineChars="200"/>
        <w:rPr>
          <w:color w:val="auto"/>
          <w:highlight w:val="none"/>
        </w:rPr>
      </w:pPr>
      <w:r>
        <w:rPr>
          <w:color w:val="auto"/>
          <w:highlight w:val="none"/>
        </w:rPr>
        <w:t>本公司郑重声明，根据《政府采购促进中小企业发展管理办法》（</w:t>
      </w:r>
      <w:bookmarkStart w:id="36" w:name="OLE_LINK9"/>
      <w:bookmarkStart w:id="37" w:name="OLE_LINK8"/>
      <w:bookmarkStart w:id="38" w:name="OLE_LINK10"/>
      <w:r>
        <w:rPr>
          <w:color w:val="auto"/>
          <w:highlight w:val="none"/>
        </w:rPr>
        <w:t>财库﹝2020﹞46号</w:t>
      </w:r>
      <w:bookmarkEnd w:id="36"/>
      <w:bookmarkEnd w:id="37"/>
      <w:bookmarkEnd w:id="38"/>
      <w:r>
        <w:rPr>
          <w:color w:val="auto"/>
          <w:highlight w:val="none"/>
        </w:rPr>
        <w:t>）的规定，本公司参加</w:t>
      </w:r>
      <w:r>
        <w:rPr>
          <w:rFonts w:hint="eastAsia"/>
          <w:b/>
          <w:bCs/>
          <w:color w:val="auto"/>
          <w:szCs w:val="22"/>
          <w:highlight w:val="none"/>
          <w:u w:val="single"/>
        </w:rPr>
        <w:t>宁波大学附属人民医院采购医疗设备项目</w:t>
      </w:r>
      <w:r>
        <w:rPr>
          <w:color w:val="auto"/>
          <w:highlight w:val="none"/>
        </w:rPr>
        <w:t>采购活动，</w:t>
      </w:r>
      <w:r>
        <w:rPr>
          <w:b/>
          <w:bCs/>
          <w:color w:val="auto"/>
          <w:highlight w:val="none"/>
        </w:rPr>
        <w:t>提供的货物全部由符合政策要求的中小企业制造。</w:t>
      </w:r>
      <w:r>
        <w:rPr>
          <w:color w:val="auto"/>
          <w:highlight w:val="none"/>
        </w:rPr>
        <w:t>相关企业的具体情况如下：</w:t>
      </w:r>
    </w:p>
    <w:p w14:paraId="02EF0434">
      <w:pPr>
        <w:numPr>
          <w:ilvl w:val="0"/>
          <w:numId w:val="4"/>
        </w:numPr>
        <w:spacing w:line="440" w:lineRule="exact"/>
        <w:ind w:firstLine="422" w:firstLineChars="200"/>
        <w:rPr>
          <w:color w:val="auto"/>
          <w:highlight w:val="none"/>
        </w:rPr>
      </w:pPr>
      <w:r>
        <w:rPr>
          <w:rFonts w:hint="eastAsia"/>
          <w:b/>
          <w:bCs/>
          <w:color w:val="auto"/>
          <w:szCs w:val="22"/>
          <w:highlight w:val="none"/>
          <w:u w:val="single"/>
        </w:rPr>
        <w:t>无创肝纤维化和脂肪变量化检测系统</w:t>
      </w:r>
      <w:r>
        <w:rPr>
          <w:color w:val="auto"/>
          <w:highlight w:val="none"/>
        </w:rPr>
        <w:t>，属于</w:t>
      </w:r>
      <w:r>
        <w:rPr>
          <w:rFonts w:hint="eastAsia"/>
          <w:b/>
          <w:bCs/>
          <w:color w:val="auto"/>
          <w:highlight w:val="none"/>
          <w:u w:val="single"/>
        </w:rPr>
        <w:t xml:space="preserve">  工业 </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人</w:t>
      </w:r>
      <w:r>
        <w:rPr>
          <w:color w:val="auto"/>
          <w:highlight w:val="none"/>
        </w:rPr>
        <w:t>，营业收入为</w:t>
      </w:r>
      <w:r>
        <w:rPr>
          <w:color w:val="auto"/>
          <w:highlight w:val="none"/>
          <w:u w:val="single"/>
        </w:rPr>
        <w:t>   万元</w:t>
      </w:r>
      <w:r>
        <w:rPr>
          <w:color w:val="auto"/>
          <w:highlight w:val="none"/>
        </w:rPr>
        <w:t>，资产总额为</w:t>
      </w:r>
      <w:r>
        <w:rPr>
          <w:color w:val="auto"/>
          <w:highlight w:val="none"/>
          <w:u w:val="single"/>
        </w:rPr>
        <w:t>  万元</w:t>
      </w:r>
      <w:r>
        <w:rPr>
          <w:color w:val="auto"/>
          <w:highlight w:val="none"/>
        </w:rPr>
        <w:t>，属于</w:t>
      </w:r>
      <w:r>
        <w:rPr>
          <w:color w:val="auto"/>
          <w:highlight w:val="none"/>
          <w:u w:val="single"/>
        </w:rPr>
        <w:t>（中型企业、小型企业、微型企业）</w:t>
      </w:r>
      <w:r>
        <w:rPr>
          <w:color w:val="auto"/>
          <w:highlight w:val="none"/>
        </w:rPr>
        <w:t>；</w:t>
      </w:r>
    </w:p>
    <w:p w14:paraId="63D33CE8">
      <w:pPr>
        <w:spacing w:line="440" w:lineRule="exact"/>
        <w:ind w:firstLine="422" w:firstLineChars="200"/>
        <w:rPr>
          <w:b/>
          <w:bCs/>
          <w:color w:val="auto"/>
          <w:highlight w:val="none"/>
        </w:rPr>
      </w:pPr>
      <w:r>
        <w:rPr>
          <w:b/>
          <w:bCs/>
          <w:color w:val="auto"/>
          <w:highlight w:val="none"/>
        </w:rPr>
        <w:t>以上企业，不属于大企业的分支机构，不存在控股股东为大企业的情形，也不存在与大企业的负责人为同一人的情形。</w:t>
      </w:r>
    </w:p>
    <w:p w14:paraId="74AF1255">
      <w:pPr>
        <w:spacing w:line="440" w:lineRule="exact"/>
        <w:ind w:firstLine="420" w:firstLineChars="200"/>
        <w:rPr>
          <w:color w:val="auto"/>
          <w:highlight w:val="none"/>
        </w:rPr>
      </w:pPr>
      <w:r>
        <w:rPr>
          <w:color w:val="auto"/>
          <w:highlight w:val="none"/>
        </w:rPr>
        <w:t>本企业对上述声明内容的真实性负责。如有虚假，将依法承担相应责任。</w:t>
      </w:r>
    </w:p>
    <w:p w14:paraId="5EDFAEBE">
      <w:pPr>
        <w:spacing w:line="440" w:lineRule="exact"/>
        <w:ind w:firstLine="5250" w:firstLineChars="2500"/>
        <w:rPr>
          <w:color w:val="auto"/>
          <w:highlight w:val="none"/>
        </w:rPr>
      </w:pPr>
      <w:r>
        <w:rPr>
          <w:color w:val="auto"/>
          <w:highlight w:val="none"/>
        </w:rPr>
        <w:t>企业名称（盖章）： </w:t>
      </w:r>
    </w:p>
    <w:p w14:paraId="50103803">
      <w:pPr>
        <w:spacing w:line="440" w:lineRule="exact"/>
        <w:ind w:firstLine="5355" w:firstLineChars="2550"/>
        <w:rPr>
          <w:color w:val="auto"/>
          <w:highlight w:val="none"/>
        </w:rPr>
      </w:pPr>
      <w:r>
        <w:rPr>
          <w:color w:val="auto"/>
          <w:highlight w:val="none"/>
        </w:rPr>
        <w:t>日 期：</w:t>
      </w:r>
    </w:p>
    <w:p w14:paraId="06A19A36">
      <w:pPr>
        <w:spacing w:line="400" w:lineRule="exact"/>
        <w:rPr>
          <w:color w:val="auto"/>
          <w:highlight w:val="none"/>
        </w:rPr>
      </w:pPr>
      <w:r>
        <w:rPr>
          <w:rFonts w:hint="eastAsia"/>
          <w:color w:val="auto"/>
          <w:highlight w:val="none"/>
        </w:rPr>
        <w:t>注：</w:t>
      </w:r>
    </w:p>
    <w:p w14:paraId="38FB3ABA">
      <w:pPr>
        <w:spacing w:line="400" w:lineRule="exact"/>
        <w:rPr>
          <w:color w:val="auto"/>
          <w:highlight w:val="none"/>
        </w:rPr>
      </w:pPr>
      <w:r>
        <w:rPr>
          <w:rFonts w:hint="eastAsia"/>
          <w:color w:val="auto"/>
          <w:highlight w:val="none"/>
        </w:rPr>
        <w:t>1）从业人员、营业收入、资产总额填报上一年度数据。无上一年度数据的新成立企业可不填报。</w:t>
      </w:r>
    </w:p>
    <w:p w14:paraId="0A2DA19E">
      <w:pPr>
        <w:spacing w:line="400" w:lineRule="exact"/>
        <w:rPr>
          <w:b/>
          <w:color w:val="auto"/>
          <w:highlight w:val="none"/>
        </w:rPr>
      </w:pPr>
      <w:r>
        <w:rPr>
          <w:rFonts w:hint="eastAsia"/>
          <w:color w:val="auto"/>
          <w:highlight w:val="none"/>
        </w:rPr>
        <w:t>2）中小企业划型标准按</w:t>
      </w:r>
      <w:bookmarkStart w:id="39" w:name="OLE_LINK11"/>
      <w:bookmarkStart w:id="40" w:name="OLE_LINK12"/>
      <w:r>
        <w:rPr>
          <w:rFonts w:hint="eastAsia"/>
          <w:color w:val="auto"/>
          <w:highlight w:val="none"/>
        </w:rPr>
        <w:t>工信部联企业〔2011〕300号</w:t>
      </w:r>
      <w:bookmarkEnd w:id="39"/>
      <w:bookmarkEnd w:id="40"/>
      <w:r>
        <w:rPr>
          <w:rFonts w:hint="eastAsia"/>
          <w:color w:val="auto"/>
          <w:highlight w:val="none"/>
        </w:rPr>
        <w:t>文件。</w:t>
      </w:r>
      <w:r>
        <w:rPr>
          <w:rFonts w:hint="eastAsia"/>
          <w:b/>
          <w:color w:val="auto"/>
          <w:highlight w:val="none"/>
        </w:rPr>
        <w:t>中标单位的《</w:t>
      </w:r>
      <w:r>
        <w:rPr>
          <w:b/>
          <w:color w:val="auto"/>
          <w:highlight w:val="none"/>
        </w:rPr>
        <w:t>中小企业声明函</w:t>
      </w:r>
      <w:r>
        <w:rPr>
          <w:rFonts w:hint="eastAsia"/>
          <w:b/>
          <w:color w:val="auto"/>
          <w:highlight w:val="none"/>
        </w:rPr>
        <w:t>》将依法公示，提供虚假资料者将被取消中标资格，并依法承担一切责任。</w:t>
      </w:r>
    </w:p>
    <w:p w14:paraId="778B68EA">
      <w:pPr>
        <w:spacing w:line="400" w:lineRule="exact"/>
        <w:rPr>
          <w:b/>
          <w:color w:val="auto"/>
          <w:highlight w:val="none"/>
        </w:rPr>
      </w:pPr>
      <w:r>
        <w:rPr>
          <w:rFonts w:hint="eastAsia"/>
          <w:bCs/>
          <w:color w:val="auto"/>
          <w:highlight w:val="none"/>
        </w:rPr>
        <w:t>3）</w:t>
      </w:r>
      <w:r>
        <w:rPr>
          <w:rFonts w:hint="eastAsia"/>
          <w:b/>
          <w:color w:val="auto"/>
          <w:highlight w:val="none"/>
        </w:rPr>
        <w:t>进口产品不适用。</w:t>
      </w:r>
    </w:p>
    <w:p w14:paraId="0708D480">
      <w:pPr>
        <w:pStyle w:val="40"/>
        <w:rPr>
          <w:b/>
          <w:color w:val="auto"/>
          <w:highlight w:val="none"/>
        </w:rPr>
      </w:pPr>
    </w:p>
    <w:p w14:paraId="11C0D025">
      <w:pPr>
        <w:spacing w:line="400" w:lineRule="exact"/>
        <w:rPr>
          <w:color w:val="auto"/>
          <w:highlight w:val="none"/>
        </w:rPr>
      </w:pPr>
      <w:r>
        <w:rPr>
          <w:rFonts w:hint="eastAsia"/>
          <w:color w:val="auto"/>
          <w:highlight w:val="none"/>
        </w:rPr>
        <w:t>大中小微型企业划分标准：</w:t>
      </w:r>
    </w:p>
    <w:tbl>
      <w:tblPr>
        <w:tblStyle w:val="29"/>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759499E5">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14:paraId="441549E2">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vAlign w:val="center"/>
          </w:tcPr>
          <w:p w14:paraId="6F18E0E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vAlign w:val="center"/>
          </w:tcPr>
          <w:p w14:paraId="0E54D8C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6C362E9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vAlign w:val="center"/>
          </w:tcPr>
          <w:p w14:paraId="14FD2F7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vAlign w:val="center"/>
          </w:tcPr>
          <w:p w14:paraId="3F7C420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vAlign w:val="center"/>
          </w:tcPr>
          <w:p w14:paraId="1C8C0AA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vAlign w:val="center"/>
          </w:tcPr>
          <w:p w14:paraId="45E689B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63C8530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4C03957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tcBorders>
              <w:top w:val="nil"/>
              <w:left w:val="nil"/>
              <w:bottom w:val="nil"/>
              <w:right w:val="single" w:color="auto" w:sz="4" w:space="0"/>
            </w:tcBorders>
            <w:vAlign w:val="center"/>
          </w:tcPr>
          <w:p w14:paraId="7FF0EB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14:paraId="57D5D0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14:paraId="51502A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vAlign w:val="center"/>
          </w:tcPr>
          <w:p w14:paraId="3D180F4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vAlign w:val="center"/>
          </w:tcPr>
          <w:p w14:paraId="57A10D7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vAlign w:val="center"/>
          </w:tcPr>
          <w:p w14:paraId="0EE1250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233131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A6AA8A8">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14:paraId="62B25BC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024FBF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08FC9D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vAlign w:val="center"/>
          </w:tcPr>
          <w:p w14:paraId="625A24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tcBorders>
              <w:top w:val="nil"/>
              <w:left w:val="nil"/>
              <w:bottom w:val="single" w:color="auto" w:sz="4" w:space="0"/>
              <w:right w:val="single" w:color="auto" w:sz="4" w:space="0"/>
            </w:tcBorders>
            <w:vAlign w:val="center"/>
          </w:tcPr>
          <w:p w14:paraId="5D4A04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tcBorders>
              <w:top w:val="nil"/>
              <w:left w:val="nil"/>
              <w:bottom w:val="single" w:color="auto" w:sz="4" w:space="0"/>
              <w:right w:val="nil"/>
            </w:tcBorders>
            <w:vAlign w:val="center"/>
          </w:tcPr>
          <w:p w14:paraId="2DA232D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bl>
    <w:p w14:paraId="3C65AF59">
      <w:pPr>
        <w:pStyle w:val="7"/>
        <w:rPr>
          <w:color w:val="auto"/>
          <w:highlight w:val="none"/>
        </w:rPr>
      </w:pPr>
    </w:p>
    <w:p w14:paraId="43134D61">
      <w:pPr>
        <w:pStyle w:val="12"/>
        <w:rPr>
          <w:color w:val="auto"/>
          <w:highlight w:val="none"/>
        </w:rPr>
      </w:pPr>
    </w:p>
    <w:p w14:paraId="446FF46D">
      <w:pPr>
        <w:pStyle w:val="13"/>
        <w:spacing w:line="520" w:lineRule="exact"/>
        <w:jc w:val="center"/>
        <w:rPr>
          <w:rFonts w:ascii="宋体"/>
          <w:b/>
          <w:color w:val="auto"/>
          <w:sz w:val="28"/>
          <w:highlight w:val="none"/>
        </w:rPr>
      </w:pPr>
    </w:p>
    <w:p w14:paraId="5803CB6C">
      <w:pPr>
        <w:rPr>
          <w:rFonts w:ascii="宋体"/>
          <w:b/>
          <w:color w:val="auto"/>
          <w:sz w:val="28"/>
          <w:highlight w:val="none"/>
        </w:rPr>
      </w:pPr>
      <w:r>
        <w:rPr>
          <w:rFonts w:hint="eastAsia" w:ascii="宋体"/>
          <w:b/>
          <w:color w:val="auto"/>
          <w:sz w:val="28"/>
          <w:highlight w:val="none"/>
        </w:rPr>
        <w:br w:type="page"/>
      </w:r>
    </w:p>
    <w:p w14:paraId="3F97F2B3">
      <w:pPr>
        <w:spacing w:line="520" w:lineRule="exact"/>
        <w:ind w:firstLine="480"/>
        <w:jc w:val="center"/>
        <w:outlineLvl w:val="0"/>
        <w:rPr>
          <w:rFonts w:ascii="宋体" w:eastAsia="方正书宋简体"/>
          <w:b/>
          <w:color w:val="auto"/>
          <w:sz w:val="28"/>
          <w:highlight w:val="none"/>
        </w:rPr>
      </w:pPr>
      <w:bookmarkStart w:id="41" w:name="_Toc26860"/>
    </w:p>
    <w:p w14:paraId="06D346DB">
      <w:pPr>
        <w:spacing w:line="520" w:lineRule="exact"/>
        <w:ind w:firstLine="480"/>
        <w:jc w:val="center"/>
        <w:outlineLvl w:val="0"/>
        <w:rPr>
          <w:rFonts w:ascii="宋体" w:eastAsia="方正书宋简体"/>
          <w:b/>
          <w:color w:val="auto"/>
          <w:sz w:val="28"/>
          <w:highlight w:val="none"/>
        </w:rPr>
      </w:pPr>
      <w:r>
        <w:rPr>
          <w:rFonts w:hint="eastAsia" w:ascii="宋体" w:eastAsia="方正书宋简体"/>
          <w:b/>
          <w:color w:val="auto"/>
          <w:sz w:val="28"/>
          <w:highlight w:val="none"/>
        </w:rPr>
        <w:t>中小企业声明函（标项二）</w:t>
      </w:r>
    </w:p>
    <w:p w14:paraId="0F02F3E4">
      <w:pPr>
        <w:spacing w:line="440" w:lineRule="exact"/>
        <w:ind w:firstLine="420" w:firstLineChars="200"/>
        <w:rPr>
          <w:color w:val="auto"/>
          <w:highlight w:val="none"/>
        </w:rPr>
      </w:pPr>
      <w:r>
        <w:rPr>
          <w:color w:val="auto"/>
          <w:highlight w:val="none"/>
        </w:rPr>
        <w:t>本公司郑重声明，根据《政府采购促进中小企业发展管理办法》（财库﹝2020﹞46号）的规定，本公司参加</w:t>
      </w:r>
      <w:r>
        <w:rPr>
          <w:rFonts w:hint="eastAsia"/>
          <w:b/>
          <w:bCs/>
          <w:color w:val="auto"/>
          <w:szCs w:val="22"/>
          <w:highlight w:val="none"/>
          <w:u w:val="single"/>
        </w:rPr>
        <w:t>宁波大学附属人民医院采购医疗设备项目</w:t>
      </w:r>
      <w:r>
        <w:rPr>
          <w:color w:val="auto"/>
          <w:highlight w:val="none"/>
        </w:rPr>
        <w:t>采购活动，</w:t>
      </w:r>
      <w:r>
        <w:rPr>
          <w:b/>
          <w:bCs/>
          <w:color w:val="auto"/>
          <w:highlight w:val="none"/>
        </w:rPr>
        <w:t>提供的货物全部由符合政策要求的中小企业制造。</w:t>
      </w:r>
      <w:r>
        <w:rPr>
          <w:color w:val="auto"/>
          <w:highlight w:val="none"/>
        </w:rPr>
        <w:t>相关企业的具体情况如下：</w:t>
      </w:r>
    </w:p>
    <w:p w14:paraId="0869D3EA">
      <w:pPr>
        <w:numPr>
          <w:ilvl w:val="0"/>
          <w:numId w:val="5"/>
        </w:numPr>
        <w:spacing w:line="440" w:lineRule="exact"/>
        <w:ind w:firstLine="422" w:firstLineChars="200"/>
        <w:rPr>
          <w:color w:val="auto"/>
          <w:highlight w:val="none"/>
        </w:rPr>
      </w:pPr>
      <w:r>
        <w:rPr>
          <w:rFonts w:hint="eastAsia"/>
          <w:b/>
          <w:bCs/>
          <w:color w:val="auto"/>
          <w:szCs w:val="22"/>
          <w:highlight w:val="none"/>
          <w:u w:val="single"/>
        </w:rPr>
        <w:t>自动组织脱水机</w:t>
      </w:r>
      <w:r>
        <w:rPr>
          <w:color w:val="auto"/>
          <w:highlight w:val="none"/>
        </w:rPr>
        <w:t>，属于</w:t>
      </w:r>
      <w:r>
        <w:rPr>
          <w:rFonts w:hint="eastAsia"/>
          <w:b/>
          <w:bCs/>
          <w:color w:val="auto"/>
          <w:highlight w:val="none"/>
          <w:u w:val="single"/>
        </w:rPr>
        <w:t xml:space="preserve">  工业 </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人</w:t>
      </w:r>
      <w:r>
        <w:rPr>
          <w:color w:val="auto"/>
          <w:highlight w:val="none"/>
        </w:rPr>
        <w:t>，营业收入为</w:t>
      </w:r>
      <w:r>
        <w:rPr>
          <w:color w:val="auto"/>
          <w:highlight w:val="none"/>
          <w:u w:val="single"/>
        </w:rPr>
        <w:t>   万元</w:t>
      </w:r>
      <w:r>
        <w:rPr>
          <w:color w:val="auto"/>
          <w:highlight w:val="none"/>
        </w:rPr>
        <w:t>，资产总额为</w:t>
      </w:r>
      <w:r>
        <w:rPr>
          <w:color w:val="auto"/>
          <w:highlight w:val="none"/>
          <w:u w:val="single"/>
        </w:rPr>
        <w:t>  万元</w:t>
      </w:r>
      <w:r>
        <w:rPr>
          <w:color w:val="auto"/>
          <w:highlight w:val="none"/>
        </w:rPr>
        <w:t>，属于</w:t>
      </w:r>
      <w:r>
        <w:rPr>
          <w:color w:val="auto"/>
          <w:highlight w:val="none"/>
          <w:u w:val="single"/>
        </w:rPr>
        <w:t>（中型企业、小型企业、微型企业）</w:t>
      </w:r>
      <w:r>
        <w:rPr>
          <w:color w:val="auto"/>
          <w:highlight w:val="none"/>
        </w:rPr>
        <w:t>；</w:t>
      </w:r>
    </w:p>
    <w:p w14:paraId="2FAD3C5E">
      <w:pPr>
        <w:spacing w:line="440" w:lineRule="exact"/>
        <w:ind w:firstLine="422" w:firstLineChars="200"/>
        <w:rPr>
          <w:b/>
          <w:bCs/>
          <w:color w:val="auto"/>
          <w:highlight w:val="none"/>
        </w:rPr>
      </w:pPr>
      <w:r>
        <w:rPr>
          <w:b/>
          <w:bCs/>
          <w:color w:val="auto"/>
          <w:highlight w:val="none"/>
        </w:rPr>
        <w:t>以上企业，不属于大企业的分支机构，不存在控股股东为大企业的情形，也不存在与大企业的负责人为同一人的情形。</w:t>
      </w:r>
    </w:p>
    <w:p w14:paraId="4C57F59C">
      <w:pPr>
        <w:spacing w:line="440" w:lineRule="exact"/>
        <w:ind w:firstLine="420" w:firstLineChars="200"/>
        <w:rPr>
          <w:color w:val="auto"/>
          <w:highlight w:val="none"/>
        </w:rPr>
      </w:pPr>
      <w:r>
        <w:rPr>
          <w:color w:val="auto"/>
          <w:highlight w:val="none"/>
        </w:rPr>
        <w:t>本企业对上述声明内容的真实性负责。如有虚假，将依法承担相应责任。</w:t>
      </w:r>
    </w:p>
    <w:p w14:paraId="2884D8A8">
      <w:pPr>
        <w:spacing w:line="440" w:lineRule="exact"/>
        <w:ind w:firstLine="5250" w:firstLineChars="2500"/>
        <w:rPr>
          <w:color w:val="auto"/>
          <w:highlight w:val="none"/>
        </w:rPr>
      </w:pPr>
      <w:r>
        <w:rPr>
          <w:color w:val="auto"/>
          <w:highlight w:val="none"/>
        </w:rPr>
        <w:t>企业名称（盖章）： </w:t>
      </w:r>
    </w:p>
    <w:p w14:paraId="1DE06105">
      <w:pPr>
        <w:spacing w:line="440" w:lineRule="exact"/>
        <w:ind w:firstLine="5355" w:firstLineChars="2550"/>
        <w:rPr>
          <w:color w:val="auto"/>
          <w:highlight w:val="none"/>
        </w:rPr>
      </w:pPr>
      <w:r>
        <w:rPr>
          <w:color w:val="auto"/>
          <w:highlight w:val="none"/>
        </w:rPr>
        <w:t>日 期：</w:t>
      </w:r>
    </w:p>
    <w:p w14:paraId="4E485461">
      <w:pPr>
        <w:spacing w:line="400" w:lineRule="exact"/>
        <w:rPr>
          <w:color w:val="auto"/>
          <w:highlight w:val="none"/>
        </w:rPr>
      </w:pPr>
      <w:r>
        <w:rPr>
          <w:rFonts w:hint="eastAsia"/>
          <w:color w:val="auto"/>
          <w:highlight w:val="none"/>
        </w:rPr>
        <w:t>注：</w:t>
      </w:r>
    </w:p>
    <w:p w14:paraId="676D9195">
      <w:pPr>
        <w:spacing w:line="400" w:lineRule="exact"/>
        <w:rPr>
          <w:color w:val="auto"/>
          <w:highlight w:val="none"/>
        </w:rPr>
      </w:pPr>
      <w:r>
        <w:rPr>
          <w:rFonts w:hint="eastAsia"/>
          <w:color w:val="auto"/>
          <w:highlight w:val="none"/>
        </w:rPr>
        <w:t>1）从业人员、营业收入、资产总额填报上一年度数据。无上一年度数据的新成立企业可不填报。</w:t>
      </w:r>
    </w:p>
    <w:p w14:paraId="3BAC10BB">
      <w:pPr>
        <w:spacing w:line="400" w:lineRule="exact"/>
        <w:rPr>
          <w:b/>
          <w:color w:val="auto"/>
          <w:highlight w:val="none"/>
        </w:rPr>
      </w:pPr>
      <w:r>
        <w:rPr>
          <w:rFonts w:hint="eastAsia"/>
          <w:color w:val="auto"/>
          <w:highlight w:val="none"/>
        </w:rPr>
        <w:t>2）中小企业划型标准按工信部联企业〔2011〕300号文件。</w:t>
      </w:r>
      <w:r>
        <w:rPr>
          <w:rFonts w:hint="eastAsia"/>
          <w:b/>
          <w:color w:val="auto"/>
          <w:highlight w:val="none"/>
        </w:rPr>
        <w:t>中标单位的《</w:t>
      </w:r>
      <w:r>
        <w:rPr>
          <w:b/>
          <w:color w:val="auto"/>
          <w:highlight w:val="none"/>
        </w:rPr>
        <w:t>中小企业声明函</w:t>
      </w:r>
      <w:r>
        <w:rPr>
          <w:rFonts w:hint="eastAsia"/>
          <w:b/>
          <w:color w:val="auto"/>
          <w:highlight w:val="none"/>
        </w:rPr>
        <w:t>》将依法公示，提供虚假资料者将被取消中标资格，并依法承担一切责任。</w:t>
      </w:r>
    </w:p>
    <w:p w14:paraId="66E3A637">
      <w:pPr>
        <w:spacing w:line="400" w:lineRule="exact"/>
        <w:rPr>
          <w:b/>
          <w:color w:val="auto"/>
          <w:highlight w:val="none"/>
        </w:rPr>
      </w:pPr>
      <w:r>
        <w:rPr>
          <w:rFonts w:hint="eastAsia"/>
          <w:bCs/>
          <w:color w:val="auto"/>
          <w:highlight w:val="none"/>
        </w:rPr>
        <w:t>3）</w:t>
      </w:r>
      <w:r>
        <w:rPr>
          <w:rFonts w:hint="eastAsia"/>
          <w:b/>
          <w:color w:val="auto"/>
          <w:highlight w:val="none"/>
        </w:rPr>
        <w:t>进口产品不适用。</w:t>
      </w:r>
    </w:p>
    <w:p w14:paraId="7839C7B1">
      <w:pPr>
        <w:pStyle w:val="40"/>
        <w:rPr>
          <w:b/>
          <w:color w:val="auto"/>
          <w:highlight w:val="none"/>
        </w:rPr>
      </w:pPr>
    </w:p>
    <w:p w14:paraId="3C957882">
      <w:pPr>
        <w:spacing w:line="400" w:lineRule="exact"/>
        <w:rPr>
          <w:color w:val="auto"/>
          <w:highlight w:val="none"/>
        </w:rPr>
      </w:pPr>
      <w:r>
        <w:rPr>
          <w:rFonts w:hint="eastAsia"/>
          <w:color w:val="auto"/>
          <w:highlight w:val="none"/>
        </w:rPr>
        <w:t>大中小微型企业划分标准：</w:t>
      </w:r>
    </w:p>
    <w:tbl>
      <w:tblPr>
        <w:tblStyle w:val="29"/>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BBBD1FD">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14:paraId="5FD578B1">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vAlign w:val="center"/>
          </w:tcPr>
          <w:p w14:paraId="1AEE188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vAlign w:val="center"/>
          </w:tcPr>
          <w:p w14:paraId="55E1D9C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2B51568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vAlign w:val="center"/>
          </w:tcPr>
          <w:p w14:paraId="1A9E2BE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vAlign w:val="center"/>
          </w:tcPr>
          <w:p w14:paraId="1987D83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vAlign w:val="center"/>
          </w:tcPr>
          <w:p w14:paraId="3714D04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vAlign w:val="center"/>
          </w:tcPr>
          <w:p w14:paraId="1B8DE16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043EC01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779EC51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tcBorders>
              <w:top w:val="nil"/>
              <w:left w:val="nil"/>
              <w:bottom w:val="nil"/>
              <w:right w:val="single" w:color="auto" w:sz="4" w:space="0"/>
            </w:tcBorders>
            <w:vAlign w:val="center"/>
          </w:tcPr>
          <w:p w14:paraId="40B42B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14:paraId="09921E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14:paraId="4C9815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vAlign w:val="center"/>
          </w:tcPr>
          <w:p w14:paraId="78E790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vAlign w:val="center"/>
          </w:tcPr>
          <w:p w14:paraId="2AD0C8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vAlign w:val="center"/>
          </w:tcPr>
          <w:p w14:paraId="72E8271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2DFE00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056B647">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14:paraId="7BC91C7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4CFC883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39D0B32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vAlign w:val="center"/>
          </w:tcPr>
          <w:p w14:paraId="410A1E3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tcBorders>
              <w:top w:val="nil"/>
              <w:left w:val="nil"/>
              <w:bottom w:val="single" w:color="auto" w:sz="4" w:space="0"/>
              <w:right w:val="single" w:color="auto" w:sz="4" w:space="0"/>
            </w:tcBorders>
            <w:vAlign w:val="center"/>
          </w:tcPr>
          <w:p w14:paraId="6BA275B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tcBorders>
              <w:top w:val="nil"/>
              <w:left w:val="nil"/>
              <w:bottom w:val="single" w:color="auto" w:sz="4" w:space="0"/>
              <w:right w:val="nil"/>
            </w:tcBorders>
            <w:vAlign w:val="center"/>
          </w:tcPr>
          <w:p w14:paraId="7919637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bl>
    <w:p w14:paraId="674938FD">
      <w:pPr>
        <w:pStyle w:val="13"/>
        <w:spacing w:line="520" w:lineRule="exact"/>
        <w:jc w:val="center"/>
        <w:outlineLvl w:val="0"/>
        <w:rPr>
          <w:rFonts w:ascii="宋体"/>
          <w:b/>
          <w:color w:val="auto"/>
          <w:sz w:val="28"/>
          <w:highlight w:val="none"/>
        </w:rPr>
      </w:pPr>
    </w:p>
    <w:p w14:paraId="48508708">
      <w:pPr>
        <w:pStyle w:val="13"/>
        <w:spacing w:line="520" w:lineRule="exact"/>
        <w:jc w:val="center"/>
        <w:outlineLvl w:val="0"/>
        <w:rPr>
          <w:rFonts w:ascii="宋体"/>
          <w:b/>
          <w:color w:val="auto"/>
          <w:sz w:val="28"/>
          <w:highlight w:val="none"/>
        </w:rPr>
      </w:pPr>
    </w:p>
    <w:p w14:paraId="0D9B40A1">
      <w:pPr>
        <w:pStyle w:val="13"/>
        <w:spacing w:line="520" w:lineRule="exact"/>
        <w:jc w:val="center"/>
        <w:outlineLvl w:val="0"/>
        <w:rPr>
          <w:rFonts w:ascii="宋体"/>
          <w:b/>
          <w:color w:val="auto"/>
          <w:sz w:val="28"/>
          <w:highlight w:val="none"/>
        </w:rPr>
      </w:pPr>
    </w:p>
    <w:p w14:paraId="5B26FEA0">
      <w:pPr>
        <w:pStyle w:val="13"/>
        <w:spacing w:line="520" w:lineRule="exact"/>
        <w:jc w:val="center"/>
        <w:outlineLvl w:val="0"/>
        <w:rPr>
          <w:rFonts w:ascii="宋体"/>
          <w:b/>
          <w:color w:val="auto"/>
          <w:sz w:val="28"/>
          <w:highlight w:val="none"/>
        </w:rPr>
      </w:pPr>
    </w:p>
    <w:p w14:paraId="678A3714">
      <w:pPr>
        <w:pStyle w:val="13"/>
        <w:spacing w:line="520" w:lineRule="exact"/>
        <w:jc w:val="center"/>
        <w:outlineLvl w:val="0"/>
        <w:rPr>
          <w:rFonts w:ascii="宋体"/>
          <w:b/>
          <w:color w:val="auto"/>
          <w:sz w:val="28"/>
          <w:highlight w:val="none"/>
        </w:rPr>
      </w:pPr>
    </w:p>
    <w:p w14:paraId="64409FF2">
      <w:pPr>
        <w:pStyle w:val="13"/>
        <w:spacing w:line="520" w:lineRule="exact"/>
        <w:jc w:val="center"/>
        <w:outlineLvl w:val="0"/>
        <w:rPr>
          <w:rFonts w:ascii="宋体"/>
          <w:b/>
          <w:color w:val="auto"/>
          <w:sz w:val="28"/>
          <w:highlight w:val="none"/>
        </w:rPr>
      </w:pPr>
    </w:p>
    <w:p w14:paraId="48BC60DA">
      <w:pPr>
        <w:pStyle w:val="13"/>
        <w:spacing w:line="520" w:lineRule="exact"/>
        <w:jc w:val="center"/>
        <w:outlineLvl w:val="0"/>
        <w:rPr>
          <w:rFonts w:ascii="宋体"/>
          <w:b/>
          <w:color w:val="auto"/>
          <w:sz w:val="28"/>
          <w:highlight w:val="none"/>
        </w:rPr>
      </w:pPr>
    </w:p>
    <w:p w14:paraId="60A1144F">
      <w:pPr>
        <w:pStyle w:val="13"/>
        <w:spacing w:line="520" w:lineRule="exact"/>
        <w:jc w:val="center"/>
        <w:outlineLvl w:val="0"/>
        <w:rPr>
          <w:rFonts w:ascii="宋体"/>
          <w:b/>
          <w:color w:val="auto"/>
          <w:sz w:val="28"/>
          <w:highlight w:val="none"/>
        </w:rPr>
      </w:pPr>
    </w:p>
    <w:p w14:paraId="16413AE2">
      <w:pPr>
        <w:pStyle w:val="13"/>
        <w:spacing w:line="520" w:lineRule="exact"/>
        <w:jc w:val="center"/>
        <w:outlineLvl w:val="0"/>
        <w:rPr>
          <w:rFonts w:ascii="宋体"/>
          <w:b/>
          <w:color w:val="auto"/>
          <w:sz w:val="28"/>
          <w:highlight w:val="none"/>
        </w:rPr>
      </w:pPr>
    </w:p>
    <w:p w14:paraId="05CB3381">
      <w:pPr>
        <w:pStyle w:val="13"/>
        <w:spacing w:line="520" w:lineRule="exact"/>
        <w:jc w:val="center"/>
        <w:outlineLvl w:val="0"/>
        <w:rPr>
          <w:rFonts w:ascii="宋体"/>
          <w:b/>
          <w:color w:val="auto"/>
          <w:sz w:val="28"/>
          <w:highlight w:val="none"/>
        </w:rPr>
      </w:pPr>
      <w:r>
        <w:rPr>
          <w:rFonts w:hint="eastAsia" w:ascii="宋体"/>
          <w:b/>
          <w:color w:val="auto"/>
          <w:sz w:val="28"/>
          <w:highlight w:val="none"/>
        </w:rPr>
        <w:t>残疾人福利性单位声明函（如适用）</w:t>
      </w:r>
      <w:bookmarkEnd w:id="41"/>
    </w:p>
    <w:bookmarkEnd w:id="34"/>
    <w:bookmarkEnd w:id="35"/>
    <w:p w14:paraId="34AD2B6F">
      <w:pPr>
        <w:pStyle w:val="13"/>
        <w:ind w:firstLine="0"/>
        <w:jc w:val="center"/>
        <w:rPr>
          <w:rFonts w:ascii="宋体" w:eastAsia="宋体"/>
          <w:b/>
          <w:color w:val="auto"/>
          <w:sz w:val="28"/>
          <w:highlight w:val="none"/>
        </w:rPr>
      </w:pPr>
    </w:p>
    <w:p w14:paraId="0E23DBB6">
      <w:pPr>
        <w:pStyle w:val="13"/>
        <w:spacing w:line="400" w:lineRule="exact"/>
        <w:ind w:firstLineChars="200"/>
        <w:rPr>
          <w:color w:val="auto"/>
          <w:szCs w:val="24"/>
          <w:highlight w:val="none"/>
        </w:rPr>
      </w:pPr>
      <w:r>
        <w:rPr>
          <w:rFonts w:hint="eastAsia"/>
          <w:color w:val="auto"/>
          <w:szCs w:val="24"/>
          <w:highlight w:val="none"/>
        </w:rPr>
        <w:t>本单位郑重声明，根据《财政部民政部中国残疾人联合会关于促进残疾人就业政府采购政策的通知》（财库〔</w:t>
      </w:r>
      <w:r>
        <w:rPr>
          <w:color w:val="auto"/>
          <w:szCs w:val="24"/>
          <w:highlight w:val="none"/>
        </w:rPr>
        <w:t>2017</w:t>
      </w:r>
      <w:r>
        <w:rPr>
          <w:rFonts w:hint="eastAsia"/>
          <w:color w:val="auto"/>
          <w:szCs w:val="24"/>
          <w:highlight w:val="none"/>
        </w:rPr>
        <w:t>〕</w:t>
      </w:r>
      <w:r>
        <w:rPr>
          <w:color w:val="auto"/>
          <w:szCs w:val="24"/>
          <w:highlight w:val="none"/>
        </w:rPr>
        <w:t xml:space="preserve"> 141</w:t>
      </w:r>
      <w:r>
        <w:rPr>
          <w:rFonts w:hint="eastAsia"/>
          <w:color w:val="auto"/>
          <w:szCs w:val="24"/>
          <w:highlight w:val="none"/>
        </w:rPr>
        <w:t>号）的规定，本单位为符合条件的残疾人福利性单位，且本单位参加</w:t>
      </w:r>
      <w:r>
        <w:rPr>
          <w:color w:val="auto"/>
          <w:szCs w:val="24"/>
          <w:highlight w:val="none"/>
        </w:rPr>
        <w:t>______</w:t>
      </w:r>
      <w:r>
        <w:rPr>
          <w:rFonts w:hint="eastAsia"/>
          <w:color w:val="auto"/>
          <w:szCs w:val="24"/>
          <w:highlight w:val="none"/>
        </w:rPr>
        <w:t>单位的</w:t>
      </w:r>
      <w:r>
        <w:rPr>
          <w:color w:val="auto"/>
          <w:szCs w:val="24"/>
          <w:highlight w:val="none"/>
        </w:rPr>
        <w:t>______</w:t>
      </w:r>
      <w:r>
        <w:rPr>
          <w:rFonts w:hint="eastAsia"/>
          <w:color w:val="auto"/>
          <w:szCs w:val="24"/>
          <w:highlight w:val="none"/>
        </w:rPr>
        <w:t>项目采购活动提供本单位制造的货物（由本单位承担工程</w:t>
      </w:r>
      <w:r>
        <w:rPr>
          <w:color w:val="auto"/>
          <w:szCs w:val="24"/>
          <w:highlight w:val="none"/>
        </w:rPr>
        <w:t>/</w:t>
      </w:r>
      <w:r>
        <w:rPr>
          <w:rFonts w:hint="eastAsia"/>
          <w:color w:val="auto"/>
          <w:szCs w:val="24"/>
          <w:highlight w:val="none"/>
        </w:rPr>
        <w:t>提供服务），或者提供其他残疾人福利性单位制造的货物（不包括使用非残疾人福利性单位注册商标的货物）。</w:t>
      </w:r>
    </w:p>
    <w:p w14:paraId="589EE44B">
      <w:pPr>
        <w:pStyle w:val="13"/>
        <w:spacing w:line="400" w:lineRule="exact"/>
        <w:ind w:firstLineChars="200"/>
        <w:rPr>
          <w:color w:val="auto"/>
          <w:szCs w:val="24"/>
          <w:highlight w:val="none"/>
        </w:rPr>
      </w:pPr>
      <w:r>
        <w:rPr>
          <w:rFonts w:hint="eastAsia"/>
          <w:color w:val="auto"/>
          <w:szCs w:val="24"/>
          <w:highlight w:val="none"/>
        </w:rPr>
        <w:t>本单位对上述声明的真实性负责。如有虚假，将依法承担相应责任。</w:t>
      </w:r>
    </w:p>
    <w:p w14:paraId="1FAB48A5">
      <w:pPr>
        <w:pStyle w:val="13"/>
        <w:spacing w:line="400" w:lineRule="exact"/>
        <w:ind w:firstLineChars="200"/>
        <w:rPr>
          <w:color w:val="auto"/>
          <w:szCs w:val="24"/>
          <w:highlight w:val="none"/>
        </w:rPr>
      </w:pPr>
    </w:p>
    <w:p w14:paraId="285039A9">
      <w:pPr>
        <w:pStyle w:val="13"/>
        <w:spacing w:line="400" w:lineRule="exact"/>
        <w:ind w:firstLine="3988" w:firstLineChars="1662"/>
        <w:rPr>
          <w:color w:val="auto"/>
          <w:szCs w:val="24"/>
          <w:highlight w:val="none"/>
          <w:u w:val="single"/>
        </w:rPr>
      </w:pPr>
      <w:r>
        <w:rPr>
          <w:rFonts w:hint="eastAsia"/>
          <w:color w:val="auto"/>
          <w:szCs w:val="24"/>
          <w:highlight w:val="none"/>
        </w:rPr>
        <w:t>单位名称（盖章）：</w:t>
      </w:r>
    </w:p>
    <w:p w14:paraId="7D83B319">
      <w:pPr>
        <w:pStyle w:val="13"/>
        <w:spacing w:line="400" w:lineRule="exact"/>
        <w:ind w:firstLine="3988" w:firstLineChars="1662"/>
        <w:rPr>
          <w:color w:val="auto"/>
          <w:szCs w:val="24"/>
          <w:highlight w:val="none"/>
          <w:u w:val="single"/>
        </w:rPr>
      </w:pPr>
      <w:r>
        <w:rPr>
          <w:rFonts w:hint="eastAsia"/>
          <w:color w:val="auto"/>
          <w:szCs w:val="24"/>
          <w:highlight w:val="none"/>
        </w:rPr>
        <w:t>日期：</w:t>
      </w:r>
    </w:p>
    <w:p w14:paraId="6A59C1BC">
      <w:pPr>
        <w:spacing w:line="400" w:lineRule="exact"/>
        <w:jc w:val="left"/>
        <w:rPr>
          <w:color w:val="auto"/>
          <w:highlight w:val="none"/>
        </w:rPr>
      </w:pPr>
    </w:p>
    <w:p w14:paraId="6071E028">
      <w:pPr>
        <w:spacing w:line="400" w:lineRule="exact"/>
        <w:jc w:val="left"/>
        <w:rPr>
          <w:color w:val="auto"/>
          <w:highlight w:val="none"/>
        </w:rPr>
      </w:pPr>
      <w:r>
        <w:rPr>
          <w:rFonts w:hint="eastAsia"/>
          <w:color w:val="auto"/>
          <w:highlight w:val="none"/>
        </w:rPr>
        <w:t>注：供应商为残疾人福利性单位的如实填写，否则不要填写本表。</w:t>
      </w:r>
    </w:p>
    <w:p w14:paraId="71DF2620">
      <w:pPr>
        <w:pStyle w:val="7"/>
        <w:jc w:val="center"/>
        <w:rPr>
          <w:rFonts w:ascii="宋体"/>
          <w:b/>
          <w:color w:val="auto"/>
          <w:sz w:val="28"/>
          <w:highlight w:val="none"/>
        </w:rPr>
      </w:pPr>
    </w:p>
    <w:p w14:paraId="1D639A4A">
      <w:pPr>
        <w:pStyle w:val="7"/>
        <w:jc w:val="center"/>
        <w:rPr>
          <w:rFonts w:ascii="宋体"/>
          <w:b/>
          <w:color w:val="auto"/>
          <w:sz w:val="28"/>
          <w:highlight w:val="none"/>
        </w:rPr>
      </w:pPr>
    </w:p>
    <w:p w14:paraId="4B640EA2">
      <w:pPr>
        <w:rPr>
          <w:color w:val="auto"/>
          <w:highlight w:val="none"/>
        </w:rPr>
      </w:pPr>
    </w:p>
    <w:p w14:paraId="5ADDB2E2">
      <w:pPr>
        <w:pStyle w:val="7"/>
        <w:jc w:val="center"/>
        <w:rPr>
          <w:rFonts w:ascii="宋体"/>
          <w:b/>
          <w:color w:val="auto"/>
          <w:sz w:val="28"/>
          <w:highlight w:val="none"/>
        </w:rPr>
      </w:pPr>
    </w:p>
    <w:p w14:paraId="1DFCF9B7">
      <w:pPr>
        <w:pStyle w:val="7"/>
        <w:jc w:val="center"/>
        <w:rPr>
          <w:rFonts w:ascii="宋体"/>
          <w:b/>
          <w:color w:val="auto"/>
          <w:sz w:val="28"/>
          <w:highlight w:val="none"/>
        </w:rPr>
      </w:pPr>
      <w:r>
        <w:rPr>
          <w:rFonts w:hint="eastAsia" w:ascii="宋体"/>
          <w:b/>
          <w:color w:val="auto"/>
          <w:sz w:val="28"/>
          <w:highlight w:val="none"/>
        </w:rPr>
        <w:t>监狱企业的证明文件（如适用）</w:t>
      </w:r>
    </w:p>
    <w:p w14:paraId="7BE45D34">
      <w:pPr>
        <w:pStyle w:val="13"/>
        <w:ind w:firstLine="0"/>
        <w:jc w:val="center"/>
        <w:rPr>
          <w:rFonts w:ascii="宋体" w:eastAsia="宋体"/>
          <w:b/>
          <w:color w:val="auto"/>
          <w:sz w:val="28"/>
          <w:highlight w:val="none"/>
        </w:rPr>
      </w:pPr>
    </w:p>
    <w:p w14:paraId="5F4556A0">
      <w:pPr>
        <w:spacing w:line="400" w:lineRule="exact"/>
        <w:jc w:val="left"/>
        <w:rPr>
          <w:color w:val="auto"/>
          <w:highlight w:val="none"/>
        </w:rPr>
      </w:pPr>
      <w:r>
        <w:rPr>
          <w:rFonts w:hint="eastAsia"/>
          <w:color w:val="auto"/>
          <w:highlight w:val="none"/>
        </w:rPr>
        <w:t>注：供应商为监狱企业的如实填写，否则不要填写本表。</w:t>
      </w:r>
    </w:p>
    <w:p w14:paraId="79634EBC">
      <w:pPr>
        <w:spacing w:line="400" w:lineRule="exact"/>
        <w:jc w:val="left"/>
        <w:rPr>
          <w:color w:val="auto"/>
          <w:highlight w:val="none"/>
        </w:rPr>
      </w:pPr>
    </w:p>
    <w:sectPr>
      <w:headerReference r:id="rId4" w:type="default"/>
      <w:footerReference r:id="rId5" w:type="default"/>
      <w:pgSz w:w="11907" w:h="16840"/>
      <w:pgMar w:top="1417" w:right="1417" w:bottom="1417" w:left="1587" w:header="850" w:footer="851" w:gutter="0"/>
      <w:pgBorders>
        <w:top w:val="none" w:sz="0" w:space="0"/>
        <w:left w:val="none" w:sz="0" w:space="0"/>
        <w:bottom w:val="none" w:sz="0" w:space="0"/>
        <w:right w:val="none" w:sz="0" w:space="0"/>
      </w:pgBorders>
      <w:pgNumType w:start="1"/>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00"/>
    <w:family w:val="auto"/>
    <w:pitch w:val="default"/>
    <w:sig w:usb0="00000000" w:usb1="00000000" w:usb2="00000010"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CF4E7">
    <w:pPr>
      <w:pStyle w:val="20"/>
      <w:jc w:val="center"/>
      <w:rPr>
        <w:sz w:val="21"/>
        <w:szCs w:val="21"/>
      </w:rPr>
    </w:pPr>
    <w:r>
      <w:fldChar w:fldCharType="begin"/>
    </w:r>
    <w:r>
      <w:rPr>
        <w:rStyle w:val="34"/>
      </w:rPr>
      <w:instrText xml:space="preserve"> PAGE </w:instrText>
    </w:r>
    <w:r>
      <w:fldChar w:fldCharType="separate"/>
    </w:r>
    <w:r>
      <w:rPr>
        <w:rStyle w:val="34"/>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767A9">
    <w:pPr>
      <w:pStyle w:val="2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14:paraId="462E1B1F">
                <w:pPr>
                  <w:pStyle w:val="20"/>
                </w:pPr>
                <w:r>
                  <w:fldChar w:fldCharType="begin"/>
                </w:r>
                <w:r>
                  <w:instrText xml:space="preserve"> PAGE  \* MERGEFORMAT </w:instrText>
                </w:r>
                <w:r>
                  <w:fldChar w:fldCharType="separate"/>
                </w:r>
                <w:r>
                  <w:t>54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79577">
    <w:pPr>
      <w:pStyle w:val="21"/>
      <w:jc w:val="both"/>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9818A"/>
    <w:multiLevelType w:val="singleLevel"/>
    <w:tmpl w:val="E6C9818A"/>
    <w:lvl w:ilvl="0" w:tentative="0">
      <w:start w:val="1"/>
      <w:numFmt w:val="chineseCounting"/>
      <w:suff w:val="nothing"/>
      <w:lvlText w:val="（%1）"/>
      <w:lvlJc w:val="left"/>
      <w:rPr>
        <w:rFonts w:hint="eastAsia"/>
      </w:rPr>
    </w:lvl>
  </w:abstractNum>
  <w:abstractNum w:abstractNumId="1">
    <w:nsid w:val="FC0626ED"/>
    <w:multiLevelType w:val="singleLevel"/>
    <w:tmpl w:val="FC0626ED"/>
    <w:lvl w:ilvl="0" w:tentative="0">
      <w:start w:val="2"/>
      <w:numFmt w:val="chineseCounting"/>
      <w:suff w:val="nothing"/>
      <w:lvlText w:val="%1、"/>
      <w:lvlJc w:val="left"/>
      <w:rPr>
        <w:rFonts w:hint="eastAsia"/>
      </w:rPr>
    </w:lvl>
  </w:abstractNum>
  <w:abstractNum w:abstractNumId="2">
    <w:nsid w:val="2B1AD49E"/>
    <w:multiLevelType w:val="singleLevel"/>
    <w:tmpl w:val="2B1AD49E"/>
    <w:lvl w:ilvl="0" w:tentative="0">
      <w:start w:val="1"/>
      <w:numFmt w:val="decimal"/>
      <w:suff w:val="space"/>
      <w:lvlText w:val="%1."/>
      <w:lvlJc w:val="left"/>
    </w:lvl>
  </w:abstractNum>
  <w:abstractNum w:abstractNumId="3">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4">
    <w:nsid w:val="7C87A573"/>
    <w:multiLevelType w:val="singleLevel"/>
    <w:tmpl w:val="7C87A573"/>
    <w:lvl w:ilvl="0" w:tentative="0">
      <w:start w:val="1"/>
      <w:numFmt w:val="decimal"/>
      <w:suff w:val="space"/>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4"/>
  <w:drawingGridHorizontalSpacing w:val="105"/>
  <w:drawingGridVerticalSpacing w:val="285"/>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TcwZmU3NWFlMTJlMTBjYzcxY2YyZWFjNGI1MmMxMTIifQ=="/>
  </w:docVars>
  <w:rsids>
    <w:rsidRoot w:val="00172A27"/>
    <w:rsid w:val="000000C9"/>
    <w:rsid w:val="00000504"/>
    <w:rsid w:val="00001030"/>
    <w:rsid w:val="000015AB"/>
    <w:rsid w:val="000018FD"/>
    <w:rsid w:val="00001DE3"/>
    <w:rsid w:val="00001F3A"/>
    <w:rsid w:val="00002D09"/>
    <w:rsid w:val="00003A16"/>
    <w:rsid w:val="00003A7F"/>
    <w:rsid w:val="00003AF2"/>
    <w:rsid w:val="00003F8E"/>
    <w:rsid w:val="000040F2"/>
    <w:rsid w:val="00004299"/>
    <w:rsid w:val="0000465C"/>
    <w:rsid w:val="00004920"/>
    <w:rsid w:val="0000505C"/>
    <w:rsid w:val="00005C69"/>
    <w:rsid w:val="00006842"/>
    <w:rsid w:val="0000696B"/>
    <w:rsid w:val="00006BF9"/>
    <w:rsid w:val="00007411"/>
    <w:rsid w:val="0000755F"/>
    <w:rsid w:val="00007BCF"/>
    <w:rsid w:val="00007CF8"/>
    <w:rsid w:val="00010044"/>
    <w:rsid w:val="000100C0"/>
    <w:rsid w:val="000105D0"/>
    <w:rsid w:val="0001088F"/>
    <w:rsid w:val="00010DAE"/>
    <w:rsid w:val="00011A1A"/>
    <w:rsid w:val="000120DC"/>
    <w:rsid w:val="000120EB"/>
    <w:rsid w:val="000122B0"/>
    <w:rsid w:val="0001267F"/>
    <w:rsid w:val="00012CB4"/>
    <w:rsid w:val="00013024"/>
    <w:rsid w:val="0001303E"/>
    <w:rsid w:val="0001357B"/>
    <w:rsid w:val="00013652"/>
    <w:rsid w:val="000138A1"/>
    <w:rsid w:val="000139B5"/>
    <w:rsid w:val="00013F3B"/>
    <w:rsid w:val="00014607"/>
    <w:rsid w:val="00014A65"/>
    <w:rsid w:val="00014B20"/>
    <w:rsid w:val="00014C8C"/>
    <w:rsid w:val="0001545E"/>
    <w:rsid w:val="00015939"/>
    <w:rsid w:val="00016F4C"/>
    <w:rsid w:val="00017F39"/>
    <w:rsid w:val="0002009B"/>
    <w:rsid w:val="000206D5"/>
    <w:rsid w:val="00020CDF"/>
    <w:rsid w:val="00020EFE"/>
    <w:rsid w:val="000214CA"/>
    <w:rsid w:val="0002156A"/>
    <w:rsid w:val="00021DB2"/>
    <w:rsid w:val="00021F0C"/>
    <w:rsid w:val="00021F7A"/>
    <w:rsid w:val="00022F72"/>
    <w:rsid w:val="00024515"/>
    <w:rsid w:val="00024619"/>
    <w:rsid w:val="00025341"/>
    <w:rsid w:val="0002568D"/>
    <w:rsid w:val="00025FA4"/>
    <w:rsid w:val="000260D3"/>
    <w:rsid w:val="00026126"/>
    <w:rsid w:val="000262F0"/>
    <w:rsid w:val="00026A9F"/>
    <w:rsid w:val="000270AB"/>
    <w:rsid w:val="00027555"/>
    <w:rsid w:val="00027874"/>
    <w:rsid w:val="00031500"/>
    <w:rsid w:val="00031680"/>
    <w:rsid w:val="00031A80"/>
    <w:rsid w:val="000326D4"/>
    <w:rsid w:val="00032EC2"/>
    <w:rsid w:val="000335A1"/>
    <w:rsid w:val="0003407C"/>
    <w:rsid w:val="000343F2"/>
    <w:rsid w:val="0003464A"/>
    <w:rsid w:val="00034A65"/>
    <w:rsid w:val="00034DF4"/>
    <w:rsid w:val="000351FA"/>
    <w:rsid w:val="000354C8"/>
    <w:rsid w:val="000354EA"/>
    <w:rsid w:val="00035551"/>
    <w:rsid w:val="00035C35"/>
    <w:rsid w:val="000360E9"/>
    <w:rsid w:val="00036743"/>
    <w:rsid w:val="00037309"/>
    <w:rsid w:val="00037C23"/>
    <w:rsid w:val="000400A7"/>
    <w:rsid w:val="0004046C"/>
    <w:rsid w:val="00040480"/>
    <w:rsid w:val="0004073E"/>
    <w:rsid w:val="000408F0"/>
    <w:rsid w:val="000409BB"/>
    <w:rsid w:val="00040FF2"/>
    <w:rsid w:val="00041909"/>
    <w:rsid w:val="00041F5A"/>
    <w:rsid w:val="0004380E"/>
    <w:rsid w:val="00044476"/>
    <w:rsid w:val="00044AC1"/>
    <w:rsid w:val="00044D38"/>
    <w:rsid w:val="00045318"/>
    <w:rsid w:val="00045D6F"/>
    <w:rsid w:val="00045FD5"/>
    <w:rsid w:val="00046557"/>
    <w:rsid w:val="0004699E"/>
    <w:rsid w:val="00046DBD"/>
    <w:rsid w:val="00047836"/>
    <w:rsid w:val="00047BA4"/>
    <w:rsid w:val="000502B0"/>
    <w:rsid w:val="000508B4"/>
    <w:rsid w:val="0005145A"/>
    <w:rsid w:val="00051793"/>
    <w:rsid w:val="00051934"/>
    <w:rsid w:val="000519D0"/>
    <w:rsid w:val="000523EE"/>
    <w:rsid w:val="0005377E"/>
    <w:rsid w:val="000537F6"/>
    <w:rsid w:val="000538E1"/>
    <w:rsid w:val="00053A34"/>
    <w:rsid w:val="00054540"/>
    <w:rsid w:val="000547A2"/>
    <w:rsid w:val="00054AF9"/>
    <w:rsid w:val="00054B49"/>
    <w:rsid w:val="00055452"/>
    <w:rsid w:val="00055655"/>
    <w:rsid w:val="0005580B"/>
    <w:rsid w:val="00055A16"/>
    <w:rsid w:val="00055E66"/>
    <w:rsid w:val="0005619A"/>
    <w:rsid w:val="00056791"/>
    <w:rsid w:val="000572D5"/>
    <w:rsid w:val="000575F5"/>
    <w:rsid w:val="00057B8E"/>
    <w:rsid w:val="00057CAC"/>
    <w:rsid w:val="00057DC2"/>
    <w:rsid w:val="00060282"/>
    <w:rsid w:val="0006069D"/>
    <w:rsid w:val="00060B63"/>
    <w:rsid w:val="00060BBF"/>
    <w:rsid w:val="00060C16"/>
    <w:rsid w:val="00060E27"/>
    <w:rsid w:val="00061312"/>
    <w:rsid w:val="000613C2"/>
    <w:rsid w:val="0006165C"/>
    <w:rsid w:val="00062239"/>
    <w:rsid w:val="000622AD"/>
    <w:rsid w:val="000622BF"/>
    <w:rsid w:val="00062425"/>
    <w:rsid w:val="000624BA"/>
    <w:rsid w:val="000626ED"/>
    <w:rsid w:val="000627DD"/>
    <w:rsid w:val="00062BD7"/>
    <w:rsid w:val="00063255"/>
    <w:rsid w:val="000637AE"/>
    <w:rsid w:val="00063F83"/>
    <w:rsid w:val="0006479C"/>
    <w:rsid w:val="00064934"/>
    <w:rsid w:val="00064A7A"/>
    <w:rsid w:val="000655D1"/>
    <w:rsid w:val="00065CAF"/>
    <w:rsid w:val="00065D64"/>
    <w:rsid w:val="000667D5"/>
    <w:rsid w:val="00066A35"/>
    <w:rsid w:val="00066C03"/>
    <w:rsid w:val="00066E9C"/>
    <w:rsid w:val="0006740A"/>
    <w:rsid w:val="00067497"/>
    <w:rsid w:val="000679DD"/>
    <w:rsid w:val="00067D0E"/>
    <w:rsid w:val="00067EE3"/>
    <w:rsid w:val="000700E7"/>
    <w:rsid w:val="00070583"/>
    <w:rsid w:val="00070A4C"/>
    <w:rsid w:val="00070B3C"/>
    <w:rsid w:val="0007165B"/>
    <w:rsid w:val="00072005"/>
    <w:rsid w:val="00072516"/>
    <w:rsid w:val="00072931"/>
    <w:rsid w:val="00073178"/>
    <w:rsid w:val="000733B3"/>
    <w:rsid w:val="0007360A"/>
    <w:rsid w:val="00073671"/>
    <w:rsid w:val="00073A31"/>
    <w:rsid w:val="00073B12"/>
    <w:rsid w:val="0007578E"/>
    <w:rsid w:val="00075D49"/>
    <w:rsid w:val="00076E08"/>
    <w:rsid w:val="00076E94"/>
    <w:rsid w:val="0007711B"/>
    <w:rsid w:val="00077A2B"/>
    <w:rsid w:val="00077B63"/>
    <w:rsid w:val="0008005E"/>
    <w:rsid w:val="00080D93"/>
    <w:rsid w:val="0008136E"/>
    <w:rsid w:val="00081654"/>
    <w:rsid w:val="00081AC4"/>
    <w:rsid w:val="00081B68"/>
    <w:rsid w:val="00082812"/>
    <w:rsid w:val="00082DCD"/>
    <w:rsid w:val="000832C4"/>
    <w:rsid w:val="00083983"/>
    <w:rsid w:val="00083A4C"/>
    <w:rsid w:val="00083B07"/>
    <w:rsid w:val="00084C21"/>
    <w:rsid w:val="00085323"/>
    <w:rsid w:val="000865A9"/>
    <w:rsid w:val="0008662B"/>
    <w:rsid w:val="000869D1"/>
    <w:rsid w:val="00086B2A"/>
    <w:rsid w:val="00086CB1"/>
    <w:rsid w:val="00087B68"/>
    <w:rsid w:val="00087C55"/>
    <w:rsid w:val="00090192"/>
    <w:rsid w:val="000907FE"/>
    <w:rsid w:val="00090923"/>
    <w:rsid w:val="0009099C"/>
    <w:rsid w:val="00090B12"/>
    <w:rsid w:val="00090CCA"/>
    <w:rsid w:val="000917C8"/>
    <w:rsid w:val="00091976"/>
    <w:rsid w:val="00091E63"/>
    <w:rsid w:val="000922ED"/>
    <w:rsid w:val="000928F7"/>
    <w:rsid w:val="00092A89"/>
    <w:rsid w:val="00092EB1"/>
    <w:rsid w:val="00093420"/>
    <w:rsid w:val="0009360B"/>
    <w:rsid w:val="00093F7B"/>
    <w:rsid w:val="00094340"/>
    <w:rsid w:val="000945A5"/>
    <w:rsid w:val="00094F5D"/>
    <w:rsid w:val="00095079"/>
    <w:rsid w:val="00095806"/>
    <w:rsid w:val="00095B25"/>
    <w:rsid w:val="00095C31"/>
    <w:rsid w:val="00095DB4"/>
    <w:rsid w:val="00096508"/>
    <w:rsid w:val="00096C39"/>
    <w:rsid w:val="00096C66"/>
    <w:rsid w:val="00096D5A"/>
    <w:rsid w:val="00096E39"/>
    <w:rsid w:val="0009773A"/>
    <w:rsid w:val="000979A1"/>
    <w:rsid w:val="00097E91"/>
    <w:rsid w:val="000A082A"/>
    <w:rsid w:val="000A0C22"/>
    <w:rsid w:val="000A0E5D"/>
    <w:rsid w:val="000A0F79"/>
    <w:rsid w:val="000A16DF"/>
    <w:rsid w:val="000A17CA"/>
    <w:rsid w:val="000A1F18"/>
    <w:rsid w:val="000A219E"/>
    <w:rsid w:val="000A2FCD"/>
    <w:rsid w:val="000A3254"/>
    <w:rsid w:val="000A3636"/>
    <w:rsid w:val="000A3684"/>
    <w:rsid w:val="000A3854"/>
    <w:rsid w:val="000A4258"/>
    <w:rsid w:val="000A4653"/>
    <w:rsid w:val="000A4834"/>
    <w:rsid w:val="000A4960"/>
    <w:rsid w:val="000A4B4F"/>
    <w:rsid w:val="000A4C4D"/>
    <w:rsid w:val="000A4D95"/>
    <w:rsid w:val="000A6B7D"/>
    <w:rsid w:val="000A7339"/>
    <w:rsid w:val="000A7561"/>
    <w:rsid w:val="000A79DE"/>
    <w:rsid w:val="000A7A9A"/>
    <w:rsid w:val="000B008C"/>
    <w:rsid w:val="000B0EA3"/>
    <w:rsid w:val="000B0F52"/>
    <w:rsid w:val="000B0F75"/>
    <w:rsid w:val="000B1337"/>
    <w:rsid w:val="000B152E"/>
    <w:rsid w:val="000B168F"/>
    <w:rsid w:val="000B1F8D"/>
    <w:rsid w:val="000B27BD"/>
    <w:rsid w:val="000B2ECB"/>
    <w:rsid w:val="000B315A"/>
    <w:rsid w:val="000B3496"/>
    <w:rsid w:val="000B378C"/>
    <w:rsid w:val="000B3B2D"/>
    <w:rsid w:val="000B3C85"/>
    <w:rsid w:val="000B3EFD"/>
    <w:rsid w:val="000B4014"/>
    <w:rsid w:val="000B4539"/>
    <w:rsid w:val="000B4E51"/>
    <w:rsid w:val="000B5B20"/>
    <w:rsid w:val="000B5CAF"/>
    <w:rsid w:val="000B6077"/>
    <w:rsid w:val="000B60A7"/>
    <w:rsid w:val="000B6276"/>
    <w:rsid w:val="000B6359"/>
    <w:rsid w:val="000B724B"/>
    <w:rsid w:val="000B7794"/>
    <w:rsid w:val="000B7FBD"/>
    <w:rsid w:val="000C05B5"/>
    <w:rsid w:val="000C0823"/>
    <w:rsid w:val="000C0E62"/>
    <w:rsid w:val="000C0F13"/>
    <w:rsid w:val="000C17B0"/>
    <w:rsid w:val="000C1E0B"/>
    <w:rsid w:val="000C2674"/>
    <w:rsid w:val="000C33FB"/>
    <w:rsid w:val="000C3678"/>
    <w:rsid w:val="000C3B77"/>
    <w:rsid w:val="000C3BAA"/>
    <w:rsid w:val="000C4611"/>
    <w:rsid w:val="000C48B9"/>
    <w:rsid w:val="000C4ADA"/>
    <w:rsid w:val="000C4FE6"/>
    <w:rsid w:val="000C51BA"/>
    <w:rsid w:val="000C5546"/>
    <w:rsid w:val="000C5D27"/>
    <w:rsid w:val="000C6BC7"/>
    <w:rsid w:val="000C6BF6"/>
    <w:rsid w:val="000C6D46"/>
    <w:rsid w:val="000C6E81"/>
    <w:rsid w:val="000C77A7"/>
    <w:rsid w:val="000C7B3A"/>
    <w:rsid w:val="000C7EEA"/>
    <w:rsid w:val="000D0E14"/>
    <w:rsid w:val="000D1E3D"/>
    <w:rsid w:val="000D1EF3"/>
    <w:rsid w:val="000D2012"/>
    <w:rsid w:val="000D21FC"/>
    <w:rsid w:val="000D2402"/>
    <w:rsid w:val="000D2E02"/>
    <w:rsid w:val="000D2EAB"/>
    <w:rsid w:val="000D339A"/>
    <w:rsid w:val="000D3560"/>
    <w:rsid w:val="000D3B65"/>
    <w:rsid w:val="000D3D41"/>
    <w:rsid w:val="000D4E26"/>
    <w:rsid w:val="000D5A1C"/>
    <w:rsid w:val="000D5F1E"/>
    <w:rsid w:val="000D6C18"/>
    <w:rsid w:val="000D75E8"/>
    <w:rsid w:val="000D76A6"/>
    <w:rsid w:val="000D77DA"/>
    <w:rsid w:val="000D787B"/>
    <w:rsid w:val="000D79D2"/>
    <w:rsid w:val="000D7CF8"/>
    <w:rsid w:val="000E2231"/>
    <w:rsid w:val="000E236D"/>
    <w:rsid w:val="000E2984"/>
    <w:rsid w:val="000E3F2A"/>
    <w:rsid w:val="000E4586"/>
    <w:rsid w:val="000E48BC"/>
    <w:rsid w:val="000E4F50"/>
    <w:rsid w:val="000E52E0"/>
    <w:rsid w:val="000E54BC"/>
    <w:rsid w:val="000E5ADF"/>
    <w:rsid w:val="000E5DCE"/>
    <w:rsid w:val="000E6183"/>
    <w:rsid w:val="000E65FE"/>
    <w:rsid w:val="000E6748"/>
    <w:rsid w:val="000E68FD"/>
    <w:rsid w:val="000E6D0B"/>
    <w:rsid w:val="000E7104"/>
    <w:rsid w:val="000E7785"/>
    <w:rsid w:val="000E781B"/>
    <w:rsid w:val="000F0034"/>
    <w:rsid w:val="000F0126"/>
    <w:rsid w:val="000F027E"/>
    <w:rsid w:val="000F0593"/>
    <w:rsid w:val="000F090F"/>
    <w:rsid w:val="000F0982"/>
    <w:rsid w:val="000F0A9F"/>
    <w:rsid w:val="000F0D06"/>
    <w:rsid w:val="000F15AC"/>
    <w:rsid w:val="000F20F8"/>
    <w:rsid w:val="000F2410"/>
    <w:rsid w:val="000F2534"/>
    <w:rsid w:val="000F2575"/>
    <w:rsid w:val="000F2659"/>
    <w:rsid w:val="000F283F"/>
    <w:rsid w:val="000F297C"/>
    <w:rsid w:val="000F2BAD"/>
    <w:rsid w:val="000F30E9"/>
    <w:rsid w:val="000F3DF6"/>
    <w:rsid w:val="000F3F7A"/>
    <w:rsid w:val="000F4774"/>
    <w:rsid w:val="000F47A7"/>
    <w:rsid w:val="000F48ED"/>
    <w:rsid w:val="000F53FF"/>
    <w:rsid w:val="000F5C03"/>
    <w:rsid w:val="000F61A6"/>
    <w:rsid w:val="000F687F"/>
    <w:rsid w:val="000F75A1"/>
    <w:rsid w:val="000F7836"/>
    <w:rsid w:val="000F7BA2"/>
    <w:rsid w:val="000F7D84"/>
    <w:rsid w:val="001000D0"/>
    <w:rsid w:val="00100898"/>
    <w:rsid w:val="0010092F"/>
    <w:rsid w:val="00100CE2"/>
    <w:rsid w:val="00100F52"/>
    <w:rsid w:val="0010150D"/>
    <w:rsid w:val="00102245"/>
    <w:rsid w:val="00102974"/>
    <w:rsid w:val="001031B6"/>
    <w:rsid w:val="0010348B"/>
    <w:rsid w:val="00103565"/>
    <w:rsid w:val="00104005"/>
    <w:rsid w:val="0010417F"/>
    <w:rsid w:val="001045D7"/>
    <w:rsid w:val="0010475F"/>
    <w:rsid w:val="00104F87"/>
    <w:rsid w:val="0010510F"/>
    <w:rsid w:val="00105654"/>
    <w:rsid w:val="00105A83"/>
    <w:rsid w:val="00105E8F"/>
    <w:rsid w:val="00106591"/>
    <w:rsid w:val="00106658"/>
    <w:rsid w:val="0010794E"/>
    <w:rsid w:val="00107972"/>
    <w:rsid w:val="00107CAD"/>
    <w:rsid w:val="00107E84"/>
    <w:rsid w:val="00110035"/>
    <w:rsid w:val="00110388"/>
    <w:rsid w:val="0011170B"/>
    <w:rsid w:val="00111A82"/>
    <w:rsid w:val="00112246"/>
    <w:rsid w:val="00112630"/>
    <w:rsid w:val="00112B00"/>
    <w:rsid w:val="00113734"/>
    <w:rsid w:val="001139CD"/>
    <w:rsid w:val="00114C35"/>
    <w:rsid w:val="00114F4C"/>
    <w:rsid w:val="00115093"/>
    <w:rsid w:val="00115403"/>
    <w:rsid w:val="00115862"/>
    <w:rsid w:val="001162F0"/>
    <w:rsid w:val="001164AF"/>
    <w:rsid w:val="001170B0"/>
    <w:rsid w:val="001175DA"/>
    <w:rsid w:val="00117880"/>
    <w:rsid w:val="001203CA"/>
    <w:rsid w:val="001209D0"/>
    <w:rsid w:val="001213EF"/>
    <w:rsid w:val="00121D3B"/>
    <w:rsid w:val="001236B0"/>
    <w:rsid w:val="00123DA5"/>
    <w:rsid w:val="00125037"/>
    <w:rsid w:val="001251B1"/>
    <w:rsid w:val="001251E4"/>
    <w:rsid w:val="0012526A"/>
    <w:rsid w:val="00125CBE"/>
    <w:rsid w:val="001276D4"/>
    <w:rsid w:val="00127E6E"/>
    <w:rsid w:val="001300BE"/>
    <w:rsid w:val="001303B6"/>
    <w:rsid w:val="00130CA2"/>
    <w:rsid w:val="0013154B"/>
    <w:rsid w:val="001316A4"/>
    <w:rsid w:val="001318F9"/>
    <w:rsid w:val="00131914"/>
    <w:rsid w:val="00131A89"/>
    <w:rsid w:val="00131AB7"/>
    <w:rsid w:val="00131AC6"/>
    <w:rsid w:val="00131E61"/>
    <w:rsid w:val="0013225C"/>
    <w:rsid w:val="001325AC"/>
    <w:rsid w:val="0013270D"/>
    <w:rsid w:val="00132CF6"/>
    <w:rsid w:val="00133767"/>
    <w:rsid w:val="00133EC4"/>
    <w:rsid w:val="0013418D"/>
    <w:rsid w:val="00134458"/>
    <w:rsid w:val="00134F91"/>
    <w:rsid w:val="00135211"/>
    <w:rsid w:val="00135277"/>
    <w:rsid w:val="00135967"/>
    <w:rsid w:val="00135DCE"/>
    <w:rsid w:val="0013678E"/>
    <w:rsid w:val="0013705A"/>
    <w:rsid w:val="00140291"/>
    <w:rsid w:val="001409B5"/>
    <w:rsid w:val="00140A95"/>
    <w:rsid w:val="00141A61"/>
    <w:rsid w:val="00141CBE"/>
    <w:rsid w:val="001422C7"/>
    <w:rsid w:val="0014234E"/>
    <w:rsid w:val="00142699"/>
    <w:rsid w:val="00143385"/>
    <w:rsid w:val="00143F18"/>
    <w:rsid w:val="001447D5"/>
    <w:rsid w:val="00144AE9"/>
    <w:rsid w:val="001456EF"/>
    <w:rsid w:val="00145753"/>
    <w:rsid w:val="0014592E"/>
    <w:rsid w:val="001459F8"/>
    <w:rsid w:val="001463F8"/>
    <w:rsid w:val="00146B80"/>
    <w:rsid w:val="0014724C"/>
    <w:rsid w:val="001501C2"/>
    <w:rsid w:val="001503EB"/>
    <w:rsid w:val="00150566"/>
    <w:rsid w:val="001507C5"/>
    <w:rsid w:val="00150FF7"/>
    <w:rsid w:val="001516DC"/>
    <w:rsid w:val="00151F41"/>
    <w:rsid w:val="001527AE"/>
    <w:rsid w:val="00152A14"/>
    <w:rsid w:val="0015327D"/>
    <w:rsid w:val="00153436"/>
    <w:rsid w:val="0015357E"/>
    <w:rsid w:val="001537F0"/>
    <w:rsid w:val="0015392F"/>
    <w:rsid w:val="00153BC6"/>
    <w:rsid w:val="00153D58"/>
    <w:rsid w:val="001543A7"/>
    <w:rsid w:val="00154487"/>
    <w:rsid w:val="00154DDE"/>
    <w:rsid w:val="00155117"/>
    <w:rsid w:val="0015517D"/>
    <w:rsid w:val="00155427"/>
    <w:rsid w:val="00155974"/>
    <w:rsid w:val="00155CC2"/>
    <w:rsid w:val="00156A39"/>
    <w:rsid w:val="00156DCF"/>
    <w:rsid w:val="00156FC6"/>
    <w:rsid w:val="00157858"/>
    <w:rsid w:val="00157896"/>
    <w:rsid w:val="001578DB"/>
    <w:rsid w:val="00157D02"/>
    <w:rsid w:val="001602CC"/>
    <w:rsid w:val="0016030C"/>
    <w:rsid w:val="00160647"/>
    <w:rsid w:val="00161EBA"/>
    <w:rsid w:val="0016276B"/>
    <w:rsid w:val="001634EB"/>
    <w:rsid w:val="001637E8"/>
    <w:rsid w:val="001641E6"/>
    <w:rsid w:val="001644A4"/>
    <w:rsid w:val="0016494C"/>
    <w:rsid w:val="001656DD"/>
    <w:rsid w:val="00165AD7"/>
    <w:rsid w:val="00165E71"/>
    <w:rsid w:val="00166471"/>
    <w:rsid w:val="00166584"/>
    <w:rsid w:val="001667F4"/>
    <w:rsid w:val="00166967"/>
    <w:rsid w:val="00166A1F"/>
    <w:rsid w:val="00166DF4"/>
    <w:rsid w:val="00166E2D"/>
    <w:rsid w:val="00166EFC"/>
    <w:rsid w:val="001674C7"/>
    <w:rsid w:val="00167B02"/>
    <w:rsid w:val="0017014F"/>
    <w:rsid w:val="00170644"/>
    <w:rsid w:val="00170748"/>
    <w:rsid w:val="00171970"/>
    <w:rsid w:val="001725F2"/>
    <w:rsid w:val="00172A27"/>
    <w:rsid w:val="00172D2F"/>
    <w:rsid w:val="00172FD5"/>
    <w:rsid w:val="00173121"/>
    <w:rsid w:val="00173318"/>
    <w:rsid w:val="0017369F"/>
    <w:rsid w:val="00173D55"/>
    <w:rsid w:val="00173D8A"/>
    <w:rsid w:val="0017419A"/>
    <w:rsid w:val="001750AA"/>
    <w:rsid w:val="00175147"/>
    <w:rsid w:val="001754F2"/>
    <w:rsid w:val="00175884"/>
    <w:rsid w:val="00175AF9"/>
    <w:rsid w:val="00176233"/>
    <w:rsid w:val="00176A76"/>
    <w:rsid w:val="00176AF1"/>
    <w:rsid w:val="00176DF6"/>
    <w:rsid w:val="00177779"/>
    <w:rsid w:val="001779D4"/>
    <w:rsid w:val="0018030A"/>
    <w:rsid w:val="001810CA"/>
    <w:rsid w:val="00181B3C"/>
    <w:rsid w:val="00181D8C"/>
    <w:rsid w:val="0018236D"/>
    <w:rsid w:val="0018259B"/>
    <w:rsid w:val="00182625"/>
    <w:rsid w:val="00183046"/>
    <w:rsid w:val="001833C4"/>
    <w:rsid w:val="0018392E"/>
    <w:rsid w:val="00183A6D"/>
    <w:rsid w:val="001842AE"/>
    <w:rsid w:val="00184414"/>
    <w:rsid w:val="00184439"/>
    <w:rsid w:val="00184665"/>
    <w:rsid w:val="001847AB"/>
    <w:rsid w:val="0018489D"/>
    <w:rsid w:val="001850AE"/>
    <w:rsid w:val="001850B5"/>
    <w:rsid w:val="0018524E"/>
    <w:rsid w:val="00186792"/>
    <w:rsid w:val="00187263"/>
    <w:rsid w:val="001876A3"/>
    <w:rsid w:val="0019027F"/>
    <w:rsid w:val="00190422"/>
    <w:rsid w:val="00190BFE"/>
    <w:rsid w:val="00190F3A"/>
    <w:rsid w:val="00191147"/>
    <w:rsid w:val="001917C6"/>
    <w:rsid w:val="00191B7F"/>
    <w:rsid w:val="001929F4"/>
    <w:rsid w:val="001936BE"/>
    <w:rsid w:val="00193B9E"/>
    <w:rsid w:val="00194625"/>
    <w:rsid w:val="00194744"/>
    <w:rsid w:val="00194E3F"/>
    <w:rsid w:val="001957A7"/>
    <w:rsid w:val="00195A9D"/>
    <w:rsid w:val="00195A9F"/>
    <w:rsid w:val="001964BC"/>
    <w:rsid w:val="001968B4"/>
    <w:rsid w:val="00196930"/>
    <w:rsid w:val="00196BD1"/>
    <w:rsid w:val="00197CCD"/>
    <w:rsid w:val="00197DD9"/>
    <w:rsid w:val="001A0803"/>
    <w:rsid w:val="001A0856"/>
    <w:rsid w:val="001A088F"/>
    <w:rsid w:val="001A0994"/>
    <w:rsid w:val="001A10AC"/>
    <w:rsid w:val="001A15CD"/>
    <w:rsid w:val="001A1B3D"/>
    <w:rsid w:val="001A1FF9"/>
    <w:rsid w:val="001A32F7"/>
    <w:rsid w:val="001A339F"/>
    <w:rsid w:val="001A3909"/>
    <w:rsid w:val="001A3BFA"/>
    <w:rsid w:val="001A4338"/>
    <w:rsid w:val="001A4588"/>
    <w:rsid w:val="001A4716"/>
    <w:rsid w:val="001A4963"/>
    <w:rsid w:val="001A4988"/>
    <w:rsid w:val="001A4DED"/>
    <w:rsid w:val="001A50C2"/>
    <w:rsid w:val="001A5145"/>
    <w:rsid w:val="001A5480"/>
    <w:rsid w:val="001A5BCF"/>
    <w:rsid w:val="001A607F"/>
    <w:rsid w:val="001A6941"/>
    <w:rsid w:val="001A696A"/>
    <w:rsid w:val="001A75D3"/>
    <w:rsid w:val="001A7BAB"/>
    <w:rsid w:val="001A7E11"/>
    <w:rsid w:val="001A7F7C"/>
    <w:rsid w:val="001B01CF"/>
    <w:rsid w:val="001B0378"/>
    <w:rsid w:val="001B102F"/>
    <w:rsid w:val="001B115D"/>
    <w:rsid w:val="001B1B1A"/>
    <w:rsid w:val="001B255D"/>
    <w:rsid w:val="001B30B1"/>
    <w:rsid w:val="001B45A3"/>
    <w:rsid w:val="001B4B2B"/>
    <w:rsid w:val="001B508C"/>
    <w:rsid w:val="001B5212"/>
    <w:rsid w:val="001B54B7"/>
    <w:rsid w:val="001B559B"/>
    <w:rsid w:val="001B5B9C"/>
    <w:rsid w:val="001B5E24"/>
    <w:rsid w:val="001B635D"/>
    <w:rsid w:val="001B6915"/>
    <w:rsid w:val="001B694A"/>
    <w:rsid w:val="001B7024"/>
    <w:rsid w:val="001B7B84"/>
    <w:rsid w:val="001B7C67"/>
    <w:rsid w:val="001C04C3"/>
    <w:rsid w:val="001C1DC9"/>
    <w:rsid w:val="001C23A4"/>
    <w:rsid w:val="001C2996"/>
    <w:rsid w:val="001C2B34"/>
    <w:rsid w:val="001C3731"/>
    <w:rsid w:val="001C3752"/>
    <w:rsid w:val="001C3C4D"/>
    <w:rsid w:val="001C3D4B"/>
    <w:rsid w:val="001C43A0"/>
    <w:rsid w:val="001C4419"/>
    <w:rsid w:val="001C4D97"/>
    <w:rsid w:val="001C4F20"/>
    <w:rsid w:val="001C522C"/>
    <w:rsid w:val="001C5313"/>
    <w:rsid w:val="001C541C"/>
    <w:rsid w:val="001C5585"/>
    <w:rsid w:val="001C59F1"/>
    <w:rsid w:val="001C6258"/>
    <w:rsid w:val="001C63F7"/>
    <w:rsid w:val="001C661F"/>
    <w:rsid w:val="001C6933"/>
    <w:rsid w:val="001C7C9D"/>
    <w:rsid w:val="001C7FA8"/>
    <w:rsid w:val="001D0359"/>
    <w:rsid w:val="001D0615"/>
    <w:rsid w:val="001D0DE1"/>
    <w:rsid w:val="001D153A"/>
    <w:rsid w:val="001D20F5"/>
    <w:rsid w:val="001D2356"/>
    <w:rsid w:val="001D269F"/>
    <w:rsid w:val="001D2791"/>
    <w:rsid w:val="001D27C4"/>
    <w:rsid w:val="001D2A4D"/>
    <w:rsid w:val="001D2BCF"/>
    <w:rsid w:val="001D36E5"/>
    <w:rsid w:val="001D3A28"/>
    <w:rsid w:val="001D3E50"/>
    <w:rsid w:val="001D43A8"/>
    <w:rsid w:val="001D4830"/>
    <w:rsid w:val="001D49F9"/>
    <w:rsid w:val="001D4D39"/>
    <w:rsid w:val="001D4E5C"/>
    <w:rsid w:val="001D5264"/>
    <w:rsid w:val="001D5A21"/>
    <w:rsid w:val="001D5B8C"/>
    <w:rsid w:val="001D6A01"/>
    <w:rsid w:val="001D6AB8"/>
    <w:rsid w:val="001D6FCE"/>
    <w:rsid w:val="001D7331"/>
    <w:rsid w:val="001D7386"/>
    <w:rsid w:val="001D7B70"/>
    <w:rsid w:val="001D7C4B"/>
    <w:rsid w:val="001E034E"/>
    <w:rsid w:val="001E0F54"/>
    <w:rsid w:val="001E1063"/>
    <w:rsid w:val="001E1497"/>
    <w:rsid w:val="001E159B"/>
    <w:rsid w:val="001E15A9"/>
    <w:rsid w:val="001E1F1C"/>
    <w:rsid w:val="001E247A"/>
    <w:rsid w:val="001E36A2"/>
    <w:rsid w:val="001E3853"/>
    <w:rsid w:val="001E40DB"/>
    <w:rsid w:val="001E48E7"/>
    <w:rsid w:val="001E4B8C"/>
    <w:rsid w:val="001E537E"/>
    <w:rsid w:val="001E548B"/>
    <w:rsid w:val="001E5C71"/>
    <w:rsid w:val="001E6692"/>
    <w:rsid w:val="001E6F82"/>
    <w:rsid w:val="001E7909"/>
    <w:rsid w:val="001E790F"/>
    <w:rsid w:val="001E7FC1"/>
    <w:rsid w:val="001F01EE"/>
    <w:rsid w:val="001F0317"/>
    <w:rsid w:val="001F0B5B"/>
    <w:rsid w:val="001F0E1B"/>
    <w:rsid w:val="001F0F58"/>
    <w:rsid w:val="001F1023"/>
    <w:rsid w:val="001F11EB"/>
    <w:rsid w:val="001F17F3"/>
    <w:rsid w:val="001F1895"/>
    <w:rsid w:val="001F1945"/>
    <w:rsid w:val="001F1A51"/>
    <w:rsid w:val="001F25CB"/>
    <w:rsid w:val="001F27D7"/>
    <w:rsid w:val="001F38AE"/>
    <w:rsid w:val="001F3AF8"/>
    <w:rsid w:val="001F3ED0"/>
    <w:rsid w:val="001F44F3"/>
    <w:rsid w:val="001F4784"/>
    <w:rsid w:val="001F5995"/>
    <w:rsid w:val="001F5BD2"/>
    <w:rsid w:val="001F6798"/>
    <w:rsid w:val="001F67B2"/>
    <w:rsid w:val="001F7379"/>
    <w:rsid w:val="001F7AB1"/>
    <w:rsid w:val="001F7F48"/>
    <w:rsid w:val="001F7F91"/>
    <w:rsid w:val="00200948"/>
    <w:rsid w:val="00200A49"/>
    <w:rsid w:val="00201835"/>
    <w:rsid w:val="002025A7"/>
    <w:rsid w:val="002030A2"/>
    <w:rsid w:val="00203748"/>
    <w:rsid w:val="00203C20"/>
    <w:rsid w:val="00204014"/>
    <w:rsid w:val="00205417"/>
    <w:rsid w:val="00207436"/>
    <w:rsid w:val="00210133"/>
    <w:rsid w:val="002102B5"/>
    <w:rsid w:val="00210332"/>
    <w:rsid w:val="00210BB1"/>
    <w:rsid w:val="00210C7C"/>
    <w:rsid w:val="00211158"/>
    <w:rsid w:val="0021141C"/>
    <w:rsid w:val="0021171F"/>
    <w:rsid w:val="00211DC3"/>
    <w:rsid w:val="00212B02"/>
    <w:rsid w:val="00212CBA"/>
    <w:rsid w:val="00213779"/>
    <w:rsid w:val="00213865"/>
    <w:rsid w:val="0021405C"/>
    <w:rsid w:val="00214949"/>
    <w:rsid w:val="00214A1F"/>
    <w:rsid w:val="0021528B"/>
    <w:rsid w:val="002156D5"/>
    <w:rsid w:val="00215914"/>
    <w:rsid w:val="00215E94"/>
    <w:rsid w:val="00215ED0"/>
    <w:rsid w:val="002165F7"/>
    <w:rsid w:val="002166DA"/>
    <w:rsid w:val="00216949"/>
    <w:rsid w:val="002173E3"/>
    <w:rsid w:val="00217400"/>
    <w:rsid w:val="00217980"/>
    <w:rsid w:val="00217B03"/>
    <w:rsid w:val="0022080A"/>
    <w:rsid w:val="0022091B"/>
    <w:rsid w:val="00221101"/>
    <w:rsid w:val="002215DB"/>
    <w:rsid w:val="002219C0"/>
    <w:rsid w:val="00222338"/>
    <w:rsid w:val="00222629"/>
    <w:rsid w:val="00222B24"/>
    <w:rsid w:val="00222E78"/>
    <w:rsid w:val="00222EA6"/>
    <w:rsid w:val="0022300A"/>
    <w:rsid w:val="002231D7"/>
    <w:rsid w:val="00223DD2"/>
    <w:rsid w:val="00224046"/>
    <w:rsid w:val="00224369"/>
    <w:rsid w:val="002243A7"/>
    <w:rsid w:val="0022463B"/>
    <w:rsid w:val="002247B2"/>
    <w:rsid w:val="002249C8"/>
    <w:rsid w:val="00224B01"/>
    <w:rsid w:val="00224EBE"/>
    <w:rsid w:val="00225884"/>
    <w:rsid w:val="00225FDA"/>
    <w:rsid w:val="002265F8"/>
    <w:rsid w:val="00226BF8"/>
    <w:rsid w:val="00226C69"/>
    <w:rsid w:val="002272A7"/>
    <w:rsid w:val="002272F6"/>
    <w:rsid w:val="00227BA1"/>
    <w:rsid w:val="00227ECF"/>
    <w:rsid w:val="00227F57"/>
    <w:rsid w:val="00227F5A"/>
    <w:rsid w:val="00230B5C"/>
    <w:rsid w:val="00230C0F"/>
    <w:rsid w:val="00231111"/>
    <w:rsid w:val="00231BAC"/>
    <w:rsid w:val="00232155"/>
    <w:rsid w:val="00232926"/>
    <w:rsid w:val="002338FC"/>
    <w:rsid w:val="00233ADE"/>
    <w:rsid w:val="00234977"/>
    <w:rsid w:val="00234C4D"/>
    <w:rsid w:val="00235B0E"/>
    <w:rsid w:val="0023615A"/>
    <w:rsid w:val="0023662E"/>
    <w:rsid w:val="002368A1"/>
    <w:rsid w:val="00236FAE"/>
    <w:rsid w:val="00237A8D"/>
    <w:rsid w:val="0024010A"/>
    <w:rsid w:val="00240236"/>
    <w:rsid w:val="002405DC"/>
    <w:rsid w:val="00240A85"/>
    <w:rsid w:val="00241002"/>
    <w:rsid w:val="00241266"/>
    <w:rsid w:val="00241A4B"/>
    <w:rsid w:val="00242022"/>
    <w:rsid w:val="0024216D"/>
    <w:rsid w:val="002423E9"/>
    <w:rsid w:val="00242513"/>
    <w:rsid w:val="00242A88"/>
    <w:rsid w:val="00242F8C"/>
    <w:rsid w:val="002433A2"/>
    <w:rsid w:val="00243C56"/>
    <w:rsid w:val="002441FA"/>
    <w:rsid w:val="00244DC7"/>
    <w:rsid w:val="00245617"/>
    <w:rsid w:val="0024565C"/>
    <w:rsid w:val="002460AB"/>
    <w:rsid w:val="002464B7"/>
    <w:rsid w:val="0024765F"/>
    <w:rsid w:val="002503D5"/>
    <w:rsid w:val="00250458"/>
    <w:rsid w:val="00250797"/>
    <w:rsid w:val="00251CDE"/>
    <w:rsid w:val="00252062"/>
    <w:rsid w:val="002521E1"/>
    <w:rsid w:val="002526C1"/>
    <w:rsid w:val="00253431"/>
    <w:rsid w:val="00253501"/>
    <w:rsid w:val="00253918"/>
    <w:rsid w:val="00253CD0"/>
    <w:rsid w:val="00254345"/>
    <w:rsid w:val="002546ED"/>
    <w:rsid w:val="00254803"/>
    <w:rsid w:val="00254950"/>
    <w:rsid w:val="002550FC"/>
    <w:rsid w:val="00255103"/>
    <w:rsid w:val="00255497"/>
    <w:rsid w:val="00255498"/>
    <w:rsid w:val="002559CA"/>
    <w:rsid w:val="00255D05"/>
    <w:rsid w:val="00256312"/>
    <w:rsid w:val="00257343"/>
    <w:rsid w:val="00257378"/>
    <w:rsid w:val="00257CFF"/>
    <w:rsid w:val="0026069B"/>
    <w:rsid w:val="00260FDC"/>
    <w:rsid w:val="00261218"/>
    <w:rsid w:val="00261393"/>
    <w:rsid w:val="002613E5"/>
    <w:rsid w:val="002616C4"/>
    <w:rsid w:val="002618E9"/>
    <w:rsid w:val="00261CB6"/>
    <w:rsid w:val="00262D40"/>
    <w:rsid w:val="00263011"/>
    <w:rsid w:val="002650D7"/>
    <w:rsid w:val="002653BF"/>
    <w:rsid w:val="00265F2B"/>
    <w:rsid w:val="00266B76"/>
    <w:rsid w:val="00267860"/>
    <w:rsid w:val="00270986"/>
    <w:rsid w:val="00270D6D"/>
    <w:rsid w:val="00271793"/>
    <w:rsid w:val="00271C06"/>
    <w:rsid w:val="00271E1F"/>
    <w:rsid w:val="00272445"/>
    <w:rsid w:val="00272458"/>
    <w:rsid w:val="00272527"/>
    <w:rsid w:val="00272689"/>
    <w:rsid w:val="00272849"/>
    <w:rsid w:val="00272A02"/>
    <w:rsid w:val="00273837"/>
    <w:rsid w:val="00273D63"/>
    <w:rsid w:val="0027409C"/>
    <w:rsid w:val="00274431"/>
    <w:rsid w:val="002748F5"/>
    <w:rsid w:val="00274A9A"/>
    <w:rsid w:val="00274C58"/>
    <w:rsid w:val="00275252"/>
    <w:rsid w:val="00275437"/>
    <w:rsid w:val="002755D7"/>
    <w:rsid w:val="00276180"/>
    <w:rsid w:val="0027618C"/>
    <w:rsid w:val="00276283"/>
    <w:rsid w:val="002763E4"/>
    <w:rsid w:val="002768A8"/>
    <w:rsid w:val="00276CDB"/>
    <w:rsid w:val="00276D25"/>
    <w:rsid w:val="0027746F"/>
    <w:rsid w:val="0027799E"/>
    <w:rsid w:val="00277EDE"/>
    <w:rsid w:val="002802B6"/>
    <w:rsid w:val="00280544"/>
    <w:rsid w:val="002807BD"/>
    <w:rsid w:val="00280B52"/>
    <w:rsid w:val="00280BBA"/>
    <w:rsid w:val="00281751"/>
    <w:rsid w:val="00281786"/>
    <w:rsid w:val="0028198B"/>
    <w:rsid w:val="00281A53"/>
    <w:rsid w:val="00281E39"/>
    <w:rsid w:val="00282272"/>
    <w:rsid w:val="0028235F"/>
    <w:rsid w:val="0028280D"/>
    <w:rsid w:val="00282D5F"/>
    <w:rsid w:val="00283511"/>
    <w:rsid w:val="00283625"/>
    <w:rsid w:val="0028427E"/>
    <w:rsid w:val="0028433F"/>
    <w:rsid w:val="002844E2"/>
    <w:rsid w:val="0028483F"/>
    <w:rsid w:val="002848CA"/>
    <w:rsid w:val="00284D11"/>
    <w:rsid w:val="00284E3B"/>
    <w:rsid w:val="00284ED5"/>
    <w:rsid w:val="0028504F"/>
    <w:rsid w:val="00285259"/>
    <w:rsid w:val="0028556A"/>
    <w:rsid w:val="002861D8"/>
    <w:rsid w:val="0028647D"/>
    <w:rsid w:val="00286BA1"/>
    <w:rsid w:val="00286F8B"/>
    <w:rsid w:val="00287030"/>
    <w:rsid w:val="00287593"/>
    <w:rsid w:val="002876B8"/>
    <w:rsid w:val="0029011F"/>
    <w:rsid w:val="00290479"/>
    <w:rsid w:val="0029090B"/>
    <w:rsid w:val="00291146"/>
    <w:rsid w:val="0029122B"/>
    <w:rsid w:val="002915EC"/>
    <w:rsid w:val="002915F2"/>
    <w:rsid w:val="00291A52"/>
    <w:rsid w:val="00292591"/>
    <w:rsid w:val="00292C53"/>
    <w:rsid w:val="002934C0"/>
    <w:rsid w:val="002941C9"/>
    <w:rsid w:val="002944FC"/>
    <w:rsid w:val="002947B7"/>
    <w:rsid w:val="00295333"/>
    <w:rsid w:val="00295AF6"/>
    <w:rsid w:val="00295F64"/>
    <w:rsid w:val="0029624A"/>
    <w:rsid w:val="00296456"/>
    <w:rsid w:val="002973BC"/>
    <w:rsid w:val="002A0A6C"/>
    <w:rsid w:val="002A0F7A"/>
    <w:rsid w:val="002A13E4"/>
    <w:rsid w:val="002A1B5F"/>
    <w:rsid w:val="002A21B7"/>
    <w:rsid w:val="002A23BA"/>
    <w:rsid w:val="002A3103"/>
    <w:rsid w:val="002A3131"/>
    <w:rsid w:val="002A376D"/>
    <w:rsid w:val="002A3F41"/>
    <w:rsid w:val="002A40CE"/>
    <w:rsid w:val="002A4147"/>
    <w:rsid w:val="002A44CF"/>
    <w:rsid w:val="002A4B91"/>
    <w:rsid w:val="002A51AF"/>
    <w:rsid w:val="002A5885"/>
    <w:rsid w:val="002A5A78"/>
    <w:rsid w:val="002A5F60"/>
    <w:rsid w:val="002A6155"/>
    <w:rsid w:val="002A6F0B"/>
    <w:rsid w:val="002A708B"/>
    <w:rsid w:val="002A7105"/>
    <w:rsid w:val="002A72FD"/>
    <w:rsid w:val="002B035E"/>
    <w:rsid w:val="002B0765"/>
    <w:rsid w:val="002B0A7A"/>
    <w:rsid w:val="002B143D"/>
    <w:rsid w:val="002B1A91"/>
    <w:rsid w:val="002B1B49"/>
    <w:rsid w:val="002B1E80"/>
    <w:rsid w:val="002B2041"/>
    <w:rsid w:val="002B207B"/>
    <w:rsid w:val="002B227C"/>
    <w:rsid w:val="002B2EF0"/>
    <w:rsid w:val="002B2F0A"/>
    <w:rsid w:val="002B3530"/>
    <w:rsid w:val="002B359A"/>
    <w:rsid w:val="002B36E4"/>
    <w:rsid w:val="002B3989"/>
    <w:rsid w:val="002B40F7"/>
    <w:rsid w:val="002B4A2E"/>
    <w:rsid w:val="002B4EF2"/>
    <w:rsid w:val="002B587B"/>
    <w:rsid w:val="002B5ACE"/>
    <w:rsid w:val="002B61E6"/>
    <w:rsid w:val="002B61F3"/>
    <w:rsid w:val="002B6617"/>
    <w:rsid w:val="002B6B64"/>
    <w:rsid w:val="002B6B9C"/>
    <w:rsid w:val="002B6FE4"/>
    <w:rsid w:val="002B7A7C"/>
    <w:rsid w:val="002C02B6"/>
    <w:rsid w:val="002C0A07"/>
    <w:rsid w:val="002C1EC7"/>
    <w:rsid w:val="002C1EEF"/>
    <w:rsid w:val="002C29B3"/>
    <w:rsid w:val="002C2FDE"/>
    <w:rsid w:val="002C31A6"/>
    <w:rsid w:val="002C31EE"/>
    <w:rsid w:val="002C392C"/>
    <w:rsid w:val="002C41E3"/>
    <w:rsid w:val="002C45D6"/>
    <w:rsid w:val="002C45F6"/>
    <w:rsid w:val="002C46D6"/>
    <w:rsid w:val="002C4C3E"/>
    <w:rsid w:val="002C4C42"/>
    <w:rsid w:val="002C4E2D"/>
    <w:rsid w:val="002C502F"/>
    <w:rsid w:val="002C55DA"/>
    <w:rsid w:val="002C58F6"/>
    <w:rsid w:val="002C595B"/>
    <w:rsid w:val="002C5A8F"/>
    <w:rsid w:val="002C6126"/>
    <w:rsid w:val="002C64E1"/>
    <w:rsid w:val="002C6975"/>
    <w:rsid w:val="002C6E32"/>
    <w:rsid w:val="002C7250"/>
    <w:rsid w:val="002C7DDC"/>
    <w:rsid w:val="002C7EA5"/>
    <w:rsid w:val="002C7EBA"/>
    <w:rsid w:val="002C7F46"/>
    <w:rsid w:val="002D00B0"/>
    <w:rsid w:val="002D01FB"/>
    <w:rsid w:val="002D0BE1"/>
    <w:rsid w:val="002D0D0F"/>
    <w:rsid w:val="002D119D"/>
    <w:rsid w:val="002D11B0"/>
    <w:rsid w:val="002D1BA3"/>
    <w:rsid w:val="002D222E"/>
    <w:rsid w:val="002D2910"/>
    <w:rsid w:val="002D2B13"/>
    <w:rsid w:val="002D2E52"/>
    <w:rsid w:val="002D3288"/>
    <w:rsid w:val="002D3C5B"/>
    <w:rsid w:val="002D436E"/>
    <w:rsid w:val="002D45FD"/>
    <w:rsid w:val="002D4772"/>
    <w:rsid w:val="002D4778"/>
    <w:rsid w:val="002D56DD"/>
    <w:rsid w:val="002D5C6D"/>
    <w:rsid w:val="002D5D63"/>
    <w:rsid w:val="002D65B9"/>
    <w:rsid w:val="002D6D63"/>
    <w:rsid w:val="002D717A"/>
    <w:rsid w:val="002D738D"/>
    <w:rsid w:val="002D78DF"/>
    <w:rsid w:val="002E0072"/>
    <w:rsid w:val="002E0207"/>
    <w:rsid w:val="002E05DB"/>
    <w:rsid w:val="002E0629"/>
    <w:rsid w:val="002E06D7"/>
    <w:rsid w:val="002E0B75"/>
    <w:rsid w:val="002E0C68"/>
    <w:rsid w:val="002E154B"/>
    <w:rsid w:val="002E15E8"/>
    <w:rsid w:val="002E174E"/>
    <w:rsid w:val="002E179A"/>
    <w:rsid w:val="002E1AAF"/>
    <w:rsid w:val="002E1C44"/>
    <w:rsid w:val="002E3024"/>
    <w:rsid w:val="002E3152"/>
    <w:rsid w:val="002E3185"/>
    <w:rsid w:val="002E332F"/>
    <w:rsid w:val="002E339F"/>
    <w:rsid w:val="002E344E"/>
    <w:rsid w:val="002E367D"/>
    <w:rsid w:val="002E385B"/>
    <w:rsid w:val="002E3CDF"/>
    <w:rsid w:val="002E40A0"/>
    <w:rsid w:val="002E441C"/>
    <w:rsid w:val="002E4739"/>
    <w:rsid w:val="002E4B72"/>
    <w:rsid w:val="002E4C50"/>
    <w:rsid w:val="002E531B"/>
    <w:rsid w:val="002E623D"/>
    <w:rsid w:val="002E63E1"/>
    <w:rsid w:val="002E68AE"/>
    <w:rsid w:val="002E6940"/>
    <w:rsid w:val="002E6B87"/>
    <w:rsid w:val="002E7544"/>
    <w:rsid w:val="002E78F3"/>
    <w:rsid w:val="002F0688"/>
    <w:rsid w:val="002F0B86"/>
    <w:rsid w:val="002F116D"/>
    <w:rsid w:val="002F190D"/>
    <w:rsid w:val="002F236F"/>
    <w:rsid w:val="002F2B74"/>
    <w:rsid w:val="002F3A6B"/>
    <w:rsid w:val="002F439E"/>
    <w:rsid w:val="002F4BDB"/>
    <w:rsid w:val="002F522F"/>
    <w:rsid w:val="002F5D58"/>
    <w:rsid w:val="002F5D90"/>
    <w:rsid w:val="002F620F"/>
    <w:rsid w:val="002F639C"/>
    <w:rsid w:val="002F66B5"/>
    <w:rsid w:val="002F66C3"/>
    <w:rsid w:val="002F6AE8"/>
    <w:rsid w:val="002F6CD0"/>
    <w:rsid w:val="002F7032"/>
    <w:rsid w:val="002F716A"/>
    <w:rsid w:val="002F731D"/>
    <w:rsid w:val="002F7727"/>
    <w:rsid w:val="002F77E6"/>
    <w:rsid w:val="002F7B2C"/>
    <w:rsid w:val="003021B4"/>
    <w:rsid w:val="00303020"/>
    <w:rsid w:val="003039D8"/>
    <w:rsid w:val="00303DEA"/>
    <w:rsid w:val="00303E9D"/>
    <w:rsid w:val="00303EFF"/>
    <w:rsid w:val="0030400B"/>
    <w:rsid w:val="003042BD"/>
    <w:rsid w:val="00304C13"/>
    <w:rsid w:val="003058D2"/>
    <w:rsid w:val="00306104"/>
    <w:rsid w:val="00306536"/>
    <w:rsid w:val="00306992"/>
    <w:rsid w:val="00306A7F"/>
    <w:rsid w:val="00307526"/>
    <w:rsid w:val="00307A92"/>
    <w:rsid w:val="00310101"/>
    <w:rsid w:val="003101CF"/>
    <w:rsid w:val="00310CB0"/>
    <w:rsid w:val="00310D7B"/>
    <w:rsid w:val="00310ED4"/>
    <w:rsid w:val="003116EB"/>
    <w:rsid w:val="0031184C"/>
    <w:rsid w:val="00311A53"/>
    <w:rsid w:val="00312681"/>
    <w:rsid w:val="00312C6E"/>
    <w:rsid w:val="00312DB2"/>
    <w:rsid w:val="00312F21"/>
    <w:rsid w:val="0031302A"/>
    <w:rsid w:val="003133DF"/>
    <w:rsid w:val="00313EE8"/>
    <w:rsid w:val="003144B8"/>
    <w:rsid w:val="00314505"/>
    <w:rsid w:val="00314914"/>
    <w:rsid w:val="00314C30"/>
    <w:rsid w:val="003155F9"/>
    <w:rsid w:val="003157E9"/>
    <w:rsid w:val="00315F92"/>
    <w:rsid w:val="00317049"/>
    <w:rsid w:val="0031733F"/>
    <w:rsid w:val="00321437"/>
    <w:rsid w:val="0032155B"/>
    <w:rsid w:val="00321799"/>
    <w:rsid w:val="00321AB1"/>
    <w:rsid w:val="00321D18"/>
    <w:rsid w:val="00321D67"/>
    <w:rsid w:val="0032241D"/>
    <w:rsid w:val="00322744"/>
    <w:rsid w:val="00322EF0"/>
    <w:rsid w:val="00323070"/>
    <w:rsid w:val="003237CC"/>
    <w:rsid w:val="00324376"/>
    <w:rsid w:val="003246D4"/>
    <w:rsid w:val="00324996"/>
    <w:rsid w:val="00324D6C"/>
    <w:rsid w:val="00324FA9"/>
    <w:rsid w:val="003251A9"/>
    <w:rsid w:val="00325E7E"/>
    <w:rsid w:val="003261DC"/>
    <w:rsid w:val="00326F29"/>
    <w:rsid w:val="00327C51"/>
    <w:rsid w:val="00330304"/>
    <w:rsid w:val="00330340"/>
    <w:rsid w:val="00330A48"/>
    <w:rsid w:val="00331116"/>
    <w:rsid w:val="00331A0A"/>
    <w:rsid w:val="00331EC5"/>
    <w:rsid w:val="00332511"/>
    <w:rsid w:val="00332910"/>
    <w:rsid w:val="003329C8"/>
    <w:rsid w:val="00332DBF"/>
    <w:rsid w:val="00332F1E"/>
    <w:rsid w:val="003337CC"/>
    <w:rsid w:val="0033407C"/>
    <w:rsid w:val="003345C8"/>
    <w:rsid w:val="0033504F"/>
    <w:rsid w:val="003359B1"/>
    <w:rsid w:val="00335B96"/>
    <w:rsid w:val="00335E6F"/>
    <w:rsid w:val="0033677E"/>
    <w:rsid w:val="00336AF3"/>
    <w:rsid w:val="00336C1D"/>
    <w:rsid w:val="00336C6D"/>
    <w:rsid w:val="0033749C"/>
    <w:rsid w:val="0033790C"/>
    <w:rsid w:val="00337DB8"/>
    <w:rsid w:val="00337F9A"/>
    <w:rsid w:val="003407B5"/>
    <w:rsid w:val="003409C2"/>
    <w:rsid w:val="003415DC"/>
    <w:rsid w:val="00341B81"/>
    <w:rsid w:val="00341C7D"/>
    <w:rsid w:val="003425C8"/>
    <w:rsid w:val="003426A8"/>
    <w:rsid w:val="00342C7C"/>
    <w:rsid w:val="00342F01"/>
    <w:rsid w:val="0034360F"/>
    <w:rsid w:val="0034380E"/>
    <w:rsid w:val="003444B2"/>
    <w:rsid w:val="003448DC"/>
    <w:rsid w:val="00345518"/>
    <w:rsid w:val="00345A52"/>
    <w:rsid w:val="00345CBD"/>
    <w:rsid w:val="00345EAC"/>
    <w:rsid w:val="003462BB"/>
    <w:rsid w:val="003464D4"/>
    <w:rsid w:val="003469E7"/>
    <w:rsid w:val="003471DD"/>
    <w:rsid w:val="00350E77"/>
    <w:rsid w:val="00351372"/>
    <w:rsid w:val="0035166D"/>
    <w:rsid w:val="00351F81"/>
    <w:rsid w:val="003521BF"/>
    <w:rsid w:val="003523C8"/>
    <w:rsid w:val="003523FB"/>
    <w:rsid w:val="00352872"/>
    <w:rsid w:val="00352A7F"/>
    <w:rsid w:val="00352C64"/>
    <w:rsid w:val="00352E72"/>
    <w:rsid w:val="00353AEE"/>
    <w:rsid w:val="00353EE3"/>
    <w:rsid w:val="00354311"/>
    <w:rsid w:val="00355794"/>
    <w:rsid w:val="00355B8C"/>
    <w:rsid w:val="00355F3B"/>
    <w:rsid w:val="0035665D"/>
    <w:rsid w:val="00356698"/>
    <w:rsid w:val="00357179"/>
    <w:rsid w:val="0035796F"/>
    <w:rsid w:val="00360237"/>
    <w:rsid w:val="00360969"/>
    <w:rsid w:val="0036124B"/>
    <w:rsid w:val="003613F9"/>
    <w:rsid w:val="0036151D"/>
    <w:rsid w:val="00361AC5"/>
    <w:rsid w:val="00361CDB"/>
    <w:rsid w:val="00361E38"/>
    <w:rsid w:val="003621F0"/>
    <w:rsid w:val="00362783"/>
    <w:rsid w:val="003628EE"/>
    <w:rsid w:val="003641A6"/>
    <w:rsid w:val="0036422D"/>
    <w:rsid w:val="003649BE"/>
    <w:rsid w:val="00364EBE"/>
    <w:rsid w:val="003657A9"/>
    <w:rsid w:val="0036677D"/>
    <w:rsid w:val="00366BE6"/>
    <w:rsid w:val="00367168"/>
    <w:rsid w:val="0036745E"/>
    <w:rsid w:val="00367462"/>
    <w:rsid w:val="003701D9"/>
    <w:rsid w:val="003706CA"/>
    <w:rsid w:val="00370C86"/>
    <w:rsid w:val="003713D1"/>
    <w:rsid w:val="003714B5"/>
    <w:rsid w:val="003728E1"/>
    <w:rsid w:val="00373620"/>
    <w:rsid w:val="00374050"/>
    <w:rsid w:val="00374211"/>
    <w:rsid w:val="00374B9C"/>
    <w:rsid w:val="0037532D"/>
    <w:rsid w:val="00375402"/>
    <w:rsid w:val="003759A1"/>
    <w:rsid w:val="00375E08"/>
    <w:rsid w:val="00376461"/>
    <w:rsid w:val="003767C0"/>
    <w:rsid w:val="00376DA6"/>
    <w:rsid w:val="0038104F"/>
    <w:rsid w:val="00381E20"/>
    <w:rsid w:val="003820AE"/>
    <w:rsid w:val="0038289E"/>
    <w:rsid w:val="00382A2F"/>
    <w:rsid w:val="00382B16"/>
    <w:rsid w:val="003830BF"/>
    <w:rsid w:val="00383701"/>
    <w:rsid w:val="00383704"/>
    <w:rsid w:val="00383D7C"/>
    <w:rsid w:val="003843DA"/>
    <w:rsid w:val="00384CEA"/>
    <w:rsid w:val="00385A3C"/>
    <w:rsid w:val="00385BF9"/>
    <w:rsid w:val="00386211"/>
    <w:rsid w:val="0038628A"/>
    <w:rsid w:val="00386414"/>
    <w:rsid w:val="0038641F"/>
    <w:rsid w:val="0038681C"/>
    <w:rsid w:val="00386AFE"/>
    <w:rsid w:val="00386FF0"/>
    <w:rsid w:val="00387FE6"/>
    <w:rsid w:val="0039023E"/>
    <w:rsid w:val="0039070B"/>
    <w:rsid w:val="003907CB"/>
    <w:rsid w:val="00390B96"/>
    <w:rsid w:val="00390E9F"/>
    <w:rsid w:val="00390F93"/>
    <w:rsid w:val="0039105F"/>
    <w:rsid w:val="00391274"/>
    <w:rsid w:val="00391C15"/>
    <w:rsid w:val="00392043"/>
    <w:rsid w:val="00392077"/>
    <w:rsid w:val="003924F1"/>
    <w:rsid w:val="00392FFA"/>
    <w:rsid w:val="00393E98"/>
    <w:rsid w:val="003946C7"/>
    <w:rsid w:val="0039470D"/>
    <w:rsid w:val="00394AED"/>
    <w:rsid w:val="00395838"/>
    <w:rsid w:val="0039650D"/>
    <w:rsid w:val="00396D35"/>
    <w:rsid w:val="00396F18"/>
    <w:rsid w:val="003974CC"/>
    <w:rsid w:val="003975F4"/>
    <w:rsid w:val="003A0086"/>
    <w:rsid w:val="003A0B18"/>
    <w:rsid w:val="003A0C0B"/>
    <w:rsid w:val="003A141A"/>
    <w:rsid w:val="003A14BC"/>
    <w:rsid w:val="003A167D"/>
    <w:rsid w:val="003A1853"/>
    <w:rsid w:val="003A1BA5"/>
    <w:rsid w:val="003A1D6F"/>
    <w:rsid w:val="003A2455"/>
    <w:rsid w:val="003A316F"/>
    <w:rsid w:val="003A3270"/>
    <w:rsid w:val="003A329B"/>
    <w:rsid w:val="003A33AE"/>
    <w:rsid w:val="003A3585"/>
    <w:rsid w:val="003A37B9"/>
    <w:rsid w:val="003A38A5"/>
    <w:rsid w:val="003A3BDE"/>
    <w:rsid w:val="003A3FBB"/>
    <w:rsid w:val="003A41B6"/>
    <w:rsid w:val="003A41D3"/>
    <w:rsid w:val="003A5644"/>
    <w:rsid w:val="003A5A33"/>
    <w:rsid w:val="003A5ADE"/>
    <w:rsid w:val="003A5B56"/>
    <w:rsid w:val="003A6232"/>
    <w:rsid w:val="003A6415"/>
    <w:rsid w:val="003A65C2"/>
    <w:rsid w:val="003A670A"/>
    <w:rsid w:val="003A6B57"/>
    <w:rsid w:val="003A6BB0"/>
    <w:rsid w:val="003A6FB2"/>
    <w:rsid w:val="003A723F"/>
    <w:rsid w:val="003B072E"/>
    <w:rsid w:val="003B1FD9"/>
    <w:rsid w:val="003B243B"/>
    <w:rsid w:val="003B255E"/>
    <w:rsid w:val="003B25AB"/>
    <w:rsid w:val="003B2B01"/>
    <w:rsid w:val="003B2E49"/>
    <w:rsid w:val="003B2FE8"/>
    <w:rsid w:val="003B3176"/>
    <w:rsid w:val="003B3DEA"/>
    <w:rsid w:val="003B4356"/>
    <w:rsid w:val="003B4B32"/>
    <w:rsid w:val="003B4EFC"/>
    <w:rsid w:val="003B54BB"/>
    <w:rsid w:val="003B6559"/>
    <w:rsid w:val="003B68A2"/>
    <w:rsid w:val="003B6ADD"/>
    <w:rsid w:val="003B7B9D"/>
    <w:rsid w:val="003C07A9"/>
    <w:rsid w:val="003C111E"/>
    <w:rsid w:val="003C1515"/>
    <w:rsid w:val="003C1F14"/>
    <w:rsid w:val="003C20C0"/>
    <w:rsid w:val="003C20C9"/>
    <w:rsid w:val="003C24C2"/>
    <w:rsid w:val="003C25AB"/>
    <w:rsid w:val="003C25F3"/>
    <w:rsid w:val="003C29A4"/>
    <w:rsid w:val="003C2E04"/>
    <w:rsid w:val="003C3305"/>
    <w:rsid w:val="003C3E96"/>
    <w:rsid w:val="003C4472"/>
    <w:rsid w:val="003C45DB"/>
    <w:rsid w:val="003C47C4"/>
    <w:rsid w:val="003C4C0F"/>
    <w:rsid w:val="003C4D48"/>
    <w:rsid w:val="003C4F4C"/>
    <w:rsid w:val="003C50D7"/>
    <w:rsid w:val="003C51D9"/>
    <w:rsid w:val="003C5582"/>
    <w:rsid w:val="003C5B85"/>
    <w:rsid w:val="003C5BB5"/>
    <w:rsid w:val="003C5C84"/>
    <w:rsid w:val="003C5EBA"/>
    <w:rsid w:val="003C60D6"/>
    <w:rsid w:val="003C6191"/>
    <w:rsid w:val="003C6C24"/>
    <w:rsid w:val="003C736A"/>
    <w:rsid w:val="003C761D"/>
    <w:rsid w:val="003D0731"/>
    <w:rsid w:val="003D076F"/>
    <w:rsid w:val="003D0E31"/>
    <w:rsid w:val="003D0F01"/>
    <w:rsid w:val="003D1491"/>
    <w:rsid w:val="003D196D"/>
    <w:rsid w:val="003D213C"/>
    <w:rsid w:val="003D2D4E"/>
    <w:rsid w:val="003D3506"/>
    <w:rsid w:val="003D3812"/>
    <w:rsid w:val="003D3E6B"/>
    <w:rsid w:val="003D3EED"/>
    <w:rsid w:val="003D4012"/>
    <w:rsid w:val="003D40A2"/>
    <w:rsid w:val="003D4ACD"/>
    <w:rsid w:val="003D5786"/>
    <w:rsid w:val="003D6D42"/>
    <w:rsid w:val="003D7E0B"/>
    <w:rsid w:val="003E049A"/>
    <w:rsid w:val="003E14F4"/>
    <w:rsid w:val="003E185F"/>
    <w:rsid w:val="003E2471"/>
    <w:rsid w:val="003E2782"/>
    <w:rsid w:val="003E2917"/>
    <w:rsid w:val="003E2CF5"/>
    <w:rsid w:val="003E3DD6"/>
    <w:rsid w:val="003E3FFB"/>
    <w:rsid w:val="003E41EF"/>
    <w:rsid w:val="003E4443"/>
    <w:rsid w:val="003E4457"/>
    <w:rsid w:val="003E4883"/>
    <w:rsid w:val="003E4949"/>
    <w:rsid w:val="003E5436"/>
    <w:rsid w:val="003E549C"/>
    <w:rsid w:val="003E5DC8"/>
    <w:rsid w:val="003E616A"/>
    <w:rsid w:val="003E756A"/>
    <w:rsid w:val="003E79B0"/>
    <w:rsid w:val="003E7EC9"/>
    <w:rsid w:val="003F058B"/>
    <w:rsid w:val="003F05D6"/>
    <w:rsid w:val="003F0628"/>
    <w:rsid w:val="003F0B0F"/>
    <w:rsid w:val="003F0D23"/>
    <w:rsid w:val="003F0D2D"/>
    <w:rsid w:val="003F11EA"/>
    <w:rsid w:val="003F12C4"/>
    <w:rsid w:val="003F1490"/>
    <w:rsid w:val="003F1511"/>
    <w:rsid w:val="003F1CF3"/>
    <w:rsid w:val="003F2092"/>
    <w:rsid w:val="003F2153"/>
    <w:rsid w:val="003F24BC"/>
    <w:rsid w:val="003F281F"/>
    <w:rsid w:val="003F2D68"/>
    <w:rsid w:val="003F3803"/>
    <w:rsid w:val="003F3997"/>
    <w:rsid w:val="003F39E4"/>
    <w:rsid w:val="003F3D98"/>
    <w:rsid w:val="003F3EBC"/>
    <w:rsid w:val="003F3F7A"/>
    <w:rsid w:val="003F4CE8"/>
    <w:rsid w:val="003F4DB9"/>
    <w:rsid w:val="003F513E"/>
    <w:rsid w:val="003F53AC"/>
    <w:rsid w:val="003F595F"/>
    <w:rsid w:val="003F5B5D"/>
    <w:rsid w:val="003F5E8F"/>
    <w:rsid w:val="003F6197"/>
    <w:rsid w:val="003F6A77"/>
    <w:rsid w:val="003F6B1C"/>
    <w:rsid w:val="003F6C49"/>
    <w:rsid w:val="003F7E8D"/>
    <w:rsid w:val="004001F7"/>
    <w:rsid w:val="00400898"/>
    <w:rsid w:val="00400BC2"/>
    <w:rsid w:val="0040151D"/>
    <w:rsid w:val="00401929"/>
    <w:rsid w:val="00401932"/>
    <w:rsid w:val="00402123"/>
    <w:rsid w:val="00403058"/>
    <w:rsid w:val="00403FB8"/>
    <w:rsid w:val="00404CB4"/>
    <w:rsid w:val="00405C00"/>
    <w:rsid w:val="00405CA6"/>
    <w:rsid w:val="00405F25"/>
    <w:rsid w:val="00405F7B"/>
    <w:rsid w:val="00406185"/>
    <w:rsid w:val="004061E7"/>
    <w:rsid w:val="00406AB1"/>
    <w:rsid w:val="00406ABB"/>
    <w:rsid w:val="00406DBD"/>
    <w:rsid w:val="00406DE9"/>
    <w:rsid w:val="00406E68"/>
    <w:rsid w:val="004076F9"/>
    <w:rsid w:val="0040792E"/>
    <w:rsid w:val="004107C2"/>
    <w:rsid w:val="00410D77"/>
    <w:rsid w:val="00411741"/>
    <w:rsid w:val="004118F6"/>
    <w:rsid w:val="00411ADB"/>
    <w:rsid w:val="00412390"/>
    <w:rsid w:val="00412DA3"/>
    <w:rsid w:val="00412F11"/>
    <w:rsid w:val="00413050"/>
    <w:rsid w:val="00413D07"/>
    <w:rsid w:val="00414448"/>
    <w:rsid w:val="00414756"/>
    <w:rsid w:val="004155BF"/>
    <w:rsid w:val="004156D2"/>
    <w:rsid w:val="004159BC"/>
    <w:rsid w:val="0041600D"/>
    <w:rsid w:val="00416476"/>
    <w:rsid w:val="0041664B"/>
    <w:rsid w:val="00416F16"/>
    <w:rsid w:val="0041703F"/>
    <w:rsid w:val="00417704"/>
    <w:rsid w:val="0042074A"/>
    <w:rsid w:val="00420CF4"/>
    <w:rsid w:val="00421A49"/>
    <w:rsid w:val="00422462"/>
    <w:rsid w:val="004227C7"/>
    <w:rsid w:val="004228BE"/>
    <w:rsid w:val="00422A5A"/>
    <w:rsid w:val="00423394"/>
    <w:rsid w:val="0042351F"/>
    <w:rsid w:val="00423A1A"/>
    <w:rsid w:val="00423A59"/>
    <w:rsid w:val="00423B1F"/>
    <w:rsid w:val="0042417D"/>
    <w:rsid w:val="004245E9"/>
    <w:rsid w:val="004245ED"/>
    <w:rsid w:val="00424621"/>
    <w:rsid w:val="00424E60"/>
    <w:rsid w:val="004251AF"/>
    <w:rsid w:val="00425305"/>
    <w:rsid w:val="004253D5"/>
    <w:rsid w:val="004259BC"/>
    <w:rsid w:val="00426977"/>
    <w:rsid w:val="004269A9"/>
    <w:rsid w:val="00426AA9"/>
    <w:rsid w:val="004271AA"/>
    <w:rsid w:val="00427D03"/>
    <w:rsid w:val="00427DD0"/>
    <w:rsid w:val="004309A3"/>
    <w:rsid w:val="00430C7D"/>
    <w:rsid w:val="00431558"/>
    <w:rsid w:val="00431BF6"/>
    <w:rsid w:val="00431C98"/>
    <w:rsid w:val="00432110"/>
    <w:rsid w:val="0043251C"/>
    <w:rsid w:val="004326CC"/>
    <w:rsid w:val="0043356E"/>
    <w:rsid w:val="004339EE"/>
    <w:rsid w:val="00433E1A"/>
    <w:rsid w:val="00434743"/>
    <w:rsid w:val="004349F6"/>
    <w:rsid w:val="00434EDB"/>
    <w:rsid w:val="004354A0"/>
    <w:rsid w:val="0043587C"/>
    <w:rsid w:val="00435898"/>
    <w:rsid w:val="004359EE"/>
    <w:rsid w:val="00436694"/>
    <w:rsid w:val="0043697A"/>
    <w:rsid w:val="004379A5"/>
    <w:rsid w:val="00437AE5"/>
    <w:rsid w:val="00437B3E"/>
    <w:rsid w:val="004402F0"/>
    <w:rsid w:val="004406F5"/>
    <w:rsid w:val="004408D9"/>
    <w:rsid w:val="00440E4B"/>
    <w:rsid w:val="004415C4"/>
    <w:rsid w:val="00441BEA"/>
    <w:rsid w:val="00441C37"/>
    <w:rsid w:val="004421A5"/>
    <w:rsid w:val="00442B60"/>
    <w:rsid w:val="00443D09"/>
    <w:rsid w:val="0044411E"/>
    <w:rsid w:val="0044416B"/>
    <w:rsid w:val="004441A0"/>
    <w:rsid w:val="00444769"/>
    <w:rsid w:val="00444B7B"/>
    <w:rsid w:val="00444DA1"/>
    <w:rsid w:val="004450E7"/>
    <w:rsid w:val="00445255"/>
    <w:rsid w:val="00445CD3"/>
    <w:rsid w:val="00446271"/>
    <w:rsid w:val="0044733F"/>
    <w:rsid w:val="004475A6"/>
    <w:rsid w:val="00447903"/>
    <w:rsid w:val="0044799C"/>
    <w:rsid w:val="004501BC"/>
    <w:rsid w:val="00450AFA"/>
    <w:rsid w:val="00450C8A"/>
    <w:rsid w:val="00451153"/>
    <w:rsid w:val="00451401"/>
    <w:rsid w:val="00451427"/>
    <w:rsid w:val="0045171E"/>
    <w:rsid w:val="0045183F"/>
    <w:rsid w:val="004520BB"/>
    <w:rsid w:val="004521C5"/>
    <w:rsid w:val="00452CB1"/>
    <w:rsid w:val="00452CE1"/>
    <w:rsid w:val="00452E78"/>
    <w:rsid w:val="00452EF0"/>
    <w:rsid w:val="0045360D"/>
    <w:rsid w:val="00453662"/>
    <w:rsid w:val="00454037"/>
    <w:rsid w:val="004548C5"/>
    <w:rsid w:val="00455900"/>
    <w:rsid w:val="004559BF"/>
    <w:rsid w:val="00455F61"/>
    <w:rsid w:val="004565D3"/>
    <w:rsid w:val="00456798"/>
    <w:rsid w:val="00456808"/>
    <w:rsid w:val="004569F6"/>
    <w:rsid w:val="00457016"/>
    <w:rsid w:val="00457F0C"/>
    <w:rsid w:val="00460962"/>
    <w:rsid w:val="00460CDA"/>
    <w:rsid w:val="00460D50"/>
    <w:rsid w:val="00460E5F"/>
    <w:rsid w:val="00462211"/>
    <w:rsid w:val="00462243"/>
    <w:rsid w:val="0046293E"/>
    <w:rsid w:val="00462FD8"/>
    <w:rsid w:val="00463F57"/>
    <w:rsid w:val="00464459"/>
    <w:rsid w:val="0046492C"/>
    <w:rsid w:val="00464EE6"/>
    <w:rsid w:val="004650CE"/>
    <w:rsid w:val="0046510B"/>
    <w:rsid w:val="00465384"/>
    <w:rsid w:val="00465606"/>
    <w:rsid w:val="0046585F"/>
    <w:rsid w:val="0046618B"/>
    <w:rsid w:val="004665B2"/>
    <w:rsid w:val="00466CF4"/>
    <w:rsid w:val="004672E4"/>
    <w:rsid w:val="004675E9"/>
    <w:rsid w:val="00470322"/>
    <w:rsid w:val="00470592"/>
    <w:rsid w:val="00470BDA"/>
    <w:rsid w:val="00470D26"/>
    <w:rsid w:val="004713E3"/>
    <w:rsid w:val="00471449"/>
    <w:rsid w:val="0047155C"/>
    <w:rsid w:val="004715A1"/>
    <w:rsid w:val="0047161E"/>
    <w:rsid w:val="00472380"/>
    <w:rsid w:val="004727A9"/>
    <w:rsid w:val="004727B1"/>
    <w:rsid w:val="004727F5"/>
    <w:rsid w:val="00472A39"/>
    <w:rsid w:val="004739BA"/>
    <w:rsid w:val="00473FBC"/>
    <w:rsid w:val="0047459A"/>
    <w:rsid w:val="0047604D"/>
    <w:rsid w:val="00476800"/>
    <w:rsid w:val="0047769A"/>
    <w:rsid w:val="0048054E"/>
    <w:rsid w:val="00480822"/>
    <w:rsid w:val="00480E84"/>
    <w:rsid w:val="00480EB6"/>
    <w:rsid w:val="004812D3"/>
    <w:rsid w:val="004815A7"/>
    <w:rsid w:val="00481738"/>
    <w:rsid w:val="004817D3"/>
    <w:rsid w:val="00481965"/>
    <w:rsid w:val="00481A8F"/>
    <w:rsid w:val="00481E3A"/>
    <w:rsid w:val="004822E0"/>
    <w:rsid w:val="00482994"/>
    <w:rsid w:val="00482E31"/>
    <w:rsid w:val="00482EAE"/>
    <w:rsid w:val="00483180"/>
    <w:rsid w:val="0048350F"/>
    <w:rsid w:val="00484902"/>
    <w:rsid w:val="00484B7A"/>
    <w:rsid w:val="00485886"/>
    <w:rsid w:val="004861D6"/>
    <w:rsid w:val="004861E8"/>
    <w:rsid w:val="0048627C"/>
    <w:rsid w:val="00486330"/>
    <w:rsid w:val="0048651D"/>
    <w:rsid w:val="0048680E"/>
    <w:rsid w:val="00486C6E"/>
    <w:rsid w:val="004870E0"/>
    <w:rsid w:val="0048748F"/>
    <w:rsid w:val="0048797F"/>
    <w:rsid w:val="00487D20"/>
    <w:rsid w:val="0049009D"/>
    <w:rsid w:val="00490554"/>
    <w:rsid w:val="00490D34"/>
    <w:rsid w:val="00490DA5"/>
    <w:rsid w:val="00491F59"/>
    <w:rsid w:val="00492145"/>
    <w:rsid w:val="00492729"/>
    <w:rsid w:val="00492ADE"/>
    <w:rsid w:val="00492C64"/>
    <w:rsid w:val="00492FFE"/>
    <w:rsid w:val="00493399"/>
    <w:rsid w:val="0049343B"/>
    <w:rsid w:val="00493F8B"/>
    <w:rsid w:val="00494215"/>
    <w:rsid w:val="0049427B"/>
    <w:rsid w:val="0049454E"/>
    <w:rsid w:val="00495DC5"/>
    <w:rsid w:val="0049646C"/>
    <w:rsid w:val="00496547"/>
    <w:rsid w:val="00496D0B"/>
    <w:rsid w:val="00496D18"/>
    <w:rsid w:val="00496DEC"/>
    <w:rsid w:val="00496E44"/>
    <w:rsid w:val="00496F0A"/>
    <w:rsid w:val="00497715"/>
    <w:rsid w:val="00497722"/>
    <w:rsid w:val="004977F0"/>
    <w:rsid w:val="00497D59"/>
    <w:rsid w:val="004A0780"/>
    <w:rsid w:val="004A1A7B"/>
    <w:rsid w:val="004A2048"/>
    <w:rsid w:val="004A2445"/>
    <w:rsid w:val="004A2A82"/>
    <w:rsid w:val="004A3274"/>
    <w:rsid w:val="004A4036"/>
    <w:rsid w:val="004A4558"/>
    <w:rsid w:val="004A4580"/>
    <w:rsid w:val="004A4810"/>
    <w:rsid w:val="004A4AE0"/>
    <w:rsid w:val="004A51E5"/>
    <w:rsid w:val="004A570F"/>
    <w:rsid w:val="004A5C65"/>
    <w:rsid w:val="004A6A01"/>
    <w:rsid w:val="004A72FE"/>
    <w:rsid w:val="004A7888"/>
    <w:rsid w:val="004A7C84"/>
    <w:rsid w:val="004A7CBF"/>
    <w:rsid w:val="004B05F9"/>
    <w:rsid w:val="004B0911"/>
    <w:rsid w:val="004B0AEB"/>
    <w:rsid w:val="004B0E04"/>
    <w:rsid w:val="004B149D"/>
    <w:rsid w:val="004B153A"/>
    <w:rsid w:val="004B1AF5"/>
    <w:rsid w:val="004B1C32"/>
    <w:rsid w:val="004B2370"/>
    <w:rsid w:val="004B24B2"/>
    <w:rsid w:val="004B29C1"/>
    <w:rsid w:val="004B2F69"/>
    <w:rsid w:val="004B3105"/>
    <w:rsid w:val="004B3838"/>
    <w:rsid w:val="004B4285"/>
    <w:rsid w:val="004B47A1"/>
    <w:rsid w:val="004B4CCD"/>
    <w:rsid w:val="004B4E8C"/>
    <w:rsid w:val="004B5272"/>
    <w:rsid w:val="004B5881"/>
    <w:rsid w:val="004B5DE9"/>
    <w:rsid w:val="004B62CB"/>
    <w:rsid w:val="004B64C2"/>
    <w:rsid w:val="004B6BFE"/>
    <w:rsid w:val="004B6D5C"/>
    <w:rsid w:val="004B71F8"/>
    <w:rsid w:val="004B740C"/>
    <w:rsid w:val="004B79FE"/>
    <w:rsid w:val="004C0864"/>
    <w:rsid w:val="004C08FD"/>
    <w:rsid w:val="004C0C0A"/>
    <w:rsid w:val="004C11C1"/>
    <w:rsid w:val="004C15D2"/>
    <w:rsid w:val="004C163B"/>
    <w:rsid w:val="004C170A"/>
    <w:rsid w:val="004C170E"/>
    <w:rsid w:val="004C1E91"/>
    <w:rsid w:val="004C2171"/>
    <w:rsid w:val="004C2836"/>
    <w:rsid w:val="004C286F"/>
    <w:rsid w:val="004C2E7B"/>
    <w:rsid w:val="004C35BA"/>
    <w:rsid w:val="004C3FF1"/>
    <w:rsid w:val="004C3FFC"/>
    <w:rsid w:val="004C41D1"/>
    <w:rsid w:val="004C41F5"/>
    <w:rsid w:val="004C4251"/>
    <w:rsid w:val="004C45D5"/>
    <w:rsid w:val="004C4761"/>
    <w:rsid w:val="004C4ACE"/>
    <w:rsid w:val="004C4CE2"/>
    <w:rsid w:val="004C4EBD"/>
    <w:rsid w:val="004C58D7"/>
    <w:rsid w:val="004C5C3B"/>
    <w:rsid w:val="004C6846"/>
    <w:rsid w:val="004C6AC5"/>
    <w:rsid w:val="004C6BFA"/>
    <w:rsid w:val="004C6D31"/>
    <w:rsid w:val="004C7235"/>
    <w:rsid w:val="004C735F"/>
    <w:rsid w:val="004C736A"/>
    <w:rsid w:val="004C7372"/>
    <w:rsid w:val="004C7690"/>
    <w:rsid w:val="004D0F75"/>
    <w:rsid w:val="004D1555"/>
    <w:rsid w:val="004D1686"/>
    <w:rsid w:val="004D169C"/>
    <w:rsid w:val="004D1772"/>
    <w:rsid w:val="004D24D8"/>
    <w:rsid w:val="004D25B2"/>
    <w:rsid w:val="004D2CB5"/>
    <w:rsid w:val="004D2D28"/>
    <w:rsid w:val="004D39E6"/>
    <w:rsid w:val="004D3AD0"/>
    <w:rsid w:val="004D447E"/>
    <w:rsid w:val="004D46C5"/>
    <w:rsid w:val="004D49CA"/>
    <w:rsid w:val="004D4CE0"/>
    <w:rsid w:val="004D5763"/>
    <w:rsid w:val="004D5F38"/>
    <w:rsid w:val="004D62D6"/>
    <w:rsid w:val="004D642D"/>
    <w:rsid w:val="004D64A5"/>
    <w:rsid w:val="004D655A"/>
    <w:rsid w:val="004D67D4"/>
    <w:rsid w:val="004D74E6"/>
    <w:rsid w:val="004D7932"/>
    <w:rsid w:val="004D7AA3"/>
    <w:rsid w:val="004E00DE"/>
    <w:rsid w:val="004E04C4"/>
    <w:rsid w:val="004E0ADF"/>
    <w:rsid w:val="004E0B67"/>
    <w:rsid w:val="004E0F81"/>
    <w:rsid w:val="004E1467"/>
    <w:rsid w:val="004E204E"/>
    <w:rsid w:val="004E24D8"/>
    <w:rsid w:val="004E3874"/>
    <w:rsid w:val="004E408B"/>
    <w:rsid w:val="004E51DF"/>
    <w:rsid w:val="004E5444"/>
    <w:rsid w:val="004E55D5"/>
    <w:rsid w:val="004E5707"/>
    <w:rsid w:val="004E5B03"/>
    <w:rsid w:val="004E611C"/>
    <w:rsid w:val="004E64B5"/>
    <w:rsid w:val="004E64E1"/>
    <w:rsid w:val="004E68C0"/>
    <w:rsid w:val="004E693B"/>
    <w:rsid w:val="004E7327"/>
    <w:rsid w:val="004E7470"/>
    <w:rsid w:val="004F0102"/>
    <w:rsid w:val="004F059F"/>
    <w:rsid w:val="004F0809"/>
    <w:rsid w:val="004F0A17"/>
    <w:rsid w:val="004F0CD0"/>
    <w:rsid w:val="004F0F94"/>
    <w:rsid w:val="004F11CC"/>
    <w:rsid w:val="004F1692"/>
    <w:rsid w:val="004F1B2D"/>
    <w:rsid w:val="004F1BF9"/>
    <w:rsid w:val="004F1C92"/>
    <w:rsid w:val="004F1D10"/>
    <w:rsid w:val="004F2399"/>
    <w:rsid w:val="004F2F9D"/>
    <w:rsid w:val="004F2FC2"/>
    <w:rsid w:val="004F324F"/>
    <w:rsid w:val="004F32AC"/>
    <w:rsid w:val="004F4233"/>
    <w:rsid w:val="004F42AF"/>
    <w:rsid w:val="004F4F04"/>
    <w:rsid w:val="004F4F0F"/>
    <w:rsid w:val="004F5154"/>
    <w:rsid w:val="004F51CA"/>
    <w:rsid w:val="004F5711"/>
    <w:rsid w:val="004F57CA"/>
    <w:rsid w:val="004F583A"/>
    <w:rsid w:val="004F6025"/>
    <w:rsid w:val="004F678F"/>
    <w:rsid w:val="004F6A61"/>
    <w:rsid w:val="004F6BB0"/>
    <w:rsid w:val="004F6BB5"/>
    <w:rsid w:val="004F6E58"/>
    <w:rsid w:val="004F6F98"/>
    <w:rsid w:val="004F742E"/>
    <w:rsid w:val="004F7576"/>
    <w:rsid w:val="004F76EF"/>
    <w:rsid w:val="004F7830"/>
    <w:rsid w:val="004F7960"/>
    <w:rsid w:val="004F7F82"/>
    <w:rsid w:val="005002F1"/>
    <w:rsid w:val="00500383"/>
    <w:rsid w:val="0050047A"/>
    <w:rsid w:val="00500864"/>
    <w:rsid w:val="00501163"/>
    <w:rsid w:val="0050131E"/>
    <w:rsid w:val="00501367"/>
    <w:rsid w:val="00501A15"/>
    <w:rsid w:val="00501ABD"/>
    <w:rsid w:val="00501ECF"/>
    <w:rsid w:val="00502220"/>
    <w:rsid w:val="00502A69"/>
    <w:rsid w:val="00502B85"/>
    <w:rsid w:val="00502BFB"/>
    <w:rsid w:val="0050312D"/>
    <w:rsid w:val="0050332E"/>
    <w:rsid w:val="00503655"/>
    <w:rsid w:val="00503B4B"/>
    <w:rsid w:val="00503EB6"/>
    <w:rsid w:val="00504128"/>
    <w:rsid w:val="0050430E"/>
    <w:rsid w:val="00504573"/>
    <w:rsid w:val="0050488A"/>
    <w:rsid w:val="00504999"/>
    <w:rsid w:val="00504B4C"/>
    <w:rsid w:val="00504C88"/>
    <w:rsid w:val="005051F4"/>
    <w:rsid w:val="00505CAC"/>
    <w:rsid w:val="00505D10"/>
    <w:rsid w:val="005061C4"/>
    <w:rsid w:val="00506EDC"/>
    <w:rsid w:val="00507157"/>
    <w:rsid w:val="0050736E"/>
    <w:rsid w:val="00507953"/>
    <w:rsid w:val="00510093"/>
    <w:rsid w:val="00510198"/>
    <w:rsid w:val="00510651"/>
    <w:rsid w:val="00510CE7"/>
    <w:rsid w:val="00511651"/>
    <w:rsid w:val="0051170F"/>
    <w:rsid w:val="005119C3"/>
    <w:rsid w:val="00511F02"/>
    <w:rsid w:val="0051224A"/>
    <w:rsid w:val="005137E3"/>
    <w:rsid w:val="00513C57"/>
    <w:rsid w:val="005144AD"/>
    <w:rsid w:val="00515688"/>
    <w:rsid w:val="00515A0E"/>
    <w:rsid w:val="00515F54"/>
    <w:rsid w:val="005161F2"/>
    <w:rsid w:val="005167ED"/>
    <w:rsid w:val="00516A45"/>
    <w:rsid w:val="005175C9"/>
    <w:rsid w:val="00517DAE"/>
    <w:rsid w:val="00517FE3"/>
    <w:rsid w:val="005200CF"/>
    <w:rsid w:val="00520748"/>
    <w:rsid w:val="005209CC"/>
    <w:rsid w:val="00520DE4"/>
    <w:rsid w:val="00520EB3"/>
    <w:rsid w:val="00521B69"/>
    <w:rsid w:val="00521D83"/>
    <w:rsid w:val="00521E59"/>
    <w:rsid w:val="0052278A"/>
    <w:rsid w:val="00522DFC"/>
    <w:rsid w:val="00522FCD"/>
    <w:rsid w:val="00523068"/>
    <w:rsid w:val="005233F7"/>
    <w:rsid w:val="00523683"/>
    <w:rsid w:val="00523B4D"/>
    <w:rsid w:val="00523E44"/>
    <w:rsid w:val="00524D3A"/>
    <w:rsid w:val="00525327"/>
    <w:rsid w:val="00525DFD"/>
    <w:rsid w:val="0052644E"/>
    <w:rsid w:val="00526766"/>
    <w:rsid w:val="005269C7"/>
    <w:rsid w:val="00527746"/>
    <w:rsid w:val="00527FA4"/>
    <w:rsid w:val="00530038"/>
    <w:rsid w:val="00530409"/>
    <w:rsid w:val="005306BE"/>
    <w:rsid w:val="00530BEB"/>
    <w:rsid w:val="00530EEA"/>
    <w:rsid w:val="00531A43"/>
    <w:rsid w:val="00531C18"/>
    <w:rsid w:val="005322A0"/>
    <w:rsid w:val="00532826"/>
    <w:rsid w:val="00532B82"/>
    <w:rsid w:val="00532F30"/>
    <w:rsid w:val="00533318"/>
    <w:rsid w:val="00533558"/>
    <w:rsid w:val="005337CE"/>
    <w:rsid w:val="0053393C"/>
    <w:rsid w:val="005339CF"/>
    <w:rsid w:val="00533FB2"/>
    <w:rsid w:val="00534665"/>
    <w:rsid w:val="00535552"/>
    <w:rsid w:val="00535923"/>
    <w:rsid w:val="0053592C"/>
    <w:rsid w:val="00535A33"/>
    <w:rsid w:val="00536543"/>
    <w:rsid w:val="0053662A"/>
    <w:rsid w:val="00536905"/>
    <w:rsid w:val="00536F0A"/>
    <w:rsid w:val="005370EB"/>
    <w:rsid w:val="005372E7"/>
    <w:rsid w:val="0053762B"/>
    <w:rsid w:val="005377F9"/>
    <w:rsid w:val="00537B18"/>
    <w:rsid w:val="00537CA2"/>
    <w:rsid w:val="0054053D"/>
    <w:rsid w:val="0054075E"/>
    <w:rsid w:val="00541831"/>
    <w:rsid w:val="00543C66"/>
    <w:rsid w:val="00544072"/>
    <w:rsid w:val="00544215"/>
    <w:rsid w:val="00544975"/>
    <w:rsid w:val="00544B2E"/>
    <w:rsid w:val="005452DF"/>
    <w:rsid w:val="00545341"/>
    <w:rsid w:val="0054583D"/>
    <w:rsid w:val="005458BF"/>
    <w:rsid w:val="005458E1"/>
    <w:rsid w:val="00545B50"/>
    <w:rsid w:val="00545BF7"/>
    <w:rsid w:val="00546155"/>
    <w:rsid w:val="00546216"/>
    <w:rsid w:val="0054627D"/>
    <w:rsid w:val="0054629F"/>
    <w:rsid w:val="005466A8"/>
    <w:rsid w:val="00546A5F"/>
    <w:rsid w:val="00550626"/>
    <w:rsid w:val="00550B9E"/>
    <w:rsid w:val="00550BE7"/>
    <w:rsid w:val="0055112F"/>
    <w:rsid w:val="00551EA7"/>
    <w:rsid w:val="0055243D"/>
    <w:rsid w:val="00553101"/>
    <w:rsid w:val="005531AF"/>
    <w:rsid w:val="00553BC0"/>
    <w:rsid w:val="00553E75"/>
    <w:rsid w:val="005543F0"/>
    <w:rsid w:val="005554FA"/>
    <w:rsid w:val="005558DB"/>
    <w:rsid w:val="00556D94"/>
    <w:rsid w:val="005570CC"/>
    <w:rsid w:val="0055728C"/>
    <w:rsid w:val="005579A3"/>
    <w:rsid w:val="00557A87"/>
    <w:rsid w:val="00557B1C"/>
    <w:rsid w:val="00557C09"/>
    <w:rsid w:val="0056078A"/>
    <w:rsid w:val="00560D05"/>
    <w:rsid w:val="0056124E"/>
    <w:rsid w:val="00562EC3"/>
    <w:rsid w:val="005640A3"/>
    <w:rsid w:val="005648AD"/>
    <w:rsid w:val="00564F79"/>
    <w:rsid w:val="00565173"/>
    <w:rsid w:val="005657D5"/>
    <w:rsid w:val="005660AB"/>
    <w:rsid w:val="00566C35"/>
    <w:rsid w:val="00566CCA"/>
    <w:rsid w:val="00566E9D"/>
    <w:rsid w:val="005673B0"/>
    <w:rsid w:val="005677D5"/>
    <w:rsid w:val="0056784B"/>
    <w:rsid w:val="00570032"/>
    <w:rsid w:val="00570D80"/>
    <w:rsid w:val="00571295"/>
    <w:rsid w:val="005717BD"/>
    <w:rsid w:val="005724B8"/>
    <w:rsid w:val="00572721"/>
    <w:rsid w:val="00572998"/>
    <w:rsid w:val="00572DAD"/>
    <w:rsid w:val="00574DB0"/>
    <w:rsid w:val="00575D7A"/>
    <w:rsid w:val="00575F04"/>
    <w:rsid w:val="00576987"/>
    <w:rsid w:val="00576C26"/>
    <w:rsid w:val="00576EF4"/>
    <w:rsid w:val="0057707B"/>
    <w:rsid w:val="005771D1"/>
    <w:rsid w:val="00580010"/>
    <w:rsid w:val="00580030"/>
    <w:rsid w:val="0058023E"/>
    <w:rsid w:val="005805BA"/>
    <w:rsid w:val="0058071A"/>
    <w:rsid w:val="0058075C"/>
    <w:rsid w:val="005809CA"/>
    <w:rsid w:val="00580AF6"/>
    <w:rsid w:val="00580D15"/>
    <w:rsid w:val="00580ECA"/>
    <w:rsid w:val="0058159F"/>
    <w:rsid w:val="00581AB8"/>
    <w:rsid w:val="00581D2D"/>
    <w:rsid w:val="00581FE3"/>
    <w:rsid w:val="00582782"/>
    <w:rsid w:val="005829A5"/>
    <w:rsid w:val="00583A26"/>
    <w:rsid w:val="005843A5"/>
    <w:rsid w:val="0058452B"/>
    <w:rsid w:val="00584BFE"/>
    <w:rsid w:val="005853F5"/>
    <w:rsid w:val="00585571"/>
    <w:rsid w:val="005856BC"/>
    <w:rsid w:val="00585B09"/>
    <w:rsid w:val="00586992"/>
    <w:rsid w:val="00587126"/>
    <w:rsid w:val="00587CD7"/>
    <w:rsid w:val="00587D42"/>
    <w:rsid w:val="00587DE9"/>
    <w:rsid w:val="00587F31"/>
    <w:rsid w:val="00590031"/>
    <w:rsid w:val="00590602"/>
    <w:rsid w:val="0059094C"/>
    <w:rsid w:val="00590A5E"/>
    <w:rsid w:val="00590BB6"/>
    <w:rsid w:val="00590DC6"/>
    <w:rsid w:val="00591145"/>
    <w:rsid w:val="005913D0"/>
    <w:rsid w:val="005923F2"/>
    <w:rsid w:val="0059249F"/>
    <w:rsid w:val="00592CF0"/>
    <w:rsid w:val="00593309"/>
    <w:rsid w:val="00593D0D"/>
    <w:rsid w:val="00593DAA"/>
    <w:rsid w:val="00594634"/>
    <w:rsid w:val="00594E43"/>
    <w:rsid w:val="00594F8C"/>
    <w:rsid w:val="00594FBE"/>
    <w:rsid w:val="005951D8"/>
    <w:rsid w:val="0059577E"/>
    <w:rsid w:val="00595CF4"/>
    <w:rsid w:val="00595EFD"/>
    <w:rsid w:val="00595F28"/>
    <w:rsid w:val="00596638"/>
    <w:rsid w:val="00596C68"/>
    <w:rsid w:val="00596F89"/>
    <w:rsid w:val="0059725F"/>
    <w:rsid w:val="005974F2"/>
    <w:rsid w:val="00597539"/>
    <w:rsid w:val="005975EF"/>
    <w:rsid w:val="005976AE"/>
    <w:rsid w:val="00597700"/>
    <w:rsid w:val="005A0826"/>
    <w:rsid w:val="005A0BD6"/>
    <w:rsid w:val="005A0C4F"/>
    <w:rsid w:val="005A0D5D"/>
    <w:rsid w:val="005A152E"/>
    <w:rsid w:val="005A1551"/>
    <w:rsid w:val="005A1AC0"/>
    <w:rsid w:val="005A1F10"/>
    <w:rsid w:val="005A2273"/>
    <w:rsid w:val="005A244D"/>
    <w:rsid w:val="005A2EC5"/>
    <w:rsid w:val="005A3260"/>
    <w:rsid w:val="005A339B"/>
    <w:rsid w:val="005A3FF4"/>
    <w:rsid w:val="005A4F1D"/>
    <w:rsid w:val="005A5136"/>
    <w:rsid w:val="005A5D99"/>
    <w:rsid w:val="005A657C"/>
    <w:rsid w:val="005A6690"/>
    <w:rsid w:val="005A6BC4"/>
    <w:rsid w:val="005B0450"/>
    <w:rsid w:val="005B04F1"/>
    <w:rsid w:val="005B0536"/>
    <w:rsid w:val="005B0ECD"/>
    <w:rsid w:val="005B1C90"/>
    <w:rsid w:val="005B20D4"/>
    <w:rsid w:val="005B2766"/>
    <w:rsid w:val="005B28FA"/>
    <w:rsid w:val="005B2E46"/>
    <w:rsid w:val="005B2F76"/>
    <w:rsid w:val="005B351B"/>
    <w:rsid w:val="005B3785"/>
    <w:rsid w:val="005B3B4F"/>
    <w:rsid w:val="005B4431"/>
    <w:rsid w:val="005B447A"/>
    <w:rsid w:val="005B45DB"/>
    <w:rsid w:val="005B4A78"/>
    <w:rsid w:val="005B4ABB"/>
    <w:rsid w:val="005B535A"/>
    <w:rsid w:val="005B5C20"/>
    <w:rsid w:val="005B5D90"/>
    <w:rsid w:val="005B601A"/>
    <w:rsid w:val="005B7099"/>
    <w:rsid w:val="005B71B3"/>
    <w:rsid w:val="005B78AD"/>
    <w:rsid w:val="005B7BC5"/>
    <w:rsid w:val="005C06BE"/>
    <w:rsid w:val="005C0CB3"/>
    <w:rsid w:val="005C0DDE"/>
    <w:rsid w:val="005C10B3"/>
    <w:rsid w:val="005C1870"/>
    <w:rsid w:val="005C1FA0"/>
    <w:rsid w:val="005C1FE0"/>
    <w:rsid w:val="005C2407"/>
    <w:rsid w:val="005C2530"/>
    <w:rsid w:val="005C27F0"/>
    <w:rsid w:val="005C3F38"/>
    <w:rsid w:val="005C4056"/>
    <w:rsid w:val="005C40BB"/>
    <w:rsid w:val="005C526A"/>
    <w:rsid w:val="005C5285"/>
    <w:rsid w:val="005C5445"/>
    <w:rsid w:val="005C55F1"/>
    <w:rsid w:val="005C5BBE"/>
    <w:rsid w:val="005C6045"/>
    <w:rsid w:val="005C640F"/>
    <w:rsid w:val="005C661D"/>
    <w:rsid w:val="005C6683"/>
    <w:rsid w:val="005C6940"/>
    <w:rsid w:val="005C6968"/>
    <w:rsid w:val="005C73FB"/>
    <w:rsid w:val="005C7914"/>
    <w:rsid w:val="005C7BC4"/>
    <w:rsid w:val="005D0AE7"/>
    <w:rsid w:val="005D17F9"/>
    <w:rsid w:val="005D1A5A"/>
    <w:rsid w:val="005D1F29"/>
    <w:rsid w:val="005D2003"/>
    <w:rsid w:val="005D2E76"/>
    <w:rsid w:val="005D4266"/>
    <w:rsid w:val="005D4818"/>
    <w:rsid w:val="005D481D"/>
    <w:rsid w:val="005D4BE9"/>
    <w:rsid w:val="005D59CF"/>
    <w:rsid w:val="005D5A3E"/>
    <w:rsid w:val="005D5DB0"/>
    <w:rsid w:val="005D5DED"/>
    <w:rsid w:val="005D5E81"/>
    <w:rsid w:val="005D6653"/>
    <w:rsid w:val="005D6D52"/>
    <w:rsid w:val="005D751B"/>
    <w:rsid w:val="005D7A55"/>
    <w:rsid w:val="005D7FCE"/>
    <w:rsid w:val="005E0B16"/>
    <w:rsid w:val="005E0D12"/>
    <w:rsid w:val="005E115F"/>
    <w:rsid w:val="005E1826"/>
    <w:rsid w:val="005E1A3D"/>
    <w:rsid w:val="005E255D"/>
    <w:rsid w:val="005E3147"/>
    <w:rsid w:val="005E370E"/>
    <w:rsid w:val="005E38B3"/>
    <w:rsid w:val="005E390F"/>
    <w:rsid w:val="005E48A4"/>
    <w:rsid w:val="005E4D16"/>
    <w:rsid w:val="005E588F"/>
    <w:rsid w:val="005E5B72"/>
    <w:rsid w:val="005E5E94"/>
    <w:rsid w:val="005E62DD"/>
    <w:rsid w:val="005E6CBA"/>
    <w:rsid w:val="005E7EB8"/>
    <w:rsid w:val="005F0E2B"/>
    <w:rsid w:val="005F104E"/>
    <w:rsid w:val="005F121D"/>
    <w:rsid w:val="005F188A"/>
    <w:rsid w:val="005F1B61"/>
    <w:rsid w:val="005F1D71"/>
    <w:rsid w:val="005F27D6"/>
    <w:rsid w:val="005F2947"/>
    <w:rsid w:val="005F2A52"/>
    <w:rsid w:val="005F2AA3"/>
    <w:rsid w:val="005F2B71"/>
    <w:rsid w:val="005F40FD"/>
    <w:rsid w:val="005F514A"/>
    <w:rsid w:val="005F5E58"/>
    <w:rsid w:val="005F64EB"/>
    <w:rsid w:val="005F6981"/>
    <w:rsid w:val="00600ACD"/>
    <w:rsid w:val="00600AF4"/>
    <w:rsid w:val="00601AFD"/>
    <w:rsid w:val="00601C27"/>
    <w:rsid w:val="0060270A"/>
    <w:rsid w:val="0060271A"/>
    <w:rsid w:val="00602A15"/>
    <w:rsid w:val="0060333E"/>
    <w:rsid w:val="0060368E"/>
    <w:rsid w:val="0060396C"/>
    <w:rsid w:val="00603FDA"/>
    <w:rsid w:val="006041CD"/>
    <w:rsid w:val="00604C15"/>
    <w:rsid w:val="00607238"/>
    <w:rsid w:val="00607402"/>
    <w:rsid w:val="00607452"/>
    <w:rsid w:val="00607A29"/>
    <w:rsid w:val="006108D3"/>
    <w:rsid w:val="00610B67"/>
    <w:rsid w:val="00610BB7"/>
    <w:rsid w:val="006113A8"/>
    <w:rsid w:val="006114B3"/>
    <w:rsid w:val="00611C6C"/>
    <w:rsid w:val="0061213E"/>
    <w:rsid w:val="006129E0"/>
    <w:rsid w:val="006132C3"/>
    <w:rsid w:val="00613BC6"/>
    <w:rsid w:val="0061426C"/>
    <w:rsid w:val="0061501D"/>
    <w:rsid w:val="0061555B"/>
    <w:rsid w:val="00615602"/>
    <w:rsid w:val="00615A70"/>
    <w:rsid w:val="00615BF7"/>
    <w:rsid w:val="00615EFE"/>
    <w:rsid w:val="006161F7"/>
    <w:rsid w:val="006162DD"/>
    <w:rsid w:val="00616460"/>
    <w:rsid w:val="00616607"/>
    <w:rsid w:val="00617943"/>
    <w:rsid w:val="006206CD"/>
    <w:rsid w:val="00620844"/>
    <w:rsid w:val="0062169E"/>
    <w:rsid w:val="00622399"/>
    <w:rsid w:val="006236D3"/>
    <w:rsid w:val="00623C8E"/>
    <w:rsid w:val="006241CC"/>
    <w:rsid w:val="00624B2F"/>
    <w:rsid w:val="00624E6C"/>
    <w:rsid w:val="0062538B"/>
    <w:rsid w:val="00625641"/>
    <w:rsid w:val="00625B64"/>
    <w:rsid w:val="00625F9B"/>
    <w:rsid w:val="0062791A"/>
    <w:rsid w:val="00627C6B"/>
    <w:rsid w:val="00627E9C"/>
    <w:rsid w:val="00627F03"/>
    <w:rsid w:val="006301E1"/>
    <w:rsid w:val="00630A02"/>
    <w:rsid w:val="00630FC6"/>
    <w:rsid w:val="00631578"/>
    <w:rsid w:val="00632351"/>
    <w:rsid w:val="006327F9"/>
    <w:rsid w:val="0063297B"/>
    <w:rsid w:val="0063318D"/>
    <w:rsid w:val="006336F8"/>
    <w:rsid w:val="0063427A"/>
    <w:rsid w:val="0063458B"/>
    <w:rsid w:val="0063496E"/>
    <w:rsid w:val="00634BE4"/>
    <w:rsid w:val="00634E70"/>
    <w:rsid w:val="00634EA8"/>
    <w:rsid w:val="00635539"/>
    <w:rsid w:val="00636437"/>
    <w:rsid w:val="00636A9D"/>
    <w:rsid w:val="0063710F"/>
    <w:rsid w:val="00637522"/>
    <w:rsid w:val="00637701"/>
    <w:rsid w:val="00637EC6"/>
    <w:rsid w:val="00640630"/>
    <w:rsid w:val="0064064D"/>
    <w:rsid w:val="006408E1"/>
    <w:rsid w:val="00640E5A"/>
    <w:rsid w:val="006414DD"/>
    <w:rsid w:val="00641BA2"/>
    <w:rsid w:val="00641D64"/>
    <w:rsid w:val="006424DD"/>
    <w:rsid w:val="00642852"/>
    <w:rsid w:val="006428F9"/>
    <w:rsid w:val="00642F5A"/>
    <w:rsid w:val="006430A8"/>
    <w:rsid w:val="00643861"/>
    <w:rsid w:val="00643DC4"/>
    <w:rsid w:val="00643F33"/>
    <w:rsid w:val="00644539"/>
    <w:rsid w:val="006445BD"/>
    <w:rsid w:val="006450DF"/>
    <w:rsid w:val="006451B0"/>
    <w:rsid w:val="00646364"/>
    <w:rsid w:val="00646410"/>
    <w:rsid w:val="0064698E"/>
    <w:rsid w:val="00646B9A"/>
    <w:rsid w:val="00647621"/>
    <w:rsid w:val="0064783B"/>
    <w:rsid w:val="00647872"/>
    <w:rsid w:val="00647E71"/>
    <w:rsid w:val="006500C8"/>
    <w:rsid w:val="00650548"/>
    <w:rsid w:val="006507CA"/>
    <w:rsid w:val="006507DC"/>
    <w:rsid w:val="00650B09"/>
    <w:rsid w:val="00650D73"/>
    <w:rsid w:val="00651306"/>
    <w:rsid w:val="0065155D"/>
    <w:rsid w:val="00651BE7"/>
    <w:rsid w:val="0065247E"/>
    <w:rsid w:val="0065253A"/>
    <w:rsid w:val="006528A4"/>
    <w:rsid w:val="00652C54"/>
    <w:rsid w:val="00652E1E"/>
    <w:rsid w:val="006538BA"/>
    <w:rsid w:val="0065397A"/>
    <w:rsid w:val="00653A4A"/>
    <w:rsid w:val="00653BA8"/>
    <w:rsid w:val="00653E70"/>
    <w:rsid w:val="006543D1"/>
    <w:rsid w:val="0065462C"/>
    <w:rsid w:val="00654A2F"/>
    <w:rsid w:val="006551F9"/>
    <w:rsid w:val="006552B6"/>
    <w:rsid w:val="00655596"/>
    <w:rsid w:val="00655712"/>
    <w:rsid w:val="00655809"/>
    <w:rsid w:val="00655A46"/>
    <w:rsid w:val="00655CF1"/>
    <w:rsid w:val="00655F51"/>
    <w:rsid w:val="006560EE"/>
    <w:rsid w:val="00656293"/>
    <w:rsid w:val="006563A6"/>
    <w:rsid w:val="0065655D"/>
    <w:rsid w:val="00657014"/>
    <w:rsid w:val="006572D3"/>
    <w:rsid w:val="00657BA4"/>
    <w:rsid w:val="00657C11"/>
    <w:rsid w:val="00657D60"/>
    <w:rsid w:val="00657DC1"/>
    <w:rsid w:val="006604C4"/>
    <w:rsid w:val="00661704"/>
    <w:rsid w:val="00662549"/>
    <w:rsid w:val="00662822"/>
    <w:rsid w:val="00663B15"/>
    <w:rsid w:val="0066405D"/>
    <w:rsid w:val="006642D2"/>
    <w:rsid w:val="00664A0A"/>
    <w:rsid w:val="00664D97"/>
    <w:rsid w:val="00664ED4"/>
    <w:rsid w:val="00664F4C"/>
    <w:rsid w:val="006659B3"/>
    <w:rsid w:val="00666A8D"/>
    <w:rsid w:val="00666C06"/>
    <w:rsid w:val="006671F0"/>
    <w:rsid w:val="00667479"/>
    <w:rsid w:val="00667AE9"/>
    <w:rsid w:val="00667C41"/>
    <w:rsid w:val="00667C4C"/>
    <w:rsid w:val="0067084A"/>
    <w:rsid w:val="00671860"/>
    <w:rsid w:val="00671AAC"/>
    <w:rsid w:val="006723FB"/>
    <w:rsid w:val="0067291A"/>
    <w:rsid w:val="00672FCE"/>
    <w:rsid w:val="006732D8"/>
    <w:rsid w:val="0067360C"/>
    <w:rsid w:val="006736EB"/>
    <w:rsid w:val="00673B6B"/>
    <w:rsid w:val="00673D1E"/>
    <w:rsid w:val="00674615"/>
    <w:rsid w:val="006753C5"/>
    <w:rsid w:val="006757E0"/>
    <w:rsid w:val="006758FB"/>
    <w:rsid w:val="00675B1D"/>
    <w:rsid w:val="006762AD"/>
    <w:rsid w:val="00676396"/>
    <w:rsid w:val="006767B1"/>
    <w:rsid w:val="006775C7"/>
    <w:rsid w:val="006775D6"/>
    <w:rsid w:val="00677EB4"/>
    <w:rsid w:val="006804E7"/>
    <w:rsid w:val="0068075F"/>
    <w:rsid w:val="00680DBB"/>
    <w:rsid w:val="00681869"/>
    <w:rsid w:val="00681950"/>
    <w:rsid w:val="00681EAA"/>
    <w:rsid w:val="00682096"/>
    <w:rsid w:val="00682716"/>
    <w:rsid w:val="00682C57"/>
    <w:rsid w:val="006831E1"/>
    <w:rsid w:val="006839E0"/>
    <w:rsid w:val="0068435A"/>
    <w:rsid w:val="006851E7"/>
    <w:rsid w:val="00685769"/>
    <w:rsid w:val="006857B1"/>
    <w:rsid w:val="00685B5E"/>
    <w:rsid w:val="00685C0E"/>
    <w:rsid w:val="006861B5"/>
    <w:rsid w:val="00687755"/>
    <w:rsid w:val="0069089D"/>
    <w:rsid w:val="006909D7"/>
    <w:rsid w:val="00690BF4"/>
    <w:rsid w:val="00691599"/>
    <w:rsid w:val="006919B8"/>
    <w:rsid w:val="00691A1D"/>
    <w:rsid w:val="006921D4"/>
    <w:rsid w:val="006923F6"/>
    <w:rsid w:val="006925FC"/>
    <w:rsid w:val="00692E0A"/>
    <w:rsid w:val="0069326E"/>
    <w:rsid w:val="006934C7"/>
    <w:rsid w:val="00693F8D"/>
    <w:rsid w:val="00694177"/>
    <w:rsid w:val="0069458E"/>
    <w:rsid w:val="00694736"/>
    <w:rsid w:val="00695CE0"/>
    <w:rsid w:val="00695CEC"/>
    <w:rsid w:val="00696297"/>
    <w:rsid w:val="0069690D"/>
    <w:rsid w:val="006972E8"/>
    <w:rsid w:val="00697BDB"/>
    <w:rsid w:val="00697C68"/>
    <w:rsid w:val="00697D3A"/>
    <w:rsid w:val="006A1EEB"/>
    <w:rsid w:val="006A26F8"/>
    <w:rsid w:val="006A2AF7"/>
    <w:rsid w:val="006A2B7E"/>
    <w:rsid w:val="006A2F0B"/>
    <w:rsid w:val="006A3072"/>
    <w:rsid w:val="006A311B"/>
    <w:rsid w:val="006A367A"/>
    <w:rsid w:val="006A395A"/>
    <w:rsid w:val="006A3F9A"/>
    <w:rsid w:val="006A4912"/>
    <w:rsid w:val="006A4A90"/>
    <w:rsid w:val="006A53CC"/>
    <w:rsid w:val="006A60FE"/>
    <w:rsid w:val="006A6528"/>
    <w:rsid w:val="006A6FBD"/>
    <w:rsid w:val="006A7376"/>
    <w:rsid w:val="006A7A78"/>
    <w:rsid w:val="006A7EAC"/>
    <w:rsid w:val="006B0412"/>
    <w:rsid w:val="006B0713"/>
    <w:rsid w:val="006B0904"/>
    <w:rsid w:val="006B0B6D"/>
    <w:rsid w:val="006B0B7E"/>
    <w:rsid w:val="006B1489"/>
    <w:rsid w:val="006B15FB"/>
    <w:rsid w:val="006B17A0"/>
    <w:rsid w:val="006B17F5"/>
    <w:rsid w:val="006B18CF"/>
    <w:rsid w:val="006B20A7"/>
    <w:rsid w:val="006B2228"/>
    <w:rsid w:val="006B230D"/>
    <w:rsid w:val="006B2707"/>
    <w:rsid w:val="006B333E"/>
    <w:rsid w:val="006B39F2"/>
    <w:rsid w:val="006B3A53"/>
    <w:rsid w:val="006B3A62"/>
    <w:rsid w:val="006B3D07"/>
    <w:rsid w:val="006B40B5"/>
    <w:rsid w:val="006B4261"/>
    <w:rsid w:val="006B4486"/>
    <w:rsid w:val="006B45D5"/>
    <w:rsid w:val="006B4BF3"/>
    <w:rsid w:val="006B5565"/>
    <w:rsid w:val="006B578C"/>
    <w:rsid w:val="006B57C4"/>
    <w:rsid w:val="006B587A"/>
    <w:rsid w:val="006B6066"/>
    <w:rsid w:val="006B61D3"/>
    <w:rsid w:val="006B629C"/>
    <w:rsid w:val="006B652A"/>
    <w:rsid w:val="006B66F4"/>
    <w:rsid w:val="006B6A81"/>
    <w:rsid w:val="006B7086"/>
    <w:rsid w:val="006B723E"/>
    <w:rsid w:val="006B761C"/>
    <w:rsid w:val="006B7758"/>
    <w:rsid w:val="006B77FD"/>
    <w:rsid w:val="006B7A44"/>
    <w:rsid w:val="006C008A"/>
    <w:rsid w:val="006C05D3"/>
    <w:rsid w:val="006C0786"/>
    <w:rsid w:val="006C0FBB"/>
    <w:rsid w:val="006C19DF"/>
    <w:rsid w:val="006C1E34"/>
    <w:rsid w:val="006C1FAD"/>
    <w:rsid w:val="006C21B8"/>
    <w:rsid w:val="006C2490"/>
    <w:rsid w:val="006C2B85"/>
    <w:rsid w:val="006C2DC3"/>
    <w:rsid w:val="006C309A"/>
    <w:rsid w:val="006C3488"/>
    <w:rsid w:val="006C3753"/>
    <w:rsid w:val="006C3B2B"/>
    <w:rsid w:val="006C4AF4"/>
    <w:rsid w:val="006C4F5E"/>
    <w:rsid w:val="006C507B"/>
    <w:rsid w:val="006C528A"/>
    <w:rsid w:val="006C561C"/>
    <w:rsid w:val="006C5F9B"/>
    <w:rsid w:val="006C6EE6"/>
    <w:rsid w:val="006C712D"/>
    <w:rsid w:val="006D084D"/>
    <w:rsid w:val="006D0BD9"/>
    <w:rsid w:val="006D1055"/>
    <w:rsid w:val="006D10E8"/>
    <w:rsid w:val="006D1627"/>
    <w:rsid w:val="006D1947"/>
    <w:rsid w:val="006D1A2F"/>
    <w:rsid w:val="006D1E70"/>
    <w:rsid w:val="006D281F"/>
    <w:rsid w:val="006D2FCF"/>
    <w:rsid w:val="006D35A7"/>
    <w:rsid w:val="006D4344"/>
    <w:rsid w:val="006D4574"/>
    <w:rsid w:val="006D4895"/>
    <w:rsid w:val="006D4B29"/>
    <w:rsid w:val="006D5AD1"/>
    <w:rsid w:val="006D5B5F"/>
    <w:rsid w:val="006D5BA0"/>
    <w:rsid w:val="006D5DD4"/>
    <w:rsid w:val="006D60C2"/>
    <w:rsid w:val="006D6C9A"/>
    <w:rsid w:val="006D6F70"/>
    <w:rsid w:val="006D71BA"/>
    <w:rsid w:val="006E0432"/>
    <w:rsid w:val="006E043F"/>
    <w:rsid w:val="006E0798"/>
    <w:rsid w:val="006E0984"/>
    <w:rsid w:val="006E0DAA"/>
    <w:rsid w:val="006E0E63"/>
    <w:rsid w:val="006E0F24"/>
    <w:rsid w:val="006E0FC8"/>
    <w:rsid w:val="006E1685"/>
    <w:rsid w:val="006E2357"/>
    <w:rsid w:val="006E257F"/>
    <w:rsid w:val="006E38C8"/>
    <w:rsid w:val="006E3FC1"/>
    <w:rsid w:val="006E4007"/>
    <w:rsid w:val="006E52F2"/>
    <w:rsid w:val="006E54E1"/>
    <w:rsid w:val="006E652B"/>
    <w:rsid w:val="006E65DE"/>
    <w:rsid w:val="006E6AB0"/>
    <w:rsid w:val="006E6B1B"/>
    <w:rsid w:val="006E6C2F"/>
    <w:rsid w:val="006E6D23"/>
    <w:rsid w:val="006E755C"/>
    <w:rsid w:val="006E773A"/>
    <w:rsid w:val="006E78F1"/>
    <w:rsid w:val="006E7A58"/>
    <w:rsid w:val="006E7BC0"/>
    <w:rsid w:val="006E7BC5"/>
    <w:rsid w:val="006F0103"/>
    <w:rsid w:val="006F0376"/>
    <w:rsid w:val="006F0419"/>
    <w:rsid w:val="006F06F3"/>
    <w:rsid w:val="006F0A57"/>
    <w:rsid w:val="006F11BE"/>
    <w:rsid w:val="006F127B"/>
    <w:rsid w:val="006F1B94"/>
    <w:rsid w:val="006F1E09"/>
    <w:rsid w:val="006F1E17"/>
    <w:rsid w:val="006F25BA"/>
    <w:rsid w:val="006F2602"/>
    <w:rsid w:val="006F2873"/>
    <w:rsid w:val="006F2963"/>
    <w:rsid w:val="006F2AFC"/>
    <w:rsid w:val="006F2B31"/>
    <w:rsid w:val="006F3565"/>
    <w:rsid w:val="006F3B1F"/>
    <w:rsid w:val="006F412F"/>
    <w:rsid w:val="006F4528"/>
    <w:rsid w:val="006F4689"/>
    <w:rsid w:val="006F500A"/>
    <w:rsid w:val="006F550B"/>
    <w:rsid w:val="006F5818"/>
    <w:rsid w:val="006F5937"/>
    <w:rsid w:val="006F5B48"/>
    <w:rsid w:val="006F63EE"/>
    <w:rsid w:val="006F6E9F"/>
    <w:rsid w:val="006F74D0"/>
    <w:rsid w:val="006F7B16"/>
    <w:rsid w:val="006F7CF2"/>
    <w:rsid w:val="0070031D"/>
    <w:rsid w:val="00700500"/>
    <w:rsid w:val="00700856"/>
    <w:rsid w:val="00700A3F"/>
    <w:rsid w:val="007015AB"/>
    <w:rsid w:val="00702280"/>
    <w:rsid w:val="007023CB"/>
    <w:rsid w:val="00702432"/>
    <w:rsid w:val="00702B7D"/>
    <w:rsid w:val="00702E38"/>
    <w:rsid w:val="00703274"/>
    <w:rsid w:val="00703328"/>
    <w:rsid w:val="0070334C"/>
    <w:rsid w:val="007035DF"/>
    <w:rsid w:val="00704315"/>
    <w:rsid w:val="00704709"/>
    <w:rsid w:val="00704797"/>
    <w:rsid w:val="00704DEF"/>
    <w:rsid w:val="007058CE"/>
    <w:rsid w:val="00705934"/>
    <w:rsid w:val="007074D5"/>
    <w:rsid w:val="007075D6"/>
    <w:rsid w:val="00707A8F"/>
    <w:rsid w:val="007104C3"/>
    <w:rsid w:val="007105A4"/>
    <w:rsid w:val="00711503"/>
    <w:rsid w:val="0071162E"/>
    <w:rsid w:val="007117A5"/>
    <w:rsid w:val="007122FF"/>
    <w:rsid w:val="00712738"/>
    <w:rsid w:val="00712790"/>
    <w:rsid w:val="00712F42"/>
    <w:rsid w:val="00713B49"/>
    <w:rsid w:val="00714256"/>
    <w:rsid w:val="00714691"/>
    <w:rsid w:val="00714F07"/>
    <w:rsid w:val="00715479"/>
    <w:rsid w:val="0071564E"/>
    <w:rsid w:val="00715755"/>
    <w:rsid w:val="00716559"/>
    <w:rsid w:val="00717179"/>
    <w:rsid w:val="00717C3C"/>
    <w:rsid w:val="0072025A"/>
    <w:rsid w:val="0072067B"/>
    <w:rsid w:val="0072069E"/>
    <w:rsid w:val="00720FE6"/>
    <w:rsid w:val="00721CD5"/>
    <w:rsid w:val="007221DB"/>
    <w:rsid w:val="007222F4"/>
    <w:rsid w:val="00722790"/>
    <w:rsid w:val="00722A3C"/>
    <w:rsid w:val="00722B0A"/>
    <w:rsid w:val="00722FAA"/>
    <w:rsid w:val="00723142"/>
    <w:rsid w:val="007239A0"/>
    <w:rsid w:val="0072413D"/>
    <w:rsid w:val="00724A0A"/>
    <w:rsid w:val="00724EFD"/>
    <w:rsid w:val="00725409"/>
    <w:rsid w:val="00725C1B"/>
    <w:rsid w:val="00725C33"/>
    <w:rsid w:val="007262AD"/>
    <w:rsid w:val="0072650A"/>
    <w:rsid w:val="00726701"/>
    <w:rsid w:val="00726B41"/>
    <w:rsid w:val="00726B4A"/>
    <w:rsid w:val="00727588"/>
    <w:rsid w:val="00727E66"/>
    <w:rsid w:val="0073012E"/>
    <w:rsid w:val="007303A2"/>
    <w:rsid w:val="0073074B"/>
    <w:rsid w:val="0073097B"/>
    <w:rsid w:val="00730D25"/>
    <w:rsid w:val="00730DB6"/>
    <w:rsid w:val="00732A67"/>
    <w:rsid w:val="00733B55"/>
    <w:rsid w:val="00733C54"/>
    <w:rsid w:val="0073435E"/>
    <w:rsid w:val="0073443A"/>
    <w:rsid w:val="00734725"/>
    <w:rsid w:val="00734C23"/>
    <w:rsid w:val="007355B0"/>
    <w:rsid w:val="00736E66"/>
    <w:rsid w:val="007374A9"/>
    <w:rsid w:val="00737549"/>
    <w:rsid w:val="007378C6"/>
    <w:rsid w:val="0073791C"/>
    <w:rsid w:val="00737A49"/>
    <w:rsid w:val="00737EE0"/>
    <w:rsid w:val="007403FD"/>
    <w:rsid w:val="007412DC"/>
    <w:rsid w:val="00741A2B"/>
    <w:rsid w:val="007420EB"/>
    <w:rsid w:val="00742DD0"/>
    <w:rsid w:val="007442B3"/>
    <w:rsid w:val="00744623"/>
    <w:rsid w:val="007446CC"/>
    <w:rsid w:val="0074487B"/>
    <w:rsid w:val="00744A97"/>
    <w:rsid w:val="00744C2C"/>
    <w:rsid w:val="0074565C"/>
    <w:rsid w:val="00745C56"/>
    <w:rsid w:val="00745D8D"/>
    <w:rsid w:val="00746570"/>
    <w:rsid w:val="0074672E"/>
    <w:rsid w:val="00746C11"/>
    <w:rsid w:val="00747834"/>
    <w:rsid w:val="00747B99"/>
    <w:rsid w:val="00747C11"/>
    <w:rsid w:val="00747D57"/>
    <w:rsid w:val="00747EA1"/>
    <w:rsid w:val="0075007E"/>
    <w:rsid w:val="007503AF"/>
    <w:rsid w:val="0075069F"/>
    <w:rsid w:val="00750AA4"/>
    <w:rsid w:val="007517CC"/>
    <w:rsid w:val="007519A1"/>
    <w:rsid w:val="00751AB7"/>
    <w:rsid w:val="00751BCC"/>
    <w:rsid w:val="00751F30"/>
    <w:rsid w:val="00752B89"/>
    <w:rsid w:val="00752E07"/>
    <w:rsid w:val="0075353B"/>
    <w:rsid w:val="00753E40"/>
    <w:rsid w:val="00753F57"/>
    <w:rsid w:val="00754DCA"/>
    <w:rsid w:val="0075511F"/>
    <w:rsid w:val="00755964"/>
    <w:rsid w:val="00755A28"/>
    <w:rsid w:val="0075690F"/>
    <w:rsid w:val="0075693F"/>
    <w:rsid w:val="0075716E"/>
    <w:rsid w:val="0075723E"/>
    <w:rsid w:val="00757296"/>
    <w:rsid w:val="0075766F"/>
    <w:rsid w:val="007578EA"/>
    <w:rsid w:val="007600FD"/>
    <w:rsid w:val="00760238"/>
    <w:rsid w:val="007602FC"/>
    <w:rsid w:val="007606E7"/>
    <w:rsid w:val="00760CB8"/>
    <w:rsid w:val="00760DFD"/>
    <w:rsid w:val="00760F6D"/>
    <w:rsid w:val="007612FA"/>
    <w:rsid w:val="007614CA"/>
    <w:rsid w:val="00761C89"/>
    <w:rsid w:val="00761EF3"/>
    <w:rsid w:val="007624FE"/>
    <w:rsid w:val="00762D0E"/>
    <w:rsid w:val="007632E8"/>
    <w:rsid w:val="0076339C"/>
    <w:rsid w:val="00763815"/>
    <w:rsid w:val="00763F8E"/>
    <w:rsid w:val="007640FB"/>
    <w:rsid w:val="00764888"/>
    <w:rsid w:val="00764908"/>
    <w:rsid w:val="00765011"/>
    <w:rsid w:val="00765AA0"/>
    <w:rsid w:val="00765EFC"/>
    <w:rsid w:val="00766020"/>
    <w:rsid w:val="0076635F"/>
    <w:rsid w:val="0076667E"/>
    <w:rsid w:val="00767941"/>
    <w:rsid w:val="00767E8F"/>
    <w:rsid w:val="007704D8"/>
    <w:rsid w:val="0077059D"/>
    <w:rsid w:val="007709B4"/>
    <w:rsid w:val="0077109C"/>
    <w:rsid w:val="00771579"/>
    <w:rsid w:val="00771732"/>
    <w:rsid w:val="00771882"/>
    <w:rsid w:val="00771B3A"/>
    <w:rsid w:val="00772368"/>
    <w:rsid w:val="0077267D"/>
    <w:rsid w:val="0077277A"/>
    <w:rsid w:val="0077303E"/>
    <w:rsid w:val="00773051"/>
    <w:rsid w:val="007732B8"/>
    <w:rsid w:val="00773AA7"/>
    <w:rsid w:val="00774254"/>
    <w:rsid w:val="0077429D"/>
    <w:rsid w:val="0077444E"/>
    <w:rsid w:val="00774511"/>
    <w:rsid w:val="007745CF"/>
    <w:rsid w:val="007747B4"/>
    <w:rsid w:val="00774CA2"/>
    <w:rsid w:val="00774D15"/>
    <w:rsid w:val="00774F4F"/>
    <w:rsid w:val="00775259"/>
    <w:rsid w:val="007752AB"/>
    <w:rsid w:val="007754AA"/>
    <w:rsid w:val="00775B74"/>
    <w:rsid w:val="00775B93"/>
    <w:rsid w:val="0077664F"/>
    <w:rsid w:val="0077676C"/>
    <w:rsid w:val="0077743B"/>
    <w:rsid w:val="00777940"/>
    <w:rsid w:val="00777A1D"/>
    <w:rsid w:val="00777DA6"/>
    <w:rsid w:val="00777EBF"/>
    <w:rsid w:val="007801BC"/>
    <w:rsid w:val="0078031C"/>
    <w:rsid w:val="0078036E"/>
    <w:rsid w:val="0078080E"/>
    <w:rsid w:val="00780B66"/>
    <w:rsid w:val="00780B68"/>
    <w:rsid w:val="00780B83"/>
    <w:rsid w:val="0078225C"/>
    <w:rsid w:val="0078231C"/>
    <w:rsid w:val="00783004"/>
    <w:rsid w:val="00783374"/>
    <w:rsid w:val="007835EA"/>
    <w:rsid w:val="0078367A"/>
    <w:rsid w:val="00783876"/>
    <w:rsid w:val="0078407A"/>
    <w:rsid w:val="007853DC"/>
    <w:rsid w:val="00785497"/>
    <w:rsid w:val="00785C46"/>
    <w:rsid w:val="00785E6B"/>
    <w:rsid w:val="00786083"/>
    <w:rsid w:val="007861F2"/>
    <w:rsid w:val="007866EC"/>
    <w:rsid w:val="00786D08"/>
    <w:rsid w:val="00786EBF"/>
    <w:rsid w:val="00787508"/>
    <w:rsid w:val="007877D3"/>
    <w:rsid w:val="00787DD6"/>
    <w:rsid w:val="007900CB"/>
    <w:rsid w:val="00790299"/>
    <w:rsid w:val="00790347"/>
    <w:rsid w:val="00790537"/>
    <w:rsid w:val="00792CA5"/>
    <w:rsid w:val="00792DBB"/>
    <w:rsid w:val="007931DE"/>
    <w:rsid w:val="00793F39"/>
    <w:rsid w:val="00794081"/>
    <w:rsid w:val="007942C4"/>
    <w:rsid w:val="007942EF"/>
    <w:rsid w:val="007943F6"/>
    <w:rsid w:val="00794D25"/>
    <w:rsid w:val="00794EDF"/>
    <w:rsid w:val="007954D6"/>
    <w:rsid w:val="00795871"/>
    <w:rsid w:val="00795DD2"/>
    <w:rsid w:val="00795F69"/>
    <w:rsid w:val="007960D6"/>
    <w:rsid w:val="007961D6"/>
    <w:rsid w:val="00796D1F"/>
    <w:rsid w:val="00797C9F"/>
    <w:rsid w:val="007A0073"/>
    <w:rsid w:val="007A073A"/>
    <w:rsid w:val="007A0AF6"/>
    <w:rsid w:val="007A0BA8"/>
    <w:rsid w:val="007A15D7"/>
    <w:rsid w:val="007A163F"/>
    <w:rsid w:val="007A18C3"/>
    <w:rsid w:val="007A2E9F"/>
    <w:rsid w:val="007A2FBF"/>
    <w:rsid w:val="007A35C3"/>
    <w:rsid w:val="007A4487"/>
    <w:rsid w:val="007A449F"/>
    <w:rsid w:val="007A48C4"/>
    <w:rsid w:val="007A5BE7"/>
    <w:rsid w:val="007A5E8D"/>
    <w:rsid w:val="007A6F2E"/>
    <w:rsid w:val="007A7616"/>
    <w:rsid w:val="007A7964"/>
    <w:rsid w:val="007A79C5"/>
    <w:rsid w:val="007A79E8"/>
    <w:rsid w:val="007A7CAE"/>
    <w:rsid w:val="007B00F9"/>
    <w:rsid w:val="007B01E9"/>
    <w:rsid w:val="007B02EB"/>
    <w:rsid w:val="007B04CA"/>
    <w:rsid w:val="007B0841"/>
    <w:rsid w:val="007B0980"/>
    <w:rsid w:val="007B0CB8"/>
    <w:rsid w:val="007B12B7"/>
    <w:rsid w:val="007B1996"/>
    <w:rsid w:val="007B1DA0"/>
    <w:rsid w:val="007B1FD6"/>
    <w:rsid w:val="007B2DA6"/>
    <w:rsid w:val="007B313B"/>
    <w:rsid w:val="007B3178"/>
    <w:rsid w:val="007B3179"/>
    <w:rsid w:val="007B349F"/>
    <w:rsid w:val="007B369D"/>
    <w:rsid w:val="007B3DC6"/>
    <w:rsid w:val="007B415B"/>
    <w:rsid w:val="007B4327"/>
    <w:rsid w:val="007B442E"/>
    <w:rsid w:val="007B56A7"/>
    <w:rsid w:val="007B6551"/>
    <w:rsid w:val="007B672C"/>
    <w:rsid w:val="007B6DB9"/>
    <w:rsid w:val="007B6DD1"/>
    <w:rsid w:val="007B7122"/>
    <w:rsid w:val="007B7148"/>
    <w:rsid w:val="007B7869"/>
    <w:rsid w:val="007B7EE4"/>
    <w:rsid w:val="007C049A"/>
    <w:rsid w:val="007C071F"/>
    <w:rsid w:val="007C0922"/>
    <w:rsid w:val="007C0F97"/>
    <w:rsid w:val="007C0FD6"/>
    <w:rsid w:val="007C116D"/>
    <w:rsid w:val="007C11A9"/>
    <w:rsid w:val="007C14D9"/>
    <w:rsid w:val="007C201C"/>
    <w:rsid w:val="007C2333"/>
    <w:rsid w:val="007C249B"/>
    <w:rsid w:val="007C351D"/>
    <w:rsid w:val="007C470E"/>
    <w:rsid w:val="007C485E"/>
    <w:rsid w:val="007C4D02"/>
    <w:rsid w:val="007C5131"/>
    <w:rsid w:val="007C5252"/>
    <w:rsid w:val="007C5436"/>
    <w:rsid w:val="007C5489"/>
    <w:rsid w:val="007C54A0"/>
    <w:rsid w:val="007C5BC7"/>
    <w:rsid w:val="007C65A2"/>
    <w:rsid w:val="007C6B1C"/>
    <w:rsid w:val="007C6D26"/>
    <w:rsid w:val="007C6EB1"/>
    <w:rsid w:val="007C72B5"/>
    <w:rsid w:val="007C7D5F"/>
    <w:rsid w:val="007C7EE7"/>
    <w:rsid w:val="007D0197"/>
    <w:rsid w:val="007D0956"/>
    <w:rsid w:val="007D0B04"/>
    <w:rsid w:val="007D0C7C"/>
    <w:rsid w:val="007D15C1"/>
    <w:rsid w:val="007D2344"/>
    <w:rsid w:val="007D2624"/>
    <w:rsid w:val="007D279F"/>
    <w:rsid w:val="007D2D9E"/>
    <w:rsid w:val="007D316C"/>
    <w:rsid w:val="007D35E4"/>
    <w:rsid w:val="007D3E34"/>
    <w:rsid w:val="007D40FC"/>
    <w:rsid w:val="007D44D2"/>
    <w:rsid w:val="007D489D"/>
    <w:rsid w:val="007D54C6"/>
    <w:rsid w:val="007D6004"/>
    <w:rsid w:val="007D628A"/>
    <w:rsid w:val="007D71AD"/>
    <w:rsid w:val="007D77EB"/>
    <w:rsid w:val="007D7B0B"/>
    <w:rsid w:val="007D7E04"/>
    <w:rsid w:val="007D7F3B"/>
    <w:rsid w:val="007E15BD"/>
    <w:rsid w:val="007E2353"/>
    <w:rsid w:val="007E2387"/>
    <w:rsid w:val="007E24AC"/>
    <w:rsid w:val="007E37A5"/>
    <w:rsid w:val="007E416B"/>
    <w:rsid w:val="007E4346"/>
    <w:rsid w:val="007E45CC"/>
    <w:rsid w:val="007E47FB"/>
    <w:rsid w:val="007E48BB"/>
    <w:rsid w:val="007E4B6C"/>
    <w:rsid w:val="007E5143"/>
    <w:rsid w:val="007E5444"/>
    <w:rsid w:val="007E5492"/>
    <w:rsid w:val="007E55A4"/>
    <w:rsid w:val="007E59D4"/>
    <w:rsid w:val="007E5B1E"/>
    <w:rsid w:val="007E5F38"/>
    <w:rsid w:val="007E5FFC"/>
    <w:rsid w:val="007E6601"/>
    <w:rsid w:val="007E67F3"/>
    <w:rsid w:val="007E6FA8"/>
    <w:rsid w:val="007E7028"/>
    <w:rsid w:val="007E74F0"/>
    <w:rsid w:val="007E761D"/>
    <w:rsid w:val="007E79A9"/>
    <w:rsid w:val="007E7B7D"/>
    <w:rsid w:val="007E7FFB"/>
    <w:rsid w:val="007F09FB"/>
    <w:rsid w:val="007F184A"/>
    <w:rsid w:val="007F24F4"/>
    <w:rsid w:val="007F2C27"/>
    <w:rsid w:val="007F30B3"/>
    <w:rsid w:val="007F331B"/>
    <w:rsid w:val="007F386C"/>
    <w:rsid w:val="007F3D44"/>
    <w:rsid w:val="007F4386"/>
    <w:rsid w:val="007F4BCD"/>
    <w:rsid w:val="007F502E"/>
    <w:rsid w:val="007F5492"/>
    <w:rsid w:val="007F5938"/>
    <w:rsid w:val="007F5DA7"/>
    <w:rsid w:val="007F5FE4"/>
    <w:rsid w:val="007F6103"/>
    <w:rsid w:val="007F69CE"/>
    <w:rsid w:val="007F7978"/>
    <w:rsid w:val="007F799B"/>
    <w:rsid w:val="008005BA"/>
    <w:rsid w:val="00800A63"/>
    <w:rsid w:val="008012BE"/>
    <w:rsid w:val="00801516"/>
    <w:rsid w:val="0080168C"/>
    <w:rsid w:val="00801A86"/>
    <w:rsid w:val="00801E97"/>
    <w:rsid w:val="00802444"/>
    <w:rsid w:val="0080288D"/>
    <w:rsid w:val="00802EEE"/>
    <w:rsid w:val="00803589"/>
    <w:rsid w:val="00804F87"/>
    <w:rsid w:val="0080543D"/>
    <w:rsid w:val="00805B1E"/>
    <w:rsid w:val="00805C18"/>
    <w:rsid w:val="00806464"/>
    <w:rsid w:val="00810377"/>
    <w:rsid w:val="008106C3"/>
    <w:rsid w:val="00810A4E"/>
    <w:rsid w:val="00810F33"/>
    <w:rsid w:val="00811957"/>
    <w:rsid w:val="00811A20"/>
    <w:rsid w:val="00812441"/>
    <w:rsid w:val="0081266D"/>
    <w:rsid w:val="00812826"/>
    <w:rsid w:val="00812AF3"/>
    <w:rsid w:val="00813063"/>
    <w:rsid w:val="008130C5"/>
    <w:rsid w:val="00814220"/>
    <w:rsid w:val="00814B77"/>
    <w:rsid w:val="00814C43"/>
    <w:rsid w:val="00814EF8"/>
    <w:rsid w:val="0081556B"/>
    <w:rsid w:val="008165B8"/>
    <w:rsid w:val="008167D1"/>
    <w:rsid w:val="008169FD"/>
    <w:rsid w:val="00816A2E"/>
    <w:rsid w:val="00816ADD"/>
    <w:rsid w:val="008179B9"/>
    <w:rsid w:val="00817BAB"/>
    <w:rsid w:val="00817C49"/>
    <w:rsid w:val="00817EBA"/>
    <w:rsid w:val="00820F76"/>
    <w:rsid w:val="00821FB1"/>
    <w:rsid w:val="008231FA"/>
    <w:rsid w:val="0082350F"/>
    <w:rsid w:val="00824047"/>
    <w:rsid w:val="00824430"/>
    <w:rsid w:val="00824578"/>
    <w:rsid w:val="008246BF"/>
    <w:rsid w:val="00824722"/>
    <w:rsid w:val="0082494A"/>
    <w:rsid w:val="00824C51"/>
    <w:rsid w:val="0082516F"/>
    <w:rsid w:val="008265FD"/>
    <w:rsid w:val="008268DF"/>
    <w:rsid w:val="00826C59"/>
    <w:rsid w:val="00826E88"/>
    <w:rsid w:val="00826FD2"/>
    <w:rsid w:val="00827485"/>
    <w:rsid w:val="00827756"/>
    <w:rsid w:val="00827C27"/>
    <w:rsid w:val="00827CA1"/>
    <w:rsid w:val="00827F07"/>
    <w:rsid w:val="00830041"/>
    <w:rsid w:val="00830A79"/>
    <w:rsid w:val="00831658"/>
    <w:rsid w:val="008316E1"/>
    <w:rsid w:val="00831820"/>
    <w:rsid w:val="00831AE8"/>
    <w:rsid w:val="00831FDA"/>
    <w:rsid w:val="0083227E"/>
    <w:rsid w:val="00832280"/>
    <w:rsid w:val="0083228F"/>
    <w:rsid w:val="008324DC"/>
    <w:rsid w:val="00832AF4"/>
    <w:rsid w:val="00832C86"/>
    <w:rsid w:val="008334ED"/>
    <w:rsid w:val="0083385E"/>
    <w:rsid w:val="00833D6F"/>
    <w:rsid w:val="00833DE7"/>
    <w:rsid w:val="00833FCA"/>
    <w:rsid w:val="00834300"/>
    <w:rsid w:val="00834E29"/>
    <w:rsid w:val="00835278"/>
    <w:rsid w:val="0083591C"/>
    <w:rsid w:val="00835D53"/>
    <w:rsid w:val="0083600D"/>
    <w:rsid w:val="00836111"/>
    <w:rsid w:val="00836E84"/>
    <w:rsid w:val="00837376"/>
    <w:rsid w:val="0083780C"/>
    <w:rsid w:val="00837977"/>
    <w:rsid w:val="00837DAA"/>
    <w:rsid w:val="0084020E"/>
    <w:rsid w:val="0084044A"/>
    <w:rsid w:val="00840925"/>
    <w:rsid w:val="00840C20"/>
    <w:rsid w:val="0084106D"/>
    <w:rsid w:val="00841078"/>
    <w:rsid w:val="00841426"/>
    <w:rsid w:val="008417A3"/>
    <w:rsid w:val="00841CD4"/>
    <w:rsid w:val="008427AC"/>
    <w:rsid w:val="008435EB"/>
    <w:rsid w:val="00843780"/>
    <w:rsid w:val="008438A1"/>
    <w:rsid w:val="00843CDE"/>
    <w:rsid w:val="008441F3"/>
    <w:rsid w:val="008444E5"/>
    <w:rsid w:val="0084483D"/>
    <w:rsid w:val="00844AD9"/>
    <w:rsid w:val="0084523C"/>
    <w:rsid w:val="00845319"/>
    <w:rsid w:val="0084576D"/>
    <w:rsid w:val="00845A7E"/>
    <w:rsid w:val="00845B58"/>
    <w:rsid w:val="00846B2D"/>
    <w:rsid w:val="00846E82"/>
    <w:rsid w:val="00847A38"/>
    <w:rsid w:val="00847D00"/>
    <w:rsid w:val="0085000F"/>
    <w:rsid w:val="00850370"/>
    <w:rsid w:val="0085075B"/>
    <w:rsid w:val="0085108B"/>
    <w:rsid w:val="0085122C"/>
    <w:rsid w:val="0085221E"/>
    <w:rsid w:val="008525D4"/>
    <w:rsid w:val="008526C6"/>
    <w:rsid w:val="008528B9"/>
    <w:rsid w:val="00852F3E"/>
    <w:rsid w:val="008532E9"/>
    <w:rsid w:val="00853FCE"/>
    <w:rsid w:val="00854075"/>
    <w:rsid w:val="00854096"/>
    <w:rsid w:val="008549E6"/>
    <w:rsid w:val="008557FB"/>
    <w:rsid w:val="00855E6A"/>
    <w:rsid w:val="00856158"/>
    <w:rsid w:val="00856D6A"/>
    <w:rsid w:val="00856EE2"/>
    <w:rsid w:val="00856F70"/>
    <w:rsid w:val="008575F6"/>
    <w:rsid w:val="00857E8E"/>
    <w:rsid w:val="00857F74"/>
    <w:rsid w:val="0086044E"/>
    <w:rsid w:val="00860625"/>
    <w:rsid w:val="00860891"/>
    <w:rsid w:val="0086136C"/>
    <w:rsid w:val="00861402"/>
    <w:rsid w:val="00861CC0"/>
    <w:rsid w:val="0086207C"/>
    <w:rsid w:val="008623CB"/>
    <w:rsid w:val="00863959"/>
    <w:rsid w:val="00863BE9"/>
    <w:rsid w:val="008644FF"/>
    <w:rsid w:val="008645F3"/>
    <w:rsid w:val="00865BD3"/>
    <w:rsid w:val="00865ED8"/>
    <w:rsid w:val="00867532"/>
    <w:rsid w:val="00867553"/>
    <w:rsid w:val="00867884"/>
    <w:rsid w:val="00867A55"/>
    <w:rsid w:val="008702C0"/>
    <w:rsid w:val="00870623"/>
    <w:rsid w:val="00870BDD"/>
    <w:rsid w:val="00870CA4"/>
    <w:rsid w:val="00870D1C"/>
    <w:rsid w:val="00871161"/>
    <w:rsid w:val="0087169B"/>
    <w:rsid w:val="00871854"/>
    <w:rsid w:val="00871B86"/>
    <w:rsid w:val="00871FEB"/>
    <w:rsid w:val="008722AC"/>
    <w:rsid w:val="0087254A"/>
    <w:rsid w:val="00873278"/>
    <w:rsid w:val="008733F1"/>
    <w:rsid w:val="0087369B"/>
    <w:rsid w:val="008736E7"/>
    <w:rsid w:val="0087440A"/>
    <w:rsid w:val="008749AC"/>
    <w:rsid w:val="00874B86"/>
    <w:rsid w:val="00874C8B"/>
    <w:rsid w:val="008759BA"/>
    <w:rsid w:val="008765B8"/>
    <w:rsid w:val="0087665C"/>
    <w:rsid w:val="008766CA"/>
    <w:rsid w:val="00876987"/>
    <w:rsid w:val="00876C76"/>
    <w:rsid w:val="008770C1"/>
    <w:rsid w:val="0087734F"/>
    <w:rsid w:val="0087774C"/>
    <w:rsid w:val="00877A38"/>
    <w:rsid w:val="0088056A"/>
    <w:rsid w:val="00880876"/>
    <w:rsid w:val="00880E7B"/>
    <w:rsid w:val="00880F3E"/>
    <w:rsid w:val="00881D07"/>
    <w:rsid w:val="008823DD"/>
    <w:rsid w:val="00882854"/>
    <w:rsid w:val="00882914"/>
    <w:rsid w:val="00883286"/>
    <w:rsid w:val="0088442C"/>
    <w:rsid w:val="00884779"/>
    <w:rsid w:val="00884B77"/>
    <w:rsid w:val="00884F34"/>
    <w:rsid w:val="0088572B"/>
    <w:rsid w:val="00885DB0"/>
    <w:rsid w:val="00885DBF"/>
    <w:rsid w:val="00885F54"/>
    <w:rsid w:val="00887293"/>
    <w:rsid w:val="00887A26"/>
    <w:rsid w:val="00887AB7"/>
    <w:rsid w:val="008904CA"/>
    <w:rsid w:val="00890FA7"/>
    <w:rsid w:val="00891156"/>
    <w:rsid w:val="00891395"/>
    <w:rsid w:val="008913C2"/>
    <w:rsid w:val="0089181B"/>
    <w:rsid w:val="0089195B"/>
    <w:rsid w:val="00891D44"/>
    <w:rsid w:val="0089208B"/>
    <w:rsid w:val="0089290A"/>
    <w:rsid w:val="00892986"/>
    <w:rsid w:val="008937EA"/>
    <w:rsid w:val="008938F3"/>
    <w:rsid w:val="00893B0A"/>
    <w:rsid w:val="00893BB1"/>
    <w:rsid w:val="00893CBA"/>
    <w:rsid w:val="00893E7A"/>
    <w:rsid w:val="00894239"/>
    <w:rsid w:val="00894780"/>
    <w:rsid w:val="008947B4"/>
    <w:rsid w:val="00894E67"/>
    <w:rsid w:val="00895063"/>
    <w:rsid w:val="00895223"/>
    <w:rsid w:val="00895581"/>
    <w:rsid w:val="00895C10"/>
    <w:rsid w:val="00895D54"/>
    <w:rsid w:val="008960D9"/>
    <w:rsid w:val="008968F5"/>
    <w:rsid w:val="00896EC1"/>
    <w:rsid w:val="008976AF"/>
    <w:rsid w:val="00897BC1"/>
    <w:rsid w:val="00897BD2"/>
    <w:rsid w:val="008A0693"/>
    <w:rsid w:val="008A0E2C"/>
    <w:rsid w:val="008A139B"/>
    <w:rsid w:val="008A15FB"/>
    <w:rsid w:val="008A1713"/>
    <w:rsid w:val="008A1767"/>
    <w:rsid w:val="008A1D37"/>
    <w:rsid w:val="008A1E98"/>
    <w:rsid w:val="008A23DE"/>
    <w:rsid w:val="008A244C"/>
    <w:rsid w:val="008A24C3"/>
    <w:rsid w:val="008A2693"/>
    <w:rsid w:val="008A273E"/>
    <w:rsid w:val="008A2D48"/>
    <w:rsid w:val="008A3C39"/>
    <w:rsid w:val="008A3DE1"/>
    <w:rsid w:val="008A4EAB"/>
    <w:rsid w:val="008A4EF4"/>
    <w:rsid w:val="008A5E46"/>
    <w:rsid w:val="008A76C5"/>
    <w:rsid w:val="008A7926"/>
    <w:rsid w:val="008B02DC"/>
    <w:rsid w:val="008B032B"/>
    <w:rsid w:val="008B04B7"/>
    <w:rsid w:val="008B1079"/>
    <w:rsid w:val="008B1143"/>
    <w:rsid w:val="008B22BF"/>
    <w:rsid w:val="008B23B1"/>
    <w:rsid w:val="008B26BD"/>
    <w:rsid w:val="008B2D13"/>
    <w:rsid w:val="008B3124"/>
    <w:rsid w:val="008B3320"/>
    <w:rsid w:val="008B3567"/>
    <w:rsid w:val="008B3AAC"/>
    <w:rsid w:val="008B4560"/>
    <w:rsid w:val="008B4C19"/>
    <w:rsid w:val="008B4C47"/>
    <w:rsid w:val="008B5278"/>
    <w:rsid w:val="008B5803"/>
    <w:rsid w:val="008B6B9C"/>
    <w:rsid w:val="008C0141"/>
    <w:rsid w:val="008C057B"/>
    <w:rsid w:val="008C06C4"/>
    <w:rsid w:val="008C0767"/>
    <w:rsid w:val="008C0DF9"/>
    <w:rsid w:val="008C1001"/>
    <w:rsid w:val="008C1829"/>
    <w:rsid w:val="008C1944"/>
    <w:rsid w:val="008C20A3"/>
    <w:rsid w:val="008C2835"/>
    <w:rsid w:val="008C2E9C"/>
    <w:rsid w:val="008C3F02"/>
    <w:rsid w:val="008C408F"/>
    <w:rsid w:val="008C444E"/>
    <w:rsid w:val="008C56E6"/>
    <w:rsid w:val="008C57A1"/>
    <w:rsid w:val="008C5C58"/>
    <w:rsid w:val="008C674B"/>
    <w:rsid w:val="008C6BCC"/>
    <w:rsid w:val="008C6FF4"/>
    <w:rsid w:val="008C70D1"/>
    <w:rsid w:val="008C72B9"/>
    <w:rsid w:val="008C752B"/>
    <w:rsid w:val="008C7955"/>
    <w:rsid w:val="008C7A89"/>
    <w:rsid w:val="008C7E11"/>
    <w:rsid w:val="008D0EF2"/>
    <w:rsid w:val="008D10F3"/>
    <w:rsid w:val="008D1D2C"/>
    <w:rsid w:val="008D2157"/>
    <w:rsid w:val="008D22FA"/>
    <w:rsid w:val="008D2838"/>
    <w:rsid w:val="008D29E7"/>
    <w:rsid w:val="008D2A76"/>
    <w:rsid w:val="008D2C5B"/>
    <w:rsid w:val="008D35EB"/>
    <w:rsid w:val="008D39C3"/>
    <w:rsid w:val="008D3A6B"/>
    <w:rsid w:val="008D3CAA"/>
    <w:rsid w:val="008D4EE8"/>
    <w:rsid w:val="008D51B8"/>
    <w:rsid w:val="008D523F"/>
    <w:rsid w:val="008D530A"/>
    <w:rsid w:val="008D57DD"/>
    <w:rsid w:val="008D63CA"/>
    <w:rsid w:val="008D647A"/>
    <w:rsid w:val="008D6A86"/>
    <w:rsid w:val="008D6F82"/>
    <w:rsid w:val="008D7B35"/>
    <w:rsid w:val="008E0348"/>
    <w:rsid w:val="008E04CD"/>
    <w:rsid w:val="008E188A"/>
    <w:rsid w:val="008E19A7"/>
    <w:rsid w:val="008E21E4"/>
    <w:rsid w:val="008E275B"/>
    <w:rsid w:val="008E2BD5"/>
    <w:rsid w:val="008E3992"/>
    <w:rsid w:val="008E41C3"/>
    <w:rsid w:val="008E41EC"/>
    <w:rsid w:val="008E46CA"/>
    <w:rsid w:val="008E496B"/>
    <w:rsid w:val="008E518F"/>
    <w:rsid w:val="008E51E2"/>
    <w:rsid w:val="008E639B"/>
    <w:rsid w:val="008E63A5"/>
    <w:rsid w:val="008E6E1F"/>
    <w:rsid w:val="008E71BE"/>
    <w:rsid w:val="008E74DD"/>
    <w:rsid w:val="008F0262"/>
    <w:rsid w:val="008F1983"/>
    <w:rsid w:val="008F1AD6"/>
    <w:rsid w:val="008F2E55"/>
    <w:rsid w:val="008F2EAB"/>
    <w:rsid w:val="008F30A5"/>
    <w:rsid w:val="008F34D2"/>
    <w:rsid w:val="008F3A58"/>
    <w:rsid w:val="008F3A63"/>
    <w:rsid w:val="008F3D81"/>
    <w:rsid w:val="008F3E97"/>
    <w:rsid w:val="008F41E8"/>
    <w:rsid w:val="008F43D4"/>
    <w:rsid w:val="008F46E2"/>
    <w:rsid w:val="008F4DF2"/>
    <w:rsid w:val="008F50A6"/>
    <w:rsid w:val="008F52DE"/>
    <w:rsid w:val="008F559C"/>
    <w:rsid w:val="008F56A0"/>
    <w:rsid w:val="008F5AA3"/>
    <w:rsid w:val="008F5D5C"/>
    <w:rsid w:val="008F6031"/>
    <w:rsid w:val="008F6569"/>
    <w:rsid w:val="008F66BE"/>
    <w:rsid w:val="008F6DEE"/>
    <w:rsid w:val="009000D6"/>
    <w:rsid w:val="00900BF5"/>
    <w:rsid w:val="009012FC"/>
    <w:rsid w:val="00901B76"/>
    <w:rsid w:val="00901CAD"/>
    <w:rsid w:val="00901D84"/>
    <w:rsid w:val="0090243C"/>
    <w:rsid w:val="009029AC"/>
    <w:rsid w:val="009031F6"/>
    <w:rsid w:val="009039C8"/>
    <w:rsid w:val="0090404A"/>
    <w:rsid w:val="009044DA"/>
    <w:rsid w:val="009046A9"/>
    <w:rsid w:val="00904983"/>
    <w:rsid w:val="00904ABC"/>
    <w:rsid w:val="00905FA3"/>
    <w:rsid w:val="00906129"/>
    <w:rsid w:val="0090663D"/>
    <w:rsid w:val="00907900"/>
    <w:rsid w:val="00907E75"/>
    <w:rsid w:val="00910189"/>
    <w:rsid w:val="009102AE"/>
    <w:rsid w:val="00910A20"/>
    <w:rsid w:val="00910B9B"/>
    <w:rsid w:val="00910C96"/>
    <w:rsid w:val="00911567"/>
    <w:rsid w:val="00911759"/>
    <w:rsid w:val="00911D0A"/>
    <w:rsid w:val="00911EE1"/>
    <w:rsid w:val="00912F6F"/>
    <w:rsid w:val="0091343B"/>
    <w:rsid w:val="00913640"/>
    <w:rsid w:val="00913824"/>
    <w:rsid w:val="009138A8"/>
    <w:rsid w:val="00913B07"/>
    <w:rsid w:val="0091401D"/>
    <w:rsid w:val="0091489B"/>
    <w:rsid w:val="00915943"/>
    <w:rsid w:val="00915EB6"/>
    <w:rsid w:val="00916765"/>
    <w:rsid w:val="00916886"/>
    <w:rsid w:val="00916FFA"/>
    <w:rsid w:val="0091749D"/>
    <w:rsid w:val="009177CD"/>
    <w:rsid w:val="009208C7"/>
    <w:rsid w:val="00921175"/>
    <w:rsid w:val="009211FF"/>
    <w:rsid w:val="009216BC"/>
    <w:rsid w:val="00921D04"/>
    <w:rsid w:val="00922B58"/>
    <w:rsid w:val="0092390C"/>
    <w:rsid w:val="00923FFA"/>
    <w:rsid w:val="009242AE"/>
    <w:rsid w:val="00924C01"/>
    <w:rsid w:val="00924CA4"/>
    <w:rsid w:val="0092516F"/>
    <w:rsid w:val="00925211"/>
    <w:rsid w:val="00925A75"/>
    <w:rsid w:val="00926210"/>
    <w:rsid w:val="0092671F"/>
    <w:rsid w:val="009267F4"/>
    <w:rsid w:val="0092688C"/>
    <w:rsid w:val="00927793"/>
    <w:rsid w:val="00927914"/>
    <w:rsid w:val="009317E8"/>
    <w:rsid w:val="00931CA3"/>
    <w:rsid w:val="00932850"/>
    <w:rsid w:val="00932E00"/>
    <w:rsid w:val="00933DD6"/>
    <w:rsid w:val="00933E33"/>
    <w:rsid w:val="00934272"/>
    <w:rsid w:val="009346CB"/>
    <w:rsid w:val="00934C5A"/>
    <w:rsid w:val="00935547"/>
    <w:rsid w:val="00935965"/>
    <w:rsid w:val="0093604D"/>
    <w:rsid w:val="009361FE"/>
    <w:rsid w:val="009366D0"/>
    <w:rsid w:val="009366DB"/>
    <w:rsid w:val="009367D9"/>
    <w:rsid w:val="00936A28"/>
    <w:rsid w:val="009371C0"/>
    <w:rsid w:val="00937FC0"/>
    <w:rsid w:val="009401D7"/>
    <w:rsid w:val="00940552"/>
    <w:rsid w:val="00941274"/>
    <w:rsid w:val="00941FA4"/>
    <w:rsid w:val="0094232C"/>
    <w:rsid w:val="00942465"/>
    <w:rsid w:val="00942C53"/>
    <w:rsid w:val="0094311E"/>
    <w:rsid w:val="00943B56"/>
    <w:rsid w:val="009440C7"/>
    <w:rsid w:val="00944341"/>
    <w:rsid w:val="009444C8"/>
    <w:rsid w:val="00944746"/>
    <w:rsid w:val="009447D0"/>
    <w:rsid w:val="00944976"/>
    <w:rsid w:val="00946164"/>
    <w:rsid w:val="009474C0"/>
    <w:rsid w:val="009478C5"/>
    <w:rsid w:val="00950384"/>
    <w:rsid w:val="009509E7"/>
    <w:rsid w:val="00950E2C"/>
    <w:rsid w:val="00951D99"/>
    <w:rsid w:val="00952220"/>
    <w:rsid w:val="0095281B"/>
    <w:rsid w:val="0095314B"/>
    <w:rsid w:val="009538F5"/>
    <w:rsid w:val="00953A33"/>
    <w:rsid w:val="009543C4"/>
    <w:rsid w:val="00955271"/>
    <w:rsid w:val="00955688"/>
    <w:rsid w:val="009556F1"/>
    <w:rsid w:val="00955A41"/>
    <w:rsid w:val="00955BA6"/>
    <w:rsid w:val="0095634E"/>
    <w:rsid w:val="00956789"/>
    <w:rsid w:val="00957073"/>
    <w:rsid w:val="00957932"/>
    <w:rsid w:val="009579E4"/>
    <w:rsid w:val="009602C6"/>
    <w:rsid w:val="00960305"/>
    <w:rsid w:val="00960411"/>
    <w:rsid w:val="009609D5"/>
    <w:rsid w:val="00961004"/>
    <w:rsid w:val="0096114B"/>
    <w:rsid w:val="00961B08"/>
    <w:rsid w:val="00961C77"/>
    <w:rsid w:val="00961E66"/>
    <w:rsid w:val="009623CA"/>
    <w:rsid w:val="009627E9"/>
    <w:rsid w:val="00962AD6"/>
    <w:rsid w:val="00962D27"/>
    <w:rsid w:val="00963003"/>
    <w:rsid w:val="00963026"/>
    <w:rsid w:val="00963130"/>
    <w:rsid w:val="009633C4"/>
    <w:rsid w:val="00963C79"/>
    <w:rsid w:val="0096443E"/>
    <w:rsid w:val="00964693"/>
    <w:rsid w:val="0096487A"/>
    <w:rsid w:val="00964898"/>
    <w:rsid w:val="00964A1F"/>
    <w:rsid w:val="00964BF6"/>
    <w:rsid w:val="00965A21"/>
    <w:rsid w:val="00965BC0"/>
    <w:rsid w:val="00965DCC"/>
    <w:rsid w:val="0096669F"/>
    <w:rsid w:val="00966D96"/>
    <w:rsid w:val="00966E3D"/>
    <w:rsid w:val="009671E2"/>
    <w:rsid w:val="009675F6"/>
    <w:rsid w:val="00967CA5"/>
    <w:rsid w:val="009700AC"/>
    <w:rsid w:val="00970153"/>
    <w:rsid w:val="00970237"/>
    <w:rsid w:val="00970300"/>
    <w:rsid w:val="009705EC"/>
    <w:rsid w:val="00970AB4"/>
    <w:rsid w:val="00970BB9"/>
    <w:rsid w:val="00971405"/>
    <w:rsid w:val="009715F2"/>
    <w:rsid w:val="00971682"/>
    <w:rsid w:val="009716DE"/>
    <w:rsid w:val="009716F9"/>
    <w:rsid w:val="00972390"/>
    <w:rsid w:val="0097305E"/>
    <w:rsid w:val="009731B2"/>
    <w:rsid w:val="0097357D"/>
    <w:rsid w:val="0097365E"/>
    <w:rsid w:val="009737E0"/>
    <w:rsid w:val="00973AB0"/>
    <w:rsid w:val="0097404C"/>
    <w:rsid w:val="00974BC8"/>
    <w:rsid w:val="00974CD5"/>
    <w:rsid w:val="00975F06"/>
    <w:rsid w:val="00975FD7"/>
    <w:rsid w:val="00976280"/>
    <w:rsid w:val="009763D3"/>
    <w:rsid w:val="00977538"/>
    <w:rsid w:val="009778E6"/>
    <w:rsid w:val="009804B2"/>
    <w:rsid w:val="00980523"/>
    <w:rsid w:val="00980A4E"/>
    <w:rsid w:val="00981522"/>
    <w:rsid w:val="00981B0E"/>
    <w:rsid w:val="00981BD7"/>
    <w:rsid w:val="00981F74"/>
    <w:rsid w:val="00982268"/>
    <w:rsid w:val="009829C0"/>
    <w:rsid w:val="00983599"/>
    <w:rsid w:val="00983676"/>
    <w:rsid w:val="00983B0A"/>
    <w:rsid w:val="00984331"/>
    <w:rsid w:val="00984AD5"/>
    <w:rsid w:val="00985012"/>
    <w:rsid w:val="009852C9"/>
    <w:rsid w:val="00985B8C"/>
    <w:rsid w:val="009874EA"/>
    <w:rsid w:val="00987ABE"/>
    <w:rsid w:val="009900B0"/>
    <w:rsid w:val="00990199"/>
    <w:rsid w:val="009903AD"/>
    <w:rsid w:val="009907B7"/>
    <w:rsid w:val="00990BA5"/>
    <w:rsid w:val="0099171D"/>
    <w:rsid w:val="00991D72"/>
    <w:rsid w:val="00992500"/>
    <w:rsid w:val="0099256D"/>
    <w:rsid w:val="00992E40"/>
    <w:rsid w:val="00992F15"/>
    <w:rsid w:val="00993D00"/>
    <w:rsid w:val="0099437D"/>
    <w:rsid w:val="009948C0"/>
    <w:rsid w:val="0099498A"/>
    <w:rsid w:val="009949FD"/>
    <w:rsid w:val="00994F4E"/>
    <w:rsid w:val="0099515F"/>
    <w:rsid w:val="00995834"/>
    <w:rsid w:val="00995C17"/>
    <w:rsid w:val="00995CD5"/>
    <w:rsid w:val="00996404"/>
    <w:rsid w:val="00996A90"/>
    <w:rsid w:val="00996CD7"/>
    <w:rsid w:val="009976C8"/>
    <w:rsid w:val="00997FFE"/>
    <w:rsid w:val="009A019E"/>
    <w:rsid w:val="009A1131"/>
    <w:rsid w:val="009A116E"/>
    <w:rsid w:val="009A1627"/>
    <w:rsid w:val="009A359C"/>
    <w:rsid w:val="009A3B41"/>
    <w:rsid w:val="009A3D3F"/>
    <w:rsid w:val="009A4668"/>
    <w:rsid w:val="009A4B94"/>
    <w:rsid w:val="009A51BA"/>
    <w:rsid w:val="009A7771"/>
    <w:rsid w:val="009A7CED"/>
    <w:rsid w:val="009A7D19"/>
    <w:rsid w:val="009B017D"/>
    <w:rsid w:val="009B05BE"/>
    <w:rsid w:val="009B061C"/>
    <w:rsid w:val="009B0A90"/>
    <w:rsid w:val="009B166F"/>
    <w:rsid w:val="009B298F"/>
    <w:rsid w:val="009B2CA3"/>
    <w:rsid w:val="009B37A0"/>
    <w:rsid w:val="009B3BFB"/>
    <w:rsid w:val="009B3F78"/>
    <w:rsid w:val="009B40D6"/>
    <w:rsid w:val="009B42A6"/>
    <w:rsid w:val="009B4911"/>
    <w:rsid w:val="009B4BF0"/>
    <w:rsid w:val="009B521B"/>
    <w:rsid w:val="009B5A96"/>
    <w:rsid w:val="009B6634"/>
    <w:rsid w:val="009B664C"/>
    <w:rsid w:val="009B6D14"/>
    <w:rsid w:val="009B7E81"/>
    <w:rsid w:val="009C02B4"/>
    <w:rsid w:val="009C042B"/>
    <w:rsid w:val="009C0D25"/>
    <w:rsid w:val="009C0D70"/>
    <w:rsid w:val="009C0FD3"/>
    <w:rsid w:val="009C11A3"/>
    <w:rsid w:val="009C1394"/>
    <w:rsid w:val="009C19EF"/>
    <w:rsid w:val="009C1B25"/>
    <w:rsid w:val="009C1EB3"/>
    <w:rsid w:val="009C2B0B"/>
    <w:rsid w:val="009C3AFF"/>
    <w:rsid w:val="009C3EEE"/>
    <w:rsid w:val="009C473B"/>
    <w:rsid w:val="009C4FFF"/>
    <w:rsid w:val="009C50BB"/>
    <w:rsid w:val="009C53DF"/>
    <w:rsid w:val="009C5855"/>
    <w:rsid w:val="009C5A35"/>
    <w:rsid w:val="009C5B08"/>
    <w:rsid w:val="009C6307"/>
    <w:rsid w:val="009C71DF"/>
    <w:rsid w:val="009C7EE1"/>
    <w:rsid w:val="009D0328"/>
    <w:rsid w:val="009D0DC4"/>
    <w:rsid w:val="009D151F"/>
    <w:rsid w:val="009D1EB9"/>
    <w:rsid w:val="009D1F6E"/>
    <w:rsid w:val="009D2328"/>
    <w:rsid w:val="009D2B37"/>
    <w:rsid w:val="009D2B6F"/>
    <w:rsid w:val="009D2E4C"/>
    <w:rsid w:val="009D2E8B"/>
    <w:rsid w:val="009D331C"/>
    <w:rsid w:val="009D343F"/>
    <w:rsid w:val="009D3903"/>
    <w:rsid w:val="009D3C6C"/>
    <w:rsid w:val="009D40EB"/>
    <w:rsid w:val="009D451A"/>
    <w:rsid w:val="009D48E7"/>
    <w:rsid w:val="009D4CB7"/>
    <w:rsid w:val="009D4DAA"/>
    <w:rsid w:val="009D5216"/>
    <w:rsid w:val="009D56F7"/>
    <w:rsid w:val="009D5D49"/>
    <w:rsid w:val="009D686A"/>
    <w:rsid w:val="009D7351"/>
    <w:rsid w:val="009D74DA"/>
    <w:rsid w:val="009D7AC4"/>
    <w:rsid w:val="009E0728"/>
    <w:rsid w:val="009E0841"/>
    <w:rsid w:val="009E11DA"/>
    <w:rsid w:val="009E19C7"/>
    <w:rsid w:val="009E1A67"/>
    <w:rsid w:val="009E1B65"/>
    <w:rsid w:val="009E1EF9"/>
    <w:rsid w:val="009E4F00"/>
    <w:rsid w:val="009E5792"/>
    <w:rsid w:val="009E5D00"/>
    <w:rsid w:val="009E5F52"/>
    <w:rsid w:val="009E6629"/>
    <w:rsid w:val="009E6AFC"/>
    <w:rsid w:val="009E6E4A"/>
    <w:rsid w:val="009E6EF1"/>
    <w:rsid w:val="009E7678"/>
    <w:rsid w:val="009E796E"/>
    <w:rsid w:val="009E79CB"/>
    <w:rsid w:val="009F0009"/>
    <w:rsid w:val="009F0299"/>
    <w:rsid w:val="009F07FD"/>
    <w:rsid w:val="009F0925"/>
    <w:rsid w:val="009F0D85"/>
    <w:rsid w:val="009F13BB"/>
    <w:rsid w:val="009F193A"/>
    <w:rsid w:val="009F2003"/>
    <w:rsid w:val="009F223F"/>
    <w:rsid w:val="009F22C1"/>
    <w:rsid w:val="009F22E1"/>
    <w:rsid w:val="009F27A7"/>
    <w:rsid w:val="009F29AD"/>
    <w:rsid w:val="009F29F2"/>
    <w:rsid w:val="009F2FA0"/>
    <w:rsid w:val="009F357F"/>
    <w:rsid w:val="009F3900"/>
    <w:rsid w:val="009F3D9D"/>
    <w:rsid w:val="009F40B6"/>
    <w:rsid w:val="009F4659"/>
    <w:rsid w:val="009F47B5"/>
    <w:rsid w:val="009F4A32"/>
    <w:rsid w:val="009F4ACF"/>
    <w:rsid w:val="009F509B"/>
    <w:rsid w:val="009F50ED"/>
    <w:rsid w:val="009F5862"/>
    <w:rsid w:val="009F5FBE"/>
    <w:rsid w:val="009F607E"/>
    <w:rsid w:val="009F694B"/>
    <w:rsid w:val="009F6A61"/>
    <w:rsid w:val="009F73AB"/>
    <w:rsid w:val="00A0023D"/>
    <w:rsid w:val="00A006A5"/>
    <w:rsid w:val="00A00D84"/>
    <w:rsid w:val="00A00EE7"/>
    <w:rsid w:val="00A00EED"/>
    <w:rsid w:val="00A01A05"/>
    <w:rsid w:val="00A01A6A"/>
    <w:rsid w:val="00A01F6E"/>
    <w:rsid w:val="00A020E7"/>
    <w:rsid w:val="00A027BA"/>
    <w:rsid w:val="00A027D7"/>
    <w:rsid w:val="00A02B3A"/>
    <w:rsid w:val="00A02D71"/>
    <w:rsid w:val="00A02E02"/>
    <w:rsid w:val="00A0429D"/>
    <w:rsid w:val="00A045A3"/>
    <w:rsid w:val="00A04834"/>
    <w:rsid w:val="00A04A6B"/>
    <w:rsid w:val="00A04D60"/>
    <w:rsid w:val="00A05347"/>
    <w:rsid w:val="00A05ED8"/>
    <w:rsid w:val="00A062EC"/>
    <w:rsid w:val="00A07001"/>
    <w:rsid w:val="00A071D1"/>
    <w:rsid w:val="00A07243"/>
    <w:rsid w:val="00A072A7"/>
    <w:rsid w:val="00A07397"/>
    <w:rsid w:val="00A07467"/>
    <w:rsid w:val="00A07531"/>
    <w:rsid w:val="00A07B96"/>
    <w:rsid w:val="00A07DF2"/>
    <w:rsid w:val="00A07F2B"/>
    <w:rsid w:val="00A10494"/>
    <w:rsid w:val="00A10A1E"/>
    <w:rsid w:val="00A10C1E"/>
    <w:rsid w:val="00A10C8A"/>
    <w:rsid w:val="00A11881"/>
    <w:rsid w:val="00A119A7"/>
    <w:rsid w:val="00A11A41"/>
    <w:rsid w:val="00A11C31"/>
    <w:rsid w:val="00A11C61"/>
    <w:rsid w:val="00A12119"/>
    <w:rsid w:val="00A1237F"/>
    <w:rsid w:val="00A125C4"/>
    <w:rsid w:val="00A12F5D"/>
    <w:rsid w:val="00A12FCC"/>
    <w:rsid w:val="00A1321A"/>
    <w:rsid w:val="00A13482"/>
    <w:rsid w:val="00A13718"/>
    <w:rsid w:val="00A13AF2"/>
    <w:rsid w:val="00A13EA6"/>
    <w:rsid w:val="00A14654"/>
    <w:rsid w:val="00A15A25"/>
    <w:rsid w:val="00A15DA7"/>
    <w:rsid w:val="00A15F9B"/>
    <w:rsid w:val="00A1621D"/>
    <w:rsid w:val="00A169D8"/>
    <w:rsid w:val="00A169ED"/>
    <w:rsid w:val="00A2039E"/>
    <w:rsid w:val="00A2045F"/>
    <w:rsid w:val="00A20C3F"/>
    <w:rsid w:val="00A20CF3"/>
    <w:rsid w:val="00A20ECE"/>
    <w:rsid w:val="00A21174"/>
    <w:rsid w:val="00A214F8"/>
    <w:rsid w:val="00A215A1"/>
    <w:rsid w:val="00A219B4"/>
    <w:rsid w:val="00A22403"/>
    <w:rsid w:val="00A227CA"/>
    <w:rsid w:val="00A22FB8"/>
    <w:rsid w:val="00A23052"/>
    <w:rsid w:val="00A231A0"/>
    <w:rsid w:val="00A234A9"/>
    <w:rsid w:val="00A239B3"/>
    <w:rsid w:val="00A23AE6"/>
    <w:rsid w:val="00A2432C"/>
    <w:rsid w:val="00A24E8F"/>
    <w:rsid w:val="00A256F7"/>
    <w:rsid w:val="00A25E14"/>
    <w:rsid w:val="00A264FE"/>
    <w:rsid w:val="00A26732"/>
    <w:rsid w:val="00A26BFA"/>
    <w:rsid w:val="00A26CF1"/>
    <w:rsid w:val="00A271E4"/>
    <w:rsid w:val="00A2760F"/>
    <w:rsid w:val="00A27F90"/>
    <w:rsid w:val="00A3096A"/>
    <w:rsid w:val="00A3105F"/>
    <w:rsid w:val="00A31B61"/>
    <w:rsid w:val="00A32330"/>
    <w:rsid w:val="00A329CF"/>
    <w:rsid w:val="00A32E0B"/>
    <w:rsid w:val="00A33A41"/>
    <w:rsid w:val="00A33A7E"/>
    <w:rsid w:val="00A33D89"/>
    <w:rsid w:val="00A34442"/>
    <w:rsid w:val="00A34B68"/>
    <w:rsid w:val="00A35125"/>
    <w:rsid w:val="00A352C7"/>
    <w:rsid w:val="00A35F45"/>
    <w:rsid w:val="00A3631F"/>
    <w:rsid w:val="00A369A0"/>
    <w:rsid w:val="00A36EDB"/>
    <w:rsid w:val="00A37223"/>
    <w:rsid w:val="00A37526"/>
    <w:rsid w:val="00A37BC8"/>
    <w:rsid w:val="00A37C42"/>
    <w:rsid w:val="00A4061B"/>
    <w:rsid w:val="00A407F2"/>
    <w:rsid w:val="00A40BEC"/>
    <w:rsid w:val="00A40CDC"/>
    <w:rsid w:val="00A42138"/>
    <w:rsid w:val="00A4223B"/>
    <w:rsid w:val="00A42B7C"/>
    <w:rsid w:val="00A42EC3"/>
    <w:rsid w:val="00A43955"/>
    <w:rsid w:val="00A439CA"/>
    <w:rsid w:val="00A44198"/>
    <w:rsid w:val="00A442C0"/>
    <w:rsid w:val="00A446A1"/>
    <w:rsid w:val="00A44DE7"/>
    <w:rsid w:val="00A44E17"/>
    <w:rsid w:val="00A44EF6"/>
    <w:rsid w:val="00A456EE"/>
    <w:rsid w:val="00A45BC9"/>
    <w:rsid w:val="00A46B5C"/>
    <w:rsid w:val="00A4794E"/>
    <w:rsid w:val="00A500C4"/>
    <w:rsid w:val="00A5017A"/>
    <w:rsid w:val="00A50BBF"/>
    <w:rsid w:val="00A50D90"/>
    <w:rsid w:val="00A51264"/>
    <w:rsid w:val="00A5135D"/>
    <w:rsid w:val="00A513F5"/>
    <w:rsid w:val="00A516CF"/>
    <w:rsid w:val="00A51F5F"/>
    <w:rsid w:val="00A52094"/>
    <w:rsid w:val="00A52913"/>
    <w:rsid w:val="00A52DC8"/>
    <w:rsid w:val="00A53006"/>
    <w:rsid w:val="00A53ADB"/>
    <w:rsid w:val="00A53BF9"/>
    <w:rsid w:val="00A53DDD"/>
    <w:rsid w:val="00A53F33"/>
    <w:rsid w:val="00A54160"/>
    <w:rsid w:val="00A54251"/>
    <w:rsid w:val="00A54266"/>
    <w:rsid w:val="00A544CF"/>
    <w:rsid w:val="00A545FD"/>
    <w:rsid w:val="00A547CC"/>
    <w:rsid w:val="00A54E43"/>
    <w:rsid w:val="00A54F93"/>
    <w:rsid w:val="00A5528F"/>
    <w:rsid w:val="00A5544B"/>
    <w:rsid w:val="00A556A8"/>
    <w:rsid w:val="00A5583B"/>
    <w:rsid w:val="00A55DB4"/>
    <w:rsid w:val="00A5611B"/>
    <w:rsid w:val="00A56E39"/>
    <w:rsid w:val="00A57036"/>
    <w:rsid w:val="00A5731F"/>
    <w:rsid w:val="00A5796E"/>
    <w:rsid w:val="00A57C8B"/>
    <w:rsid w:val="00A6099F"/>
    <w:rsid w:val="00A60BF2"/>
    <w:rsid w:val="00A60DD1"/>
    <w:rsid w:val="00A612FB"/>
    <w:rsid w:val="00A613F4"/>
    <w:rsid w:val="00A6173C"/>
    <w:rsid w:val="00A61A79"/>
    <w:rsid w:val="00A62286"/>
    <w:rsid w:val="00A630E5"/>
    <w:rsid w:val="00A63788"/>
    <w:rsid w:val="00A6484D"/>
    <w:rsid w:val="00A64CA1"/>
    <w:rsid w:val="00A653BE"/>
    <w:rsid w:val="00A659A9"/>
    <w:rsid w:val="00A65E23"/>
    <w:rsid w:val="00A660C3"/>
    <w:rsid w:val="00A6614C"/>
    <w:rsid w:val="00A664BB"/>
    <w:rsid w:val="00A66712"/>
    <w:rsid w:val="00A6674D"/>
    <w:rsid w:val="00A67454"/>
    <w:rsid w:val="00A67A1E"/>
    <w:rsid w:val="00A70248"/>
    <w:rsid w:val="00A70420"/>
    <w:rsid w:val="00A70787"/>
    <w:rsid w:val="00A70CB9"/>
    <w:rsid w:val="00A70FDE"/>
    <w:rsid w:val="00A711D8"/>
    <w:rsid w:val="00A71739"/>
    <w:rsid w:val="00A71ADB"/>
    <w:rsid w:val="00A71B8C"/>
    <w:rsid w:val="00A72317"/>
    <w:rsid w:val="00A726E5"/>
    <w:rsid w:val="00A72DAC"/>
    <w:rsid w:val="00A730BC"/>
    <w:rsid w:val="00A73362"/>
    <w:rsid w:val="00A7375F"/>
    <w:rsid w:val="00A7394F"/>
    <w:rsid w:val="00A7411B"/>
    <w:rsid w:val="00A74479"/>
    <w:rsid w:val="00A74596"/>
    <w:rsid w:val="00A74A66"/>
    <w:rsid w:val="00A74C68"/>
    <w:rsid w:val="00A74D63"/>
    <w:rsid w:val="00A751B9"/>
    <w:rsid w:val="00A75859"/>
    <w:rsid w:val="00A7742C"/>
    <w:rsid w:val="00A77801"/>
    <w:rsid w:val="00A77921"/>
    <w:rsid w:val="00A779E1"/>
    <w:rsid w:val="00A77B89"/>
    <w:rsid w:val="00A77CC5"/>
    <w:rsid w:val="00A77E4A"/>
    <w:rsid w:val="00A800E2"/>
    <w:rsid w:val="00A8095E"/>
    <w:rsid w:val="00A80F28"/>
    <w:rsid w:val="00A8293B"/>
    <w:rsid w:val="00A82B94"/>
    <w:rsid w:val="00A82C6E"/>
    <w:rsid w:val="00A83641"/>
    <w:rsid w:val="00A83B1F"/>
    <w:rsid w:val="00A83DF2"/>
    <w:rsid w:val="00A840F7"/>
    <w:rsid w:val="00A84139"/>
    <w:rsid w:val="00A85333"/>
    <w:rsid w:val="00A85414"/>
    <w:rsid w:val="00A8588C"/>
    <w:rsid w:val="00A85DBB"/>
    <w:rsid w:val="00A862FF"/>
    <w:rsid w:val="00A86AC2"/>
    <w:rsid w:val="00A86BB3"/>
    <w:rsid w:val="00A86FC3"/>
    <w:rsid w:val="00A872C7"/>
    <w:rsid w:val="00A879EB"/>
    <w:rsid w:val="00A87C6F"/>
    <w:rsid w:val="00A902F2"/>
    <w:rsid w:val="00A90B8D"/>
    <w:rsid w:val="00A90BEF"/>
    <w:rsid w:val="00A91520"/>
    <w:rsid w:val="00A91E14"/>
    <w:rsid w:val="00A92009"/>
    <w:rsid w:val="00A9224D"/>
    <w:rsid w:val="00A9281F"/>
    <w:rsid w:val="00A92E24"/>
    <w:rsid w:val="00A930B0"/>
    <w:rsid w:val="00A9354F"/>
    <w:rsid w:val="00A93969"/>
    <w:rsid w:val="00A93CB6"/>
    <w:rsid w:val="00A94DE0"/>
    <w:rsid w:val="00A95E4F"/>
    <w:rsid w:val="00A9632C"/>
    <w:rsid w:val="00A96727"/>
    <w:rsid w:val="00A96AAE"/>
    <w:rsid w:val="00A96AB9"/>
    <w:rsid w:val="00A96E85"/>
    <w:rsid w:val="00A96F8F"/>
    <w:rsid w:val="00A972E2"/>
    <w:rsid w:val="00AA0943"/>
    <w:rsid w:val="00AA0B54"/>
    <w:rsid w:val="00AA1490"/>
    <w:rsid w:val="00AA165D"/>
    <w:rsid w:val="00AA1DB8"/>
    <w:rsid w:val="00AA2294"/>
    <w:rsid w:val="00AA32E8"/>
    <w:rsid w:val="00AA41FE"/>
    <w:rsid w:val="00AA46B0"/>
    <w:rsid w:val="00AA5253"/>
    <w:rsid w:val="00AA560C"/>
    <w:rsid w:val="00AA5E72"/>
    <w:rsid w:val="00AA5EE5"/>
    <w:rsid w:val="00AA61F7"/>
    <w:rsid w:val="00AA6329"/>
    <w:rsid w:val="00AA7018"/>
    <w:rsid w:val="00AA721A"/>
    <w:rsid w:val="00AA7813"/>
    <w:rsid w:val="00AB0DD9"/>
    <w:rsid w:val="00AB1B16"/>
    <w:rsid w:val="00AB1CC0"/>
    <w:rsid w:val="00AB2013"/>
    <w:rsid w:val="00AB2186"/>
    <w:rsid w:val="00AB2439"/>
    <w:rsid w:val="00AB25E4"/>
    <w:rsid w:val="00AB2A21"/>
    <w:rsid w:val="00AB2E3E"/>
    <w:rsid w:val="00AB2E8E"/>
    <w:rsid w:val="00AB34B4"/>
    <w:rsid w:val="00AB3536"/>
    <w:rsid w:val="00AB3538"/>
    <w:rsid w:val="00AB3989"/>
    <w:rsid w:val="00AB3AE9"/>
    <w:rsid w:val="00AB3B77"/>
    <w:rsid w:val="00AB4133"/>
    <w:rsid w:val="00AB423C"/>
    <w:rsid w:val="00AB4961"/>
    <w:rsid w:val="00AB52BF"/>
    <w:rsid w:val="00AB58C4"/>
    <w:rsid w:val="00AB5A79"/>
    <w:rsid w:val="00AB5B90"/>
    <w:rsid w:val="00AB631D"/>
    <w:rsid w:val="00AB65A0"/>
    <w:rsid w:val="00AB6C67"/>
    <w:rsid w:val="00AB6F6D"/>
    <w:rsid w:val="00AB7CCA"/>
    <w:rsid w:val="00AB7F6C"/>
    <w:rsid w:val="00AC04ED"/>
    <w:rsid w:val="00AC05A6"/>
    <w:rsid w:val="00AC05EE"/>
    <w:rsid w:val="00AC0979"/>
    <w:rsid w:val="00AC0ED1"/>
    <w:rsid w:val="00AC1698"/>
    <w:rsid w:val="00AC18D2"/>
    <w:rsid w:val="00AC19C4"/>
    <w:rsid w:val="00AC2321"/>
    <w:rsid w:val="00AC29C5"/>
    <w:rsid w:val="00AC2FAA"/>
    <w:rsid w:val="00AC35B6"/>
    <w:rsid w:val="00AC3681"/>
    <w:rsid w:val="00AC541F"/>
    <w:rsid w:val="00AC54DF"/>
    <w:rsid w:val="00AC5B07"/>
    <w:rsid w:val="00AC6A4B"/>
    <w:rsid w:val="00AC6C11"/>
    <w:rsid w:val="00AC6F81"/>
    <w:rsid w:val="00AD02A3"/>
    <w:rsid w:val="00AD04DD"/>
    <w:rsid w:val="00AD07F7"/>
    <w:rsid w:val="00AD0F59"/>
    <w:rsid w:val="00AD1207"/>
    <w:rsid w:val="00AD2250"/>
    <w:rsid w:val="00AD22CB"/>
    <w:rsid w:val="00AD37B8"/>
    <w:rsid w:val="00AD42A1"/>
    <w:rsid w:val="00AD45E1"/>
    <w:rsid w:val="00AD49A0"/>
    <w:rsid w:val="00AD4EC8"/>
    <w:rsid w:val="00AD55D3"/>
    <w:rsid w:val="00AD64CF"/>
    <w:rsid w:val="00AD6CD0"/>
    <w:rsid w:val="00AD775B"/>
    <w:rsid w:val="00AE00D5"/>
    <w:rsid w:val="00AE0877"/>
    <w:rsid w:val="00AE1567"/>
    <w:rsid w:val="00AE1715"/>
    <w:rsid w:val="00AE1EEE"/>
    <w:rsid w:val="00AE1F78"/>
    <w:rsid w:val="00AE20E9"/>
    <w:rsid w:val="00AE279D"/>
    <w:rsid w:val="00AE27C7"/>
    <w:rsid w:val="00AE29AA"/>
    <w:rsid w:val="00AE29C1"/>
    <w:rsid w:val="00AE2FAA"/>
    <w:rsid w:val="00AE3207"/>
    <w:rsid w:val="00AE3C63"/>
    <w:rsid w:val="00AE4745"/>
    <w:rsid w:val="00AE558A"/>
    <w:rsid w:val="00AE56D5"/>
    <w:rsid w:val="00AE5863"/>
    <w:rsid w:val="00AE5AE1"/>
    <w:rsid w:val="00AE616D"/>
    <w:rsid w:val="00AE63DE"/>
    <w:rsid w:val="00AE64F9"/>
    <w:rsid w:val="00AE74AC"/>
    <w:rsid w:val="00AE7745"/>
    <w:rsid w:val="00AE78BB"/>
    <w:rsid w:val="00AE79E5"/>
    <w:rsid w:val="00AF011B"/>
    <w:rsid w:val="00AF037B"/>
    <w:rsid w:val="00AF0769"/>
    <w:rsid w:val="00AF1F63"/>
    <w:rsid w:val="00AF2AFF"/>
    <w:rsid w:val="00AF3108"/>
    <w:rsid w:val="00AF3EFD"/>
    <w:rsid w:val="00AF3FE7"/>
    <w:rsid w:val="00AF435B"/>
    <w:rsid w:val="00AF4A8B"/>
    <w:rsid w:val="00AF5B12"/>
    <w:rsid w:val="00AF5BEE"/>
    <w:rsid w:val="00AF5BF7"/>
    <w:rsid w:val="00AF63EA"/>
    <w:rsid w:val="00AF683B"/>
    <w:rsid w:val="00AF68F7"/>
    <w:rsid w:val="00AF6B80"/>
    <w:rsid w:val="00AF70E7"/>
    <w:rsid w:val="00AF7940"/>
    <w:rsid w:val="00AF7BAC"/>
    <w:rsid w:val="00AF7D0C"/>
    <w:rsid w:val="00B0005E"/>
    <w:rsid w:val="00B00511"/>
    <w:rsid w:val="00B00515"/>
    <w:rsid w:val="00B0132A"/>
    <w:rsid w:val="00B016DE"/>
    <w:rsid w:val="00B01B19"/>
    <w:rsid w:val="00B01C70"/>
    <w:rsid w:val="00B01DD6"/>
    <w:rsid w:val="00B02C72"/>
    <w:rsid w:val="00B03DB4"/>
    <w:rsid w:val="00B047C8"/>
    <w:rsid w:val="00B04832"/>
    <w:rsid w:val="00B05211"/>
    <w:rsid w:val="00B053FD"/>
    <w:rsid w:val="00B05855"/>
    <w:rsid w:val="00B05D23"/>
    <w:rsid w:val="00B061A6"/>
    <w:rsid w:val="00B0631B"/>
    <w:rsid w:val="00B063DE"/>
    <w:rsid w:val="00B06BBE"/>
    <w:rsid w:val="00B06C8E"/>
    <w:rsid w:val="00B07CE7"/>
    <w:rsid w:val="00B100E8"/>
    <w:rsid w:val="00B1026A"/>
    <w:rsid w:val="00B10519"/>
    <w:rsid w:val="00B10ABE"/>
    <w:rsid w:val="00B10C17"/>
    <w:rsid w:val="00B10EE1"/>
    <w:rsid w:val="00B11831"/>
    <w:rsid w:val="00B11AE9"/>
    <w:rsid w:val="00B11E5F"/>
    <w:rsid w:val="00B11E73"/>
    <w:rsid w:val="00B1227E"/>
    <w:rsid w:val="00B123BA"/>
    <w:rsid w:val="00B1368C"/>
    <w:rsid w:val="00B13A3E"/>
    <w:rsid w:val="00B14074"/>
    <w:rsid w:val="00B14456"/>
    <w:rsid w:val="00B14A28"/>
    <w:rsid w:val="00B151A4"/>
    <w:rsid w:val="00B152CD"/>
    <w:rsid w:val="00B15C0C"/>
    <w:rsid w:val="00B161BB"/>
    <w:rsid w:val="00B162CB"/>
    <w:rsid w:val="00B16A46"/>
    <w:rsid w:val="00B16BC7"/>
    <w:rsid w:val="00B16FFB"/>
    <w:rsid w:val="00B1760C"/>
    <w:rsid w:val="00B202E2"/>
    <w:rsid w:val="00B20459"/>
    <w:rsid w:val="00B20479"/>
    <w:rsid w:val="00B2047B"/>
    <w:rsid w:val="00B206A7"/>
    <w:rsid w:val="00B2087B"/>
    <w:rsid w:val="00B20BDA"/>
    <w:rsid w:val="00B2124E"/>
    <w:rsid w:val="00B22F5D"/>
    <w:rsid w:val="00B2310B"/>
    <w:rsid w:val="00B231AA"/>
    <w:rsid w:val="00B233D1"/>
    <w:rsid w:val="00B23428"/>
    <w:rsid w:val="00B236EC"/>
    <w:rsid w:val="00B23BB1"/>
    <w:rsid w:val="00B23E10"/>
    <w:rsid w:val="00B242A0"/>
    <w:rsid w:val="00B24594"/>
    <w:rsid w:val="00B24641"/>
    <w:rsid w:val="00B25235"/>
    <w:rsid w:val="00B25893"/>
    <w:rsid w:val="00B25D01"/>
    <w:rsid w:val="00B26BB5"/>
    <w:rsid w:val="00B26D87"/>
    <w:rsid w:val="00B26F67"/>
    <w:rsid w:val="00B274CA"/>
    <w:rsid w:val="00B27789"/>
    <w:rsid w:val="00B27AFE"/>
    <w:rsid w:val="00B30622"/>
    <w:rsid w:val="00B30930"/>
    <w:rsid w:val="00B30B04"/>
    <w:rsid w:val="00B30DF6"/>
    <w:rsid w:val="00B31012"/>
    <w:rsid w:val="00B31051"/>
    <w:rsid w:val="00B326B4"/>
    <w:rsid w:val="00B32D34"/>
    <w:rsid w:val="00B33012"/>
    <w:rsid w:val="00B33974"/>
    <w:rsid w:val="00B34DA4"/>
    <w:rsid w:val="00B35201"/>
    <w:rsid w:val="00B35236"/>
    <w:rsid w:val="00B3581B"/>
    <w:rsid w:val="00B359E5"/>
    <w:rsid w:val="00B36B03"/>
    <w:rsid w:val="00B36BEA"/>
    <w:rsid w:val="00B371DB"/>
    <w:rsid w:val="00B37AF9"/>
    <w:rsid w:val="00B37F3F"/>
    <w:rsid w:val="00B401C2"/>
    <w:rsid w:val="00B404DA"/>
    <w:rsid w:val="00B40515"/>
    <w:rsid w:val="00B408A9"/>
    <w:rsid w:val="00B409C3"/>
    <w:rsid w:val="00B40CF9"/>
    <w:rsid w:val="00B40FCE"/>
    <w:rsid w:val="00B4182C"/>
    <w:rsid w:val="00B42D1A"/>
    <w:rsid w:val="00B4354C"/>
    <w:rsid w:val="00B43564"/>
    <w:rsid w:val="00B438A0"/>
    <w:rsid w:val="00B43BE7"/>
    <w:rsid w:val="00B43D39"/>
    <w:rsid w:val="00B44FC8"/>
    <w:rsid w:val="00B45131"/>
    <w:rsid w:val="00B451BA"/>
    <w:rsid w:val="00B4539B"/>
    <w:rsid w:val="00B460B9"/>
    <w:rsid w:val="00B46254"/>
    <w:rsid w:val="00B4639D"/>
    <w:rsid w:val="00B4685A"/>
    <w:rsid w:val="00B46DFD"/>
    <w:rsid w:val="00B4711A"/>
    <w:rsid w:val="00B506DF"/>
    <w:rsid w:val="00B50CCC"/>
    <w:rsid w:val="00B50E3B"/>
    <w:rsid w:val="00B50F74"/>
    <w:rsid w:val="00B51005"/>
    <w:rsid w:val="00B51016"/>
    <w:rsid w:val="00B51260"/>
    <w:rsid w:val="00B514E6"/>
    <w:rsid w:val="00B5156C"/>
    <w:rsid w:val="00B51B09"/>
    <w:rsid w:val="00B51B69"/>
    <w:rsid w:val="00B51C62"/>
    <w:rsid w:val="00B521C6"/>
    <w:rsid w:val="00B525AE"/>
    <w:rsid w:val="00B52724"/>
    <w:rsid w:val="00B5296D"/>
    <w:rsid w:val="00B52D9B"/>
    <w:rsid w:val="00B53AEF"/>
    <w:rsid w:val="00B53CD5"/>
    <w:rsid w:val="00B53FA9"/>
    <w:rsid w:val="00B551E1"/>
    <w:rsid w:val="00B559FB"/>
    <w:rsid w:val="00B55D6A"/>
    <w:rsid w:val="00B56094"/>
    <w:rsid w:val="00B562AC"/>
    <w:rsid w:val="00B568B1"/>
    <w:rsid w:val="00B568D3"/>
    <w:rsid w:val="00B56CE8"/>
    <w:rsid w:val="00B5785C"/>
    <w:rsid w:val="00B57A9A"/>
    <w:rsid w:val="00B57DDC"/>
    <w:rsid w:val="00B6021F"/>
    <w:rsid w:val="00B60247"/>
    <w:rsid w:val="00B604F2"/>
    <w:rsid w:val="00B60ABF"/>
    <w:rsid w:val="00B60C9E"/>
    <w:rsid w:val="00B60FC3"/>
    <w:rsid w:val="00B61459"/>
    <w:rsid w:val="00B621BF"/>
    <w:rsid w:val="00B62B58"/>
    <w:rsid w:val="00B62C6D"/>
    <w:rsid w:val="00B62E95"/>
    <w:rsid w:val="00B6369A"/>
    <w:rsid w:val="00B63A5A"/>
    <w:rsid w:val="00B63A95"/>
    <w:rsid w:val="00B63FB5"/>
    <w:rsid w:val="00B644A8"/>
    <w:rsid w:val="00B64F74"/>
    <w:rsid w:val="00B6548C"/>
    <w:rsid w:val="00B65CDA"/>
    <w:rsid w:val="00B65DC5"/>
    <w:rsid w:val="00B66013"/>
    <w:rsid w:val="00B66AF7"/>
    <w:rsid w:val="00B671FA"/>
    <w:rsid w:val="00B6754C"/>
    <w:rsid w:val="00B70C06"/>
    <w:rsid w:val="00B71146"/>
    <w:rsid w:val="00B71318"/>
    <w:rsid w:val="00B71659"/>
    <w:rsid w:val="00B716D4"/>
    <w:rsid w:val="00B71D46"/>
    <w:rsid w:val="00B71DFC"/>
    <w:rsid w:val="00B71E9A"/>
    <w:rsid w:val="00B7202C"/>
    <w:rsid w:val="00B721D1"/>
    <w:rsid w:val="00B722B7"/>
    <w:rsid w:val="00B72812"/>
    <w:rsid w:val="00B7318E"/>
    <w:rsid w:val="00B73EB3"/>
    <w:rsid w:val="00B743D9"/>
    <w:rsid w:val="00B747E1"/>
    <w:rsid w:val="00B74A12"/>
    <w:rsid w:val="00B74DB9"/>
    <w:rsid w:val="00B764E5"/>
    <w:rsid w:val="00B76642"/>
    <w:rsid w:val="00B76DF3"/>
    <w:rsid w:val="00B773C8"/>
    <w:rsid w:val="00B77B8B"/>
    <w:rsid w:val="00B77DA5"/>
    <w:rsid w:val="00B80436"/>
    <w:rsid w:val="00B808EA"/>
    <w:rsid w:val="00B81045"/>
    <w:rsid w:val="00B815EE"/>
    <w:rsid w:val="00B81B3A"/>
    <w:rsid w:val="00B826C7"/>
    <w:rsid w:val="00B82C69"/>
    <w:rsid w:val="00B82D73"/>
    <w:rsid w:val="00B83354"/>
    <w:rsid w:val="00B835F7"/>
    <w:rsid w:val="00B838E8"/>
    <w:rsid w:val="00B84915"/>
    <w:rsid w:val="00B84D4E"/>
    <w:rsid w:val="00B85D5F"/>
    <w:rsid w:val="00B868DE"/>
    <w:rsid w:val="00B87437"/>
    <w:rsid w:val="00B87D3A"/>
    <w:rsid w:val="00B90895"/>
    <w:rsid w:val="00B90E18"/>
    <w:rsid w:val="00B91829"/>
    <w:rsid w:val="00B91EB8"/>
    <w:rsid w:val="00B91F3F"/>
    <w:rsid w:val="00B91F58"/>
    <w:rsid w:val="00B924B6"/>
    <w:rsid w:val="00B92A4A"/>
    <w:rsid w:val="00B93AA8"/>
    <w:rsid w:val="00B93FFE"/>
    <w:rsid w:val="00B9484A"/>
    <w:rsid w:val="00B94CAA"/>
    <w:rsid w:val="00B94D4B"/>
    <w:rsid w:val="00B9523D"/>
    <w:rsid w:val="00B95519"/>
    <w:rsid w:val="00B955B7"/>
    <w:rsid w:val="00B95B89"/>
    <w:rsid w:val="00B961E4"/>
    <w:rsid w:val="00B9654F"/>
    <w:rsid w:val="00B966F2"/>
    <w:rsid w:val="00B96D0A"/>
    <w:rsid w:val="00B96EF6"/>
    <w:rsid w:val="00B97C7E"/>
    <w:rsid w:val="00B97FD7"/>
    <w:rsid w:val="00BA0173"/>
    <w:rsid w:val="00BA0448"/>
    <w:rsid w:val="00BA04B7"/>
    <w:rsid w:val="00BA0D47"/>
    <w:rsid w:val="00BA1AB4"/>
    <w:rsid w:val="00BA1C3A"/>
    <w:rsid w:val="00BA2E7E"/>
    <w:rsid w:val="00BA2EC8"/>
    <w:rsid w:val="00BA3ABE"/>
    <w:rsid w:val="00BA3D1E"/>
    <w:rsid w:val="00BA3D6F"/>
    <w:rsid w:val="00BA40E3"/>
    <w:rsid w:val="00BA47BD"/>
    <w:rsid w:val="00BA54C3"/>
    <w:rsid w:val="00BA586D"/>
    <w:rsid w:val="00BA6242"/>
    <w:rsid w:val="00BA6738"/>
    <w:rsid w:val="00BA6838"/>
    <w:rsid w:val="00BA6C7C"/>
    <w:rsid w:val="00BA6E9B"/>
    <w:rsid w:val="00BA70FE"/>
    <w:rsid w:val="00BA7261"/>
    <w:rsid w:val="00BA7430"/>
    <w:rsid w:val="00BA755D"/>
    <w:rsid w:val="00BA7937"/>
    <w:rsid w:val="00BA799C"/>
    <w:rsid w:val="00BA79E9"/>
    <w:rsid w:val="00BA7CD8"/>
    <w:rsid w:val="00BB00DE"/>
    <w:rsid w:val="00BB0934"/>
    <w:rsid w:val="00BB0B2C"/>
    <w:rsid w:val="00BB12FD"/>
    <w:rsid w:val="00BB1A0A"/>
    <w:rsid w:val="00BB1B97"/>
    <w:rsid w:val="00BB2154"/>
    <w:rsid w:val="00BB3876"/>
    <w:rsid w:val="00BB3B5A"/>
    <w:rsid w:val="00BB4861"/>
    <w:rsid w:val="00BB4ADB"/>
    <w:rsid w:val="00BB4D42"/>
    <w:rsid w:val="00BB544B"/>
    <w:rsid w:val="00BB5DAC"/>
    <w:rsid w:val="00BB6389"/>
    <w:rsid w:val="00BB719C"/>
    <w:rsid w:val="00BB7CFF"/>
    <w:rsid w:val="00BC0563"/>
    <w:rsid w:val="00BC092E"/>
    <w:rsid w:val="00BC0C70"/>
    <w:rsid w:val="00BC0F4D"/>
    <w:rsid w:val="00BC131B"/>
    <w:rsid w:val="00BC14B3"/>
    <w:rsid w:val="00BC15FB"/>
    <w:rsid w:val="00BC168D"/>
    <w:rsid w:val="00BC1A0D"/>
    <w:rsid w:val="00BC1A7E"/>
    <w:rsid w:val="00BC1B12"/>
    <w:rsid w:val="00BC1BA0"/>
    <w:rsid w:val="00BC1D55"/>
    <w:rsid w:val="00BC3796"/>
    <w:rsid w:val="00BC3948"/>
    <w:rsid w:val="00BC39F4"/>
    <w:rsid w:val="00BC421F"/>
    <w:rsid w:val="00BC4293"/>
    <w:rsid w:val="00BC46F4"/>
    <w:rsid w:val="00BC5097"/>
    <w:rsid w:val="00BC5CBF"/>
    <w:rsid w:val="00BC68A5"/>
    <w:rsid w:val="00BC69A1"/>
    <w:rsid w:val="00BC6A24"/>
    <w:rsid w:val="00BC7059"/>
    <w:rsid w:val="00BC70E9"/>
    <w:rsid w:val="00BC7608"/>
    <w:rsid w:val="00BD0AF9"/>
    <w:rsid w:val="00BD0EFF"/>
    <w:rsid w:val="00BD158D"/>
    <w:rsid w:val="00BD196C"/>
    <w:rsid w:val="00BD1A3B"/>
    <w:rsid w:val="00BD1A67"/>
    <w:rsid w:val="00BD1EC7"/>
    <w:rsid w:val="00BD24AA"/>
    <w:rsid w:val="00BD295F"/>
    <w:rsid w:val="00BD2E58"/>
    <w:rsid w:val="00BD2EA7"/>
    <w:rsid w:val="00BD3186"/>
    <w:rsid w:val="00BD3423"/>
    <w:rsid w:val="00BD357D"/>
    <w:rsid w:val="00BD4AD6"/>
    <w:rsid w:val="00BD4F47"/>
    <w:rsid w:val="00BD4FAC"/>
    <w:rsid w:val="00BD5445"/>
    <w:rsid w:val="00BD59BB"/>
    <w:rsid w:val="00BD5E9C"/>
    <w:rsid w:val="00BD63A5"/>
    <w:rsid w:val="00BD667C"/>
    <w:rsid w:val="00BD7430"/>
    <w:rsid w:val="00BD7B55"/>
    <w:rsid w:val="00BE035A"/>
    <w:rsid w:val="00BE074B"/>
    <w:rsid w:val="00BE0D2E"/>
    <w:rsid w:val="00BE10E4"/>
    <w:rsid w:val="00BE1121"/>
    <w:rsid w:val="00BE186A"/>
    <w:rsid w:val="00BE1C21"/>
    <w:rsid w:val="00BE1FF5"/>
    <w:rsid w:val="00BE2584"/>
    <w:rsid w:val="00BE296A"/>
    <w:rsid w:val="00BE2CF2"/>
    <w:rsid w:val="00BE371D"/>
    <w:rsid w:val="00BE3A5E"/>
    <w:rsid w:val="00BE43E8"/>
    <w:rsid w:val="00BE5246"/>
    <w:rsid w:val="00BE525C"/>
    <w:rsid w:val="00BE5656"/>
    <w:rsid w:val="00BE5EAE"/>
    <w:rsid w:val="00BE62E9"/>
    <w:rsid w:val="00BE6426"/>
    <w:rsid w:val="00BE6773"/>
    <w:rsid w:val="00BE6B3B"/>
    <w:rsid w:val="00BE6CA0"/>
    <w:rsid w:val="00BE77A9"/>
    <w:rsid w:val="00BE7AEF"/>
    <w:rsid w:val="00BF02A2"/>
    <w:rsid w:val="00BF0E22"/>
    <w:rsid w:val="00BF0EA9"/>
    <w:rsid w:val="00BF0EC6"/>
    <w:rsid w:val="00BF10D9"/>
    <w:rsid w:val="00BF155A"/>
    <w:rsid w:val="00BF2148"/>
    <w:rsid w:val="00BF294C"/>
    <w:rsid w:val="00BF2C1B"/>
    <w:rsid w:val="00BF33D9"/>
    <w:rsid w:val="00BF33DB"/>
    <w:rsid w:val="00BF35EB"/>
    <w:rsid w:val="00BF3CA0"/>
    <w:rsid w:val="00BF4027"/>
    <w:rsid w:val="00BF40D5"/>
    <w:rsid w:val="00BF4448"/>
    <w:rsid w:val="00BF47E5"/>
    <w:rsid w:val="00BF4F9A"/>
    <w:rsid w:val="00BF4FD6"/>
    <w:rsid w:val="00BF5174"/>
    <w:rsid w:val="00BF5840"/>
    <w:rsid w:val="00BF6415"/>
    <w:rsid w:val="00BF6763"/>
    <w:rsid w:val="00BF6769"/>
    <w:rsid w:val="00BF6A2A"/>
    <w:rsid w:val="00BF70DD"/>
    <w:rsid w:val="00BF76CF"/>
    <w:rsid w:val="00BF773C"/>
    <w:rsid w:val="00BF7D8D"/>
    <w:rsid w:val="00C003B8"/>
    <w:rsid w:val="00C00D56"/>
    <w:rsid w:val="00C015FB"/>
    <w:rsid w:val="00C015FE"/>
    <w:rsid w:val="00C01B16"/>
    <w:rsid w:val="00C0265D"/>
    <w:rsid w:val="00C02DB8"/>
    <w:rsid w:val="00C034C3"/>
    <w:rsid w:val="00C03F50"/>
    <w:rsid w:val="00C04300"/>
    <w:rsid w:val="00C053E0"/>
    <w:rsid w:val="00C058E7"/>
    <w:rsid w:val="00C060A0"/>
    <w:rsid w:val="00C06414"/>
    <w:rsid w:val="00C06530"/>
    <w:rsid w:val="00C068E6"/>
    <w:rsid w:val="00C06B60"/>
    <w:rsid w:val="00C0713A"/>
    <w:rsid w:val="00C073B8"/>
    <w:rsid w:val="00C105ED"/>
    <w:rsid w:val="00C106F7"/>
    <w:rsid w:val="00C12003"/>
    <w:rsid w:val="00C12826"/>
    <w:rsid w:val="00C12A0F"/>
    <w:rsid w:val="00C13071"/>
    <w:rsid w:val="00C1361A"/>
    <w:rsid w:val="00C13939"/>
    <w:rsid w:val="00C13F77"/>
    <w:rsid w:val="00C14936"/>
    <w:rsid w:val="00C14A9F"/>
    <w:rsid w:val="00C14C6E"/>
    <w:rsid w:val="00C1583D"/>
    <w:rsid w:val="00C15E2B"/>
    <w:rsid w:val="00C15EBC"/>
    <w:rsid w:val="00C167F1"/>
    <w:rsid w:val="00C1698D"/>
    <w:rsid w:val="00C16BC7"/>
    <w:rsid w:val="00C16D88"/>
    <w:rsid w:val="00C1703F"/>
    <w:rsid w:val="00C171B7"/>
    <w:rsid w:val="00C179EA"/>
    <w:rsid w:val="00C17A4B"/>
    <w:rsid w:val="00C201BB"/>
    <w:rsid w:val="00C20267"/>
    <w:rsid w:val="00C20FC2"/>
    <w:rsid w:val="00C216A8"/>
    <w:rsid w:val="00C22B25"/>
    <w:rsid w:val="00C23CE1"/>
    <w:rsid w:val="00C23DCF"/>
    <w:rsid w:val="00C23E61"/>
    <w:rsid w:val="00C24469"/>
    <w:rsid w:val="00C2517D"/>
    <w:rsid w:val="00C25445"/>
    <w:rsid w:val="00C259E1"/>
    <w:rsid w:val="00C25B96"/>
    <w:rsid w:val="00C25D67"/>
    <w:rsid w:val="00C26CCB"/>
    <w:rsid w:val="00C277B9"/>
    <w:rsid w:val="00C27BCD"/>
    <w:rsid w:val="00C30B2E"/>
    <w:rsid w:val="00C30F55"/>
    <w:rsid w:val="00C31472"/>
    <w:rsid w:val="00C31641"/>
    <w:rsid w:val="00C32458"/>
    <w:rsid w:val="00C32658"/>
    <w:rsid w:val="00C3346D"/>
    <w:rsid w:val="00C334A1"/>
    <w:rsid w:val="00C33B6D"/>
    <w:rsid w:val="00C34456"/>
    <w:rsid w:val="00C3502B"/>
    <w:rsid w:val="00C352C4"/>
    <w:rsid w:val="00C35C3C"/>
    <w:rsid w:val="00C36256"/>
    <w:rsid w:val="00C3656C"/>
    <w:rsid w:val="00C368D3"/>
    <w:rsid w:val="00C3694F"/>
    <w:rsid w:val="00C369CF"/>
    <w:rsid w:val="00C36A30"/>
    <w:rsid w:val="00C36CBB"/>
    <w:rsid w:val="00C370C2"/>
    <w:rsid w:val="00C3722E"/>
    <w:rsid w:val="00C379BD"/>
    <w:rsid w:val="00C37C70"/>
    <w:rsid w:val="00C37E4B"/>
    <w:rsid w:val="00C37F48"/>
    <w:rsid w:val="00C4062E"/>
    <w:rsid w:val="00C40895"/>
    <w:rsid w:val="00C40BB4"/>
    <w:rsid w:val="00C40BF5"/>
    <w:rsid w:val="00C410EA"/>
    <w:rsid w:val="00C41FCE"/>
    <w:rsid w:val="00C41FE9"/>
    <w:rsid w:val="00C42163"/>
    <w:rsid w:val="00C42BDB"/>
    <w:rsid w:val="00C42DA5"/>
    <w:rsid w:val="00C42FC4"/>
    <w:rsid w:val="00C442DE"/>
    <w:rsid w:val="00C44F7E"/>
    <w:rsid w:val="00C45A0C"/>
    <w:rsid w:val="00C46391"/>
    <w:rsid w:val="00C463C7"/>
    <w:rsid w:val="00C46863"/>
    <w:rsid w:val="00C46DEF"/>
    <w:rsid w:val="00C4740C"/>
    <w:rsid w:val="00C479C6"/>
    <w:rsid w:val="00C47CC2"/>
    <w:rsid w:val="00C47D3F"/>
    <w:rsid w:val="00C47F35"/>
    <w:rsid w:val="00C504FD"/>
    <w:rsid w:val="00C505EB"/>
    <w:rsid w:val="00C50A67"/>
    <w:rsid w:val="00C50B46"/>
    <w:rsid w:val="00C50C97"/>
    <w:rsid w:val="00C5108E"/>
    <w:rsid w:val="00C51941"/>
    <w:rsid w:val="00C51FE8"/>
    <w:rsid w:val="00C52295"/>
    <w:rsid w:val="00C52D75"/>
    <w:rsid w:val="00C52DD1"/>
    <w:rsid w:val="00C52FF2"/>
    <w:rsid w:val="00C5305E"/>
    <w:rsid w:val="00C53156"/>
    <w:rsid w:val="00C533C7"/>
    <w:rsid w:val="00C542FE"/>
    <w:rsid w:val="00C547A4"/>
    <w:rsid w:val="00C547E1"/>
    <w:rsid w:val="00C54806"/>
    <w:rsid w:val="00C5489D"/>
    <w:rsid w:val="00C54AE7"/>
    <w:rsid w:val="00C54FAD"/>
    <w:rsid w:val="00C55470"/>
    <w:rsid w:val="00C55608"/>
    <w:rsid w:val="00C5657B"/>
    <w:rsid w:val="00C5687D"/>
    <w:rsid w:val="00C56F3D"/>
    <w:rsid w:val="00C5731A"/>
    <w:rsid w:val="00C57A7D"/>
    <w:rsid w:val="00C606B1"/>
    <w:rsid w:val="00C60AAF"/>
    <w:rsid w:val="00C60E42"/>
    <w:rsid w:val="00C60E67"/>
    <w:rsid w:val="00C61642"/>
    <w:rsid w:val="00C624B8"/>
    <w:rsid w:val="00C62ACA"/>
    <w:rsid w:val="00C62B3C"/>
    <w:rsid w:val="00C62D91"/>
    <w:rsid w:val="00C6350D"/>
    <w:rsid w:val="00C636AA"/>
    <w:rsid w:val="00C636C0"/>
    <w:rsid w:val="00C63FCD"/>
    <w:rsid w:val="00C644CA"/>
    <w:rsid w:val="00C648A7"/>
    <w:rsid w:val="00C64E4E"/>
    <w:rsid w:val="00C64EAE"/>
    <w:rsid w:val="00C65448"/>
    <w:rsid w:val="00C66102"/>
    <w:rsid w:val="00C66210"/>
    <w:rsid w:val="00C6648E"/>
    <w:rsid w:val="00C67300"/>
    <w:rsid w:val="00C6734B"/>
    <w:rsid w:val="00C673C7"/>
    <w:rsid w:val="00C67587"/>
    <w:rsid w:val="00C676FD"/>
    <w:rsid w:val="00C67D16"/>
    <w:rsid w:val="00C67FFA"/>
    <w:rsid w:val="00C706AE"/>
    <w:rsid w:val="00C708CF"/>
    <w:rsid w:val="00C708EC"/>
    <w:rsid w:val="00C70B1E"/>
    <w:rsid w:val="00C71330"/>
    <w:rsid w:val="00C714A7"/>
    <w:rsid w:val="00C7159F"/>
    <w:rsid w:val="00C718CE"/>
    <w:rsid w:val="00C719A3"/>
    <w:rsid w:val="00C71B86"/>
    <w:rsid w:val="00C71ED4"/>
    <w:rsid w:val="00C72449"/>
    <w:rsid w:val="00C7252C"/>
    <w:rsid w:val="00C726B0"/>
    <w:rsid w:val="00C72956"/>
    <w:rsid w:val="00C72C7C"/>
    <w:rsid w:val="00C73135"/>
    <w:rsid w:val="00C73409"/>
    <w:rsid w:val="00C73AF3"/>
    <w:rsid w:val="00C74C86"/>
    <w:rsid w:val="00C75036"/>
    <w:rsid w:val="00C75456"/>
    <w:rsid w:val="00C76034"/>
    <w:rsid w:val="00C76697"/>
    <w:rsid w:val="00C766A9"/>
    <w:rsid w:val="00C77196"/>
    <w:rsid w:val="00C77258"/>
    <w:rsid w:val="00C776E5"/>
    <w:rsid w:val="00C77714"/>
    <w:rsid w:val="00C77743"/>
    <w:rsid w:val="00C77919"/>
    <w:rsid w:val="00C77DF4"/>
    <w:rsid w:val="00C77E08"/>
    <w:rsid w:val="00C80108"/>
    <w:rsid w:val="00C8059E"/>
    <w:rsid w:val="00C80C16"/>
    <w:rsid w:val="00C80E91"/>
    <w:rsid w:val="00C814B3"/>
    <w:rsid w:val="00C814C7"/>
    <w:rsid w:val="00C81614"/>
    <w:rsid w:val="00C8171C"/>
    <w:rsid w:val="00C81E4F"/>
    <w:rsid w:val="00C821CA"/>
    <w:rsid w:val="00C822FB"/>
    <w:rsid w:val="00C82B1F"/>
    <w:rsid w:val="00C82C25"/>
    <w:rsid w:val="00C82DD1"/>
    <w:rsid w:val="00C8320A"/>
    <w:rsid w:val="00C83489"/>
    <w:rsid w:val="00C83694"/>
    <w:rsid w:val="00C84C45"/>
    <w:rsid w:val="00C84E8D"/>
    <w:rsid w:val="00C84EFE"/>
    <w:rsid w:val="00C85755"/>
    <w:rsid w:val="00C85957"/>
    <w:rsid w:val="00C85CB1"/>
    <w:rsid w:val="00C85DB8"/>
    <w:rsid w:val="00C85E51"/>
    <w:rsid w:val="00C86759"/>
    <w:rsid w:val="00C867F6"/>
    <w:rsid w:val="00C86853"/>
    <w:rsid w:val="00C8711B"/>
    <w:rsid w:val="00C8721D"/>
    <w:rsid w:val="00C87D83"/>
    <w:rsid w:val="00C87F24"/>
    <w:rsid w:val="00C90652"/>
    <w:rsid w:val="00C90A60"/>
    <w:rsid w:val="00C90B8F"/>
    <w:rsid w:val="00C90E28"/>
    <w:rsid w:val="00C91011"/>
    <w:rsid w:val="00C916BB"/>
    <w:rsid w:val="00C9185B"/>
    <w:rsid w:val="00C91A6F"/>
    <w:rsid w:val="00C91B40"/>
    <w:rsid w:val="00C91C6B"/>
    <w:rsid w:val="00C91DB8"/>
    <w:rsid w:val="00C929B4"/>
    <w:rsid w:val="00C92BEE"/>
    <w:rsid w:val="00C9303F"/>
    <w:rsid w:val="00C93852"/>
    <w:rsid w:val="00C9388A"/>
    <w:rsid w:val="00C941AC"/>
    <w:rsid w:val="00C945FB"/>
    <w:rsid w:val="00C94CCE"/>
    <w:rsid w:val="00C950C9"/>
    <w:rsid w:val="00C951F8"/>
    <w:rsid w:val="00C9555B"/>
    <w:rsid w:val="00C96298"/>
    <w:rsid w:val="00C9679F"/>
    <w:rsid w:val="00C96C20"/>
    <w:rsid w:val="00C96F41"/>
    <w:rsid w:val="00C96FD3"/>
    <w:rsid w:val="00C972A0"/>
    <w:rsid w:val="00CA059B"/>
    <w:rsid w:val="00CA09C9"/>
    <w:rsid w:val="00CA1128"/>
    <w:rsid w:val="00CA1564"/>
    <w:rsid w:val="00CA1748"/>
    <w:rsid w:val="00CA19F0"/>
    <w:rsid w:val="00CA2035"/>
    <w:rsid w:val="00CA2E16"/>
    <w:rsid w:val="00CA35B7"/>
    <w:rsid w:val="00CA3B34"/>
    <w:rsid w:val="00CA3D13"/>
    <w:rsid w:val="00CA3DA7"/>
    <w:rsid w:val="00CA4042"/>
    <w:rsid w:val="00CA4660"/>
    <w:rsid w:val="00CA4C3A"/>
    <w:rsid w:val="00CA5151"/>
    <w:rsid w:val="00CA53F8"/>
    <w:rsid w:val="00CA6121"/>
    <w:rsid w:val="00CA61D5"/>
    <w:rsid w:val="00CA6384"/>
    <w:rsid w:val="00CA6399"/>
    <w:rsid w:val="00CA787F"/>
    <w:rsid w:val="00CA7B4F"/>
    <w:rsid w:val="00CB0312"/>
    <w:rsid w:val="00CB03F3"/>
    <w:rsid w:val="00CB085F"/>
    <w:rsid w:val="00CB0E90"/>
    <w:rsid w:val="00CB0F52"/>
    <w:rsid w:val="00CB132C"/>
    <w:rsid w:val="00CB23A0"/>
    <w:rsid w:val="00CB247B"/>
    <w:rsid w:val="00CB278E"/>
    <w:rsid w:val="00CB2B81"/>
    <w:rsid w:val="00CB3578"/>
    <w:rsid w:val="00CB3618"/>
    <w:rsid w:val="00CB3904"/>
    <w:rsid w:val="00CB3917"/>
    <w:rsid w:val="00CB3E16"/>
    <w:rsid w:val="00CB3E20"/>
    <w:rsid w:val="00CB3EE8"/>
    <w:rsid w:val="00CB47FD"/>
    <w:rsid w:val="00CB4D56"/>
    <w:rsid w:val="00CB4E3B"/>
    <w:rsid w:val="00CB5A10"/>
    <w:rsid w:val="00CB5CE3"/>
    <w:rsid w:val="00CB5EE7"/>
    <w:rsid w:val="00CB62A9"/>
    <w:rsid w:val="00CB6616"/>
    <w:rsid w:val="00CB7354"/>
    <w:rsid w:val="00CB7465"/>
    <w:rsid w:val="00CB7978"/>
    <w:rsid w:val="00CC0BFB"/>
    <w:rsid w:val="00CC126A"/>
    <w:rsid w:val="00CC14C4"/>
    <w:rsid w:val="00CC1C16"/>
    <w:rsid w:val="00CC1D5B"/>
    <w:rsid w:val="00CC1F86"/>
    <w:rsid w:val="00CC22AD"/>
    <w:rsid w:val="00CC26CD"/>
    <w:rsid w:val="00CC2B41"/>
    <w:rsid w:val="00CC2DB6"/>
    <w:rsid w:val="00CC35E6"/>
    <w:rsid w:val="00CC3C0A"/>
    <w:rsid w:val="00CC4069"/>
    <w:rsid w:val="00CC4080"/>
    <w:rsid w:val="00CC511E"/>
    <w:rsid w:val="00CC5395"/>
    <w:rsid w:val="00CC62B4"/>
    <w:rsid w:val="00CC62EC"/>
    <w:rsid w:val="00CC6DC1"/>
    <w:rsid w:val="00CC75C6"/>
    <w:rsid w:val="00CC7C0E"/>
    <w:rsid w:val="00CC7CC8"/>
    <w:rsid w:val="00CD0362"/>
    <w:rsid w:val="00CD0446"/>
    <w:rsid w:val="00CD04B5"/>
    <w:rsid w:val="00CD07E4"/>
    <w:rsid w:val="00CD10C9"/>
    <w:rsid w:val="00CD16E4"/>
    <w:rsid w:val="00CD1775"/>
    <w:rsid w:val="00CD20BB"/>
    <w:rsid w:val="00CD2B79"/>
    <w:rsid w:val="00CD323E"/>
    <w:rsid w:val="00CD3288"/>
    <w:rsid w:val="00CD3969"/>
    <w:rsid w:val="00CD4792"/>
    <w:rsid w:val="00CD4D85"/>
    <w:rsid w:val="00CD50E8"/>
    <w:rsid w:val="00CD588B"/>
    <w:rsid w:val="00CD6385"/>
    <w:rsid w:val="00CD639B"/>
    <w:rsid w:val="00CD68AD"/>
    <w:rsid w:val="00CD6BF0"/>
    <w:rsid w:val="00CD6D6A"/>
    <w:rsid w:val="00CD6DE4"/>
    <w:rsid w:val="00CD6F8D"/>
    <w:rsid w:val="00CD73CA"/>
    <w:rsid w:val="00CD793B"/>
    <w:rsid w:val="00CD7D1E"/>
    <w:rsid w:val="00CE0859"/>
    <w:rsid w:val="00CE0B82"/>
    <w:rsid w:val="00CE0EF2"/>
    <w:rsid w:val="00CE0F49"/>
    <w:rsid w:val="00CE11F1"/>
    <w:rsid w:val="00CE13C7"/>
    <w:rsid w:val="00CE169F"/>
    <w:rsid w:val="00CE1FE2"/>
    <w:rsid w:val="00CE21E6"/>
    <w:rsid w:val="00CE2245"/>
    <w:rsid w:val="00CE2B79"/>
    <w:rsid w:val="00CE2C5A"/>
    <w:rsid w:val="00CE2FF6"/>
    <w:rsid w:val="00CE3033"/>
    <w:rsid w:val="00CE31CC"/>
    <w:rsid w:val="00CE4671"/>
    <w:rsid w:val="00CE4CCD"/>
    <w:rsid w:val="00CE4CDF"/>
    <w:rsid w:val="00CE59CB"/>
    <w:rsid w:val="00CE5F3F"/>
    <w:rsid w:val="00CE62F5"/>
    <w:rsid w:val="00CE7AA4"/>
    <w:rsid w:val="00CF0051"/>
    <w:rsid w:val="00CF008D"/>
    <w:rsid w:val="00CF0180"/>
    <w:rsid w:val="00CF039B"/>
    <w:rsid w:val="00CF0A3C"/>
    <w:rsid w:val="00CF1419"/>
    <w:rsid w:val="00CF169F"/>
    <w:rsid w:val="00CF1ABA"/>
    <w:rsid w:val="00CF25E6"/>
    <w:rsid w:val="00CF266A"/>
    <w:rsid w:val="00CF33C6"/>
    <w:rsid w:val="00CF33D7"/>
    <w:rsid w:val="00CF367B"/>
    <w:rsid w:val="00CF3887"/>
    <w:rsid w:val="00CF3EBE"/>
    <w:rsid w:val="00CF4007"/>
    <w:rsid w:val="00CF4A67"/>
    <w:rsid w:val="00CF5213"/>
    <w:rsid w:val="00CF52A6"/>
    <w:rsid w:val="00CF5336"/>
    <w:rsid w:val="00CF542B"/>
    <w:rsid w:val="00CF5757"/>
    <w:rsid w:val="00CF5DE2"/>
    <w:rsid w:val="00CF6237"/>
    <w:rsid w:val="00CF644D"/>
    <w:rsid w:val="00CF64A0"/>
    <w:rsid w:val="00CF67A9"/>
    <w:rsid w:val="00CF6885"/>
    <w:rsid w:val="00CF75CA"/>
    <w:rsid w:val="00CF786B"/>
    <w:rsid w:val="00CF78CF"/>
    <w:rsid w:val="00CF7CCA"/>
    <w:rsid w:val="00D00206"/>
    <w:rsid w:val="00D00304"/>
    <w:rsid w:val="00D008D5"/>
    <w:rsid w:val="00D00D9B"/>
    <w:rsid w:val="00D00E7C"/>
    <w:rsid w:val="00D01020"/>
    <w:rsid w:val="00D01581"/>
    <w:rsid w:val="00D0193F"/>
    <w:rsid w:val="00D01CF7"/>
    <w:rsid w:val="00D02149"/>
    <w:rsid w:val="00D02B2A"/>
    <w:rsid w:val="00D038F6"/>
    <w:rsid w:val="00D03F19"/>
    <w:rsid w:val="00D0480D"/>
    <w:rsid w:val="00D04825"/>
    <w:rsid w:val="00D04D2B"/>
    <w:rsid w:val="00D05674"/>
    <w:rsid w:val="00D058D0"/>
    <w:rsid w:val="00D05C5D"/>
    <w:rsid w:val="00D05CA8"/>
    <w:rsid w:val="00D05DA4"/>
    <w:rsid w:val="00D0602A"/>
    <w:rsid w:val="00D069BE"/>
    <w:rsid w:val="00D07168"/>
    <w:rsid w:val="00D07384"/>
    <w:rsid w:val="00D0766B"/>
    <w:rsid w:val="00D078FB"/>
    <w:rsid w:val="00D07EE3"/>
    <w:rsid w:val="00D10B46"/>
    <w:rsid w:val="00D10C64"/>
    <w:rsid w:val="00D10F7F"/>
    <w:rsid w:val="00D1129D"/>
    <w:rsid w:val="00D11AE4"/>
    <w:rsid w:val="00D11E04"/>
    <w:rsid w:val="00D121DE"/>
    <w:rsid w:val="00D126D9"/>
    <w:rsid w:val="00D139E4"/>
    <w:rsid w:val="00D13FFE"/>
    <w:rsid w:val="00D1447F"/>
    <w:rsid w:val="00D14A2E"/>
    <w:rsid w:val="00D14B2D"/>
    <w:rsid w:val="00D14C12"/>
    <w:rsid w:val="00D14D03"/>
    <w:rsid w:val="00D154E2"/>
    <w:rsid w:val="00D15A3B"/>
    <w:rsid w:val="00D15C45"/>
    <w:rsid w:val="00D16129"/>
    <w:rsid w:val="00D16583"/>
    <w:rsid w:val="00D16906"/>
    <w:rsid w:val="00D1690C"/>
    <w:rsid w:val="00D16EA1"/>
    <w:rsid w:val="00D16F0D"/>
    <w:rsid w:val="00D16F28"/>
    <w:rsid w:val="00D174C8"/>
    <w:rsid w:val="00D175D9"/>
    <w:rsid w:val="00D177E4"/>
    <w:rsid w:val="00D17844"/>
    <w:rsid w:val="00D17A33"/>
    <w:rsid w:val="00D17CCD"/>
    <w:rsid w:val="00D200C0"/>
    <w:rsid w:val="00D20734"/>
    <w:rsid w:val="00D20C2C"/>
    <w:rsid w:val="00D20E2A"/>
    <w:rsid w:val="00D214CD"/>
    <w:rsid w:val="00D21843"/>
    <w:rsid w:val="00D21977"/>
    <w:rsid w:val="00D22427"/>
    <w:rsid w:val="00D224A1"/>
    <w:rsid w:val="00D22673"/>
    <w:rsid w:val="00D22A9B"/>
    <w:rsid w:val="00D22BA7"/>
    <w:rsid w:val="00D23660"/>
    <w:rsid w:val="00D23773"/>
    <w:rsid w:val="00D25760"/>
    <w:rsid w:val="00D25B64"/>
    <w:rsid w:val="00D25D14"/>
    <w:rsid w:val="00D261A6"/>
    <w:rsid w:val="00D26548"/>
    <w:rsid w:val="00D26B70"/>
    <w:rsid w:val="00D27DB8"/>
    <w:rsid w:val="00D30088"/>
    <w:rsid w:val="00D30492"/>
    <w:rsid w:val="00D30582"/>
    <w:rsid w:val="00D30836"/>
    <w:rsid w:val="00D309FA"/>
    <w:rsid w:val="00D30E74"/>
    <w:rsid w:val="00D30E77"/>
    <w:rsid w:val="00D31476"/>
    <w:rsid w:val="00D31BF1"/>
    <w:rsid w:val="00D31BF3"/>
    <w:rsid w:val="00D31CFC"/>
    <w:rsid w:val="00D3212A"/>
    <w:rsid w:val="00D32346"/>
    <w:rsid w:val="00D330A7"/>
    <w:rsid w:val="00D33515"/>
    <w:rsid w:val="00D33688"/>
    <w:rsid w:val="00D337C0"/>
    <w:rsid w:val="00D33BDA"/>
    <w:rsid w:val="00D33BE9"/>
    <w:rsid w:val="00D34511"/>
    <w:rsid w:val="00D348C5"/>
    <w:rsid w:val="00D34A7C"/>
    <w:rsid w:val="00D35167"/>
    <w:rsid w:val="00D3583B"/>
    <w:rsid w:val="00D35AC7"/>
    <w:rsid w:val="00D35CE0"/>
    <w:rsid w:val="00D361C5"/>
    <w:rsid w:val="00D3644C"/>
    <w:rsid w:val="00D36616"/>
    <w:rsid w:val="00D3689D"/>
    <w:rsid w:val="00D369CC"/>
    <w:rsid w:val="00D36A79"/>
    <w:rsid w:val="00D37225"/>
    <w:rsid w:val="00D37701"/>
    <w:rsid w:val="00D402F0"/>
    <w:rsid w:val="00D4053C"/>
    <w:rsid w:val="00D40557"/>
    <w:rsid w:val="00D40AE8"/>
    <w:rsid w:val="00D412C2"/>
    <w:rsid w:val="00D414C7"/>
    <w:rsid w:val="00D41742"/>
    <w:rsid w:val="00D41A15"/>
    <w:rsid w:val="00D43067"/>
    <w:rsid w:val="00D43474"/>
    <w:rsid w:val="00D4380C"/>
    <w:rsid w:val="00D438B5"/>
    <w:rsid w:val="00D43B8A"/>
    <w:rsid w:val="00D43C0D"/>
    <w:rsid w:val="00D44640"/>
    <w:rsid w:val="00D44854"/>
    <w:rsid w:val="00D448CF"/>
    <w:rsid w:val="00D44F89"/>
    <w:rsid w:val="00D44FD5"/>
    <w:rsid w:val="00D4512C"/>
    <w:rsid w:val="00D46475"/>
    <w:rsid w:val="00D46B68"/>
    <w:rsid w:val="00D4700D"/>
    <w:rsid w:val="00D476D6"/>
    <w:rsid w:val="00D47EE5"/>
    <w:rsid w:val="00D47FDF"/>
    <w:rsid w:val="00D50672"/>
    <w:rsid w:val="00D521FF"/>
    <w:rsid w:val="00D52A21"/>
    <w:rsid w:val="00D52C21"/>
    <w:rsid w:val="00D532B5"/>
    <w:rsid w:val="00D54F43"/>
    <w:rsid w:val="00D54FF7"/>
    <w:rsid w:val="00D55736"/>
    <w:rsid w:val="00D55CB5"/>
    <w:rsid w:val="00D56226"/>
    <w:rsid w:val="00D566B2"/>
    <w:rsid w:val="00D569CA"/>
    <w:rsid w:val="00D56D27"/>
    <w:rsid w:val="00D56DE2"/>
    <w:rsid w:val="00D600DD"/>
    <w:rsid w:val="00D60D93"/>
    <w:rsid w:val="00D61AFA"/>
    <w:rsid w:val="00D61BD4"/>
    <w:rsid w:val="00D61F10"/>
    <w:rsid w:val="00D622BE"/>
    <w:rsid w:val="00D62CB9"/>
    <w:rsid w:val="00D62D39"/>
    <w:rsid w:val="00D63ADD"/>
    <w:rsid w:val="00D63EBE"/>
    <w:rsid w:val="00D64235"/>
    <w:rsid w:val="00D6444E"/>
    <w:rsid w:val="00D64887"/>
    <w:rsid w:val="00D65502"/>
    <w:rsid w:val="00D66B8B"/>
    <w:rsid w:val="00D66BB7"/>
    <w:rsid w:val="00D66FF8"/>
    <w:rsid w:val="00D67425"/>
    <w:rsid w:val="00D67470"/>
    <w:rsid w:val="00D67872"/>
    <w:rsid w:val="00D70000"/>
    <w:rsid w:val="00D709CA"/>
    <w:rsid w:val="00D713EC"/>
    <w:rsid w:val="00D714CC"/>
    <w:rsid w:val="00D71523"/>
    <w:rsid w:val="00D71B4F"/>
    <w:rsid w:val="00D71D56"/>
    <w:rsid w:val="00D72ECF"/>
    <w:rsid w:val="00D74225"/>
    <w:rsid w:val="00D747D5"/>
    <w:rsid w:val="00D748AC"/>
    <w:rsid w:val="00D748E7"/>
    <w:rsid w:val="00D7501B"/>
    <w:rsid w:val="00D75087"/>
    <w:rsid w:val="00D75103"/>
    <w:rsid w:val="00D75BB5"/>
    <w:rsid w:val="00D75E52"/>
    <w:rsid w:val="00D76105"/>
    <w:rsid w:val="00D761AC"/>
    <w:rsid w:val="00D76275"/>
    <w:rsid w:val="00D76345"/>
    <w:rsid w:val="00D76F82"/>
    <w:rsid w:val="00D76FCA"/>
    <w:rsid w:val="00D77918"/>
    <w:rsid w:val="00D77B1D"/>
    <w:rsid w:val="00D77BED"/>
    <w:rsid w:val="00D80311"/>
    <w:rsid w:val="00D807D5"/>
    <w:rsid w:val="00D809E8"/>
    <w:rsid w:val="00D80EF9"/>
    <w:rsid w:val="00D8112C"/>
    <w:rsid w:val="00D816A3"/>
    <w:rsid w:val="00D82460"/>
    <w:rsid w:val="00D82E1B"/>
    <w:rsid w:val="00D83272"/>
    <w:rsid w:val="00D83657"/>
    <w:rsid w:val="00D84370"/>
    <w:rsid w:val="00D8445D"/>
    <w:rsid w:val="00D8474A"/>
    <w:rsid w:val="00D849B0"/>
    <w:rsid w:val="00D84BC5"/>
    <w:rsid w:val="00D85592"/>
    <w:rsid w:val="00D855AB"/>
    <w:rsid w:val="00D8562A"/>
    <w:rsid w:val="00D85BE7"/>
    <w:rsid w:val="00D85F21"/>
    <w:rsid w:val="00D865B5"/>
    <w:rsid w:val="00D86709"/>
    <w:rsid w:val="00D8794A"/>
    <w:rsid w:val="00D87D1D"/>
    <w:rsid w:val="00D90276"/>
    <w:rsid w:val="00D9038A"/>
    <w:rsid w:val="00D903BF"/>
    <w:rsid w:val="00D904BD"/>
    <w:rsid w:val="00D907F0"/>
    <w:rsid w:val="00D909F3"/>
    <w:rsid w:val="00D91A83"/>
    <w:rsid w:val="00D92019"/>
    <w:rsid w:val="00D923D5"/>
    <w:rsid w:val="00D928EF"/>
    <w:rsid w:val="00D92FAB"/>
    <w:rsid w:val="00D9326A"/>
    <w:rsid w:val="00D93B41"/>
    <w:rsid w:val="00D93FFE"/>
    <w:rsid w:val="00D94023"/>
    <w:rsid w:val="00D9450A"/>
    <w:rsid w:val="00D948D4"/>
    <w:rsid w:val="00D95798"/>
    <w:rsid w:val="00D95A8E"/>
    <w:rsid w:val="00D95B2A"/>
    <w:rsid w:val="00D95ECA"/>
    <w:rsid w:val="00D963E0"/>
    <w:rsid w:val="00D96517"/>
    <w:rsid w:val="00D96706"/>
    <w:rsid w:val="00D96776"/>
    <w:rsid w:val="00D96C52"/>
    <w:rsid w:val="00D96D1C"/>
    <w:rsid w:val="00D973AB"/>
    <w:rsid w:val="00D97962"/>
    <w:rsid w:val="00D97B24"/>
    <w:rsid w:val="00DA0EC3"/>
    <w:rsid w:val="00DA1070"/>
    <w:rsid w:val="00DA17B0"/>
    <w:rsid w:val="00DA1E88"/>
    <w:rsid w:val="00DA2A02"/>
    <w:rsid w:val="00DA2E2A"/>
    <w:rsid w:val="00DA3101"/>
    <w:rsid w:val="00DA3332"/>
    <w:rsid w:val="00DA3436"/>
    <w:rsid w:val="00DA3726"/>
    <w:rsid w:val="00DA379D"/>
    <w:rsid w:val="00DA4241"/>
    <w:rsid w:val="00DA46A2"/>
    <w:rsid w:val="00DA5C95"/>
    <w:rsid w:val="00DA5DCB"/>
    <w:rsid w:val="00DA61D6"/>
    <w:rsid w:val="00DA7071"/>
    <w:rsid w:val="00DA7455"/>
    <w:rsid w:val="00DA7B4D"/>
    <w:rsid w:val="00DA7F68"/>
    <w:rsid w:val="00DA7FC0"/>
    <w:rsid w:val="00DB1979"/>
    <w:rsid w:val="00DB22A1"/>
    <w:rsid w:val="00DB22AB"/>
    <w:rsid w:val="00DB24AE"/>
    <w:rsid w:val="00DB291A"/>
    <w:rsid w:val="00DB2CA7"/>
    <w:rsid w:val="00DB378D"/>
    <w:rsid w:val="00DB3929"/>
    <w:rsid w:val="00DB44F5"/>
    <w:rsid w:val="00DB46FB"/>
    <w:rsid w:val="00DB4A7B"/>
    <w:rsid w:val="00DB5B19"/>
    <w:rsid w:val="00DB5D69"/>
    <w:rsid w:val="00DB6773"/>
    <w:rsid w:val="00DB694C"/>
    <w:rsid w:val="00DB6BB3"/>
    <w:rsid w:val="00DB6EFF"/>
    <w:rsid w:val="00DB72A5"/>
    <w:rsid w:val="00DB73DA"/>
    <w:rsid w:val="00DB7A5C"/>
    <w:rsid w:val="00DC0012"/>
    <w:rsid w:val="00DC087A"/>
    <w:rsid w:val="00DC088A"/>
    <w:rsid w:val="00DC0B7C"/>
    <w:rsid w:val="00DC11C7"/>
    <w:rsid w:val="00DC1642"/>
    <w:rsid w:val="00DC1A0B"/>
    <w:rsid w:val="00DC1CF6"/>
    <w:rsid w:val="00DC281D"/>
    <w:rsid w:val="00DC2E11"/>
    <w:rsid w:val="00DC35C5"/>
    <w:rsid w:val="00DC3973"/>
    <w:rsid w:val="00DC3C58"/>
    <w:rsid w:val="00DC3CEF"/>
    <w:rsid w:val="00DC41FF"/>
    <w:rsid w:val="00DC4647"/>
    <w:rsid w:val="00DC4E72"/>
    <w:rsid w:val="00DC5761"/>
    <w:rsid w:val="00DC592B"/>
    <w:rsid w:val="00DC67AA"/>
    <w:rsid w:val="00DC6BAD"/>
    <w:rsid w:val="00DC6C31"/>
    <w:rsid w:val="00DC76CB"/>
    <w:rsid w:val="00DC78DC"/>
    <w:rsid w:val="00DD0340"/>
    <w:rsid w:val="00DD042F"/>
    <w:rsid w:val="00DD08CA"/>
    <w:rsid w:val="00DD0934"/>
    <w:rsid w:val="00DD118A"/>
    <w:rsid w:val="00DD1742"/>
    <w:rsid w:val="00DD2246"/>
    <w:rsid w:val="00DD28A7"/>
    <w:rsid w:val="00DD30ED"/>
    <w:rsid w:val="00DD3751"/>
    <w:rsid w:val="00DD377C"/>
    <w:rsid w:val="00DD3CC4"/>
    <w:rsid w:val="00DD3CFF"/>
    <w:rsid w:val="00DD3D11"/>
    <w:rsid w:val="00DD413C"/>
    <w:rsid w:val="00DD443D"/>
    <w:rsid w:val="00DD45BA"/>
    <w:rsid w:val="00DD4822"/>
    <w:rsid w:val="00DD4CF2"/>
    <w:rsid w:val="00DD4D37"/>
    <w:rsid w:val="00DD5A69"/>
    <w:rsid w:val="00DD6415"/>
    <w:rsid w:val="00DD65BF"/>
    <w:rsid w:val="00DD688C"/>
    <w:rsid w:val="00DD68D2"/>
    <w:rsid w:val="00DD6E49"/>
    <w:rsid w:val="00DD7C9A"/>
    <w:rsid w:val="00DE0976"/>
    <w:rsid w:val="00DE0A41"/>
    <w:rsid w:val="00DE0DED"/>
    <w:rsid w:val="00DE0EC8"/>
    <w:rsid w:val="00DE191B"/>
    <w:rsid w:val="00DE1A51"/>
    <w:rsid w:val="00DE1BEB"/>
    <w:rsid w:val="00DE1F25"/>
    <w:rsid w:val="00DE23E2"/>
    <w:rsid w:val="00DE26C1"/>
    <w:rsid w:val="00DE2C48"/>
    <w:rsid w:val="00DE3705"/>
    <w:rsid w:val="00DE4238"/>
    <w:rsid w:val="00DE42B8"/>
    <w:rsid w:val="00DE45FD"/>
    <w:rsid w:val="00DE4B69"/>
    <w:rsid w:val="00DE5361"/>
    <w:rsid w:val="00DE5926"/>
    <w:rsid w:val="00DE5C83"/>
    <w:rsid w:val="00DE5D5C"/>
    <w:rsid w:val="00DE65D1"/>
    <w:rsid w:val="00DE665F"/>
    <w:rsid w:val="00DE6756"/>
    <w:rsid w:val="00DE6BB4"/>
    <w:rsid w:val="00DE6FA2"/>
    <w:rsid w:val="00DF02AD"/>
    <w:rsid w:val="00DF080F"/>
    <w:rsid w:val="00DF0832"/>
    <w:rsid w:val="00DF113B"/>
    <w:rsid w:val="00DF11D2"/>
    <w:rsid w:val="00DF13BD"/>
    <w:rsid w:val="00DF26A1"/>
    <w:rsid w:val="00DF38A6"/>
    <w:rsid w:val="00DF3DD7"/>
    <w:rsid w:val="00DF4DF8"/>
    <w:rsid w:val="00DF4EAB"/>
    <w:rsid w:val="00DF5DC6"/>
    <w:rsid w:val="00DF6547"/>
    <w:rsid w:val="00DF6627"/>
    <w:rsid w:val="00DF6C5F"/>
    <w:rsid w:val="00DF6E36"/>
    <w:rsid w:val="00DF7154"/>
    <w:rsid w:val="00DF754D"/>
    <w:rsid w:val="00DF7A7D"/>
    <w:rsid w:val="00E00534"/>
    <w:rsid w:val="00E00CBB"/>
    <w:rsid w:val="00E01208"/>
    <w:rsid w:val="00E01459"/>
    <w:rsid w:val="00E016FA"/>
    <w:rsid w:val="00E017C7"/>
    <w:rsid w:val="00E02951"/>
    <w:rsid w:val="00E02AE3"/>
    <w:rsid w:val="00E02DFA"/>
    <w:rsid w:val="00E03122"/>
    <w:rsid w:val="00E03175"/>
    <w:rsid w:val="00E03546"/>
    <w:rsid w:val="00E03A23"/>
    <w:rsid w:val="00E03BB3"/>
    <w:rsid w:val="00E0425A"/>
    <w:rsid w:val="00E04C11"/>
    <w:rsid w:val="00E04D1E"/>
    <w:rsid w:val="00E04EA5"/>
    <w:rsid w:val="00E05356"/>
    <w:rsid w:val="00E05D6B"/>
    <w:rsid w:val="00E05F26"/>
    <w:rsid w:val="00E0658D"/>
    <w:rsid w:val="00E067B7"/>
    <w:rsid w:val="00E067D4"/>
    <w:rsid w:val="00E07216"/>
    <w:rsid w:val="00E07217"/>
    <w:rsid w:val="00E07365"/>
    <w:rsid w:val="00E074E3"/>
    <w:rsid w:val="00E07A55"/>
    <w:rsid w:val="00E07E5F"/>
    <w:rsid w:val="00E07EA4"/>
    <w:rsid w:val="00E106A2"/>
    <w:rsid w:val="00E1135A"/>
    <w:rsid w:val="00E117D9"/>
    <w:rsid w:val="00E122E4"/>
    <w:rsid w:val="00E12FC2"/>
    <w:rsid w:val="00E1372D"/>
    <w:rsid w:val="00E139C1"/>
    <w:rsid w:val="00E13D9A"/>
    <w:rsid w:val="00E1403A"/>
    <w:rsid w:val="00E146CC"/>
    <w:rsid w:val="00E155E1"/>
    <w:rsid w:val="00E15687"/>
    <w:rsid w:val="00E160D9"/>
    <w:rsid w:val="00E1668E"/>
    <w:rsid w:val="00E16C42"/>
    <w:rsid w:val="00E17894"/>
    <w:rsid w:val="00E17DBE"/>
    <w:rsid w:val="00E17E56"/>
    <w:rsid w:val="00E201A3"/>
    <w:rsid w:val="00E202F3"/>
    <w:rsid w:val="00E205CB"/>
    <w:rsid w:val="00E20791"/>
    <w:rsid w:val="00E207CF"/>
    <w:rsid w:val="00E20FC7"/>
    <w:rsid w:val="00E21281"/>
    <w:rsid w:val="00E21650"/>
    <w:rsid w:val="00E221E6"/>
    <w:rsid w:val="00E22823"/>
    <w:rsid w:val="00E22891"/>
    <w:rsid w:val="00E228A0"/>
    <w:rsid w:val="00E22B96"/>
    <w:rsid w:val="00E249DB"/>
    <w:rsid w:val="00E24C54"/>
    <w:rsid w:val="00E24CB0"/>
    <w:rsid w:val="00E24E3E"/>
    <w:rsid w:val="00E25353"/>
    <w:rsid w:val="00E255D4"/>
    <w:rsid w:val="00E257DC"/>
    <w:rsid w:val="00E25E62"/>
    <w:rsid w:val="00E263AC"/>
    <w:rsid w:val="00E273EA"/>
    <w:rsid w:val="00E27E5A"/>
    <w:rsid w:val="00E3119C"/>
    <w:rsid w:val="00E3139A"/>
    <w:rsid w:val="00E317EE"/>
    <w:rsid w:val="00E3187C"/>
    <w:rsid w:val="00E32981"/>
    <w:rsid w:val="00E32A11"/>
    <w:rsid w:val="00E32C98"/>
    <w:rsid w:val="00E32E44"/>
    <w:rsid w:val="00E3302F"/>
    <w:rsid w:val="00E338ED"/>
    <w:rsid w:val="00E33967"/>
    <w:rsid w:val="00E33EE1"/>
    <w:rsid w:val="00E346DF"/>
    <w:rsid w:val="00E34AEF"/>
    <w:rsid w:val="00E35541"/>
    <w:rsid w:val="00E35879"/>
    <w:rsid w:val="00E360AF"/>
    <w:rsid w:val="00E360C4"/>
    <w:rsid w:val="00E36554"/>
    <w:rsid w:val="00E3688A"/>
    <w:rsid w:val="00E36DAA"/>
    <w:rsid w:val="00E373A3"/>
    <w:rsid w:val="00E376BA"/>
    <w:rsid w:val="00E37837"/>
    <w:rsid w:val="00E37CEA"/>
    <w:rsid w:val="00E401C2"/>
    <w:rsid w:val="00E40C8F"/>
    <w:rsid w:val="00E412F7"/>
    <w:rsid w:val="00E41310"/>
    <w:rsid w:val="00E414AC"/>
    <w:rsid w:val="00E42713"/>
    <w:rsid w:val="00E42F90"/>
    <w:rsid w:val="00E42FF6"/>
    <w:rsid w:val="00E431E2"/>
    <w:rsid w:val="00E43227"/>
    <w:rsid w:val="00E43322"/>
    <w:rsid w:val="00E4341D"/>
    <w:rsid w:val="00E43652"/>
    <w:rsid w:val="00E43811"/>
    <w:rsid w:val="00E44B29"/>
    <w:rsid w:val="00E44E46"/>
    <w:rsid w:val="00E458EE"/>
    <w:rsid w:val="00E45CD1"/>
    <w:rsid w:val="00E45F12"/>
    <w:rsid w:val="00E469FD"/>
    <w:rsid w:val="00E46B2B"/>
    <w:rsid w:val="00E473D6"/>
    <w:rsid w:val="00E47639"/>
    <w:rsid w:val="00E4792F"/>
    <w:rsid w:val="00E47D31"/>
    <w:rsid w:val="00E47DDE"/>
    <w:rsid w:val="00E5077C"/>
    <w:rsid w:val="00E50DBD"/>
    <w:rsid w:val="00E50E99"/>
    <w:rsid w:val="00E512AC"/>
    <w:rsid w:val="00E5173E"/>
    <w:rsid w:val="00E51975"/>
    <w:rsid w:val="00E51F35"/>
    <w:rsid w:val="00E5239E"/>
    <w:rsid w:val="00E52536"/>
    <w:rsid w:val="00E526BE"/>
    <w:rsid w:val="00E52F97"/>
    <w:rsid w:val="00E53FA9"/>
    <w:rsid w:val="00E54097"/>
    <w:rsid w:val="00E54E9E"/>
    <w:rsid w:val="00E55758"/>
    <w:rsid w:val="00E56000"/>
    <w:rsid w:val="00E56017"/>
    <w:rsid w:val="00E56ACF"/>
    <w:rsid w:val="00E56C7F"/>
    <w:rsid w:val="00E56DB4"/>
    <w:rsid w:val="00E56E53"/>
    <w:rsid w:val="00E5701B"/>
    <w:rsid w:val="00E57B17"/>
    <w:rsid w:val="00E6011B"/>
    <w:rsid w:val="00E6080F"/>
    <w:rsid w:val="00E6087A"/>
    <w:rsid w:val="00E60A9B"/>
    <w:rsid w:val="00E61180"/>
    <w:rsid w:val="00E61B8D"/>
    <w:rsid w:val="00E61F5E"/>
    <w:rsid w:val="00E624E6"/>
    <w:rsid w:val="00E62B6F"/>
    <w:rsid w:val="00E632C4"/>
    <w:rsid w:val="00E636DA"/>
    <w:rsid w:val="00E63B6E"/>
    <w:rsid w:val="00E642BD"/>
    <w:rsid w:val="00E645E7"/>
    <w:rsid w:val="00E647E7"/>
    <w:rsid w:val="00E64C6F"/>
    <w:rsid w:val="00E64DCC"/>
    <w:rsid w:val="00E65020"/>
    <w:rsid w:val="00E65288"/>
    <w:rsid w:val="00E653DC"/>
    <w:rsid w:val="00E65DB0"/>
    <w:rsid w:val="00E65E40"/>
    <w:rsid w:val="00E662CA"/>
    <w:rsid w:val="00E66B93"/>
    <w:rsid w:val="00E66CF3"/>
    <w:rsid w:val="00E678FB"/>
    <w:rsid w:val="00E6795C"/>
    <w:rsid w:val="00E67B16"/>
    <w:rsid w:val="00E67E20"/>
    <w:rsid w:val="00E67E46"/>
    <w:rsid w:val="00E70407"/>
    <w:rsid w:val="00E7068E"/>
    <w:rsid w:val="00E709B7"/>
    <w:rsid w:val="00E70E09"/>
    <w:rsid w:val="00E71289"/>
    <w:rsid w:val="00E71A0E"/>
    <w:rsid w:val="00E72023"/>
    <w:rsid w:val="00E72B91"/>
    <w:rsid w:val="00E7346D"/>
    <w:rsid w:val="00E7419C"/>
    <w:rsid w:val="00E74812"/>
    <w:rsid w:val="00E7503B"/>
    <w:rsid w:val="00E751B7"/>
    <w:rsid w:val="00E75275"/>
    <w:rsid w:val="00E753E9"/>
    <w:rsid w:val="00E75459"/>
    <w:rsid w:val="00E757B1"/>
    <w:rsid w:val="00E7580D"/>
    <w:rsid w:val="00E75ACC"/>
    <w:rsid w:val="00E75DA4"/>
    <w:rsid w:val="00E76396"/>
    <w:rsid w:val="00E76664"/>
    <w:rsid w:val="00E76C09"/>
    <w:rsid w:val="00E76D63"/>
    <w:rsid w:val="00E76F2F"/>
    <w:rsid w:val="00E76F3D"/>
    <w:rsid w:val="00E7734E"/>
    <w:rsid w:val="00E77DA6"/>
    <w:rsid w:val="00E801C5"/>
    <w:rsid w:val="00E80216"/>
    <w:rsid w:val="00E81134"/>
    <w:rsid w:val="00E812DF"/>
    <w:rsid w:val="00E81F0E"/>
    <w:rsid w:val="00E82901"/>
    <w:rsid w:val="00E82B2D"/>
    <w:rsid w:val="00E82B87"/>
    <w:rsid w:val="00E82C61"/>
    <w:rsid w:val="00E831C7"/>
    <w:rsid w:val="00E83985"/>
    <w:rsid w:val="00E84AE6"/>
    <w:rsid w:val="00E84C49"/>
    <w:rsid w:val="00E84C89"/>
    <w:rsid w:val="00E84EBF"/>
    <w:rsid w:val="00E84F6F"/>
    <w:rsid w:val="00E8504F"/>
    <w:rsid w:val="00E855F2"/>
    <w:rsid w:val="00E8566B"/>
    <w:rsid w:val="00E85FE8"/>
    <w:rsid w:val="00E86748"/>
    <w:rsid w:val="00E86AAC"/>
    <w:rsid w:val="00E872DB"/>
    <w:rsid w:val="00E873AC"/>
    <w:rsid w:val="00E873F9"/>
    <w:rsid w:val="00E87838"/>
    <w:rsid w:val="00E87C8B"/>
    <w:rsid w:val="00E9037C"/>
    <w:rsid w:val="00E908D6"/>
    <w:rsid w:val="00E90974"/>
    <w:rsid w:val="00E910C4"/>
    <w:rsid w:val="00E910DD"/>
    <w:rsid w:val="00E91104"/>
    <w:rsid w:val="00E911DF"/>
    <w:rsid w:val="00E919BB"/>
    <w:rsid w:val="00E92262"/>
    <w:rsid w:val="00E9244E"/>
    <w:rsid w:val="00E933F4"/>
    <w:rsid w:val="00E93BE9"/>
    <w:rsid w:val="00E93FAB"/>
    <w:rsid w:val="00E93FCE"/>
    <w:rsid w:val="00E9417F"/>
    <w:rsid w:val="00E944A5"/>
    <w:rsid w:val="00E94F2A"/>
    <w:rsid w:val="00E952F4"/>
    <w:rsid w:val="00E95EEC"/>
    <w:rsid w:val="00E96EC0"/>
    <w:rsid w:val="00E97006"/>
    <w:rsid w:val="00E97222"/>
    <w:rsid w:val="00EA0198"/>
    <w:rsid w:val="00EA01DD"/>
    <w:rsid w:val="00EA0643"/>
    <w:rsid w:val="00EA067B"/>
    <w:rsid w:val="00EA0859"/>
    <w:rsid w:val="00EA125F"/>
    <w:rsid w:val="00EA152A"/>
    <w:rsid w:val="00EA1654"/>
    <w:rsid w:val="00EA169A"/>
    <w:rsid w:val="00EA19A5"/>
    <w:rsid w:val="00EA1D5B"/>
    <w:rsid w:val="00EA1DE9"/>
    <w:rsid w:val="00EA203E"/>
    <w:rsid w:val="00EA28F8"/>
    <w:rsid w:val="00EA2BDE"/>
    <w:rsid w:val="00EA2FA6"/>
    <w:rsid w:val="00EA3188"/>
    <w:rsid w:val="00EA3316"/>
    <w:rsid w:val="00EA41FE"/>
    <w:rsid w:val="00EA4DEE"/>
    <w:rsid w:val="00EA4E92"/>
    <w:rsid w:val="00EA50BF"/>
    <w:rsid w:val="00EA56A6"/>
    <w:rsid w:val="00EA5A35"/>
    <w:rsid w:val="00EA5C28"/>
    <w:rsid w:val="00EA5D74"/>
    <w:rsid w:val="00EA5F80"/>
    <w:rsid w:val="00EA6238"/>
    <w:rsid w:val="00EA6670"/>
    <w:rsid w:val="00EA6793"/>
    <w:rsid w:val="00EA6816"/>
    <w:rsid w:val="00EA6A0A"/>
    <w:rsid w:val="00EA6C48"/>
    <w:rsid w:val="00EA6CC6"/>
    <w:rsid w:val="00EA71EF"/>
    <w:rsid w:val="00EA7CB7"/>
    <w:rsid w:val="00EA7E67"/>
    <w:rsid w:val="00EB0C37"/>
    <w:rsid w:val="00EB1254"/>
    <w:rsid w:val="00EB13B4"/>
    <w:rsid w:val="00EB13E1"/>
    <w:rsid w:val="00EB1F5E"/>
    <w:rsid w:val="00EB2450"/>
    <w:rsid w:val="00EB28CE"/>
    <w:rsid w:val="00EB2D22"/>
    <w:rsid w:val="00EB44A4"/>
    <w:rsid w:val="00EB465B"/>
    <w:rsid w:val="00EB4A07"/>
    <w:rsid w:val="00EB4A4B"/>
    <w:rsid w:val="00EB538D"/>
    <w:rsid w:val="00EB5AA7"/>
    <w:rsid w:val="00EB5D15"/>
    <w:rsid w:val="00EB5FF3"/>
    <w:rsid w:val="00EB5FFD"/>
    <w:rsid w:val="00EB7489"/>
    <w:rsid w:val="00EB7495"/>
    <w:rsid w:val="00EB7920"/>
    <w:rsid w:val="00EB7EF5"/>
    <w:rsid w:val="00EC0432"/>
    <w:rsid w:val="00EC0475"/>
    <w:rsid w:val="00EC0678"/>
    <w:rsid w:val="00EC0AB3"/>
    <w:rsid w:val="00EC0D0B"/>
    <w:rsid w:val="00EC135F"/>
    <w:rsid w:val="00EC18EC"/>
    <w:rsid w:val="00EC194A"/>
    <w:rsid w:val="00EC2160"/>
    <w:rsid w:val="00EC25B2"/>
    <w:rsid w:val="00EC2B0D"/>
    <w:rsid w:val="00EC3192"/>
    <w:rsid w:val="00EC3A3E"/>
    <w:rsid w:val="00EC3FB7"/>
    <w:rsid w:val="00EC50DB"/>
    <w:rsid w:val="00EC53DB"/>
    <w:rsid w:val="00EC592F"/>
    <w:rsid w:val="00EC5D5C"/>
    <w:rsid w:val="00EC6169"/>
    <w:rsid w:val="00EC637A"/>
    <w:rsid w:val="00EC6705"/>
    <w:rsid w:val="00EC67F8"/>
    <w:rsid w:val="00EC68A7"/>
    <w:rsid w:val="00EC68B3"/>
    <w:rsid w:val="00EC71D6"/>
    <w:rsid w:val="00EC738C"/>
    <w:rsid w:val="00EC790A"/>
    <w:rsid w:val="00ED051E"/>
    <w:rsid w:val="00ED084C"/>
    <w:rsid w:val="00ED0A80"/>
    <w:rsid w:val="00ED10B4"/>
    <w:rsid w:val="00ED1220"/>
    <w:rsid w:val="00ED168E"/>
    <w:rsid w:val="00ED17F1"/>
    <w:rsid w:val="00ED1E0B"/>
    <w:rsid w:val="00ED1E2A"/>
    <w:rsid w:val="00ED295A"/>
    <w:rsid w:val="00ED2A8C"/>
    <w:rsid w:val="00ED3A33"/>
    <w:rsid w:val="00ED3FE3"/>
    <w:rsid w:val="00ED440B"/>
    <w:rsid w:val="00ED45A0"/>
    <w:rsid w:val="00ED5684"/>
    <w:rsid w:val="00ED5F06"/>
    <w:rsid w:val="00ED5F9E"/>
    <w:rsid w:val="00ED6269"/>
    <w:rsid w:val="00ED6320"/>
    <w:rsid w:val="00ED63BF"/>
    <w:rsid w:val="00ED6C38"/>
    <w:rsid w:val="00ED75AA"/>
    <w:rsid w:val="00ED78CB"/>
    <w:rsid w:val="00EE061F"/>
    <w:rsid w:val="00EE1046"/>
    <w:rsid w:val="00EE2442"/>
    <w:rsid w:val="00EE27CB"/>
    <w:rsid w:val="00EE2C09"/>
    <w:rsid w:val="00EE2DF7"/>
    <w:rsid w:val="00EE35F6"/>
    <w:rsid w:val="00EE3B2D"/>
    <w:rsid w:val="00EE3D1C"/>
    <w:rsid w:val="00EE3DE4"/>
    <w:rsid w:val="00EE44C8"/>
    <w:rsid w:val="00EE474A"/>
    <w:rsid w:val="00EE4870"/>
    <w:rsid w:val="00EE522E"/>
    <w:rsid w:val="00EE528A"/>
    <w:rsid w:val="00EE5A88"/>
    <w:rsid w:val="00EE5A9D"/>
    <w:rsid w:val="00EE5D0B"/>
    <w:rsid w:val="00EE650C"/>
    <w:rsid w:val="00EE65BA"/>
    <w:rsid w:val="00EE6886"/>
    <w:rsid w:val="00EE6F53"/>
    <w:rsid w:val="00EE7467"/>
    <w:rsid w:val="00EE77CE"/>
    <w:rsid w:val="00EE7A43"/>
    <w:rsid w:val="00EF0D57"/>
    <w:rsid w:val="00EF1CD4"/>
    <w:rsid w:val="00EF25DF"/>
    <w:rsid w:val="00EF3C29"/>
    <w:rsid w:val="00EF4B6E"/>
    <w:rsid w:val="00EF4D25"/>
    <w:rsid w:val="00EF4E89"/>
    <w:rsid w:val="00EF5321"/>
    <w:rsid w:val="00EF5525"/>
    <w:rsid w:val="00EF577D"/>
    <w:rsid w:val="00EF58E4"/>
    <w:rsid w:val="00EF5CCA"/>
    <w:rsid w:val="00EF5FA2"/>
    <w:rsid w:val="00EF67D4"/>
    <w:rsid w:val="00EF6F82"/>
    <w:rsid w:val="00EF75EB"/>
    <w:rsid w:val="00EF78D8"/>
    <w:rsid w:val="00EF7936"/>
    <w:rsid w:val="00EF7E20"/>
    <w:rsid w:val="00EF7FB3"/>
    <w:rsid w:val="00F00C50"/>
    <w:rsid w:val="00F01111"/>
    <w:rsid w:val="00F01BA5"/>
    <w:rsid w:val="00F01CF0"/>
    <w:rsid w:val="00F02536"/>
    <w:rsid w:val="00F02720"/>
    <w:rsid w:val="00F02746"/>
    <w:rsid w:val="00F02899"/>
    <w:rsid w:val="00F036FF"/>
    <w:rsid w:val="00F039A4"/>
    <w:rsid w:val="00F04203"/>
    <w:rsid w:val="00F04580"/>
    <w:rsid w:val="00F0475B"/>
    <w:rsid w:val="00F05A3F"/>
    <w:rsid w:val="00F06508"/>
    <w:rsid w:val="00F06670"/>
    <w:rsid w:val="00F0672D"/>
    <w:rsid w:val="00F06C71"/>
    <w:rsid w:val="00F06D3A"/>
    <w:rsid w:val="00F10B79"/>
    <w:rsid w:val="00F11C49"/>
    <w:rsid w:val="00F1256D"/>
    <w:rsid w:val="00F12B32"/>
    <w:rsid w:val="00F12D67"/>
    <w:rsid w:val="00F12F29"/>
    <w:rsid w:val="00F13116"/>
    <w:rsid w:val="00F1316B"/>
    <w:rsid w:val="00F134EC"/>
    <w:rsid w:val="00F13BAC"/>
    <w:rsid w:val="00F13CCB"/>
    <w:rsid w:val="00F1473B"/>
    <w:rsid w:val="00F14CC8"/>
    <w:rsid w:val="00F14DC4"/>
    <w:rsid w:val="00F14E2A"/>
    <w:rsid w:val="00F15097"/>
    <w:rsid w:val="00F155AC"/>
    <w:rsid w:val="00F15B41"/>
    <w:rsid w:val="00F16593"/>
    <w:rsid w:val="00F1671F"/>
    <w:rsid w:val="00F16829"/>
    <w:rsid w:val="00F203B8"/>
    <w:rsid w:val="00F2047A"/>
    <w:rsid w:val="00F209EE"/>
    <w:rsid w:val="00F2126C"/>
    <w:rsid w:val="00F212C6"/>
    <w:rsid w:val="00F21F9F"/>
    <w:rsid w:val="00F2222C"/>
    <w:rsid w:val="00F2255F"/>
    <w:rsid w:val="00F22914"/>
    <w:rsid w:val="00F229AD"/>
    <w:rsid w:val="00F234B5"/>
    <w:rsid w:val="00F23B39"/>
    <w:rsid w:val="00F23EF0"/>
    <w:rsid w:val="00F24115"/>
    <w:rsid w:val="00F24771"/>
    <w:rsid w:val="00F24E44"/>
    <w:rsid w:val="00F25AC9"/>
    <w:rsid w:val="00F25D18"/>
    <w:rsid w:val="00F25E8E"/>
    <w:rsid w:val="00F261B2"/>
    <w:rsid w:val="00F261CB"/>
    <w:rsid w:val="00F2665C"/>
    <w:rsid w:val="00F27986"/>
    <w:rsid w:val="00F279EE"/>
    <w:rsid w:val="00F27BE5"/>
    <w:rsid w:val="00F301CA"/>
    <w:rsid w:val="00F30291"/>
    <w:rsid w:val="00F319D0"/>
    <w:rsid w:val="00F31A88"/>
    <w:rsid w:val="00F31D84"/>
    <w:rsid w:val="00F3200A"/>
    <w:rsid w:val="00F3233A"/>
    <w:rsid w:val="00F324AA"/>
    <w:rsid w:val="00F32639"/>
    <w:rsid w:val="00F32673"/>
    <w:rsid w:val="00F32B15"/>
    <w:rsid w:val="00F32D73"/>
    <w:rsid w:val="00F32DE2"/>
    <w:rsid w:val="00F34A18"/>
    <w:rsid w:val="00F362B2"/>
    <w:rsid w:val="00F363F9"/>
    <w:rsid w:val="00F368DD"/>
    <w:rsid w:val="00F3748B"/>
    <w:rsid w:val="00F37C46"/>
    <w:rsid w:val="00F37F3D"/>
    <w:rsid w:val="00F37FA4"/>
    <w:rsid w:val="00F40528"/>
    <w:rsid w:val="00F411BF"/>
    <w:rsid w:val="00F413F6"/>
    <w:rsid w:val="00F4145A"/>
    <w:rsid w:val="00F419A7"/>
    <w:rsid w:val="00F419C3"/>
    <w:rsid w:val="00F42273"/>
    <w:rsid w:val="00F427BE"/>
    <w:rsid w:val="00F4334D"/>
    <w:rsid w:val="00F4405A"/>
    <w:rsid w:val="00F4438A"/>
    <w:rsid w:val="00F44617"/>
    <w:rsid w:val="00F44807"/>
    <w:rsid w:val="00F4513A"/>
    <w:rsid w:val="00F45564"/>
    <w:rsid w:val="00F45760"/>
    <w:rsid w:val="00F46A8A"/>
    <w:rsid w:val="00F46B30"/>
    <w:rsid w:val="00F47506"/>
    <w:rsid w:val="00F47ABC"/>
    <w:rsid w:val="00F47C19"/>
    <w:rsid w:val="00F50B99"/>
    <w:rsid w:val="00F51337"/>
    <w:rsid w:val="00F526D7"/>
    <w:rsid w:val="00F53467"/>
    <w:rsid w:val="00F535DB"/>
    <w:rsid w:val="00F5363C"/>
    <w:rsid w:val="00F5369A"/>
    <w:rsid w:val="00F55528"/>
    <w:rsid w:val="00F55CF4"/>
    <w:rsid w:val="00F5658F"/>
    <w:rsid w:val="00F5668C"/>
    <w:rsid w:val="00F566BF"/>
    <w:rsid w:val="00F574B1"/>
    <w:rsid w:val="00F575FE"/>
    <w:rsid w:val="00F57B91"/>
    <w:rsid w:val="00F6086A"/>
    <w:rsid w:val="00F611B1"/>
    <w:rsid w:val="00F612B6"/>
    <w:rsid w:val="00F61B6F"/>
    <w:rsid w:val="00F622C5"/>
    <w:rsid w:val="00F62449"/>
    <w:rsid w:val="00F624CF"/>
    <w:rsid w:val="00F62B66"/>
    <w:rsid w:val="00F631D9"/>
    <w:rsid w:val="00F63C28"/>
    <w:rsid w:val="00F63ED8"/>
    <w:rsid w:val="00F64234"/>
    <w:rsid w:val="00F64352"/>
    <w:rsid w:val="00F64561"/>
    <w:rsid w:val="00F652D1"/>
    <w:rsid w:val="00F66FA0"/>
    <w:rsid w:val="00F6723F"/>
    <w:rsid w:val="00F67438"/>
    <w:rsid w:val="00F676E0"/>
    <w:rsid w:val="00F703C2"/>
    <w:rsid w:val="00F70A70"/>
    <w:rsid w:val="00F71461"/>
    <w:rsid w:val="00F71F87"/>
    <w:rsid w:val="00F72162"/>
    <w:rsid w:val="00F722C3"/>
    <w:rsid w:val="00F72BCC"/>
    <w:rsid w:val="00F72DBD"/>
    <w:rsid w:val="00F72FFA"/>
    <w:rsid w:val="00F733B2"/>
    <w:rsid w:val="00F73660"/>
    <w:rsid w:val="00F739A7"/>
    <w:rsid w:val="00F73B25"/>
    <w:rsid w:val="00F73BBE"/>
    <w:rsid w:val="00F744D7"/>
    <w:rsid w:val="00F74B80"/>
    <w:rsid w:val="00F74DFF"/>
    <w:rsid w:val="00F75C90"/>
    <w:rsid w:val="00F76688"/>
    <w:rsid w:val="00F76DD7"/>
    <w:rsid w:val="00F77168"/>
    <w:rsid w:val="00F77BFF"/>
    <w:rsid w:val="00F77EB3"/>
    <w:rsid w:val="00F8012A"/>
    <w:rsid w:val="00F8027B"/>
    <w:rsid w:val="00F814CA"/>
    <w:rsid w:val="00F81CB0"/>
    <w:rsid w:val="00F8245C"/>
    <w:rsid w:val="00F82626"/>
    <w:rsid w:val="00F826C6"/>
    <w:rsid w:val="00F82A89"/>
    <w:rsid w:val="00F835C2"/>
    <w:rsid w:val="00F83A0C"/>
    <w:rsid w:val="00F8422E"/>
    <w:rsid w:val="00F8458B"/>
    <w:rsid w:val="00F84610"/>
    <w:rsid w:val="00F84A74"/>
    <w:rsid w:val="00F855E5"/>
    <w:rsid w:val="00F86261"/>
    <w:rsid w:val="00F87A64"/>
    <w:rsid w:val="00F87AC7"/>
    <w:rsid w:val="00F87CA7"/>
    <w:rsid w:val="00F903CD"/>
    <w:rsid w:val="00F90E5B"/>
    <w:rsid w:val="00F9132E"/>
    <w:rsid w:val="00F9134E"/>
    <w:rsid w:val="00F91923"/>
    <w:rsid w:val="00F92BEA"/>
    <w:rsid w:val="00F9358B"/>
    <w:rsid w:val="00F936E8"/>
    <w:rsid w:val="00F9387C"/>
    <w:rsid w:val="00F93B82"/>
    <w:rsid w:val="00F93EF3"/>
    <w:rsid w:val="00F94CF0"/>
    <w:rsid w:val="00F9516A"/>
    <w:rsid w:val="00F9559A"/>
    <w:rsid w:val="00F956EE"/>
    <w:rsid w:val="00F9574F"/>
    <w:rsid w:val="00F95FDE"/>
    <w:rsid w:val="00F961B2"/>
    <w:rsid w:val="00F96D01"/>
    <w:rsid w:val="00F96D2F"/>
    <w:rsid w:val="00F96D86"/>
    <w:rsid w:val="00F96DC2"/>
    <w:rsid w:val="00F978EC"/>
    <w:rsid w:val="00F979FE"/>
    <w:rsid w:val="00F97AEF"/>
    <w:rsid w:val="00F97BE4"/>
    <w:rsid w:val="00FA03C6"/>
    <w:rsid w:val="00FA0C02"/>
    <w:rsid w:val="00FA15FA"/>
    <w:rsid w:val="00FA1604"/>
    <w:rsid w:val="00FA20F3"/>
    <w:rsid w:val="00FA28A0"/>
    <w:rsid w:val="00FA2E2A"/>
    <w:rsid w:val="00FA3CF6"/>
    <w:rsid w:val="00FA3FD9"/>
    <w:rsid w:val="00FA409B"/>
    <w:rsid w:val="00FA4AA1"/>
    <w:rsid w:val="00FA4D54"/>
    <w:rsid w:val="00FA505E"/>
    <w:rsid w:val="00FA55E0"/>
    <w:rsid w:val="00FA5E53"/>
    <w:rsid w:val="00FA62EC"/>
    <w:rsid w:val="00FA64F2"/>
    <w:rsid w:val="00FA6C04"/>
    <w:rsid w:val="00FA7182"/>
    <w:rsid w:val="00FA7A2C"/>
    <w:rsid w:val="00FA7B68"/>
    <w:rsid w:val="00FA7CE0"/>
    <w:rsid w:val="00FB08D7"/>
    <w:rsid w:val="00FB0A74"/>
    <w:rsid w:val="00FB12BF"/>
    <w:rsid w:val="00FB12C0"/>
    <w:rsid w:val="00FB1639"/>
    <w:rsid w:val="00FB1E51"/>
    <w:rsid w:val="00FB23CB"/>
    <w:rsid w:val="00FB28CF"/>
    <w:rsid w:val="00FB2A7A"/>
    <w:rsid w:val="00FB3064"/>
    <w:rsid w:val="00FB37FE"/>
    <w:rsid w:val="00FB406F"/>
    <w:rsid w:val="00FB486C"/>
    <w:rsid w:val="00FB4F77"/>
    <w:rsid w:val="00FB501C"/>
    <w:rsid w:val="00FB50ED"/>
    <w:rsid w:val="00FB6446"/>
    <w:rsid w:val="00FB6A13"/>
    <w:rsid w:val="00FB6B89"/>
    <w:rsid w:val="00FB729A"/>
    <w:rsid w:val="00FB7702"/>
    <w:rsid w:val="00FB78DB"/>
    <w:rsid w:val="00FB7B6F"/>
    <w:rsid w:val="00FC01BD"/>
    <w:rsid w:val="00FC0666"/>
    <w:rsid w:val="00FC08B6"/>
    <w:rsid w:val="00FC0A5C"/>
    <w:rsid w:val="00FC0E28"/>
    <w:rsid w:val="00FC0E48"/>
    <w:rsid w:val="00FC103A"/>
    <w:rsid w:val="00FC1F0A"/>
    <w:rsid w:val="00FC211A"/>
    <w:rsid w:val="00FC27F1"/>
    <w:rsid w:val="00FC29DB"/>
    <w:rsid w:val="00FC2B56"/>
    <w:rsid w:val="00FC2E36"/>
    <w:rsid w:val="00FC314D"/>
    <w:rsid w:val="00FC36E0"/>
    <w:rsid w:val="00FC4CFC"/>
    <w:rsid w:val="00FC4E6B"/>
    <w:rsid w:val="00FC56F3"/>
    <w:rsid w:val="00FC616E"/>
    <w:rsid w:val="00FC633C"/>
    <w:rsid w:val="00FC7350"/>
    <w:rsid w:val="00FC780A"/>
    <w:rsid w:val="00FD0D98"/>
    <w:rsid w:val="00FD14F4"/>
    <w:rsid w:val="00FD17BF"/>
    <w:rsid w:val="00FD2120"/>
    <w:rsid w:val="00FD255D"/>
    <w:rsid w:val="00FD297C"/>
    <w:rsid w:val="00FD2A3A"/>
    <w:rsid w:val="00FD2BAC"/>
    <w:rsid w:val="00FD2FD2"/>
    <w:rsid w:val="00FD3035"/>
    <w:rsid w:val="00FD349A"/>
    <w:rsid w:val="00FD4094"/>
    <w:rsid w:val="00FD43CD"/>
    <w:rsid w:val="00FD4A80"/>
    <w:rsid w:val="00FD4D23"/>
    <w:rsid w:val="00FD5421"/>
    <w:rsid w:val="00FD561D"/>
    <w:rsid w:val="00FD58C6"/>
    <w:rsid w:val="00FD5C0B"/>
    <w:rsid w:val="00FD603F"/>
    <w:rsid w:val="00FD6259"/>
    <w:rsid w:val="00FD661E"/>
    <w:rsid w:val="00FD6919"/>
    <w:rsid w:val="00FD6B8A"/>
    <w:rsid w:val="00FD6C0C"/>
    <w:rsid w:val="00FD7111"/>
    <w:rsid w:val="00FD7309"/>
    <w:rsid w:val="00FD75EA"/>
    <w:rsid w:val="00FE1464"/>
    <w:rsid w:val="00FE1731"/>
    <w:rsid w:val="00FE18CA"/>
    <w:rsid w:val="00FE24DC"/>
    <w:rsid w:val="00FE2AD9"/>
    <w:rsid w:val="00FE2CFD"/>
    <w:rsid w:val="00FE2FC4"/>
    <w:rsid w:val="00FE31F3"/>
    <w:rsid w:val="00FE3AB6"/>
    <w:rsid w:val="00FE3E1A"/>
    <w:rsid w:val="00FE40BA"/>
    <w:rsid w:val="00FE4280"/>
    <w:rsid w:val="00FE4A75"/>
    <w:rsid w:val="00FE4D47"/>
    <w:rsid w:val="00FE619B"/>
    <w:rsid w:val="00FE64AE"/>
    <w:rsid w:val="00FE679D"/>
    <w:rsid w:val="00FE67D8"/>
    <w:rsid w:val="00FE710D"/>
    <w:rsid w:val="00FE7A06"/>
    <w:rsid w:val="00FE7B79"/>
    <w:rsid w:val="00FE7BD8"/>
    <w:rsid w:val="00FE7D12"/>
    <w:rsid w:val="00FE7ED4"/>
    <w:rsid w:val="00FF043C"/>
    <w:rsid w:val="00FF07F6"/>
    <w:rsid w:val="00FF11F2"/>
    <w:rsid w:val="00FF1333"/>
    <w:rsid w:val="00FF156F"/>
    <w:rsid w:val="00FF1715"/>
    <w:rsid w:val="00FF2260"/>
    <w:rsid w:val="00FF2313"/>
    <w:rsid w:val="00FF2351"/>
    <w:rsid w:val="00FF24B1"/>
    <w:rsid w:val="00FF252B"/>
    <w:rsid w:val="00FF3069"/>
    <w:rsid w:val="00FF3443"/>
    <w:rsid w:val="00FF373E"/>
    <w:rsid w:val="00FF38A2"/>
    <w:rsid w:val="00FF3DCB"/>
    <w:rsid w:val="00FF490C"/>
    <w:rsid w:val="00FF4FF3"/>
    <w:rsid w:val="00FF52F7"/>
    <w:rsid w:val="00FF58A8"/>
    <w:rsid w:val="00FF59A1"/>
    <w:rsid w:val="00FF5D26"/>
    <w:rsid w:val="00FF5E06"/>
    <w:rsid w:val="00FF6139"/>
    <w:rsid w:val="00FF6409"/>
    <w:rsid w:val="00FF6567"/>
    <w:rsid w:val="00FF765F"/>
    <w:rsid w:val="00FF7AF7"/>
    <w:rsid w:val="00FF7B72"/>
    <w:rsid w:val="010F5D12"/>
    <w:rsid w:val="010F7386"/>
    <w:rsid w:val="0119102D"/>
    <w:rsid w:val="01194ED0"/>
    <w:rsid w:val="011E3D92"/>
    <w:rsid w:val="01253372"/>
    <w:rsid w:val="0127533C"/>
    <w:rsid w:val="01367BC5"/>
    <w:rsid w:val="013D6444"/>
    <w:rsid w:val="014F219D"/>
    <w:rsid w:val="01636D5B"/>
    <w:rsid w:val="017E6677"/>
    <w:rsid w:val="01A249C3"/>
    <w:rsid w:val="01E04F7E"/>
    <w:rsid w:val="01F41D8E"/>
    <w:rsid w:val="020264A3"/>
    <w:rsid w:val="02181129"/>
    <w:rsid w:val="0225657B"/>
    <w:rsid w:val="0227136C"/>
    <w:rsid w:val="02296E92"/>
    <w:rsid w:val="022D1713"/>
    <w:rsid w:val="02405F8A"/>
    <w:rsid w:val="02734FD8"/>
    <w:rsid w:val="027A1A10"/>
    <w:rsid w:val="027B7338"/>
    <w:rsid w:val="027C5579"/>
    <w:rsid w:val="027D0F8C"/>
    <w:rsid w:val="02821B95"/>
    <w:rsid w:val="028E13EB"/>
    <w:rsid w:val="02A52829"/>
    <w:rsid w:val="02C1531D"/>
    <w:rsid w:val="02C15645"/>
    <w:rsid w:val="02C20618"/>
    <w:rsid w:val="02C62933"/>
    <w:rsid w:val="02C92423"/>
    <w:rsid w:val="02CD38AA"/>
    <w:rsid w:val="02E455F5"/>
    <w:rsid w:val="03027F1F"/>
    <w:rsid w:val="030D2310"/>
    <w:rsid w:val="030E5CC5"/>
    <w:rsid w:val="03277A82"/>
    <w:rsid w:val="033E4C41"/>
    <w:rsid w:val="03406D51"/>
    <w:rsid w:val="034A5312"/>
    <w:rsid w:val="034B2E38"/>
    <w:rsid w:val="03597303"/>
    <w:rsid w:val="036122D5"/>
    <w:rsid w:val="03744BF6"/>
    <w:rsid w:val="037F72DF"/>
    <w:rsid w:val="03842DE7"/>
    <w:rsid w:val="03880939"/>
    <w:rsid w:val="038D3451"/>
    <w:rsid w:val="03972E10"/>
    <w:rsid w:val="03AA5072"/>
    <w:rsid w:val="03C038C2"/>
    <w:rsid w:val="03CF6C6F"/>
    <w:rsid w:val="03CF75C5"/>
    <w:rsid w:val="03E20E35"/>
    <w:rsid w:val="03E63D04"/>
    <w:rsid w:val="03FA37B6"/>
    <w:rsid w:val="043B2EAD"/>
    <w:rsid w:val="04400FB3"/>
    <w:rsid w:val="04466FD1"/>
    <w:rsid w:val="044F2B65"/>
    <w:rsid w:val="0460068B"/>
    <w:rsid w:val="046F76DC"/>
    <w:rsid w:val="048E51A9"/>
    <w:rsid w:val="048F391D"/>
    <w:rsid w:val="049031F8"/>
    <w:rsid w:val="04946C28"/>
    <w:rsid w:val="04955223"/>
    <w:rsid w:val="04964816"/>
    <w:rsid w:val="049D3B67"/>
    <w:rsid w:val="04AE5FE8"/>
    <w:rsid w:val="04B2316F"/>
    <w:rsid w:val="04CD7EC2"/>
    <w:rsid w:val="04D26FAB"/>
    <w:rsid w:val="04EB2782"/>
    <w:rsid w:val="04F30120"/>
    <w:rsid w:val="04FC43EA"/>
    <w:rsid w:val="05025778"/>
    <w:rsid w:val="05047485"/>
    <w:rsid w:val="05184F9C"/>
    <w:rsid w:val="05230DF7"/>
    <w:rsid w:val="05273C7A"/>
    <w:rsid w:val="053E4A03"/>
    <w:rsid w:val="057938CA"/>
    <w:rsid w:val="058D14E6"/>
    <w:rsid w:val="059903BE"/>
    <w:rsid w:val="0599625C"/>
    <w:rsid w:val="05AA78BE"/>
    <w:rsid w:val="05C56ED2"/>
    <w:rsid w:val="05DB66EF"/>
    <w:rsid w:val="0605074E"/>
    <w:rsid w:val="060E6ACB"/>
    <w:rsid w:val="061E5CEF"/>
    <w:rsid w:val="06263CE6"/>
    <w:rsid w:val="062776DA"/>
    <w:rsid w:val="062D11D2"/>
    <w:rsid w:val="063522A9"/>
    <w:rsid w:val="0673378D"/>
    <w:rsid w:val="0676672F"/>
    <w:rsid w:val="06823C21"/>
    <w:rsid w:val="06936FD0"/>
    <w:rsid w:val="06946896"/>
    <w:rsid w:val="06A82ED2"/>
    <w:rsid w:val="06AE7966"/>
    <w:rsid w:val="06C23FBA"/>
    <w:rsid w:val="06DD3BC1"/>
    <w:rsid w:val="06ED4932"/>
    <w:rsid w:val="06EE2458"/>
    <w:rsid w:val="06EF3008"/>
    <w:rsid w:val="06FB7E6A"/>
    <w:rsid w:val="070E2946"/>
    <w:rsid w:val="07457EFA"/>
    <w:rsid w:val="0748600C"/>
    <w:rsid w:val="07762B7A"/>
    <w:rsid w:val="078B22FB"/>
    <w:rsid w:val="078E41BF"/>
    <w:rsid w:val="07924BE7"/>
    <w:rsid w:val="07940491"/>
    <w:rsid w:val="079528E1"/>
    <w:rsid w:val="07983A02"/>
    <w:rsid w:val="07A0007C"/>
    <w:rsid w:val="07A16205"/>
    <w:rsid w:val="07A63145"/>
    <w:rsid w:val="07A67E70"/>
    <w:rsid w:val="07BC712B"/>
    <w:rsid w:val="07CD5AA5"/>
    <w:rsid w:val="07E55609"/>
    <w:rsid w:val="07EA7730"/>
    <w:rsid w:val="082102EB"/>
    <w:rsid w:val="08295652"/>
    <w:rsid w:val="083517AD"/>
    <w:rsid w:val="08361ED8"/>
    <w:rsid w:val="08370717"/>
    <w:rsid w:val="083D5D6A"/>
    <w:rsid w:val="084367D4"/>
    <w:rsid w:val="084F6F27"/>
    <w:rsid w:val="08553544"/>
    <w:rsid w:val="08626C5A"/>
    <w:rsid w:val="086E43E4"/>
    <w:rsid w:val="088968DD"/>
    <w:rsid w:val="089239B9"/>
    <w:rsid w:val="08A12A9B"/>
    <w:rsid w:val="08A705FC"/>
    <w:rsid w:val="08C90878"/>
    <w:rsid w:val="08C94F2B"/>
    <w:rsid w:val="08CF46DF"/>
    <w:rsid w:val="08D04661"/>
    <w:rsid w:val="08DB2FD9"/>
    <w:rsid w:val="08DF64FD"/>
    <w:rsid w:val="09073181"/>
    <w:rsid w:val="09356D10"/>
    <w:rsid w:val="09380B47"/>
    <w:rsid w:val="09530904"/>
    <w:rsid w:val="09581627"/>
    <w:rsid w:val="09602D9D"/>
    <w:rsid w:val="09616F12"/>
    <w:rsid w:val="096B2561"/>
    <w:rsid w:val="09820BAF"/>
    <w:rsid w:val="09840E52"/>
    <w:rsid w:val="0992366D"/>
    <w:rsid w:val="099D3CDB"/>
    <w:rsid w:val="09A46136"/>
    <w:rsid w:val="09AF5CDF"/>
    <w:rsid w:val="09BC3001"/>
    <w:rsid w:val="09BF3A7F"/>
    <w:rsid w:val="09CE573B"/>
    <w:rsid w:val="09DB3168"/>
    <w:rsid w:val="09EC55F9"/>
    <w:rsid w:val="09ED2377"/>
    <w:rsid w:val="0A014251"/>
    <w:rsid w:val="0A0A3505"/>
    <w:rsid w:val="0A0A424E"/>
    <w:rsid w:val="0A4268D8"/>
    <w:rsid w:val="0A5B4D97"/>
    <w:rsid w:val="0A7113D6"/>
    <w:rsid w:val="0A8C3E5A"/>
    <w:rsid w:val="0A8D4287"/>
    <w:rsid w:val="0AB50281"/>
    <w:rsid w:val="0ABA58A9"/>
    <w:rsid w:val="0ABE7D9E"/>
    <w:rsid w:val="0AC37758"/>
    <w:rsid w:val="0AC84167"/>
    <w:rsid w:val="0AD656B8"/>
    <w:rsid w:val="0AD7044F"/>
    <w:rsid w:val="0AE14726"/>
    <w:rsid w:val="0AEC1921"/>
    <w:rsid w:val="0AEF0A53"/>
    <w:rsid w:val="0B09546D"/>
    <w:rsid w:val="0B275F39"/>
    <w:rsid w:val="0B335795"/>
    <w:rsid w:val="0B3C75A8"/>
    <w:rsid w:val="0B446AEB"/>
    <w:rsid w:val="0B645853"/>
    <w:rsid w:val="0B753148"/>
    <w:rsid w:val="0B827C10"/>
    <w:rsid w:val="0B9619E0"/>
    <w:rsid w:val="0BAF73C8"/>
    <w:rsid w:val="0BD76ACC"/>
    <w:rsid w:val="0BEF7704"/>
    <w:rsid w:val="0C223A88"/>
    <w:rsid w:val="0C340CB6"/>
    <w:rsid w:val="0C4825A4"/>
    <w:rsid w:val="0C745029"/>
    <w:rsid w:val="0C840BD0"/>
    <w:rsid w:val="0C886EAB"/>
    <w:rsid w:val="0C9B6BDE"/>
    <w:rsid w:val="0CCD48BE"/>
    <w:rsid w:val="0CEC768D"/>
    <w:rsid w:val="0CF71EEF"/>
    <w:rsid w:val="0D4313E6"/>
    <w:rsid w:val="0D4F6293"/>
    <w:rsid w:val="0D5F1637"/>
    <w:rsid w:val="0D6129B4"/>
    <w:rsid w:val="0D761D44"/>
    <w:rsid w:val="0D7F1B1A"/>
    <w:rsid w:val="0D834EED"/>
    <w:rsid w:val="0D8713A0"/>
    <w:rsid w:val="0D922663"/>
    <w:rsid w:val="0DB81B57"/>
    <w:rsid w:val="0DC161D1"/>
    <w:rsid w:val="0DC3459D"/>
    <w:rsid w:val="0DCE7115"/>
    <w:rsid w:val="0DD3232C"/>
    <w:rsid w:val="0DDD059F"/>
    <w:rsid w:val="0DE40111"/>
    <w:rsid w:val="0DF450C4"/>
    <w:rsid w:val="0DFC402D"/>
    <w:rsid w:val="0E027D0F"/>
    <w:rsid w:val="0E0B1B42"/>
    <w:rsid w:val="0E146BF7"/>
    <w:rsid w:val="0E147B2B"/>
    <w:rsid w:val="0E19594F"/>
    <w:rsid w:val="0E1C1286"/>
    <w:rsid w:val="0E2F5189"/>
    <w:rsid w:val="0E3B2427"/>
    <w:rsid w:val="0E606C70"/>
    <w:rsid w:val="0E7D1D19"/>
    <w:rsid w:val="0E8F43C2"/>
    <w:rsid w:val="0E9262B2"/>
    <w:rsid w:val="0E9338C0"/>
    <w:rsid w:val="0E9B61D2"/>
    <w:rsid w:val="0EB74D7D"/>
    <w:rsid w:val="0ED80288"/>
    <w:rsid w:val="0EEC320B"/>
    <w:rsid w:val="0EEC4A2B"/>
    <w:rsid w:val="0EF95E3E"/>
    <w:rsid w:val="0EFC69CD"/>
    <w:rsid w:val="0F1D3CB0"/>
    <w:rsid w:val="0F246E85"/>
    <w:rsid w:val="0F2E5FD1"/>
    <w:rsid w:val="0F4F2476"/>
    <w:rsid w:val="0F54454A"/>
    <w:rsid w:val="0F545B97"/>
    <w:rsid w:val="0F5C6242"/>
    <w:rsid w:val="0F7E40B5"/>
    <w:rsid w:val="0F87344A"/>
    <w:rsid w:val="0F88196A"/>
    <w:rsid w:val="0F8E47D8"/>
    <w:rsid w:val="0F961F0A"/>
    <w:rsid w:val="0F9B0988"/>
    <w:rsid w:val="0F9D7B0A"/>
    <w:rsid w:val="0FA311DA"/>
    <w:rsid w:val="0FC206AA"/>
    <w:rsid w:val="0FDC18E6"/>
    <w:rsid w:val="0FF15A85"/>
    <w:rsid w:val="10003FC3"/>
    <w:rsid w:val="10082F80"/>
    <w:rsid w:val="100A432B"/>
    <w:rsid w:val="102E38C6"/>
    <w:rsid w:val="10376C1E"/>
    <w:rsid w:val="103C2486"/>
    <w:rsid w:val="103F191C"/>
    <w:rsid w:val="104C38F3"/>
    <w:rsid w:val="104C5CFC"/>
    <w:rsid w:val="107A6B0B"/>
    <w:rsid w:val="109611B9"/>
    <w:rsid w:val="10963D8A"/>
    <w:rsid w:val="10A74D0F"/>
    <w:rsid w:val="10B244F7"/>
    <w:rsid w:val="10D73F5D"/>
    <w:rsid w:val="10D97CD5"/>
    <w:rsid w:val="10FD17F7"/>
    <w:rsid w:val="11011400"/>
    <w:rsid w:val="11321FE4"/>
    <w:rsid w:val="113B1A46"/>
    <w:rsid w:val="114D5C66"/>
    <w:rsid w:val="11840903"/>
    <w:rsid w:val="118722E7"/>
    <w:rsid w:val="11A25B9C"/>
    <w:rsid w:val="11BE5D26"/>
    <w:rsid w:val="11FB0620"/>
    <w:rsid w:val="1201051D"/>
    <w:rsid w:val="121216F1"/>
    <w:rsid w:val="122C390F"/>
    <w:rsid w:val="122D02D9"/>
    <w:rsid w:val="12307792"/>
    <w:rsid w:val="12354546"/>
    <w:rsid w:val="12456A72"/>
    <w:rsid w:val="124D2729"/>
    <w:rsid w:val="12544EEB"/>
    <w:rsid w:val="12571610"/>
    <w:rsid w:val="1273342E"/>
    <w:rsid w:val="12743A4F"/>
    <w:rsid w:val="12776A38"/>
    <w:rsid w:val="127A1044"/>
    <w:rsid w:val="129F0629"/>
    <w:rsid w:val="12A5732F"/>
    <w:rsid w:val="12CF3D5F"/>
    <w:rsid w:val="13005B45"/>
    <w:rsid w:val="130A3E90"/>
    <w:rsid w:val="13296410"/>
    <w:rsid w:val="1330336F"/>
    <w:rsid w:val="1334351A"/>
    <w:rsid w:val="133438E9"/>
    <w:rsid w:val="13352AE0"/>
    <w:rsid w:val="13597486"/>
    <w:rsid w:val="136202B4"/>
    <w:rsid w:val="13AC6BA6"/>
    <w:rsid w:val="13B30CB1"/>
    <w:rsid w:val="13B642FE"/>
    <w:rsid w:val="13BD4509"/>
    <w:rsid w:val="13D0259C"/>
    <w:rsid w:val="13D365D8"/>
    <w:rsid w:val="13DE3BB0"/>
    <w:rsid w:val="13DF1AA7"/>
    <w:rsid w:val="13FA0E17"/>
    <w:rsid w:val="13FC4407"/>
    <w:rsid w:val="14025DE6"/>
    <w:rsid w:val="14171240"/>
    <w:rsid w:val="141D437D"/>
    <w:rsid w:val="142179C9"/>
    <w:rsid w:val="1424395D"/>
    <w:rsid w:val="142F28B9"/>
    <w:rsid w:val="14482317"/>
    <w:rsid w:val="14575AE1"/>
    <w:rsid w:val="145E79B1"/>
    <w:rsid w:val="14641C3B"/>
    <w:rsid w:val="147A6D33"/>
    <w:rsid w:val="14AD738E"/>
    <w:rsid w:val="14BE346A"/>
    <w:rsid w:val="14CB0413"/>
    <w:rsid w:val="14CF1B1B"/>
    <w:rsid w:val="14DB04C0"/>
    <w:rsid w:val="14DC3777"/>
    <w:rsid w:val="14E35C7A"/>
    <w:rsid w:val="14F404C2"/>
    <w:rsid w:val="151F68ED"/>
    <w:rsid w:val="152D4211"/>
    <w:rsid w:val="15407E8E"/>
    <w:rsid w:val="154929C8"/>
    <w:rsid w:val="154D7BCC"/>
    <w:rsid w:val="156873E6"/>
    <w:rsid w:val="156A1844"/>
    <w:rsid w:val="15835EF7"/>
    <w:rsid w:val="15836462"/>
    <w:rsid w:val="158B46BE"/>
    <w:rsid w:val="15A43EE5"/>
    <w:rsid w:val="15BB209F"/>
    <w:rsid w:val="15D1541F"/>
    <w:rsid w:val="15D46CBD"/>
    <w:rsid w:val="15F36362"/>
    <w:rsid w:val="15FB06EE"/>
    <w:rsid w:val="161B4F28"/>
    <w:rsid w:val="16273291"/>
    <w:rsid w:val="162B4F07"/>
    <w:rsid w:val="162D3FB2"/>
    <w:rsid w:val="163F682C"/>
    <w:rsid w:val="16493207"/>
    <w:rsid w:val="164A0E0E"/>
    <w:rsid w:val="165247B2"/>
    <w:rsid w:val="16590157"/>
    <w:rsid w:val="1667757D"/>
    <w:rsid w:val="16750620"/>
    <w:rsid w:val="16897ABD"/>
    <w:rsid w:val="16924BAE"/>
    <w:rsid w:val="169A1AF2"/>
    <w:rsid w:val="16A85976"/>
    <w:rsid w:val="16B800A2"/>
    <w:rsid w:val="16BA3822"/>
    <w:rsid w:val="16C02B7B"/>
    <w:rsid w:val="16E37E05"/>
    <w:rsid w:val="17117FA2"/>
    <w:rsid w:val="173739A8"/>
    <w:rsid w:val="17410382"/>
    <w:rsid w:val="17547927"/>
    <w:rsid w:val="175F37DC"/>
    <w:rsid w:val="1772678E"/>
    <w:rsid w:val="17DE6AFE"/>
    <w:rsid w:val="17E641ED"/>
    <w:rsid w:val="17FA39FE"/>
    <w:rsid w:val="18041ADC"/>
    <w:rsid w:val="18255F4D"/>
    <w:rsid w:val="182B7F3E"/>
    <w:rsid w:val="182C2DE0"/>
    <w:rsid w:val="183B5574"/>
    <w:rsid w:val="183D4FEE"/>
    <w:rsid w:val="18417A17"/>
    <w:rsid w:val="18623723"/>
    <w:rsid w:val="186938B7"/>
    <w:rsid w:val="187E4F87"/>
    <w:rsid w:val="1888270D"/>
    <w:rsid w:val="189C33DF"/>
    <w:rsid w:val="18AF7A2D"/>
    <w:rsid w:val="18B549BE"/>
    <w:rsid w:val="18D725DC"/>
    <w:rsid w:val="18DF342A"/>
    <w:rsid w:val="18FC7176"/>
    <w:rsid w:val="18FE6843"/>
    <w:rsid w:val="1908777B"/>
    <w:rsid w:val="19151AC7"/>
    <w:rsid w:val="19235F91"/>
    <w:rsid w:val="193C2941"/>
    <w:rsid w:val="193D099D"/>
    <w:rsid w:val="194636A6"/>
    <w:rsid w:val="194A256B"/>
    <w:rsid w:val="194C33FA"/>
    <w:rsid w:val="19737238"/>
    <w:rsid w:val="197E3FAE"/>
    <w:rsid w:val="19983BC2"/>
    <w:rsid w:val="19B42B09"/>
    <w:rsid w:val="19B511C9"/>
    <w:rsid w:val="19B906A4"/>
    <w:rsid w:val="19CA0566"/>
    <w:rsid w:val="19CE3BFC"/>
    <w:rsid w:val="1A0E198B"/>
    <w:rsid w:val="1A256C01"/>
    <w:rsid w:val="1A413E9F"/>
    <w:rsid w:val="1A420699"/>
    <w:rsid w:val="1A424B3D"/>
    <w:rsid w:val="1A46462D"/>
    <w:rsid w:val="1A512FD2"/>
    <w:rsid w:val="1A531100"/>
    <w:rsid w:val="1A6B4094"/>
    <w:rsid w:val="1A8040EC"/>
    <w:rsid w:val="1A850EA2"/>
    <w:rsid w:val="1A90216F"/>
    <w:rsid w:val="1A933FFE"/>
    <w:rsid w:val="1A937147"/>
    <w:rsid w:val="1AC04A4D"/>
    <w:rsid w:val="1AF73C82"/>
    <w:rsid w:val="1B1177A6"/>
    <w:rsid w:val="1B1E113A"/>
    <w:rsid w:val="1B24646A"/>
    <w:rsid w:val="1B3B0802"/>
    <w:rsid w:val="1B3D4849"/>
    <w:rsid w:val="1B591557"/>
    <w:rsid w:val="1BA23AE5"/>
    <w:rsid w:val="1BAC2B40"/>
    <w:rsid w:val="1BB6747D"/>
    <w:rsid w:val="1BBC26EF"/>
    <w:rsid w:val="1BC53330"/>
    <w:rsid w:val="1BCD48DA"/>
    <w:rsid w:val="1BDA1EE1"/>
    <w:rsid w:val="1BE26EEF"/>
    <w:rsid w:val="1BEA2BEA"/>
    <w:rsid w:val="1C171E93"/>
    <w:rsid w:val="1C3B67E4"/>
    <w:rsid w:val="1C43143D"/>
    <w:rsid w:val="1C5A43C0"/>
    <w:rsid w:val="1C5E5533"/>
    <w:rsid w:val="1C66057D"/>
    <w:rsid w:val="1C6D261E"/>
    <w:rsid w:val="1C8B2727"/>
    <w:rsid w:val="1C913B5A"/>
    <w:rsid w:val="1C97240B"/>
    <w:rsid w:val="1CAA08CF"/>
    <w:rsid w:val="1CBF0E32"/>
    <w:rsid w:val="1CC6350F"/>
    <w:rsid w:val="1CE74E29"/>
    <w:rsid w:val="1CFA3C09"/>
    <w:rsid w:val="1CFC7225"/>
    <w:rsid w:val="1D022362"/>
    <w:rsid w:val="1D13456F"/>
    <w:rsid w:val="1D1D16C4"/>
    <w:rsid w:val="1D427210"/>
    <w:rsid w:val="1D515D6F"/>
    <w:rsid w:val="1D560CDA"/>
    <w:rsid w:val="1D646B79"/>
    <w:rsid w:val="1D6923E1"/>
    <w:rsid w:val="1D6B6159"/>
    <w:rsid w:val="1D6D6CC7"/>
    <w:rsid w:val="1DA32F29"/>
    <w:rsid w:val="1DAA4C00"/>
    <w:rsid w:val="1DBC4D1A"/>
    <w:rsid w:val="1DDA3DDD"/>
    <w:rsid w:val="1DDF4451"/>
    <w:rsid w:val="1DE1661E"/>
    <w:rsid w:val="1DE5480D"/>
    <w:rsid w:val="1DEC6B9E"/>
    <w:rsid w:val="1DF65C5F"/>
    <w:rsid w:val="1E116CA0"/>
    <w:rsid w:val="1E387341"/>
    <w:rsid w:val="1E3D5D47"/>
    <w:rsid w:val="1E3E439D"/>
    <w:rsid w:val="1E424CEE"/>
    <w:rsid w:val="1E52347B"/>
    <w:rsid w:val="1E751E0D"/>
    <w:rsid w:val="1E817B24"/>
    <w:rsid w:val="1E847375"/>
    <w:rsid w:val="1EA240CA"/>
    <w:rsid w:val="1EB07961"/>
    <w:rsid w:val="1EB47B61"/>
    <w:rsid w:val="1EB51D36"/>
    <w:rsid w:val="1EC63A1D"/>
    <w:rsid w:val="1EC81F5C"/>
    <w:rsid w:val="1F025E88"/>
    <w:rsid w:val="1F1A394E"/>
    <w:rsid w:val="1F260856"/>
    <w:rsid w:val="1F3973D9"/>
    <w:rsid w:val="1F533689"/>
    <w:rsid w:val="1F775E72"/>
    <w:rsid w:val="1F8B2894"/>
    <w:rsid w:val="1FA140B4"/>
    <w:rsid w:val="1FA643EE"/>
    <w:rsid w:val="1FBF0FF0"/>
    <w:rsid w:val="1FCE5AAD"/>
    <w:rsid w:val="1FDD563D"/>
    <w:rsid w:val="1FE75286"/>
    <w:rsid w:val="20184CFF"/>
    <w:rsid w:val="20452C91"/>
    <w:rsid w:val="20543CB1"/>
    <w:rsid w:val="205635D3"/>
    <w:rsid w:val="206D29F8"/>
    <w:rsid w:val="208B65E8"/>
    <w:rsid w:val="20A976C4"/>
    <w:rsid w:val="20BC5761"/>
    <w:rsid w:val="20C52DD8"/>
    <w:rsid w:val="20DA5ACF"/>
    <w:rsid w:val="20EA0B6C"/>
    <w:rsid w:val="20EA432F"/>
    <w:rsid w:val="20EA55E7"/>
    <w:rsid w:val="21076999"/>
    <w:rsid w:val="210D6AF8"/>
    <w:rsid w:val="211F1734"/>
    <w:rsid w:val="21423675"/>
    <w:rsid w:val="214557F9"/>
    <w:rsid w:val="214C0E12"/>
    <w:rsid w:val="21515216"/>
    <w:rsid w:val="215D7882"/>
    <w:rsid w:val="2167658F"/>
    <w:rsid w:val="216F2CC8"/>
    <w:rsid w:val="217750CC"/>
    <w:rsid w:val="217B0D8B"/>
    <w:rsid w:val="21843C8D"/>
    <w:rsid w:val="21846654"/>
    <w:rsid w:val="21912FA1"/>
    <w:rsid w:val="21AD4829"/>
    <w:rsid w:val="21B83433"/>
    <w:rsid w:val="21BC3427"/>
    <w:rsid w:val="21F8507C"/>
    <w:rsid w:val="22113809"/>
    <w:rsid w:val="221459F6"/>
    <w:rsid w:val="2217141C"/>
    <w:rsid w:val="222D504E"/>
    <w:rsid w:val="222E4778"/>
    <w:rsid w:val="224303D3"/>
    <w:rsid w:val="224A2145"/>
    <w:rsid w:val="226F30E0"/>
    <w:rsid w:val="2281009D"/>
    <w:rsid w:val="228F2ACB"/>
    <w:rsid w:val="229A69AB"/>
    <w:rsid w:val="229E0D7F"/>
    <w:rsid w:val="22A14B92"/>
    <w:rsid w:val="22A30143"/>
    <w:rsid w:val="22A44A68"/>
    <w:rsid w:val="22C81958"/>
    <w:rsid w:val="22D74B98"/>
    <w:rsid w:val="22D81E2B"/>
    <w:rsid w:val="22EB38CE"/>
    <w:rsid w:val="22F00520"/>
    <w:rsid w:val="22F84732"/>
    <w:rsid w:val="23190E21"/>
    <w:rsid w:val="23405595"/>
    <w:rsid w:val="23453346"/>
    <w:rsid w:val="234A6B47"/>
    <w:rsid w:val="234C58D0"/>
    <w:rsid w:val="23502079"/>
    <w:rsid w:val="235A6AF5"/>
    <w:rsid w:val="23655B34"/>
    <w:rsid w:val="236D324A"/>
    <w:rsid w:val="236E0751"/>
    <w:rsid w:val="23724C32"/>
    <w:rsid w:val="237C7D5E"/>
    <w:rsid w:val="23AE4CF6"/>
    <w:rsid w:val="23B01195"/>
    <w:rsid w:val="23BC770E"/>
    <w:rsid w:val="24241AA5"/>
    <w:rsid w:val="24267006"/>
    <w:rsid w:val="24274E22"/>
    <w:rsid w:val="24341998"/>
    <w:rsid w:val="243454F7"/>
    <w:rsid w:val="24376BFF"/>
    <w:rsid w:val="243A543F"/>
    <w:rsid w:val="2445795B"/>
    <w:rsid w:val="2451627C"/>
    <w:rsid w:val="24715894"/>
    <w:rsid w:val="247E3A1B"/>
    <w:rsid w:val="248718BA"/>
    <w:rsid w:val="249935AC"/>
    <w:rsid w:val="24A445F5"/>
    <w:rsid w:val="24DE592C"/>
    <w:rsid w:val="24E72FF2"/>
    <w:rsid w:val="24EC0600"/>
    <w:rsid w:val="24F90B21"/>
    <w:rsid w:val="2500187D"/>
    <w:rsid w:val="251D5F8B"/>
    <w:rsid w:val="25365E5B"/>
    <w:rsid w:val="25396B3D"/>
    <w:rsid w:val="254416FF"/>
    <w:rsid w:val="25494900"/>
    <w:rsid w:val="254E2245"/>
    <w:rsid w:val="254F010E"/>
    <w:rsid w:val="255070F0"/>
    <w:rsid w:val="25A31815"/>
    <w:rsid w:val="25A477D9"/>
    <w:rsid w:val="25EC7238"/>
    <w:rsid w:val="25EF096B"/>
    <w:rsid w:val="25F86F15"/>
    <w:rsid w:val="260F6BD5"/>
    <w:rsid w:val="26626F88"/>
    <w:rsid w:val="26753690"/>
    <w:rsid w:val="269D4D4E"/>
    <w:rsid w:val="26A5092E"/>
    <w:rsid w:val="26B103B3"/>
    <w:rsid w:val="26BA4560"/>
    <w:rsid w:val="26BB3CAD"/>
    <w:rsid w:val="26BD78AE"/>
    <w:rsid w:val="26C206D8"/>
    <w:rsid w:val="26FB3696"/>
    <w:rsid w:val="27057C9A"/>
    <w:rsid w:val="27491350"/>
    <w:rsid w:val="27511469"/>
    <w:rsid w:val="27612F92"/>
    <w:rsid w:val="277F6CFA"/>
    <w:rsid w:val="278219E7"/>
    <w:rsid w:val="2786300F"/>
    <w:rsid w:val="279325CD"/>
    <w:rsid w:val="27A43BC9"/>
    <w:rsid w:val="27A801EB"/>
    <w:rsid w:val="27B23302"/>
    <w:rsid w:val="27B43DC9"/>
    <w:rsid w:val="27B608D5"/>
    <w:rsid w:val="27BB36B5"/>
    <w:rsid w:val="27C60B5C"/>
    <w:rsid w:val="27CE703E"/>
    <w:rsid w:val="27E75D9F"/>
    <w:rsid w:val="282C4737"/>
    <w:rsid w:val="283714DA"/>
    <w:rsid w:val="2837718A"/>
    <w:rsid w:val="28416434"/>
    <w:rsid w:val="28642123"/>
    <w:rsid w:val="28870877"/>
    <w:rsid w:val="28B54678"/>
    <w:rsid w:val="28BB0127"/>
    <w:rsid w:val="28BF46B0"/>
    <w:rsid w:val="28ED7DAC"/>
    <w:rsid w:val="28EF2F5A"/>
    <w:rsid w:val="28F039B6"/>
    <w:rsid w:val="28F74747"/>
    <w:rsid w:val="2908745E"/>
    <w:rsid w:val="293215DA"/>
    <w:rsid w:val="294066EC"/>
    <w:rsid w:val="2959155B"/>
    <w:rsid w:val="2973341E"/>
    <w:rsid w:val="2979112F"/>
    <w:rsid w:val="29842A7C"/>
    <w:rsid w:val="299500F4"/>
    <w:rsid w:val="29A3101A"/>
    <w:rsid w:val="29B85EEC"/>
    <w:rsid w:val="29BE2174"/>
    <w:rsid w:val="29C56BF1"/>
    <w:rsid w:val="29E259F5"/>
    <w:rsid w:val="29E4351B"/>
    <w:rsid w:val="2A0A6A10"/>
    <w:rsid w:val="2A105D28"/>
    <w:rsid w:val="2A4F5489"/>
    <w:rsid w:val="2A880E40"/>
    <w:rsid w:val="2A8E16D9"/>
    <w:rsid w:val="2A992C71"/>
    <w:rsid w:val="2AB446DE"/>
    <w:rsid w:val="2AC46EA9"/>
    <w:rsid w:val="2AD114E7"/>
    <w:rsid w:val="2AD8764F"/>
    <w:rsid w:val="2AFE060C"/>
    <w:rsid w:val="2B02634F"/>
    <w:rsid w:val="2B1C5F84"/>
    <w:rsid w:val="2B224FBA"/>
    <w:rsid w:val="2B3C2EE3"/>
    <w:rsid w:val="2B402CA5"/>
    <w:rsid w:val="2B430715"/>
    <w:rsid w:val="2B6D12EE"/>
    <w:rsid w:val="2B84423D"/>
    <w:rsid w:val="2B9F1A31"/>
    <w:rsid w:val="2BA6330B"/>
    <w:rsid w:val="2BBE304F"/>
    <w:rsid w:val="2BCC24B9"/>
    <w:rsid w:val="2BCE4483"/>
    <w:rsid w:val="2BD31A99"/>
    <w:rsid w:val="2BF3618E"/>
    <w:rsid w:val="2C007235"/>
    <w:rsid w:val="2C1529D1"/>
    <w:rsid w:val="2C363DD6"/>
    <w:rsid w:val="2C3C77A1"/>
    <w:rsid w:val="2C4402A1"/>
    <w:rsid w:val="2C482972"/>
    <w:rsid w:val="2C5F7BAE"/>
    <w:rsid w:val="2C6426F1"/>
    <w:rsid w:val="2C86584F"/>
    <w:rsid w:val="2C8E4469"/>
    <w:rsid w:val="2CAF69CD"/>
    <w:rsid w:val="2CB34A78"/>
    <w:rsid w:val="2CBD66D9"/>
    <w:rsid w:val="2CCB451E"/>
    <w:rsid w:val="2CCC5F2D"/>
    <w:rsid w:val="2CCD6DBA"/>
    <w:rsid w:val="2CCF04B2"/>
    <w:rsid w:val="2CD44EEF"/>
    <w:rsid w:val="2CEB3A7F"/>
    <w:rsid w:val="2CFB12A7"/>
    <w:rsid w:val="2D181282"/>
    <w:rsid w:val="2D1A06C1"/>
    <w:rsid w:val="2D1C7470"/>
    <w:rsid w:val="2D4B16F9"/>
    <w:rsid w:val="2D522E91"/>
    <w:rsid w:val="2D591FED"/>
    <w:rsid w:val="2D5E5392"/>
    <w:rsid w:val="2D833278"/>
    <w:rsid w:val="2D8D3ECA"/>
    <w:rsid w:val="2D8E211C"/>
    <w:rsid w:val="2D934973"/>
    <w:rsid w:val="2D990AC0"/>
    <w:rsid w:val="2D9C06E8"/>
    <w:rsid w:val="2DA336ED"/>
    <w:rsid w:val="2DA7482A"/>
    <w:rsid w:val="2DAA0B50"/>
    <w:rsid w:val="2DB24B20"/>
    <w:rsid w:val="2DC73363"/>
    <w:rsid w:val="2DC810BF"/>
    <w:rsid w:val="2DDB285E"/>
    <w:rsid w:val="2DF37C00"/>
    <w:rsid w:val="2E255EB0"/>
    <w:rsid w:val="2E34556F"/>
    <w:rsid w:val="2E3C3327"/>
    <w:rsid w:val="2E3E1CDC"/>
    <w:rsid w:val="2E4F36F3"/>
    <w:rsid w:val="2E527260"/>
    <w:rsid w:val="2E597B7A"/>
    <w:rsid w:val="2E677218"/>
    <w:rsid w:val="2E9A60C7"/>
    <w:rsid w:val="2EA72531"/>
    <w:rsid w:val="2EC96602"/>
    <w:rsid w:val="2ED31C44"/>
    <w:rsid w:val="2EDB0ED0"/>
    <w:rsid w:val="2EE00F13"/>
    <w:rsid w:val="2EE731AD"/>
    <w:rsid w:val="2EEC5934"/>
    <w:rsid w:val="2EF10DD9"/>
    <w:rsid w:val="2EF5529C"/>
    <w:rsid w:val="2F08056B"/>
    <w:rsid w:val="2F210CB4"/>
    <w:rsid w:val="2F2A34DD"/>
    <w:rsid w:val="2F472829"/>
    <w:rsid w:val="2F561AA3"/>
    <w:rsid w:val="2F59122B"/>
    <w:rsid w:val="2F730B64"/>
    <w:rsid w:val="2F757C4D"/>
    <w:rsid w:val="2F7B6C65"/>
    <w:rsid w:val="2F881DCA"/>
    <w:rsid w:val="2F9742D6"/>
    <w:rsid w:val="2F9B1968"/>
    <w:rsid w:val="2FA7156F"/>
    <w:rsid w:val="2FAF07FF"/>
    <w:rsid w:val="2FB67708"/>
    <w:rsid w:val="2FC0270F"/>
    <w:rsid w:val="2FC25CE3"/>
    <w:rsid w:val="2FCA4F61"/>
    <w:rsid w:val="2FCB3E32"/>
    <w:rsid w:val="2FCC7BF3"/>
    <w:rsid w:val="2FD915A5"/>
    <w:rsid w:val="2FE51D9B"/>
    <w:rsid w:val="2FED569A"/>
    <w:rsid w:val="2FEE46D7"/>
    <w:rsid w:val="2FF92384"/>
    <w:rsid w:val="30134B5A"/>
    <w:rsid w:val="302367B8"/>
    <w:rsid w:val="30360496"/>
    <w:rsid w:val="3045283A"/>
    <w:rsid w:val="305B205D"/>
    <w:rsid w:val="306B18F9"/>
    <w:rsid w:val="30752BC2"/>
    <w:rsid w:val="307E4978"/>
    <w:rsid w:val="30830679"/>
    <w:rsid w:val="30C16364"/>
    <w:rsid w:val="30F05EF6"/>
    <w:rsid w:val="30F16230"/>
    <w:rsid w:val="311A5A74"/>
    <w:rsid w:val="31327262"/>
    <w:rsid w:val="31344D88"/>
    <w:rsid w:val="31353A44"/>
    <w:rsid w:val="31447AA9"/>
    <w:rsid w:val="31466937"/>
    <w:rsid w:val="31623B36"/>
    <w:rsid w:val="31864EB8"/>
    <w:rsid w:val="31940F7C"/>
    <w:rsid w:val="31A5501E"/>
    <w:rsid w:val="31BB69A4"/>
    <w:rsid w:val="31C37EBA"/>
    <w:rsid w:val="31DB16A7"/>
    <w:rsid w:val="31FD411A"/>
    <w:rsid w:val="31FF7F05"/>
    <w:rsid w:val="320B2E73"/>
    <w:rsid w:val="32110115"/>
    <w:rsid w:val="32147D47"/>
    <w:rsid w:val="322A7F39"/>
    <w:rsid w:val="32711601"/>
    <w:rsid w:val="32713794"/>
    <w:rsid w:val="3289062A"/>
    <w:rsid w:val="329C7B1B"/>
    <w:rsid w:val="32B77243"/>
    <w:rsid w:val="32C043A6"/>
    <w:rsid w:val="32D9768F"/>
    <w:rsid w:val="32DF6AB2"/>
    <w:rsid w:val="32E14A9C"/>
    <w:rsid w:val="32EA2C9F"/>
    <w:rsid w:val="331C1509"/>
    <w:rsid w:val="331E407E"/>
    <w:rsid w:val="331F7372"/>
    <w:rsid w:val="332B2711"/>
    <w:rsid w:val="333358E4"/>
    <w:rsid w:val="33382F62"/>
    <w:rsid w:val="3352264A"/>
    <w:rsid w:val="336254B1"/>
    <w:rsid w:val="33863895"/>
    <w:rsid w:val="33896703"/>
    <w:rsid w:val="33945FB2"/>
    <w:rsid w:val="339733AC"/>
    <w:rsid w:val="33C36C3E"/>
    <w:rsid w:val="33D52E15"/>
    <w:rsid w:val="33E365F1"/>
    <w:rsid w:val="33E61769"/>
    <w:rsid w:val="33EB7E77"/>
    <w:rsid w:val="33EC5333"/>
    <w:rsid w:val="33FD25B0"/>
    <w:rsid w:val="34076784"/>
    <w:rsid w:val="3409086D"/>
    <w:rsid w:val="341B3FDD"/>
    <w:rsid w:val="34232DBB"/>
    <w:rsid w:val="3445105A"/>
    <w:rsid w:val="344C5AA4"/>
    <w:rsid w:val="345474EF"/>
    <w:rsid w:val="3457491A"/>
    <w:rsid w:val="34936269"/>
    <w:rsid w:val="349E27E1"/>
    <w:rsid w:val="34A65EDD"/>
    <w:rsid w:val="34B47F8E"/>
    <w:rsid w:val="34B66FCA"/>
    <w:rsid w:val="34C01347"/>
    <w:rsid w:val="34CD1A9C"/>
    <w:rsid w:val="34D147EB"/>
    <w:rsid w:val="34DB5522"/>
    <w:rsid w:val="34EE3E95"/>
    <w:rsid w:val="34F30AB6"/>
    <w:rsid w:val="34F34F5A"/>
    <w:rsid w:val="350823BA"/>
    <w:rsid w:val="350B5F78"/>
    <w:rsid w:val="350B7E07"/>
    <w:rsid w:val="35231103"/>
    <w:rsid w:val="352C0FF9"/>
    <w:rsid w:val="35336A00"/>
    <w:rsid w:val="35343F8E"/>
    <w:rsid w:val="3543330B"/>
    <w:rsid w:val="354F72E9"/>
    <w:rsid w:val="358362DE"/>
    <w:rsid w:val="35884863"/>
    <w:rsid w:val="35944047"/>
    <w:rsid w:val="35A10512"/>
    <w:rsid w:val="35A43ACC"/>
    <w:rsid w:val="35B9177A"/>
    <w:rsid w:val="35BC4FAA"/>
    <w:rsid w:val="35BD4BE3"/>
    <w:rsid w:val="35CC70B4"/>
    <w:rsid w:val="35D112E4"/>
    <w:rsid w:val="35D451F0"/>
    <w:rsid w:val="35E402AF"/>
    <w:rsid w:val="35E92F60"/>
    <w:rsid w:val="35F86916"/>
    <w:rsid w:val="35F91C83"/>
    <w:rsid w:val="35FB40C6"/>
    <w:rsid w:val="360D7119"/>
    <w:rsid w:val="361A37AB"/>
    <w:rsid w:val="36232DC2"/>
    <w:rsid w:val="362A0508"/>
    <w:rsid w:val="363043BE"/>
    <w:rsid w:val="363E2205"/>
    <w:rsid w:val="365442FF"/>
    <w:rsid w:val="36581EF8"/>
    <w:rsid w:val="3674681F"/>
    <w:rsid w:val="367A046E"/>
    <w:rsid w:val="367E2601"/>
    <w:rsid w:val="36827D40"/>
    <w:rsid w:val="368968EA"/>
    <w:rsid w:val="36C070BE"/>
    <w:rsid w:val="36C94F33"/>
    <w:rsid w:val="36CE3BEC"/>
    <w:rsid w:val="36E2602C"/>
    <w:rsid w:val="36E83689"/>
    <w:rsid w:val="36ED1E12"/>
    <w:rsid w:val="36F83F12"/>
    <w:rsid w:val="37035A19"/>
    <w:rsid w:val="37060F75"/>
    <w:rsid w:val="37193F4D"/>
    <w:rsid w:val="371B5132"/>
    <w:rsid w:val="3732037B"/>
    <w:rsid w:val="373227C5"/>
    <w:rsid w:val="37440F75"/>
    <w:rsid w:val="375015F1"/>
    <w:rsid w:val="375546D0"/>
    <w:rsid w:val="37581073"/>
    <w:rsid w:val="376B735B"/>
    <w:rsid w:val="376E2B61"/>
    <w:rsid w:val="378F5FB1"/>
    <w:rsid w:val="37A969B0"/>
    <w:rsid w:val="37AD73A1"/>
    <w:rsid w:val="37C4498C"/>
    <w:rsid w:val="37C54D8B"/>
    <w:rsid w:val="37D50D33"/>
    <w:rsid w:val="37D56B99"/>
    <w:rsid w:val="37DD75E9"/>
    <w:rsid w:val="37DD7E02"/>
    <w:rsid w:val="37E57707"/>
    <w:rsid w:val="37E64902"/>
    <w:rsid w:val="380370A7"/>
    <w:rsid w:val="38066C9F"/>
    <w:rsid w:val="380D4E7A"/>
    <w:rsid w:val="38152716"/>
    <w:rsid w:val="38233460"/>
    <w:rsid w:val="382F31AE"/>
    <w:rsid w:val="38397128"/>
    <w:rsid w:val="384A30E3"/>
    <w:rsid w:val="38507A75"/>
    <w:rsid w:val="386245BA"/>
    <w:rsid w:val="386F3073"/>
    <w:rsid w:val="387D781C"/>
    <w:rsid w:val="38877E93"/>
    <w:rsid w:val="389346C3"/>
    <w:rsid w:val="38981A99"/>
    <w:rsid w:val="38BF3897"/>
    <w:rsid w:val="38CD67BC"/>
    <w:rsid w:val="38CF5D1F"/>
    <w:rsid w:val="38D429AD"/>
    <w:rsid w:val="38DF4D78"/>
    <w:rsid w:val="38ED3A6E"/>
    <w:rsid w:val="38F117B0"/>
    <w:rsid w:val="38FE20D1"/>
    <w:rsid w:val="39026E9A"/>
    <w:rsid w:val="392A6A70"/>
    <w:rsid w:val="392B4CC2"/>
    <w:rsid w:val="392B5DF0"/>
    <w:rsid w:val="39394C1C"/>
    <w:rsid w:val="393A3F57"/>
    <w:rsid w:val="393D3428"/>
    <w:rsid w:val="393F495E"/>
    <w:rsid w:val="39571133"/>
    <w:rsid w:val="39581830"/>
    <w:rsid w:val="395E274B"/>
    <w:rsid w:val="397A3554"/>
    <w:rsid w:val="399B6884"/>
    <w:rsid w:val="39B07546"/>
    <w:rsid w:val="39B55CCF"/>
    <w:rsid w:val="39B81213"/>
    <w:rsid w:val="39C3314D"/>
    <w:rsid w:val="39CE6256"/>
    <w:rsid w:val="3A09138D"/>
    <w:rsid w:val="3A1302EC"/>
    <w:rsid w:val="3A1B1E8B"/>
    <w:rsid w:val="3A9C596E"/>
    <w:rsid w:val="3ABE0CB1"/>
    <w:rsid w:val="3AC50311"/>
    <w:rsid w:val="3AC95087"/>
    <w:rsid w:val="3ACB1FBA"/>
    <w:rsid w:val="3AD924FC"/>
    <w:rsid w:val="3AE92160"/>
    <w:rsid w:val="3B030B7D"/>
    <w:rsid w:val="3B0650EA"/>
    <w:rsid w:val="3B194FEF"/>
    <w:rsid w:val="3B253993"/>
    <w:rsid w:val="3B2876C0"/>
    <w:rsid w:val="3B2B3306"/>
    <w:rsid w:val="3B4B164C"/>
    <w:rsid w:val="3B4C6D41"/>
    <w:rsid w:val="3B64508E"/>
    <w:rsid w:val="3B716D99"/>
    <w:rsid w:val="3B7936BD"/>
    <w:rsid w:val="3B912B80"/>
    <w:rsid w:val="3B9352F4"/>
    <w:rsid w:val="3B964177"/>
    <w:rsid w:val="3BA562FA"/>
    <w:rsid w:val="3BB805E3"/>
    <w:rsid w:val="3BBB7EF1"/>
    <w:rsid w:val="3BCC3E0F"/>
    <w:rsid w:val="3BD81AF8"/>
    <w:rsid w:val="3BDC04F6"/>
    <w:rsid w:val="3BDF5BB7"/>
    <w:rsid w:val="3BF84CC8"/>
    <w:rsid w:val="3BF960D4"/>
    <w:rsid w:val="3C1C0846"/>
    <w:rsid w:val="3C2D1E36"/>
    <w:rsid w:val="3C2F4ACA"/>
    <w:rsid w:val="3C5107F0"/>
    <w:rsid w:val="3C6F162B"/>
    <w:rsid w:val="3C727817"/>
    <w:rsid w:val="3C7A4D4E"/>
    <w:rsid w:val="3C887370"/>
    <w:rsid w:val="3C9E1D99"/>
    <w:rsid w:val="3CA212A9"/>
    <w:rsid w:val="3CC05722"/>
    <w:rsid w:val="3CEC4769"/>
    <w:rsid w:val="3CF7574B"/>
    <w:rsid w:val="3D021290"/>
    <w:rsid w:val="3D054222"/>
    <w:rsid w:val="3D097F5B"/>
    <w:rsid w:val="3D111052"/>
    <w:rsid w:val="3D265EFE"/>
    <w:rsid w:val="3D5347E8"/>
    <w:rsid w:val="3D6C33A0"/>
    <w:rsid w:val="3D8250CD"/>
    <w:rsid w:val="3DA260D2"/>
    <w:rsid w:val="3DC6320C"/>
    <w:rsid w:val="3DDE635B"/>
    <w:rsid w:val="3DE25B6C"/>
    <w:rsid w:val="3DE73182"/>
    <w:rsid w:val="3DF76ABD"/>
    <w:rsid w:val="3DF82DEC"/>
    <w:rsid w:val="3E1F5827"/>
    <w:rsid w:val="3E257948"/>
    <w:rsid w:val="3E2607ED"/>
    <w:rsid w:val="3E413D7D"/>
    <w:rsid w:val="3E466B7D"/>
    <w:rsid w:val="3E491784"/>
    <w:rsid w:val="3E685EE2"/>
    <w:rsid w:val="3E9844D3"/>
    <w:rsid w:val="3EA16FE5"/>
    <w:rsid w:val="3EA37093"/>
    <w:rsid w:val="3EA64DEB"/>
    <w:rsid w:val="3EB815A1"/>
    <w:rsid w:val="3ED45758"/>
    <w:rsid w:val="3ED60130"/>
    <w:rsid w:val="3EFC6C09"/>
    <w:rsid w:val="3F0044FB"/>
    <w:rsid w:val="3F060986"/>
    <w:rsid w:val="3F06588A"/>
    <w:rsid w:val="3F0904B4"/>
    <w:rsid w:val="3F0D1571"/>
    <w:rsid w:val="3F121871"/>
    <w:rsid w:val="3F125FDD"/>
    <w:rsid w:val="3F262677"/>
    <w:rsid w:val="3F277CDA"/>
    <w:rsid w:val="3F326AFD"/>
    <w:rsid w:val="3F384775"/>
    <w:rsid w:val="3F6525B0"/>
    <w:rsid w:val="3F6530D5"/>
    <w:rsid w:val="3F993113"/>
    <w:rsid w:val="3F9B3CD7"/>
    <w:rsid w:val="3F9F1F66"/>
    <w:rsid w:val="3FDA11F0"/>
    <w:rsid w:val="3FDD45A6"/>
    <w:rsid w:val="3FDE5FF4"/>
    <w:rsid w:val="3FE3517F"/>
    <w:rsid w:val="40120514"/>
    <w:rsid w:val="402E32EA"/>
    <w:rsid w:val="40523956"/>
    <w:rsid w:val="405525DD"/>
    <w:rsid w:val="407036D9"/>
    <w:rsid w:val="4074003E"/>
    <w:rsid w:val="40752DB0"/>
    <w:rsid w:val="408B24EB"/>
    <w:rsid w:val="40926384"/>
    <w:rsid w:val="40944A28"/>
    <w:rsid w:val="40AD06B3"/>
    <w:rsid w:val="40B0169D"/>
    <w:rsid w:val="40B41127"/>
    <w:rsid w:val="40C8729B"/>
    <w:rsid w:val="40CF17A9"/>
    <w:rsid w:val="40D73166"/>
    <w:rsid w:val="40D77EB4"/>
    <w:rsid w:val="40EF2A79"/>
    <w:rsid w:val="40FE12C3"/>
    <w:rsid w:val="41057763"/>
    <w:rsid w:val="4120454D"/>
    <w:rsid w:val="412D25B6"/>
    <w:rsid w:val="41422CB1"/>
    <w:rsid w:val="414F6E50"/>
    <w:rsid w:val="415C74A4"/>
    <w:rsid w:val="41740101"/>
    <w:rsid w:val="41816CDC"/>
    <w:rsid w:val="418A6B31"/>
    <w:rsid w:val="418E5D50"/>
    <w:rsid w:val="41952986"/>
    <w:rsid w:val="41E86A9C"/>
    <w:rsid w:val="41EA1493"/>
    <w:rsid w:val="41EB3FED"/>
    <w:rsid w:val="41F16D57"/>
    <w:rsid w:val="41F213A1"/>
    <w:rsid w:val="41F73972"/>
    <w:rsid w:val="423746D8"/>
    <w:rsid w:val="42527B18"/>
    <w:rsid w:val="425F778B"/>
    <w:rsid w:val="426506CF"/>
    <w:rsid w:val="4269060A"/>
    <w:rsid w:val="428974A2"/>
    <w:rsid w:val="428E5183"/>
    <w:rsid w:val="42952634"/>
    <w:rsid w:val="42C72778"/>
    <w:rsid w:val="42C83582"/>
    <w:rsid w:val="42D05AC7"/>
    <w:rsid w:val="42DC4C2D"/>
    <w:rsid w:val="42E70C80"/>
    <w:rsid w:val="42FA2C1F"/>
    <w:rsid w:val="42FC147E"/>
    <w:rsid w:val="430D368B"/>
    <w:rsid w:val="431D1F3B"/>
    <w:rsid w:val="431E7600"/>
    <w:rsid w:val="432A7D99"/>
    <w:rsid w:val="4339622E"/>
    <w:rsid w:val="434B10DD"/>
    <w:rsid w:val="436112E1"/>
    <w:rsid w:val="436202B8"/>
    <w:rsid w:val="4366655D"/>
    <w:rsid w:val="436A1E16"/>
    <w:rsid w:val="436C0583"/>
    <w:rsid w:val="43707776"/>
    <w:rsid w:val="437A0304"/>
    <w:rsid w:val="437D39A2"/>
    <w:rsid w:val="43A0005B"/>
    <w:rsid w:val="43AA3223"/>
    <w:rsid w:val="43C401ED"/>
    <w:rsid w:val="43D146B8"/>
    <w:rsid w:val="43F1458B"/>
    <w:rsid w:val="43F65ECD"/>
    <w:rsid w:val="43FD36FF"/>
    <w:rsid w:val="43FD3CA5"/>
    <w:rsid w:val="4405708D"/>
    <w:rsid w:val="440826EF"/>
    <w:rsid w:val="440B4E92"/>
    <w:rsid w:val="4413072B"/>
    <w:rsid w:val="44520E7F"/>
    <w:rsid w:val="44524BFA"/>
    <w:rsid w:val="446772EB"/>
    <w:rsid w:val="446E0159"/>
    <w:rsid w:val="44915BF6"/>
    <w:rsid w:val="449750E1"/>
    <w:rsid w:val="449B0822"/>
    <w:rsid w:val="44A616A1"/>
    <w:rsid w:val="44B36937"/>
    <w:rsid w:val="44B52311"/>
    <w:rsid w:val="44BA1BCE"/>
    <w:rsid w:val="44D108E9"/>
    <w:rsid w:val="44D4283C"/>
    <w:rsid w:val="44D90FED"/>
    <w:rsid w:val="44DF02C8"/>
    <w:rsid w:val="44FA45CE"/>
    <w:rsid w:val="45036AF3"/>
    <w:rsid w:val="45174716"/>
    <w:rsid w:val="45575091"/>
    <w:rsid w:val="45575524"/>
    <w:rsid w:val="45586F42"/>
    <w:rsid w:val="455C3406"/>
    <w:rsid w:val="456652D4"/>
    <w:rsid w:val="456932BE"/>
    <w:rsid w:val="4579549F"/>
    <w:rsid w:val="45834D9B"/>
    <w:rsid w:val="459736E0"/>
    <w:rsid w:val="45A45FFE"/>
    <w:rsid w:val="45A8769B"/>
    <w:rsid w:val="45B63C5D"/>
    <w:rsid w:val="45BA0E9D"/>
    <w:rsid w:val="45BD781E"/>
    <w:rsid w:val="45CA4BBC"/>
    <w:rsid w:val="45D60A2D"/>
    <w:rsid w:val="45DC460E"/>
    <w:rsid w:val="45E906E9"/>
    <w:rsid w:val="45E975B2"/>
    <w:rsid w:val="45ED5F6C"/>
    <w:rsid w:val="45F03E8E"/>
    <w:rsid w:val="45F60406"/>
    <w:rsid w:val="45F965AF"/>
    <w:rsid w:val="46126AB6"/>
    <w:rsid w:val="463673DA"/>
    <w:rsid w:val="465B470D"/>
    <w:rsid w:val="46674E60"/>
    <w:rsid w:val="466943F9"/>
    <w:rsid w:val="46741A27"/>
    <w:rsid w:val="467D0912"/>
    <w:rsid w:val="467D327F"/>
    <w:rsid w:val="46D00C57"/>
    <w:rsid w:val="46D55E6D"/>
    <w:rsid w:val="46F8751A"/>
    <w:rsid w:val="4703102D"/>
    <w:rsid w:val="47197352"/>
    <w:rsid w:val="471C5466"/>
    <w:rsid w:val="47262F6D"/>
    <w:rsid w:val="47370B89"/>
    <w:rsid w:val="474D04FA"/>
    <w:rsid w:val="475F3D89"/>
    <w:rsid w:val="475F48D0"/>
    <w:rsid w:val="4769234B"/>
    <w:rsid w:val="4770243A"/>
    <w:rsid w:val="4775307B"/>
    <w:rsid w:val="47766090"/>
    <w:rsid w:val="47B108F6"/>
    <w:rsid w:val="47B23858"/>
    <w:rsid w:val="47B75005"/>
    <w:rsid w:val="47BB0EDD"/>
    <w:rsid w:val="47BF1E2B"/>
    <w:rsid w:val="47E66399"/>
    <w:rsid w:val="48084421"/>
    <w:rsid w:val="48120DBC"/>
    <w:rsid w:val="48202F96"/>
    <w:rsid w:val="4829604E"/>
    <w:rsid w:val="483F54DB"/>
    <w:rsid w:val="485853A8"/>
    <w:rsid w:val="48587156"/>
    <w:rsid w:val="48742152"/>
    <w:rsid w:val="48766E1B"/>
    <w:rsid w:val="4879128B"/>
    <w:rsid w:val="489857A5"/>
    <w:rsid w:val="48B51751"/>
    <w:rsid w:val="48C42A3E"/>
    <w:rsid w:val="48CE566A"/>
    <w:rsid w:val="48DA4213"/>
    <w:rsid w:val="49010144"/>
    <w:rsid w:val="49015FD6"/>
    <w:rsid w:val="4913307D"/>
    <w:rsid w:val="49166E1F"/>
    <w:rsid w:val="492D1427"/>
    <w:rsid w:val="492E6109"/>
    <w:rsid w:val="493400F2"/>
    <w:rsid w:val="494E0559"/>
    <w:rsid w:val="495318A1"/>
    <w:rsid w:val="4968161B"/>
    <w:rsid w:val="496D09DF"/>
    <w:rsid w:val="49720D88"/>
    <w:rsid w:val="49764EB1"/>
    <w:rsid w:val="497D40E7"/>
    <w:rsid w:val="497F0713"/>
    <w:rsid w:val="49891591"/>
    <w:rsid w:val="498A0BE0"/>
    <w:rsid w:val="499E03ED"/>
    <w:rsid w:val="49AC2D5E"/>
    <w:rsid w:val="49AD702E"/>
    <w:rsid w:val="49AE070A"/>
    <w:rsid w:val="49AF0F68"/>
    <w:rsid w:val="49B605D8"/>
    <w:rsid w:val="49BA4331"/>
    <w:rsid w:val="49CA23BD"/>
    <w:rsid w:val="49D071C0"/>
    <w:rsid w:val="49E60792"/>
    <w:rsid w:val="49ED38CE"/>
    <w:rsid w:val="49FA5947"/>
    <w:rsid w:val="4A070E34"/>
    <w:rsid w:val="4A0A26D2"/>
    <w:rsid w:val="4A2344ED"/>
    <w:rsid w:val="4A5303A1"/>
    <w:rsid w:val="4A591535"/>
    <w:rsid w:val="4A5F6E23"/>
    <w:rsid w:val="4A635888"/>
    <w:rsid w:val="4A6718D3"/>
    <w:rsid w:val="4A6E4F72"/>
    <w:rsid w:val="4A7D22F5"/>
    <w:rsid w:val="4A93139C"/>
    <w:rsid w:val="4A976DBA"/>
    <w:rsid w:val="4A9C40CE"/>
    <w:rsid w:val="4AAA04B8"/>
    <w:rsid w:val="4AB20144"/>
    <w:rsid w:val="4ABB577A"/>
    <w:rsid w:val="4AC06816"/>
    <w:rsid w:val="4AC46629"/>
    <w:rsid w:val="4AE8568C"/>
    <w:rsid w:val="4AE86CFA"/>
    <w:rsid w:val="4B0D06CC"/>
    <w:rsid w:val="4B0D2026"/>
    <w:rsid w:val="4B202C5A"/>
    <w:rsid w:val="4B3310CB"/>
    <w:rsid w:val="4B3D1D21"/>
    <w:rsid w:val="4B7324F9"/>
    <w:rsid w:val="4BB8602B"/>
    <w:rsid w:val="4BC93EC7"/>
    <w:rsid w:val="4BCB5E91"/>
    <w:rsid w:val="4BD522FB"/>
    <w:rsid w:val="4BE00100"/>
    <w:rsid w:val="4BE60A00"/>
    <w:rsid w:val="4BF25821"/>
    <w:rsid w:val="4BF70D1F"/>
    <w:rsid w:val="4BF77FD9"/>
    <w:rsid w:val="4C1A2F48"/>
    <w:rsid w:val="4C207F8B"/>
    <w:rsid w:val="4C260324"/>
    <w:rsid w:val="4C2A0E0A"/>
    <w:rsid w:val="4C2C4B82"/>
    <w:rsid w:val="4C325706"/>
    <w:rsid w:val="4C4179C2"/>
    <w:rsid w:val="4C5B417A"/>
    <w:rsid w:val="4C783BFD"/>
    <w:rsid w:val="4C847388"/>
    <w:rsid w:val="4C863E30"/>
    <w:rsid w:val="4C9053DC"/>
    <w:rsid w:val="4C9F2DAA"/>
    <w:rsid w:val="4CAC28E8"/>
    <w:rsid w:val="4CAD2165"/>
    <w:rsid w:val="4CAE37E9"/>
    <w:rsid w:val="4CB659EA"/>
    <w:rsid w:val="4CC4241C"/>
    <w:rsid w:val="4CC669AF"/>
    <w:rsid w:val="4CD97E11"/>
    <w:rsid w:val="4CE90CC5"/>
    <w:rsid w:val="4D0F0CA0"/>
    <w:rsid w:val="4D0F7FFF"/>
    <w:rsid w:val="4D4F0070"/>
    <w:rsid w:val="4D86216B"/>
    <w:rsid w:val="4D9135BC"/>
    <w:rsid w:val="4D9549A9"/>
    <w:rsid w:val="4DAD168E"/>
    <w:rsid w:val="4DBD2BF7"/>
    <w:rsid w:val="4DDE7940"/>
    <w:rsid w:val="4DDF054A"/>
    <w:rsid w:val="4DE90991"/>
    <w:rsid w:val="4DEE0C4D"/>
    <w:rsid w:val="4DEE1423"/>
    <w:rsid w:val="4E12415A"/>
    <w:rsid w:val="4E3609B5"/>
    <w:rsid w:val="4E364C5A"/>
    <w:rsid w:val="4E3B7B21"/>
    <w:rsid w:val="4E4A6CEE"/>
    <w:rsid w:val="4E4E5943"/>
    <w:rsid w:val="4E54503E"/>
    <w:rsid w:val="4E5B37FE"/>
    <w:rsid w:val="4E5B4F82"/>
    <w:rsid w:val="4E796039"/>
    <w:rsid w:val="4E7A7D39"/>
    <w:rsid w:val="4E7E00D0"/>
    <w:rsid w:val="4E8567CB"/>
    <w:rsid w:val="4E9B39C0"/>
    <w:rsid w:val="4EA2737D"/>
    <w:rsid w:val="4EAA33F2"/>
    <w:rsid w:val="4EAA3884"/>
    <w:rsid w:val="4EB13687"/>
    <w:rsid w:val="4EB470B0"/>
    <w:rsid w:val="4EB94FF4"/>
    <w:rsid w:val="4ECA2430"/>
    <w:rsid w:val="4EDA0221"/>
    <w:rsid w:val="4EDD03BE"/>
    <w:rsid w:val="4EEE16B2"/>
    <w:rsid w:val="4EF70D4B"/>
    <w:rsid w:val="4EF722E7"/>
    <w:rsid w:val="4F020A92"/>
    <w:rsid w:val="4F0E4A13"/>
    <w:rsid w:val="4F11005F"/>
    <w:rsid w:val="4F14284A"/>
    <w:rsid w:val="4F166E11"/>
    <w:rsid w:val="4F200FDA"/>
    <w:rsid w:val="4F3D6456"/>
    <w:rsid w:val="4F4255D3"/>
    <w:rsid w:val="4F4C33F7"/>
    <w:rsid w:val="4F4C539F"/>
    <w:rsid w:val="4F506DD9"/>
    <w:rsid w:val="4F555032"/>
    <w:rsid w:val="4F6C34E7"/>
    <w:rsid w:val="4F6E725F"/>
    <w:rsid w:val="4F7F146C"/>
    <w:rsid w:val="4F8B6063"/>
    <w:rsid w:val="4F9A3065"/>
    <w:rsid w:val="4F9B0FDE"/>
    <w:rsid w:val="4FB84F29"/>
    <w:rsid w:val="4FC878AF"/>
    <w:rsid w:val="4FCB1D40"/>
    <w:rsid w:val="4FCD2C12"/>
    <w:rsid w:val="4FD82B65"/>
    <w:rsid w:val="4FF17A39"/>
    <w:rsid w:val="4FF80759"/>
    <w:rsid w:val="4FF81D34"/>
    <w:rsid w:val="500B6DB4"/>
    <w:rsid w:val="5012408F"/>
    <w:rsid w:val="50155CFD"/>
    <w:rsid w:val="50175B49"/>
    <w:rsid w:val="501778F7"/>
    <w:rsid w:val="502D2C0F"/>
    <w:rsid w:val="503C1316"/>
    <w:rsid w:val="50475659"/>
    <w:rsid w:val="5064501B"/>
    <w:rsid w:val="5074270E"/>
    <w:rsid w:val="50891472"/>
    <w:rsid w:val="50A15F1A"/>
    <w:rsid w:val="50AE5674"/>
    <w:rsid w:val="50C730CB"/>
    <w:rsid w:val="50DF0D07"/>
    <w:rsid w:val="50E117D4"/>
    <w:rsid w:val="50E16F08"/>
    <w:rsid w:val="50E56EE7"/>
    <w:rsid w:val="50E87536"/>
    <w:rsid w:val="511A58F1"/>
    <w:rsid w:val="51212D23"/>
    <w:rsid w:val="51256043"/>
    <w:rsid w:val="512A072A"/>
    <w:rsid w:val="5133250E"/>
    <w:rsid w:val="513A5229"/>
    <w:rsid w:val="515A3F3F"/>
    <w:rsid w:val="515F763E"/>
    <w:rsid w:val="51621046"/>
    <w:rsid w:val="51652956"/>
    <w:rsid w:val="516A7BD3"/>
    <w:rsid w:val="51745968"/>
    <w:rsid w:val="517D25A8"/>
    <w:rsid w:val="51844500"/>
    <w:rsid w:val="51865D0A"/>
    <w:rsid w:val="51937451"/>
    <w:rsid w:val="51971C1E"/>
    <w:rsid w:val="51A35060"/>
    <w:rsid w:val="51A9429B"/>
    <w:rsid w:val="51AF5B43"/>
    <w:rsid w:val="51BA678C"/>
    <w:rsid w:val="51C92E73"/>
    <w:rsid w:val="51F8324A"/>
    <w:rsid w:val="51FF276B"/>
    <w:rsid w:val="52053204"/>
    <w:rsid w:val="520914C1"/>
    <w:rsid w:val="521A722A"/>
    <w:rsid w:val="521C1E18"/>
    <w:rsid w:val="522056E8"/>
    <w:rsid w:val="52276E94"/>
    <w:rsid w:val="52305B6D"/>
    <w:rsid w:val="52431789"/>
    <w:rsid w:val="52432C25"/>
    <w:rsid w:val="5252592A"/>
    <w:rsid w:val="525D5136"/>
    <w:rsid w:val="525D5FFC"/>
    <w:rsid w:val="52636578"/>
    <w:rsid w:val="526C31B7"/>
    <w:rsid w:val="5276470B"/>
    <w:rsid w:val="52765D0B"/>
    <w:rsid w:val="5299476A"/>
    <w:rsid w:val="52BC2A6F"/>
    <w:rsid w:val="52C94B6C"/>
    <w:rsid w:val="52DC6BD6"/>
    <w:rsid w:val="52F301C1"/>
    <w:rsid w:val="52F67C97"/>
    <w:rsid w:val="530C306B"/>
    <w:rsid w:val="530F6FAB"/>
    <w:rsid w:val="53192D50"/>
    <w:rsid w:val="53310CD0"/>
    <w:rsid w:val="53393631"/>
    <w:rsid w:val="534641A2"/>
    <w:rsid w:val="53545E36"/>
    <w:rsid w:val="536D14E5"/>
    <w:rsid w:val="53820D6E"/>
    <w:rsid w:val="538C4158"/>
    <w:rsid w:val="53937294"/>
    <w:rsid w:val="53C6268F"/>
    <w:rsid w:val="53CB09FE"/>
    <w:rsid w:val="53D34CFD"/>
    <w:rsid w:val="53EE0634"/>
    <w:rsid w:val="53F855EE"/>
    <w:rsid w:val="53FE723E"/>
    <w:rsid w:val="54023508"/>
    <w:rsid w:val="54280D1A"/>
    <w:rsid w:val="542F35F2"/>
    <w:rsid w:val="54365067"/>
    <w:rsid w:val="54366689"/>
    <w:rsid w:val="543801B0"/>
    <w:rsid w:val="54387E3C"/>
    <w:rsid w:val="543F11CA"/>
    <w:rsid w:val="545509EE"/>
    <w:rsid w:val="545855A0"/>
    <w:rsid w:val="546169B5"/>
    <w:rsid w:val="54B0031A"/>
    <w:rsid w:val="54C0055D"/>
    <w:rsid w:val="54D44008"/>
    <w:rsid w:val="54D5124F"/>
    <w:rsid w:val="54EB3276"/>
    <w:rsid w:val="54F5082C"/>
    <w:rsid w:val="550146D2"/>
    <w:rsid w:val="551419D0"/>
    <w:rsid w:val="551E34D6"/>
    <w:rsid w:val="551F6817"/>
    <w:rsid w:val="55204DD9"/>
    <w:rsid w:val="5520724E"/>
    <w:rsid w:val="55254DFC"/>
    <w:rsid w:val="553C5111"/>
    <w:rsid w:val="55693404"/>
    <w:rsid w:val="556A0455"/>
    <w:rsid w:val="557D24CD"/>
    <w:rsid w:val="557E29F0"/>
    <w:rsid w:val="55825812"/>
    <w:rsid w:val="558A3850"/>
    <w:rsid w:val="55AF602F"/>
    <w:rsid w:val="55B87486"/>
    <w:rsid w:val="55C44348"/>
    <w:rsid w:val="55C54B71"/>
    <w:rsid w:val="55D32512"/>
    <w:rsid w:val="55D84FFF"/>
    <w:rsid w:val="55EE10FA"/>
    <w:rsid w:val="55F422B5"/>
    <w:rsid w:val="56007FAA"/>
    <w:rsid w:val="56416C50"/>
    <w:rsid w:val="56455CF2"/>
    <w:rsid w:val="56723AD9"/>
    <w:rsid w:val="567D5FDA"/>
    <w:rsid w:val="56981066"/>
    <w:rsid w:val="56A04FF6"/>
    <w:rsid w:val="56AD68BF"/>
    <w:rsid w:val="56B714EC"/>
    <w:rsid w:val="56CD19C7"/>
    <w:rsid w:val="56DB3D41"/>
    <w:rsid w:val="56E905C9"/>
    <w:rsid w:val="57072B2F"/>
    <w:rsid w:val="570B7A8A"/>
    <w:rsid w:val="570C5E0B"/>
    <w:rsid w:val="571E77BD"/>
    <w:rsid w:val="572A7F10"/>
    <w:rsid w:val="572D7509"/>
    <w:rsid w:val="5733249E"/>
    <w:rsid w:val="57340470"/>
    <w:rsid w:val="575D70F6"/>
    <w:rsid w:val="575E5E0B"/>
    <w:rsid w:val="576F0185"/>
    <w:rsid w:val="57700B76"/>
    <w:rsid w:val="577E7C0D"/>
    <w:rsid w:val="57894FA2"/>
    <w:rsid w:val="578D0E9C"/>
    <w:rsid w:val="57947A7F"/>
    <w:rsid w:val="57A35F14"/>
    <w:rsid w:val="57A760E5"/>
    <w:rsid w:val="57B41ECF"/>
    <w:rsid w:val="57CD72D0"/>
    <w:rsid w:val="57E625B9"/>
    <w:rsid w:val="58020627"/>
    <w:rsid w:val="58337E10"/>
    <w:rsid w:val="58356819"/>
    <w:rsid w:val="58366D88"/>
    <w:rsid w:val="583D3584"/>
    <w:rsid w:val="58541DA4"/>
    <w:rsid w:val="585C0E6C"/>
    <w:rsid w:val="586B07E0"/>
    <w:rsid w:val="586C27AA"/>
    <w:rsid w:val="587A5BAC"/>
    <w:rsid w:val="587E46C7"/>
    <w:rsid w:val="588136AA"/>
    <w:rsid w:val="58864E66"/>
    <w:rsid w:val="589D277F"/>
    <w:rsid w:val="589E6E07"/>
    <w:rsid w:val="58A41F44"/>
    <w:rsid w:val="58B72603"/>
    <w:rsid w:val="58B92F82"/>
    <w:rsid w:val="58D25B75"/>
    <w:rsid w:val="58D26971"/>
    <w:rsid w:val="58E343AA"/>
    <w:rsid w:val="58F32517"/>
    <w:rsid w:val="58F97C8F"/>
    <w:rsid w:val="590E31C8"/>
    <w:rsid w:val="59264FCD"/>
    <w:rsid w:val="59345240"/>
    <w:rsid w:val="59450E1B"/>
    <w:rsid w:val="59691B7B"/>
    <w:rsid w:val="596D2336"/>
    <w:rsid w:val="5996424B"/>
    <w:rsid w:val="59981AA8"/>
    <w:rsid w:val="59AE2625"/>
    <w:rsid w:val="59B241EC"/>
    <w:rsid w:val="59BA0DC7"/>
    <w:rsid w:val="59D22C08"/>
    <w:rsid w:val="59FA7EC1"/>
    <w:rsid w:val="5A04713E"/>
    <w:rsid w:val="5A0E2518"/>
    <w:rsid w:val="5A1E59C9"/>
    <w:rsid w:val="5A206411"/>
    <w:rsid w:val="5A2B6183"/>
    <w:rsid w:val="5A6220B6"/>
    <w:rsid w:val="5A7A11AE"/>
    <w:rsid w:val="5A803790"/>
    <w:rsid w:val="5A8E2EAB"/>
    <w:rsid w:val="5A8E35AB"/>
    <w:rsid w:val="5A94715C"/>
    <w:rsid w:val="5AA9356E"/>
    <w:rsid w:val="5AAD3F28"/>
    <w:rsid w:val="5AB620A5"/>
    <w:rsid w:val="5AB71063"/>
    <w:rsid w:val="5AC62645"/>
    <w:rsid w:val="5AC8787B"/>
    <w:rsid w:val="5ADC4BDB"/>
    <w:rsid w:val="5AE044C7"/>
    <w:rsid w:val="5AE42EF6"/>
    <w:rsid w:val="5AEA057A"/>
    <w:rsid w:val="5AEB0314"/>
    <w:rsid w:val="5B0068A2"/>
    <w:rsid w:val="5B0171D9"/>
    <w:rsid w:val="5B38697A"/>
    <w:rsid w:val="5B395F28"/>
    <w:rsid w:val="5B535874"/>
    <w:rsid w:val="5B5A5FCE"/>
    <w:rsid w:val="5B5E07F4"/>
    <w:rsid w:val="5BBA27F0"/>
    <w:rsid w:val="5BBA55DA"/>
    <w:rsid w:val="5BBB41AD"/>
    <w:rsid w:val="5BC85F49"/>
    <w:rsid w:val="5BCE7A03"/>
    <w:rsid w:val="5BD743DE"/>
    <w:rsid w:val="5BDD5DA4"/>
    <w:rsid w:val="5BE576D7"/>
    <w:rsid w:val="5BFC3849"/>
    <w:rsid w:val="5C0F21BC"/>
    <w:rsid w:val="5C1A69D6"/>
    <w:rsid w:val="5C1C6E6A"/>
    <w:rsid w:val="5C311D40"/>
    <w:rsid w:val="5C3A4C9D"/>
    <w:rsid w:val="5C4F622C"/>
    <w:rsid w:val="5C6173BF"/>
    <w:rsid w:val="5C763BF7"/>
    <w:rsid w:val="5C7F0CFE"/>
    <w:rsid w:val="5C8C64ED"/>
    <w:rsid w:val="5C952BE1"/>
    <w:rsid w:val="5C972F0A"/>
    <w:rsid w:val="5CA2679A"/>
    <w:rsid w:val="5CA51446"/>
    <w:rsid w:val="5CCE57E1"/>
    <w:rsid w:val="5D1B7FA1"/>
    <w:rsid w:val="5D1C1351"/>
    <w:rsid w:val="5D213B63"/>
    <w:rsid w:val="5D244CC0"/>
    <w:rsid w:val="5D2E002E"/>
    <w:rsid w:val="5D3D080A"/>
    <w:rsid w:val="5D6471C8"/>
    <w:rsid w:val="5D762E2E"/>
    <w:rsid w:val="5D777AC6"/>
    <w:rsid w:val="5D870C80"/>
    <w:rsid w:val="5D9244DA"/>
    <w:rsid w:val="5D9469AF"/>
    <w:rsid w:val="5D9E7A3B"/>
    <w:rsid w:val="5DA36C6E"/>
    <w:rsid w:val="5DB1191C"/>
    <w:rsid w:val="5DB276BD"/>
    <w:rsid w:val="5DDC3F2E"/>
    <w:rsid w:val="5DE3706A"/>
    <w:rsid w:val="5DEC04D2"/>
    <w:rsid w:val="5DF03535"/>
    <w:rsid w:val="5E17774A"/>
    <w:rsid w:val="5E1824AD"/>
    <w:rsid w:val="5E327FF5"/>
    <w:rsid w:val="5E3646E2"/>
    <w:rsid w:val="5E424EEC"/>
    <w:rsid w:val="5E691DFC"/>
    <w:rsid w:val="5E8C5954"/>
    <w:rsid w:val="5E903FEC"/>
    <w:rsid w:val="5E937324"/>
    <w:rsid w:val="5E9842F9"/>
    <w:rsid w:val="5EA47457"/>
    <w:rsid w:val="5EB662D8"/>
    <w:rsid w:val="5EE74938"/>
    <w:rsid w:val="5F07515C"/>
    <w:rsid w:val="5F2466BD"/>
    <w:rsid w:val="5F385DC0"/>
    <w:rsid w:val="5F431FB4"/>
    <w:rsid w:val="5F583E8D"/>
    <w:rsid w:val="5F781A34"/>
    <w:rsid w:val="5F797C86"/>
    <w:rsid w:val="5F8328B3"/>
    <w:rsid w:val="5FAB0CC9"/>
    <w:rsid w:val="5FAF63FA"/>
    <w:rsid w:val="5FB00725"/>
    <w:rsid w:val="5FBF1411"/>
    <w:rsid w:val="5FCA04E2"/>
    <w:rsid w:val="5FDB24ED"/>
    <w:rsid w:val="5FE43AA1"/>
    <w:rsid w:val="5FED5F7E"/>
    <w:rsid w:val="5FFB71A9"/>
    <w:rsid w:val="6009640A"/>
    <w:rsid w:val="60167262"/>
    <w:rsid w:val="602048C3"/>
    <w:rsid w:val="602776E2"/>
    <w:rsid w:val="60310499"/>
    <w:rsid w:val="6065020A"/>
    <w:rsid w:val="606D384C"/>
    <w:rsid w:val="606D4B2C"/>
    <w:rsid w:val="6079327F"/>
    <w:rsid w:val="607A05CC"/>
    <w:rsid w:val="608F7975"/>
    <w:rsid w:val="60954032"/>
    <w:rsid w:val="60965ED5"/>
    <w:rsid w:val="609D79A4"/>
    <w:rsid w:val="60B44864"/>
    <w:rsid w:val="60B55C5B"/>
    <w:rsid w:val="60C972D7"/>
    <w:rsid w:val="60E00B83"/>
    <w:rsid w:val="60E9572D"/>
    <w:rsid w:val="60EE010F"/>
    <w:rsid w:val="60EF52F0"/>
    <w:rsid w:val="61001A86"/>
    <w:rsid w:val="61310734"/>
    <w:rsid w:val="61417EA8"/>
    <w:rsid w:val="616029BF"/>
    <w:rsid w:val="617167E5"/>
    <w:rsid w:val="61824D77"/>
    <w:rsid w:val="6189688B"/>
    <w:rsid w:val="619A0388"/>
    <w:rsid w:val="61A77FF5"/>
    <w:rsid w:val="61A817F9"/>
    <w:rsid w:val="61C05134"/>
    <w:rsid w:val="621663F0"/>
    <w:rsid w:val="621A1343"/>
    <w:rsid w:val="62261C1B"/>
    <w:rsid w:val="622639C9"/>
    <w:rsid w:val="62356AB5"/>
    <w:rsid w:val="624C78D4"/>
    <w:rsid w:val="62705184"/>
    <w:rsid w:val="62755B38"/>
    <w:rsid w:val="62854B94"/>
    <w:rsid w:val="628D57F7"/>
    <w:rsid w:val="628E2B9F"/>
    <w:rsid w:val="6293593A"/>
    <w:rsid w:val="629506A5"/>
    <w:rsid w:val="62CE02E9"/>
    <w:rsid w:val="62DB7FC1"/>
    <w:rsid w:val="62DF3200"/>
    <w:rsid w:val="62E33F8B"/>
    <w:rsid w:val="62EF200D"/>
    <w:rsid w:val="62F51CD7"/>
    <w:rsid w:val="62FC52B5"/>
    <w:rsid w:val="63065CD5"/>
    <w:rsid w:val="630C7063"/>
    <w:rsid w:val="63136309"/>
    <w:rsid w:val="631745D0"/>
    <w:rsid w:val="631D313E"/>
    <w:rsid w:val="632545C6"/>
    <w:rsid w:val="633421CB"/>
    <w:rsid w:val="63407618"/>
    <w:rsid w:val="634764AA"/>
    <w:rsid w:val="63481296"/>
    <w:rsid w:val="635604BB"/>
    <w:rsid w:val="635F2E0A"/>
    <w:rsid w:val="637214ED"/>
    <w:rsid w:val="638135AD"/>
    <w:rsid w:val="638A2418"/>
    <w:rsid w:val="6394724E"/>
    <w:rsid w:val="63A30F39"/>
    <w:rsid w:val="63B854D2"/>
    <w:rsid w:val="63C8749A"/>
    <w:rsid w:val="63F6661D"/>
    <w:rsid w:val="640F1388"/>
    <w:rsid w:val="64243F39"/>
    <w:rsid w:val="642A7421"/>
    <w:rsid w:val="6430137C"/>
    <w:rsid w:val="64504D2E"/>
    <w:rsid w:val="64590086"/>
    <w:rsid w:val="6477274E"/>
    <w:rsid w:val="64836D12"/>
    <w:rsid w:val="649C59BD"/>
    <w:rsid w:val="64A013C0"/>
    <w:rsid w:val="64A612F5"/>
    <w:rsid w:val="64A87BFB"/>
    <w:rsid w:val="64B07E23"/>
    <w:rsid w:val="64B957DA"/>
    <w:rsid w:val="64BC23C3"/>
    <w:rsid w:val="64D35E8F"/>
    <w:rsid w:val="64E50DEF"/>
    <w:rsid w:val="64F658D5"/>
    <w:rsid w:val="64F909E0"/>
    <w:rsid w:val="64FA6308"/>
    <w:rsid w:val="650C334B"/>
    <w:rsid w:val="65246683"/>
    <w:rsid w:val="652865DA"/>
    <w:rsid w:val="6533459F"/>
    <w:rsid w:val="653A14B1"/>
    <w:rsid w:val="653E6286"/>
    <w:rsid w:val="65411D7B"/>
    <w:rsid w:val="6551131C"/>
    <w:rsid w:val="655B1FE0"/>
    <w:rsid w:val="656B2A5D"/>
    <w:rsid w:val="656C5B97"/>
    <w:rsid w:val="65A72BCB"/>
    <w:rsid w:val="65A84620"/>
    <w:rsid w:val="65B01973"/>
    <w:rsid w:val="65C14BBC"/>
    <w:rsid w:val="65C47431"/>
    <w:rsid w:val="65CA33F6"/>
    <w:rsid w:val="65CF619B"/>
    <w:rsid w:val="65E676F8"/>
    <w:rsid w:val="65EB2CDF"/>
    <w:rsid w:val="66024CEF"/>
    <w:rsid w:val="66027D74"/>
    <w:rsid w:val="66056DC4"/>
    <w:rsid w:val="661F21B5"/>
    <w:rsid w:val="66252916"/>
    <w:rsid w:val="664E1755"/>
    <w:rsid w:val="66540B05"/>
    <w:rsid w:val="66852B41"/>
    <w:rsid w:val="66911D59"/>
    <w:rsid w:val="6698272C"/>
    <w:rsid w:val="66A451D6"/>
    <w:rsid w:val="66A5100F"/>
    <w:rsid w:val="66A577BE"/>
    <w:rsid w:val="66A80288"/>
    <w:rsid w:val="66CA6014"/>
    <w:rsid w:val="66D257C3"/>
    <w:rsid w:val="66D923D5"/>
    <w:rsid w:val="66D93337"/>
    <w:rsid w:val="66EA1469"/>
    <w:rsid w:val="66EC39AE"/>
    <w:rsid w:val="66F64C24"/>
    <w:rsid w:val="67042F69"/>
    <w:rsid w:val="6723649D"/>
    <w:rsid w:val="67340937"/>
    <w:rsid w:val="6741501F"/>
    <w:rsid w:val="67566AFF"/>
    <w:rsid w:val="67584625"/>
    <w:rsid w:val="67695C49"/>
    <w:rsid w:val="67967E36"/>
    <w:rsid w:val="67AD287C"/>
    <w:rsid w:val="67C73559"/>
    <w:rsid w:val="67D55C76"/>
    <w:rsid w:val="67D8681C"/>
    <w:rsid w:val="67DE5827"/>
    <w:rsid w:val="67E332FF"/>
    <w:rsid w:val="67E72BA6"/>
    <w:rsid w:val="67F3602B"/>
    <w:rsid w:val="67FC20B9"/>
    <w:rsid w:val="68014C8E"/>
    <w:rsid w:val="68294213"/>
    <w:rsid w:val="682F79F4"/>
    <w:rsid w:val="68342513"/>
    <w:rsid w:val="68365042"/>
    <w:rsid w:val="689B4136"/>
    <w:rsid w:val="68E65681"/>
    <w:rsid w:val="68F55EA4"/>
    <w:rsid w:val="69020CEC"/>
    <w:rsid w:val="69077393"/>
    <w:rsid w:val="69110F2F"/>
    <w:rsid w:val="69133908"/>
    <w:rsid w:val="693164DE"/>
    <w:rsid w:val="695357DB"/>
    <w:rsid w:val="696E2FB7"/>
    <w:rsid w:val="69820EBA"/>
    <w:rsid w:val="69823203"/>
    <w:rsid w:val="69886D18"/>
    <w:rsid w:val="69F12112"/>
    <w:rsid w:val="69FA5C6B"/>
    <w:rsid w:val="6A0942FC"/>
    <w:rsid w:val="6A1432CD"/>
    <w:rsid w:val="6A1B2C1B"/>
    <w:rsid w:val="6A1D4918"/>
    <w:rsid w:val="6A1D4CFD"/>
    <w:rsid w:val="6A2368F6"/>
    <w:rsid w:val="6A275173"/>
    <w:rsid w:val="6A281E10"/>
    <w:rsid w:val="6A303637"/>
    <w:rsid w:val="6A3A15FB"/>
    <w:rsid w:val="6A4A1958"/>
    <w:rsid w:val="6A6A76A6"/>
    <w:rsid w:val="6A6C50DB"/>
    <w:rsid w:val="6A7A48B2"/>
    <w:rsid w:val="6A7C5A45"/>
    <w:rsid w:val="6A8353C1"/>
    <w:rsid w:val="6A886231"/>
    <w:rsid w:val="6A8D4C38"/>
    <w:rsid w:val="6A9A5C09"/>
    <w:rsid w:val="6AA33E09"/>
    <w:rsid w:val="6AAC4FC0"/>
    <w:rsid w:val="6AAE1940"/>
    <w:rsid w:val="6AB202D3"/>
    <w:rsid w:val="6AC344AB"/>
    <w:rsid w:val="6AC84883"/>
    <w:rsid w:val="6AD05E08"/>
    <w:rsid w:val="6AD40467"/>
    <w:rsid w:val="6AF05B8E"/>
    <w:rsid w:val="6AF40B09"/>
    <w:rsid w:val="6AF428B7"/>
    <w:rsid w:val="6AFB1E97"/>
    <w:rsid w:val="6B0A63C1"/>
    <w:rsid w:val="6B2B0085"/>
    <w:rsid w:val="6B3233DF"/>
    <w:rsid w:val="6B38327E"/>
    <w:rsid w:val="6B3A1DBD"/>
    <w:rsid w:val="6B4D1335"/>
    <w:rsid w:val="6B6630F6"/>
    <w:rsid w:val="6B767770"/>
    <w:rsid w:val="6B77103C"/>
    <w:rsid w:val="6BAA1CBE"/>
    <w:rsid w:val="6BD447B7"/>
    <w:rsid w:val="6BE64EB6"/>
    <w:rsid w:val="6BEA3CBA"/>
    <w:rsid w:val="6C07085B"/>
    <w:rsid w:val="6C0C1E82"/>
    <w:rsid w:val="6C1D7BEB"/>
    <w:rsid w:val="6C2748D5"/>
    <w:rsid w:val="6C2E5427"/>
    <w:rsid w:val="6C335A59"/>
    <w:rsid w:val="6C3513D9"/>
    <w:rsid w:val="6C3A254B"/>
    <w:rsid w:val="6C4E249B"/>
    <w:rsid w:val="6C79329D"/>
    <w:rsid w:val="6C7B0C43"/>
    <w:rsid w:val="6C844C00"/>
    <w:rsid w:val="6C953C5B"/>
    <w:rsid w:val="6C9E06E8"/>
    <w:rsid w:val="6CA46CEA"/>
    <w:rsid w:val="6CA634C9"/>
    <w:rsid w:val="6CAE6A95"/>
    <w:rsid w:val="6CD21A7E"/>
    <w:rsid w:val="6CD5667D"/>
    <w:rsid w:val="6CD87736"/>
    <w:rsid w:val="6CDA220D"/>
    <w:rsid w:val="6CE5168F"/>
    <w:rsid w:val="6CFA6474"/>
    <w:rsid w:val="6CFD6CF2"/>
    <w:rsid w:val="6D025A3B"/>
    <w:rsid w:val="6D0E0F5A"/>
    <w:rsid w:val="6D140FEE"/>
    <w:rsid w:val="6D1E1A41"/>
    <w:rsid w:val="6D230157"/>
    <w:rsid w:val="6D2A0812"/>
    <w:rsid w:val="6D9826DD"/>
    <w:rsid w:val="6D9F6AB1"/>
    <w:rsid w:val="6DAA54AF"/>
    <w:rsid w:val="6DB4632D"/>
    <w:rsid w:val="6DBF0F5B"/>
    <w:rsid w:val="6DD6725B"/>
    <w:rsid w:val="6DDC4D55"/>
    <w:rsid w:val="6DEE7A91"/>
    <w:rsid w:val="6DFC4EF8"/>
    <w:rsid w:val="6DFE040A"/>
    <w:rsid w:val="6E002155"/>
    <w:rsid w:val="6E071765"/>
    <w:rsid w:val="6E0F12B3"/>
    <w:rsid w:val="6E1B015A"/>
    <w:rsid w:val="6E2056EF"/>
    <w:rsid w:val="6E2D119A"/>
    <w:rsid w:val="6E3A7D92"/>
    <w:rsid w:val="6E645FA5"/>
    <w:rsid w:val="6E9C573F"/>
    <w:rsid w:val="6E9F1708"/>
    <w:rsid w:val="6EBF7B30"/>
    <w:rsid w:val="6EDC734A"/>
    <w:rsid w:val="6EDE5F06"/>
    <w:rsid w:val="6EE140CC"/>
    <w:rsid w:val="6EF90AB4"/>
    <w:rsid w:val="6F003914"/>
    <w:rsid w:val="6F1C062E"/>
    <w:rsid w:val="6F3400A6"/>
    <w:rsid w:val="6F424120"/>
    <w:rsid w:val="6F5163D3"/>
    <w:rsid w:val="6F6A54D1"/>
    <w:rsid w:val="6F810491"/>
    <w:rsid w:val="6F8D0CAB"/>
    <w:rsid w:val="6FD802ED"/>
    <w:rsid w:val="6FE1063B"/>
    <w:rsid w:val="6FE729EA"/>
    <w:rsid w:val="6FEB735C"/>
    <w:rsid w:val="70027824"/>
    <w:rsid w:val="70063C83"/>
    <w:rsid w:val="7012325C"/>
    <w:rsid w:val="701F5CFD"/>
    <w:rsid w:val="702849CF"/>
    <w:rsid w:val="702A5176"/>
    <w:rsid w:val="702F13E2"/>
    <w:rsid w:val="70310109"/>
    <w:rsid w:val="70364491"/>
    <w:rsid w:val="70441AE5"/>
    <w:rsid w:val="704B7B13"/>
    <w:rsid w:val="704E60CB"/>
    <w:rsid w:val="70583169"/>
    <w:rsid w:val="7058394F"/>
    <w:rsid w:val="706109EE"/>
    <w:rsid w:val="706978A3"/>
    <w:rsid w:val="7074517E"/>
    <w:rsid w:val="70950134"/>
    <w:rsid w:val="70A00D12"/>
    <w:rsid w:val="70B41C29"/>
    <w:rsid w:val="70BF3967"/>
    <w:rsid w:val="70CC17B1"/>
    <w:rsid w:val="70F23777"/>
    <w:rsid w:val="71041173"/>
    <w:rsid w:val="7108289A"/>
    <w:rsid w:val="710C63D8"/>
    <w:rsid w:val="712620A5"/>
    <w:rsid w:val="713B64AC"/>
    <w:rsid w:val="714460AD"/>
    <w:rsid w:val="714A1495"/>
    <w:rsid w:val="719B22AD"/>
    <w:rsid w:val="71A31776"/>
    <w:rsid w:val="71D73424"/>
    <w:rsid w:val="71D90A58"/>
    <w:rsid w:val="71E55456"/>
    <w:rsid w:val="71F4616D"/>
    <w:rsid w:val="71F47640"/>
    <w:rsid w:val="71FD4747"/>
    <w:rsid w:val="720B6F22"/>
    <w:rsid w:val="720F7FD6"/>
    <w:rsid w:val="7211605A"/>
    <w:rsid w:val="72164EB1"/>
    <w:rsid w:val="72244253"/>
    <w:rsid w:val="72493B56"/>
    <w:rsid w:val="72571D56"/>
    <w:rsid w:val="727C5926"/>
    <w:rsid w:val="72925790"/>
    <w:rsid w:val="72A252EE"/>
    <w:rsid w:val="72CD5634"/>
    <w:rsid w:val="72F5662B"/>
    <w:rsid w:val="7306762B"/>
    <w:rsid w:val="730F7282"/>
    <w:rsid w:val="7322206F"/>
    <w:rsid w:val="733D32B6"/>
    <w:rsid w:val="735E49EE"/>
    <w:rsid w:val="736B6686"/>
    <w:rsid w:val="737261B5"/>
    <w:rsid w:val="73825B44"/>
    <w:rsid w:val="738A2105"/>
    <w:rsid w:val="73951FDA"/>
    <w:rsid w:val="73A40A4D"/>
    <w:rsid w:val="73B26366"/>
    <w:rsid w:val="73B61051"/>
    <w:rsid w:val="73BB6668"/>
    <w:rsid w:val="73CB6815"/>
    <w:rsid w:val="73D94D40"/>
    <w:rsid w:val="73F336CD"/>
    <w:rsid w:val="73FB5C47"/>
    <w:rsid w:val="741A587D"/>
    <w:rsid w:val="741D2E7E"/>
    <w:rsid w:val="741F2EC0"/>
    <w:rsid w:val="742757B5"/>
    <w:rsid w:val="7435756D"/>
    <w:rsid w:val="745D6472"/>
    <w:rsid w:val="745E0C8F"/>
    <w:rsid w:val="74604B19"/>
    <w:rsid w:val="747254F0"/>
    <w:rsid w:val="747B2D9D"/>
    <w:rsid w:val="74851F12"/>
    <w:rsid w:val="748A197C"/>
    <w:rsid w:val="749869A9"/>
    <w:rsid w:val="74A770F2"/>
    <w:rsid w:val="74AF10D9"/>
    <w:rsid w:val="74BC6ED8"/>
    <w:rsid w:val="75051799"/>
    <w:rsid w:val="751F6782"/>
    <w:rsid w:val="75224E50"/>
    <w:rsid w:val="75377803"/>
    <w:rsid w:val="755068FB"/>
    <w:rsid w:val="75523B0A"/>
    <w:rsid w:val="75543799"/>
    <w:rsid w:val="75581306"/>
    <w:rsid w:val="756036A9"/>
    <w:rsid w:val="75654242"/>
    <w:rsid w:val="75752846"/>
    <w:rsid w:val="757B6DFF"/>
    <w:rsid w:val="759B3205"/>
    <w:rsid w:val="759C6025"/>
    <w:rsid w:val="75A138C3"/>
    <w:rsid w:val="75C13CDD"/>
    <w:rsid w:val="75E06D33"/>
    <w:rsid w:val="760B6D06"/>
    <w:rsid w:val="7613329E"/>
    <w:rsid w:val="76182B1D"/>
    <w:rsid w:val="761C7166"/>
    <w:rsid w:val="76233B13"/>
    <w:rsid w:val="762F6E99"/>
    <w:rsid w:val="763174AC"/>
    <w:rsid w:val="76381DCF"/>
    <w:rsid w:val="76391AC6"/>
    <w:rsid w:val="765A35D1"/>
    <w:rsid w:val="76783F89"/>
    <w:rsid w:val="76870B12"/>
    <w:rsid w:val="768B2F04"/>
    <w:rsid w:val="76923037"/>
    <w:rsid w:val="769C7C7E"/>
    <w:rsid w:val="76A17786"/>
    <w:rsid w:val="76AE5F38"/>
    <w:rsid w:val="76AE667E"/>
    <w:rsid w:val="76DA25E4"/>
    <w:rsid w:val="76DC16D5"/>
    <w:rsid w:val="76E934EC"/>
    <w:rsid w:val="76F63E69"/>
    <w:rsid w:val="76FF0666"/>
    <w:rsid w:val="770277DC"/>
    <w:rsid w:val="771B48C8"/>
    <w:rsid w:val="77267C25"/>
    <w:rsid w:val="775F6EEC"/>
    <w:rsid w:val="77620CA2"/>
    <w:rsid w:val="776641CA"/>
    <w:rsid w:val="77856A97"/>
    <w:rsid w:val="779669F7"/>
    <w:rsid w:val="779D522A"/>
    <w:rsid w:val="77A00A90"/>
    <w:rsid w:val="77A45665"/>
    <w:rsid w:val="77B96D29"/>
    <w:rsid w:val="77D73344"/>
    <w:rsid w:val="77EA56F8"/>
    <w:rsid w:val="77EB4BA0"/>
    <w:rsid w:val="77FE421B"/>
    <w:rsid w:val="78182AAB"/>
    <w:rsid w:val="78197E01"/>
    <w:rsid w:val="78280761"/>
    <w:rsid w:val="785D7F1F"/>
    <w:rsid w:val="785F4137"/>
    <w:rsid w:val="7860158C"/>
    <w:rsid w:val="787D7008"/>
    <w:rsid w:val="78840EAC"/>
    <w:rsid w:val="78882890"/>
    <w:rsid w:val="78A010A0"/>
    <w:rsid w:val="78E57335"/>
    <w:rsid w:val="78F529CF"/>
    <w:rsid w:val="790F4D60"/>
    <w:rsid w:val="79112886"/>
    <w:rsid w:val="79164B7B"/>
    <w:rsid w:val="79267FE4"/>
    <w:rsid w:val="79437415"/>
    <w:rsid w:val="79637582"/>
    <w:rsid w:val="7991445D"/>
    <w:rsid w:val="799257C0"/>
    <w:rsid w:val="79934C52"/>
    <w:rsid w:val="79953CD2"/>
    <w:rsid w:val="79BB4891"/>
    <w:rsid w:val="79BF0534"/>
    <w:rsid w:val="79DD32D8"/>
    <w:rsid w:val="7A071229"/>
    <w:rsid w:val="7A1268B5"/>
    <w:rsid w:val="7A202934"/>
    <w:rsid w:val="7A385B78"/>
    <w:rsid w:val="7A4A0BA7"/>
    <w:rsid w:val="7A4F60BF"/>
    <w:rsid w:val="7A6335B5"/>
    <w:rsid w:val="7A645338"/>
    <w:rsid w:val="7A741385"/>
    <w:rsid w:val="7A7619BB"/>
    <w:rsid w:val="7A7A5481"/>
    <w:rsid w:val="7A85177D"/>
    <w:rsid w:val="7A886AE9"/>
    <w:rsid w:val="7A917878"/>
    <w:rsid w:val="7A960FFF"/>
    <w:rsid w:val="7A982578"/>
    <w:rsid w:val="7AA54114"/>
    <w:rsid w:val="7ACB099E"/>
    <w:rsid w:val="7AD24D3F"/>
    <w:rsid w:val="7AE617A5"/>
    <w:rsid w:val="7B05641A"/>
    <w:rsid w:val="7B094AFA"/>
    <w:rsid w:val="7B1968AC"/>
    <w:rsid w:val="7B203254"/>
    <w:rsid w:val="7B222CF8"/>
    <w:rsid w:val="7B2E0666"/>
    <w:rsid w:val="7B3506D7"/>
    <w:rsid w:val="7B3D58BD"/>
    <w:rsid w:val="7B4909FD"/>
    <w:rsid w:val="7B4C4049"/>
    <w:rsid w:val="7B515C65"/>
    <w:rsid w:val="7B525906"/>
    <w:rsid w:val="7B5B4B25"/>
    <w:rsid w:val="7B5D1DB2"/>
    <w:rsid w:val="7B5F7245"/>
    <w:rsid w:val="7B626210"/>
    <w:rsid w:val="7B946908"/>
    <w:rsid w:val="7B9A508C"/>
    <w:rsid w:val="7BA12AA5"/>
    <w:rsid w:val="7BCE25D2"/>
    <w:rsid w:val="7BE81A4F"/>
    <w:rsid w:val="7BE92EDF"/>
    <w:rsid w:val="7BF95CB1"/>
    <w:rsid w:val="7C07075B"/>
    <w:rsid w:val="7C0949BB"/>
    <w:rsid w:val="7C23124E"/>
    <w:rsid w:val="7C273B24"/>
    <w:rsid w:val="7C2A0D49"/>
    <w:rsid w:val="7C352C27"/>
    <w:rsid w:val="7C5238E1"/>
    <w:rsid w:val="7C572CA5"/>
    <w:rsid w:val="7C58283D"/>
    <w:rsid w:val="7C732D8D"/>
    <w:rsid w:val="7C745CB3"/>
    <w:rsid w:val="7C783B28"/>
    <w:rsid w:val="7C9A73EA"/>
    <w:rsid w:val="7CA71080"/>
    <w:rsid w:val="7CB21AB9"/>
    <w:rsid w:val="7CB57765"/>
    <w:rsid w:val="7CBB3DFB"/>
    <w:rsid w:val="7CC94246"/>
    <w:rsid w:val="7CE16A13"/>
    <w:rsid w:val="7CE45D1E"/>
    <w:rsid w:val="7CF15E11"/>
    <w:rsid w:val="7D0666F8"/>
    <w:rsid w:val="7D1E02D6"/>
    <w:rsid w:val="7D3A25C1"/>
    <w:rsid w:val="7D3E79C1"/>
    <w:rsid w:val="7D424CD4"/>
    <w:rsid w:val="7D433319"/>
    <w:rsid w:val="7D5D1379"/>
    <w:rsid w:val="7D692C90"/>
    <w:rsid w:val="7D7A50AB"/>
    <w:rsid w:val="7D7E3022"/>
    <w:rsid w:val="7D814CF3"/>
    <w:rsid w:val="7D893333"/>
    <w:rsid w:val="7D8B7D13"/>
    <w:rsid w:val="7D9046C1"/>
    <w:rsid w:val="7DB77B6C"/>
    <w:rsid w:val="7DBF3829"/>
    <w:rsid w:val="7DE95B7F"/>
    <w:rsid w:val="7DEF0473"/>
    <w:rsid w:val="7E062BD5"/>
    <w:rsid w:val="7E0F7981"/>
    <w:rsid w:val="7E12157A"/>
    <w:rsid w:val="7E1C5F55"/>
    <w:rsid w:val="7E2272E3"/>
    <w:rsid w:val="7E323C6E"/>
    <w:rsid w:val="7E42470C"/>
    <w:rsid w:val="7E5A082B"/>
    <w:rsid w:val="7E693ED2"/>
    <w:rsid w:val="7E726CBF"/>
    <w:rsid w:val="7E786F03"/>
    <w:rsid w:val="7E7E752A"/>
    <w:rsid w:val="7E7F16EA"/>
    <w:rsid w:val="7E8277FD"/>
    <w:rsid w:val="7EA84DB0"/>
    <w:rsid w:val="7EAA0F43"/>
    <w:rsid w:val="7EBD029B"/>
    <w:rsid w:val="7EC33529"/>
    <w:rsid w:val="7EEF3F71"/>
    <w:rsid w:val="7EFE007A"/>
    <w:rsid w:val="7F0D6FAB"/>
    <w:rsid w:val="7F275E1B"/>
    <w:rsid w:val="7F306AF6"/>
    <w:rsid w:val="7F3A5573"/>
    <w:rsid w:val="7F3D6C8E"/>
    <w:rsid w:val="7F4219EB"/>
    <w:rsid w:val="7F635527"/>
    <w:rsid w:val="7F7141D8"/>
    <w:rsid w:val="7F734767"/>
    <w:rsid w:val="7F7C244E"/>
    <w:rsid w:val="7FB1697A"/>
    <w:rsid w:val="7FB5609A"/>
    <w:rsid w:val="7FBD72C3"/>
    <w:rsid w:val="7FCA19E0"/>
    <w:rsid w:val="7FD60385"/>
    <w:rsid w:val="7FDC1E3F"/>
    <w:rsid w:val="7FF302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tabs>
        <w:tab w:val="left" w:pos="1800"/>
      </w:tabs>
      <w:adjustRightInd w:val="0"/>
      <w:spacing w:before="340" w:after="330" w:line="578" w:lineRule="atLeast"/>
      <w:ind w:left="1110" w:hanging="1110"/>
      <w:jc w:val="center"/>
      <w:textAlignment w:val="baseline"/>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qFormat/>
    <w:uiPriority w:val="0"/>
    <w:pPr>
      <w:keepNext/>
      <w:keepLines/>
      <w:spacing w:before="260" w:after="260" w:line="416" w:lineRule="auto"/>
      <w:outlineLvl w:val="2"/>
    </w:pPr>
    <w:rPr>
      <w:b/>
      <w:sz w:val="32"/>
    </w:rPr>
  </w:style>
  <w:style w:type="paragraph" w:styleId="5">
    <w:name w:val="heading 4"/>
    <w:basedOn w:val="1"/>
    <w:next w:val="1"/>
    <w:qFormat/>
    <w:uiPriority w:val="0"/>
    <w:pPr>
      <w:keepNext/>
      <w:keepLines/>
      <w:adjustRightInd w:val="0"/>
      <w:spacing w:before="280" w:after="290" w:line="376" w:lineRule="atLeast"/>
      <w:outlineLvl w:val="3"/>
    </w:pPr>
    <w:rPr>
      <w:rFonts w:ascii="Arial" w:hAnsi="Arial" w:eastAsia="黑体"/>
      <w:b/>
      <w:kern w:val="0"/>
      <w:sz w:val="28"/>
    </w:rPr>
  </w:style>
  <w:style w:type="paragraph" w:styleId="6">
    <w:name w:val="heading 5"/>
    <w:basedOn w:val="1"/>
    <w:next w:val="1"/>
    <w:unhideWhenUsed/>
    <w:qFormat/>
    <w:uiPriority w:val="9"/>
    <w:pPr>
      <w:keepNext/>
      <w:keepLines/>
      <w:spacing w:before="280" w:after="290" w:line="376" w:lineRule="auto"/>
      <w:outlineLvl w:val="4"/>
    </w:pPr>
    <w:rPr>
      <w:b/>
      <w:bCs/>
      <w:szCs w:val="28"/>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pPr>
  </w:style>
  <w:style w:type="paragraph" w:styleId="8">
    <w:name w:val="Document Map"/>
    <w:basedOn w:val="1"/>
    <w:semiHidden/>
    <w:qFormat/>
    <w:uiPriority w:val="0"/>
    <w:pPr>
      <w:shd w:val="clear" w:color="auto" w:fill="000080"/>
    </w:p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link w:val="44"/>
    <w:unhideWhenUsed/>
    <w:qFormat/>
    <w:uiPriority w:val="0"/>
    <w:pPr>
      <w:jc w:val="left"/>
    </w:pPr>
    <w:rPr>
      <w:szCs w:val="22"/>
    </w:rPr>
  </w:style>
  <w:style w:type="paragraph" w:styleId="11">
    <w:name w:val="Body Text 3"/>
    <w:basedOn w:val="1"/>
    <w:qFormat/>
    <w:uiPriority w:val="0"/>
    <w:pPr>
      <w:spacing w:after="120"/>
    </w:pPr>
    <w:rPr>
      <w:sz w:val="16"/>
      <w:szCs w:val="16"/>
    </w:rPr>
  </w:style>
  <w:style w:type="paragraph" w:styleId="12">
    <w:name w:val="Body Text"/>
    <w:basedOn w:val="1"/>
    <w:next w:val="1"/>
    <w:link w:val="45"/>
    <w:qFormat/>
    <w:uiPriority w:val="0"/>
    <w:rPr>
      <w:i/>
      <w:sz w:val="18"/>
    </w:rPr>
  </w:style>
  <w:style w:type="paragraph" w:styleId="13">
    <w:name w:val="Body Text Indent"/>
    <w:basedOn w:val="1"/>
    <w:link w:val="46"/>
    <w:qFormat/>
    <w:uiPriority w:val="0"/>
    <w:pPr>
      <w:spacing w:line="380" w:lineRule="exact"/>
      <w:ind w:firstLine="480"/>
    </w:pPr>
    <w:rPr>
      <w:rFonts w:eastAsia="方正书宋简体"/>
      <w:sz w:val="24"/>
    </w:rPr>
  </w:style>
  <w:style w:type="paragraph" w:styleId="14">
    <w:name w:val="toc 3"/>
    <w:basedOn w:val="1"/>
    <w:next w:val="1"/>
    <w:semiHidden/>
    <w:qFormat/>
    <w:uiPriority w:val="0"/>
    <w:pPr>
      <w:ind w:left="840" w:leftChars="400"/>
    </w:pPr>
  </w:style>
  <w:style w:type="paragraph" w:styleId="15">
    <w:name w:val="Plain Text"/>
    <w:basedOn w:val="1"/>
    <w:next w:val="1"/>
    <w:link w:val="47"/>
    <w:qFormat/>
    <w:uiPriority w:val="99"/>
    <w:rPr>
      <w:rFonts w:ascii="宋体" w:hAnsi="Courier New" w:cs="Courier New"/>
      <w:szCs w:val="21"/>
    </w:rPr>
  </w:style>
  <w:style w:type="paragraph" w:styleId="16">
    <w:name w:val="toc 8"/>
    <w:basedOn w:val="1"/>
    <w:next w:val="1"/>
    <w:unhideWhenUsed/>
    <w:qFormat/>
    <w:uiPriority w:val="0"/>
    <w:pPr>
      <w:ind w:left="2940" w:leftChars="1400"/>
    </w:pPr>
  </w:style>
  <w:style w:type="paragraph" w:styleId="17">
    <w:name w:val="Date"/>
    <w:basedOn w:val="1"/>
    <w:next w:val="1"/>
    <w:qFormat/>
    <w:uiPriority w:val="0"/>
    <w:pPr>
      <w:adjustRightInd w:val="0"/>
      <w:spacing w:line="312" w:lineRule="atLeast"/>
      <w:jc w:val="right"/>
      <w:textAlignment w:val="baseline"/>
    </w:pPr>
    <w:rPr>
      <w:rFonts w:ascii="宋体"/>
      <w:kern w:val="0"/>
      <w:sz w:val="24"/>
    </w:rPr>
  </w:style>
  <w:style w:type="paragraph" w:styleId="18">
    <w:name w:val="Body Text Indent 2"/>
    <w:basedOn w:val="1"/>
    <w:qFormat/>
    <w:uiPriority w:val="0"/>
    <w:pPr>
      <w:widowControl/>
      <w:ind w:left="1215"/>
      <w:jc w:val="left"/>
    </w:pPr>
    <w:rPr>
      <w:kern w:val="0"/>
      <w:sz w:val="24"/>
    </w:rPr>
  </w:style>
  <w:style w:type="paragraph" w:styleId="19">
    <w:name w:val="Balloon Text"/>
    <w:basedOn w:val="1"/>
    <w:semiHidden/>
    <w:qFormat/>
    <w:uiPriority w:val="0"/>
    <w:rPr>
      <w:sz w:val="18"/>
      <w:szCs w:val="18"/>
    </w:rPr>
  </w:style>
  <w:style w:type="paragraph" w:styleId="20">
    <w:name w:val="footer"/>
    <w:basedOn w:val="1"/>
    <w:link w:val="48"/>
    <w:qFormat/>
    <w:uiPriority w:val="0"/>
    <w:pPr>
      <w:tabs>
        <w:tab w:val="center" w:pos="4153"/>
        <w:tab w:val="right" w:pos="8306"/>
      </w:tabs>
      <w:snapToGrid w:val="0"/>
      <w:jc w:val="left"/>
    </w:pPr>
    <w:rPr>
      <w:sz w:val="18"/>
    </w:rPr>
  </w:style>
  <w:style w:type="paragraph" w:styleId="21">
    <w:name w:val="header"/>
    <w:basedOn w:val="1"/>
    <w:link w:val="49"/>
    <w:qFormat/>
    <w:uiPriority w:val="0"/>
    <w:pPr>
      <w:pBdr>
        <w:bottom w:val="single" w:color="auto" w:sz="6" w:space="1"/>
      </w:pBdr>
      <w:tabs>
        <w:tab w:val="center" w:pos="4153"/>
        <w:tab w:val="right" w:pos="8306"/>
      </w:tabs>
      <w:snapToGrid w:val="0"/>
      <w:jc w:val="center"/>
    </w:pPr>
    <w:rPr>
      <w:sz w:val="18"/>
    </w:rPr>
  </w:style>
  <w:style w:type="paragraph" w:styleId="22">
    <w:name w:val="Subtitle"/>
    <w:basedOn w:val="1"/>
    <w:next w:val="1"/>
    <w:qFormat/>
    <w:uiPriority w:val="0"/>
    <w:pPr>
      <w:spacing w:before="60" w:after="60"/>
      <w:jc w:val="left"/>
      <w:outlineLvl w:val="1"/>
    </w:pPr>
    <w:rPr>
      <w:rFonts w:ascii="等线 Light" w:hAnsi="等线 Light" w:eastAsia="楷体"/>
      <w:bCs/>
      <w:kern w:val="28"/>
      <w:szCs w:val="32"/>
    </w:rPr>
  </w:style>
  <w:style w:type="paragraph" w:styleId="23">
    <w:name w:val="Body Text Indent 3"/>
    <w:basedOn w:val="1"/>
    <w:qFormat/>
    <w:uiPriority w:val="0"/>
    <w:pPr>
      <w:ind w:firstLine="480"/>
    </w:pPr>
    <w:rPr>
      <w:i/>
      <w:iCs/>
    </w:rPr>
  </w:style>
  <w:style w:type="paragraph" w:styleId="24">
    <w:name w:val="Body Text 2"/>
    <w:basedOn w:val="1"/>
    <w:qFormat/>
    <w:uiPriority w:val="0"/>
    <w:pPr>
      <w:widowControl/>
      <w:adjustRightInd w:val="0"/>
      <w:snapToGrid w:val="0"/>
      <w:spacing w:line="456" w:lineRule="exact"/>
      <w:jc w:val="left"/>
    </w:pPr>
    <w:rPr>
      <w:rFonts w:ascii="宋体"/>
      <w:kern w:val="0"/>
      <w:sz w:val="24"/>
    </w:rPr>
  </w:style>
  <w:style w:type="paragraph" w:styleId="25">
    <w:name w:val="Normal (Web)"/>
    <w:basedOn w:val="1"/>
    <w:link w:val="50"/>
    <w:qFormat/>
    <w:uiPriority w:val="99"/>
    <w:pPr>
      <w:widowControl/>
      <w:spacing w:before="100" w:beforeAutospacing="1" w:after="100" w:afterAutospacing="1"/>
      <w:jc w:val="left"/>
    </w:pPr>
    <w:rPr>
      <w:rFonts w:ascii="宋体" w:hAnsi="宋体"/>
      <w:kern w:val="0"/>
      <w:sz w:val="24"/>
      <w:szCs w:val="24"/>
    </w:rPr>
  </w:style>
  <w:style w:type="paragraph" w:styleId="26">
    <w:name w:val="Title"/>
    <w:basedOn w:val="1"/>
    <w:qFormat/>
    <w:uiPriority w:val="0"/>
    <w:pPr>
      <w:spacing w:before="240" w:after="60"/>
      <w:jc w:val="center"/>
      <w:outlineLvl w:val="0"/>
    </w:pPr>
    <w:rPr>
      <w:rFonts w:ascii="Arial" w:hAnsi="Arial" w:cs="Arial"/>
      <w:b/>
      <w:bCs/>
      <w:sz w:val="32"/>
      <w:szCs w:val="32"/>
    </w:rPr>
  </w:style>
  <w:style w:type="paragraph" w:styleId="27">
    <w:name w:val="Body Text First Indent"/>
    <w:basedOn w:val="12"/>
    <w:qFormat/>
    <w:uiPriority w:val="99"/>
    <w:pPr>
      <w:spacing w:line="360" w:lineRule="auto"/>
      <w:ind w:firstLine="200" w:firstLineChars="200"/>
      <w:jc w:val="left"/>
    </w:pPr>
    <w:rPr>
      <w:b/>
      <w:bCs/>
      <w:sz w:val="24"/>
      <w:lang w:val="en-GB"/>
    </w:rPr>
  </w:style>
  <w:style w:type="paragraph" w:styleId="28">
    <w:name w:val="Body Text First Indent 2"/>
    <w:basedOn w:val="13"/>
    <w:unhideWhenUsed/>
    <w:qFormat/>
    <w:uiPriority w:val="99"/>
    <w:pPr>
      <w:ind w:firstLine="420" w:firstLineChars="200"/>
    </w:p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1">
    <w:name w:val="Table Elegant"/>
    <w:basedOn w:val="2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3">
    <w:name w:val="Strong"/>
    <w:qFormat/>
    <w:uiPriority w:val="0"/>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Emphasis"/>
    <w:qFormat/>
    <w:uiPriority w:val="0"/>
    <w:rPr>
      <w:color w:val="CC0000"/>
    </w:rPr>
  </w:style>
  <w:style w:type="character" w:styleId="37">
    <w:name w:val="Hyperlink"/>
    <w:qFormat/>
    <w:uiPriority w:val="0"/>
    <w:rPr>
      <w:color w:val="0000FF"/>
      <w:u w:val="single"/>
    </w:rPr>
  </w:style>
  <w:style w:type="character" w:styleId="38">
    <w:name w:val="annotation reference"/>
    <w:basedOn w:val="32"/>
    <w:qFormat/>
    <w:uiPriority w:val="0"/>
    <w:rPr>
      <w:sz w:val="21"/>
      <w:szCs w:val="21"/>
    </w:rPr>
  </w:style>
  <w:style w:type="paragraph" w:customStyle="1" w:styleId="39">
    <w:name w:val="表格文字"/>
    <w:basedOn w:val="1"/>
    <w:next w:val="12"/>
    <w:qFormat/>
    <w:uiPriority w:val="0"/>
    <w:pPr>
      <w:snapToGrid w:val="0"/>
      <w:spacing w:before="120"/>
    </w:pPr>
  </w:style>
  <w:style w:type="paragraph" w:customStyle="1" w:styleId="40">
    <w:name w:val="[Normal]"/>
    <w:qFormat/>
    <w:uiPriority w:val="0"/>
    <w:rPr>
      <w:rFonts w:ascii="宋体" w:hAnsi="宋体" w:eastAsia="宋体" w:cs="Times New Roman"/>
      <w:sz w:val="24"/>
      <w:szCs w:val="22"/>
      <w:lang w:val="zh-CN" w:eastAsia="zh-CN" w:bidi="ar-SA"/>
    </w:rPr>
  </w:style>
  <w:style w:type="paragraph" w:styleId="41">
    <w:name w:val="No Spacing"/>
    <w:basedOn w:val="1"/>
    <w:link w:val="42"/>
    <w:qFormat/>
    <w:uiPriority w:val="0"/>
    <w:pPr>
      <w:widowControl/>
      <w:jc w:val="left"/>
    </w:pPr>
    <w:rPr>
      <w:kern w:val="0"/>
      <w:sz w:val="20"/>
      <w:lang w:eastAsia="en-US"/>
    </w:rPr>
  </w:style>
  <w:style w:type="character" w:customStyle="1" w:styleId="42">
    <w:name w:val="无间隔 Char"/>
    <w:link w:val="41"/>
    <w:qFormat/>
    <w:locked/>
    <w:uiPriority w:val="0"/>
    <w:rPr>
      <w:rFonts w:ascii="Calibri" w:hAnsi="Calibri" w:eastAsia="宋体"/>
      <w:lang w:eastAsia="en-US" w:bidi="ar-SA"/>
    </w:rPr>
  </w:style>
  <w:style w:type="character" w:customStyle="1" w:styleId="43">
    <w:name w:val="标题 3 Char"/>
    <w:link w:val="4"/>
    <w:qFormat/>
    <w:uiPriority w:val="0"/>
    <w:rPr>
      <w:rFonts w:eastAsia="宋体"/>
      <w:b/>
      <w:kern w:val="2"/>
      <w:sz w:val="32"/>
      <w:lang w:val="en-US" w:eastAsia="zh-CN" w:bidi="ar-SA"/>
    </w:rPr>
  </w:style>
  <w:style w:type="character" w:customStyle="1" w:styleId="44">
    <w:name w:val="批注文字 Char"/>
    <w:link w:val="10"/>
    <w:qFormat/>
    <w:uiPriority w:val="0"/>
    <w:rPr>
      <w:rFonts w:ascii="Calibri" w:hAnsi="Calibri"/>
      <w:kern w:val="2"/>
      <w:sz w:val="21"/>
      <w:szCs w:val="22"/>
    </w:rPr>
  </w:style>
  <w:style w:type="character" w:customStyle="1" w:styleId="45">
    <w:name w:val="正文文本 Char"/>
    <w:link w:val="12"/>
    <w:qFormat/>
    <w:uiPriority w:val="0"/>
    <w:rPr>
      <w:i/>
      <w:kern w:val="2"/>
      <w:sz w:val="18"/>
    </w:rPr>
  </w:style>
  <w:style w:type="character" w:customStyle="1" w:styleId="46">
    <w:name w:val="正文文本缩进 Char"/>
    <w:link w:val="13"/>
    <w:qFormat/>
    <w:uiPriority w:val="0"/>
    <w:rPr>
      <w:rFonts w:eastAsia="方正书宋简体"/>
      <w:kern w:val="2"/>
      <w:sz w:val="24"/>
      <w:lang w:val="en-US" w:eastAsia="zh-CN" w:bidi="ar-SA"/>
    </w:rPr>
  </w:style>
  <w:style w:type="character" w:customStyle="1" w:styleId="47">
    <w:name w:val="纯文本 Char"/>
    <w:link w:val="15"/>
    <w:qFormat/>
    <w:uiPriority w:val="99"/>
    <w:rPr>
      <w:rFonts w:ascii="宋体" w:hAnsi="Courier New" w:eastAsia="宋体" w:cs="Courier New"/>
      <w:kern w:val="2"/>
      <w:sz w:val="21"/>
      <w:szCs w:val="21"/>
      <w:lang w:val="en-US" w:eastAsia="zh-CN" w:bidi="ar-SA"/>
    </w:rPr>
  </w:style>
  <w:style w:type="character" w:customStyle="1" w:styleId="48">
    <w:name w:val="页脚 Char"/>
    <w:link w:val="20"/>
    <w:qFormat/>
    <w:uiPriority w:val="0"/>
    <w:rPr>
      <w:rFonts w:eastAsia="宋体"/>
      <w:kern w:val="2"/>
      <w:sz w:val="18"/>
      <w:lang w:val="en-US" w:eastAsia="zh-CN" w:bidi="ar-SA"/>
    </w:rPr>
  </w:style>
  <w:style w:type="character" w:customStyle="1" w:styleId="49">
    <w:name w:val="页眉 Char"/>
    <w:link w:val="21"/>
    <w:qFormat/>
    <w:uiPriority w:val="0"/>
    <w:rPr>
      <w:rFonts w:eastAsia="宋体"/>
      <w:kern w:val="2"/>
      <w:sz w:val="18"/>
      <w:lang w:val="en-US" w:eastAsia="zh-CN" w:bidi="ar-SA"/>
    </w:rPr>
  </w:style>
  <w:style w:type="character" w:customStyle="1" w:styleId="50">
    <w:name w:val="普通(网站) Char"/>
    <w:link w:val="25"/>
    <w:qFormat/>
    <w:locked/>
    <w:uiPriority w:val="99"/>
    <w:rPr>
      <w:rFonts w:ascii="宋体" w:hAnsi="宋体" w:cs="宋体"/>
      <w:sz w:val="24"/>
      <w:szCs w:val="24"/>
    </w:rPr>
  </w:style>
  <w:style w:type="paragraph" w:customStyle="1" w:styleId="5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2">
    <w:name w:val="apple-converted-space"/>
    <w:qFormat/>
    <w:uiPriority w:val="0"/>
  </w:style>
  <w:style w:type="character" w:customStyle="1" w:styleId="53">
    <w:name w:val="ca-22"/>
    <w:qFormat/>
    <w:uiPriority w:val="0"/>
    <w:rPr>
      <w:rFonts w:cs="Times New Roman"/>
    </w:rPr>
  </w:style>
  <w:style w:type="character" w:customStyle="1" w:styleId="54">
    <w:name w:val="font11"/>
    <w:qFormat/>
    <w:uiPriority w:val="0"/>
    <w:rPr>
      <w:rFonts w:hint="eastAsia" w:ascii="宋体" w:hAnsi="宋体" w:eastAsia="宋体" w:cs="宋体"/>
      <w:color w:val="000000"/>
      <w:sz w:val="20"/>
      <w:szCs w:val="20"/>
      <w:u w:val="none"/>
      <w:vertAlign w:val="superscript"/>
    </w:rPr>
  </w:style>
  <w:style w:type="character" w:customStyle="1" w:styleId="55">
    <w:name w:val="正文文本缩进 Char1"/>
    <w:semiHidden/>
    <w:qFormat/>
    <w:locked/>
    <w:uiPriority w:val="0"/>
    <w:rPr>
      <w:rFonts w:eastAsia="方正书宋简体"/>
      <w:kern w:val="2"/>
      <w:sz w:val="24"/>
    </w:rPr>
  </w:style>
  <w:style w:type="character" w:customStyle="1" w:styleId="56">
    <w:name w:val="font51"/>
    <w:qFormat/>
    <w:uiPriority w:val="0"/>
    <w:rPr>
      <w:rFonts w:hint="default" w:ascii="Times New Roman" w:hAnsi="Times New Roman" w:cs="Times New Roman"/>
      <w:color w:val="000000"/>
      <w:sz w:val="21"/>
      <w:szCs w:val="21"/>
      <w:u w:val="none"/>
    </w:rPr>
  </w:style>
  <w:style w:type="character" w:customStyle="1" w:styleId="57">
    <w:name w:val="Plain Text Char"/>
    <w:qFormat/>
    <w:locked/>
    <w:uiPriority w:val="0"/>
    <w:rPr>
      <w:rFonts w:ascii="宋体" w:hAnsi="Courier New" w:eastAsia="宋体"/>
      <w:kern w:val="2"/>
      <w:sz w:val="21"/>
      <w:lang w:val="en-US" w:eastAsia="zh-CN" w:bidi="ar-SA"/>
    </w:rPr>
  </w:style>
  <w:style w:type="character" w:customStyle="1" w:styleId="58">
    <w:name w:val="Header Char"/>
    <w:semiHidden/>
    <w:qFormat/>
    <w:locked/>
    <w:uiPriority w:val="0"/>
    <w:rPr>
      <w:rFonts w:cs="Times New Roman"/>
      <w:sz w:val="18"/>
      <w:szCs w:val="18"/>
    </w:rPr>
  </w:style>
  <w:style w:type="character" w:customStyle="1" w:styleId="59">
    <w:name w:val="font01"/>
    <w:qFormat/>
    <w:uiPriority w:val="0"/>
    <w:rPr>
      <w:rFonts w:hint="eastAsia" w:ascii="宋体" w:hAnsi="宋体" w:eastAsia="宋体" w:cs="宋体"/>
      <w:color w:val="000000"/>
      <w:sz w:val="22"/>
      <w:szCs w:val="22"/>
      <w:u w:val="none"/>
    </w:rPr>
  </w:style>
  <w:style w:type="character" w:customStyle="1" w:styleId="60">
    <w:name w:val="search_content1"/>
    <w:qFormat/>
    <w:uiPriority w:val="0"/>
    <w:rPr>
      <w:sz w:val="20"/>
      <w:szCs w:val="20"/>
    </w:rPr>
  </w:style>
  <w:style w:type="character" w:customStyle="1" w:styleId="61">
    <w:name w:val="普通文字 Char Char1"/>
    <w:qFormat/>
    <w:uiPriority w:val="0"/>
    <w:rPr>
      <w:rFonts w:ascii="宋体" w:hAnsi="Courier New" w:eastAsia="宋体"/>
      <w:kern w:val="2"/>
      <w:sz w:val="24"/>
      <w:szCs w:val="24"/>
      <w:lang w:val="en-US" w:eastAsia="zh-CN" w:bidi="ar-SA"/>
    </w:rPr>
  </w:style>
  <w:style w:type="character" w:customStyle="1" w:styleId="62">
    <w:name w:val="列出段落 Char2"/>
    <w:link w:val="63"/>
    <w:qFormat/>
    <w:uiPriority w:val="0"/>
    <w:rPr>
      <w:kern w:val="2"/>
      <w:sz w:val="21"/>
    </w:rPr>
  </w:style>
  <w:style w:type="paragraph" w:customStyle="1" w:styleId="63">
    <w:name w:val="列出段落3"/>
    <w:basedOn w:val="1"/>
    <w:link w:val="62"/>
    <w:qFormat/>
    <w:uiPriority w:val="0"/>
    <w:pPr>
      <w:ind w:firstLine="420" w:firstLineChars="200"/>
    </w:pPr>
  </w:style>
  <w:style w:type="paragraph" w:customStyle="1" w:styleId="64">
    <w:name w:val="Char Char Char Char Char Char Char Char Char Char Char Char1 Char"/>
    <w:basedOn w:val="8"/>
    <w:qFormat/>
    <w:uiPriority w:val="0"/>
    <w:rPr>
      <w:rFonts w:ascii="Tahoma" w:hAnsi="Tahoma"/>
      <w:sz w:val="24"/>
      <w:szCs w:val="24"/>
    </w:rPr>
  </w:style>
  <w:style w:type="paragraph" w:customStyle="1" w:styleId="65">
    <w:name w:val="Char"/>
    <w:basedOn w:val="1"/>
    <w:qFormat/>
    <w:uiPriority w:val="0"/>
    <w:pPr>
      <w:widowControl/>
      <w:spacing w:line="400" w:lineRule="exact"/>
      <w:jc w:val="center"/>
    </w:pPr>
    <w:rPr>
      <w:rFonts w:ascii="Verdana" w:hAnsi="Verdana"/>
      <w:kern w:val="0"/>
      <w:lang w:eastAsia="en-US"/>
    </w:rPr>
  </w:style>
  <w:style w:type="paragraph" w:customStyle="1" w:styleId="66">
    <w:name w:val="Title2"/>
    <w:basedOn w:val="26"/>
    <w:qFormat/>
    <w:uiPriority w:val="0"/>
    <w:pPr>
      <w:widowControl/>
      <w:spacing w:before="60" w:after="120"/>
      <w:ind w:left="720"/>
      <w:outlineLvl w:val="9"/>
    </w:pPr>
    <w:rPr>
      <w:kern w:val="28"/>
      <w:lang w:eastAsia="en-US"/>
    </w:rPr>
  </w:style>
  <w:style w:type="paragraph" w:customStyle="1" w:styleId="67">
    <w:name w:val="Normal Char"/>
    <w:basedOn w:val="1"/>
    <w:qFormat/>
    <w:uiPriority w:val="0"/>
    <w:pPr>
      <w:suppressAutoHyphens/>
      <w:autoSpaceDE w:val="0"/>
      <w:jc w:val="left"/>
    </w:pPr>
    <w:rPr>
      <w:rFonts w:ascii="Thorndale" w:hAnsi="Thorndale" w:eastAsia="HG Mincho Light J"/>
      <w:color w:val="000000"/>
      <w:kern w:val="0"/>
      <w:sz w:val="20"/>
      <w:lang w:val="hu-HU"/>
    </w:rPr>
  </w:style>
  <w:style w:type="paragraph" w:customStyle="1" w:styleId="68">
    <w:name w:val="Char Char Char Char Char Char Char"/>
    <w:basedOn w:val="1"/>
    <w:qFormat/>
    <w:uiPriority w:val="0"/>
    <w:rPr>
      <w:rFonts w:ascii="Tahoma" w:hAnsi="Tahoma"/>
      <w:sz w:val="24"/>
    </w:rPr>
  </w:style>
  <w:style w:type="paragraph" w:customStyle="1" w:styleId="69">
    <w:name w:val="默认段落字体 Para Char Char Char Char Char Char Char"/>
    <w:basedOn w:val="8"/>
    <w:qFormat/>
    <w:uiPriority w:val="0"/>
    <w:pPr>
      <w:adjustRightInd w:val="0"/>
      <w:spacing w:line="436" w:lineRule="exact"/>
      <w:ind w:left="357"/>
      <w:jc w:val="left"/>
      <w:outlineLvl w:val="3"/>
    </w:pPr>
    <w:rPr>
      <w:rFonts w:ascii="Tahoma" w:hAnsi="Tahoma"/>
      <w:b/>
      <w:sz w:val="24"/>
      <w:szCs w:val="24"/>
    </w:rPr>
  </w:style>
  <w:style w:type="paragraph" w:customStyle="1" w:styleId="70">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71">
    <w:name w:val="列表段落1"/>
    <w:basedOn w:val="1"/>
    <w:qFormat/>
    <w:uiPriority w:val="34"/>
    <w:pPr>
      <w:ind w:firstLine="420" w:firstLineChars="200"/>
    </w:pPr>
  </w:style>
  <w:style w:type="paragraph" w:customStyle="1" w:styleId="72">
    <w:name w:val="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73">
    <w:name w:val="Char11"/>
    <w:basedOn w:val="1"/>
    <w:qFormat/>
    <w:uiPriority w:val="0"/>
    <w:pPr>
      <w:tabs>
        <w:tab w:val="left" w:pos="1200"/>
        <w:tab w:val="left" w:pos="1800"/>
      </w:tabs>
      <w:ind w:left="1200" w:hanging="1110"/>
    </w:pPr>
    <w:rPr>
      <w:sz w:val="24"/>
      <w:szCs w:val="24"/>
    </w:rPr>
  </w:style>
  <w:style w:type="paragraph" w:customStyle="1" w:styleId="74">
    <w:name w:val="方案正文"/>
    <w:basedOn w:val="1"/>
    <w:qFormat/>
    <w:uiPriority w:val="0"/>
    <w:pPr>
      <w:spacing w:before="120" w:line="360" w:lineRule="auto"/>
      <w:ind w:firstLine="425" w:firstLineChars="177"/>
    </w:pPr>
    <w:rPr>
      <w:rFonts w:ascii="华文细黑" w:hAnsi="华文细黑" w:eastAsia="华文细黑"/>
      <w:kern w:val="0"/>
      <w:sz w:val="24"/>
      <w:szCs w:val="24"/>
    </w:rPr>
  </w:style>
  <w:style w:type="paragraph" w:customStyle="1" w:styleId="75">
    <w:name w:val="样式 四号 行距: 固定值 22 磅"/>
    <w:basedOn w:val="1"/>
    <w:qFormat/>
    <w:uiPriority w:val="0"/>
    <w:pPr>
      <w:spacing w:line="380" w:lineRule="exact"/>
    </w:pPr>
    <w:rPr>
      <w:rFonts w:cs="宋体"/>
      <w:sz w:val="28"/>
    </w:rPr>
  </w:style>
  <w:style w:type="paragraph" w:styleId="76">
    <w:name w:val="List Paragraph"/>
    <w:basedOn w:val="1"/>
    <w:qFormat/>
    <w:uiPriority w:val="34"/>
    <w:pPr>
      <w:ind w:firstLine="420" w:firstLineChars="200"/>
    </w:pPr>
    <w:rPr>
      <w:rFonts w:ascii="Calibri" w:hAnsi="Calibri"/>
      <w:szCs w:val="22"/>
    </w:rPr>
  </w:style>
  <w:style w:type="paragraph" w:customStyle="1" w:styleId="77">
    <w:name w:val="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78">
    <w:name w:val="Char1"/>
    <w:basedOn w:val="1"/>
    <w:qFormat/>
    <w:uiPriority w:val="0"/>
    <w:rPr>
      <w:rFonts w:ascii="仿宋_GB2312" w:eastAsia="仿宋_GB2312"/>
      <w:b/>
      <w:sz w:val="32"/>
      <w:szCs w:val="32"/>
    </w:rPr>
  </w:style>
  <w:style w:type="paragraph" w:customStyle="1" w:styleId="79">
    <w:name w:val="Char12"/>
    <w:basedOn w:val="1"/>
    <w:qFormat/>
    <w:uiPriority w:val="0"/>
    <w:rPr>
      <w:rFonts w:ascii="仿宋_GB2312" w:eastAsia="仿宋_GB2312"/>
      <w:b/>
      <w:sz w:val="32"/>
      <w:szCs w:val="32"/>
    </w:rPr>
  </w:style>
  <w:style w:type="paragraph" w:customStyle="1" w:styleId="80">
    <w:name w:val="正文－恩普"/>
    <w:basedOn w:val="7"/>
    <w:qFormat/>
    <w:uiPriority w:val="0"/>
    <w:pPr>
      <w:widowControl/>
      <w:spacing w:line="360" w:lineRule="auto"/>
      <w:ind w:firstLine="480" w:firstLineChars="200"/>
      <w:jc w:val="left"/>
    </w:pPr>
    <w:rPr>
      <w:kern w:val="0"/>
      <w:sz w:val="24"/>
    </w:rPr>
  </w:style>
  <w:style w:type="paragraph" w:customStyle="1" w:styleId="81">
    <w:name w:val="Char Char Char Char Char Char Char Char Char Char Char Char1 Char1"/>
    <w:basedOn w:val="8"/>
    <w:qFormat/>
    <w:uiPriority w:val="0"/>
    <w:rPr>
      <w:rFonts w:ascii="Tahoma" w:hAnsi="Tahoma"/>
      <w:sz w:val="24"/>
      <w:szCs w:val="24"/>
    </w:rPr>
  </w:style>
  <w:style w:type="paragraph" w:customStyle="1" w:styleId="82">
    <w:name w:val="样式 标题 2 + Times New Roman 四号 非加粗 段前: 5 磅 段后: 0 磅 行距: 固定值 20..."/>
    <w:basedOn w:val="3"/>
    <w:qFormat/>
    <w:uiPriority w:val="0"/>
    <w:pPr>
      <w:tabs>
        <w:tab w:val="left" w:pos="578"/>
      </w:tabs>
      <w:spacing w:beforeLines="50" w:afterLines="50" w:line="400" w:lineRule="exact"/>
      <w:ind w:left="578" w:hanging="578"/>
      <w:jc w:val="left"/>
    </w:pPr>
    <w:rPr>
      <w:rFonts w:ascii="Times New Roman" w:hAnsi="Times New Roman" w:eastAsia="仿宋_GB2312"/>
      <w:b w:val="0"/>
      <w:bCs w:val="0"/>
      <w:kern w:val="0"/>
      <w:sz w:val="28"/>
      <w:szCs w:val="28"/>
      <w:lang w:val="zh-CN"/>
    </w:rPr>
  </w:style>
  <w:style w:type="paragraph" w:customStyle="1" w:styleId="83">
    <w:name w:val="Char Char Char Char Char Char"/>
    <w:basedOn w:val="1"/>
    <w:qFormat/>
    <w:uiPriority w:val="0"/>
    <w:pPr>
      <w:ind w:firstLine="200" w:firstLineChars="200"/>
    </w:pPr>
    <w:rPr>
      <w:rFonts w:ascii="Tahoma" w:hAnsi="Tahoma"/>
      <w:sz w:val="24"/>
    </w:rPr>
  </w:style>
  <w:style w:type="paragraph" w:customStyle="1" w:styleId="84">
    <w:name w:val="正文-标准"/>
    <w:basedOn w:val="1"/>
    <w:qFormat/>
    <w:uiPriority w:val="0"/>
    <w:pPr>
      <w:autoSpaceDE w:val="0"/>
      <w:autoSpaceDN w:val="0"/>
      <w:adjustRightInd w:val="0"/>
      <w:spacing w:line="360" w:lineRule="exact"/>
      <w:jc w:val="left"/>
      <w:textAlignment w:val="baseline"/>
    </w:pPr>
    <w:rPr>
      <w:kern w:val="21"/>
    </w:rPr>
  </w:style>
  <w:style w:type="paragraph" w:customStyle="1" w:styleId="85">
    <w:name w:val="列出段落1"/>
    <w:basedOn w:val="1"/>
    <w:qFormat/>
    <w:uiPriority w:val="99"/>
    <w:pPr>
      <w:ind w:firstLine="420" w:firstLineChars="200"/>
    </w:pPr>
    <w:rPr>
      <w:rFonts w:ascii="Calibri" w:hAnsi="Calibri" w:cs="Calibri"/>
      <w:szCs w:val="21"/>
    </w:rPr>
  </w:style>
  <w:style w:type="paragraph" w:customStyle="1" w:styleId="86">
    <w:name w:val="正文 A"/>
    <w:qFormat/>
    <w:uiPriority w:val="0"/>
    <w:pPr>
      <w:widowControl w:val="0"/>
      <w:jc w:val="both"/>
    </w:pPr>
    <w:rPr>
      <w:rFonts w:ascii="Times New Roman" w:hAnsi="Times New Roman" w:eastAsia="Calibri" w:cs="Calibri"/>
      <w:color w:val="000000"/>
      <w:kern w:val="2"/>
      <w:sz w:val="21"/>
      <w:szCs w:val="21"/>
      <w:u w:color="000000"/>
      <w:lang w:val="en-US" w:eastAsia="zh-CN" w:bidi="ar-SA"/>
    </w:rPr>
  </w:style>
  <w:style w:type="table" w:customStyle="1" w:styleId="87">
    <w:name w:val="网格型9"/>
    <w:basedOn w:val="29"/>
    <w:qFormat/>
    <w:uiPriority w:val="59"/>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8">
    <w:name w:val="参数正文"/>
    <w:qFormat/>
    <w:uiPriority w:val="0"/>
    <w:pPr>
      <w:widowControl w:val="0"/>
      <w:spacing w:line="360" w:lineRule="auto"/>
      <w:ind w:firstLine="480" w:firstLineChars="200"/>
    </w:pPr>
    <w:rPr>
      <w:rFonts w:ascii="宋体" w:hAnsi="宋体" w:eastAsia="宋体" w:cs="宋体"/>
      <w:sz w:val="24"/>
      <w:szCs w:val="24"/>
      <w:lang w:val="en-US" w:eastAsia="zh-CN" w:bidi="ar-SA"/>
    </w:rPr>
  </w:style>
  <w:style w:type="paragraph" w:customStyle="1" w:styleId="89">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90">
    <w:name w:val="Body Text First Indent 21"/>
    <w:basedOn w:val="91"/>
    <w:qFormat/>
    <w:uiPriority w:val="0"/>
    <w:pPr>
      <w:ind w:firstLine="420"/>
    </w:pPr>
  </w:style>
  <w:style w:type="paragraph" w:customStyle="1" w:styleId="91">
    <w:name w:val="Body Text Indent1"/>
    <w:basedOn w:val="1"/>
    <w:qFormat/>
    <w:uiPriority w:val="0"/>
    <w:pPr>
      <w:ind w:left="420" w:leftChars="200"/>
    </w:pPr>
  </w:style>
  <w:style w:type="paragraph" w:customStyle="1" w:styleId="92">
    <w:name w:val="标题2"/>
    <w:basedOn w:val="3"/>
    <w:next w:val="1"/>
    <w:qFormat/>
    <w:uiPriority w:val="0"/>
    <w:pPr>
      <w:tabs>
        <w:tab w:val="left" w:pos="432"/>
        <w:tab w:val="left" w:pos="578"/>
        <w:tab w:val="left" w:pos="900"/>
        <w:tab w:val="left" w:pos="1440"/>
      </w:tabs>
      <w:spacing w:before="0" w:after="0" w:line="360" w:lineRule="auto"/>
      <w:ind w:left="357" w:hanging="357"/>
      <w:jc w:val="left"/>
    </w:pPr>
    <w:rPr>
      <w:rFonts w:ascii="仿宋" w:hAnsi="仿宋" w:eastAsia="仿宋"/>
      <w:bCs w:val="0"/>
      <w:szCs w:val="28"/>
    </w:rPr>
  </w:style>
  <w:style w:type="paragraph" w:customStyle="1" w:styleId="93">
    <w:name w:val="标题3"/>
    <w:basedOn w:val="4"/>
    <w:next w:val="23"/>
    <w:qFormat/>
    <w:uiPriority w:val="0"/>
    <w:pPr>
      <w:spacing w:after="0" w:line="360" w:lineRule="auto"/>
      <w:ind w:left="900" w:hanging="720"/>
    </w:pPr>
    <w:rPr>
      <w:rFonts w:ascii="仿宋" w:hAnsi="仿宋" w:eastAsia="仿宋" w:cs="仿宋"/>
    </w:rPr>
  </w:style>
  <w:style w:type="paragraph" w:customStyle="1" w:styleId="94">
    <w:name w:val="标题4_自定义"/>
    <w:basedOn w:val="5"/>
    <w:qFormat/>
    <w:uiPriority w:val="0"/>
    <w:pPr>
      <w:tabs>
        <w:tab w:val="left" w:pos="864"/>
      </w:tabs>
      <w:spacing w:before="0" w:after="0" w:line="360" w:lineRule="auto"/>
      <w:ind w:left="864" w:hanging="864"/>
    </w:pPr>
    <w:rPr>
      <w:rFonts w:ascii="Verdana" w:eastAsia="Verdana"/>
      <w:sz w:val="21"/>
    </w:rPr>
  </w:style>
  <w:style w:type="paragraph" w:customStyle="1" w:styleId="95">
    <w:name w:val="标题4"/>
    <w:basedOn w:val="5"/>
    <w:qFormat/>
    <w:uiPriority w:val="0"/>
    <w:pPr>
      <w:spacing w:line="372" w:lineRule="auto"/>
    </w:pPr>
    <w:rPr>
      <w:sz w:val="24"/>
      <w:lang w:val="zh-CN" w:bidi="zh-CN"/>
    </w:rPr>
  </w:style>
  <w:style w:type="paragraph" w:customStyle="1" w:styleId="96">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paragraph" w:customStyle="1" w:styleId="97">
    <w:name w:val="p0"/>
    <w:basedOn w:val="1"/>
    <w:qFormat/>
    <w:uiPriority w:val="0"/>
    <w:pPr>
      <w:widowControl/>
    </w:pPr>
    <w:rPr>
      <w:kern w:val="0"/>
      <w:szCs w:val="21"/>
    </w:rPr>
  </w:style>
  <w:style w:type="character" w:customStyle="1" w:styleId="98">
    <w:name w:val="cf01"/>
    <w:basedOn w:val="32"/>
    <w:qFormat/>
    <w:uiPriority w:val="0"/>
    <w:rPr>
      <w:rFonts w:hint="eastAsia" w:ascii="Microsoft YaHei UI" w:hAnsi="Microsoft YaHei UI" w:eastAsia="Microsoft YaHei UI"/>
      <w:sz w:val="18"/>
      <w:szCs w:val="18"/>
    </w:rPr>
  </w:style>
  <w:style w:type="paragraph" w:customStyle="1" w:styleId="99">
    <w:name w:val="Preistext2"/>
    <w:basedOn w:val="1"/>
    <w:qFormat/>
    <w:uiPriority w:val="0"/>
    <w:pPr>
      <w:widowControl/>
      <w:tabs>
        <w:tab w:val="left" w:pos="709"/>
        <w:tab w:val="left" w:pos="1701"/>
        <w:tab w:val="left" w:pos="3119"/>
      </w:tabs>
      <w:ind w:left="1843" w:right="1701"/>
      <w:jc w:val="left"/>
    </w:pPr>
    <w:rPr>
      <w:rFonts w:ascii="Arial" w:hAnsi="Arial"/>
      <w:kern w:val="0"/>
      <w:sz w:val="18"/>
      <w:lang w:val="en-GB" w:eastAsia="de-DE"/>
    </w:rPr>
  </w:style>
  <w:style w:type="paragraph" w:customStyle="1" w:styleId="10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01">
    <w:name w:val="WPSOffice手动目录 1"/>
    <w:qFormat/>
    <w:uiPriority w:val="0"/>
    <w:rPr>
      <w:rFonts w:ascii="Times New Roman" w:hAnsi="Times New Roman" w:eastAsia="宋体" w:cs="Times New Roman"/>
      <w:lang w:val="en-US" w:eastAsia="zh-CN" w:bidi="ar-SA"/>
    </w:rPr>
  </w:style>
  <w:style w:type="paragraph" w:customStyle="1" w:styleId="102">
    <w:name w:val="正文缩进1"/>
    <w:next w:val="13"/>
    <w:qFormat/>
    <w:uiPriority w:val="0"/>
    <w:pPr>
      <w:widowControl w:val="0"/>
      <w:autoSpaceDE w:val="0"/>
      <w:autoSpaceDN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103">
    <w:name w:val="索引 11"/>
    <w:next w:val="1"/>
    <w:qFormat/>
    <w:uiPriority w:val="99"/>
    <w:pPr>
      <w:widowControl w:val="0"/>
      <w:spacing w:line="360" w:lineRule="auto"/>
      <w:jc w:val="both"/>
    </w:pPr>
    <w:rPr>
      <w:rFonts w:ascii="仿宋_GB2312" w:hAnsi="Times New Roman" w:eastAsia="仿宋_GB2312" w:cs="Times New Roman"/>
      <w:kern w:val="2"/>
      <w:sz w:val="24"/>
      <w:lang w:val="en-US" w:eastAsia="zh-CN" w:bidi="ar-SA"/>
    </w:rPr>
  </w:style>
  <w:style w:type="paragraph" w:customStyle="1" w:styleId="104">
    <w:name w:val="纯文本1"/>
    <w:qFormat/>
    <w:uiPriority w:val="0"/>
    <w:pPr>
      <w:widowControl w:val="0"/>
      <w:jc w:val="both"/>
    </w:pPr>
    <w:rPr>
      <w:rFonts w:ascii="宋体" w:hAnsi="Courier New" w:eastAsia="宋体" w:cs="Times New Roman"/>
      <w:lang w:val="en-US" w:eastAsia="zh-CN" w:bidi="ar-SA"/>
    </w:rPr>
  </w:style>
  <w:style w:type="paragraph" w:customStyle="1" w:styleId="105">
    <w:name w:val="_Style 3"/>
    <w:qFormat/>
    <w:uiPriority w:val="0"/>
    <w:pPr>
      <w:widowControl w:val="0"/>
      <w:ind w:firstLine="420" w:firstLineChars="200"/>
      <w:jc w:val="both"/>
    </w:pPr>
    <w:rPr>
      <w:rFonts w:ascii="Times New Roman" w:hAnsi="Times New Roman" w:eastAsia="仿宋_GB2312" w:cs="Times New Roman"/>
      <w:kern w:val="2"/>
      <w:sz w:val="28"/>
      <w:szCs w:val="24"/>
      <w:lang w:val="en-US" w:eastAsia="zh-CN" w:bidi="ar-SA"/>
    </w:rPr>
  </w:style>
  <w:style w:type="paragraph" w:customStyle="1" w:styleId="106">
    <w:name w:val="text-tag"/>
    <w:semiHidden/>
    <w:qFormat/>
    <w:uiPriority w:val="99"/>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Company>
  <Pages>57</Pages>
  <Words>5176</Words>
  <Characters>6062</Characters>
  <Lines>39</Lines>
  <Paragraphs>65</Paragraphs>
  <TotalTime>0</TotalTime>
  <ScaleCrop>false</ScaleCrop>
  <LinksUpToDate>false</LinksUpToDate>
  <CharactersWithSpaces>6283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2025-07-10T03:40:00Z</dcterms:created>
  <dc:creator>founder</dc:creator>
  <cp:lastModifiedBy>星尘</cp:lastModifiedBy>
  <cp:lastPrinted>2025-07-10T08:09:00Z</cp:lastPrinted>
  <dcterms:modified xsi:type="dcterms:W3CDTF">2025-07-10T09:01:49Z</dcterms:modified>
  <dc:title>第二部分  投标方须知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0ACA807A47B1407D8851B05D36E32A6E_13</vt:lpwstr>
  </property>
  <property fmtid="{D5CDD505-2E9C-101B-9397-08002B2CF9AE}" pid="4" name="KSOTemplateDocerSaveRecord">
    <vt:lpwstr>eyJoZGlkIjoiMzAzMjE4ZTQ3MmNlMmRjYjgwZTFlNDlkZTQ3NWJjYzkiLCJ1c2VySWQiOiIxMjE0MDM0MjI0In0=</vt:lpwstr>
  </property>
</Properties>
</file>