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宋体" w:hAnsi="宋体" w:cs="宋体"/>
          <w:color w:val="auto"/>
          <w:sz w:val="32"/>
          <w:szCs w:val="32"/>
          <w:highlight w:val="none"/>
        </w:rPr>
      </w:pPr>
    </w:p>
    <w:p>
      <w:pPr>
        <w:spacing w:line="360" w:lineRule="auto"/>
        <w:rPr>
          <w:rFonts w:ascii="宋体" w:hAnsi="宋体" w:cs="宋体"/>
          <w:color w:val="auto"/>
          <w:sz w:val="44"/>
          <w:szCs w:val="44"/>
          <w:highlight w:val="none"/>
        </w:rPr>
      </w:pPr>
    </w:p>
    <w:p>
      <w:pPr>
        <w:spacing w:before="120" w:beforeLines="50"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lang w:eastAsia="zh-CN"/>
        </w:rPr>
        <w:t>松阳县人民医院采购便捷彩色超声多普勒系统项目</w:t>
      </w:r>
      <w:r>
        <w:rPr>
          <w:rFonts w:hint="eastAsia" w:ascii="宋体" w:hAnsi="宋体" w:cs="宋体"/>
          <w:b/>
          <w:bCs/>
          <w:color w:val="auto"/>
          <w:sz w:val="52"/>
          <w:szCs w:val="52"/>
          <w:highlight w:val="none"/>
        </w:rPr>
        <w:t>公开招标文件</w:t>
      </w:r>
    </w:p>
    <w:p>
      <w:pPr>
        <w:snapToGrid w:val="0"/>
        <w:spacing w:before="120" w:beforeLines="50" w:line="360" w:lineRule="auto"/>
        <w:rPr>
          <w:rFonts w:ascii="宋体" w:hAnsi="宋体" w:cs="宋体"/>
          <w:color w:val="auto"/>
          <w:sz w:val="30"/>
          <w:szCs w:val="30"/>
          <w:highlight w:val="none"/>
        </w:rPr>
      </w:pPr>
    </w:p>
    <w:p>
      <w:pPr>
        <w:snapToGrid w:val="0"/>
        <w:spacing w:before="120" w:beforeLines="50" w:line="360" w:lineRule="auto"/>
        <w:rPr>
          <w:rFonts w:ascii="宋体" w:hAnsi="宋体" w:cs="宋体"/>
          <w:color w:val="auto"/>
          <w:sz w:val="30"/>
          <w:szCs w:val="30"/>
          <w:highlight w:val="none"/>
        </w:rPr>
      </w:pPr>
    </w:p>
    <w:p>
      <w:pPr>
        <w:pStyle w:val="24"/>
        <w:spacing w:before="120" w:after="120"/>
        <w:rPr>
          <w:rFonts w:hAnsi="宋体"/>
          <w:color w:val="auto"/>
          <w:sz w:val="30"/>
          <w:szCs w:val="30"/>
          <w:highlight w:val="none"/>
        </w:rPr>
      </w:pPr>
    </w:p>
    <w:p>
      <w:pPr>
        <w:pStyle w:val="24"/>
        <w:spacing w:before="120" w:after="120"/>
        <w:rPr>
          <w:rFonts w:hAnsi="宋体"/>
          <w:color w:val="auto"/>
          <w:sz w:val="30"/>
          <w:szCs w:val="30"/>
          <w:highlight w:val="none"/>
        </w:rPr>
      </w:pPr>
    </w:p>
    <w:p>
      <w:pPr>
        <w:snapToGrid w:val="0"/>
        <w:spacing w:before="120" w:beforeLines="50" w:line="360" w:lineRule="auto"/>
        <w:rPr>
          <w:rFonts w:ascii="宋体" w:hAnsi="宋体" w:cs="宋体"/>
          <w:color w:val="auto"/>
          <w:sz w:val="30"/>
          <w:szCs w:val="30"/>
          <w:highlight w:val="none"/>
        </w:rPr>
      </w:pPr>
    </w:p>
    <w:p>
      <w:pPr>
        <w:rPr>
          <w:rFonts w:ascii="宋体" w:hAnsi="宋体" w:cs="宋体"/>
          <w:color w:val="auto"/>
          <w:highlight w:val="none"/>
        </w:rPr>
      </w:pPr>
    </w:p>
    <w:p>
      <w:pPr>
        <w:pStyle w:val="24"/>
        <w:snapToGrid w:val="0"/>
        <w:spacing w:beforeLines="0" w:afterLines="0" w:line="360" w:lineRule="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CBNB-20245179GLS</w:t>
      </w:r>
    </w:p>
    <w:p>
      <w:pPr>
        <w:pStyle w:val="24"/>
        <w:snapToGrid w:val="0"/>
        <w:spacing w:beforeLines="0" w:afterLines="0" w:line="360" w:lineRule="auto"/>
        <w:ind w:left="1506" w:hanging="1506" w:hangingChars="500"/>
        <w:rPr>
          <w:rFonts w:hint="eastAsia" w:hAnsi="宋体" w:eastAsia="宋体"/>
          <w:b/>
          <w:bCs/>
          <w:color w:val="auto"/>
          <w:sz w:val="30"/>
          <w:szCs w:val="30"/>
          <w:highlight w:val="none"/>
          <w:lang w:eastAsia="zh-CN"/>
        </w:rPr>
      </w:pPr>
      <w:r>
        <w:rPr>
          <w:rFonts w:hint="eastAsia" w:hAnsi="宋体"/>
          <w:b/>
          <w:bCs/>
          <w:color w:val="auto"/>
          <w:sz w:val="30"/>
          <w:szCs w:val="30"/>
          <w:highlight w:val="none"/>
        </w:rPr>
        <w:t>项目名称：</w:t>
      </w:r>
      <w:r>
        <w:rPr>
          <w:rFonts w:hint="eastAsia" w:hAnsi="宋体"/>
          <w:b/>
          <w:bCs/>
          <w:color w:val="auto"/>
          <w:sz w:val="30"/>
          <w:szCs w:val="30"/>
          <w:highlight w:val="none"/>
          <w:lang w:eastAsia="zh-CN"/>
        </w:rPr>
        <w:t>松阳县人民医院采购便捷彩色超声多普勒系统项目</w:t>
      </w:r>
    </w:p>
    <w:p>
      <w:pPr>
        <w:pStyle w:val="24"/>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采购单位：</w:t>
      </w:r>
      <w:r>
        <w:rPr>
          <w:rFonts w:hint="eastAsia" w:hAnsi="宋体"/>
          <w:b/>
          <w:bCs/>
          <w:color w:val="auto"/>
          <w:sz w:val="30"/>
          <w:szCs w:val="30"/>
          <w:highlight w:val="none"/>
          <w:lang w:eastAsia="zh-CN"/>
        </w:rPr>
        <w:t>松阳县人民医院</w:t>
      </w:r>
    </w:p>
    <w:p>
      <w:pPr>
        <w:pStyle w:val="24"/>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代理机构：宁波中基国际招标有限公司</w:t>
      </w:r>
    </w:p>
    <w:p>
      <w:pPr>
        <w:snapToGrid w:val="0"/>
        <w:spacing w:before="120" w:beforeLines="50" w:line="360" w:lineRule="auto"/>
        <w:jc w:val="center"/>
        <w:rPr>
          <w:rFonts w:ascii="宋体" w:hAnsi="宋体" w:cs="宋体"/>
          <w:b/>
          <w:bCs/>
          <w:color w:val="auto"/>
          <w:w w:val="95"/>
          <w:sz w:val="30"/>
          <w:szCs w:val="30"/>
          <w:highlight w:val="none"/>
        </w:rPr>
      </w:pPr>
    </w:p>
    <w:p>
      <w:pPr>
        <w:snapToGrid w:val="0"/>
        <w:spacing w:before="120" w:beforeLines="50" w:line="360" w:lineRule="auto"/>
        <w:rPr>
          <w:rFonts w:ascii="宋体" w:hAnsi="宋体" w:cs="宋体"/>
          <w:b/>
          <w:bCs/>
          <w:color w:val="auto"/>
          <w:w w:val="95"/>
          <w:sz w:val="30"/>
          <w:szCs w:val="30"/>
          <w:highlight w:val="none"/>
        </w:rPr>
      </w:pPr>
    </w:p>
    <w:p>
      <w:pPr>
        <w:pStyle w:val="24"/>
        <w:spacing w:before="120" w:after="120"/>
        <w:rPr>
          <w:rFonts w:hAnsi="宋体"/>
          <w:color w:val="auto"/>
          <w:highlight w:val="none"/>
        </w:rPr>
      </w:pPr>
    </w:p>
    <w:p>
      <w:pPr>
        <w:snapToGrid w:val="0"/>
        <w:spacing w:before="120" w:beforeLines="50" w:line="360" w:lineRule="auto"/>
        <w:jc w:val="center"/>
        <w:rPr>
          <w:rFonts w:ascii="宋体" w:hAnsi="宋体" w:cs="宋体"/>
          <w:color w:val="auto"/>
          <w:sz w:val="30"/>
          <w:szCs w:val="30"/>
          <w:highlight w:val="none"/>
        </w:rPr>
      </w:pPr>
      <w:r>
        <w:rPr>
          <w:rFonts w:hint="eastAsia" w:ascii="宋体" w:hAnsi="宋体" w:cs="宋体"/>
          <w:b/>
          <w:bCs/>
          <w:color w:val="auto"/>
          <w:w w:val="95"/>
          <w:sz w:val="30"/>
          <w:szCs w:val="30"/>
          <w:highlight w:val="none"/>
        </w:rPr>
        <w:t>202</w:t>
      </w:r>
      <w:r>
        <w:rPr>
          <w:rFonts w:hint="eastAsia" w:ascii="宋体" w:hAnsi="宋体" w:cs="宋体"/>
          <w:b/>
          <w:bCs/>
          <w:color w:val="auto"/>
          <w:w w:val="95"/>
          <w:sz w:val="30"/>
          <w:szCs w:val="30"/>
          <w:highlight w:val="none"/>
          <w:lang w:val="en-US" w:eastAsia="zh-CN"/>
        </w:rPr>
        <w:t>4</w:t>
      </w:r>
      <w:r>
        <w:rPr>
          <w:rFonts w:hint="eastAsia" w:ascii="宋体" w:hAnsi="宋体" w:cs="宋体"/>
          <w:b/>
          <w:bCs/>
          <w:color w:val="auto"/>
          <w:w w:val="95"/>
          <w:sz w:val="30"/>
          <w:szCs w:val="30"/>
          <w:highlight w:val="none"/>
        </w:rPr>
        <w:t xml:space="preserve"> 年</w:t>
      </w:r>
      <w:r>
        <w:rPr>
          <w:rFonts w:hint="eastAsia" w:ascii="宋体" w:hAnsi="宋体" w:cs="宋体"/>
          <w:b/>
          <w:bCs/>
          <w:color w:val="auto"/>
          <w:w w:val="95"/>
          <w:sz w:val="30"/>
          <w:szCs w:val="30"/>
          <w:highlight w:val="none"/>
          <w:lang w:val="en-US" w:eastAsia="zh-CN"/>
        </w:rPr>
        <w:t>5</w:t>
      </w:r>
      <w:r>
        <w:rPr>
          <w:rFonts w:hint="eastAsia" w:ascii="宋体" w:hAnsi="宋体" w:cs="宋体"/>
          <w:b/>
          <w:bCs/>
          <w:color w:val="auto"/>
          <w:w w:val="95"/>
          <w:sz w:val="30"/>
          <w:szCs w:val="30"/>
          <w:highlight w:val="none"/>
        </w:rPr>
        <w:t>月</w:t>
      </w:r>
    </w:p>
    <w:p>
      <w:pPr>
        <w:spacing w:line="360" w:lineRule="auto"/>
        <w:jc w:val="center"/>
        <w:rPr>
          <w:rFonts w:ascii="宋体" w:hAnsi="宋体" w:cs="宋体"/>
          <w:color w:val="auto"/>
          <w:sz w:val="32"/>
          <w:szCs w:val="32"/>
          <w:highlight w:val="none"/>
        </w:rPr>
      </w:pPr>
      <w:r>
        <w:rPr>
          <w:rFonts w:hint="eastAsia" w:ascii="宋体" w:hAnsi="宋体" w:cs="宋体"/>
          <w:color w:val="auto"/>
          <w:highlight w:val="none"/>
        </w:rPr>
        <w:br w:type="page"/>
      </w: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18"/>
        <w:rPr>
          <w:rFonts w:ascii="宋体" w:hAnsi="宋体" w:cs="宋体"/>
          <w:color w:val="auto"/>
          <w:highlight w:val="none"/>
        </w:rPr>
      </w:pPr>
    </w:p>
    <w:p>
      <w:pPr>
        <w:pStyle w:val="33"/>
        <w:tabs>
          <w:tab w:val="right" w:leader="dot" w:pos="8721"/>
        </w:tabs>
        <w:spacing w:line="600" w:lineRule="auto"/>
        <w:rPr>
          <w:rFonts w:ascii="宋体" w:hAnsi="宋体" w:cs="宋体"/>
          <w:b/>
          <w:bCs/>
          <w:color w:val="auto"/>
          <w:sz w:val="30"/>
          <w:szCs w:val="30"/>
          <w:highlight w:val="none"/>
        </w:rPr>
      </w:pP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TOC \o "1-3" \h \z \u </w:instrText>
      </w:r>
      <w:r>
        <w:rPr>
          <w:rFonts w:hint="eastAsia" w:ascii="宋体" w:hAnsi="宋体" w:cs="宋体"/>
          <w:b/>
          <w:bCs/>
          <w:color w:val="auto"/>
          <w:sz w:val="30"/>
          <w:szCs w:val="30"/>
          <w:highlight w:val="none"/>
        </w:rPr>
        <w:fldChar w:fldCharType="separate"/>
      </w:r>
      <w:r>
        <w:rPr>
          <w:color w:val="auto"/>
          <w:highlight w:val="none"/>
        </w:rPr>
        <w:fldChar w:fldCharType="begin"/>
      </w:r>
      <w:r>
        <w:rPr>
          <w:color w:val="auto"/>
          <w:highlight w:val="none"/>
        </w:rPr>
        <w:instrText xml:space="preserve"> HYPERLINK \l "_Toc47388278" </w:instrText>
      </w:r>
      <w:r>
        <w:rPr>
          <w:color w:val="auto"/>
          <w:highlight w:val="none"/>
        </w:rPr>
        <w:fldChar w:fldCharType="separate"/>
      </w:r>
      <w:r>
        <w:rPr>
          <w:rFonts w:hint="eastAsia" w:ascii="宋体" w:hAnsi="宋体" w:cs="宋体"/>
          <w:b/>
          <w:bCs/>
          <w:color w:val="auto"/>
          <w:sz w:val="30"/>
          <w:szCs w:val="30"/>
          <w:highlight w:val="none"/>
        </w:rPr>
        <w:t xml:space="preserve">第一章 </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公开招标采购公告</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PAGEREF _Toc47388278 \h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rPr>
        <w:t>3</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rPr>
        <w:fldChar w:fldCharType="end"/>
      </w:r>
    </w:p>
    <w:p>
      <w:pPr>
        <w:pStyle w:val="33"/>
        <w:tabs>
          <w:tab w:val="right" w:leader="dot" w:pos="8721"/>
        </w:tabs>
        <w:spacing w:line="600" w:lineRule="auto"/>
        <w:rPr>
          <w:rFonts w:ascii="宋体" w:hAnsi="宋体" w:cs="宋体"/>
          <w:b/>
          <w:bCs/>
          <w:color w:val="auto"/>
          <w:sz w:val="30"/>
          <w:szCs w:val="30"/>
          <w:highlight w:val="none"/>
        </w:rPr>
      </w:pPr>
      <w:r>
        <w:rPr>
          <w:color w:val="auto"/>
          <w:highlight w:val="none"/>
        </w:rPr>
        <w:fldChar w:fldCharType="begin"/>
      </w:r>
      <w:r>
        <w:rPr>
          <w:color w:val="auto"/>
          <w:highlight w:val="none"/>
        </w:rPr>
        <w:instrText xml:space="preserve"> HYPERLINK \l "_Toc47388280" </w:instrText>
      </w:r>
      <w:r>
        <w:rPr>
          <w:color w:val="auto"/>
          <w:highlight w:val="none"/>
        </w:rPr>
        <w:fldChar w:fldCharType="separate"/>
      </w:r>
      <w:r>
        <w:rPr>
          <w:rFonts w:hint="eastAsia" w:ascii="宋体" w:hAnsi="宋体" w:cs="宋体"/>
          <w:b/>
          <w:bCs/>
          <w:color w:val="auto"/>
          <w:sz w:val="30"/>
          <w:szCs w:val="30"/>
          <w:highlight w:val="none"/>
        </w:rPr>
        <w:t>第二章  招标需求</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t>7</w:t>
      </w:r>
      <w:r>
        <w:rPr>
          <w:rFonts w:hint="eastAsia" w:ascii="宋体" w:hAnsi="宋体" w:cs="宋体"/>
          <w:b/>
          <w:bCs/>
          <w:color w:val="auto"/>
          <w:sz w:val="30"/>
          <w:szCs w:val="30"/>
          <w:highlight w:val="none"/>
        </w:rPr>
        <w:fldChar w:fldCharType="end"/>
      </w:r>
    </w:p>
    <w:p>
      <w:pPr>
        <w:pStyle w:val="33"/>
        <w:tabs>
          <w:tab w:val="right" w:leader="dot" w:pos="8721"/>
        </w:tabs>
        <w:spacing w:line="600" w:lineRule="auto"/>
        <w:rPr>
          <w:rFonts w:hint="eastAsia" w:ascii="宋体" w:hAnsi="宋体" w:eastAsia="宋体" w:cs="宋体"/>
          <w:b/>
          <w:bCs/>
          <w:color w:val="auto"/>
          <w:sz w:val="30"/>
          <w:szCs w:val="30"/>
          <w:highlight w:val="none"/>
          <w:lang w:eastAsia="zh-CN"/>
        </w:rPr>
      </w:pPr>
      <w:r>
        <w:rPr>
          <w:color w:val="auto"/>
          <w:highlight w:val="none"/>
        </w:rPr>
        <w:fldChar w:fldCharType="begin"/>
      </w:r>
      <w:r>
        <w:rPr>
          <w:color w:val="auto"/>
          <w:highlight w:val="none"/>
        </w:rPr>
        <w:instrText xml:space="preserve"> HYPERLINK \l "_Toc47388317" </w:instrText>
      </w:r>
      <w:r>
        <w:rPr>
          <w:color w:val="auto"/>
          <w:highlight w:val="none"/>
        </w:rPr>
        <w:fldChar w:fldCharType="separate"/>
      </w:r>
      <w:r>
        <w:rPr>
          <w:rFonts w:hint="eastAsia" w:ascii="宋体" w:hAnsi="宋体" w:cs="宋体"/>
          <w:b/>
          <w:bCs/>
          <w:color w:val="auto"/>
          <w:sz w:val="30"/>
          <w:szCs w:val="30"/>
          <w:highlight w:val="none"/>
        </w:rPr>
        <w:t>第三章  投标人须知</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lang w:val="en-US" w:eastAsia="zh-CN"/>
        </w:rPr>
        <w:t>1</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4</w:t>
      </w:r>
    </w:p>
    <w:p>
      <w:pPr>
        <w:pStyle w:val="33"/>
        <w:tabs>
          <w:tab w:val="right" w:leader="dot" w:pos="8721"/>
        </w:tabs>
        <w:spacing w:line="600" w:lineRule="auto"/>
        <w:rPr>
          <w:rFonts w:ascii="宋体" w:hAnsi="宋体" w:cs="宋体"/>
          <w:b/>
          <w:bCs/>
          <w:color w:val="auto"/>
          <w:sz w:val="30"/>
          <w:szCs w:val="30"/>
          <w:highlight w:val="none"/>
        </w:rPr>
      </w:pPr>
      <w:r>
        <w:rPr>
          <w:color w:val="auto"/>
          <w:highlight w:val="none"/>
        </w:rPr>
        <w:fldChar w:fldCharType="begin"/>
      </w:r>
      <w:r>
        <w:rPr>
          <w:color w:val="auto"/>
          <w:highlight w:val="none"/>
        </w:rPr>
        <w:instrText xml:space="preserve"> HYPERLINK \l "_Toc47388384" </w:instrText>
      </w:r>
      <w:r>
        <w:rPr>
          <w:color w:val="auto"/>
          <w:highlight w:val="none"/>
        </w:rPr>
        <w:fldChar w:fldCharType="separate"/>
      </w:r>
      <w:r>
        <w:rPr>
          <w:rFonts w:hint="eastAsia" w:ascii="宋体" w:hAnsi="宋体" w:cs="宋体"/>
          <w:b/>
          <w:bCs/>
          <w:color w:val="auto"/>
          <w:sz w:val="30"/>
          <w:szCs w:val="30"/>
          <w:highlight w:val="none"/>
        </w:rPr>
        <w:t>第四章  评标办法及评分标准</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PAGEREF _Toc47388384 \h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rPr>
        <w:t>21</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rPr>
        <w:fldChar w:fldCharType="end"/>
      </w:r>
    </w:p>
    <w:p>
      <w:pPr>
        <w:pStyle w:val="33"/>
        <w:tabs>
          <w:tab w:val="right" w:leader="dot" w:pos="8721"/>
        </w:tabs>
        <w:spacing w:line="600" w:lineRule="auto"/>
        <w:rPr>
          <w:rFonts w:hint="eastAsia" w:ascii="宋体" w:hAnsi="宋体" w:eastAsia="宋体" w:cs="宋体"/>
          <w:b/>
          <w:bCs/>
          <w:color w:val="auto"/>
          <w:sz w:val="30"/>
          <w:szCs w:val="30"/>
          <w:highlight w:val="none"/>
          <w:lang w:val="en-US" w:eastAsia="zh-CN"/>
        </w:rPr>
      </w:pPr>
      <w:r>
        <w:rPr>
          <w:color w:val="auto"/>
          <w:highlight w:val="none"/>
        </w:rPr>
        <w:fldChar w:fldCharType="begin"/>
      </w:r>
      <w:r>
        <w:rPr>
          <w:color w:val="auto"/>
          <w:highlight w:val="none"/>
        </w:rPr>
        <w:instrText xml:space="preserve"> HYPERLINK \l "_Toc47388385" </w:instrText>
      </w:r>
      <w:r>
        <w:rPr>
          <w:color w:val="auto"/>
          <w:highlight w:val="none"/>
        </w:rPr>
        <w:fldChar w:fldCharType="separate"/>
      </w:r>
      <w:r>
        <w:rPr>
          <w:rFonts w:hint="eastAsia" w:ascii="宋体" w:hAnsi="宋体" w:cs="宋体"/>
          <w:b/>
          <w:bCs/>
          <w:color w:val="auto"/>
          <w:sz w:val="30"/>
          <w:szCs w:val="30"/>
          <w:highlight w:val="none"/>
        </w:rPr>
        <w:t>第五章  合同主要条款</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lang w:val="en-US" w:eastAsia="zh-CN"/>
        </w:rPr>
        <w:t>3</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3</w:t>
      </w:r>
    </w:p>
    <w:p>
      <w:pPr>
        <w:pStyle w:val="33"/>
        <w:tabs>
          <w:tab w:val="right" w:leader="dot" w:pos="8721"/>
        </w:tabs>
        <w:spacing w:line="600" w:lineRule="auto"/>
        <w:rPr>
          <w:rFonts w:hint="eastAsia" w:ascii="宋体" w:hAnsi="宋体" w:eastAsia="宋体" w:cs="宋体"/>
          <w:b/>
          <w:bCs/>
          <w:color w:val="auto"/>
          <w:sz w:val="30"/>
          <w:szCs w:val="30"/>
          <w:highlight w:val="none"/>
          <w:lang w:eastAsia="zh-CN"/>
        </w:rPr>
      </w:pPr>
      <w:r>
        <w:rPr>
          <w:color w:val="auto"/>
          <w:highlight w:val="none"/>
        </w:rPr>
        <w:fldChar w:fldCharType="begin"/>
      </w:r>
      <w:r>
        <w:rPr>
          <w:color w:val="auto"/>
          <w:highlight w:val="none"/>
        </w:rPr>
        <w:instrText xml:space="preserve"> HYPERLINK \l "_Toc47388386" </w:instrText>
      </w:r>
      <w:r>
        <w:rPr>
          <w:color w:val="auto"/>
          <w:highlight w:val="none"/>
        </w:rPr>
        <w:fldChar w:fldCharType="separate"/>
      </w:r>
      <w:r>
        <w:rPr>
          <w:rFonts w:hint="eastAsia" w:ascii="宋体" w:hAnsi="宋体" w:cs="宋体"/>
          <w:b/>
          <w:bCs/>
          <w:color w:val="auto"/>
          <w:sz w:val="30"/>
          <w:szCs w:val="30"/>
          <w:highlight w:val="none"/>
        </w:rPr>
        <w:t>第六章  投标文件格式</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lang w:val="en-US" w:eastAsia="zh-CN"/>
        </w:rPr>
        <w:t>3</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7</w:t>
      </w:r>
    </w:p>
    <w:p>
      <w:pPr>
        <w:spacing w:line="480" w:lineRule="auto"/>
        <w:rPr>
          <w:rFonts w:ascii="宋体" w:hAnsi="宋体" w:cs="宋体"/>
          <w:color w:val="auto"/>
          <w:sz w:val="30"/>
          <w:szCs w:val="30"/>
          <w:highlight w:val="none"/>
        </w:rPr>
      </w:pPr>
      <w:r>
        <w:rPr>
          <w:rFonts w:hint="eastAsia" w:ascii="宋体" w:hAnsi="宋体" w:cs="宋体"/>
          <w:b/>
          <w:bCs/>
          <w:color w:val="auto"/>
          <w:sz w:val="30"/>
          <w:szCs w:val="30"/>
          <w:highlight w:val="none"/>
        </w:rPr>
        <w:fldChar w:fldCharType="end"/>
      </w:r>
    </w:p>
    <w:p>
      <w:pPr>
        <w:tabs>
          <w:tab w:val="left" w:pos="855"/>
        </w:tabs>
        <w:spacing w:line="360" w:lineRule="auto"/>
        <w:rPr>
          <w:rFonts w:ascii="宋体" w:hAnsi="宋体" w:cs="宋体"/>
          <w:color w:val="auto"/>
          <w:sz w:val="28"/>
          <w:szCs w:val="28"/>
          <w:highlight w:val="none"/>
        </w:rPr>
      </w:pPr>
    </w:p>
    <w:p>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w:t>
      </w:r>
    </w:p>
    <w:p>
      <w:pPr>
        <w:pStyle w:val="24"/>
        <w:spacing w:beforeLines="0" w:afterLines="0" w:line="360" w:lineRule="auto"/>
        <w:rPr>
          <w:rFonts w:hAnsi="宋体"/>
          <w:b/>
          <w:bCs/>
          <w:color w:val="auto"/>
          <w:sz w:val="30"/>
          <w:szCs w:val="30"/>
          <w:highlight w:val="none"/>
        </w:rPr>
      </w:pPr>
    </w:p>
    <w:p>
      <w:pPr>
        <w:pStyle w:val="24"/>
        <w:spacing w:beforeLines="0" w:afterLines="0" w:line="360" w:lineRule="auto"/>
        <w:jc w:val="center"/>
        <w:rPr>
          <w:rFonts w:hAnsi="宋体"/>
          <w:b/>
          <w:bCs/>
          <w:color w:val="auto"/>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44"/>
        <w:rPr>
          <w:rFonts w:ascii="宋体" w:hAnsi="宋体" w:cs="宋体"/>
          <w:color w:val="auto"/>
          <w:highlight w:val="none"/>
        </w:rPr>
      </w:pPr>
      <w:bookmarkStart w:id="0" w:name="_Toc397325809"/>
      <w:bookmarkStart w:id="1" w:name="_Toc11614"/>
      <w:bookmarkStart w:id="2" w:name="_Toc47388278"/>
      <w:r>
        <w:rPr>
          <w:rFonts w:hint="eastAsia" w:ascii="宋体" w:hAnsi="宋体" w:cs="宋体"/>
          <w:color w:val="auto"/>
          <w:highlight w:val="none"/>
        </w:rPr>
        <w:t>第一章 公开招标采购公告</w:t>
      </w:r>
      <w:bookmarkEnd w:id="0"/>
      <w:bookmarkEnd w:id="1"/>
      <w:bookmarkEnd w:id="2"/>
    </w:p>
    <w:p>
      <w:pPr>
        <w:pStyle w:val="210"/>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项目概况：</w:t>
      </w:r>
    </w:p>
    <w:p>
      <w:pPr>
        <w:pStyle w:val="210"/>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lang w:eastAsia="zh-CN"/>
        </w:rPr>
        <w:t>松阳县人民医院采购便捷彩色超声多普勒系统项目</w:t>
      </w:r>
      <w:r>
        <w:rPr>
          <w:rFonts w:hint="eastAsia" w:ascii="宋体" w:hAnsi="宋体" w:cs="宋体"/>
          <w:color w:val="auto"/>
          <w:sz w:val="21"/>
          <w:szCs w:val="21"/>
          <w:highlight w:val="none"/>
        </w:rPr>
        <w:t>的潜在投标人应在政府采购云平台（www.zcygov.cn）获取（下载）招标文件，并于202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:30（北京时间）前递交（上传）投标文件。 </w:t>
      </w:r>
    </w:p>
    <w:p>
      <w:pPr>
        <w:pStyle w:val="210"/>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一、项目基本情况</w:t>
      </w:r>
      <w:r>
        <w:rPr>
          <w:rFonts w:hint="eastAsia" w:ascii="宋体" w:hAnsi="宋体" w:cs="宋体"/>
          <w:color w:val="auto"/>
          <w:sz w:val="21"/>
          <w:szCs w:val="21"/>
          <w:highlight w:val="none"/>
        </w:rPr>
        <w:t xml:space="preserve">                          </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项目编号：</w:t>
      </w:r>
      <w:r>
        <w:rPr>
          <w:rFonts w:hint="eastAsia" w:ascii="宋体" w:hAnsi="宋体" w:cs="宋体"/>
          <w:color w:val="auto"/>
          <w:kern w:val="0"/>
          <w:highlight w:val="none"/>
          <w:lang w:eastAsia="zh-CN"/>
        </w:rPr>
        <w:t>CBNB-20245179GLS</w:t>
      </w:r>
    </w:p>
    <w:p>
      <w:pPr>
        <w:widowControl/>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松阳县人民医院采购便捷彩色超声多普勒系统项目</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40</w:t>
      </w:r>
      <w:r>
        <w:rPr>
          <w:rFonts w:hint="eastAsia" w:ascii="宋体" w:hAnsi="宋体" w:cs="宋体"/>
          <w:color w:val="auto"/>
          <w:kern w:val="0"/>
          <w:highlight w:val="none"/>
        </w:rPr>
        <w:t>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最高限价（元）：</w:t>
      </w:r>
      <w:r>
        <w:rPr>
          <w:rFonts w:hint="eastAsia" w:ascii="宋体" w:hAnsi="宋体" w:cs="宋体"/>
          <w:color w:val="auto"/>
          <w:kern w:val="0"/>
          <w:highlight w:val="none"/>
          <w:lang w:val="en-US" w:eastAsia="zh-CN"/>
        </w:rPr>
        <w:t>40</w:t>
      </w:r>
      <w:r>
        <w:rPr>
          <w:rFonts w:hint="eastAsia" w:ascii="宋体" w:hAnsi="宋体" w:cs="宋体"/>
          <w:color w:val="auto"/>
          <w:kern w:val="0"/>
          <w:highlight w:val="none"/>
        </w:rPr>
        <w:t>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采购需求：</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标项一：</w:t>
      </w:r>
    </w:p>
    <w:p>
      <w:pPr>
        <w:widowControl/>
        <w:spacing w:line="360" w:lineRule="auto"/>
        <w:ind w:left="420" w:leftChars="200"/>
        <w:rPr>
          <w:rFonts w:ascii="宋体" w:hAnsi="宋体" w:cs="宋体"/>
          <w:color w:val="auto"/>
          <w:highlight w:val="none"/>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便捷彩色超声多普勒系统</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40</w:t>
      </w:r>
      <w:r>
        <w:rPr>
          <w:rFonts w:hint="eastAsia" w:ascii="宋体" w:hAnsi="宋体" w:cs="宋体"/>
          <w:color w:val="auto"/>
          <w:kern w:val="0"/>
          <w:highlight w:val="none"/>
        </w:rPr>
        <w:t>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备注：本标项</w:t>
      </w:r>
      <w:r>
        <w:rPr>
          <w:rFonts w:hint="eastAsia" w:ascii="宋体" w:hAnsi="宋体" w:cs="宋体"/>
          <w:color w:val="auto"/>
          <w:kern w:val="0"/>
          <w:highlight w:val="none"/>
          <w:lang w:val="en-US" w:eastAsia="zh-CN"/>
        </w:rPr>
        <w:t>不</w:t>
      </w:r>
      <w:r>
        <w:rPr>
          <w:rFonts w:hint="eastAsia" w:ascii="宋体" w:hAnsi="宋体" w:cs="宋体"/>
          <w:color w:val="auto"/>
          <w:kern w:val="0"/>
          <w:highlight w:val="none"/>
        </w:rPr>
        <w:t>允许采购进口产品。</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cs="宋体"/>
          <w:color w:val="auto"/>
          <w:kern w:val="0"/>
          <w:highlight w:val="none"/>
        </w:rPr>
      </w:pPr>
      <w:r>
        <w:rPr>
          <w:rFonts w:hint="eastAsia" w:ascii="宋体" w:hAnsi="宋体" w:cs="宋体"/>
          <w:color w:val="auto"/>
          <w:kern w:val="0"/>
          <w:highlight w:val="none"/>
        </w:rPr>
        <w:t>本项目（是）接受联合体投标。</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二、申请人的资格要求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cs="宋体"/>
          <w:color w:val="auto"/>
          <w:kern w:val="0"/>
          <w:highlight w:val="none"/>
        </w:rPr>
        <w:t>2.落实政府采购政策需满足的资格要求：</w:t>
      </w:r>
      <w:r>
        <w:rPr>
          <w:rFonts w:hint="eastAsia" w:ascii="宋体" w:hAnsi="宋体" w:eastAsia="宋体" w:cs="宋体"/>
          <w:color w:val="auto"/>
          <w:kern w:val="0"/>
          <w:highlight w:val="none"/>
        </w:rPr>
        <w:t>本项目属于专门面向中小企业采购的项目，供应商应为符合《政府采购促进中小企业发展管理办法》（财库﹝2020﹞46 号）规定的中小企业（其中，小微企业包括视同为小型、微型企业的监狱企业、残疾人福利性单位。）</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3.本项目的特定资格要求：</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1</w:t>
      </w: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三、获取招标文件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时间：/至</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r>
        <w:rPr>
          <w:rFonts w:hint="eastAsia" w:ascii="宋体" w:hAnsi="宋体" w:cs="宋体"/>
          <w:color w:val="auto"/>
          <w:kern w:val="0"/>
          <w:highlight w:val="none"/>
        </w:rPr>
        <w:t>，每天上午00:00至12:00，下午12:00至23:59（北京时间，线上获取法定节假日均可，线下获取文件法定节假日除外）</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地点（网址）：政府采购云平台（www.zcygov.cn）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w:t>
      </w:r>
      <w:bookmarkStart w:id="174" w:name="_GoBack"/>
      <w:bookmarkEnd w:id="174"/>
      <w:r>
        <w:rPr>
          <w:rFonts w:hint="eastAsia" w:ascii="宋体" w:hAnsi="宋体" w:cs="宋体"/>
          <w:color w:val="auto"/>
          <w:kern w:val="0"/>
          <w:highlight w:val="none"/>
        </w:rPr>
        <w:t>成获取招标文件申请并下载了招标文件后才被视为合法获取了招标文件，否则其投标将被拒绝。</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售价（元）：0 </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四、提交投标文件截止时间、开标时间和地点</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提交投标文件截止时间：</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:30</w:t>
      </w:r>
      <w:r>
        <w:rPr>
          <w:rFonts w:hint="eastAsia" w:ascii="宋体" w:hAnsi="宋体" w:cs="宋体"/>
          <w:color w:val="auto"/>
          <w:kern w:val="0"/>
          <w:highlight w:val="none"/>
        </w:rPr>
        <w:t>（北京时间）</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投标地点（网址）：政府采购云平台（www.zcygov.cn）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开标时间：</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:30</w:t>
      </w:r>
      <w:r>
        <w:rPr>
          <w:rFonts w:hint="eastAsia" w:ascii="宋体" w:hAnsi="宋体" w:cs="宋体"/>
          <w:color w:val="auto"/>
          <w:kern w:val="0"/>
          <w:highlight w:val="none"/>
        </w:rPr>
        <w:t> </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开标地点（网址）：政府采购云平台（www.zcygov.cn</w:t>
      </w:r>
      <w:r>
        <w:rPr>
          <w:rFonts w:hint="eastAsia" w:ascii="宋体" w:hAnsi="宋体" w:cs="宋体"/>
          <w:color w:val="auto"/>
          <w:kern w:val="0"/>
          <w:highlight w:val="none"/>
          <w:lang w:eastAsia="zh-CN"/>
        </w:rPr>
        <w:t>）</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五、公告期限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六、其他补充事宜</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4.其他事项：</w:t>
      </w:r>
    </w:p>
    <w:p>
      <w:pPr>
        <w:widowControl/>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4.1</w:t>
      </w:r>
      <w:r>
        <w:rPr>
          <w:rFonts w:hint="eastAsia" w:ascii="宋体" w:hAnsi="宋体" w:cs="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pPr>
        <w:widowControl/>
        <w:spacing w:line="360" w:lineRule="auto"/>
        <w:ind w:firstLine="420" w:firstLineChars="200"/>
        <w:rPr>
          <w:rFonts w:ascii="宋体" w:hAnsi="宋体" w:cs="宋体"/>
          <w:b/>
          <w:bCs/>
          <w:color w:val="auto"/>
          <w:kern w:val="0"/>
          <w:highlight w:val="none"/>
        </w:rPr>
      </w:pPr>
      <w:r>
        <w:rPr>
          <w:rFonts w:hint="eastAsia" w:ascii="宋体" w:hAnsi="宋体" w:cs="宋体"/>
          <w:color w:val="auto"/>
          <w:highlight w:val="none"/>
        </w:rPr>
        <w:t>4.3本招标公告中二、申请人的资格要求：第1条中的“重大税收违法案件当事人名单”即为“重大税收违法失信主体”。</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七、对本次采购提出询问、质疑、投诉，请按以下方式联系</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1.采购人信息</w:t>
      </w:r>
    </w:p>
    <w:p>
      <w:pPr>
        <w:spacing w:line="360" w:lineRule="auto"/>
        <w:ind w:firstLine="420" w:firstLineChars="200"/>
        <w:contextualSpacing/>
        <w:rPr>
          <w:rFonts w:ascii="宋体" w:hAnsi="宋体" w:cs="宋体"/>
          <w:color w:val="auto"/>
          <w:kern w:val="0"/>
          <w:highlight w:val="none"/>
        </w:rPr>
      </w:pPr>
      <w:r>
        <w:rPr>
          <w:rFonts w:hint="eastAsia" w:ascii="宋体" w:hAnsi="宋体" w:cs="宋体"/>
          <w:color w:val="auto"/>
          <w:kern w:val="0"/>
          <w:highlight w:val="none"/>
        </w:rPr>
        <w:t>名称：松阳县人民医院</w:t>
      </w:r>
    </w:p>
    <w:p>
      <w:pPr>
        <w:spacing w:line="360" w:lineRule="auto"/>
        <w:ind w:firstLine="420" w:firstLineChars="200"/>
        <w:contextualSpacing/>
        <w:rPr>
          <w:rFonts w:ascii="宋体" w:hAnsi="宋体" w:cs="宋体"/>
          <w:color w:val="auto"/>
          <w:kern w:val="0"/>
          <w:highlight w:val="none"/>
        </w:rPr>
      </w:pPr>
      <w:r>
        <w:rPr>
          <w:rFonts w:hint="eastAsia" w:ascii="宋体" w:hAnsi="宋体" w:cs="宋体"/>
          <w:color w:val="auto"/>
          <w:kern w:val="0"/>
          <w:highlight w:val="none"/>
        </w:rPr>
        <w:t>地址：丽水市松阳县西屏街道长松东路21号</w:t>
      </w:r>
    </w:p>
    <w:p>
      <w:pPr>
        <w:spacing w:line="360" w:lineRule="auto"/>
        <w:ind w:firstLine="420" w:firstLineChars="200"/>
        <w:contextualSpacing/>
        <w:rPr>
          <w:rFonts w:ascii="宋体" w:hAnsi="宋体" w:cs="宋体"/>
          <w:color w:val="auto"/>
          <w:kern w:val="0"/>
          <w:highlight w:val="none"/>
        </w:rPr>
      </w:pPr>
      <w:r>
        <w:rPr>
          <w:rFonts w:hint="eastAsia" w:ascii="宋体" w:hAnsi="宋体" w:cs="宋体"/>
          <w:color w:val="auto"/>
          <w:kern w:val="0"/>
          <w:highlight w:val="none"/>
        </w:rPr>
        <w:t>传真：/  </w:t>
      </w:r>
    </w:p>
    <w:p>
      <w:pPr>
        <w:spacing w:line="360" w:lineRule="auto"/>
        <w:ind w:firstLine="420" w:firstLineChars="200"/>
        <w:contextualSpacing/>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项目联系人（询问）：</w:t>
      </w:r>
      <w:r>
        <w:rPr>
          <w:rFonts w:hint="eastAsia" w:ascii="宋体" w:hAnsi="宋体" w:cs="宋体"/>
          <w:color w:val="auto"/>
          <w:kern w:val="0"/>
          <w:highlight w:val="none"/>
          <w:lang w:val="en-US" w:eastAsia="zh-CN"/>
        </w:rPr>
        <w:t>李先生</w:t>
      </w:r>
    </w:p>
    <w:p>
      <w:pPr>
        <w:spacing w:line="360" w:lineRule="auto"/>
        <w:ind w:firstLine="420" w:firstLineChars="200"/>
        <w:contextualSpacing/>
        <w:rPr>
          <w:rFonts w:ascii="宋体" w:hAnsi="宋体" w:cs="宋体"/>
          <w:color w:val="auto"/>
          <w:kern w:val="0"/>
          <w:highlight w:val="none"/>
        </w:rPr>
      </w:pPr>
      <w:r>
        <w:rPr>
          <w:rFonts w:hint="eastAsia" w:ascii="宋体" w:hAnsi="宋体" w:cs="宋体"/>
          <w:color w:val="auto"/>
          <w:kern w:val="0"/>
          <w:highlight w:val="none"/>
        </w:rPr>
        <w:t>项目联系方式（询问）：</w:t>
      </w:r>
      <w:r>
        <w:rPr>
          <w:rFonts w:hint="eastAsia" w:ascii="宋体" w:hAnsi="宋体" w:cs="宋体"/>
          <w:color w:val="auto"/>
          <w:szCs w:val="21"/>
          <w:highlight w:val="none"/>
        </w:rPr>
        <w:t>0578-8811045</w:t>
      </w:r>
    </w:p>
    <w:p>
      <w:pPr>
        <w:spacing w:line="360" w:lineRule="auto"/>
        <w:ind w:firstLine="420" w:firstLineChars="200"/>
        <w:contextualSpacing/>
        <w:rPr>
          <w:rFonts w:ascii="宋体" w:hAnsi="宋体" w:cs="宋体"/>
          <w:color w:val="auto"/>
          <w:kern w:val="0"/>
          <w:highlight w:val="none"/>
        </w:rPr>
      </w:pPr>
      <w:r>
        <w:rPr>
          <w:rFonts w:hint="eastAsia" w:ascii="宋体" w:hAnsi="宋体" w:cs="宋体"/>
          <w:color w:val="auto"/>
          <w:kern w:val="0"/>
          <w:highlight w:val="none"/>
        </w:rPr>
        <w:t>质疑联系人：</w:t>
      </w:r>
      <w:r>
        <w:rPr>
          <w:rFonts w:hint="eastAsia" w:ascii="宋体" w:hAnsi="宋体" w:cs="宋体"/>
          <w:color w:val="auto"/>
          <w:kern w:val="0"/>
          <w:highlight w:val="none"/>
          <w:lang w:val="en-US" w:eastAsia="zh-CN"/>
        </w:rPr>
        <w:t>叶老师</w:t>
      </w:r>
      <w:r>
        <w:rPr>
          <w:rFonts w:hint="eastAsia" w:ascii="宋体" w:hAnsi="宋体" w:cs="宋体"/>
          <w:color w:val="auto"/>
          <w:kern w:val="0"/>
          <w:highlight w:val="none"/>
        </w:rPr>
        <w:t xml:space="preserve">     </w:t>
      </w:r>
    </w:p>
    <w:p>
      <w:pPr>
        <w:spacing w:line="360" w:lineRule="auto"/>
        <w:ind w:firstLine="420" w:firstLineChars="200"/>
        <w:contextualSpacing/>
        <w:rPr>
          <w:rFonts w:hint="default" w:ascii="宋体" w:hAnsi="宋体" w:eastAsia="宋体" w:cs="宋体"/>
          <w:color w:val="auto"/>
          <w:highlight w:val="none"/>
          <w:lang w:val="en-US" w:eastAsia="zh-CN"/>
        </w:rPr>
      </w:pPr>
      <w:r>
        <w:rPr>
          <w:rFonts w:hint="eastAsia" w:ascii="宋体" w:hAnsi="宋体" w:cs="宋体"/>
          <w:color w:val="auto"/>
          <w:kern w:val="0"/>
          <w:highlight w:val="none"/>
        </w:rPr>
        <w:t>质疑联系方式：</w:t>
      </w:r>
      <w:r>
        <w:rPr>
          <w:rFonts w:hint="eastAsia" w:ascii="宋体" w:hAnsi="宋体" w:cs="宋体"/>
          <w:color w:val="auto"/>
          <w:szCs w:val="21"/>
          <w:highlight w:val="none"/>
        </w:rPr>
        <w:t>0578-881</w:t>
      </w:r>
      <w:r>
        <w:rPr>
          <w:rFonts w:hint="eastAsia" w:ascii="宋体" w:hAnsi="宋体" w:cs="宋体"/>
          <w:color w:val="auto"/>
          <w:szCs w:val="21"/>
          <w:highlight w:val="none"/>
          <w:lang w:val="en-US" w:eastAsia="zh-CN"/>
        </w:rPr>
        <w:t>6769</w:t>
      </w:r>
    </w:p>
    <w:p>
      <w:pPr>
        <w:widowControl/>
        <w:spacing w:line="360" w:lineRule="auto"/>
        <w:ind w:left="420" w:leftChars="200"/>
        <w:rPr>
          <w:rFonts w:ascii="宋体" w:hAnsi="宋体" w:cs="宋体"/>
          <w:color w:val="auto"/>
          <w:kern w:val="0"/>
          <w:highlight w:val="none"/>
        </w:rPr>
      </w:pP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2.采购代理机构信息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名称：宁波中基国际招标有限公司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地址：宁波市鄞州区天童南路666号中基大厦19楼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传真：0574-87425386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项目联系人（询问）：任翔、殷悦、单琛耘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项目联系方式（询问）：0578-2381667、0574-88090150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质疑联系人：杨未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质疑联系方式：0574-87425382 　　　　　　     </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    </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3.同级政府采购监督管理部门</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名称：松阳县财政局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地址：松阳县西屏街道环城西路95号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联系人 ：</w:t>
      </w:r>
      <w:r>
        <w:rPr>
          <w:rFonts w:hint="eastAsia" w:ascii="宋体" w:hAnsi="宋体" w:cs="宋体"/>
          <w:color w:val="auto"/>
          <w:kern w:val="0"/>
          <w:highlight w:val="none"/>
          <w:lang w:val="en-US" w:eastAsia="zh-CN"/>
        </w:rPr>
        <w:t>何</w:t>
      </w:r>
      <w:r>
        <w:rPr>
          <w:rFonts w:hint="eastAsia" w:ascii="宋体" w:hAnsi="宋体" w:cs="宋体"/>
          <w:color w:val="auto"/>
          <w:kern w:val="0"/>
          <w:highlight w:val="none"/>
        </w:rPr>
        <w:t>先生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监督投诉电话：0578-8811960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w:t>
      </w:r>
    </w:p>
    <w:p>
      <w:pPr>
        <w:widowControl/>
        <w:spacing w:line="360" w:lineRule="auto"/>
        <w:ind w:firstLine="422" w:firstLineChars="200"/>
        <w:rPr>
          <w:rFonts w:ascii="宋体" w:hAnsi="宋体" w:cs="宋体"/>
          <w:b/>
          <w:bCs/>
          <w:color w:val="auto"/>
          <w:highlight w:val="none"/>
        </w:rPr>
      </w:pPr>
      <w:r>
        <w:rPr>
          <w:rFonts w:hint="eastAsia" w:ascii="宋体" w:hAnsi="宋体" w:cs="宋体"/>
          <w:b/>
          <w:bCs/>
          <w:color w:val="auto"/>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2"/>
        <w:rPr>
          <w:rFonts w:ascii="宋体" w:cs="宋体"/>
          <w:color w:val="auto"/>
          <w:highlight w:val="none"/>
        </w:rPr>
        <w:sectPr>
          <w:pgSz w:w="11906" w:h="16838"/>
          <w:pgMar w:top="1474" w:right="1797" w:bottom="1247" w:left="1797" w:header="851" w:footer="851" w:gutter="0"/>
          <w:cols w:space="720" w:num="1"/>
          <w:docGrid w:type="lines" w:linePitch="312" w:charSpace="0"/>
        </w:sectPr>
      </w:pPr>
      <w:bookmarkStart w:id="3" w:name="_Toc47388280"/>
    </w:p>
    <w:p>
      <w:pPr>
        <w:pStyle w:val="2"/>
        <w:rPr>
          <w:rFonts w:ascii="宋体" w:cs="宋体"/>
          <w:color w:val="auto"/>
          <w:highlight w:val="none"/>
        </w:rPr>
      </w:pPr>
      <w:bookmarkStart w:id="4" w:name="_Toc28324"/>
      <w:r>
        <w:rPr>
          <w:rFonts w:hint="eastAsia" w:ascii="宋体" w:cs="宋体"/>
          <w:color w:val="auto"/>
          <w:highlight w:val="none"/>
        </w:rPr>
        <w:t>第二章  招标需求</w:t>
      </w:r>
      <w:bookmarkEnd w:id="3"/>
      <w:bookmarkEnd w:id="4"/>
    </w:p>
    <w:p>
      <w:pPr>
        <w:pStyle w:val="24"/>
        <w:snapToGrid w:val="0"/>
        <w:spacing w:beforeLines="0" w:afterLines="0" w:line="360" w:lineRule="auto"/>
        <w:outlineLvl w:val="0"/>
        <w:rPr>
          <w:rFonts w:hint="eastAsia" w:hAnsi="宋体" w:eastAsia="宋体"/>
          <w:color w:val="auto"/>
          <w:sz w:val="21"/>
          <w:szCs w:val="21"/>
          <w:highlight w:val="none"/>
          <w:lang w:eastAsia="zh-CN"/>
        </w:rPr>
      </w:pPr>
      <w:bookmarkStart w:id="5" w:name="_Toc417922222"/>
      <w:bookmarkStart w:id="6" w:name="_Toc47388281"/>
      <w:bookmarkStart w:id="7" w:name="_Toc6875"/>
      <w:r>
        <w:rPr>
          <w:rFonts w:hint="eastAsia" w:hAnsi="宋体"/>
          <w:color w:val="auto"/>
          <w:sz w:val="21"/>
          <w:szCs w:val="21"/>
          <w:highlight w:val="none"/>
        </w:rPr>
        <w:t>编号：</w:t>
      </w:r>
      <w:bookmarkEnd w:id="5"/>
      <w:bookmarkEnd w:id="6"/>
      <w:bookmarkEnd w:id="7"/>
      <w:r>
        <w:rPr>
          <w:rFonts w:hint="eastAsia" w:hAnsi="宋体"/>
          <w:color w:val="auto"/>
          <w:sz w:val="21"/>
          <w:szCs w:val="21"/>
          <w:highlight w:val="none"/>
          <w:lang w:eastAsia="zh-CN"/>
        </w:rPr>
        <w:t>CBNB-20245179GLS</w:t>
      </w:r>
    </w:p>
    <w:p>
      <w:pPr>
        <w:pStyle w:val="24"/>
        <w:snapToGrid w:val="0"/>
        <w:spacing w:beforeLines="0" w:afterLines="0" w:line="360" w:lineRule="auto"/>
        <w:outlineLvl w:val="0"/>
        <w:rPr>
          <w:rFonts w:hint="eastAsia" w:hAnsi="宋体" w:eastAsia="宋体"/>
          <w:i w:val="0"/>
          <w:iCs w:val="0"/>
          <w:color w:val="auto"/>
          <w:sz w:val="21"/>
          <w:szCs w:val="21"/>
          <w:highlight w:val="none"/>
          <w:lang w:eastAsia="zh-CN"/>
        </w:rPr>
      </w:pPr>
      <w:bookmarkStart w:id="8" w:name="_Toc76"/>
      <w:bookmarkStart w:id="9" w:name="_Toc417922223"/>
      <w:bookmarkStart w:id="10" w:name="_Toc47388282"/>
      <w:r>
        <w:rPr>
          <w:rFonts w:hint="eastAsia" w:hAnsi="宋体"/>
          <w:color w:val="auto"/>
          <w:sz w:val="21"/>
          <w:szCs w:val="21"/>
          <w:highlight w:val="none"/>
        </w:rPr>
        <w:t>采购单位名称：</w:t>
      </w:r>
      <w:bookmarkEnd w:id="8"/>
      <w:bookmarkEnd w:id="9"/>
      <w:bookmarkEnd w:id="10"/>
      <w:r>
        <w:rPr>
          <w:rFonts w:hint="eastAsia" w:hAnsi="宋体"/>
          <w:color w:val="auto"/>
          <w:sz w:val="21"/>
          <w:szCs w:val="21"/>
          <w:highlight w:val="none"/>
          <w:lang w:eastAsia="zh-CN"/>
        </w:rPr>
        <w:t>松阳县人民医院采购便捷彩色超声多普勒系统项目</w:t>
      </w:r>
    </w:p>
    <w:p>
      <w:pPr>
        <w:snapToGrid w:val="0"/>
        <w:spacing w:line="400" w:lineRule="exact"/>
        <w:ind w:left="238"/>
        <w:jc w:val="center"/>
        <w:outlineLvl w:val="0"/>
        <w:rPr>
          <w:rFonts w:ascii="宋体" w:hAnsi="宋体" w:cs="宋体"/>
          <w:b/>
          <w:bCs/>
          <w:color w:val="auto"/>
          <w:sz w:val="30"/>
          <w:szCs w:val="30"/>
          <w:highlight w:val="none"/>
        </w:rPr>
      </w:pPr>
      <w:bookmarkStart w:id="11" w:name="_Toc9001"/>
      <w:bookmarkStart w:id="12" w:name="_Toc47388283"/>
      <w:r>
        <w:rPr>
          <w:rFonts w:hint="eastAsia" w:ascii="宋体" w:hAnsi="宋体" w:cs="宋体"/>
          <w:b/>
          <w:bCs/>
          <w:color w:val="auto"/>
          <w:sz w:val="30"/>
          <w:szCs w:val="30"/>
          <w:highlight w:val="none"/>
        </w:rPr>
        <w:t>前附表</w:t>
      </w:r>
      <w:bookmarkEnd w:id="11"/>
      <w:bookmarkEnd w:id="12"/>
    </w:p>
    <w:tbl>
      <w:tblPr>
        <w:tblStyle w:val="48"/>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ascii="宋体" w:hAnsi="宋体" w:cs="宋体"/>
                <w:b/>
                <w:bCs/>
                <w:color w:val="auto"/>
                <w:highlight w:val="none"/>
              </w:rPr>
            </w:pPr>
            <w:bookmarkStart w:id="13" w:name="_Toc19637"/>
            <w:bookmarkStart w:id="14" w:name="_Toc47388284"/>
            <w:r>
              <w:rPr>
                <w:rFonts w:hint="eastAsia" w:ascii="宋体" w:hAnsi="宋体" w:cs="宋体"/>
                <w:b/>
                <w:bCs/>
                <w:color w:val="auto"/>
                <w:highlight w:val="none"/>
              </w:rPr>
              <w:t>序号</w:t>
            </w:r>
            <w:bookmarkEnd w:id="13"/>
            <w:bookmarkEnd w:id="14"/>
          </w:p>
        </w:tc>
        <w:tc>
          <w:tcPr>
            <w:tcW w:w="3495" w:type="dxa"/>
            <w:tcBorders>
              <w:top w:val="single" w:color="auto" w:sz="12" w:space="0"/>
            </w:tcBorders>
          </w:tcPr>
          <w:p>
            <w:pPr>
              <w:spacing w:line="400" w:lineRule="exact"/>
              <w:jc w:val="center"/>
              <w:outlineLvl w:val="1"/>
              <w:rPr>
                <w:rFonts w:ascii="宋体" w:hAnsi="宋体" w:cs="宋体"/>
                <w:b/>
                <w:bCs/>
                <w:color w:val="auto"/>
                <w:highlight w:val="none"/>
              </w:rPr>
            </w:pPr>
            <w:bookmarkStart w:id="15" w:name="_Toc47388285"/>
            <w:bookmarkStart w:id="16" w:name="_Toc13977"/>
            <w:r>
              <w:rPr>
                <w:rFonts w:hint="eastAsia" w:ascii="宋体" w:hAnsi="宋体" w:cs="宋体"/>
                <w:b/>
                <w:bCs/>
                <w:color w:val="auto"/>
                <w:highlight w:val="none"/>
              </w:rPr>
              <w:t>子项</w:t>
            </w:r>
            <w:bookmarkEnd w:id="15"/>
            <w:bookmarkEnd w:id="16"/>
          </w:p>
        </w:tc>
        <w:tc>
          <w:tcPr>
            <w:tcW w:w="4095" w:type="dxa"/>
            <w:tcBorders>
              <w:top w:val="single" w:color="auto" w:sz="12" w:space="0"/>
            </w:tcBorders>
          </w:tcPr>
          <w:p>
            <w:pPr>
              <w:spacing w:line="400" w:lineRule="exact"/>
              <w:jc w:val="center"/>
              <w:outlineLvl w:val="1"/>
              <w:rPr>
                <w:rFonts w:ascii="宋体" w:hAnsi="宋体" w:cs="宋体"/>
                <w:b/>
                <w:bCs/>
                <w:color w:val="auto"/>
                <w:highlight w:val="none"/>
              </w:rPr>
            </w:pPr>
            <w:bookmarkStart w:id="17" w:name="_Toc11907"/>
            <w:bookmarkStart w:id="18" w:name="_Toc47388286"/>
            <w:r>
              <w:rPr>
                <w:rFonts w:hint="eastAsia" w:ascii="宋体" w:hAnsi="宋体" w:cs="宋体"/>
                <w:b/>
                <w:bCs/>
                <w:color w:val="auto"/>
                <w:highlight w:val="none"/>
              </w:rPr>
              <w:t>招标需求</w:t>
            </w:r>
            <w:bookmarkEnd w:id="17"/>
            <w:bookmarkEnd w:id="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宋体" w:hAnsi="宋体" w:cs="宋体"/>
                <w:b/>
                <w:bCs/>
                <w:color w:val="auto"/>
                <w:highlight w:val="none"/>
              </w:rPr>
            </w:pPr>
            <w:bookmarkStart w:id="19" w:name="_Toc47388287"/>
            <w:bookmarkStart w:id="20" w:name="_Toc10868"/>
            <w:r>
              <w:rPr>
                <w:rFonts w:hint="eastAsia" w:ascii="宋体" w:hAnsi="宋体" w:cs="宋体"/>
                <w:b/>
                <w:bCs/>
                <w:color w:val="auto"/>
                <w:highlight w:val="none"/>
              </w:rPr>
              <w:t>一</w:t>
            </w:r>
            <w:bookmarkEnd w:id="19"/>
            <w:bookmarkEnd w:id="20"/>
          </w:p>
        </w:tc>
        <w:tc>
          <w:tcPr>
            <w:tcW w:w="3495" w:type="dxa"/>
            <w:vAlign w:val="center"/>
          </w:tcPr>
          <w:p>
            <w:pPr>
              <w:spacing w:line="400" w:lineRule="exact"/>
              <w:outlineLvl w:val="1"/>
              <w:rPr>
                <w:rFonts w:ascii="宋体" w:hAnsi="宋体" w:cs="宋体"/>
                <w:color w:val="auto"/>
                <w:highlight w:val="none"/>
              </w:rPr>
            </w:pPr>
            <w:bookmarkStart w:id="21" w:name="_Toc47388288"/>
            <w:bookmarkStart w:id="22" w:name="_Toc15946"/>
            <w:r>
              <w:rPr>
                <w:rFonts w:hint="eastAsia" w:ascii="宋体" w:hAnsi="宋体" w:cs="宋体"/>
                <w:color w:val="auto"/>
                <w:highlight w:val="none"/>
              </w:rPr>
              <w:t>采购标的需实现的功能或者目标，为落实政府采购需满足的要求</w:t>
            </w:r>
            <w:bookmarkEnd w:id="21"/>
            <w:bookmarkEnd w:id="22"/>
          </w:p>
        </w:tc>
        <w:tc>
          <w:tcPr>
            <w:tcW w:w="4095" w:type="dxa"/>
            <w:vAlign w:val="center"/>
          </w:tcPr>
          <w:p>
            <w:pPr>
              <w:spacing w:line="400" w:lineRule="exact"/>
              <w:outlineLvl w:val="1"/>
              <w:rPr>
                <w:rFonts w:ascii="宋体" w:hAnsi="宋体" w:cs="宋体"/>
                <w:b/>
                <w:bCs/>
                <w:color w:val="auto"/>
                <w:highlight w:val="none"/>
              </w:rPr>
            </w:pPr>
            <w:bookmarkStart w:id="23" w:name="_Toc5051"/>
            <w:bookmarkStart w:id="24" w:name="_Toc47388289"/>
            <w:r>
              <w:rPr>
                <w:rFonts w:hint="eastAsia" w:ascii="宋体" w:hAnsi="宋体" w:cs="宋体"/>
                <w:color w:val="auto"/>
                <w:highlight w:val="none"/>
              </w:rPr>
              <w:t>详见技术需求</w:t>
            </w:r>
            <w:bookmarkEnd w:id="23"/>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color w:val="auto"/>
                <w:highlight w:val="none"/>
              </w:rPr>
            </w:pPr>
            <w:bookmarkStart w:id="25" w:name="_Toc10426"/>
            <w:bookmarkStart w:id="26" w:name="_Toc47388290"/>
            <w:r>
              <w:rPr>
                <w:rFonts w:hint="eastAsia" w:ascii="宋体" w:hAnsi="宋体" w:cs="宋体"/>
                <w:b/>
                <w:bCs/>
                <w:color w:val="auto"/>
                <w:highlight w:val="none"/>
              </w:rPr>
              <w:t>二</w:t>
            </w:r>
            <w:bookmarkEnd w:id="25"/>
            <w:bookmarkEnd w:id="26"/>
          </w:p>
        </w:tc>
        <w:tc>
          <w:tcPr>
            <w:tcW w:w="3495" w:type="dxa"/>
            <w:vAlign w:val="center"/>
          </w:tcPr>
          <w:p>
            <w:pPr>
              <w:spacing w:line="400" w:lineRule="exact"/>
              <w:outlineLvl w:val="1"/>
              <w:rPr>
                <w:rFonts w:ascii="宋体" w:hAnsi="宋体" w:cs="宋体"/>
                <w:color w:val="auto"/>
                <w:highlight w:val="none"/>
              </w:rPr>
            </w:pPr>
            <w:bookmarkStart w:id="27" w:name="_Toc47388291"/>
            <w:bookmarkStart w:id="28" w:name="_Toc4406"/>
            <w:r>
              <w:rPr>
                <w:rFonts w:hint="eastAsia" w:ascii="宋体" w:hAnsi="宋体" w:cs="宋体"/>
                <w:color w:val="auto"/>
                <w:highlight w:val="none"/>
              </w:rPr>
              <w:t>采购标的需执行的国家相关标准、行业标准、地方标准或者其他标准规范</w:t>
            </w:r>
            <w:bookmarkEnd w:id="27"/>
            <w:bookmarkEnd w:id="28"/>
          </w:p>
        </w:tc>
        <w:tc>
          <w:tcPr>
            <w:tcW w:w="4095" w:type="dxa"/>
            <w:vAlign w:val="center"/>
          </w:tcPr>
          <w:p>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由投标人提供的所有产品和服务必须符合下列规范、条例及标准，并不限于下列规范、条例及标准：</w:t>
            </w:r>
          </w:p>
          <w:p>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2.1中华人民共和国有关技术和卫生标准</w:t>
            </w:r>
          </w:p>
          <w:p>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2.2由招标人认可的有关国家权威标准</w:t>
            </w:r>
          </w:p>
          <w:p>
            <w:pPr>
              <w:spacing w:line="400" w:lineRule="exact"/>
              <w:outlineLvl w:val="1"/>
              <w:rPr>
                <w:rFonts w:ascii="宋体" w:hAnsi="宋体" w:cs="宋体"/>
                <w:b/>
                <w:bCs/>
                <w:color w:val="auto"/>
                <w:highlight w:val="none"/>
              </w:rPr>
            </w:pPr>
            <w:bookmarkStart w:id="29" w:name="_Toc47388292"/>
            <w:bookmarkStart w:id="30" w:name="_Toc27406"/>
            <w:r>
              <w:rPr>
                <w:rFonts w:hint="eastAsia" w:ascii="宋体" w:hAnsi="宋体" w:cs="宋体"/>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color w:val="auto"/>
                <w:highlight w:val="none"/>
              </w:rPr>
            </w:pPr>
            <w:bookmarkStart w:id="31" w:name="_Toc47388293"/>
            <w:bookmarkStart w:id="32" w:name="_Toc18066"/>
            <w:r>
              <w:rPr>
                <w:rFonts w:hint="eastAsia" w:ascii="宋体" w:hAnsi="宋体" w:cs="宋体"/>
                <w:b/>
                <w:bCs/>
                <w:color w:val="auto"/>
                <w:highlight w:val="none"/>
              </w:rPr>
              <w:t>三</w:t>
            </w:r>
            <w:bookmarkEnd w:id="31"/>
            <w:bookmarkEnd w:id="32"/>
          </w:p>
        </w:tc>
        <w:tc>
          <w:tcPr>
            <w:tcW w:w="3495" w:type="dxa"/>
            <w:vAlign w:val="center"/>
          </w:tcPr>
          <w:p>
            <w:pPr>
              <w:spacing w:line="400" w:lineRule="exact"/>
              <w:outlineLvl w:val="1"/>
              <w:rPr>
                <w:rFonts w:ascii="宋体" w:hAnsi="宋体" w:cs="宋体"/>
                <w:color w:val="auto"/>
                <w:highlight w:val="none"/>
              </w:rPr>
            </w:pPr>
            <w:bookmarkStart w:id="33" w:name="_Toc20497"/>
            <w:bookmarkStart w:id="34" w:name="_Toc47388294"/>
            <w:r>
              <w:rPr>
                <w:rFonts w:hint="eastAsia" w:ascii="宋体" w:hAnsi="宋体" w:cs="宋体"/>
                <w:color w:val="auto"/>
                <w:highlight w:val="none"/>
              </w:rPr>
              <w:t>采购标的需满足的质量、安全、技术规格、物理特性等要求</w:t>
            </w:r>
            <w:bookmarkEnd w:id="33"/>
            <w:bookmarkEnd w:id="34"/>
          </w:p>
        </w:tc>
        <w:tc>
          <w:tcPr>
            <w:tcW w:w="4095" w:type="dxa"/>
            <w:vAlign w:val="center"/>
          </w:tcPr>
          <w:p>
            <w:pPr>
              <w:spacing w:line="400" w:lineRule="exact"/>
              <w:outlineLvl w:val="1"/>
              <w:rPr>
                <w:rFonts w:ascii="宋体" w:hAnsi="宋体" w:cs="宋体"/>
                <w:b/>
                <w:bCs/>
                <w:color w:val="auto"/>
                <w:highlight w:val="none"/>
              </w:rPr>
            </w:pPr>
            <w:bookmarkStart w:id="35" w:name="_Toc47388295"/>
            <w:bookmarkStart w:id="36" w:name="_Toc6626"/>
            <w:r>
              <w:rPr>
                <w:rFonts w:hint="eastAsia" w:ascii="宋体" w:hAnsi="宋体" w:cs="宋体"/>
                <w:color w:val="auto"/>
                <w:highlight w:val="none"/>
              </w:rPr>
              <w:t>详见技术需求。</w:t>
            </w:r>
            <w:bookmarkEnd w:id="35"/>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37" w:name="_Toc47388296"/>
            <w:bookmarkStart w:id="38" w:name="_Toc6713"/>
            <w:r>
              <w:rPr>
                <w:rFonts w:hint="eastAsia" w:ascii="宋体" w:hAnsi="宋体" w:cs="宋体"/>
                <w:color w:val="auto"/>
                <w:highlight w:val="none"/>
              </w:rPr>
              <w:t>四</w:t>
            </w:r>
            <w:bookmarkEnd w:id="37"/>
            <w:bookmarkEnd w:id="38"/>
          </w:p>
        </w:tc>
        <w:tc>
          <w:tcPr>
            <w:tcW w:w="3495" w:type="dxa"/>
            <w:vAlign w:val="center"/>
          </w:tcPr>
          <w:p>
            <w:pPr>
              <w:spacing w:line="400" w:lineRule="exact"/>
              <w:outlineLvl w:val="1"/>
              <w:rPr>
                <w:rFonts w:ascii="宋体" w:hAnsi="宋体" w:cs="宋体"/>
                <w:color w:val="auto"/>
                <w:highlight w:val="none"/>
              </w:rPr>
            </w:pPr>
            <w:bookmarkStart w:id="39" w:name="_Toc3523"/>
            <w:bookmarkStart w:id="40" w:name="_Toc47388297"/>
            <w:r>
              <w:rPr>
                <w:rFonts w:hint="eastAsia" w:ascii="宋体" w:hAnsi="宋体" w:cs="宋体"/>
                <w:color w:val="auto"/>
                <w:highlight w:val="none"/>
              </w:rPr>
              <w:t>采购标的的数量、采购项目交付或者实施的时间和地点</w:t>
            </w:r>
            <w:bookmarkEnd w:id="39"/>
            <w:bookmarkEnd w:id="40"/>
          </w:p>
        </w:tc>
        <w:tc>
          <w:tcPr>
            <w:tcW w:w="4095" w:type="dxa"/>
            <w:vAlign w:val="center"/>
          </w:tcPr>
          <w:p>
            <w:pPr>
              <w:spacing w:line="400" w:lineRule="exact"/>
              <w:outlineLvl w:val="1"/>
              <w:rPr>
                <w:rFonts w:ascii="宋体" w:hAnsi="宋体" w:cs="宋体"/>
                <w:b/>
                <w:bCs/>
                <w:color w:val="auto"/>
                <w:highlight w:val="none"/>
              </w:rPr>
            </w:pPr>
            <w:bookmarkStart w:id="41" w:name="_Toc27559"/>
            <w:bookmarkStart w:id="42" w:name="_Toc47388298"/>
            <w:r>
              <w:rPr>
                <w:rFonts w:hint="eastAsia" w:ascii="宋体" w:hAnsi="宋体" w:cs="宋体"/>
                <w:color w:val="auto"/>
                <w:highlight w:val="none"/>
              </w:rPr>
              <w:t>详见商务需求</w:t>
            </w:r>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43" w:name="_Toc47388299"/>
            <w:bookmarkStart w:id="44" w:name="_Toc9705"/>
            <w:r>
              <w:rPr>
                <w:rFonts w:hint="eastAsia" w:ascii="宋体" w:hAnsi="宋体" w:cs="宋体"/>
                <w:color w:val="auto"/>
                <w:highlight w:val="none"/>
              </w:rPr>
              <w:t>五</w:t>
            </w:r>
            <w:bookmarkEnd w:id="43"/>
            <w:bookmarkEnd w:id="44"/>
          </w:p>
        </w:tc>
        <w:tc>
          <w:tcPr>
            <w:tcW w:w="3495" w:type="dxa"/>
            <w:vAlign w:val="center"/>
          </w:tcPr>
          <w:p>
            <w:pPr>
              <w:spacing w:line="400" w:lineRule="exact"/>
              <w:outlineLvl w:val="1"/>
              <w:rPr>
                <w:rFonts w:ascii="宋体" w:hAnsi="宋体" w:cs="宋体"/>
                <w:color w:val="auto"/>
                <w:highlight w:val="none"/>
              </w:rPr>
            </w:pPr>
            <w:bookmarkStart w:id="45" w:name="_Toc17159"/>
            <w:bookmarkStart w:id="46" w:name="_Toc47388300"/>
            <w:r>
              <w:rPr>
                <w:rFonts w:hint="eastAsia" w:ascii="宋体" w:hAnsi="宋体" w:cs="宋体"/>
                <w:color w:val="auto"/>
                <w:highlight w:val="none"/>
              </w:rPr>
              <w:t>采购标的需满足的服务标准、期限、效率等要求</w:t>
            </w:r>
            <w:bookmarkEnd w:id="45"/>
            <w:bookmarkEnd w:id="46"/>
          </w:p>
        </w:tc>
        <w:tc>
          <w:tcPr>
            <w:tcW w:w="4095" w:type="dxa"/>
            <w:vAlign w:val="center"/>
          </w:tcPr>
          <w:p>
            <w:pPr>
              <w:spacing w:line="400" w:lineRule="exact"/>
              <w:outlineLvl w:val="1"/>
              <w:rPr>
                <w:rFonts w:ascii="宋体" w:hAnsi="宋体" w:cs="宋体"/>
                <w:b/>
                <w:bCs/>
                <w:color w:val="auto"/>
                <w:highlight w:val="none"/>
              </w:rPr>
            </w:pPr>
            <w:bookmarkStart w:id="47" w:name="_Toc47388301"/>
            <w:bookmarkStart w:id="48" w:name="_Toc28908"/>
            <w:r>
              <w:rPr>
                <w:rFonts w:hint="eastAsia" w:ascii="宋体" w:hAnsi="宋体" w:cs="宋体"/>
                <w:color w:val="auto"/>
                <w:highlight w:val="none"/>
              </w:rPr>
              <w:t>详见商务需求</w:t>
            </w:r>
            <w:bookmarkEnd w:id="47"/>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49" w:name="_Toc47388302"/>
            <w:bookmarkStart w:id="50" w:name="_Toc23727"/>
            <w:r>
              <w:rPr>
                <w:rFonts w:hint="eastAsia" w:ascii="宋体" w:hAnsi="宋体" w:cs="宋体"/>
                <w:color w:val="auto"/>
                <w:highlight w:val="none"/>
              </w:rPr>
              <w:t>六</w:t>
            </w:r>
            <w:bookmarkEnd w:id="49"/>
            <w:bookmarkEnd w:id="50"/>
          </w:p>
        </w:tc>
        <w:tc>
          <w:tcPr>
            <w:tcW w:w="3495" w:type="dxa"/>
            <w:vAlign w:val="center"/>
          </w:tcPr>
          <w:p>
            <w:pPr>
              <w:spacing w:line="400" w:lineRule="exact"/>
              <w:outlineLvl w:val="1"/>
              <w:rPr>
                <w:rFonts w:ascii="宋体" w:hAnsi="宋体" w:cs="宋体"/>
                <w:color w:val="auto"/>
                <w:highlight w:val="none"/>
              </w:rPr>
            </w:pPr>
            <w:bookmarkStart w:id="51" w:name="_Toc27008"/>
            <w:bookmarkStart w:id="52" w:name="_Toc47388303"/>
            <w:r>
              <w:rPr>
                <w:rFonts w:hint="eastAsia" w:ascii="宋体" w:hAnsi="宋体" w:cs="宋体"/>
                <w:color w:val="auto"/>
                <w:highlight w:val="none"/>
              </w:rPr>
              <w:t>采购标的的验收标准</w:t>
            </w:r>
            <w:bookmarkEnd w:id="51"/>
            <w:bookmarkEnd w:id="52"/>
          </w:p>
        </w:tc>
        <w:tc>
          <w:tcPr>
            <w:tcW w:w="4095" w:type="dxa"/>
            <w:vAlign w:val="center"/>
          </w:tcPr>
          <w:p>
            <w:pPr>
              <w:spacing w:line="400" w:lineRule="exact"/>
              <w:outlineLvl w:val="1"/>
              <w:rPr>
                <w:rFonts w:ascii="宋体" w:hAnsi="宋体" w:cs="宋体"/>
                <w:color w:val="auto"/>
                <w:highlight w:val="none"/>
              </w:rPr>
            </w:pPr>
            <w:bookmarkStart w:id="53" w:name="_Toc362"/>
            <w:bookmarkStart w:id="54" w:name="_Toc47388304"/>
            <w:r>
              <w:rPr>
                <w:rFonts w:hint="eastAsia" w:ascii="宋体" w:hAnsi="宋体" w:cs="宋体"/>
                <w:color w:val="auto"/>
                <w:highlight w:val="none"/>
              </w:rPr>
              <w:t>详见技术需求</w:t>
            </w:r>
            <w:bookmarkEnd w:id="53"/>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55" w:name="_Toc47388305"/>
            <w:bookmarkStart w:id="56" w:name="_Toc12938"/>
            <w:r>
              <w:rPr>
                <w:rFonts w:hint="eastAsia" w:ascii="宋体" w:hAnsi="宋体" w:cs="宋体"/>
                <w:color w:val="auto"/>
                <w:highlight w:val="none"/>
              </w:rPr>
              <w:t>七</w:t>
            </w:r>
            <w:bookmarkEnd w:id="55"/>
            <w:bookmarkEnd w:id="56"/>
          </w:p>
        </w:tc>
        <w:tc>
          <w:tcPr>
            <w:tcW w:w="3495" w:type="dxa"/>
            <w:vAlign w:val="center"/>
          </w:tcPr>
          <w:p>
            <w:pPr>
              <w:spacing w:line="400" w:lineRule="exact"/>
              <w:outlineLvl w:val="1"/>
              <w:rPr>
                <w:rFonts w:ascii="宋体" w:hAnsi="宋体" w:cs="宋体"/>
                <w:color w:val="auto"/>
                <w:highlight w:val="none"/>
              </w:rPr>
            </w:pPr>
            <w:bookmarkStart w:id="57" w:name="_Toc22727"/>
            <w:bookmarkStart w:id="58" w:name="_Toc47388306"/>
            <w:r>
              <w:rPr>
                <w:rFonts w:hint="eastAsia" w:ascii="宋体" w:hAnsi="宋体" w:cs="宋体"/>
                <w:color w:val="auto"/>
                <w:highlight w:val="none"/>
              </w:rPr>
              <w:t>采购标的的其他技术、服务等要求</w:t>
            </w:r>
            <w:bookmarkEnd w:id="57"/>
            <w:bookmarkEnd w:id="58"/>
          </w:p>
        </w:tc>
        <w:tc>
          <w:tcPr>
            <w:tcW w:w="4095" w:type="dxa"/>
            <w:vAlign w:val="center"/>
          </w:tcPr>
          <w:p>
            <w:pPr>
              <w:spacing w:line="400" w:lineRule="exact"/>
              <w:outlineLvl w:val="1"/>
              <w:rPr>
                <w:rFonts w:ascii="宋体" w:hAnsi="宋体" w:cs="宋体"/>
                <w:color w:val="auto"/>
                <w:highlight w:val="none"/>
              </w:rPr>
            </w:pPr>
            <w:bookmarkStart w:id="59" w:name="_Toc47388307"/>
            <w:bookmarkStart w:id="60" w:name="_Toc3237"/>
            <w:r>
              <w:rPr>
                <w:rFonts w:hint="eastAsia" w:ascii="宋体" w:hAnsi="宋体" w:cs="宋体"/>
                <w:color w:val="auto"/>
                <w:highlight w:val="none"/>
              </w:rPr>
              <w:t>详见技术需求</w:t>
            </w:r>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61" w:name="_Toc17147"/>
            <w:bookmarkStart w:id="62" w:name="_Toc47388308"/>
            <w:r>
              <w:rPr>
                <w:rFonts w:hint="eastAsia" w:ascii="宋体" w:hAnsi="宋体" w:cs="宋体"/>
                <w:color w:val="auto"/>
                <w:highlight w:val="none"/>
              </w:rPr>
              <w:t>八</w:t>
            </w:r>
            <w:bookmarkEnd w:id="61"/>
            <w:bookmarkEnd w:id="62"/>
          </w:p>
        </w:tc>
        <w:tc>
          <w:tcPr>
            <w:tcW w:w="3495" w:type="dxa"/>
          </w:tcPr>
          <w:p>
            <w:pPr>
              <w:spacing w:line="400" w:lineRule="exact"/>
              <w:outlineLvl w:val="1"/>
              <w:rPr>
                <w:rFonts w:ascii="宋体" w:hAnsi="宋体" w:cs="宋体"/>
                <w:color w:val="auto"/>
                <w:highlight w:val="none"/>
              </w:rPr>
            </w:pPr>
            <w:bookmarkStart w:id="63" w:name="_Toc6426"/>
            <w:bookmarkStart w:id="64" w:name="_Toc47388312"/>
            <w:r>
              <w:rPr>
                <w:rFonts w:hint="eastAsia" w:ascii="宋体" w:hAnsi="宋体" w:cs="宋体"/>
                <w:color w:val="auto"/>
                <w:highlight w:val="none"/>
              </w:rPr>
              <w:t>现场踏勘</w:t>
            </w:r>
            <w:bookmarkEnd w:id="63"/>
            <w:bookmarkEnd w:id="64"/>
          </w:p>
        </w:tc>
        <w:tc>
          <w:tcPr>
            <w:tcW w:w="4095" w:type="dxa"/>
            <w:vAlign w:val="center"/>
          </w:tcPr>
          <w:p>
            <w:pPr>
              <w:spacing w:line="400" w:lineRule="exact"/>
              <w:outlineLvl w:val="1"/>
              <w:rPr>
                <w:rFonts w:ascii="宋体" w:hAnsi="宋体" w:cs="宋体"/>
                <w:color w:val="auto"/>
                <w:highlight w:val="none"/>
              </w:rPr>
            </w:pPr>
            <w:bookmarkStart w:id="65" w:name="_Toc47388313"/>
            <w:bookmarkStart w:id="66" w:name="_Toc7814"/>
            <w:r>
              <w:rPr>
                <w:rFonts w:hint="eastAsia" w:ascii="宋体" w:hAnsi="宋体" w:cs="宋体"/>
                <w:color w:val="auto"/>
                <w:highlight w:val="none"/>
              </w:rPr>
              <w:t>无</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67" w:name="_Toc23900"/>
            <w:bookmarkStart w:id="68" w:name="_Toc47388311"/>
            <w:r>
              <w:rPr>
                <w:rFonts w:hint="eastAsia" w:ascii="宋体" w:hAnsi="宋体" w:cs="宋体"/>
                <w:color w:val="auto"/>
                <w:highlight w:val="none"/>
              </w:rPr>
              <w:t>九</w:t>
            </w:r>
            <w:bookmarkEnd w:id="67"/>
            <w:bookmarkEnd w:id="68"/>
          </w:p>
        </w:tc>
        <w:tc>
          <w:tcPr>
            <w:tcW w:w="3495" w:type="dxa"/>
          </w:tcPr>
          <w:p>
            <w:pPr>
              <w:spacing w:line="400" w:lineRule="exact"/>
              <w:outlineLvl w:val="1"/>
              <w:rPr>
                <w:rFonts w:ascii="宋体" w:hAnsi="宋体" w:cs="宋体"/>
                <w:color w:val="auto"/>
                <w:highlight w:val="none"/>
              </w:rPr>
            </w:pPr>
            <w:bookmarkStart w:id="69" w:name="_Toc47388315"/>
            <w:bookmarkStart w:id="70" w:name="_Toc16439"/>
            <w:r>
              <w:rPr>
                <w:rFonts w:hint="eastAsia" w:ascii="宋体" w:hAnsi="宋体" w:cs="宋体"/>
                <w:color w:val="auto"/>
                <w:highlight w:val="none"/>
              </w:rPr>
              <w:t>样品要求</w:t>
            </w:r>
            <w:bookmarkEnd w:id="69"/>
            <w:bookmarkEnd w:id="70"/>
          </w:p>
        </w:tc>
        <w:tc>
          <w:tcPr>
            <w:tcW w:w="4095" w:type="dxa"/>
            <w:vAlign w:val="center"/>
          </w:tcPr>
          <w:p>
            <w:pPr>
              <w:spacing w:line="400" w:lineRule="exact"/>
              <w:outlineLvl w:val="1"/>
              <w:rPr>
                <w:rFonts w:ascii="宋体" w:hAnsi="宋体" w:cs="宋体"/>
                <w:color w:val="auto"/>
                <w:highlight w:val="none"/>
              </w:rPr>
            </w:pPr>
            <w:bookmarkStart w:id="71" w:name="_Toc21374"/>
            <w:bookmarkStart w:id="72" w:name="_Toc47388316"/>
            <w:r>
              <w:rPr>
                <w:rFonts w:hint="eastAsia" w:ascii="宋体" w:hAnsi="宋体" w:cs="宋体"/>
                <w:color w:val="auto"/>
                <w:highlight w:val="none"/>
              </w:rPr>
              <w:t>无</w:t>
            </w:r>
            <w:bookmarkEnd w:id="71"/>
            <w:bookmarkEnd w:id="72"/>
          </w:p>
        </w:tc>
      </w:tr>
    </w:tbl>
    <w:p>
      <w:pPr>
        <w:snapToGrid w:val="0"/>
        <w:spacing w:line="360" w:lineRule="auto"/>
        <w:rPr>
          <w:rFonts w:ascii="宋体" w:hAnsi="宋体" w:cs="宋体"/>
          <w:color w:val="auto"/>
          <w:highlight w:val="none"/>
        </w:rPr>
      </w:pPr>
    </w:p>
    <w:p>
      <w:pPr>
        <w:rPr>
          <w:rFonts w:ascii="宋体" w:hAnsi="宋体" w:cs="宋体"/>
          <w:color w:val="auto"/>
          <w:highlight w:val="none"/>
        </w:rPr>
      </w:pPr>
      <w:r>
        <w:rPr>
          <w:rFonts w:hint="eastAsia" w:ascii="宋体" w:hAnsi="宋体" w:cs="宋体"/>
          <w:b/>
          <w:bCs/>
          <w:color w:val="auto"/>
          <w:highlight w:val="none"/>
        </w:rPr>
        <w:br w:type="page"/>
      </w:r>
      <w:bookmarkStart w:id="73" w:name="_Toc1077"/>
      <w:bookmarkStart w:id="74" w:name="_Toc47388317"/>
    </w:p>
    <w:p>
      <w:pPr>
        <w:snapToGrid w:val="0"/>
        <w:spacing w:line="360" w:lineRule="auto"/>
        <w:rPr>
          <w:rFonts w:ascii="宋体" w:hAnsi="宋体" w:cs="宋体"/>
          <w:b/>
          <w:bCs/>
          <w:color w:val="auto"/>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numPr>
          <w:ilvl w:val="0"/>
          <w:numId w:val="8"/>
        </w:numPr>
        <w:snapToGrid w:val="0"/>
        <w:spacing w:line="360" w:lineRule="auto"/>
        <w:rPr>
          <w:rFonts w:ascii="宋体" w:hAnsi="宋体" w:cs="宋体"/>
          <w:color w:val="auto"/>
          <w:highlight w:val="none"/>
        </w:rPr>
      </w:pPr>
      <w:r>
        <w:rPr>
          <w:rFonts w:hint="eastAsia" w:ascii="宋体" w:hAnsi="宋体" w:cs="宋体"/>
          <w:b/>
          <w:bCs/>
          <w:color w:val="auto"/>
          <w:highlight w:val="none"/>
        </w:rPr>
        <w:t>商务要求</w:t>
      </w:r>
    </w:p>
    <w:tbl>
      <w:tblPr>
        <w:tblStyle w:val="48"/>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143" w:type="dxa"/>
            <w:tcBorders>
              <w:tl2br w:val="nil"/>
              <w:tr2bl w:val="nil"/>
            </w:tcBorders>
            <w:vAlign w:val="center"/>
          </w:tcPr>
          <w:p>
            <w:pPr>
              <w:pStyle w:val="18"/>
              <w:spacing w:after="0"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商务要求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★一</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付款方式：</w:t>
            </w:r>
          </w:p>
          <w:p>
            <w:pPr>
              <w:spacing w:line="360" w:lineRule="auto"/>
              <w:jc w:val="left"/>
              <w:rPr>
                <w:rFonts w:ascii="宋体" w:hAnsi="宋体" w:cs="宋体"/>
                <w:color w:val="auto"/>
                <w:highlight w:val="none"/>
              </w:rPr>
            </w:pPr>
            <w:r>
              <w:rPr>
                <w:rFonts w:hint="eastAsia" w:ascii="宋体" w:hAnsi="宋体" w:cs="宋体"/>
                <w:color w:val="auto"/>
                <w:highlight w:val="none"/>
              </w:rPr>
              <w:t>合同生效并具备实施条件后7个工作日内支付合同金额的40%作为预付款，（供应商为《政府采购促进中小企业发展管理办法》（财库﹝2020﹞46号）第四条认定的大型企业无预付款，不适用该条款）；</w:t>
            </w:r>
          </w:p>
          <w:p>
            <w:pPr>
              <w:spacing w:line="360" w:lineRule="auto"/>
              <w:jc w:val="left"/>
              <w:rPr>
                <w:rFonts w:ascii="宋体" w:hAnsi="宋体" w:cs="宋体"/>
                <w:color w:val="auto"/>
                <w:highlight w:val="none"/>
              </w:rPr>
            </w:pPr>
            <w:r>
              <w:rPr>
                <w:rFonts w:hint="eastAsia" w:ascii="宋体" w:hAnsi="宋体" w:cs="宋体"/>
                <w:color w:val="auto"/>
                <w:highlight w:val="none"/>
              </w:rPr>
              <w:t>项目验收合格并收到中标人正式发票之日起7个工作日内付清合同款。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二</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其他：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2.1</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列出详细的设备配置清单（包括附件及选配件），清单包括：硬件、软件、附件及选配件的规格型号、接口。提供分项价格并提供价格的折扣率，同时提供耗</w:t>
            </w:r>
            <w:r>
              <w:rPr>
                <w:rFonts w:hint="eastAsia" w:ascii="宋体" w:hAnsi="宋体" w:cs="宋体"/>
                <w:color w:val="auto"/>
                <w:highlight w:val="none"/>
                <w:lang w:val="en-US" w:eastAsia="zh-CN"/>
              </w:rPr>
              <w:t>材</w:t>
            </w:r>
            <w:r>
              <w:rPr>
                <w:rFonts w:hint="eastAsia" w:ascii="宋体" w:hAnsi="宋体" w:cs="宋体"/>
                <w:color w:val="auto"/>
                <w:highlight w:val="none"/>
              </w:rPr>
              <w:t>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2.2</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各类必要证件（书），包括但不限于进字号注册证、医疗器械注册证和消毒产品卫生安全评价报告。全套设备必须为全新，未曾使用过的原装产品，软件版本为最新版本（投标文件中须注明设备进入市场时间及软件最新版本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2.3</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招标设备如为法定商检产品或国家强检计量设备，由中标人负责进行商检或计量等，费用包含在投标总价之内。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2.4</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投标人必须以招标人需要的机型进行投标，在投标时如实响应招标文件技术文件并提供完全配置，不得欺骗、隐瞒，投标后对招标文件的响应内容，不得以任何理由加价，招、投标文件为合同的组成部分，具备同等法律效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2.5</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提供纸质和电子版操作手册（包括纸质版两套和电子版一套）、维修手册（包括维修技术资料及线路图）、软件、维修零配件、维修密码等。</w:t>
            </w:r>
            <w:r>
              <w:rPr>
                <w:rFonts w:hint="eastAsia" w:ascii="宋体" w:hAnsi="宋体" w:eastAsia="宋体" w:cs="宋体"/>
                <w:color w:val="auto"/>
                <w:sz w:val="22"/>
                <w:szCs w:val="22"/>
                <w:highlight w:val="none"/>
              </w:rPr>
              <w:t>开放维修权限，医院工程师具有自主维修权限</w:t>
            </w:r>
            <w:r>
              <w:rPr>
                <w:rFonts w:hint="eastAsia" w:ascii="宋体" w:hAnsi="宋体" w:cs="宋体"/>
                <w:color w:val="auto"/>
                <w:sz w:val="22"/>
                <w:szCs w:val="22"/>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2.6</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提供近三年内国内医院的用户名单、联系电话。（同规格型号的用户）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2.7</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如实提供有注册证医疗器械的使用年限或使用期限。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2.8</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2.9</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免费开放所有接口，便于信息系统接入</w:t>
            </w:r>
            <w:r>
              <w:rPr>
                <w:rFonts w:hint="eastAsia" w:ascii="宋体" w:hAnsi="宋体" w:cs="宋体"/>
                <w:color w:val="auto"/>
                <w:kern w:val="0"/>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3.10</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投标设备使用寿命≥10年。</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3.11</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及时提供投标设备新功能信息和临床应用的资料。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三</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售后服务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★3.1</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b/>
                <w:bCs/>
                <w:color w:val="auto"/>
                <w:kern w:val="0"/>
                <w:highlight w:val="none"/>
              </w:rPr>
              <w:t>设备验收合格后整机及附属设备免费保修</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u w:val="none"/>
              </w:rPr>
              <w:t>≥</w:t>
            </w:r>
            <w:r>
              <w:rPr>
                <w:rFonts w:hint="eastAsia" w:ascii="宋体" w:hAnsi="宋体" w:cs="宋体"/>
                <w:b/>
                <w:bCs/>
                <w:color w:val="auto"/>
                <w:kern w:val="0"/>
                <w:highlight w:val="none"/>
                <w:u w:val="none"/>
                <w:lang w:val="en-US" w:eastAsia="zh-CN"/>
              </w:rPr>
              <w:t>3</w:t>
            </w:r>
            <w:r>
              <w:rPr>
                <w:rFonts w:hint="eastAsia" w:ascii="宋体" w:hAnsi="宋体" w:cs="宋体"/>
                <w:b/>
                <w:bCs/>
                <w:color w:val="auto"/>
                <w:kern w:val="0"/>
                <w:highlight w:val="none"/>
                <w:u w:val="none"/>
              </w:rPr>
              <w:t>年</w:t>
            </w:r>
            <w:r>
              <w:rPr>
                <w:rFonts w:hint="eastAsia" w:ascii="宋体" w:hAnsi="宋体" w:cs="宋体"/>
                <w:b/>
                <w:bCs/>
                <w:color w:val="auto"/>
                <w:kern w:val="0"/>
                <w:highlight w:val="none"/>
              </w:rPr>
              <w:t>。设备停产后仍保证零配件供应</w:t>
            </w:r>
            <w:r>
              <w:rPr>
                <w:rFonts w:hint="eastAsia" w:ascii="宋体" w:hAnsi="宋体" w:cs="宋体"/>
                <w:b/>
                <w:bCs/>
                <w:color w:val="auto"/>
                <w:kern w:val="0"/>
                <w:highlight w:val="none"/>
                <w:lang w:val="en-US" w:eastAsia="zh-CN"/>
              </w:rPr>
              <w:t>7</w:t>
            </w:r>
            <w:r>
              <w:rPr>
                <w:rFonts w:hint="eastAsia" w:ascii="宋体" w:hAnsi="宋体" w:cs="宋体"/>
                <w:b/>
                <w:bCs/>
                <w:color w:val="auto"/>
                <w:kern w:val="0"/>
                <w:highlight w:val="none"/>
              </w:rPr>
              <w:t>年及以上（保修起始时间以医院验收合格之日为准）。</w:t>
            </w:r>
            <w:r>
              <w:rPr>
                <w:rFonts w:hint="eastAsia" w:ascii="宋体" w:hAnsi="宋体" w:cs="宋体"/>
                <w:color w:val="auto"/>
                <w:kern w:val="0"/>
                <w:highlight w:val="none"/>
              </w:rPr>
              <w:t>投标人需提供保修期后每年整机保修费用，</w:t>
            </w:r>
            <w:r>
              <w:rPr>
                <w:rFonts w:hint="eastAsia" w:ascii="宋体" w:hAnsi="宋体" w:cs="宋体"/>
                <w:color w:val="auto"/>
                <w:highlight w:val="none"/>
              </w:rPr>
              <w:t>单独报价，</w:t>
            </w:r>
            <w:r>
              <w:rPr>
                <w:rFonts w:hint="eastAsia" w:ascii="宋体" w:hAnsi="宋体" w:cs="宋体"/>
                <w:color w:val="auto"/>
                <w:kern w:val="0"/>
                <w:highlight w:val="none"/>
              </w:rPr>
              <w:t>并且保证价格为真实、有效，并作为售后服务的评标依据，保修期后需要保修的，不高于此价格（如技术需求中有相关要求，以技术需求准）。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3.2</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color w:val="auto"/>
                <w:highlight w:val="none"/>
              </w:rPr>
              <w:t>保修范围内设备的故障维修响应时间≤2小时，到达现场时间＜24小时（包括节假日），8个工作小时未修复须提供备品备件。每次现场服务后提供详细的维修报告单。</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3.3</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color w:val="auto"/>
                <w:highlight w:val="none"/>
              </w:rPr>
              <w:t>保修期内每年开机率不低于95%（一年按365天计），即停机天数不超过18个自然日/年，如开机率达不到要求，每停机超过1个自然日保修期相应延长10个自然日。单次停机时间不得超过一周，否则投标人需做出相应补偿并承担责任。</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3.4</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按规范进行每年至少2次的维保、检测服务并提供详细的维保及检测报告（提供有关测试证明）等。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3.5</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保修期内，确保设备通过浙江省卫生厅的质控检查和技术监督局等有关部门的技术检测。如不合格，承担重检费用，直至通过检测。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3.6</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kern w:val="0"/>
                <w:highlight w:val="none"/>
              </w:rPr>
              <w:t>在保质期内出现问题，所产生的维修费用（包括零部件费用、运返费用等费用)均由投标人承担；</w:t>
            </w:r>
            <w:r>
              <w:rPr>
                <w:rFonts w:hint="eastAsia" w:ascii="宋体" w:hAnsi="宋体" w:cs="宋体"/>
                <w:color w:val="auto"/>
                <w:highlight w:val="none"/>
              </w:rPr>
              <w:t>保修期后，</w:t>
            </w:r>
            <w:r>
              <w:rPr>
                <w:rFonts w:hint="eastAsia" w:ascii="宋体" w:hAnsi="宋体" w:cs="宋体"/>
                <w:color w:val="auto"/>
                <w:kern w:val="0"/>
                <w:highlight w:val="none"/>
              </w:rPr>
              <w:t>投标人应提供终身维修，</w:t>
            </w:r>
            <w:r>
              <w:rPr>
                <w:rFonts w:hint="eastAsia" w:ascii="宋体" w:hAnsi="宋体" w:cs="宋体"/>
                <w:color w:val="auto"/>
                <w:highlight w:val="none"/>
              </w:rPr>
              <w:t>对设备进行维修免收差旅费、人工费等，仅收损坏更换的零备件费。必须做到先维修后付款。要求原厂或原厂授权维修服务机构进行书面承诺。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3.7</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提供保修期后消耗品和常用零配件的供应价格与折扣，折扣按优惠程度供应（供应价格和折扣，在投标文件中明确）。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3.8</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3.9</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提供售后服务地址、联系人、电话等信息。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3.10</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提供软件光盘，软件终身免费升级。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3.11</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如属计量器具、放射类设备，则卖方提供经买方认可的且具有资质的检测机构出具的计量、放射防护检测合格报告，检测费用包含在合同总价中。</w:t>
            </w:r>
          </w:p>
          <w:p>
            <w:pPr>
              <w:spacing w:line="360" w:lineRule="auto"/>
              <w:rPr>
                <w:rFonts w:ascii="宋体" w:hAnsi="宋体" w:cs="宋体"/>
                <w:b/>
                <w:bCs/>
                <w:color w:val="auto"/>
                <w:highlight w:val="none"/>
              </w:rPr>
            </w:pPr>
            <w:r>
              <w:rPr>
                <w:rFonts w:hint="eastAsia" w:ascii="宋体" w:hAnsi="宋体" w:cs="宋体"/>
                <w:color w:val="auto"/>
                <w:highlight w:val="none"/>
              </w:rPr>
              <w:t>若设备有信息系统接口，则全部免费开放。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四</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安装及验收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4.1</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安装地点：医院指定地点。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4.2</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安装要求：到货后</w:t>
            </w:r>
            <w:r>
              <w:rPr>
                <w:rFonts w:hint="eastAsia" w:ascii="宋体" w:hAnsi="宋体" w:cs="宋体"/>
                <w:color w:val="auto"/>
                <w:highlight w:val="none"/>
              </w:rPr>
              <w:t>接到采购人通知7天内全部安装调试完成。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4.3</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安装、验收前所产生的一切费用及风险（包括运输费、保险费、装卸及搬运费用等）由供方负责提供。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4.4</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安装、验收标准：应与产品技术数据及投标文件技术文件一致，符合我国有关技术规范和技术标准，符合合同要求。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4.5</w:t>
            </w:r>
          </w:p>
        </w:tc>
        <w:tc>
          <w:tcPr>
            <w:tcW w:w="7143" w:type="dxa"/>
            <w:tcBorders>
              <w:tl2br w:val="nil"/>
              <w:tr2bl w:val="nil"/>
            </w:tcBorders>
            <w:vAlign w:val="center"/>
          </w:tcPr>
          <w:p>
            <w:pPr>
              <w:widowControl/>
              <w:spacing w:line="360" w:lineRule="auto"/>
              <w:rPr>
                <w:rFonts w:ascii="宋体" w:hAnsi="宋体" w:cs="宋体"/>
                <w:color w:val="auto"/>
                <w:kern w:val="0"/>
                <w:highlight w:val="none"/>
              </w:rPr>
            </w:pPr>
            <w:r>
              <w:rPr>
                <w:rFonts w:hint="eastAsia" w:ascii="宋体" w:hAnsi="宋体" w:cs="宋体"/>
                <w:color w:val="auto"/>
                <w:kern w:val="0"/>
                <w:highlight w:val="none"/>
              </w:rPr>
              <w:t>验收：符合医院的验收规范。</w:t>
            </w:r>
          </w:p>
          <w:p>
            <w:pPr>
              <w:widowControl/>
              <w:spacing w:line="360" w:lineRule="auto"/>
              <w:rPr>
                <w:rFonts w:ascii="宋体" w:hAnsi="宋体" w:cs="宋体"/>
                <w:color w:val="auto"/>
                <w:kern w:val="0"/>
                <w:highlight w:val="none"/>
              </w:rPr>
            </w:pPr>
            <w:r>
              <w:rPr>
                <w:rFonts w:hint="eastAsia" w:ascii="宋体" w:hAnsi="宋体" w:cs="宋体"/>
                <w:b/>
                <w:bCs/>
                <w:color w:val="auto"/>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五</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交货期：合同签订之日起</w:t>
            </w:r>
            <w:r>
              <w:rPr>
                <w:rFonts w:hint="eastAsia" w:ascii="宋体" w:hAnsi="宋体" w:cs="宋体"/>
                <w:b/>
                <w:bCs/>
                <w:color w:val="auto"/>
                <w:kern w:val="0"/>
                <w:highlight w:val="none"/>
                <w:u w:val="single"/>
              </w:rPr>
              <w:t>30天</w:t>
            </w:r>
            <w:r>
              <w:rPr>
                <w:rFonts w:hint="eastAsia" w:ascii="宋体" w:hAnsi="宋体" w:cs="宋体"/>
                <w:b/>
                <w:bCs/>
                <w:color w:val="auto"/>
                <w:kern w:val="0"/>
                <w:highlight w:val="none"/>
              </w:rPr>
              <w:t>内。</w:t>
            </w:r>
          </w:p>
        </w:tc>
      </w:tr>
    </w:tbl>
    <w:p>
      <w:pPr>
        <w:snapToGrid w:val="0"/>
        <w:spacing w:line="360" w:lineRule="auto"/>
        <w:rPr>
          <w:rFonts w:ascii="宋体" w:hAnsi="宋体" w:cs="宋体"/>
          <w:b/>
          <w:bCs/>
          <w:color w:val="auto"/>
          <w:highlight w:val="none"/>
        </w:rPr>
      </w:pPr>
    </w:p>
    <w:p>
      <w:pPr>
        <w:snapToGrid w:val="0"/>
        <w:spacing w:line="360" w:lineRule="auto"/>
        <w:rPr>
          <w:rFonts w:ascii="宋体" w:hAnsi="宋体" w:cs="宋体"/>
          <w:b/>
          <w:bCs/>
          <w:color w:val="auto"/>
          <w:highlight w:val="none"/>
        </w:rPr>
      </w:pPr>
    </w:p>
    <w:p>
      <w:pPr>
        <w:numPr>
          <w:ilvl w:val="0"/>
          <w:numId w:val="8"/>
        </w:numPr>
        <w:snapToGrid w:val="0"/>
        <w:spacing w:line="360" w:lineRule="auto"/>
        <w:rPr>
          <w:rFonts w:ascii="宋体" w:hAnsi="宋体" w:cs="宋体"/>
          <w:b/>
          <w:bCs/>
          <w:color w:val="auto"/>
          <w:highlight w:val="none"/>
        </w:rPr>
      </w:pPr>
      <w:r>
        <w:rPr>
          <w:rFonts w:hint="eastAsia" w:ascii="宋体" w:hAnsi="宋体" w:cs="宋体"/>
          <w:b/>
          <w:bCs/>
          <w:color w:val="auto"/>
          <w:highlight w:val="none"/>
        </w:rPr>
        <w:t>技术需求：</w:t>
      </w:r>
    </w:p>
    <w:p>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 xml:space="preserve">标项一：便捷彩色超声多普勒系统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数量：</w:t>
      </w:r>
      <w:r>
        <w:rPr>
          <w:rFonts w:hint="eastAsia" w:ascii="宋体" w:hAnsi="宋体" w:cs="宋体"/>
          <w:b/>
          <w:bCs/>
          <w:color w:val="auto"/>
          <w:highlight w:val="none"/>
          <w:lang w:val="en-US" w:eastAsia="zh-CN"/>
        </w:rPr>
        <w:t>1套</w:t>
      </w:r>
      <w:r>
        <w:rPr>
          <w:rFonts w:hint="eastAsia" w:ascii="宋体" w:hAnsi="宋体" w:cs="宋体"/>
          <w:b/>
          <w:bCs/>
          <w:color w:val="auto"/>
          <w:highlight w:val="none"/>
        </w:rPr>
        <w:t xml:space="preserve">                                      </w:t>
      </w:r>
    </w:p>
    <w:tbl>
      <w:tblPr>
        <w:tblStyle w:val="48"/>
        <w:tblpPr w:leftFromText="180" w:rightFromText="180" w:vertAnchor="text" w:tblpX="-115" w:tblpY="1"/>
        <w:tblOverlap w:val="never"/>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28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6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参数要求</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top"/>
          </w:tcPr>
          <w:p>
            <w:pPr>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rPr>
              <w:t>一</w:t>
            </w:r>
          </w:p>
        </w:tc>
        <w:tc>
          <w:tcPr>
            <w:tcW w:w="3668" w:type="pct"/>
            <w:vAlign w:val="top"/>
          </w:tcPr>
          <w:p>
            <w:pPr>
              <w:spacing w:line="360" w:lineRule="auto"/>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具体</w:t>
            </w:r>
            <w:r>
              <w:rPr>
                <w:rFonts w:hint="eastAsia" w:ascii="宋体" w:hAnsi="宋体" w:eastAsia="宋体" w:cs="宋体"/>
                <w:b/>
                <w:bCs/>
                <w:color w:val="auto"/>
                <w:sz w:val="21"/>
                <w:szCs w:val="21"/>
                <w:highlight w:val="none"/>
              </w:rPr>
              <w:t>技术参数</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top"/>
          </w:tcPr>
          <w:p>
            <w:pPr>
              <w:spacing w:line="360" w:lineRule="auto"/>
              <w:jc w:val="center"/>
              <w:rPr>
                <w:rFonts w:hint="eastAsia" w:ascii="宋体" w:hAnsi="宋体" w:eastAsia="宋体" w:cs="宋体"/>
                <w:b/>
                <w:bCs/>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p>
        </w:tc>
        <w:tc>
          <w:tcPr>
            <w:tcW w:w="3668" w:type="pct"/>
            <w:vAlign w:val="top"/>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设备可广泛应用于腹部、浅表、小器官、外周血管、心脏、肌骨、血管外通路等疾病的评估与诊断,以及引导介入治疗</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p>
        </w:tc>
        <w:tc>
          <w:tcPr>
            <w:tcW w:w="3668" w:type="pct"/>
            <w:vAlign w:val="top"/>
          </w:tcPr>
          <w:p>
            <w:pPr>
              <w:autoSpaceDE w:val="0"/>
              <w:autoSpaceDN w:val="0"/>
              <w:adjustRightInd w:val="0"/>
              <w:spacing w:line="360" w:lineRule="auto"/>
              <w:ind w:right="105" w:rightChars="5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翻盖式显示器≥15寸高端便携彩超, 非平板式，显示器可前后、左右四个方向旋转，其中左右旋转角度（不依赖台车）≥60度。减少操作医生的负担</w:t>
            </w:r>
            <w:r>
              <w:rPr>
                <w:rFonts w:hint="eastAsia" w:ascii="宋体" w:hAnsi="宋体" w:eastAsia="宋体" w:cs="宋体"/>
                <w:color w:val="auto"/>
                <w:kern w:val="0"/>
                <w:sz w:val="21"/>
                <w:szCs w:val="21"/>
                <w:highlight w:val="none"/>
                <w:lang w:eastAsia="zh-CN" w:bidi="ar"/>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p>
        </w:tc>
        <w:tc>
          <w:tcPr>
            <w:tcW w:w="3668" w:type="pct"/>
            <w:vAlign w:val="top"/>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数字化二维灰阶成像单元</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3668" w:type="pct"/>
            <w:vAlign w:val="top"/>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数字化彩色多普勒成像单元</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3668" w:type="pct"/>
            <w:vAlign w:val="top"/>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数字化频谱多普勒显示和分析单元</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3668" w:type="pct"/>
            <w:vAlign w:val="top"/>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zh-CN"/>
              </w:rPr>
              <w:t>数字化能量血流成像单元；</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物理通道数，发射通道、接受通道≥96</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动态聚焦和处理成像技术</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9</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空间复合成像技术，同时作用于发射和接收，支持线阵和凸阵探头</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10</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智能化斑点噪声抑制技术</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11</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复合组织谐波成像技术，实现三组基波发射，六组谐波成像</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12</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检查模式菜单可根据用户需求自定义设置</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13</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人机界面操作简单，物理操作面板上的物理操作按（或旋）钮数量8个（不包括电源关开关机键）</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14</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系统启动时间≤15秒</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15</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可选高级精细血流成像功能</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16</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系统默认人体体表标记图谱≥300个</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17</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具有SNV穿刺针增强技术，运动针体和针尖可两种颜色显示（同时支持高频线阵和低频凸阵探头），帮助精准定位和穿刺（</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提供图片证明</w:t>
            </w:r>
            <w:r>
              <w:rPr>
                <w:rFonts w:hint="eastAsia" w:ascii="宋体" w:hAnsi="宋体" w:eastAsia="宋体" w:cs="宋体"/>
                <w:color w:val="auto"/>
                <w:sz w:val="21"/>
                <w:szCs w:val="21"/>
                <w:highlight w:val="none"/>
                <w:lang w:val="en-US" w:eastAsia="zh-CN"/>
              </w:rPr>
              <w:t>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18</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具有实时双幅显示功能</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19</w:t>
            </w:r>
          </w:p>
        </w:tc>
        <w:tc>
          <w:tcPr>
            <w:tcW w:w="3668" w:type="pct"/>
            <w:vAlign w:val="center"/>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具有梯形扩展功能</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20</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具有二维图像90度旋转功能</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21</w:t>
            </w:r>
          </w:p>
        </w:tc>
        <w:tc>
          <w:tcPr>
            <w:tcW w:w="3668" w:type="pct"/>
            <w:vAlign w:val="center"/>
          </w:tcPr>
          <w:p>
            <w:pPr>
              <w:autoSpaceDE w:val="0"/>
              <w:autoSpaceDN w:val="0"/>
              <w:adjustRightInd w:val="0"/>
              <w:spacing w:line="360" w:lineRule="auto"/>
              <w:ind w:right="105" w:rightChars="5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持续动态存储图像时间≥2分钟</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22</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肌骨常规测量，特殊测量比如肌肉羽状角等测量；默认肌骨菜单模式</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23</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二维图像偏转功能</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24</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具有M型</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25</w:t>
            </w:r>
          </w:p>
        </w:tc>
        <w:tc>
          <w:tcPr>
            <w:tcW w:w="3668" w:type="pct"/>
            <w:vAlign w:val="center"/>
          </w:tcPr>
          <w:p>
            <w:pPr>
              <w:autoSpaceDE w:val="0"/>
              <w:autoSpaceDN w:val="0"/>
              <w:adjustRightInd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通道数≥29869</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26</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机器操作系统语言可根据用户需求，可实现中文、英文、日文等多种语言快捷切换。</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27</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对已存储图片数据进行再编辑测量功能</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28</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根据不同医生习惯可参数自定义预设定制功能，包括图像参数预设、控制面板预设、显示器上操作菜单的重新预设等，操作面板上，</w:t>
            </w:r>
            <w:r>
              <w:rPr>
                <w:rFonts w:hint="eastAsia" w:ascii="宋体" w:hAnsi="宋体" w:eastAsia="宋体" w:cs="宋体"/>
                <w:color w:val="auto"/>
                <w:sz w:val="21"/>
                <w:szCs w:val="21"/>
                <w:highlight w:val="none"/>
              </w:rPr>
              <w:t>可以自定义参数设定机械旋（按）钮≥4 个</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29</w:t>
            </w:r>
          </w:p>
        </w:tc>
        <w:tc>
          <w:tcPr>
            <w:tcW w:w="3668" w:type="pct"/>
            <w:vAlign w:val="center"/>
          </w:tcPr>
          <w:p>
            <w:pPr>
              <w:autoSpaceDE w:val="0"/>
              <w:autoSpaceDN w:val="0"/>
              <w:adjustRightIn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探头上设计有激光MARK点，包括有正中心点和两个旁中心点，与主机屏幕上的穿刺线有效配合，更方便平面外精准定位和穿刺。</w:t>
            </w:r>
            <w:r>
              <w:rPr>
                <w:rFonts w:hint="eastAsia" w:ascii="宋体" w:hAnsi="宋体" w:eastAsia="宋体" w:cs="宋体"/>
                <w:color w:val="auto"/>
                <w:sz w:val="21"/>
                <w:szCs w:val="21"/>
                <w:highlight w:val="none"/>
              </w:rPr>
              <w:t xml:space="preserve"> </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30</w:t>
            </w:r>
          </w:p>
        </w:tc>
        <w:tc>
          <w:tcPr>
            <w:tcW w:w="3668" w:type="pct"/>
            <w:vAlign w:val="center"/>
          </w:tcPr>
          <w:p>
            <w:pPr>
              <w:autoSpaceDE w:val="0"/>
              <w:autoSpaceDN w:val="0"/>
              <w:adjustRightIn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具备物理轨迹球；</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31</w:t>
            </w:r>
          </w:p>
        </w:tc>
        <w:tc>
          <w:tcPr>
            <w:tcW w:w="3668" w:type="pct"/>
            <w:vAlign w:val="center"/>
          </w:tcPr>
          <w:p>
            <w:pPr>
              <w:autoSpaceDE w:val="0"/>
              <w:autoSpaceDN w:val="0"/>
              <w:adjustRightIn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可在系统操作界面设置虚拟轨迹球，通过触摸调节</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32</w:t>
            </w:r>
          </w:p>
        </w:tc>
        <w:tc>
          <w:tcPr>
            <w:tcW w:w="3668" w:type="pct"/>
            <w:vAlign w:val="center"/>
          </w:tcPr>
          <w:p>
            <w:pPr>
              <w:autoSpaceDE w:val="0"/>
              <w:autoSpaceDN w:val="0"/>
              <w:adjustRightIn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高频线阵探头频率可手动调节≥8个频段，凸阵低频探头频率手动调节≥4个频段</w:t>
            </w:r>
            <w:r>
              <w:rPr>
                <w:rFonts w:hint="eastAsia" w:ascii="宋体" w:hAnsi="宋体" w:eastAsia="宋体" w:cs="宋体"/>
                <w:color w:val="auto"/>
                <w:sz w:val="21"/>
                <w:szCs w:val="21"/>
                <w:highlight w:val="none"/>
                <w:lang w:eastAsia="zh-CN" w:bidi="ar"/>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33</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系统内置防毒杀毒软件，确保系统安全以及数据资料的安全性</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34</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可选弹性成像技术</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35</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手写板随心画功能，可以用手直接在图像上对重点区域进行描记、标注、写字等。</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36</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电源要求：主机具备交、直流两用电源供电方式</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37</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测量和分析：(B型、M型、频谱、彩色多普勒)</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.1</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一般测量</w:t>
            </w:r>
            <w:r>
              <w:rPr>
                <w:rFonts w:hint="eastAsia" w:ascii="宋体" w:hAnsi="宋体" w:eastAsia="宋体" w:cs="宋体"/>
                <w:color w:val="auto"/>
                <w:kern w:val="0"/>
                <w:sz w:val="21"/>
                <w:szCs w:val="21"/>
                <w:highlight w:val="none"/>
                <w:lang w:eastAsia="zh-CN" w:bidi="ar"/>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.2</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多普勒血流测量与分析</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.3</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心脏测量与分析及报告软件</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.4</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外周血管计算及报告软件</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.5</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妇产科测量软件包</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.6</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小器官测量包</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38</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图像存储与(电影)回放重现单元，对回放图像可进行参数调节</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1.39</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Compare View功能，可实现病人存储于主机的原始静态图像或者动态图像与实时扫查图像同屏等比显示，便于病情变化的观察</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40</w:t>
            </w:r>
          </w:p>
        </w:tc>
        <w:tc>
          <w:tcPr>
            <w:tcW w:w="3668" w:type="pct"/>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USB</w:t>
            </w:r>
            <w:r>
              <w:rPr>
                <w:rFonts w:hint="eastAsia" w:ascii="宋体" w:hAnsi="宋体" w:eastAsia="宋体" w:cs="宋体"/>
                <w:color w:val="auto"/>
                <w:sz w:val="21"/>
                <w:szCs w:val="21"/>
                <w:highlight w:val="none"/>
                <w:lang w:val="zh-CN"/>
              </w:rPr>
              <w:t>接口具备2.0和3.0接口；</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41</w:t>
            </w:r>
          </w:p>
        </w:tc>
        <w:tc>
          <w:tcPr>
            <w:tcW w:w="3668" w:type="pc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
                <w:kern w:val="0"/>
                <w:sz w:val="21"/>
                <w:szCs w:val="21"/>
                <w:highlight w:val="none"/>
              </w:rPr>
              <w:t>显示屏具有触摸操作功能，可实现二维，彩色增益，深度，脉冲重复频率，彩色取样框偏转的触摸操作调节功能，可直接滑动、旋转、拖拽等手势调节。</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42</w:t>
            </w:r>
          </w:p>
        </w:tc>
        <w:tc>
          <w:tcPr>
            <w:tcW w:w="3668" w:type="pct"/>
            <w:vAlign w:val="top"/>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高频线阵探头阵元数≥192，电子针式探头接口</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43</w:t>
            </w:r>
          </w:p>
        </w:tc>
        <w:tc>
          <w:tcPr>
            <w:tcW w:w="3668" w:type="pct"/>
            <w:vAlign w:val="top"/>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电子高频线阵探头：超声频率：4.50- 17.60MHz</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w:t>
            </w:r>
            <w:r>
              <w:rPr>
                <w:rFonts w:hint="eastAsia" w:ascii="宋体" w:hAnsi="宋体" w:eastAsia="宋体" w:cs="宋体"/>
                <w:color w:val="auto"/>
                <w:sz w:val="21"/>
                <w:szCs w:val="21"/>
                <w:highlight w:val="none"/>
              </w:rPr>
              <w:t>.1</w:t>
            </w:r>
          </w:p>
        </w:tc>
        <w:tc>
          <w:tcPr>
            <w:tcW w:w="3668" w:type="pct"/>
            <w:vAlign w:val="top"/>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重量≤490克</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w:t>
            </w:r>
            <w:r>
              <w:rPr>
                <w:rFonts w:hint="eastAsia" w:ascii="宋体" w:hAnsi="宋体" w:eastAsia="宋体" w:cs="宋体"/>
                <w:color w:val="auto"/>
                <w:sz w:val="21"/>
                <w:szCs w:val="21"/>
                <w:highlight w:val="none"/>
              </w:rPr>
              <w:t>.2</w:t>
            </w:r>
          </w:p>
        </w:tc>
        <w:tc>
          <w:tcPr>
            <w:tcW w:w="3668" w:type="pct"/>
            <w:vAlign w:val="top"/>
          </w:tcPr>
          <w:p>
            <w:pPr>
              <w:pStyle w:val="19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谐波频率支持≥5段可调</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top"/>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1.44</w:t>
            </w:r>
          </w:p>
        </w:tc>
        <w:tc>
          <w:tcPr>
            <w:tcW w:w="3668" w:type="pct"/>
            <w:vAlign w:val="top"/>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电子低频凸阵探头：超声频率：2.0 – 5.0MHz</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深度≥40cm</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1.44</w:t>
            </w:r>
            <w:r>
              <w:rPr>
                <w:rFonts w:hint="eastAsia" w:ascii="宋体" w:hAnsi="宋体" w:eastAsia="宋体" w:cs="宋体"/>
                <w:color w:val="auto"/>
                <w:sz w:val="21"/>
                <w:szCs w:val="21"/>
                <w:highlight w:val="none"/>
              </w:rPr>
              <w:t>.1</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阵元数≥160；重量≤510克</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全部探头支持参数自动优化功能</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46</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支持一键全屏功能</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47</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分段增益TCG分段≥8段独立调节，支持全触摸调节</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48</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空间分辨率符合GB10152-1997国家标准</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49</w:t>
            </w:r>
          </w:p>
        </w:tc>
        <w:tc>
          <w:tcPr>
            <w:tcW w:w="3668" w:type="pc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频谱多普勒：</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rPr>
              <w:t>.1</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方式：脉冲波多普勒：PWD</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rPr>
              <w:t>.2</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显示方式：至少B、B/D、等</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rPr>
              <w:t>.3</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高频线阵探头频率三段可调：5, 6, 7.5 MHz</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rPr>
              <w:t>.4</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壁滤波1-8段</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rPr>
              <w:t>.5</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零位移动：≥8级</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彩色多普勒</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.1</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显示方式：二维/彩色多普勒/脉冲多普勒，连续多普勒</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.2</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显示位置调整：线阵扫描感兴趣的图像范围：-20°～+20°</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.3</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彩色能量多普勒</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.4</w:t>
            </w:r>
          </w:p>
        </w:tc>
        <w:tc>
          <w:tcPr>
            <w:tcW w:w="3668" w:type="pct"/>
            <w:vAlign w:val="center"/>
          </w:tcPr>
          <w:p>
            <w:pPr>
              <w:pStyle w:val="19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彩色标尺0.3 to 500cm/sec可调, PRF 1.3 to 12.5 kHz (Depend on probes)可调</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.5</w:t>
            </w:r>
          </w:p>
        </w:tc>
        <w:tc>
          <w:tcPr>
            <w:tcW w:w="3668" w:type="pct"/>
            <w:vAlign w:val="center"/>
          </w:tcPr>
          <w:p>
            <w:pPr>
              <w:pStyle w:val="19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彩色频率，高频线阵探头5, 6, 7.5 MHz 三段可调</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w:t>
            </w:r>
          </w:p>
        </w:tc>
        <w:tc>
          <w:tcPr>
            <w:tcW w:w="3668" w:type="pct"/>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超声功率输出调节： B/M、PWD、Color Doppler输出功率可调</w:t>
            </w:r>
            <w:r>
              <w:rPr>
                <w:rFonts w:hint="eastAsia" w:ascii="宋体" w:hAnsi="宋体" w:eastAsia="宋体" w:cs="宋体"/>
                <w:color w:val="auto"/>
                <w:sz w:val="21"/>
                <w:szCs w:val="21"/>
                <w:highlight w:val="none"/>
                <w:lang w:eastAsia="zh-CN"/>
              </w:rPr>
              <w:t>；</w:t>
            </w:r>
          </w:p>
        </w:tc>
        <w:tc>
          <w:tcPr>
            <w:tcW w:w="648" w:type="pct"/>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p>
        </w:tc>
      </w:tr>
    </w:tbl>
    <w:p>
      <w:pPr>
        <w:snapToGrid w:val="0"/>
        <w:spacing w:line="360" w:lineRule="auto"/>
        <w:jc w:val="left"/>
        <w:rPr>
          <w:rFonts w:hint="eastAsia" w:ascii="宋体" w:hAnsi="宋体" w:cs="宋体"/>
          <w:b/>
          <w:bCs/>
          <w:color w:val="auto"/>
          <w:highlight w:val="none"/>
        </w:rPr>
      </w:pPr>
    </w:p>
    <w:p>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 xml:space="preserve">                             </w:t>
      </w:r>
    </w:p>
    <w:p>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 xml:space="preserve">                                       </w:t>
      </w:r>
    </w:p>
    <w:p>
      <w:pPr>
        <w:snapToGrid w:val="0"/>
        <w:spacing w:line="360" w:lineRule="auto"/>
        <w:rPr>
          <w:rFonts w:ascii="宋体" w:hAnsi="宋体" w:cs="宋体"/>
          <w:b/>
          <w:bCs/>
          <w:color w:val="auto"/>
          <w:highlight w:val="none"/>
        </w:rPr>
      </w:pPr>
      <w:r>
        <w:rPr>
          <w:rFonts w:hint="eastAsia" w:ascii="宋体" w:hAnsi="宋体" w:cs="宋体"/>
          <w:b/>
          <w:bCs/>
          <w:color w:val="auto"/>
          <w:highlight w:val="none"/>
        </w:rPr>
        <w:t xml:space="preserve">                           </w:t>
      </w:r>
    </w:p>
    <w:p>
      <w:pPr>
        <w:pStyle w:val="2"/>
        <w:jc w:val="both"/>
        <w:rPr>
          <w:rFonts w:ascii="宋体" w:cs="宋体"/>
          <w:color w:val="auto"/>
          <w:highlight w:val="none"/>
        </w:rPr>
        <w:sectPr>
          <w:pgSz w:w="11906" w:h="16838"/>
          <w:pgMar w:top="1474" w:right="1797" w:bottom="1247" w:left="1797" w:header="851" w:footer="851" w:gutter="0"/>
          <w:cols w:space="720" w:num="1"/>
          <w:docGrid w:type="lines" w:linePitch="312" w:charSpace="0"/>
        </w:sectPr>
      </w:pPr>
    </w:p>
    <w:p>
      <w:pPr>
        <w:pStyle w:val="2"/>
        <w:numPr>
          <w:ilvl w:val="0"/>
          <w:numId w:val="9"/>
        </w:numPr>
        <w:rPr>
          <w:rFonts w:ascii="宋体" w:cs="宋体"/>
          <w:color w:val="auto"/>
          <w:highlight w:val="none"/>
        </w:rPr>
      </w:pPr>
      <w:r>
        <w:rPr>
          <w:rFonts w:hint="eastAsia" w:ascii="宋体" w:cs="宋体"/>
          <w:color w:val="auto"/>
          <w:highlight w:val="none"/>
        </w:rPr>
        <w:t xml:space="preserve"> 投标人须知</w:t>
      </w:r>
      <w:bookmarkEnd w:id="73"/>
      <w:bookmarkEnd w:id="74"/>
    </w:p>
    <w:p>
      <w:pPr>
        <w:snapToGrid w:val="0"/>
        <w:spacing w:before="120" w:beforeLines="50" w:after="120" w:afterLines="50" w:line="360" w:lineRule="auto"/>
        <w:ind w:left="238"/>
        <w:jc w:val="center"/>
        <w:outlineLvl w:val="1"/>
        <w:rPr>
          <w:rFonts w:ascii="宋体" w:hAnsi="宋体" w:cs="宋体"/>
          <w:color w:val="auto"/>
          <w:highlight w:val="none"/>
        </w:rPr>
      </w:pPr>
      <w:bookmarkStart w:id="75" w:name="_Toc47388318"/>
      <w:bookmarkStart w:id="76" w:name="_Toc417922226"/>
      <w:bookmarkStart w:id="77" w:name="_Toc4833"/>
      <w:r>
        <w:rPr>
          <w:rFonts w:hint="eastAsia" w:ascii="宋体" w:hAnsi="宋体" w:cs="宋体"/>
          <w:color w:val="auto"/>
          <w:highlight w:val="none"/>
        </w:rPr>
        <w:t>前附表</w:t>
      </w:r>
      <w:bookmarkEnd w:id="75"/>
      <w:bookmarkEnd w:id="76"/>
      <w:bookmarkEnd w:id="77"/>
    </w:p>
    <w:tbl>
      <w:tblPr>
        <w:tblStyle w:val="48"/>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松阳县人民医院采购便捷彩色超声多普勒系统项目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投标报价及费用：</w:t>
            </w:r>
          </w:p>
          <w:p>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1、投标报价是履行合同的最终价格，应包括设备价、安装调试、系统集成、货物运至项目现场的运输费、保险费、培训费、售后服务、利润、税金等一切与本次采购相关的费用。</w:t>
            </w:r>
          </w:p>
          <w:p>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本项目预算金额/最高限价：详见第一章公开招标采购公告。投标报价超过预算金额或最高限价的作无效标处理。</w:t>
            </w:r>
          </w:p>
          <w:p>
            <w:pPr>
              <w:spacing w:line="360" w:lineRule="auto"/>
              <w:rPr>
                <w:rFonts w:ascii="宋体" w:hAnsi="宋体" w:cs="宋体"/>
                <w:b/>
                <w:bCs/>
                <w:color w:val="auto"/>
                <w:highlight w:val="none"/>
              </w:rPr>
            </w:pPr>
            <w:r>
              <w:rPr>
                <w:rFonts w:hint="eastAsia" w:ascii="宋体" w:hAnsi="宋体" w:cs="宋体"/>
                <w:b/>
                <w:bCs/>
                <w:color w:val="auto"/>
                <w:highlight w:val="none"/>
              </w:rPr>
              <w:t>2、不论投标结果如何，投标人均应自行承担所有与投标有关的全部费用；</w:t>
            </w:r>
          </w:p>
          <w:p>
            <w:pPr>
              <w:spacing w:line="360" w:lineRule="auto"/>
              <w:rPr>
                <w:rFonts w:ascii="宋体" w:hAnsi="宋体" w:cs="宋体"/>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、招标服务费的收取标准：</w:t>
            </w:r>
          </w:p>
          <w:p>
            <w:pPr>
              <w:spacing w:line="360" w:lineRule="auto"/>
              <w:rPr>
                <w:color w:val="auto"/>
                <w:highlight w:val="none"/>
              </w:rPr>
            </w:pPr>
            <w:r>
              <w:rPr>
                <w:rFonts w:hint="eastAsia" w:ascii="宋体" w:hAnsi="宋体" w:cs="宋体"/>
                <w:color w:val="auto"/>
                <w:highlight w:val="none"/>
              </w:rPr>
              <w:t>（1）</w:t>
            </w:r>
            <w:r>
              <w:rPr>
                <w:rFonts w:hint="eastAsia" w:ascii="宋体" w:hAnsi="宋体"/>
                <w:color w:val="auto"/>
                <w:highlight w:val="none"/>
              </w:rPr>
              <w:t>参照下表中的货物收费标准下浮，采用差额定率累进法按照中标通知书确定的中标总金额，向中标人收取</w:t>
            </w:r>
            <w:r>
              <w:rPr>
                <w:rFonts w:hint="eastAsia" w:ascii="宋体" w:hAnsi="宋体" w:cs="宋体"/>
                <w:color w:val="auto"/>
                <w:highlight w:val="none"/>
              </w:rPr>
              <w:t>招标服务费</w:t>
            </w:r>
            <w:r>
              <w:rPr>
                <w:rFonts w:hint="eastAsia" w:ascii="宋体" w:hAnsi="宋体"/>
                <w:color w:val="auto"/>
                <w:highlight w:val="none"/>
              </w:rPr>
              <w:t>。</w:t>
            </w:r>
          </w:p>
          <w:p>
            <w:pPr>
              <w:jc w:val="left"/>
              <w:rPr>
                <w:color w:val="auto"/>
                <w:highlight w:val="none"/>
              </w:rPr>
            </w:pPr>
            <w:r>
              <w:rPr>
                <w:color w:val="auto"/>
                <w:highlight w:val="none"/>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pPr>
              <w:spacing w:line="400" w:lineRule="exact"/>
              <w:rPr>
                <w:rFonts w:ascii="宋体" w:hAnsi="宋体" w:cs="宋体"/>
                <w:color w:val="auto"/>
                <w:highlight w:val="none"/>
              </w:rPr>
            </w:pPr>
            <w:r>
              <w:rPr>
                <w:rFonts w:hint="eastAsia" w:ascii="宋体" w:hAnsi="宋体" w:cs="宋体"/>
                <w:color w:val="auto"/>
                <w:highlight w:val="none"/>
              </w:rPr>
              <w:t>（2）中标人接到本公司通知后5个工作日内向本招标公司支付招标服务费。</w:t>
            </w:r>
          </w:p>
          <w:p>
            <w:pPr>
              <w:spacing w:line="400" w:lineRule="exact"/>
              <w:rPr>
                <w:rFonts w:ascii="宋体" w:hAnsi="宋体" w:cs="宋体"/>
                <w:color w:val="auto"/>
                <w:highlight w:val="none"/>
              </w:rPr>
            </w:pPr>
            <w:r>
              <w:rPr>
                <w:rFonts w:hint="eastAsia" w:ascii="宋体" w:hAnsi="宋体" w:cs="宋体"/>
                <w:color w:val="auto"/>
                <w:highlight w:val="none"/>
              </w:rPr>
              <w:t>（3）招标服务费只收现金、银行票汇款、电汇款。</w:t>
            </w:r>
          </w:p>
          <w:p>
            <w:pPr>
              <w:spacing w:line="400" w:lineRule="exact"/>
              <w:rPr>
                <w:rFonts w:ascii="宋体" w:hAnsi="宋体" w:cs="宋体"/>
                <w:color w:val="auto"/>
                <w:highlight w:val="none"/>
              </w:rPr>
            </w:pPr>
            <w:r>
              <w:rPr>
                <w:rFonts w:hint="eastAsia" w:ascii="宋体" w:hAnsi="宋体" w:cs="宋体"/>
                <w:color w:val="auto"/>
                <w:highlight w:val="none"/>
              </w:rPr>
              <w:t>（4）招标服务费均汇入以下账户：</w:t>
            </w:r>
          </w:p>
          <w:p>
            <w:pPr>
              <w:spacing w:line="400" w:lineRule="exact"/>
              <w:rPr>
                <w:rFonts w:ascii="宋体" w:hAnsi="宋体" w:cs="宋体"/>
                <w:color w:val="auto"/>
                <w:highlight w:val="none"/>
              </w:rPr>
            </w:pPr>
            <w:r>
              <w:rPr>
                <w:rFonts w:hint="eastAsia" w:ascii="宋体" w:hAnsi="宋体" w:cs="宋体"/>
                <w:color w:val="auto"/>
                <w:highlight w:val="none"/>
              </w:rPr>
              <w:t>开户银行：宁波银行丽水分行</w:t>
            </w:r>
          </w:p>
          <w:p>
            <w:pPr>
              <w:spacing w:line="400" w:lineRule="exact"/>
              <w:rPr>
                <w:rFonts w:ascii="宋体" w:hAnsi="宋体" w:cs="宋体"/>
                <w:color w:val="auto"/>
                <w:highlight w:val="none"/>
              </w:rPr>
            </w:pPr>
            <w:r>
              <w:rPr>
                <w:rFonts w:hint="eastAsia" w:ascii="宋体" w:hAnsi="宋体" w:cs="宋体"/>
                <w:color w:val="auto"/>
                <w:highlight w:val="none"/>
              </w:rPr>
              <w:t>帐号：90010122000220378</w:t>
            </w:r>
          </w:p>
          <w:p>
            <w:pPr>
              <w:spacing w:line="360" w:lineRule="auto"/>
              <w:rPr>
                <w:rFonts w:ascii="宋体" w:hAnsi="宋体" w:cs="宋体"/>
                <w:color w:val="auto"/>
                <w:highlight w:val="none"/>
              </w:rPr>
            </w:pPr>
            <w:r>
              <w:rPr>
                <w:rFonts w:hint="eastAsia" w:ascii="宋体" w:hAnsi="宋体" w:cs="宋体"/>
                <w:color w:val="auto"/>
                <w:highlight w:val="none"/>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
                <w:bCs/>
                <w:color w:val="auto"/>
                <w:highlight w:val="none"/>
                <w:lang w:eastAsia="zh-CN"/>
              </w:rPr>
            </w:pPr>
            <w:r>
              <w:rPr>
                <w:rFonts w:hint="eastAsia" w:ascii="宋体" w:hAnsi="宋体" w:cs="宋体"/>
                <w:color w:val="auto"/>
                <w:highlight w:val="none"/>
              </w:rPr>
              <w:t>投标保证金：无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8309"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highlight w:val="none"/>
              </w:rPr>
              <w:t>投标文件组成：本项目实行网上投标，供应商应准备以下投标文件：</w:t>
            </w:r>
          </w:p>
          <w:p>
            <w:pPr>
              <w:snapToGrid w:val="0"/>
              <w:spacing w:line="360" w:lineRule="auto"/>
              <w:rPr>
                <w:rFonts w:ascii="宋体" w:hAnsi="宋体" w:cs="宋体"/>
                <w:color w:val="auto"/>
                <w:highlight w:val="none"/>
              </w:rPr>
            </w:pPr>
            <w:r>
              <w:rPr>
                <w:rFonts w:hint="eastAsia" w:ascii="宋体" w:hAnsi="宋体" w:cs="宋体"/>
                <w:color w:val="auto"/>
                <w:highlight w:val="none"/>
              </w:rPr>
              <w:t>（1）供应商于“政采云”上提供电子加密投标文件。</w:t>
            </w:r>
          </w:p>
          <w:p>
            <w:pPr>
              <w:snapToGrid w:val="0"/>
              <w:spacing w:line="360" w:lineRule="auto"/>
              <w:rPr>
                <w:rFonts w:ascii="宋体" w:hAnsi="宋体" w:cs="宋体"/>
                <w:color w:val="auto"/>
                <w:highlight w:val="none"/>
              </w:rPr>
            </w:pPr>
            <w:r>
              <w:rPr>
                <w:rFonts w:hint="eastAsia" w:ascii="宋体" w:hAnsi="宋体" w:cs="宋体"/>
                <w:color w:val="auto"/>
                <w:highlight w:val="none"/>
              </w:rPr>
              <w:t>（2）以电子邮件提供的备份电子投标文件数量1份。（自行决定，非必须要求）</w:t>
            </w:r>
          </w:p>
          <w:p>
            <w:pPr>
              <w:snapToGrid w:val="0"/>
              <w:spacing w:line="360" w:lineRule="auto"/>
              <w:rPr>
                <w:rFonts w:ascii="宋体" w:hAnsi="宋体" w:cs="宋体"/>
                <w:color w:val="auto"/>
                <w:highlight w:val="none"/>
              </w:rPr>
            </w:pPr>
            <w:r>
              <w:rPr>
                <w:rFonts w:hint="eastAsia" w:ascii="宋体" w:hAnsi="宋体" w:cs="宋体"/>
                <w:color w:val="auto"/>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投标截止时间及地点：详见第一章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7</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开标时间及地点：详见第一章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8</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评标办法及评分标准：详见第四章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9</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评标结果公示：评标结束后，评标结果公示于浙江省政府采购网，宁波中基国际招标有限公司网站</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签订合同时间：中标通知书发出后30日内</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履约保证金金额：不适用</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★12</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auto"/>
                <w:highlight w:val="none"/>
                <w:lang w:val="en-US"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4</w:t>
            </w:r>
          </w:p>
        </w:tc>
        <w:tc>
          <w:tcPr>
            <w:tcW w:w="8309" w:type="dxa"/>
            <w:tcBorders>
              <w:top w:val="single" w:color="auto" w:sz="4" w:space="0"/>
              <w:left w:val="single" w:color="auto" w:sz="4" w:space="0"/>
              <w:bottom w:val="single" w:color="auto" w:sz="4" w:space="0"/>
            </w:tcBorders>
            <w:vAlign w:val="center"/>
          </w:tcPr>
          <w:p>
            <w:pPr>
              <w:spacing w:line="360" w:lineRule="auto"/>
              <w:jc w:val="both"/>
              <w:rPr>
                <w:rFonts w:hint="eastAsia" w:ascii="宋体" w:hAnsi="宋体" w:eastAsia="宋体" w:cs="宋体"/>
                <w:color w:val="auto"/>
                <w:highlight w:val="none"/>
              </w:rPr>
            </w:pPr>
            <w:r>
              <w:rPr>
                <w:rFonts w:hint="eastAsia" w:ascii="宋体" w:hAnsi="宋体" w:eastAsia="宋体" w:cs="宋体"/>
                <w:b/>
                <w:bCs/>
                <w:color w:val="auto"/>
                <w:highlight w:val="none"/>
              </w:rPr>
              <w:t>不同投标人的投标文件出自同一终端设备或在相同Internet主机分配地址（相同IP地址）网上报名投标的作无效标处理。</w:t>
            </w:r>
          </w:p>
        </w:tc>
      </w:tr>
    </w:tbl>
    <w:p>
      <w:pPr>
        <w:pStyle w:val="24"/>
        <w:snapToGrid w:val="0"/>
        <w:spacing w:beforeLines="0" w:afterLines="0" w:line="360" w:lineRule="auto"/>
        <w:rPr>
          <w:rFonts w:hAnsi="宋体"/>
          <w:b/>
          <w:bCs/>
          <w:color w:val="auto"/>
          <w:sz w:val="21"/>
          <w:szCs w:val="21"/>
          <w:highlight w:val="none"/>
        </w:rPr>
      </w:pPr>
      <w:r>
        <w:rPr>
          <w:rFonts w:hint="eastAsia" w:hAnsi="宋体"/>
          <w:color w:val="auto"/>
          <w:highlight w:val="none"/>
        </w:rPr>
        <w:br w:type="page"/>
      </w:r>
      <w:r>
        <w:rPr>
          <w:rFonts w:hint="eastAsia" w:hAnsi="宋体"/>
          <w:b/>
          <w:bCs/>
          <w:color w:val="auto"/>
          <w:sz w:val="21"/>
          <w:szCs w:val="21"/>
          <w:highlight w:val="none"/>
        </w:rPr>
        <w:t>一   总  则</w:t>
      </w:r>
    </w:p>
    <w:p>
      <w:pPr>
        <w:snapToGrid w:val="0"/>
        <w:spacing w:line="360" w:lineRule="auto"/>
        <w:ind w:firstLine="413" w:firstLineChars="196"/>
        <w:jc w:val="left"/>
        <w:outlineLvl w:val="1"/>
        <w:rPr>
          <w:rFonts w:ascii="宋体" w:hAnsi="宋体" w:cs="宋体"/>
          <w:b/>
          <w:bCs/>
          <w:color w:val="auto"/>
          <w:highlight w:val="none"/>
        </w:rPr>
      </w:pPr>
      <w:bookmarkStart w:id="78" w:name="_Toc417922227"/>
      <w:bookmarkStart w:id="79" w:name="_Toc609"/>
      <w:bookmarkStart w:id="80" w:name="_Toc47388319"/>
      <w:r>
        <w:rPr>
          <w:rFonts w:hint="eastAsia" w:ascii="宋体" w:hAnsi="宋体" w:cs="宋体"/>
          <w:b/>
          <w:bCs/>
          <w:color w:val="auto"/>
          <w:highlight w:val="none"/>
        </w:rPr>
        <w:t>（一） 适用范围</w:t>
      </w:r>
      <w:bookmarkEnd w:id="78"/>
      <w:bookmarkEnd w:id="79"/>
      <w:bookmarkEnd w:id="80"/>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本招标文件适用</w:t>
      </w:r>
      <w:r>
        <w:rPr>
          <w:rFonts w:hint="eastAsia" w:ascii="宋体" w:hAnsi="宋体" w:cs="宋体"/>
          <w:color w:val="auto"/>
          <w:highlight w:val="none"/>
          <w:lang w:eastAsia="zh-CN"/>
        </w:rPr>
        <w:t>松阳县人民医院采购便捷彩色超声多普勒系统项目</w:t>
      </w:r>
      <w:r>
        <w:rPr>
          <w:rFonts w:hint="eastAsia" w:ascii="宋体" w:hAnsi="宋体" w:cs="宋体"/>
          <w:color w:val="auto"/>
          <w:highlight w:val="none"/>
        </w:rPr>
        <w:t>的招标、投标、评标、定标、验收、合同履约、付款等行为（法律、法规另有规定的，从其规定）。</w:t>
      </w:r>
    </w:p>
    <w:p>
      <w:pPr>
        <w:snapToGrid w:val="0"/>
        <w:spacing w:before="120" w:beforeLines="50" w:line="360" w:lineRule="auto"/>
        <w:ind w:firstLine="310" w:firstLineChars="147"/>
        <w:jc w:val="left"/>
        <w:outlineLvl w:val="1"/>
        <w:rPr>
          <w:rFonts w:ascii="宋体" w:hAnsi="宋体" w:cs="宋体"/>
          <w:b/>
          <w:bCs/>
          <w:color w:val="auto"/>
          <w:highlight w:val="none"/>
        </w:rPr>
      </w:pPr>
      <w:bookmarkStart w:id="81" w:name="_Toc24971"/>
      <w:bookmarkStart w:id="82" w:name="_Toc47388320"/>
      <w:bookmarkStart w:id="83" w:name="_Toc417922228"/>
      <w:r>
        <w:rPr>
          <w:rFonts w:hint="eastAsia" w:ascii="宋体" w:hAnsi="宋体" w:cs="宋体"/>
          <w:b/>
          <w:bCs/>
          <w:color w:val="auto"/>
          <w:highlight w:val="none"/>
        </w:rPr>
        <w:t>（二）定义</w:t>
      </w:r>
      <w:bookmarkEnd w:id="81"/>
      <w:bookmarkEnd w:id="82"/>
      <w:bookmarkEnd w:id="83"/>
    </w:p>
    <w:p>
      <w:pPr>
        <w:snapToGrid w:val="0"/>
        <w:spacing w:before="120" w:beforeLines="50" w:line="360" w:lineRule="auto"/>
        <w:ind w:firstLine="411" w:firstLineChars="196"/>
        <w:jc w:val="left"/>
        <w:outlineLvl w:val="1"/>
        <w:rPr>
          <w:rFonts w:ascii="宋体" w:hAnsi="宋体" w:cs="宋体"/>
          <w:color w:val="auto"/>
          <w:highlight w:val="none"/>
        </w:rPr>
      </w:pPr>
      <w:bookmarkStart w:id="84" w:name="_Toc31362"/>
      <w:bookmarkStart w:id="85" w:name="_Toc47388321"/>
      <w:bookmarkStart w:id="86" w:name="_Toc417922229"/>
      <w:r>
        <w:rPr>
          <w:rFonts w:hint="eastAsia" w:ascii="宋体" w:hAnsi="宋体" w:cs="宋体"/>
          <w:color w:val="auto"/>
          <w:highlight w:val="none"/>
        </w:rPr>
        <w:t>1. 招标采购单位系指组织本次招标的代理机构和采购单位。</w:t>
      </w:r>
      <w:bookmarkEnd w:id="84"/>
      <w:bookmarkEnd w:id="85"/>
    </w:p>
    <w:p>
      <w:pPr>
        <w:snapToGrid w:val="0"/>
        <w:spacing w:before="120" w:beforeLines="50" w:line="360" w:lineRule="auto"/>
        <w:ind w:firstLine="411" w:firstLineChars="196"/>
        <w:jc w:val="left"/>
        <w:outlineLvl w:val="1"/>
        <w:rPr>
          <w:rFonts w:ascii="宋体" w:hAnsi="宋体" w:cs="宋体"/>
          <w:color w:val="auto"/>
          <w:highlight w:val="none"/>
        </w:rPr>
      </w:pPr>
      <w:bookmarkStart w:id="87" w:name="_Toc47388322"/>
      <w:bookmarkStart w:id="88" w:name="_Toc3566"/>
      <w:r>
        <w:rPr>
          <w:rFonts w:hint="eastAsia" w:ascii="宋体" w:hAnsi="宋体" w:cs="宋体"/>
          <w:color w:val="auto"/>
          <w:highlight w:val="none"/>
        </w:rPr>
        <w:t>2.“投标人”系指向招标方提交投标文件的单位。</w:t>
      </w:r>
      <w:bookmarkEnd w:id="87"/>
      <w:bookmarkEnd w:id="88"/>
    </w:p>
    <w:p>
      <w:pPr>
        <w:snapToGrid w:val="0"/>
        <w:spacing w:before="120" w:beforeLines="50" w:line="360" w:lineRule="auto"/>
        <w:ind w:firstLine="411" w:firstLineChars="196"/>
        <w:jc w:val="left"/>
        <w:outlineLvl w:val="1"/>
        <w:rPr>
          <w:rFonts w:ascii="宋体" w:hAnsi="宋体" w:cs="宋体"/>
          <w:color w:val="auto"/>
          <w:highlight w:val="none"/>
        </w:rPr>
      </w:pPr>
      <w:bookmarkStart w:id="89" w:name="_Toc29602"/>
      <w:bookmarkStart w:id="90" w:name="_Toc47388323"/>
      <w:r>
        <w:rPr>
          <w:rFonts w:hint="eastAsia" w:ascii="宋体" w:hAnsi="宋体" w:cs="宋体"/>
          <w:color w:val="auto"/>
          <w:highlight w:val="none"/>
        </w:rPr>
        <w:t>3.“服务”系指招标文件规定投标人须承担的服务。</w:t>
      </w:r>
      <w:bookmarkEnd w:id="89"/>
      <w:bookmarkEnd w:id="90"/>
    </w:p>
    <w:p>
      <w:pPr>
        <w:snapToGrid w:val="0"/>
        <w:spacing w:before="120" w:beforeLines="50" w:line="360" w:lineRule="auto"/>
        <w:ind w:firstLine="411" w:firstLineChars="196"/>
        <w:jc w:val="left"/>
        <w:outlineLvl w:val="1"/>
        <w:rPr>
          <w:rFonts w:ascii="宋体" w:hAnsi="宋体" w:cs="宋体"/>
          <w:color w:val="auto"/>
          <w:highlight w:val="none"/>
        </w:rPr>
      </w:pPr>
      <w:bookmarkStart w:id="91" w:name="_Toc29129"/>
      <w:bookmarkStart w:id="92" w:name="_Toc47388324"/>
      <w:r>
        <w:rPr>
          <w:rFonts w:hint="eastAsia" w:ascii="宋体" w:hAnsi="宋体" w:cs="宋体"/>
          <w:color w:val="auto"/>
          <w:highlight w:val="none"/>
        </w:rPr>
        <w:t>4.“项目”系指投标人按招标文件规定向采购人提供的货物和服务。</w:t>
      </w:r>
      <w:bookmarkEnd w:id="91"/>
      <w:bookmarkEnd w:id="92"/>
    </w:p>
    <w:p>
      <w:pPr>
        <w:snapToGrid w:val="0"/>
        <w:spacing w:before="120" w:beforeLines="50" w:line="360" w:lineRule="auto"/>
        <w:ind w:firstLine="411" w:firstLineChars="196"/>
        <w:jc w:val="left"/>
        <w:outlineLvl w:val="1"/>
        <w:rPr>
          <w:rFonts w:ascii="宋体" w:hAnsi="宋体" w:cs="宋体"/>
          <w:color w:val="auto"/>
          <w:highlight w:val="none"/>
        </w:rPr>
      </w:pPr>
      <w:bookmarkStart w:id="93" w:name="_Toc47388325"/>
      <w:bookmarkStart w:id="94" w:name="_Toc31744"/>
      <w:r>
        <w:rPr>
          <w:rFonts w:hint="eastAsia" w:ascii="宋体" w:hAnsi="宋体" w:cs="宋体"/>
          <w:color w:val="auto"/>
          <w:highlight w:val="none"/>
        </w:rPr>
        <w:t>5.“书面形式”包括信函、传真、电报等。</w:t>
      </w:r>
      <w:bookmarkEnd w:id="93"/>
      <w:bookmarkEnd w:id="94"/>
    </w:p>
    <w:p>
      <w:pPr>
        <w:snapToGrid w:val="0"/>
        <w:spacing w:before="120" w:beforeLines="50" w:line="360" w:lineRule="auto"/>
        <w:ind w:firstLine="411" w:firstLineChars="196"/>
        <w:jc w:val="left"/>
        <w:outlineLvl w:val="1"/>
        <w:rPr>
          <w:rFonts w:ascii="宋体" w:hAnsi="宋体" w:cs="宋体"/>
          <w:color w:val="auto"/>
          <w:highlight w:val="none"/>
        </w:rPr>
      </w:pPr>
      <w:bookmarkStart w:id="95" w:name="_Toc22539"/>
      <w:bookmarkStart w:id="96" w:name="_Toc47388326"/>
      <w:r>
        <w:rPr>
          <w:rFonts w:hint="eastAsia" w:ascii="宋体" w:hAnsi="宋体" w:cs="宋体"/>
          <w:color w:val="auto"/>
          <w:highlight w:val="none"/>
        </w:rPr>
        <w:t>6. “★”系指实质性要求条款。</w:t>
      </w:r>
      <w:bookmarkEnd w:id="95"/>
      <w:bookmarkEnd w:id="96"/>
    </w:p>
    <w:p>
      <w:pPr>
        <w:snapToGrid w:val="0"/>
        <w:spacing w:before="120" w:beforeLines="50" w:line="360" w:lineRule="auto"/>
        <w:ind w:firstLine="413" w:firstLineChars="196"/>
        <w:jc w:val="left"/>
        <w:outlineLvl w:val="1"/>
        <w:rPr>
          <w:rFonts w:ascii="宋体" w:hAnsi="宋体" w:cs="宋体"/>
          <w:b/>
          <w:bCs/>
          <w:color w:val="auto"/>
          <w:highlight w:val="none"/>
        </w:rPr>
      </w:pPr>
      <w:bookmarkStart w:id="97" w:name="_Toc47388327"/>
      <w:bookmarkStart w:id="98" w:name="_Toc31175"/>
      <w:r>
        <w:rPr>
          <w:rFonts w:hint="eastAsia" w:ascii="宋体" w:hAnsi="宋体" w:cs="宋体"/>
          <w:b/>
          <w:bCs/>
          <w:color w:val="auto"/>
          <w:highlight w:val="none"/>
        </w:rPr>
        <w:t>（三）招标方式</w:t>
      </w:r>
      <w:bookmarkEnd w:id="86"/>
      <w:bookmarkEnd w:id="97"/>
      <w:bookmarkEnd w:id="98"/>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本次招标采用公开招标方式进行。</w:t>
      </w:r>
    </w:p>
    <w:p>
      <w:pPr>
        <w:snapToGrid w:val="0"/>
        <w:spacing w:before="120" w:beforeLines="50" w:line="360" w:lineRule="auto"/>
        <w:ind w:firstLine="413" w:firstLineChars="196"/>
        <w:jc w:val="left"/>
        <w:outlineLvl w:val="1"/>
        <w:rPr>
          <w:rFonts w:ascii="宋体" w:hAnsi="宋体" w:cs="宋体"/>
          <w:b/>
          <w:bCs/>
          <w:color w:val="auto"/>
          <w:highlight w:val="none"/>
        </w:rPr>
      </w:pPr>
      <w:bookmarkStart w:id="99" w:name="_Toc47388328"/>
      <w:bookmarkStart w:id="100" w:name="_Toc16683"/>
      <w:bookmarkStart w:id="101" w:name="_Toc417922230"/>
      <w:r>
        <w:rPr>
          <w:rFonts w:hint="eastAsia" w:ascii="宋体" w:hAnsi="宋体" w:cs="宋体"/>
          <w:b/>
          <w:bCs/>
          <w:color w:val="auto"/>
          <w:highlight w:val="none"/>
        </w:rPr>
        <w:t>（四）投标委托</w:t>
      </w:r>
      <w:bookmarkEnd w:id="99"/>
      <w:bookmarkEnd w:id="100"/>
      <w:bookmarkEnd w:id="101"/>
    </w:p>
    <w:p>
      <w:pPr>
        <w:pStyle w:val="19"/>
        <w:snapToGrid w:val="0"/>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投标人代表须携带有效身份证件。如投标人代表不是法定代表人，须有法定代表人出具的授权委托书（正本用原件，副本可用复印件，格式详见第六章投标文件格式）。</w:t>
      </w:r>
    </w:p>
    <w:p>
      <w:pPr>
        <w:snapToGrid w:val="0"/>
        <w:spacing w:before="120" w:beforeLines="50" w:line="360" w:lineRule="auto"/>
        <w:ind w:firstLine="413" w:firstLineChars="196"/>
        <w:jc w:val="left"/>
        <w:outlineLvl w:val="1"/>
        <w:rPr>
          <w:rFonts w:ascii="宋体" w:hAnsi="宋体" w:cs="宋体"/>
          <w:b/>
          <w:bCs/>
          <w:color w:val="auto"/>
          <w:highlight w:val="none"/>
        </w:rPr>
      </w:pPr>
      <w:bookmarkStart w:id="102" w:name="_Toc15019"/>
      <w:bookmarkStart w:id="103" w:name="_Toc47388329"/>
      <w:bookmarkStart w:id="104" w:name="_Toc417922231"/>
      <w:r>
        <w:rPr>
          <w:rFonts w:hint="eastAsia" w:ascii="宋体" w:hAnsi="宋体" w:cs="宋体"/>
          <w:b/>
          <w:bCs/>
          <w:color w:val="auto"/>
          <w:highlight w:val="none"/>
        </w:rPr>
        <w:t>（五）投标费用</w:t>
      </w:r>
      <w:bookmarkEnd w:id="102"/>
      <w:bookmarkEnd w:id="103"/>
      <w:bookmarkEnd w:id="104"/>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不论投标结果如何，投标人均应自行承担所有与投标有关的全部费用（招标文件有相反规定除外）。</w:t>
      </w:r>
    </w:p>
    <w:p>
      <w:pPr>
        <w:snapToGrid w:val="0"/>
        <w:spacing w:before="120"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（六）联合体投标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1.本项目接受联合体投标（联合体投标的须在投标文件中提供联合体协议书，明确各联合投标单位的责任和义务）。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2.招标公告规定接受联合体投标的，除应符合招标公告规定的合格供应商的资格要求外，还应遵守以下规定：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（1）联合体各方应按招标文件提供的格式签订联合体协议书，明确联合体牵头人和各方工作内容和义务。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（2）联合体中有同类资质的供应商按照联合体分工承担相同工作的，应当按照资质等级较低的供应商确定联合体的资质等级。</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（3）联合体各方不得再单独参加或者与其他供应商另外组成联合体参加同一合同项下的投标。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（4）联合体各方应当共同与招标人签订采购合同，就采购合同约定的事项对招标人承担连带责任。</w:t>
      </w:r>
    </w:p>
    <w:p>
      <w:pPr>
        <w:snapToGrid w:val="0"/>
        <w:spacing w:before="120" w:beforeLines="50" w:line="360" w:lineRule="auto"/>
        <w:ind w:firstLine="413" w:firstLineChars="196"/>
        <w:jc w:val="left"/>
        <w:rPr>
          <w:rFonts w:ascii="宋体" w:hAnsi="宋体" w:cs="宋体"/>
          <w:b/>
          <w:bCs/>
          <w:color w:val="auto"/>
          <w:kern w:val="0"/>
          <w:highlight w:val="none"/>
        </w:rPr>
      </w:pPr>
      <w:r>
        <w:rPr>
          <w:rFonts w:hint="eastAsia" w:ascii="宋体" w:hAnsi="宋体" w:cs="宋体"/>
          <w:b/>
          <w:bCs/>
          <w:color w:val="auto"/>
          <w:highlight w:val="none"/>
        </w:rPr>
        <w:t>（七）</w:t>
      </w:r>
      <w:r>
        <w:rPr>
          <w:rFonts w:hint="eastAsia" w:ascii="宋体" w:hAnsi="宋体" w:cs="宋体"/>
          <w:b/>
          <w:bCs/>
          <w:color w:val="auto"/>
          <w:kern w:val="0"/>
          <w:highlight w:val="none"/>
        </w:rPr>
        <w:t>转包与分包</w:t>
      </w:r>
    </w:p>
    <w:p>
      <w:pPr>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本项目不允许转包，经采购人同意，允许分包。</w:t>
      </w:r>
    </w:p>
    <w:p>
      <w:pPr>
        <w:spacing w:line="360" w:lineRule="auto"/>
        <w:jc w:val="left"/>
        <w:rPr>
          <w:rFonts w:ascii="宋体" w:hAnsi="宋体" w:cs="宋体"/>
          <w:b/>
          <w:bCs/>
          <w:color w:val="auto"/>
          <w:highlight w:val="none"/>
        </w:rPr>
      </w:pPr>
      <w:bookmarkStart w:id="105" w:name="_Toc417922232"/>
      <w:r>
        <w:rPr>
          <w:rFonts w:hint="eastAsia" w:ascii="宋体" w:hAnsi="宋体" w:cs="宋体"/>
          <w:b/>
          <w:bCs/>
          <w:color w:val="auto"/>
          <w:highlight w:val="none"/>
        </w:rPr>
        <w:t xml:space="preserve">   （八）特别说明：</w:t>
      </w:r>
    </w:p>
    <w:p>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非单一产品采购项目，多家投标人提供的核心产品品牌相同的，按前款处理。</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★2.投标人应仔细阅读招标文件的所有内容，按照招标文件的要求提交投标文件，并对所提供的全部资料的真实性承担法律责任。</w:t>
      </w:r>
    </w:p>
    <w:p>
      <w:pPr>
        <w:pStyle w:val="24"/>
        <w:spacing w:beforeLines="0" w:afterLines="0" w:line="360" w:lineRule="auto"/>
        <w:ind w:firstLine="420" w:firstLineChars="200"/>
        <w:rPr>
          <w:rFonts w:hAnsi="宋体"/>
          <w:b/>
          <w:bCs/>
          <w:color w:val="auto"/>
          <w:sz w:val="21"/>
          <w:szCs w:val="21"/>
          <w:highlight w:val="none"/>
        </w:rPr>
      </w:pPr>
      <w:r>
        <w:rPr>
          <w:rFonts w:hint="eastAsia" w:hAnsi="宋体"/>
          <w:color w:val="auto"/>
          <w:sz w:val="21"/>
          <w:szCs w:val="21"/>
          <w:highlight w:val="none"/>
        </w:rPr>
        <w:t>★3.投标人在投标活动中提供任何虚假材料，其投标无效，并报监管部门查处；</w:t>
      </w:r>
      <w:r>
        <w:rPr>
          <w:rFonts w:hint="eastAsia" w:hAnsi="宋体"/>
          <w:b/>
          <w:bCs/>
          <w:color w:val="auto"/>
          <w:sz w:val="21"/>
          <w:szCs w:val="21"/>
          <w:highlight w:val="none"/>
        </w:rPr>
        <w:t xml:space="preserve"> </w:t>
      </w:r>
    </w:p>
    <w:p>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（九）、关于分公司投标</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除银行、保险、石油石化、电力、通信等行业外，法人的分支机构不能参加投标。</w:t>
      </w:r>
    </w:p>
    <w:p>
      <w:pPr>
        <w:widowControl/>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（十）、关于知识产权</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2.投标报价应包含所有应向所有权人支付的专利权、商标权或其它知识产权的一切相关费用。</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24"/>
        <w:widowControl/>
        <w:spacing w:beforeLines="0" w:afterLines="0" w:line="360" w:lineRule="auto"/>
        <w:ind w:firstLine="422" w:firstLineChars="200"/>
        <w:jc w:val="left"/>
        <w:rPr>
          <w:rFonts w:hAnsi="宋体"/>
          <w:b/>
          <w:bCs/>
          <w:color w:val="auto"/>
          <w:sz w:val="21"/>
          <w:szCs w:val="21"/>
          <w:highlight w:val="none"/>
        </w:rPr>
      </w:pPr>
      <w:r>
        <w:rPr>
          <w:rFonts w:hint="eastAsia" w:hAnsi="宋体"/>
          <w:b/>
          <w:bCs/>
          <w:color w:val="auto"/>
          <w:sz w:val="21"/>
          <w:szCs w:val="21"/>
          <w:highlight w:val="none"/>
        </w:rPr>
        <w:t>（十一）、质疑和投诉</w:t>
      </w:r>
    </w:p>
    <w:p>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105"/>
      <w:bookmarkStart w:id="106" w:name="_Toc417922237"/>
    </w:p>
    <w:p>
      <w:pPr>
        <w:pStyle w:val="24"/>
        <w:snapToGrid w:val="0"/>
        <w:spacing w:beforeLines="0" w:afterLines="0" w:line="360" w:lineRule="auto"/>
        <w:ind w:firstLine="413" w:firstLineChars="196"/>
        <w:jc w:val="left"/>
        <w:outlineLvl w:val="0"/>
        <w:rPr>
          <w:rFonts w:hAnsi="宋体"/>
          <w:b/>
          <w:bCs/>
          <w:color w:val="auto"/>
          <w:sz w:val="21"/>
          <w:szCs w:val="21"/>
          <w:highlight w:val="none"/>
        </w:rPr>
      </w:pPr>
      <w:bookmarkStart w:id="107" w:name="_Toc7892"/>
      <w:bookmarkStart w:id="108" w:name="_Toc47388330"/>
      <w:r>
        <w:rPr>
          <w:rFonts w:hint="eastAsia" w:hAnsi="宋体"/>
          <w:b/>
          <w:bCs/>
          <w:color w:val="auto"/>
          <w:sz w:val="21"/>
          <w:szCs w:val="21"/>
          <w:highlight w:val="none"/>
        </w:rPr>
        <w:t>二  招标文件</w:t>
      </w:r>
      <w:bookmarkEnd w:id="106"/>
      <w:bookmarkEnd w:id="107"/>
      <w:bookmarkEnd w:id="108"/>
    </w:p>
    <w:p>
      <w:pPr>
        <w:snapToGrid w:val="0"/>
        <w:spacing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（一）招标文件的构成。本招标文件由以下部份组成：</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1.招标公告</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2.招标需求</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3.投标人须知</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4.评标办法及标准</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5.合同主要条款</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6.投标文件格式</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7.本项目招标文件的澄清、答复、修改、补充的内容</w:t>
      </w:r>
    </w:p>
    <w:p>
      <w:pPr>
        <w:snapToGrid w:val="0"/>
        <w:spacing w:before="120"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（二）投标人的风险</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9"/>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pPr>
        <w:pStyle w:val="13"/>
        <w:widowControl w:val="0"/>
        <w:tabs>
          <w:tab w:val="clear" w:pos="454"/>
        </w:tabs>
        <w:snapToGrid w:val="0"/>
        <w:spacing w:before="120" w:beforeLines="50" w:afterLines="0" w:line="360" w:lineRule="auto"/>
        <w:ind w:left="0"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（三）招标文件的澄清与修改 </w:t>
      </w:r>
    </w:p>
    <w:p>
      <w:pPr>
        <w:pStyle w:val="39"/>
        <w:widowControl/>
        <w:snapToGrid/>
        <w:spacing w:line="360" w:lineRule="auto"/>
        <w:ind w:firstLine="420"/>
        <w:rPr>
          <w:rFonts w:ascii="宋体" w:eastAsia="宋体" w:cs="宋体"/>
          <w:color w:val="auto"/>
          <w:sz w:val="21"/>
          <w:szCs w:val="21"/>
          <w:highlight w:val="none"/>
        </w:rPr>
      </w:pPr>
      <w:bookmarkStart w:id="109"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4"/>
        <w:snapToGrid w:val="0"/>
        <w:spacing w:beforeLines="0" w:afterLines="0" w:line="360" w:lineRule="auto"/>
        <w:ind w:firstLine="413" w:firstLineChars="196"/>
        <w:jc w:val="left"/>
        <w:outlineLvl w:val="1"/>
        <w:rPr>
          <w:rFonts w:hAnsi="宋体"/>
          <w:b/>
          <w:bCs/>
          <w:color w:val="auto"/>
          <w:sz w:val="21"/>
          <w:szCs w:val="21"/>
          <w:highlight w:val="none"/>
        </w:rPr>
      </w:pPr>
      <w:bookmarkStart w:id="110" w:name="_Toc47388331"/>
      <w:bookmarkStart w:id="111" w:name="_Toc327"/>
      <w:r>
        <w:rPr>
          <w:rFonts w:hint="eastAsia" w:hAnsi="宋体"/>
          <w:b/>
          <w:bCs/>
          <w:color w:val="auto"/>
          <w:sz w:val="21"/>
          <w:szCs w:val="21"/>
          <w:highlight w:val="none"/>
        </w:rPr>
        <w:t>三、投标文件的编制</w:t>
      </w:r>
      <w:bookmarkEnd w:id="109"/>
      <w:bookmarkEnd w:id="110"/>
      <w:bookmarkEnd w:id="111"/>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（一）投标文件的组成</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投标文件至少包含以下部分：</w:t>
      </w:r>
    </w:p>
    <w:p>
      <w:pPr>
        <w:snapToGrid w:val="0"/>
        <w:spacing w:line="360" w:lineRule="auto"/>
        <w:jc w:val="left"/>
        <w:rPr>
          <w:rFonts w:hint="eastAsia" w:ascii="宋体" w:hAnsi="宋体" w:eastAsia="宋体" w:cs="宋体"/>
          <w:b/>
          <w:bCs/>
          <w:color w:val="auto"/>
          <w:highlight w:val="none"/>
        </w:rPr>
      </w:pPr>
      <w:bookmarkStart w:id="112" w:name="_Hlk105610750"/>
      <w:bookmarkStart w:id="113" w:name="_Toc417922239"/>
      <w:bookmarkStart w:id="114" w:name="_Toc47388342"/>
      <w:r>
        <w:rPr>
          <w:rFonts w:hint="eastAsia" w:ascii="宋体" w:hAnsi="宋体" w:eastAsia="宋体" w:cs="宋体"/>
          <w:b/>
          <w:bCs/>
          <w:color w:val="auto"/>
          <w:highlight w:val="none"/>
        </w:rPr>
        <w:t>1.报价文件：</w:t>
      </w:r>
    </w:p>
    <w:p>
      <w:pPr>
        <w:numPr>
          <w:ilvl w:val="0"/>
          <w:numId w:val="10"/>
        </w:numPr>
        <w:tabs>
          <w:tab w:val="left" w:pos="518"/>
          <w:tab w:val="left" w:pos="84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投标函（格式详见第六章投标文件格式）； </w:t>
      </w:r>
    </w:p>
    <w:p>
      <w:pPr>
        <w:numPr>
          <w:ilvl w:val="0"/>
          <w:numId w:val="10"/>
        </w:numPr>
        <w:tabs>
          <w:tab w:val="left" w:pos="518"/>
          <w:tab w:val="left" w:pos="84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开标一览表（格式详见第六章投标文件格式）；</w:t>
      </w:r>
    </w:p>
    <w:p>
      <w:pPr>
        <w:numPr>
          <w:ilvl w:val="0"/>
          <w:numId w:val="10"/>
        </w:numPr>
        <w:tabs>
          <w:tab w:val="left" w:pos="518"/>
          <w:tab w:val="left" w:pos="84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投标报价明细表（格式详见第六章投标文件格式）；</w:t>
      </w:r>
    </w:p>
    <w:p>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投标人针对报价需要说明的其他文件和说明。</w:t>
      </w:r>
    </w:p>
    <w:p>
      <w:pPr>
        <w:tabs>
          <w:tab w:val="left" w:pos="518"/>
        </w:tabs>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2.资格证明文件：</w:t>
      </w:r>
    </w:p>
    <w:p>
      <w:pPr>
        <w:numPr>
          <w:ilvl w:val="0"/>
          <w:numId w:val="11"/>
        </w:numPr>
        <w:tabs>
          <w:tab w:val="left" w:pos="518"/>
          <w:tab w:val="left" w:pos="84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投标人的营业执照副本复印件（格式详见第六章投标文件格式）联合体投标的，联合体双方须分别提供；</w:t>
      </w:r>
    </w:p>
    <w:p>
      <w:pPr>
        <w:numPr>
          <w:ilvl w:val="0"/>
          <w:numId w:val="11"/>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投标人资格声明函（格式详见第六章投标文件格式）联合体投标的，联合体双方须分别提供；</w:t>
      </w:r>
    </w:p>
    <w:p>
      <w:pPr>
        <w:numPr>
          <w:ilvl w:val="0"/>
          <w:numId w:val="11"/>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落实政府采购政策需满足的资格要求：本项目为专门面向中小微企业采购的项目，供应商需按响应文件格式提供中小企业声明函（</w:t>
      </w:r>
      <w:r>
        <w:rPr>
          <w:rFonts w:hint="eastAsia" w:ascii="宋体" w:hAnsi="宋体" w:eastAsia="宋体" w:cs="宋体"/>
          <w:color w:val="auto"/>
          <w:highlight w:val="none"/>
        </w:rPr>
        <w:t>格式详见第六章投标文件格式；</w:t>
      </w:r>
      <w:r>
        <w:rPr>
          <w:rFonts w:hint="eastAsia" w:ascii="宋体" w:hAnsi="宋体" w:eastAsia="宋体" w:cs="宋体"/>
          <w:bCs/>
          <w:color w:val="auto"/>
          <w:highlight w:val="none"/>
        </w:rPr>
        <w:t>监狱企业、残疾人福利性单位视同为小微企业，如已提供中小企业声明函声明为中小微企业，可不提供监狱企业资格证明材料或残疾人福利性单位声明函。监狱企业、残疾人福利性单位提供相关证明材料。联合体投标的，联合体双方须分别提供）。</w:t>
      </w:r>
    </w:p>
    <w:p>
      <w:pPr>
        <w:numPr>
          <w:ilvl w:val="0"/>
          <w:numId w:val="11"/>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投标人的特定条件的证明文件：</w:t>
      </w:r>
      <w:r>
        <w:rPr>
          <w:rFonts w:hint="eastAsia" w:ascii="宋体" w:hAnsi="宋体" w:eastAsia="宋体" w:cs="宋体"/>
          <w:color w:val="auto"/>
          <w:kern w:val="0"/>
          <w:highlight w:val="none"/>
        </w:rPr>
        <w:t>投标人为医疗器械生产企业的：第二类、第三类医疗器械生产企业提供《医疗器械生产许可证》复印件、第一类医疗器械生产企业提供第一类医疗器械生产备案凭证复印件。 投标人为医疗器械经营企业的：第三类医疗器械经营企业提供《医疗器械经营许可证》复印件、第二类医疗器械经营企业提供第二类医疗器械经营备案凭证复印件。</w:t>
      </w:r>
    </w:p>
    <w:p>
      <w:pPr>
        <w:numPr>
          <w:ilvl w:val="0"/>
          <w:numId w:val="11"/>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联合体投标协议书（格式详见第六章投标文件格式，联合体投标的须提供）。</w:t>
      </w:r>
    </w:p>
    <w:p>
      <w:pPr>
        <w:tabs>
          <w:tab w:val="left" w:pos="518"/>
        </w:tabs>
        <w:spacing w:line="360" w:lineRule="auto"/>
        <w:ind w:left="40"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3.商务技术文件：</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投标人自查表②符合性自查表（格式详见第六章投标文件格式）；</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法定代表人身份证明、法定代表人授权委托书（或联合投标授权委托书）（格式    详见第六章投标文件格式）；</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商务条款响应（偏离）表（格式详见第六章投标文件格式）；</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技术条款响应（偏离）表（格式详见第六章投标文件格式）；</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技术需求中要求提供的证明资料（加盖公章）；</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安装与验收方案</w:t>
      </w:r>
      <w:r>
        <w:rPr>
          <w:rFonts w:hint="eastAsia" w:ascii="宋体" w:hAnsi="宋体" w:eastAsia="宋体" w:cs="宋体"/>
          <w:color w:val="auto"/>
          <w:highlight w:val="none"/>
          <w:lang w:eastAsia="zh-CN"/>
        </w:rPr>
        <w:t>；</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售后服务</w:t>
      </w:r>
      <w:r>
        <w:rPr>
          <w:rFonts w:hint="eastAsia" w:ascii="宋体" w:hAnsi="宋体" w:eastAsia="宋体" w:cs="宋体"/>
          <w:color w:val="auto"/>
          <w:highlight w:val="none"/>
          <w:lang w:eastAsia="zh-CN"/>
        </w:rPr>
        <w:t>；</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培训方案</w:t>
      </w:r>
      <w:r>
        <w:rPr>
          <w:rFonts w:hint="eastAsia" w:ascii="宋体" w:hAnsi="宋体" w:eastAsia="宋体" w:cs="宋体"/>
          <w:color w:val="auto"/>
          <w:highlight w:val="none"/>
          <w:lang w:eastAsia="zh-CN"/>
        </w:rPr>
        <w:t>；</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维修成本方案</w:t>
      </w:r>
      <w:r>
        <w:rPr>
          <w:rFonts w:hint="eastAsia" w:ascii="宋体" w:hAnsi="宋体" w:eastAsia="宋体" w:cs="宋体"/>
          <w:color w:val="auto"/>
          <w:highlight w:val="none"/>
          <w:lang w:eastAsia="zh-CN"/>
        </w:rPr>
        <w:t>；</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投标人所投产品的节能环保产品认证证书复印件及所投产品</w:t>
      </w:r>
      <w:r>
        <w:rPr>
          <w:rFonts w:hint="eastAsia" w:ascii="宋体" w:hAnsi="宋体" w:eastAsia="宋体" w:cs="宋体"/>
          <w:color w:val="auto"/>
          <w:highlight w:val="none"/>
          <w:lang w:val="zh-CN"/>
        </w:rPr>
        <w:t>属于“节能产品政府采购清单”</w:t>
      </w:r>
      <w:r>
        <w:rPr>
          <w:rFonts w:hint="eastAsia" w:ascii="宋体" w:hAnsi="宋体" w:eastAsia="宋体" w:cs="宋体"/>
          <w:color w:val="auto"/>
          <w:highlight w:val="none"/>
        </w:rPr>
        <w:t>中所列产品的</w:t>
      </w:r>
      <w:r>
        <w:rPr>
          <w:rFonts w:hint="eastAsia" w:ascii="宋体" w:hAnsi="宋体" w:eastAsia="宋体" w:cs="宋体"/>
          <w:color w:val="auto"/>
          <w:highlight w:val="none"/>
          <w:lang w:val="zh-CN"/>
        </w:rPr>
        <w:t>相关证明资料或截图</w:t>
      </w:r>
      <w:r>
        <w:rPr>
          <w:rFonts w:hint="eastAsia" w:ascii="宋体" w:hAnsi="宋体" w:eastAsia="宋体" w:cs="宋体"/>
          <w:color w:val="auto"/>
          <w:highlight w:val="none"/>
        </w:rPr>
        <w:t>（如有请提供，加盖公章）；</w:t>
      </w:r>
    </w:p>
    <w:p>
      <w:pPr>
        <w:numPr>
          <w:ilvl w:val="0"/>
          <w:numId w:val="12"/>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业绩一览表（格式详见第六章投标文件格式）、投标产品的销售业绩的合同复印件（加盖公章）（根据评分标准提供）；</w:t>
      </w:r>
    </w:p>
    <w:p>
      <w:pPr>
        <w:numPr>
          <w:ilvl w:val="0"/>
          <w:numId w:val="12"/>
        </w:numPr>
        <w:tabs>
          <w:tab w:val="left" w:pos="420"/>
        </w:tabs>
        <w:spacing w:line="360" w:lineRule="auto"/>
        <w:rPr>
          <w:rFonts w:ascii="宋体" w:hAnsi="宋体" w:cs="宋体"/>
          <w:color w:val="auto"/>
          <w:highlight w:val="none"/>
        </w:rPr>
      </w:pPr>
      <w:r>
        <w:rPr>
          <w:rFonts w:hint="eastAsia" w:ascii="宋体" w:hAnsi="宋体" w:eastAsia="宋体" w:cs="宋体"/>
          <w:color w:val="auto"/>
          <w:highlight w:val="none"/>
        </w:rPr>
        <w:t>其他采购需求或评分标准所需资料。</w:t>
      </w:r>
      <w:bookmarkEnd w:id="112"/>
      <w:bookmarkStart w:id="115" w:name="_Toc21913"/>
    </w:p>
    <w:p>
      <w:pPr>
        <w:snapToGrid w:val="0"/>
        <w:spacing w:line="360" w:lineRule="auto"/>
        <w:ind w:firstLine="411" w:firstLineChars="196"/>
        <w:jc w:val="left"/>
        <w:outlineLvl w:val="0"/>
        <w:rPr>
          <w:rFonts w:ascii="宋体" w:hAnsi="宋体" w:cs="宋体"/>
          <w:color w:val="auto"/>
          <w:highlight w:val="none"/>
        </w:rPr>
      </w:pPr>
      <w:r>
        <w:rPr>
          <w:rFonts w:hint="eastAsia" w:ascii="宋体" w:hAnsi="宋体" w:cs="宋体"/>
          <w:color w:val="auto"/>
          <w:highlight w:val="none"/>
        </w:rPr>
        <w:t>（二）投标文件的语言及计量</w:t>
      </w:r>
      <w:bookmarkEnd w:id="113"/>
      <w:bookmarkEnd w:id="114"/>
      <w:bookmarkEnd w:id="115"/>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★2投标计量单位，招标文件已有明确规定的，使用招标文件规定的计量单位；招标文件没有规定的，应采用中华人民共和国法定计量单位（例如货币单位：人民币元），否则视同未响应。</w:t>
      </w:r>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16" w:name="_Toc417922240"/>
      <w:bookmarkStart w:id="117" w:name="_Toc28665"/>
      <w:bookmarkStart w:id="118" w:name="_Toc47388343"/>
      <w:r>
        <w:rPr>
          <w:rFonts w:hint="eastAsia" w:ascii="宋体" w:hAnsi="宋体" w:cs="宋体"/>
          <w:b/>
          <w:bCs/>
          <w:color w:val="auto"/>
          <w:highlight w:val="none"/>
        </w:rPr>
        <w:t>（三）投标报价</w:t>
      </w:r>
      <w:bookmarkEnd w:id="116"/>
      <w:bookmarkEnd w:id="117"/>
      <w:bookmarkEnd w:id="118"/>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19" w:name="_Toc417922241"/>
      <w:bookmarkStart w:id="120" w:name="_Toc26606"/>
      <w:bookmarkStart w:id="121" w:name="_Toc47388344"/>
      <w:r>
        <w:rPr>
          <w:rFonts w:hint="eastAsia" w:ascii="宋体" w:hAnsi="宋体" w:cs="宋体"/>
          <w:b/>
          <w:bCs/>
          <w:color w:val="auto"/>
          <w:highlight w:val="none"/>
        </w:rPr>
        <w:t>1.投标报价应按招标文件中相关附表格式填写。</w:t>
      </w:r>
      <w:bookmarkEnd w:id="119"/>
      <w:bookmarkEnd w:id="120"/>
      <w:bookmarkEnd w:id="121"/>
    </w:p>
    <w:p>
      <w:pPr>
        <w:overflowPunct w:val="0"/>
        <w:spacing w:line="360" w:lineRule="auto"/>
        <w:ind w:left="63" w:leftChars="30" w:firstLine="103" w:firstLineChars="49"/>
        <w:rPr>
          <w:rFonts w:ascii="宋体" w:hAnsi="宋体" w:cs="宋体"/>
          <w:b/>
          <w:bCs/>
          <w:color w:val="auto"/>
          <w:highlight w:val="none"/>
        </w:rPr>
      </w:pPr>
      <w:r>
        <w:rPr>
          <w:rFonts w:hint="eastAsia" w:ascii="宋体" w:hAnsi="宋体" w:cs="宋体"/>
          <w:b/>
          <w:bCs/>
          <w:color w:val="auto"/>
          <w:highlight w:val="none"/>
        </w:rPr>
        <w:tab/>
      </w:r>
      <w:bookmarkStart w:id="122" w:name="_Toc417922242"/>
      <w:r>
        <w:rPr>
          <w:rFonts w:hint="eastAsia" w:ascii="宋体" w:hAnsi="宋体" w:cs="宋体"/>
          <w:color w:val="auto"/>
          <w:highlight w:val="none"/>
        </w:rPr>
        <w:t>★</w:t>
      </w:r>
      <w:r>
        <w:rPr>
          <w:rFonts w:hint="eastAsia" w:ascii="宋体" w:hAnsi="宋体" w:cs="宋体"/>
          <w:b/>
          <w:bCs/>
          <w:color w:val="auto"/>
          <w:highlight w:val="none"/>
        </w:rPr>
        <w:t>2.</w:t>
      </w:r>
      <w:bookmarkEnd w:id="122"/>
      <w:r>
        <w:rPr>
          <w:rFonts w:hint="eastAsia" w:ascii="宋体" w:hAnsi="宋体" w:cs="宋体"/>
          <w:b/>
          <w:bCs/>
          <w:color w:val="auto"/>
          <w:highlight w:val="none"/>
        </w:rPr>
        <w:t xml:space="preserve"> 投标报价是详见第三章前附表2。</w:t>
      </w:r>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23" w:name="_Toc417922243"/>
      <w:bookmarkStart w:id="124" w:name="_Toc26755"/>
      <w:bookmarkStart w:id="125" w:name="_Toc47388345"/>
      <w:r>
        <w:rPr>
          <w:rFonts w:hint="eastAsia" w:ascii="宋体" w:hAnsi="宋体" w:cs="宋体"/>
          <w:color w:val="auto"/>
          <w:highlight w:val="none"/>
        </w:rPr>
        <w:t>★</w:t>
      </w:r>
      <w:r>
        <w:rPr>
          <w:rFonts w:hint="eastAsia" w:ascii="宋体" w:hAnsi="宋体" w:cs="宋体"/>
          <w:b/>
          <w:bCs/>
          <w:color w:val="auto"/>
          <w:highlight w:val="none"/>
        </w:rPr>
        <w:t>3.投标文针对同一内容只允许有一个报价，有选择的或有条件的报价将不予接受。</w:t>
      </w:r>
      <w:bookmarkEnd w:id="123"/>
      <w:bookmarkEnd w:id="124"/>
      <w:bookmarkEnd w:id="125"/>
    </w:p>
    <w:p>
      <w:pPr>
        <w:snapToGrid w:val="0"/>
        <w:spacing w:before="120" w:beforeLines="50" w:line="360" w:lineRule="auto"/>
        <w:ind w:firstLine="413" w:firstLineChars="196"/>
        <w:jc w:val="left"/>
        <w:outlineLvl w:val="0"/>
        <w:rPr>
          <w:rFonts w:ascii="宋体" w:hAnsi="宋体" w:cs="宋体"/>
          <w:b/>
          <w:bCs/>
          <w:color w:val="auto"/>
          <w:highlight w:val="none"/>
        </w:rPr>
      </w:pPr>
      <w:bookmarkStart w:id="126" w:name="_Toc13397"/>
      <w:bookmarkStart w:id="127" w:name="_Toc417922244"/>
      <w:bookmarkStart w:id="128" w:name="_Toc47388346"/>
      <w:r>
        <w:rPr>
          <w:rFonts w:hint="eastAsia" w:ascii="宋体" w:hAnsi="宋体" w:cs="宋体"/>
          <w:b/>
          <w:bCs/>
          <w:color w:val="auto"/>
          <w:highlight w:val="none"/>
        </w:rPr>
        <w:t>（四）投标文件的有效期</w:t>
      </w:r>
      <w:bookmarkEnd w:id="126"/>
      <w:bookmarkEnd w:id="127"/>
      <w:bookmarkEnd w:id="128"/>
    </w:p>
    <w:p>
      <w:pPr>
        <w:pStyle w:val="13"/>
        <w:widowControl w:val="0"/>
        <w:tabs>
          <w:tab w:val="clear" w:pos="454"/>
        </w:tabs>
        <w:snapToGrid w:val="0"/>
        <w:spacing w:afterLines="0" w:line="360" w:lineRule="auto"/>
        <w:ind w:left="0"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1.自投标截止日起</w:t>
      </w:r>
      <w:r>
        <w:rPr>
          <w:rFonts w:hint="eastAsia" w:ascii="宋体" w:hAnsi="宋体" w:cs="宋体"/>
          <w:b/>
          <w:bCs/>
          <w:color w:val="auto"/>
          <w:sz w:val="21"/>
          <w:szCs w:val="21"/>
          <w:highlight w:val="none"/>
          <w:u w:val="single"/>
        </w:rPr>
        <w:t xml:space="preserve">90 </w:t>
      </w:r>
      <w:r>
        <w:rPr>
          <w:rFonts w:hint="eastAsia" w:ascii="宋体" w:hAnsi="宋体" w:cs="宋体"/>
          <w:b/>
          <w:bCs/>
          <w:color w:val="auto"/>
          <w:sz w:val="21"/>
          <w:szCs w:val="21"/>
          <w:highlight w:val="none"/>
        </w:rPr>
        <w:t>天投标文件应保持有效。有效期不足的投标文件将被拒绝。</w:t>
      </w:r>
    </w:p>
    <w:p>
      <w:pPr>
        <w:pStyle w:val="13"/>
        <w:widowControl w:val="0"/>
        <w:tabs>
          <w:tab w:val="clear" w:pos="454"/>
        </w:tabs>
        <w:snapToGrid w:val="0"/>
        <w:spacing w:afterLines="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bCs/>
          <w:color w:val="auto"/>
          <w:highlight w:val="none"/>
        </w:rPr>
      </w:pPr>
      <w:bookmarkStart w:id="129" w:name="_Toc47388347"/>
      <w:bookmarkStart w:id="130" w:name="_Toc417922245"/>
      <w:bookmarkStart w:id="131" w:name="_Toc4957"/>
      <w:r>
        <w:rPr>
          <w:rFonts w:hint="eastAsia" w:ascii="宋体" w:hAnsi="宋体" w:cs="宋体"/>
          <w:color w:val="auto"/>
          <w:highlight w:val="none"/>
        </w:rPr>
        <w:t>3.投标人可拒绝接受延期要求而不会导致投标保证金被没收。同意延长有效期的投标人需要相应延长投标保证金的有效期，但不能修改投标文件。</w:t>
      </w:r>
      <w:bookmarkEnd w:id="129"/>
      <w:bookmarkEnd w:id="130"/>
      <w:bookmarkEnd w:id="131"/>
      <w:r>
        <w:rPr>
          <w:rFonts w:hint="eastAsia" w:ascii="宋体" w:hAnsi="宋体" w:cs="宋体"/>
          <w:b/>
          <w:bCs/>
          <w:color w:val="auto"/>
          <w:highlight w:val="none"/>
        </w:rPr>
        <w:t xml:space="preserve"> </w:t>
      </w:r>
    </w:p>
    <w:p>
      <w:pPr>
        <w:snapToGrid w:val="0"/>
        <w:spacing w:line="360" w:lineRule="auto"/>
        <w:ind w:firstLine="420" w:firstLineChars="200"/>
        <w:jc w:val="left"/>
        <w:outlineLvl w:val="0"/>
        <w:rPr>
          <w:rFonts w:ascii="宋体" w:hAnsi="宋体" w:cs="宋体"/>
          <w:b/>
          <w:bCs/>
          <w:color w:val="auto"/>
          <w:highlight w:val="none"/>
        </w:rPr>
      </w:pPr>
      <w:bookmarkStart w:id="132" w:name="_Toc27965"/>
      <w:bookmarkStart w:id="133" w:name="_Toc47388348"/>
      <w:bookmarkStart w:id="134" w:name="_Toc417922246"/>
      <w:r>
        <w:rPr>
          <w:rFonts w:hint="eastAsia" w:ascii="宋体" w:hAnsi="宋体" w:cs="宋体"/>
          <w:color w:val="auto"/>
          <w:highlight w:val="none"/>
        </w:rPr>
        <w:t>4.中标人的投标文件自开标之日起至合同履行完毕止均应保持有效。</w:t>
      </w:r>
      <w:bookmarkEnd w:id="132"/>
      <w:bookmarkEnd w:id="133"/>
      <w:bookmarkEnd w:id="134"/>
    </w:p>
    <w:p>
      <w:pPr>
        <w:snapToGrid w:val="0"/>
        <w:spacing w:before="120" w:beforeLines="50" w:line="360" w:lineRule="auto"/>
        <w:ind w:firstLine="413" w:firstLineChars="196"/>
        <w:jc w:val="left"/>
        <w:outlineLvl w:val="0"/>
        <w:rPr>
          <w:rFonts w:ascii="宋体" w:hAnsi="宋体" w:cs="宋体"/>
          <w:b/>
          <w:bCs/>
          <w:color w:val="auto"/>
          <w:highlight w:val="none"/>
        </w:rPr>
      </w:pPr>
      <w:bookmarkStart w:id="135" w:name="_Toc8457"/>
      <w:bookmarkStart w:id="136" w:name="_Toc447886489"/>
      <w:bookmarkStart w:id="137" w:name="_Toc447886351"/>
      <w:bookmarkStart w:id="138" w:name="_Toc47388363"/>
      <w:r>
        <w:rPr>
          <w:rFonts w:hint="eastAsia" w:ascii="宋体" w:hAnsi="宋体" w:cs="宋体"/>
          <w:b/>
          <w:bCs/>
          <w:color w:val="auto"/>
          <w:highlight w:val="none"/>
        </w:rPr>
        <w:t>（五）投标文件的签署和份数</w:t>
      </w:r>
      <w:bookmarkEnd w:id="135"/>
      <w:bookmarkEnd w:id="136"/>
      <w:bookmarkEnd w:id="137"/>
      <w:bookmarkEnd w:id="138"/>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highlight w:val="none"/>
        </w:rPr>
        <w:t>2.投标人应提供电子投标文件。电子投标文件中所须加盖公章（联合体的，只需盖联合体牵头人CA章）。</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4.投标文件不得涂改，若有修改错漏处，须加盖单位公章或者法定代表人或授权委托人签字或盖章。投标文件因字迹潦草或表达不清所引起的后果由投标人负责。</w:t>
      </w:r>
    </w:p>
    <w:p>
      <w:pPr>
        <w:snapToGrid w:val="0"/>
        <w:spacing w:before="120" w:beforeLines="50" w:line="360" w:lineRule="auto"/>
        <w:ind w:firstLine="310" w:firstLineChars="147"/>
        <w:jc w:val="left"/>
        <w:rPr>
          <w:rFonts w:ascii="宋体" w:hAnsi="宋体" w:cs="宋体"/>
          <w:b/>
          <w:bCs/>
          <w:color w:val="auto"/>
          <w:highlight w:val="none"/>
        </w:rPr>
      </w:pPr>
      <w:r>
        <w:rPr>
          <w:rFonts w:hint="eastAsia" w:ascii="宋体" w:hAnsi="宋体" w:cs="宋体"/>
          <w:b/>
          <w:bCs/>
          <w:color w:val="auto"/>
          <w:highlight w:val="none"/>
        </w:rPr>
        <w:t>（六）投标文件的上传递交、修改和撤回</w:t>
      </w:r>
    </w:p>
    <w:p>
      <w:pPr>
        <w:snapToGrid w:val="0"/>
        <w:spacing w:before="120" w:beforeLines="50" w:line="360" w:lineRule="auto"/>
        <w:ind w:firstLine="411" w:firstLineChars="196"/>
        <w:jc w:val="left"/>
        <w:outlineLvl w:val="2"/>
        <w:rPr>
          <w:rFonts w:ascii="宋体" w:hAnsi="宋体" w:cs="宋体"/>
          <w:color w:val="auto"/>
          <w:highlight w:val="none"/>
        </w:rPr>
      </w:pPr>
      <w:bookmarkStart w:id="139" w:name="_Toc47388364"/>
      <w:bookmarkStart w:id="140" w:name="_Toc11204"/>
      <w:bookmarkStart w:id="141" w:name="_Toc447886352"/>
      <w:bookmarkStart w:id="142" w:name="_Toc447886490"/>
      <w:r>
        <w:rPr>
          <w:rFonts w:hint="eastAsia" w:ascii="宋体" w:hAnsi="宋体" w:cs="宋体"/>
          <w:color w:val="auto"/>
          <w:highlight w:val="none"/>
        </w:rPr>
        <w:t>1.投标文件的上传递交：</w:t>
      </w:r>
      <w:bookmarkEnd w:id="139"/>
      <w:bookmarkEnd w:id="140"/>
    </w:p>
    <w:p>
      <w:pPr>
        <w:snapToGrid w:val="0"/>
        <w:spacing w:before="120" w:beforeLines="50" w:line="360" w:lineRule="auto"/>
        <w:ind w:firstLine="411" w:firstLineChars="196"/>
        <w:jc w:val="left"/>
        <w:outlineLvl w:val="2"/>
        <w:rPr>
          <w:rFonts w:ascii="宋体" w:hAnsi="宋体" w:cs="宋体"/>
          <w:color w:val="auto"/>
          <w:highlight w:val="none"/>
        </w:rPr>
      </w:pPr>
      <w:bookmarkStart w:id="143" w:name="_Toc18986"/>
      <w:bookmarkStart w:id="144" w:name="_Toc47388365"/>
      <w:r>
        <w:rPr>
          <w:rFonts w:hint="eastAsia" w:ascii="宋体" w:hAnsi="宋体" w:cs="宋体"/>
          <w:color w:val="auto"/>
          <w:highlight w:val="none"/>
        </w:rPr>
        <w:t>（1）电子加密投标文件的上传递交：</w:t>
      </w:r>
      <w:bookmarkEnd w:id="143"/>
      <w:bookmarkEnd w:id="144"/>
    </w:p>
    <w:p>
      <w:pPr>
        <w:snapToGrid w:val="0"/>
        <w:spacing w:before="120" w:beforeLines="50" w:line="360" w:lineRule="auto"/>
        <w:ind w:firstLine="411" w:firstLineChars="196"/>
        <w:jc w:val="left"/>
        <w:outlineLvl w:val="2"/>
        <w:rPr>
          <w:rFonts w:ascii="宋体" w:hAnsi="宋体" w:cs="宋体"/>
          <w:color w:val="auto"/>
          <w:highlight w:val="none"/>
        </w:rPr>
      </w:pPr>
      <w:bookmarkStart w:id="145" w:name="_Toc28964"/>
      <w:bookmarkStart w:id="146" w:name="_Toc47388366"/>
      <w:r>
        <w:rPr>
          <w:rFonts w:hint="eastAsia" w:ascii="宋体" w:hAnsi="宋体" w:cs="宋体"/>
          <w:color w:val="auto"/>
          <w:highlight w:val="none"/>
        </w:rPr>
        <w:t>★a.投标人应在投标截止时间前将电子加密投标文件成功上传递交至政府采购云平台，否则投标无效；</w:t>
      </w:r>
      <w:bookmarkEnd w:id="145"/>
      <w:bookmarkEnd w:id="146"/>
    </w:p>
    <w:p>
      <w:pPr>
        <w:snapToGrid w:val="0"/>
        <w:spacing w:before="120" w:beforeLines="50" w:line="360" w:lineRule="auto"/>
        <w:ind w:firstLine="411" w:firstLineChars="196"/>
        <w:jc w:val="left"/>
        <w:outlineLvl w:val="2"/>
        <w:rPr>
          <w:rFonts w:ascii="宋体" w:hAnsi="宋体" w:cs="宋体"/>
          <w:color w:val="auto"/>
          <w:highlight w:val="none"/>
        </w:rPr>
      </w:pPr>
      <w:bookmarkStart w:id="147" w:name="_Toc47388367"/>
      <w:bookmarkStart w:id="148" w:name="_Toc31716"/>
      <w:r>
        <w:rPr>
          <w:rFonts w:hint="eastAsia" w:ascii="宋体" w:hAnsi="宋体" w:cs="宋体"/>
          <w:color w:val="auto"/>
          <w:highlight w:val="none"/>
        </w:rPr>
        <w:t>b.电子加密投标文件成功上传递交后，投标人可自行打印投标文件接收回执。</w:t>
      </w:r>
      <w:bookmarkEnd w:id="147"/>
      <w:bookmarkEnd w:id="148"/>
    </w:p>
    <w:p>
      <w:pPr>
        <w:snapToGrid w:val="0"/>
        <w:spacing w:before="120" w:beforeLines="50" w:line="360" w:lineRule="auto"/>
        <w:ind w:firstLine="411" w:firstLineChars="196"/>
        <w:jc w:val="left"/>
        <w:outlineLvl w:val="2"/>
        <w:rPr>
          <w:rFonts w:ascii="宋体" w:hAnsi="宋体" w:cs="宋体"/>
          <w:color w:val="auto"/>
          <w:highlight w:val="none"/>
        </w:rPr>
      </w:pPr>
      <w:bookmarkStart w:id="149" w:name="_Toc2573"/>
      <w:bookmarkStart w:id="150" w:name="_Toc47388368"/>
      <w:r>
        <w:rPr>
          <w:rFonts w:hint="eastAsia" w:ascii="宋体" w:hAnsi="宋体" w:cs="宋体"/>
          <w:color w:val="auto"/>
          <w:highlight w:val="none"/>
        </w:rPr>
        <w:t>（2）备份投标文件的密封包装、递交：</w:t>
      </w:r>
      <w:bookmarkEnd w:id="149"/>
      <w:bookmarkEnd w:id="150"/>
    </w:p>
    <w:p>
      <w:pPr>
        <w:snapToGrid w:val="0"/>
        <w:spacing w:before="120" w:beforeLines="50" w:line="360" w:lineRule="auto"/>
        <w:ind w:firstLine="411" w:firstLineChars="196"/>
        <w:jc w:val="left"/>
        <w:outlineLvl w:val="2"/>
        <w:rPr>
          <w:rFonts w:ascii="宋体" w:hAnsi="宋体" w:cs="宋体"/>
          <w:color w:val="auto"/>
          <w:highlight w:val="none"/>
        </w:rPr>
      </w:pPr>
      <w:bookmarkStart w:id="151" w:name="_Toc47388369"/>
      <w:bookmarkStart w:id="152" w:name="_Toc3075"/>
      <w:r>
        <w:rPr>
          <w:rFonts w:hint="eastAsia" w:ascii="宋体" w:hAnsi="宋体" w:cs="宋体"/>
          <w:color w:val="auto"/>
          <w:highlight w:val="none"/>
        </w:rPr>
        <w:t>a.投标人在政府采购云平台完成电子加密投标文件的上传递交后，还可以通过电子邮件在投标截止时间前递交备份投标文件；</w:t>
      </w:r>
      <w:bookmarkEnd w:id="151"/>
      <w:bookmarkEnd w:id="152"/>
    </w:p>
    <w:p>
      <w:pPr>
        <w:snapToGrid w:val="0"/>
        <w:spacing w:before="120" w:beforeLines="50" w:line="360" w:lineRule="auto"/>
        <w:ind w:firstLine="411" w:firstLineChars="196"/>
        <w:jc w:val="left"/>
        <w:outlineLvl w:val="2"/>
        <w:rPr>
          <w:rFonts w:ascii="宋体" w:hAnsi="宋体" w:cs="宋体"/>
          <w:color w:val="auto"/>
          <w:highlight w:val="none"/>
        </w:rPr>
      </w:pPr>
      <w:bookmarkStart w:id="153" w:name="_Toc47388370"/>
      <w:bookmarkStart w:id="154" w:name="_Toc6588"/>
      <w:r>
        <w:rPr>
          <w:rFonts w:hint="eastAsia" w:ascii="宋体" w:hAnsi="宋体" w:cs="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53"/>
      <w:bookmarkEnd w:id="154"/>
    </w:p>
    <w:p>
      <w:pPr>
        <w:snapToGrid w:val="0"/>
        <w:spacing w:before="120" w:beforeLines="50" w:line="360" w:lineRule="auto"/>
        <w:ind w:firstLine="411" w:firstLineChars="196"/>
        <w:jc w:val="left"/>
        <w:outlineLvl w:val="2"/>
        <w:rPr>
          <w:rFonts w:ascii="宋体" w:hAnsi="宋体" w:cs="宋体"/>
          <w:color w:val="auto"/>
          <w:highlight w:val="none"/>
        </w:rPr>
      </w:pPr>
      <w:bookmarkStart w:id="155" w:name="_Toc10991"/>
      <w:bookmarkStart w:id="156" w:name="_Toc47388371"/>
      <w:r>
        <w:rPr>
          <w:rFonts w:hint="eastAsia" w:ascii="宋体" w:hAnsi="宋体" w:cs="宋体"/>
          <w:color w:val="auto"/>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55"/>
      <w:bookmarkEnd w:id="156"/>
    </w:p>
    <w:bookmarkEnd w:id="141"/>
    <w:bookmarkEnd w:id="142"/>
    <w:p>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四、特别说明</w:t>
      </w:r>
    </w:p>
    <w:p>
      <w:pPr>
        <w:snapToGrid w:val="0"/>
        <w:spacing w:line="360" w:lineRule="auto"/>
        <w:ind w:firstLine="420" w:firstLineChars="200"/>
        <w:rPr>
          <w:rFonts w:hint="eastAsia" w:ascii="宋体" w:hAnsi="宋体" w:eastAsia="宋体" w:cs="宋体"/>
          <w:color w:val="auto"/>
          <w:sz w:val="21"/>
          <w:szCs w:val="21"/>
          <w:highlight w:val="none"/>
        </w:rPr>
      </w:pPr>
      <w:bookmarkStart w:id="157" w:name="_Toc28996"/>
      <w:bookmarkStart w:id="158" w:name="_Toc47388384"/>
      <w:r>
        <w:rPr>
          <w:rFonts w:hint="eastAsia" w:ascii="宋体" w:hAnsi="宋体" w:eastAsia="宋体" w:cs="宋体"/>
          <w:color w:val="auto"/>
          <w:sz w:val="21"/>
          <w:szCs w:val="21"/>
          <w:highlight w:val="none"/>
        </w:rPr>
        <w:t>1.进口产品采购需符合“财政部关于印发《政府采购进口产品管理办法》的通知（财库[2007]119号）”第四、八、九、十、十一条的规定。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专门面向中小企业采购。</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3.本项目对应的中小企业划分标准所属行业：</w:t>
      </w:r>
      <w:r>
        <w:rPr>
          <w:rFonts w:hint="eastAsia" w:ascii="宋体" w:hAnsi="宋体" w:eastAsia="宋体" w:cs="宋体"/>
          <w:color w:val="auto"/>
          <w:sz w:val="21"/>
          <w:szCs w:val="21"/>
          <w:highlight w:val="none"/>
          <w:u w:val="single"/>
          <w:lang w:val="en-US" w:eastAsia="zh-CN"/>
        </w:rPr>
        <w:t>工业</w:t>
      </w:r>
      <w:r>
        <w:rPr>
          <w:rFonts w:hint="eastAsia" w:ascii="宋体" w:hAnsi="宋体" w:eastAsia="宋体" w:cs="宋体"/>
          <w:color w:val="auto"/>
          <w:sz w:val="21"/>
          <w:szCs w:val="21"/>
          <w:highlight w:val="none"/>
        </w:rPr>
        <w:t xml:space="preserve">。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国务院批准的中小企业划分标准：具体见工信部联企业[2011]300号。</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5.在政府采购活动中，供应商提供的货物、工程或者服务符合下列情形的，享受《政府采购促进中小企业发展管理办法》规定的中小企业扶持政策：</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（3）在服务采购项目中，服务由中小企业承接，即提供服务的人员为中小企业依照《中华人民共和国劳动合同法》订立劳动合同的从业人员。</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6.中小企业参加政府采购活动，应当出具《政府采购促进中小企业发展管理办法》规定的《中小企业声明函》（格式见附件），否则不得享受中小企业扶持政策。</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供应商提供声明函内容不实的，属于提供虚假材料谋取中标、成交，依照《中华人民共和国政府采购法》等国家有关规定追究相应责任。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8.《中小企业声明函》由参加响应的供应商提交，如供应商为代理商，须自行采集制造商的中小企业划分类型信息填入相应栏目并对其真实性负责。</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19"/>
        <w:snapToGrid w:val="0"/>
        <w:spacing w:line="360" w:lineRule="auto"/>
        <w:ind w:firstLine="404"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10.执行《三部门联合发布关于促进残疾人就业政府采购政策的通知》,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pPr>
        <w:pStyle w:val="2"/>
        <w:rPr>
          <w:rFonts w:ascii="宋体" w:cs="宋体"/>
          <w:color w:val="auto"/>
          <w:sz w:val="21"/>
          <w:szCs w:val="21"/>
          <w:highlight w:val="none"/>
        </w:rPr>
      </w:pPr>
    </w:p>
    <w:p>
      <w:pPr>
        <w:pStyle w:val="2"/>
        <w:rPr>
          <w:rFonts w:ascii="宋体" w:cs="宋体"/>
          <w:color w:val="auto"/>
          <w:sz w:val="21"/>
          <w:szCs w:val="21"/>
          <w:highlight w:val="none"/>
        </w:rPr>
      </w:pPr>
    </w:p>
    <w:p>
      <w:pPr>
        <w:pStyle w:val="2"/>
        <w:rPr>
          <w:rFonts w:ascii="宋体" w:cs="宋体"/>
          <w:color w:val="auto"/>
          <w:highlight w:val="none"/>
        </w:rPr>
        <w:sectPr>
          <w:pgSz w:w="11906" w:h="16838"/>
          <w:pgMar w:top="1474" w:right="1797" w:bottom="1247" w:left="1797" w:header="851" w:footer="851" w:gutter="0"/>
          <w:cols w:space="720" w:num="1"/>
          <w:titlePg/>
          <w:docGrid w:linePitch="312" w:charSpace="0"/>
        </w:sectPr>
      </w:pPr>
    </w:p>
    <w:p>
      <w:pPr>
        <w:pStyle w:val="2"/>
        <w:rPr>
          <w:rFonts w:ascii="宋体" w:cs="宋体"/>
          <w:color w:val="auto"/>
          <w:highlight w:val="none"/>
        </w:rPr>
      </w:pPr>
      <w:r>
        <w:rPr>
          <w:rFonts w:hint="eastAsia" w:ascii="宋体" w:cs="宋体"/>
          <w:color w:val="auto"/>
          <w:highlight w:val="none"/>
        </w:rPr>
        <w:t>第四章  评标办法及评分标准</w:t>
      </w:r>
      <w:bookmarkEnd w:id="157"/>
      <w:bookmarkEnd w:id="158"/>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color w:val="auto"/>
          <w:highlight w:val="none"/>
        </w:rPr>
      </w:pPr>
      <w:r>
        <w:rPr>
          <w:rFonts w:hint="eastAsia" w:ascii="宋体" w:hAnsi="宋体" w:cs="宋体"/>
          <w:b/>
          <w:bCs/>
          <w:color w:val="auto"/>
          <w:highlight w:val="none"/>
        </w:rPr>
        <w:t>一、开标程序：</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1、电子招投标开标程序：</w:t>
      </w:r>
    </w:p>
    <w:p>
      <w:pPr>
        <w:numPr>
          <w:ilvl w:val="0"/>
          <w:numId w:val="13"/>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投标截止时间后，供应商登录政府采购云平台，用“项目采购-开标评标”功能对电子投标文件进行在线解密，在线解密电子投标文件时间为开标时间后30分钟内。</w:t>
      </w:r>
    </w:p>
    <w:p>
      <w:pPr>
        <w:numPr>
          <w:ilvl w:val="0"/>
          <w:numId w:val="13"/>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（3）在政府采购云平台宣告评审无效供应商名单及理由；</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（4）在政府采购云平台公布评审结果。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（5）开标会议结束。</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（1）若有供应商在规定时间内无法解密或解密失败，代理机构将开启该供应商递交的电子备份投标文件，上传至政采云平台项目采购模块，以完成开标，电子投标文件自动失效。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3.1电子交易平台发生故障而无法登录访问的；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3.2电子交易平台应用或数据库出现错误，不能进行正常操作的；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3.3电子交易平台发现严重安全漏洞，有潜在泄密危险的；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3.4病毒发作导致不能进行正常操作的；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3.5其他无法保证电子交易的公平、公正和安全的情况。</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（3）未开启的备份投标文件现场予以退还（电子邮件方式除外）。</w:t>
      </w:r>
    </w:p>
    <w:p>
      <w:pPr>
        <w:spacing w:line="360" w:lineRule="auto"/>
        <w:rPr>
          <w:rFonts w:ascii="宋体" w:hAnsi="宋体" w:cs="宋体"/>
          <w:b/>
          <w:bCs/>
          <w:color w:val="auto"/>
          <w:highlight w:val="none"/>
        </w:rPr>
      </w:pPr>
      <w:r>
        <w:rPr>
          <w:rFonts w:hint="eastAsia" w:ascii="宋体" w:hAnsi="宋体" w:cs="宋体"/>
          <w:b/>
          <w:bCs/>
          <w:color w:val="auto"/>
          <w:highlight w:val="none"/>
        </w:rPr>
        <w:t>二、评标委员会</w:t>
      </w:r>
    </w:p>
    <w:p>
      <w:pPr>
        <w:spacing w:line="360" w:lineRule="auto"/>
        <w:ind w:firstLine="420" w:firstLineChars="200"/>
        <w:rPr>
          <w:rFonts w:ascii="宋体" w:hAnsi="宋体" w:cs="宋体"/>
          <w:bCs/>
          <w:color w:val="auto"/>
          <w:highlight w:val="none"/>
        </w:rPr>
      </w:pPr>
      <w:r>
        <w:rPr>
          <w:rFonts w:hint="eastAsia" w:ascii="宋体" w:hAnsi="宋体" w:cs="宋体"/>
          <w:color w:val="auto"/>
          <w:highlight w:val="none"/>
        </w:rPr>
        <w:t>（一）本次招标依法组建评标委员会。</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（三）评审专家有下列情形之一的，受到邀请应主动提出回避，采购当事人也可以要求该评审专家回避：</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1、参加采购活动前三年内，与投标人存在劳动关系，或者担任过投标人的董事、监事，或者是投标人的控股股东或实际控制人； </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2、与投标人的法定代表人或者负责人有夫妻、直系血亲、三代以内旁系血亲或者近姻亲关系； </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3、与供应商有其他可能影响政府采购活动公平、公正进行的关系。</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4、曾经参加过该招标项目的进口产品论证服务工作；</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5、法律、法规、规章规定应当回避以及其他可能影响公正评审的。</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color w:val="auto"/>
          <w:highlight w:val="none"/>
        </w:rPr>
      </w:pPr>
      <w:r>
        <w:rPr>
          <w:rFonts w:hint="eastAsia" w:ascii="宋体" w:hAnsi="宋体" w:cs="宋体"/>
          <w:b/>
          <w:bCs/>
          <w:color w:val="auto"/>
          <w:highlight w:val="none"/>
        </w:rPr>
        <w:t>三、评标方法</w:t>
      </w:r>
    </w:p>
    <w:p>
      <w:pPr>
        <w:spacing w:line="360" w:lineRule="auto"/>
        <w:rPr>
          <w:rFonts w:ascii="宋体" w:hAnsi="宋体" w:cs="宋体"/>
          <w:color w:val="auto"/>
          <w:highlight w:val="none"/>
        </w:rPr>
      </w:pPr>
      <w:r>
        <w:rPr>
          <w:rFonts w:hint="eastAsia" w:ascii="宋体" w:hAnsi="宋体" w:cs="宋体"/>
          <w:color w:val="auto"/>
          <w:highlight w:val="none"/>
        </w:rPr>
        <w:t>（一）本次采购项目的评标方法为：综合评分法。</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采用综合评分法的，评标结果按评审后得分由高到低顺序</w:t>
      </w:r>
      <w:r>
        <w:rPr>
          <w:rFonts w:hint="eastAsia" w:ascii="宋体" w:cs="宋体"/>
          <w:b w:val="0"/>
          <w:bCs w:val="0"/>
          <w:color w:val="auto"/>
          <w:sz w:val="21"/>
          <w:szCs w:val="21"/>
          <w:highlight w:val="none"/>
        </w:rPr>
        <w:t>推荐1名</w:t>
      </w:r>
      <w:r>
        <w:rPr>
          <w:rFonts w:hint="eastAsia" w:ascii="宋体" w:cs="宋体"/>
          <w:b w:val="0"/>
          <w:color w:val="auto"/>
          <w:sz w:val="21"/>
          <w:szCs w:val="21"/>
          <w:highlight w:val="none"/>
        </w:rPr>
        <w:t>中标</w:t>
      </w:r>
      <w:r>
        <w:rPr>
          <w:rFonts w:hint="eastAsia" w:ascii="宋体" w:cs="宋体"/>
          <w:b w:val="0"/>
          <w:bCs w:val="0"/>
          <w:color w:val="auto"/>
          <w:sz w:val="21"/>
          <w:szCs w:val="21"/>
          <w:highlight w:val="none"/>
        </w:rPr>
        <w:t>候选人</w:t>
      </w:r>
      <w:r>
        <w:rPr>
          <w:rFonts w:hint="eastAsia" w:ascii="宋体" w:cs="宋体"/>
          <w:b w:val="0"/>
          <w:color w:val="auto"/>
          <w:sz w:val="21"/>
          <w:szCs w:val="21"/>
          <w:highlight w:val="none"/>
        </w:rPr>
        <w:t>。得分相同的，按投标报价由低到高顺序排列。得分且投标报价相同的并列，则抽签决定。</w:t>
      </w:r>
    </w:p>
    <w:p>
      <w:pPr>
        <w:spacing w:line="360" w:lineRule="auto"/>
        <w:rPr>
          <w:rFonts w:ascii="宋体" w:hAnsi="宋体" w:cs="宋体"/>
          <w:color w:val="auto"/>
          <w:highlight w:val="none"/>
        </w:rPr>
      </w:pPr>
      <w:r>
        <w:rPr>
          <w:rFonts w:hint="eastAsia" w:ascii="宋体" w:hAnsi="宋体" w:cs="宋体"/>
          <w:color w:val="auto"/>
          <w:highlight w:val="none"/>
        </w:rPr>
        <w:t>（二）投标文件的澄清</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highlight w:val="none"/>
        </w:rPr>
      </w:pPr>
      <w:r>
        <w:rPr>
          <w:rFonts w:hint="eastAsia" w:ascii="宋体" w:hAnsi="宋体" w:cs="宋体"/>
          <w:color w:val="auto"/>
          <w:highlight w:val="none"/>
        </w:rPr>
        <w:t>（三）投标文件错误修正原则</w:t>
      </w:r>
    </w:p>
    <w:p>
      <w:pPr>
        <w:spacing w:line="360" w:lineRule="auto"/>
        <w:rPr>
          <w:rFonts w:ascii="宋体" w:hAnsi="宋体" w:cs="宋体"/>
          <w:color w:val="auto"/>
          <w:highlight w:val="none"/>
        </w:rPr>
      </w:pPr>
      <w:r>
        <w:rPr>
          <w:rFonts w:hint="eastAsia" w:ascii="宋体" w:hAnsi="宋体" w:cs="宋体"/>
          <w:color w:val="auto"/>
          <w:highlight w:val="none"/>
        </w:rPr>
        <w:t>投标文件如果出现计算或表达上的错误，修正错误的原则如下：</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1、投标文件中开标一览表（报价表）内容与投标文件中相应内容不一致的，以开标一览表（报价表）为准；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2、政采云平台填报的开标一览表中的价格与上传的报价文件中开标一览表的报价不一致的，以上传的报价文件为准；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3、大写金额和小写金额不一致的，以大写金额为准；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4、单价金额小数点或者百分比有明显错位的，以开标一览表的总价为准，并修改单价；</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5、总价金额与按单价汇总金额不一致的，以单价金额计算结果为准。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四、评标程序</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（一）资格条件审查</w:t>
      </w:r>
    </w:p>
    <w:p>
      <w:pPr>
        <w:spacing w:line="360" w:lineRule="auto"/>
        <w:ind w:firstLine="522" w:firstLineChars="249"/>
        <w:rPr>
          <w:rFonts w:ascii="宋体" w:hAnsi="宋体" w:cs="宋体"/>
          <w:color w:val="auto"/>
          <w:highlight w:val="none"/>
        </w:rPr>
      </w:pPr>
      <w:r>
        <w:rPr>
          <w:rFonts w:hint="eastAsia" w:ascii="宋体" w:hAnsi="宋体" w:cs="宋体"/>
          <w:color w:val="auto"/>
          <w:highlight w:val="none"/>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4"/>
              </w:numPr>
              <w:spacing w:line="360" w:lineRule="auto"/>
              <w:jc w:val="left"/>
              <w:rPr>
                <w:rFonts w:ascii="宋体" w:hAnsi="宋体" w:cs="宋体"/>
                <w:color w:val="auto"/>
                <w:highlight w:val="none"/>
              </w:rPr>
            </w:pPr>
            <w:r>
              <w:rPr>
                <w:rFonts w:hint="eastAsia" w:ascii="宋体" w:hAnsi="宋体" w:cs="宋体"/>
                <w:color w:val="auto"/>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4"/>
              </w:numPr>
              <w:spacing w:line="360" w:lineRule="auto"/>
              <w:jc w:val="left"/>
              <w:rPr>
                <w:rFonts w:ascii="宋体" w:hAnsi="宋体" w:cs="宋体"/>
                <w:color w:val="auto"/>
                <w:highlight w:val="none"/>
              </w:rPr>
            </w:pP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numPr>
                <w:ilvl w:val="0"/>
                <w:numId w:val="14"/>
              </w:num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落实政府采购政策需满足的资格要求：</w:t>
            </w:r>
            <w:r>
              <w:rPr>
                <w:rFonts w:hint="eastAsia" w:ascii="宋体" w:hAnsi="宋体" w:eastAsia="宋体" w:cs="宋体"/>
                <w:color w:val="auto"/>
                <w:highlight w:val="none"/>
              </w:rPr>
              <w:t>本项目属于专门面向中小企业采购的项目，供应商应为符合《政府采购促进中小企业发展管理办法》（财库﹝2020﹞46 号）规定的中小企业（其中，小微企业包括视同为小型、微型企业的监狱企业、残疾人福利性单位</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r>
              <w:rPr>
                <w:rFonts w:hint="eastAsia" w:ascii="宋体" w:hAnsi="宋体" w:cs="宋体"/>
                <w:color w:val="auto"/>
                <w:highlight w:val="none"/>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r>
              <w:rPr>
                <w:rFonts w:hint="eastAsia" w:ascii="宋体" w:hAnsi="宋体" w:cs="宋体"/>
                <w:color w:val="auto"/>
                <w:highlight w:val="none"/>
              </w:rPr>
              <w:t>（五）本项目接受联合体投标。</w:t>
            </w:r>
          </w:p>
        </w:tc>
      </w:tr>
    </w:tbl>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（二）符合性审查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pPr>
              <w:spacing w:line="360" w:lineRule="auto"/>
              <w:jc w:val="center"/>
              <w:rPr>
                <w:rFonts w:ascii="宋体" w:hAnsi="宋体" w:cs="宋体"/>
                <w:color w:val="auto"/>
                <w:highlight w:val="none"/>
              </w:rPr>
            </w:pPr>
            <w:r>
              <w:rPr>
                <w:rFonts w:hint="eastAsia" w:ascii="宋体" w:hAnsi="宋体" w:cs="宋体"/>
                <w:color w:val="auto"/>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pPr>
              <w:spacing w:line="360" w:lineRule="auto"/>
              <w:ind w:firstLine="210" w:firstLineChars="100"/>
              <w:jc w:val="center"/>
              <w:rPr>
                <w:rFonts w:ascii="宋体" w:hAnsi="宋体" w:cs="宋体"/>
                <w:color w:val="auto"/>
                <w:highlight w:val="none"/>
              </w:rPr>
            </w:pPr>
            <w:r>
              <w:rPr>
                <w:rFonts w:hint="eastAsia" w:ascii="宋体" w:hAnsi="宋体" w:cs="宋体"/>
                <w:color w:val="auto"/>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（八）不存在法律、法规和采购文件规定的其他无效情形；</w:t>
            </w:r>
          </w:p>
        </w:tc>
      </w:tr>
    </w:tbl>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（三）投标无效的情形</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没有响应采购文件实质性要求的投标将被视为无效投标。供应商不得通过修正或撤消不合要求的偏离或保留从而使其投标成为实质上响应的投标。</w:t>
      </w:r>
    </w:p>
    <w:p>
      <w:pPr>
        <w:widowControl/>
        <w:numPr>
          <w:ilvl w:val="0"/>
          <w:numId w:val="15"/>
        </w:numPr>
        <w:spacing w:line="360" w:lineRule="auto"/>
        <w:jc w:val="left"/>
        <w:rPr>
          <w:rFonts w:ascii="宋体" w:hAnsi="宋体" w:cs="宋体"/>
          <w:b/>
          <w:bCs/>
          <w:color w:val="auto"/>
          <w:highlight w:val="none"/>
        </w:rPr>
      </w:pPr>
      <w:r>
        <w:rPr>
          <w:rFonts w:hint="eastAsia" w:ascii="宋体" w:hAnsi="宋体" w:cs="宋体"/>
          <w:b/>
          <w:bCs/>
          <w:color w:val="auto"/>
          <w:highlight w:val="none"/>
        </w:rPr>
        <w:t>在资格审查时，如发现下列情形之一的，将被视为无效投标文件：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资格证明文件不全的或者不符合采购文件标明的资格要求的或者未按采购文件规定要求签署、盖章；；</w:t>
      </w:r>
    </w:p>
    <w:p>
      <w:pPr>
        <w:spacing w:line="360" w:lineRule="auto"/>
        <w:rPr>
          <w:rFonts w:ascii="宋体" w:hAnsi="宋体" w:cs="宋体"/>
          <w:b/>
          <w:bCs/>
          <w:color w:val="auto"/>
          <w:highlight w:val="none"/>
        </w:rPr>
      </w:pPr>
      <w:r>
        <w:rPr>
          <w:rFonts w:hint="eastAsia" w:ascii="宋体" w:hAnsi="宋体" w:cs="宋体"/>
          <w:b/>
          <w:bCs/>
          <w:color w:val="auto"/>
          <w:highlight w:val="none"/>
        </w:rPr>
        <w:t>B、在符合性审查（商务技术文件）时，如发现下列情形之一的，将被视为无效投标文件：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1、未按照采购文件规定要求签署或盖章；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3、投标文件标明的响应或偏离与事实不符或虚假投标的；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5、带“★”的条款不能满足采购文件要求、未实质性响应采购文件要求或者投标文件有采购人不能接受的附加条件的；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6、投标技术方案不明确，存在一个或一个以上备选（替代）投标方案的；</w:t>
      </w:r>
    </w:p>
    <w:p>
      <w:pPr>
        <w:spacing w:line="360" w:lineRule="auto"/>
        <w:ind w:firstLine="420"/>
        <w:rPr>
          <w:rFonts w:ascii="宋体" w:hAnsi="宋体" w:cs="宋体"/>
          <w:color w:val="auto"/>
          <w:highlight w:val="none"/>
        </w:rPr>
      </w:pPr>
      <w:r>
        <w:rPr>
          <w:rFonts w:hint="eastAsia" w:ascii="宋体" w:hAnsi="宋体" w:cs="宋体"/>
          <w:color w:val="auto"/>
          <w:highlight w:val="none"/>
        </w:rPr>
        <w:t>7、法律、法规和采购文件规定的其他无效情形；</w:t>
      </w:r>
    </w:p>
    <w:p>
      <w:pPr>
        <w:spacing w:line="360" w:lineRule="auto"/>
        <w:ind w:firstLine="420"/>
        <w:rPr>
          <w:rFonts w:ascii="宋体" w:hAnsi="宋体" w:cs="宋体"/>
          <w:color w:val="auto"/>
          <w:highlight w:val="none"/>
        </w:rPr>
      </w:pPr>
      <w:r>
        <w:rPr>
          <w:rFonts w:hint="eastAsia" w:ascii="宋体" w:hAnsi="宋体" w:cs="宋体"/>
          <w:color w:val="auto"/>
          <w:highlight w:val="none"/>
        </w:rPr>
        <w:t>8、投标文件的有效期不满足采购文件要求；</w:t>
      </w:r>
    </w:p>
    <w:p>
      <w:pPr>
        <w:spacing w:line="360" w:lineRule="auto"/>
        <w:rPr>
          <w:rFonts w:ascii="宋体" w:hAnsi="宋体" w:cs="宋体"/>
          <w:b/>
          <w:bCs/>
          <w:color w:val="auto"/>
          <w:kern w:val="0"/>
          <w:highlight w:val="none"/>
        </w:rPr>
      </w:pPr>
      <w:r>
        <w:rPr>
          <w:rFonts w:hint="eastAsia" w:ascii="宋体" w:hAnsi="宋体" w:cs="宋体"/>
          <w:b/>
          <w:bCs/>
          <w:color w:val="auto"/>
          <w:highlight w:val="none"/>
        </w:rPr>
        <w:t>C、在符合性审查（报价文件）时，如发现下列情形之一的，将被视为无效投标文件：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1、未提交投标函或投标函内容不符合采购文件要求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2、未按照采购文件规定要求签署或盖章；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3、未采用人民币报价或者未按照采购文件标明的币种报价的；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4、报价超出最高限价，或者超出采购预算金额，采购人不能支付的；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5、投标报价具有选择性的；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6、投标报价中出现重大缺项、漏项；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8、投标文件（报价文件）内容与投标文件（商务技术文件）内容有重大差异的；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9、法律、法规和采购文件规定的其他无效情形；</w:t>
      </w:r>
    </w:p>
    <w:p>
      <w:pPr>
        <w:spacing w:line="360" w:lineRule="auto"/>
        <w:rPr>
          <w:rFonts w:hint="eastAsia" w:ascii="宋体" w:hAnsi="宋体" w:cs="宋体"/>
          <w:b/>
          <w:color w:val="auto"/>
          <w:highlight w:val="none"/>
        </w:rPr>
      </w:pPr>
      <w:r>
        <w:rPr>
          <w:rFonts w:hint="eastAsia" w:ascii="宋体" w:hAnsi="宋体" w:cs="宋体"/>
          <w:b/>
          <w:color w:val="auto"/>
          <w:highlight w:val="none"/>
        </w:rPr>
        <w:t>（四）评分标准</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pPr>
              <w:spacing w:before="120" w:beforeLines="50" w:after="120" w:afterLines="50" w:line="240" w:lineRule="auto"/>
              <w:jc w:val="center"/>
              <w:rPr>
                <w:rFonts w:ascii="宋体" w:hAnsi="宋体" w:cs="宋体"/>
                <w:b/>
                <w:bCs/>
                <w:color w:val="auto"/>
                <w:highlight w:val="none"/>
              </w:rPr>
            </w:pPr>
            <w:bookmarkStart w:id="159" w:name="_Toc9029"/>
            <w:bookmarkStart w:id="160" w:name="_Toc317116871"/>
            <w:bookmarkStart w:id="161" w:name="_Toc26240"/>
            <w:bookmarkStart w:id="162" w:name="_Toc47388385"/>
            <w:r>
              <w:rPr>
                <w:rFonts w:hint="eastAsia" w:ascii="宋体" w:hAnsi="宋体" w:cs="宋体"/>
                <w:b/>
                <w:bCs/>
                <w:color w:val="auto"/>
                <w:highlight w:val="none"/>
              </w:rPr>
              <w:t>序号</w:t>
            </w:r>
          </w:p>
        </w:tc>
        <w:tc>
          <w:tcPr>
            <w:tcW w:w="6573" w:type="dxa"/>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573" w:type="dxa"/>
          </w:tcPr>
          <w:p>
            <w:pPr>
              <w:spacing w:before="120" w:beforeLines="50" w:after="120" w:afterLines="50" w:line="24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对招标文件的技术需求（3</w:t>
            </w:r>
            <w:r>
              <w:rPr>
                <w:rFonts w:hint="eastAsia" w:ascii="宋体" w:hAnsi="宋体" w:cs="宋体"/>
                <w:b/>
                <w:bCs/>
                <w:color w:val="auto"/>
                <w:highlight w:val="none"/>
                <w:lang w:val="en-US" w:eastAsia="zh-CN"/>
              </w:rPr>
              <w:t>0</w:t>
            </w:r>
            <w:r>
              <w:rPr>
                <w:rFonts w:hint="eastAsia" w:ascii="宋体" w:hAnsi="宋体" w:cs="宋体"/>
                <w:b/>
                <w:bCs/>
                <w:color w:val="auto"/>
                <w:highlight w:val="none"/>
              </w:rPr>
              <w:t>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1.本项目共有</w:t>
            </w:r>
            <w:r>
              <w:rPr>
                <w:rFonts w:hint="eastAsia" w:ascii="宋体" w:hAnsi="宋体" w:cs="宋体"/>
                <w:color w:val="auto"/>
                <w:highlight w:val="none"/>
                <w:lang w:val="en-US" w:eastAsia="zh-CN"/>
              </w:rPr>
              <w:t>70</w:t>
            </w:r>
            <w:r>
              <w:rPr>
                <w:rFonts w:hint="eastAsia" w:ascii="宋体" w:hAnsi="宋体" w:cs="宋体"/>
                <w:color w:val="auto"/>
                <w:highlight w:val="none"/>
              </w:rPr>
              <w:t>项技术条款：标注“★”号的技术条款为实质性技术条款共</w:t>
            </w:r>
            <w:r>
              <w:rPr>
                <w:rFonts w:hint="eastAsia" w:ascii="宋体" w:hAnsi="宋体" w:cs="宋体"/>
                <w:color w:val="auto"/>
                <w:highlight w:val="none"/>
                <w:lang w:val="en-US" w:eastAsia="zh-CN"/>
              </w:rPr>
              <w:t>4</w:t>
            </w:r>
            <w:r>
              <w:rPr>
                <w:rFonts w:hint="eastAsia" w:ascii="宋体" w:hAnsi="宋体" w:cs="宋体"/>
                <w:color w:val="auto"/>
                <w:highlight w:val="none"/>
              </w:rPr>
              <w:t>项。标注“▲”号的技术条款为重要技术条款共</w:t>
            </w:r>
            <w:r>
              <w:rPr>
                <w:rFonts w:hint="eastAsia" w:ascii="宋体" w:hAnsi="宋体" w:cs="宋体"/>
                <w:color w:val="auto"/>
                <w:highlight w:val="none"/>
                <w:lang w:val="en-US" w:eastAsia="zh-CN"/>
              </w:rPr>
              <w:t>1</w:t>
            </w:r>
            <w:r>
              <w:rPr>
                <w:rFonts w:hint="eastAsia" w:ascii="宋体" w:hAnsi="宋体" w:cs="宋体"/>
                <w:color w:val="auto"/>
                <w:highlight w:val="none"/>
              </w:rPr>
              <w:t>项，其他技术条款为普通技术条款共</w:t>
            </w:r>
            <w:r>
              <w:rPr>
                <w:rFonts w:hint="eastAsia" w:ascii="宋体" w:hAnsi="宋体" w:cs="宋体"/>
                <w:color w:val="auto"/>
                <w:highlight w:val="none"/>
                <w:lang w:val="en-US" w:eastAsia="zh-CN"/>
              </w:rPr>
              <w:t>65</w:t>
            </w:r>
            <w:r>
              <w:rPr>
                <w:rFonts w:hint="eastAsia" w:ascii="宋体" w:hAnsi="宋体" w:cs="宋体"/>
                <w:color w:val="auto"/>
                <w:highlight w:val="none"/>
              </w:rPr>
              <w:t>项。</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2.每1条重要技术条款负偏离的等同2条普通技术条款负偏离。</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3.技术响应的偏离按以下进行：</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3.1无负偏离得满分30分；</w:t>
            </w:r>
          </w:p>
          <w:p>
            <w:pPr>
              <w:spacing w:line="360" w:lineRule="auto"/>
              <w:jc w:val="left"/>
              <w:rPr>
                <w:rFonts w:hint="eastAsia" w:ascii="宋体" w:hAnsi="宋体" w:eastAsia="宋体" w:cs="宋体"/>
                <w:color w:val="auto"/>
                <w:highlight w:val="none"/>
                <w:lang w:eastAsia="zh-CN"/>
              </w:rPr>
            </w:pPr>
            <w:r>
              <w:rPr>
                <w:rFonts w:hint="eastAsia" w:ascii="宋体" w:hAnsi="宋体" w:cs="宋体"/>
                <w:color w:val="auto"/>
                <w:highlight w:val="none"/>
              </w:rPr>
              <w:t>3.2 1条及以上实质性技术条款负偏离的，作无效标处理</w:t>
            </w:r>
            <w:r>
              <w:rPr>
                <w:rFonts w:hint="eastAsia" w:ascii="宋体" w:hAnsi="宋体" w:cs="宋体"/>
                <w:color w:val="auto"/>
                <w:highlight w:val="none"/>
                <w:lang w:eastAsia="zh-CN"/>
              </w:rPr>
              <w:t>；</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3.3普通技术条款负偏离≤20条的按以下原则评审：普通技术条款每负偏离1条，扣1分。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3.4普通技术条款负偏离＞20条的按以下原则评审：</w:t>
            </w:r>
          </w:p>
          <w:p>
            <w:pPr>
              <w:spacing w:line="360" w:lineRule="auto"/>
              <w:jc w:val="left"/>
              <w:rPr>
                <w:rFonts w:hint="default" w:ascii="宋体" w:hAnsi="宋体" w:eastAsia="宋体" w:cs="宋体"/>
                <w:b/>
                <w:bCs/>
                <w:color w:val="auto"/>
                <w:highlight w:val="none"/>
                <w:lang w:val="en-US" w:eastAsia="zh-CN"/>
              </w:rPr>
            </w:pPr>
            <w:r>
              <w:rPr>
                <w:rFonts w:hint="eastAsia" w:ascii="宋体" w:hAnsi="宋体" w:cs="宋体"/>
                <w:color w:val="auto"/>
                <w:highlight w:val="none"/>
              </w:rPr>
              <w:t>投标人得分=10-（负偏离条数-20）*0.</w:t>
            </w:r>
            <w:r>
              <w:rPr>
                <w:rFonts w:hint="eastAsia" w:ascii="宋体" w:hAnsi="宋体" w:cs="宋体"/>
                <w:color w:val="auto"/>
                <w:highlight w:val="none"/>
                <w:lang w:val="en-US" w:eastAsia="zh-CN"/>
              </w:rPr>
              <w:t>21</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val="en-US" w:eastAsia="zh-CN"/>
              </w:rPr>
              <w:t>0</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销售业绩（3分）：</w:t>
            </w:r>
            <w:r>
              <w:rPr>
                <w:rFonts w:hint="eastAsia" w:ascii="宋体" w:hAnsi="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hint="eastAsia"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i w:val="0"/>
                <w:iCs w:val="0"/>
                <w:color w:val="auto"/>
                <w:kern w:val="0"/>
                <w:sz w:val="21"/>
                <w:szCs w:val="21"/>
                <w:highlight w:val="none"/>
                <w:lang w:val="en-US" w:eastAsia="zh-CN"/>
              </w:rPr>
              <w:t>供货方案（5分）：</w:t>
            </w:r>
            <w:r>
              <w:rPr>
                <w:rFonts w:hint="eastAsia" w:ascii="宋体" w:hAnsi="宋体" w:cs="宋体"/>
                <w:b w:val="0"/>
                <w:bCs w:val="0"/>
                <w:i w:val="0"/>
                <w:iCs w:val="0"/>
                <w:color w:val="auto"/>
                <w:kern w:val="0"/>
                <w:sz w:val="21"/>
                <w:szCs w:val="21"/>
                <w:highlight w:val="none"/>
                <w:lang w:val="en-US" w:eastAsia="zh-CN"/>
              </w:rPr>
              <w:t>根据投标人</w:t>
            </w:r>
            <w:r>
              <w:rPr>
                <w:rFonts w:hint="eastAsia" w:ascii="宋体" w:hAnsi="宋体" w:eastAsia="宋体" w:cs="宋体"/>
                <w:b w:val="0"/>
                <w:bCs w:val="0"/>
                <w:i w:val="0"/>
                <w:iCs w:val="0"/>
                <w:color w:val="auto"/>
                <w:kern w:val="0"/>
                <w:sz w:val="21"/>
                <w:szCs w:val="21"/>
                <w:highlight w:val="none"/>
                <w:lang w:val="en-US" w:eastAsia="zh-CN"/>
              </w:rPr>
              <w:t>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供货期完全满足招标文件要求，交货方式切合实际，供货流程合理且供货流程要点明确，供货实施步骤清晰，能提供比较有针对性的服务措施的得5分；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供货期满足招标文件要求，交货方式切合实际，供货流程合理，供货实施流程清晰，能提供有针对性的服务措施的得4分；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方案内容符合本项目的供货要求，实行上基本合理可行的得3分；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方案内容基本符合本项目的供货要求，但是实行上略有欠缺的得2分；方案内容不完整，内容不充分，与本项目货物供应要求有差距的得1分；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color w:val="auto"/>
                <w:highlight w:val="none"/>
              </w:rPr>
              <w:t>安装与验收方案（5分）：</w:t>
            </w:r>
            <w:r>
              <w:rPr>
                <w:rFonts w:hint="eastAsia" w:ascii="宋体" w:hAnsi="宋体" w:cs="宋体"/>
                <w:b w:val="0"/>
                <w:bCs w:val="0"/>
                <w:color w:val="auto"/>
                <w:highlight w:val="none"/>
                <w:lang w:val="en-US" w:eastAsia="zh-CN"/>
              </w:rPr>
              <w:t>根据</w:t>
            </w:r>
            <w:r>
              <w:rPr>
                <w:rFonts w:hint="eastAsia" w:ascii="宋体" w:hAnsi="宋体" w:cs="宋体"/>
                <w:b w:val="0"/>
                <w:bCs w:val="0"/>
                <w:i w:val="0"/>
                <w:iCs w:val="0"/>
                <w:color w:val="auto"/>
                <w:kern w:val="0"/>
                <w:sz w:val="21"/>
                <w:szCs w:val="21"/>
                <w:highlight w:val="none"/>
                <w:lang w:val="en-US" w:eastAsia="zh-CN"/>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pPr>
              <w:spacing w:before="120" w:beforeLines="50" w:after="120" w:afterLines="50" w:line="360" w:lineRule="auto"/>
              <w:jc w:val="center"/>
              <w:rPr>
                <w:rFonts w:hint="eastAsia" w:ascii="宋体" w:hAnsi="宋体" w:cs="宋体"/>
                <w:color w:val="auto"/>
                <w:highlight w:val="none"/>
              </w:rPr>
            </w:pPr>
          </w:p>
        </w:tc>
        <w:tc>
          <w:tcPr>
            <w:tcW w:w="6573" w:type="dxa"/>
            <w:vAlign w:val="center"/>
          </w:tcPr>
          <w:p>
            <w:pPr>
              <w:spacing w:line="360" w:lineRule="auto"/>
              <w:rPr>
                <w:rFonts w:hint="default"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auto"/>
                <w:kern w:val="0"/>
                <w:sz w:val="21"/>
                <w:szCs w:val="21"/>
                <w:highlight w:val="none"/>
                <w:lang w:val="en-US" w:eastAsia="zh-CN"/>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cs="宋体"/>
                <w:b w:val="0"/>
                <w:bCs w:val="0"/>
                <w:i w:val="0"/>
                <w:iCs w:val="0"/>
                <w:color w:val="auto"/>
                <w:kern w:val="0"/>
                <w:sz w:val="21"/>
                <w:szCs w:val="21"/>
                <w:highlight w:val="none"/>
                <w:lang w:val="en-US" w:eastAsia="zh-CN"/>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auto"/>
                <w:kern w:val="0"/>
                <w:sz w:val="21"/>
                <w:szCs w:val="21"/>
                <w:highlight w:val="none"/>
                <w:lang w:val="en-US" w:eastAsia="zh-CN"/>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suppressLineNumbers w:val="0"/>
              <w:adjustRightInd/>
              <w:spacing w:before="0" w:beforeAutospacing="0" w:after="0" w:afterAutospacing="0" w:line="360" w:lineRule="auto"/>
              <w:ind w:left="0" w:right="0"/>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bCs/>
                <w:i w:val="0"/>
                <w:iCs w:val="0"/>
                <w:color w:val="auto"/>
                <w:kern w:val="0"/>
                <w:sz w:val="21"/>
                <w:szCs w:val="21"/>
                <w:highlight w:val="none"/>
                <w:lang w:val="en-US" w:eastAsia="zh-CN"/>
              </w:rPr>
              <w:t>培训方案（5分）：</w:t>
            </w:r>
            <w:r>
              <w:rPr>
                <w:rFonts w:hint="eastAsia" w:ascii="宋体" w:hAnsi="宋体" w:cs="宋体"/>
                <w:b w:val="0"/>
                <w:bCs w:val="0"/>
                <w:i w:val="0"/>
                <w:iCs w:val="0"/>
                <w:color w:val="auto"/>
                <w:kern w:val="0"/>
                <w:sz w:val="21"/>
                <w:szCs w:val="21"/>
                <w:highlight w:val="none"/>
                <w:lang w:val="en-US" w:eastAsia="zh-CN"/>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w:t>
            </w:r>
            <w:r>
              <w:rPr>
                <w:rFonts w:hint="eastAsia" w:ascii="宋体" w:hAnsi="宋体" w:cs="宋体"/>
                <w:b w:val="0"/>
                <w:bCs w:val="0"/>
                <w:i w:val="0"/>
                <w:iCs w:val="0"/>
                <w:color w:val="auto"/>
                <w:sz w:val="21"/>
                <w:szCs w:val="21"/>
                <w:highlight w:val="none"/>
                <w:lang w:val="en-US" w:eastAsia="zh-CN"/>
              </w:rPr>
              <w:t>；④维修质量的保障，</w:t>
            </w:r>
            <w:r>
              <w:rPr>
                <w:rFonts w:hint="eastAsia" w:ascii="宋体" w:hAnsi="宋体" w:eastAsia="宋体" w:cs="宋体"/>
                <w:b w:val="0"/>
                <w:bCs w:val="0"/>
                <w:i w:val="0"/>
                <w:iCs w:val="0"/>
                <w:color w:val="auto"/>
                <w:sz w:val="21"/>
                <w:szCs w:val="21"/>
                <w:highlight w:val="none"/>
                <w:lang w:val="en-US" w:eastAsia="zh-CN"/>
              </w:rPr>
              <w:t>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hint="eastAsia"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highlight w:val="none"/>
                <w:lang w:eastAsia="zh-CN"/>
              </w:rPr>
            </w:pPr>
            <w:r>
              <w:rPr>
                <w:rFonts w:hint="eastAsia" w:ascii="宋体" w:hAnsi="宋体" w:cs="宋体"/>
                <w:color w:val="auto"/>
                <w:highlight w:val="none"/>
                <w:lang w:val="en-US" w:eastAsia="zh-CN"/>
              </w:rPr>
              <w:t>8</w:t>
            </w:r>
          </w:p>
        </w:tc>
        <w:tc>
          <w:tcPr>
            <w:tcW w:w="6573" w:type="dxa"/>
          </w:tcPr>
          <w:p>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政府采购政策（2分）：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2分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573" w:type="dxa"/>
          </w:tcPr>
          <w:p>
            <w:pPr>
              <w:spacing w:before="120" w:beforeLines="50" w:after="12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pPr>
              <w:spacing w:before="120" w:beforeLines="50" w:after="12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bl>
    <w:p>
      <w:pPr>
        <w:spacing w:before="120" w:beforeLines="50" w:after="120" w:afterLines="50" w:line="360" w:lineRule="auto"/>
        <w:rPr>
          <w:rFonts w:ascii="宋体" w:hAnsi="宋体" w:cs="宋体"/>
          <w:b/>
          <w:color w:val="auto"/>
          <w:highlight w:val="none"/>
        </w:rPr>
      </w:pPr>
      <w:r>
        <w:rPr>
          <w:rFonts w:hint="eastAsia" w:ascii="宋体" w:hAnsi="宋体" w:cs="宋体"/>
          <w:b/>
          <w:color w:val="auto"/>
          <w:highlight w:val="none"/>
        </w:rPr>
        <w:t>六、定标</w:t>
      </w:r>
      <w:bookmarkEnd w:id="159"/>
    </w:p>
    <w:p>
      <w:pPr>
        <w:spacing w:before="120" w:beforeLines="50" w:after="120" w:afterLines="50" w:line="360" w:lineRule="auto"/>
        <w:ind w:firstLine="413" w:firstLineChars="196"/>
        <w:rPr>
          <w:rFonts w:ascii="宋体" w:hAnsi="宋体" w:cs="宋体"/>
          <w:b/>
          <w:bCs/>
          <w:color w:val="auto"/>
          <w:highlight w:val="none"/>
        </w:rPr>
      </w:pPr>
      <w:r>
        <w:rPr>
          <w:rFonts w:hint="eastAsia" w:ascii="宋体" w:hAnsi="宋体" w:cs="宋体"/>
          <w:b/>
          <w:bCs/>
          <w:color w:val="auto"/>
          <w:highlight w:val="none"/>
        </w:rPr>
        <w:t>（一）确定中标供应商。本项目由采购人（或采购人事先授权评标委员会）确定中标供应商。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1.采购代理机构在评标结束后将评标报告交采购人确认。</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2.供应商对评标结果无异议的，采购人应在收到评标报告后5个工作日内对评标结果进行确认，按评标报告推荐的顺序确定排名第一的中标候选人为中标人。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rPr>
        <w:t>4.</w:t>
      </w:r>
      <w:r>
        <w:rPr>
          <w:rFonts w:hint="eastAsia" w:ascii="宋体" w:hAnsi="宋体" w:cs="宋体"/>
          <w:color w:val="auto"/>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color w:val="auto"/>
          <w:highlight w:val="none"/>
          <w:lang w:bidi="ar"/>
        </w:rPr>
      </w:pPr>
      <w:r>
        <w:rPr>
          <w:rFonts w:hint="eastAsia" w:ascii="宋体" w:hAnsi="宋体" w:cs="宋体"/>
          <w:b/>
          <w:bCs/>
          <w:color w:val="auto"/>
          <w:highlight w:val="none"/>
          <w:lang w:bidi="ar"/>
        </w:rPr>
        <w:t>七、评标过程的监控与保密</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color w:val="auto"/>
          <w:highlight w:val="none"/>
        </w:rPr>
      </w:pPr>
      <w:bookmarkStart w:id="163" w:name="_Toc17747"/>
      <w:r>
        <w:rPr>
          <w:rFonts w:hint="eastAsia" w:ascii="宋体" w:hAnsi="宋体" w:cs="宋体"/>
          <w:b/>
          <w:color w:val="auto"/>
          <w:highlight w:val="none"/>
        </w:rPr>
        <w:t>八、合同授予</w:t>
      </w:r>
      <w:bookmarkEnd w:id="16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采购人不得向中标人提出任何不合理的要求作为签订合同的条件。</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color w:val="auto"/>
          <w:highlight w:val="none"/>
        </w:rPr>
        <w:t>.</w:t>
      </w:r>
      <w:r>
        <w:rPr>
          <w:rFonts w:hint="eastAsia" w:ascii="宋体"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color w:val="auto"/>
          <w:highlight w:val="none"/>
        </w:rPr>
        <w:t>.</w:t>
      </w:r>
      <w:r>
        <w:rPr>
          <w:rFonts w:hint="eastAsia" w:ascii="宋体" w:hAnsi="宋体" w:cs="宋体"/>
          <w:bCs/>
          <w:color w:val="auto"/>
          <w:highlight w:val="none"/>
        </w:rPr>
        <w:t>采购文件、中标供应商的投标文件及评标过程中有关的澄清文件均应作为合同签订的附件。</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4.中标或者成交供应商拒绝与采购人签订合同的，采购人应重新招标。</w:t>
      </w:r>
    </w:p>
    <w:p>
      <w:pPr>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九、履约验收</w:t>
      </w:r>
    </w:p>
    <w:p>
      <w:pPr>
        <w:spacing w:before="120" w:beforeLines="50" w:after="120" w:afterLines="50" w:line="360" w:lineRule="auto"/>
        <w:ind w:firstLine="411" w:firstLineChars="196"/>
        <w:rPr>
          <w:rFonts w:ascii="宋体" w:hAnsi="宋体" w:cs="宋体"/>
          <w:color w:val="auto"/>
          <w:highlight w:val="none"/>
        </w:rPr>
      </w:pPr>
      <w:r>
        <w:rPr>
          <w:rFonts w:hint="eastAsia" w:ascii="宋体" w:hAnsi="宋体" w:cs="宋体"/>
          <w:bCs/>
          <w:color w:val="auto"/>
          <w:highlight w:val="none"/>
        </w:rPr>
        <w:t>采购人负责对中标供应商的履约行为进行验收。政府向社会公众提供的公共服务项目，验收时应当邀请服务对象参与并出具意见，验收结果应当向社会公告。</w:t>
      </w:r>
    </w:p>
    <w:p>
      <w:pPr>
        <w:pStyle w:val="2"/>
        <w:rPr>
          <w:rFonts w:ascii="宋体" w:cs="宋体"/>
          <w:color w:val="auto"/>
          <w:highlight w:val="none"/>
        </w:rPr>
        <w:sectPr>
          <w:pgSz w:w="11906" w:h="16838"/>
          <w:pgMar w:top="1474" w:right="1797" w:bottom="1247" w:left="1797" w:header="851" w:footer="851" w:gutter="0"/>
          <w:cols w:space="720" w:num="1"/>
          <w:titlePg/>
          <w:docGrid w:linePitch="312" w:charSpace="0"/>
        </w:sectPr>
      </w:pPr>
    </w:p>
    <w:bookmarkEnd w:id="160"/>
    <w:bookmarkEnd w:id="161"/>
    <w:bookmarkEnd w:id="162"/>
    <w:p>
      <w:pPr>
        <w:pStyle w:val="2"/>
        <w:rPr>
          <w:rFonts w:ascii="宋体" w:cs="宋体"/>
          <w:color w:val="auto"/>
          <w:highlight w:val="none"/>
        </w:rPr>
      </w:pPr>
      <w:r>
        <w:rPr>
          <w:rFonts w:hint="eastAsia" w:ascii="宋体" w:cs="宋体"/>
          <w:color w:val="auto"/>
          <w:highlight w:val="none"/>
        </w:rPr>
        <w:t>第五章  合同主要条款</w:t>
      </w:r>
    </w:p>
    <w:p>
      <w:pPr>
        <w:rPr>
          <w:rFonts w:ascii="宋体" w:hAnsi="宋体" w:cs="宋体"/>
          <w:b/>
          <w:bCs/>
          <w:color w:val="auto"/>
          <w:sz w:val="32"/>
          <w:szCs w:val="32"/>
          <w:highlight w:val="none"/>
        </w:rPr>
      </w:pPr>
      <w:r>
        <w:rPr>
          <w:rFonts w:hint="eastAsia" w:ascii="宋体" w:hAnsi="宋体" w:cs="宋体"/>
          <w:b/>
          <w:bCs/>
          <w:color w:val="auto"/>
          <w:highlight w:val="none"/>
        </w:rPr>
        <w:t xml:space="preserve">合同编号： </w:t>
      </w:r>
      <w:r>
        <w:rPr>
          <w:rFonts w:hint="eastAsia" w:ascii="宋体" w:hAnsi="宋体" w:cs="宋体"/>
          <w:b/>
          <w:bCs/>
          <w:color w:val="auto"/>
          <w:sz w:val="32"/>
          <w:szCs w:val="32"/>
          <w:highlight w:val="none"/>
        </w:rPr>
        <w:t xml:space="preserve">                         </w:t>
      </w:r>
      <w:r>
        <w:rPr>
          <w:rFonts w:hint="eastAsia" w:ascii="宋体" w:hAnsi="宋体" w:cs="宋体"/>
          <w:b/>
          <w:bCs/>
          <w:color w:val="auto"/>
          <w:highlight w:val="none"/>
        </w:rPr>
        <w:t>签约地  ：</w:t>
      </w:r>
      <w:r>
        <w:rPr>
          <w:rFonts w:hint="eastAsia" w:ascii="宋体" w:hAnsi="宋体" w:cs="宋体"/>
          <w:b/>
          <w:bCs/>
          <w:color w:val="auto"/>
          <w:sz w:val="24"/>
          <w:szCs w:val="24"/>
          <w:highlight w:val="none"/>
        </w:rPr>
        <w:t xml:space="preserve">                                  </w:t>
      </w:r>
    </w:p>
    <w:p>
      <w:pPr>
        <w:spacing w:line="340" w:lineRule="exact"/>
        <w:rPr>
          <w:rFonts w:ascii="宋体" w:hAnsi="宋体" w:cs="宋体"/>
          <w:b/>
          <w:bCs/>
          <w:color w:val="auto"/>
          <w:highlight w:val="none"/>
        </w:rPr>
      </w:pPr>
      <w:r>
        <w:rPr>
          <w:rFonts w:hint="eastAsia" w:ascii="宋体" w:hAnsi="宋体" w:cs="宋体"/>
          <w:b/>
          <w:bCs/>
          <w:color w:val="auto"/>
          <w:highlight w:val="none"/>
        </w:rPr>
        <w:t xml:space="preserve">甲方（买方）：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乙方（卖方）：</w:t>
      </w:r>
    </w:p>
    <w:p>
      <w:pPr>
        <w:pStyle w:val="19"/>
        <w:spacing w:line="340" w:lineRule="exact"/>
        <w:ind w:firstLine="0"/>
        <w:rPr>
          <w:rFonts w:hAnsi="宋体"/>
          <w:color w:val="auto"/>
          <w:sz w:val="21"/>
          <w:szCs w:val="21"/>
          <w:highlight w:val="none"/>
        </w:rPr>
      </w:pPr>
      <w:r>
        <w:rPr>
          <w:rFonts w:hint="eastAsia" w:hAnsi="宋体"/>
          <w:b/>
          <w:bCs/>
          <w:color w:val="auto"/>
          <w:sz w:val="21"/>
          <w:szCs w:val="21"/>
          <w:highlight w:val="none"/>
        </w:rPr>
        <w:t>1.</w:t>
      </w:r>
      <w:r>
        <w:rPr>
          <w:rFonts w:hint="eastAsia" w:hAnsi="宋体"/>
          <w:color w:val="auto"/>
          <w:sz w:val="21"/>
          <w:szCs w:val="21"/>
          <w:highlight w:val="none"/>
        </w:rPr>
        <w:t>甲乙双方根据《中华人民共和国民典法》，在平等互利、协商一致的基础上，买方同意向卖方</w:t>
      </w:r>
    </w:p>
    <w:p>
      <w:pPr>
        <w:pStyle w:val="19"/>
        <w:spacing w:line="340" w:lineRule="exact"/>
        <w:ind w:left="329" w:leftChars="-228" w:hanging="808" w:hangingChars="400"/>
        <w:rPr>
          <w:rFonts w:hAnsi="宋体"/>
          <w:b/>
          <w:bCs/>
          <w:color w:val="auto"/>
          <w:sz w:val="21"/>
          <w:szCs w:val="21"/>
          <w:highlight w:val="none"/>
        </w:rPr>
      </w:pPr>
      <w:r>
        <w:rPr>
          <w:rFonts w:hint="eastAsia" w:hAnsi="宋体"/>
          <w:color w:val="auto"/>
          <w:sz w:val="21"/>
          <w:szCs w:val="21"/>
          <w:highlight w:val="none"/>
        </w:rPr>
        <w:t xml:space="preserve">        购买同时卖方同意授予买方以下设备（</w:t>
      </w:r>
      <w:r>
        <w:rPr>
          <w:rFonts w:hint="eastAsia" w:hAnsi="宋体"/>
          <w:b/>
          <w:bCs/>
          <w:color w:val="auto"/>
          <w:sz w:val="21"/>
          <w:szCs w:val="21"/>
          <w:highlight w:val="none"/>
        </w:rPr>
        <w:t>以下设备器械均简称设备，设备名称、规格型号、品牌等必须按注册证上的名称填写</w:t>
      </w:r>
      <w:r>
        <w:rPr>
          <w:rFonts w:hint="eastAsia" w:hAnsi="宋体"/>
          <w:color w:val="auto"/>
          <w:sz w:val="21"/>
          <w:szCs w:val="21"/>
          <w:highlight w:val="none"/>
        </w:rPr>
        <w:t>）：</w:t>
      </w:r>
    </w:p>
    <w:tbl>
      <w:tblPr>
        <w:tblStyle w:val="48"/>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144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设备名称</w:t>
            </w:r>
          </w:p>
        </w:tc>
        <w:tc>
          <w:tcPr>
            <w:tcW w:w="1216"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规格型号</w:t>
            </w:r>
          </w:p>
        </w:tc>
        <w:tc>
          <w:tcPr>
            <w:tcW w:w="937"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品牌</w:t>
            </w:r>
          </w:p>
        </w:tc>
        <w:tc>
          <w:tcPr>
            <w:tcW w:w="727"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产地</w:t>
            </w:r>
          </w:p>
        </w:tc>
        <w:tc>
          <w:tcPr>
            <w:tcW w:w="72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数量</w:t>
            </w:r>
          </w:p>
        </w:tc>
        <w:tc>
          <w:tcPr>
            <w:tcW w:w="72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126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单价（元）</w:t>
            </w:r>
          </w:p>
        </w:tc>
        <w:tc>
          <w:tcPr>
            <w:tcW w:w="180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ascii="宋体" w:hAnsi="宋体" w:cs="宋体"/>
                <w:color w:val="auto"/>
                <w:highlight w:val="none"/>
              </w:rPr>
            </w:pPr>
            <w:r>
              <w:rPr>
                <w:rFonts w:hint="eastAsia" w:ascii="宋体" w:hAnsi="宋体" w:cs="宋体"/>
                <w:b/>
                <w:bCs/>
                <w:color w:val="auto"/>
                <w:highlight w:val="none"/>
              </w:rPr>
              <w:t>（注册证上的名称）</w:t>
            </w:r>
          </w:p>
        </w:tc>
        <w:tc>
          <w:tcPr>
            <w:tcW w:w="1216" w:type="dxa"/>
            <w:vAlign w:val="center"/>
          </w:tcPr>
          <w:p>
            <w:pPr>
              <w:spacing w:line="340" w:lineRule="exact"/>
              <w:jc w:val="center"/>
              <w:rPr>
                <w:rFonts w:ascii="宋体" w:hAnsi="宋体" w:cs="宋体"/>
                <w:color w:val="auto"/>
                <w:highlight w:val="none"/>
              </w:rPr>
            </w:pPr>
          </w:p>
        </w:tc>
        <w:tc>
          <w:tcPr>
            <w:tcW w:w="937" w:type="dxa"/>
            <w:vAlign w:val="center"/>
          </w:tcPr>
          <w:p>
            <w:pPr>
              <w:spacing w:line="340" w:lineRule="exact"/>
              <w:jc w:val="center"/>
              <w:rPr>
                <w:rFonts w:ascii="宋体" w:hAnsi="宋体" w:cs="宋体"/>
                <w:color w:val="auto"/>
                <w:highlight w:val="none"/>
              </w:rPr>
            </w:pPr>
          </w:p>
        </w:tc>
        <w:tc>
          <w:tcPr>
            <w:tcW w:w="727" w:type="dxa"/>
            <w:vAlign w:val="center"/>
          </w:tcPr>
          <w:p>
            <w:pPr>
              <w:spacing w:line="340" w:lineRule="exact"/>
              <w:jc w:val="center"/>
              <w:rPr>
                <w:rFonts w:ascii="宋体" w:hAnsi="宋体" w:cs="宋体"/>
                <w:color w:val="auto"/>
                <w:highlight w:val="none"/>
              </w:rPr>
            </w:pPr>
          </w:p>
        </w:tc>
        <w:tc>
          <w:tcPr>
            <w:tcW w:w="720" w:type="dxa"/>
            <w:vAlign w:val="center"/>
          </w:tcPr>
          <w:p>
            <w:pPr>
              <w:spacing w:line="340" w:lineRule="exact"/>
              <w:jc w:val="center"/>
              <w:rPr>
                <w:rFonts w:ascii="宋体" w:hAnsi="宋体" w:cs="宋体"/>
                <w:color w:val="auto"/>
                <w:highlight w:val="none"/>
              </w:rPr>
            </w:pPr>
          </w:p>
        </w:tc>
        <w:tc>
          <w:tcPr>
            <w:tcW w:w="720" w:type="dxa"/>
            <w:vAlign w:val="center"/>
          </w:tcPr>
          <w:p>
            <w:pPr>
              <w:spacing w:line="340" w:lineRule="exact"/>
              <w:jc w:val="center"/>
              <w:rPr>
                <w:rFonts w:ascii="宋体" w:hAnsi="宋体" w:cs="宋体"/>
                <w:color w:val="auto"/>
                <w:highlight w:val="none"/>
              </w:rPr>
            </w:pPr>
          </w:p>
        </w:tc>
        <w:tc>
          <w:tcPr>
            <w:tcW w:w="1260" w:type="dxa"/>
            <w:vAlign w:val="center"/>
          </w:tcPr>
          <w:p>
            <w:pPr>
              <w:spacing w:line="340" w:lineRule="exact"/>
              <w:jc w:val="center"/>
              <w:rPr>
                <w:rFonts w:ascii="宋体" w:hAnsi="宋体" w:cs="宋体"/>
                <w:color w:val="auto"/>
                <w:highlight w:val="none"/>
              </w:rPr>
            </w:pPr>
          </w:p>
        </w:tc>
        <w:tc>
          <w:tcPr>
            <w:tcW w:w="1800" w:type="dxa"/>
            <w:vAlign w:val="center"/>
          </w:tcPr>
          <w:p>
            <w:pPr>
              <w:spacing w:line="340" w:lineRule="exact"/>
              <w:jc w:val="cente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rFonts w:ascii="宋体" w:hAnsi="宋体" w:cs="宋体"/>
                <w:b/>
                <w:bCs/>
                <w:color w:val="auto"/>
                <w:highlight w:val="none"/>
              </w:rPr>
            </w:pPr>
            <w:r>
              <w:rPr>
                <w:rFonts w:hint="eastAsia" w:ascii="宋体" w:hAnsi="宋体" w:cs="宋体"/>
                <w:b/>
                <w:bCs/>
                <w:color w:val="auto"/>
                <w:highlight w:val="none"/>
              </w:rPr>
              <w:t>合计成交金额（大写）：  整(RMB)</w:t>
            </w:r>
          </w:p>
        </w:tc>
      </w:tr>
    </w:tbl>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本合同若有详细的双方签字的配置清单，请详见附件。</w:t>
      </w:r>
    </w:p>
    <w:p>
      <w:pPr>
        <w:spacing w:line="340" w:lineRule="exact"/>
        <w:ind w:firstLine="210" w:firstLineChars="100"/>
        <w:rPr>
          <w:rFonts w:ascii="宋体" w:hAnsi="宋体" w:cs="宋体"/>
          <w:color w:val="auto"/>
          <w:highlight w:val="none"/>
        </w:rPr>
      </w:pPr>
      <w:r>
        <w:rPr>
          <w:rFonts w:hint="eastAsia" w:ascii="宋体" w:hAnsi="宋体" w:cs="宋体"/>
          <w:color w:val="auto"/>
          <w:highlight w:val="none"/>
        </w:rPr>
        <w:t>（医疗器械产品注册证号：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注册证有效期：</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40" w:lineRule="exact"/>
        <w:ind w:left="358" w:hanging="358" w:hangingChars="170"/>
        <w:rPr>
          <w:rFonts w:ascii="宋体" w:hAnsi="宋体" w:cs="宋体"/>
          <w:b/>
          <w:bCs/>
          <w:color w:val="auto"/>
          <w:highlight w:val="none"/>
        </w:rPr>
      </w:pPr>
      <w:r>
        <w:rPr>
          <w:rFonts w:hint="eastAsia" w:ascii="宋体" w:hAnsi="宋体" w:cs="宋体"/>
          <w:b/>
          <w:bCs/>
          <w:color w:val="auto"/>
          <w:highlight w:val="none"/>
        </w:rPr>
        <w:t xml:space="preserve">2. 设备的交付期 </w:t>
      </w:r>
      <w:r>
        <w:rPr>
          <w:rFonts w:hint="eastAsia" w:ascii="宋体" w:hAnsi="宋体" w:cs="宋体"/>
          <w:color w:val="auto"/>
          <w:highlight w:val="none"/>
        </w:rPr>
        <w:t>乙方在合同生效的</w:t>
      </w:r>
      <w:r>
        <w:rPr>
          <w:rFonts w:hint="eastAsia" w:ascii="宋体" w:hAnsi="宋体" w:cs="宋体"/>
          <w:color w:val="auto"/>
          <w:highlight w:val="none"/>
          <w:u w:val="single"/>
        </w:rPr>
        <w:t xml:space="preserve">   </w:t>
      </w:r>
      <w:r>
        <w:rPr>
          <w:rFonts w:hint="eastAsia" w:ascii="宋体" w:hAnsi="宋体" w:cs="宋体"/>
          <w:color w:val="auto"/>
          <w:highlight w:val="none"/>
        </w:rPr>
        <w:t>天内送货至甲方指定地点向甲方交付上述设备，逾期将按照第7条规定执行。</w:t>
      </w:r>
    </w:p>
    <w:p>
      <w:pPr>
        <w:spacing w:line="340" w:lineRule="exact"/>
        <w:rPr>
          <w:rFonts w:ascii="宋体" w:hAnsi="宋体" w:cs="宋体"/>
          <w:b/>
          <w:bCs/>
          <w:color w:val="auto"/>
          <w:highlight w:val="none"/>
        </w:rPr>
      </w:pPr>
      <w:r>
        <w:rPr>
          <w:rFonts w:hint="eastAsia" w:ascii="宋体" w:hAnsi="宋体" w:cs="宋体"/>
          <w:b/>
          <w:bCs/>
          <w:color w:val="auto"/>
          <w:highlight w:val="none"/>
        </w:rPr>
        <w:t>3. 设备运输、安装和验收</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 xml:space="preserve">3.1乙方确保设备安全无损地运抵甲方指定现场,并承担设备的运费、保险费等费用，装卸费由乙方承担。  </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3.2甲乙双方对设备进行开箱清点检查验收，如果发现数量不足、品牌规格不符或有质量、技术等问题，乙方应在</w:t>
      </w:r>
      <w:r>
        <w:rPr>
          <w:rFonts w:hint="eastAsia" w:ascii="宋体" w:hAnsi="宋体" w:cs="宋体"/>
          <w:color w:val="auto"/>
          <w:highlight w:val="none"/>
          <w:u w:val="single"/>
        </w:rPr>
        <w:t xml:space="preserve">   </w:t>
      </w:r>
      <w:r>
        <w:rPr>
          <w:rFonts w:hint="eastAsia" w:ascii="宋体" w:hAnsi="宋体" w:cs="宋体"/>
          <w:color w:val="auto"/>
          <w:highlight w:val="none"/>
        </w:rPr>
        <w:t>天内，按照甲方的要求，采取补足、更换或退货等处理措施，并承担由此发生的一切损失和费用。</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3.3设备到货后，乙方应在接到甲方通知后</w:t>
      </w:r>
      <w:r>
        <w:rPr>
          <w:rFonts w:hint="eastAsia" w:ascii="宋体" w:hAnsi="宋体" w:cs="宋体"/>
          <w:color w:val="auto"/>
          <w:highlight w:val="none"/>
          <w:u w:val="single"/>
        </w:rPr>
        <w:t>3</w:t>
      </w:r>
      <w:r>
        <w:rPr>
          <w:rFonts w:hint="eastAsia" w:ascii="宋体" w:hAnsi="宋体" w:cs="宋体"/>
          <w:color w:val="auto"/>
          <w:highlight w:val="none"/>
        </w:rPr>
        <w:t>天内安装调试完成。</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3.4甲、乙双方在符合国家相关技术标准的基础上，根据招标要求的技术标准进行技术验收，验收合格后，双方在甲方《</w:t>
      </w:r>
      <w:r>
        <w:rPr>
          <w:rFonts w:hint="eastAsia" w:ascii="宋体" w:hAnsi="宋体" w:cs="宋体"/>
          <w:color w:val="auto"/>
          <w:highlight w:val="none"/>
          <w:lang w:val="en-US" w:eastAsia="zh-CN"/>
        </w:rPr>
        <w:t>松阳县人民</w:t>
      </w:r>
      <w:r>
        <w:rPr>
          <w:rFonts w:hint="eastAsia" w:ascii="宋体" w:hAnsi="宋体" w:cs="宋体"/>
          <w:color w:val="auto"/>
          <w:highlight w:val="none"/>
        </w:rPr>
        <w:t>医院医疗设备到货验收报告》上签字确认。</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3.5若属强检计量设备，需提供有效的计量合格证书。</w:t>
      </w:r>
    </w:p>
    <w:p>
      <w:pPr>
        <w:spacing w:line="340" w:lineRule="exact"/>
        <w:rPr>
          <w:rFonts w:ascii="宋体" w:hAnsi="宋体" w:cs="宋体"/>
          <w:b/>
          <w:bCs/>
          <w:color w:val="auto"/>
          <w:highlight w:val="none"/>
        </w:rPr>
      </w:pPr>
      <w:r>
        <w:rPr>
          <w:rFonts w:hint="eastAsia" w:ascii="宋体" w:hAnsi="宋体" w:cs="宋体"/>
          <w:b/>
          <w:bCs/>
          <w:color w:val="auto"/>
          <w:highlight w:val="none"/>
        </w:rPr>
        <w:t>4</w:t>
      </w:r>
      <w:r>
        <w:rPr>
          <w:rFonts w:hint="eastAsia" w:ascii="宋体" w:hAnsi="宋体" w:cs="宋体"/>
          <w:color w:val="auto"/>
          <w:highlight w:val="none"/>
        </w:rPr>
        <w:t>.</w:t>
      </w:r>
      <w:r>
        <w:rPr>
          <w:rFonts w:hint="eastAsia" w:ascii="宋体" w:hAnsi="宋体" w:cs="宋体"/>
          <w:b/>
          <w:bCs/>
          <w:color w:val="auto"/>
          <w:highlight w:val="none"/>
        </w:rPr>
        <w:t>付款方式</w:t>
      </w:r>
    </w:p>
    <w:p>
      <w:pPr>
        <w:ind w:left="420" w:leftChars="200"/>
        <w:rPr>
          <w:rFonts w:ascii="宋体" w:hAnsi="宋体" w:cs="宋体"/>
          <w:color w:val="auto"/>
          <w:highlight w:val="none"/>
        </w:rPr>
      </w:pPr>
      <w:r>
        <w:rPr>
          <w:rFonts w:hint="eastAsia" w:ascii="宋体" w:hAnsi="宋体" w:cs="宋体"/>
          <w:color w:val="auto"/>
          <w:highlight w:val="none"/>
        </w:rPr>
        <w:t>4.1合同生效并具备实施条件后7个工作日内支付合同金额的40%作为预付款；</w:t>
      </w:r>
    </w:p>
    <w:p>
      <w:pPr>
        <w:ind w:left="420" w:leftChars="200"/>
        <w:rPr>
          <w:rFonts w:ascii="宋体" w:hAnsi="宋体" w:cs="宋体"/>
          <w:color w:val="auto"/>
          <w:highlight w:val="none"/>
        </w:rPr>
      </w:pPr>
      <w:r>
        <w:rPr>
          <w:rFonts w:hint="eastAsia" w:ascii="宋体" w:hAnsi="宋体" w:cs="宋体"/>
          <w:color w:val="auto"/>
          <w:highlight w:val="none"/>
        </w:rPr>
        <w:t>4.2项目验收合格并收到中标人正式发票之日起7个工作日内一次性付清合同款。</w:t>
      </w:r>
    </w:p>
    <w:p>
      <w:pPr>
        <w:ind w:left="420" w:leftChars="200"/>
        <w:rPr>
          <w:rFonts w:ascii="宋体" w:hAnsi="宋体" w:cs="宋体"/>
          <w:color w:val="auto"/>
          <w:highlight w:val="none"/>
        </w:rPr>
      </w:pPr>
      <w:r>
        <w:rPr>
          <w:rFonts w:hint="eastAsia" w:ascii="宋体" w:hAnsi="宋体" w:cs="宋体"/>
          <w:color w:val="auto"/>
          <w:highlight w:val="none"/>
        </w:rPr>
        <w:t>乙方应在甲方验收完成时向甲方提供合同总价的增值税发票，逾期开具，甲方付款时间顺延。</w:t>
      </w:r>
    </w:p>
    <w:p>
      <w:pPr>
        <w:ind w:left="420" w:leftChars="200"/>
        <w:rPr>
          <w:rFonts w:ascii="宋体" w:hAnsi="宋体" w:cs="宋体"/>
          <w:color w:val="auto"/>
          <w:highlight w:val="none"/>
        </w:rPr>
      </w:pPr>
      <w:r>
        <w:rPr>
          <w:rFonts w:hint="eastAsia" w:ascii="宋体" w:hAnsi="宋体" w:cs="宋体"/>
          <w:color w:val="auto"/>
          <w:highlight w:val="none"/>
        </w:rPr>
        <w:t>乙方帐户：</w:t>
      </w:r>
      <w:r>
        <w:rPr>
          <w:rFonts w:hint="eastAsia" w:ascii="宋体" w:hAnsi="宋体" w:cs="宋体"/>
          <w:color w:val="auto"/>
          <w:highlight w:val="none"/>
        </w:rPr>
        <w:tab/>
      </w:r>
    </w:p>
    <w:p>
      <w:pPr>
        <w:tabs>
          <w:tab w:val="left" w:pos="90"/>
          <w:tab w:val="left" w:pos="340"/>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单位全称：                  </w:t>
      </w:r>
    </w:p>
    <w:p>
      <w:pPr>
        <w:tabs>
          <w:tab w:val="left" w:pos="90"/>
          <w:tab w:val="left" w:pos="340"/>
          <w:tab w:val="left" w:pos="2551"/>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开 户 行：                  </w:t>
      </w:r>
    </w:p>
    <w:p>
      <w:pPr>
        <w:tabs>
          <w:tab w:val="center" w:pos="4613"/>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银行帐号：                  </w:t>
      </w:r>
    </w:p>
    <w:p>
      <w:pPr>
        <w:spacing w:line="340" w:lineRule="exact"/>
        <w:rPr>
          <w:rFonts w:ascii="宋体" w:hAnsi="宋体" w:cs="宋体"/>
          <w:b/>
          <w:bCs/>
          <w:color w:val="auto"/>
          <w:highlight w:val="none"/>
        </w:rPr>
      </w:pPr>
      <w:r>
        <w:rPr>
          <w:rFonts w:hint="eastAsia" w:ascii="宋体" w:hAnsi="宋体" w:cs="宋体"/>
          <w:b/>
          <w:bCs/>
          <w:color w:val="auto"/>
          <w:highlight w:val="none"/>
        </w:rPr>
        <w:t>5.伴随服务</w:t>
      </w:r>
    </w:p>
    <w:p>
      <w:pPr>
        <w:spacing w:line="340" w:lineRule="exact"/>
        <w:ind w:left="428" w:leftChars="172" w:hanging="67" w:hangingChars="32"/>
        <w:rPr>
          <w:rFonts w:ascii="宋体" w:hAnsi="宋体" w:cs="宋体"/>
          <w:b/>
          <w:bCs/>
          <w:color w:val="auto"/>
          <w:highlight w:val="none"/>
        </w:rPr>
      </w:pPr>
      <w:r>
        <w:rPr>
          <w:rFonts w:hint="eastAsia" w:ascii="宋体" w:hAnsi="宋体" w:cs="宋体"/>
          <w:color w:val="auto"/>
          <w:highlight w:val="none"/>
        </w:rPr>
        <w:t>5.1乙方应提供设备的技术文件，包括</w:t>
      </w:r>
      <w:r>
        <w:rPr>
          <w:rFonts w:hint="eastAsia" w:ascii="宋体" w:hAnsi="宋体" w:cs="宋体"/>
          <w:color w:val="auto"/>
          <w:kern w:val="0"/>
          <w:highlight w:val="none"/>
        </w:rPr>
        <w:t>合格证明文件、</w:t>
      </w:r>
      <w:r>
        <w:rPr>
          <w:rFonts w:hint="eastAsia" w:ascii="宋体" w:hAnsi="宋体" w:cs="宋体"/>
          <w:color w:val="auto"/>
          <w:highlight w:val="none"/>
        </w:rPr>
        <w:t>中文说明书（纸质两份）、中文说明书（电子版）、符合监管要求的中文标签</w:t>
      </w:r>
      <w:r>
        <w:rPr>
          <w:rFonts w:hint="eastAsia" w:ascii="宋体" w:hAnsi="宋体" w:cs="宋体"/>
          <w:color w:val="auto"/>
          <w:kern w:val="0"/>
          <w:highlight w:val="none"/>
        </w:rPr>
        <w:t>、</w:t>
      </w:r>
      <w:r>
        <w:rPr>
          <w:rFonts w:hint="eastAsia" w:ascii="宋体" w:hAnsi="宋体" w:cs="宋体"/>
          <w:color w:val="auto"/>
          <w:highlight w:val="none"/>
        </w:rPr>
        <w:t>维护手册、维修手册、故障代码表、软件备份、备件清单、零部件等维护维修必需的材料和信息。</w:t>
      </w:r>
    </w:p>
    <w:p>
      <w:pPr>
        <w:spacing w:line="340" w:lineRule="exact"/>
        <w:ind w:firstLine="359" w:firstLineChars="171"/>
        <w:rPr>
          <w:rFonts w:ascii="宋体" w:hAnsi="宋体" w:cs="宋体"/>
          <w:color w:val="auto"/>
          <w:highlight w:val="none"/>
        </w:rPr>
      </w:pPr>
      <w:r>
        <w:rPr>
          <w:rFonts w:hint="eastAsia" w:ascii="宋体" w:hAnsi="宋体" w:cs="宋体"/>
          <w:color w:val="auto"/>
          <w:highlight w:val="none"/>
        </w:rPr>
        <w:t>5.2乙方还应免费提供下列服务：</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设备的现场安装和调试；</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提供设备安装和维修所需的专用工具和辅助材料；</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乙方应派专业技术人员在项目现场对甲方使用人员和和维修人员进行免费培训及考核，提供培训资料，在使用一段时间后可根据甲方的要求另行安排免费培训计划。</w:t>
      </w:r>
    </w:p>
    <w:p>
      <w:pPr>
        <w:spacing w:line="340" w:lineRule="exact"/>
        <w:rPr>
          <w:rFonts w:ascii="宋体" w:hAnsi="宋体" w:cs="宋体"/>
          <w:color w:val="auto"/>
          <w:highlight w:val="none"/>
        </w:rPr>
      </w:pPr>
      <w:r>
        <w:rPr>
          <w:rFonts w:hint="eastAsia" w:ascii="宋体" w:hAnsi="宋体" w:cs="宋体"/>
          <w:b/>
          <w:bCs/>
          <w:color w:val="auto"/>
          <w:highlight w:val="none"/>
        </w:rPr>
        <w:t>6.质量保证及售后服务</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6.1乙方应保证所供设备是在</w:t>
      </w:r>
      <w:r>
        <w:rPr>
          <w:rFonts w:hint="eastAsia" w:ascii="宋体" w:hAnsi="宋体" w:cs="宋体"/>
          <w:color w:val="auto"/>
          <w:highlight w:val="none"/>
          <w:u w:val="single"/>
        </w:rPr>
        <w:t xml:space="preserve">   </w:t>
      </w:r>
      <w:r>
        <w:rPr>
          <w:rFonts w:hint="eastAsia" w:ascii="宋体" w:hAnsi="宋体" w:cs="宋体"/>
          <w:color w:val="auto"/>
          <w:highlight w:val="none"/>
        </w:rPr>
        <w:t>（年月）后生产的全新的、未使用过的，并符合国家有关标准、制造厂标准及合同技术标准要求。设备使用期限为：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rPr>
          <w:rFonts w:ascii="宋体" w:hAnsi="宋体" w:cs="宋体"/>
          <w:color w:val="auto"/>
          <w:highlight w:val="none"/>
        </w:rPr>
      </w:pPr>
      <w:r>
        <w:rPr>
          <w:rFonts w:hint="eastAsia" w:ascii="宋体" w:hAnsi="宋体" w:cs="宋体"/>
          <w:color w:val="auto"/>
          <w:highlight w:val="none"/>
        </w:rPr>
        <w:t>6.2乙方应提供保修期</w:t>
      </w:r>
      <w:r>
        <w:rPr>
          <w:rFonts w:hint="eastAsia" w:ascii="宋体" w:hAnsi="宋体" w:cs="宋体"/>
          <w:color w:val="auto"/>
          <w:highlight w:val="none"/>
          <w:u w:val="single"/>
        </w:rPr>
        <w:t xml:space="preserve">    </w:t>
      </w:r>
      <w:r>
        <w:rPr>
          <w:rFonts w:hint="eastAsia" w:ascii="宋体" w:hAnsi="宋体" w:cs="宋体"/>
          <w:color w:val="auto"/>
          <w:highlight w:val="none"/>
        </w:rPr>
        <w:t>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cs="宋体"/>
          <w:color w:val="auto"/>
          <w:highlight w:val="none"/>
          <w:u w:val="single"/>
        </w:rPr>
        <w:t xml:space="preserve">   </w:t>
      </w:r>
      <w:r>
        <w:rPr>
          <w:rFonts w:hint="eastAsia" w:ascii="宋体" w:hAnsi="宋体" w:cs="宋体"/>
          <w:color w:val="auto"/>
          <w:highlight w:val="none"/>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卖方免费技术服务和维修。</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6.3报修响应时间</w:t>
      </w:r>
      <w:r>
        <w:rPr>
          <w:rFonts w:hint="eastAsia" w:ascii="宋体" w:hAnsi="宋体" w:cs="宋体"/>
          <w:color w:val="auto"/>
          <w:highlight w:val="none"/>
          <w:u w:val="single"/>
        </w:rPr>
        <w:t xml:space="preserve">  </w:t>
      </w:r>
      <w:r>
        <w:rPr>
          <w:rFonts w:hint="eastAsia" w:ascii="宋体" w:hAnsi="宋体" w:cs="宋体"/>
          <w:color w:val="auto"/>
          <w:highlight w:val="none"/>
        </w:rPr>
        <w:t>小时，到场时间</w:t>
      </w:r>
      <w:r>
        <w:rPr>
          <w:rFonts w:hint="eastAsia" w:ascii="宋体" w:hAnsi="宋体" w:cs="宋体"/>
          <w:color w:val="auto"/>
          <w:highlight w:val="none"/>
          <w:u w:val="single"/>
        </w:rPr>
        <w:t xml:space="preserve">   </w:t>
      </w:r>
      <w:r>
        <w:rPr>
          <w:rFonts w:hint="eastAsia" w:ascii="宋体" w:hAnsi="宋体" w:cs="宋体"/>
          <w:color w:val="auto"/>
          <w:highlight w:val="none"/>
        </w:rPr>
        <w:t>小时（不可抗因素除外）</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6.4保修期满后的服务：</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6.4.1乙方负责设备的终身维修并应继续提供优质的服务，储备足够的零配件备库。保修期满后，以不高于</w:t>
      </w:r>
      <w:r>
        <w:rPr>
          <w:rFonts w:hint="eastAsia" w:ascii="宋体" w:hAnsi="宋体" w:cs="宋体"/>
          <w:color w:val="auto"/>
          <w:highlight w:val="none"/>
          <w:u w:val="single"/>
        </w:rPr>
        <w:t xml:space="preserve">  %</w:t>
      </w:r>
      <w:r>
        <w:rPr>
          <w:rFonts w:hint="eastAsia" w:ascii="宋体" w:hAnsi="宋体" w:cs="宋体"/>
          <w:color w:val="auto"/>
          <w:highlight w:val="none"/>
        </w:rPr>
        <w:t>的优惠价供应维修零配件，消耗品的供应应由双方另设协议确定。</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6.4.2保修期满后人工费方案：</w:t>
      </w:r>
    </w:p>
    <w:p>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 xml:space="preserve">1、免人工费及差旅住宿费等，仅收取零配件费。 </w:t>
      </w:r>
    </w:p>
    <w:p>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2、人工费为单次故障不高于</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6.4..3所有费用采用先维修后付款方式。</w:t>
      </w:r>
    </w:p>
    <w:p>
      <w:pPr>
        <w:spacing w:line="340" w:lineRule="exact"/>
        <w:ind w:left="359" w:leftChars="171" w:firstLine="1"/>
        <w:rPr>
          <w:rFonts w:ascii="宋体" w:hAnsi="宋体" w:cs="宋体"/>
          <w:color w:val="auto"/>
          <w:highlight w:val="none"/>
        </w:rPr>
      </w:pPr>
      <w:r>
        <w:rPr>
          <w:rFonts w:hint="eastAsia" w:ascii="宋体" w:hAnsi="宋体" w:cs="宋体"/>
          <w:color w:val="auto"/>
          <w:kern w:val="0"/>
          <w:highlight w:val="none"/>
        </w:rPr>
        <w:t>6.5 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7.索赔条款</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 如确认货物不符合本合同约定，甲方有权选择下列方式之一要求卖方进行补救：</w:t>
      </w:r>
    </w:p>
    <w:p>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7.1.1甲方退货，乙方将全额货款偿还甲方，并负担因退货而发生的一切直接损失和费用。</w:t>
      </w:r>
    </w:p>
    <w:p>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7.1.2按照货物的疵劣程度、损坏的范围和甲方所遭受的损失，将货物贬值。</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7.1.3调换有瑕疵的货物，换货必须全新并符合本合同规定的规格，质量和性能，乙方并负责因此而产生的一切费用和甲方的一切直接损失。</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pPr>
        <w:spacing w:line="340" w:lineRule="exact"/>
        <w:ind w:left="420" w:leftChars="200"/>
        <w:rPr>
          <w:rFonts w:ascii="宋体" w:hAnsi="宋体" w:cs="宋体"/>
          <w:color w:val="auto"/>
          <w:highlight w:val="none"/>
        </w:rPr>
      </w:pPr>
      <w:r>
        <w:rPr>
          <w:rFonts w:hint="eastAsia" w:ascii="宋体" w:hAnsi="宋体" w:cs="宋体"/>
          <w:color w:val="auto"/>
          <w:highlight w:val="none"/>
        </w:rPr>
        <w:t>7.3乙方应保证甲方和使用单位在使用该设备或其任何一部分时免受第三方提出侵犯其专利权、商标权或工业产权的起诉。</w:t>
      </w:r>
    </w:p>
    <w:p>
      <w:pPr>
        <w:spacing w:line="340" w:lineRule="exact"/>
        <w:rPr>
          <w:rFonts w:ascii="宋体" w:hAnsi="宋体" w:cs="宋体"/>
          <w:b/>
          <w:bCs/>
          <w:color w:val="auto"/>
          <w:highlight w:val="none"/>
        </w:rPr>
      </w:pPr>
      <w:r>
        <w:rPr>
          <w:rFonts w:hint="eastAsia" w:ascii="宋体" w:hAnsi="宋体" w:cs="宋体"/>
          <w:b/>
          <w:bCs/>
          <w:color w:val="auto"/>
          <w:highlight w:val="none"/>
        </w:rPr>
        <w:t>8.争端的解决</w:t>
      </w:r>
    </w:p>
    <w:p>
      <w:pPr>
        <w:spacing w:line="340" w:lineRule="exact"/>
        <w:ind w:left="357" w:leftChars="170" w:right="-216" w:rightChars="-103" w:firstLine="1"/>
        <w:rPr>
          <w:rFonts w:ascii="宋体" w:hAnsi="宋体" w:cs="宋体"/>
          <w:color w:val="auto"/>
          <w:highlight w:val="none"/>
        </w:rPr>
      </w:pPr>
      <w:r>
        <w:rPr>
          <w:rFonts w:hint="eastAsia" w:ascii="宋体" w:hAnsi="宋体" w:cs="宋体"/>
          <w:color w:val="auto"/>
          <w:highlight w:val="none"/>
        </w:rPr>
        <w:t>双方如在履行合同中发生纠纷，首先应友好协商，协商不成，提交丽水仲裁委员会仲裁解决。</w:t>
      </w:r>
    </w:p>
    <w:p>
      <w:pPr>
        <w:spacing w:line="340" w:lineRule="exact"/>
        <w:rPr>
          <w:rFonts w:ascii="宋体" w:hAnsi="宋体" w:cs="宋体"/>
          <w:b/>
          <w:bCs/>
          <w:color w:val="auto"/>
          <w:highlight w:val="none"/>
        </w:rPr>
      </w:pPr>
      <w:r>
        <w:rPr>
          <w:rFonts w:hint="eastAsia" w:ascii="宋体" w:hAnsi="宋体" w:cs="宋体"/>
          <w:b/>
          <w:bCs/>
          <w:color w:val="auto"/>
          <w:highlight w:val="none"/>
        </w:rPr>
        <w:t>9.合同生效</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9.1 本合同在甲、乙双方签字盖章后生效。</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9.2 本合同一式</w:t>
      </w:r>
      <w:r>
        <w:rPr>
          <w:rFonts w:hint="eastAsia" w:ascii="宋体" w:hAnsi="宋体" w:cs="宋体"/>
          <w:color w:val="auto"/>
          <w:highlight w:val="none"/>
          <w:u w:val="single"/>
        </w:rPr>
        <w:t>两</w:t>
      </w:r>
      <w:r>
        <w:rPr>
          <w:rFonts w:hint="eastAsia" w:ascii="宋体" w:hAnsi="宋体" w:cs="宋体"/>
          <w:color w:val="auto"/>
          <w:highlight w:val="none"/>
        </w:rPr>
        <w:t>份，以中文书就，签约双方各执一份，具有相同的法律效力。</w:t>
      </w:r>
    </w:p>
    <w:p>
      <w:pPr>
        <w:spacing w:line="340" w:lineRule="exact"/>
        <w:rPr>
          <w:rFonts w:ascii="宋体" w:hAnsi="宋体" w:cs="宋体"/>
          <w:color w:val="auto"/>
          <w:highlight w:val="none"/>
        </w:rPr>
      </w:pPr>
      <w:r>
        <w:rPr>
          <w:rFonts w:hint="eastAsia" w:ascii="宋体" w:hAnsi="宋体" w:cs="宋体"/>
          <w:b/>
          <w:bCs/>
          <w:color w:val="auto"/>
          <w:highlight w:val="none"/>
        </w:rPr>
        <w:t xml:space="preserve">10.合同附件 </w:t>
      </w:r>
      <w:r>
        <w:rPr>
          <w:rFonts w:hint="eastAsia" w:ascii="宋体" w:hAnsi="宋体" w:cs="宋体"/>
          <w:color w:val="auto"/>
          <w:highlight w:val="none"/>
        </w:rPr>
        <w:t>合同附件是合同的不可分割的组成部分，与合同具有同等法律效力。</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10.1配置清单      □设备的配置清单</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10.2技术标准      □投标文件的技术响应   □设备技术说明　</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 xml:space="preserve">10.3其他          □承诺书或补充协议等    </w:t>
      </w:r>
    </w:p>
    <w:p>
      <w:pPr>
        <w:numPr>
          <w:ilvl w:val="0"/>
          <w:numId w:val="16"/>
        </w:numPr>
        <w:spacing w:line="340" w:lineRule="exact"/>
        <w:rPr>
          <w:rFonts w:ascii="宋体" w:hAnsi="宋体" w:cs="宋体"/>
          <w:b/>
          <w:bCs/>
          <w:color w:val="auto"/>
          <w:highlight w:val="none"/>
          <w:u w:val="single"/>
        </w:rPr>
      </w:pPr>
      <w:r>
        <w:rPr>
          <w:rFonts w:hint="eastAsia" w:ascii="宋体" w:hAnsi="宋体" w:cs="宋体"/>
          <w:b/>
          <w:bCs/>
          <w:color w:val="auto"/>
          <w:highlight w:val="none"/>
        </w:rPr>
        <w:t>特别约定：</w:t>
      </w:r>
      <w:r>
        <w:rPr>
          <w:rFonts w:hint="eastAsia" w:ascii="宋体" w:hAnsi="宋体" w:cs="宋体"/>
          <w:b/>
          <w:bCs/>
          <w:color w:val="auto"/>
          <w:highlight w:val="none"/>
          <w:u w:val="single"/>
        </w:rPr>
        <w:t>中标人的投标响应及承诺作为合同的附件。</w:t>
      </w:r>
    </w:p>
    <w:p>
      <w:pPr>
        <w:numPr>
          <w:ilvl w:val="0"/>
          <w:numId w:val="16"/>
        </w:numPr>
        <w:spacing w:line="340" w:lineRule="exact"/>
        <w:rPr>
          <w:rFonts w:ascii="宋体" w:hAnsi="宋体" w:cs="宋体"/>
          <w:b/>
          <w:bCs/>
          <w:color w:val="auto"/>
          <w:highlight w:val="none"/>
          <w:u w:val="single"/>
        </w:rPr>
      </w:pPr>
      <w:r>
        <w:rPr>
          <w:rFonts w:hint="eastAsia" w:ascii="宋体" w:hAnsi="宋体" w:cs="宋体"/>
          <w:b/>
          <w:bCs/>
          <w:color w:val="auto"/>
          <w:highlight w:val="none"/>
        </w:rPr>
        <w:t>其他说明：投标商、开票公司以及合同签订人必须为同家公司</w:t>
      </w:r>
    </w:p>
    <w:p>
      <w:pPr>
        <w:spacing w:line="340" w:lineRule="exact"/>
        <w:ind w:firstLine="422" w:firstLineChars="200"/>
        <w:rPr>
          <w:rFonts w:ascii="宋体" w:hAnsi="宋体" w:cs="宋体"/>
          <w:b/>
          <w:bCs/>
          <w:color w:val="auto"/>
          <w:highlight w:val="none"/>
        </w:rPr>
      </w:pPr>
      <w:r>
        <w:rPr>
          <w:rFonts w:hint="eastAsia" w:ascii="宋体" w:hAnsi="宋体" w:cs="宋体"/>
          <w:b/>
          <w:bCs/>
          <w:color w:val="auto"/>
          <w:highlight w:val="none"/>
        </w:rPr>
        <w:t>甲方：</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乙方： </w:t>
      </w:r>
    </w:p>
    <w:p>
      <w:pPr>
        <w:spacing w:line="340" w:lineRule="exact"/>
        <w:ind w:firstLine="310" w:firstLineChars="147"/>
        <w:rPr>
          <w:rFonts w:ascii="宋体" w:hAnsi="宋体" w:cs="宋体"/>
          <w:b/>
          <w:bCs/>
          <w:color w:val="auto"/>
          <w:highlight w:val="none"/>
        </w:rPr>
      </w:pPr>
      <w:r>
        <w:rPr>
          <w:rFonts w:hint="eastAsia" w:ascii="宋体" w:hAnsi="宋体" w:cs="宋体"/>
          <w:b/>
          <w:bCs/>
          <w:color w:val="auto"/>
          <w:highlight w:val="none"/>
        </w:rPr>
        <w:t>（盖章）                                          （盖章）</w:t>
      </w:r>
    </w:p>
    <w:p>
      <w:pPr>
        <w:spacing w:line="340" w:lineRule="exact"/>
        <w:rPr>
          <w:rFonts w:ascii="宋体" w:hAnsi="宋体" w:cs="宋体"/>
          <w:b/>
          <w:bCs/>
          <w:color w:val="auto"/>
          <w:highlight w:val="none"/>
        </w:rPr>
      </w:pPr>
      <w:r>
        <w:rPr>
          <w:rFonts w:hint="eastAsia" w:ascii="宋体" w:hAnsi="宋体" w:cs="宋体"/>
          <w:b/>
          <w:bCs/>
          <w:color w:val="auto"/>
          <w:highlight w:val="none"/>
        </w:rPr>
        <w:t>甲方法定代表人或授权委托人                        乙方法定代表人或授权委托人</w:t>
      </w:r>
    </w:p>
    <w:p>
      <w:pPr>
        <w:spacing w:line="340" w:lineRule="exact"/>
        <w:rPr>
          <w:rFonts w:ascii="宋体" w:hAnsi="宋体" w:cs="宋体"/>
          <w:b/>
          <w:bCs/>
          <w:color w:val="auto"/>
          <w:highlight w:val="none"/>
        </w:rPr>
      </w:pPr>
      <w:r>
        <w:rPr>
          <w:rFonts w:hint="eastAsia" w:ascii="宋体" w:hAnsi="宋体" w:cs="宋体"/>
          <w:b/>
          <w:bCs/>
          <w:color w:val="auto"/>
          <w:highlight w:val="none"/>
        </w:rPr>
        <w:t>__________________________                         __________________________</w:t>
      </w:r>
    </w:p>
    <w:p>
      <w:pPr>
        <w:spacing w:line="340" w:lineRule="exact"/>
        <w:rPr>
          <w:rFonts w:ascii="宋体" w:hAnsi="宋体" w:cs="宋体"/>
          <w:b/>
          <w:bCs/>
          <w:color w:val="auto"/>
          <w:highlight w:val="none"/>
        </w:rPr>
      </w:pPr>
      <w:r>
        <w:rPr>
          <w:rFonts w:hint="eastAsia" w:ascii="宋体" w:hAnsi="宋体" w:cs="宋体"/>
          <w:b/>
          <w:bCs/>
          <w:color w:val="auto"/>
          <w:highlight w:val="none"/>
        </w:rPr>
        <w:t>日期：____________________                        日期：____________________</w:t>
      </w:r>
    </w:p>
    <w:p>
      <w:pPr>
        <w:spacing w:line="340" w:lineRule="exact"/>
        <w:rPr>
          <w:rFonts w:ascii="宋体" w:hAnsi="宋体" w:cs="宋体"/>
          <w:color w:val="auto"/>
          <w:highlight w:val="none"/>
        </w:rPr>
      </w:pPr>
    </w:p>
    <w:p>
      <w:pPr>
        <w:spacing w:line="340" w:lineRule="exact"/>
        <w:ind w:firstLine="413" w:firstLineChars="196"/>
        <w:rPr>
          <w:rFonts w:ascii="宋体" w:hAnsi="宋体" w:cs="宋体"/>
          <w:b/>
          <w:bCs/>
          <w:color w:val="auto"/>
          <w:highlight w:val="none"/>
        </w:rPr>
      </w:pPr>
      <w:r>
        <w:rPr>
          <w:rFonts w:hint="eastAsia" w:ascii="宋体" w:hAnsi="宋体" w:cs="宋体"/>
          <w:b/>
          <w:bCs/>
          <w:color w:val="auto"/>
          <w:highlight w:val="none"/>
        </w:rPr>
        <w:t>联系地址：                                          联系地址：</w:t>
      </w:r>
    </w:p>
    <w:p>
      <w:pPr>
        <w:spacing w:line="340" w:lineRule="exact"/>
        <w:rPr>
          <w:rFonts w:ascii="宋体" w:hAnsi="宋体" w:cs="宋体"/>
          <w:b/>
          <w:bCs/>
          <w:color w:val="auto"/>
          <w:highlight w:val="none"/>
        </w:rPr>
      </w:pPr>
      <w:r>
        <w:rPr>
          <w:rFonts w:hint="eastAsia" w:ascii="宋体" w:hAnsi="宋体" w:cs="宋体"/>
          <w:b/>
          <w:bCs/>
          <w:color w:val="auto"/>
          <w:highlight w:val="none"/>
        </w:rPr>
        <w:t xml:space="preserve">    固定电话：                                        固定电话：</w:t>
      </w:r>
    </w:p>
    <w:p>
      <w:pPr>
        <w:spacing w:line="340" w:lineRule="exact"/>
        <w:rPr>
          <w:rFonts w:ascii="宋体" w:hAnsi="宋体" w:cs="宋体"/>
          <w:b/>
          <w:bCs/>
          <w:color w:val="auto"/>
          <w:highlight w:val="none"/>
        </w:rPr>
      </w:pPr>
      <w:r>
        <w:rPr>
          <w:rFonts w:hint="eastAsia" w:ascii="宋体" w:hAnsi="宋体" w:cs="宋体"/>
          <w:b/>
          <w:bCs/>
          <w:color w:val="auto"/>
          <w:sz w:val="24"/>
          <w:szCs w:val="24"/>
          <w:highlight w:val="none"/>
        </w:rPr>
        <w:t xml:space="preserve">   </w:t>
      </w:r>
      <w:r>
        <w:rPr>
          <w:rFonts w:hint="eastAsia" w:ascii="宋体" w:hAnsi="宋体" w:cs="宋体"/>
          <w:b/>
          <w:bCs/>
          <w:color w:val="auto"/>
          <w:highlight w:val="none"/>
        </w:rPr>
        <w:t>采购员联系电话：                                   销售员联系电话：</w:t>
      </w:r>
    </w:p>
    <w:p>
      <w:pPr>
        <w:spacing w:line="340" w:lineRule="exact"/>
        <w:rPr>
          <w:rFonts w:ascii="宋体" w:hAnsi="宋体" w:cs="宋体"/>
          <w:b/>
          <w:bCs/>
          <w:color w:val="auto"/>
          <w:sz w:val="24"/>
          <w:szCs w:val="24"/>
          <w:highlight w:val="none"/>
        </w:rPr>
      </w:pPr>
      <w:r>
        <w:rPr>
          <w:rFonts w:hint="eastAsia" w:ascii="宋体" w:hAnsi="宋体" w:cs="宋体"/>
          <w:b/>
          <w:bCs/>
          <w:color w:val="auto"/>
          <w:highlight w:val="none"/>
        </w:rPr>
        <w:t xml:space="preserve">   工程师联系电话：                                   工程师联系电话：</w:t>
      </w: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附件一</w:t>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医疗设备配置清单</w:t>
      </w: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一 设备配置</w:t>
      </w:r>
    </w:p>
    <w:tbl>
      <w:tblPr>
        <w:tblStyle w:val="4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已   选   配   置</w:t>
            </w: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编号</w:t>
            </w:r>
          </w:p>
        </w:tc>
        <w:tc>
          <w:tcPr>
            <w:tcW w:w="2716" w:type="dxa"/>
          </w:tcPr>
          <w:p>
            <w:pPr>
              <w:jc w:val="center"/>
              <w:rPr>
                <w:rFonts w:ascii="宋体" w:hAnsi="宋体" w:cs="宋体"/>
                <w:b/>
                <w:bCs/>
                <w:color w:val="auto"/>
                <w:highlight w:val="none"/>
              </w:rPr>
            </w:pPr>
            <w:r>
              <w:rPr>
                <w:rFonts w:hint="eastAsia" w:ascii="宋体" w:hAnsi="宋体" w:cs="宋体"/>
                <w:b/>
                <w:bCs/>
                <w:color w:val="auto"/>
                <w:highlight w:val="none"/>
              </w:rPr>
              <w:t>部件名称</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规格型号</w:t>
            </w:r>
          </w:p>
        </w:tc>
        <w:tc>
          <w:tcPr>
            <w:tcW w:w="900" w:type="dxa"/>
          </w:tcPr>
          <w:p>
            <w:pPr>
              <w:jc w:val="center"/>
              <w:rPr>
                <w:rFonts w:ascii="宋体" w:hAnsi="宋体" w:cs="宋体"/>
                <w:b/>
                <w:bCs/>
                <w:color w:val="auto"/>
                <w:highlight w:val="none"/>
              </w:rPr>
            </w:pPr>
            <w:r>
              <w:rPr>
                <w:rFonts w:hint="eastAsia" w:ascii="宋体" w:hAnsi="宋体" w:cs="宋体"/>
                <w:b/>
                <w:bCs/>
                <w:color w:val="auto"/>
                <w:highlight w:val="none"/>
              </w:rPr>
              <w:t>产  地</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数   量</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价  格</w:t>
            </w:r>
          </w:p>
        </w:tc>
        <w:tc>
          <w:tcPr>
            <w:tcW w:w="1260" w:type="dxa"/>
          </w:tcPr>
          <w:p>
            <w:pPr>
              <w:jc w:val="center"/>
              <w:rPr>
                <w:rFonts w:ascii="宋体" w:hAnsi="宋体" w:cs="宋体"/>
                <w:b/>
                <w:bCs/>
                <w:color w:val="auto"/>
                <w:highlight w:val="none"/>
              </w:rPr>
            </w:pPr>
            <w:r>
              <w:rPr>
                <w:rFonts w:hint="eastAsia" w:ascii="宋体" w:hAnsi="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1</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b/>
                <w:bCs/>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2</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3</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4</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5</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6</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7</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8</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9</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10</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rFonts w:ascii="宋体" w:hAnsi="宋体" w:cs="宋体"/>
                <w:b/>
                <w:bCs/>
                <w:color w:val="auto"/>
                <w:highlight w:val="none"/>
              </w:rPr>
            </w:pPr>
          </w:p>
        </w:tc>
        <w:tc>
          <w:tcPr>
            <w:tcW w:w="721" w:type="dxa"/>
          </w:tcPr>
          <w:p>
            <w:pPr>
              <w:ind w:firstLine="211" w:firstLineChars="100"/>
              <w:rPr>
                <w:rFonts w:ascii="宋体" w:hAnsi="宋体" w:cs="宋体"/>
                <w:b/>
                <w:bCs/>
                <w:color w:val="auto"/>
                <w:highlight w:val="none"/>
              </w:rPr>
            </w:pPr>
            <w:r>
              <w:rPr>
                <w:rFonts w:hint="eastAsia" w:ascii="宋体" w:hAnsi="宋体" w:cs="宋体"/>
                <w:b/>
                <w:bCs/>
                <w:color w:val="auto"/>
                <w:highlight w:val="none"/>
              </w:rPr>
              <w:t>11</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rFonts w:ascii="宋体" w:hAnsi="宋体" w:cs="宋体"/>
                <w:b/>
                <w:bCs/>
                <w:color w:val="auto"/>
                <w:highlight w:val="none"/>
              </w:rPr>
            </w:pPr>
          </w:p>
        </w:tc>
        <w:tc>
          <w:tcPr>
            <w:tcW w:w="721" w:type="dxa"/>
          </w:tcPr>
          <w:p>
            <w:pPr>
              <w:ind w:firstLine="211" w:firstLineChars="100"/>
              <w:rPr>
                <w:rFonts w:ascii="宋体" w:hAnsi="宋体" w:cs="宋体"/>
                <w:b/>
                <w:bCs/>
                <w:color w:val="auto"/>
                <w:highlight w:val="none"/>
              </w:rPr>
            </w:pPr>
            <w:r>
              <w:rPr>
                <w:rFonts w:hint="eastAsia" w:ascii="宋体" w:hAnsi="宋体" w:cs="宋体"/>
                <w:b/>
                <w:bCs/>
                <w:color w:val="auto"/>
                <w:highlight w:val="none"/>
              </w:rPr>
              <w:t>12</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bl>
    <w:p>
      <w:pPr>
        <w:rPr>
          <w:rFonts w:ascii="宋体" w:hAnsi="宋体" w:cs="宋体"/>
          <w:b/>
          <w:bCs/>
          <w:color w:val="auto"/>
          <w:sz w:val="24"/>
          <w:szCs w:val="24"/>
          <w:highlight w:val="none"/>
        </w:rPr>
      </w:pPr>
    </w:p>
    <w:p>
      <w:pPr>
        <w:rPr>
          <w:rFonts w:ascii="宋体" w:hAnsi="宋体" w:cs="宋体"/>
          <w:color w:val="auto"/>
          <w:highlight w:val="none"/>
        </w:rPr>
      </w:pPr>
    </w:p>
    <w:p>
      <w:pPr>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需方: (签字)                                        供方:(签字)   </w:t>
      </w: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附件二</w:t>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医疗设备配件及耗材的价格清单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2333"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配件或耗材名称</w:t>
            </w:r>
          </w:p>
        </w:tc>
        <w:tc>
          <w:tcPr>
            <w:tcW w:w="1514"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规格型号</w:t>
            </w:r>
          </w:p>
        </w:tc>
        <w:tc>
          <w:tcPr>
            <w:tcW w:w="1678"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生产厂商</w:t>
            </w:r>
          </w:p>
        </w:tc>
        <w:tc>
          <w:tcPr>
            <w:tcW w:w="1187"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521"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1</w:t>
            </w:r>
          </w:p>
        </w:tc>
        <w:tc>
          <w:tcPr>
            <w:tcW w:w="2333" w:type="dxa"/>
            <w:vAlign w:val="bottom"/>
          </w:tcPr>
          <w:p>
            <w:pPr>
              <w:rPr>
                <w:rFonts w:ascii="宋体" w:hAnsi="宋体" w:cs="宋体"/>
                <w:color w:val="auto"/>
                <w:sz w:val="24"/>
                <w:szCs w:val="24"/>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2</w:t>
            </w:r>
          </w:p>
        </w:tc>
        <w:tc>
          <w:tcPr>
            <w:tcW w:w="2333" w:type="dxa"/>
          </w:tcPr>
          <w:p>
            <w:pPr>
              <w:rPr>
                <w:rFonts w:ascii="宋体" w:hAnsi="宋体" w:cs="宋体"/>
                <w:b/>
                <w:bCs/>
                <w:color w:val="auto"/>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3</w:t>
            </w:r>
          </w:p>
        </w:tc>
        <w:tc>
          <w:tcPr>
            <w:tcW w:w="2333" w:type="dxa"/>
          </w:tcPr>
          <w:p>
            <w:pPr>
              <w:rPr>
                <w:rFonts w:ascii="宋体" w:hAnsi="宋体" w:cs="宋体"/>
                <w:b/>
                <w:bCs/>
                <w:color w:val="auto"/>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4</w:t>
            </w:r>
          </w:p>
        </w:tc>
        <w:tc>
          <w:tcPr>
            <w:tcW w:w="2333" w:type="dxa"/>
            <w:vAlign w:val="bottom"/>
          </w:tcPr>
          <w:p>
            <w:pPr>
              <w:rPr>
                <w:rFonts w:ascii="宋体" w:hAnsi="宋体" w:cs="宋体"/>
                <w:color w:val="auto"/>
                <w:sz w:val="24"/>
                <w:szCs w:val="24"/>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5</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6</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7</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bl>
    <w:p>
      <w:pPr>
        <w:rPr>
          <w:rFonts w:ascii="宋体" w:hAnsi="宋体" w:cs="宋体"/>
          <w:b/>
          <w:bCs/>
          <w:color w:val="auto"/>
          <w:sz w:val="24"/>
          <w:szCs w:val="24"/>
          <w:highlight w:val="none"/>
        </w:rPr>
      </w:pPr>
      <w:r>
        <w:rPr>
          <w:rFonts w:hint="eastAsia" w:ascii="宋体" w:hAnsi="宋体" w:cs="宋体"/>
          <w:b/>
          <w:bCs/>
          <w:color w:val="auto"/>
          <w:sz w:val="24"/>
          <w:szCs w:val="24"/>
          <w:highlight w:val="none"/>
        </w:rPr>
        <w:t>供方保证在合同签定         年内以不高于上述价格供应设备相应配件及耗品</w:t>
      </w:r>
    </w:p>
    <w:p>
      <w:pPr>
        <w:rPr>
          <w:rFonts w:ascii="宋体" w:hAnsi="宋体" w:cs="宋体"/>
          <w:b/>
          <w:bCs/>
          <w:color w:val="auto"/>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pPr>
        <w:ind w:firstLine="723" w:firstLineChars="300"/>
        <w:rPr>
          <w:rFonts w:ascii="宋体" w:hAnsi="宋体" w:cs="宋体"/>
          <w:b/>
          <w:bCs/>
          <w:color w:val="auto"/>
          <w:sz w:val="24"/>
          <w:szCs w:val="24"/>
          <w:highlight w:val="none"/>
        </w:rPr>
      </w:pPr>
      <w:r>
        <w:rPr>
          <w:rFonts w:hint="eastAsia" w:ascii="宋体" w:hAnsi="宋体" w:cs="宋体"/>
          <w:b/>
          <w:bCs/>
          <w:color w:val="auto"/>
          <w:sz w:val="24"/>
          <w:szCs w:val="24"/>
          <w:highlight w:val="none"/>
        </w:rPr>
        <w:t>需方: (签字)                                    供方:(签字)</w:t>
      </w:r>
    </w:p>
    <w:p>
      <w:pPr>
        <w:pStyle w:val="18"/>
        <w:rPr>
          <w:rFonts w:ascii="宋体" w:hAnsi="宋体" w:cs="宋体"/>
          <w:b/>
          <w:bCs/>
          <w:color w:val="auto"/>
          <w:sz w:val="24"/>
          <w:szCs w:val="24"/>
          <w:highlight w:val="none"/>
        </w:rPr>
      </w:pPr>
    </w:p>
    <w:p>
      <w:pPr>
        <w:rPr>
          <w:rFonts w:ascii="宋体" w:hAnsi="宋体" w:cs="宋体"/>
          <w:b/>
          <w:bCs/>
          <w:color w:val="auto"/>
          <w:sz w:val="24"/>
          <w:szCs w:val="24"/>
          <w:highlight w:val="none"/>
        </w:rPr>
      </w:pPr>
    </w:p>
    <w:p>
      <w:pPr>
        <w:pStyle w:val="18"/>
        <w:rPr>
          <w:rFonts w:ascii="宋体" w:hAnsi="宋体" w:cs="宋体"/>
          <w:b/>
          <w:bCs/>
          <w:color w:val="auto"/>
          <w:sz w:val="24"/>
          <w:szCs w:val="24"/>
          <w:highlight w:val="none"/>
        </w:rPr>
      </w:pPr>
    </w:p>
    <w:p>
      <w:pPr>
        <w:rPr>
          <w:rFonts w:ascii="宋体" w:hAnsi="宋体" w:cs="宋体"/>
          <w:b/>
          <w:bCs/>
          <w:color w:val="auto"/>
          <w:sz w:val="24"/>
          <w:szCs w:val="24"/>
          <w:highlight w:val="none"/>
        </w:rPr>
      </w:pPr>
    </w:p>
    <w:p>
      <w:pPr>
        <w:pStyle w:val="2"/>
        <w:jc w:val="both"/>
        <w:rPr>
          <w:rFonts w:ascii="宋体" w:cs="宋体"/>
          <w:color w:val="auto"/>
          <w:highlight w:val="none"/>
        </w:rPr>
        <w:sectPr>
          <w:pgSz w:w="11906" w:h="16838"/>
          <w:pgMar w:top="1474" w:right="1797" w:bottom="1247" w:left="1797" w:header="851" w:footer="851" w:gutter="0"/>
          <w:cols w:space="720" w:num="1"/>
          <w:titlePg/>
          <w:docGrid w:linePitch="312" w:charSpace="0"/>
        </w:sectPr>
      </w:pPr>
      <w:bookmarkStart w:id="164" w:name="_Toc13023"/>
      <w:bookmarkStart w:id="165" w:name="_Toc317116872"/>
      <w:bookmarkStart w:id="166" w:name="_Toc47388386"/>
    </w:p>
    <w:p>
      <w:pPr>
        <w:pStyle w:val="2"/>
        <w:rPr>
          <w:rFonts w:ascii="宋体" w:cs="宋体"/>
          <w:color w:val="auto"/>
          <w:highlight w:val="none"/>
        </w:rPr>
      </w:pPr>
      <w:r>
        <w:rPr>
          <w:rFonts w:hint="eastAsia" w:ascii="宋体" w:cs="宋体"/>
          <w:color w:val="auto"/>
          <w:highlight w:val="none"/>
        </w:rPr>
        <w:t>第六章  投标文件格式</w:t>
      </w:r>
      <w:bookmarkEnd w:id="164"/>
      <w:bookmarkEnd w:id="165"/>
      <w:bookmarkEnd w:id="166"/>
    </w:p>
    <w:p>
      <w:pPr>
        <w:snapToGrid w:val="0"/>
        <w:spacing w:before="120" w:beforeLines="50" w:after="50" w:line="360" w:lineRule="auto"/>
        <w:rPr>
          <w:rFonts w:ascii="宋体" w:hAnsi="宋体" w:cs="宋体"/>
          <w:b/>
          <w:bCs/>
          <w:color w:val="auto"/>
          <w:highlight w:val="none"/>
        </w:rPr>
      </w:pPr>
      <w:r>
        <w:rPr>
          <w:rFonts w:hint="eastAsia" w:ascii="宋体" w:hAnsi="宋体" w:cs="宋体"/>
          <w:b/>
          <w:bCs/>
          <w:color w:val="auto"/>
          <w:highlight w:val="none"/>
        </w:rPr>
        <w:t>1.封面格式：</w:t>
      </w:r>
    </w:p>
    <w:p>
      <w:pPr>
        <w:snapToGrid w:val="0"/>
        <w:spacing w:before="120" w:beforeLines="50" w:after="50" w:line="360" w:lineRule="auto"/>
        <w:ind w:firstLine="207" w:firstLineChars="98"/>
        <w:rPr>
          <w:rFonts w:ascii="宋体" w:hAnsi="宋体" w:cs="宋体"/>
          <w:b/>
          <w:bCs/>
          <w:color w:val="auto"/>
          <w:highlight w:val="none"/>
        </w:rPr>
      </w:pPr>
    </w:p>
    <w:p>
      <w:pPr>
        <w:snapToGrid w:val="0"/>
        <w:spacing w:before="120" w:beforeLines="50" w:after="50" w:line="360" w:lineRule="auto"/>
        <w:jc w:val="center"/>
        <w:rPr>
          <w:rFonts w:ascii="宋体" w:hAnsi="宋体" w:cs="宋体"/>
          <w:color w:val="auto"/>
          <w:highlight w:val="none"/>
        </w:rPr>
      </w:pPr>
      <w:r>
        <w:rPr>
          <w:rFonts w:hint="eastAsia" w:ascii="宋体" w:hAnsi="宋体" w:cs="宋体"/>
          <w:b/>
          <w:bCs/>
          <w:color w:val="auto"/>
          <w:highlight w:val="none"/>
        </w:rPr>
        <w:t xml:space="preserve">                                            正本/或副本</w:t>
      </w:r>
    </w:p>
    <w:p>
      <w:pPr>
        <w:snapToGrid w:val="0"/>
        <w:spacing w:before="120" w:beforeLines="50" w:after="50" w:line="360" w:lineRule="auto"/>
        <w:jc w:val="center"/>
        <w:rPr>
          <w:rFonts w:ascii="宋体" w:hAnsi="宋体" w:cs="宋体"/>
          <w:color w:val="auto"/>
          <w:highlight w:val="none"/>
        </w:rPr>
      </w:pPr>
      <w:r>
        <w:rPr>
          <w:rFonts w:hint="eastAsia" w:ascii="宋体" w:hAnsi="宋体" w:cs="宋体"/>
          <w:color w:val="auto"/>
          <w:highlight w:val="none"/>
        </w:rPr>
        <w:t>投 标 文 件（商务技术文件/报价文件）</w:t>
      </w:r>
    </w:p>
    <w:p>
      <w:pPr>
        <w:snapToGrid w:val="0"/>
        <w:spacing w:before="120" w:beforeLines="50" w:after="50" w:line="360" w:lineRule="auto"/>
        <w:ind w:firstLine="6054" w:firstLineChars="2883"/>
        <w:rPr>
          <w:rFonts w:ascii="宋体" w:hAnsi="宋体" w:cs="宋体"/>
          <w:color w:val="auto"/>
          <w:highlight w:val="none"/>
        </w:rPr>
      </w:pPr>
    </w:p>
    <w:p>
      <w:pPr>
        <w:snapToGrid w:val="0"/>
        <w:spacing w:before="120" w:beforeLines="50" w:after="50" w:line="360" w:lineRule="auto"/>
        <w:ind w:firstLine="945" w:firstLineChars="45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松阳县人民医院采购便捷彩色超声多普勒系统项目</w:t>
      </w:r>
    </w:p>
    <w:p>
      <w:pPr>
        <w:snapToGrid w:val="0"/>
        <w:spacing w:before="120" w:beforeLines="50" w:after="50"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 xml:space="preserve">     项目编号：</w:t>
      </w:r>
      <w:r>
        <w:rPr>
          <w:rFonts w:hint="eastAsia" w:ascii="宋体" w:hAnsi="宋体" w:cs="宋体"/>
          <w:color w:val="auto"/>
          <w:highlight w:val="none"/>
          <w:lang w:eastAsia="zh-CN"/>
        </w:rPr>
        <w:t>CBNB-20245179GLS</w:t>
      </w:r>
    </w:p>
    <w:p>
      <w:pPr>
        <w:snapToGrid w:val="0"/>
        <w:spacing w:before="120"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投标人名称（加盖公章）：</w:t>
      </w:r>
    </w:p>
    <w:p>
      <w:pPr>
        <w:snapToGrid w:val="0"/>
        <w:spacing w:before="120"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投标人地址：</w:t>
      </w:r>
    </w:p>
    <w:p>
      <w:pPr>
        <w:snapToGrid w:val="0"/>
        <w:spacing w:before="50" w:after="50" w:line="360" w:lineRule="auto"/>
        <w:outlineLvl w:val="1"/>
        <w:rPr>
          <w:rFonts w:ascii="宋体" w:hAnsi="宋体" w:cs="宋体"/>
          <w:color w:val="auto"/>
          <w:highlight w:val="none"/>
        </w:rPr>
      </w:pPr>
      <w:r>
        <w:rPr>
          <w:rFonts w:hint="eastAsia" w:ascii="宋体" w:hAnsi="宋体" w:cs="宋体"/>
          <w:color w:val="auto"/>
          <w:highlight w:val="none"/>
        </w:rPr>
        <w:t xml:space="preserve">                                                 </w:t>
      </w:r>
      <w:bookmarkStart w:id="167" w:name="_Toc23227"/>
      <w:bookmarkStart w:id="168" w:name="_Toc447886499"/>
      <w:bookmarkStart w:id="169" w:name="_Toc47388387"/>
      <w:bookmarkStart w:id="170" w:name="_Toc447886361"/>
      <w:r>
        <w:rPr>
          <w:rFonts w:hint="eastAsia" w:ascii="宋体" w:hAnsi="宋体" w:cs="宋体"/>
          <w:color w:val="auto"/>
          <w:highlight w:val="none"/>
        </w:rPr>
        <w:t>年  月  日</w:t>
      </w:r>
      <w:bookmarkEnd w:id="167"/>
      <w:bookmarkEnd w:id="168"/>
      <w:bookmarkEnd w:id="169"/>
      <w:bookmarkEnd w:id="170"/>
    </w:p>
    <w:p>
      <w:pPr>
        <w:snapToGrid w:val="0"/>
        <w:spacing w:before="120" w:beforeLines="50" w:after="50"/>
        <w:rPr>
          <w:rFonts w:ascii="宋体" w:hAnsi="宋体" w:cs="宋体"/>
          <w:color w:val="auto"/>
          <w:highlight w:val="none"/>
        </w:rPr>
      </w:pPr>
    </w:p>
    <w:p>
      <w:pPr>
        <w:snapToGrid w:val="0"/>
        <w:spacing w:before="120" w:beforeLines="50" w:after="50"/>
        <w:jc w:val="cente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color w:val="auto"/>
          <w:highlight w:val="none"/>
        </w:rPr>
        <w:t>注：联合体投标的，可只由联合体牵头人盖章。</w:t>
      </w:r>
    </w:p>
    <w:p>
      <w:pPr>
        <w:snapToGrid w:val="0"/>
        <w:spacing w:before="120" w:beforeLines="50" w:after="50"/>
        <w:rPr>
          <w:rFonts w:ascii="宋体" w:hAnsi="宋体" w:cs="宋体"/>
          <w:b/>
          <w:bCs/>
          <w:color w:val="auto"/>
          <w:highlight w:val="none"/>
        </w:rPr>
      </w:pPr>
      <w:r>
        <w:rPr>
          <w:rFonts w:hint="eastAsia" w:ascii="宋体" w:hAnsi="宋体" w:cs="宋体"/>
          <w:b/>
          <w:bCs/>
          <w:color w:val="auto"/>
          <w:highlight w:val="none"/>
        </w:rPr>
        <w:t>一、报价文件</w:t>
      </w:r>
    </w:p>
    <w:p>
      <w:pPr>
        <w:snapToGrid w:val="0"/>
        <w:spacing w:before="120" w:beforeLines="50" w:after="50"/>
        <w:rPr>
          <w:rFonts w:ascii="宋体" w:hAnsi="宋体" w:cs="宋体"/>
          <w:color w:val="auto"/>
          <w:highlight w:val="none"/>
        </w:rPr>
      </w:pPr>
      <w:r>
        <w:rPr>
          <w:rFonts w:hint="eastAsia" w:ascii="宋体" w:hAnsi="宋体" w:cs="宋体"/>
          <w:color w:val="auto"/>
          <w:highlight w:val="none"/>
        </w:rPr>
        <w:t>（1）投标函</w:t>
      </w:r>
    </w:p>
    <w:p>
      <w:pPr>
        <w:pStyle w:val="19"/>
        <w:widowControl/>
        <w:spacing w:line="360" w:lineRule="auto"/>
        <w:ind w:firstLine="0"/>
        <w:jc w:val="center"/>
        <w:rPr>
          <w:rFonts w:hAnsi="宋体"/>
          <w:b/>
          <w:bCs/>
          <w:color w:val="auto"/>
          <w:sz w:val="24"/>
          <w:szCs w:val="24"/>
          <w:highlight w:val="none"/>
        </w:rPr>
      </w:pPr>
      <w:r>
        <w:rPr>
          <w:rFonts w:hint="eastAsia" w:hAnsi="宋体"/>
          <w:b/>
          <w:bCs/>
          <w:color w:val="auto"/>
          <w:sz w:val="24"/>
          <w:szCs w:val="24"/>
          <w:highlight w:val="none"/>
        </w:rPr>
        <w:t>投标函</w:t>
      </w:r>
    </w:p>
    <w:p>
      <w:pPr>
        <w:pStyle w:val="19"/>
        <w:widowControl/>
        <w:spacing w:line="360" w:lineRule="auto"/>
        <w:ind w:firstLine="0"/>
        <w:jc w:val="center"/>
        <w:rPr>
          <w:rFonts w:hAnsi="宋体"/>
          <w:b/>
          <w:bCs/>
          <w:color w:val="auto"/>
          <w:sz w:val="24"/>
          <w:szCs w:val="24"/>
          <w:highlight w:val="none"/>
        </w:rPr>
      </w:pP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u w:val="single"/>
        </w:rPr>
        <w:t>致（采购代理机构）</w:t>
      </w:r>
      <w:r>
        <w:rPr>
          <w:rFonts w:hint="eastAsia" w:hAnsi="宋体"/>
          <w:color w:val="auto"/>
          <w:sz w:val="21"/>
          <w:szCs w:val="21"/>
          <w:highlight w:val="none"/>
        </w:rPr>
        <w:t>：</w:t>
      </w:r>
    </w:p>
    <w:p>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（投标人全称）</w:t>
      </w:r>
      <w:r>
        <w:rPr>
          <w:rFonts w:hint="eastAsia" w:hAnsi="宋体"/>
          <w:color w:val="auto"/>
          <w:sz w:val="21"/>
          <w:szCs w:val="21"/>
          <w:highlight w:val="none"/>
        </w:rPr>
        <w:t>授权</w:t>
      </w:r>
      <w:r>
        <w:rPr>
          <w:rFonts w:hint="eastAsia" w:hAnsi="宋体"/>
          <w:color w:val="auto"/>
          <w:sz w:val="21"/>
          <w:szCs w:val="21"/>
          <w:highlight w:val="none"/>
          <w:u w:val="single"/>
        </w:rPr>
        <w:t xml:space="preserve">（授权代表姓名、职务） </w:t>
      </w:r>
      <w:r>
        <w:rPr>
          <w:rFonts w:hint="eastAsia" w:hAnsi="宋体"/>
          <w:color w:val="auto"/>
          <w:sz w:val="21"/>
          <w:szCs w:val="21"/>
          <w:highlight w:val="none"/>
        </w:rPr>
        <w:t>为本公司（单位）合法代理人，参加贵方组织的</w:t>
      </w:r>
      <w:r>
        <w:rPr>
          <w:rFonts w:hint="eastAsia" w:hAnsi="宋体"/>
          <w:color w:val="auto"/>
          <w:sz w:val="21"/>
          <w:szCs w:val="21"/>
          <w:highlight w:val="none"/>
          <w:u w:val="single"/>
        </w:rPr>
        <w:t xml:space="preserve">（项目编号、项目名称） </w:t>
      </w:r>
      <w:r>
        <w:rPr>
          <w:rFonts w:hint="eastAsia" w:hAnsi="宋体"/>
          <w:color w:val="auto"/>
          <w:sz w:val="21"/>
          <w:szCs w:val="21"/>
          <w:highlight w:val="none"/>
        </w:rPr>
        <w:t>招投标活动，代表本公司（单位）处理招投标活动中的一切事宜，为对</w:t>
      </w:r>
      <w:r>
        <w:rPr>
          <w:rFonts w:hint="eastAsia" w:hAnsi="宋体"/>
          <w:color w:val="auto"/>
          <w:sz w:val="21"/>
          <w:szCs w:val="21"/>
          <w:highlight w:val="none"/>
          <w:u w:val="single"/>
        </w:rPr>
        <w:t>（货物名称）</w:t>
      </w:r>
      <w:r>
        <w:rPr>
          <w:rFonts w:hint="eastAsia" w:hAnsi="宋体"/>
          <w:color w:val="auto"/>
          <w:sz w:val="21"/>
          <w:szCs w:val="21"/>
          <w:highlight w:val="none"/>
        </w:rPr>
        <w:t>进行投标，在此：</w:t>
      </w: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1、提供招标文件中“投标须知”规定的全部投标文件：报价文件、资格证明文件及商务技术文件；</w:t>
      </w:r>
    </w:p>
    <w:p>
      <w:pPr>
        <w:pStyle w:val="19"/>
        <w:widowControl/>
        <w:numPr>
          <w:ilvl w:val="0"/>
          <w:numId w:val="17"/>
        </w:numPr>
        <w:spacing w:line="360" w:lineRule="auto"/>
        <w:ind w:firstLine="0"/>
        <w:jc w:val="left"/>
        <w:rPr>
          <w:rFonts w:hAnsi="宋体"/>
          <w:color w:val="auto"/>
          <w:sz w:val="21"/>
          <w:szCs w:val="21"/>
          <w:highlight w:val="none"/>
        </w:rPr>
      </w:pPr>
      <w:r>
        <w:rPr>
          <w:rFonts w:hint="eastAsia" w:hAnsi="宋体"/>
          <w:color w:val="auto"/>
          <w:sz w:val="21"/>
          <w:szCs w:val="21"/>
          <w:highlight w:val="none"/>
        </w:rPr>
        <w:t>据此函，签字代表宣布并承诺如下：</w:t>
      </w: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pPr>
        <w:pStyle w:val="19"/>
        <w:widowControl/>
        <w:numPr>
          <w:ilvl w:val="0"/>
          <w:numId w:val="18"/>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本投标自开标之日起</w:t>
      </w:r>
      <w:r>
        <w:rPr>
          <w:rFonts w:hint="eastAsia" w:hAnsi="宋体"/>
          <w:color w:val="auto"/>
          <w:sz w:val="21"/>
          <w:szCs w:val="21"/>
          <w:highlight w:val="none"/>
          <w:u w:val="single"/>
        </w:rPr>
        <w:t>90</w:t>
      </w:r>
      <w:r>
        <w:rPr>
          <w:rFonts w:hint="eastAsia" w:hAnsi="宋体"/>
          <w:color w:val="auto"/>
          <w:sz w:val="21"/>
          <w:szCs w:val="21"/>
          <w:highlight w:val="none"/>
        </w:rPr>
        <w:t>天内有效。</w:t>
      </w:r>
    </w:p>
    <w:p>
      <w:pPr>
        <w:pStyle w:val="19"/>
        <w:widowControl/>
        <w:numPr>
          <w:ilvl w:val="0"/>
          <w:numId w:val="18"/>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pPr>
        <w:pStyle w:val="19"/>
        <w:widowControl/>
        <w:numPr>
          <w:ilvl w:val="0"/>
          <w:numId w:val="18"/>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保证在中标后忠实地执行与采购人所签署的合同，并承担合同规定的责任义务。保证在中标后按照招标文件的规定支付招标服务费。</w:t>
      </w:r>
    </w:p>
    <w:p>
      <w:pPr>
        <w:pStyle w:val="19"/>
        <w:widowControl/>
        <w:numPr>
          <w:ilvl w:val="0"/>
          <w:numId w:val="18"/>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承诺应贵方要求提供任何与该项目投标有关的数据、情况和技术资料。</w:t>
      </w:r>
    </w:p>
    <w:p>
      <w:pPr>
        <w:pStyle w:val="19"/>
        <w:widowControl/>
        <w:numPr>
          <w:ilvl w:val="0"/>
          <w:numId w:val="18"/>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我们承诺，与为采购人采购本次招标的货物进行设计、编制规范和其他文件所委托的咨询公司或其附属机构无任何直接或间接的关联。</w:t>
      </w:r>
    </w:p>
    <w:p>
      <w:pPr>
        <w:pStyle w:val="19"/>
        <w:widowControl/>
        <w:numPr>
          <w:ilvl w:val="0"/>
          <w:numId w:val="18"/>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投标人已详细审查并理解全部招标文件，已完全明确招标文件中的全部内容。如有违反，愿意接受监管机构相应的处理。</w:t>
      </w: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4、与本投标有关的一切往来通讯请寄：</w:t>
      </w:r>
    </w:p>
    <w:p>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地址：</w:t>
      </w:r>
      <w:r>
        <w:rPr>
          <w:rFonts w:hint="eastAsia" w:hAnsi="宋体"/>
          <w:color w:val="auto"/>
          <w:sz w:val="21"/>
          <w:szCs w:val="21"/>
          <w:highlight w:val="none"/>
          <w:u w:val="single"/>
        </w:rPr>
        <w:t xml:space="preserve">                                                   </w:t>
      </w:r>
    </w:p>
    <w:p>
      <w:pPr>
        <w:pStyle w:val="19"/>
        <w:widowControl/>
        <w:spacing w:line="360" w:lineRule="auto"/>
        <w:jc w:val="left"/>
        <w:rPr>
          <w:rFonts w:hAnsi="宋体"/>
          <w:color w:val="auto"/>
          <w:sz w:val="21"/>
          <w:szCs w:val="21"/>
          <w:highlight w:val="none"/>
          <w:u w:val="single"/>
        </w:rPr>
      </w:pPr>
      <w:r>
        <w:rPr>
          <w:rFonts w:hint="eastAsia" w:hAnsi="宋体"/>
          <w:color w:val="auto"/>
          <w:sz w:val="21"/>
          <w:szCs w:val="21"/>
          <w:highlight w:val="none"/>
        </w:rPr>
        <w:t>邮编：</w:t>
      </w:r>
      <w:r>
        <w:rPr>
          <w:rFonts w:hint="eastAsia" w:hAnsi="宋体"/>
          <w:color w:val="auto"/>
          <w:sz w:val="21"/>
          <w:szCs w:val="21"/>
          <w:highlight w:val="none"/>
          <w:u w:val="single"/>
        </w:rPr>
        <w:t xml:space="preserve">            </w:t>
      </w:r>
      <w:r>
        <w:rPr>
          <w:rFonts w:hint="eastAsia" w:hAnsi="宋体"/>
          <w:color w:val="auto"/>
          <w:sz w:val="21"/>
          <w:szCs w:val="21"/>
          <w:highlight w:val="none"/>
        </w:rPr>
        <w:t>电话：</w:t>
      </w:r>
      <w:r>
        <w:rPr>
          <w:rFonts w:hint="eastAsia" w:hAnsi="宋体"/>
          <w:color w:val="auto"/>
          <w:sz w:val="21"/>
          <w:szCs w:val="21"/>
          <w:highlight w:val="none"/>
          <w:u w:val="single"/>
        </w:rPr>
        <w:t xml:space="preserve">              </w:t>
      </w:r>
      <w:r>
        <w:rPr>
          <w:rFonts w:hint="eastAsia" w:hAnsi="宋体"/>
          <w:color w:val="auto"/>
          <w:sz w:val="21"/>
          <w:szCs w:val="21"/>
          <w:highlight w:val="none"/>
        </w:rPr>
        <w:t>传真：</w:t>
      </w:r>
      <w:r>
        <w:rPr>
          <w:rFonts w:hint="eastAsia" w:hAnsi="宋体"/>
          <w:color w:val="auto"/>
          <w:sz w:val="21"/>
          <w:szCs w:val="21"/>
          <w:highlight w:val="none"/>
          <w:u w:val="single"/>
        </w:rPr>
        <w:t xml:space="preserve">             </w:t>
      </w:r>
    </w:p>
    <w:p>
      <w:pPr>
        <w:pStyle w:val="19"/>
        <w:widowControl/>
        <w:spacing w:line="360" w:lineRule="auto"/>
        <w:jc w:val="left"/>
        <w:rPr>
          <w:rFonts w:hAnsi="宋体"/>
          <w:color w:val="auto"/>
          <w:sz w:val="21"/>
          <w:szCs w:val="21"/>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pPr>
        <w:snapToGrid w:val="0"/>
        <w:spacing w:before="50" w:after="5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（2）开标一览表</w:t>
      </w:r>
    </w:p>
    <w:p>
      <w:pPr>
        <w:snapToGrid w:val="0"/>
        <w:spacing w:before="50" w:after="50" w:line="360" w:lineRule="auto"/>
        <w:jc w:val="center"/>
        <w:rPr>
          <w:rFonts w:ascii="宋体" w:hAnsi="宋体" w:cs="宋体"/>
          <w:b/>
          <w:bCs/>
          <w:color w:val="auto"/>
          <w:highlight w:val="none"/>
        </w:rPr>
      </w:pPr>
      <w:r>
        <w:rPr>
          <w:rFonts w:hint="eastAsia" w:ascii="宋体" w:hAnsi="宋体" w:cs="宋体"/>
          <w:b/>
          <w:bCs/>
          <w:color w:val="auto"/>
          <w:highlight w:val="none"/>
        </w:rPr>
        <w:t>开标一览表</w:t>
      </w:r>
    </w:p>
    <w:p>
      <w:pPr>
        <w:snapToGrid w:val="0"/>
        <w:spacing w:before="50" w:after="50" w:line="360" w:lineRule="auto"/>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r>
        <w:rPr>
          <w:rFonts w:hint="eastAsia" w:ascii="宋体" w:hAnsi="宋体" w:cs="宋体"/>
          <w:color w:val="auto"/>
          <w:highlight w:val="none"/>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1584"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采购标的名称</w:t>
            </w:r>
          </w:p>
        </w:tc>
        <w:tc>
          <w:tcPr>
            <w:tcW w:w="266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w:t>
            </w:r>
          </w:p>
        </w:tc>
        <w:tc>
          <w:tcPr>
            <w:tcW w:w="1584" w:type="pct"/>
            <w:vAlign w:val="center"/>
          </w:tcPr>
          <w:p>
            <w:pPr>
              <w:spacing w:line="400" w:lineRule="exact"/>
              <w:jc w:val="center"/>
              <w:rPr>
                <w:rFonts w:ascii="宋体" w:hAnsi="宋体" w:cs="宋体"/>
                <w:color w:val="auto"/>
                <w:highlight w:val="none"/>
              </w:rPr>
            </w:pPr>
          </w:p>
        </w:tc>
        <w:tc>
          <w:tcPr>
            <w:tcW w:w="2668" w:type="pct"/>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投标总价</w:t>
            </w:r>
          </w:p>
        </w:tc>
        <w:tc>
          <w:tcPr>
            <w:tcW w:w="266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大写：</w:t>
            </w:r>
          </w:p>
          <w:p>
            <w:pPr>
              <w:pStyle w:val="18"/>
              <w:jc w:val="center"/>
              <w:rPr>
                <w:rFonts w:ascii="宋体" w:hAnsi="宋体" w:cs="宋体"/>
                <w:color w:val="auto"/>
                <w:highlight w:val="none"/>
              </w:rPr>
            </w:pPr>
            <w:r>
              <w:rPr>
                <w:rFonts w:hint="eastAsia" w:ascii="宋体" w:hAnsi="宋体" w:cs="宋体"/>
                <w:color w:val="auto"/>
                <w:sz w:val="21"/>
                <w:szCs w:val="21"/>
                <w:highlight w:val="none"/>
              </w:rPr>
              <w:t>小写：</w:t>
            </w:r>
          </w:p>
        </w:tc>
      </w:tr>
    </w:tbl>
    <w:p>
      <w:pPr>
        <w:snapToGrid w:val="0"/>
        <w:spacing w:before="50" w:after="50" w:line="360" w:lineRule="auto"/>
        <w:rPr>
          <w:rFonts w:ascii="宋体" w:hAnsi="宋体" w:cs="宋体"/>
          <w:color w:val="auto"/>
          <w:highlight w:val="none"/>
        </w:rPr>
      </w:pPr>
    </w:p>
    <w:p>
      <w:pPr>
        <w:snapToGrid w:val="0"/>
        <w:spacing w:before="50" w:after="50" w:line="360" w:lineRule="auto"/>
        <w:rPr>
          <w:rFonts w:ascii="宋体" w:hAnsi="宋体" w:cs="宋体"/>
          <w:color w:val="auto"/>
          <w:highlight w:val="none"/>
        </w:rPr>
      </w:pPr>
      <w:r>
        <w:rPr>
          <w:rFonts w:hint="eastAsia" w:ascii="宋体" w:hAnsi="宋体" w:cs="宋体"/>
          <w:color w:val="auto"/>
          <w:highlight w:val="none"/>
        </w:rPr>
        <w:t xml:space="preserve">                    </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color w:val="auto"/>
          <w:highlight w:val="none"/>
        </w:rPr>
      </w:pPr>
    </w:p>
    <w:p>
      <w:pPr>
        <w:snapToGrid w:val="0"/>
        <w:spacing w:line="360" w:lineRule="auto"/>
        <w:ind w:left="-21" w:leftChars="-72" w:right="-817" w:rightChars="-389" w:hanging="130" w:hangingChars="62"/>
        <w:rPr>
          <w:rFonts w:ascii="宋体" w:hAnsi="宋体" w:cs="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pStyle w:val="24"/>
        <w:tabs>
          <w:tab w:val="left" w:pos="2472"/>
        </w:tabs>
        <w:snapToGrid w:val="0"/>
        <w:spacing w:beforeLines="0" w:afterLines="0" w:line="360" w:lineRule="auto"/>
        <w:jc w:val="left"/>
        <w:rPr>
          <w:rFonts w:hAnsi="宋体"/>
          <w:color w:val="auto"/>
          <w:highlight w:val="none"/>
        </w:rPr>
      </w:pPr>
      <w:r>
        <w:rPr>
          <w:rFonts w:hint="eastAsia" w:hAnsi="宋体"/>
          <w:color w:val="auto"/>
          <w:sz w:val="21"/>
          <w:szCs w:val="21"/>
          <w:highlight w:val="none"/>
        </w:rPr>
        <w:t>日期:_____年___月___日</w:t>
      </w:r>
    </w:p>
    <w:p>
      <w:pPr>
        <w:pStyle w:val="18"/>
        <w:rPr>
          <w:rFonts w:ascii="宋体" w:hAnsi="宋体" w:cs="宋体"/>
          <w:color w:val="auto"/>
          <w:highlight w:val="none"/>
        </w:rPr>
      </w:pPr>
    </w:p>
    <w:p>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pPr>
        <w:pStyle w:val="24"/>
        <w:snapToGrid w:val="0"/>
        <w:spacing w:beforeLines="0" w:afterLines="0" w:line="240" w:lineRule="auto"/>
        <w:rPr>
          <w:rFonts w:hAnsi="宋体"/>
          <w:color w:val="auto"/>
          <w:sz w:val="21"/>
          <w:szCs w:val="21"/>
          <w:highlight w:val="none"/>
        </w:rPr>
      </w:pPr>
      <w:r>
        <w:rPr>
          <w:rFonts w:hint="eastAsia" w:hAnsi="宋体"/>
          <w:color w:val="auto"/>
          <w:sz w:val="21"/>
          <w:szCs w:val="21"/>
          <w:highlight w:val="none"/>
        </w:rPr>
        <w:br w:type="page"/>
      </w:r>
      <w:r>
        <w:rPr>
          <w:rFonts w:hint="eastAsia" w:hAnsi="宋体"/>
          <w:color w:val="auto"/>
          <w:sz w:val="21"/>
          <w:szCs w:val="21"/>
          <w:highlight w:val="none"/>
        </w:rPr>
        <w:t xml:space="preserve">（3）投标报价明细表       </w:t>
      </w:r>
    </w:p>
    <w:p>
      <w:pPr>
        <w:pStyle w:val="24"/>
        <w:snapToGrid w:val="0"/>
        <w:spacing w:beforeLines="0" w:afterLines="0" w:line="240" w:lineRule="auto"/>
        <w:jc w:val="center"/>
        <w:rPr>
          <w:rFonts w:hAnsi="宋体"/>
          <w:color w:val="auto"/>
          <w:sz w:val="21"/>
          <w:szCs w:val="21"/>
          <w:highlight w:val="none"/>
        </w:rPr>
      </w:pPr>
      <w:r>
        <w:rPr>
          <w:rFonts w:hint="eastAsia" w:hAnsi="宋体"/>
          <w:b/>
          <w:bCs/>
          <w:color w:val="auto"/>
          <w:sz w:val="21"/>
          <w:szCs w:val="21"/>
          <w:highlight w:val="none"/>
        </w:rPr>
        <w:t>设备报价明细表</w:t>
      </w:r>
    </w:p>
    <w:p>
      <w:pPr>
        <w:pStyle w:val="24"/>
        <w:snapToGrid w:val="0"/>
        <w:spacing w:beforeLines="0" w:afterLines="0"/>
        <w:jc w:val="left"/>
        <w:rPr>
          <w:rFonts w:hAnsi="宋体"/>
          <w:color w:val="auto"/>
          <w:sz w:val="21"/>
          <w:szCs w:val="21"/>
          <w:highlight w:val="none"/>
        </w:rPr>
      </w:pPr>
      <w:r>
        <w:rPr>
          <w:rFonts w:hint="eastAsia" w:hAnsi="宋体"/>
          <w:color w:val="auto"/>
          <w:sz w:val="21"/>
          <w:szCs w:val="21"/>
          <w:highlight w:val="none"/>
        </w:rPr>
        <w:t>项目编号：</w:t>
      </w:r>
      <w:r>
        <w:rPr>
          <w:rFonts w:hint="eastAsia" w:hAnsi="宋体"/>
          <w:color w:val="auto"/>
          <w:sz w:val="21"/>
          <w:szCs w:val="21"/>
          <w:highlight w:val="none"/>
          <w:u w:val="single"/>
        </w:rPr>
        <w:t xml:space="preserve">                     </w:t>
      </w:r>
      <w:r>
        <w:rPr>
          <w:rFonts w:hint="eastAsia" w:hAnsi="宋体"/>
          <w:color w:val="auto"/>
          <w:sz w:val="21"/>
          <w:szCs w:val="21"/>
          <w:highlight w:val="none"/>
        </w:rPr>
        <w:t>项目名称：</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设备名称</w:t>
            </w:r>
          </w:p>
        </w:tc>
        <w:tc>
          <w:tcPr>
            <w:tcW w:w="1023" w:type="dxa"/>
            <w:tcBorders>
              <w:tl2br w:val="nil"/>
              <w:tr2bl w:val="nil"/>
            </w:tcBorders>
            <w:vAlign w:val="center"/>
          </w:tcPr>
          <w:p>
            <w:pPr>
              <w:pStyle w:val="252"/>
              <w:snapToGrid w:val="0"/>
              <w:spacing w:before="50" w:after="5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b/>
                <w:bCs/>
                <w:color w:val="auto"/>
                <w:spacing w:val="20"/>
                <w:highlight w:val="none"/>
              </w:rPr>
              <w:t>专用耗材</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hAnsi="宋体" w:cs="宋体"/>
                <w:b/>
                <w:bCs/>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设备报价合计</w:t>
            </w:r>
            <w:r>
              <w:rPr>
                <w:rFonts w:hint="eastAsia" w:ascii="宋体" w:hAnsi="宋体" w:cs="宋体"/>
                <w:color w:val="auto"/>
                <w:highlight w:val="none"/>
              </w:rPr>
              <w:t>（元）</w:t>
            </w: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bl>
    <w:p>
      <w:pPr>
        <w:snapToGrid w:val="0"/>
        <w:spacing w:line="360" w:lineRule="auto"/>
        <w:ind w:firstLine="420" w:firstLineChars="200"/>
        <w:jc w:val="left"/>
        <w:rPr>
          <w:rFonts w:ascii="宋体" w:hAnsi="宋体" w:cs="宋体"/>
          <w:color w:val="auto"/>
          <w:highlight w:val="none"/>
        </w:rPr>
      </w:pP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分别报出每台设备的金额。</w:t>
      </w:r>
    </w:p>
    <w:p>
      <w:pPr>
        <w:tabs>
          <w:tab w:val="left" w:pos="1418"/>
        </w:tabs>
        <w:snapToGrid w:val="0"/>
        <w:spacing w:before="50" w:after="50"/>
        <w:ind w:left="1418" w:hanging="567"/>
        <w:jc w:val="center"/>
        <w:rPr>
          <w:rFonts w:ascii="宋体" w:hAnsi="宋体" w:cs="宋体"/>
          <w:color w:val="auto"/>
          <w:spacing w:val="20"/>
          <w:highlight w:val="none"/>
          <w:u w:val="singl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50" w:after="50"/>
        <w:rPr>
          <w:rFonts w:ascii="宋体" w:hAnsi="宋体" w:cs="宋体"/>
          <w:color w:val="auto"/>
          <w:spacing w:val="20"/>
          <w:highlight w:val="none"/>
          <w:u w:val="single"/>
        </w:rPr>
      </w:pPr>
      <w:r>
        <w:rPr>
          <w:rFonts w:hint="eastAsia" w:ascii="宋体" w:hAnsi="宋体" w:cs="宋体"/>
          <w:color w:val="auto"/>
          <w:highlight w:val="none"/>
        </w:rPr>
        <w:t>日期:_____年___月___日</w:t>
      </w:r>
    </w:p>
    <w:p>
      <w:pPr>
        <w:pStyle w:val="24"/>
        <w:snapToGrid w:val="0"/>
        <w:spacing w:beforeLines="0" w:afterLines="0" w:line="240" w:lineRule="auto"/>
        <w:rPr>
          <w:rFonts w:hAnsi="宋体"/>
          <w:color w:val="auto"/>
          <w:sz w:val="21"/>
          <w:szCs w:val="21"/>
          <w:highlight w:val="none"/>
        </w:rPr>
      </w:pPr>
    </w:p>
    <w:p>
      <w:pPr>
        <w:pStyle w:val="19"/>
        <w:spacing w:line="520" w:lineRule="exact"/>
        <w:ind w:firstLine="0"/>
        <w:jc w:val="left"/>
        <w:rPr>
          <w:rFonts w:hAnsi="宋体"/>
          <w:b/>
          <w:color w:val="auto"/>
          <w:sz w:val="21"/>
          <w:szCs w:val="21"/>
          <w:highlight w:val="none"/>
        </w:rPr>
      </w:pPr>
      <w:r>
        <w:rPr>
          <w:rFonts w:hint="eastAsia" w:hAnsi="宋体"/>
          <w:b/>
          <w:color w:val="auto"/>
          <w:sz w:val="21"/>
          <w:szCs w:val="21"/>
          <w:highlight w:val="none"/>
        </w:rPr>
        <w:t>注：联合体投标的，可只由联合体牵头人盖章。</w:t>
      </w:r>
    </w:p>
    <w:p>
      <w:pPr>
        <w:rPr>
          <w:rFonts w:ascii="宋体" w:hAnsi="宋体" w:cs="宋体"/>
          <w:b/>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pStyle w:val="47"/>
        <w:ind w:left="0" w:leftChars="0" w:firstLine="0" w:firstLineChars="0"/>
        <w:rPr>
          <w:rFonts w:ascii="宋体" w:hAnsi="宋体" w:cs="宋体"/>
          <w:b/>
          <w:color w:val="auto"/>
          <w:highlight w:val="none"/>
        </w:rPr>
      </w:pPr>
    </w:p>
    <w:p>
      <w:pP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）投标人针对报价需要说明的其他文件和说明。</w:t>
      </w:r>
    </w:p>
    <w:p>
      <w:pPr>
        <w:spacing w:line="360" w:lineRule="auto"/>
        <w:rPr>
          <w:rFonts w:ascii="宋体" w:hAnsi="宋体" w:cs="宋体"/>
          <w:b/>
          <w:bCs/>
          <w:color w:val="auto"/>
          <w:highlight w:val="none"/>
        </w:rPr>
      </w:pPr>
      <w:r>
        <w:rPr>
          <w:rFonts w:hint="eastAsia" w:ascii="宋体" w:hAnsi="宋体" w:cs="宋体"/>
          <w:b/>
          <w:bCs/>
          <w:color w:val="auto"/>
          <w:highlight w:val="none"/>
        </w:rPr>
        <w:t>二、资格证明文件</w:t>
      </w:r>
    </w:p>
    <w:p>
      <w:pPr>
        <w:outlineLvl w:val="2"/>
        <w:rPr>
          <w:rFonts w:ascii="宋体" w:hAnsi="宋体" w:cs="宋体"/>
          <w:b/>
          <w:bCs/>
          <w:color w:val="auto"/>
          <w:highlight w:val="none"/>
        </w:rPr>
      </w:pPr>
      <w:bookmarkStart w:id="171" w:name="_Toc275865606"/>
      <w:r>
        <w:rPr>
          <w:rFonts w:hint="eastAsia" w:ascii="宋体" w:hAnsi="宋体" w:cs="宋体"/>
          <w:b/>
          <w:bCs/>
          <w:color w:val="auto"/>
          <w:highlight w:val="none"/>
        </w:rPr>
        <w:t>（1）投标人的营业执照副本复印件</w:t>
      </w:r>
    </w:p>
    <w:p>
      <w:pPr>
        <w:outlineLvl w:val="2"/>
        <w:rPr>
          <w:rFonts w:ascii="宋体" w:hAnsi="宋体" w:cs="宋体"/>
          <w:b/>
          <w:bCs/>
          <w:color w:val="auto"/>
          <w:highlight w:val="none"/>
        </w:rPr>
      </w:pPr>
    </w:p>
    <w:p>
      <w:pPr>
        <w:outlineLvl w:val="2"/>
        <w:rPr>
          <w:rFonts w:ascii="宋体" w:hAnsi="宋体" w:cs="宋体"/>
          <w:b/>
          <w:bCs/>
          <w:color w:val="auto"/>
          <w:highlight w:val="none"/>
        </w:rPr>
      </w:pPr>
    </w:p>
    <w:p>
      <w:pPr>
        <w:outlineLvl w:val="2"/>
        <w:rPr>
          <w:rFonts w:ascii="宋体" w:hAnsi="宋体" w:cs="宋体"/>
          <w:b/>
          <w:bCs/>
          <w:color w:val="auto"/>
          <w:highlight w:val="none"/>
        </w:rPr>
      </w:pPr>
      <w:r>
        <w:rPr>
          <w:rFonts w:hint="eastAsia" w:ascii="宋体" w:hAnsi="宋体" w:cs="宋体"/>
          <w:b/>
          <w:bCs/>
          <w:color w:val="auto"/>
          <w:highlight w:val="none"/>
        </w:rPr>
        <w:t>（2）投标人资格声明函</w:t>
      </w:r>
    </w:p>
    <w:p>
      <w:pPr>
        <w:jc w:val="center"/>
        <w:outlineLvl w:val="2"/>
        <w:rPr>
          <w:rFonts w:ascii="宋体" w:hAnsi="宋体" w:cs="宋体"/>
          <w:b/>
          <w:bCs/>
          <w:color w:val="auto"/>
          <w:highlight w:val="none"/>
        </w:rPr>
      </w:pPr>
      <w:r>
        <w:rPr>
          <w:rFonts w:hint="eastAsia" w:ascii="宋体" w:hAnsi="宋体" w:cs="宋体"/>
          <w:b/>
          <w:bCs/>
          <w:color w:val="auto"/>
          <w:highlight w:val="none"/>
        </w:rPr>
        <w:t>投标人资格声明函</w:t>
      </w:r>
      <w:bookmarkEnd w:id="171"/>
    </w:p>
    <w:p>
      <w:pPr>
        <w:rPr>
          <w:rFonts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宁波中基国际招标有限公司：</w:t>
      </w:r>
    </w:p>
    <w:p>
      <w:pPr>
        <w:numPr>
          <w:ilvl w:val="0"/>
          <w:numId w:val="19"/>
        </w:num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我方具备《中华人民共和国政府采购法》第二十二条规定资格条件：</w:t>
      </w:r>
    </w:p>
    <w:p>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3、我方不是本采购项目提供整体设计、规范编制或者项目管理、监理、检测等服务的供应商。</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bCs/>
          <w:color w:val="auto"/>
          <w:highlight w:val="none"/>
        </w:rPr>
      </w:pPr>
      <w:r>
        <w:rPr>
          <w:rFonts w:hint="eastAsia" w:ascii="宋体" w:hAnsi="宋体" w:cs="宋体"/>
          <w:color w:val="auto"/>
          <w:highlight w:val="none"/>
        </w:rPr>
        <w:t>我方对上述声明的真实性负责。本次招标采购活动中，如有违法、违规、弄虚作假行为，所造成的损失、不良后果及法律责任，一律由我我方承担</w:t>
      </w:r>
    </w:p>
    <w:p>
      <w:pPr>
        <w:spacing w:line="360" w:lineRule="auto"/>
        <w:rPr>
          <w:rFonts w:ascii="宋体" w:hAnsi="宋体" w:cs="宋体"/>
          <w:b/>
          <w:bCs/>
          <w:color w:val="auto"/>
          <w:highlight w:val="none"/>
        </w:rPr>
      </w:pPr>
    </w:p>
    <w:p>
      <w:pPr>
        <w:spacing w:line="360" w:lineRule="auto"/>
        <w:ind w:firstLine="420"/>
        <w:rPr>
          <w:rFonts w:ascii="宋体" w:hAnsi="宋体" w:cs="宋体"/>
          <w:b/>
          <w:bCs/>
          <w:color w:val="auto"/>
          <w:highlight w:val="none"/>
        </w:rPr>
      </w:pPr>
      <w:r>
        <w:rPr>
          <w:rFonts w:hint="eastAsia" w:ascii="宋体" w:hAnsi="宋体" w:cs="宋体"/>
          <w:b/>
          <w:bCs/>
          <w:color w:val="auto"/>
          <w:highlight w:val="none"/>
        </w:rPr>
        <w:t>特此声明！</w:t>
      </w:r>
    </w:p>
    <w:p>
      <w:pPr>
        <w:adjustRightInd w:val="0"/>
        <w:snapToGrid w:val="0"/>
        <w:spacing w:line="360" w:lineRule="auto"/>
        <w:ind w:left="425"/>
        <w:rPr>
          <w:rFonts w:ascii="宋体" w:hAnsi="宋体" w:cs="宋体"/>
          <w:color w:val="auto"/>
          <w:spacing w:val="4"/>
          <w:highlight w:val="none"/>
        </w:rPr>
      </w:pPr>
    </w:p>
    <w:p>
      <w:pPr>
        <w:spacing w:line="360" w:lineRule="auto"/>
        <w:ind w:firstLine="3675" w:firstLineChars="1750"/>
        <w:rPr>
          <w:rFonts w:ascii="宋体" w:hAnsi="宋体" w:cs="宋体"/>
          <w:color w:val="auto"/>
          <w:highlight w:val="none"/>
        </w:rPr>
      </w:pPr>
      <w:r>
        <w:rPr>
          <w:rFonts w:hint="eastAsia" w:ascii="宋体" w:hAnsi="宋体" w:cs="宋体"/>
          <w:color w:val="auto"/>
          <w:highlight w:val="none"/>
        </w:rPr>
        <w:t>投标人（盖章）：</w:t>
      </w:r>
    </w:p>
    <w:p>
      <w:pPr>
        <w:spacing w:line="360" w:lineRule="auto"/>
        <w:rPr>
          <w:rFonts w:ascii="宋体" w:hAnsi="宋体" w:cs="宋体"/>
          <w:color w:val="auto"/>
          <w:highlight w:val="none"/>
        </w:rPr>
      </w:pPr>
      <w:r>
        <w:rPr>
          <w:rFonts w:hint="eastAsia" w:ascii="宋体" w:hAnsi="宋体" w:cs="宋体"/>
          <w:color w:val="auto"/>
          <w:highlight w:val="none"/>
        </w:rPr>
        <w:t xml:space="preserve">                                    日    期：</w:t>
      </w:r>
    </w:p>
    <w:p>
      <w:pPr>
        <w:spacing w:line="360" w:lineRule="auto"/>
        <w:rPr>
          <w:rFonts w:ascii="宋体" w:hAnsi="宋体" w:cs="宋体"/>
          <w:color w:val="auto"/>
          <w:highlight w:val="none"/>
        </w:rPr>
      </w:pPr>
    </w:p>
    <w:p>
      <w:pPr>
        <w:pStyle w:val="18"/>
        <w:rPr>
          <w:rFonts w:ascii="宋体" w:hAnsi="宋体" w:cs="宋体"/>
          <w:color w:val="auto"/>
          <w:sz w:val="21"/>
          <w:szCs w:val="21"/>
          <w:highlight w:val="none"/>
        </w:rPr>
      </w:pPr>
      <w:r>
        <w:rPr>
          <w:rFonts w:hint="eastAsia" w:ascii="宋体" w:hAnsi="宋体" w:cs="宋体"/>
          <w:color w:val="auto"/>
          <w:sz w:val="21"/>
          <w:szCs w:val="21"/>
          <w:highlight w:val="none"/>
        </w:rPr>
        <w:t>注：联合体投标的，可只由联合体牵头人盖章。</w:t>
      </w:r>
    </w:p>
    <w:p>
      <w:pPr>
        <w:spacing w:line="300" w:lineRule="auto"/>
        <w:rPr>
          <w:rFonts w:ascii="宋体" w:hAnsi="宋体" w:cs="宋体"/>
          <w:b/>
          <w:bCs/>
          <w:color w:val="auto"/>
          <w:highlight w:val="none"/>
        </w:rPr>
      </w:pPr>
    </w:p>
    <w:p>
      <w:pPr>
        <w:spacing w:line="360" w:lineRule="auto"/>
        <w:rPr>
          <w:rFonts w:hint="eastAsia" w:ascii="宋体" w:hAnsi="宋体" w:cs="宋体"/>
          <w:b/>
          <w:bCs/>
          <w:color w:val="auto"/>
          <w:highlight w:val="none"/>
        </w:rPr>
      </w:pPr>
    </w:p>
    <w:p>
      <w:pPr>
        <w:spacing w:line="360" w:lineRule="auto"/>
        <w:rPr>
          <w:rFonts w:hint="eastAsia" w:ascii="宋体" w:hAnsi="宋体" w:cs="宋体"/>
          <w:b/>
          <w:bCs/>
          <w:color w:val="auto"/>
          <w:highlight w:val="none"/>
        </w:rPr>
      </w:pPr>
    </w:p>
    <w:p>
      <w:pPr>
        <w:spacing w:line="360" w:lineRule="auto"/>
        <w:rPr>
          <w:rFonts w:hint="eastAsia" w:ascii="宋体" w:hAnsi="宋体" w:cs="宋体"/>
          <w:b/>
          <w:bCs/>
          <w:color w:val="auto"/>
          <w:highlight w:val="none"/>
        </w:rPr>
      </w:pPr>
    </w:p>
    <w:p>
      <w:pPr>
        <w:spacing w:line="360" w:lineRule="auto"/>
        <w:rPr>
          <w:rFonts w:hint="eastAsia" w:ascii="宋体" w:hAnsi="宋体" w:cs="宋体"/>
          <w:b/>
          <w:bCs/>
          <w:color w:val="auto"/>
          <w:highlight w:val="none"/>
        </w:rPr>
      </w:pPr>
    </w:p>
    <w:p>
      <w:pPr>
        <w:spacing w:line="360" w:lineRule="auto"/>
        <w:rPr>
          <w:rFonts w:hint="eastAsia" w:ascii="宋体" w:hAnsi="宋体" w:cs="宋体"/>
          <w:b/>
          <w:bCs/>
          <w:color w:val="auto"/>
          <w:highlight w:val="none"/>
        </w:rPr>
      </w:pPr>
    </w:p>
    <w:p>
      <w:pPr>
        <w:spacing w:line="360" w:lineRule="auto"/>
        <w:rPr>
          <w:rFonts w:hint="eastAsia" w:ascii="宋体" w:hAnsi="宋体" w:cs="宋体"/>
          <w:b/>
          <w:bCs/>
          <w:color w:val="auto"/>
          <w:highlight w:val="none"/>
        </w:rPr>
      </w:pPr>
    </w:p>
    <w:p>
      <w:pPr>
        <w:spacing w:line="360" w:lineRule="auto"/>
        <w:rPr>
          <w:rFonts w:hint="eastAsia" w:ascii="宋体" w:hAnsi="宋体" w:cs="宋体"/>
          <w:b/>
          <w:bCs/>
          <w:color w:val="auto"/>
          <w:highlight w:val="none"/>
        </w:rPr>
      </w:pPr>
    </w:p>
    <w:p>
      <w:pPr>
        <w:numPr>
          <w:ilvl w:val="0"/>
          <w:numId w:val="11"/>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落实政府采购政策需满足的资格要求：本项目为专门面向中小微企业采购的项目，供应商需按响应文件格式提供中小企业声明函（</w:t>
      </w:r>
      <w:r>
        <w:rPr>
          <w:rFonts w:hint="eastAsia" w:ascii="宋体" w:hAnsi="宋体" w:eastAsia="宋体" w:cs="宋体"/>
          <w:color w:val="auto"/>
          <w:highlight w:val="none"/>
        </w:rPr>
        <w:t>格式详见第六章投标文件格式；</w:t>
      </w:r>
      <w:r>
        <w:rPr>
          <w:rFonts w:hint="eastAsia" w:ascii="宋体" w:hAnsi="宋体" w:eastAsia="宋体" w:cs="宋体"/>
          <w:bCs/>
          <w:color w:val="auto"/>
          <w:highlight w:val="none"/>
        </w:rPr>
        <w:t>监狱企业、残疾人福利性单位视同为小微企业，如已提供中小企业声明函声明为中小微企业，可不提供监狱企业资格证明材料或残疾人福利性单位声明函。监狱企业、残疾人福利性单位提供相关证明材料。联合体投标的，联合体双方须分别提供）。</w:t>
      </w:r>
    </w:p>
    <w:p>
      <w:pPr>
        <w:pStyle w:val="19"/>
        <w:spacing w:line="520" w:lineRule="exact"/>
        <w:ind w:firstLine="0"/>
        <w:rPr>
          <w:rFonts w:hAnsi="宋体"/>
          <w:b/>
          <w:bCs/>
          <w:color w:val="auto"/>
          <w:sz w:val="24"/>
          <w:szCs w:val="24"/>
          <w:highlight w:val="none"/>
        </w:rPr>
      </w:pPr>
    </w:p>
    <w:p>
      <w:pPr>
        <w:snapToGrid w:val="0"/>
        <w:spacing w:after="120" w:afterLines="50" w:line="360" w:lineRule="auto"/>
        <w:jc w:val="center"/>
        <w:rPr>
          <w:rFonts w:ascii="宋体" w:hAnsi="宋体" w:cs="宋体"/>
          <w:b/>
          <w:bCs/>
          <w:color w:val="auto"/>
          <w:highlight w:val="none"/>
        </w:rPr>
      </w:pPr>
      <w:r>
        <w:rPr>
          <w:rFonts w:hint="eastAsia" w:ascii="宋体" w:hAnsi="宋体" w:cs="宋体"/>
          <w:b/>
          <w:bCs/>
          <w:color w:val="auto"/>
          <w:highlight w:val="none"/>
        </w:rPr>
        <w:t>中小企业声明函</w:t>
      </w:r>
    </w:p>
    <w:p>
      <w:pPr>
        <w:spacing w:line="360" w:lineRule="auto"/>
        <w:rPr>
          <w:rFonts w:ascii="宋体" w:hAnsi="宋体" w:cs="宋体"/>
          <w:b/>
          <w:bCs/>
          <w:color w:val="auto"/>
          <w:spacing w:val="6"/>
          <w:highlight w:val="none"/>
        </w:rPr>
      </w:pP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本公司（联合体）郑重声明，根据《政府采购促进中小企业发展管理办法》（财库﹝2020﹞46 号）的规定，本公司（联合体）参加</w:t>
      </w:r>
      <w:r>
        <w:rPr>
          <w:rFonts w:hint="eastAsia" w:ascii="宋体" w:hAnsi="宋体" w:cs="宋体"/>
          <w:color w:val="auto"/>
          <w:spacing w:val="6"/>
          <w:highlight w:val="none"/>
          <w:u w:val="single"/>
        </w:rPr>
        <w:t>（单位名称）</w:t>
      </w:r>
      <w:r>
        <w:rPr>
          <w:rFonts w:hint="eastAsia" w:ascii="宋体" w:hAnsi="宋体" w:cs="宋体"/>
          <w:color w:val="auto"/>
          <w:spacing w:val="6"/>
          <w:highlight w:val="none"/>
        </w:rPr>
        <w:t>的</w:t>
      </w:r>
      <w:r>
        <w:rPr>
          <w:rFonts w:hint="eastAsia" w:ascii="宋体" w:hAnsi="宋体" w:cs="宋体"/>
          <w:color w:val="auto"/>
          <w:spacing w:val="6"/>
          <w:highlight w:val="none"/>
          <w:u w:val="single"/>
        </w:rPr>
        <w:t>（项目名称）</w:t>
      </w:r>
      <w:r>
        <w:rPr>
          <w:rFonts w:hint="eastAsia" w:ascii="宋体" w:hAnsi="宋体" w:cs="宋体"/>
          <w:color w:val="auto"/>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1. </w:t>
      </w:r>
      <w:r>
        <w:rPr>
          <w:rFonts w:hint="eastAsia" w:ascii="宋体" w:hAnsi="宋体" w:cs="宋体"/>
          <w:color w:val="auto"/>
          <w:spacing w:val="6"/>
          <w:highlight w:val="none"/>
          <w:u w:val="single"/>
        </w:rPr>
        <w:t xml:space="preserve">（标的名称）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w:t>
      </w:r>
      <w:r>
        <w:rPr>
          <w:rFonts w:hint="eastAsia" w:ascii="宋体" w:hAnsi="宋体" w:cs="宋体"/>
          <w:color w:val="auto"/>
          <w:highlight w:val="none"/>
          <w:vertAlign w:val="superscript"/>
        </w:rPr>
        <w:t>1</w:t>
      </w:r>
      <w:r>
        <w:rPr>
          <w:rFonts w:hint="eastAsia" w:ascii="宋体" w:hAnsi="宋体" w:cs="宋体"/>
          <w:color w:val="auto"/>
          <w:spacing w:val="6"/>
          <w:highlight w:val="none"/>
        </w:rPr>
        <w:t>，资产总额为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2.</w:t>
      </w:r>
      <w:r>
        <w:rPr>
          <w:rFonts w:hint="eastAsia" w:ascii="宋体" w:hAnsi="宋体" w:cs="宋体"/>
          <w:color w:val="auto"/>
          <w:spacing w:val="6"/>
          <w:highlight w:val="none"/>
          <w:u w:val="single"/>
        </w:rPr>
        <w:t xml:space="preserve"> （标的名称）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本企业对上述声明内容的真实性负责。如有虚假，将依法承担相应责任。</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w:t>
      </w:r>
    </w:p>
    <w:p>
      <w:pPr>
        <w:spacing w:line="360" w:lineRule="auto"/>
        <w:ind w:firstLine="3330" w:firstLineChars="1500"/>
        <w:rPr>
          <w:rFonts w:ascii="宋体" w:hAnsi="宋体" w:cs="宋体"/>
          <w:color w:val="auto"/>
          <w:spacing w:val="6"/>
          <w:highlight w:val="none"/>
        </w:rPr>
      </w:pPr>
      <w:r>
        <w:rPr>
          <w:rFonts w:hint="eastAsia" w:ascii="宋体" w:hAnsi="宋体" w:cs="宋体"/>
          <w:color w:val="auto"/>
          <w:spacing w:val="6"/>
          <w:highlight w:val="none"/>
        </w:rPr>
        <w:t>企业名称（盖章）：</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日期：</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spacing w:val="-6"/>
          <w:kern w:val="0"/>
          <w:highlight w:val="none"/>
        </w:rPr>
        <w:t>1</w:t>
      </w:r>
      <w:r>
        <w:rPr>
          <w:rFonts w:hint="eastAsia" w:ascii="宋体" w:hAnsi="宋体" w:cs="宋体"/>
          <w:color w:val="auto"/>
          <w:kern w:val="0"/>
          <w:highlight w:val="none"/>
        </w:rPr>
        <w:t>、从业人员、营业收入、资产总额填报上一年度数据，无上一年度数据的新成立企业可不填报。</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color w:val="auto"/>
          <w:kern w:val="0"/>
          <w:highlight w:val="none"/>
        </w:rPr>
      </w:pPr>
    </w:p>
    <w:p>
      <w:pPr>
        <w:snapToGrid w:val="0"/>
        <w:spacing w:line="360" w:lineRule="auto"/>
        <w:jc w:val="left"/>
        <w:rPr>
          <w:rFonts w:ascii="宋体" w:hAnsi="宋体" w:cs="宋体"/>
          <w:color w:val="auto"/>
          <w:highlight w:val="none"/>
        </w:rPr>
      </w:pPr>
      <w:r>
        <w:rPr>
          <w:rFonts w:hint="eastAsia" w:ascii="宋体" w:hAnsi="宋体" w:cs="宋体"/>
          <w:b/>
          <w:bCs/>
          <w:color w:val="auto"/>
          <w:kern w:val="0"/>
          <w:highlight w:val="none"/>
        </w:rPr>
        <w:t>注：适用小微企业政策的请提供，未提供的不享受小微企业政策</w:t>
      </w:r>
      <w:r>
        <w:rPr>
          <w:rFonts w:hint="eastAsia" w:ascii="宋体" w:hAnsi="宋体" w:cs="宋体"/>
          <w:b/>
          <w:bCs/>
          <w:color w:val="auto"/>
          <w:highlight w:val="none"/>
        </w:rPr>
        <w:t>。</w:t>
      </w:r>
    </w:p>
    <w:p>
      <w:pPr>
        <w:adjustRightInd w:val="0"/>
        <w:snapToGrid w:val="0"/>
        <w:spacing w:line="360" w:lineRule="auto"/>
        <w:jc w:val="left"/>
        <w:rPr>
          <w:rFonts w:ascii="宋体" w:hAnsi="宋体" w:cs="宋体"/>
          <w:color w:val="auto"/>
          <w:highlight w:val="none"/>
        </w:rPr>
      </w:pPr>
    </w:p>
    <w:p>
      <w:pPr>
        <w:pStyle w:val="19"/>
        <w:spacing w:line="520" w:lineRule="exact"/>
        <w:ind w:firstLine="0"/>
        <w:jc w:val="left"/>
        <w:rPr>
          <w:rFonts w:hAnsi="宋体"/>
          <w:color w:val="auto"/>
          <w:sz w:val="21"/>
          <w:szCs w:val="21"/>
          <w:highlight w:val="none"/>
        </w:rPr>
        <w:sectPr>
          <w:pgSz w:w="11906" w:h="16838"/>
          <w:pgMar w:top="1474" w:right="1797" w:bottom="1247" w:left="1797" w:header="851" w:footer="851" w:gutter="0"/>
          <w:cols w:space="720" w:num="1"/>
          <w:titlePg/>
          <w:docGrid w:linePitch="312" w:charSpace="0"/>
        </w:sectPr>
      </w:pPr>
    </w:p>
    <w:p>
      <w:pPr>
        <w:spacing w:line="360" w:lineRule="auto"/>
        <w:jc w:val="left"/>
        <w:outlineLvl w:val="0"/>
        <w:rPr>
          <w:rFonts w:hint="eastAsia" w:ascii="宋体" w:hAnsi="宋体" w:cs="宋体"/>
          <w:color w:val="auto"/>
          <w:highlight w:val="none"/>
        </w:rPr>
      </w:pPr>
    </w:p>
    <w:p>
      <w:pPr>
        <w:spacing w:line="360" w:lineRule="auto"/>
        <w:jc w:val="left"/>
        <w:outlineLvl w:val="0"/>
        <w:rPr>
          <w:rFonts w:hint="eastAsia" w:ascii="宋体" w:hAnsi="宋体" w:cs="宋体"/>
          <w:color w:val="auto"/>
          <w:highlight w:val="none"/>
        </w:rPr>
      </w:pPr>
    </w:p>
    <w:p>
      <w:pPr>
        <w:spacing w:line="360" w:lineRule="auto"/>
        <w:jc w:val="left"/>
        <w:outlineLvl w:val="0"/>
        <w:rPr>
          <w:rFonts w:hint="eastAsia" w:ascii="宋体" w:hAnsi="宋体" w:cs="宋体"/>
          <w:color w:val="auto"/>
          <w:highlight w:val="none"/>
          <w:lang w:eastAsia="zh-CN"/>
        </w:rPr>
      </w:pPr>
    </w:p>
    <w:p>
      <w:pPr>
        <w:jc w:val="center"/>
        <w:rPr>
          <w:rFonts w:ascii="宋体" w:hAnsi="宋体" w:cs="宋体"/>
          <w:b/>
          <w:color w:val="auto"/>
          <w:kern w:val="0"/>
          <w:highlight w:val="none"/>
        </w:rPr>
      </w:pPr>
    </w:p>
    <w:p>
      <w:pPr>
        <w:spacing w:line="588" w:lineRule="exact"/>
        <w:jc w:val="center"/>
        <w:rPr>
          <w:rFonts w:ascii="宋体" w:hAnsi="宋体" w:cs="宋体"/>
          <w:b/>
          <w:bCs/>
          <w:color w:val="auto"/>
          <w:spacing w:val="6"/>
          <w:highlight w:val="none"/>
        </w:rPr>
      </w:pPr>
      <w:bookmarkStart w:id="172" w:name="OLE_LINK13"/>
      <w:bookmarkStart w:id="173" w:name="OLE_LINK14"/>
      <w:r>
        <w:rPr>
          <w:rFonts w:hint="eastAsia" w:ascii="宋体" w:hAnsi="宋体" w:cs="宋体"/>
          <w:b/>
          <w:bCs/>
          <w:color w:val="auto"/>
          <w:spacing w:val="6"/>
          <w:highlight w:val="none"/>
        </w:rPr>
        <w:t>残疾人福利性单位声明函</w:t>
      </w:r>
    </w:p>
    <w:bookmarkEnd w:id="172"/>
    <w:bookmarkEnd w:id="173"/>
    <w:p>
      <w:pPr>
        <w:spacing w:line="588" w:lineRule="exact"/>
        <w:rPr>
          <w:rFonts w:ascii="宋体" w:hAnsi="宋体" w:cs="宋体"/>
          <w:b/>
          <w:bCs/>
          <w:color w:val="auto"/>
          <w:spacing w:val="6"/>
          <w:highlight w:val="none"/>
        </w:rPr>
      </w:pPr>
    </w:p>
    <w:p>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588" w:lineRule="exact"/>
        <w:ind w:firstLine="444" w:firstLineChars="200"/>
        <w:rPr>
          <w:rFonts w:ascii="宋体" w:hAnsi="宋体" w:cs="宋体"/>
          <w:color w:val="auto"/>
          <w:spacing w:val="6"/>
          <w:highlight w:val="none"/>
        </w:rPr>
      </w:pPr>
    </w:p>
    <w:p>
      <w:pPr>
        <w:spacing w:line="588" w:lineRule="exact"/>
        <w:ind w:firstLine="444" w:firstLineChars="200"/>
        <w:rPr>
          <w:rFonts w:ascii="宋体" w:hAnsi="宋体" w:cs="宋体"/>
          <w:color w:val="auto"/>
          <w:spacing w:val="6"/>
          <w:highlight w:val="none"/>
        </w:rPr>
      </w:pP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单位名称（盖章）：</w:t>
      </w: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日  期：</w:t>
      </w: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spacing w:line="360" w:lineRule="auto"/>
        <w:rPr>
          <w:rFonts w:ascii="宋体" w:hAnsi="宋体" w:cs="宋体"/>
          <w:color w:val="auto"/>
          <w:kern w:val="0"/>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4</w:t>
      </w:r>
      <w:r>
        <w:rPr>
          <w:rFonts w:hint="eastAsia" w:ascii="宋体" w:hAnsi="宋体" w:cs="宋体"/>
          <w:b/>
          <w:bCs/>
          <w:color w:val="auto"/>
          <w:highlight w:val="none"/>
        </w:rPr>
        <w:t>）投标人的特定条件的证明文件：</w:t>
      </w:r>
      <w:r>
        <w:rPr>
          <w:rFonts w:hint="eastAsia" w:ascii="宋体" w:hAnsi="宋体" w:cs="宋体"/>
          <w:color w:val="auto"/>
          <w:kern w:val="0"/>
          <w:highlight w:val="none"/>
        </w:rPr>
        <w:t xml:space="preserve">第二类、第三类医疗器械生产企业提供《医疗器械生产许可证》复印件、第一类医疗器械生产企业提供第一类医疗器械生产备案凭证复印件。 </w:t>
      </w:r>
    </w:p>
    <w:p>
      <w:pPr>
        <w:spacing w:line="360" w:lineRule="auto"/>
        <w:rPr>
          <w:rFonts w:ascii="宋体" w:hAnsi="宋体" w:cs="宋体"/>
          <w:color w:val="auto"/>
          <w:kern w:val="0"/>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color w:val="auto"/>
          <w:kern w:val="0"/>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5</w:t>
      </w:r>
      <w:r>
        <w:rPr>
          <w:rFonts w:hint="eastAsia" w:ascii="宋体" w:hAnsi="宋体" w:cs="宋体"/>
          <w:b/>
          <w:bCs/>
          <w:color w:val="auto"/>
          <w:highlight w:val="none"/>
        </w:rPr>
        <w:t>）</w:t>
      </w:r>
      <w:r>
        <w:rPr>
          <w:rFonts w:hint="eastAsia" w:ascii="宋体" w:hAnsi="宋体" w:cs="宋体"/>
          <w:b/>
          <w:bCs/>
          <w:color w:val="auto"/>
          <w:kern w:val="0"/>
          <w:highlight w:val="none"/>
        </w:rPr>
        <w:t>联合投标协议书</w:t>
      </w:r>
    </w:p>
    <w:p>
      <w:pPr>
        <w:widowControl/>
        <w:adjustRightInd w:val="0"/>
        <w:spacing w:line="360" w:lineRule="auto"/>
        <w:jc w:val="left"/>
        <w:rPr>
          <w:rFonts w:ascii="宋体" w:hAnsi="宋体" w:cs="宋体"/>
          <w:color w:val="auto"/>
          <w:spacing w:val="4"/>
          <w:highlight w:val="none"/>
        </w:rPr>
      </w:pPr>
    </w:p>
    <w:p>
      <w:pPr>
        <w:jc w:val="center"/>
        <w:rPr>
          <w:rFonts w:ascii="宋体" w:hAnsi="宋体" w:cs="宋体"/>
          <w:b/>
          <w:color w:val="auto"/>
          <w:kern w:val="0"/>
          <w:highlight w:val="none"/>
        </w:rPr>
      </w:pPr>
      <w:r>
        <w:rPr>
          <w:rFonts w:hint="eastAsia" w:ascii="宋体" w:hAnsi="宋体" w:cs="宋体"/>
          <w:b/>
          <w:color w:val="auto"/>
          <w:kern w:val="0"/>
          <w:highlight w:val="none"/>
        </w:rPr>
        <w:t>联合投标协议书</w:t>
      </w:r>
    </w:p>
    <w:p>
      <w:pPr>
        <w:jc w:val="center"/>
        <w:rPr>
          <w:rFonts w:ascii="宋体" w:hAnsi="宋体" w:cs="宋体"/>
          <w:b/>
          <w:color w:val="auto"/>
          <w:kern w:val="0"/>
          <w:highlight w:val="none"/>
        </w:rPr>
      </w:pPr>
      <w:r>
        <w:rPr>
          <w:rFonts w:hint="eastAsia" w:ascii="宋体" w:hAnsi="宋体" w:cs="宋体"/>
          <w:color w:val="auto"/>
          <w:highlight w:val="none"/>
        </w:rPr>
        <w:t>（联合体投标须提供）</w:t>
      </w:r>
    </w:p>
    <w:p>
      <w:pPr>
        <w:pStyle w:val="19"/>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甲方：</w:t>
      </w:r>
    </w:p>
    <w:p>
      <w:pPr>
        <w:pStyle w:val="19"/>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乙方：</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各方经协商，就响应</w:t>
      </w:r>
      <w:r>
        <w:rPr>
          <w:rFonts w:hint="eastAsia" w:hAnsi="宋体"/>
          <w:color w:val="auto"/>
          <w:sz w:val="21"/>
          <w:szCs w:val="21"/>
          <w:highlight w:val="none"/>
          <w:u w:val="single"/>
        </w:rPr>
        <w:t xml:space="preserve">       </w:t>
      </w:r>
      <w:r>
        <w:rPr>
          <w:rFonts w:hint="eastAsia" w:hAnsi="宋体"/>
          <w:color w:val="auto"/>
          <w:sz w:val="21"/>
          <w:szCs w:val="21"/>
          <w:highlight w:val="none"/>
        </w:rPr>
        <w:t>（招标方）组织实施的</w:t>
      </w:r>
      <w:r>
        <w:rPr>
          <w:rFonts w:hint="eastAsia" w:hAnsi="宋体"/>
          <w:color w:val="auto"/>
          <w:sz w:val="21"/>
          <w:szCs w:val="21"/>
          <w:highlight w:val="none"/>
          <w:u w:val="single"/>
        </w:rPr>
        <w:t xml:space="preserve">    </w:t>
      </w:r>
      <w:r>
        <w:rPr>
          <w:rFonts w:hint="eastAsia" w:hAnsi="宋体"/>
          <w:color w:val="auto"/>
          <w:sz w:val="21"/>
          <w:szCs w:val="21"/>
          <w:highlight w:val="none"/>
        </w:rPr>
        <w:t>项目（采购编号：</w:t>
      </w:r>
      <w:r>
        <w:rPr>
          <w:rFonts w:hint="eastAsia" w:hAnsi="宋体"/>
          <w:color w:val="auto"/>
          <w:sz w:val="21"/>
          <w:szCs w:val="21"/>
          <w:highlight w:val="none"/>
          <w:u w:val="single"/>
        </w:rPr>
        <w:t xml:space="preserve">                </w:t>
      </w:r>
      <w:r>
        <w:rPr>
          <w:rFonts w:hint="eastAsia" w:hAnsi="宋体"/>
          <w:color w:val="auto"/>
          <w:sz w:val="21"/>
          <w:szCs w:val="21"/>
          <w:highlight w:val="none"/>
        </w:rPr>
        <w:t>招标活动联合进行投标之事宜，达成如下协议：</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一、各方一致决定，以</w:t>
      </w:r>
      <w:r>
        <w:rPr>
          <w:rFonts w:hint="eastAsia" w:hAnsi="宋体"/>
          <w:color w:val="auto"/>
          <w:sz w:val="21"/>
          <w:szCs w:val="21"/>
          <w:highlight w:val="none"/>
          <w:u w:val="single"/>
        </w:rPr>
        <w:t xml:space="preserve">                        </w:t>
      </w:r>
      <w:r>
        <w:rPr>
          <w:rFonts w:hint="eastAsia" w:hAnsi="宋体"/>
          <w:color w:val="auto"/>
          <w:sz w:val="21"/>
          <w:szCs w:val="21"/>
          <w:highlight w:val="none"/>
        </w:rPr>
        <w:t>为联合体牵头人，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为联合体成员，共同进行投标，并按照招标文件的规定分别提交资格文件。</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三、联合投标其余各方保证对联合体牵头人为响应本次招标而提供的产品和服务提供全部质量保证及售后服务支持。</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四、本次联合投标中，甲方承担的工作和义务为：</w:t>
      </w:r>
      <w:r>
        <w:rPr>
          <w:rFonts w:hint="eastAsia" w:hAnsi="宋体"/>
          <w:color w:val="auto"/>
          <w:sz w:val="21"/>
          <w:szCs w:val="21"/>
          <w:highlight w:val="none"/>
          <w:u w:val="single"/>
        </w:rPr>
        <w:t xml:space="preserve">                          </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甲方承担本项目的工作和义务占合同总金额的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乙方承担的工作和义务为：</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五、有关本次联合投标的其他事宜：</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六、本协议提交采购人后，联合投标各方不得以任何形式对上述实质内容进行修改或撤销。</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七、本协议一式二份，签约各方各持一份。</w:t>
      </w:r>
    </w:p>
    <w:p>
      <w:pPr>
        <w:pStyle w:val="19"/>
        <w:spacing w:line="500" w:lineRule="exact"/>
        <w:ind w:left="840" w:hanging="420"/>
        <w:rPr>
          <w:rFonts w:hAnsi="宋体"/>
          <w:color w:val="auto"/>
          <w:sz w:val="21"/>
          <w:szCs w:val="21"/>
          <w:highlight w:val="none"/>
        </w:rPr>
      </w:pPr>
    </w:p>
    <w:p>
      <w:pPr>
        <w:pStyle w:val="19"/>
        <w:spacing w:line="360" w:lineRule="auto"/>
        <w:ind w:left="840" w:hanging="420"/>
        <w:rPr>
          <w:rFonts w:hAnsi="宋体"/>
          <w:color w:val="auto"/>
          <w:sz w:val="21"/>
          <w:szCs w:val="21"/>
          <w:highlight w:val="none"/>
        </w:rPr>
      </w:pPr>
      <w:r>
        <w:rPr>
          <w:rFonts w:hint="eastAsia" w:hAnsi="宋体"/>
          <w:color w:val="auto"/>
          <w:sz w:val="21"/>
          <w:szCs w:val="21"/>
          <w:highlight w:val="none"/>
        </w:rPr>
        <w:t xml:space="preserve">甲方单位（盖章）：                             乙方单位（盖章）：           </w:t>
      </w:r>
    </w:p>
    <w:p>
      <w:pPr>
        <w:pStyle w:val="19"/>
        <w:spacing w:line="360" w:lineRule="auto"/>
        <w:ind w:left="840" w:hanging="420"/>
        <w:rPr>
          <w:rFonts w:hAnsi="宋体"/>
          <w:color w:val="auto"/>
          <w:sz w:val="21"/>
          <w:szCs w:val="21"/>
          <w:highlight w:val="none"/>
        </w:rPr>
      </w:pPr>
    </w:p>
    <w:p>
      <w:pPr>
        <w:pStyle w:val="19"/>
        <w:spacing w:line="360" w:lineRule="auto"/>
        <w:ind w:left="840" w:hanging="420"/>
        <w:rPr>
          <w:rFonts w:hAnsi="宋体"/>
          <w:color w:val="auto"/>
          <w:sz w:val="21"/>
          <w:szCs w:val="21"/>
          <w:highlight w:val="none"/>
        </w:rPr>
      </w:pPr>
      <w:r>
        <w:rPr>
          <w:rFonts w:hint="eastAsia" w:hAnsi="宋体"/>
          <w:color w:val="auto"/>
          <w:sz w:val="21"/>
          <w:szCs w:val="21"/>
          <w:highlight w:val="none"/>
        </w:rPr>
        <w:t>法定代表人或其委托代理人（签字或盖章）：      法定代表人或其委托代理人（签字或盖章）：</w:t>
      </w:r>
    </w:p>
    <w:p>
      <w:pPr>
        <w:snapToGrid w:val="0"/>
        <w:spacing w:line="360" w:lineRule="auto"/>
        <w:rPr>
          <w:rFonts w:ascii="宋体" w:hAnsi="宋体" w:cs="宋体"/>
          <w:color w:val="auto"/>
          <w:highlight w:val="none"/>
        </w:rPr>
      </w:pPr>
    </w:p>
    <w:p>
      <w:pPr>
        <w:snapToGrid w:val="0"/>
        <w:spacing w:line="360" w:lineRule="auto"/>
        <w:ind w:firstLine="420" w:firstLineChars="200"/>
        <w:rPr>
          <w:rFonts w:ascii="宋体" w:hAnsi="宋体" w:cs="宋体"/>
          <w:b/>
          <w:bCs/>
          <w:color w:val="auto"/>
          <w:kern w:val="0"/>
          <w:highlight w:val="none"/>
        </w:rPr>
      </w:pPr>
      <w:r>
        <w:rPr>
          <w:rFonts w:hint="eastAsia" w:ascii="宋体" w:hAnsi="宋体" w:cs="宋体"/>
          <w:color w:val="auto"/>
          <w:highlight w:val="none"/>
        </w:rPr>
        <w:t>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                       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w:t>
      </w:r>
    </w:p>
    <w:p>
      <w:pPr>
        <w:snapToGrid w:val="0"/>
        <w:spacing w:line="360" w:lineRule="auto"/>
        <w:rPr>
          <w:rFonts w:ascii="宋体" w:hAnsi="宋体" w:cs="宋体"/>
          <w:b/>
          <w:bCs/>
          <w:color w:val="auto"/>
          <w:highlight w:val="none"/>
        </w:rPr>
      </w:pPr>
      <w:r>
        <w:rPr>
          <w:rFonts w:hint="eastAsia" w:ascii="宋体" w:hAnsi="宋体" w:cs="宋体"/>
          <w:b/>
          <w:bCs/>
          <w:color w:val="auto"/>
          <w:spacing w:val="4"/>
          <w:highlight w:val="none"/>
        </w:rPr>
        <w:t>三、</w:t>
      </w:r>
      <w:r>
        <w:rPr>
          <w:rFonts w:hint="eastAsia" w:ascii="宋体" w:hAnsi="宋体" w:cs="宋体"/>
          <w:b/>
          <w:bCs/>
          <w:color w:val="auto"/>
          <w:highlight w:val="none"/>
        </w:rPr>
        <w:t>商务技术文件</w:t>
      </w:r>
    </w:p>
    <w:p>
      <w:pPr>
        <w:snapToGrid w:val="0"/>
        <w:spacing w:before="156" w:beforeLines="50" w:after="50"/>
        <w:jc w:val="left"/>
        <w:rPr>
          <w:rFonts w:ascii="宋体" w:hAnsi="宋体" w:cs="宋体"/>
          <w:color w:val="auto"/>
          <w:highlight w:val="none"/>
        </w:rPr>
      </w:pPr>
      <w:r>
        <w:rPr>
          <w:rFonts w:hint="eastAsia" w:ascii="宋体" w:hAnsi="宋体" w:cs="宋体"/>
          <w:color w:val="auto"/>
          <w:highlight w:val="none"/>
        </w:rPr>
        <w:t>（1）符合性自查表</w:t>
      </w:r>
    </w:p>
    <w:p>
      <w:pPr>
        <w:snapToGrid w:val="0"/>
        <w:spacing w:before="156" w:beforeLines="50" w:after="50"/>
        <w:jc w:val="center"/>
        <w:rPr>
          <w:rFonts w:ascii="宋体" w:hAnsi="宋体" w:cs="宋体"/>
          <w:b/>
          <w:color w:val="auto"/>
          <w:kern w:val="0"/>
          <w:highlight w:val="none"/>
        </w:rPr>
      </w:pPr>
      <w:r>
        <w:rPr>
          <w:rFonts w:hint="eastAsia" w:ascii="宋体" w:hAnsi="宋体" w:cs="宋体"/>
          <w:b/>
          <w:color w:val="auto"/>
          <w:highlight w:val="none"/>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0"/>
                <w:highlight w:val="none"/>
              </w:rPr>
            </w:pPr>
            <w:r>
              <w:rPr>
                <w:rFonts w:hint="eastAsia" w:ascii="宋体" w:hAnsi="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符合性审</w:t>
            </w:r>
          </w:p>
          <w:p>
            <w:pPr>
              <w:rPr>
                <w:rFonts w:ascii="宋体" w:hAnsi="宋体" w:cs="宋体"/>
                <w:color w:val="auto"/>
                <w:highlight w:val="none"/>
              </w:rPr>
            </w:pPr>
            <w:r>
              <w:rPr>
                <w:rFonts w:hint="eastAsia" w:ascii="宋体" w:hAnsi="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bl>
    <w:p>
      <w:pPr>
        <w:snapToGrid w:val="0"/>
        <w:spacing w:before="156" w:beforeLines="50" w:after="50"/>
        <w:rPr>
          <w:rFonts w:ascii="宋体" w:hAnsi="宋体" w:cs="宋体"/>
          <w:color w:val="auto"/>
          <w:highlight w:val="none"/>
        </w:rPr>
      </w:pPr>
      <w:r>
        <w:rPr>
          <w:rFonts w:hint="eastAsia" w:ascii="宋体" w:hAnsi="宋体" w:cs="宋体"/>
          <w:b/>
          <w:color w:val="auto"/>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br w:type="page"/>
      </w:r>
    </w:p>
    <w:p>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t>（2）法定代表人身份证明</w:t>
      </w:r>
    </w:p>
    <w:p>
      <w:pPr>
        <w:snapToGrid w:val="0"/>
        <w:spacing w:before="156" w:beforeLines="50" w:after="50"/>
        <w:rPr>
          <w:rFonts w:ascii="宋体" w:hAnsi="宋体" w:cs="宋体"/>
          <w:color w:val="auto"/>
          <w:highlight w:val="none"/>
        </w:rPr>
      </w:pPr>
    </w:p>
    <w:p>
      <w:pPr>
        <w:widowControl/>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法定代表人身份证明</w:t>
      </w:r>
    </w:p>
    <w:p>
      <w:pPr>
        <w:widowControl/>
        <w:adjustRightInd w:val="0"/>
        <w:spacing w:line="360" w:lineRule="auto"/>
        <w:jc w:val="left"/>
        <w:rPr>
          <w:rFonts w:ascii="宋体" w:hAnsi="宋体" w:cs="宋体"/>
          <w:b/>
          <w:bCs/>
          <w:color w:val="auto"/>
          <w:highlight w:val="none"/>
        </w:rPr>
      </w:pPr>
    </w:p>
    <w:p>
      <w:pPr>
        <w:widowControl/>
        <w:spacing w:line="360" w:lineRule="auto"/>
        <w:rPr>
          <w:rFonts w:ascii="宋体" w:hAnsi="宋体" w:cs="宋体"/>
          <w:color w:val="auto"/>
          <w:highlight w:val="non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    别：</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u w:val="singl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    务：</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u w:val="single"/>
        </w:rPr>
      </w:pP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（投标人名称）      </w:t>
      </w:r>
      <w:r>
        <w:rPr>
          <w:rFonts w:hint="eastAsia" w:ascii="宋体" w:hAnsi="宋体" w:cs="宋体"/>
          <w:color w:val="auto"/>
          <w:highlight w:val="none"/>
        </w:rPr>
        <w:t>的法定代表人，为</w:t>
      </w:r>
      <w:r>
        <w:rPr>
          <w:rFonts w:hint="eastAsia" w:ascii="宋体" w:hAnsi="宋体" w:cs="宋体"/>
          <w:color w:val="auto"/>
          <w:highlight w:val="none"/>
          <w:u w:val="single"/>
        </w:rPr>
        <w:t xml:space="preserve">     （招标编号、项目名称）   </w:t>
      </w:r>
      <w:r>
        <w:rPr>
          <w:rFonts w:hint="eastAsia" w:ascii="宋体" w:hAnsi="宋体" w:cs="宋体"/>
          <w:color w:val="auto"/>
          <w:highlight w:val="none"/>
        </w:rPr>
        <w:t>项目，签署上述项目的投标文件，进行合同谈判、签署合同和处理与之有关的一切事宜。</w:t>
      </w:r>
    </w:p>
    <w:p>
      <w:pPr>
        <w:widowControl/>
        <w:spacing w:line="360" w:lineRule="auto"/>
        <w:rPr>
          <w:rFonts w:ascii="宋体" w:hAnsi="宋体" w:cs="宋体"/>
          <w:color w:val="auto"/>
          <w:highlight w:val="none"/>
        </w:rPr>
      </w:pPr>
      <w:r>
        <w:rPr>
          <w:rFonts w:hint="eastAsia" w:ascii="宋体" w:hAnsi="宋体" w:cs="宋体"/>
          <w:color w:val="auto"/>
          <w:highlight w:val="none"/>
        </w:rPr>
        <w:t xml:space="preserve">    特此证明。</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r>
        <w:rPr>
          <w:rFonts w:hint="eastAsia" w:ascii="宋体" w:hAnsi="宋体" w:cs="宋体"/>
          <w:color w:val="auto"/>
          <w:highlight w:val="none"/>
        </w:rPr>
        <w:t>后附法定代表人身份证正反面复印件，加盖公章。</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156" w:beforeLines="50" w:after="50"/>
        <w:rPr>
          <w:rFonts w:ascii="宋体" w:hAnsi="宋体" w:cs="宋体"/>
          <w:color w:val="auto"/>
          <w:highlight w:val="none"/>
        </w:rPr>
      </w:pPr>
      <w:r>
        <w:rPr>
          <w:rFonts w:hint="eastAsia" w:ascii="宋体" w:hAnsi="宋体" w:cs="宋体"/>
          <w:color w:val="auto"/>
          <w:highlight w:val="none"/>
        </w:rPr>
        <w:t>日期:_____年___月___日</w:t>
      </w: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附：法定代表人身份证正反面复印件。</w:t>
      </w:r>
    </w:p>
    <w:p>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br w:type="page"/>
      </w:r>
    </w:p>
    <w:p>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法定代表人授权委托书</w:t>
      </w:r>
    </w:p>
    <w:p>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（非联合体投标人适用）</w:t>
      </w:r>
    </w:p>
    <w:p>
      <w:pPr>
        <w:snapToGrid w:val="0"/>
        <w:spacing w:line="360" w:lineRule="auto"/>
        <w:rPr>
          <w:rFonts w:ascii="宋体" w:hAnsi="宋体" w:cs="宋体"/>
          <w:color w:val="auto"/>
          <w:highlight w:val="none"/>
        </w:rPr>
      </w:pPr>
    </w:p>
    <w:p>
      <w:pPr>
        <w:snapToGrid w:val="0"/>
        <w:spacing w:line="360" w:lineRule="auto"/>
        <w:rPr>
          <w:rFonts w:ascii="宋体" w:hAnsi="宋体" w:cs="宋体"/>
          <w:b/>
          <w:bCs/>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（采购人名称）</w:t>
      </w:r>
      <w:r>
        <w:rPr>
          <w:rFonts w:hint="eastAsia" w:ascii="宋体" w:hAnsi="宋体" w:cs="宋体"/>
          <w:b/>
          <w:bCs/>
          <w:color w:val="auto"/>
          <w:highlight w:val="none"/>
        </w:rPr>
        <w:t xml:space="preserve"> </w:t>
      </w:r>
      <w:r>
        <w:rPr>
          <w:rFonts w:hint="eastAsia" w:ascii="宋体" w:hAnsi="宋体" w:cs="宋体"/>
          <w:color w:val="auto"/>
          <w:highlight w:val="none"/>
        </w:rPr>
        <w:t>：</w:t>
      </w:r>
    </w:p>
    <w:p>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（投标人名称）的法定代表人，现授权委托本单位在职职工 </w:t>
      </w:r>
      <w:r>
        <w:rPr>
          <w:rFonts w:hint="eastAsia" w:ascii="宋体" w:hAnsi="宋体" w:cs="宋体"/>
          <w:color w:val="auto"/>
          <w:highlight w:val="none"/>
          <w:u w:val="single"/>
        </w:rPr>
        <w:t xml:space="preserve">              </w:t>
      </w:r>
      <w:r>
        <w:rPr>
          <w:rFonts w:hint="eastAsia" w:ascii="宋体" w:hAnsi="宋体" w:cs="宋体"/>
          <w:color w:val="auto"/>
          <w:highlight w:val="none"/>
        </w:rPr>
        <w:t>（姓名）以我方的名义参加</w:t>
      </w:r>
      <w:r>
        <w:rPr>
          <w:rFonts w:hint="eastAsia"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    我方对被授权人的签名事项负全部责任。</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u w:val="single"/>
        </w:rPr>
        <w:t>在撤销授权的书面通知以前，本授权书一直有效。</w:t>
      </w:r>
      <w:r>
        <w:rPr>
          <w:rFonts w:hint="eastAsia" w:ascii="宋体" w:hAnsi="宋体" w:cs="宋体"/>
          <w:color w:val="auto"/>
          <w:highlight w:val="none"/>
        </w:rPr>
        <w:t>被授权人在授权书有效期内签署的所有文件不因授权的撤销而失效。</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被授权人无转委托权，特此委托。</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u w:val="single"/>
        </w:rPr>
      </w:pPr>
      <w:r>
        <w:rPr>
          <w:rFonts w:hint="eastAsia" w:ascii="宋体" w:hAnsi="宋体" w:cs="宋体"/>
          <w:color w:val="auto"/>
          <w:highlight w:val="none"/>
        </w:rPr>
        <w:t>被授权人签名或盖章：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法定代表人签名或盖章：</w:t>
      </w:r>
      <w:r>
        <w:rPr>
          <w:rFonts w:hint="eastAsia" w:ascii="宋体" w:hAnsi="宋体" w:cs="宋体"/>
          <w:color w:val="auto"/>
          <w:highlight w:val="none"/>
          <w:u w:val="single"/>
        </w:rPr>
        <w:t xml:space="preserve">          </w:t>
      </w:r>
    </w:p>
    <w:p>
      <w:pPr>
        <w:snapToGrid w:val="0"/>
        <w:spacing w:line="360" w:lineRule="auto"/>
        <w:ind w:firstLine="840" w:firstLineChars="400"/>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r>
        <w:rPr>
          <w:rFonts w:hint="eastAsia" w:ascii="宋体" w:hAnsi="宋体" w:cs="宋体"/>
          <w:color w:val="auto"/>
          <w:highlight w:val="none"/>
        </w:rPr>
        <w:t>被授权人身份证号码：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法定代表人身份证号码：</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pStyle w:val="24"/>
        <w:tabs>
          <w:tab w:val="left" w:pos="2472"/>
        </w:tabs>
        <w:snapToGrid w:val="0"/>
        <w:spacing w:beforeLines="0" w:afterLines="0" w:line="360" w:lineRule="auto"/>
        <w:ind w:firstLine="474"/>
        <w:jc w:val="left"/>
        <w:rPr>
          <w:rFonts w:hAnsi="宋体"/>
          <w:color w:val="auto"/>
          <w:sz w:val="21"/>
          <w:szCs w:val="21"/>
          <w:highlight w:val="none"/>
        </w:rPr>
      </w:pPr>
      <w:r>
        <w:rPr>
          <w:rFonts w:hint="eastAsia" w:hAnsi="宋体"/>
          <w:color w:val="auto"/>
          <w:sz w:val="21"/>
          <w:szCs w:val="21"/>
          <w:highlight w:val="none"/>
        </w:rPr>
        <w:t>投标人名称(公章):___________________</w:t>
      </w:r>
    </w:p>
    <w:p>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napToGrid w:val="0"/>
        <w:spacing w:line="360" w:lineRule="auto"/>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pStyle w:val="18"/>
        <w:rPr>
          <w:rFonts w:ascii="宋体" w:hAnsi="宋体" w:cs="宋体"/>
          <w:color w:val="auto"/>
          <w:highlight w:val="none"/>
        </w:rPr>
      </w:pPr>
      <w:r>
        <w:rPr>
          <w:rFonts w:hint="eastAsia" w:ascii="宋体" w:hAnsi="宋体" w:cs="宋体"/>
          <w:color w:val="auto"/>
          <w:highlight w:val="none"/>
        </w:rPr>
        <w:br w:type="page"/>
      </w:r>
    </w:p>
    <w:p>
      <w:pPr>
        <w:pStyle w:val="24"/>
        <w:spacing w:before="156" w:after="156" w:line="240" w:lineRule="auto"/>
        <w:jc w:val="center"/>
        <w:rPr>
          <w:rFonts w:hAnsi="宋体"/>
          <w:b/>
          <w:color w:val="auto"/>
          <w:sz w:val="22"/>
          <w:szCs w:val="22"/>
          <w:highlight w:val="none"/>
        </w:rPr>
      </w:pPr>
      <w:r>
        <w:rPr>
          <w:rFonts w:hint="eastAsia" w:hAnsi="宋体"/>
          <w:b/>
          <w:color w:val="auto"/>
          <w:sz w:val="22"/>
          <w:szCs w:val="22"/>
          <w:highlight w:val="none"/>
        </w:rPr>
        <w:t>联合投标授权委托书</w:t>
      </w:r>
    </w:p>
    <w:p>
      <w:pPr>
        <w:pStyle w:val="19"/>
        <w:spacing w:line="240" w:lineRule="auto"/>
        <w:ind w:left="840" w:leftChars="400" w:firstLine="2222" w:firstLineChars="1100"/>
        <w:rPr>
          <w:rFonts w:hAnsi="宋体"/>
          <w:color w:val="auto"/>
          <w:sz w:val="21"/>
          <w:szCs w:val="21"/>
          <w:highlight w:val="none"/>
        </w:rPr>
      </w:pPr>
      <w:r>
        <w:rPr>
          <w:rFonts w:hint="eastAsia" w:hAnsi="宋体"/>
          <w:color w:val="auto"/>
          <w:sz w:val="21"/>
          <w:szCs w:val="21"/>
          <w:highlight w:val="none"/>
        </w:rPr>
        <w:t>（联合体投标须提供）</w:t>
      </w:r>
    </w:p>
    <w:p>
      <w:pPr>
        <w:pStyle w:val="19"/>
        <w:spacing w:line="480" w:lineRule="auto"/>
        <w:ind w:left="-107" w:leftChars="-51" w:firstLine="404" w:firstLineChars="200"/>
        <w:rPr>
          <w:rFonts w:hAnsi="宋体"/>
          <w:color w:val="auto"/>
          <w:sz w:val="21"/>
          <w:szCs w:val="21"/>
          <w:highlight w:val="none"/>
        </w:rPr>
      </w:pP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本授权委托书声明：根据</w:t>
      </w:r>
      <w:r>
        <w:rPr>
          <w:rFonts w:hint="eastAsia" w:hAnsi="宋体"/>
          <w:color w:val="auto"/>
          <w:sz w:val="21"/>
          <w:szCs w:val="21"/>
          <w:highlight w:val="none"/>
          <w:u w:val="single"/>
        </w:rPr>
        <w:t xml:space="preserve">             </w:t>
      </w:r>
      <w:r>
        <w:rPr>
          <w:rFonts w:hint="eastAsia" w:hAnsi="宋体"/>
          <w:color w:val="auto"/>
          <w:sz w:val="21"/>
          <w:szCs w:val="21"/>
          <w:highlight w:val="none"/>
        </w:rPr>
        <w:t>与</w:t>
      </w:r>
      <w:r>
        <w:rPr>
          <w:rFonts w:hint="eastAsia" w:hAnsi="宋体"/>
          <w:color w:val="auto"/>
          <w:sz w:val="21"/>
          <w:szCs w:val="21"/>
          <w:highlight w:val="none"/>
          <w:u w:val="single"/>
        </w:rPr>
        <w:t xml:space="preserve">             </w:t>
      </w:r>
      <w:r>
        <w:rPr>
          <w:rFonts w:hint="eastAsia" w:hAnsi="宋体"/>
          <w:color w:val="auto"/>
          <w:sz w:val="21"/>
          <w:szCs w:val="21"/>
          <w:highlight w:val="none"/>
        </w:rPr>
        <w:t>签订的《联合投标协议书》的内容，联合体牵头人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的法定代表人</w:t>
      </w:r>
      <w:r>
        <w:rPr>
          <w:rFonts w:hint="eastAsia" w:hAnsi="宋体"/>
          <w:color w:val="auto"/>
          <w:sz w:val="21"/>
          <w:szCs w:val="21"/>
          <w:highlight w:val="none"/>
          <w:u w:val="single"/>
        </w:rPr>
        <w:t xml:space="preserve">            </w:t>
      </w:r>
      <w:r>
        <w:rPr>
          <w:rFonts w:hint="eastAsia" w:hAnsi="宋体"/>
          <w:color w:val="auto"/>
          <w:sz w:val="21"/>
          <w:szCs w:val="21"/>
          <w:highlight w:val="none"/>
        </w:rPr>
        <w:t>现授权</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为联合投标委托代理人，委托代理人在投标、开标、评标、合同谈判过程中所签署的一切文件和处理与这有关的一切事务，联合投标各方均予以认可并遵守。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特此委托。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投标人（盖章）：</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法定代表人（签字或盖章）：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 xml:space="preserve">年  月  日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委托代理人（签字或盖章）；</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年  月  日</w:t>
      </w:r>
    </w:p>
    <w:p>
      <w:pPr>
        <w:pStyle w:val="19"/>
        <w:spacing w:line="480" w:lineRule="auto"/>
        <w:ind w:left="840" w:hanging="420"/>
        <w:rPr>
          <w:rFonts w:hAnsi="宋体"/>
          <w:color w:val="auto"/>
          <w:sz w:val="21"/>
          <w:szCs w:val="21"/>
          <w:highlight w:val="none"/>
        </w:rPr>
      </w:pPr>
    </w:p>
    <w:p>
      <w:pPr>
        <w:pStyle w:val="19"/>
        <w:spacing w:line="480" w:lineRule="auto"/>
        <w:ind w:firstLine="0"/>
        <w:rPr>
          <w:rFonts w:hAnsi="宋体"/>
          <w:b/>
          <w:bCs/>
          <w:color w:val="auto"/>
          <w:sz w:val="21"/>
          <w:szCs w:val="21"/>
          <w:highlight w:val="none"/>
        </w:rPr>
      </w:pPr>
      <w:r>
        <w:rPr>
          <w:rFonts w:hint="eastAsia" w:hAnsi="宋体"/>
          <w:b/>
          <w:bCs/>
          <w:color w:val="auto"/>
          <w:sz w:val="21"/>
          <w:szCs w:val="21"/>
          <w:highlight w:val="none"/>
        </w:rPr>
        <w:t>注：联合体投标的，此委托书由联合体牵头人的法定代表人签署，并加盖联合体牵头人单位章。</w:t>
      </w: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line="360" w:lineRule="auto"/>
        <w:jc w:val="left"/>
        <w:rPr>
          <w:rFonts w:ascii="宋体" w:hAnsi="宋体" w:cs="宋体"/>
          <w:color w:val="auto"/>
          <w:highlight w:val="none"/>
        </w:rPr>
      </w:pPr>
      <w:r>
        <w:rPr>
          <w:rFonts w:hint="eastAsia" w:ascii="宋体" w:hAnsi="宋体" w:cs="宋体"/>
          <w:b/>
          <w:bCs/>
          <w:color w:val="auto"/>
          <w:highlight w:val="none"/>
        </w:rPr>
        <w:br w:type="page"/>
      </w:r>
      <w:r>
        <w:rPr>
          <w:rFonts w:hint="eastAsia" w:ascii="宋体" w:hAnsi="宋体" w:cs="宋体"/>
          <w:color w:val="auto"/>
          <w:highlight w:val="none"/>
        </w:rPr>
        <w:t>（3）商务条款响应（偏离）表</w:t>
      </w:r>
    </w:p>
    <w:p>
      <w:pPr>
        <w:snapToGrid w:val="0"/>
        <w:spacing w:before="50" w:line="360" w:lineRule="auto"/>
        <w:jc w:val="left"/>
        <w:rPr>
          <w:rFonts w:ascii="宋体" w:hAnsi="宋体" w:cs="宋体"/>
          <w:color w:val="auto"/>
          <w:highlight w:val="none"/>
        </w:rPr>
      </w:pPr>
    </w:p>
    <w:p>
      <w:pPr>
        <w:snapToGrid w:val="0"/>
        <w:spacing w:before="50" w:line="360" w:lineRule="auto"/>
        <w:jc w:val="center"/>
        <w:rPr>
          <w:rFonts w:ascii="宋体" w:hAnsi="宋体" w:cs="宋体"/>
          <w:b/>
          <w:bCs/>
          <w:color w:val="auto"/>
          <w:highlight w:val="none"/>
        </w:rPr>
      </w:pPr>
      <w:r>
        <w:rPr>
          <w:rFonts w:hint="eastAsia" w:ascii="宋体" w:hAnsi="宋体" w:cs="宋体"/>
          <w:b/>
          <w:bCs/>
          <w:color w:val="auto"/>
          <w:highlight w:val="none"/>
        </w:rPr>
        <w:t>商务条款响应（偏离）表</w:t>
      </w:r>
    </w:p>
    <w:p>
      <w:pPr>
        <w:snapToGrid w:val="0"/>
        <w:spacing w:before="50" w:line="360" w:lineRule="auto"/>
        <w:jc w:val="center"/>
        <w:rPr>
          <w:rFonts w:ascii="宋体" w:hAnsi="宋体" w:cs="宋体"/>
          <w:color w:val="auto"/>
          <w:highlight w:val="none"/>
        </w:rPr>
      </w:pPr>
    </w:p>
    <w:p>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829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6"/>
        <w:gridCol w:w="2627"/>
        <w:gridCol w:w="1226"/>
        <w:gridCol w:w="2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名称</w:t>
            </w: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是否响应</w:t>
            </w:r>
          </w:p>
        </w:tc>
        <w:tc>
          <w:tcPr>
            <w:tcW w:w="2939" w:type="dxa"/>
            <w:tcBorders>
              <w:top w:val="single" w:color="auto" w:sz="4" w:space="0"/>
              <w:left w:val="single" w:color="auto" w:sz="4" w:space="0"/>
              <w:bottom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bl>
    <w:p>
      <w:pPr>
        <w:snapToGrid w:val="0"/>
        <w:spacing w:before="50"/>
        <w:rPr>
          <w:rFonts w:ascii="宋体" w:hAnsi="宋体" w:cs="宋体"/>
          <w:color w:val="auto"/>
          <w:kern w:val="0"/>
          <w:highlight w:val="none"/>
        </w:rPr>
      </w:pPr>
      <w:r>
        <w:rPr>
          <w:rFonts w:hint="eastAsia" w:ascii="宋体" w:hAnsi="宋体" w:cs="宋体"/>
          <w:color w:val="auto"/>
          <w:highlight w:val="none"/>
        </w:rPr>
        <w:t>注:投标人须按第二章 招标需求</w:t>
      </w:r>
      <w:r>
        <w:rPr>
          <w:rFonts w:hint="eastAsia" w:ascii="宋体" w:hAnsi="宋体" w:cs="宋体"/>
          <w:b/>
          <w:bCs/>
          <w:color w:val="auto"/>
          <w:highlight w:val="none"/>
        </w:rPr>
        <w:t>一、商务要求中</w:t>
      </w:r>
      <w:r>
        <w:rPr>
          <w:rFonts w:hint="eastAsia" w:ascii="宋体" w:hAnsi="宋体" w:cs="宋体"/>
          <w:color w:val="auto"/>
          <w:highlight w:val="none"/>
        </w:rPr>
        <w:t>逐条填写，在说明栏如实填写“正偏离”、“无偏离”或“负偏离”。</w:t>
      </w:r>
    </w:p>
    <w:p>
      <w:pPr>
        <w:snapToGrid w:val="0"/>
        <w:spacing w:before="50"/>
        <w:jc w:val="left"/>
        <w:rPr>
          <w:rFonts w:ascii="宋体" w:hAnsi="宋体" w:cs="宋体"/>
          <w:color w:val="auto"/>
          <w:highlight w:val="none"/>
        </w:rPr>
      </w:pPr>
    </w:p>
    <w:p>
      <w:pPr>
        <w:snapToGrid w:val="0"/>
        <w:spacing w:before="50"/>
        <w:jc w:val="left"/>
        <w:rPr>
          <w:rFonts w:ascii="宋体" w:hAnsi="宋体" w:cs="宋体"/>
          <w:color w:val="auto"/>
          <w:highlight w:val="none"/>
        </w:rPr>
      </w:pPr>
    </w:p>
    <w:p>
      <w:pPr>
        <w:snapToGrid w:val="0"/>
        <w:spacing w:before="50"/>
        <w:jc w:val="left"/>
        <w:rPr>
          <w:rFonts w:ascii="宋体" w:hAnsi="宋体" w:cs="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50" w:after="156" w:afterLines="50"/>
        <w:jc w:val="left"/>
        <w:rPr>
          <w:rFonts w:ascii="宋体" w:hAnsi="宋体" w:cs="宋体"/>
          <w:color w:val="auto"/>
          <w:highlight w:val="none"/>
        </w:rPr>
      </w:pPr>
      <w:r>
        <w:rPr>
          <w:rFonts w:hint="eastAsia" w:ascii="宋体" w:hAnsi="宋体" w:cs="宋体"/>
          <w:color w:val="auto"/>
          <w:highlight w:val="none"/>
        </w:rPr>
        <w:t>日期:_____年___月___日</w:t>
      </w: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r>
        <w:rPr>
          <w:rFonts w:hint="eastAsia" w:ascii="宋体" w:hAnsi="宋体" w:cs="宋体"/>
          <w:b/>
          <w:bCs/>
          <w:color w:val="auto"/>
          <w:highlight w:val="none"/>
        </w:rPr>
        <w:t>注：联合体投标的，可只由联合体牵头人盖章。</w:t>
      </w:r>
    </w:p>
    <w:p>
      <w:pPr>
        <w:snapToGrid w:val="0"/>
        <w:spacing w:before="50" w:after="156" w:afterLines="50"/>
        <w:jc w:val="left"/>
        <w:rPr>
          <w:rFonts w:ascii="宋体" w:hAnsi="宋体" w:cs="宋体"/>
          <w:color w:val="auto"/>
          <w:highlight w:val="none"/>
        </w:rPr>
      </w:pPr>
    </w:p>
    <w:p>
      <w:pPr>
        <w:snapToGrid w:val="0"/>
        <w:spacing w:before="50" w:line="360" w:lineRule="auto"/>
        <w:jc w:val="left"/>
        <w:rPr>
          <w:rFonts w:ascii="宋体" w:hAnsi="宋体" w:cs="宋体"/>
          <w:color w:val="auto"/>
          <w:highlight w:val="none"/>
        </w:rPr>
      </w:pPr>
      <w:r>
        <w:rPr>
          <w:rFonts w:hint="eastAsia" w:ascii="宋体" w:hAnsi="宋体" w:cs="宋体"/>
          <w:color w:val="auto"/>
          <w:highlight w:val="none"/>
        </w:rPr>
        <w:t>（4）技术条款响应（偏离）表</w:t>
      </w:r>
    </w:p>
    <w:p>
      <w:pPr>
        <w:spacing w:line="400" w:lineRule="exact"/>
        <w:jc w:val="center"/>
        <w:rPr>
          <w:rFonts w:ascii="宋体" w:hAnsi="宋体" w:cs="宋体"/>
          <w:b/>
          <w:bCs/>
          <w:color w:val="auto"/>
          <w:highlight w:val="none"/>
        </w:rPr>
      </w:pPr>
      <w:r>
        <w:rPr>
          <w:rFonts w:hint="eastAsia" w:ascii="宋体" w:hAnsi="宋体" w:cs="宋体"/>
          <w:b/>
          <w:bCs/>
          <w:color w:val="auto"/>
          <w:highlight w:val="none"/>
        </w:rPr>
        <w:t>技术条款响应（偏离）表</w:t>
      </w:r>
    </w:p>
    <w:p>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336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招标文件</w:t>
            </w:r>
          </w:p>
          <w:p>
            <w:pPr>
              <w:spacing w:line="400" w:lineRule="exact"/>
              <w:jc w:val="center"/>
              <w:rPr>
                <w:rFonts w:ascii="宋体" w:hAnsi="宋体" w:cs="宋体"/>
                <w:color w:val="auto"/>
                <w:highlight w:val="none"/>
              </w:rPr>
            </w:pPr>
            <w:r>
              <w:rPr>
                <w:rFonts w:hint="eastAsia" w:ascii="宋体" w:hAnsi="宋体" w:cs="宋体"/>
                <w:color w:val="auto"/>
                <w:highlight w:val="none"/>
              </w:rPr>
              <w:t>技术规格、要求</w:t>
            </w:r>
          </w:p>
        </w:tc>
        <w:tc>
          <w:tcPr>
            <w:tcW w:w="2908"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投标文件</w:t>
            </w:r>
          </w:p>
          <w:p>
            <w:pPr>
              <w:spacing w:line="400" w:lineRule="exact"/>
              <w:jc w:val="center"/>
              <w:rPr>
                <w:rFonts w:ascii="宋体" w:hAnsi="宋体" w:cs="宋体"/>
                <w:color w:val="auto"/>
                <w:highlight w:val="none"/>
              </w:rPr>
            </w:pPr>
            <w:r>
              <w:rPr>
                <w:rFonts w:hint="eastAsia" w:ascii="宋体" w:hAnsi="宋体" w:cs="宋体"/>
                <w:color w:val="auto"/>
                <w:highlight w:val="none"/>
              </w:rPr>
              <w:t>对应规格</w:t>
            </w:r>
          </w:p>
        </w:tc>
        <w:tc>
          <w:tcPr>
            <w:tcW w:w="1578"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bl>
    <w:p>
      <w:pPr>
        <w:snapToGrid w:val="0"/>
        <w:spacing w:before="50"/>
        <w:rPr>
          <w:rFonts w:ascii="宋体" w:hAnsi="宋体" w:cs="宋体"/>
          <w:color w:val="auto"/>
          <w:kern w:val="0"/>
          <w:highlight w:val="none"/>
        </w:rPr>
      </w:pPr>
      <w:r>
        <w:rPr>
          <w:rFonts w:hint="eastAsia" w:ascii="宋体" w:hAnsi="宋体" w:cs="宋体"/>
          <w:color w:val="auto"/>
          <w:highlight w:val="none"/>
        </w:rPr>
        <w:t>注：注:投标人须按第二章 招标需求</w:t>
      </w:r>
      <w:r>
        <w:rPr>
          <w:rFonts w:hint="eastAsia" w:ascii="宋体" w:hAnsi="宋体" w:cs="宋体"/>
          <w:b/>
          <w:bCs/>
          <w:color w:val="auto"/>
          <w:highlight w:val="none"/>
        </w:rPr>
        <w:t>二、技术需求</w:t>
      </w:r>
      <w:r>
        <w:rPr>
          <w:rFonts w:hint="eastAsia" w:ascii="宋体" w:hAnsi="宋体" w:cs="宋体"/>
          <w:color w:val="auto"/>
          <w:highlight w:val="none"/>
        </w:rPr>
        <w:t>逐条填写，在说明栏如实填写“正偏离”、“无偏离”或“负偏离”。</w:t>
      </w:r>
    </w:p>
    <w:p>
      <w:pPr>
        <w:spacing w:line="400" w:lineRule="exact"/>
        <w:rPr>
          <w:rFonts w:ascii="宋体" w:hAnsi="宋体" w:cs="宋体"/>
          <w:color w:val="auto"/>
          <w:highlight w:val="none"/>
        </w:rPr>
      </w:pPr>
      <w:r>
        <w:rPr>
          <w:rFonts w:hint="eastAsia" w:ascii="宋体" w:hAnsi="宋体" w:cs="宋体"/>
          <w:color w:val="auto"/>
          <w:highlight w:val="none"/>
        </w:rPr>
        <w:t>投标人（盖章）：</w:t>
      </w:r>
    </w:p>
    <w:p>
      <w:pPr>
        <w:pStyle w:val="19"/>
        <w:spacing w:line="360" w:lineRule="exact"/>
        <w:ind w:firstLine="0"/>
        <w:jc w:val="left"/>
        <w:rPr>
          <w:rFonts w:hAnsi="宋体"/>
          <w:color w:val="auto"/>
          <w:spacing w:val="6"/>
          <w:sz w:val="21"/>
          <w:szCs w:val="21"/>
          <w:highlight w:val="none"/>
        </w:rPr>
      </w:pPr>
      <w:r>
        <w:rPr>
          <w:rFonts w:hint="eastAsia" w:hAnsi="宋体"/>
          <w:color w:val="auto"/>
          <w:sz w:val="21"/>
          <w:szCs w:val="21"/>
          <w:highlight w:val="none"/>
        </w:rPr>
        <w:t>日  期：</w:t>
      </w:r>
    </w:p>
    <w:p>
      <w:pPr>
        <w:snapToGrid w:val="0"/>
        <w:spacing w:before="50" w:after="156" w:afterLines="50"/>
        <w:jc w:val="left"/>
        <w:rPr>
          <w:rFonts w:ascii="宋体" w:hAnsi="宋体" w:cs="宋体"/>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pPr>
        <w:pStyle w:val="57"/>
        <w:rPr>
          <w:rFonts w:cs="宋体"/>
          <w:b/>
          <w:bCs/>
          <w:color w:val="auto"/>
          <w:highlight w:val="none"/>
        </w:rPr>
      </w:pPr>
    </w:p>
    <w:p>
      <w:pPr>
        <w:pStyle w:val="57"/>
        <w:rPr>
          <w:rFonts w:cs="宋体"/>
          <w:b/>
          <w:bCs/>
          <w:color w:val="auto"/>
          <w:highlight w:val="none"/>
        </w:rPr>
      </w:pPr>
    </w:p>
    <w:p>
      <w:pPr>
        <w:pStyle w:val="57"/>
        <w:rPr>
          <w:rFonts w:cs="宋体"/>
          <w:b/>
          <w:bCs/>
          <w:color w:val="auto"/>
          <w:highlight w:val="none"/>
        </w:rPr>
      </w:pPr>
    </w:p>
    <w:p>
      <w:pPr>
        <w:pStyle w:val="57"/>
        <w:ind w:firstLine="0"/>
        <w:rPr>
          <w:rFonts w:cs="宋体"/>
          <w:b/>
          <w:bCs/>
          <w:color w:val="auto"/>
          <w:highlight w:val="none"/>
        </w:rPr>
      </w:pPr>
    </w:p>
    <w:p>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(5)技术需求中要求提供的证明资料（加盖公章）；</w:t>
      </w:r>
    </w:p>
    <w:p>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(6)供货方案；</w:t>
      </w:r>
    </w:p>
    <w:p>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(7)安装与验收方案；</w:t>
      </w:r>
    </w:p>
    <w:p>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(8)售后服务；</w:t>
      </w:r>
    </w:p>
    <w:p>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(9)培训方案；</w:t>
      </w:r>
    </w:p>
    <w:p>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(10)维修成本方案；</w:t>
      </w:r>
    </w:p>
    <w:p>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(11)投标人所投产品的节能环保产品认证证书复印件及所投产品属于“节能产品政府采购清单”中所列产品的相关证明资料或截图（如有请提供，加盖公章）；</w:t>
      </w:r>
    </w:p>
    <w:p>
      <w:pPr>
        <w:snapToGrid w:val="0"/>
        <w:spacing w:after="156" w:afterLines="50" w:line="360" w:lineRule="auto"/>
        <w:jc w:val="left"/>
        <w:rPr>
          <w:rFonts w:ascii="宋体" w:hAnsi="宋体" w:cs="宋体"/>
          <w:b/>
          <w:bCs/>
          <w:color w:val="auto"/>
          <w:highlight w:val="none"/>
        </w:rPr>
        <w:sectPr>
          <w:headerReference r:id="rId7" w:type="default"/>
          <w:footerReference r:id="rId8" w:type="default"/>
          <w:pgSz w:w="11906" w:h="16838"/>
          <w:pgMar w:top="1474" w:right="1797" w:bottom="1247" w:left="1797" w:header="851" w:footer="851" w:gutter="0"/>
          <w:cols w:space="720" w:num="1"/>
          <w:docGrid w:type="lines" w:linePitch="312" w:charSpace="0"/>
        </w:sectPr>
      </w:pPr>
    </w:p>
    <w:p>
      <w:pPr>
        <w:snapToGrid w:val="0"/>
        <w:spacing w:after="156" w:afterLines="50" w:line="360" w:lineRule="auto"/>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）业绩一览表</w:t>
      </w:r>
    </w:p>
    <w:p>
      <w:pPr>
        <w:snapToGrid w:val="0"/>
        <w:spacing w:after="156" w:afterLines="50" w:line="360" w:lineRule="auto"/>
        <w:jc w:val="center"/>
        <w:rPr>
          <w:rFonts w:ascii="宋体" w:hAnsi="宋体" w:cs="宋体"/>
          <w:b/>
          <w:bCs/>
          <w:color w:val="auto"/>
          <w:highlight w:val="none"/>
        </w:rPr>
      </w:pPr>
      <w:r>
        <w:rPr>
          <w:rFonts w:hint="eastAsia" w:ascii="宋体" w:hAnsi="宋体" w:cs="宋体"/>
          <w:b/>
          <w:bCs/>
          <w:color w:val="auto"/>
          <w:highlight w:val="none"/>
        </w:rPr>
        <w:t>业绩一览表</w:t>
      </w:r>
    </w:p>
    <w:p>
      <w:pPr>
        <w:pStyle w:val="36"/>
        <w:snapToGrid w:val="0"/>
        <w:spacing w:line="360" w:lineRule="auto"/>
        <w:ind w:left="420" w:hanging="420"/>
        <w:rPr>
          <w:rFonts w:ascii="宋体" w:hAnsi="宋体" w:cs="宋体"/>
          <w:color w:val="auto"/>
          <w:sz w:val="21"/>
          <w:highlight w:val="none"/>
        </w:rPr>
      </w:pPr>
      <w:r>
        <w:rPr>
          <w:rFonts w:hint="eastAsia" w:ascii="宋体" w:hAnsi="宋体" w:cs="宋体"/>
          <w:color w:val="auto"/>
          <w:sz w:val="21"/>
          <w:highlight w:val="none"/>
        </w:rPr>
        <w:t>（投标人同类项目合同复印件）</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合同</w:t>
            </w:r>
          </w:p>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金额</w:t>
            </w:r>
          </w:p>
          <w:p>
            <w:pPr>
              <w:snapToGrid w:val="0"/>
              <w:spacing w:line="400" w:lineRule="exact"/>
              <w:jc w:val="center"/>
              <w:rPr>
                <w:rFonts w:ascii="宋体" w:hAnsi="宋体" w:cs="宋体"/>
                <w:color w:val="auto"/>
                <w:highlight w:val="none"/>
              </w:rPr>
            </w:pPr>
            <w:r>
              <w:rPr>
                <w:rFonts w:hint="eastAsia" w:ascii="宋体" w:hAnsi="宋体" w:cs="宋体"/>
                <w:color w:val="auto"/>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采购人联系人及</w:t>
            </w:r>
          </w:p>
          <w:p>
            <w:pPr>
              <w:snapToGrid w:val="0"/>
              <w:spacing w:line="400" w:lineRule="exact"/>
              <w:jc w:val="center"/>
              <w:rPr>
                <w:rFonts w:ascii="宋体" w:hAnsi="宋体" w:cs="宋体"/>
                <w:color w:val="auto"/>
                <w:highlight w:val="none"/>
              </w:rPr>
            </w:pPr>
            <w:r>
              <w:rPr>
                <w:rFonts w:hint="eastAsia" w:ascii="宋体" w:hAnsi="宋体" w:cs="宋体"/>
                <w:color w:val="auto"/>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bl>
    <w:p>
      <w:pPr>
        <w:pStyle w:val="14"/>
        <w:snapToGrid w:val="0"/>
        <w:rPr>
          <w:rFonts w:ascii="宋体" w:hAnsi="宋体" w:eastAsia="宋体" w:cs="宋体"/>
          <w:color w:val="auto"/>
          <w:sz w:val="21"/>
          <w:szCs w:val="21"/>
          <w:highlight w:val="none"/>
        </w:rPr>
      </w:pPr>
    </w:p>
    <w:p>
      <w:pPr>
        <w:pStyle w:val="24"/>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pacing w:line="360" w:lineRule="auto"/>
        <w:rPr>
          <w:rFonts w:ascii="宋体" w:hAnsi="宋体" w:cs="宋体"/>
          <w:color w:val="auto"/>
          <w:highlight w:val="none"/>
        </w:rPr>
      </w:pPr>
    </w:p>
    <w:p>
      <w:pPr>
        <w:tabs>
          <w:tab w:val="left" w:pos="420"/>
        </w:tabs>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)其他采购需求或评分标准所需资料。</w:t>
      </w:r>
    </w:p>
    <w:p>
      <w:pPr>
        <w:snapToGrid w:val="0"/>
        <w:spacing w:before="50" w:line="360" w:lineRule="auto"/>
        <w:jc w:val="left"/>
        <w:rPr>
          <w:rFonts w:ascii="宋体" w:hAnsi="宋体" w:cs="宋体"/>
          <w:color w:val="auto"/>
          <w:highlight w:val="none"/>
        </w:rPr>
      </w:pPr>
    </w:p>
    <w:sectPr>
      <w:pgSz w:w="16838" w:h="11906" w:orient="landscape"/>
      <w:pgMar w:top="1797" w:right="1474" w:bottom="179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3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pPr>
                      <w:pStyle w:val="3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0"/>
          <w:jc w:val="center"/>
        </w:pPr>
        <w:r>
          <w:fldChar w:fldCharType="begin"/>
        </w:r>
        <w:r>
          <w:instrText xml:space="preserve">PAGE   \* MERGEFORMAT</w:instrText>
        </w:r>
        <w:r>
          <w:fldChar w:fldCharType="separate"/>
        </w:r>
        <w:r>
          <w:rPr>
            <w:lang w:val="zh-CN"/>
          </w:rPr>
          <w:t>47</w:t>
        </w:r>
        <w:r>
          <w:rPr>
            <w:lang w:val="zh-CN"/>
          </w:rPr>
          <w:fldChar w:fldCharType="end"/>
        </w:r>
      </w:p>
    </w:sdtContent>
  </w:sdt>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0B962"/>
    <w:multiLevelType w:val="singleLevel"/>
    <w:tmpl w:val="89B0B962"/>
    <w:lvl w:ilvl="0" w:tentative="0">
      <w:start w:val="1"/>
      <w:numFmt w:val="decimal"/>
      <w:lvlText w:val="(%1)"/>
      <w:lvlJc w:val="left"/>
      <w:pPr>
        <w:ind w:left="851" w:hanging="425"/>
      </w:pPr>
      <w:rPr>
        <w:rFonts w:hint="default"/>
      </w:rPr>
    </w:lvl>
  </w:abstractNum>
  <w:abstractNum w:abstractNumId="1">
    <w:nsid w:val="A3E5DC1E"/>
    <w:multiLevelType w:val="singleLevel"/>
    <w:tmpl w:val="A3E5DC1E"/>
    <w:lvl w:ilvl="0" w:tentative="0">
      <w:start w:val="1"/>
      <w:numFmt w:val="chineseCounting"/>
      <w:suff w:val="nothing"/>
      <w:lvlText w:val="%1、"/>
      <w:lvlJc w:val="left"/>
      <w:rPr>
        <w:rFonts w:hint="eastAsia" w:ascii="宋体" w:hAnsi="宋体" w:eastAsia="宋体" w:cs="宋体"/>
        <w:b/>
        <w:bCs/>
      </w:rPr>
    </w:lvl>
  </w:abstractNum>
  <w:abstractNum w:abstractNumId="2">
    <w:nsid w:val="A9A64E31"/>
    <w:multiLevelType w:val="singleLevel"/>
    <w:tmpl w:val="A9A64E31"/>
    <w:lvl w:ilvl="0" w:tentative="0">
      <w:start w:val="1"/>
      <w:numFmt w:val="decimal"/>
      <w:lvlText w:val="(%1)"/>
      <w:lvlJc w:val="left"/>
      <w:pPr>
        <w:tabs>
          <w:tab w:val="left" w:pos="840"/>
        </w:tabs>
        <w:ind w:left="845" w:hanging="425"/>
      </w:pPr>
      <w:rPr>
        <w:rFonts w:hint="default"/>
      </w:rPr>
    </w:lvl>
  </w:abstractNum>
  <w:abstractNum w:abstractNumId="3">
    <w:nsid w:val="FFFFFF7E"/>
    <w:multiLevelType w:val="singleLevel"/>
    <w:tmpl w:val="FFFFFF7E"/>
    <w:lvl w:ilvl="0" w:tentative="0">
      <w:start w:val="1"/>
      <w:numFmt w:val="decimal"/>
      <w:lvlText w:val="%1."/>
      <w:lvlJc w:val="left"/>
      <w:pPr>
        <w:tabs>
          <w:tab w:val="left" w:pos="1200"/>
        </w:tabs>
        <w:ind w:left="1200" w:hanging="360"/>
      </w:pPr>
    </w:lvl>
  </w:abstractNum>
  <w:abstractNum w:abstractNumId="4">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5">
    <w:nsid w:val="00000005"/>
    <w:multiLevelType w:val="multilevel"/>
    <w:tmpl w:val="00000005"/>
    <w:lvl w:ilvl="0" w:tentative="0">
      <w:start w:val="1"/>
      <w:numFmt w:val="japaneseCounting"/>
      <w:pStyle w:val="58"/>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6">
    <w:nsid w:val="00000007"/>
    <w:multiLevelType w:val="singleLevel"/>
    <w:tmpl w:val="00000007"/>
    <w:lvl w:ilvl="0" w:tentative="0">
      <w:start w:val="1"/>
      <w:numFmt w:val="chineseCounting"/>
      <w:pStyle w:val="326"/>
      <w:suff w:val="nothing"/>
      <w:lvlText w:val="%1、"/>
      <w:lvlJc w:val="left"/>
    </w:lvl>
  </w:abstractNum>
  <w:abstractNum w:abstractNumId="7">
    <w:nsid w:val="0000000C"/>
    <w:multiLevelType w:val="singleLevel"/>
    <w:tmpl w:val="0000000C"/>
    <w:lvl w:ilvl="0" w:tentative="0">
      <w:start w:val="11"/>
      <w:numFmt w:val="decimal"/>
      <w:suff w:val="nothing"/>
      <w:lvlText w:val="%1."/>
      <w:lvlJc w:val="left"/>
    </w:lvl>
  </w:abstractNum>
  <w:abstractNum w:abstractNumId="8">
    <w:nsid w:val="0000000D"/>
    <w:multiLevelType w:val="singleLevel"/>
    <w:tmpl w:val="0000000D"/>
    <w:lvl w:ilvl="0" w:tentative="0">
      <w:start w:val="1"/>
      <w:numFmt w:val="decimal"/>
      <w:lvlText w:val="%1."/>
      <w:lvlJc w:val="left"/>
      <w:pPr>
        <w:tabs>
          <w:tab w:val="left" w:pos="1200"/>
        </w:tabs>
        <w:ind w:left="1200" w:hanging="360"/>
      </w:pPr>
    </w:lvl>
  </w:abstractNum>
  <w:abstractNum w:abstractNumId="9">
    <w:nsid w:val="00000015"/>
    <w:multiLevelType w:val="singleLevel"/>
    <w:tmpl w:val="00000015"/>
    <w:lvl w:ilvl="0" w:tentative="0">
      <w:start w:val="2"/>
      <w:numFmt w:val="decimal"/>
      <w:suff w:val="nothing"/>
      <w:lvlText w:val="%1、"/>
      <w:lvlJc w:val="left"/>
    </w:lvl>
  </w:abstractNum>
  <w:abstractNum w:abstractNumId="10">
    <w:nsid w:val="0000001F"/>
    <w:multiLevelType w:val="multilevel"/>
    <w:tmpl w:val="0000001F"/>
    <w:lvl w:ilvl="0" w:tentative="0">
      <w:start w:val="1"/>
      <w:numFmt w:val="decimal"/>
      <w:pStyle w:val="15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E5A4BA2"/>
    <w:multiLevelType w:val="multilevel"/>
    <w:tmpl w:val="0E5A4BA2"/>
    <w:lvl w:ilvl="0" w:tentative="0">
      <w:start w:val="1"/>
      <w:numFmt w:val="chineseCountingThousand"/>
      <w:pStyle w:val="149"/>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6"/>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2">
    <w:nsid w:val="113ACB04"/>
    <w:multiLevelType w:val="singleLevel"/>
    <w:tmpl w:val="113ACB04"/>
    <w:lvl w:ilvl="0" w:tentative="0">
      <w:start w:val="3"/>
      <w:numFmt w:val="chineseCounting"/>
      <w:suff w:val="space"/>
      <w:lvlText w:val="第%1章"/>
      <w:lvlJc w:val="left"/>
      <w:rPr>
        <w:rFonts w:hint="eastAsia"/>
      </w:rPr>
    </w:lvl>
  </w:abstractNum>
  <w:abstractNum w:abstractNumId="13">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9D120CC"/>
    <w:multiLevelType w:val="singleLevel"/>
    <w:tmpl w:val="29D120CC"/>
    <w:lvl w:ilvl="0" w:tentative="0">
      <w:start w:val="1"/>
      <w:numFmt w:val="decimal"/>
      <w:suff w:val="nothing"/>
      <w:lvlText w:val="（%1）"/>
      <w:lvlJc w:val="left"/>
    </w:lvl>
  </w:abstractNum>
  <w:abstractNum w:abstractNumId="15">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7"/>
      <w:lvlText w:val=""/>
      <w:lvlJc w:val="left"/>
      <w:pPr>
        <w:tabs>
          <w:tab w:val="left" w:pos="760"/>
        </w:tabs>
        <w:ind w:left="1264" w:hanging="413"/>
      </w:pPr>
      <w:rPr>
        <w:rFonts w:hint="default" w:ascii="Symbol" w:hAnsi="Symbol" w:cs="Symbol"/>
        <w:color w:val="auto"/>
      </w:rPr>
    </w:lvl>
    <w:lvl w:ilvl="2" w:tentative="0">
      <w:start w:val="1"/>
      <w:numFmt w:val="bullet"/>
      <w:pStyle w:val="21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6">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67CFDD7"/>
    <w:multiLevelType w:val="singleLevel"/>
    <w:tmpl w:val="567CFDD7"/>
    <w:lvl w:ilvl="0" w:tentative="0">
      <w:start w:val="1"/>
      <w:numFmt w:val="decimal"/>
      <w:suff w:val="nothing"/>
      <w:lvlText w:val="%1、"/>
      <w:lvlJc w:val="left"/>
    </w:lvl>
  </w:abstractNum>
  <w:abstractNum w:abstractNumId="18">
    <w:nsid w:val="67648240"/>
    <w:multiLevelType w:val="singleLevel"/>
    <w:tmpl w:val="67648240"/>
    <w:lvl w:ilvl="0" w:tentative="0">
      <w:start w:val="1"/>
      <w:numFmt w:val="decimal"/>
      <w:lvlText w:val="(%1)"/>
      <w:lvlJc w:val="left"/>
      <w:pPr>
        <w:ind w:left="851" w:hanging="425"/>
      </w:pPr>
      <w:rPr>
        <w:rFonts w:hint="default"/>
      </w:r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8"/>
  </w:num>
  <w:num w:numId="7">
    <w:abstractNumId w:val="6"/>
  </w:num>
  <w:num w:numId="8">
    <w:abstractNumId w:val="1"/>
  </w:num>
  <w:num w:numId="9">
    <w:abstractNumId w:val="12"/>
  </w:num>
  <w:num w:numId="10">
    <w:abstractNumId w:val="18"/>
  </w:num>
  <w:num w:numId="11">
    <w:abstractNumId w:val="0"/>
  </w:num>
  <w:num w:numId="12">
    <w:abstractNumId w:val="2"/>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NWM2ZDA5ODkwMzRlMGQ1YTk4ZmI3ZDIxNDgyMjBmMjUifQ=="/>
    <w:docVar w:name="CurUserName" w:val="??¡ì??? ???¡ì??? 1???????¡ì?????¡ì????¡ì???H1h1Level 1 Topic HeadingH11H12H111H13H1... Char"/>
    <w:docVar w:name="DeleteMarces" w:val="?¡ì?????????¡ì?¡ì???~????b ?~??????¡§????"/>
    <w:docVar w:name="DocName" w:val="w:rsidR"/>
    <w:docVar w:name="KSO_WPS_MARK_KEY" w:val="6c0b58d6-e4ea-451d-bab8-c039a80a11d4"/>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64120"/>
    <w:rsid w:val="00066EBC"/>
    <w:rsid w:val="00070469"/>
    <w:rsid w:val="0007142A"/>
    <w:rsid w:val="00071A95"/>
    <w:rsid w:val="00073020"/>
    <w:rsid w:val="000738F4"/>
    <w:rsid w:val="00073E34"/>
    <w:rsid w:val="00074256"/>
    <w:rsid w:val="000803DB"/>
    <w:rsid w:val="0008192E"/>
    <w:rsid w:val="0008431C"/>
    <w:rsid w:val="00090C82"/>
    <w:rsid w:val="00090EC1"/>
    <w:rsid w:val="00091F00"/>
    <w:rsid w:val="00093C91"/>
    <w:rsid w:val="00093EC1"/>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F2188"/>
    <w:rsid w:val="000F2D65"/>
    <w:rsid w:val="000F3F73"/>
    <w:rsid w:val="000F5421"/>
    <w:rsid w:val="000F5648"/>
    <w:rsid w:val="000F598A"/>
    <w:rsid w:val="000F7912"/>
    <w:rsid w:val="00100F91"/>
    <w:rsid w:val="001010CE"/>
    <w:rsid w:val="00101AE9"/>
    <w:rsid w:val="00102782"/>
    <w:rsid w:val="00103334"/>
    <w:rsid w:val="001055CA"/>
    <w:rsid w:val="001104E3"/>
    <w:rsid w:val="00112436"/>
    <w:rsid w:val="001136FC"/>
    <w:rsid w:val="001174E0"/>
    <w:rsid w:val="00120E07"/>
    <w:rsid w:val="00121864"/>
    <w:rsid w:val="001224BE"/>
    <w:rsid w:val="00130D10"/>
    <w:rsid w:val="00131C44"/>
    <w:rsid w:val="001341A1"/>
    <w:rsid w:val="00135135"/>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21C8"/>
    <w:rsid w:val="0019386F"/>
    <w:rsid w:val="00197508"/>
    <w:rsid w:val="001A0A83"/>
    <w:rsid w:val="001A2A45"/>
    <w:rsid w:val="001A2B1C"/>
    <w:rsid w:val="001A5E8D"/>
    <w:rsid w:val="001A6884"/>
    <w:rsid w:val="001A7EA7"/>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3F39"/>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528C"/>
    <w:rsid w:val="003D7B39"/>
    <w:rsid w:val="003E05CB"/>
    <w:rsid w:val="003E1A91"/>
    <w:rsid w:val="003E32D8"/>
    <w:rsid w:val="003E40E5"/>
    <w:rsid w:val="003E4B56"/>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B57"/>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C6ADC"/>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C3388"/>
    <w:rsid w:val="006C3420"/>
    <w:rsid w:val="006C3E04"/>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07DA"/>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22F2"/>
    <w:rsid w:val="00773232"/>
    <w:rsid w:val="007735B6"/>
    <w:rsid w:val="0077451F"/>
    <w:rsid w:val="00776DB9"/>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5B8E"/>
    <w:rsid w:val="007F6240"/>
    <w:rsid w:val="007F71BE"/>
    <w:rsid w:val="0080141A"/>
    <w:rsid w:val="008019F1"/>
    <w:rsid w:val="0080239E"/>
    <w:rsid w:val="00802B71"/>
    <w:rsid w:val="008033AB"/>
    <w:rsid w:val="00803CEB"/>
    <w:rsid w:val="00804163"/>
    <w:rsid w:val="008041AB"/>
    <w:rsid w:val="00805878"/>
    <w:rsid w:val="00807B04"/>
    <w:rsid w:val="008102F1"/>
    <w:rsid w:val="00811461"/>
    <w:rsid w:val="00815A72"/>
    <w:rsid w:val="008163CB"/>
    <w:rsid w:val="00816A8B"/>
    <w:rsid w:val="008176F5"/>
    <w:rsid w:val="008244DD"/>
    <w:rsid w:val="0083050D"/>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67F"/>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2A0E"/>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A2E"/>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6135B"/>
    <w:rsid w:val="00A637B2"/>
    <w:rsid w:val="00A63D08"/>
    <w:rsid w:val="00A64CAB"/>
    <w:rsid w:val="00A6552A"/>
    <w:rsid w:val="00A67931"/>
    <w:rsid w:val="00A702D7"/>
    <w:rsid w:val="00A70E22"/>
    <w:rsid w:val="00A7192B"/>
    <w:rsid w:val="00A7475B"/>
    <w:rsid w:val="00A7499F"/>
    <w:rsid w:val="00A74E9A"/>
    <w:rsid w:val="00A76B86"/>
    <w:rsid w:val="00A77C6B"/>
    <w:rsid w:val="00A81520"/>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12A1"/>
    <w:rsid w:val="00BF2C17"/>
    <w:rsid w:val="00BF316E"/>
    <w:rsid w:val="00BF5698"/>
    <w:rsid w:val="00BF6F1B"/>
    <w:rsid w:val="00BF725C"/>
    <w:rsid w:val="00C030DE"/>
    <w:rsid w:val="00C04144"/>
    <w:rsid w:val="00C0620E"/>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2F3F"/>
    <w:rsid w:val="00C9593A"/>
    <w:rsid w:val="00C962D5"/>
    <w:rsid w:val="00CA03CE"/>
    <w:rsid w:val="00CA3B06"/>
    <w:rsid w:val="00CA3B70"/>
    <w:rsid w:val="00CA6646"/>
    <w:rsid w:val="00CA7746"/>
    <w:rsid w:val="00CB0C4F"/>
    <w:rsid w:val="00CB1EB4"/>
    <w:rsid w:val="00CB228C"/>
    <w:rsid w:val="00CB2BE6"/>
    <w:rsid w:val="00CB5D63"/>
    <w:rsid w:val="00CB5E4F"/>
    <w:rsid w:val="00CB67A5"/>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1A80"/>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54CA"/>
    <w:rsid w:val="00D55B94"/>
    <w:rsid w:val="00D565A3"/>
    <w:rsid w:val="00D623DE"/>
    <w:rsid w:val="00D62D26"/>
    <w:rsid w:val="00D63F97"/>
    <w:rsid w:val="00D64AE1"/>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1730"/>
    <w:rsid w:val="00E645F8"/>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1C0E"/>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AC6"/>
    <w:rsid w:val="00F020E9"/>
    <w:rsid w:val="00F03DA5"/>
    <w:rsid w:val="00F04918"/>
    <w:rsid w:val="00F06544"/>
    <w:rsid w:val="00F075F0"/>
    <w:rsid w:val="00F079B6"/>
    <w:rsid w:val="00F11360"/>
    <w:rsid w:val="00F113F4"/>
    <w:rsid w:val="00F13A10"/>
    <w:rsid w:val="00F17091"/>
    <w:rsid w:val="00F21961"/>
    <w:rsid w:val="00F21A4F"/>
    <w:rsid w:val="00F23699"/>
    <w:rsid w:val="00F24F02"/>
    <w:rsid w:val="00F263DB"/>
    <w:rsid w:val="00F263E1"/>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22B2"/>
    <w:rsid w:val="00FD37FF"/>
    <w:rsid w:val="00FD621C"/>
    <w:rsid w:val="00FD7A59"/>
    <w:rsid w:val="00FE0D61"/>
    <w:rsid w:val="00FE0DCB"/>
    <w:rsid w:val="00FE2153"/>
    <w:rsid w:val="00FE7F73"/>
    <w:rsid w:val="00FF41FB"/>
    <w:rsid w:val="00FF4F3C"/>
    <w:rsid w:val="00FF6365"/>
    <w:rsid w:val="010333FC"/>
    <w:rsid w:val="01112584"/>
    <w:rsid w:val="011253ED"/>
    <w:rsid w:val="012F41F1"/>
    <w:rsid w:val="01317F69"/>
    <w:rsid w:val="01325A8F"/>
    <w:rsid w:val="013B4944"/>
    <w:rsid w:val="01456A08"/>
    <w:rsid w:val="014A102B"/>
    <w:rsid w:val="014D0B1B"/>
    <w:rsid w:val="015123B9"/>
    <w:rsid w:val="01541EA9"/>
    <w:rsid w:val="017240DE"/>
    <w:rsid w:val="01763BCE"/>
    <w:rsid w:val="017F049C"/>
    <w:rsid w:val="01877B89"/>
    <w:rsid w:val="018A58CB"/>
    <w:rsid w:val="018C1643"/>
    <w:rsid w:val="01934780"/>
    <w:rsid w:val="01981D96"/>
    <w:rsid w:val="019B53E2"/>
    <w:rsid w:val="01A8043A"/>
    <w:rsid w:val="01AA1AC9"/>
    <w:rsid w:val="01B34E22"/>
    <w:rsid w:val="01B51D18"/>
    <w:rsid w:val="01BB5A85"/>
    <w:rsid w:val="01C73FAA"/>
    <w:rsid w:val="01CD7566"/>
    <w:rsid w:val="01E7687A"/>
    <w:rsid w:val="01E943A0"/>
    <w:rsid w:val="01F01BD2"/>
    <w:rsid w:val="01F64D0F"/>
    <w:rsid w:val="01F86CD9"/>
    <w:rsid w:val="020F4392"/>
    <w:rsid w:val="02117D9A"/>
    <w:rsid w:val="02223D56"/>
    <w:rsid w:val="0224362A"/>
    <w:rsid w:val="02291994"/>
    <w:rsid w:val="023615AF"/>
    <w:rsid w:val="024C2B81"/>
    <w:rsid w:val="025A529E"/>
    <w:rsid w:val="025F0B06"/>
    <w:rsid w:val="02661E94"/>
    <w:rsid w:val="02693733"/>
    <w:rsid w:val="026B74AB"/>
    <w:rsid w:val="026E2AF7"/>
    <w:rsid w:val="02750329"/>
    <w:rsid w:val="028C2486"/>
    <w:rsid w:val="028E13EB"/>
    <w:rsid w:val="02933D80"/>
    <w:rsid w:val="029702A0"/>
    <w:rsid w:val="02A91D81"/>
    <w:rsid w:val="02AD1871"/>
    <w:rsid w:val="02C1356F"/>
    <w:rsid w:val="02C31095"/>
    <w:rsid w:val="02C941D1"/>
    <w:rsid w:val="02E132C9"/>
    <w:rsid w:val="02E64D83"/>
    <w:rsid w:val="02E84657"/>
    <w:rsid w:val="02F46D17"/>
    <w:rsid w:val="02FE031F"/>
    <w:rsid w:val="0301396B"/>
    <w:rsid w:val="03086AA8"/>
    <w:rsid w:val="032064E7"/>
    <w:rsid w:val="03253AFD"/>
    <w:rsid w:val="033B50CF"/>
    <w:rsid w:val="033E696D"/>
    <w:rsid w:val="03685798"/>
    <w:rsid w:val="036D7252"/>
    <w:rsid w:val="0370464D"/>
    <w:rsid w:val="03764359"/>
    <w:rsid w:val="038500F8"/>
    <w:rsid w:val="038F541B"/>
    <w:rsid w:val="03922815"/>
    <w:rsid w:val="0394588E"/>
    <w:rsid w:val="039D18E6"/>
    <w:rsid w:val="039E1AF5"/>
    <w:rsid w:val="03A7145C"/>
    <w:rsid w:val="03AD58A1"/>
    <w:rsid w:val="03AF1619"/>
    <w:rsid w:val="03B409DD"/>
    <w:rsid w:val="03D80B70"/>
    <w:rsid w:val="03DB41BC"/>
    <w:rsid w:val="03F51722"/>
    <w:rsid w:val="03F82FC0"/>
    <w:rsid w:val="03FB03BA"/>
    <w:rsid w:val="040556DD"/>
    <w:rsid w:val="04071455"/>
    <w:rsid w:val="040F3E66"/>
    <w:rsid w:val="041B0A5C"/>
    <w:rsid w:val="042E253E"/>
    <w:rsid w:val="043D6C25"/>
    <w:rsid w:val="043F0BEF"/>
    <w:rsid w:val="044F0706"/>
    <w:rsid w:val="045D1075"/>
    <w:rsid w:val="0462668B"/>
    <w:rsid w:val="047F0FEB"/>
    <w:rsid w:val="04806B11"/>
    <w:rsid w:val="0482228F"/>
    <w:rsid w:val="048760F2"/>
    <w:rsid w:val="048C3708"/>
    <w:rsid w:val="04934A97"/>
    <w:rsid w:val="049C6264"/>
    <w:rsid w:val="049D76C3"/>
    <w:rsid w:val="04A24CDA"/>
    <w:rsid w:val="04A647CA"/>
    <w:rsid w:val="04B35139"/>
    <w:rsid w:val="04B769D7"/>
    <w:rsid w:val="04C17856"/>
    <w:rsid w:val="04C56194"/>
    <w:rsid w:val="04C603B1"/>
    <w:rsid w:val="04CA58BB"/>
    <w:rsid w:val="04EE0073"/>
    <w:rsid w:val="04F33787"/>
    <w:rsid w:val="05014F82"/>
    <w:rsid w:val="050339CA"/>
    <w:rsid w:val="050D4849"/>
    <w:rsid w:val="050F6813"/>
    <w:rsid w:val="05107E95"/>
    <w:rsid w:val="052102F4"/>
    <w:rsid w:val="053C6EDC"/>
    <w:rsid w:val="05495D59"/>
    <w:rsid w:val="055E32F7"/>
    <w:rsid w:val="056326BB"/>
    <w:rsid w:val="05720B50"/>
    <w:rsid w:val="05760640"/>
    <w:rsid w:val="059211F2"/>
    <w:rsid w:val="05A01219"/>
    <w:rsid w:val="05A76A4C"/>
    <w:rsid w:val="05AA653C"/>
    <w:rsid w:val="05BC001D"/>
    <w:rsid w:val="05BC1DCB"/>
    <w:rsid w:val="05BD6A04"/>
    <w:rsid w:val="05D76C05"/>
    <w:rsid w:val="05E01F5E"/>
    <w:rsid w:val="05E05ABA"/>
    <w:rsid w:val="05EA2DDC"/>
    <w:rsid w:val="05F257ED"/>
    <w:rsid w:val="05FB0B46"/>
    <w:rsid w:val="0607573C"/>
    <w:rsid w:val="060C68AF"/>
    <w:rsid w:val="06147E59"/>
    <w:rsid w:val="061834A6"/>
    <w:rsid w:val="061B2F96"/>
    <w:rsid w:val="062A5DF7"/>
    <w:rsid w:val="062C51A3"/>
    <w:rsid w:val="06314567"/>
    <w:rsid w:val="06640499"/>
    <w:rsid w:val="06677F89"/>
    <w:rsid w:val="066F6E3E"/>
    <w:rsid w:val="068E5516"/>
    <w:rsid w:val="069845E6"/>
    <w:rsid w:val="06B56F46"/>
    <w:rsid w:val="06C06AFB"/>
    <w:rsid w:val="06D05B2E"/>
    <w:rsid w:val="06D27AF8"/>
    <w:rsid w:val="07027CB2"/>
    <w:rsid w:val="0708176C"/>
    <w:rsid w:val="07124399"/>
    <w:rsid w:val="072F4F4B"/>
    <w:rsid w:val="07320597"/>
    <w:rsid w:val="0733430F"/>
    <w:rsid w:val="073863F0"/>
    <w:rsid w:val="07487DBA"/>
    <w:rsid w:val="07521BCF"/>
    <w:rsid w:val="07702E6D"/>
    <w:rsid w:val="077645A8"/>
    <w:rsid w:val="077741FC"/>
    <w:rsid w:val="0781507A"/>
    <w:rsid w:val="07837045"/>
    <w:rsid w:val="079500F6"/>
    <w:rsid w:val="07971AAB"/>
    <w:rsid w:val="07A36FBB"/>
    <w:rsid w:val="07A47A72"/>
    <w:rsid w:val="07AC659B"/>
    <w:rsid w:val="07B92A66"/>
    <w:rsid w:val="07D10E55"/>
    <w:rsid w:val="07D258D6"/>
    <w:rsid w:val="07D433FC"/>
    <w:rsid w:val="07D93108"/>
    <w:rsid w:val="07E6312F"/>
    <w:rsid w:val="07F7358F"/>
    <w:rsid w:val="080D690E"/>
    <w:rsid w:val="080F6B2A"/>
    <w:rsid w:val="0811757F"/>
    <w:rsid w:val="081E6D6D"/>
    <w:rsid w:val="082243E1"/>
    <w:rsid w:val="08275C22"/>
    <w:rsid w:val="082C154D"/>
    <w:rsid w:val="082C4FE6"/>
    <w:rsid w:val="0831084F"/>
    <w:rsid w:val="083B4644"/>
    <w:rsid w:val="083B4DC8"/>
    <w:rsid w:val="083C7EB4"/>
    <w:rsid w:val="084C38DA"/>
    <w:rsid w:val="085E5A6E"/>
    <w:rsid w:val="086E4482"/>
    <w:rsid w:val="087150EF"/>
    <w:rsid w:val="08716E9D"/>
    <w:rsid w:val="08752E31"/>
    <w:rsid w:val="087D5842"/>
    <w:rsid w:val="08913342"/>
    <w:rsid w:val="089F7EAE"/>
    <w:rsid w:val="08A52FEB"/>
    <w:rsid w:val="08A70B11"/>
    <w:rsid w:val="08A90D2D"/>
    <w:rsid w:val="08A91BD9"/>
    <w:rsid w:val="08A92ADB"/>
    <w:rsid w:val="08AC25CB"/>
    <w:rsid w:val="08B6248C"/>
    <w:rsid w:val="08CE609D"/>
    <w:rsid w:val="08E97AAB"/>
    <w:rsid w:val="08F63846"/>
    <w:rsid w:val="08F655F4"/>
    <w:rsid w:val="090146C5"/>
    <w:rsid w:val="090569B5"/>
    <w:rsid w:val="090E0B90"/>
    <w:rsid w:val="092254AC"/>
    <w:rsid w:val="09320D22"/>
    <w:rsid w:val="093700E7"/>
    <w:rsid w:val="093C56FD"/>
    <w:rsid w:val="094A4572"/>
    <w:rsid w:val="095F763D"/>
    <w:rsid w:val="097430E9"/>
    <w:rsid w:val="097529BD"/>
    <w:rsid w:val="097735FF"/>
    <w:rsid w:val="097E7AC3"/>
    <w:rsid w:val="098350DA"/>
    <w:rsid w:val="098B0432"/>
    <w:rsid w:val="09905A49"/>
    <w:rsid w:val="09954128"/>
    <w:rsid w:val="099B68C7"/>
    <w:rsid w:val="09A45050"/>
    <w:rsid w:val="09B554AF"/>
    <w:rsid w:val="09CB6A81"/>
    <w:rsid w:val="09CD45A7"/>
    <w:rsid w:val="09D973F0"/>
    <w:rsid w:val="09EF6C13"/>
    <w:rsid w:val="0A0A1357"/>
    <w:rsid w:val="0A173A74"/>
    <w:rsid w:val="0A195A3E"/>
    <w:rsid w:val="0A2166A1"/>
    <w:rsid w:val="0A261F09"/>
    <w:rsid w:val="0A304CFB"/>
    <w:rsid w:val="0A312D88"/>
    <w:rsid w:val="0A36214C"/>
    <w:rsid w:val="0A3E36F7"/>
    <w:rsid w:val="0A4707FD"/>
    <w:rsid w:val="0A613E9E"/>
    <w:rsid w:val="0A717024"/>
    <w:rsid w:val="0A7B2255"/>
    <w:rsid w:val="0A8A693C"/>
    <w:rsid w:val="0AA03A6A"/>
    <w:rsid w:val="0AA417AC"/>
    <w:rsid w:val="0AB319EF"/>
    <w:rsid w:val="0AC7268D"/>
    <w:rsid w:val="0AD33E3F"/>
    <w:rsid w:val="0ADD4CBE"/>
    <w:rsid w:val="0AE778EA"/>
    <w:rsid w:val="0AF3628F"/>
    <w:rsid w:val="0AFD2C6A"/>
    <w:rsid w:val="0AFF4C34"/>
    <w:rsid w:val="0B0264D2"/>
    <w:rsid w:val="0B044101"/>
    <w:rsid w:val="0B116715"/>
    <w:rsid w:val="0B163D2C"/>
    <w:rsid w:val="0B1D50BA"/>
    <w:rsid w:val="0B226B74"/>
    <w:rsid w:val="0B260413"/>
    <w:rsid w:val="0B3643CE"/>
    <w:rsid w:val="0B380146"/>
    <w:rsid w:val="0B6E0D48"/>
    <w:rsid w:val="0B776EC0"/>
    <w:rsid w:val="0B835865"/>
    <w:rsid w:val="0B896BF3"/>
    <w:rsid w:val="0B923CFA"/>
    <w:rsid w:val="0B9A5A90"/>
    <w:rsid w:val="0BAE6842"/>
    <w:rsid w:val="0BBC2B25"/>
    <w:rsid w:val="0BBE4AEF"/>
    <w:rsid w:val="0BC96FF0"/>
    <w:rsid w:val="0BCF2858"/>
    <w:rsid w:val="0BD51E39"/>
    <w:rsid w:val="0BD55995"/>
    <w:rsid w:val="0BF4406D"/>
    <w:rsid w:val="0C0149DC"/>
    <w:rsid w:val="0C063B21"/>
    <w:rsid w:val="0C0B13B7"/>
    <w:rsid w:val="0C0C2939"/>
    <w:rsid w:val="0C1C1816"/>
    <w:rsid w:val="0C272694"/>
    <w:rsid w:val="0C300E1D"/>
    <w:rsid w:val="0C3628D7"/>
    <w:rsid w:val="0C48085D"/>
    <w:rsid w:val="0C525237"/>
    <w:rsid w:val="0C62191E"/>
    <w:rsid w:val="0C7C43F5"/>
    <w:rsid w:val="0C886EAB"/>
    <w:rsid w:val="0C945E53"/>
    <w:rsid w:val="0CB33F28"/>
    <w:rsid w:val="0CB657C6"/>
    <w:rsid w:val="0CBD6B55"/>
    <w:rsid w:val="0CC25F19"/>
    <w:rsid w:val="0CCC0564"/>
    <w:rsid w:val="0CCF6888"/>
    <w:rsid w:val="0CD01D3C"/>
    <w:rsid w:val="0CD619C5"/>
    <w:rsid w:val="0CDA739B"/>
    <w:rsid w:val="0CE050F9"/>
    <w:rsid w:val="0CFD33F5"/>
    <w:rsid w:val="0D136775"/>
    <w:rsid w:val="0D1515D0"/>
    <w:rsid w:val="0D2E35AF"/>
    <w:rsid w:val="0D380E95"/>
    <w:rsid w:val="0D3C216F"/>
    <w:rsid w:val="0D3D1A44"/>
    <w:rsid w:val="0D411534"/>
    <w:rsid w:val="0D441024"/>
    <w:rsid w:val="0D4A5F0F"/>
    <w:rsid w:val="0D501777"/>
    <w:rsid w:val="0D5A0848"/>
    <w:rsid w:val="0D786F20"/>
    <w:rsid w:val="0D8238FA"/>
    <w:rsid w:val="0D8256A8"/>
    <w:rsid w:val="0D9676E6"/>
    <w:rsid w:val="0DBC0BBA"/>
    <w:rsid w:val="0DC932D7"/>
    <w:rsid w:val="0DD71E98"/>
    <w:rsid w:val="0DE402D0"/>
    <w:rsid w:val="0DE46363"/>
    <w:rsid w:val="0DE63E89"/>
    <w:rsid w:val="0E0407B3"/>
    <w:rsid w:val="0E121122"/>
    <w:rsid w:val="0E1721A6"/>
    <w:rsid w:val="0E2350DD"/>
    <w:rsid w:val="0E325320"/>
    <w:rsid w:val="0E372937"/>
    <w:rsid w:val="0E4A08BC"/>
    <w:rsid w:val="0E4B19A7"/>
    <w:rsid w:val="0E6A2D0C"/>
    <w:rsid w:val="0E772D33"/>
    <w:rsid w:val="0E8F2773"/>
    <w:rsid w:val="0E927B6D"/>
    <w:rsid w:val="0E941B37"/>
    <w:rsid w:val="0E9658AF"/>
    <w:rsid w:val="0E98648A"/>
    <w:rsid w:val="0EAA135B"/>
    <w:rsid w:val="0EAF6971"/>
    <w:rsid w:val="0EB761E3"/>
    <w:rsid w:val="0EBB3568"/>
    <w:rsid w:val="0EC248F6"/>
    <w:rsid w:val="0ED924DE"/>
    <w:rsid w:val="0ED9579C"/>
    <w:rsid w:val="0EDD528C"/>
    <w:rsid w:val="0EDE2DB2"/>
    <w:rsid w:val="0EE43615"/>
    <w:rsid w:val="0EE52393"/>
    <w:rsid w:val="0EEC1973"/>
    <w:rsid w:val="0EF166CA"/>
    <w:rsid w:val="0F152C78"/>
    <w:rsid w:val="0F1B4006"/>
    <w:rsid w:val="0F29227F"/>
    <w:rsid w:val="0F2F1860"/>
    <w:rsid w:val="0F340C24"/>
    <w:rsid w:val="0F3B0205"/>
    <w:rsid w:val="0F557518"/>
    <w:rsid w:val="0F5A4B2F"/>
    <w:rsid w:val="0F64150A"/>
    <w:rsid w:val="0F6C6610"/>
    <w:rsid w:val="0F851480"/>
    <w:rsid w:val="0F957915"/>
    <w:rsid w:val="0F9D4A1B"/>
    <w:rsid w:val="0F9F0794"/>
    <w:rsid w:val="0FA4224E"/>
    <w:rsid w:val="0FA97A45"/>
    <w:rsid w:val="0FB25B2C"/>
    <w:rsid w:val="0FC93A62"/>
    <w:rsid w:val="0FDD12BC"/>
    <w:rsid w:val="0FF7412C"/>
    <w:rsid w:val="0FFD3FC3"/>
    <w:rsid w:val="10046849"/>
    <w:rsid w:val="100D394F"/>
    <w:rsid w:val="100D7DF3"/>
    <w:rsid w:val="10152804"/>
    <w:rsid w:val="10240C99"/>
    <w:rsid w:val="1041184B"/>
    <w:rsid w:val="104355C3"/>
    <w:rsid w:val="10491237"/>
    <w:rsid w:val="105B0B5E"/>
    <w:rsid w:val="10686DD7"/>
    <w:rsid w:val="106A2B50"/>
    <w:rsid w:val="1074577C"/>
    <w:rsid w:val="107514F4"/>
    <w:rsid w:val="10831E63"/>
    <w:rsid w:val="1089622E"/>
    <w:rsid w:val="108A1444"/>
    <w:rsid w:val="108C6F6A"/>
    <w:rsid w:val="10961B97"/>
    <w:rsid w:val="10A1053B"/>
    <w:rsid w:val="10A2678D"/>
    <w:rsid w:val="10A36062"/>
    <w:rsid w:val="10AA3894"/>
    <w:rsid w:val="10B1077E"/>
    <w:rsid w:val="10B169D0"/>
    <w:rsid w:val="10B97633"/>
    <w:rsid w:val="10D75D0B"/>
    <w:rsid w:val="10DE709A"/>
    <w:rsid w:val="10E50428"/>
    <w:rsid w:val="10F42D61"/>
    <w:rsid w:val="10F845FF"/>
    <w:rsid w:val="11020FDA"/>
    <w:rsid w:val="110E5BD1"/>
    <w:rsid w:val="110F1949"/>
    <w:rsid w:val="110F36F7"/>
    <w:rsid w:val="111D7D2A"/>
    <w:rsid w:val="113413B0"/>
    <w:rsid w:val="114C66F9"/>
    <w:rsid w:val="11555572"/>
    <w:rsid w:val="115B4B8E"/>
    <w:rsid w:val="116577BB"/>
    <w:rsid w:val="117B2B3A"/>
    <w:rsid w:val="118C11EC"/>
    <w:rsid w:val="11AE4CBE"/>
    <w:rsid w:val="11B36778"/>
    <w:rsid w:val="11B81FE1"/>
    <w:rsid w:val="11C75D80"/>
    <w:rsid w:val="11D02E86"/>
    <w:rsid w:val="11EC1776"/>
    <w:rsid w:val="11F272A1"/>
    <w:rsid w:val="11F37536"/>
    <w:rsid w:val="11FC011F"/>
    <w:rsid w:val="11FF3031"/>
    <w:rsid w:val="11FF551A"/>
    <w:rsid w:val="121F796A"/>
    <w:rsid w:val="122136E2"/>
    <w:rsid w:val="12282CC2"/>
    <w:rsid w:val="1235718D"/>
    <w:rsid w:val="123F1DBA"/>
    <w:rsid w:val="12415B32"/>
    <w:rsid w:val="124D44D7"/>
    <w:rsid w:val="12505D75"/>
    <w:rsid w:val="125E66E4"/>
    <w:rsid w:val="12635AA8"/>
    <w:rsid w:val="12647A72"/>
    <w:rsid w:val="126857B5"/>
    <w:rsid w:val="126E6D2B"/>
    <w:rsid w:val="12706417"/>
    <w:rsid w:val="127203E1"/>
    <w:rsid w:val="127777A6"/>
    <w:rsid w:val="128819B3"/>
    <w:rsid w:val="128D7801"/>
    <w:rsid w:val="12AB56A1"/>
    <w:rsid w:val="12BA7692"/>
    <w:rsid w:val="12C81DAF"/>
    <w:rsid w:val="12D40754"/>
    <w:rsid w:val="12D746E8"/>
    <w:rsid w:val="12E36BE9"/>
    <w:rsid w:val="12E7492B"/>
    <w:rsid w:val="12E806A4"/>
    <w:rsid w:val="12EA12C6"/>
    <w:rsid w:val="12ED3C46"/>
    <w:rsid w:val="12F17558"/>
    <w:rsid w:val="12F928B1"/>
    <w:rsid w:val="12FC7CAB"/>
    <w:rsid w:val="130C4392"/>
    <w:rsid w:val="13143247"/>
    <w:rsid w:val="1319085D"/>
    <w:rsid w:val="131E658C"/>
    <w:rsid w:val="13231601"/>
    <w:rsid w:val="132A2A6A"/>
    <w:rsid w:val="1347448C"/>
    <w:rsid w:val="134F24D1"/>
    <w:rsid w:val="135B0E75"/>
    <w:rsid w:val="13655850"/>
    <w:rsid w:val="137141F5"/>
    <w:rsid w:val="13961EAE"/>
    <w:rsid w:val="13985D29"/>
    <w:rsid w:val="13A02D2C"/>
    <w:rsid w:val="13AB3BAB"/>
    <w:rsid w:val="13B862C8"/>
    <w:rsid w:val="13C34C54"/>
    <w:rsid w:val="13C46A1B"/>
    <w:rsid w:val="13CD5C93"/>
    <w:rsid w:val="13CE5AEB"/>
    <w:rsid w:val="13D1434E"/>
    <w:rsid w:val="13DA7FEC"/>
    <w:rsid w:val="13DB5B12"/>
    <w:rsid w:val="13DD7ADC"/>
    <w:rsid w:val="13F55BF3"/>
    <w:rsid w:val="143040B0"/>
    <w:rsid w:val="14423DE3"/>
    <w:rsid w:val="144638D4"/>
    <w:rsid w:val="144E2788"/>
    <w:rsid w:val="14522278"/>
    <w:rsid w:val="145F6743"/>
    <w:rsid w:val="146975C2"/>
    <w:rsid w:val="146E3766"/>
    <w:rsid w:val="14733869"/>
    <w:rsid w:val="14755F67"/>
    <w:rsid w:val="14777F31"/>
    <w:rsid w:val="148166BA"/>
    <w:rsid w:val="14861F22"/>
    <w:rsid w:val="14926B19"/>
    <w:rsid w:val="149E726C"/>
    <w:rsid w:val="14AF1479"/>
    <w:rsid w:val="14B922F8"/>
    <w:rsid w:val="14BB6070"/>
    <w:rsid w:val="14C173FE"/>
    <w:rsid w:val="14C36CD2"/>
    <w:rsid w:val="14D56B3C"/>
    <w:rsid w:val="14E60C13"/>
    <w:rsid w:val="14E76E65"/>
    <w:rsid w:val="14F21366"/>
    <w:rsid w:val="14F43330"/>
    <w:rsid w:val="14F50E56"/>
    <w:rsid w:val="14F90946"/>
    <w:rsid w:val="14FB46BE"/>
    <w:rsid w:val="15090375"/>
    <w:rsid w:val="15347E88"/>
    <w:rsid w:val="154D47EE"/>
    <w:rsid w:val="155F086C"/>
    <w:rsid w:val="156009C5"/>
    <w:rsid w:val="15747FCD"/>
    <w:rsid w:val="1585667E"/>
    <w:rsid w:val="15883A78"/>
    <w:rsid w:val="15A12860"/>
    <w:rsid w:val="15B70F3E"/>
    <w:rsid w:val="15B91E83"/>
    <w:rsid w:val="15C34AB0"/>
    <w:rsid w:val="15C90318"/>
    <w:rsid w:val="15C947BC"/>
    <w:rsid w:val="15C9656A"/>
    <w:rsid w:val="15E034A6"/>
    <w:rsid w:val="15EE7D7F"/>
    <w:rsid w:val="15F829AC"/>
    <w:rsid w:val="160550C9"/>
    <w:rsid w:val="160C6457"/>
    <w:rsid w:val="16105F47"/>
    <w:rsid w:val="16161084"/>
    <w:rsid w:val="161D0664"/>
    <w:rsid w:val="162072CD"/>
    <w:rsid w:val="16273291"/>
    <w:rsid w:val="16287735"/>
    <w:rsid w:val="162B0FD3"/>
    <w:rsid w:val="163065E9"/>
    <w:rsid w:val="16355A10"/>
    <w:rsid w:val="163F05DA"/>
    <w:rsid w:val="164200CB"/>
    <w:rsid w:val="1675224E"/>
    <w:rsid w:val="16893F4C"/>
    <w:rsid w:val="16970417"/>
    <w:rsid w:val="16A14DF1"/>
    <w:rsid w:val="16A668AC"/>
    <w:rsid w:val="16A67991"/>
    <w:rsid w:val="16A843D2"/>
    <w:rsid w:val="16AD3796"/>
    <w:rsid w:val="16B71ED0"/>
    <w:rsid w:val="16BE1125"/>
    <w:rsid w:val="16C136E5"/>
    <w:rsid w:val="16DB47A7"/>
    <w:rsid w:val="16E11692"/>
    <w:rsid w:val="16E86EC4"/>
    <w:rsid w:val="16F2389F"/>
    <w:rsid w:val="16FE3FF2"/>
    <w:rsid w:val="17127A9D"/>
    <w:rsid w:val="171C6B6E"/>
    <w:rsid w:val="173B3498"/>
    <w:rsid w:val="1752258F"/>
    <w:rsid w:val="17544559"/>
    <w:rsid w:val="175E0F34"/>
    <w:rsid w:val="17614581"/>
    <w:rsid w:val="176D3091"/>
    <w:rsid w:val="177D585E"/>
    <w:rsid w:val="17824C23"/>
    <w:rsid w:val="1783099B"/>
    <w:rsid w:val="179761F4"/>
    <w:rsid w:val="179E3A27"/>
    <w:rsid w:val="17A32DEB"/>
    <w:rsid w:val="17AA4179"/>
    <w:rsid w:val="17C13728"/>
    <w:rsid w:val="17C74D2B"/>
    <w:rsid w:val="17D631C0"/>
    <w:rsid w:val="17EE050A"/>
    <w:rsid w:val="17F36D78"/>
    <w:rsid w:val="17FA5823"/>
    <w:rsid w:val="17FD6AF1"/>
    <w:rsid w:val="18055854"/>
    <w:rsid w:val="18095344"/>
    <w:rsid w:val="180A4567"/>
    <w:rsid w:val="1824217E"/>
    <w:rsid w:val="182A0E16"/>
    <w:rsid w:val="182E6B59"/>
    <w:rsid w:val="183A54FD"/>
    <w:rsid w:val="183D4FEE"/>
    <w:rsid w:val="184719C8"/>
    <w:rsid w:val="18475E6C"/>
    <w:rsid w:val="18477C1A"/>
    <w:rsid w:val="1853036D"/>
    <w:rsid w:val="1853659B"/>
    <w:rsid w:val="185C36C6"/>
    <w:rsid w:val="186407CC"/>
    <w:rsid w:val="18694035"/>
    <w:rsid w:val="18787DD4"/>
    <w:rsid w:val="187F5606"/>
    <w:rsid w:val="1888270D"/>
    <w:rsid w:val="188E4854"/>
    <w:rsid w:val="18954E2A"/>
    <w:rsid w:val="189B7D05"/>
    <w:rsid w:val="189D783A"/>
    <w:rsid w:val="189E6E29"/>
    <w:rsid w:val="18A137CE"/>
    <w:rsid w:val="18AF5EEB"/>
    <w:rsid w:val="18BC5F12"/>
    <w:rsid w:val="18CC3E8C"/>
    <w:rsid w:val="18D23988"/>
    <w:rsid w:val="18DD40DB"/>
    <w:rsid w:val="18F002B2"/>
    <w:rsid w:val="18F03E0E"/>
    <w:rsid w:val="18F733EE"/>
    <w:rsid w:val="19102702"/>
    <w:rsid w:val="19120228"/>
    <w:rsid w:val="19183D6F"/>
    <w:rsid w:val="191A70DD"/>
    <w:rsid w:val="192341E3"/>
    <w:rsid w:val="192E774D"/>
    <w:rsid w:val="19353F17"/>
    <w:rsid w:val="19404D95"/>
    <w:rsid w:val="194A5C14"/>
    <w:rsid w:val="195645B9"/>
    <w:rsid w:val="196A3C88"/>
    <w:rsid w:val="19707D4F"/>
    <w:rsid w:val="1977008B"/>
    <w:rsid w:val="19792055"/>
    <w:rsid w:val="1996446A"/>
    <w:rsid w:val="199C7AF2"/>
    <w:rsid w:val="19A075E2"/>
    <w:rsid w:val="19BD25AA"/>
    <w:rsid w:val="19C05ED6"/>
    <w:rsid w:val="19C21C4E"/>
    <w:rsid w:val="19C57049"/>
    <w:rsid w:val="19C86B39"/>
    <w:rsid w:val="19F01E5D"/>
    <w:rsid w:val="19F85670"/>
    <w:rsid w:val="1A02029D"/>
    <w:rsid w:val="1A1324AA"/>
    <w:rsid w:val="1A134258"/>
    <w:rsid w:val="1A1D50D7"/>
    <w:rsid w:val="1A231FC1"/>
    <w:rsid w:val="1A2521DD"/>
    <w:rsid w:val="1A2975D8"/>
    <w:rsid w:val="1A385085"/>
    <w:rsid w:val="1A407D3A"/>
    <w:rsid w:val="1A4E5290"/>
    <w:rsid w:val="1A530AF8"/>
    <w:rsid w:val="1A5D1977"/>
    <w:rsid w:val="1A845156"/>
    <w:rsid w:val="1A846F04"/>
    <w:rsid w:val="1A86686D"/>
    <w:rsid w:val="1A8769F4"/>
    <w:rsid w:val="1A887069"/>
    <w:rsid w:val="1A9703C8"/>
    <w:rsid w:val="1AA50C28"/>
    <w:rsid w:val="1AB175CD"/>
    <w:rsid w:val="1AD87250"/>
    <w:rsid w:val="1ADA521A"/>
    <w:rsid w:val="1B0B13D3"/>
    <w:rsid w:val="1B2304CB"/>
    <w:rsid w:val="1B3E5305"/>
    <w:rsid w:val="1B5508A0"/>
    <w:rsid w:val="1B723200"/>
    <w:rsid w:val="1B754A9E"/>
    <w:rsid w:val="1B770817"/>
    <w:rsid w:val="1B7F1479"/>
    <w:rsid w:val="1B8C2514"/>
    <w:rsid w:val="1B99078D"/>
    <w:rsid w:val="1BA01B1B"/>
    <w:rsid w:val="1BA333BA"/>
    <w:rsid w:val="1BBB0703"/>
    <w:rsid w:val="1BBB36B4"/>
    <w:rsid w:val="1BC17CE4"/>
    <w:rsid w:val="1BE20386"/>
    <w:rsid w:val="1BF260EF"/>
    <w:rsid w:val="1C077DEC"/>
    <w:rsid w:val="1C19367C"/>
    <w:rsid w:val="1C2269D4"/>
    <w:rsid w:val="1C2344FA"/>
    <w:rsid w:val="1C27223D"/>
    <w:rsid w:val="1C35495A"/>
    <w:rsid w:val="1C782A98"/>
    <w:rsid w:val="1C7E25A5"/>
    <w:rsid w:val="1C90077B"/>
    <w:rsid w:val="1C960037"/>
    <w:rsid w:val="1CA05B4B"/>
    <w:rsid w:val="1CA078F9"/>
    <w:rsid w:val="1CAE2016"/>
    <w:rsid w:val="1CB03FE0"/>
    <w:rsid w:val="1CC030A6"/>
    <w:rsid w:val="1CC25AC1"/>
    <w:rsid w:val="1CD37CCF"/>
    <w:rsid w:val="1CD777BF"/>
    <w:rsid w:val="1CDF6673"/>
    <w:rsid w:val="1CE1063D"/>
    <w:rsid w:val="1CE7377A"/>
    <w:rsid w:val="1D0205B4"/>
    <w:rsid w:val="1D126A49"/>
    <w:rsid w:val="1D24481A"/>
    <w:rsid w:val="1D273504"/>
    <w:rsid w:val="1D2F75FB"/>
    <w:rsid w:val="1D305121"/>
    <w:rsid w:val="1D3A5FA0"/>
    <w:rsid w:val="1D50131F"/>
    <w:rsid w:val="1D5030CD"/>
    <w:rsid w:val="1D596426"/>
    <w:rsid w:val="1D5C1A72"/>
    <w:rsid w:val="1D7940CD"/>
    <w:rsid w:val="1D7C0366"/>
    <w:rsid w:val="1D9B6A3E"/>
    <w:rsid w:val="1DA84CB7"/>
    <w:rsid w:val="1DAB47A7"/>
    <w:rsid w:val="1DAD49C3"/>
    <w:rsid w:val="1DB55626"/>
    <w:rsid w:val="1DB7139E"/>
    <w:rsid w:val="1DB73B41"/>
    <w:rsid w:val="1DB95116"/>
    <w:rsid w:val="1DBB0E8E"/>
    <w:rsid w:val="1DC13FCB"/>
    <w:rsid w:val="1DEA52D0"/>
    <w:rsid w:val="1E026ABD"/>
    <w:rsid w:val="1E0A5972"/>
    <w:rsid w:val="1E0A7720"/>
    <w:rsid w:val="1E200CF1"/>
    <w:rsid w:val="1E37603B"/>
    <w:rsid w:val="1E4F5A7B"/>
    <w:rsid w:val="1E5B61CE"/>
    <w:rsid w:val="1E6A01BF"/>
    <w:rsid w:val="1E74728F"/>
    <w:rsid w:val="1E796654"/>
    <w:rsid w:val="1E8F40C9"/>
    <w:rsid w:val="1EAA4A5F"/>
    <w:rsid w:val="1EB3656C"/>
    <w:rsid w:val="1ECD2E93"/>
    <w:rsid w:val="1ED8781E"/>
    <w:rsid w:val="1EDA17E8"/>
    <w:rsid w:val="1EDB10BC"/>
    <w:rsid w:val="1EE12B77"/>
    <w:rsid w:val="1F09486E"/>
    <w:rsid w:val="1F2C36C6"/>
    <w:rsid w:val="1F2E5690"/>
    <w:rsid w:val="1F3233D2"/>
    <w:rsid w:val="1F4B4494"/>
    <w:rsid w:val="1F5E41C7"/>
    <w:rsid w:val="1F63358C"/>
    <w:rsid w:val="1F6E6F3C"/>
    <w:rsid w:val="1F881244"/>
    <w:rsid w:val="1F8976D3"/>
    <w:rsid w:val="1F8C4524"/>
    <w:rsid w:val="1F941997"/>
    <w:rsid w:val="1FA12306"/>
    <w:rsid w:val="1FA6791C"/>
    <w:rsid w:val="1FBB33C8"/>
    <w:rsid w:val="1FBB4BD6"/>
    <w:rsid w:val="1FC3402A"/>
    <w:rsid w:val="1FC85AE5"/>
    <w:rsid w:val="1FD36F7E"/>
    <w:rsid w:val="1FD55B0C"/>
    <w:rsid w:val="1FD75D28"/>
    <w:rsid w:val="1FDC6E9A"/>
    <w:rsid w:val="1FE10954"/>
    <w:rsid w:val="1FE83A91"/>
    <w:rsid w:val="1FF02946"/>
    <w:rsid w:val="2000702C"/>
    <w:rsid w:val="200563F1"/>
    <w:rsid w:val="20176124"/>
    <w:rsid w:val="201B5C14"/>
    <w:rsid w:val="20210D51"/>
    <w:rsid w:val="20315438"/>
    <w:rsid w:val="2043516B"/>
    <w:rsid w:val="20531852"/>
    <w:rsid w:val="20577DFF"/>
    <w:rsid w:val="20672C08"/>
    <w:rsid w:val="207277FE"/>
    <w:rsid w:val="207812B9"/>
    <w:rsid w:val="207F2A26"/>
    <w:rsid w:val="20A51982"/>
    <w:rsid w:val="20AC4ABE"/>
    <w:rsid w:val="20B3409F"/>
    <w:rsid w:val="20B63B8F"/>
    <w:rsid w:val="20C37337"/>
    <w:rsid w:val="20C91B14"/>
    <w:rsid w:val="20CA763A"/>
    <w:rsid w:val="20D51287"/>
    <w:rsid w:val="20D64231"/>
    <w:rsid w:val="20D81349"/>
    <w:rsid w:val="20E56222"/>
    <w:rsid w:val="210F504D"/>
    <w:rsid w:val="21154D5A"/>
    <w:rsid w:val="21156B08"/>
    <w:rsid w:val="213571AA"/>
    <w:rsid w:val="21425423"/>
    <w:rsid w:val="214E2429"/>
    <w:rsid w:val="21514EF5"/>
    <w:rsid w:val="21535882"/>
    <w:rsid w:val="215552ED"/>
    <w:rsid w:val="215A6C10"/>
    <w:rsid w:val="215C64E4"/>
    <w:rsid w:val="21645399"/>
    <w:rsid w:val="21676C37"/>
    <w:rsid w:val="217A4BBD"/>
    <w:rsid w:val="2181181C"/>
    <w:rsid w:val="21837F15"/>
    <w:rsid w:val="21891265"/>
    <w:rsid w:val="218E68BA"/>
    <w:rsid w:val="219263AA"/>
    <w:rsid w:val="21A525BC"/>
    <w:rsid w:val="21B55BF5"/>
    <w:rsid w:val="21B76AE0"/>
    <w:rsid w:val="21BA320B"/>
    <w:rsid w:val="21BF6A73"/>
    <w:rsid w:val="21C347B6"/>
    <w:rsid w:val="21CD6779"/>
    <w:rsid w:val="21D06ED2"/>
    <w:rsid w:val="21D56297"/>
    <w:rsid w:val="21D73DBD"/>
    <w:rsid w:val="21D818E3"/>
    <w:rsid w:val="21E14C3C"/>
    <w:rsid w:val="21F20BF7"/>
    <w:rsid w:val="21F52495"/>
    <w:rsid w:val="21F91F85"/>
    <w:rsid w:val="220152DE"/>
    <w:rsid w:val="220B7F0B"/>
    <w:rsid w:val="220D77DF"/>
    <w:rsid w:val="22230DB0"/>
    <w:rsid w:val="2228286B"/>
    <w:rsid w:val="222C7388"/>
    <w:rsid w:val="223631D9"/>
    <w:rsid w:val="22396826"/>
    <w:rsid w:val="22405E06"/>
    <w:rsid w:val="224A458F"/>
    <w:rsid w:val="224F7DF7"/>
    <w:rsid w:val="22576CAC"/>
    <w:rsid w:val="22592A24"/>
    <w:rsid w:val="225E003A"/>
    <w:rsid w:val="226E2973"/>
    <w:rsid w:val="2277734E"/>
    <w:rsid w:val="227C6712"/>
    <w:rsid w:val="22835CF3"/>
    <w:rsid w:val="228E4DC3"/>
    <w:rsid w:val="22A04AF7"/>
    <w:rsid w:val="22A16179"/>
    <w:rsid w:val="22A77C33"/>
    <w:rsid w:val="22A87507"/>
    <w:rsid w:val="22AA14D2"/>
    <w:rsid w:val="22B20386"/>
    <w:rsid w:val="22D622C7"/>
    <w:rsid w:val="22D81D21"/>
    <w:rsid w:val="22E22A19"/>
    <w:rsid w:val="22E52653"/>
    <w:rsid w:val="22E76282"/>
    <w:rsid w:val="22EB3FC4"/>
    <w:rsid w:val="22F369D5"/>
    <w:rsid w:val="22FF7A6F"/>
    <w:rsid w:val="23103A2A"/>
    <w:rsid w:val="231B23CF"/>
    <w:rsid w:val="23201794"/>
    <w:rsid w:val="23231A73"/>
    <w:rsid w:val="23254986"/>
    <w:rsid w:val="23294AEC"/>
    <w:rsid w:val="233652EC"/>
    <w:rsid w:val="23405858"/>
    <w:rsid w:val="234611FA"/>
    <w:rsid w:val="23580F2E"/>
    <w:rsid w:val="23594841"/>
    <w:rsid w:val="236773C3"/>
    <w:rsid w:val="23694EE9"/>
    <w:rsid w:val="23711FEF"/>
    <w:rsid w:val="237C4C1C"/>
    <w:rsid w:val="239A1546"/>
    <w:rsid w:val="239D1036"/>
    <w:rsid w:val="23A10B26"/>
    <w:rsid w:val="23A1249F"/>
    <w:rsid w:val="23A44173"/>
    <w:rsid w:val="23C93F42"/>
    <w:rsid w:val="23CD5478"/>
    <w:rsid w:val="23D20CE0"/>
    <w:rsid w:val="23E7405F"/>
    <w:rsid w:val="23E822B1"/>
    <w:rsid w:val="23EE3640"/>
    <w:rsid w:val="23EF1892"/>
    <w:rsid w:val="23FF584D"/>
    <w:rsid w:val="240B2444"/>
    <w:rsid w:val="241237D2"/>
    <w:rsid w:val="241A4435"/>
    <w:rsid w:val="241F37F9"/>
    <w:rsid w:val="243472A5"/>
    <w:rsid w:val="24386EC6"/>
    <w:rsid w:val="24480FA2"/>
    <w:rsid w:val="245060A9"/>
    <w:rsid w:val="245B0CD5"/>
    <w:rsid w:val="245B6F27"/>
    <w:rsid w:val="246851A0"/>
    <w:rsid w:val="24751037"/>
    <w:rsid w:val="247C6E9E"/>
    <w:rsid w:val="248C5333"/>
    <w:rsid w:val="249B3CCC"/>
    <w:rsid w:val="24A51F50"/>
    <w:rsid w:val="24CC3981"/>
    <w:rsid w:val="24D26ABE"/>
    <w:rsid w:val="24E862E1"/>
    <w:rsid w:val="24F668CE"/>
    <w:rsid w:val="24FE5B05"/>
    <w:rsid w:val="250255F5"/>
    <w:rsid w:val="250A6257"/>
    <w:rsid w:val="25115838"/>
    <w:rsid w:val="25333A00"/>
    <w:rsid w:val="253432D4"/>
    <w:rsid w:val="253F23A5"/>
    <w:rsid w:val="254A0D4A"/>
    <w:rsid w:val="254A2AF8"/>
    <w:rsid w:val="25626093"/>
    <w:rsid w:val="25643BBA"/>
    <w:rsid w:val="25714529"/>
    <w:rsid w:val="258424AE"/>
    <w:rsid w:val="25853522"/>
    <w:rsid w:val="258A1146"/>
    <w:rsid w:val="25924AD2"/>
    <w:rsid w:val="25A8619C"/>
    <w:rsid w:val="25B30B82"/>
    <w:rsid w:val="25B85CB3"/>
    <w:rsid w:val="25C603D0"/>
    <w:rsid w:val="25C70488"/>
    <w:rsid w:val="25CE3729"/>
    <w:rsid w:val="25D52D09"/>
    <w:rsid w:val="25D6438C"/>
    <w:rsid w:val="25DC7BF4"/>
    <w:rsid w:val="25DD5432"/>
    <w:rsid w:val="25E92311"/>
    <w:rsid w:val="25F5515A"/>
    <w:rsid w:val="2609650F"/>
    <w:rsid w:val="261451ED"/>
    <w:rsid w:val="261B31D1"/>
    <w:rsid w:val="262477ED"/>
    <w:rsid w:val="26323CB8"/>
    <w:rsid w:val="264071ED"/>
    <w:rsid w:val="264A1001"/>
    <w:rsid w:val="265005E2"/>
    <w:rsid w:val="26600825"/>
    <w:rsid w:val="26606A77"/>
    <w:rsid w:val="2666570F"/>
    <w:rsid w:val="266D6A9E"/>
    <w:rsid w:val="267225B5"/>
    <w:rsid w:val="267A11BB"/>
    <w:rsid w:val="26834513"/>
    <w:rsid w:val="26936BE5"/>
    <w:rsid w:val="26964247"/>
    <w:rsid w:val="269F0C21"/>
    <w:rsid w:val="26A526DC"/>
    <w:rsid w:val="26AB75C6"/>
    <w:rsid w:val="26AF355A"/>
    <w:rsid w:val="26C012C4"/>
    <w:rsid w:val="26C8461C"/>
    <w:rsid w:val="26D263D5"/>
    <w:rsid w:val="26D62895"/>
    <w:rsid w:val="26D7660D"/>
    <w:rsid w:val="26EF3957"/>
    <w:rsid w:val="27003DB6"/>
    <w:rsid w:val="270D1AB7"/>
    <w:rsid w:val="270E7E69"/>
    <w:rsid w:val="27165388"/>
    <w:rsid w:val="27271343"/>
    <w:rsid w:val="27281650"/>
    <w:rsid w:val="272F6449"/>
    <w:rsid w:val="27475541"/>
    <w:rsid w:val="275163C0"/>
    <w:rsid w:val="27532138"/>
    <w:rsid w:val="275639D6"/>
    <w:rsid w:val="27565784"/>
    <w:rsid w:val="278B5528"/>
    <w:rsid w:val="27A42993"/>
    <w:rsid w:val="27C748D4"/>
    <w:rsid w:val="27D326C2"/>
    <w:rsid w:val="27D8263D"/>
    <w:rsid w:val="27DF5779"/>
    <w:rsid w:val="27E9484A"/>
    <w:rsid w:val="27F07987"/>
    <w:rsid w:val="27F60D15"/>
    <w:rsid w:val="280D12AA"/>
    <w:rsid w:val="283A32F8"/>
    <w:rsid w:val="284E0B51"/>
    <w:rsid w:val="2852419D"/>
    <w:rsid w:val="286345FC"/>
    <w:rsid w:val="287C746C"/>
    <w:rsid w:val="28836A4D"/>
    <w:rsid w:val="288B76AF"/>
    <w:rsid w:val="289C18BC"/>
    <w:rsid w:val="28BA1D43"/>
    <w:rsid w:val="28C52BC1"/>
    <w:rsid w:val="28CC03F4"/>
    <w:rsid w:val="28CF3A40"/>
    <w:rsid w:val="28DE1ED5"/>
    <w:rsid w:val="28E05C4D"/>
    <w:rsid w:val="28E16B4E"/>
    <w:rsid w:val="28F039B6"/>
    <w:rsid w:val="28F434A6"/>
    <w:rsid w:val="28FE2577"/>
    <w:rsid w:val="29053906"/>
    <w:rsid w:val="290F208E"/>
    <w:rsid w:val="292C49EE"/>
    <w:rsid w:val="2940493E"/>
    <w:rsid w:val="294361DC"/>
    <w:rsid w:val="294A3612"/>
    <w:rsid w:val="294D2BB7"/>
    <w:rsid w:val="294E705B"/>
    <w:rsid w:val="294F4B81"/>
    <w:rsid w:val="29634188"/>
    <w:rsid w:val="29657F00"/>
    <w:rsid w:val="29714AF7"/>
    <w:rsid w:val="297A7E50"/>
    <w:rsid w:val="2987256D"/>
    <w:rsid w:val="29883BEF"/>
    <w:rsid w:val="29910CF5"/>
    <w:rsid w:val="299F1664"/>
    <w:rsid w:val="29A0362E"/>
    <w:rsid w:val="29A7676B"/>
    <w:rsid w:val="29CA2459"/>
    <w:rsid w:val="29CC7F7F"/>
    <w:rsid w:val="29E03A2B"/>
    <w:rsid w:val="29EE6148"/>
    <w:rsid w:val="2A005E7B"/>
    <w:rsid w:val="2A034D83"/>
    <w:rsid w:val="2A13795C"/>
    <w:rsid w:val="2A21651D"/>
    <w:rsid w:val="2A383867"/>
    <w:rsid w:val="2A385615"/>
    <w:rsid w:val="2A467D32"/>
    <w:rsid w:val="2A490E0C"/>
    <w:rsid w:val="2A4B5348"/>
    <w:rsid w:val="2A500BB0"/>
    <w:rsid w:val="2A554419"/>
    <w:rsid w:val="2A5561C7"/>
    <w:rsid w:val="2A992557"/>
    <w:rsid w:val="2A9D36CA"/>
    <w:rsid w:val="2AA44A58"/>
    <w:rsid w:val="2AAF1D7B"/>
    <w:rsid w:val="2AB63109"/>
    <w:rsid w:val="2AC11AAE"/>
    <w:rsid w:val="2AD01CF1"/>
    <w:rsid w:val="2AE15CAC"/>
    <w:rsid w:val="2AE8528D"/>
    <w:rsid w:val="2AF027CC"/>
    <w:rsid w:val="2AF05EF0"/>
    <w:rsid w:val="2AF27EBA"/>
    <w:rsid w:val="2AF754D0"/>
    <w:rsid w:val="2B0100FD"/>
    <w:rsid w:val="2B057BED"/>
    <w:rsid w:val="2B0A0D5F"/>
    <w:rsid w:val="2B0C0F7B"/>
    <w:rsid w:val="2B0E25E2"/>
    <w:rsid w:val="2B0F45C8"/>
    <w:rsid w:val="2B1F4DD1"/>
    <w:rsid w:val="2B241D6E"/>
    <w:rsid w:val="2B287437"/>
    <w:rsid w:val="2B2D0EF2"/>
    <w:rsid w:val="2B420D1D"/>
    <w:rsid w:val="2B473D61"/>
    <w:rsid w:val="2B4D50F0"/>
    <w:rsid w:val="2B563FA5"/>
    <w:rsid w:val="2B5D17D7"/>
    <w:rsid w:val="2B606BD1"/>
    <w:rsid w:val="2B6A7A50"/>
    <w:rsid w:val="2B7E174D"/>
    <w:rsid w:val="2B7F799F"/>
    <w:rsid w:val="2B836D64"/>
    <w:rsid w:val="2B8C5C18"/>
    <w:rsid w:val="2B9D7E25"/>
    <w:rsid w:val="2BAC0068"/>
    <w:rsid w:val="2BAC62BA"/>
    <w:rsid w:val="2BB1567F"/>
    <w:rsid w:val="2BF0264B"/>
    <w:rsid w:val="2C02237E"/>
    <w:rsid w:val="2C027C88"/>
    <w:rsid w:val="2C034B3B"/>
    <w:rsid w:val="2C041C52"/>
    <w:rsid w:val="2C043A01"/>
    <w:rsid w:val="2C091017"/>
    <w:rsid w:val="2C186781"/>
    <w:rsid w:val="2C29790B"/>
    <w:rsid w:val="2C2B5431"/>
    <w:rsid w:val="2C2C73FB"/>
    <w:rsid w:val="2C4E2ECE"/>
    <w:rsid w:val="2C5165D6"/>
    <w:rsid w:val="2C532BDA"/>
    <w:rsid w:val="2C614B13"/>
    <w:rsid w:val="2C646B95"/>
    <w:rsid w:val="2C6721E1"/>
    <w:rsid w:val="2C723060"/>
    <w:rsid w:val="2C752B50"/>
    <w:rsid w:val="2C772424"/>
    <w:rsid w:val="2C862667"/>
    <w:rsid w:val="2C923702"/>
    <w:rsid w:val="2C932FD6"/>
    <w:rsid w:val="2C9D688B"/>
    <w:rsid w:val="2CA40D8B"/>
    <w:rsid w:val="2CAB47C4"/>
    <w:rsid w:val="2CB25B52"/>
    <w:rsid w:val="2CB74F17"/>
    <w:rsid w:val="2CB847EB"/>
    <w:rsid w:val="2CB90C8F"/>
    <w:rsid w:val="2CC413E2"/>
    <w:rsid w:val="2CD05FD9"/>
    <w:rsid w:val="2CE43832"/>
    <w:rsid w:val="2CEB2E12"/>
    <w:rsid w:val="2D067C4C"/>
    <w:rsid w:val="2D11683F"/>
    <w:rsid w:val="2D306A77"/>
    <w:rsid w:val="2D426ED6"/>
    <w:rsid w:val="2D450775"/>
    <w:rsid w:val="2D4B38B1"/>
    <w:rsid w:val="2D4C1B03"/>
    <w:rsid w:val="2D5C786C"/>
    <w:rsid w:val="2D614E83"/>
    <w:rsid w:val="2D633CAF"/>
    <w:rsid w:val="2D713318"/>
    <w:rsid w:val="2D8C1F00"/>
    <w:rsid w:val="2DAA4A7C"/>
    <w:rsid w:val="2DAF2092"/>
    <w:rsid w:val="2DB8624C"/>
    <w:rsid w:val="2DBF0527"/>
    <w:rsid w:val="2DC25921"/>
    <w:rsid w:val="2DC7118A"/>
    <w:rsid w:val="2DD218DC"/>
    <w:rsid w:val="2DDB3F6C"/>
    <w:rsid w:val="2DEE4968"/>
    <w:rsid w:val="2DF61A6F"/>
    <w:rsid w:val="2E132621"/>
    <w:rsid w:val="2E293BF2"/>
    <w:rsid w:val="2E41718E"/>
    <w:rsid w:val="2E422F06"/>
    <w:rsid w:val="2E4E18AB"/>
    <w:rsid w:val="2E662DF3"/>
    <w:rsid w:val="2E7330BF"/>
    <w:rsid w:val="2E813A2E"/>
    <w:rsid w:val="2E913546"/>
    <w:rsid w:val="2E9372BE"/>
    <w:rsid w:val="2E980D78"/>
    <w:rsid w:val="2EBA1EDB"/>
    <w:rsid w:val="2ECB4CA9"/>
    <w:rsid w:val="2EDC0C65"/>
    <w:rsid w:val="2EDE2C2F"/>
    <w:rsid w:val="2EEB6188"/>
    <w:rsid w:val="2EF02962"/>
    <w:rsid w:val="2EF51D26"/>
    <w:rsid w:val="2EF85217"/>
    <w:rsid w:val="2EFE507F"/>
    <w:rsid w:val="2F087CAC"/>
    <w:rsid w:val="2F124686"/>
    <w:rsid w:val="2F1877C3"/>
    <w:rsid w:val="2F340AA1"/>
    <w:rsid w:val="2F5C1DA5"/>
    <w:rsid w:val="2F633134"/>
    <w:rsid w:val="2F725125"/>
    <w:rsid w:val="2F7C3537"/>
    <w:rsid w:val="2F832EF4"/>
    <w:rsid w:val="2F8A246F"/>
    <w:rsid w:val="2F8C4439"/>
    <w:rsid w:val="2F8F5CD7"/>
    <w:rsid w:val="2F974B8C"/>
    <w:rsid w:val="2F9A4B34"/>
    <w:rsid w:val="2FB971F8"/>
    <w:rsid w:val="2FBB2F70"/>
    <w:rsid w:val="2FCA6D0F"/>
    <w:rsid w:val="2FD162F0"/>
    <w:rsid w:val="2FE36023"/>
    <w:rsid w:val="2FE75B13"/>
    <w:rsid w:val="30055F99"/>
    <w:rsid w:val="300C37CC"/>
    <w:rsid w:val="30121DFF"/>
    <w:rsid w:val="30142680"/>
    <w:rsid w:val="30182170"/>
    <w:rsid w:val="30183F1E"/>
    <w:rsid w:val="301B0871"/>
    <w:rsid w:val="301B756B"/>
    <w:rsid w:val="30442F65"/>
    <w:rsid w:val="304C3BC8"/>
    <w:rsid w:val="30550CCF"/>
    <w:rsid w:val="30556F21"/>
    <w:rsid w:val="305A62E5"/>
    <w:rsid w:val="30656A38"/>
    <w:rsid w:val="306A22A0"/>
    <w:rsid w:val="30755674"/>
    <w:rsid w:val="30817D16"/>
    <w:rsid w:val="309F3091"/>
    <w:rsid w:val="30A77050"/>
    <w:rsid w:val="30AA08EF"/>
    <w:rsid w:val="30AA4FAA"/>
    <w:rsid w:val="30BD0ABD"/>
    <w:rsid w:val="30C16364"/>
    <w:rsid w:val="30CE0A81"/>
    <w:rsid w:val="30F027A5"/>
    <w:rsid w:val="30F54260"/>
    <w:rsid w:val="30F93D50"/>
    <w:rsid w:val="3106646D"/>
    <w:rsid w:val="310F4C68"/>
    <w:rsid w:val="3115045E"/>
    <w:rsid w:val="311C359A"/>
    <w:rsid w:val="311F15F9"/>
    <w:rsid w:val="31224929"/>
    <w:rsid w:val="31232B7B"/>
    <w:rsid w:val="313A3D9F"/>
    <w:rsid w:val="313C59EB"/>
    <w:rsid w:val="31576CC8"/>
    <w:rsid w:val="31615451"/>
    <w:rsid w:val="31653193"/>
    <w:rsid w:val="316D3DF6"/>
    <w:rsid w:val="31723B02"/>
    <w:rsid w:val="31745184"/>
    <w:rsid w:val="317F1D7B"/>
    <w:rsid w:val="318135CB"/>
    <w:rsid w:val="318F1FBE"/>
    <w:rsid w:val="31957F8C"/>
    <w:rsid w:val="31994BEB"/>
    <w:rsid w:val="31B5579D"/>
    <w:rsid w:val="31BB7257"/>
    <w:rsid w:val="31CB6D6E"/>
    <w:rsid w:val="31D43E75"/>
    <w:rsid w:val="31D65E3F"/>
    <w:rsid w:val="31D67BED"/>
    <w:rsid w:val="31D9148B"/>
    <w:rsid w:val="31DC0F7C"/>
    <w:rsid w:val="31E50C02"/>
    <w:rsid w:val="31E542D4"/>
    <w:rsid w:val="320A5AE9"/>
    <w:rsid w:val="322070BA"/>
    <w:rsid w:val="3227669B"/>
    <w:rsid w:val="322946C9"/>
    <w:rsid w:val="322A1CE7"/>
    <w:rsid w:val="322C1F03"/>
    <w:rsid w:val="3236068C"/>
    <w:rsid w:val="32382656"/>
    <w:rsid w:val="32396127"/>
    <w:rsid w:val="323B04A4"/>
    <w:rsid w:val="32505B7F"/>
    <w:rsid w:val="32562ADC"/>
    <w:rsid w:val="325B6344"/>
    <w:rsid w:val="32690A61"/>
    <w:rsid w:val="326A47D9"/>
    <w:rsid w:val="326F71AB"/>
    <w:rsid w:val="32A47CEB"/>
    <w:rsid w:val="32A93554"/>
    <w:rsid w:val="32AA2E28"/>
    <w:rsid w:val="32AE2918"/>
    <w:rsid w:val="32AF737A"/>
    <w:rsid w:val="32C20171"/>
    <w:rsid w:val="32CB5278"/>
    <w:rsid w:val="32D74F8B"/>
    <w:rsid w:val="32DB1233"/>
    <w:rsid w:val="32F01183"/>
    <w:rsid w:val="33010C9A"/>
    <w:rsid w:val="33044C2E"/>
    <w:rsid w:val="33154745"/>
    <w:rsid w:val="331C1F78"/>
    <w:rsid w:val="33225B04"/>
    <w:rsid w:val="33233306"/>
    <w:rsid w:val="33260700"/>
    <w:rsid w:val="332826CA"/>
    <w:rsid w:val="333252F7"/>
    <w:rsid w:val="333A7FDD"/>
    <w:rsid w:val="334F40FB"/>
    <w:rsid w:val="33550FE6"/>
    <w:rsid w:val="33680D19"/>
    <w:rsid w:val="336F02F9"/>
    <w:rsid w:val="3381627F"/>
    <w:rsid w:val="33A53D1B"/>
    <w:rsid w:val="33A61841"/>
    <w:rsid w:val="33B757FC"/>
    <w:rsid w:val="33D463AE"/>
    <w:rsid w:val="33D62126"/>
    <w:rsid w:val="33D740F0"/>
    <w:rsid w:val="33DF6B01"/>
    <w:rsid w:val="33E10ACB"/>
    <w:rsid w:val="33F00D0E"/>
    <w:rsid w:val="34012F1B"/>
    <w:rsid w:val="3409025B"/>
    <w:rsid w:val="340D18C0"/>
    <w:rsid w:val="341669C7"/>
    <w:rsid w:val="341E7629"/>
    <w:rsid w:val="343D21A6"/>
    <w:rsid w:val="343E1A7A"/>
    <w:rsid w:val="34441786"/>
    <w:rsid w:val="34474DD2"/>
    <w:rsid w:val="344A6670"/>
    <w:rsid w:val="344F012B"/>
    <w:rsid w:val="345B6AD0"/>
    <w:rsid w:val="34655258"/>
    <w:rsid w:val="348A4CBF"/>
    <w:rsid w:val="349B511E"/>
    <w:rsid w:val="34A044E2"/>
    <w:rsid w:val="34A246FE"/>
    <w:rsid w:val="34AE30A3"/>
    <w:rsid w:val="34B21B0F"/>
    <w:rsid w:val="34BB131C"/>
    <w:rsid w:val="34BF705E"/>
    <w:rsid w:val="34C826ED"/>
    <w:rsid w:val="34CE1050"/>
    <w:rsid w:val="34D523DE"/>
    <w:rsid w:val="34DA3E98"/>
    <w:rsid w:val="34DF14AF"/>
    <w:rsid w:val="34E97C37"/>
    <w:rsid w:val="34FC3E0F"/>
    <w:rsid w:val="351A4295"/>
    <w:rsid w:val="35227EF9"/>
    <w:rsid w:val="35245113"/>
    <w:rsid w:val="352C5D76"/>
    <w:rsid w:val="35303AB8"/>
    <w:rsid w:val="353438FB"/>
    <w:rsid w:val="354632DC"/>
    <w:rsid w:val="35470E02"/>
    <w:rsid w:val="354B08F2"/>
    <w:rsid w:val="355754E9"/>
    <w:rsid w:val="355A0B35"/>
    <w:rsid w:val="356C2617"/>
    <w:rsid w:val="356D0868"/>
    <w:rsid w:val="35725E7F"/>
    <w:rsid w:val="35873781"/>
    <w:rsid w:val="358F4C83"/>
    <w:rsid w:val="359C114E"/>
    <w:rsid w:val="35A3428A"/>
    <w:rsid w:val="35B53880"/>
    <w:rsid w:val="35BF4E3C"/>
    <w:rsid w:val="35CB558F"/>
    <w:rsid w:val="35CD57AB"/>
    <w:rsid w:val="35E328D9"/>
    <w:rsid w:val="36154A5C"/>
    <w:rsid w:val="362F3D70"/>
    <w:rsid w:val="363B44C3"/>
    <w:rsid w:val="365732C7"/>
    <w:rsid w:val="3659703F"/>
    <w:rsid w:val="365E6055"/>
    <w:rsid w:val="36626903"/>
    <w:rsid w:val="3668693C"/>
    <w:rsid w:val="36826596"/>
    <w:rsid w:val="368A369C"/>
    <w:rsid w:val="368A544A"/>
    <w:rsid w:val="369E4A52"/>
    <w:rsid w:val="36B349A1"/>
    <w:rsid w:val="36BB1AA7"/>
    <w:rsid w:val="36BF2AC9"/>
    <w:rsid w:val="36C26992"/>
    <w:rsid w:val="36C344B8"/>
    <w:rsid w:val="36CA3A99"/>
    <w:rsid w:val="36D97FDD"/>
    <w:rsid w:val="36DA0180"/>
    <w:rsid w:val="36E763F9"/>
    <w:rsid w:val="36F17277"/>
    <w:rsid w:val="36FD79CA"/>
    <w:rsid w:val="37046FAB"/>
    <w:rsid w:val="37152F66"/>
    <w:rsid w:val="371A057C"/>
    <w:rsid w:val="37392328"/>
    <w:rsid w:val="374970B3"/>
    <w:rsid w:val="374B6987"/>
    <w:rsid w:val="374E6478"/>
    <w:rsid w:val="37506F8C"/>
    <w:rsid w:val="3757357E"/>
    <w:rsid w:val="375A6BCB"/>
    <w:rsid w:val="3771317E"/>
    <w:rsid w:val="377A54BF"/>
    <w:rsid w:val="378123A9"/>
    <w:rsid w:val="37873738"/>
    <w:rsid w:val="378B76CC"/>
    <w:rsid w:val="37904CE2"/>
    <w:rsid w:val="37955317"/>
    <w:rsid w:val="379C4C58"/>
    <w:rsid w:val="37A27B7C"/>
    <w:rsid w:val="37A661A0"/>
    <w:rsid w:val="37A66786"/>
    <w:rsid w:val="37AB1B1C"/>
    <w:rsid w:val="37B207B5"/>
    <w:rsid w:val="37CD3840"/>
    <w:rsid w:val="37EF7C5B"/>
    <w:rsid w:val="37F012DD"/>
    <w:rsid w:val="37F05781"/>
    <w:rsid w:val="37FF5047"/>
    <w:rsid w:val="3810197F"/>
    <w:rsid w:val="381C47C8"/>
    <w:rsid w:val="381E409C"/>
    <w:rsid w:val="38237904"/>
    <w:rsid w:val="3830058E"/>
    <w:rsid w:val="38334452"/>
    <w:rsid w:val="3842422E"/>
    <w:rsid w:val="384928AE"/>
    <w:rsid w:val="384F06F9"/>
    <w:rsid w:val="38741F0E"/>
    <w:rsid w:val="387737AC"/>
    <w:rsid w:val="38803573"/>
    <w:rsid w:val="3885411B"/>
    <w:rsid w:val="388D1222"/>
    <w:rsid w:val="3894435E"/>
    <w:rsid w:val="389C3213"/>
    <w:rsid w:val="38AD5420"/>
    <w:rsid w:val="38B92017"/>
    <w:rsid w:val="38C74734"/>
    <w:rsid w:val="38D26C34"/>
    <w:rsid w:val="38D37F4B"/>
    <w:rsid w:val="38DF7CCF"/>
    <w:rsid w:val="38E2156D"/>
    <w:rsid w:val="38E76B84"/>
    <w:rsid w:val="390B1759"/>
    <w:rsid w:val="390B2A81"/>
    <w:rsid w:val="390E5784"/>
    <w:rsid w:val="39332945"/>
    <w:rsid w:val="39616936"/>
    <w:rsid w:val="39665CFB"/>
    <w:rsid w:val="398402F3"/>
    <w:rsid w:val="39842625"/>
    <w:rsid w:val="39A131D7"/>
    <w:rsid w:val="39A763EE"/>
    <w:rsid w:val="39BA6046"/>
    <w:rsid w:val="39C26CA9"/>
    <w:rsid w:val="39C944DB"/>
    <w:rsid w:val="39CD3FCC"/>
    <w:rsid w:val="39D76BF8"/>
    <w:rsid w:val="39ED1F78"/>
    <w:rsid w:val="39F50E2C"/>
    <w:rsid w:val="39FF3A59"/>
    <w:rsid w:val="3A064DE8"/>
    <w:rsid w:val="3A0F6392"/>
    <w:rsid w:val="3A1C460B"/>
    <w:rsid w:val="3A25040D"/>
    <w:rsid w:val="3A445910"/>
    <w:rsid w:val="3A4A73CA"/>
    <w:rsid w:val="3A4D0C68"/>
    <w:rsid w:val="3A570AD9"/>
    <w:rsid w:val="3A5B15D7"/>
    <w:rsid w:val="3A5C0EAC"/>
    <w:rsid w:val="3A8723CC"/>
    <w:rsid w:val="3A916ECC"/>
    <w:rsid w:val="3AA31A28"/>
    <w:rsid w:val="3AC56A51"/>
    <w:rsid w:val="3AD6236B"/>
    <w:rsid w:val="3AD62A0C"/>
    <w:rsid w:val="3AEA295B"/>
    <w:rsid w:val="3AEE41FA"/>
    <w:rsid w:val="3AF47336"/>
    <w:rsid w:val="3B043A1D"/>
    <w:rsid w:val="3B0774FE"/>
    <w:rsid w:val="3B11613A"/>
    <w:rsid w:val="3B181276"/>
    <w:rsid w:val="3B2220F5"/>
    <w:rsid w:val="3B245E6D"/>
    <w:rsid w:val="3B392F9B"/>
    <w:rsid w:val="3B404329"/>
    <w:rsid w:val="3B443E1A"/>
    <w:rsid w:val="3B4A33FA"/>
    <w:rsid w:val="3B540F72"/>
    <w:rsid w:val="3B561D9F"/>
    <w:rsid w:val="3B563B4D"/>
    <w:rsid w:val="3B6F4C0F"/>
    <w:rsid w:val="3B714E2B"/>
    <w:rsid w:val="3B7837BF"/>
    <w:rsid w:val="3B8B7C9A"/>
    <w:rsid w:val="3BB865B6"/>
    <w:rsid w:val="3BBD597A"/>
    <w:rsid w:val="3BC625F4"/>
    <w:rsid w:val="3BD056AD"/>
    <w:rsid w:val="3BDF7FE6"/>
    <w:rsid w:val="3BE41159"/>
    <w:rsid w:val="3BE82DC5"/>
    <w:rsid w:val="3BF3370C"/>
    <w:rsid w:val="3BF910A8"/>
    <w:rsid w:val="3C017F5D"/>
    <w:rsid w:val="3C0B4937"/>
    <w:rsid w:val="3C1A101E"/>
    <w:rsid w:val="3C2B6D87"/>
    <w:rsid w:val="3C3A6FCB"/>
    <w:rsid w:val="3C3C0F95"/>
    <w:rsid w:val="3C3E4D0D"/>
    <w:rsid w:val="3C4E2A76"/>
    <w:rsid w:val="3C793F97"/>
    <w:rsid w:val="3C862210"/>
    <w:rsid w:val="3C875E4E"/>
    <w:rsid w:val="3C9E39FD"/>
    <w:rsid w:val="3CA803D8"/>
    <w:rsid w:val="3CB67FA8"/>
    <w:rsid w:val="3CCB40C7"/>
    <w:rsid w:val="3CD613E9"/>
    <w:rsid w:val="3CD92C87"/>
    <w:rsid w:val="3CE37662"/>
    <w:rsid w:val="3CF25AF7"/>
    <w:rsid w:val="3CFB4FDE"/>
    <w:rsid w:val="3D0221DE"/>
    <w:rsid w:val="3D073351"/>
    <w:rsid w:val="3D145A6E"/>
    <w:rsid w:val="3D2A703F"/>
    <w:rsid w:val="3D3879AE"/>
    <w:rsid w:val="3D3D3216"/>
    <w:rsid w:val="3D6F7148"/>
    <w:rsid w:val="3D803103"/>
    <w:rsid w:val="3D820C29"/>
    <w:rsid w:val="3D8E75CE"/>
    <w:rsid w:val="3D8F4E37"/>
    <w:rsid w:val="3D915310"/>
    <w:rsid w:val="3D962926"/>
    <w:rsid w:val="3DA768E2"/>
    <w:rsid w:val="3DB159B2"/>
    <w:rsid w:val="3DB66B25"/>
    <w:rsid w:val="3DC2538F"/>
    <w:rsid w:val="3DC94AAA"/>
    <w:rsid w:val="3DD07BE6"/>
    <w:rsid w:val="3DD27E02"/>
    <w:rsid w:val="3DD31485"/>
    <w:rsid w:val="3DDC2A2F"/>
    <w:rsid w:val="3DDD67A7"/>
    <w:rsid w:val="3E0E6961"/>
    <w:rsid w:val="3E1622ED"/>
    <w:rsid w:val="3E18158D"/>
    <w:rsid w:val="3E1C1B38"/>
    <w:rsid w:val="3E2B12C1"/>
    <w:rsid w:val="3E43589F"/>
    <w:rsid w:val="3E4B54BF"/>
    <w:rsid w:val="3E691DE9"/>
    <w:rsid w:val="3E6E11AD"/>
    <w:rsid w:val="3E703A7C"/>
    <w:rsid w:val="3E7762B4"/>
    <w:rsid w:val="3E8135D7"/>
    <w:rsid w:val="3E927592"/>
    <w:rsid w:val="3E9B4698"/>
    <w:rsid w:val="3EA572C5"/>
    <w:rsid w:val="3EAB0654"/>
    <w:rsid w:val="3EAD617A"/>
    <w:rsid w:val="3EBC3B56"/>
    <w:rsid w:val="3EC7548D"/>
    <w:rsid w:val="3ECD2378"/>
    <w:rsid w:val="3EE871B2"/>
    <w:rsid w:val="3F0062A9"/>
    <w:rsid w:val="3F055FB6"/>
    <w:rsid w:val="3F253F62"/>
    <w:rsid w:val="3F3643C1"/>
    <w:rsid w:val="3F4E1470"/>
    <w:rsid w:val="3F4F7231"/>
    <w:rsid w:val="3F56236D"/>
    <w:rsid w:val="3F836EDA"/>
    <w:rsid w:val="3F9410E8"/>
    <w:rsid w:val="3F944C57"/>
    <w:rsid w:val="3F9D1D4A"/>
    <w:rsid w:val="3FAE21A9"/>
    <w:rsid w:val="3FC30E51"/>
    <w:rsid w:val="3FC65745"/>
    <w:rsid w:val="3FD06369"/>
    <w:rsid w:val="3FD17C46"/>
    <w:rsid w:val="3FD6050A"/>
    <w:rsid w:val="3FDC31A6"/>
    <w:rsid w:val="3FF658FE"/>
    <w:rsid w:val="400B3158"/>
    <w:rsid w:val="401144E6"/>
    <w:rsid w:val="401F30A7"/>
    <w:rsid w:val="4024246B"/>
    <w:rsid w:val="40273D0A"/>
    <w:rsid w:val="40291830"/>
    <w:rsid w:val="402C30CE"/>
    <w:rsid w:val="403A3A3D"/>
    <w:rsid w:val="4041301D"/>
    <w:rsid w:val="40464190"/>
    <w:rsid w:val="404D7FD9"/>
    <w:rsid w:val="40550877"/>
    <w:rsid w:val="406228F9"/>
    <w:rsid w:val="406330B9"/>
    <w:rsid w:val="406867FC"/>
    <w:rsid w:val="406D5BC1"/>
    <w:rsid w:val="4070745F"/>
    <w:rsid w:val="4070746C"/>
    <w:rsid w:val="40714F85"/>
    <w:rsid w:val="407249CF"/>
    <w:rsid w:val="40754A75"/>
    <w:rsid w:val="408E5B37"/>
    <w:rsid w:val="40953369"/>
    <w:rsid w:val="409A272E"/>
    <w:rsid w:val="409E221E"/>
    <w:rsid w:val="40A1586A"/>
    <w:rsid w:val="40A4535A"/>
    <w:rsid w:val="40A86BF9"/>
    <w:rsid w:val="40C81049"/>
    <w:rsid w:val="40CB28E7"/>
    <w:rsid w:val="40DC1869"/>
    <w:rsid w:val="41083B3B"/>
    <w:rsid w:val="411A73CB"/>
    <w:rsid w:val="41306BEE"/>
    <w:rsid w:val="41354204"/>
    <w:rsid w:val="413F4513"/>
    <w:rsid w:val="415D3E87"/>
    <w:rsid w:val="415D5C35"/>
    <w:rsid w:val="4162149D"/>
    <w:rsid w:val="41792C41"/>
    <w:rsid w:val="41895373"/>
    <w:rsid w:val="4194717D"/>
    <w:rsid w:val="41984EBF"/>
    <w:rsid w:val="419D24D5"/>
    <w:rsid w:val="419D5C78"/>
    <w:rsid w:val="41B25855"/>
    <w:rsid w:val="41BC157F"/>
    <w:rsid w:val="41BF069E"/>
    <w:rsid w:val="41C23CEA"/>
    <w:rsid w:val="41C51A2C"/>
    <w:rsid w:val="41CE08E1"/>
    <w:rsid w:val="41E9571B"/>
    <w:rsid w:val="41EC6FB9"/>
    <w:rsid w:val="41F67E38"/>
    <w:rsid w:val="4202058A"/>
    <w:rsid w:val="420460B1"/>
    <w:rsid w:val="42051E29"/>
    <w:rsid w:val="420F4A55"/>
    <w:rsid w:val="42140B1B"/>
    <w:rsid w:val="42276243"/>
    <w:rsid w:val="4230334A"/>
    <w:rsid w:val="42375CB6"/>
    <w:rsid w:val="42440BA3"/>
    <w:rsid w:val="424566C9"/>
    <w:rsid w:val="42533248"/>
    <w:rsid w:val="4262727B"/>
    <w:rsid w:val="426478A4"/>
    <w:rsid w:val="42664FBD"/>
    <w:rsid w:val="4269685C"/>
    <w:rsid w:val="42750D5C"/>
    <w:rsid w:val="427F607F"/>
    <w:rsid w:val="42817701"/>
    <w:rsid w:val="428A1FC5"/>
    <w:rsid w:val="429733C9"/>
    <w:rsid w:val="42997141"/>
    <w:rsid w:val="42A96C58"/>
    <w:rsid w:val="42B705DC"/>
    <w:rsid w:val="42C910A8"/>
    <w:rsid w:val="42CE22CA"/>
    <w:rsid w:val="42D55C9F"/>
    <w:rsid w:val="42D71A17"/>
    <w:rsid w:val="42DB79D7"/>
    <w:rsid w:val="42DF267A"/>
    <w:rsid w:val="42EB101F"/>
    <w:rsid w:val="42ED123B"/>
    <w:rsid w:val="42F41450"/>
    <w:rsid w:val="431A7B56"/>
    <w:rsid w:val="43487189"/>
    <w:rsid w:val="4352109E"/>
    <w:rsid w:val="43560B8E"/>
    <w:rsid w:val="435C1F1C"/>
    <w:rsid w:val="4364538A"/>
    <w:rsid w:val="4374370A"/>
    <w:rsid w:val="437B5AA6"/>
    <w:rsid w:val="43814017"/>
    <w:rsid w:val="43943464"/>
    <w:rsid w:val="43A85162"/>
    <w:rsid w:val="43B81849"/>
    <w:rsid w:val="43BB4E95"/>
    <w:rsid w:val="43BD0C0D"/>
    <w:rsid w:val="43BE6733"/>
    <w:rsid w:val="43C04259"/>
    <w:rsid w:val="43C401ED"/>
    <w:rsid w:val="43D30430"/>
    <w:rsid w:val="43E51F12"/>
    <w:rsid w:val="43F6411F"/>
    <w:rsid w:val="43FE2FD4"/>
    <w:rsid w:val="44240FD0"/>
    <w:rsid w:val="443864E5"/>
    <w:rsid w:val="443D1D4E"/>
    <w:rsid w:val="44421112"/>
    <w:rsid w:val="444A7FC7"/>
    <w:rsid w:val="444B0F20"/>
    <w:rsid w:val="444F07DA"/>
    <w:rsid w:val="445F7F16"/>
    <w:rsid w:val="44613C8E"/>
    <w:rsid w:val="44617EC6"/>
    <w:rsid w:val="446217B4"/>
    <w:rsid w:val="44632243"/>
    <w:rsid w:val="44727C49"/>
    <w:rsid w:val="447B0A98"/>
    <w:rsid w:val="447F5EC2"/>
    <w:rsid w:val="449776B0"/>
    <w:rsid w:val="44C1472D"/>
    <w:rsid w:val="44D24AA9"/>
    <w:rsid w:val="44D52979"/>
    <w:rsid w:val="44DD5933"/>
    <w:rsid w:val="44E1092B"/>
    <w:rsid w:val="44FF64F9"/>
    <w:rsid w:val="45216F7A"/>
    <w:rsid w:val="452627E2"/>
    <w:rsid w:val="452B604A"/>
    <w:rsid w:val="453C0257"/>
    <w:rsid w:val="45433394"/>
    <w:rsid w:val="454A4722"/>
    <w:rsid w:val="454D49ED"/>
    <w:rsid w:val="454F7F8B"/>
    <w:rsid w:val="45521167"/>
    <w:rsid w:val="456A6B72"/>
    <w:rsid w:val="456D6663"/>
    <w:rsid w:val="457277D5"/>
    <w:rsid w:val="45766F3D"/>
    <w:rsid w:val="458659AA"/>
    <w:rsid w:val="4597548E"/>
    <w:rsid w:val="45A32084"/>
    <w:rsid w:val="45B7168C"/>
    <w:rsid w:val="45BE47A3"/>
    <w:rsid w:val="45CF4C28"/>
    <w:rsid w:val="45E5444B"/>
    <w:rsid w:val="45F4468E"/>
    <w:rsid w:val="460C5E7C"/>
    <w:rsid w:val="462F3918"/>
    <w:rsid w:val="463A4797"/>
    <w:rsid w:val="46456C98"/>
    <w:rsid w:val="465869CB"/>
    <w:rsid w:val="465D66D7"/>
    <w:rsid w:val="46603AD2"/>
    <w:rsid w:val="46641814"/>
    <w:rsid w:val="46753A21"/>
    <w:rsid w:val="467F03FC"/>
    <w:rsid w:val="4682613E"/>
    <w:rsid w:val="468C2B19"/>
    <w:rsid w:val="46902629"/>
    <w:rsid w:val="46A77952"/>
    <w:rsid w:val="46A96A93"/>
    <w:rsid w:val="46AF05B5"/>
    <w:rsid w:val="46AF622F"/>
    <w:rsid w:val="46BA7686"/>
    <w:rsid w:val="46BD2CD2"/>
    <w:rsid w:val="46C10A14"/>
    <w:rsid w:val="46C978C9"/>
    <w:rsid w:val="46CC73B9"/>
    <w:rsid w:val="46D06EA9"/>
    <w:rsid w:val="46E91D19"/>
    <w:rsid w:val="46F801AE"/>
    <w:rsid w:val="47095F17"/>
    <w:rsid w:val="4710374A"/>
    <w:rsid w:val="471D19C3"/>
    <w:rsid w:val="472114B3"/>
    <w:rsid w:val="47266AC9"/>
    <w:rsid w:val="472B0583"/>
    <w:rsid w:val="473B07C3"/>
    <w:rsid w:val="473F7B8B"/>
    <w:rsid w:val="47431429"/>
    <w:rsid w:val="474D4056"/>
    <w:rsid w:val="474E2445"/>
    <w:rsid w:val="47501D98"/>
    <w:rsid w:val="475F1FDB"/>
    <w:rsid w:val="47646C1E"/>
    <w:rsid w:val="476A2E5A"/>
    <w:rsid w:val="47797541"/>
    <w:rsid w:val="477F442B"/>
    <w:rsid w:val="47835CCA"/>
    <w:rsid w:val="478B4B7E"/>
    <w:rsid w:val="47975C19"/>
    <w:rsid w:val="479C04F0"/>
    <w:rsid w:val="47A508CD"/>
    <w:rsid w:val="47B02834"/>
    <w:rsid w:val="47B57E4D"/>
    <w:rsid w:val="47B71E17"/>
    <w:rsid w:val="47B9793D"/>
    <w:rsid w:val="47BC11DC"/>
    <w:rsid w:val="47C24A40"/>
    <w:rsid w:val="47C6205A"/>
    <w:rsid w:val="47CD5197"/>
    <w:rsid w:val="47DE2186"/>
    <w:rsid w:val="47EA5D49"/>
    <w:rsid w:val="47F163FC"/>
    <w:rsid w:val="47FD7147"/>
    <w:rsid w:val="481E1E96"/>
    <w:rsid w:val="481E5F6E"/>
    <w:rsid w:val="482F5E51"/>
    <w:rsid w:val="48362D3C"/>
    <w:rsid w:val="48627FD5"/>
    <w:rsid w:val="487D4E0F"/>
    <w:rsid w:val="487E16BE"/>
    <w:rsid w:val="48896395"/>
    <w:rsid w:val="489F6B33"/>
    <w:rsid w:val="48A979B2"/>
    <w:rsid w:val="48B40105"/>
    <w:rsid w:val="48C93BB0"/>
    <w:rsid w:val="48D94F98"/>
    <w:rsid w:val="48DD3AFF"/>
    <w:rsid w:val="48DE45C1"/>
    <w:rsid w:val="48E56510"/>
    <w:rsid w:val="49066BB2"/>
    <w:rsid w:val="491A08B0"/>
    <w:rsid w:val="491F1A22"/>
    <w:rsid w:val="491F7C74"/>
    <w:rsid w:val="492C413F"/>
    <w:rsid w:val="49357497"/>
    <w:rsid w:val="493A4AAE"/>
    <w:rsid w:val="493E459E"/>
    <w:rsid w:val="494616A5"/>
    <w:rsid w:val="494D47E1"/>
    <w:rsid w:val="49521DF7"/>
    <w:rsid w:val="495711BC"/>
    <w:rsid w:val="49686565"/>
    <w:rsid w:val="4972249A"/>
    <w:rsid w:val="49746212"/>
    <w:rsid w:val="498521CD"/>
    <w:rsid w:val="49865F45"/>
    <w:rsid w:val="49900B72"/>
    <w:rsid w:val="49997A26"/>
    <w:rsid w:val="49BA799D"/>
    <w:rsid w:val="49C12AD9"/>
    <w:rsid w:val="49C90530"/>
    <w:rsid w:val="49CA4084"/>
    <w:rsid w:val="49CF64B8"/>
    <w:rsid w:val="49D92519"/>
    <w:rsid w:val="49DA3B9B"/>
    <w:rsid w:val="4A130577"/>
    <w:rsid w:val="4A13463B"/>
    <w:rsid w:val="4A2F3EE7"/>
    <w:rsid w:val="4A315EB1"/>
    <w:rsid w:val="4A477482"/>
    <w:rsid w:val="4A513E5D"/>
    <w:rsid w:val="4A5751EC"/>
    <w:rsid w:val="4A5E657A"/>
    <w:rsid w:val="4A69389D"/>
    <w:rsid w:val="4A8C30E7"/>
    <w:rsid w:val="4A9455FE"/>
    <w:rsid w:val="4AA04DE4"/>
    <w:rsid w:val="4AA541A9"/>
    <w:rsid w:val="4AA743C5"/>
    <w:rsid w:val="4AB03279"/>
    <w:rsid w:val="4AB34B18"/>
    <w:rsid w:val="4AB8212E"/>
    <w:rsid w:val="4AC40AD3"/>
    <w:rsid w:val="4AC62A9D"/>
    <w:rsid w:val="4ADF76BB"/>
    <w:rsid w:val="4B013AD5"/>
    <w:rsid w:val="4B0E1D4E"/>
    <w:rsid w:val="4B142DF8"/>
    <w:rsid w:val="4B1A76AD"/>
    <w:rsid w:val="4B271062"/>
    <w:rsid w:val="4B307F16"/>
    <w:rsid w:val="4B38501D"/>
    <w:rsid w:val="4B425E9C"/>
    <w:rsid w:val="4B4B19D3"/>
    <w:rsid w:val="4B4E6EB7"/>
    <w:rsid w:val="4B6422B6"/>
    <w:rsid w:val="4B645E12"/>
    <w:rsid w:val="4B702A09"/>
    <w:rsid w:val="4B7047B7"/>
    <w:rsid w:val="4B7A73E4"/>
    <w:rsid w:val="4BB0572F"/>
    <w:rsid w:val="4BB548C0"/>
    <w:rsid w:val="4BB87F0C"/>
    <w:rsid w:val="4BCB7C3F"/>
    <w:rsid w:val="4BF74ED8"/>
    <w:rsid w:val="4BFB49C8"/>
    <w:rsid w:val="4C022E22"/>
    <w:rsid w:val="4C0269A3"/>
    <w:rsid w:val="4C1B0BC7"/>
    <w:rsid w:val="4C2061DD"/>
    <w:rsid w:val="4C237A7B"/>
    <w:rsid w:val="4C2A705C"/>
    <w:rsid w:val="4C2D08FA"/>
    <w:rsid w:val="4C382E4C"/>
    <w:rsid w:val="4C465518"/>
    <w:rsid w:val="4C481290"/>
    <w:rsid w:val="4C4874E2"/>
    <w:rsid w:val="4C4D2D4A"/>
    <w:rsid w:val="4C4F0870"/>
    <w:rsid w:val="4C5639AD"/>
    <w:rsid w:val="4C567E51"/>
    <w:rsid w:val="4C5C2F8D"/>
    <w:rsid w:val="4C6C1422"/>
    <w:rsid w:val="4C714C8A"/>
    <w:rsid w:val="4C7402D7"/>
    <w:rsid w:val="4C800A2A"/>
    <w:rsid w:val="4C8A7AFA"/>
    <w:rsid w:val="4C935C0E"/>
    <w:rsid w:val="4C983FC5"/>
    <w:rsid w:val="4CA566E2"/>
    <w:rsid w:val="4CAA0A32"/>
    <w:rsid w:val="4CB30DFF"/>
    <w:rsid w:val="4CB608EF"/>
    <w:rsid w:val="4CB9218D"/>
    <w:rsid w:val="4CD11285"/>
    <w:rsid w:val="4CE87C0B"/>
    <w:rsid w:val="4CFA4C80"/>
    <w:rsid w:val="4CFB69E7"/>
    <w:rsid w:val="4D074D86"/>
    <w:rsid w:val="4D0A4797"/>
    <w:rsid w:val="4D105FBA"/>
    <w:rsid w:val="4D2A6BE7"/>
    <w:rsid w:val="4D2C4DA5"/>
    <w:rsid w:val="4D2D7740"/>
    <w:rsid w:val="4D2E492A"/>
    <w:rsid w:val="4D33015A"/>
    <w:rsid w:val="4D333CEE"/>
    <w:rsid w:val="4D3F2693"/>
    <w:rsid w:val="4D4330E2"/>
    <w:rsid w:val="4D4E0B28"/>
    <w:rsid w:val="4D52686A"/>
    <w:rsid w:val="4D553C64"/>
    <w:rsid w:val="4D5D520F"/>
    <w:rsid w:val="4D673998"/>
    <w:rsid w:val="4D761E2D"/>
    <w:rsid w:val="4D7F33D7"/>
    <w:rsid w:val="4D853821"/>
    <w:rsid w:val="4D8E53C8"/>
    <w:rsid w:val="4D950505"/>
    <w:rsid w:val="4D9A3D6D"/>
    <w:rsid w:val="4DA42A5B"/>
    <w:rsid w:val="4DAB1AD6"/>
    <w:rsid w:val="4DAB41CC"/>
    <w:rsid w:val="4DBE3EFF"/>
    <w:rsid w:val="4DC63969"/>
    <w:rsid w:val="4DD0778F"/>
    <w:rsid w:val="4DD21759"/>
    <w:rsid w:val="4DEB3FAD"/>
    <w:rsid w:val="4DEB6377"/>
    <w:rsid w:val="4DED0341"/>
    <w:rsid w:val="4E01203E"/>
    <w:rsid w:val="4E127DA7"/>
    <w:rsid w:val="4E157897"/>
    <w:rsid w:val="4E191136"/>
    <w:rsid w:val="4E1E20FF"/>
    <w:rsid w:val="4E231FB4"/>
    <w:rsid w:val="4E255D2C"/>
    <w:rsid w:val="4E263853"/>
    <w:rsid w:val="4E2A01A5"/>
    <w:rsid w:val="4E2D496A"/>
    <w:rsid w:val="4E345F70"/>
    <w:rsid w:val="4E4168DE"/>
    <w:rsid w:val="4E4361B3"/>
    <w:rsid w:val="4E601F7A"/>
    <w:rsid w:val="4E630603"/>
    <w:rsid w:val="4E724CEA"/>
    <w:rsid w:val="4E742810"/>
    <w:rsid w:val="4E76148B"/>
    <w:rsid w:val="4E854A1D"/>
    <w:rsid w:val="4E8D38D2"/>
    <w:rsid w:val="4E994025"/>
    <w:rsid w:val="4E9F63D1"/>
    <w:rsid w:val="4EAC1FAA"/>
    <w:rsid w:val="4EC310A1"/>
    <w:rsid w:val="4ECF5C98"/>
    <w:rsid w:val="4EE47996"/>
    <w:rsid w:val="4EE72FE2"/>
    <w:rsid w:val="4EEC05F8"/>
    <w:rsid w:val="4EF24070"/>
    <w:rsid w:val="4F021BCA"/>
    <w:rsid w:val="4F0E4A13"/>
    <w:rsid w:val="4F1B2C8C"/>
    <w:rsid w:val="4F1B712F"/>
    <w:rsid w:val="4F1D07B2"/>
    <w:rsid w:val="4F2064F4"/>
    <w:rsid w:val="4F3E697A"/>
    <w:rsid w:val="4F495A4B"/>
    <w:rsid w:val="4F732AC8"/>
    <w:rsid w:val="4F7800DE"/>
    <w:rsid w:val="4F786330"/>
    <w:rsid w:val="4F7A5B51"/>
    <w:rsid w:val="4F7B372A"/>
    <w:rsid w:val="4F8847C5"/>
    <w:rsid w:val="4F9071D6"/>
    <w:rsid w:val="4F912F4E"/>
    <w:rsid w:val="4F943D47"/>
    <w:rsid w:val="4F975D19"/>
    <w:rsid w:val="4F9C1546"/>
    <w:rsid w:val="4FA2515B"/>
    <w:rsid w:val="4FAD422B"/>
    <w:rsid w:val="4FB37368"/>
    <w:rsid w:val="4FB70C06"/>
    <w:rsid w:val="4FBC621D"/>
    <w:rsid w:val="4FBF5D0D"/>
    <w:rsid w:val="4FC11A85"/>
    <w:rsid w:val="4FC7696F"/>
    <w:rsid w:val="4FDF015D"/>
    <w:rsid w:val="4FEE65F2"/>
    <w:rsid w:val="4FF37764"/>
    <w:rsid w:val="4FF5172F"/>
    <w:rsid w:val="4FFD05E3"/>
    <w:rsid w:val="50055E16"/>
    <w:rsid w:val="50086BD8"/>
    <w:rsid w:val="500876B4"/>
    <w:rsid w:val="501047BA"/>
    <w:rsid w:val="50152BF0"/>
    <w:rsid w:val="501871CB"/>
    <w:rsid w:val="50191308"/>
    <w:rsid w:val="501C615F"/>
    <w:rsid w:val="501E6ED7"/>
    <w:rsid w:val="502643B9"/>
    <w:rsid w:val="50266110"/>
    <w:rsid w:val="504415DE"/>
    <w:rsid w:val="50483F54"/>
    <w:rsid w:val="50487AB0"/>
    <w:rsid w:val="5060304C"/>
    <w:rsid w:val="506A1D6F"/>
    <w:rsid w:val="506D5769"/>
    <w:rsid w:val="507C1E50"/>
    <w:rsid w:val="507C59AC"/>
    <w:rsid w:val="50854860"/>
    <w:rsid w:val="5095081C"/>
    <w:rsid w:val="50A8054F"/>
    <w:rsid w:val="50B11AF9"/>
    <w:rsid w:val="50B96C00"/>
    <w:rsid w:val="50C3182D"/>
    <w:rsid w:val="50D457E8"/>
    <w:rsid w:val="50D70E34"/>
    <w:rsid w:val="50E420B4"/>
    <w:rsid w:val="51145BE4"/>
    <w:rsid w:val="51361FFF"/>
    <w:rsid w:val="5139564B"/>
    <w:rsid w:val="513B5867"/>
    <w:rsid w:val="514E10F6"/>
    <w:rsid w:val="51595086"/>
    <w:rsid w:val="51597A9B"/>
    <w:rsid w:val="51622DF4"/>
    <w:rsid w:val="51624BA2"/>
    <w:rsid w:val="51646B6C"/>
    <w:rsid w:val="516927BD"/>
    <w:rsid w:val="516A3A56"/>
    <w:rsid w:val="516E5229"/>
    <w:rsid w:val="51750D79"/>
    <w:rsid w:val="517843C5"/>
    <w:rsid w:val="51856AE2"/>
    <w:rsid w:val="518D05C9"/>
    <w:rsid w:val="518E0501"/>
    <w:rsid w:val="518F170F"/>
    <w:rsid w:val="51935AB4"/>
    <w:rsid w:val="519805C3"/>
    <w:rsid w:val="519F4057"/>
    <w:rsid w:val="51A90A23"/>
    <w:rsid w:val="51A946CE"/>
    <w:rsid w:val="51AC0513"/>
    <w:rsid w:val="51C92E73"/>
    <w:rsid w:val="51CE66DB"/>
    <w:rsid w:val="51D05FAF"/>
    <w:rsid w:val="51DC2BA6"/>
    <w:rsid w:val="51E8779D"/>
    <w:rsid w:val="51E97071"/>
    <w:rsid w:val="52043EAB"/>
    <w:rsid w:val="52081BED"/>
    <w:rsid w:val="52132340"/>
    <w:rsid w:val="521E31BF"/>
    <w:rsid w:val="521F2A93"/>
    <w:rsid w:val="52304CA0"/>
    <w:rsid w:val="523E560F"/>
    <w:rsid w:val="523E6E33"/>
    <w:rsid w:val="524424F9"/>
    <w:rsid w:val="524D5852"/>
    <w:rsid w:val="525745C2"/>
    <w:rsid w:val="525941F7"/>
    <w:rsid w:val="525C3CE7"/>
    <w:rsid w:val="52754DA9"/>
    <w:rsid w:val="52866DEB"/>
    <w:rsid w:val="52885388"/>
    <w:rsid w:val="528F4686"/>
    <w:rsid w:val="52914064"/>
    <w:rsid w:val="529F5982"/>
    <w:rsid w:val="52A336C4"/>
    <w:rsid w:val="52A77A34"/>
    <w:rsid w:val="52B33145"/>
    <w:rsid w:val="52BC6534"/>
    <w:rsid w:val="52CF270B"/>
    <w:rsid w:val="52D000D0"/>
    <w:rsid w:val="52D33E80"/>
    <w:rsid w:val="52D7511B"/>
    <w:rsid w:val="52E141EC"/>
    <w:rsid w:val="52E55A8A"/>
    <w:rsid w:val="52F17136"/>
    <w:rsid w:val="52F97788"/>
    <w:rsid w:val="530F6FAB"/>
    <w:rsid w:val="532145E9"/>
    <w:rsid w:val="53230361"/>
    <w:rsid w:val="532C36B9"/>
    <w:rsid w:val="532C5467"/>
    <w:rsid w:val="532F6D06"/>
    <w:rsid w:val="53397B84"/>
    <w:rsid w:val="534C66C9"/>
    <w:rsid w:val="53514ECE"/>
    <w:rsid w:val="53547C35"/>
    <w:rsid w:val="535968FA"/>
    <w:rsid w:val="536C1D08"/>
    <w:rsid w:val="53843A63"/>
    <w:rsid w:val="5391176E"/>
    <w:rsid w:val="53963229"/>
    <w:rsid w:val="53A96AB8"/>
    <w:rsid w:val="53B4545D"/>
    <w:rsid w:val="53CB1124"/>
    <w:rsid w:val="53CE4770"/>
    <w:rsid w:val="53E67D0C"/>
    <w:rsid w:val="53F341D7"/>
    <w:rsid w:val="53FD48A4"/>
    <w:rsid w:val="541303D5"/>
    <w:rsid w:val="542645AC"/>
    <w:rsid w:val="5428733F"/>
    <w:rsid w:val="543A1E06"/>
    <w:rsid w:val="5445003E"/>
    <w:rsid w:val="54484523"/>
    <w:rsid w:val="5449029B"/>
    <w:rsid w:val="544D7D8B"/>
    <w:rsid w:val="54555016"/>
    <w:rsid w:val="545F186C"/>
    <w:rsid w:val="54714874"/>
    <w:rsid w:val="54776BB6"/>
    <w:rsid w:val="54837309"/>
    <w:rsid w:val="548412D3"/>
    <w:rsid w:val="549A4653"/>
    <w:rsid w:val="549C486F"/>
    <w:rsid w:val="54B716A8"/>
    <w:rsid w:val="54B97065"/>
    <w:rsid w:val="54BA6AA3"/>
    <w:rsid w:val="54C067AF"/>
    <w:rsid w:val="54CB6F02"/>
    <w:rsid w:val="54D1276A"/>
    <w:rsid w:val="54D222B5"/>
    <w:rsid w:val="54D9517B"/>
    <w:rsid w:val="54DA5359"/>
    <w:rsid w:val="54DE6C35"/>
    <w:rsid w:val="54E26CD8"/>
    <w:rsid w:val="54E56DB8"/>
    <w:rsid w:val="54E67898"/>
    <w:rsid w:val="54F25597"/>
    <w:rsid w:val="55004DFD"/>
    <w:rsid w:val="550B72FE"/>
    <w:rsid w:val="550D12C8"/>
    <w:rsid w:val="550F3292"/>
    <w:rsid w:val="55110DB9"/>
    <w:rsid w:val="551408A9"/>
    <w:rsid w:val="55164621"/>
    <w:rsid w:val="551B1F3B"/>
    <w:rsid w:val="55286102"/>
    <w:rsid w:val="55344AA7"/>
    <w:rsid w:val="554F368F"/>
    <w:rsid w:val="55564A1D"/>
    <w:rsid w:val="555851BD"/>
    <w:rsid w:val="555B0286"/>
    <w:rsid w:val="555E420D"/>
    <w:rsid w:val="555E7D76"/>
    <w:rsid w:val="55630EE8"/>
    <w:rsid w:val="55674B95"/>
    <w:rsid w:val="556C4241"/>
    <w:rsid w:val="55760C1C"/>
    <w:rsid w:val="55794BB0"/>
    <w:rsid w:val="558D41B7"/>
    <w:rsid w:val="5590774E"/>
    <w:rsid w:val="55967510"/>
    <w:rsid w:val="55992B5C"/>
    <w:rsid w:val="55AC6AAE"/>
    <w:rsid w:val="55B81234"/>
    <w:rsid w:val="55BB6F76"/>
    <w:rsid w:val="55C0458D"/>
    <w:rsid w:val="55C5424A"/>
    <w:rsid w:val="55CC1183"/>
    <w:rsid w:val="55CC2F32"/>
    <w:rsid w:val="55DD6EED"/>
    <w:rsid w:val="55F06C20"/>
    <w:rsid w:val="55F27CF7"/>
    <w:rsid w:val="56091A90"/>
    <w:rsid w:val="561A3C9D"/>
    <w:rsid w:val="562A71CE"/>
    <w:rsid w:val="562C577E"/>
    <w:rsid w:val="5630526E"/>
    <w:rsid w:val="563D3E2F"/>
    <w:rsid w:val="56400E03"/>
    <w:rsid w:val="56431446"/>
    <w:rsid w:val="564E7DEA"/>
    <w:rsid w:val="56552F27"/>
    <w:rsid w:val="56690780"/>
    <w:rsid w:val="56725887"/>
    <w:rsid w:val="567333AD"/>
    <w:rsid w:val="567C6706"/>
    <w:rsid w:val="568A7C35"/>
    <w:rsid w:val="56A1616C"/>
    <w:rsid w:val="56A4475D"/>
    <w:rsid w:val="56A97FE7"/>
    <w:rsid w:val="56BE0ACC"/>
    <w:rsid w:val="56C360E3"/>
    <w:rsid w:val="56C51AF2"/>
    <w:rsid w:val="56CB31E9"/>
    <w:rsid w:val="56DD7C0E"/>
    <w:rsid w:val="56E83D9B"/>
    <w:rsid w:val="56EB5639"/>
    <w:rsid w:val="56EC7A9B"/>
    <w:rsid w:val="56F270DD"/>
    <w:rsid w:val="56FA587C"/>
    <w:rsid w:val="571C3A45"/>
    <w:rsid w:val="571E5A0F"/>
    <w:rsid w:val="572A7F10"/>
    <w:rsid w:val="572C012C"/>
    <w:rsid w:val="572F19CA"/>
    <w:rsid w:val="57392849"/>
    <w:rsid w:val="574014E1"/>
    <w:rsid w:val="57572CCF"/>
    <w:rsid w:val="57650F48"/>
    <w:rsid w:val="57686C8A"/>
    <w:rsid w:val="57790E97"/>
    <w:rsid w:val="577E46FF"/>
    <w:rsid w:val="578735B4"/>
    <w:rsid w:val="57877110"/>
    <w:rsid w:val="57882E88"/>
    <w:rsid w:val="578A4E52"/>
    <w:rsid w:val="579139FB"/>
    <w:rsid w:val="57A37CC2"/>
    <w:rsid w:val="57AA1051"/>
    <w:rsid w:val="57B41ECF"/>
    <w:rsid w:val="57D165DD"/>
    <w:rsid w:val="57DD31D4"/>
    <w:rsid w:val="57FA3D86"/>
    <w:rsid w:val="581901D0"/>
    <w:rsid w:val="58296419"/>
    <w:rsid w:val="58380D08"/>
    <w:rsid w:val="5838665C"/>
    <w:rsid w:val="58417C07"/>
    <w:rsid w:val="58466FCB"/>
    <w:rsid w:val="584A6390"/>
    <w:rsid w:val="584B2834"/>
    <w:rsid w:val="584F7E8A"/>
    <w:rsid w:val="58501BF8"/>
    <w:rsid w:val="58550FBC"/>
    <w:rsid w:val="585A2A77"/>
    <w:rsid w:val="585B059D"/>
    <w:rsid w:val="58A3466E"/>
    <w:rsid w:val="58A837E2"/>
    <w:rsid w:val="58B101BD"/>
    <w:rsid w:val="58B425AE"/>
    <w:rsid w:val="58BD4DB3"/>
    <w:rsid w:val="58BF0B2C"/>
    <w:rsid w:val="58C425E6"/>
    <w:rsid w:val="58CB5722"/>
    <w:rsid w:val="58E6153D"/>
    <w:rsid w:val="58E862D4"/>
    <w:rsid w:val="58FA6008"/>
    <w:rsid w:val="590824D3"/>
    <w:rsid w:val="59172716"/>
    <w:rsid w:val="592F0511"/>
    <w:rsid w:val="59562159"/>
    <w:rsid w:val="59637709"/>
    <w:rsid w:val="596516D3"/>
    <w:rsid w:val="597A4F3F"/>
    <w:rsid w:val="5980475F"/>
    <w:rsid w:val="5987789B"/>
    <w:rsid w:val="599975CF"/>
    <w:rsid w:val="59A23698"/>
    <w:rsid w:val="59AA71CF"/>
    <w:rsid w:val="59AF6DF2"/>
    <w:rsid w:val="59B66275"/>
    <w:rsid w:val="59D625D1"/>
    <w:rsid w:val="59DB1995"/>
    <w:rsid w:val="59EC0A05"/>
    <w:rsid w:val="59F760A3"/>
    <w:rsid w:val="5A0709DC"/>
    <w:rsid w:val="5A13112F"/>
    <w:rsid w:val="5A1629CD"/>
    <w:rsid w:val="5A2055FA"/>
    <w:rsid w:val="5A2A1C42"/>
    <w:rsid w:val="5A2C0443"/>
    <w:rsid w:val="5A3317D1"/>
    <w:rsid w:val="5A3612C1"/>
    <w:rsid w:val="5A3B2434"/>
    <w:rsid w:val="5A5A4FB0"/>
    <w:rsid w:val="5A7871E4"/>
    <w:rsid w:val="5A84202D"/>
    <w:rsid w:val="5A971D60"/>
    <w:rsid w:val="5A981634"/>
    <w:rsid w:val="5A9B1124"/>
    <w:rsid w:val="5A9C6C38"/>
    <w:rsid w:val="5AA4447D"/>
    <w:rsid w:val="5AA862C7"/>
    <w:rsid w:val="5AB04BD0"/>
    <w:rsid w:val="5ABF12B7"/>
    <w:rsid w:val="5AC95C92"/>
    <w:rsid w:val="5AD3266C"/>
    <w:rsid w:val="5AD85ED5"/>
    <w:rsid w:val="5ADE798F"/>
    <w:rsid w:val="5B136F0D"/>
    <w:rsid w:val="5B172EA1"/>
    <w:rsid w:val="5B2B24A8"/>
    <w:rsid w:val="5B4067A6"/>
    <w:rsid w:val="5B61236E"/>
    <w:rsid w:val="5B647768"/>
    <w:rsid w:val="5B661732"/>
    <w:rsid w:val="5B6B6D49"/>
    <w:rsid w:val="5B791466"/>
    <w:rsid w:val="5B800A46"/>
    <w:rsid w:val="5B8147BE"/>
    <w:rsid w:val="5B835E40"/>
    <w:rsid w:val="5B8C73EB"/>
    <w:rsid w:val="5B977B3E"/>
    <w:rsid w:val="5B9B762E"/>
    <w:rsid w:val="5BA109BC"/>
    <w:rsid w:val="5BB93F58"/>
    <w:rsid w:val="5BBC1352"/>
    <w:rsid w:val="5BC76675"/>
    <w:rsid w:val="5BD05479"/>
    <w:rsid w:val="5BDE5B94"/>
    <w:rsid w:val="5BF979BC"/>
    <w:rsid w:val="5BFE7BBD"/>
    <w:rsid w:val="5C003935"/>
    <w:rsid w:val="5C07081F"/>
    <w:rsid w:val="5C0C22DA"/>
    <w:rsid w:val="5C1318BA"/>
    <w:rsid w:val="5C207B33"/>
    <w:rsid w:val="5C2515ED"/>
    <w:rsid w:val="5C276E1A"/>
    <w:rsid w:val="5C2C297C"/>
    <w:rsid w:val="5C471564"/>
    <w:rsid w:val="5C583771"/>
    <w:rsid w:val="5C58551F"/>
    <w:rsid w:val="5C602626"/>
    <w:rsid w:val="5C6043D4"/>
    <w:rsid w:val="5C643EC4"/>
    <w:rsid w:val="5C645C72"/>
    <w:rsid w:val="5C6519EA"/>
    <w:rsid w:val="5C6F18FC"/>
    <w:rsid w:val="5C78796F"/>
    <w:rsid w:val="5C8448C7"/>
    <w:rsid w:val="5C93440A"/>
    <w:rsid w:val="5CAC7619"/>
    <w:rsid w:val="5CB32755"/>
    <w:rsid w:val="5CB564CD"/>
    <w:rsid w:val="5CBA7F88"/>
    <w:rsid w:val="5CCC3817"/>
    <w:rsid w:val="5CD66444"/>
    <w:rsid w:val="5CE648D9"/>
    <w:rsid w:val="5D013E49"/>
    <w:rsid w:val="5D1706B9"/>
    <w:rsid w:val="5D1D22C5"/>
    <w:rsid w:val="5D1F428F"/>
    <w:rsid w:val="5D2673CB"/>
    <w:rsid w:val="5D335644"/>
    <w:rsid w:val="5D364BA9"/>
    <w:rsid w:val="5D3F66DF"/>
    <w:rsid w:val="5D5A3AF3"/>
    <w:rsid w:val="5D5F6439"/>
    <w:rsid w:val="5D610403"/>
    <w:rsid w:val="5D645056"/>
    <w:rsid w:val="5D656AC5"/>
    <w:rsid w:val="5D683540"/>
    <w:rsid w:val="5D7874FB"/>
    <w:rsid w:val="5D7E0546"/>
    <w:rsid w:val="5D845EA0"/>
    <w:rsid w:val="5D8C298A"/>
    <w:rsid w:val="5D9229BB"/>
    <w:rsid w:val="5DB20C5F"/>
    <w:rsid w:val="5DBE26B8"/>
    <w:rsid w:val="5DC25383"/>
    <w:rsid w:val="5DC32E6C"/>
    <w:rsid w:val="5DD75377"/>
    <w:rsid w:val="5DE60909"/>
    <w:rsid w:val="5DEF5A0F"/>
    <w:rsid w:val="5DF11787"/>
    <w:rsid w:val="5DF50B4C"/>
    <w:rsid w:val="5E053485"/>
    <w:rsid w:val="5E08087F"/>
    <w:rsid w:val="5E0B036F"/>
    <w:rsid w:val="5E0C4813"/>
    <w:rsid w:val="5E1B2CA8"/>
    <w:rsid w:val="5E251431"/>
    <w:rsid w:val="5E2E29DB"/>
    <w:rsid w:val="5E2F22B0"/>
    <w:rsid w:val="5E323B4E"/>
    <w:rsid w:val="5E355E51"/>
    <w:rsid w:val="5E3C677A"/>
    <w:rsid w:val="5E6737F7"/>
    <w:rsid w:val="5E766130"/>
    <w:rsid w:val="5E767EDE"/>
    <w:rsid w:val="5E7F76D7"/>
    <w:rsid w:val="5E800D5D"/>
    <w:rsid w:val="5E8545C5"/>
    <w:rsid w:val="5E895E64"/>
    <w:rsid w:val="5E912F6A"/>
    <w:rsid w:val="5EA44A4C"/>
    <w:rsid w:val="5EA70098"/>
    <w:rsid w:val="5EAA7E85"/>
    <w:rsid w:val="5EB7471A"/>
    <w:rsid w:val="5EC155FD"/>
    <w:rsid w:val="5ED03A93"/>
    <w:rsid w:val="5EE50BC0"/>
    <w:rsid w:val="5EEE5CC7"/>
    <w:rsid w:val="5EF07037"/>
    <w:rsid w:val="5EFC6636"/>
    <w:rsid w:val="5F0059FA"/>
    <w:rsid w:val="5F04373C"/>
    <w:rsid w:val="5F1D086A"/>
    <w:rsid w:val="5F227E41"/>
    <w:rsid w:val="5F296CFF"/>
    <w:rsid w:val="5F337B7D"/>
    <w:rsid w:val="5F3833E6"/>
    <w:rsid w:val="5F3F29C6"/>
    <w:rsid w:val="5F441D8B"/>
    <w:rsid w:val="5F57386C"/>
    <w:rsid w:val="5F6146EB"/>
    <w:rsid w:val="5F630463"/>
    <w:rsid w:val="5F710D42"/>
    <w:rsid w:val="5F920D48"/>
    <w:rsid w:val="5F9F32F8"/>
    <w:rsid w:val="5FA12D39"/>
    <w:rsid w:val="5FA85000"/>
    <w:rsid w:val="5FAE5456"/>
    <w:rsid w:val="5FB23198"/>
    <w:rsid w:val="5FC5111D"/>
    <w:rsid w:val="5FC93D7A"/>
    <w:rsid w:val="5FD02094"/>
    <w:rsid w:val="5FD50C35"/>
    <w:rsid w:val="5FE1582B"/>
    <w:rsid w:val="6004199A"/>
    <w:rsid w:val="600C3F55"/>
    <w:rsid w:val="60174CA1"/>
    <w:rsid w:val="601D2D07"/>
    <w:rsid w:val="6037544B"/>
    <w:rsid w:val="60432042"/>
    <w:rsid w:val="60457B68"/>
    <w:rsid w:val="604A1623"/>
    <w:rsid w:val="6065645C"/>
    <w:rsid w:val="60673F83"/>
    <w:rsid w:val="60687CFB"/>
    <w:rsid w:val="6071095D"/>
    <w:rsid w:val="608C39E9"/>
    <w:rsid w:val="60916947"/>
    <w:rsid w:val="60964868"/>
    <w:rsid w:val="60A704F0"/>
    <w:rsid w:val="60BE791B"/>
    <w:rsid w:val="60CA4511"/>
    <w:rsid w:val="60DE5F0E"/>
    <w:rsid w:val="60E90E3C"/>
    <w:rsid w:val="60F17CF0"/>
    <w:rsid w:val="60F43F81"/>
    <w:rsid w:val="61131A15"/>
    <w:rsid w:val="61137C66"/>
    <w:rsid w:val="61291B64"/>
    <w:rsid w:val="612956DC"/>
    <w:rsid w:val="6129748A"/>
    <w:rsid w:val="61306A6A"/>
    <w:rsid w:val="613320B7"/>
    <w:rsid w:val="613876CD"/>
    <w:rsid w:val="61447E20"/>
    <w:rsid w:val="61500EBB"/>
    <w:rsid w:val="615A5587"/>
    <w:rsid w:val="61686ADD"/>
    <w:rsid w:val="61700C15"/>
    <w:rsid w:val="618E3791"/>
    <w:rsid w:val="61BC3E5A"/>
    <w:rsid w:val="61C947C9"/>
    <w:rsid w:val="61EA6C19"/>
    <w:rsid w:val="620A1069"/>
    <w:rsid w:val="622C5484"/>
    <w:rsid w:val="6239194F"/>
    <w:rsid w:val="62481B02"/>
    <w:rsid w:val="62500A46"/>
    <w:rsid w:val="62540537"/>
    <w:rsid w:val="625C563D"/>
    <w:rsid w:val="62600C89"/>
    <w:rsid w:val="6267026A"/>
    <w:rsid w:val="626A1B08"/>
    <w:rsid w:val="62796BC4"/>
    <w:rsid w:val="62864468"/>
    <w:rsid w:val="62966DA1"/>
    <w:rsid w:val="62AF7E63"/>
    <w:rsid w:val="62B114E5"/>
    <w:rsid w:val="62B20DAE"/>
    <w:rsid w:val="62B912F6"/>
    <w:rsid w:val="62C76F5B"/>
    <w:rsid w:val="62D52568"/>
    <w:rsid w:val="62DB0C58"/>
    <w:rsid w:val="62DE6052"/>
    <w:rsid w:val="62EB31E4"/>
    <w:rsid w:val="62EE098B"/>
    <w:rsid w:val="62F14D56"/>
    <w:rsid w:val="62F45876"/>
    <w:rsid w:val="6300421A"/>
    <w:rsid w:val="63043D0B"/>
    <w:rsid w:val="630B32EB"/>
    <w:rsid w:val="630E06E5"/>
    <w:rsid w:val="631A352E"/>
    <w:rsid w:val="631A67C1"/>
    <w:rsid w:val="632748F0"/>
    <w:rsid w:val="6333639E"/>
    <w:rsid w:val="63402869"/>
    <w:rsid w:val="63555685"/>
    <w:rsid w:val="6356208C"/>
    <w:rsid w:val="635A7DCF"/>
    <w:rsid w:val="63732C3E"/>
    <w:rsid w:val="637846F9"/>
    <w:rsid w:val="637A3FCD"/>
    <w:rsid w:val="637E06AE"/>
    <w:rsid w:val="63984453"/>
    <w:rsid w:val="63A76588"/>
    <w:rsid w:val="63AE011A"/>
    <w:rsid w:val="63B53257"/>
    <w:rsid w:val="63E37DC4"/>
    <w:rsid w:val="63E61662"/>
    <w:rsid w:val="63E91153"/>
    <w:rsid w:val="63EE6769"/>
    <w:rsid w:val="63EF49BB"/>
    <w:rsid w:val="63F21DB5"/>
    <w:rsid w:val="63F7561D"/>
    <w:rsid w:val="63F83144"/>
    <w:rsid w:val="63FA510E"/>
    <w:rsid w:val="63FA6EBC"/>
    <w:rsid w:val="64030466"/>
    <w:rsid w:val="64061D04"/>
    <w:rsid w:val="64063AB3"/>
    <w:rsid w:val="643F4FDD"/>
    <w:rsid w:val="6441132E"/>
    <w:rsid w:val="644C3BBB"/>
    <w:rsid w:val="644D7933"/>
    <w:rsid w:val="646709F5"/>
    <w:rsid w:val="647C3D75"/>
    <w:rsid w:val="647C5B23"/>
    <w:rsid w:val="648D7C89"/>
    <w:rsid w:val="648D7D30"/>
    <w:rsid w:val="64B21C19"/>
    <w:rsid w:val="64B702F7"/>
    <w:rsid w:val="64C179D9"/>
    <w:rsid w:val="64CF0348"/>
    <w:rsid w:val="64E21E2A"/>
    <w:rsid w:val="64EB7C27"/>
    <w:rsid w:val="64F16511"/>
    <w:rsid w:val="650049A6"/>
    <w:rsid w:val="65031DA0"/>
    <w:rsid w:val="650A312E"/>
    <w:rsid w:val="650E7A25"/>
    <w:rsid w:val="65150451"/>
    <w:rsid w:val="65290E15"/>
    <w:rsid w:val="65293EFC"/>
    <w:rsid w:val="65295CAB"/>
    <w:rsid w:val="65424FBE"/>
    <w:rsid w:val="654F3237"/>
    <w:rsid w:val="65501489"/>
    <w:rsid w:val="65635506"/>
    <w:rsid w:val="65660CAD"/>
    <w:rsid w:val="65817895"/>
    <w:rsid w:val="6593581A"/>
    <w:rsid w:val="659375C8"/>
    <w:rsid w:val="659F41BF"/>
    <w:rsid w:val="65A215B9"/>
    <w:rsid w:val="65A645AF"/>
    <w:rsid w:val="65AB66C0"/>
    <w:rsid w:val="65CE23AE"/>
    <w:rsid w:val="65E240AB"/>
    <w:rsid w:val="65E676F8"/>
    <w:rsid w:val="65E816C2"/>
    <w:rsid w:val="65E9543A"/>
    <w:rsid w:val="65FA31A3"/>
    <w:rsid w:val="65FF6A0B"/>
    <w:rsid w:val="66061B48"/>
    <w:rsid w:val="662F72F1"/>
    <w:rsid w:val="663E7534"/>
    <w:rsid w:val="664803B2"/>
    <w:rsid w:val="664A412A"/>
    <w:rsid w:val="66524D8D"/>
    <w:rsid w:val="66554089"/>
    <w:rsid w:val="665E3732"/>
    <w:rsid w:val="666176C6"/>
    <w:rsid w:val="668F5FE1"/>
    <w:rsid w:val="66903B07"/>
    <w:rsid w:val="66B94E0C"/>
    <w:rsid w:val="66C67529"/>
    <w:rsid w:val="66CA0E88"/>
    <w:rsid w:val="66CF63DE"/>
    <w:rsid w:val="66DB0439"/>
    <w:rsid w:val="66DE0D17"/>
    <w:rsid w:val="66E55E08"/>
    <w:rsid w:val="66F10A4A"/>
    <w:rsid w:val="670267B3"/>
    <w:rsid w:val="670562A3"/>
    <w:rsid w:val="671169F6"/>
    <w:rsid w:val="67140D55"/>
    <w:rsid w:val="67166FE4"/>
    <w:rsid w:val="6727446C"/>
    <w:rsid w:val="67286252"/>
    <w:rsid w:val="672A3F5C"/>
    <w:rsid w:val="672C6851"/>
    <w:rsid w:val="67334BBF"/>
    <w:rsid w:val="674342E3"/>
    <w:rsid w:val="6747066A"/>
    <w:rsid w:val="67472418"/>
    <w:rsid w:val="676236F6"/>
    <w:rsid w:val="676C3B8F"/>
    <w:rsid w:val="676D68B5"/>
    <w:rsid w:val="67835311"/>
    <w:rsid w:val="67901FF6"/>
    <w:rsid w:val="6790696E"/>
    <w:rsid w:val="67A21D44"/>
    <w:rsid w:val="67C717AB"/>
    <w:rsid w:val="67DA7730"/>
    <w:rsid w:val="67DF0EB0"/>
    <w:rsid w:val="67E1461B"/>
    <w:rsid w:val="67E67E83"/>
    <w:rsid w:val="67E934CF"/>
    <w:rsid w:val="67FD341E"/>
    <w:rsid w:val="680D44B2"/>
    <w:rsid w:val="68112A26"/>
    <w:rsid w:val="681349F0"/>
    <w:rsid w:val="68355788"/>
    <w:rsid w:val="68576637"/>
    <w:rsid w:val="68694610"/>
    <w:rsid w:val="687E455F"/>
    <w:rsid w:val="68975621"/>
    <w:rsid w:val="689773CF"/>
    <w:rsid w:val="689B6EBF"/>
    <w:rsid w:val="689E69AF"/>
    <w:rsid w:val="68B00491"/>
    <w:rsid w:val="68B83031"/>
    <w:rsid w:val="68C61A62"/>
    <w:rsid w:val="68CE7E74"/>
    <w:rsid w:val="68D777CC"/>
    <w:rsid w:val="68EC14C9"/>
    <w:rsid w:val="68F71C1C"/>
    <w:rsid w:val="690F51B7"/>
    <w:rsid w:val="69112CDD"/>
    <w:rsid w:val="691E2803"/>
    <w:rsid w:val="6938470E"/>
    <w:rsid w:val="693B41FE"/>
    <w:rsid w:val="693B7D5A"/>
    <w:rsid w:val="694110E9"/>
    <w:rsid w:val="695B03FD"/>
    <w:rsid w:val="695D23C7"/>
    <w:rsid w:val="695E7EED"/>
    <w:rsid w:val="6962178B"/>
    <w:rsid w:val="696574CD"/>
    <w:rsid w:val="697B284D"/>
    <w:rsid w:val="69886D18"/>
    <w:rsid w:val="698E07D2"/>
    <w:rsid w:val="699224B1"/>
    <w:rsid w:val="69A920BB"/>
    <w:rsid w:val="69B55D5F"/>
    <w:rsid w:val="69B67D29"/>
    <w:rsid w:val="69BF098B"/>
    <w:rsid w:val="69C04704"/>
    <w:rsid w:val="69C73CE4"/>
    <w:rsid w:val="69D02B99"/>
    <w:rsid w:val="69D94559"/>
    <w:rsid w:val="69E53D13"/>
    <w:rsid w:val="69F47280"/>
    <w:rsid w:val="69FA7C16"/>
    <w:rsid w:val="6A070584"/>
    <w:rsid w:val="6A22716C"/>
    <w:rsid w:val="6A2D7FEB"/>
    <w:rsid w:val="6A331379"/>
    <w:rsid w:val="6A3A656D"/>
    <w:rsid w:val="6A4C5F97"/>
    <w:rsid w:val="6A5437CA"/>
    <w:rsid w:val="6A55309E"/>
    <w:rsid w:val="6A58493C"/>
    <w:rsid w:val="6A5A06B4"/>
    <w:rsid w:val="6A5D1F52"/>
    <w:rsid w:val="6A682DD1"/>
    <w:rsid w:val="6A687275"/>
    <w:rsid w:val="6A731776"/>
    <w:rsid w:val="6A8D0A8A"/>
    <w:rsid w:val="6A9F07BD"/>
    <w:rsid w:val="6AC124E1"/>
    <w:rsid w:val="6AD95A7D"/>
    <w:rsid w:val="6ADF6E0B"/>
    <w:rsid w:val="6AE6019A"/>
    <w:rsid w:val="6AF208ED"/>
    <w:rsid w:val="6AF24D91"/>
    <w:rsid w:val="6AF705F9"/>
    <w:rsid w:val="6AF87C73"/>
    <w:rsid w:val="6AFE7291"/>
    <w:rsid w:val="6B482C03"/>
    <w:rsid w:val="6B5C045C"/>
    <w:rsid w:val="6B5C220A"/>
    <w:rsid w:val="6B677AF8"/>
    <w:rsid w:val="6B7632CC"/>
    <w:rsid w:val="6B785296"/>
    <w:rsid w:val="6B79100E"/>
    <w:rsid w:val="6B9B3981"/>
    <w:rsid w:val="6B9D6AAA"/>
    <w:rsid w:val="6BA37E39"/>
    <w:rsid w:val="6BB87D88"/>
    <w:rsid w:val="6BBE4C73"/>
    <w:rsid w:val="6BC524A5"/>
    <w:rsid w:val="6BC54253"/>
    <w:rsid w:val="6BC73B27"/>
    <w:rsid w:val="6BD6020E"/>
    <w:rsid w:val="6BDA5F51"/>
    <w:rsid w:val="6BF16DF6"/>
    <w:rsid w:val="6BF863D7"/>
    <w:rsid w:val="6C042FCD"/>
    <w:rsid w:val="6C122F13"/>
    <w:rsid w:val="6C157B27"/>
    <w:rsid w:val="6C1C0317"/>
    <w:rsid w:val="6C246A1B"/>
    <w:rsid w:val="6C472EBA"/>
    <w:rsid w:val="6C4F7438"/>
    <w:rsid w:val="6C5630FD"/>
    <w:rsid w:val="6C5740F9"/>
    <w:rsid w:val="6C580C23"/>
    <w:rsid w:val="6C5B5F14"/>
    <w:rsid w:val="6C6B4DFB"/>
    <w:rsid w:val="6C83461C"/>
    <w:rsid w:val="6C89702F"/>
    <w:rsid w:val="6CA259B8"/>
    <w:rsid w:val="6CB95B66"/>
    <w:rsid w:val="6CC30793"/>
    <w:rsid w:val="6CC62031"/>
    <w:rsid w:val="6CD75FEC"/>
    <w:rsid w:val="6CEF1588"/>
    <w:rsid w:val="6CF3094C"/>
    <w:rsid w:val="6D0112BB"/>
    <w:rsid w:val="6D0C7C9A"/>
    <w:rsid w:val="6D184E6C"/>
    <w:rsid w:val="6D1F1741"/>
    <w:rsid w:val="6D2D3E5E"/>
    <w:rsid w:val="6D2F407A"/>
    <w:rsid w:val="6D325918"/>
    <w:rsid w:val="6D365409"/>
    <w:rsid w:val="6D513FF0"/>
    <w:rsid w:val="6D57712D"/>
    <w:rsid w:val="6D583572"/>
    <w:rsid w:val="6D587D8A"/>
    <w:rsid w:val="6D594C53"/>
    <w:rsid w:val="6D6D4BA2"/>
    <w:rsid w:val="6D723F67"/>
    <w:rsid w:val="6D745F31"/>
    <w:rsid w:val="6D82064E"/>
    <w:rsid w:val="6D940381"/>
    <w:rsid w:val="6DAD31F1"/>
    <w:rsid w:val="6DB14177"/>
    <w:rsid w:val="6DB427D1"/>
    <w:rsid w:val="6DC01176"/>
    <w:rsid w:val="6DC36570"/>
    <w:rsid w:val="6DC5678C"/>
    <w:rsid w:val="6DC81DD9"/>
    <w:rsid w:val="6DCA6045"/>
    <w:rsid w:val="6DCA78FF"/>
    <w:rsid w:val="6DE07122"/>
    <w:rsid w:val="6DF1132F"/>
    <w:rsid w:val="6DF606F4"/>
    <w:rsid w:val="6DFB5D0A"/>
    <w:rsid w:val="6E0077C5"/>
    <w:rsid w:val="6E184B0E"/>
    <w:rsid w:val="6E22598D"/>
    <w:rsid w:val="6E26547D"/>
    <w:rsid w:val="6E272FA3"/>
    <w:rsid w:val="6E3D1D91"/>
    <w:rsid w:val="6E443B55"/>
    <w:rsid w:val="6E4678CD"/>
    <w:rsid w:val="6E4C0C5C"/>
    <w:rsid w:val="6E5042A8"/>
    <w:rsid w:val="6E557B10"/>
    <w:rsid w:val="6E677844"/>
    <w:rsid w:val="6E680B4E"/>
    <w:rsid w:val="6E7820E9"/>
    <w:rsid w:val="6E7F2DDF"/>
    <w:rsid w:val="6E8126B3"/>
    <w:rsid w:val="6E8757F0"/>
    <w:rsid w:val="6E934195"/>
    <w:rsid w:val="6E9543B1"/>
    <w:rsid w:val="6EA63EC8"/>
    <w:rsid w:val="6EB74327"/>
    <w:rsid w:val="6EBC36EB"/>
    <w:rsid w:val="6EC801D0"/>
    <w:rsid w:val="6ED053E9"/>
    <w:rsid w:val="6ED35967"/>
    <w:rsid w:val="6EDF562C"/>
    <w:rsid w:val="6EE13152"/>
    <w:rsid w:val="6EE80984"/>
    <w:rsid w:val="6EF2535F"/>
    <w:rsid w:val="6EF54E4F"/>
    <w:rsid w:val="6EF74724"/>
    <w:rsid w:val="6EF966EE"/>
    <w:rsid w:val="6EFC7F8C"/>
    <w:rsid w:val="6F0155A2"/>
    <w:rsid w:val="6F0926A9"/>
    <w:rsid w:val="6F1E7F02"/>
    <w:rsid w:val="6F1F3C7A"/>
    <w:rsid w:val="6F40431D"/>
    <w:rsid w:val="6F437969"/>
    <w:rsid w:val="6F4E54A4"/>
    <w:rsid w:val="6F5778B8"/>
    <w:rsid w:val="6F646D54"/>
    <w:rsid w:val="6F7D6FD7"/>
    <w:rsid w:val="6F814935"/>
    <w:rsid w:val="6F997ED1"/>
    <w:rsid w:val="6FAF4FFE"/>
    <w:rsid w:val="6FB22D40"/>
    <w:rsid w:val="6FB30EF7"/>
    <w:rsid w:val="6FB676E1"/>
    <w:rsid w:val="6FCC795E"/>
    <w:rsid w:val="6FCF56A0"/>
    <w:rsid w:val="6FD61C0D"/>
    <w:rsid w:val="6FE217DD"/>
    <w:rsid w:val="6FFB6495"/>
    <w:rsid w:val="700F0F78"/>
    <w:rsid w:val="70311EB7"/>
    <w:rsid w:val="7036127C"/>
    <w:rsid w:val="7040034C"/>
    <w:rsid w:val="704F058F"/>
    <w:rsid w:val="7064403B"/>
    <w:rsid w:val="70766FB9"/>
    <w:rsid w:val="70822713"/>
    <w:rsid w:val="70874311"/>
    <w:rsid w:val="70877D29"/>
    <w:rsid w:val="709B37D5"/>
    <w:rsid w:val="70BC3E77"/>
    <w:rsid w:val="70BF3967"/>
    <w:rsid w:val="70F25AEA"/>
    <w:rsid w:val="710D477B"/>
    <w:rsid w:val="71125845"/>
    <w:rsid w:val="71306613"/>
    <w:rsid w:val="7141437C"/>
    <w:rsid w:val="714874B8"/>
    <w:rsid w:val="714A1482"/>
    <w:rsid w:val="71607830"/>
    <w:rsid w:val="71752972"/>
    <w:rsid w:val="7177183D"/>
    <w:rsid w:val="71771B4C"/>
    <w:rsid w:val="717E2EDA"/>
    <w:rsid w:val="718350B3"/>
    <w:rsid w:val="718E34F8"/>
    <w:rsid w:val="718F50E7"/>
    <w:rsid w:val="7194566A"/>
    <w:rsid w:val="719679BC"/>
    <w:rsid w:val="719E17CE"/>
    <w:rsid w:val="71A072F4"/>
    <w:rsid w:val="71AD7ED5"/>
    <w:rsid w:val="71BE59CD"/>
    <w:rsid w:val="71C70D25"/>
    <w:rsid w:val="71D23226"/>
    <w:rsid w:val="71D90A58"/>
    <w:rsid w:val="71D92806"/>
    <w:rsid w:val="71DE606F"/>
    <w:rsid w:val="71E13469"/>
    <w:rsid w:val="71E60A7F"/>
    <w:rsid w:val="71F92EA9"/>
    <w:rsid w:val="71FC2CD3"/>
    <w:rsid w:val="72181581"/>
    <w:rsid w:val="722F0678"/>
    <w:rsid w:val="722F68CA"/>
    <w:rsid w:val="72566E3A"/>
    <w:rsid w:val="72572EF3"/>
    <w:rsid w:val="726245AA"/>
    <w:rsid w:val="7265409A"/>
    <w:rsid w:val="726A345E"/>
    <w:rsid w:val="727D5888"/>
    <w:rsid w:val="72897D89"/>
    <w:rsid w:val="72907369"/>
    <w:rsid w:val="72A03324"/>
    <w:rsid w:val="72A11576"/>
    <w:rsid w:val="72A46970"/>
    <w:rsid w:val="72A66B8C"/>
    <w:rsid w:val="72B91FED"/>
    <w:rsid w:val="72C2773E"/>
    <w:rsid w:val="72C74D55"/>
    <w:rsid w:val="72CA5114"/>
    <w:rsid w:val="72D01C58"/>
    <w:rsid w:val="72DB435C"/>
    <w:rsid w:val="72E2393D"/>
    <w:rsid w:val="72EB459F"/>
    <w:rsid w:val="72F1592E"/>
    <w:rsid w:val="72FA6ED8"/>
    <w:rsid w:val="73137F9A"/>
    <w:rsid w:val="732D105C"/>
    <w:rsid w:val="73320420"/>
    <w:rsid w:val="73440153"/>
    <w:rsid w:val="73441F01"/>
    <w:rsid w:val="73487C44"/>
    <w:rsid w:val="734C0DB6"/>
    <w:rsid w:val="735465E8"/>
    <w:rsid w:val="73552361"/>
    <w:rsid w:val="736B1B84"/>
    <w:rsid w:val="73A56E44"/>
    <w:rsid w:val="73A62BBC"/>
    <w:rsid w:val="73AB01D2"/>
    <w:rsid w:val="73B9644B"/>
    <w:rsid w:val="73BB0416"/>
    <w:rsid w:val="73CD0149"/>
    <w:rsid w:val="73ED6265"/>
    <w:rsid w:val="73FC27DC"/>
    <w:rsid w:val="74031DBD"/>
    <w:rsid w:val="74161F6C"/>
    <w:rsid w:val="741C4C2C"/>
    <w:rsid w:val="742324ED"/>
    <w:rsid w:val="74253353"/>
    <w:rsid w:val="743C3497"/>
    <w:rsid w:val="743D707D"/>
    <w:rsid w:val="74403E4C"/>
    <w:rsid w:val="74550902"/>
    <w:rsid w:val="74690259"/>
    <w:rsid w:val="746E5488"/>
    <w:rsid w:val="74721F92"/>
    <w:rsid w:val="747800B5"/>
    <w:rsid w:val="74793E2D"/>
    <w:rsid w:val="748E78D8"/>
    <w:rsid w:val="749649DF"/>
    <w:rsid w:val="749F63CC"/>
    <w:rsid w:val="74B96C79"/>
    <w:rsid w:val="74CA4688"/>
    <w:rsid w:val="74CF1C9F"/>
    <w:rsid w:val="74E41BEE"/>
    <w:rsid w:val="75091210"/>
    <w:rsid w:val="75091655"/>
    <w:rsid w:val="75093403"/>
    <w:rsid w:val="750E7F6F"/>
    <w:rsid w:val="75134281"/>
    <w:rsid w:val="7521074C"/>
    <w:rsid w:val="75226B23"/>
    <w:rsid w:val="75324707"/>
    <w:rsid w:val="7535244A"/>
    <w:rsid w:val="753D12FE"/>
    <w:rsid w:val="753F1341"/>
    <w:rsid w:val="754A743D"/>
    <w:rsid w:val="75556648"/>
    <w:rsid w:val="756B5E6B"/>
    <w:rsid w:val="756B7C19"/>
    <w:rsid w:val="757545F4"/>
    <w:rsid w:val="758111EB"/>
    <w:rsid w:val="75840CDB"/>
    <w:rsid w:val="75882579"/>
    <w:rsid w:val="759929D8"/>
    <w:rsid w:val="75A03D67"/>
    <w:rsid w:val="75AD3D8E"/>
    <w:rsid w:val="75BC5722"/>
    <w:rsid w:val="75C14E11"/>
    <w:rsid w:val="75CA2B92"/>
    <w:rsid w:val="75CE2708"/>
    <w:rsid w:val="75D67789"/>
    <w:rsid w:val="75D92DD5"/>
    <w:rsid w:val="75E17EDC"/>
    <w:rsid w:val="75F47C0F"/>
    <w:rsid w:val="75F93477"/>
    <w:rsid w:val="75FE45EA"/>
    <w:rsid w:val="76053BCA"/>
    <w:rsid w:val="761B33ED"/>
    <w:rsid w:val="7621652A"/>
    <w:rsid w:val="76515EBE"/>
    <w:rsid w:val="76593F16"/>
    <w:rsid w:val="766234D3"/>
    <w:rsid w:val="766308F1"/>
    <w:rsid w:val="766F7295"/>
    <w:rsid w:val="76777C07"/>
    <w:rsid w:val="76870A83"/>
    <w:rsid w:val="76937428"/>
    <w:rsid w:val="7694670B"/>
    <w:rsid w:val="76962A74"/>
    <w:rsid w:val="76982C90"/>
    <w:rsid w:val="76AA4771"/>
    <w:rsid w:val="76B01A68"/>
    <w:rsid w:val="76B13D52"/>
    <w:rsid w:val="76C27D0D"/>
    <w:rsid w:val="76CC293A"/>
    <w:rsid w:val="76CC46E8"/>
    <w:rsid w:val="76E12B7C"/>
    <w:rsid w:val="76E934EC"/>
    <w:rsid w:val="76FB4FCD"/>
    <w:rsid w:val="76FF28E3"/>
    <w:rsid w:val="77163BB5"/>
    <w:rsid w:val="772E7150"/>
    <w:rsid w:val="77304C77"/>
    <w:rsid w:val="77334767"/>
    <w:rsid w:val="77400C32"/>
    <w:rsid w:val="774B103F"/>
    <w:rsid w:val="7750356B"/>
    <w:rsid w:val="7755292F"/>
    <w:rsid w:val="77613082"/>
    <w:rsid w:val="776668EA"/>
    <w:rsid w:val="77737259"/>
    <w:rsid w:val="77846D70"/>
    <w:rsid w:val="778D168F"/>
    <w:rsid w:val="77A613DD"/>
    <w:rsid w:val="77A8314D"/>
    <w:rsid w:val="77A94A29"/>
    <w:rsid w:val="77BA4E88"/>
    <w:rsid w:val="77D93560"/>
    <w:rsid w:val="77E45A61"/>
    <w:rsid w:val="77E837A3"/>
    <w:rsid w:val="77EF68E0"/>
    <w:rsid w:val="77F008AA"/>
    <w:rsid w:val="78085BF3"/>
    <w:rsid w:val="780F6F82"/>
    <w:rsid w:val="781833E4"/>
    <w:rsid w:val="781E0F73"/>
    <w:rsid w:val="782A3DBC"/>
    <w:rsid w:val="782D7408"/>
    <w:rsid w:val="78397B5B"/>
    <w:rsid w:val="783C3AEF"/>
    <w:rsid w:val="784F3822"/>
    <w:rsid w:val="78526E6F"/>
    <w:rsid w:val="7855070D"/>
    <w:rsid w:val="786C2FE5"/>
    <w:rsid w:val="787212BF"/>
    <w:rsid w:val="787E1A12"/>
    <w:rsid w:val="7880578A"/>
    <w:rsid w:val="78941235"/>
    <w:rsid w:val="78A0407E"/>
    <w:rsid w:val="78A07BDA"/>
    <w:rsid w:val="78A376CA"/>
    <w:rsid w:val="78B47B29"/>
    <w:rsid w:val="78BD77CE"/>
    <w:rsid w:val="78C0202A"/>
    <w:rsid w:val="78C66C41"/>
    <w:rsid w:val="78CE71F9"/>
    <w:rsid w:val="78CF4963"/>
    <w:rsid w:val="78FD327E"/>
    <w:rsid w:val="78FE6B6E"/>
    <w:rsid w:val="79022643"/>
    <w:rsid w:val="79077C59"/>
    <w:rsid w:val="790A599B"/>
    <w:rsid w:val="790E0E19"/>
    <w:rsid w:val="790F4D60"/>
    <w:rsid w:val="79164340"/>
    <w:rsid w:val="791F1447"/>
    <w:rsid w:val="792425B9"/>
    <w:rsid w:val="79287C02"/>
    <w:rsid w:val="792A3948"/>
    <w:rsid w:val="792B5F58"/>
    <w:rsid w:val="79330A4E"/>
    <w:rsid w:val="7943641D"/>
    <w:rsid w:val="79464C25"/>
    <w:rsid w:val="795310F0"/>
    <w:rsid w:val="79605479"/>
    <w:rsid w:val="79690914"/>
    <w:rsid w:val="798219D5"/>
    <w:rsid w:val="79872B48"/>
    <w:rsid w:val="79892D64"/>
    <w:rsid w:val="798968C0"/>
    <w:rsid w:val="79AE4579"/>
    <w:rsid w:val="79B853F7"/>
    <w:rsid w:val="79BA462A"/>
    <w:rsid w:val="79C97604"/>
    <w:rsid w:val="79CB0C87"/>
    <w:rsid w:val="79D12015"/>
    <w:rsid w:val="79D40FAF"/>
    <w:rsid w:val="79DE4E5E"/>
    <w:rsid w:val="79DF4732"/>
    <w:rsid w:val="79E65AC0"/>
    <w:rsid w:val="79ED50A1"/>
    <w:rsid w:val="7A0348C4"/>
    <w:rsid w:val="7A1A39BC"/>
    <w:rsid w:val="7A1A511A"/>
    <w:rsid w:val="7A1F0FD2"/>
    <w:rsid w:val="7A205476"/>
    <w:rsid w:val="7A410F49"/>
    <w:rsid w:val="7A441A53"/>
    <w:rsid w:val="7A543372"/>
    <w:rsid w:val="7A5E1AFB"/>
    <w:rsid w:val="7A862E00"/>
    <w:rsid w:val="7A923E9A"/>
    <w:rsid w:val="7A996FD7"/>
    <w:rsid w:val="7A9B68AB"/>
    <w:rsid w:val="7AB21E46"/>
    <w:rsid w:val="7AB756AF"/>
    <w:rsid w:val="7AB94608"/>
    <w:rsid w:val="7AD7365B"/>
    <w:rsid w:val="7ADA57DA"/>
    <w:rsid w:val="7ADB139D"/>
    <w:rsid w:val="7ADD5115"/>
    <w:rsid w:val="7AE20296"/>
    <w:rsid w:val="7AF81F4F"/>
    <w:rsid w:val="7AFB559C"/>
    <w:rsid w:val="7B0056BD"/>
    <w:rsid w:val="7B0408F4"/>
    <w:rsid w:val="7B0703E4"/>
    <w:rsid w:val="7B1B79EC"/>
    <w:rsid w:val="7B2014A6"/>
    <w:rsid w:val="7B226FCC"/>
    <w:rsid w:val="7B2C39A7"/>
    <w:rsid w:val="7B2F3497"/>
    <w:rsid w:val="7B30793B"/>
    <w:rsid w:val="7B3F192C"/>
    <w:rsid w:val="7B446F42"/>
    <w:rsid w:val="7B4927AB"/>
    <w:rsid w:val="7B5408DA"/>
    <w:rsid w:val="7B542EFE"/>
    <w:rsid w:val="7B5573A2"/>
    <w:rsid w:val="7B570210"/>
    <w:rsid w:val="7B641393"/>
    <w:rsid w:val="7B65510B"/>
    <w:rsid w:val="7B6C0247"/>
    <w:rsid w:val="7B713AB0"/>
    <w:rsid w:val="7B811F45"/>
    <w:rsid w:val="7B8207C7"/>
    <w:rsid w:val="7B8732D3"/>
    <w:rsid w:val="7B8A691F"/>
    <w:rsid w:val="7B8C6B3B"/>
    <w:rsid w:val="7B931C78"/>
    <w:rsid w:val="7B9854E0"/>
    <w:rsid w:val="7B9A4DB4"/>
    <w:rsid w:val="7B9D48A5"/>
    <w:rsid w:val="7B9D6653"/>
    <w:rsid w:val="7BA45C33"/>
    <w:rsid w:val="7BA63759"/>
    <w:rsid w:val="7BA93249"/>
    <w:rsid w:val="7BA94FF8"/>
    <w:rsid w:val="7BAB6FC2"/>
    <w:rsid w:val="7BBF481B"/>
    <w:rsid w:val="7BCE2CB0"/>
    <w:rsid w:val="7BDA5A10"/>
    <w:rsid w:val="7BE129E3"/>
    <w:rsid w:val="7BE6624C"/>
    <w:rsid w:val="7BEF5047"/>
    <w:rsid w:val="7BF924E4"/>
    <w:rsid w:val="7BFF2E69"/>
    <w:rsid w:val="7C09515A"/>
    <w:rsid w:val="7C1032C9"/>
    <w:rsid w:val="7C2366FD"/>
    <w:rsid w:val="7C296138"/>
    <w:rsid w:val="7C2F48EF"/>
    <w:rsid w:val="7C66113B"/>
    <w:rsid w:val="7C743857"/>
    <w:rsid w:val="7C75312C"/>
    <w:rsid w:val="7C8021FC"/>
    <w:rsid w:val="7C86358B"/>
    <w:rsid w:val="7C8E41ED"/>
    <w:rsid w:val="7C9537CE"/>
    <w:rsid w:val="7C9573B2"/>
    <w:rsid w:val="7CC3658D"/>
    <w:rsid w:val="7CC84553"/>
    <w:rsid w:val="7CCA791B"/>
    <w:rsid w:val="7CCF0A8E"/>
    <w:rsid w:val="7CD10CAA"/>
    <w:rsid w:val="7CD442F6"/>
    <w:rsid w:val="7CD51E1C"/>
    <w:rsid w:val="7CE81B50"/>
    <w:rsid w:val="7CE87DA1"/>
    <w:rsid w:val="7CED53B8"/>
    <w:rsid w:val="7D1110A6"/>
    <w:rsid w:val="7D1F7C67"/>
    <w:rsid w:val="7D292894"/>
    <w:rsid w:val="7D360B0D"/>
    <w:rsid w:val="7D3D00ED"/>
    <w:rsid w:val="7D4C20DE"/>
    <w:rsid w:val="7D57378D"/>
    <w:rsid w:val="7D586CD5"/>
    <w:rsid w:val="7D63567A"/>
    <w:rsid w:val="7D641B1E"/>
    <w:rsid w:val="7D666DDE"/>
    <w:rsid w:val="7D711B45"/>
    <w:rsid w:val="7D715FE9"/>
    <w:rsid w:val="7D747887"/>
    <w:rsid w:val="7D7D79ED"/>
    <w:rsid w:val="7D8775BA"/>
    <w:rsid w:val="7D9C12B8"/>
    <w:rsid w:val="7D9D0B8C"/>
    <w:rsid w:val="7DA939D5"/>
    <w:rsid w:val="7DAE0FEB"/>
    <w:rsid w:val="7DB36601"/>
    <w:rsid w:val="7DB83C18"/>
    <w:rsid w:val="7DC600E3"/>
    <w:rsid w:val="7DD83452"/>
    <w:rsid w:val="7DD86068"/>
    <w:rsid w:val="7DDA3B8E"/>
    <w:rsid w:val="7DDF6300"/>
    <w:rsid w:val="7DEE7D58"/>
    <w:rsid w:val="7DF05160"/>
    <w:rsid w:val="7DFA3729"/>
    <w:rsid w:val="7E0E55E6"/>
    <w:rsid w:val="7E130E4E"/>
    <w:rsid w:val="7E1C41A7"/>
    <w:rsid w:val="7E3D748B"/>
    <w:rsid w:val="7E484F9C"/>
    <w:rsid w:val="7E490D14"/>
    <w:rsid w:val="7E5751DF"/>
    <w:rsid w:val="7E617E0B"/>
    <w:rsid w:val="7E7F0292"/>
    <w:rsid w:val="7E861620"/>
    <w:rsid w:val="7EA146AC"/>
    <w:rsid w:val="7EA36676"/>
    <w:rsid w:val="7EAA17B2"/>
    <w:rsid w:val="7EB73ECF"/>
    <w:rsid w:val="7EC42148"/>
    <w:rsid w:val="7EC64112"/>
    <w:rsid w:val="7EC65EC0"/>
    <w:rsid w:val="7ECF1219"/>
    <w:rsid w:val="7ED625A7"/>
    <w:rsid w:val="7EE277E1"/>
    <w:rsid w:val="7EF02F3D"/>
    <w:rsid w:val="7F032C71"/>
    <w:rsid w:val="7F080287"/>
    <w:rsid w:val="7F0C421B"/>
    <w:rsid w:val="7F111831"/>
    <w:rsid w:val="7F3379FA"/>
    <w:rsid w:val="7F3472CE"/>
    <w:rsid w:val="7F3948E4"/>
    <w:rsid w:val="7F4A6AF1"/>
    <w:rsid w:val="7F4E6660"/>
    <w:rsid w:val="7F517E80"/>
    <w:rsid w:val="7F5C0499"/>
    <w:rsid w:val="7F610C44"/>
    <w:rsid w:val="7F631961"/>
    <w:rsid w:val="7F8244DD"/>
    <w:rsid w:val="7F8D0ACE"/>
    <w:rsid w:val="7F952435"/>
    <w:rsid w:val="7F985AAF"/>
    <w:rsid w:val="7FA501CC"/>
    <w:rsid w:val="7FAC3308"/>
    <w:rsid w:val="7FB36445"/>
    <w:rsid w:val="7FD10FC1"/>
    <w:rsid w:val="7FDE37F0"/>
    <w:rsid w:val="7FEA5BDF"/>
    <w:rsid w:val="7FFB7DEC"/>
    <w:rsid w:val="7FFD1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9"/>
    <w:autoRedefine/>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3">
    <w:name w:val="heading 2"/>
    <w:basedOn w:val="1"/>
    <w:next w:val="1"/>
    <w:link w:val="60"/>
    <w:autoRedefine/>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61"/>
    <w:autoRedefine/>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5">
    <w:name w:val="heading 4"/>
    <w:basedOn w:val="1"/>
    <w:next w:val="1"/>
    <w:link w:val="62"/>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7"/>
    <w:link w:val="63"/>
    <w:autoRedefine/>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8">
    <w:name w:val="heading 6"/>
    <w:basedOn w:val="1"/>
    <w:next w:val="7"/>
    <w:link w:val="64"/>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7"/>
    <w:link w:val="65"/>
    <w:autoRedefine/>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7"/>
    <w:link w:val="66"/>
    <w:autoRedefine/>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7"/>
    <w:link w:val="67"/>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131"/>
    <w:autoRedefine/>
    <w:qFormat/>
    <w:uiPriority w:val="99"/>
    <w:pPr>
      <w:ind w:firstLine="420"/>
    </w:pPr>
  </w:style>
  <w:style w:type="paragraph" w:styleId="12">
    <w:name w:val="toc 7"/>
    <w:basedOn w:val="1"/>
    <w:next w:val="1"/>
    <w:autoRedefine/>
    <w:semiHidden/>
    <w:qFormat/>
    <w:uiPriority w:val="99"/>
    <w:pPr>
      <w:ind w:left="1260"/>
      <w:jc w:val="left"/>
    </w:pPr>
    <w:rPr>
      <w:sz w:val="18"/>
      <w:szCs w:val="18"/>
    </w:r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69"/>
    <w:autoRedefine/>
    <w:semiHidden/>
    <w:qFormat/>
    <w:uiPriority w:val="99"/>
    <w:pPr>
      <w:shd w:val="clear" w:color="auto" w:fill="000080"/>
    </w:pPr>
    <w:rPr>
      <w:rFonts w:ascii="Calibri" w:hAnsi="Calibri" w:cs="Calibri"/>
      <w:shd w:val="clear" w:color="auto" w:fill="000080"/>
    </w:rPr>
  </w:style>
  <w:style w:type="paragraph" w:styleId="16">
    <w:name w:val="annotation text"/>
    <w:basedOn w:val="1"/>
    <w:link w:val="70"/>
    <w:autoRedefine/>
    <w:semiHidden/>
    <w:qFormat/>
    <w:uiPriority w:val="99"/>
    <w:pPr>
      <w:jc w:val="left"/>
    </w:pPr>
    <w:rPr>
      <w:rFonts w:ascii="Calibri" w:hAnsi="Calibri" w:cs="Calibri"/>
    </w:rPr>
  </w:style>
  <w:style w:type="paragraph" w:styleId="17">
    <w:name w:val="Body Text 3"/>
    <w:basedOn w:val="1"/>
    <w:link w:val="71"/>
    <w:qFormat/>
    <w:uiPriority w:val="99"/>
    <w:pPr>
      <w:snapToGrid w:val="0"/>
      <w:spacing w:before="50" w:after="50"/>
    </w:pPr>
    <w:rPr>
      <w:rFonts w:ascii="Calibri" w:hAnsi="宋体" w:eastAsia="仿宋_GB2312" w:cs="Calibri"/>
      <w:b/>
      <w:bCs/>
      <w:sz w:val="24"/>
      <w:szCs w:val="24"/>
    </w:rPr>
  </w:style>
  <w:style w:type="paragraph" w:styleId="18">
    <w:name w:val="Body Text"/>
    <w:basedOn w:val="1"/>
    <w:next w:val="1"/>
    <w:link w:val="72"/>
    <w:autoRedefine/>
    <w:qFormat/>
    <w:uiPriority w:val="99"/>
    <w:pPr>
      <w:spacing w:after="120"/>
    </w:pPr>
    <w:rPr>
      <w:rFonts w:ascii="Calibri" w:hAnsi="Calibri" w:cs="Calibri"/>
      <w:sz w:val="28"/>
      <w:szCs w:val="28"/>
    </w:rPr>
  </w:style>
  <w:style w:type="paragraph" w:styleId="19">
    <w:name w:val="Body Text Indent"/>
    <w:basedOn w:val="1"/>
    <w:link w:val="73"/>
    <w:autoRedefine/>
    <w:qFormat/>
    <w:uiPriority w:val="99"/>
    <w:pPr>
      <w:spacing w:line="200" w:lineRule="exact"/>
      <w:ind w:firstLine="301"/>
    </w:pPr>
    <w:rPr>
      <w:rFonts w:ascii="宋体" w:hAnsi="Courier New" w:cs="宋体"/>
      <w:spacing w:val="-4"/>
      <w:sz w:val="18"/>
      <w:szCs w:val="18"/>
    </w:rPr>
  </w:style>
  <w:style w:type="paragraph" w:styleId="20">
    <w:name w:val="List Number 3"/>
    <w:basedOn w:val="1"/>
    <w:autoRedefine/>
    <w:qFormat/>
    <w:uiPriority w:val="99"/>
    <w:pPr>
      <w:tabs>
        <w:tab w:val="left" w:pos="1200"/>
      </w:tabs>
      <w:ind w:left="1200" w:hanging="360"/>
    </w:pPr>
  </w:style>
  <w:style w:type="paragraph" w:styleId="21">
    <w:name w:val="List 2"/>
    <w:basedOn w:val="1"/>
    <w:autoRedefine/>
    <w:qFormat/>
    <w:uiPriority w:val="99"/>
    <w:pPr>
      <w:ind w:left="100" w:leftChars="200" w:hanging="200" w:hangingChars="200"/>
    </w:pPr>
    <w:rPr>
      <w:sz w:val="28"/>
      <w:szCs w:val="28"/>
    </w:rPr>
  </w:style>
  <w:style w:type="paragraph" w:styleId="22">
    <w:name w:val="toc 5"/>
    <w:basedOn w:val="1"/>
    <w:next w:val="1"/>
    <w:autoRedefine/>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116"/>
    <w:autoRedefine/>
    <w:qFormat/>
    <w:uiPriority w:val="99"/>
    <w:pPr>
      <w:spacing w:beforeLines="50" w:afterLines="50" w:line="400" w:lineRule="exact"/>
    </w:pPr>
    <w:rPr>
      <w:rFonts w:ascii="宋体" w:hAnsi="Courier New" w:cs="宋体"/>
      <w:sz w:val="24"/>
      <w:szCs w:val="24"/>
    </w:rPr>
  </w:style>
  <w:style w:type="paragraph" w:styleId="25">
    <w:name w:val="toc 8"/>
    <w:basedOn w:val="1"/>
    <w:next w:val="1"/>
    <w:autoRedefine/>
    <w:semiHidden/>
    <w:qFormat/>
    <w:uiPriority w:val="99"/>
    <w:pPr>
      <w:ind w:left="1470"/>
      <w:jc w:val="left"/>
    </w:pPr>
    <w:rPr>
      <w:sz w:val="18"/>
      <w:szCs w:val="18"/>
    </w:rPr>
  </w:style>
  <w:style w:type="paragraph" w:styleId="26">
    <w:name w:val="Date"/>
    <w:basedOn w:val="1"/>
    <w:next w:val="1"/>
    <w:link w:val="74"/>
    <w:autoRedefine/>
    <w:qFormat/>
    <w:uiPriority w:val="99"/>
    <w:pPr>
      <w:ind w:left="2500" w:leftChars="2500"/>
    </w:pPr>
    <w:rPr>
      <w:rFonts w:ascii="Calibri" w:hAnsi="Calibri" w:eastAsia="楷体_GB2312" w:cs="Calibri"/>
      <w:sz w:val="32"/>
      <w:szCs w:val="32"/>
    </w:rPr>
  </w:style>
  <w:style w:type="paragraph" w:styleId="27">
    <w:name w:val="Body Text Indent 2"/>
    <w:basedOn w:val="1"/>
    <w:link w:val="75"/>
    <w:autoRedefine/>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6"/>
    <w:autoRedefine/>
    <w:semiHidden/>
    <w:qFormat/>
    <w:uiPriority w:val="99"/>
    <w:pPr>
      <w:snapToGrid w:val="0"/>
      <w:jc w:val="left"/>
    </w:pPr>
    <w:rPr>
      <w:rFonts w:ascii="Calibri" w:hAnsi="Calibri" w:cs="Calibri"/>
    </w:rPr>
  </w:style>
  <w:style w:type="paragraph" w:styleId="29">
    <w:name w:val="Balloon Text"/>
    <w:basedOn w:val="1"/>
    <w:link w:val="77"/>
    <w:autoRedefine/>
    <w:semiHidden/>
    <w:qFormat/>
    <w:uiPriority w:val="99"/>
    <w:rPr>
      <w:rFonts w:ascii="Calibri" w:hAnsi="Calibri" w:cs="Calibri"/>
      <w:sz w:val="18"/>
      <w:szCs w:val="18"/>
    </w:rPr>
  </w:style>
  <w:style w:type="paragraph" w:styleId="30">
    <w:name w:val="footer"/>
    <w:basedOn w:val="1"/>
    <w:link w:val="78"/>
    <w:autoRedefine/>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envelope return"/>
    <w:basedOn w:val="1"/>
    <w:autoRedefine/>
    <w:unhideWhenUsed/>
    <w:qFormat/>
    <w:locked/>
    <w:uiPriority w:val="99"/>
    <w:pPr>
      <w:snapToGrid w:val="0"/>
    </w:pPr>
    <w:rPr>
      <w:rFonts w:asciiTheme="majorHAnsi" w:hAnsiTheme="majorHAnsi" w:eastAsiaTheme="majorEastAsia" w:cstheme="majorBidi"/>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3">
    <w:name w:val="toc 1"/>
    <w:basedOn w:val="1"/>
    <w:next w:val="1"/>
    <w:autoRedefine/>
    <w:semiHidden/>
    <w:qFormat/>
    <w:uiPriority w:val="99"/>
  </w:style>
  <w:style w:type="paragraph" w:styleId="34">
    <w:name w:val="toc 4"/>
    <w:basedOn w:val="1"/>
    <w:next w:val="1"/>
    <w:autoRedefine/>
    <w:semiHidden/>
    <w:qFormat/>
    <w:uiPriority w:val="99"/>
    <w:pPr>
      <w:ind w:left="630"/>
      <w:jc w:val="left"/>
    </w:pPr>
    <w:rPr>
      <w:sz w:val="18"/>
      <w:szCs w:val="18"/>
    </w:rPr>
  </w:style>
  <w:style w:type="paragraph" w:styleId="35">
    <w:name w:val="Subtitle"/>
    <w:basedOn w:val="1"/>
    <w:next w:val="1"/>
    <w:link w:val="80"/>
    <w:autoRedefine/>
    <w:qFormat/>
    <w:uiPriority w:val="99"/>
    <w:pPr>
      <w:spacing w:before="240" w:after="60" w:line="312" w:lineRule="auto"/>
      <w:jc w:val="center"/>
      <w:outlineLvl w:val="1"/>
    </w:pPr>
    <w:rPr>
      <w:rFonts w:ascii="Cambria" w:hAnsi="Cambria" w:cs="Cambria"/>
      <w:b/>
      <w:bCs/>
      <w:kern w:val="28"/>
      <w:sz w:val="32"/>
      <w:szCs w:val="32"/>
    </w:rPr>
  </w:style>
  <w:style w:type="paragraph" w:styleId="36">
    <w:name w:val="List"/>
    <w:basedOn w:val="1"/>
    <w:autoRedefine/>
    <w:qFormat/>
    <w:uiPriority w:val="99"/>
    <w:pPr>
      <w:ind w:left="200" w:hanging="200" w:hangingChars="200"/>
    </w:pPr>
    <w:rPr>
      <w:sz w:val="28"/>
      <w:szCs w:val="28"/>
    </w:rPr>
  </w:style>
  <w:style w:type="paragraph" w:styleId="37">
    <w:name w:val="footnote text"/>
    <w:basedOn w:val="1"/>
    <w:link w:val="81"/>
    <w:autoRedefine/>
    <w:semiHidden/>
    <w:qFormat/>
    <w:uiPriority w:val="99"/>
    <w:pPr>
      <w:snapToGrid w:val="0"/>
      <w:jc w:val="left"/>
    </w:pPr>
    <w:rPr>
      <w:rFonts w:ascii="Calibri" w:hAnsi="Calibri" w:cs="Calibri"/>
      <w:sz w:val="18"/>
      <w:szCs w:val="18"/>
    </w:rPr>
  </w:style>
  <w:style w:type="paragraph" w:styleId="38">
    <w:name w:val="toc 6"/>
    <w:basedOn w:val="1"/>
    <w:next w:val="1"/>
    <w:semiHidden/>
    <w:qFormat/>
    <w:uiPriority w:val="99"/>
    <w:pPr>
      <w:ind w:left="1050"/>
      <w:jc w:val="left"/>
    </w:pPr>
    <w:rPr>
      <w:sz w:val="18"/>
      <w:szCs w:val="18"/>
    </w:rPr>
  </w:style>
  <w:style w:type="paragraph" w:styleId="39">
    <w:name w:val="Body Text Indent 3"/>
    <w:basedOn w:val="1"/>
    <w:link w:val="82"/>
    <w:autoRedefine/>
    <w:qFormat/>
    <w:uiPriority w:val="99"/>
    <w:pPr>
      <w:snapToGrid w:val="0"/>
      <w:ind w:firstLine="480" w:firstLineChars="200"/>
      <w:jc w:val="left"/>
    </w:pPr>
    <w:rPr>
      <w:rFonts w:ascii="仿宋_GB2312" w:hAnsi="宋体" w:eastAsia="仿宋_GB2312" w:cs="仿宋_GB2312"/>
      <w:color w:val="000000"/>
      <w:sz w:val="24"/>
      <w:szCs w:val="24"/>
    </w:rPr>
  </w:style>
  <w:style w:type="paragraph" w:styleId="40">
    <w:name w:val="toc 2"/>
    <w:basedOn w:val="1"/>
    <w:next w:val="1"/>
    <w:autoRedefine/>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3"/>
    <w:autoRedefine/>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autoRedefine/>
    <w:qFormat/>
    <w:uiPriority w:val="99"/>
    <w:pPr>
      <w:widowControl/>
      <w:spacing w:before="100" w:beforeAutospacing="1" w:after="100" w:afterAutospacing="1"/>
      <w:jc w:val="left"/>
    </w:pPr>
    <w:rPr>
      <w:kern w:val="0"/>
      <w:sz w:val="24"/>
      <w:szCs w:val="24"/>
    </w:rPr>
  </w:style>
  <w:style w:type="paragraph" w:styleId="44">
    <w:name w:val="Title"/>
    <w:basedOn w:val="1"/>
    <w:next w:val="1"/>
    <w:link w:val="84"/>
    <w:autoRedefine/>
    <w:qFormat/>
    <w:uiPriority w:val="10"/>
    <w:pPr>
      <w:spacing w:before="240" w:after="60"/>
      <w:jc w:val="center"/>
      <w:outlineLvl w:val="0"/>
    </w:pPr>
    <w:rPr>
      <w:rFonts w:ascii="Cambria" w:hAnsi="Cambria" w:cs="Cambria"/>
      <w:b/>
      <w:bCs/>
      <w:sz w:val="32"/>
      <w:szCs w:val="32"/>
    </w:rPr>
  </w:style>
  <w:style w:type="paragraph" w:styleId="45">
    <w:name w:val="annotation subject"/>
    <w:basedOn w:val="16"/>
    <w:next w:val="16"/>
    <w:link w:val="85"/>
    <w:autoRedefine/>
    <w:semiHidden/>
    <w:qFormat/>
    <w:uiPriority w:val="99"/>
    <w:rPr>
      <w:b/>
      <w:bCs/>
    </w:rPr>
  </w:style>
  <w:style w:type="paragraph" w:styleId="46">
    <w:name w:val="Body Text First Indent"/>
    <w:basedOn w:val="18"/>
    <w:link w:val="86"/>
    <w:qFormat/>
    <w:uiPriority w:val="99"/>
    <w:pPr>
      <w:ind w:firstLine="420" w:firstLineChars="100"/>
    </w:pPr>
    <w:rPr>
      <w:sz w:val="21"/>
      <w:szCs w:val="21"/>
    </w:rPr>
  </w:style>
  <w:style w:type="paragraph" w:styleId="47">
    <w:name w:val="Body Text First Indent 2"/>
    <w:basedOn w:val="19"/>
    <w:next w:val="1"/>
    <w:link w:val="87"/>
    <w:autoRedefine/>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b/>
      <w:bCs/>
    </w:rPr>
  </w:style>
  <w:style w:type="character" w:styleId="52">
    <w:name w:val="page number"/>
    <w:basedOn w:val="50"/>
    <w:qFormat/>
    <w:uiPriority w:val="99"/>
  </w:style>
  <w:style w:type="character" w:styleId="53">
    <w:name w:val="FollowedHyperlink"/>
    <w:basedOn w:val="50"/>
    <w:autoRedefine/>
    <w:qFormat/>
    <w:uiPriority w:val="99"/>
    <w:rPr>
      <w:color w:val="800080"/>
      <w:u w:val="single"/>
    </w:rPr>
  </w:style>
  <w:style w:type="character" w:styleId="54">
    <w:name w:val="Emphasis"/>
    <w:basedOn w:val="50"/>
    <w:autoRedefine/>
    <w:qFormat/>
    <w:uiPriority w:val="99"/>
    <w:rPr>
      <w:i/>
      <w:iCs/>
    </w:rPr>
  </w:style>
  <w:style w:type="character" w:styleId="55">
    <w:name w:val="Hyperlink"/>
    <w:basedOn w:val="50"/>
    <w:autoRedefine/>
    <w:qFormat/>
    <w:uiPriority w:val="99"/>
    <w:rPr>
      <w:color w:val="0000FF"/>
      <w:u w:val="single"/>
    </w:rPr>
  </w:style>
  <w:style w:type="character" w:styleId="56">
    <w:name w:val="annotation reference"/>
    <w:basedOn w:val="50"/>
    <w:autoRedefine/>
    <w:semiHidden/>
    <w:qFormat/>
    <w:uiPriority w:val="99"/>
    <w:rPr>
      <w:sz w:val="21"/>
      <w:szCs w:val="21"/>
    </w:rPr>
  </w:style>
  <w:style w:type="paragraph" w:customStyle="1" w:styleId="57">
    <w:name w:val="UserStyle_0"/>
    <w:basedOn w:val="1"/>
    <w:autoRedefine/>
    <w:qFormat/>
    <w:uiPriority w:val="0"/>
    <w:pPr>
      <w:spacing w:line="360" w:lineRule="auto"/>
      <w:ind w:firstLine="361"/>
    </w:pPr>
    <w:rPr>
      <w:rFonts w:ascii="宋体" w:hAnsi="宋体"/>
    </w:rPr>
  </w:style>
  <w:style w:type="paragraph" w:customStyle="1" w:styleId="58">
    <w:name w:val="样式3"/>
    <w:basedOn w:val="24"/>
    <w:autoRedefine/>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9">
    <w:name w:val="标题 1 Char"/>
    <w:basedOn w:val="50"/>
    <w:link w:val="2"/>
    <w:autoRedefine/>
    <w:qFormat/>
    <w:locked/>
    <w:uiPriority w:val="99"/>
    <w:rPr>
      <w:rFonts w:hAnsi="宋体"/>
      <w:b/>
      <w:bCs/>
      <w:color w:val="000000"/>
      <w:kern w:val="2"/>
      <w:sz w:val="30"/>
      <w:szCs w:val="30"/>
    </w:rPr>
  </w:style>
  <w:style w:type="character" w:customStyle="1" w:styleId="60">
    <w:name w:val="标题 2 Char"/>
    <w:basedOn w:val="50"/>
    <w:link w:val="3"/>
    <w:autoRedefine/>
    <w:qFormat/>
    <w:locked/>
    <w:uiPriority w:val="99"/>
    <w:rPr>
      <w:rFonts w:ascii="Arial" w:hAnsi="Arial" w:eastAsia="黑体" w:cs="Arial"/>
      <w:b/>
      <w:bCs/>
      <w:kern w:val="2"/>
      <w:sz w:val="32"/>
      <w:szCs w:val="32"/>
    </w:rPr>
  </w:style>
  <w:style w:type="character" w:customStyle="1" w:styleId="61">
    <w:name w:val="标题 3 Char"/>
    <w:basedOn w:val="50"/>
    <w:link w:val="4"/>
    <w:autoRedefine/>
    <w:qFormat/>
    <w:locked/>
    <w:uiPriority w:val="99"/>
    <w:rPr>
      <w:b/>
      <w:bCs/>
      <w:sz w:val="32"/>
      <w:szCs w:val="32"/>
    </w:rPr>
  </w:style>
  <w:style w:type="character" w:customStyle="1" w:styleId="62">
    <w:name w:val="标题 4 Char"/>
    <w:basedOn w:val="50"/>
    <w:link w:val="5"/>
    <w:autoRedefine/>
    <w:qFormat/>
    <w:locked/>
    <w:uiPriority w:val="99"/>
    <w:rPr>
      <w:rFonts w:ascii="Arial" w:hAnsi="Arial" w:eastAsia="黑体" w:cs="Arial"/>
      <w:b/>
      <w:bCs/>
      <w:kern w:val="2"/>
      <w:sz w:val="28"/>
      <w:szCs w:val="28"/>
    </w:rPr>
  </w:style>
  <w:style w:type="character" w:customStyle="1" w:styleId="63">
    <w:name w:val="标题 5 Char"/>
    <w:basedOn w:val="50"/>
    <w:link w:val="6"/>
    <w:autoRedefine/>
    <w:qFormat/>
    <w:locked/>
    <w:uiPriority w:val="99"/>
    <w:rPr>
      <w:rFonts w:ascii="Calibri" w:hAnsi="Calibri" w:cs="Calibri"/>
      <w:b/>
      <w:bCs/>
      <w:sz w:val="28"/>
      <w:szCs w:val="28"/>
    </w:rPr>
  </w:style>
  <w:style w:type="character" w:customStyle="1" w:styleId="64">
    <w:name w:val="标题 6 Char"/>
    <w:basedOn w:val="50"/>
    <w:link w:val="8"/>
    <w:autoRedefine/>
    <w:qFormat/>
    <w:locked/>
    <w:uiPriority w:val="99"/>
    <w:rPr>
      <w:rFonts w:ascii="Arial" w:hAnsi="Arial" w:eastAsia="黑体" w:cs="Arial"/>
      <w:b/>
      <w:bCs/>
      <w:sz w:val="24"/>
      <w:szCs w:val="24"/>
    </w:rPr>
  </w:style>
  <w:style w:type="character" w:customStyle="1" w:styleId="65">
    <w:name w:val="标题 7 Char"/>
    <w:basedOn w:val="50"/>
    <w:link w:val="9"/>
    <w:autoRedefine/>
    <w:qFormat/>
    <w:locked/>
    <w:uiPriority w:val="99"/>
    <w:rPr>
      <w:rFonts w:ascii="Calibri" w:hAnsi="Calibri" w:cs="Calibri"/>
      <w:b/>
      <w:bCs/>
      <w:sz w:val="24"/>
      <w:szCs w:val="24"/>
    </w:rPr>
  </w:style>
  <w:style w:type="character" w:customStyle="1" w:styleId="66">
    <w:name w:val="标题 8 Char"/>
    <w:basedOn w:val="50"/>
    <w:link w:val="10"/>
    <w:autoRedefine/>
    <w:qFormat/>
    <w:locked/>
    <w:uiPriority w:val="99"/>
    <w:rPr>
      <w:rFonts w:ascii="Arial" w:hAnsi="Arial" w:eastAsia="黑体" w:cs="Arial"/>
      <w:sz w:val="24"/>
      <w:szCs w:val="24"/>
    </w:rPr>
  </w:style>
  <w:style w:type="character" w:customStyle="1" w:styleId="67">
    <w:name w:val="标题 9 Char"/>
    <w:basedOn w:val="50"/>
    <w:link w:val="11"/>
    <w:qFormat/>
    <w:locked/>
    <w:uiPriority w:val="99"/>
    <w:rPr>
      <w:rFonts w:ascii="Arial" w:hAnsi="Arial" w:eastAsia="黑体" w:cs="Arial"/>
      <w:szCs w:val="21"/>
    </w:rPr>
  </w:style>
  <w:style w:type="character" w:customStyle="1" w:styleId="68">
    <w:name w:val="Plain Text Char"/>
    <w:basedOn w:val="50"/>
    <w:autoRedefine/>
    <w:qFormat/>
    <w:locked/>
    <w:uiPriority w:val="99"/>
    <w:rPr>
      <w:rFonts w:ascii="宋体" w:hAnsi="Courier New" w:eastAsia="宋体" w:cs="宋体"/>
      <w:sz w:val="21"/>
      <w:szCs w:val="21"/>
    </w:rPr>
  </w:style>
  <w:style w:type="character" w:customStyle="1" w:styleId="69">
    <w:name w:val="文档结构图 Char"/>
    <w:basedOn w:val="50"/>
    <w:link w:val="15"/>
    <w:qFormat/>
    <w:locked/>
    <w:uiPriority w:val="99"/>
    <w:rPr>
      <w:kern w:val="2"/>
      <w:sz w:val="24"/>
      <w:szCs w:val="24"/>
      <w:shd w:val="clear" w:color="auto" w:fill="000080"/>
    </w:rPr>
  </w:style>
  <w:style w:type="character" w:customStyle="1" w:styleId="70">
    <w:name w:val="批注文字 Char"/>
    <w:basedOn w:val="50"/>
    <w:link w:val="16"/>
    <w:qFormat/>
    <w:locked/>
    <w:uiPriority w:val="99"/>
    <w:rPr>
      <w:kern w:val="2"/>
      <w:sz w:val="24"/>
      <w:szCs w:val="24"/>
    </w:rPr>
  </w:style>
  <w:style w:type="character" w:customStyle="1" w:styleId="71">
    <w:name w:val="正文文本 3 Char"/>
    <w:basedOn w:val="50"/>
    <w:link w:val="17"/>
    <w:qFormat/>
    <w:locked/>
    <w:uiPriority w:val="99"/>
    <w:rPr>
      <w:rFonts w:hAnsi="宋体" w:eastAsia="仿宋_GB2312"/>
      <w:b/>
      <w:bCs/>
      <w:kern w:val="2"/>
      <w:sz w:val="24"/>
      <w:szCs w:val="24"/>
    </w:rPr>
  </w:style>
  <w:style w:type="character" w:customStyle="1" w:styleId="72">
    <w:name w:val="正文文本 Char1"/>
    <w:basedOn w:val="50"/>
    <w:link w:val="18"/>
    <w:autoRedefine/>
    <w:qFormat/>
    <w:locked/>
    <w:uiPriority w:val="99"/>
    <w:rPr>
      <w:kern w:val="2"/>
      <w:sz w:val="24"/>
      <w:szCs w:val="24"/>
    </w:rPr>
  </w:style>
  <w:style w:type="character" w:customStyle="1" w:styleId="73">
    <w:name w:val="正文文本缩进 Char"/>
    <w:basedOn w:val="50"/>
    <w:link w:val="19"/>
    <w:qFormat/>
    <w:locked/>
    <w:uiPriority w:val="99"/>
    <w:rPr>
      <w:rFonts w:ascii="宋体" w:hAnsi="Courier New" w:cs="宋体"/>
      <w:spacing w:val="-4"/>
      <w:kern w:val="2"/>
      <w:sz w:val="18"/>
      <w:szCs w:val="18"/>
    </w:rPr>
  </w:style>
  <w:style w:type="character" w:customStyle="1" w:styleId="74">
    <w:name w:val="日期 Char"/>
    <w:basedOn w:val="50"/>
    <w:link w:val="26"/>
    <w:autoRedefine/>
    <w:qFormat/>
    <w:locked/>
    <w:uiPriority w:val="99"/>
    <w:rPr>
      <w:rFonts w:eastAsia="楷体_GB2312"/>
      <w:kern w:val="2"/>
      <w:sz w:val="32"/>
      <w:szCs w:val="32"/>
    </w:rPr>
  </w:style>
  <w:style w:type="character" w:customStyle="1" w:styleId="75">
    <w:name w:val="正文文本缩进 2 Char"/>
    <w:basedOn w:val="50"/>
    <w:link w:val="27"/>
    <w:qFormat/>
    <w:locked/>
    <w:uiPriority w:val="99"/>
    <w:rPr>
      <w:rFonts w:ascii="仿宋_GB2312" w:hAnsi="宋体" w:cs="仿宋_GB2312"/>
      <w:b/>
      <w:bCs/>
      <w:color w:val="000000"/>
      <w:kern w:val="2"/>
      <w:sz w:val="24"/>
      <w:szCs w:val="24"/>
    </w:rPr>
  </w:style>
  <w:style w:type="character" w:customStyle="1" w:styleId="76">
    <w:name w:val="尾注文本 Char"/>
    <w:basedOn w:val="50"/>
    <w:link w:val="28"/>
    <w:autoRedefine/>
    <w:qFormat/>
    <w:locked/>
    <w:uiPriority w:val="99"/>
    <w:rPr>
      <w:kern w:val="2"/>
      <w:sz w:val="24"/>
      <w:szCs w:val="24"/>
    </w:rPr>
  </w:style>
  <w:style w:type="character" w:customStyle="1" w:styleId="77">
    <w:name w:val="批注框文本 Char"/>
    <w:basedOn w:val="50"/>
    <w:link w:val="29"/>
    <w:autoRedefine/>
    <w:qFormat/>
    <w:locked/>
    <w:uiPriority w:val="99"/>
    <w:rPr>
      <w:kern w:val="2"/>
      <w:sz w:val="18"/>
      <w:szCs w:val="18"/>
    </w:rPr>
  </w:style>
  <w:style w:type="character" w:customStyle="1" w:styleId="78">
    <w:name w:val="页脚 Char"/>
    <w:basedOn w:val="50"/>
    <w:link w:val="30"/>
    <w:qFormat/>
    <w:locked/>
    <w:uiPriority w:val="99"/>
    <w:rPr>
      <w:rFonts w:eastAsia="黑体"/>
      <w:snapToGrid w:val="0"/>
      <w:sz w:val="18"/>
      <w:szCs w:val="18"/>
      <w:lang w:val="en-US" w:eastAsia="zh-CN"/>
    </w:rPr>
  </w:style>
  <w:style w:type="character" w:customStyle="1" w:styleId="79">
    <w:name w:val="页眉 Char"/>
    <w:basedOn w:val="50"/>
    <w:link w:val="32"/>
    <w:autoRedefine/>
    <w:qFormat/>
    <w:locked/>
    <w:uiPriority w:val="99"/>
    <w:rPr>
      <w:rFonts w:eastAsia="仿宋_GB2312"/>
      <w:kern w:val="2"/>
      <w:sz w:val="18"/>
      <w:szCs w:val="18"/>
    </w:rPr>
  </w:style>
  <w:style w:type="character" w:customStyle="1" w:styleId="80">
    <w:name w:val="副标题 Char"/>
    <w:basedOn w:val="50"/>
    <w:link w:val="35"/>
    <w:autoRedefine/>
    <w:qFormat/>
    <w:locked/>
    <w:uiPriority w:val="99"/>
    <w:rPr>
      <w:rFonts w:ascii="Cambria" w:hAnsi="Cambria" w:cs="Cambria"/>
      <w:b/>
      <w:bCs/>
      <w:kern w:val="28"/>
      <w:sz w:val="32"/>
      <w:szCs w:val="32"/>
    </w:rPr>
  </w:style>
  <w:style w:type="character" w:customStyle="1" w:styleId="81">
    <w:name w:val="脚注文本 Char"/>
    <w:basedOn w:val="50"/>
    <w:link w:val="37"/>
    <w:qFormat/>
    <w:locked/>
    <w:uiPriority w:val="99"/>
    <w:rPr>
      <w:kern w:val="2"/>
      <w:sz w:val="18"/>
      <w:szCs w:val="18"/>
    </w:rPr>
  </w:style>
  <w:style w:type="character" w:customStyle="1" w:styleId="82">
    <w:name w:val="正文文本缩进 3 Char"/>
    <w:basedOn w:val="50"/>
    <w:link w:val="39"/>
    <w:qFormat/>
    <w:locked/>
    <w:uiPriority w:val="99"/>
    <w:rPr>
      <w:rFonts w:ascii="仿宋_GB2312" w:hAnsi="宋体" w:eastAsia="仿宋_GB2312" w:cs="仿宋_GB2312"/>
      <w:color w:val="000000"/>
      <w:kern w:val="2"/>
      <w:sz w:val="24"/>
      <w:szCs w:val="24"/>
    </w:rPr>
  </w:style>
  <w:style w:type="character" w:customStyle="1" w:styleId="83">
    <w:name w:val="正文文本 2 Char"/>
    <w:basedOn w:val="50"/>
    <w:link w:val="42"/>
    <w:autoRedefine/>
    <w:qFormat/>
    <w:locked/>
    <w:uiPriority w:val="99"/>
    <w:rPr>
      <w:rFonts w:ascii="宋体" w:eastAsia="宋体" w:cs="宋体"/>
      <w:color w:val="000000"/>
      <w:kern w:val="2"/>
      <w:sz w:val="24"/>
      <w:szCs w:val="24"/>
    </w:rPr>
  </w:style>
  <w:style w:type="character" w:customStyle="1" w:styleId="84">
    <w:name w:val="标题 Char"/>
    <w:basedOn w:val="50"/>
    <w:link w:val="44"/>
    <w:autoRedefine/>
    <w:qFormat/>
    <w:locked/>
    <w:uiPriority w:val="10"/>
    <w:rPr>
      <w:rFonts w:ascii="Cambria" w:hAnsi="Cambria" w:cs="Cambria"/>
      <w:b/>
      <w:bCs/>
      <w:kern w:val="2"/>
      <w:sz w:val="32"/>
      <w:szCs w:val="32"/>
    </w:rPr>
  </w:style>
  <w:style w:type="character" w:customStyle="1" w:styleId="85">
    <w:name w:val="批注主题 Char"/>
    <w:basedOn w:val="70"/>
    <w:link w:val="45"/>
    <w:qFormat/>
    <w:locked/>
    <w:uiPriority w:val="99"/>
    <w:rPr>
      <w:b/>
      <w:bCs/>
      <w:kern w:val="2"/>
      <w:sz w:val="24"/>
      <w:szCs w:val="24"/>
    </w:rPr>
  </w:style>
  <w:style w:type="character" w:customStyle="1" w:styleId="86">
    <w:name w:val="正文首行缩进 Char1"/>
    <w:basedOn w:val="72"/>
    <w:link w:val="46"/>
    <w:autoRedefine/>
    <w:qFormat/>
    <w:locked/>
    <w:uiPriority w:val="99"/>
    <w:rPr>
      <w:kern w:val="2"/>
      <w:sz w:val="24"/>
      <w:szCs w:val="24"/>
    </w:rPr>
  </w:style>
  <w:style w:type="character" w:customStyle="1" w:styleId="87">
    <w:name w:val="正文首行缩进 2 Char"/>
    <w:basedOn w:val="73"/>
    <w:link w:val="47"/>
    <w:qFormat/>
    <w:locked/>
    <w:uiPriority w:val="99"/>
    <w:rPr>
      <w:rFonts w:ascii="宋体" w:hAnsi="Courier New" w:cs="宋体"/>
      <w:spacing w:val="-4"/>
      <w:kern w:val="2"/>
      <w:sz w:val="21"/>
      <w:szCs w:val="21"/>
    </w:rPr>
  </w:style>
  <w:style w:type="character" w:customStyle="1" w:styleId="88">
    <w:name w:val="纯文本 字符"/>
    <w:autoRedefine/>
    <w:qFormat/>
    <w:locked/>
    <w:uiPriority w:val="99"/>
    <w:rPr>
      <w:rFonts w:ascii="宋体" w:hAnsi="Courier New" w:cs="宋体"/>
      <w:kern w:val="2"/>
    </w:rPr>
  </w:style>
  <w:style w:type="character" w:customStyle="1" w:styleId="89">
    <w:name w:val="标题 字符"/>
    <w:autoRedefine/>
    <w:qFormat/>
    <w:uiPriority w:val="99"/>
    <w:rPr>
      <w:rFonts w:ascii="等线 Light" w:eastAsia="等线 Light" w:cs="等线 Light"/>
      <w:b/>
      <w:bCs/>
      <w:kern w:val="2"/>
      <w:sz w:val="32"/>
      <w:szCs w:val="32"/>
    </w:rPr>
  </w:style>
  <w:style w:type="character" w:customStyle="1" w:styleId="90">
    <w:name w:val="font14zd"/>
    <w:basedOn w:val="50"/>
    <w:qFormat/>
    <w:uiPriority w:val="99"/>
  </w:style>
  <w:style w:type="character" w:customStyle="1" w:styleId="91">
    <w:name w:val="批注文字 Char1"/>
    <w:autoRedefine/>
    <w:qFormat/>
    <w:locked/>
    <w:uiPriority w:val="99"/>
    <w:rPr>
      <w:rFonts w:ascii="Times New Roman" w:hAnsi="Times New Roman" w:eastAsia="宋体" w:cs="Times New Roman"/>
      <w:sz w:val="20"/>
      <w:szCs w:val="20"/>
    </w:rPr>
  </w:style>
  <w:style w:type="character" w:customStyle="1" w:styleId="92">
    <w:name w:val="尾注文本 Char1"/>
    <w:autoRedefine/>
    <w:qFormat/>
    <w:uiPriority w:val="99"/>
    <w:rPr>
      <w:kern w:val="2"/>
      <w:sz w:val="24"/>
      <w:szCs w:val="24"/>
    </w:rPr>
  </w:style>
  <w:style w:type="character" w:customStyle="1" w:styleId="93">
    <w:name w:val="列出段落 Char1"/>
    <w:link w:val="94"/>
    <w:autoRedefine/>
    <w:qFormat/>
    <w:locked/>
    <w:uiPriority w:val="99"/>
    <w:rPr>
      <w:rFonts w:ascii="Calibri" w:hAnsi="Calibri" w:cs="Calibri"/>
      <w:kern w:val="2"/>
      <w:sz w:val="22"/>
      <w:szCs w:val="22"/>
    </w:rPr>
  </w:style>
  <w:style w:type="paragraph" w:customStyle="1" w:styleId="94">
    <w:name w:val="列出段落11"/>
    <w:basedOn w:val="1"/>
    <w:link w:val="93"/>
    <w:autoRedefine/>
    <w:qFormat/>
    <w:uiPriority w:val="99"/>
    <w:pPr>
      <w:ind w:firstLine="420" w:firstLineChars="200"/>
    </w:pPr>
    <w:rPr>
      <w:rFonts w:ascii="Calibri" w:hAnsi="Calibri" w:cs="Calibri"/>
      <w:sz w:val="22"/>
      <w:szCs w:val="22"/>
    </w:rPr>
  </w:style>
  <w:style w:type="character" w:customStyle="1" w:styleId="95">
    <w:name w:val="页码1"/>
    <w:autoRedefine/>
    <w:qFormat/>
    <w:uiPriority w:val="99"/>
  </w:style>
  <w:style w:type="character" w:customStyle="1" w:styleId="96">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97">
    <w:name w:val="样式 正文缩进 + 首行缩进:  2 字符 Char"/>
    <w:link w:val="98"/>
    <w:autoRedefine/>
    <w:qFormat/>
    <w:locked/>
    <w:uiPriority w:val="99"/>
    <w:rPr>
      <w:sz w:val="24"/>
      <w:szCs w:val="24"/>
    </w:rPr>
  </w:style>
  <w:style w:type="paragraph" w:customStyle="1" w:styleId="98">
    <w:name w:val="样式 正文缩进 + 首行缩进:  2 字符"/>
    <w:basedOn w:val="7"/>
    <w:link w:val="97"/>
    <w:autoRedefine/>
    <w:qFormat/>
    <w:uiPriority w:val="99"/>
    <w:pPr>
      <w:spacing w:after="80" w:line="360" w:lineRule="auto"/>
      <w:ind w:firstLine="480" w:firstLineChars="200"/>
    </w:pPr>
    <w:rPr>
      <w:kern w:val="0"/>
      <w:sz w:val="24"/>
      <w:szCs w:val="24"/>
    </w:rPr>
  </w:style>
  <w:style w:type="character" w:customStyle="1" w:styleId="99">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00">
    <w:name w:val="文档正文 Char"/>
    <w:link w:val="101"/>
    <w:autoRedefine/>
    <w:qFormat/>
    <w:locked/>
    <w:uiPriority w:val="99"/>
    <w:rPr>
      <w:rFonts w:ascii="Arial" w:hAnsi="Arial" w:cs="Arial"/>
      <w:sz w:val="24"/>
      <w:szCs w:val="24"/>
    </w:rPr>
  </w:style>
  <w:style w:type="paragraph" w:customStyle="1" w:styleId="101">
    <w:name w:val="文档正文"/>
    <w:basedOn w:val="1"/>
    <w:link w:val="100"/>
    <w:autoRedefine/>
    <w:qFormat/>
    <w:uiPriority w:val="99"/>
    <w:rPr>
      <w:rFonts w:ascii="Arial" w:hAnsi="Arial" w:cs="Arial"/>
      <w:kern w:val="0"/>
      <w:sz w:val="24"/>
      <w:szCs w:val="24"/>
    </w:rPr>
  </w:style>
  <w:style w:type="character" w:customStyle="1" w:styleId="102">
    <w:name w:val="页脚 字符"/>
    <w:autoRedefine/>
    <w:qFormat/>
    <w:uiPriority w:val="99"/>
    <w:rPr>
      <w:rFonts w:ascii="Tahoma" w:hAnsi="Tahoma" w:eastAsia="微软雅黑" w:cs="Tahoma"/>
      <w:sz w:val="18"/>
      <w:szCs w:val="18"/>
    </w:rPr>
  </w:style>
  <w:style w:type="character" w:customStyle="1" w:styleId="103">
    <w:name w:val="font21"/>
    <w:basedOn w:val="50"/>
    <w:autoRedefine/>
    <w:qFormat/>
    <w:uiPriority w:val="99"/>
    <w:rPr>
      <w:rFonts w:ascii="微软雅黑" w:hAnsi="微软雅黑" w:eastAsia="微软雅黑" w:cs="微软雅黑"/>
      <w:color w:val="auto"/>
      <w:sz w:val="18"/>
      <w:szCs w:val="18"/>
      <w:u w:val="none"/>
    </w:rPr>
  </w:style>
  <w:style w:type="character" w:customStyle="1" w:styleId="104">
    <w:name w:val="04-正文 Char Char"/>
    <w:link w:val="105"/>
    <w:autoRedefine/>
    <w:qFormat/>
    <w:locked/>
    <w:uiPriority w:val="99"/>
    <w:rPr>
      <w:sz w:val="24"/>
      <w:szCs w:val="24"/>
    </w:rPr>
  </w:style>
  <w:style w:type="paragraph" w:customStyle="1" w:styleId="105">
    <w:name w:val="04-正文"/>
    <w:basedOn w:val="1"/>
    <w:link w:val="104"/>
    <w:autoRedefine/>
    <w:qFormat/>
    <w:uiPriority w:val="99"/>
    <w:pPr>
      <w:spacing w:line="360" w:lineRule="exact"/>
      <w:ind w:firstLine="420"/>
    </w:pPr>
    <w:rPr>
      <w:kern w:val="0"/>
      <w:sz w:val="24"/>
      <w:szCs w:val="24"/>
    </w:rPr>
  </w:style>
  <w:style w:type="character" w:customStyle="1" w:styleId="106">
    <w:name w:val="未处理的提及1"/>
    <w:autoRedefine/>
    <w:qFormat/>
    <w:uiPriority w:val="99"/>
    <w:rPr>
      <w:color w:val="auto"/>
      <w:shd w:val="clear" w:color="auto" w:fill="auto"/>
    </w:rPr>
  </w:style>
  <w:style w:type="character" w:customStyle="1" w:styleId="107">
    <w:name w:val="text1"/>
    <w:autoRedefine/>
    <w:qFormat/>
    <w:uiPriority w:val="99"/>
    <w:rPr>
      <w:color w:val="000000"/>
      <w:sz w:val="24"/>
      <w:szCs w:val="24"/>
    </w:rPr>
  </w:style>
  <w:style w:type="character" w:customStyle="1" w:styleId="108">
    <w:name w:val="段 Char"/>
    <w:link w:val="109"/>
    <w:autoRedefine/>
    <w:qFormat/>
    <w:locked/>
    <w:uiPriority w:val="99"/>
    <w:rPr>
      <w:rFonts w:ascii="宋体" w:cs="宋体"/>
      <w:sz w:val="21"/>
      <w:szCs w:val="21"/>
      <w:lang w:val="en-US" w:eastAsia="zh-CN"/>
    </w:rPr>
  </w:style>
  <w:style w:type="paragraph" w:customStyle="1" w:styleId="109">
    <w:name w:val="段"/>
    <w:link w:val="108"/>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0">
    <w:name w:val="title_emph1"/>
    <w:autoRedefine/>
    <w:qFormat/>
    <w:uiPriority w:val="99"/>
    <w:rPr>
      <w:rFonts w:ascii="Arial" w:hAnsi="Arial" w:cs="Arial"/>
      <w:b/>
      <w:bCs/>
      <w:sz w:val="18"/>
      <w:szCs w:val="18"/>
    </w:rPr>
  </w:style>
  <w:style w:type="character" w:customStyle="1" w:styleId="111">
    <w:name w:val="标题 41"/>
    <w:autoRedefine/>
    <w:qFormat/>
    <w:uiPriority w:val="99"/>
  </w:style>
  <w:style w:type="character" w:customStyle="1" w:styleId="112">
    <w:name w:val="apple-style-span"/>
    <w:autoRedefine/>
    <w:qFormat/>
    <w:uiPriority w:val="99"/>
  </w:style>
  <w:style w:type="character" w:customStyle="1" w:styleId="113">
    <w:name w:val="04-正文 Char"/>
    <w:autoRedefine/>
    <w:qFormat/>
    <w:uiPriority w:val="99"/>
    <w:rPr>
      <w:rFonts w:eastAsia="仿宋"/>
      <w:kern w:val="2"/>
      <w:sz w:val="24"/>
      <w:szCs w:val="24"/>
    </w:rPr>
  </w:style>
  <w:style w:type="character" w:customStyle="1" w:styleId="114">
    <w:name w:val="纯文本 Char1"/>
    <w:autoRedefine/>
    <w:qFormat/>
    <w:uiPriority w:val="99"/>
    <w:rPr>
      <w:rFonts w:ascii="宋体" w:hAnsi="Courier New" w:eastAsia="宋体" w:cs="宋体"/>
      <w:kern w:val="2"/>
      <w:sz w:val="21"/>
      <w:szCs w:val="21"/>
    </w:rPr>
  </w:style>
  <w:style w:type="character" w:customStyle="1" w:styleId="115">
    <w:name w:val="m_171"/>
    <w:autoRedefine/>
    <w:qFormat/>
    <w:uiPriority w:val="99"/>
  </w:style>
  <w:style w:type="character" w:customStyle="1" w:styleId="116">
    <w:name w:val="纯文本 Char"/>
    <w:link w:val="24"/>
    <w:autoRedefine/>
    <w:qFormat/>
    <w:locked/>
    <w:uiPriority w:val="99"/>
    <w:rPr>
      <w:rFonts w:ascii="宋体" w:hAnsi="Courier New" w:eastAsia="宋体" w:cs="宋体"/>
      <w:kern w:val="2"/>
      <w:sz w:val="24"/>
      <w:szCs w:val="24"/>
      <w:lang w:val="en-US" w:eastAsia="zh-CN"/>
    </w:rPr>
  </w:style>
  <w:style w:type="character" w:customStyle="1" w:styleId="117">
    <w:name w:val="aa1"/>
    <w:basedOn w:val="50"/>
    <w:autoRedefine/>
    <w:qFormat/>
    <w:uiPriority w:val="99"/>
  </w:style>
  <w:style w:type="character" w:customStyle="1" w:styleId="118">
    <w:name w:val="www序号1) Char"/>
    <w:link w:val="119"/>
    <w:autoRedefine/>
    <w:qFormat/>
    <w:locked/>
    <w:uiPriority w:val="99"/>
    <w:rPr>
      <w:sz w:val="24"/>
      <w:szCs w:val="24"/>
    </w:rPr>
  </w:style>
  <w:style w:type="paragraph" w:customStyle="1" w:styleId="119">
    <w:name w:val="www序号1)"/>
    <w:basedOn w:val="1"/>
    <w:link w:val="118"/>
    <w:autoRedefine/>
    <w:qFormat/>
    <w:uiPriority w:val="99"/>
    <w:pPr>
      <w:tabs>
        <w:tab w:val="left" w:pos="2160"/>
      </w:tabs>
      <w:ind w:left="2160" w:hanging="420"/>
    </w:pPr>
    <w:rPr>
      <w:kern w:val="0"/>
      <w:sz w:val="24"/>
      <w:szCs w:val="24"/>
    </w:rPr>
  </w:style>
  <w:style w:type="character" w:customStyle="1" w:styleId="120">
    <w:name w:val="JD1-正文 Char"/>
    <w:link w:val="121"/>
    <w:autoRedefine/>
    <w:qFormat/>
    <w:locked/>
    <w:uiPriority w:val="99"/>
    <w:rPr>
      <w:rFonts w:ascii="宋体" w:hAnsi="宋体" w:eastAsia="仿宋_GB2312" w:cs="宋体"/>
      <w:kern w:val="2"/>
      <w:sz w:val="24"/>
      <w:szCs w:val="24"/>
      <w:lang w:val="zh-CN"/>
    </w:rPr>
  </w:style>
  <w:style w:type="paragraph" w:customStyle="1" w:styleId="121">
    <w:name w:val="JD1-正文"/>
    <w:basedOn w:val="1"/>
    <w:link w:val="120"/>
    <w:autoRedefine/>
    <w:qFormat/>
    <w:uiPriority w:val="99"/>
    <w:pPr>
      <w:spacing w:line="360" w:lineRule="auto"/>
      <w:ind w:firstLine="480"/>
      <w:jc w:val="left"/>
    </w:pPr>
    <w:rPr>
      <w:rFonts w:ascii="宋体" w:hAnsi="宋体" w:eastAsia="仿宋_GB2312" w:cs="宋体"/>
      <w:sz w:val="24"/>
      <w:szCs w:val="24"/>
      <w:lang w:val="zh-CN"/>
    </w:rPr>
  </w:style>
  <w:style w:type="character" w:customStyle="1" w:styleId="122">
    <w:name w:val="apple-converted-space"/>
    <w:basedOn w:val="50"/>
    <w:autoRedefine/>
    <w:qFormat/>
    <w:uiPriority w:val="99"/>
  </w:style>
  <w:style w:type="character" w:customStyle="1" w:styleId="123">
    <w:name w:val="en"/>
    <w:basedOn w:val="50"/>
    <w:autoRedefine/>
    <w:qFormat/>
    <w:uiPriority w:val="99"/>
  </w:style>
  <w:style w:type="character" w:customStyle="1" w:styleId="124">
    <w:name w:val="H4"/>
    <w:autoRedefine/>
    <w:qFormat/>
    <w:uiPriority w:val="99"/>
  </w:style>
  <w:style w:type="character" w:customStyle="1" w:styleId="125">
    <w:name w:val="正文缩进 Char"/>
    <w:autoRedefine/>
    <w:qFormat/>
    <w:locked/>
    <w:uiPriority w:val="99"/>
    <w:rPr>
      <w:kern w:val="2"/>
      <w:sz w:val="21"/>
      <w:szCs w:val="21"/>
    </w:rPr>
  </w:style>
  <w:style w:type="character" w:customStyle="1" w:styleId="126">
    <w:name w:val="Table Text Char Char Char Char"/>
    <w:autoRedefine/>
    <w:qFormat/>
    <w:uiPriority w:val="99"/>
    <w:rPr>
      <w:rFonts w:ascii="Arial" w:hAnsi="Arial" w:eastAsia="宋体" w:cs="Arial"/>
      <w:kern w:val="2"/>
      <w:sz w:val="18"/>
      <w:szCs w:val="18"/>
      <w:lang w:val="en-US" w:eastAsia="zh-CN"/>
    </w:rPr>
  </w:style>
  <w:style w:type="character" w:customStyle="1" w:styleId="127">
    <w:name w:val="批注框文本 字符"/>
    <w:autoRedefine/>
    <w:qFormat/>
    <w:uiPriority w:val="99"/>
    <w:rPr>
      <w:rFonts w:ascii="Tahoma" w:hAnsi="Tahoma" w:eastAsia="微软雅黑" w:cs="Tahoma"/>
      <w:sz w:val="18"/>
      <w:szCs w:val="18"/>
    </w:rPr>
  </w:style>
  <w:style w:type="character" w:customStyle="1" w:styleId="128">
    <w:name w:val="_正文段落 Char"/>
    <w:link w:val="129"/>
    <w:autoRedefine/>
    <w:qFormat/>
    <w:locked/>
    <w:uiPriority w:val="99"/>
    <w:rPr>
      <w:rFonts w:ascii="宋体" w:hAnsi="宋体" w:eastAsia="仿宋_GB2312" w:cs="宋体"/>
      <w:sz w:val="24"/>
      <w:szCs w:val="24"/>
    </w:rPr>
  </w:style>
  <w:style w:type="paragraph" w:customStyle="1" w:styleId="129">
    <w:name w:val="_正文段落"/>
    <w:basedOn w:val="1"/>
    <w:link w:val="128"/>
    <w:autoRedefine/>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0">
    <w:name w:val="列出段落 Char"/>
    <w:autoRedefine/>
    <w:qFormat/>
    <w:uiPriority w:val="99"/>
    <w:rPr>
      <w:rFonts w:ascii="Calibri" w:hAnsi="Calibri" w:eastAsia="宋体" w:cs="Calibri"/>
    </w:rPr>
  </w:style>
  <w:style w:type="character" w:customStyle="1" w:styleId="131">
    <w:name w:val="正文缩进 Char1"/>
    <w:link w:val="7"/>
    <w:autoRedefine/>
    <w:qFormat/>
    <w:locked/>
    <w:uiPriority w:val="99"/>
    <w:rPr>
      <w:kern w:val="2"/>
      <w:sz w:val="21"/>
      <w:szCs w:val="21"/>
    </w:rPr>
  </w:style>
  <w:style w:type="character" w:customStyle="1" w:styleId="132">
    <w:name w:val="m_491"/>
    <w:autoRedefine/>
    <w:qFormat/>
    <w:uiPriority w:val="99"/>
  </w:style>
  <w:style w:type="character" w:customStyle="1" w:styleId="133">
    <w:name w:val="m_391"/>
    <w:autoRedefine/>
    <w:qFormat/>
    <w:uiPriority w:val="99"/>
  </w:style>
  <w:style w:type="character" w:customStyle="1" w:styleId="134">
    <w:name w:val="副标题 Char1"/>
    <w:autoRedefine/>
    <w:qFormat/>
    <w:uiPriority w:val="99"/>
    <w:rPr>
      <w:rFonts w:ascii="Cambria" w:hAnsi="Cambria" w:cs="Cambria"/>
      <w:b/>
      <w:bCs/>
      <w:kern w:val="28"/>
      <w:sz w:val="32"/>
      <w:szCs w:val="32"/>
    </w:rPr>
  </w:style>
  <w:style w:type="character" w:customStyle="1" w:styleId="135">
    <w:name w:val="页眉 字符"/>
    <w:autoRedefine/>
    <w:qFormat/>
    <w:uiPriority w:val="99"/>
    <w:rPr>
      <w:rFonts w:ascii="Tahoma" w:hAnsi="Tahoma" w:eastAsia="微软雅黑" w:cs="Tahoma"/>
      <w:sz w:val="18"/>
      <w:szCs w:val="18"/>
    </w:rPr>
  </w:style>
  <w:style w:type="character" w:customStyle="1" w:styleId="136">
    <w:name w:val="正文首行缩进 Char"/>
    <w:autoRedefine/>
    <w:qFormat/>
    <w:uiPriority w:val="99"/>
    <w:rPr>
      <w:kern w:val="2"/>
      <w:sz w:val="24"/>
      <w:szCs w:val="24"/>
    </w:rPr>
  </w:style>
  <w:style w:type="character" w:customStyle="1" w:styleId="137">
    <w:name w:val="m_01"/>
    <w:autoRedefine/>
    <w:qFormat/>
    <w:uiPriority w:val="99"/>
  </w:style>
  <w:style w:type="character" w:customStyle="1" w:styleId="138">
    <w:name w:val="m_461"/>
    <w:autoRedefine/>
    <w:qFormat/>
    <w:uiPriority w:val="99"/>
  </w:style>
  <w:style w:type="character" w:customStyle="1" w:styleId="139">
    <w:name w:val="脚注文本 Char1"/>
    <w:autoRedefine/>
    <w:qFormat/>
    <w:uiPriority w:val="99"/>
    <w:rPr>
      <w:kern w:val="2"/>
      <w:sz w:val="18"/>
      <w:szCs w:val="18"/>
    </w:rPr>
  </w:style>
  <w:style w:type="character" w:customStyle="1" w:styleId="140">
    <w:name w:val="正文文本 Char"/>
    <w:autoRedefine/>
    <w:qFormat/>
    <w:uiPriority w:val="99"/>
    <w:rPr>
      <w:kern w:val="2"/>
      <w:sz w:val="24"/>
      <w:szCs w:val="24"/>
    </w:rPr>
  </w:style>
  <w:style w:type="character" w:customStyle="1" w:styleId="141">
    <w:name w:val="文档结构图 Char1"/>
    <w:autoRedefine/>
    <w:qFormat/>
    <w:uiPriority w:val="99"/>
    <w:rPr>
      <w:rFonts w:ascii="宋体" w:cs="宋体"/>
      <w:kern w:val="2"/>
      <w:sz w:val="18"/>
      <w:szCs w:val="18"/>
    </w:rPr>
  </w:style>
  <w:style w:type="character" w:customStyle="1" w:styleId="142">
    <w:name w:val="二级标题 Char"/>
    <w:link w:val="143"/>
    <w:autoRedefine/>
    <w:qFormat/>
    <w:locked/>
    <w:uiPriority w:val="99"/>
    <w:rPr>
      <w:rFonts w:ascii="宋体" w:eastAsia="宋体" w:cs="宋体"/>
      <w:b/>
      <w:bCs/>
      <w:sz w:val="30"/>
      <w:szCs w:val="30"/>
      <w:lang w:val="zh-CN"/>
    </w:rPr>
  </w:style>
  <w:style w:type="paragraph" w:customStyle="1" w:styleId="143">
    <w:name w:val="二级标题"/>
    <w:basedOn w:val="3"/>
    <w:link w:val="142"/>
    <w:autoRedefine/>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4">
    <w:name w:val="标题 1 Char Char"/>
    <w:basedOn w:val="50"/>
    <w:autoRedefine/>
    <w:qFormat/>
    <w:uiPriority w:val="99"/>
    <w:rPr>
      <w:rFonts w:eastAsia="宋体"/>
      <w:b/>
      <w:bCs/>
      <w:spacing w:val="-2"/>
      <w:sz w:val="24"/>
      <w:szCs w:val="24"/>
      <w:lang w:val="en-US" w:eastAsia="zh-CN"/>
    </w:rPr>
  </w:style>
  <w:style w:type="character" w:customStyle="1" w:styleId="145">
    <w:name w:val="m_51"/>
    <w:autoRedefine/>
    <w:qFormat/>
    <w:uiPriority w:val="99"/>
  </w:style>
  <w:style w:type="character" w:customStyle="1" w:styleId="146">
    <w:name w:val="z21"/>
    <w:autoRedefine/>
    <w:qFormat/>
    <w:uiPriority w:val="99"/>
    <w:rPr>
      <w:color w:val="000000"/>
      <w:sz w:val="18"/>
      <w:szCs w:val="18"/>
    </w:rPr>
  </w:style>
  <w:style w:type="character" w:customStyle="1" w:styleId="147">
    <w:name w:val="a41"/>
    <w:autoRedefine/>
    <w:qFormat/>
    <w:uiPriority w:val="99"/>
    <w:rPr>
      <w:color w:val="auto"/>
      <w:sz w:val="26"/>
      <w:szCs w:val="26"/>
    </w:rPr>
  </w:style>
  <w:style w:type="character" w:customStyle="1" w:styleId="148">
    <w:name w:val="2.1样式 Char"/>
    <w:link w:val="149"/>
    <w:autoRedefine/>
    <w:qFormat/>
    <w:locked/>
    <w:uiPriority w:val="99"/>
    <w:rPr>
      <w:rFonts w:ascii="Arial" w:hAnsi="Arial" w:eastAsia="黑体" w:cs="Arial"/>
      <w:b/>
      <w:bCs/>
      <w:kern w:val="0"/>
      <w:sz w:val="32"/>
      <w:szCs w:val="32"/>
    </w:rPr>
  </w:style>
  <w:style w:type="paragraph" w:customStyle="1" w:styleId="149">
    <w:name w:val="2.1样式"/>
    <w:basedOn w:val="3"/>
    <w:link w:val="148"/>
    <w:autoRedefine/>
    <w:qFormat/>
    <w:uiPriority w:val="99"/>
    <w:pPr>
      <w:numPr>
        <w:ilvl w:val="0"/>
        <w:numId w:val="2"/>
      </w:numPr>
      <w:spacing w:line="416" w:lineRule="auto"/>
    </w:pPr>
    <w:rPr>
      <w:kern w:val="0"/>
    </w:rPr>
  </w:style>
  <w:style w:type="character" w:customStyle="1" w:styleId="150">
    <w:name w:val="bookmark-item"/>
    <w:autoRedefine/>
    <w:qFormat/>
    <w:uiPriority w:val="99"/>
  </w:style>
  <w:style w:type="paragraph" w:customStyle="1" w:styleId="151">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2">
    <w:name w:val="Char Char Char Char Char Char"/>
    <w:basedOn w:val="1"/>
    <w:autoRedefine/>
    <w:qFormat/>
    <w:uiPriority w:val="99"/>
    <w:pPr>
      <w:ind w:firstLine="200" w:firstLineChars="200"/>
    </w:pPr>
    <w:rPr>
      <w:rFonts w:ascii="Tahoma" w:hAnsi="Tahoma" w:cs="Tahoma"/>
      <w:sz w:val="24"/>
      <w:szCs w:val="24"/>
    </w:rPr>
  </w:style>
  <w:style w:type="paragraph" w:customStyle="1" w:styleId="153">
    <w:name w:val="Note Level 1"/>
    <w:basedOn w:val="1"/>
    <w:autoRedefine/>
    <w:qFormat/>
    <w:uiPriority w:val="99"/>
    <w:pPr>
      <w:keepNext/>
      <w:tabs>
        <w:tab w:val="left" w:pos="1200"/>
      </w:tabs>
      <w:ind w:left="450" w:hanging="450"/>
      <w:outlineLvl w:val="0"/>
    </w:pPr>
    <w:rPr>
      <w:rFonts w:ascii="宋体" w:hAnsi="Cambria" w:cs="宋体"/>
      <w:sz w:val="24"/>
      <w:szCs w:val="24"/>
    </w:rPr>
  </w:style>
  <w:style w:type="paragraph" w:customStyle="1" w:styleId="154">
    <w:name w:val="Normal New New New New New New New New New New New New New New New New New New New New New New New New New New New New New New New New New New New New New New New New New New New New New New New New New New New New New New New New New New New New New N"/>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5">
    <w:name w:val="33-1级列表编号-1"/>
    <w:basedOn w:val="1"/>
    <w:next w:val="1"/>
    <w:autoRedefine/>
    <w:qFormat/>
    <w:uiPriority w:val="99"/>
    <w:pPr>
      <w:numPr>
        <w:ilvl w:val="0"/>
        <w:numId w:val="3"/>
      </w:numPr>
      <w:adjustRightInd w:val="0"/>
      <w:spacing w:line="360" w:lineRule="exact"/>
    </w:pPr>
  </w:style>
  <w:style w:type="paragraph" w:customStyle="1" w:styleId="15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7">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8">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9">
    <w:name w:val="Char Char Char Char Char Char1"/>
    <w:basedOn w:val="1"/>
    <w:qFormat/>
    <w:uiPriority w:val="99"/>
    <w:pPr>
      <w:ind w:firstLine="200" w:firstLineChars="200"/>
    </w:pPr>
    <w:rPr>
      <w:rFonts w:ascii="Tahoma" w:hAnsi="Tahoma" w:cs="Tahoma"/>
      <w:sz w:val="24"/>
      <w:szCs w:val="24"/>
    </w:rPr>
  </w:style>
  <w:style w:type="paragraph" w:customStyle="1" w:styleId="160">
    <w:name w:val="para"/>
    <w:basedOn w:val="1"/>
    <w:autoRedefine/>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1">
    <w:name w:val="Note Level 9"/>
    <w:basedOn w:val="1"/>
    <w:autoRedefine/>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2">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3">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4">
    <w:name w:val="xl62"/>
    <w:basedOn w:val="1"/>
    <w:autoRedefine/>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5">
    <w:name w:val="xl9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6">
    <w:name w:val="Char"/>
    <w:basedOn w:val="1"/>
    <w:autoRedefine/>
    <w:qFormat/>
    <w:uiPriority w:val="99"/>
    <w:pPr>
      <w:ind w:firstLine="200" w:firstLineChars="200"/>
    </w:pPr>
    <w:rPr>
      <w:rFonts w:ascii="Tahoma" w:hAnsi="Tahoma" w:cs="Tahoma"/>
      <w:sz w:val="24"/>
      <w:szCs w:val="24"/>
    </w:rPr>
  </w:style>
  <w:style w:type="paragraph" w:customStyle="1" w:styleId="167">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8">
    <w:name w:val="xl81"/>
    <w:basedOn w:val="1"/>
    <w:autoRedefine/>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9">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0">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71">
    <w:name w:val="正文－恩普"/>
    <w:basedOn w:val="7"/>
    <w:qFormat/>
    <w:uiPriority w:val="99"/>
    <w:pPr>
      <w:widowControl/>
      <w:spacing w:afterLines="50" w:line="360" w:lineRule="auto"/>
      <w:ind w:firstLine="480" w:firstLineChars="200"/>
      <w:jc w:val="left"/>
    </w:pPr>
    <w:rPr>
      <w:kern w:val="0"/>
      <w:sz w:val="24"/>
      <w:szCs w:val="24"/>
    </w:rPr>
  </w:style>
  <w:style w:type="paragraph" w:customStyle="1" w:styleId="172">
    <w:name w:val="_Style 116"/>
    <w:basedOn w:val="1"/>
    <w:next w:val="1"/>
    <w:qFormat/>
    <w:uiPriority w:val="99"/>
    <w:pPr>
      <w:spacing w:line="360" w:lineRule="auto"/>
      <w:ind w:firstLine="600"/>
    </w:pPr>
    <w:rPr>
      <w:sz w:val="24"/>
      <w:szCs w:val="24"/>
    </w:rPr>
  </w:style>
  <w:style w:type="paragraph" w:customStyle="1" w:styleId="173">
    <w:name w:val="样式 标题 1合同标题卷标题H1h1Level 1 Topic HeadingH11H12H111H13H1..."/>
    <w:autoRedefine/>
    <w:qFormat/>
    <w:uiPriority w:val="99"/>
    <w:rPr>
      <w:rFonts w:ascii="宋体" w:hAnsi="宋体" w:eastAsia="宋体" w:cs="宋体"/>
      <w:b/>
      <w:bCs/>
      <w:kern w:val="44"/>
      <w:sz w:val="24"/>
      <w:szCs w:val="24"/>
      <w:lang w:val="en-US" w:eastAsia="zh-CN" w:bidi="ar-SA"/>
    </w:rPr>
  </w:style>
  <w:style w:type="paragraph" w:customStyle="1" w:styleId="174">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5">
    <w:name w:val="No Spacing"/>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6">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7">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8">
    <w:name w:val="列出段落1"/>
    <w:basedOn w:val="1"/>
    <w:autoRedefine/>
    <w:qFormat/>
    <w:uiPriority w:val="99"/>
    <w:pPr>
      <w:ind w:firstLine="420" w:firstLineChars="200"/>
    </w:pPr>
  </w:style>
  <w:style w:type="paragraph" w:customStyle="1" w:styleId="179">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0">
    <w:name w:val="p19"/>
    <w:basedOn w:val="1"/>
    <w:autoRedefine/>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1">
    <w:name w:val="Char2"/>
    <w:basedOn w:val="1"/>
    <w:autoRedefine/>
    <w:qFormat/>
    <w:uiPriority w:val="99"/>
    <w:rPr>
      <w:rFonts w:ascii="仿宋_GB2312" w:eastAsia="仿宋_GB2312" w:cs="仿宋_GB2312"/>
      <w:b/>
      <w:bCs/>
      <w:sz w:val="32"/>
      <w:szCs w:val="32"/>
    </w:rPr>
  </w:style>
  <w:style w:type="paragraph" w:customStyle="1" w:styleId="182">
    <w:name w:val="font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3">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font9"/>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5">
    <w:name w:val="样式 标题 3 + 左侧:  0 厘米 首行缩进:  0 厘米"/>
    <w:basedOn w:val="4"/>
    <w:autoRedefine/>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6">
    <w:name w:val="样式 标题 1 + 两端对齐"/>
    <w:basedOn w:val="3"/>
    <w:next w:val="3"/>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7">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88">
    <w:name w:val="样式 标题 3 +"/>
    <w:basedOn w:val="4"/>
    <w:qFormat/>
    <w:uiPriority w:val="99"/>
    <w:pPr>
      <w:adjustRightInd/>
      <w:spacing w:line="416" w:lineRule="auto"/>
      <w:jc w:val="center"/>
      <w:textAlignment w:val="auto"/>
    </w:pPr>
    <w:rPr>
      <w:sz w:val="28"/>
      <w:szCs w:val="28"/>
    </w:rPr>
  </w:style>
  <w:style w:type="paragraph" w:customStyle="1" w:styleId="18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0">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91">
    <w:name w:val="正文文字缩进4字符"/>
    <w:basedOn w:val="1"/>
    <w:next w:val="7"/>
    <w:autoRedefine/>
    <w:qFormat/>
    <w:uiPriority w:val="99"/>
    <w:pPr>
      <w:ind w:firstLine="420" w:firstLineChars="200"/>
    </w:pPr>
  </w:style>
  <w:style w:type="paragraph" w:customStyle="1" w:styleId="192">
    <w:name w:val="Char1"/>
    <w:basedOn w:val="1"/>
    <w:autoRedefine/>
    <w:qFormat/>
    <w:uiPriority w:val="99"/>
    <w:rPr>
      <w:rFonts w:ascii="Tahoma" w:hAnsi="Tahoma" w:cs="Tahoma"/>
      <w:sz w:val="24"/>
      <w:szCs w:val="24"/>
    </w:rPr>
  </w:style>
  <w:style w:type="paragraph" w:customStyle="1" w:styleId="193">
    <w:name w:val="List Paragraph1"/>
    <w:basedOn w:val="1"/>
    <w:autoRedefine/>
    <w:qFormat/>
    <w:uiPriority w:val="99"/>
    <w:pPr>
      <w:ind w:firstLine="420" w:firstLineChars="200"/>
    </w:pPr>
    <w:rPr>
      <w:rFonts w:ascii="Calibri" w:hAnsi="Calibri" w:cs="Calibri"/>
    </w:rPr>
  </w:style>
  <w:style w:type="paragraph" w:customStyle="1" w:styleId="194">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5">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6">
    <w:name w:val="xl9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7">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8">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199">
    <w:name w:val="xl5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0">
    <w:name w:val="Char11"/>
    <w:basedOn w:val="1"/>
    <w:autoRedefine/>
    <w:qFormat/>
    <w:uiPriority w:val="99"/>
    <w:rPr>
      <w:rFonts w:ascii="Tahoma" w:hAnsi="Tahoma" w:cs="Tahoma"/>
      <w:sz w:val="24"/>
      <w:szCs w:val="24"/>
    </w:rPr>
  </w:style>
  <w:style w:type="paragraph" w:customStyle="1" w:styleId="201">
    <w:name w:val="正文-列出段落"/>
    <w:basedOn w:val="1"/>
    <w:next w:val="1"/>
    <w:autoRedefine/>
    <w:qFormat/>
    <w:uiPriority w:val="99"/>
    <w:pPr>
      <w:spacing w:line="360" w:lineRule="auto"/>
    </w:pPr>
    <w:rPr>
      <w:rFonts w:ascii="微软雅黑" w:hAnsi="微软雅黑" w:eastAsia="微软雅黑" w:cs="微软雅黑"/>
      <w:b/>
      <w:bCs/>
      <w:sz w:val="24"/>
      <w:szCs w:val="24"/>
    </w:rPr>
  </w:style>
  <w:style w:type="paragraph" w:customStyle="1" w:styleId="202">
    <w:name w:val="TOC 标题1"/>
    <w:basedOn w:val="2"/>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3">
    <w:name w:val="xl92"/>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4">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5">
    <w:name w:val="列表段落1"/>
    <w:basedOn w:val="1"/>
    <w:autoRedefine/>
    <w:qFormat/>
    <w:uiPriority w:val="99"/>
    <w:pPr>
      <w:ind w:firstLine="420" w:firstLineChars="200"/>
    </w:pPr>
  </w:style>
  <w:style w:type="paragraph" w:customStyle="1" w:styleId="206">
    <w:name w:val="xl77"/>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7">
    <w:name w:val="xl68"/>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8">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9">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0">
    <w:name w:val="正文段"/>
    <w:basedOn w:val="1"/>
    <w:qFormat/>
    <w:uiPriority w:val="99"/>
    <w:pPr>
      <w:widowControl/>
      <w:snapToGrid w:val="0"/>
      <w:spacing w:afterLines="50"/>
      <w:ind w:firstLine="200" w:firstLineChars="200"/>
    </w:pPr>
    <w:rPr>
      <w:kern w:val="0"/>
      <w:sz w:val="24"/>
      <w:szCs w:val="24"/>
    </w:rPr>
  </w:style>
  <w:style w:type="paragraph" w:customStyle="1" w:styleId="211">
    <w:name w:val="四号正文"/>
    <w:basedOn w:val="1"/>
    <w:autoRedefine/>
    <w:qFormat/>
    <w:uiPriority w:val="99"/>
    <w:pPr>
      <w:spacing w:line="360" w:lineRule="auto"/>
      <w:ind w:firstLine="560" w:firstLineChars="200"/>
    </w:pPr>
    <w:rPr>
      <w:sz w:val="28"/>
      <w:szCs w:val="28"/>
    </w:rPr>
  </w:style>
  <w:style w:type="paragraph" w:customStyle="1" w:styleId="212">
    <w:name w:val="列项◆（三级）"/>
    <w:basedOn w:val="1"/>
    <w:qFormat/>
    <w:uiPriority w:val="99"/>
    <w:pPr>
      <w:numPr>
        <w:ilvl w:val="2"/>
        <w:numId w:val="5"/>
      </w:numPr>
      <w:ind w:firstLine="0"/>
    </w:pPr>
    <w:rPr>
      <w:rFonts w:ascii="宋体" w:cs="宋体"/>
    </w:rPr>
  </w:style>
  <w:style w:type="paragraph" w:customStyle="1" w:styleId="213">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14">
    <w:name w:val="Note Level 8"/>
    <w:basedOn w:val="1"/>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5">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6">
    <w:name w:val="列出段落1111"/>
    <w:basedOn w:val="1"/>
    <w:autoRedefine/>
    <w:qFormat/>
    <w:uiPriority w:val="99"/>
    <w:pPr>
      <w:ind w:firstLine="420" w:firstLineChars="200"/>
    </w:pPr>
    <w:rPr>
      <w:rFonts w:ascii="Calibri" w:hAnsi="Calibri" w:cs="Calibri"/>
    </w:rPr>
  </w:style>
  <w:style w:type="paragraph" w:customStyle="1" w:styleId="217">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8">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9">
    <w:name w:val="Note Level 4"/>
    <w:basedOn w:val="1"/>
    <w:autoRedefine/>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1">
    <w:name w:val="样式1"/>
    <w:basedOn w:val="5"/>
    <w:autoRedefine/>
    <w:qFormat/>
    <w:uiPriority w:val="99"/>
  </w:style>
  <w:style w:type="paragraph" w:customStyle="1" w:styleId="222">
    <w:name w:val="TOC 标题2"/>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3">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4">
    <w:name w:val="xl6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5">
    <w:name w:val="xl52"/>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6">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无间隔1"/>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8">
    <w:name w:val="Note Level 2"/>
    <w:basedOn w:val="1"/>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9">
    <w:name w:val="此正文"/>
    <w:basedOn w:val="1"/>
    <w:autoRedefine/>
    <w:qFormat/>
    <w:uiPriority w:val="99"/>
    <w:pPr>
      <w:spacing w:line="360" w:lineRule="auto"/>
      <w:ind w:firstLine="200" w:firstLineChars="200"/>
    </w:pPr>
    <w:rPr>
      <w:sz w:val="24"/>
      <w:szCs w:val="24"/>
    </w:rPr>
  </w:style>
  <w:style w:type="paragraph" w:customStyle="1" w:styleId="230">
    <w:name w:val="Note Level 6"/>
    <w:basedOn w:val="1"/>
    <w:autoRedefine/>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1">
    <w:name w:val="xl73"/>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2">
    <w:name w:val="xl9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3">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4">
    <w:name w:val="xl78"/>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5">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7">
    <w:name w:val="列项●（二级）"/>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8">
    <w:name w:val="证文"/>
    <w:basedOn w:val="1"/>
    <w:autoRedefine/>
    <w:qFormat/>
    <w:uiPriority w:val="99"/>
    <w:pPr>
      <w:spacing w:line="360" w:lineRule="auto"/>
    </w:pPr>
    <w:rPr>
      <w:sz w:val="24"/>
      <w:szCs w:val="24"/>
    </w:rPr>
  </w:style>
  <w:style w:type="paragraph" w:customStyle="1" w:styleId="239">
    <w:name w:val="标准正文"/>
    <w:basedOn w:val="1"/>
    <w:autoRedefine/>
    <w:qFormat/>
    <w:uiPriority w:val="99"/>
    <w:pPr>
      <w:spacing w:line="240" w:lineRule="atLeast"/>
      <w:ind w:firstLine="200" w:firstLineChars="200"/>
    </w:pPr>
  </w:style>
  <w:style w:type="paragraph" w:customStyle="1" w:styleId="240">
    <w:name w:val="Normal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1">
    <w:name w:val="xl72"/>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3">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4">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5">
    <w:name w:val="_Style 2"/>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6">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7">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8">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9">
    <w:name w:val="ZJ正文"/>
    <w:basedOn w:val="1"/>
    <w:autoRedefine/>
    <w:qFormat/>
    <w:uiPriority w:val="99"/>
    <w:pPr>
      <w:spacing w:line="360" w:lineRule="auto"/>
      <w:ind w:firstLine="480" w:firstLineChars="200"/>
    </w:pPr>
    <w:rPr>
      <w:sz w:val="24"/>
      <w:szCs w:val="24"/>
    </w:rPr>
  </w:style>
  <w:style w:type="paragraph" w:customStyle="1" w:styleId="250">
    <w:name w:val="Char1 Char Char Char"/>
    <w:basedOn w:val="1"/>
    <w:autoRedefine/>
    <w:qFormat/>
    <w:uiPriority w:val="99"/>
    <w:pPr>
      <w:tabs>
        <w:tab w:val="left" w:pos="420"/>
      </w:tabs>
      <w:ind w:left="420" w:hanging="420"/>
    </w:pPr>
    <w:rPr>
      <w:rFonts w:ascii="Tahoma" w:hAnsi="Tahoma" w:cs="Tahoma"/>
      <w:sz w:val="24"/>
      <w:szCs w:val="24"/>
    </w:rPr>
  </w:style>
  <w:style w:type="paragraph" w:customStyle="1" w:styleId="251">
    <w:name w:val="xl2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2">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3">
    <w:name w:val="列出段落111"/>
    <w:basedOn w:val="1"/>
    <w:qFormat/>
    <w:uiPriority w:val="99"/>
    <w:pPr>
      <w:spacing w:line="360" w:lineRule="auto"/>
      <w:ind w:firstLine="420" w:firstLineChars="200"/>
    </w:pPr>
    <w:rPr>
      <w:rFonts w:ascii="Calibri" w:hAnsi="Calibri" w:cs="Calibri"/>
    </w:rPr>
  </w:style>
  <w:style w:type="paragraph" w:customStyle="1" w:styleId="254">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5">
    <w:name w:val="标准正文缩进"/>
    <w:basedOn w:val="1"/>
    <w:autoRedefine/>
    <w:qFormat/>
    <w:uiPriority w:val="99"/>
    <w:pPr>
      <w:spacing w:line="300" w:lineRule="auto"/>
      <w:ind w:firstLine="200" w:firstLineChars="200"/>
      <w:jc w:val="left"/>
    </w:pPr>
    <w:rPr>
      <w:rFonts w:eastAsia="PMingLiUfalt"/>
      <w:sz w:val="24"/>
      <w:szCs w:val="24"/>
    </w:rPr>
  </w:style>
  <w:style w:type="paragraph" w:customStyle="1" w:styleId="256">
    <w:name w:val="Note Level 5"/>
    <w:basedOn w:val="1"/>
    <w:autoRedefine/>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7">
    <w:name w:val="font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WPSOffice手动目录 1"/>
    <w:autoRedefine/>
    <w:qFormat/>
    <w:uiPriority w:val="99"/>
    <w:rPr>
      <w:rFonts w:ascii="Calibri" w:hAnsi="Calibri" w:eastAsia="宋体" w:cs="Calibri"/>
      <w:lang w:val="en-US" w:eastAsia="zh-CN" w:bidi="ar-SA"/>
    </w:rPr>
  </w:style>
  <w:style w:type="paragraph" w:customStyle="1" w:styleId="259">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0">
    <w:name w:val="xl29"/>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1">
    <w:name w:val="列出段落111111"/>
    <w:basedOn w:val="1"/>
    <w:autoRedefine/>
    <w:qFormat/>
    <w:uiPriority w:val="99"/>
    <w:pPr>
      <w:spacing w:line="360" w:lineRule="auto"/>
      <w:ind w:firstLine="420" w:firstLineChars="200"/>
    </w:pPr>
    <w:rPr>
      <w:rFonts w:ascii="Calibri" w:hAnsi="Calibri" w:cs="Calibri"/>
    </w:rPr>
  </w:style>
  <w:style w:type="paragraph" w:customStyle="1" w:styleId="262">
    <w:name w:val="p18"/>
    <w:basedOn w:val="1"/>
    <w:qFormat/>
    <w:uiPriority w:val="99"/>
    <w:pPr>
      <w:widowControl/>
    </w:pPr>
    <w:rPr>
      <w:kern w:val="0"/>
      <w:sz w:val="24"/>
      <w:szCs w:val="24"/>
    </w:rPr>
  </w:style>
  <w:style w:type="paragraph" w:customStyle="1" w:styleId="263">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4">
    <w:name w:val="样式 标题 3 +1"/>
    <w:basedOn w:val="4"/>
    <w:autoRedefine/>
    <w:qFormat/>
    <w:uiPriority w:val="99"/>
    <w:pPr>
      <w:adjustRightInd/>
      <w:spacing w:line="416" w:lineRule="auto"/>
      <w:jc w:val="center"/>
      <w:textAlignment w:val="auto"/>
    </w:pPr>
    <w:rPr>
      <w:sz w:val="28"/>
      <w:szCs w:val="28"/>
    </w:rPr>
  </w:style>
  <w:style w:type="paragraph" w:customStyle="1" w:styleId="265">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6">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7">
    <w:name w:val="xl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8">
    <w:name w:val="Note Level 3"/>
    <w:basedOn w:val="1"/>
    <w:autoRedefine/>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9">
    <w:name w:val="xl7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0">
    <w:name w:val="43-表格正文"/>
    <w:basedOn w:val="1"/>
    <w:next w:val="1"/>
    <w:autoRedefine/>
    <w:qFormat/>
    <w:uiPriority w:val="99"/>
    <w:pPr>
      <w:jc w:val="left"/>
    </w:pPr>
    <w:rPr>
      <w:rFonts w:eastAsia="微软雅黑"/>
      <w:sz w:val="18"/>
      <w:szCs w:val="18"/>
    </w:rPr>
  </w:style>
  <w:style w:type="paragraph" w:customStyle="1" w:styleId="271">
    <w:name w:val="5"/>
    <w:basedOn w:val="1"/>
    <w:next w:val="1"/>
    <w:autoRedefine/>
    <w:qFormat/>
    <w:uiPriority w:val="99"/>
  </w:style>
  <w:style w:type="paragraph" w:customStyle="1" w:styleId="272">
    <w:name w:val="xl66"/>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3">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4">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5">
    <w:name w:val="xl6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Char1 Char Char Char Char Char"/>
    <w:basedOn w:val="1"/>
    <w:autoRedefine/>
    <w:qFormat/>
    <w:uiPriority w:val="99"/>
    <w:rPr>
      <w:rFonts w:ascii="仿宋_GB2312" w:eastAsia="仿宋_GB2312" w:cs="仿宋_GB2312"/>
      <w:sz w:val="24"/>
      <w:szCs w:val="24"/>
    </w:rPr>
  </w:style>
  <w:style w:type="paragraph" w:customStyle="1" w:styleId="277">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TOC 标题3"/>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9">
    <w:name w:val="正文 New New New New"/>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0">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1">
    <w:name w:val="标准小四"/>
    <w:basedOn w:val="1"/>
    <w:qFormat/>
    <w:uiPriority w:val="99"/>
    <w:pPr>
      <w:spacing w:line="360" w:lineRule="auto"/>
      <w:ind w:firstLine="480" w:firstLineChars="200"/>
    </w:pPr>
    <w:rPr>
      <w:rFonts w:ascii="Arial" w:hAnsi="Arial" w:cs="Arial"/>
      <w:sz w:val="24"/>
      <w:szCs w:val="24"/>
    </w:rPr>
  </w:style>
  <w:style w:type="paragraph" w:customStyle="1" w:styleId="282">
    <w:name w:val="font13"/>
    <w:basedOn w:val="1"/>
    <w:qFormat/>
    <w:uiPriority w:val="99"/>
    <w:pPr>
      <w:widowControl/>
      <w:spacing w:before="100" w:beforeAutospacing="1" w:after="100" w:afterAutospacing="1"/>
      <w:jc w:val="left"/>
    </w:pPr>
    <w:rPr>
      <w:b/>
      <w:bCs/>
      <w:kern w:val="0"/>
      <w:sz w:val="24"/>
      <w:szCs w:val="24"/>
    </w:rPr>
  </w:style>
  <w:style w:type="paragraph" w:customStyle="1" w:styleId="283">
    <w:name w:val="Char Char Char Char Char Char Char Char Char Char Char Char1 Char"/>
    <w:basedOn w:val="15"/>
    <w:qFormat/>
    <w:uiPriority w:val="99"/>
    <w:rPr>
      <w:rFonts w:ascii="Tahoma" w:hAnsi="Tahoma" w:cs="Tahoma"/>
      <w:sz w:val="24"/>
      <w:szCs w:val="24"/>
    </w:rPr>
  </w:style>
  <w:style w:type="paragraph" w:customStyle="1" w:styleId="284">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5">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6">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7">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0">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ZJGIS-五级标题"/>
    <w:basedOn w:val="6"/>
    <w:qFormat/>
    <w:uiPriority w:val="99"/>
    <w:pPr>
      <w:tabs>
        <w:tab w:val="left" w:pos="992"/>
        <w:tab w:val="clear" w:pos="2100"/>
      </w:tabs>
      <w:spacing w:before="120" w:after="120" w:line="240" w:lineRule="auto"/>
      <w:ind w:left="0" w:firstLine="0"/>
    </w:pPr>
  </w:style>
  <w:style w:type="paragraph" w:customStyle="1" w:styleId="292">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3">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4">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5">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6">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7">
    <w:name w:val="自由格式 A"/>
    <w:qFormat/>
    <w:uiPriority w:val="99"/>
    <w:rPr>
      <w:rFonts w:ascii="Helvetica" w:hAnsi="Helvetica" w:eastAsia="宋体" w:cs="Helvetica"/>
      <w:color w:val="000000"/>
      <w:sz w:val="24"/>
      <w:szCs w:val="24"/>
      <w:lang w:val="en-US" w:eastAsia="zh-CN" w:bidi="ar-SA"/>
    </w:rPr>
  </w:style>
  <w:style w:type="paragraph" w:customStyle="1" w:styleId="298">
    <w:name w:val="纯文本1"/>
    <w:basedOn w:val="1"/>
    <w:qFormat/>
    <w:uiPriority w:val="99"/>
    <w:pPr>
      <w:spacing w:beforeLines="50" w:afterLines="50" w:line="400" w:lineRule="exact"/>
    </w:pPr>
    <w:rPr>
      <w:rFonts w:ascii="宋体" w:hAnsi="Courier New" w:cs="宋体"/>
      <w:sz w:val="24"/>
      <w:szCs w:val="24"/>
    </w:rPr>
  </w:style>
  <w:style w:type="paragraph" w:customStyle="1" w:styleId="299">
    <w:name w:val="默认段落字体 Para Char Char Char Char Char Char Char Char Char1 Char Char Char Char"/>
    <w:basedOn w:val="1"/>
    <w:qFormat/>
    <w:uiPriority w:val="99"/>
    <w:rPr>
      <w:rFonts w:ascii="Tahoma" w:hAnsi="Tahoma" w:cs="Tahoma"/>
      <w:sz w:val="24"/>
      <w:szCs w:val="24"/>
    </w:rPr>
  </w:style>
  <w:style w:type="paragraph" w:customStyle="1" w:styleId="300">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1">
    <w:name w:val="Char1 Char"/>
    <w:basedOn w:val="1"/>
    <w:qFormat/>
    <w:uiPriority w:val="99"/>
    <w:pPr>
      <w:tabs>
        <w:tab w:val="left" w:pos="360"/>
      </w:tabs>
      <w:spacing w:line="360" w:lineRule="auto"/>
    </w:pPr>
    <w:rPr>
      <w:sz w:val="24"/>
      <w:szCs w:val="24"/>
    </w:rPr>
  </w:style>
  <w:style w:type="paragraph" w:customStyle="1" w:styleId="302">
    <w:name w:val="列表段落2"/>
    <w:basedOn w:val="1"/>
    <w:qFormat/>
    <w:uiPriority w:val="99"/>
    <w:pPr>
      <w:ind w:firstLine="420" w:firstLineChars="200"/>
    </w:pPr>
    <w:rPr>
      <w:rFonts w:ascii="Calibri" w:hAnsi="Calibri" w:cs="Calibri"/>
    </w:rPr>
  </w:style>
  <w:style w:type="paragraph" w:customStyle="1" w:styleId="303">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正文1"/>
    <w:qFormat/>
    <w:uiPriority w:val="99"/>
    <w:pPr>
      <w:jc w:val="both"/>
    </w:pPr>
    <w:rPr>
      <w:rFonts w:ascii="等线" w:hAnsi="等线" w:eastAsia="宋体" w:cs="等线"/>
      <w:kern w:val="2"/>
      <w:sz w:val="21"/>
      <w:szCs w:val="21"/>
      <w:lang w:val="en-US" w:eastAsia="zh-CN" w:bidi="ar-SA"/>
    </w:rPr>
  </w:style>
  <w:style w:type="paragraph" w:customStyle="1" w:styleId="306">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7">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8">
    <w:name w:val="列表段落21"/>
    <w:basedOn w:val="1"/>
    <w:qFormat/>
    <w:uiPriority w:val="99"/>
    <w:pPr>
      <w:widowControl/>
      <w:spacing w:after="160" w:line="259" w:lineRule="auto"/>
      <w:ind w:left="720"/>
      <w:jc w:val="left"/>
    </w:pPr>
    <w:rPr>
      <w:kern w:val="0"/>
      <w:sz w:val="22"/>
      <w:szCs w:val="22"/>
    </w:rPr>
  </w:style>
  <w:style w:type="paragraph" w:customStyle="1" w:styleId="309">
    <w:name w:val="_Style 222"/>
    <w:basedOn w:val="1"/>
    <w:next w:val="302"/>
    <w:qFormat/>
    <w:uiPriority w:val="99"/>
    <w:pPr>
      <w:ind w:firstLine="420" w:firstLineChars="200"/>
    </w:pPr>
    <w:rPr>
      <w:rFonts w:ascii="Calibri" w:hAnsi="Calibri" w:cs="Calibri"/>
    </w:rPr>
  </w:style>
  <w:style w:type="paragraph" w:customStyle="1" w:styleId="310">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1">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3">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6">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WPSOffice手动目录 2"/>
    <w:qFormat/>
    <w:uiPriority w:val="99"/>
    <w:pPr>
      <w:ind w:left="200" w:leftChars="200"/>
    </w:pPr>
    <w:rPr>
      <w:rFonts w:ascii="Calibri" w:hAnsi="Calibri" w:eastAsia="宋体" w:cs="Calibri"/>
      <w:lang w:val="en-US" w:eastAsia="zh-CN" w:bidi="ar-SA"/>
    </w:rPr>
  </w:style>
  <w:style w:type="paragraph" w:customStyle="1" w:styleId="318">
    <w:name w:val="font11"/>
    <w:basedOn w:val="1"/>
    <w:qFormat/>
    <w:uiPriority w:val="99"/>
    <w:pPr>
      <w:widowControl/>
      <w:spacing w:before="100" w:beforeAutospacing="1" w:after="100" w:afterAutospacing="1"/>
      <w:jc w:val="left"/>
    </w:pPr>
    <w:rPr>
      <w:kern w:val="0"/>
      <w:sz w:val="24"/>
      <w:szCs w:val="24"/>
    </w:rPr>
  </w:style>
  <w:style w:type="paragraph" w:customStyle="1" w:styleId="319">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0">
    <w:name w:val="ZJGIS-四级标题"/>
    <w:basedOn w:val="5"/>
    <w:qFormat/>
    <w:uiPriority w:val="99"/>
    <w:pPr>
      <w:spacing w:before="120" w:after="120" w:line="240" w:lineRule="auto"/>
    </w:pPr>
    <w:rPr>
      <w:rFonts w:eastAsia="仿宋_GB2312"/>
    </w:rPr>
  </w:style>
  <w:style w:type="paragraph" w:customStyle="1" w:styleId="321">
    <w:name w:val="_Style 1"/>
    <w:basedOn w:val="1"/>
    <w:qFormat/>
    <w:uiPriority w:val="99"/>
    <w:pPr>
      <w:ind w:firstLine="420" w:firstLineChars="200"/>
    </w:pPr>
    <w:rPr>
      <w:rFonts w:ascii="Calibri" w:hAnsi="Calibri" w:cs="Calibri"/>
    </w:rPr>
  </w:style>
  <w:style w:type="paragraph" w:customStyle="1" w:styleId="322">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3">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4">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5">
    <w:name w:val="地址内"/>
    <w:basedOn w:val="1"/>
    <w:qFormat/>
    <w:uiPriority w:val="99"/>
  </w:style>
  <w:style w:type="paragraph" w:customStyle="1" w:styleId="326">
    <w:name w:val="Item List in Tabl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7">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8">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9">
    <w:name w:val="p0"/>
    <w:basedOn w:val="1"/>
    <w:qFormat/>
    <w:uiPriority w:val="99"/>
    <w:pPr>
      <w:widowControl/>
      <w:snapToGrid w:val="0"/>
      <w:spacing w:line="312" w:lineRule="atLeast"/>
    </w:pPr>
    <w:rPr>
      <w:kern w:val="0"/>
    </w:rPr>
  </w:style>
  <w:style w:type="paragraph" w:customStyle="1" w:styleId="330">
    <w:name w:val="列出段落2"/>
    <w:basedOn w:val="1"/>
    <w:qFormat/>
    <w:uiPriority w:val="99"/>
    <w:pPr>
      <w:spacing w:line="360" w:lineRule="auto"/>
      <w:ind w:firstLine="420" w:firstLineChars="200"/>
    </w:pPr>
    <w:rPr>
      <w:sz w:val="24"/>
      <w:szCs w:val="24"/>
    </w:rPr>
  </w:style>
  <w:style w:type="paragraph" w:styleId="331">
    <w:name w:val="List Paragraph"/>
    <w:basedOn w:val="1"/>
    <w:qFormat/>
    <w:uiPriority w:val="34"/>
    <w:pPr>
      <w:ind w:firstLine="420" w:firstLineChars="200"/>
    </w:pPr>
  </w:style>
  <w:style w:type="paragraph" w:customStyle="1" w:styleId="332">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3">
    <w:name w:val="NormalCharacter"/>
    <w:semiHidden/>
    <w:qFormat/>
    <w:uiPriority w:val="99"/>
  </w:style>
  <w:style w:type="paragraph" w:customStyle="1" w:styleId="334">
    <w:name w:val="Char5"/>
    <w:basedOn w:val="1"/>
    <w:qFormat/>
    <w:uiPriority w:val="99"/>
    <w:pPr>
      <w:tabs>
        <w:tab w:val="left" w:pos="840"/>
      </w:tabs>
      <w:ind w:left="840" w:hanging="420"/>
    </w:pPr>
    <w:rPr>
      <w:kern w:val="0"/>
      <w:sz w:val="24"/>
      <w:szCs w:val="24"/>
    </w:rPr>
  </w:style>
  <w:style w:type="paragraph" w:customStyle="1" w:styleId="335">
    <w:name w:val="Char4"/>
    <w:basedOn w:val="1"/>
    <w:qFormat/>
    <w:uiPriority w:val="99"/>
    <w:pPr>
      <w:tabs>
        <w:tab w:val="left" w:pos="840"/>
      </w:tabs>
      <w:ind w:left="840" w:hanging="420"/>
    </w:pPr>
    <w:rPr>
      <w:kern w:val="0"/>
      <w:sz w:val="24"/>
      <w:szCs w:val="24"/>
    </w:rPr>
  </w:style>
  <w:style w:type="character" w:customStyle="1" w:styleId="336">
    <w:name w:val="未处理的提及2"/>
    <w:basedOn w:val="50"/>
    <w:semiHidden/>
    <w:unhideWhenUsed/>
    <w:qFormat/>
    <w:uiPriority w:val="99"/>
    <w:rPr>
      <w:color w:val="605E5C"/>
      <w:shd w:val="clear" w:color="auto" w:fill="E1DFDD"/>
    </w:rPr>
  </w:style>
  <w:style w:type="paragraph" w:customStyle="1" w:styleId="337">
    <w:name w:val="修订3"/>
    <w:hidden/>
    <w:unhideWhenUsed/>
    <w:qFormat/>
    <w:uiPriority w:val="99"/>
    <w:rPr>
      <w:rFonts w:ascii="Times New Roman" w:hAnsi="Times New Roman" w:eastAsia="宋体" w:cs="Times New Roman"/>
      <w:kern w:val="2"/>
      <w:sz w:val="21"/>
      <w:szCs w:val="21"/>
      <w:lang w:val="en-US" w:eastAsia="zh-CN" w:bidi="ar-SA"/>
    </w:rPr>
  </w:style>
  <w:style w:type="paragraph" w:customStyle="1" w:styleId="3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9">
    <w:name w:val="179"/>
    <w:basedOn w:val="1"/>
    <w:qFormat/>
    <w:uiPriority w:val="0"/>
    <w:pPr>
      <w:ind w:firstLine="420" w:firstLineChars="200"/>
    </w:pPr>
    <w:rPr>
      <w:szCs w:val="22"/>
    </w:rPr>
  </w:style>
  <w:style w:type="character" w:customStyle="1" w:styleId="340">
    <w:name w:val="font51"/>
    <w:basedOn w:val="50"/>
    <w:qFormat/>
    <w:uiPriority w:val="0"/>
    <w:rPr>
      <w:rFonts w:hint="eastAsia" w:ascii="宋体" w:hAnsi="宋体" w:eastAsia="宋体" w:cs="宋体"/>
      <w:color w:val="000000"/>
      <w:sz w:val="24"/>
      <w:szCs w:val="24"/>
      <w:u w:val="none"/>
    </w:rPr>
  </w:style>
  <w:style w:type="character" w:customStyle="1" w:styleId="341">
    <w:name w:val="font31"/>
    <w:basedOn w:val="50"/>
    <w:qFormat/>
    <w:uiPriority w:val="0"/>
    <w:rPr>
      <w:rFonts w:hint="default" w:ascii="Times New Roman" w:hAnsi="Times New Roman" w:cs="Times New Roman"/>
      <w:color w:val="000000"/>
      <w:sz w:val="24"/>
      <w:szCs w:val="24"/>
      <w:u w:val="none"/>
    </w:rPr>
  </w:style>
  <w:style w:type="character" w:customStyle="1" w:styleId="342">
    <w:name w:val="font41"/>
    <w:basedOn w:val="5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239D1-7669-48FA-93D1-D80443B000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28279</Words>
  <Characters>29914</Characters>
  <Lines>67</Lines>
  <Paragraphs>76</Paragraphs>
  <TotalTime>8</TotalTime>
  <ScaleCrop>false</ScaleCrop>
  <LinksUpToDate>false</LinksUpToDate>
  <CharactersWithSpaces>32666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三三</cp:lastModifiedBy>
  <cp:lastPrinted>2023-12-29T02:53:00Z</cp:lastPrinted>
  <dcterms:modified xsi:type="dcterms:W3CDTF">2024-05-14T07:55:15Z</dcterms:modified>
  <dc:title>丽水市人民医院采购全自动特定蛋白分析系统及配套和便携彩超项目</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B67D503AD2EE462BA38D0F3EEE36BF7E</vt:lpwstr>
  </property>
</Properties>
</file>