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highlight w:val="none"/>
          <w:lang w:eastAsia="zh-CN"/>
        </w:rPr>
      </w:pPr>
    </w:p>
    <w:p>
      <w:pPr>
        <w:spacing w:before="120" w:beforeLines="50"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丽水市中心医院采购准分子激光角膜屈光治疗机、手术动力系统及电动颅骨钻、口腔颌面锥形束计算机体层摄影设备、高频电刀项目</w:t>
      </w:r>
      <w:r>
        <w:rPr>
          <w:rFonts w:hint="eastAsia" w:ascii="宋体" w:hAnsi="宋体" w:cs="宋体"/>
          <w:b/>
          <w:bCs/>
          <w:color w:val="auto"/>
          <w:sz w:val="52"/>
          <w:szCs w:val="52"/>
          <w:highlight w:val="none"/>
        </w:rPr>
        <w:t>公开招标文件</w:t>
      </w:r>
    </w:p>
    <w:p>
      <w:pPr>
        <w:pStyle w:val="26"/>
        <w:spacing w:before="120" w:after="120"/>
        <w:rPr>
          <w:rFonts w:hAnsi="宋体"/>
          <w:color w:val="auto"/>
          <w:sz w:val="30"/>
          <w:szCs w:val="30"/>
          <w:highlight w:val="none"/>
        </w:rPr>
      </w:pPr>
    </w:p>
    <w:p>
      <w:pPr>
        <w:pStyle w:val="2"/>
        <w:numPr>
          <w:ilvl w:val="4"/>
          <w:numId w:val="0"/>
        </w:numPr>
        <w:rPr>
          <w:highlight w:val="none"/>
        </w:rPr>
      </w:pPr>
    </w:p>
    <w:p>
      <w:pPr>
        <w:rPr>
          <w:rFonts w:ascii="宋体" w:hAnsi="宋体" w:cs="宋体"/>
          <w:color w:val="auto"/>
          <w:highlight w:val="none"/>
        </w:rPr>
      </w:pPr>
    </w:p>
    <w:p>
      <w:pPr>
        <w:pStyle w:val="26"/>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：CBNB-20245182GLS</w:t>
      </w:r>
    </w:p>
    <w:p>
      <w:pPr>
        <w:pStyle w:val="26"/>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：丽水市中心医院采购准分子激光角膜屈光治疗机、手术动力系统及电动颅骨钻、口腔颌面锥形束计算机体层摄影设备、高频电刀项目</w:t>
      </w:r>
    </w:p>
    <w:p>
      <w:pPr>
        <w:pStyle w:val="26"/>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w:t>
      </w:r>
      <w:r>
        <w:rPr>
          <w:rFonts w:hint="eastAsia" w:hAnsi="宋体"/>
          <w:b/>
          <w:bCs/>
          <w:color w:val="auto"/>
          <w:sz w:val="30"/>
          <w:szCs w:val="30"/>
          <w:highlight w:val="none"/>
        </w:rPr>
        <w:t>丽水市中心医院</w:t>
      </w:r>
    </w:p>
    <w:p>
      <w:pPr>
        <w:pStyle w:val="26"/>
        <w:snapToGrid w:val="0"/>
        <w:spacing w:beforeLines="0" w:afterLines="0" w:line="360" w:lineRule="auto"/>
        <w:rPr>
          <w:rFonts w:ascii="宋体" w:hAnsi="宋体" w:cs="宋体"/>
          <w:b/>
          <w:bCs/>
          <w:color w:val="auto"/>
          <w:w w:val="95"/>
          <w:sz w:val="30"/>
          <w:szCs w:val="30"/>
          <w:highlight w:val="none"/>
        </w:rPr>
      </w:pPr>
      <w:r>
        <w:rPr>
          <w:rFonts w:hint="eastAsia" w:hAnsi="宋体"/>
          <w:b/>
          <w:bCs/>
          <w:color w:val="auto"/>
          <w:sz w:val="30"/>
          <w:szCs w:val="30"/>
          <w:highlight w:val="none"/>
        </w:rPr>
        <w:t>代理机构：宁波中基国际招标有限公司</w:t>
      </w:r>
    </w:p>
    <w:p>
      <w:pPr>
        <w:pStyle w:val="26"/>
        <w:spacing w:before="120" w:after="120"/>
        <w:rPr>
          <w:rFonts w:hAnsi="宋体"/>
          <w:color w:val="auto"/>
          <w:highlight w:val="none"/>
        </w:rPr>
      </w:pPr>
    </w:p>
    <w:p>
      <w:pPr>
        <w:pStyle w:val="26"/>
        <w:spacing w:before="120" w:after="120"/>
        <w:rPr>
          <w:rFonts w:hAnsi="宋体"/>
          <w:color w:val="auto"/>
          <w:highlight w:val="none"/>
        </w:rPr>
      </w:pPr>
    </w:p>
    <w:p>
      <w:pPr>
        <w:pStyle w:val="26"/>
        <w:spacing w:before="120" w:after="120"/>
        <w:rPr>
          <w:rFonts w:hAnsi="宋体"/>
          <w:color w:val="auto"/>
          <w:highlight w:val="none"/>
        </w:rPr>
      </w:pPr>
    </w:p>
    <w:p>
      <w:pPr>
        <w:pStyle w:val="26"/>
        <w:spacing w:before="120" w:after="120"/>
        <w:rPr>
          <w:rFonts w:hAnsi="宋体"/>
          <w:color w:val="auto"/>
          <w:highlight w:val="none"/>
        </w:rPr>
      </w:pPr>
    </w:p>
    <w:p>
      <w:pPr>
        <w:snapToGrid w:val="0"/>
        <w:spacing w:before="120" w:beforeLines="50" w:line="360" w:lineRule="auto"/>
        <w:jc w:val="center"/>
        <w:rPr>
          <w:rFonts w:ascii="宋体" w:hAnsi="宋体" w:cs="宋体"/>
          <w:color w:val="auto"/>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4</w:t>
      </w:r>
      <w:r>
        <w:rPr>
          <w:rFonts w:hint="eastAsia" w:ascii="宋体" w:hAnsi="宋体" w:cs="宋体"/>
          <w:b/>
          <w:bCs/>
          <w:color w:val="auto"/>
          <w:w w:val="95"/>
          <w:sz w:val="30"/>
          <w:szCs w:val="30"/>
          <w:highlight w:val="none"/>
        </w:rPr>
        <w:t xml:space="preserve"> 年</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月</w:t>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18"/>
        <w:rPr>
          <w:rFonts w:ascii="宋体" w:hAnsi="宋体" w:cs="宋体"/>
          <w:color w:val="auto"/>
          <w:highlight w:val="none"/>
        </w:rPr>
      </w:pPr>
    </w:p>
    <w:p>
      <w:pPr>
        <w:pStyle w:val="35"/>
        <w:tabs>
          <w:tab w:val="right" w:leader="dot" w:pos="8721"/>
        </w:tabs>
        <w:spacing w:line="600" w:lineRule="auto"/>
        <w:rPr>
          <w:rFonts w:ascii="宋体" w:hAnsi="宋体" w:cs="宋体"/>
          <w:b/>
          <w:bCs/>
          <w:color w:val="auto"/>
          <w:sz w:val="30"/>
          <w:szCs w:val="30"/>
          <w:highlight w:val="none"/>
        </w:rPr>
      </w:pP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TOC \o "1-3" \h \z \u </w:instrText>
      </w:r>
      <w:r>
        <w:rPr>
          <w:rFonts w:hint="eastAsia" w:ascii="宋体" w:hAnsi="宋体" w:cs="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"_Toc47388278" </w:instrText>
      </w:r>
      <w:r>
        <w:rPr>
          <w:color w:val="auto"/>
          <w:highlight w:val="none"/>
        </w:rPr>
        <w:fldChar w:fldCharType="separate"/>
      </w:r>
      <w:r>
        <w:rPr>
          <w:rFonts w:hint="eastAsia" w:ascii="宋体" w:hAnsi="宋体" w:cs="宋体"/>
          <w:b/>
          <w:bCs/>
          <w:color w:val="auto"/>
          <w:sz w:val="30"/>
          <w:szCs w:val="30"/>
          <w:highlight w:val="none"/>
        </w:rPr>
        <w:t xml:space="preserve">第一章 </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公开招标采购公告</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_Toc47388278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5"/>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"_Toc47388280" </w:instrText>
      </w:r>
      <w:r>
        <w:rPr>
          <w:color w:val="auto"/>
          <w:highlight w:val="none"/>
        </w:rPr>
        <w:fldChar w:fldCharType="separate"/>
      </w:r>
      <w:r>
        <w:rPr>
          <w:rFonts w:hint="eastAsia" w:ascii="宋体" w:hAnsi="宋体" w:cs="宋体"/>
          <w:b/>
          <w:bCs/>
          <w:color w:val="auto"/>
          <w:sz w:val="30"/>
          <w:szCs w:val="30"/>
          <w:highlight w:val="none"/>
        </w:rPr>
        <w:t>第二章  招标需求</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t>7</w:t>
      </w:r>
      <w:r>
        <w:rPr>
          <w:rFonts w:hint="eastAsia" w:ascii="宋体" w:hAnsi="宋体" w:cs="宋体"/>
          <w:b/>
          <w:bCs/>
          <w:color w:val="auto"/>
          <w:sz w:val="30"/>
          <w:szCs w:val="30"/>
          <w:highlight w:val="none"/>
        </w:rPr>
        <w:fldChar w:fldCharType="end"/>
      </w:r>
    </w:p>
    <w:p>
      <w:pPr>
        <w:pStyle w:val="35"/>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"_Toc47388317" </w:instrText>
      </w:r>
      <w:r>
        <w:rPr>
          <w:color w:val="auto"/>
          <w:highlight w:val="none"/>
        </w:rPr>
        <w:fldChar w:fldCharType="separate"/>
      </w:r>
      <w:r>
        <w:rPr>
          <w:rFonts w:hint="eastAsia" w:ascii="宋体" w:hAnsi="宋体" w:cs="宋体"/>
          <w:b/>
          <w:bCs/>
          <w:color w:val="auto"/>
          <w:sz w:val="30"/>
          <w:szCs w:val="30"/>
          <w:highlight w:val="none"/>
        </w:rPr>
        <w:t>第三章  投标人须知</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1</w:t>
      </w:r>
    </w:p>
    <w:p>
      <w:pPr>
        <w:pStyle w:val="35"/>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"_Toc47388384" </w:instrText>
      </w:r>
      <w:r>
        <w:rPr>
          <w:color w:val="auto"/>
          <w:highlight w:val="none"/>
        </w:rPr>
        <w:fldChar w:fldCharType="separate"/>
      </w:r>
      <w:r>
        <w:rPr>
          <w:rFonts w:hint="eastAsia" w:ascii="宋体" w:hAnsi="宋体" w:cs="宋体"/>
          <w:b/>
          <w:bCs/>
          <w:color w:val="auto"/>
          <w:sz w:val="30"/>
          <w:szCs w:val="30"/>
          <w:highlight w:val="none"/>
        </w:rPr>
        <w:t>第四章  评标办法及评分标准</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_Toc47388384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28</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5"/>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"_Toc47388385" </w:instrText>
      </w:r>
      <w:r>
        <w:rPr>
          <w:color w:val="auto"/>
          <w:highlight w:val="none"/>
        </w:rPr>
        <w:fldChar w:fldCharType="separate"/>
      </w:r>
      <w:r>
        <w:rPr>
          <w:rFonts w:hint="eastAsia" w:ascii="宋体" w:hAnsi="宋体" w:cs="宋体"/>
          <w:b/>
          <w:bCs/>
          <w:color w:val="auto"/>
          <w:sz w:val="30"/>
          <w:szCs w:val="30"/>
          <w:highlight w:val="none"/>
        </w:rPr>
        <w:t>第五章  合同主要条款</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_Toc47388385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34</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5"/>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"_Toc47388386" </w:instrText>
      </w:r>
      <w:r>
        <w:rPr>
          <w:color w:val="auto"/>
          <w:highlight w:val="none"/>
        </w:rPr>
        <w:fldChar w:fldCharType="separate"/>
      </w:r>
      <w:r>
        <w:rPr>
          <w:rFonts w:hint="eastAsia" w:ascii="宋体" w:hAnsi="宋体" w:cs="宋体"/>
          <w:b/>
          <w:bCs/>
          <w:color w:val="auto"/>
          <w:sz w:val="30"/>
          <w:szCs w:val="30"/>
          <w:highlight w:val="none"/>
        </w:rPr>
        <w:t>第六章  投标文件格式</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7</w:t>
      </w:r>
    </w:p>
    <w:p>
      <w:pPr>
        <w:spacing w:line="480" w:lineRule="auto"/>
        <w:rPr>
          <w:rFonts w:ascii="宋体" w:hAnsi="宋体" w:cs="宋体"/>
          <w:color w:val="auto"/>
          <w:sz w:val="30"/>
          <w:szCs w:val="30"/>
          <w:highlight w:val="none"/>
        </w:rPr>
      </w:pPr>
      <w:r>
        <w:rPr>
          <w:rFonts w:hint="eastAsia" w:ascii="宋体" w:hAnsi="宋体" w:cs="宋体"/>
          <w:b/>
          <w:bCs/>
          <w:color w:val="auto"/>
          <w:sz w:val="30"/>
          <w:szCs w:val="30"/>
          <w:highlight w:val="none"/>
        </w:rPr>
        <w:fldChar w:fldCharType="end"/>
      </w:r>
    </w:p>
    <w:p>
      <w:pPr>
        <w:tabs>
          <w:tab w:val="left" w:pos="855"/>
        </w:tabs>
        <w:spacing w:line="360" w:lineRule="auto"/>
        <w:rPr>
          <w:rFonts w:ascii="宋体" w:hAnsi="宋体" w:cs="宋体"/>
          <w:color w:val="auto"/>
          <w:sz w:val="28"/>
          <w:szCs w:val="28"/>
          <w:highlight w:val="none"/>
        </w:rPr>
      </w:pPr>
    </w:p>
    <w:p>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w:t>
      </w:r>
    </w:p>
    <w:p>
      <w:pPr>
        <w:pStyle w:val="26"/>
        <w:spacing w:beforeLines="0" w:afterLines="0" w:line="360" w:lineRule="auto"/>
        <w:rPr>
          <w:rFonts w:hAnsi="宋体"/>
          <w:b/>
          <w:bCs/>
          <w:color w:val="auto"/>
          <w:sz w:val="30"/>
          <w:szCs w:val="30"/>
          <w:highlight w:val="none"/>
        </w:rPr>
      </w:pPr>
    </w:p>
    <w:p>
      <w:pPr>
        <w:pStyle w:val="26"/>
        <w:spacing w:beforeLines="0" w:afterLines="0" w:line="360" w:lineRule="auto"/>
        <w:jc w:val="center"/>
        <w:rPr>
          <w:rFonts w:hAnsi="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5"/>
        <w:rPr>
          <w:rFonts w:ascii="宋体" w:hAnsi="宋体" w:cs="宋体"/>
          <w:color w:val="auto"/>
          <w:highlight w:val="none"/>
        </w:rPr>
      </w:pPr>
      <w:bookmarkStart w:id="0" w:name="_Toc397325809"/>
      <w:bookmarkStart w:id="1" w:name="_Toc47388278"/>
      <w:bookmarkStart w:id="2" w:name="_Toc11614"/>
      <w:r>
        <w:rPr>
          <w:rFonts w:hint="eastAsia" w:ascii="宋体" w:hAnsi="宋体" w:cs="宋体"/>
          <w:color w:val="auto"/>
          <w:highlight w:val="none"/>
        </w:rPr>
        <w:t>第一章 公开招标采购公告</w:t>
      </w:r>
      <w:bookmarkEnd w:id="0"/>
      <w:bookmarkEnd w:id="1"/>
      <w:bookmarkEnd w:id="2"/>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项目概况：</w:t>
      </w:r>
    </w:p>
    <w:p>
      <w:pPr>
        <w:pStyle w:val="210"/>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丽水市中心医院采购准分子激光角膜屈光治疗机、手术动力系统及电动颅骨钻、口腔颌面锥形束计算机体层摄影设备、高频电刀项目</w:t>
      </w:r>
      <w:r>
        <w:rPr>
          <w:rFonts w:hint="eastAsia" w:ascii="宋体" w:hAnsi="宋体" w:cs="宋体"/>
          <w:color w:val="auto"/>
          <w:sz w:val="21"/>
          <w:szCs w:val="21"/>
          <w:highlight w:val="none"/>
        </w:rPr>
        <w:t>的潜在投标人应在政府采购云平台（www.zcygov.cn）获取（下载）招标文件，并于202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:00（北京时间）前递交（上传）投标文件。 </w:t>
      </w:r>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项目编号：</w:t>
      </w:r>
      <w:r>
        <w:rPr>
          <w:rFonts w:hint="eastAsia" w:ascii="宋体" w:hAnsi="宋体" w:cs="宋体"/>
          <w:color w:val="auto"/>
          <w:kern w:val="0"/>
          <w:highlight w:val="none"/>
          <w:lang w:eastAsia="zh-CN"/>
        </w:rPr>
        <w:t>CBNB-20245182GLS</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丽水市中心医院采购准分子激光角膜屈光治疗机、手术动力系统及电动颅骨钻、口腔颌面锥形束计算机体层摄影设备、高频电刀项目</w:t>
      </w:r>
    </w:p>
    <w:p>
      <w:pPr>
        <w:widowControl/>
        <w:spacing w:line="360" w:lineRule="auto"/>
        <w:ind w:firstLine="420" w:firstLineChars="200"/>
        <w:rPr>
          <w:rFonts w:hint="default" w:ascii="宋体" w:hAnsi="宋体" w:cs="宋体"/>
          <w:color w:val="auto"/>
          <w:kern w:val="0"/>
          <w:highlight w:val="none"/>
          <w:lang w:val="en-US"/>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8,820,000.00（5,500,000.00；800,000.00；1,800,000.00；720,000.00）</w:t>
      </w:r>
    </w:p>
    <w:p>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最高限价（元）：</w:t>
      </w:r>
      <w:r>
        <w:rPr>
          <w:rFonts w:hint="eastAsia" w:ascii="宋体" w:hAnsi="宋体" w:cs="宋体"/>
          <w:color w:val="auto"/>
          <w:kern w:val="0"/>
          <w:highlight w:val="none"/>
          <w:lang w:val="en-US" w:eastAsia="zh-CN"/>
        </w:rPr>
        <w:t>8,820,000.00（5,500,000.00；800,000.00；1,800,000.00；720,000.00）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标项一：</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准分子激光角膜屈光治疗机</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5,500,000.00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cs="宋体"/>
          <w:color w:val="auto"/>
          <w:kern w:val="0"/>
          <w:highlight w:val="none"/>
        </w:rPr>
        <w:t>。</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二</w:t>
      </w:r>
      <w:r>
        <w:rPr>
          <w:rFonts w:hint="eastAsia" w:ascii="宋体" w:hAnsi="宋体" w:cs="宋体"/>
          <w:color w:val="auto"/>
          <w:kern w:val="0"/>
          <w:highlight w:val="none"/>
        </w:rPr>
        <w:t>：</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手术动力系统、电动颅骨钻</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1批</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800,000.00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cs="宋体"/>
          <w:color w:val="auto"/>
          <w:kern w:val="0"/>
          <w:highlight w:val="none"/>
        </w:rPr>
        <w:t>。</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三</w:t>
      </w:r>
      <w:r>
        <w:rPr>
          <w:rFonts w:hint="eastAsia" w:ascii="宋体" w:hAnsi="宋体" w:cs="宋体"/>
          <w:color w:val="auto"/>
          <w:kern w:val="0"/>
          <w:highlight w:val="none"/>
        </w:rPr>
        <w:t>：</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口腔颌面锥形束计算机体层摄影设备</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1,800,000.00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cs="宋体"/>
          <w:color w:val="auto"/>
          <w:kern w:val="0"/>
          <w:highlight w:val="none"/>
        </w:rPr>
        <w:t>。</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四</w:t>
      </w:r>
      <w:r>
        <w:rPr>
          <w:rFonts w:hint="eastAsia" w:ascii="宋体" w:hAnsi="宋体" w:cs="宋体"/>
          <w:color w:val="auto"/>
          <w:kern w:val="0"/>
          <w:highlight w:val="none"/>
        </w:rPr>
        <w:t>：</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高频电刀</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4套</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720,000.00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cs="宋体"/>
          <w:color w:val="auto"/>
          <w:kern w:val="0"/>
          <w:highlight w:val="none"/>
        </w:rPr>
        <w:t>。</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highlight w:val="none"/>
        </w:rPr>
      </w:pPr>
      <w:r>
        <w:rPr>
          <w:rFonts w:hint="eastAsia" w:ascii="宋体" w:hAnsi="宋体" w:cs="宋体"/>
          <w:color w:val="auto"/>
          <w:kern w:val="0"/>
          <w:highlight w:val="none"/>
        </w:rPr>
        <w:t>本项目（是）接受联合体投标。</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2.落实政府采购政策需满足的资格要求：</w:t>
      </w:r>
      <w:r>
        <w:rPr>
          <w:rFonts w:hint="eastAsia" w:ascii="宋体" w:hAnsi="宋体" w:cs="宋体"/>
          <w:color w:val="auto"/>
          <w:kern w:val="0"/>
          <w:highlight w:val="none"/>
          <w:lang w:val="en-US" w:eastAsia="zh-CN"/>
        </w:rPr>
        <w:t>无。</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17</w:t>
      </w:r>
      <w:r>
        <w:rPr>
          <w:rFonts w:hint="eastAsia" w:ascii="宋体" w:hAnsi="宋体" w:cs="宋体"/>
          <w:color w:val="auto"/>
          <w:kern w:val="0"/>
          <w:highlight w:val="none"/>
        </w:rPr>
        <w:t>日</w:t>
      </w:r>
      <w:r>
        <w:rPr>
          <w:rFonts w:hint="eastAsia" w:ascii="宋体" w:hAnsi="宋体" w:cs="宋体"/>
          <w:color w:val="auto"/>
          <w:kern w:val="0"/>
          <w:highlight w:val="none"/>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:00（</w:t>
      </w:r>
      <w:r>
        <w:rPr>
          <w:rFonts w:hint="eastAsia" w:ascii="宋体" w:hAnsi="宋体" w:cs="宋体"/>
          <w:color w:val="auto"/>
          <w:kern w:val="0"/>
          <w:highlight w:val="none"/>
        </w:rPr>
        <w:t>（北京时间）</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:00</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开标地点（网址）：政府采购云平台（www.zcygov.cn</w:t>
      </w:r>
      <w:r>
        <w:rPr>
          <w:rFonts w:hint="eastAsia" w:ascii="宋体" w:hAnsi="宋体" w:cs="宋体"/>
          <w:color w:val="auto"/>
          <w:kern w:val="0"/>
          <w:highlight w:val="none"/>
          <w:lang w:eastAsia="zh-CN"/>
        </w:rPr>
        <w:t>）</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4.其他事项：</w:t>
      </w:r>
    </w:p>
    <w:p>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4.1</w:t>
      </w:r>
      <w:r>
        <w:rPr>
          <w:rFonts w:hint="eastAsia" w:ascii="宋体" w:hAnsi="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4.3本招标公告中二、申请人的资格要求：第1条中的“重大税收违法案件当事人名单”即为“重大税收违法失信主体”。</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1.采购人信息</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名称：丽水市中心医院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地址：丽水市莲都区括苍路289号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传真：/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项目联系人（询问）：</w:t>
      </w:r>
      <w:r>
        <w:rPr>
          <w:rFonts w:hint="eastAsia" w:ascii="宋体" w:hAnsi="宋体" w:cs="宋体"/>
          <w:kern w:val="0"/>
          <w:highlight w:val="none"/>
          <w:lang w:val="en-US" w:eastAsia="zh-CN"/>
        </w:rPr>
        <w:t>刘</w:t>
      </w:r>
      <w:r>
        <w:rPr>
          <w:rFonts w:hint="eastAsia" w:ascii="宋体" w:hAnsi="宋体" w:cs="宋体"/>
          <w:kern w:val="0"/>
          <w:highlight w:val="none"/>
        </w:rPr>
        <w:t>老师</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项目联系方式（询问）：0578-2285467</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质疑联系人：</w:t>
      </w:r>
      <w:r>
        <w:rPr>
          <w:rFonts w:hint="eastAsia" w:ascii="宋体" w:hAnsi="宋体" w:cs="宋体"/>
          <w:kern w:val="0"/>
          <w:highlight w:val="none"/>
          <w:lang w:val="en-US" w:eastAsia="zh-CN"/>
        </w:rPr>
        <w:t>吴主任</w:t>
      </w:r>
      <w:r>
        <w:rPr>
          <w:rFonts w:hint="eastAsia" w:ascii="宋体" w:hAnsi="宋体" w:cs="宋体"/>
          <w:kern w:val="0"/>
          <w:highlight w:val="none"/>
        </w:rPr>
        <w:t>      </w:t>
      </w:r>
    </w:p>
    <w:p>
      <w:pPr>
        <w:spacing w:line="360" w:lineRule="auto"/>
        <w:ind w:firstLine="420" w:firstLineChars="200"/>
        <w:contextualSpacing/>
        <w:rPr>
          <w:rFonts w:ascii="宋体" w:hAnsi="宋体" w:cs="宋体"/>
          <w:highlight w:val="none"/>
        </w:rPr>
      </w:pPr>
      <w:r>
        <w:rPr>
          <w:rFonts w:hint="eastAsia" w:ascii="宋体" w:hAnsi="宋体" w:cs="宋体"/>
          <w:kern w:val="0"/>
          <w:highlight w:val="none"/>
        </w:rPr>
        <w:t>质疑联系方式：0578-2285467</w:t>
      </w:r>
    </w:p>
    <w:p>
      <w:pPr>
        <w:widowControl/>
        <w:spacing w:line="360" w:lineRule="auto"/>
        <w:ind w:left="420" w:leftChars="200"/>
        <w:rPr>
          <w:rFonts w:ascii="宋体" w:hAnsi="宋体" w:cs="宋体"/>
          <w:color w:val="auto"/>
          <w:kern w:val="0"/>
          <w:highlight w:val="none"/>
        </w:rPr>
      </w:pP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2.采购代理机构信息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项目联系人（询问）：任翔、殷悦、单琛耘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项目联系方式（询问）：0578-2381667、0574-88090150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质疑联系人：杨未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质疑联系方式：0574-87425382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3.同级政府采购监督管理部门</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名称：丽水市财政局政府采购监管处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地址：丽水市莲都区北苑路190号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传真：0578-2669165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：吴先生、叶先生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监督投诉电话：0578-2669165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ascii="宋体" w:cs="宋体"/>
          <w:color w:val="auto"/>
          <w:highlight w:val="none"/>
        </w:rPr>
        <w:sectPr>
          <w:pgSz w:w="11906" w:h="16838"/>
          <w:pgMar w:top="1474" w:right="1797" w:bottom="1247" w:left="1797" w:header="851" w:footer="851" w:gutter="0"/>
          <w:cols w:space="720" w:num="1"/>
          <w:docGrid w:type="lines" w:linePitch="312" w:charSpace="0"/>
        </w:sectPr>
      </w:pPr>
      <w:bookmarkStart w:id="3" w:name="_Toc47388280"/>
    </w:p>
    <w:p>
      <w:pPr>
        <w:pStyle w:val="3"/>
        <w:rPr>
          <w:rFonts w:ascii="宋体" w:cs="宋体"/>
          <w:color w:val="auto"/>
          <w:highlight w:val="none"/>
        </w:rPr>
      </w:pPr>
      <w:bookmarkStart w:id="4" w:name="_Toc28324"/>
      <w:r>
        <w:rPr>
          <w:rFonts w:hint="eastAsia" w:ascii="宋体" w:cs="宋体"/>
          <w:color w:val="auto"/>
          <w:highlight w:val="none"/>
        </w:rPr>
        <w:t>第二章  招标需求</w:t>
      </w:r>
      <w:bookmarkEnd w:id="3"/>
      <w:bookmarkEnd w:id="4"/>
    </w:p>
    <w:p>
      <w:pPr>
        <w:pStyle w:val="26"/>
        <w:snapToGrid w:val="0"/>
        <w:spacing w:beforeLines="0" w:afterLines="0" w:line="360" w:lineRule="auto"/>
        <w:outlineLvl w:val="0"/>
        <w:rPr>
          <w:rFonts w:hint="eastAsia" w:hAnsi="宋体" w:eastAsia="宋体"/>
          <w:color w:val="auto"/>
          <w:sz w:val="21"/>
          <w:szCs w:val="21"/>
          <w:highlight w:val="none"/>
          <w:lang w:eastAsia="zh-CN"/>
        </w:rPr>
      </w:pPr>
      <w:bookmarkStart w:id="5" w:name="_Toc6875"/>
      <w:bookmarkStart w:id="6" w:name="_Toc47388281"/>
      <w:bookmarkStart w:id="7" w:name="_Toc417922222"/>
      <w:r>
        <w:rPr>
          <w:rFonts w:hint="eastAsia" w:hAnsi="宋体"/>
          <w:color w:val="auto"/>
          <w:sz w:val="21"/>
          <w:szCs w:val="21"/>
          <w:highlight w:val="none"/>
        </w:rPr>
        <w:t>编号：</w:t>
      </w:r>
      <w:bookmarkEnd w:id="5"/>
      <w:bookmarkEnd w:id="6"/>
      <w:bookmarkEnd w:id="7"/>
      <w:bookmarkStart w:id="8" w:name="_Toc417922223"/>
      <w:bookmarkStart w:id="9" w:name="_Toc76"/>
      <w:bookmarkStart w:id="10" w:name="_Toc47388282"/>
      <w:r>
        <w:rPr>
          <w:rFonts w:hint="eastAsia" w:hAnsi="宋体"/>
          <w:color w:val="auto"/>
          <w:sz w:val="21"/>
          <w:szCs w:val="21"/>
          <w:highlight w:val="none"/>
          <w:lang w:eastAsia="zh-CN"/>
        </w:rPr>
        <w:t>CBNB-20245182GLS</w:t>
      </w:r>
    </w:p>
    <w:p>
      <w:pPr>
        <w:pStyle w:val="26"/>
        <w:snapToGrid w:val="0"/>
        <w:spacing w:beforeLines="0" w:afterLines="0" w:line="360" w:lineRule="auto"/>
        <w:outlineLvl w:val="0"/>
        <w:rPr>
          <w:rFonts w:hint="eastAsia" w:hAnsi="宋体" w:eastAsia="宋体"/>
          <w:i w:val="0"/>
          <w:iCs w:val="0"/>
          <w:color w:val="auto"/>
          <w:sz w:val="21"/>
          <w:szCs w:val="21"/>
          <w:highlight w:val="none"/>
          <w:lang w:eastAsia="zh-CN"/>
        </w:rPr>
      </w:pPr>
      <w:r>
        <w:rPr>
          <w:rFonts w:hint="eastAsia" w:hAnsi="宋体"/>
          <w:color w:val="auto"/>
          <w:sz w:val="21"/>
          <w:szCs w:val="21"/>
          <w:highlight w:val="none"/>
        </w:rPr>
        <w:t>采购单位名称：</w:t>
      </w:r>
      <w:bookmarkEnd w:id="8"/>
      <w:bookmarkEnd w:id="9"/>
      <w:bookmarkEnd w:id="10"/>
      <w:r>
        <w:rPr>
          <w:rFonts w:hint="eastAsia" w:hAnsi="宋体"/>
          <w:color w:val="auto"/>
          <w:sz w:val="21"/>
          <w:szCs w:val="21"/>
          <w:highlight w:val="none"/>
          <w:lang w:eastAsia="zh-CN"/>
        </w:rPr>
        <w:t>丽水市中心医院采购准分子激光角膜屈光治疗机、手术动力系统及电动颅骨钻、口腔颌面锥形束计算机体层摄影设备、高频电刀项目</w:t>
      </w:r>
    </w:p>
    <w:p>
      <w:pPr>
        <w:snapToGrid w:val="0"/>
        <w:spacing w:line="400" w:lineRule="exact"/>
        <w:ind w:left="238"/>
        <w:jc w:val="center"/>
        <w:outlineLvl w:val="0"/>
        <w:rPr>
          <w:rFonts w:ascii="宋体" w:hAnsi="宋体" w:cs="宋体"/>
          <w:b/>
          <w:bCs/>
          <w:color w:val="auto"/>
          <w:sz w:val="30"/>
          <w:szCs w:val="30"/>
          <w:highlight w:val="none"/>
        </w:rPr>
      </w:pPr>
      <w:bookmarkStart w:id="11" w:name="_Toc47388283"/>
      <w:bookmarkStart w:id="12" w:name="_Toc9001"/>
      <w:r>
        <w:rPr>
          <w:rFonts w:hint="eastAsia" w:ascii="宋体" w:hAnsi="宋体" w:cs="宋体"/>
          <w:b/>
          <w:bCs/>
          <w:color w:val="auto"/>
          <w:sz w:val="30"/>
          <w:szCs w:val="30"/>
          <w:highlight w:val="none"/>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color w:val="auto"/>
                <w:highlight w:val="none"/>
              </w:rPr>
            </w:pPr>
            <w:bookmarkStart w:id="13" w:name="_Toc47388284"/>
            <w:bookmarkStart w:id="14" w:name="_Toc19637"/>
            <w:r>
              <w:rPr>
                <w:rFonts w:hint="eastAsia" w:ascii="宋体" w:hAnsi="宋体" w:cs="宋体"/>
                <w:b/>
                <w:bCs/>
                <w:color w:val="auto"/>
                <w:highlight w:val="none"/>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color w:val="auto"/>
                <w:highlight w:val="none"/>
              </w:rPr>
            </w:pPr>
            <w:bookmarkStart w:id="15" w:name="_Toc13977"/>
            <w:bookmarkStart w:id="16" w:name="_Toc47388285"/>
            <w:r>
              <w:rPr>
                <w:rFonts w:hint="eastAsia" w:ascii="宋体" w:hAnsi="宋体" w:cs="宋体"/>
                <w:b/>
                <w:bCs/>
                <w:color w:val="auto"/>
                <w:highlight w:val="none"/>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color w:val="auto"/>
                <w:highlight w:val="none"/>
              </w:rPr>
            </w:pPr>
            <w:bookmarkStart w:id="17" w:name="_Toc11907"/>
            <w:bookmarkStart w:id="18" w:name="_Toc47388286"/>
            <w:r>
              <w:rPr>
                <w:rFonts w:hint="eastAsia" w:ascii="宋体" w:hAnsi="宋体" w:cs="宋体"/>
                <w:b/>
                <w:bCs/>
                <w:color w:val="auto"/>
                <w:highlight w:val="none"/>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color w:val="auto"/>
                <w:highlight w:val="none"/>
              </w:rPr>
            </w:pPr>
            <w:bookmarkStart w:id="19" w:name="_Toc10868"/>
            <w:bookmarkStart w:id="20" w:name="_Toc47388287"/>
            <w:r>
              <w:rPr>
                <w:rFonts w:hint="eastAsia" w:ascii="宋体" w:hAnsi="宋体" w:cs="宋体"/>
                <w:b/>
                <w:bCs/>
                <w:color w:val="auto"/>
                <w:highlight w:val="none"/>
              </w:rPr>
              <w:t>一</w:t>
            </w:r>
            <w:bookmarkEnd w:id="19"/>
            <w:bookmarkEnd w:id="20"/>
          </w:p>
        </w:tc>
        <w:tc>
          <w:tcPr>
            <w:tcW w:w="3495" w:type="dxa"/>
            <w:vAlign w:val="center"/>
          </w:tcPr>
          <w:p>
            <w:pPr>
              <w:spacing w:line="400" w:lineRule="exact"/>
              <w:outlineLvl w:val="1"/>
              <w:rPr>
                <w:rFonts w:ascii="宋体" w:hAnsi="宋体" w:cs="宋体"/>
                <w:color w:val="auto"/>
                <w:highlight w:val="none"/>
              </w:rPr>
            </w:pPr>
            <w:bookmarkStart w:id="21" w:name="_Toc15946"/>
            <w:bookmarkStart w:id="22" w:name="_Toc47388288"/>
            <w:r>
              <w:rPr>
                <w:rFonts w:hint="eastAsia" w:ascii="宋体" w:hAnsi="宋体" w:cs="宋体"/>
                <w:color w:val="auto"/>
                <w:highlight w:val="none"/>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color w:val="auto"/>
                <w:highlight w:val="none"/>
              </w:rPr>
            </w:pPr>
            <w:bookmarkStart w:id="23" w:name="_Toc5051"/>
            <w:bookmarkStart w:id="24" w:name="_Toc47388289"/>
            <w:r>
              <w:rPr>
                <w:rFonts w:hint="eastAsia" w:ascii="宋体" w:hAnsi="宋体" w:cs="宋体"/>
                <w:color w:val="auto"/>
                <w:highlight w:val="none"/>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25" w:name="_Toc10426"/>
            <w:bookmarkStart w:id="26" w:name="_Toc47388290"/>
            <w:r>
              <w:rPr>
                <w:rFonts w:hint="eastAsia" w:ascii="宋体" w:hAnsi="宋体" w:cs="宋体"/>
                <w:b/>
                <w:bCs/>
                <w:color w:val="auto"/>
                <w:highlight w:val="none"/>
              </w:rPr>
              <w:t>二</w:t>
            </w:r>
            <w:bookmarkEnd w:id="25"/>
            <w:bookmarkEnd w:id="26"/>
          </w:p>
        </w:tc>
        <w:tc>
          <w:tcPr>
            <w:tcW w:w="3495" w:type="dxa"/>
            <w:vAlign w:val="center"/>
          </w:tcPr>
          <w:p>
            <w:pPr>
              <w:spacing w:line="400" w:lineRule="exact"/>
              <w:outlineLvl w:val="1"/>
              <w:rPr>
                <w:rFonts w:ascii="宋体" w:hAnsi="宋体" w:cs="宋体"/>
                <w:color w:val="auto"/>
                <w:highlight w:val="none"/>
              </w:rPr>
            </w:pPr>
            <w:bookmarkStart w:id="27" w:name="_Toc4406"/>
            <w:bookmarkStart w:id="28" w:name="_Toc47388291"/>
            <w:r>
              <w:rPr>
                <w:rFonts w:hint="eastAsia" w:ascii="宋体" w:hAnsi="宋体" w:cs="宋体"/>
                <w:color w:val="auto"/>
                <w:highlight w:val="none"/>
              </w:rPr>
              <w:t>采购标的需执行的国家相关标准、行业标准、地方标准或者其他标准规范</w:t>
            </w:r>
            <w:bookmarkEnd w:id="27"/>
            <w:bookmarkEnd w:id="28"/>
          </w:p>
        </w:tc>
        <w:tc>
          <w:tcPr>
            <w:tcW w:w="4095" w:type="dxa"/>
            <w:vAlign w:val="center"/>
          </w:tcPr>
          <w:p>
            <w:pPr>
              <w:pStyle w:val="26"/>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由投标人提供的所有产品和服务必须符合下列规范、条例及标准，并不限于下列规范、条例及标准：</w:t>
            </w:r>
          </w:p>
          <w:p>
            <w:pPr>
              <w:pStyle w:val="26"/>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2.1中华人民共和国有关技术和卫生标准</w:t>
            </w:r>
          </w:p>
          <w:p>
            <w:pPr>
              <w:pStyle w:val="26"/>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2.2由招标人认可的有关国家权威标准</w:t>
            </w:r>
          </w:p>
          <w:p>
            <w:pPr>
              <w:spacing w:line="400" w:lineRule="exact"/>
              <w:outlineLvl w:val="1"/>
              <w:rPr>
                <w:rFonts w:ascii="宋体" w:hAnsi="宋体" w:cs="宋体"/>
                <w:b/>
                <w:bCs/>
                <w:color w:val="auto"/>
                <w:highlight w:val="none"/>
              </w:rPr>
            </w:pPr>
            <w:bookmarkStart w:id="29" w:name="_Toc47388292"/>
            <w:bookmarkStart w:id="30" w:name="_Toc27406"/>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31" w:name="_Toc47388293"/>
            <w:bookmarkStart w:id="32" w:name="_Toc18066"/>
            <w:r>
              <w:rPr>
                <w:rFonts w:hint="eastAsia" w:ascii="宋体" w:hAnsi="宋体" w:cs="宋体"/>
                <w:b/>
                <w:bCs/>
                <w:color w:val="auto"/>
                <w:highlight w:val="none"/>
              </w:rPr>
              <w:t>三</w:t>
            </w:r>
            <w:bookmarkEnd w:id="31"/>
            <w:bookmarkEnd w:id="32"/>
          </w:p>
        </w:tc>
        <w:tc>
          <w:tcPr>
            <w:tcW w:w="3495" w:type="dxa"/>
            <w:vAlign w:val="center"/>
          </w:tcPr>
          <w:p>
            <w:pPr>
              <w:spacing w:line="400" w:lineRule="exact"/>
              <w:outlineLvl w:val="1"/>
              <w:rPr>
                <w:rFonts w:ascii="宋体" w:hAnsi="宋体" w:cs="宋体"/>
                <w:color w:val="auto"/>
                <w:highlight w:val="none"/>
              </w:rPr>
            </w:pPr>
            <w:bookmarkStart w:id="33" w:name="_Toc20497"/>
            <w:bookmarkStart w:id="34" w:name="_Toc47388294"/>
            <w:r>
              <w:rPr>
                <w:rFonts w:hint="eastAsia" w:ascii="宋体" w:hAnsi="宋体" w:cs="宋体"/>
                <w:color w:val="auto"/>
                <w:highlight w:val="none"/>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color w:val="auto"/>
                <w:highlight w:val="none"/>
              </w:rPr>
            </w:pPr>
            <w:bookmarkStart w:id="35" w:name="_Toc6626"/>
            <w:bookmarkStart w:id="36" w:name="_Toc47388295"/>
            <w:r>
              <w:rPr>
                <w:rFonts w:hint="eastAsia" w:ascii="宋体" w:hAnsi="宋体" w:cs="宋体"/>
                <w:color w:val="auto"/>
                <w:highlight w:val="none"/>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37" w:name="_Toc47388296"/>
            <w:bookmarkStart w:id="38" w:name="_Toc6713"/>
            <w:r>
              <w:rPr>
                <w:rFonts w:hint="eastAsia" w:ascii="宋体" w:hAnsi="宋体" w:cs="宋体"/>
                <w:color w:val="auto"/>
                <w:highlight w:val="none"/>
              </w:rPr>
              <w:t>四</w:t>
            </w:r>
            <w:bookmarkEnd w:id="37"/>
            <w:bookmarkEnd w:id="38"/>
          </w:p>
        </w:tc>
        <w:tc>
          <w:tcPr>
            <w:tcW w:w="3495" w:type="dxa"/>
            <w:vAlign w:val="center"/>
          </w:tcPr>
          <w:p>
            <w:pPr>
              <w:spacing w:line="400" w:lineRule="exact"/>
              <w:outlineLvl w:val="1"/>
              <w:rPr>
                <w:rFonts w:ascii="宋体" w:hAnsi="宋体" w:cs="宋体"/>
                <w:color w:val="auto"/>
                <w:highlight w:val="none"/>
              </w:rPr>
            </w:pPr>
            <w:bookmarkStart w:id="39" w:name="_Toc3523"/>
            <w:bookmarkStart w:id="40" w:name="_Toc47388297"/>
            <w:r>
              <w:rPr>
                <w:rFonts w:hint="eastAsia" w:ascii="宋体" w:hAnsi="宋体" w:cs="宋体"/>
                <w:color w:val="auto"/>
                <w:highlight w:val="none"/>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color w:val="auto"/>
                <w:highlight w:val="none"/>
              </w:rPr>
            </w:pPr>
            <w:bookmarkStart w:id="41" w:name="_Toc27559"/>
            <w:bookmarkStart w:id="42" w:name="_Toc47388298"/>
            <w:r>
              <w:rPr>
                <w:rFonts w:hint="eastAsia" w:ascii="宋体" w:hAnsi="宋体" w:cs="宋体"/>
                <w:color w:val="auto"/>
                <w:highlight w:val="none"/>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3" w:name="_Toc9705"/>
            <w:bookmarkStart w:id="44" w:name="_Toc47388299"/>
            <w:r>
              <w:rPr>
                <w:rFonts w:hint="eastAsia" w:ascii="宋体" w:hAnsi="宋体" w:cs="宋体"/>
                <w:color w:val="auto"/>
                <w:highlight w:val="none"/>
              </w:rPr>
              <w:t>五</w:t>
            </w:r>
            <w:bookmarkEnd w:id="43"/>
            <w:bookmarkEnd w:id="44"/>
          </w:p>
        </w:tc>
        <w:tc>
          <w:tcPr>
            <w:tcW w:w="3495" w:type="dxa"/>
            <w:vAlign w:val="center"/>
          </w:tcPr>
          <w:p>
            <w:pPr>
              <w:spacing w:line="400" w:lineRule="exact"/>
              <w:outlineLvl w:val="1"/>
              <w:rPr>
                <w:rFonts w:ascii="宋体" w:hAnsi="宋体" w:cs="宋体"/>
                <w:color w:val="auto"/>
                <w:highlight w:val="none"/>
              </w:rPr>
            </w:pPr>
            <w:bookmarkStart w:id="45" w:name="_Toc17159"/>
            <w:bookmarkStart w:id="46" w:name="_Toc47388300"/>
            <w:r>
              <w:rPr>
                <w:rFonts w:hint="eastAsia" w:ascii="宋体" w:hAnsi="宋体" w:cs="宋体"/>
                <w:color w:val="auto"/>
                <w:highlight w:val="none"/>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color w:val="auto"/>
                <w:highlight w:val="none"/>
              </w:rPr>
            </w:pPr>
            <w:bookmarkStart w:id="47" w:name="_Toc28908"/>
            <w:bookmarkStart w:id="48" w:name="_Toc47388301"/>
            <w:r>
              <w:rPr>
                <w:rFonts w:hint="eastAsia" w:ascii="宋体" w:hAnsi="宋体" w:cs="宋体"/>
                <w:color w:val="auto"/>
                <w:highlight w:val="none"/>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9" w:name="_Toc23727"/>
            <w:bookmarkStart w:id="50" w:name="_Toc47388302"/>
            <w:r>
              <w:rPr>
                <w:rFonts w:hint="eastAsia" w:ascii="宋体" w:hAnsi="宋体" w:cs="宋体"/>
                <w:color w:val="auto"/>
                <w:highlight w:val="none"/>
              </w:rPr>
              <w:t>六</w:t>
            </w:r>
            <w:bookmarkEnd w:id="49"/>
            <w:bookmarkEnd w:id="50"/>
          </w:p>
        </w:tc>
        <w:tc>
          <w:tcPr>
            <w:tcW w:w="3495" w:type="dxa"/>
            <w:vAlign w:val="center"/>
          </w:tcPr>
          <w:p>
            <w:pPr>
              <w:spacing w:line="400" w:lineRule="exact"/>
              <w:outlineLvl w:val="1"/>
              <w:rPr>
                <w:rFonts w:ascii="宋体" w:hAnsi="宋体" w:cs="宋体"/>
                <w:color w:val="auto"/>
                <w:highlight w:val="none"/>
              </w:rPr>
            </w:pPr>
            <w:bookmarkStart w:id="51" w:name="_Toc47388303"/>
            <w:bookmarkStart w:id="52" w:name="_Toc27008"/>
            <w:r>
              <w:rPr>
                <w:rFonts w:hint="eastAsia" w:ascii="宋体" w:hAnsi="宋体" w:cs="宋体"/>
                <w:color w:val="auto"/>
                <w:highlight w:val="none"/>
              </w:rPr>
              <w:t>采购标的的验收标准</w:t>
            </w:r>
            <w:bookmarkEnd w:id="51"/>
            <w:bookmarkEnd w:id="52"/>
          </w:p>
        </w:tc>
        <w:tc>
          <w:tcPr>
            <w:tcW w:w="4095" w:type="dxa"/>
            <w:vAlign w:val="center"/>
          </w:tcPr>
          <w:p>
            <w:pPr>
              <w:spacing w:line="400" w:lineRule="exact"/>
              <w:outlineLvl w:val="1"/>
              <w:rPr>
                <w:rFonts w:ascii="宋体" w:hAnsi="宋体" w:cs="宋体"/>
                <w:color w:val="auto"/>
                <w:highlight w:val="none"/>
              </w:rPr>
            </w:pPr>
            <w:bookmarkStart w:id="53" w:name="_Toc47388304"/>
            <w:bookmarkStart w:id="54" w:name="_Toc362"/>
            <w:r>
              <w:rPr>
                <w:rFonts w:hint="eastAsia" w:ascii="宋体" w:hAnsi="宋体" w:cs="宋体"/>
                <w:color w:val="auto"/>
                <w:highlight w:val="none"/>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55" w:name="_Toc12938"/>
            <w:bookmarkStart w:id="56" w:name="_Toc47388305"/>
            <w:r>
              <w:rPr>
                <w:rFonts w:hint="eastAsia" w:ascii="宋体" w:hAnsi="宋体" w:cs="宋体"/>
                <w:color w:val="auto"/>
                <w:highlight w:val="none"/>
              </w:rPr>
              <w:t>七</w:t>
            </w:r>
            <w:bookmarkEnd w:id="55"/>
            <w:bookmarkEnd w:id="56"/>
          </w:p>
        </w:tc>
        <w:tc>
          <w:tcPr>
            <w:tcW w:w="3495" w:type="dxa"/>
            <w:vAlign w:val="center"/>
          </w:tcPr>
          <w:p>
            <w:pPr>
              <w:spacing w:line="400" w:lineRule="exact"/>
              <w:outlineLvl w:val="1"/>
              <w:rPr>
                <w:rFonts w:ascii="宋体" w:hAnsi="宋体" w:cs="宋体"/>
                <w:color w:val="auto"/>
                <w:highlight w:val="none"/>
              </w:rPr>
            </w:pPr>
            <w:bookmarkStart w:id="57" w:name="_Toc47388306"/>
            <w:bookmarkStart w:id="58" w:name="_Toc22727"/>
            <w:r>
              <w:rPr>
                <w:rFonts w:hint="eastAsia" w:ascii="宋体" w:hAnsi="宋体" w:cs="宋体"/>
                <w:color w:val="auto"/>
                <w:highlight w:val="none"/>
              </w:rPr>
              <w:t>采购标的的其他技术、服务等要求</w:t>
            </w:r>
            <w:bookmarkEnd w:id="57"/>
            <w:bookmarkEnd w:id="58"/>
          </w:p>
        </w:tc>
        <w:tc>
          <w:tcPr>
            <w:tcW w:w="4095" w:type="dxa"/>
            <w:vAlign w:val="center"/>
          </w:tcPr>
          <w:p>
            <w:pPr>
              <w:spacing w:line="400" w:lineRule="exact"/>
              <w:outlineLvl w:val="1"/>
              <w:rPr>
                <w:rFonts w:ascii="宋体" w:hAnsi="宋体" w:cs="宋体"/>
                <w:color w:val="auto"/>
                <w:highlight w:val="none"/>
              </w:rPr>
            </w:pPr>
            <w:bookmarkStart w:id="59" w:name="_Toc47388307"/>
            <w:bookmarkStart w:id="60" w:name="_Toc3237"/>
            <w:r>
              <w:rPr>
                <w:rFonts w:hint="eastAsia" w:ascii="宋体" w:hAnsi="宋体" w:cs="宋体"/>
                <w:color w:val="auto"/>
                <w:highlight w:val="none"/>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1" w:name="_Toc47388308"/>
            <w:bookmarkStart w:id="62" w:name="_Toc17147"/>
            <w:r>
              <w:rPr>
                <w:rFonts w:hint="eastAsia" w:ascii="宋体" w:hAnsi="宋体" w:cs="宋体"/>
                <w:color w:val="auto"/>
                <w:highlight w:val="none"/>
              </w:rPr>
              <w:t>八</w:t>
            </w:r>
            <w:bookmarkEnd w:id="61"/>
            <w:bookmarkEnd w:id="62"/>
          </w:p>
        </w:tc>
        <w:tc>
          <w:tcPr>
            <w:tcW w:w="3495" w:type="dxa"/>
          </w:tcPr>
          <w:p>
            <w:pPr>
              <w:spacing w:line="400" w:lineRule="exact"/>
              <w:outlineLvl w:val="1"/>
              <w:rPr>
                <w:rFonts w:ascii="宋体" w:hAnsi="宋体" w:cs="宋体"/>
                <w:color w:val="auto"/>
                <w:highlight w:val="none"/>
              </w:rPr>
            </w:pPr>
            <w:bookmarkStart w:id="63" w:name="_Toc6426"/>
            <w:bookmarkStart w:id="64" w:name="_Toc47388312"/>
            <w:r>
              <w:rPr>
                <w:rFonts w:hint="eastAsia" w:ascii="宋体" w:hAnsi="宋体" w:cs="宋体"/>
                <w:color w:val="auto"/>
                <w:highlight w:val="none"/>
              </w:rPr>
              <w:t>现场踏勘</w:t>
            </w:r>
            <w:bookmarkEnd w:id="63"/>
            <w:bookmarkEnd w:id="64"/>
          </w:p>
        </w:tc>
        <w:tc>
          <w:tcPr>
            <w:tcW w:w="4095" w:type="dxa"/>
            <w:vAlign w:val="center"/>
          </w:tcPr>
          <w:p>
            <w:pPr>
              <w:spacing w:line="400" w:lineRule="exact"/>
              <w:outlineLvl w:val="1"/>
              <w:rPr>
                <w:rFonts w:ascii="宋体" w:hAnsi="宋体" w:cs="宋体"/>
                <w:color w:val="auto"/>
                <w:highlight w:val="none"/>
              </w:rPr>
            </w:pPr>
            <w:bookmarkStart w:id="65" w:name="_Toc47388313"/>
            <w:bookmarkStart w:id="66" w:name="_Toc7814"/>
            <w:r>
              <w:rPr>
                <w:rFonts w:hint="eastAsia" w:ascii="宋体" w:hAnsi="宋体" w:cs="宋体"/>
                <w:color w:val="auto"/>
                <w:highlight w:val="none"/>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7" w:name="_Toc47388311"/>
            <w:bookmarkStart w:id="68" w:name="_Toc23900"/>
            <w:r>
              <w:rPr>
                <w:rFonts w:hint="eastAsia" w:ascii="宋体" w:hAnsi="宋体" w:cs="宋体"/>
                <w:color w:val="auto"/>
                <w:highlight w:val="none"/>
              </w:rPr>
              <w:t>九</w:t>
            </w:r>
            <w:bookmarkEnd w:id="67"/>
            <w:bookmarkEnd w:id="68"/>
          </w:p>
        </w:tc>
        <w:tc>
          <w:tcPr>
            <w:tcW w:w="3495" w:type="dxa"/>
          </w:tcPr>
          <w:p>
            <w:pPr>
              <w:spacing w:line="400" w:lineRule="exact"/>
              <w:outlineLvl w:val="1"/>
              <w:rPr>
                <w:rFonts w:ascii="宋体" w:hAnsi="宋体" w:cs="宋体"/>
                <w:color w:val="auto"/>
                <w:highlight w:val="none"/>
              </w:rPr>
            </w:pPr>
            <w:bookmarkStart w:id="69" w:name="_Toc16439"/>
            <w:bookmarkStart w:id="70" w:name="_Toc47388315"/>
            <w:r>
              <w:rPr>
                <w:rFonts w:hint="eastAsia" w:ascii="宋体" w:hAnsi="宋体" w:cs="宋体"/>
                <w:color w:val="auto"/>
                <w:highlight w:val="none"/>
              </w:rPr>
              <w:t>样品要求</w:t>
            </w:r>
            <w:bookmarkEnd w:id="69"/>
            <w:bookmarkEnd w:id="70"/>
          </w:p>
        </w:tc>
        <w:tc>
          <w:tcPr>
            <w:tcW w:w="4095" w:type="dxa"/>
            <w:vAlign w:val="center"/>
          </w:tcPr>
          <w:p>
            <w:pPr>
              <w:spacing w:line="400" w:lineRule="exact"/>
              <w:outlineLvl w:val="1"/>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无</w:t>
            </w:r>
          </w:p>
        </w:tc>
      </w:tr>
    </w:tbl>
    <w:p>
      <w:pPr>
        <w:snapToGri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b/>
          <w:bCs/>
          <w:color w:val="auto"/>
          <w:highlight w:val="none"/>
        </w:rPr>
        <w:br w:type="page"/>
      </w:r>
      <w:bookmarkStart w:id="71" w:name="_Toc47388317"/>
      <w:bookmarkStart w:id="72" w:name="_Toc1077"/>
    </w:p>
    <w:p>
      <w:pPr>
        <w:snapToGrid w:val="0"/>
        <w:spacing w:line="360" w:lineRule="auto"/>
        <w:rPr>
          <w:rFonts w:ascii="宋体" w:hAnsi="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ascii="宋体" w:hAnsi="宋体" w:cs="宋体"/>
          <w:color w:val="auto"/>
          <w:highlight w:val="none"/>
        </w:rPr>
      </w:pPr>
      <w:r>
        <w:rPr>
          <w:rFonts w:hint="eastAsia" w:ascii="宋体" w:hAnsi="宋体" w:cs="宋体"/>
          <w:b/>
          <w:bCs/>
          <w:color w:val="auto"/>
          <w:highlight w:val="none"/>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pPr>
              <w:pStyle w:val="18"/>
              <w:spacing w:after="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付款方式：</w:t>
            </w:r>
          </w:p>
          <w:p>
            <w:pPr>
              <w:spacing w:line="360" w:lineRule="auto"/>
              <w:jc w:val="left"/>
              <w:rPr>
                <w:rFonts w:ascii="宋体" w:hAnsi="宋体" w:cs="宋体"/>
                <w:color w:val="auto"/>
                <w:highlight w:val="none"/>
              </w:rPr>
            </w:pPr>
            <w:r>
              <w:rPr>
                <w:rFonts w:hint="eastAsia" w:ascii="宋体" w:hAnsi="宋体" w:cs="宋体"/>
                <w:color w:val="auto"/>
                <w:highlight w:val="none"/>
              </w:rPr>
              <w:t>合同生效并具备实施条件后7个工作日内</w:t>
            </w:r>
            <w:r>
              <w:rPr>
                <w:rFonts w:hint="eastAsia" w:ascii="宋体" w:hAnsi="宋体" w:eastAsia="宋体" w:cs="宋体"/>
                <w:color w:val="auto"/>
                <w:highlight w:val="none"/>
              </w:rPr>
              <w:t>凭同等金额预付款保函</w:t>
            </w:r>
            <w:r>
              <w:rPr>
                <w:rFonts w:hint="eastAsia" w:ascii="宋体" w:hAnsi="宋体" w:cs="宋体"/>
                <w:color w:val="auto"/>
                <w:highlight w:val="none"/>
              </w:rPr>
              <w:t>支付合同金额的40%作为预付款，（供应商为《政府采购促进中小企业发展管理办法》（财库﹝2020﹞46号）第四条认定的大型企业无预付款，不适用该条款）；</w:t>
            </w:r>
          </w:p>
          <w:p>
            <w:pPr>
              <w:spacing w:line="360" w:lineRule="auto"/>
              <w:jc w:val="left"/>
              <w:rPr>
                <w:rFonts w:ascii="宋体" w:hAnsi="宋体" w:cs="宋体"/>
                <w:color w:val="auto"/>
                <w:highlight w:val="none"/>
              </w:rPr>
            </w:pPr>
            <w:r>
              <w:rPr>
                <w:rFonts w:hint="eastAsia" w:ascii="宋体" w:hAnsi="宋体" w:cs="宋体"/>
                <w:color w:val="auto"/>
                <w:highlight w:val="none"/>
              </w:rPr>
              <w:t>项目验收合格并收到中标人正式发票之日起7个工作日内付清合同款。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列出详细的设备配置清单（包括附件及选配件），清单包括：硬件、软件、附件及选配件的规格型号、接口。提供分项价格并提供价格的折扣率，同时提供耗</w:t>
            </w:r>
            <w:r>
              <w:rPr>
                <w:rFonts w:hint="eastAsia" w:ascii="宋体" w:hAnsi="宋体" w:cs="宋体"/>
                <w:color w:val="auto"/>
                <w:highlight w:val="none"/>
                <w:lang w:val="en-US" w:eastAsia="zh-CN"/>
              </w:rPr>
              <w:t>材</w:t>
            </w:r>
            <w:r>
              <w:rPr>
                <w:rFonts w:hint="eastAsia" w:ascii="宋体" w:hAnsi="宋体" w:cs="宋体"/>
                <w:color w:val="auto"/>
                <w:highlight w:val="none"/>
              </w:rPr>
              <w:t>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提供各类必要证件（书），包括但不限于医疗器械注册证</w:t>
            </w:r>
            <w:r>
              <w:rPr>
                <w:rFonts w:hint="eastAsia" w:ascii="宋体" w:hAnsi="宋体" w:cs="宋体"/>
                <w:color w:val="auto"/>
                <w:kern w:val="0"/>
                <w:highlight w:val="none"/>
                <w:lang w:eastAsia="zh-CN"/>
              </w:rPr>
              <w:t>、</w:t>
            </w:r>
            <w:r>
              <w:rPr>
                <w:rFonts w:hint="eastAsia" w:ascii="宋体" w:hAnsi="宋体"/>
                <w:bCs/>
                <w:szCs w:val="21"/>
                <w:highlight w:val="none"/>
              </w:rPr>
              <w:t>产品注册登记表</w:t>
            </w:r>
            <w:r>
              <w:rPr>
                <w:rFonts w:hint="eastAsia" w:ascii="宋体" w:hAnsi="宋体" w:cs="宋体"/>
                <w:color w:val="auto"/>
                <w:kern w:val="0"/>
                <w:highlight w:val="none"/>
              </w:rPr>
              <w:t>和消毒产品卫生安全评价报告。全套设备必须为全新，未曾使用过的原装产品，软件版本为最新版本（投标文件中须注明设备进入市场时间及软件最新版本号）。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sz w:val="21"/>
                <w:szCs w:val="21"/>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1"/>
                <w:szCs w:val="21"/>
                <w:highlight w:val="none"/>
              </w:rPr>
              <w:t>开放维修权限，医院工程师具有自主维修权限</w:t>
            </w:r>
            <w:r>
              <w:rPr>
                <w:rFonts w:hint="eastAsia" w:ascii="宋体" w:hAnsi="宋体" w:cs="宋体"/>
                <w:color w:val="auto"/>
                <w:sz w:val="21"/>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6</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7</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免费开放所有接口，便于信息系统接入</w:t>
            </w:r>
            <w:r>
              <w:rPr>
                <w:rFonts w:hint="eastAsia" w:ascii="宋体" w:hAnsi="宋体" w:cs="宋体"/>
                <w:color w:val="auto"/>
                <w:kern w:val="0"/>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及时提供投标设备新功能信息和临床应用的资料。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标项一≥</w:t>
            </w:r>
            <w:r>
              <w:rPr>
                <w:rFonts w:hint="eastAsia" w:ascii="宋体" w:hAnsi="宋体" w:cs="宋体"/>
                <w:b/>
                <w:bCs/>
                <w:color w:val="auto"/>
                <w:kern w:val="0"/>
                <w:highlight w:val="none"/>
                <w:lang w:val="en-US" w:eastAsia="zh-CN"/>
              </w:rPr>
              <w:t>1</w:t>
            </w:r>
            <w:r>
              <w:rPr>
                <w:rFonts w:hint="eastAsia" w:ascii="宋体" w:hAnsi="宋体" w:cs="宋体"/>
                <w:b/>
                <w:bCs/>
                <w:color w:val="auto"/>
                <w:kern w:val="0"/>
                <w:highlight w:val="none"/>
                <w:u w:val="none"/>
              </w:rPr>
              <w:t>年</w:t>
            </w:r>
            <w:r>
              <w:rPr>
                <w:rFonts w:hint="eastAsia" w:ascii="宋体" w:hAnsi="宋体" w:cs="宋体"/>
                <w:b/>
                <w:bCs/>
                <w:color w:val="auto"/>
                <w:kern w:val="0"/>
                <w:highlight w:val="none"/>
                <w:u w:val="none"/>
                <w:lang w:eastAsia="zh-CN"/>
              </w:rPr>
              <w:t>；</w:t>
            </w:r>
            <w:r>
              <w:rPr>
                <w:rFonts w:hint="eastAsia" w:ascii="宋体" w:hAnsi="宋体" w:cs="宋体"/>
                <w:b/>
                <w:bCs/>
                <w:color w:val="auto"/>
                <w:kern w:val="0"/>
                <w:highlight w:val="none"/>
                <w:lang w:val="en-US" w:eastAsia="zh-CN"/>
              </w:rPr>
              <w:t>标项二≥</w:t>
            </w:r>
            <w:r>
              <w:rPr>
                <w:rFonts w:hint="eastAsia" w:ascii="宋体" w:hAnsi="宋体" w:cs="宋体"/>
                <w:b/>
                <w:bCs/>
                <w:color w:val="auto"/>
                <w:kern w:val="0"/>
                <w:highlight w:val="none"/>
                <w:lang w:val="en-US" w:eastAsia="zh-CN"/>
              </w:rPr>
              <w:t>2</w:t>
            </w:r>
            <w:r>
              <w:rPr>
                <w:rFonts w:hint="eastAsia" w:ascii="宋体" w:hAnsi="宋体" w:cs="宋体"/>
                <w:b/>
                <w:bCs/>
                <w:color w:val="auto"/>
                <w:kern w:val="0"/>
                <w:highlight w:val="none"/>
                <w:u w:val="none"/>
              </w:rPr>
              <w:t>年</w:t>
            </w:r>
            <w:r>
              <w:rPr>
                <w:rFonts w:hint="eastAsia" w:ascii="宋体" w:hAnsi="宋体" w:cs="宋体"/>
                <w:b/>
                <w:bCs/>
                <w:color w:val="auto"/>
                <w:kern w:val="0"/>
                <w:highlight w:val="none"/>
                <w:u w:val="none"/>
                <w:lang w:eastAsia="zh-CN"/>
              </w:rPr>
              <w:t>；</w:t>
            </w:r>
            <w:r>
              <w:rPr>
                <w:rFonts w:hint="eastAsia" w:ascii="宋体" w:hAnsi="宋体" w:cs="宋体"/>
                <w:b/>
                <w:bCs/>
                <w:color w:val="auto"/>
                <w:kern w:val="0"/>
                <w:highlight w:val="none"/>
                <w:lang w:val="en-US" w:eastAsia="zh-CN"/>
              </w:rPr>
              <w:t>标项三≥5</w:t>
            </w:r>
            <w:r>
              <w:rPr>
                <w:rFonts w:hint="eastAsia" w:ascii="宋体" w:hAnsi="宋体" w:cs="宋体"/>
                <w:b/>
                <w:bCs/>
                <w:color w:val="auto"/>
                <w:kern w:val="0"/>
                <w:highlight w:val="none"/>
                <w:u w:val="none"/>
              </w:rPr>
              <w:t>年</w:t>
            </w:r>
            <w:r>
              <w:rPr>
                <w:rFonts w:hint="eastAsia" w:ascii="宋体" w:hAnsi="宋体" w:cs="宋体"/>
                <w:b/>
                <w:bCs/>
                <w:color w:val="auto"/>
                <w:kern w:val="0"/>
                <w:highlight w:val="none"/>
                <w:u w:val="none"/>
                <w:lang w:eastAsia="zh-CN"/>
              </w:rPr>
              <w:t>；</w:t>
            </w:r>
            <w:r>
              <w:rPr>
                <w:rFonts w:hint="eastAsia" w:ascii="宋体" w:hAnsi="宋体" w:cs="宋体"/>
                <w:b/>
                <w:bCs/>
                <w:color w:val="auto"/>
                <w:kern w:val="0"/>
                <w:highlight w:val="none"/>
                <w:lang w:val="en-US" w:eastAsia="zh-CN"/>
              </w:rPr>
              <w:t>标项四≥3</w:t>
            </w:r>
            <w:r>
              <w:rPr>
                <w:rFonts w:hint="eastAsia" w:ascii="宋体" w:hAnsi="宋体" w:cs="宋体"/>
                <w:b/>
                <w:bCs/>
                <w:color w:val="auto"/>
                <w:kern w:val="0"/>
                <w:highlight w:val="none"/>
                <w:u w:val="none"/>
              </w:rPr>
              <w:t>年</w:t>
            </w:r>
            <w:r>
              <w:rPr>
                <w:rFonts w:hint="eastAsia" w:ascii="宋体" w:hAnsi="宋体" w:cs="宋体"/>
                <w:b/>
                <w:bCs/>
                <w:color w:val="auto"/>
                <w:kern w:val="0"/>
                <w:highlight w:val="none"/>
              </w:rPr>
              <w:t>。设备停产后仍保证零配件供应</w:t>
            </w:r>
            <w:r>
              <w:rPr>
                <w:rFonts w:hint="eastAsia" w:ascii="宋体" w:hAnsi="宋体" w:cs="宋体"/>
                <w:b/>
                <w:bCs/>
                <w:color w:val="auto"/>
                <w:kern w:val="0"/>
                <w:highlight w:val="none"/>
                <w:lang w:val="en-US" w:eastAsia="zh-CN"/>
              </w:rPr>
              <w:t>10</w:t>
            </w:r>
            <w:r>
              <w:rPr>
                <w:rFonts w:hint="eastAsia" w:ascii="宋体" w:hAnsi="宋体" w:cs="宋体"/>
                <w:b/>
                <w:bCs/>
                <w:color w:val="auto"/>
                <w:kern w:val="0"/>
                <w:highlight w:val="none"/>
              </w:rPr>
              <w:t>年及以上（保修起始时间以医院验收合格之日为准）。</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3.2</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保修范围内设备的故障维修响应时间≤2小时，到达现场时间＜24小时（包括节假日），8个工作小时未修复须提供备品备件</w:t>
            </w:r>
            <w:r>
              <w:rPr>
                <w:rFonts w:hint="eastAsia" w:ascii="宋体" w:hAnsi="宋体" w:cs="宋体"/>
                <w:color w:val="auto"/>
                <w:highlight w:val="none"/>
                <w:lang w:eastAsia="zh-CN"/>
              </w:rPr>
              <w:t>，维修过程中所需零配件</w:t>
            </w:r>
            <w:r>
              <w:rPr>
                <w:rFonts w:hint="eastAsia" w:ascii="宋体" w:hAnsi="宋体" w:cs="宋体"/>
                <w:color w:val="auto"/>
                <w:highlight w:val="none"/>
                <w:lang w:val="en-US" w:eastAsia="zh-CN"/>
              </w:rPr>
              <w:t>中标人</w:t>
            </w:r>
            <w:r>
              <w:rPr>
                <w:rFonts w:hint="eastAsia" w:ascii="宋体" w:hAnsi="宋体" w:cs="宋体"/>
                <w:color w:val="auto"/>
                <w:highlight w:val="none"/>
                <w:lang w:eastAsia="zh-CN"/>
              </w:rPr>
              <w:t>在接到通知后最长不超过3天必须送达</w:t>
            </w:r>
            <w:r>
              <w:rPr>
                <w:rFonts w:hint="eastAsia" w:ascii="宋体" w:hAnsi="宋体" w:cs="宋体"/>
                <w:color w:val="auto"/>
                <w:highlight w:val="none"/>
                <w:lang w:val="en-US" w:eastAsia="zh-CN"/>
              </w:rPr>
              <w:t>采购人</w:t>
            </w:r>
            <w:r>
              <w:rPr>
                <w:rFonts w:hint="eastAsia" w:ascii="宋体" w:hAnsi="宋体" w:cs="宋体"/>
                <w:color w:val="auto"/>
                <w:highlight w:val="none"/>
              </w:rPr>
              <w:t>。每次现场服务后提供详细的维修报告单。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保修期内每年开机率不低于95%（一年按365天计），即停机天数不超过</w:t>
            </w:r>
            <w:r>
              <w:rPr>
                <w:rFonts w:hint="eastAsia" w:ascii="宋体" w:hAnsi="宋体" w:cs="宋体"/>
                <w:color w:val="auto"/>
                <w:highlight w:val="none"/>
                <w:lang w:val="en-US" w:eastAsia="zh-CN"/>
              </w:rPr>
              <w:t>14</w:t>
            </w:r>
            <w:r>
              <w:rPr>
                <w:rFonts w:hint="eastAsia" w:ascii="宋体" w:hAnsi="宋体" w:cs="宋体"/>
                <w:color w:val="auto"/>
                <w:highlight w:val="none"/>
              </w:rPr>
              <w:t>个自然日/年，如开机率达不到要求，每停机超过1个自然日保修期相应延长10个自然日。单次停机时间不得超过一周，否则投标人需做出相应补偿并承担责任。</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kern w:val="0"/>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投标人应提供终身维修，</w:t>
            </w:r>
            <w:r>
              <w:rPr>
                <w:rFonts w:hint="eastAsia" w:ascii="宋体" w:hAnsi="宋体" w:cs="宋体"/>
                <w:color w:val="auto"/>
                <w:highlight w:val="none"/>
              </w:rPr>
              <w:t>对设备进行维修免收差旅费、人工费等，仅收损坏更换的零备件费。必须做到先维修后付款。要求原厂或原厂授权维修服务机构进行书面承诺。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提供保修期后消耗品和常用零配件的供应价格与折扣，折扣按优惠程度供应（供应价格和折扣，在投标文件中明确）。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3.9</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如属计量器具、放射类设备，则卖方提供经买方认可的且具有资质的检测机构出具的计量、放射防护检测合格报告，检测费用包含在合同总价中。</w:t>
            </w:r>
          </w:p>
          <w:p>
            <w:pPr>
              <w:spacing w:line="360" w:lineRule="auto"/>
              <w:rPr>
                <w:rFonts w:ascii="宋体" w:hAnsi="宋体" w:cs="宋体"/>
                <w:b/>
                <w:bCs/>
                <w:color w:val="auto"/>
                <w:highlight w:val="none"/>
              </w:rPr>
            </w:pPr>
            <w:r>
              <w:rPr>
                <w:rFonts w:hint="eastAsia" w:ascii="宋体" w:hAnsi="宋体" w:cs="宋体"/>
                <w:color w:val="auto"/>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3.12</w:t>
            </w:r>
          </w:p>
        </w:tc>
        <w:tc>
          <w:tcPr>
            <w:tcW w:w="7143" w:type="dxa"/>
            <w:tcBorders>
              <w:tl2br w:val="nil"/>
              <w:tr2bl w:val="nil"/>
            </w:tcBorders>
            <w:vAlign w:val="center"/>
          </w:tcPr>
          <w:p>
            <w:pPr>
              <w:spacing w:line="360" w:lineRule="auto"/>
              <w:rPr>
                <w:rFonts w:hint="eastAsia" w:ascii="宋体" w:hAnsi="宋体" w:eastAsia="宋体" w:cs="宋体"/>
                <w:color w:val="auto"/>
                <w:highlight w:val="none"/>
                <w:lang w:val="en-US" w:eastAsia="zh-CN"/>
              </w:rPr>
            </w:pPr>
            <w:r>
              <w:rPr>
                <w:rFonts w:hint="eastAsia" w:ascii="宋体" w:hAnsi="宋体"/>
                <w:bCs/>
                <w:szCs w:val="21"/>
                <w:highlight w:val="none"/>
              </w:rPr>
              <w:t>支持网络连接</w:t>
            </w:r>
            <w:r>
              <w:rPr>
                <w:rFonts w:hint="eastAsia" w:ascii="宋体" w:hAnsi="宋体"/>
                <w:bCs/>
                <w:szCs w:val="21"/>
                <w:highlight w:val="none"/>
                <w:lang w:eastAsia="zh-CN"/>
              </w:rPr>
              <w:t>，</w:t>
            </w:r>
            <w:r>
              <w:rPr>
                <w:rFonts w:hint="eastAsia" w:ascii="宋体" w:hAnsi="宋体"/>
                <w:bCs/>
                <w:szCs w:val="21"/>
                <w:highlight w:val="none"/>
              </w:rPr>
              <w:t>D</w:t>
            </w:r>
            <w:r>
              <w:rPr>
                <w:rFonts w:ascii="宋体" w:hAnsi="宋体"/>
                <w:bCs/>
                <w:szCs w:val="21"/>
                <w:highlight w:val="none"/>
              </w:rPr>
              <w:t>ICOM 3.0</w:t>
            </w:r>
            <w:r>
              <w:rPr>
                <w:rFonts w:hint="eastAsia" w:ascii="宋体" w:hAnsi="宋体"/>
                <w:bCs/>
                <w:szCs w:val="21"/>
                <w:highlight w:val="none"/>
              </w:rPr>
              <w:t>（开通）</w:t>
            </w:r>
            <w:r>
              <w:rPr>
                <w:rFonts w:hint="eastAsia" w:ascii="宋体" w:hAnsi="宋体"/>
                <w:bCs/>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安装要求：到货后</w:t>
            </w:r>
            <w:r>
              <w:rPr>
                <w:rFonts w:hint="eastAsia" w:ascii="宋体" w:hAnsi="宋体" w:cs="宋体"/>
                <w:color w:val="auto"/>
                <w:highlight w:val="none"/>
              </w:rPr>
              <w:t>接到采购人通知7天内全部安装调试完成。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4.5</w:t>
            </w:r>
          </w:p>
        </w:tc>
        <w:tc>
          <w:tcPr>
            <w:tcW w:w="7143" w:type="dxa"/>
            <w:tcBorders>
              <w:tl2br w:val="nil"/>
              <w:tr2bl w:val="nil"/>
            </w:tcBorders>
            <w:vAlign w:val="center"/>
          </w:tcPr>
          <w:p>
            <w:pPr>
              <w:spacing w:line="360" w:lineRule="auto"/>
              <w:rPr>
                <w:rFonts w:hint="eastAsia" w:ascii="宋体" w:hAnsi="宋体" w:cs="宋体"/>
                <w:color w:val="auto"/>
                <w:kern w:val="0"/>
                <w:highlight w:val="none"/>
              </w:rPr>
            </w:pP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应提供设备的有效检验文件，经</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认可后，与设备性能指标、合同内容一起作为设备验收标准。</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对设备验收合格后，双方共同签署验收合格证书并加盖公章。验收中发现设备达不到验收标准或合同规定的性能指标，</w:t>
            </w: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必须更换设备。并且赔偿由此给用户造成的损失。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4.</w:t>
            </w:r>
            <w:r>
              <w:rPr>
                <w:rFonts w:hint="eastAsia" w:ascii="宋体" w:hAnsi="宋体" w:cs="宋体"/>
                <w:color w:val="auto"/>
                <w:kern w:val="0"/>
                <w:highlight w:val="none"/>
                <w:lang w:val="en-US" w:eastAsia="zh-CN"/>
              </w:rPr>
              <w:t>6</w:t>
            </w:r>
          </w:p>
        </w:tc>
        <w:tc>
          <w:tcPr>
            <w:tcW w:w="7143" w:type="dxa"/>
            <w:tcBorders>
              <w:tl2br w:val="nil"/>
              <w:tr2bl w:val="nil"/>
            </w:tcBorders>
            <w:vAlign w:val="center"/>
          </w:tcPr>
          <w:p>
            <w:pPr>
              <w:widowControl/>
              <w:spacing w:line="360" w:lineRule="auto"/>
              <w:rPr>
                <w:rFonts w:ascii="宋体" w:hAnsi="宋体" w:cs="宋体"/>
                <w:color w:val="auto"/>
                <w:kern w:val="0"/>
                <w:highlight w:val="none"/>
              </w:rPr>
            </w:pPr>
            <w:r>
              <w:rPr>
                <w:rFonts w:hint="eastAsia" w:ascii="宋体" w:hAnsi="宋体" w:cs="宋体"/>
                <w:color w:val="auto"/>
                <w:kern w:val="0"/>
                <w:highlight w:val="none"/>
              </w:rPr>
              <w:t>验收：符合医院的验收规范。</w:t>
            </w:r>
          </w:p>
          <w:p>
            <w:pPr>
              <w:widowControl/>
              <w:spacing w:line="360" w:lineRule="auto"/>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p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交货期：</w:t>
            </w:r>
          </w:p>
          <w:p>
            <w:pPr>
              <w:spacing w:line="360" w:lineRule="auto"/>
              <w:rPr>
                <w:rFonts w:hint="eastAsia" w:ascii="宋体" w:hAnsi="宋体" w:cs="宋体"/>
                <w:b/>
                <w:bCs/>
                <w:color w:val="auto"/>
                <w:kern w:val="0"/>
                <w:highlight w:val="none"/>
                <w:lang w:eastAsia="zh-CN"/>
              </w:rPr>
            </w:pPr>
            <w:r>
              <w:rPr>
                <w:rFonts w:hint="eastAsia" w:ascii="宋体" w:hAnsi="宋体" w:cs="宋体"/>
                <w:b/>
                <w:bCs/>
                <w:color w:val="auto"/>
                <w:kern w:val="0"/>
                <w:highlight w:val="none"/>
                <w:lang w:val="en-US" w:eastAsia="zh-CN"/>
              </w:rPr>
              <w:t>标项一：</w:t>
            </w:r>
            <w:r>
              <w:rPr>
                <w:rFonts w:hint="eastAsia" w:ascii="宋体" w:hAnsi="宋体" w:cs="宋体"/>
                <w:b/>
                <w:bCs/>
                <w:color w:val="auto"/>
                <w:kern w:val="0"/>
                <w:highlight w:val="none"/>
              </w:rPr>
              <w:t>同签订之日起</w:t>
            </w:r>
            <w:r>
              <w:rPr>
                <w:rFonts w:hint="eastAsia" w:ascii="宋体" w:hAnsi="宋体" w:cs="宋体"/>
                <w:b/>
                <w:bCs/>
                <w:color w:val="auto"/>
                <w:kern w:val="0"/>
                <w:highlight w:val="none"/>
                <w:u w:val="single"/>
                <w:lang w:val="en-US" w:eastAsia="zh-CN"/>
              </w:rPr>
              <w:t>2个月</w:t>
            </w:r>
            <w:r>
              <w:rPr>
                <w:rFonts w:hint="eastAsia" w:ascii="宋体" w:hAnsi="宋体" w:cs="宋体"/>
                <w:b/>
                <w:bCs/>
                <w:color w:val="auto"/>
                <w:kern w:val="0"/>
                <w:highlight w:val="none"/>
              </w:rPr>
              <w:t>内</w:t>
            </w:r>
            <w:r>
              <w:rPr>
                <w:rFonts w:hint="eastAsia" w:ascii="宋体" w:hAnsi="宋体" w:cs="宋体"/>
                <w:b/>
                <w:bCs/>
                <w:color w:val="auto"/>
                <w:kern w:val="0"/>
                <w:highlight w:val="none"/>
                <w:lang w:eastAsia="zh-CN"/>
              </w:rPr>
              <w:t>；</w:t>
            </w:r>
          </w:p>
          <w:p>
            <w:pPr>
              <w:spacing w:line="360" w:lineRule="auto"/>
              <w:rPr>
                <w:rFonts w:hint="eastAsia" w:ascii="宋体" w:hAnsi="宋体" w:cs="宋体"/>
                <w:b/>
                <w:bCs/>
                <w:color w:val="auto"/>
                <w:kern w:val="0"/>
                <w:highlight w:val="none"/>
                <w:lang w:eastAsia="zh-CN"/>
              </w:rPr>
            </w:pPr>
            <w:r>
              <w:rPr>
                <w:rFonts w:hint="eastAsia" w:ascii="宋体" w:hAnsi="宋体" w:cs="宋体"/>
                <w:b/>
                <w:bCs/>
                <w:color w:val="auto"/>
                <w:kern w:val="0"/>
                <w:highlight w:val="none"/>
                <w:lang w:val="en-US" w:eastAsia="zh-CN"/>
              </w:rPr>
              <w:t>标项二：</w:t>
            </w:r>
            <w:r>
              <w:rPr>
                <w:rFonts w:hint="eastAsia" w:ascii="宋体" w:hAnsi="宋体" w:cs="宋体"/>
                <w:b/>
                <w:bCs/>
                <w:color w:val="auto"/>
                <w:kern w:val="0"/>
                <w:highlight w:val="none"/>
              </w:rPr>
              <w:t>同签订之日起</w:t>
            </w:r>
            <w:r>
              <w:rPr>
                <w:rFonts w:hint="eastAsia" w:ascii="宋体" w:hAnsi="宋体" w:cs="宋体"/>
                <w:b/>
                <w:bCs/>
                <w:color w:val="auto"/>
                <w:kern w:val="0"/>
                <w:highlight w:val="none"/>
                <w:u w:val="single"/>
                <w:lang w:val="en-US" w:eastAsia="zh-CN"/>
              </w:rPr>
              <w:t>3个月</w:t>
            </w:r>
            <w:r>
              <w:rPr>
                <w:rFonts w:hint="eastAsia" w:ascii="宋体" w:hAnsi="宋体" w:cs="宋体"/>
                <w:b/>
                <w:bCs/>
                <w:color w:val="auto"/>
                <w:kern w:val="0"/>
                <w:highlight w:val="none"/>
              </w:rPr>
              <w:t>内</w:t>
            </w:r>
            <w:r>
              <w:rPr>
                <w:rFonts w:hint="eastAsia" w:ascii="宋体" w:hAnsi="宋体" w:cs="宋体"/>
                <w:b/>
                <w:bCs/>
                <w:color w:val="auto"/>
                <w:kern w:val="0"/>
                <w:highlight w:val="none"/>
                <w:lang w:eastAsia="zh-CN"/>
              </w:rPr>
              <w:t>；</w:t>
            </w:r>
          </w:p>
          <w:p>
            <w:pPr>
              <w:spacing w:line="360" w:lineRule="auto"/>
              <w:rPr>
                <w:rFonts w:ascii="宋体" w:hAnsi="宋体" w:cs="宋体"/>
                <w:b/>
                <w:bCs/>
                <w:color w:val="auto"/>
                <w:kern w:val="0"/>
                <w:highlight w:val="none"/>
              </w:rPr>
            </w:pPr>
            <w:r>
              <w:rPr>
                <w:rFonts w:hint="eastAsia" w:ascii="宋体" w:hAnsi="宋体" w:cs="宋体"/>
                <w:b/>
                <w:bCs/>
                <w:color w:val="auto"/>
                <w:kern w:val="0"/>
                <w:highlight w:val="none"/>
                <w:lang w:val="en-US" w:eastAsia="zh-CN"/>
              </w:rPr>
              <w:t>标项三、四：</w:t>
            </w:r>
            <w:r>
              <w:rPr>
                <w:rFonts w:hint="eastAsia" w:ascii="宋体" w:hAnsi="宋体" w:cs="宋体"/>
                <w:b/>
                <w:bCs/>
                <w:color w:val="auto"/>
                <w:kern w:val="0"/>
                <w:highlight w:val="none"/>
              </w:rPr>
              <w:t>同签订之日起</w:t>
            </w:r>
            <w:r>
              <w:rPr>
                <w:rFonts w:hint="eastAsia" w:ascii="宋体" w:hAnsi="宋体" w:cs="宋体"/>
                <w:b/>
                <w:bCs/>
                <w:color w:val="auto"/>
                <w:kern w:val="0"/>
                <w:highlight w:val="none"/>
                <w:u w:val="single"/>
                <w:lang w:val="en-US" w:eastAsia="zh-CN"/>
              </w:rPr>
              <w:t>1个月</w:t>
            </w:r>
            <w:r>
              <w:rPr>
                <w:rFonts w:hint="eastAsia" w:ascii="宋体" w:hAnsi="宋体" w:cs="宋体"/>
                <w:b/>
                <w:bCs/>
                <w:color w:val="auto"/>
                <w:kern w:val="0"/>
                <w:highlight w:val="none"/>
              </w:rPr>
              <w:t>内。</w:t>
            </w:r>
          </w:p>
        </w:tc>
      </w:tr>
    </w:tbl>
    <w:p>
      <w:pPr>
        <w:snapToGrid w:val="0"/>
        <w:spacing w:line="360" w:lineRule="auto"/>
        <w:rPr>
          <w:rFonts w:ascii="宋体" w:hAnsi="宋体" w:cs="宋体"/>
          <w:b/>
          <w:bCs/>
          <w:color w:val="auto"/>
          <w:highlight w:val="none"/>
        </w:rPr>
      </w:pPr>
    </w:p>
    <w:p>
      <w:pPr>
        <w:snapToGrid w:val="0"/>
        <w:spacing w:line="360" w:lineRule="auto"/>
        <w:rPr>
          <w:rFonts w:ascii="宋体" w:hAnsi="宋体" w:cs="宋体"/>
          <w:b/>
          <w:bCs/>
          <w:color w:val="auto"/>
          <w:highlight w:val="none"/>
        </w:rPr>
      </w:pPr>
    </w:p>
    <w:p>
      <w:pPr>
        <w:snapToGrid w:val="0"/>
        <w:spacing w:line="360" w:lineRule="auto"/>
        <w:rPr>
          <w:rFonts w:ascii="宋体" w:hAnsi="宋体" w:cs="宋体"/>
          <w:b/>
          <w:bCs/>
          <w:color w:val="auto"/>
          <w:highlight w:val="none"/>
        </w:rPr>
      </w:pPr>
    </w:p>
    <w:p>
      <w:pPr>
        <w:snapToGrid w:val="0"/>
        <w:spacing w:line="360" w:lineRule="auto"/>
        <w:jc w:val="left"/>
        <w:rPr>
          <w:rFonts w:hint="eastAsia" w:ascii="宋体" w:hAnsi="宋体" w:cs="宋体"/>
          <w:b/>
          <w:bCs/>
          <w:color w:val="auto"/>
          <w:highlight w:val="none"/>
          <w:lang w:val="en-US" w:eastAsia="zh-CN"/>
        </w:rPr>
      </w:pPr>
    </w:p>
    <w:p>
      <w:pPr>
        <w:numPr>
          <w:ilvl w:val="0"/>
          <w:numId w:val="8"/>
        </w:numPr>
        <w:snapToGrid w:val="0"/>
        <w:spacing w:line="360" w:lineRule="auto"/>
        <w:ind w:left="0" w:leftChars="0" w:firstLine="0" w:firstLineChars="0"/>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技术需求   </w:t>
      </w: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标项一：准分子激光角膜屈光治疗机                                      数量：1套</w:t>
      </w:r>
    </w:p>
    <w:tbl>
      <w:tblPr>
        <w:tblStyle w:val="48"/>
        <w:tblW w:w="4998" w:type="pct"/>
        <w:tblInd w:w="0" w:type="dxa"/>
        <w:shd w:val="clear" w:color="auto" w:fill="auto"/>
        <w:tblLayout w:type="autofit"/>
        <w:tblCellMar>
          <w:top w:w="0" w:type="dxa"/>
          <w:left w:w="10" w:type="dxa"/>
          <w:bottom w:w="0" w:type="dxa"/>
          <w:right w:w="10" w:type="dxa"/>
        </w:tblCellMar>
      </w:tblPr>
      <w:tblGrid>
        <w:gridCol w:w="1579"/>
        <w:gridCol w:w="5843"/>
        <w:gridCol w:w="1103"/>
      </w:tblGrid>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一</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bCs/>
                <w:sz w:val="21"/>
                <w:szCs w:val="21"/>
                <w:highlight w:val="none"/>
              </w:rPr>
              <w:t>临床应用范围：</w:t>
            </w:r>
            <w:r>
              <w:rPr>
                <w:rFonts w:hint="eastAsia" w:ascii="宋体" w:hAnsi="宋体" w:eastAsia="宋体" w:cs="宋体"/>
                <w:sz w:val="21"/>
                <w:szCs w:val="21"/>
                <w:highlight w:val="none"/>
              </w:rPr>
              <w:t>屈光不正治疗（近视、远视、散光、老视）</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二</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bCs/>
                <w:sz w:val="21"/>
                <w:szCs w:val="21"/>
                <w:highlight w:val="none"/>
              </w:rPr>
              <w:t>主要技术参数：</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rPr>
              <w:t>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工作激光</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rPr>
              <w:t>★2.1.1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sz w:val="21"/>
                <w:szCs w:val="21"/>
                <w:highlight w:val="none"/>
              </w:rPr>
              <w:t>激光类型：ArF氟化氩准分子激光</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激光波长：193nm</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激光等级：4级</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激光模式：脉冲</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扫描方式：飞点扫描</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具备智能化热效应控制ITEC功能</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激光脉冲</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脉冲能量（输出光束）：14mJ</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脉冲频率：</w:t>
            </w:r>
            <w:r>
              <w:rPr>
                <w:rFonts w:hint="eastAsia" w:ascii="宋体" w:hAnsi="宋体" w:eastAsia="宋体" w:cs="宋体"/>
                <w:b w:val="0"/>
                <w:bCs/>
                <w:color w:val="000000"/>
                <w:sz w:val="21"/>
                <w:szCs w:val="21"/>
                <w:highlight w:val="none"/>
              </w:rPr>
              <w:t>≥</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50Hz</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脉冲宽度：10-15ns</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脉冲稳定度&lt;3%</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光束直径（输出）6×3mm</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光斑直径: ≤0.6mm(FWHM)</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能量分布：超高斯分布激光光斑</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瞄准光</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2.3.1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激光类型：1级</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2.3.2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激光波长：</w:t>
            </w:r>
            <w:r>
              <w:rPr>
                <w:rFonts w:hint="eastAsia" w:ascii="宋体" w:hAnsi="宋体" w:eastAsia="宋体" w:cs="宋体"/>
                <w:b w:val="0"/>
                <w:bCs/>
                <w:color w:val="000000"/>
                <w:sz w:val="21"/>
                <w:szCs w:val="21"/>
                <w:highlight w:val="none"/>
              </w:rPr>
              <w:t>≥</w:t>
            </w:r>
            <w:r>
              <w:rPr>
                <w:rFonts w:hint="eastAsia" w:ascii="宋体" w:hAnsi="宋体" w:eastAsia="宋体" w:cs="宋体"/>
                <w:b w:val="0"/>
                <w:bCs/>
                <w:sz w:val="21"/>
                <w:szCs w:val="21"/>
                <w:highlight w:val="none"/>
              </w:rPr>
              <w:t>650nm</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2.3.3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能量：&lt; 0.3 mW</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2.3.4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模式：连续</w:t>
            </w:r>
            <w:r>
              <w:rPr>
                <w:rFonts w:hint="eastAsia" w:ascii="宋体" w:hAnsi="宋体" w:eastAsia="宋体" w:cs="宋体"/>
                <w:b w:val="0"/>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定位光</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2.4.1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激光类型：1级</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2.4.2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激光波长：</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650nm</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眼球跟踪系统</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跟踪频率：</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750Hz</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总反应时间：&lt; 3 ms</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跟踪维度：x-y轴跟踪 (第1,2维)</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眼球旋转跟踪 (第3,4维)</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眼球自旋跟踪 (第5维),包括：静态眼球自旋控制SCC，动态眼球自旋控制DCC</w:t>
            </w:r>
            <w:r>
              <w:rPr>
                <w:rFonts w:hint="eastAsia" w:ascii="宋体" w:hAnsi="宋体" w:eastAsia="宋体" w:cs="宋体"/>
                <w:sz w:val="21"/>
                <w:szCs w:val="21"/>
                <w:highlight w:val="none"/>
                <w:lang w:eastAsia="zh-CN"/>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主动+被动Z轴跟踪 (第6维)</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具备瞳孔中心定位和位移补偿功能</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▲2.5.5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具备角巩膜缘识别跟踪功能</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手术设计软件：手术设计软件平台</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屈光治疗模式：Aberration-free消像差切削，角膜波前像差引导的个体化切削</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切削设计：均为非球面切削</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具备非接触、全激光一步完成上皮和基质层切削方式TransPRK</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2.10</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可选术式：PTK, PRK, TransPRK, LASEK, LASIK, Femto-LASIK</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光学区直径：4-10mm</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总切削区：最大可达10mm，过渡区：软件自动优化设定</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微粒抽吸器抽吸方式：环形层流，距角膜表面约40 mm</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手术显微镜类型:Leica五档变倍显微镜，目镜筒10-50度可调节</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工作距离：235mm</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激光腔：真空密闭激光腔</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激光气体：ArF氟化氩气体</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氮气瓶: 无需氮气冲洗</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2.19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冷却方式：空气冷却</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2.20</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激光臂：电动控制，最大旋转角度90度</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rPr>
          <w:trHeight w:val="90"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手术床：90度可旋，操作手柄可实现x-y-z轴移动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具备SPT智能脉冲技术软件</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2.23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具备PresbyMax老视矫正模块</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sz w:val="21"/>
                <w:szCs w:val="21"/>
                <w:highlight w:val="none"/>
                <w:lang w:val="en-US" w:eastAsia="zh-CN"/>
              </w:rPr>
              <w:t>三</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sz w:val="21"/>
                <w:szCs w:val="21"/>
                <w:highlight w:val="none"/>
              </w:rPr>
              <w:t>角膜地形图仪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与准分子激光仪可实现数据交换和连接使用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检查范围：≥10mmX14mm</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地形图测试环：28环，均匀分布在一个43D的球面上</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分析点数：≥80000点以上</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测量点数：≥7168</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检查结果：可获得角膜轴向屈光力图、角膜瞬时曲率图、高度图和角膜波前像差图</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分析功能：角膜波前像差、点扩散图和视力表图等</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测量范围：0.33mm-11mm，超过90%的角膜直径</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屈光测量范围：1D-120D</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3.10</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分辨率：+0.01D,1微米</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聚焦方式：人眼定位控制系统（EPCS，专利技术），自动获取偏心矫正信息</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可重复性：具备自动“可重复性评价”功能</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2280"/>
              </w:tabs>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SCC应用：可以，导出SCC图像用于准分子手术中眼位比对</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sz w:val="21"/>
                <w:szCs w:val="21"/>
                <w:highlight w:val="none"/>
              </w:rPr>
              <w:t>3.14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2280"/>
              </w:tabs>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可选配独立评估视野范围</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辅助青光眼诊断模块</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bl>
    <w:p>
      <w:pPr>
        <w:snapToGrid w:val="0"/>
        <w:spacing w:line="360" w:lineRule="auto"/>
        <w:jc w:val="left"/>
        <w:rPr>
          <w:rFonts w:hint="eastAsia" w:ascii="宋体" w:hAnsi="宋体" w:eastAsia="宋体" w:cs="宋体"/>
          <w:b/>
          <w:bCs/>
          <w:color w:val="auto"/>
          <w:sz w:val="21"/>
          <w:szCs w:val="21"/>
          <w:highlight w:val="none"/>
        </w:rPr>
      </w:pP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 </w:t>
      </w: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标项二：手术动力系统、电动颅骨钻                                      数量：1批</w:t>
      </w:r>
    </w:p>
    <w:tbl>
      <w:tblPr>
        <w:tblStyle w:val="48"/>
        <w:tblW w:w="4998" w:type="pct"/>
        <w:tblInd w:w="0" w:type="dxa"/>
        <w:shd w:val="clear" w:color="auto" w:fill="auto"/>
        <w:tblLayout w:type="autofit"/>
        <w:tblCellMar>
          <w:top w:w="0" w:type="dxa"/>
          <w:left w:w="10" w:type="dxa"/>
          <w:bottom w:w="0" w:type="dxa"/>
          <w:right w:w="10" w:type="dxa"/>
        </w:tblCellMar>
      </w:tblPr>
      <w:tblGrid>
        <w:gridCol w:w="1579"/>
        <w:gridCol w:w="5843"/>
        <w:gridCol w:w="1103"/>
      </w:tblGrid>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sz w:val="21"/>
                <w:szCs w:val="21"/>
                <w:highlight w:val="none"/>
                <w:lang w:val="en-US" w:eastAsia="zh-CN"/>
              </w:rPr>
              <w:t>一</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bCs/>
                <w:sz w:val="21"/>
                <w:szCs w:val="21"/>
                <w:highlight w:val="none"/>
              </w:rPr>
              <w:t>电动主机</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sz w:val="21"/>
                <w:szCs w:val="21"/>
                <w:highlight w:val="none"/>
              </w:rPr>
              <w:t>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sz w:val="21"/>
                <w:szCs w:val="21"/>
                <w:highlight w:val="none"/>
              </w:rPr>
              <w:t>彩色液晶屏显示；触摸屏控制；双马达接口；马达自动识别功能；术前可设定不同参数；实时显示马达转速、转动方向</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sz w:val="21"/>
                <w:szCs w:val="21"/>
                <w:highlight w:val="none"/>
              </w:rPr>
              <w:t>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highlight w:val="none"/>
              </w:rPr>
              <w:t>多语言选择，图形化操作界面，方便临床使用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val="0"/>
                <w:sz w:val="21"/>
                <w:szCs w:val="21"/>
                <w:highlight w:val="none"/>
              </w:rPr>
              <w:t>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highlight w:val="none"/>
              </w:rPr>
              <w:t>可调节转速控制，满足不同入路需求</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常用使用参数可储存</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一键式恢复出厂设置</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73"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二</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脚踏开关</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防水；可设置马达参数；可调节马达转动方向</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三</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主机－马达连接电缆</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3.1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全不锈钢接口</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 w:val="21"/>
                <w:szCs w:val="21"/>
                <w:highlight w:val="none"/>
              </w:rPr>
              <w:t>3.2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具备安全开关，可防止马达误启动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 w:val="21"/>
                <w:szCs w:val="21"/>
                <w:highlight w:val="none"/>
              </w:rPr>
              <w:t>3.3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允许使用碱性清洁剂清洁表面；可高温高压灭菌</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四</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磨钻马达手柄</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▲4.1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最高转速大于等于80000转/分钟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★4.2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马达前置，位于成角位置之前，和手柄一体式设计</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4.3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钛合金材料制造</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4.4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可高温高压灭菌</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五</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多功能马达手柄</w:t>
            </w:r>
            <w:r>
              <w:rPr>
                <w:rFonts w:hint="eastAsia" w:ascii="宋体" w:hAnsi="宋体" w:eastAsia="宋体" w:cs="宋体"/>
                <w:b/>
                <w:bCs/>
                <w:sz w:val="21"/>
                <w:szCs w:val="21"/>
                <w:highlight w:val="none"/>
                <w:lang w:val="en-US" w:eastAsia="zh-CN"/>
              </w:rPr>
              <w:t>/铣刀马达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★5.1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最高转速大于等于80000转/分钟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★5.2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马达前置，和手柄一体式设计</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5.3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钛合金材料制造</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5.4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可高温高压灭菌</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六</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脑膜（铣刀）保护鞘</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6.1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二环，与同样标志铣刀片匹配</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6.2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不锈钢材质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6.3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可高温高压灭菌</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七</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highlight w:val="none"/>
              </w:rPr>
              <w:t>多功能保护鞘</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7.1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二环，与同样标志磨头匹配</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7.2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不锈钢材质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7.3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可高温高压灭菌</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bCs/>
                <w:sz w:val="21"/>
                <w:szCs w:val="21"/>
                <w:highlight w:val="none"/>
                <w:lang w:val="en-US" w:eastAsia="zh-CN"/>
              </w:rPr>
              <w:t>八</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highlight w:val="none"/>
              </w:rPr>
              <w:t>铣刀片和磨头耗材为可重复使用设计，同一磨头可匹配所有长度手柄</w:t>
            </w:r>
            <w:r>
              <w:rPr>
                <w:rFonts w:hint="eastAsia" w:ascii="宋体" w:hAnsi="宋体" w:eastAsia="宋体" w:cs="宋体"/>
                <w:b/>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bCs/>
                <w:sz w:val="21"/>
                <w:szCs w:val="21"/>
                <w:highlight w:val="none"/>
                <w:lang w:val="en-US" w:eastAsia="zh-CN"/>
              </w:rPr>
              <w:t>九</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highlight w:val="none"/>
              </w:rPr>
              <w:t>匹配专用清洗转接头以及保养油，手柄可浸泡水洗或者机洗</w:t>
            </w:r>
            <w:r>
              <w:rPr>
                <w:rFonts w:hint="eastAsia" w:ascii="宋体" w:hAnsi="宋体" w:eastAsia="宋体" w:cs="宋体"/>
                <w:b/>
                <w:bCs/>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十</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配置清单</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电动主机2台；</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马达电缆线4根；</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脚踏开关2套；</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多功能手柄2个；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标准磨钻手柄10cm2个；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标准磨钻手柄13cm2个；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固定型铣刀保护鞘2个；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磨头套管2个；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冲洗适配器转接头2个；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10.10</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磨头、铣刀24个；</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bl>
    <w:p>
      <w:pPr>
        <w:rPr>
          <w:rFonts w:hint="eastAsia" w:ascii="宋体" w:hAnsi="宋体" w:eastAsia="宋体" w:cs="宋体"/>
          <w:color w:val="auto"/>
          <w:sz w:val="21"/>
          <w:szCs w:val="21"/>
          <w:highlight w:val="none"/>
        </w:rPr>
      </w:pP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标项三：口腔颌面锥形束计算机体层摄影设备                              数量：1套</w:t>
      </w:r>
    </w:p>
    <w:tbl>
      <w:tblPr>
        <w:tblStyle w:val="48"/>
        <w:tblW w:w="4998" w:type="pct"/>
        <w:tblInd w:w="0" w:type="dxa"/>
        <w:shd w:val="clear" w:color="auto" w:fill="auto"/>
        <w:tblLayout w:type="autofit"/>
        <w:tblCellMar>
          <w:top w:w="0" w:type="dxa"/>
          <w:left w:w="10" w:type="dxa"/>
          <w:bottom w:w="0" w:type="dxa"/>
          <w:right w:w="10" w:type="dxa"/>
        </w:tblCellMar>
      </w:tblPr>
      <w:tblGrid>
        <w:gridCol w:w="1579"/>
        <w:gridCol w:w="5843"/>
        <w:gridCol w:w="1103"/>
      </w:tblGrid>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b/>
                <w:bCs w:val="0"/>
                <w:color w:val="000000"/>
                <w:szCs w:val="21"/>
                <w:highlight w:val="none"/>
                <w:lang w:val="en-US" w:eastAsia="zh-CN"/>
              </w:rPr>
              <w:t>一</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rPr>
                <w:rFonts w:hint="eastAsia" w:ascii="宋体" w:hAnsi="宋体" w:eastAsia="宋体" w:cs="宋体"/>
                <w:b/>
                <w:bCs w:val="0"/>
                <w:color w:val="auto"/>
                <w:sz w:val="21"/>
                <w:szCs w:val="21"/>
                <w:highlight w:val="none"/>
              </w:rPr>
            </w:pPr>
            <w:r>
              <w:rPr>
                <w:rFonts w:hint="eastAsia" w:ascii="宋体" w:hAnsi="宋体"/>
                <w:b/>
                <w:bCs w:val="0"/>
                <w:color w:val="000000"/>
                <w:szCs w:val="21"/>
                <w:highlight w:val="none"/>
              </w:rPr>
              <w:t>具体技术指标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sz w:val="21"/>
                <w:szCs w:val="21"/>
                <w:highlight w:val="none"/>
                <w:lang w:eastAsia="zh-CN"/>
              </w:rPr>
            </w:pPr>
            <w:r>
              <w:rPr>
                <w:rFonts w:hint="eastAsia" w:ascii="宋体" w:hAnsi="宋体"/>
                <w:b/>
                <w:bCs w:val="0"/>
                <w:color w:val="000000"/>
                <w:szCs w:val="21"/>
                <w:highlight w:val="none"/>
              </w:rPr>
              <w:t>X射线球管技术要求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管电压：60-90KV</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最大管电流：≥ 16mA</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73"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球管焦点：≤0.5mm  固定阳极</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曝光方式：脉冲X射线（减少辐射剂量）</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rPr>
              <w:t>探测器技术要求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2D探测器：CMOS探测器，2D探测器数量≥2</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3D探测器：非晶硅动态平板探测器</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3D探测器灰阶 ：≥16 比特</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.2.4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图像最小空间像素尺寸：≤75μm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.2.5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完成所有模式扫描投照影像数据: 360组(张) ，影像获取：所有模式360度</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.2.6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2D和3D探测器可自动转换</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rPr>
              <w:t>投照及机器控制方式</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.3.1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设备主机材质为黑白色碳纤维，便于清洁养护。</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.3.2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开放式定位，可站可坐，方便轮椅患者拍摄，无反光玻璃，医患可面对面交流并进行拍摄定位，使定位更准确直观。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rPr>
              <w:t xml:space="preserve">基本成像性能 </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2D成像：</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全景扫描时间：≤13.4秒</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.4.1.2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曲断空间分辨率：≥2.5 lp/mm</w:t>
            </w:r>
            <w:r>
              <w:rPr>
                <w:rFonts w:hint="eastAsia" w:ascii="宋体" w:hAnsi="宋体"/>
                <w:bCs/>
                <w:color w:val="000000"/>
                <w:szCs w:val="21"/>
                <w:highlight w:val="none"/>
                <w:lang w:eastAsia="zh-CN"/>
              </w:rPr>
              <w:t>；</w:t>
            </w:r>
            <w:r>
              <w:rPr>
                <w:rFonts w:hint="eastAsia" w:ascii="宋体" w:hAnsi="宋体"/>
                <w:bCs/>
                <w:color w:val="000000"/>
                <w:szCs w:val="21"/>
                <w:highlight w:val="none"/>
              </w:rPr>
              <w:t>头颅：≥2.0 lp/MM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完成2D图像拍摄可以预设不同体型的患者扫描参数，也可以使用手动设置每个患者的扫描参数。</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val="0"/>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每种扫描模式都有对应的恒定放大率</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带有多达40种以上的2D图像拍摄模式：12种曲面断层拍摄模式，17种TMJ和上颌窦拍摄模式，10种头影测量拍摄模式，1种多层面全景成像模式，以适合各种病症检查。</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3D成像：</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成像范围：一次扫描所有视野360组数据以上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.4.2.2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最大三维重建视野（直径×高度）: ≥16cm x18cm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最小三维重建视野（直径×高度）：≤6cm x6cm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最小体素及最小层厚：≤75μm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空间分辨率：≥3.94 lp/mm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.4.2.6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ascii="宋体" w:hAnsi="宋体"/>
                <w:bCs/>
                <w:color w:val="000000"/>
                <w:szCs w:val="21"/>
                <w:highlight w:val="none"/>
              </w:rPr>
            </w:pPr>
            <w:r>
              <w:rPr>
                <w:rFonts w:hint="eastAsia" w:ascii="宋体" w:hAnsi="宋体"/>
                <w:bCs/>
                <w:color w:val="000000"/>
                <w:szCs w:val="21"/>
                <w:highlight w:val="none"/>
              </w:rPr>
              <w:t>带有X射线曝光儿童安全模式（SafeBeam专利技术）</w:t>
            </w:r>
          </w:p>
          <w:p>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rPr>
              <w:t>有效曝光时间：≤10.4秒</w:t>
            </w:r>
            <w:r>
              <w:rPr>
                <w:rFonts w:hint="eastAsia" w:ascii="宋体" w:hAnsi="宋体"/>
                <w:bCs/>
                <w:color w:val="000000"/>
                <w:szCs w:val="21"/>
                <w:highlight w:val="none"/>
                <w:lang w:eastAsia="zh-CN"/>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重建时间：标准模式≤15秒</w:t>
            </w:r>
            <w:r>
              <w:rPr>
                <w:rFonts w:hint="eastAsia" w:ascii="宋体" w:hAnsi="宋体"/>
                <w:bCs/>
                <w:color w:val="000000"/>
                <w:szCs w:val="21"/>
                <w:highlight w:val="none"/>
                <w:lang w:eastAsia="zh-CN"/>
              </w:rPr>
              <w:t>；</w:t>
            </w:r>
            <w:r>
              <w:rPr>
                <w:rFonts w:hint="eastAsia" w:ascii="宋体" w:hAnsi="宋体"/>
                <w:bCs/>
                <w:color w:val="000000"/>
                <w:szCs w:val="21"/>
                <w:highlight w:val="none"/>
              </w:rPr>
              <w:tab/>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.4.2.7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3D一次性成像中大视野范围(宽度×高度)：16cmx18cm，13cmx16cm，13cmx14cm，13cmx10cm，13cmx8cm，可根据临床需要任选择中大视野范围摄片</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
                <w:bCs w:val="0"/>
                <w:color w:val="000000"/>
                <w:szCs w:val="21"/>
                <w:highlight w:val="none"/>
              </w:rPr>
              <w:t>图像显示模式：</w:t>
            </w:r>
            <w:r>
              <w:rPr>
                <w:rFonts w:hint="eastAsia" w:ascii="宋体" w:hAnsi="宋体"/>
                <w:bCs/>
                <w:color w:val="000000"/>
                <w:szCs w:val="21"/>
                <w:highlight w:val="none"/>
              </w:rPr>
              <w:t>探查图像，轴面图像，单交叉截面图，交叉截面图，全景截面图，三维图像，三维重建，多维图像等。</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
                <w:bCs w:val="0"/>
                <w:color w:val="000000"/>
                <w:szCs w:val="21"/>
                <w:highlight w:val="none"/>
              </w:rPr>
              <w:t>系统标准配置软件功能:</w:t>
            </w:r>
            <w:r>
              <w:rPr>
                <w:rFonts w:hint="eastAsia" w:ascii="宋体" w:hAnsi="宋体"/>
                <w:bCs/>
                <w:color w:val="000000"/>
                <w:szCs w:val="21"/>
                <w:highlight w:val="none"/>
              </w:rPr>
              <w:t>“立体容积数据”重建功能，“容积数据”分析功能及厚度0.075mm-50mm任意轴面和角度断层的“分析数据”重建功能，具备下颌关节分析专用界面，及气道分析功能，可三维重建气道形态，测量气道容积。</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lang w:val="en-US" w:eastAsia="zh-CN"/>
              </w:rPr>
              <w:t>1</w:t>
            </w:r>
            <w:r>
              <w:rPr>
                <w:rFonts w:hint="eastAsia" w:ascii="宋体" w:hAnsi="宋体"/>
                <w:b/>
                <w:bCs w:val="0"/>
                <w:color w:val="000000"/>
                <w:szCs w:val="21"/>
                <w:highlight w:val="none"/>
              </w:rPr>
              <w:t>.7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b/>
                <w:bCs w:val="0"/>
                <w:color w:val="000000"/>
                <w:szCs w:val="21"/>
                <w:highlight w:val="none"/>
              </w:rPr>
              <w:t>计算机工作站及软件</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系统所配备工作站的主要配置和性能:</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操作系统：Windows10 Professional 64bit OS 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CPU：Intel Xeon W-2223 3.6 8M 2400 4C CPU 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内存： 16GB ECCDDR4-2666 1CPU RAM及以上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显卡：独显 4G及以上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硬盘： 120G固态 M.2 NVME及以上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硬盘： 10TB以上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光驱：16X DVDRW SATA</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.7.1.8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显示器24寸及以上</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软件</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.7.2.1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配置多用途多学科软件，免费提供软件的全部临床功能。</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软件语言为中文或英文，为多用户网络版软件，终身免费升级。</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带病人管理软件, 亦可与其它诊室管理软件一起使用。</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软件具有的自我诊断功能, 可显示机器故障的一切错误信息。</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具备可接入DICOM3.0设备和PACS系统的接入端口。</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图像可进行神经管标记，文字标记、放大，具有局部强化观察、反转、动态范围可调节、可旋转、有水平和垂直图、有边缘增强和噪声抑制功能、长度测量功能、骨密度测量功能。</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图像输出格式有DICOM、JPEG、TIF等多种。</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三维图像可在任何角度观看、放大, 可同时显示二维、三维切片。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lang w:val="en-US" w:eastAsia="zh-CN"/>
              </w:rPr>
              <w:t>1</w:t>
            </w:r>
            <w:r>
              <w:rPr>
                <w:rFonts w:hint="eastAsia" w:ascii="宋体" w:hAnsi="宋体"/>
                <w:bCs/>
                <w:color w:val="000000"/>
                <w:szCs w:val="21"/>
                <w:highlight w:val="none"/>
              </w:rPr>
              <w:t>.7.2.9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2D图像观片软件及3D图像研究软件全部开放。</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ascii="宋体" w:hAnsi="宋体"/>
                <w:b/>
                <w:bCs w:val="0"/>
                <w:color w:val="000000"/>
                <w:szCs w:val="21"/>
                <w:highlight w:val="none"/>
              </w:rPr>
              <w:t>二</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b/>
                <w:bCs w:val="0"/>
                <w:color w:val="000000"/>
                <w:szCs w:val="21"/>
                <w:highlight w:val="none"/>
              </w:rPr>
              <w:t>配置</w:t>
            </w:r>
            <w:r>
              <w:rPr>
                <w:rFonts w:hint="eastAsia" w:ascii="宋体" w:hAnsi="宋体"/>
                <w:b/>
                <w:bCs w:val="0"/>
                <w:color w:val="000000"/>
                <w:szCs w:val="21"/>
                <w:highlight w:val="none"/>
                <w:lang w:val="en-US" w:eastAsia="zh-CN"/>
              </w:rPr>
              <w:t>清单</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ascii="宋体" w:hAnsi="宋体"/>
                <w:b w:val="0"/>
                <w:bCs w:val="0"/>
                <w:color w:val="000000"/>
                <w:szCs w:val="21"/>
                <w:highlight w:val="none"/>
              </w:rPr>
              <w:t>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szCs w:val="21"/>
                <w:highlight w:val="none"/>
              </w:rPr>
              <w:t>3D+全景、侧位包括</w:t>
            </w:r>
            <w:r>
              <w:rPr>
                <w:rFonts w:hint="eastAsia" w:asciiTheme="minorEastAsia" w:hAnsiTheme="minorEastAsia"/>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cs="宋体" w:asciiTheme="minorEastAsia" w:hAnsiTheme="minorEastAsia"/>
                <w:color w:val="000000"/>
                <w:kern w:val="0"/>
                <w:szCs w:val="21"/>
                <w:highlight w:val="none"/>
              </w:rPr>
              <w:t>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widowControl/>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szCs w:val="21"/>
                <w:highlight w:val="none"/>
              </w:rPr>
              <w:t>头影测量臂1个</w:t>
            </w:r>
            <w:r>
              <w:rPr>
                <w:rFonts w:hint="eastAsia" w:asciiTheme="minorEastAsia" w:hAnsiTheme="minorEastAsia"/>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ascii="宋体" w:hAnsi="宋体"/>
                <w:bCs/>
                <w:color w:val="000000"/>
                <w:szCs w:val="21"/>
                <w:highlight w:val="none"/>
              </w:rPr>
              <w:t>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widowControl/>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szCs w:val="21"/>
                <w:highlight w:val="none"/>
              </w:rPr>
              <w:t>三维传感器1个</w:t>
            </w:r>
            <w:r>
              <w:rPr>
                <w:rFonts w:hint="eastAsia" w:asciiTheme="minorEastAsia" w:hAnsiTheme="minorEastAsia"/>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ascii="宋体" w:hAnsi="宋体"/>
                <w:bCs/>
                <w:color w:val="000000"/>
                <w:szCs w:val="21"/>
                <w:highlight w:val="none"/>
              </w:rPr>
              <w:t>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widowControl/>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szCs w:val="21"/>
                <w:highlight w:val="none"/>
              </w:rPr>
              <w:t>大二维传感器2个</w:t>
            </w:r>
            <w:r>
              <w:rPr>
                <w:rFonts w:hint="eastAsia" w:asciiTheme="minorEastAsia" w:hAnsiTheme="minorEastAsia"/>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ascii="宋体" w:hAnsi="宋体"/>
                <w:bCs/>
                <w:color w:val="000000"/>
                <w:szCs w:val="21"/>
                <w:highlight w:val="none"/>
              </w:rPr>
              <w:t>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widowControl/>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szCs w:val="21"/>
                <w:highlight w:val="none"/>
              </w:rPr>
              <w:t>扫描机架1个</w:t>
            </w:r>
            <w:r>
              <w:rPr>
                <w:rFonts w:hint="eastAsia" w:asciiTheme="minorEastAsia" w:hAnsiTheme="minorEastAsia"/>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 w:val="0"/>
                <w:bCs w:val="0"/>
                <w:color w:val="000000"/>
                <w:szCs w:val="21"/>
                <w:highlight w:val="none"/>
                <w:lang w:val="en-US" w:eastAsia="zh-CN"/>
              </w:rPr>
              <w:t>2.</w:t>
            </w:r>
            <w:r>
              <w:rPr>
                <w:rFonts w:hint="eastAsia" w:ascii="宋体" w:hAnsi="宋体"/>
                <w:bCs/>
                <w:color w:val="000000"/>
                <w:szCs w:val="21"/>
                <w:highlight w:val="none"/>
              </w:rPr>
              <w:t>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影像工作站1套</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 w:val="0"/>
                <w:bCs w:val="0"/>
                <w:color w:val="000000"/>
                <w:szCs w:val="21"/>
                <w:highlight w:val="none"/>
                <w:lang w:val="en-US" w:eastAsia="zh-CN"/>
              </w:rPr>
              <w:t>2.</w:t>
            </w:r>
            <w:r>
              <w:rPr>
                <w:rFonts w:hint="eastAsia" w:cs="宋体" w:asciiTheme="minorEastAsia" w:hAnsiTheme="minorEastAsia"/>
                <w:color w:val="000000"/>
                <w:kern w:val="0"/>
                <w:szCs w:val="21"/>
                <w:highlight w:val="none"/>
              </w:rPr>
              <w:t>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口腔数字印模仪1个（扫描精度（绝对值）≤7um ，重复精度（绝对值） ≤5μm）</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bCs/>
                <w:color w:val="000000"/>
                <w:szCs w:val="21"/>
                <w:highlight w:val="none"/>
              </w:rPr>
              <w:t>★</w:t>
            </w:r>
            <w:r>
              <w:rPr>
                <w:rFonts w:hint="eastAsia" w:ascii="宋体" w:hAnsi="宋体"/>
                <w:b w:val="0"/>
                <w:bCs w:val="0"/>
                <w:color w:val="000000"/>
                <w:szCs w:val="21"/>
                <w:highlight w:val="none"/>
                <w:lang w:val="en-US" w:eastAsia="zh-CN"/>
              </w:rPr>
              <w:t>2.</w:t>
            </w:r>
            <w:r>
              <w:rPr>
                <w:rFonts w:hint="eastAsia" w:cs="宋体" w:asciiTheme="minorEastAsia" w:hAnsiTheme="minorEastAsia"/>
                <w:color w:val="000000"/>
                <w:kern w:val="0"/>
                <w:szCs w:val="21"/>
                <w:highlight w:val="none"/>
              </w:rPr>
              <w:t>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rPr>
                <w:rFonts w:hint="eastAsia" w:ascii="宋体" w:hAnsi="宋体" w:eastAsia="宋体" w:cs="宋体"/>
                <w:color w:val="auto"/>
                <w:kern w:val="2"/>
                <w:sz w:val="21"/>
                <w:szCs w:val="21"/>
                <w:highlight w:val="none"/>
                <w:lang w:val="en-US" w:eastAsia="zh-CN" w:bidi="ar-SA"/>
              </w:rPr>
            </w:pPr>
            <w:r>
              <w:rPr>
                <w:rFonts w:hint="eastAsia" w:ascii="宋体" w:hAnsi="宋体"/>
                <w:bCs/>
                <w:color w:val="000000"/>
                <w:szCs w:val="21"/>
                <w:highlight w:val="none"/>
              </w:rPr>
              <w:t>牙科综合治疗</w:t>
            </w:r>
            <w:r>
              <w:rPr>
                <w:rFonts w:hint="eastAsia" w:ascii="宋体" w:hAnsi="宋体"/>
                <w:bCs/>
                <w:color w:val="000000"/>
                <w:szCs w:val="21"/>
                <w:highlight w:val="none"/>
                <w:lang w:val="en-US" w:eastAsia="zh-CN"/>
              </w:rPr>
              <w:t>机</w:t>
            </w:r>
            <w:r>
              <w:rPr>
                <w:rFonts w:hint="eastAsia" w:ascii="宋体" w:hAnsi="宋体"/>
                <w:bCs/>
                <w:color w:val="000000"/>
                <w:szCs w:val="21"/>
                <w:highlight w:val="none"/>
              </w:rPr>
              <w:t>5台（数字化自动水路消毒，一键实现管道冲洗、消毒液注入、静置、再冲洗全流程，无需手动逐步操作；具有断电续消功能、紧急退出、水源检测功能、防器械遗漏和防误操作智能管控功能）</w:t>
            </w:r>
            <w:r>
              <w:rPr>
                <w:rFonts w:hint="eastAsia" w:ascii="宋体" w:hAnsi="宋体"/>
                <w:bCs/>
                <w:color w:val="000000"/>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bl>
    <w:p>
      <w:pPr>
        <w:rPr>
          <w:rFonts w:hint="eastAsia" w:ascii="宋体" w:hAnsi="宋体" w:eastAsia="宋体" w:cs="宋体"/>
          <w:color w:val="auto"/>
          <w:sz w:val="21"/>
          <w:szCs w:val="21"/>
          <w:highlight w:val="none"/>
        </w:rPr>
      </w:pP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标项四：高频电刀                                                     数量：4套</w:t>
      </w:r>
    </w:p>
    <w:tbl>
      <w:tblPr>
        <w:tblStyle w:val="48"/>
        <w:tblW w:w="4998" w:type="pct"/>
        <w:tblInd w:w="0" w:type="dxa"/>
        <w:shd w:val="clear" w:color="auto" w:fill="auto"/>
        <w:tblLayout w:type="autofit"/>
        <w:tblCellMar>
          <w:top w:w="0" w:type="dxa"/>
          <w:left w:w="10" w:type="dxa"/>
          <w:bottom w:w="0" w:type="dxa"/>
          <w:right w:w="10" w:type="dxa"/>
        </w:tblCellMar>
      </w:tblPr>
      <w:tblGrid>
        <w:gridCol w:w="1579"/>
        <w:gridCol w:w="5843"/>
        <w:gridCol w:w="1103"/>
      </w:tblGrid>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sz w:val="21"/>
                <w:szCs w:val="21"/>
                <w:highlight w:val="none"/>
                <w:lang w:val="en-US" w:eastAsia="zh-CN"/>
              </w:rPr>
              <w:t>一</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sz w:val="21"/>
                <w:szCs w:val="21"/>
                <w:highlight w:val="none"/>
              </w:rPr>
              <w:t>总体要</w:t>
            </w:r>
            <w:r>
              <w:rPr>
                <w:rFonts w:hint="eastAsia" w:ascii="宋体" w:hAnsi="宋体" w:eastAsia="宋体" w:cs="宋体"/>
                <w:b/>
                <w:bCs/>
                <w:sz w:val="21"/>
                <w:szCs w:val="21"/>
                <w:highlight w:val="none"/>
                <w:lang w:val="en-US"/>
              </w:rPr>
              <w:t>求</w:t>
            </w:r>
            <w:r>
              <w:rPr>
                <w:rFonts w:hint="eastAsia" w:ascii="宋体" w:hAnsi="宋体" w:eastAsia="宋体" w:cs="宋体"/>
                <w:b/>
                <w:bCs/>
                <w:sz w:val="21"/>
                <w:szCs w:val="21"/>
                <w:highlight w:val="none"/>
                <w:lang w:val="en-US" w:eastAsia="zh-CN"/>
              </w:rPr>
              <w:t>：</w:t>
            </w:r>
            <w:r>
              <w:rPr>
                <w:rFonts w:hint="eastAsia" w:ascii="宋体" w:hAnsi="宋体" w:eastAsia="宋体" w:cs="宋体"/>
                <w:sz w:val="21"/>
                <w:szCs w:val="21"/>
                <w:highlight w:val="none"/>
                <w:lang w:val="en-US" w:eastAsia="zh-CN"/>
              </w:rPr>
              <w:t>消化内镜诊疗专用，可用于出血、血管畸形、肿瘤、息肉等病症。对大面积病变组织也能起到很好的治疗效果。</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二</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配套及参数</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电刀部分</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rPr>
          <w:trHeight w:val="473" w:hRule="atLeast"/>
        </w:trPr>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单极功能模块</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单极切割功率：0—200瓦功率可调</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1.2.1.3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单极切割模式</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切割模式≥</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种</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要求具备内镜下专用切割模式，分别适用于内镜下十二指肠乳头切开和息肉切除</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低电压设计:峰值电压≤4300V</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单极电凝功率:0—120瓦可调</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1.2.1.8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单极电凝模式:电凝输出模式≥3种</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双极功能模块</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1.2.2.</w:t>
            </w:r>
            <w:r>
              <w:rPr>
                <w:rFonts w:hint="eastAsia" w:ascii="宋体" w:hAnsi="宋体" w:eastAsia="宋体" w:cs="宋体"/>
                <w:sz w:val="21"/>
                <w:szCs w:val="21"/>
                <w:highlight w:val="none"/>
                <w:lang w:val="en-US" w:eastAsia="zh-CN"/>
              </w:rPr>
              <w:t>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双极凝血控制模式</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1.2.2.</w:t>
            </w:r>
            <w:r>
              <w:rPr>
                <w:rFonts w:hint="eastAsia" w:ascii="宋体" w:hAnsi="宋体" w:eastAsia="宋体" w:cs="宋体"/>
                <w:sz w:val="21"/>
                <w:szCs w:val="21"/>
                <w:highlight w:val="none"/>
                <w:lang w:val="en-US" w:eastAsia="zh-CN"/>
              </w:rPr>
              <w:t>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脚踏开关控制</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1.2.2.</w:t>
            </w:r>
            <w:r>
              <w:rPr>
                <w:rFonts w:hint="eastAsia" w:ascii="宋体" w:hAnsi="宋体" w:eastAsia="宋体" w:cs="宋体"/>
                <w:sz w:val="21"/>
                <w:szCs w:val="21"/>
                <w:highlight w:val="none"/>
                <w:lang w:val="en-US" w:eastAsia="zh-CN"/>
              </w:rPr>
              <w:t>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自动启动</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1.2.3</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其他功能技术要求</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1.2.3.1</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具开机自检功能</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1.2.3.2</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有最小功率输出控制系统和功率峰值补偿系统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1.2.3.4</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具备中性电极安全监测系统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1.2.3.5</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具备输出错误监测系统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1.2.3.6</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具备时间限制检测系统</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1.2.3.7</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58"/>
                <w:tab w:val="left" w:pos="770"/>
                <w:tab w:val="left" w:pos="1582"/>
              </w:tabs>
              <w:spacing w:line="360" w:lineRule="auto"/>
              <w:ind w:left="-7" w:leftChars="-19" w:hanging="33" w:hangingChars="16"/>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具备错误代码储存功能；便于远程诊断和维修</w:t>
            </w:r>
            <w:r>
              <w:rPr>
                <w:rFonts w:hint="eastAsia" w:ascii="宋体" w:hAnsi="宋体" w:eastAsia="宋体" w:cs="宋体"/>
                <w:sz w:val="21"/>
                <w:szCs w:val="21"/>
                <w:highlight w:val="none"/>
                <w:lang w:eastAsia="zh-CN"/>
              </w:rPr>
              <w:t>；</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tblPrEx>
          <w:shd w:val="clear" w:color="auto" w:fill="auto"/>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1.2.3.8</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58"/>
                <w:tab w:val="left" w:pos="770"/>
                <w:tab w:val="left" w:pos="1582"/>
              </w:tabs>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具有程序存储和程序控制功能，可存储9组程序</w:t>
            </w:r>
            <w:r>
              <w:rPr>
                <w:rFonts w:hint="eastAsia" w:ascii="宋体" w:hAnsi="宋体" w:eastAsia="宋体" w:cs="宋体"/>
                <w:sz w:val="21"/>
                <w:szCs w:val="21"/>
                <w:highlight w:val="none"/>
                <w:lang w:eastAsia="zh-CN"/>
              </w:rPr>
              <w:t>，可升级</w:t>
            </w:r>
            <w:r>
              <w:rPr>
                <w:rFonts w:hint="eastAsia" w:ascii="宋体" w:hAnsi="宋体" w:eastAsia="宋体" w:cs="宋体"/>
                <w:sz w:val="21"/>
                <w:szCs w:val="21"/>
                <w:highlight w:val="none"/>
                <w:lang w:val="en-US" w:eastAsia="zh-CN"/>
              </w:rPr>
              <w:t>氩气模块。</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 w:type="dxa"/>
            <w:bottom w:w="0" w:type="dxa"/>
            <w:right w:w="10" w:type="dxa"/>
          </w:tblCellMar>
        </w:tblPrEx>
        <w:tc>
          <w:tcPr>
            <w:tcW w:w="9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★1.2.3.9</w:t>
            </w:r>
          </w:p>
        </w:tc>
        <w:tc>
          <w:tcPr>
            <w:tcW w:w="342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left" w:pos="658"/>
                <w:tab w:val="left" w:pos="770"/>
                <w:tab w:val="left" w:pos="1582"/>
              </w:tabs>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未来可以升级氩气刀，氩气刀具有可控制电凝深度的新型氩等离子电凝 APC2。电凝</w:t>
            </w:r>
            <w:r>
              <w:rPr>
                <w:rFonts w:hint="eastAsia" w:ascii="宋体" w:hAnsi="宋体" w:eastAsia="宋体" w:cs="宋体"/>
                <w:sz w:val="21"/>
                <w:szCs w:val="21"/>
                <w:highlight w:val="none"/>
                <w:lang w:val="en-US"/>
              </w:rPr>
              <w:t>不少</w:t>
            </w:r>
            <w:r>
              <w:rPr>
                <w:rFonts w:hint="eastAsia" w:ascii="宋体" w:hAnsi="宋体" w:eastAsia="宋体" w:cs="宋体"/>
                <w:sz w:val="21"/>
                <w:szCs w:val="21"/>
                <w:highlight w:val="none"/>
                <w:lang w:val="en-US" w:eastAsia="zh-CN"/>
              </w:rPr>
              <w:t>于</w:t>
            </w:r>
            <w:r>
              <w:rPr>
                <w:rFonts w:hint="eastAsia" w:ascii="宋体" w:hAnsi="宋体" w:eastAsia="宋体" w:cs="宋体"/>
                <w:sz w:val="21"/>
                <w:szCs w:val="21"/>
                <w:highlight w:val="none"/>
              </w:rPr>
              <w:t>三种模式，其中的精细电凝模式电凝深度可以控制在1mm。</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3"/>
        <w:numPr>
          <w:ilvl w:val="0"/>
          <w:numId w:val="9"/>
        </w:numPr>
        <w:jc w:val="center"/>
        <w:rPr>
          <w:rFonts w:ascii="宋体" w:cs="宋体"/>
          <w:color w:val="auto"/>
          <w:highlight w:val="none"/>
        </w:rPr>
      </w:pPr>
      <w:r>
        <w:rPr>
          <w:rFonts w:hint="eastAsia" w:ascii="宋体" w:cs="宋体"/>
          <w:color w:val="auto"/>
          <w:highlight w:val="none"/>
        </w:rPr>
        <w:t>投标人须知</w:t>
      </w:r>
    </w:p>
    <w:p>
      <w:pPr>
        <w:snapToGrid w:val="0"/>
        <w:spacing w:before="120" w:beforeLines="50" w:after="120" w:afterLines="50" w:line="360" w:lineRule="auto"/>
        <w:ind w:left="238"/>
        <w:jc w:val="center"/>
        <w:outlineLvl w:val="1"/>
        <w:rPr>
          <w:rFonts w:ascii="宋体" w:hAnsi="宋体" w:cs="宋体"/>
          <w:color w:val="auto"/>
          <w:highlight w:val="none"/>
        </w:rPr>
      </w:pPr>
      <w:bookmarkStart w:id="73" w:name="_Toc417922226"/>
      <w:bookmarkStart w:id="74" w:name="_Toc47388318"/>
      <w:bookmarkStart w:id="75" w:name="_Toc4833"/>
      <w:r>
        <w:rPr>
          <w:rFonts w:hint="eastAsia" w:ascii="宋体" w:hAnsi="宋体" w:cs="宋体"/>
          <w:color w:val="auto"/>
          <w:highlight w:val="none"/>
        </w:rPr>
        <w:t>前附表</w:t>
      </w:r>
      <w:bookmarkEnd w:id="73"/>
      <w:bookmarkEnd w:id="74"/>
      <w:bookmarkEnd w:id="75"/>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丽水市中心医院采购准分子激光角膜屈光治疗机、手术动力系统及电动颅骨钻、口腔颌面锥形束计算机体层摄影设备、高频电刀项目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投标报价及费用：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本项目预算金额/最高限价：详见第一章公开招标采购公告。投标报价超过预算金额或最高限价的作无效标处理。</w:t>
            </w:r>
          </w:p>
          <w:p>
            <w:pPr>
              <w:spacing w:line="360" w:lineRule="auto"/>
              <w:rPr>
                <w:rFonts w:ascii="宋体" w:hAnsi="宋体" w:cs="宋体"/>
                <w:b/>
                <w:bCs/>
                <w:color w:val="auto"/>
                <w:highlight w:val="none"/>
              </w:rPr>
            </w:pPr>
            <w:r>
              <w:rPr>
                <w:rFonts w:hint="eastAsia" w:ascii="宋体" w:hAnsi="宋体" w:cs="宋体"/>
                <w:b/>
                <w:bCs/>
                <w:color w:val="auto"/>
                <w:highlight w:val="none"/>
              </w:rPr>
              <w:t>2、不论投标结果如何，投标人均应自行承担所有与投标有关的全部费用；</w:t>
            </w:r>
          </w:p>
          <w:p>
            <w:pPr>
              <w:spacing w:line="360" w:lineRule="auto"/>
              <w:rPr>
                <w:rFonts w:ascii="宋体" w:hAnsi="宋体" w:cs="宋体"/>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、招标服务费的收取标准：</w:t>
            </w:r>
          </w:p>
          <w:p>
            <w:pPr>
              <w:spacing w:line="360" w:lineRule="auto"/>
              <w:rPr>
                <w:color w:val="auto"/>
                <w:highlight w:val="none"/>
              </w:rPr>
            </w:pPr>
            <w:r>
              <w:rPr>
                <w:rFonts w:hint="eastAsia" w:ascii="宋体" w:hAnsi="宋体" w:cs="宋体"/>
                <w:color w:val="auto"/>
                <w:highlight w:val="none"/>
              </w:rPr>
              <w:t>（1）</w:t>
            </w:r>
            <w:r>
              <w:rPr>
                <w:rFonts w:hint="eastAsia" w:ascii="宋体" w:hAnsi="宋体"/>
                <w:color w:val="auto"/>
                <w:highlight w:val="none"/>
              </w:rPr>
              <w:t>参照下表中的货物收费标准下浮</w:t>
            </w:r>
            <w:r>
              <w:rPr>
                <w:rFonts w:hint="eastAsia" w:ascii="宋体" w:hAnsi="宋体"/>
                <w:color w:val="auto"/>
                <w:highlight w:val="none"/>
                <w:lang w:val="en-US" w:eastAsia="zh-CN"/>
              </w:rPr>
              <w:t>20</w:t>
            </w:r>
            <w:r>
              <w:rPr>
                <w:rFonts w:hint="eastAsia" w:ascii="宋体" w:hAnsi="宋体"/>
                <w:color w:val="auto"/>
                <w:highlight w:val="none"/>
              </w:rPr>
              <w:t>%，采用差额定率累进法按照中标通知书确定的中标总金额，向中标人收取</w:t>
            </w:r>
            <w:r>
              <w:rPr>
                <w:rFonts w:hint="eastAsia" w:ascii="宋体" w:hAnsi="宋体" w:cs="宋体"/>
                <w:color w:val="auto"/>
                <w:highlight w:val="none"/>
              </w:rPr>
              <w:t>招标服务费</w:t>
            </w:r>
            <w:r>
              <w:rPr>
                <w:rFonts w:hint="eastAsia" w:ascii="宋体" w:hAnsi="宋体"/>
                <w:color w:val="auto"/>
                <w:highlight w:val="none"/>
              </w:rPr>
              <w:t>。</w:t>
            </w:r>
          </w:p>
          <w:p>
            <w:pPr>
              <w:jc w:val="left"/>
              <w:rPr>
                <w:color w:val="auto"/>
                <w:highlight w:val="none"/>
              </w:rPr>
            </w:pPr>
            <w:r>
              <w:rPr>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（2）中标人接到本公司通知后5个工作日内向本招标公司支付招标服务费。</w:t>
            </w:r>
          </w:p>
          <w:p>
            <w:pPr>
              <w:spacing w:line="400" w:lineRule="exact"/>
              <w:rPr>
                <w:rFonts w:ascii="宋体" w:hAnsi="宋体" w:cs="宋体"/>
                <w:color w:val="auto"/>
                <w:highlight w:val="none"/>
              </w:rPr>
            </w:pPr>
            <w:r>
              <w:rPr>
                <w:rFonts w:hint="eastAsia" w:ascii="宋体" w:hAnsi="宋体" w:cs="宋体"/>
                <w:color w:val="auto"/>
                <w:highlight w:val="none"/>
              </w:rPr>
              <w:t>（3）招标服务费只收现金、银行票汇款、电汇款。</w:t>
            </w:r>
          </w:p>
          <w:p>
            <w:pPr>
              <w:spacing w:line="400" w:lineRule="exact"/>
              <w:rPr>
                <w:rFonts w:ascii="宋体" w:hAnsi="宋体" w:cs="宋体"/>
                <w:color w:val="auto"/>
                <w:highlight w:val="none"/>
              </w:rPr>
            </w:pPr>
            <w:r>
              <w:rPr>
                <w:rFonts w:hint="eastAsia" w:ascii="宋体" w:hAnsi="宋体" w:cs="宋体"/>
                <w:color w:val="auto"/>
                <w:highlight w:val="none"/>
              </w:rPr>
              <w:t>（4）招标服务费均汇入以下账户：</w:t>
            </w:r>
          </w:p>
          <w:p>
            <w:pPr>
              <w:spacing w:line="400" w:lineRule="exact"/>
              <w:rPr>
                <w:rFonts w:ascii="宋体" w:hAnsi="宋体" w:cs="宋体"/>
                <w:color w:val="auto"/>
                <w:highlight w:val="none"/>
              </w:rPr>
            </w:pPr>
            <w:r>
              <w:rPr>
                <w:rFonts w:hint="eastAsia" w:ascii="宋体" w:hAnsi="宋体" w:cs="宋体"/>
                <w:color w:val="auto"/>
                <w:highlight w:val="none"/>
              </w:rPr>
              <w:t>开户银行：宁波银行丽水分行</w:t>
            </w:r>
          </w:p>
          <w:p>
            <w:pPr>
              <w:spacing w:line="400" w:lineRule="exact"/>
              <w:rPr>
                <w:rFonts w:ascii="宋体" w:hAnsi="宋体" w:cs="宋体"/>
                <w:color w:val="auto"/>
                <w:highlight w:val="none"/>
              </w:rPr>
            </w:pPr>
            <w:r>
              <w:rPr>
                <w:rFonts w:hint="eastAsia" w:ascii="宋体" w:hAnsi="宋体" w:cs="宋体"/>
                <w:color w:val="auto"/>
                <w:highlight w:val="none"/>
              </w:rPr>
              <w:t>帐号：90010122000220378</w:t>
            </w:r>
          </w:p>
          <w:p>
            <w:pPr>
              <w:spacing w:line="360" w:lineRule="auto"/>
              <w:rPr>
                <w:rFonts w:ascii="宋体" w:hAnsi="宋体" w:cs="宋体"/>
                <w:color w:val="auto"/>
                <w:highlight w:val="none"/>
              </w:rPr>
            </w:pPr>
            <w:r>
              <w:rPr>
                <w:rFonts w:hint="eastAsia" w:ascii="宋体" w:hAnsi="宋体" w:cs="宋体"/>
                <w:color w:val="auto"/>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color w:val="auto"/>
                <w:highlight w:val="none"/>
                <w:lang w:eastAsia="zh-CN"/>
              </w:rPr>
            </w:pPr>
            <w:r>
              <w:rPr>
                <w:rFonts w:hint="eastAsia" w:ascii="宋体" w:hAnsi="宋体" w:cs="宋体"/>
                <w:color w:val="auto"/>
                <w:highlight w:val="none"/>
              </w:rPr>
              <w:t>投标保证金：无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（1）供应商于“政采云”上提供电子加密投标文件。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（2）以电子邮件提供的备份电子投标文件数量1份。（自行决定，非必须要求）</w:t>
            </w:r>
          </w:p>
          <w:p>
            <w:pPr>
              <w:snapToGrid w:val="0"/>
              <w:spacing w:line="360" w:lineRule="auto"/>
              <w:rPr>
                <w:rFonts w:ascii="宋体" w:hAnsi="宋体" w:cs="宋体"/>
                <w:color w:val="auto"/>
                <w:highlight w:val="none"/>
              </w:rPr>
            </w:pPr>
            <w:r>
              <w:rPr>
                <w:rFonts w:hint="eastAsia" w:ascii="宋体" w:hAnsi="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投标截止时间及地点：详见第一章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开标时间及地点：详见第一章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评标办法及评分标准：详见第四章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评标结果公示：评标结束后，评标结果公示于浙江省政府采购网，宁波中基国际招标有限公司网站</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签订合同时间：中标通知书发出后30日内</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履约保证金金额：不适用</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14</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b/>
                <w:bCs/>
                <w:color w:val="auto"/>
                <w:highlight w:val="none"/>
              </w:rPr>
              <w:t>不同投标人的投标文件出自同一终端设备或在相同Internet主机分配地址（相同IP地址）网上报名投标的作无效标处理。</w:t>
            </w:r>
          </w:p>
        </w:tc>
      </w:tr>
    </w:tbl>
    <w:p>
      <w:pPr>
        <w:snapToGrid w:val="0"/>
        <w:spacing w:line="360" w:lineRule="auto"/>
        <w:jc w:val="left"/>
        <w:rPr>
          <w:rFonts w:ascii="宋体" w:cs="宋体"/>
          <w:color w:val="auto"/>
          <w:highlight w:val="none"/>
        </w:rPr>
        <w:sectPr>
          <w:pgSz w:w="11906" w:h="16838"/>
          <w:pgMar w:top="1474" w:right="1797" w:bottom="1247" w:left="1797" w:header="851" w:footer="851" w:gutter="0"/>
          <w:cols w:space="720" w:num="1"/>
          <w:docGrid w:type="lines" w:linePitch="312" w:charSpace="0"/>
        </w:sectPr>
      </w:pPr>
      <w:r>
        <w:rPr>
          <w:rFonts w:hint="eastAsia" w:hAnsi="宋体"/>
          <w:color w:val="auto"/>
          <w:highlight w:val="none"/>
        </w:rPr>
        <w:br w:type="page"/>
      </w:r>
    </w:p>
    <w:bookmarkEnd w:id="71"/>
    <w:bookmarkEnd w:id="72"/>
    <w:p>
      <w:pPr>
        <w:pStyle w:val="26"/>
        <w:snapToGrid w:val="0"/>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一   总  则</w:t>
      </w:r>
    </w:p>
    <w:p>
      <w:pPr>
        <w:snapToGrid w:val="0"/>
        <w:spacing w:line="360" w:lineRule="auto"/>
        <w:ind w:firstLine="413" w:firstLineChars="196"/>
        <w:jc w:val="left"/>
        <w:outlineLvl w:val="1"/>
        <w:rPr>
          <w:rFonts w:ascii="宋体" w:hAnsi="宋体" w:cs="宋体"/>
          <w:b/>
          <w:bCs/>
          <w:color w:val="auto"/>
          <w:highlight w:val="none"/>
        </w:rPr>
      </w:pPr>
      <w:bookmarkStart w:id="76" w:name="_Toc609"/>
      <w:bookmarkStart w:id="77" w:name="_Toc47388319"/>
      <w:bookmarkStart w:id="78" w:name="_Toc417922227"/>
      <w:r>
        <w:rPr>
          <w:rFonts w:hint="eastAsia" w:ascii="宋体" w:hAnsi="宋体" w:cs="宋体"/>
          <w:b/>
          <w:bCs/>
          <w:color w:val="auto"/>
          <w:highlight w:val="none"/>
        </w:rPr>
        <w:t>（一） 适用范围</w:t>
      </w:r>
      <w:bookmarkEnd w:id="76"/>
      <w:bookmarkEnd w:id="77"/>
      <w:bookmarkEnd w:id="78"/>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本招标文件适用</w:t>
      </w:r>
      <w:r>
        <w:rPr>
          <w:rFonts w:hint="eastAsia" w:ascii="宋体" w:hAnsi="宋体" w:cs="宋体"/>
          <w:color w:val="auto"/>
          <w:highlight w:val="none"/>
          <w:lang w:eastAsia="zh-CN"/>
        </w:rPr>
        <w:t>丽水市中心医院采购准分子激光角膜屈光治疗机、手术动力系统及电动颅骨钻、口腔颌面锥形束计算机体层摄影设备、高频电刀项目</w:t>
      </w:r>
      <w:r>
        <w:rPr>
          <w:rFonts w:hint="eastAsia" w:ascii="宋体" w:hAnsi="宋体" w:cs="宋体"/>
          <w:color w:val="auto"/>
          <w:highlight w:val="none"/>
        </w:rPr>
        <w:t>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cs="宋体"/>
          <w:b/>
          <w:bCs/>
          <w:color w:val="auto"/>
          <w:highlight w:val="none"/>
        </w:rPr>
      </w:pPr>
      <w:bookmarkStart w:id="79" w:name="_Toc24971"/>
      <w:bookmarkStart w:id="80" w:name="_Toc417922228"/>
      <w:bookmarkStart w:id="81" w:name="_Toc47388320"/>
      <w:r>
        <w:rPr>
          <w:rFonts w:hint="eastAsia" w:ascii="宋体" w:hAnsi="宋体" w:cs="宋体"/>
          <w:b/>
          <w:bCs/>
          <w:color w:val="auto"/>
          <w:highlight w:val="none"/>
        </w:rPr>
        <w:t>（二）定义</w:t>
      </w:r>
      <w:bookmarkEnd w:id="79"/>
      <w:bookmarkEnd w:id="80"/>
      <w:bookmarkEnd w:id="81"/>
    </w:p>
    <w:p>
      <w:pPr>
        <w:snapToGrid w:val="0"/>
        <w:spacing w:before="120" w:beforeLines="50" w:line="360" w:lineRule="auto"/>
        <w:ind w:firstLine="411" w:firstLineChars="196"/>
        <w:jc w:val="left"/>
        <w:outlineLvl w:val="1"/>
        <w:rPr>
          <w:rFonts w:ascii="宋体" w:hAnsi="宋体" w:cs="宋体"/>
          <w:color w:val="auto"/>
          <w:highlight w:val="none"/>
        </w:rPr>
      </w:pPr>
      <w:bookmarkStart w:id="82" w:name="_Toc31362"/>
      <w:bookmarkStart w:id="83" w:name="_Toc47388321"/>
      <w:bookmarkStart w:id="84" w:name="_Toc417922229"/>
      <w:r>
        <w:rPr>
          <w:rFonts w:hint="eastAsia" w:ascii="宋体" w:hAnsi="宋体" w:cs="宋体"/>
          <w:color w:val="auto"/>
          <w:highlight w:val="none"/>
        </w:rPr>
        <w:t>1. 招标采购单位系指组织本次招标的代理机构和采购单位。</w:t>
      </w:r>
      <w:bookmarkEnd w:id="82"/>
      <w:bookmarkEnd w:id="83"/>
    </w:p>
    <w:p>
      <w:pPr>
        <w:snapToGrid w:val="0"/>
        <w:spacing w:before="120" w:beforeLines="50" w:line="360" w:lineRule="auto"/>
        <w:ind w:firstLine="411" w:firstLineChars="196"/>
        <w:jc w:val="left"/>
        <w:outlineLvl w:val="1"/>
        <w:rPr>
          <w:rFonts w:ascii="宋体" w:hAnsi="宋体" w:cs="宋体"/>
          <w:color w:val="auto"/>
          <w:highlight w:val="none"/>
        </w:rPr>
      </w:pPr>
      <w:bookmarkStart w:id="85" w:name="_Toc47388322"/>
      <w:bookmarkStart w:id="86" w:name="_Toc3566"/>
      <w:r>
        <w:rPr>
          <w:rFonts w:hint="eastAsia" w:ascii="宋体" w:hAnsi="宋体" w:cs="宋体"/>
          <w:color w:val="auto"/>
          <w:highlight w:val="none"/>
        </w:rPr>
        <w:t>2.“投标人”系指向招标方提交投标文件的单位。</w:t>
      </w:r>
      <w:bookmarkEnd w:id="85"/>
      <w:bookmarkEnd w:id="86"/>
    </w:p>
    <w:p>
      <w:pPr>
        <w:snapToGrid w:val="0"/>
        <w:spacing w:before="120" w:beforeLines="50" w:line="360" w:lineRule="auto"/>
        <w:ind w:firstLine="411" w:firstLineChars="196"/>
        <w:jc w:val="left"/>
        <w:outlineLvl w:val="1"/>
        <w:rPr>
          <w:rFonts w:ascii="宋体" w:hAnsi="宋体" w:cs="宋体"/>
          <w:color w:val="auto"/>
          <w:highlight w:val="none"/>
        </w:rPr>
      </w:pPr>
      <w:bookmarkStart w:id="87" w:name="_Toc47388323"/>
      <w:bookmarkStart w:id="88" w:name="_Toc29602"/>
      <w:r>
        <w:rPr>
          <w:rFonts w:hint="eastAsia" w:ascii="宋体" w:hAnsi="宋体" w:cs="宋体"/>
          <w:color w:val="auto"/>
          <w:highlight w:val="none"/>
        </w:rPr>
        <w:t>3.“服务”系指招标文件规定投标人须承担的服务。</w:t>
      </w:r>
      <w:bookmarkEnd w:id="87"/>
      <w:bookmarkEnd w:id="88"/>
    </w:p>
    <w:p>
      <w:pPr>
        <w:snapToGrid w:val="0"/>
        <w:spacing w:before="120" w:beforeLines="50" w:line="360" w:lineRule="auto"/>
        <w:ind w:firstLine="411" w:firstLineChars="196"/>
        <w:jc w:val="left"/>
        <w:outlineLvl w:val="1"/>
        <w:rPr>
          <w:rFonts w:ascii="宋体" w:hAnsi="宋体" w:cs="宋体"/>
          <w:color w:val="auto"/>
          <w:highlight w:val="none"/>
        </w:rPr>
      </w:pPr>
      <w:bookmarkStart w:id="89" w:name="_Toc47388324"/>
      <w:bookmarkStart w:id="90" w:name="_Toc29129"/>
      <w:r>
        <w:rPr>
          <w:rFonts w:hint="eastAsia" w:ascii="宋体" w:hAnsi="宋体" w:cs="宋体"/>
          <w:color w:val="auto"/>
          <w:highlight w:val="none"/>
        </w:rPr>
        <w:t>4.“项目”系指投标人按招标文件规定向采购人提供的货物和服务。</w:t>
      </w:r>
      <w:bookmarkEnd w:id="89"/>
      <w:bookmarkEnd w:id="90"/>
    </w:p>
    <w:p>
      <w:pPr>
        <w:snapToGrid w:val="0"/>
        <w:spacing w:before="120" w:beforeLines="50" w:line="360" w:lineRule="auto"/>
        <w:ind w:firstLine="411" w:firstLineChars="196"/>
        <w:jc w:val="left"/>
        <w:outlineLvl w:val="1"/>
        <w:rPr>
          <w:rFonts w:ascii="宋体" w:hAnsi="宋体" w:cs="宋体"/>
          <w:color w:val="auto"/>
          <w:highlight w:val="none"/>
        </w:rPr>
      </w:pPr>
      <w:bookmarkStart w:id="91" w:name="_Toc47388325"/>
      <w:bookmarkStart w:id="92" w:name="_Toc31744"/>
      <w:r>
        <w:rPr>
          <w:rFonts w:hint="eastAsia" w:ascii="宋体" w:hAnsi="宋体" w:cs="宋体"/>
          <w:color w:val="auto"/>
          <w:highlight w:val="none"/>
        </w:rPr>
        <w:t>5.“书面形式”包括信函、传真、电报等。</w:t>
      </w:r>
      <w:bookmarkEnd w:id="91"/>
      <w:bookmarkEnd w:id="92"/>
    </w:p>
    <w:p>
      <w:pPr>
        <w:snapToGrid w:val="0"/>
        <w:spacing w:before="120" w:beforeLines="50" w:line="360" w:lineRule="auto"/>
        <w:ind w:firstLine="411" w:firstLineChars="196"/>
        <w:jc w:val="left"/>
        <w:outlineLvl w:val="1"/>
        <w:rPr>
          <w:rFonts w:ascii="宋体" w:hAnsi="宋体" w:cs="宋体"/>
          <w:color w:val="auto"/>
          <w:highlight w:val="none"/>
        </w:rPr>
      </w:pPr>
      <w:bookmarkStart w:id="93" w:name="_Toc22539"/>
      <w:bookmarkStart w:id="94" w:name="_Toc47388326"/>
      <w:r>
        <w:rPr>
          <w:rFonts w:hint="eastAsia" w:ascii="宋体" w:hAnsi="宋体" w:cs="宋体"/>
          <w:color w:val="auto"/>
          <w:highlight w:val="none"/>
        </w:rPr>
        <w:t>6. “★”系指实质性要求条款。</w:t>
      </w:r>
      <w:bookmarkEnd w:id="93"/>
      <w:bookmarkEnd w:id="94"/>
    </w:p>
    <w:p>
      <w:pPr>
        <w:snapToGrid w:val="0"/>
        <w:spacing w:before="120" w:beforeLines="50" w:line="360" w:lineRule="auto"/>
        <w:ind w:firstLine="413" w:firstLineChars="196"/>
        <w:jc w:val="left"/>
        <w:outlineLvl w:val="1"/>
        <w:rPr>
          <w:rFonts w:ascii="宋体" w:hAnsi="宋体" w:cs="宋体"/>
          <w:b/>
          <w:bCs/>
          <w:color w:val="auto"/>
          <w:highlight w:val="none"/>
        </w:rPr>
      </w:pPr>
      <w:bookmarkStart w:id="95" w:name="_Toc47388327"/>
      <w:bookmarkStart w:id="96" w:name="_Toc31175"/>
      <w:r>
        <w:rPr>
          <w:rFonts w:hint="eastAsia" w:ascii="宋体" w:hAnsi="宋体" w:cs="宋体"/>
          <w:b/>
          <w:bCs/>
          <w:color w:val="auto"/>
          <w:highlight w:val="none"/>
        </w:rPr>
        <w:t>（三）招标方式</w:t>
      </w:r>
      <w:bookmarkEnd w:id="84"/>
      <w:bookmarkEnd w:id="95"/>
      <w:bookmarkEnd w:id="96"/>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本次招标采用公开招标方式进行。</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97" w:name="_Toc417922230"/>
      <w:bookmarkStart w:id="98" w:name="_Toc16683"/>
      <w:bookmarkStart w:id="99" w:name="_Toc47388328"/>
      <w:r>
        <w:rPr>
          <w:rFonts w:hint="eastAsia" w:ascii="宋体" w:hAnsi="宋体" w:cs="宋体"/>
          <w:b/>
          <w:bCs/>
          <w:color w:val="auto"/>
          <w:highlight w:val="none"/>
        </w:rPr>
        <w:t>（四）投标委托</w:t>
      </w:r>
      <w:bookmarkEnd w:id="97"/>
      <w:bookmarkEnd w:id="98"/>
      <w:bookmarkEnd w:id="99"/>
    </w:p>
    <w:p>
      <w:pPr>
        <w:pStyle w:val="21"/>
        <w:snapToGrid w:val="0"/>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100" w:name="_Toc15019"/>
      <w:bookmarkStart w:id="101" w:name="_Toc47388329"/>
      <w:bookmarkStart w:id="102" w:name="_Toc417922231"/>
      <w:r>
        <w:rPr>
          <w:rFonts w:hint="eastAsia" w:ascii="宋体" w:hAnsi="宋体" w:cs="宋体"/>
          <w:b/>
          <w:bCs/>
          <w:color w:val="auto"/>
          <w:highlight w:val="none"/>
        </w:rPr>
        <w:t>（五）投标费用</w:t>
      </w:r>
      <w:bookmarkEnd w:id="100"/>
      <w:bookmarkEnd w:id="101"/>
      <w:bookmarkEnd w:id="102"/>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（六）联合体投标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（4）联合体各方应当共同与招标人签订采购合同，就采购合同约定的事项对招标人承担连带责任。</w:t>
      </w:r>
    </w:p>
    <w:p>
      <w:pPr>
        <w:snapToGrid w:val="0"/>
        <w:spacing w:before="120" w:beforeLines="50" w:line="360" w:lineRule="auto"/>
        <w:ind w:firstLine="413" w:firstLineChars="196"/>
        <w:jc w:val="left"/>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pPr>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本项目不允许转包，经采购人同意，允许分包。</w:t>
      </w:r>
    </w:p>
    <w:p>
      <w:pPr>
        <w:spacing w:line="360" w:lineRule="auto"/>
        <w:jc w:val="left"/>
        <w:rPr>
          <w:rFonts w:ascii="宋体" w:hAnsi="宋体" w:cs="宋体"/>
          <w:b/>
          <w:bCs/>
          <w:color w:val="auto"/>
          <w:highlight w:val="none"/>
        </w:rPr>
      </w:pPr>
      <w:bookmarkStart w:id="103" w:name="_Toc417922232"/>
      <w:r>
        <w:rPr>
          <w:rFonts w:hint="eastAsia" w:ascii="宋体" w:hAnsi="宋体" w:cs="宋体"/>
          <w:b/>
          <w:bCs/>
          <w:color w:val="auto"/>
          <w:highlight w:val="none"/>
        </w:rPr>
        <w:t xml:space="preserve">   （八）特别说明：</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pPr>
        <w:pStyle w:val="26"/>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r>
        <w:rPr>
          <w:rFonts w:hint="eastAsia" w:hAnsi="宋体"/>
          <w:b/>
          <w:bCs/>
          <w:color w:val="auto"/>
          <w:sz w:val="21"/>
          <w:szCs w:val="21"/>
          <w:highlight w:val="none"/>
        </w:rPr>
        <w:t xml:space="preserve"> </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（九）、关于分公司投标</w:t>
      </w:r>
    </w:p>
    <w:p>
      <w:pPr>
        <w:pStyle w:val="26"/>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（十）、关于知识产权</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pPr>
        <w:pStyle w:val="26"/>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6"/>
        <w:widowControl/>
        <w:spacing w:beforeLines="0" w:afterLines="0" w:line="360" w:lineRule="auto"/>
        <w:ind w:firstLine="422" w:firstLineChars="200"/>
        <w:jc w:val="left"/>
        <w:rPr>
          <w:rFonts w:hAnsi="宋体"/>
          <w:b/>
          <w:bCs/>
          <w:color w:val="auto"/>
          <w:sz w:val="21"/>
          <w:szCs w:val="21"/>
          <w:highlight w:val="none"/>
        </w:rPr>
      </w:pPr>
      <w:r>
        <w:rPr>
          <w:rFonts w:hint="eastAsia" w:hAnsi="宋体"/>
          <w:b/>
          <w:bCs/>
          <w:color w:val="auto"/>
          <w:sz w:val="21"/>
          <w:szCs w:val="21"/>
          <w:highlight w:val="none"/>
        </w:rPr>
        <w:t>（十一）、质疑和投诉</w:t>
      </w:r>
    </w:p>
    <w:p>
      <w:pPr>
        <w:pStyle w:val="26"/>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6"/>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6"/>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6"/>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6"/>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03"/>
      <w:bookmarkStart w:id="104" w:name="_Toc417922237"/>
    </w:p>
    <w:p>
      <w:pPr>
        <w:pStyle w:val="26"/>
        <w:snapToGrid w:val="0"/>
        <w:spacing w:beforeLines="0" w:afterLines="0" w:line="360" w:lineRule="auto"/>
        <w:ind w:firstLine="413" w:firstLineChars="196"/>
        <w:jc w:val="left"/>
        <w:outlineLvl w:val="0"/>
        <w:rPr>
          <w:rFonts w:hAnsi="宋体"/>
          <w:b/>
          <w:bCs/>
          <w:color w:val="auto"/>
          <w:sz w:val="21"/>
          <w:szCs w:val="21"/>
          <w:highlight w:val="none"/>
        </w:rPr>
      </w:pPr>
      <w:bookmarkStart w:id="105" w:name="_Toc47388330"/>
      <w:bookmarkStart w:id="106" w:name="_Toc7892"/>
      <w:r>
        <w:rPr>
          <w:rFonts w:hint="eastAsia" w:hAnsi="宋体"/>
          <w:b/>
          <w:bCs/>
          <w:color w:val="auto"/>
          <w:sz w:val="21"/>
          <w:szCs w:val="21"/>
          <w:highlight w:val="none"/>
        </w:rPr>
        <w:t>二  招标文件</w:t>
      </w:r>
      <w:bookmarkEnd w:id="104"/>
      <w:bookmarkEnd w:id="105"/>
      <w:bookmarkEnd w:id="106"/>
    </w:p>
    <w:p>
      <w:pPr>
        <w:snapToGrid w:val="0"/>
        <w:spacing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1.招标公告</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2.招标需求</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3.投标人须知</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4.评标办法及标准</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5.合同主要条款</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6.投标文件格式</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7.本项目招标文件的澄清、答复、修改、补充的内容</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（二）投标人的风险</w:t>
      </w:r>
    </w:p>
    <w:p>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40"/>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3"/>
        <w:widowControl w:val="0"/>
        <w:tabs>
          <w:tab w:val="clear" w:pos="454"/>
        </w:tabs>
        <w:snapToGrid w:val="0"/>
        <w:spacing w:before="120" w:beforeLines="50" w:afterLines="0" w:line="360" w:lineRule="auto"/>
        <w:ind w:left="0"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pPr>
        <w:pStyle w:val="40"/>
        <w:widowControl/>
        <w:snapToGrid/>
        <w:spacing w:line="360" w:lineRule="auto"/>
        <w:ind w:firstLine="420"/>
        <w:rPr>
          <w:rFonts w:ascii="宋体" w:eastAsia="宋体" w:cs="宋体"/>
          <w:color w:val="auto"/>
          <w:sz w:val="21"/>
          <w:szCs w:val="21"/>
          <w:highlight w:val="none"/>
        </w:rPr>
      </w:pPr>
      <w:bookmarkStart w:id="107"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40"/>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6"/>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6"/>
        <w:snapToGrid w:val="0"/>
        <w:spacing w:beforeLines="0" w:afterLines="0" w:line="360" w:lineRule="auto"/>
        <w:ind w:firstLine="413" w:firstLineChars="196"/>
        <w:jc w:val="left"/>
        <w:outlineLvl w:val="1"/>
        <w:rPr>
          <w:rFonts w:hAnsi="宋体"/>
          <w:b/>
          <w:bCs/>
          <w:color w:val="auto"/>
          <w:sz w:val="21"/>
          <w:szCs w:val="21"/>
          <w:highlight w:val="none"/>
        </w:rPr>
      </w:pPr>
      <w:bookmarkStart w:id="108" w:name="_Toc47388331"/>
      <w:bookmarkStart w:id="109" w:name="_Toc327"/>
      <w:r>
        <w:rPr>
          <w:rFonts w:hint="eastAsia" w:hAnsi="宋体"/>
          <w:b/>
          <w:bCs/>
          <w:color w:val="auto"/>
          <w:sz w:val="21"/>
          <w:szCs w:val="21"/>
          <w:highlight w:val="none"/>
        </w:rPr>
        <w:t>三、投标文件的编制</w:t>
      </w:r>
      <w:bookmarkEnd w:id="107"/>
      <w:bookmarkEnd w:id="108"/>
      <w:bookmarkEnd w:id="109"/>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（一）投标文件的组成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投标文件至少包含以下部分：</w:t>
      </w:r>
    </w:p>
    <w:p>
      <w:pPr>
        <w:snapToGrid w:val="0"/>
        <w:spacing w:line="360" w:lineRule="auto"/>
        <w:jc w:val="left"/>
        <w:rPr>
          <w:rFonts w:ascii="宋体" w:hAnsi="宋体" w:cs="宋体"/>
          <w:b/>
          <w:bCs/>
          <w:color w:val="auto"/>
          <w:highlight w:val="none"/>
        </w:rPr>
      </w:pPr>
      <w:bookmarkStart w:id="110" w:name="_Hlk105610750"/>
      <w:bookmarkStart w:id="111" w:name="_Toc47388342"/>
      <w:bookmarkStart w:id="112" w:name="_Toc417922239"/>
      <w:r>
        <w:rPr>
          <w:rFonts w:hint="eastAsia" w:ascii="宋体" w:hAnsi="宋体" w:cs="宋体"/>
          <w:b/>
          <w:bCs/>
          <w:color w:val="auto"/>
          <w:highlight w:val="none"/>
        </w:rPr>
        <w:t>1.报价文件：</w:t>
      </w:r>
    </w:p>
    <w:p>
      <w:pPr>
        <w:numPr>
          <w:ilvl w:val="0"/>
          <w:numId w:val="10"/>
        </w:numPr>
        <w:tabs>
          <w:tab w:val="left" w:pos="518"/>
          <w:tab w:val="left" w:pos="840"/>
        </w:tabs>
        <w:spacing w:line="360" w:lineRule="auto"/>
        <w:rPr>
          <w:rFonts w:ascii="宋体" w:hAnsi="宋体" w:cs="宋体"/>
          <w:color w:val="auto"/>
          <w:highlight w:val="none"/>
        </w:rPr>
      </w:pPr>
      <w:r>
        <w:rPr>
          <w:rFonts w:hint="eastAsia" w:ascii="宋体" w:hAnsi="宋体" w:cs="宋体"/>
          <w:color w:val="auto"/>
          <w:highlight w:val="none"/>
        </w:rPr>
        <w:t xml:space="preserve">投标函（格式详见第六章投标文件格式）； </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开标一览表（格式详见第六章投标文件格式）；</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投标报价明细表（格式详见第六章投标文件格式）；</w:t>
      </w:r>
    </w:p>
    <w:p>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color w:val="auto"/>
          <w:highlight w:val="none"/>
        </w:rPr>
        <w:t>中小企业声明函（格式详见第六章投标文件格式，如是请提供）；</w:t>
      </w:r>
    </w:p>
    <w:p>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highlight w:val="none"/>
        </w:rPr>
        <w:t>供应商为监狱企业的证明文件：省级以上监狱管理局、戒毒管理局（含新疆生产建设兵团）出具</w:t>
      </w:r>
      <w:r>
        <w:rPr>
          <w:rFonts w:hint="eastAsia" w:ascii="宋体" w:hAnsi="宋体" w:cs="宋体"/>
          <w:highlight w:val="none"/>
          <w:lang w:eastAsia="zh-CN"/>
        </w:rPr>
        <w:t>（</w:t>
      </w:r>
      <w:r>
        <w:rPr>
          <w:rFonts w:hint="eastAsia" w:ascii="宋体" w:hAnsi="宋体" w:cs="宋体"/>
          <w:highlight w:val="none"/>
        </w:rPr>
        <w:t>如</w:t>
      </w:r>
      <w:r>
        <w:rPr>
          <w:rFonts w:hint="eastAsia" w:ascii="宋体" w:hAnsi="宋体" w:cs="宋体"/>
          <w:highlight w:val="none"/>
          <w:lang w:val="en-US" w:eastAsia="zh-CN"/>
        </w:rPr>
        <w:t>是</w:t>
      </w:r>
      <w:r>
        <w:rPr>
          <w:rFonts w:hint="eastAsia" w:ascii="宋体" w:hAnsi="宋体" w:cs="宋体"/>
          <w:highlight w:val="none"/>
        </w:rPr>
        <w:t>请提供</w:t>
      </w:r>
      <w:r>
        <w:rPr>
          <w:rFonts w:hint="eastAsia" w:ascii="宋体" w:hAnsi="宋体" w:cs="宋体"/>
          <w:highlight w:val="none"/>
          <w:lang w:eastAsia="zh-CN"/>
        </w:rPr>
        <w:t>）；</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残疾人福利性单位声明函（格式详见第六章投标文件格式，如是请提供）；</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投标人针对报价需要说明的其他文件和说明。</w:t>
      </w:r>
    </w:p>
    <w:p>
      <w:pPr>
        <w:tabs>
          <w:tab w:val="left" w:pos="518"/>
        </w:tabs>
        <w:spacing w:line="360" w:lineRule="auto"/>
        <w:rPr>
          <w:rFonts w:ascii="宋体" w:hAnsi="宋体" w:cs="宋体"/>
          <w:b/>
          <w:bCs/>
          <w:color w:val="auto"/>
          <w:highlight w:val="none"/>
        </w:rPr>
      </w:pPr>
      <w:r>
        <w:rPr>
          <w:rFonts w:hint="eastAsia" w:ascii="宋体" w:hAnsi="宋体" w:cs="宋体"/>
          <w:b/>
          <w:bCs/>
          <w:color w:val="auto"/>
          <w:highlight w:val="none"/>
        </w:rPr>
        <w:t>2.资格证明文件：</w:t>
      </w:r>
    </w:p>
    <w:p>
      <w:pPr>
        <w:numPr>
          <w:ilvl w:val="0"/>
          <w:numId w:val="11"/>
        </w:numPr>
        <w:tabs>
          <w:tab w:val="left" w:pos="518"/>
          <w:tab w:val="left" w:pos="840"/>
        </w:tabs>
        <w:spacing w:line="360" w:lineRule="auto"/>
        <w:rPr>
          <w:rFonts w:ascii="宋体" w:hAnsi="宋体" w:cs="宋体"/>
          <w:color w:val="auto"/>
          <w:highlight w:val="none"/>
        </w:rPr>
      </w:pPr>
      <w:bookmarkStart w:id="113" w:name="_Toc27222"/>
      <w:bookmarkStart w:id="114" w:name="_Toc47388334"/>
      <w:r>
        <w:rPr>
          <w:rFonts w:hint="eastAsia" w:ascii="宋体" w:hAnsi="宋体" w:cs="宋体"/>
          <w:color w:val="auto"/>
          <w:highlight w:val="none"/>
        </w:rPr>
        <w:t>投标人的营业执照副本复印件（格式详见第六章投标文件格式）联合体投标的，联合体双方须分别提供</w:t>
      </w:r>
      <w:bookmarkEnd w:id="113"/>
      <w:bookmarkEnd w:id="114"/>
      <w:r>
        <w:rPr>
          <w:rFonts w:hint="eastAsia" w:ascii="宋体" w:hAnsi="宋体" w:cs="宋体"/>
          <w:color w:val="auto"/>
          <w:highlight w:val="none"/>
        </w:rPr>
        <w:t>；</w:t>
      </w:r>
    </w:p>
    <w:p>
      <w:pPr>
        <w:numPr>
          <w:ilvl w:val="0"/>
          <w:numId w:val="11"/>
        </w:numPr>
        <w:tabs>
          <w:tab w:val="left" w:pos="518"/>
          <w:tab w:val="left" w:pos="840"/>
        </w:tabs>
        <w:spacing w:line="360" w:lineRule="auto"/>
        <w:ind w:left="0" w:firstLine="420" w:firstLineChars="200"/>
        <w:rPr>
          <w:rFonts w:ascii="宋体" w:hAnsi="宋体" w:cs="宋体"/>
          <w:color w:val="auto"/>
          <w:highlight w:val="none"/>
        </w:rPr>
      </w:pPr>
      <w:bookmarkStart w:id="115" w:name="_Toc1635"/>
      <w:bookmarkStart w:id="116" w:name="_Toc47388340"/>
      <w:r>
        <w:rPr>
          <w:rFonts w:hint="eastAsia" w:ascii="宋体" w:hAnsi="宋体" w:cs="宋体"/>
          <w:color w:val="auto"/>
          <w:highlight w:val="none"/>
        </w:rPr>
        <w:t>投标人资格声明函（格式详见第六章投标文件格式）</w:t>
      </w:r>
      <w:bookmarkEnd w:id="115"/>
      <w:bookmarkEnd w:id="116"/>
      <w:r>
        <w:rPr>
          <w:rFonts w:hint="eastAsia" w:ascii="宋体" w:hAnsi="宋体" w:cs="宋体"/>
          <w:color w:val="auto"/>
          <w:highlight w:val="none"/>
        </w:rPr>
        <w:t>联合体投标的，联合体双方须分别提供；</w:t>
      </w:r>
    </w:p>
    <w:p>
      <w:pPr>
        <w:numPr>
          <w:ilvl w:val="0"/>
          <w:numId w:val="12"/>
        </w:numPr>
        <w:tabs>
          <w:tab w:val="left" w:pos="420"/>
          <w:tab w:val="clear" w:pos="840"/>
        </w:tabs>
        <w:spacing w:line="360" w:lineRule="auto"/>
        <w:rPr>
          <w:rFonts w:ascii="宋体" w:hAnsi="宋体" w:cs="宋体"/>
          <w:color w:val="auto"/>
          <w:highlight w:val="none"/>
        </w:rPr>
      </w:pPr>
      <w:bookmarkStart w:id="117" w:name="_Toc47388341"/>
      <w:bookmarkStart w:id="118" w:name="_Toc21309"/>
      <w:r>
        <w:rPr>
          <w:rFonts w:hint="eastAsia" w:ascii="宋体" w:hAnsi="宋体" w:cs="宋体"/>
          <w:color w:val="auto"/>
          <w:highlight w:val="none"/>
        </w:rPr>
        <w:t>投标人的特定条件的证明文件：</w:t>
      </w:r>
      <w:bookmarkEnd w:id="117"/>
      <w:bookmarkEnd w:id="118"/>
    </w:p>
    <w:p>
      <w:pPr>
        <w:spacing w:line="360" w:lineRule="auto"/>
        <w:ind w:firstLine="630" w:firstLineChars="300"/>
        <w:rPr>
          <w:rFonts w:ascii="宋体" w:hAnsi="宋体" w:cs="宋体"/>
          <w:color w:val="auto"/>
          <w:kern w:val="0"/>
          <w:highlight w:val="none"/>
        </w:rPr>
      </w:pP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pStyle w:val="331"/>
        <w:widowControl/>
        <w:numPr>
          <w:ilvl w:val="0"/>
          <w:numId w:val="13"/>
        </w:numPr>
        <w:tabs>
          <w:tab w:val="left" w:pos="420"/>
          <w:tab w:val="clear" w:pos="0"/>
        </w:tabs>
        <w:spacing w:line="360" w:lineRule="auto"/>
        <w:ind w:firstLine="420"/>
        <w:rPr>
          <w:rFonts w:ascii="宋体" w:hAnsi="宋体" w:cs="宋体"/>
          <w:color w:val="auto"/>
          <w:highlight w:val="none"/>
        </w:rPr>
      </w:pPr>
      <w:r>
        <w:rPr>
          <w:rFonts w:hint="eastAsia" w:ascii="宋体" w:hAnsi="宋体" w:cs="宋体"/>
          <w:color w:val="auto"/>
          <w:highlight w:val="none"/>
        </w:rPr>
        <w:t>联合体投标协议书（格式详见第六章投标文件格式，联合体投标的须提供）。</w:t>
      </w:r>
    </w:p>
    <w:p>
      <w:pPr>
        <w:tabs>
          <w:tab w:val="left" w:pos="518"/>
        </w:tabs>
        <w:spacing w:line="360" w:lineRule="auto"/>
        <w:ind w:left="40" w:firstLine="211" w:firstLineChars="100"/>
        <w:rPr>
          <w:rFonts w:ascii="宋体" w:hAnsi="宋体" w:cs="宋体"/>
          <w:b/>
          <w:bCs/>
          <w:color w:val="auto"/>
          <w:highlight w:val="none"/>
        </w:rPr>
      </w:pPr>
      <w:r>
        <w:rPr>
          <w:rFonts w:hint="eastAsia" w:ascii="宋体" w:hAnsi="宋体" w:cs="宋体"/>
          <w:b/>
          <w:bCs/>
          <w:color w:val="auto"/>
          <w:highlight w:val="none"/>
        </w:rPr>
        <w:t>3.商务技术文件：</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投标人自查表②符合性自查表（格式详见第六章投标文件格式）；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法定代表人身份证明、法定代表人授权委托书（或联合投标授权委托书）（格式    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商务条款响应（偏离）表（格式详见第六章投标文件格式）；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技术需求中要求提供的证明资料（加盖公章）；</w:t>
      </w:r>
    </w:p>
    <w:bookmarkEnd w:id="110"/>
    <w:p>
      <w:pPr>
        <w:numPr>
          <w:ilvl w:val="0"/>
          <w:numId w:val="14"/>
        </w:numPr>
        <w:tabs>
          <w:tab w:val="left" w:pos="420"/>
        </w:tabs>
        <w:spacing w:line="360" w:lineRule="auto"/>
        <w:rPr>
          <w:rFonts w:hint="eastAsia" w:ascii="宋体" w:hAnsi="宋体" w:cs="宋体"/>
          <w:color w:val="auto"/>
          <w:highlight w:val="none"/>
        </w:rPr>
      </w:pPr>
      <w:bookmarkStart w:id="119" w:name="_Toc21913"/>
      <w:r>
        <w:rPr>
          <w:rFonts w:hint="eastAsia" w:ascii="宋体" w:hAnsi="宋体" w:cs="宋体"/>
          <w:color w:val="auto"/>
          <w:highlight w:val="none"/>
        </w:rPr>
        <w:t>供货方案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安装与验收方案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售后服务</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维修成本方案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业绩一览表（格式详见第六章投标文件格式）、投标产品的销售业绩的合同复印件（加盖公章）（根据评分标准提供）；</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其他采购需求或评分标准所需资料。</w:t>
      </w:r>
    </w:p>
    <w:p>
      <w:pPr>
        <w:snapToGrid w:val="0"/>
        <w:spacing w:line="360" w:lineRule="auto"/>
        <w:ind w:firstLine="411" w:firstLineChars="196"/>
        <w:jc w:val="left"/>
        <w:outlineLvl w:val="0"/>
        <w:rPr>
          <w:rFonts w:ascii="宋体" w:hAnsi="宋体" w:cs="宋体"/>
          <w:color w:val="auto"/>
          <w:highlight w:val="none"/>
        </w:rPr>
      </w:pPr>
      <w:r>
        <w:rPr>
          <w:rFonts w:hint="eastAsia" w:ascii="宋体" w:hAnsi="宋体" w:cs="宋体"/>
          <w:color w:val="auto"/>
          <w:highlight w:val="none"/>
        </w:rPr>
        <w:t>（二）投标文件的语言及计量</w:t>
      </w:r>
      <w:bookmarkEnd w:id="111"/>
      <w:bookmarkEnd w:id="112"/>
      <w:bookmarkEnd w:id="119"/>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0" w:name="_Toc417922240"/>
      <w:bookmarkStart w:id="121" w:name="_Toc47388343"/>
      <w:bookmarkStart w:id="122" w:name="_Toc28665"/>
      <w:r>
        <w:rPr>
          <w:rFonts w:hint="eastAsia" w:ascii="宋体" w:hAnsi="宋体" w:cs="宋体"/>
          <w:b/>
          <w:bCs/>
          <w:color w:val="auto"/>
          <w:highlight w:val="none"/>
        </w:rPr>
        <w:t>（三）投标报价</w:t>
      </w:r>
      <w:bookmarkEnd w:id="120"/>
      <w:bookmarkEnd w:id="121"/>
      <w:bookmarkEnd w:id="122"/>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3" w:name="_Toc26606"/>
      <w:bookmarkStart w:id="124" w:name="_Toc417922241"/>
      <w:bookmarkStart w:id="125" w:name="_Toc47388344"/>
      <w:r>
        <w:rPr>
          <w:rFonts w:hint="eastAsia" w:ascii="宋体" w:hAnsi="宋体" w:cs="宋体"/>
          <w:b/>
          <w:bCs/>
          <w:color w:val="auto"/>
          <w:highlight w:val="none"/>
        </w:rPr>
        <w:t>1.投标报价应按招标文件中相关附表格式填写。</w:t>
      </w:r>
      <w:bookmarkEnd w:id="123"/>
      <w:bookmarkEnd w:id="124"/>
      <w:bookmarkEnd w:id="125"/>
    </w:p>
    <w:p>
      <w:pPr>
        <w:overflowPunct w:val="0"/>
        <w:spacing w:line="360" w:lineRule="auto"/>
        <w:ind w:left="63" w:leftChars="30" w:firstLine="103" w:firstLineChars="49"/>
        <w:rPr>
          <w:rFonts w:ascii="宋体" w:hAnsi="宋体" w:cs="宋体"/>
          <w:b/>
          <w:bCs/>
          <w:color w:val="auto"/>
          <w:highlight w:val="none"/>
        </w:rPr>
      </w:pPr>
      <w:r>
        <w:rPr>
          <w:rFonts w:hint="eastAsia" w:ascii="宋体" w:hAnsi="宋体" w:cs="宋体"/>
          <w:b/>
          <w:bCs/>
          <w:color w:val="auto"/>
          <w:highlight w:val="none"/>
        </w:rPr>
        <w:tab/>
      </w:r>
      <w:bookmarkStart w:id="126" w:name="_Toc417922242"/>
      <w:r>
        <w:rPr>
          <w:rFonts w:hint="eastAsia" w:ascii="宋体" w:hAnsi="宋体" w:cs="宋体"/>
          <w:color w:val="auto"/>
          <w:highlight w:val="none"/>
        </w:rPr>
        <w:t>★</w:t>
      </w:r>
      <w:r>
        <w:rPr>
          <w:rFonts w:hint="eastAsia" w:ascii="宋体" w:hAnsi="宋体" w:cs="宋体"/>
          <w:b/>
          <w:bCs/>
          <w:color w:val="auto"/>
          <w:highlight w:val="none"/>
        </w:rPr>
        <w:t>2.</w:t>
      </w:r>
      <w:bookmarkEnd w:id="126"/>
      <w:r>
        <w:rPr>
          <w:rFonts w:hint="eastAsia" w:ascii="宋体" w:hAnsi="宋体" w:cs="宋体"/>
          <w:b/>
          <w:bCs/>
          <w:color w:val="auto"/>
          <w:highlight w:val="none"/>
        </w:rPr>
        <w:t xml:space="preserve"> 投标报价是详见第三章前附表2。</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7" w:name="_Toc26755"/>
      <w:bookmarkStart w:id="128" w:name="_Toc417922243"/>
      <w:bookmarkStart w:id="129" w:name="_Toc47388345"/>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27"/>
      <w:bookmarkEnd w:id="128"/>
      <w:bookmarkEnd w:id="129"/>
    </w:p>
    <w:p>
      <w:pPr>
        <w:snapToGrid w:val="0"/>
        <w:spacing w:before="120" w:beforeLines="50" w:line="360" w:lineRule="auto"/>
        <w:ind w:firstLine="413" w:firstLineChars="196"/>
        <w:jc w:val="left"/>
        <w:outlineLvl w:val="0"/>
        <w:rPr>
          <w:rFonts w:ascii="宋体" w:hAnsi="宋体" w:cs="宋体"/>
          <w:b/>
          <w:bCs/>
          <w:color w:val="auto"/>
          <w:highlight w:val="none"/>
        </w:rPr>
      </w:pPr>
      <w:bookmarkStart w:id="130" w:name="_Toc13397"/>
      <w:bookmarkStart w:id="131" w:name="_Toc47388346"/>
      <w:bookmarkStart w:id="132" w:name="_Toc417922244"/>
      <w:r>
        <w:rPr>
          <w:rFonts w:hint="eastAsia" w:ascii="宋体" w:hAnsi="宋体" w:cs="宋体"/>
          <w:b/>
          <w:bCs/>
          <w:color w:val="auto"/>
          <w:highlight w:val="none"/>
        </w:rPr>
        <w:t>（四）投标文件的有效期</w:t>
      </w:r>
      <w:bookmarkEnd w:id="130"/>
      <w:bookmarkEnd w:id="131"/>
      <w:bookmarkEnd w:id="132"/>
    </w:p>
    <w:p>
      <w:pPr>
        <w:pStyle w:val="13"/>
        <w:widowControl w:val="0"/>
        <w:tabs>
          <w:tab w:val="clear" w:pos="454"/>
        </w:tabs>
        <w:snapToGrid w:val="0"/>
        <w:spacing w:afterLines="0" w:line="360" w:lineRule="auto"/>
        <w:ind w:left="0"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1.自投标截止日起</w:t>
      </w:r>
      <w:r>
        <w:rPr>
          <w:rFonts w:hint="eastAsia" w:ascii="宋体" w:hAnsi="宋体" w:cs="宋体"/>
          <w:b/>
          <w:bCs/>
          <w:color w:val="auto"/>
          <w:sz w:val="21"/>
          <w:szCs w:val="21"/>
          <w:highlight w:val="none"/>
          <w:u w:val="single"/>
        </w:rPr>
        <w:t xml:space="preserve">90 </w:t>
      </w:r>
      <w:r>
        <w:rPr>
          <w:rFonts w:hint="eastAsia" w:ascii="宋体" w:hAnsi="宋体" w:cs="宋体"/>
          <w:b/>
          <w:bCs/>
          <w:color w:val="auto"/>
          <w:sz w:val="21"/>
          <w:szCs w:val="21"/>
          <w:highlight w:val="none"/>
        </w:rPr>
        <w:t>天投标文件应保持有效。有效期不足的投标文件将被拒绝。</w:t>
      </w:r>
    </w:p>
    <w:p>
      <w:pPr>
        <w:pStyle w:val="13"/>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color w:val="auto"/>
          <w:highlight w:val="none"/>
        </w:rPr>
      </w:pPr>
      <w:bookmarkStart w:id="133" w:name="_Toc4957"/>
      <w:bookmarkStart w:id="134" w:name="_Toc417922245"/>
      <w:bookmarkStart w:id="135" w:name="_Toc47388347"/>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33"/>
      <w:bookmarkEnd w:id="134"/>
      <w:bookmarkEnd w:id="135"/>
      <w:r>
        <w:rPr>
          <w:rFonts w:hint="eastAsia" w:ascii="宋体" w:hAnsi="宋体" w:cs="宋体"/>
          <w:b/>
          <w:bCs/>
          <w:color w:val="auto"/>
          <w:highlight w:val="none"/>
        </w:rPr>
        <w:t xml:space="preserve"> </w:t>
      </w:r>
    </w:p>
    <w:p>
      <w:pPr>
        <w:snapToGrid w:val="0"/>
        <w:spacing w:line="360" w:lineRule="auto"/>
        <w:ind w:firstLine="420" w:firstLineChars="200"/>
        <w:jc w:val="left"/>
        <w:outlineLvl w:val="0"/>
        <w:rPr>
          <w:rFonts w:ascii="宋体" w:hAnsi="宋体" w:cs="宋体"/>
          <w:b/>
          <w:bCs/>
          <w:color w:val="auto"/>
          <w:highlight w:val="none"/>
        </w:rPr>
      </w:pPr>
      <w:bookmarkStart w:id="136" w:name="_Toc47388348"/>
      <w:bookmarkStart w:id="137" w:name="_Toc417922246"/>
      <w:bookmarkStart w:id="138" w:name="_Toc27965"/>
      <w:r>
        <w:rPr>
          <w:rFonts w:hint="eastAsia" w:ascii="宋体" w:hAnsi="宋体" w:cs="宋体"/>
          <w:color w:val="auto"/>
          <w:highlight w:val="none"/>
        </w:rPr>
        <w:t>4.中标人的投标文件自开标之日起至合同履行完毕止均应保持有效。</w:t>
      </w:r>
      <w:bookmarkEnd w:id="136"/>
      <w:bookmarkEnd w:id="137"/>
      <w:bookmarkEnd w:id="138"/>
    </w:p>
    <w:p>
      <w:pPr>
        <w:snapToGrid w:val="0"/>
        <w:spacing w:before="120" w:beforeLines="50" w:line="360" w:lineRule="auto"/>
        <w:ind w:firstLine="413" w:firstLineChars="196"/>
        <w:jc w:val="left"/>
        <w:outlineLvl w:val="0"/>
        <w:rPr>
          <w:rFonts w:ascii="宋体" w:hAnsi="宋体" w:cs="宋体"/>
          <w:b/>
          <w:bCs/>
          <w:color w:val="auto"/>
          <w:highlight w:val="none"/>
        </w:rPr>
      </w:pPr>
      <w:bookmarkStart w:id="139" w:name="_Toc8457"/>
      <w:bookmarkStart w:id="140" w:name="_Toc447886351"/>
      <w:bookmarkStart w:id="141" w:name="_Toc47388363"/>
      <w:bookmarkStart w:id="142" w:name="_Toc447886489"/>
      <w:r>
        <w:rPr>
          <w:rFonts w:hint="eastAsia" w:ascii="宋体" w:hAnsi="宋体" w:cs="宋体"/>
          <w:b/>
          <w:bCs/>
          <w:color w:val="auto"/>
          <w:highlight w:val="none"/>
        </w:rPr>
        <w:t>（五）投标文件的签署和份数</w:t>
      </w:r>
      <w:bookmarkEnd w:id="139"/>
      <w:bookmarkEnd w:id="140"/>
      <w:bookmarkEnd w:id="141"/>
      <w:bookmarkEnd w:id="142"/>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auto"/>
        <w:ind w:firstLine="310" w:firstLineChars="147"/>
        <w:jc w:val="left"/>
        <w:rPr>
          <w:rFonts w:ascii="宋体" w:hAnsi="宋体" w:cs="宋体"/>
          <w:b/>
          <w:bCs/>
          <w:color w:val="auto"/>
          <w:highlight w:val="none"/>
        </w:rPr>
      </w:pPr>
      <w:r>
        <w:rPr>
          <w:rFonts w:hint="eastAsia" w:ascii="宋体" w:hAnsi="宋体" w:cs="宋体"/>
          <w:b/>
          <w:bCs/>
          <w:color w:val="auto"/>
          <w:highlight w:val="none"/>
        </w:rPr>
        <w:t>（六）投标文件的上传递交、修改和撤回</w:t>
      </w:r>
    </w:p>
    <w:p>
      <w:pPr>
        <w:snapToGrid w:val="0"/>
        <w:spacing w:before="120" w:beforeLines="50" w:line="360" w:lineRule="auto"/>
        <w:ind w:firstLine="411" w:firstLineChars="196"/>
        <w:jc w:val="left"/>
        <w:outlineLvl w:val="2"/>
        <w:rPr>
          <w:rFonts w:ascii="宋体" w:hAnsi="宋体" w:cs="宋体"/>
          <w:color w:val="auto"/>
          <w:highlight w:val="none"/>
        </w:rPr>
      </w:pPr>
      <w:bookmarkStart w:id="143" w:name="_Toc11204"/>
      <w:bookmarkStart w:id="144" w:name="_Toc47388364"/>
      <w:bookmarkStart w:id="145" w:name="_Toc447886490"/>
      <w:bookmarkStart w:id="146" w:name="_Toc447886352"/>
      <w:r>
        <w:rPr>
          <w:rFonts w:hint="eastAsia" w:ascii="宋体" w:hAnsi="宋体" w:cs="宋体"/>
          <w:color w:val="auto"/>
          <w:highlight w:val="none"/>
        </w:rPr>
        <w:t>1.投标文件的上传递交：</w:t>
      </w:r>
      <w:bookmarkEnd w:id="143"/>
      <w:bookmarkEnd w:id="144"/>
    </w:p>
    <w:p>
      <w:pPr>
        <w:snapToGrid w:val="0"/>
        <w:spacing w:before="120" w:beforeLines="50" w:line="360" w:lineRule="auto"/>
        <w:ind w:firstLine="411" w:firstLineChars="196"/>
        <w:jc w:val="left"/>
        <w:outlineLvl w:val="2"/>
        <w:rPr>
          <w:rFonts w:ascii="宋体" w:hAnsi="宋体" w:cs="宋体"/>
          <w:color w:val="auto"/>
          <w:highlight w:val="none"/>
        </w:rPr>
      </w:pPr>
      <w:bookmarkStart w:id="147" w:name="_Toc47388365"/>
      <w:bookmarkStart w:id="148" w:name="_Toc18986"/>
      <w:r>
        <w:rPr>
          <w:rFonts w:hint="eastAsia" w:ascii="宋体" w:hAnsi="宋体" w:cs="宋体"/>
          <w:color w:val="auto"/>
          <w:highlight w:val="none"/>
        </w:rPr>
        <w:t>（1）电子加密投标文件的上传递交：</w:t>
      </w:r>
      <w:bookmarkEnd w:id="147"/>
      <w:bookmarkEnd w:id="148"/>
    </w:p>
    <w:p>
      <w:pPr>
        <w:snapToGrid w:val="0"/>
        <w:spacing w:before="120" w:beforeLines="50" w:line="360" w:lineRule="auto"/>
        <w:ind w:firstLine="411" w:firstLineChars="196"/>
        <w:jc w:val="left"/>
        <w:outlineLvl w:val="2"/>
        <w:rPr>
          <w:rFonts w:ascii="宋体" w:hAnsi="宋体" w:cs="宋体"/>
          <w:color w:val="auto"/>
          <w:highlight w:val="none"/>
        </w:rPr>
      </w:pPr>
      <w:bookmarkStart w:id="149" w:name="_Toc28964"/>
      <w:bookmarkStart w:id="150" w:name="_Toc47388366"/>
      <w:r>
        <w:rPr>
          <w:rFonts w:hint="eastAsia" w:ascii="宋体" w:hAnsi="宋体" w:cs="宋体"/>
          <w:color w:val="auto"/>
          <w:highlight w:val="none"/>
        </w:rPr>
        <w:t>★a.投标人应在投标截止时间前将电子加密投标文件成功上传递交至政府采购云平台，否则投标无效；</w:t>
      </w:r>
      <w:bookmarkEnd w:id="149"/>
      <w:bookmarkEnd w:id="150"/>
    </w:p>
    <w:p>
      <w:pPr>
        <w:snapToGrid w:val="0"/>
        <w:spacing w:before="120" w:beforeLines="50" w:line="360" w:lineRule="auto"/>
        <w:ind w:firstLine="411" w:firstLineChars="196"/>
        <w:jc w:val="left"/>
        <w:outlineLvl w:val="2"/>
        <w:rPr>
          <w:rFonts w:ascii="宋体" w:hAnsi="宋体" w:cs="宋体"/>
          <w:color w:val="auto"/>
          <w:highlight w:val="none"/>
        </w:rPr>
      </w:pPr>
      <w:bookmarkStart w:id="151" w:name="_Toc31716"/>
      <w:bookmarkStart w:id="152" w:name="_Toc47388367"/>
      <w:r>
        <w:rPr>
          <w:rFonts w:hint="eastAsia" w:ascii="宋体" w:hAnsi="宋体" w:cs="宋体"/>
          <w:color w:val="auto"/>
          <w:highlight w:val="none"/>
        </w:rPr>
        <w:t>b.电子加密投标文件成功上传递交后，投标人可自行打印投标文件接收回执。</w:t>
      </w:r>
      <w:bookmarkEnd w:id="151"/>
      <w:bookmarkEnd w:id="152"/>
    </w:p>
    <w:p>
      <w:pPr>
        <w:snapToGrid w:val="0"/>
        <w:spacing w:before="120" w:beforeLines="50" w:line="360" w:lineRule="auto"/>
        <w:ind w:firstLine="411" w:firstLineChars="196"/>
        <w:jc w:val="left"/>
        <w:outlineLvl w:val="2"/>
        <w:rPr>
          <w:rFonts w:ascii="宋体" w:hAnsi="宋体" w:cs="宋体"/>
          <w:color w:val="auto"/>
          <w:highlight w:val="none"/>
        </w:rPr>
      </w:pPr>
      <w:bookmarkStart w:id="153" w:name="_Toc2573"/>
      <w:bookmarkStart w:id="154" w:name="_Toc47388368"/>
      <w:r>
        <w:rPr>
          <w:rFonts w:hint="eastAsia" w:ascii="宋体" w:hAnsi="宋体" w:cs="宋体"/>
          <w:color w:val="auto"/>
          <w:highlight w:val="none"/>
        </w:rPr>
        <w:t>（2）备份投标文件的密封包装、递交：</w:t>
      </w:r>
      <w:bookmarkEnd w:id="153"/>
      <w:bookmarkEnd w:id="154"/>
    </w:p>
    <w:p>
      <w:pPr>
        <w:snapToGrid w:val="0"/>
        <w:spacing w:before="120" w:beforeLines="50" w:line="360" w:lineRule="auto"/>
        <w:ind w:firstLine="411" w:firstLineChars="196"/>
        <w:jc w:val="left"/>
        <w:outlineLvl w:val="2"/>
        <w:rPr>
          <w:rFonts w:ascii="宋体" w:hAnsi="宋体" w:cs="宋体"/>
          <w:color w:val="auto"/>
          <w:highlight w:val="none"/>
        </w:rPr>
      </w:pPr>
      <w:bookmarkStart w:id="155" w:name="_Toc47388369"/>
      <w:bookmarkStart w:id="156" w:name="_Toc3075"/>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155"/>
      <w:bookmarkEnd w:id="156"/>
    </w:p>
    <w:p>
      <w:pPr>
        <w:snapToGrid w:val="0"/>
        <w:spacing w:before="120" w:beforeLines="50" w:line="360" w:lineRule="auto"/>
        <w:ind w:firstLine="411" w:firstLineChars="196"/>
        <w:jc w:val="left"/>
        <w:outlineLvl w:val="2"/>
        <w:rPr>
          <w:rFonts w:ascii="宋体" w:hAnsi="宋体" w:cs="宋体"/>
          <w:color w:val="auto"/>
          <w:highlight w:val="none"/>
        </w:rPr>
      </w:pPr>
      <w:bookmarkStart w:id="157" w:name="_Toc47388370"/>
      <w:bookmarkStart w:id="158" w:name="_Toc6588"/>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57"/>
      <w:bookmarkEnd w:id="158"/>
    </w:p>
    <w:p>
      <w:pPr>
        <w:snapToGrid w:val="0"/>
        <w:spacing w:before="120" w:beforeLines="50" w:line="360" w:lineRule="auto"/>
        <w:ind w:firstLine="411" w:firstLineChars="196"/>
        <w:jc w:val="left"/>
        <w:outlineLvl w:val="2"/>
        <w:rPr>
          <w:rFonts w:ascii="宋体" w:hAnsi="宋体" w:cs="宋体"/>
          <w:color w:val="auto"/>
          <w:highlight w:val="none"/>
        </w:rPr>
      </w:pPr>
      <w:bookmarkStart w:id="159" w:name="_Toc47388371"/>
      <w:bookmarkStart w:id="160" w:name="_Toc10991"/>
      <w:r>
        <w:rPr>
          <w:rFonts w:hint="eastAsia" w:ascii="宋体" w:hAnsi="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59"/>
      <w:bookmarkEnd w:id="160"/>
    </w:p>
    <w:bookmarkEnd w:id="145"/>
    <w:bookmarkEnd w:id="146"/>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四、特别说明</w:t>
      </w:r>
    </w:p>
    <w:p>
      <w:pPr>
        <w:pStyle w:val="21"/>
        <w:snapToGrid w:val="0"/>
        <w:spacing w:line="360" w:lineRule="auto"/>
        <w:ind w:firstLine="404" w:firstLineChars="200"/>
        <w:rPr>
          <w:rFonts w:hAnsi="宋体"/>
          <w:color w:val="auto"/>
          <w:sz w:val="21"/>
          <w:szCs w:val="21"/>
          <w:highlight w:val="none"/>
        </w:rPr>
      </w:pPr>
      <w:bookmarkStart w:id="161" w:name="_Toc28996"/>
      <w:bookmarkStart w:id="162" w:name="_Toc47388384"/>
      <w:r>
        <w:rPr>
          <w:rFonts w:hint="eastAsia" w:hAnsi="宋体"/>
          <w:color w:val="auto"/>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 xml:space="preserve"> 非 </w:t>
      </w:r>
      <w:r>
        <w:rPr>
          <w:rFonts w:hint="eastAsia" w:ascii="宋体" w:hAnsi="宋体" w:cs="宋体"/>
          <w:color w:val="auto"/>
          <w:highlight w:val="none"/>
        </w:rPr>
        <w:t>专门面向中小企业采购。</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3.本项目对应的中小企业划分标准所属行业:</w:t>
      </w:r>
      <w:r>
        <w:rPr>
          <w:rFonts w:hint="eastAsia" w:ascii="宋体" w:hAnsi="宋体" w:cs="宋体"/>
          <w:color w:val="auto"/>
          <w:highlight w:val="none"/>
          <w:u w:val="single"/>
        </w:rPr>
        <w:t xml:space="preserve"> 工业。</w:t>
      </w:r>
      <w:r>
        <w:rPr>
          <w:rFonts w:hint="eastAsia" w:ascii="宋体" w:hAnsi="宋体" w:cs="宋体"/>
          <w:color w:val="auto"/>
          <w:highlight w:val="none"/>
        </w:rPr>
        <w:t xml:space="preserve"> </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8.小微企业应按照招标文件格式要求提供《中小企业声明函》。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pStyle w:val="3"/>
        <w:rPr>
          <w:rFonts w:ascii="宋体" w:cs="宋体"/>
          <w:color w:val="auto"/>
          <w:sz w:val="21"/>
          <w:szCs w:val="21"/>
          <w:highlight w:val="none"/>
        </w:rPr>
      </w:pPr>
    </w:p>
    <w:p>
      <w:pPr>
        <w:pStyle w:val="3"/>
        <w:rPr>
          <w:rFonts w:ascii="宋体" w:cs="宋体"/>
          <w:color w:val="auto"/>
          <w:sz w:val="21"/>
          <w:szCs w:val="21"/>
          <w:highlight w:val="none"/>
        </w:rPr>
      </w:pPr>
    </w:p>
    <w:p>
      <w:pPr>
        <w:pStyle w:val="3"/>
        <w:rPr>
          <w:rFonts w:ascii="宋体" w:cs="宋体"/>
          <w:color w:val="auto"/>
          <w:highlight w:val="none"/>
        </w:rPr>
        <w:sectPr>
          <w:pgSz w:w="11906" w:h="16838"/>
          <w:pgMar w:top="1474" w:right="1797" w:bottom="1247" w:left="1797" w:header="851" w:footer="851" w:gutter="0"/>
          <w:cols w:space="720" w:num="1"/>
          <w:titlePg/>
          <w:docGrid w:linePitch="312" w:charSpace="0"/>
        </w:sectPr>
      </w:pPr>
    </w:p>
    <w:p>
      <w:pPr>
        <w:pStyle w:val="3"/>
        <w:rPr>
          <w:rFonts w:ascii="宋体" w:cs="宋体"/>
          <w:color w:val="auto"/>
          <w:highlight w:val="none"/>
        </w:rPr>
      </w:pPr>
      <w:r>
        <w:rPr>
          <w:rFonts w:hint="eastAsia" w:ascii="宋体" w:cs="宋体"/>
          <w:color w:val="auto"/>
          <w:highlight w:val="none"/>
        </w:rPr>
        <w:t>第四章  评标办法及评分标准</w:t>
      </w:r>
      <w:bookmarkEnd w:id="161"/>
      <w:bookmarkEnd w:id="162"/>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color w:val="auto"/>
          <w:highlight w:val="none"/>
        </w:rPr>
      </w:pPr>
      <w:r>
        <w:rPr>
          <w:rFonts w:hint="eastAsia" w:ascii="宋体" w:hAnsi="宋体" w:cs="宋体"/>
          <w:b/>
          <w:bCs/>
          <w:color w:val="auto"/>
          <w:highlight w:val="none"/>
        </w:rPr>
        <w:t>一、开标程序：</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1、电子招投标开标程序：</w:t>
      </w:r>
    </w:p>
    <w:p>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pPr>
        <w:spacing w:line="360" w:lineRule="auto"/>
        <w:rPr>
          <w:rFonts w:ascii="宋体" w:hAnsi="宋体" w:cs="宋体"/>
          <w:b/>
          <w:bCs/>
          <w:color w:val="auto"/>
          <w:highlight w:val="none"/>
        </w:rPr>
      </w:pPr>
      <w:r>
        <w:rPr>
          <w:rFonts w:hint="eastAsia" w:ascii="宋体" w:hAnsi="宋体" w:cs="宋体"/>
          <w:b/>
          <w:bCs/>
          <w:color w:val="auto"/>
          <w:highlight w:val="none"/>
        </w:rPr>
        <w:t>二、评标委员会</w:t>
      </w:r>
    </w:p>
    <w:p>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（一）本次招标依法组建评标委员会。</w:t>
      </w:r>
    </w:p>
    <w:p>
      <w:pPr>
        <w:pStyle w:val="29"/>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highlight w:val="none"/>
        </w:rPr>
      </w:pPr>
      <w:r>
        <w:rPr>
          <w:rFonts w:hint="eastAsia" w:ascii="宋体" w:hAnsi="宋体" w:cs="宋体"/>
          <w:b/>
          <w:bCs/>
          <w:color w:val="auto"/>
          <w:highlight w:val="none"/>
        </w:rPr>
        <w:t>三、评标方法</w:t>
      </w:r>
    </w:p>
    <w:p>
      <w:pPr>
        <w:spacing w:line="360" w:lineRule="auto"/>
        <w:rPr>
          <w:rFonts w:ascii="宋体" w:hAnsi="宋体" w:cs="宋体"/>
          <w:color w:val="auto"/>
          <w:highlight w:val="none"/>
        </w:rPr>
      </w:pPr>
      <w:r>
        <w:rPr>
          <w:rFonts w:hint="eastAsia" w:ascii="宋体" w:hAnsi="宋体" w:cs="宋体"/>
          <w:color w:val="auto"/>
          <w:highlight w:val="none"/>
        </w:rPr>
        <w:t>（一）本次采购项目的评标方法为：综合评分法。</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color w:val="auto"/>
          <w:highlight w:val="none"/>
        </w:rPr>
      </w:pPr>
      <w:r>
        <w:rPr>
          <w:rFonts w:hint="eastAsia" w:ascii="宋体" w:hAnsi="宋体" w:cs="宋体"/>
          <w:color w:val="auto"/>
          <w:highlight w:val="none"/>
        </w:rPr>
        <w:t>（二）投标文件的澄清</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highlight w:val="none"/>
        </w:rPr>
      </w:pPr>
      <w:r>
        <w:rPr>
          <w:rFonts w:hint="eastAsia" w:ascii="宋体" w:hAnsi="宋体" w:cs="宋体"/>
          <w:color w:val="auto"/>
          <w:highlight w:val="none"/>
        </w:rPr>
        <w:t>（三）投标文件错误修正原则</w:t>
      </w:r>
    </w:p>
    <w:p>
      <w:pPr>
        <w:spacing w:line="360" w:lineRule="auto"/>
        <w:rPr>
          <w:rFonts w:ascii="宋体" w:hAnsi="宋体" w:cs="宋体"/>
          <w:color w:val="auto"/>
          <w:highlight w:val="none"/>
        </w:rPr>
      </w:pPr>
      <w:r>
        <w:rPr>
          <w:rFonts w:hint="eastAsia" w:ascii="宋体" w:hAnsi="宋体" w:cs="宋体"/>
          <w:color w:val="auto"/>
          <w:highlight w:val="none"/>
        </w:rPr>
        <w:t>投标文件如果出现计算或表达上的错误，修正错误的原则如下：</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9"/>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四、评标程序</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（三）落实政府采购政策需满足的资格要求：</w:t>
            </w:r>
            <w:r>
              <w:rPr>
                <w:rFonts w:hint="eastAsia" w:ascii="宋体" w:hAnsi="宋体" w:cs="宋体"/>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（五）本项目接受联合体投标。</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ascii="宋体" w:hAnsi="宋体" w:cs="宋体"/>
                <w:color w:val="auto"/>
                <w:highlight w:val="none"/>
              </w:rPr>
            </w:pPr>
            <w:r>
              <w:rPr>
                <w:rFonts w:hint="eastAsia" w:ascii="宋体" w:hAnsi="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（八）不存在法律、法规和采购文件规定的其他无效情形；</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没有响应采购文件实质性要求的投标将被视为无效投标。供应商不得通过修正或撤消不合要求的偏离或保留从而使其投标成为实质上响应的投标。</w:t>
      </w:r>
    </w:p>
    <w:p>
      <w:pPr>
        <w:widowControl/>
        <w:numPr>
          <w:ilvl w:val="0"/>
          <w:numId w:val="17"/>
        </w:numPr>
        <w:spacing w:line="360" w:lineRule="auto"/>
        <w:jc w:val="left"/>
        <w:rPr>
          <w:rFonts w:ascii="宋体" w:hAnsi="宋体" w:cs="宋体"/>
          <w:b/>
          <w:bCs/>
          <w:color w:val="auto"/>
          <w:highlight w:val="none"/>
        </w:rPr>
      </w:pPr>
      <w:r>
        <w:rPr>
          <w:rFonts w:hint="eastAsia" w:ascii="宋体" w:hAnsi="宋体" w:cs="宋体"/>
          <w:b/>
          <w:bCs/>
          <w:color w:val="auto"/>
          <w:highlight w:val="none"/>
        </w:rPr>
        <w:t>在资格审查时，如发现下列情形之一的，将被视为无效投标文件：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资格证明文件不全的或者不符合采购文件标明的资格要求的或者未按采购文件规定要求签署、盖章；；</w:t>
      </w:r>
    </w:p>
    <w:p>
      <w:pPr>
        <w:spacing w:line="360" w:lineRule="auto"/>
        <w:rPr>
          <w:rFonts w:ascii="宋体" w:hAnsi="宋体" w:cs="宋体"/>
          <w:b/>
          <w:bCs/>
          <w:color w:val="auto"/>
          <w:highlight w:val="none"/>
        </w:rPr>
      </w:pPr>
      <w:r>
        <w:rPr>
          <w:rFonts w:hint="eastAsia" w:ascii="宋体" w:hAnsi="宋体" w:cs="宋体"/>
          <w:b/>
          <w:bCs/>
          <w:color w:val="auto"/>
          <w:highlight w:val="none"/>
        </w:rPr>
        <w:t>B、在符合性审查（商务技术文件）时，如发现下列情形之一的，将被视为无效投标文件：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3、投标文件标明的响应或偏离与事实不符或虚假投标的；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5、带“★”的条款不能满足采购文件要求、未实质性响应采购文件要求或者投标文件有采购人不能接受的附加条件的；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6、投标技术方案不明确，存在一个或一个以上备选（替代）投标方案的；</w:t>
      </w:r>
    </w:p>
    <w:p>
      <w:pPr>
        <w:spacing w:line="360" w:lineRule="auto"/>
        <w:ind w:firstLine="420"/>
        <w:rPr>
          <w:rFonts w:ascii="宋体" w:hAnsi="宋体" w:cs="宋体"/>
          <w:color w:val="auto"/>
          <w:highlight w:val="none"/>
        </w:rPr>
      </w:pPr>
      <w:r>
        <w:rPr>
          <w:rFonts w:hint="eastAsia" w:ascii="宋体" w:hAnsi="宋体" w:cs="宋体"/>
          <w:color w:val="auto"/>
          <w:highlight w:val="none"/>
        </w:rPr>
        <w:t>7、法律、法规和采购文件规定的其他无效情形；</w:t>
      </w:r>
    </w:p>
    <w:p>
      <w:pPr>
        <w:spacing w:line="360" w:lineRule="auto"/>
        <w:ind w:firstLine="420"/>
        <w:rPr>
          <w:rFonts w:ascii="宋体" w:hAnsi="宋体" w:cs="宋体"/>
          <w:color w:val="auto"/>
          <w:highlight w:val="none"/>
        </w:rPr>
      </w:pPr>
      <w:r>
        <w:rPr>
          <w:rFonts w:hint="eastAsia" w:ascii="宋体" w:hAnsi="宋体" w:cs="宋体"/>
          <w:color w:val="auto"/>
          <w:highlight w:val="none"/>
        </w:rPr>
        <w:t>8、投标文件的有效期不满足采购文件要求；</w:t>
      </w:r>
    </w:p>
    <w:p>
      <w:pPr>
        <w:spacing w:line="360" w:lineRule="auto"/>
        <w:rPr>
          <w:rFonts w:ascii="宋体" w:hAnsi="宋体" w:cs="宋体"/>
          <w:b/>
          <w:bCs/>
          <w:color w:val="auto"/>
          <w:kern w:val="0"/>
          <w:highlight w:val="none"/>
        </w:rPr>
      </w:pPr>
      <w:r>
        <w:rPr>
          <w:rFonts w:hint="eastAsia" w:ascii="宋体" w:hAnsi="宋体" w:cs="宋体"/>
          <w:b/>
          <w:bCs/>
          <w:color w:val="auto"/>
          <w:highlight w:val="none"/>
        </w:rPr>
        <w:t>C、在符合性审查（报价文件）时，如发现下列情形之一的，将被视为无效投标文件：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1、未提交投标函或投标函内容不符合采购文件要求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3、未采用人民币报价或者未按照采购文件标明的币种报价的；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4、报价超出最高限价，或者超出采购预算金额，采购人不能支付的；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5、投标报价具有选择性的；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6、投标报价中出现重大缺项、漏项；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8、投标文件（报价文件）内容与投标文件（商务技术文件）内容有重大差异的；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9、法律、法规和采购文件规定的其他无效情形；</w:t>
      </w:r>
    </w:p>
    <w:p>
      <w:pPr>
        <w:spacing w:line="360" w:lineRule="auto"/>
        <w:rPr>
          <w:rFonts w:hint="eastAsia" w:ascii="宋体" w:hAnsi="宋体" w:cs="宋体"/>
          <w:b/>
          <w:color w:val="auto"/>
          <w:highlight w:val="none"/>
        </w:rPr>
      </w:pPr>
      <w:r>
        <w:rPr>
          <w:rFonts w:hint="eastAsia" w:ascii="宋体" w:hAnsi="宋体" w:cs="宋体"/>
          <w:b/>
          <w:color w:val="auto"/>
          <w:highlight w:val="none"/>
        </w:rPr>
        <w:t>（四）评分标准</w:t>
      </w:r>
    </w:p>
    <w:p>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标项一：</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bookmarkStart w:id="163" w:name="_Toc9029"/>
            <w:bookmarkStart w:id="164" w:name="_Toc47388385"/>
            <w:bookmarkStart w:id="165" w:name="_Toc317116871"/>
            <w:bookmarkStart w:id="166" w:name="_Toc26240"/>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1.本项目共有</w:t>
            </w:r>
            <w:r>
              <w:rPr>
                <w:rFonts w:hint="eastAsia" w:ascii="宋体" w:hAnsi="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lang w:val="en-US" w:eastAsia="zh-CN"/>
              </w:rPr>
              <w:t>项技术条款：标注“★”号的技术条款为实质性技术条款共1项。标注“▲”号的技术条款为重要技术条款共</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lang w:val="en-US" w:eastAsia="zh-CN"/>
              </w:rPr>
              <w:t>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2.每1条重要技术条款负偏离的等同2条普通技术条款负偏离。</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3.技术响应的偏离按以下进行：</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w:t>
            </w:r>
            <w:r>
              <w:rPr>
                <w:rFonts w:hint="eastAsia" w:ascii="宋体" w:hAnsi="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val="en-US" w:eastAsia="zh-CN"/>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1条及以上实质性技术条款负偏离的，作无效标处理</w:t>
            </w:r>
            <w:r>
              <w:rPr>
                <w:rFonts w:hint="eastAsia" w:ascii="宋体" w:hAnsi="宋体" w:cs="宋体"/>
                <w:b w:val="0"/>
                <w:bCs w:val="0"/>
                <w:color w:val="auto"/>
                <w:sz w:val="21"/>
                <w:szCs w:val="21"/>
                <w:highlight w:val="none"/>
                <w:lang w:val="en-US" w:eastAsia="zh-CN"/>
              </w:rPr>
              <w:t>；</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投标人得分=1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-（负偏离条数-20）*0.</w:t>
            </w:r>
            <w:r>
              <w:rPr>
                <w:rFonts w:hint="eastAsia" w:ascii="宋体" w:hAnsi="宋体" w:cs="宋体"/>
                <w:b w:val="0"/>
                <w:bCs w:val="0"/>
                <w:color w:val="auto"/>
                <w:sz w:val="21"/>
                <w:szCs w:val="21"/>
                <w:highlight w:val="none"/>
                <w:lang w:val="en-US" w:eastAsia="zh-CN"/>
              </w:rPr>
              <w:t>28</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line="360" w:lineRule="auto"/>
        <w:rPr>
          <w:rFonts w:hint="eastAsia" w:ascii="宋体" w:hAnsi="宋体" w:cs="宋体"/>
          <w:b/>
          <w:color w:val="auto"/>
          <w:highlight w:val="none"/>
          <w:lang w:val="en-US" w:eastAsia="zh-CN"/>
        </w:rPr>
      </w:pPr>
    </w:p>
    <w:p>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标项二：</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1.本项目共有</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项技术条款：标注“★”号的技术条款为实质性技术条款共</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29</w:t>
            </w:r>
            <w:r>
              <w:rPr>
                <w:rFonts w:hint="eastAsia" w:ascii="宋体" w:hAnsi="宋体" w:eastAsia="宋体" w:cs="宋体"/>
                <w:b w:val="0"/>
                <w:bCs w:val="0"/>
                <w:color w:val="auto"/>
                <w:sz w:val="21"/>
                <w:szCs w:val="21"/>
                <w:highlight w:val="none"/>
                <w:lang w:val="en-US" w:eastAsia="zh-CN"/>
              </w:rPr>
              <w:t>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2.每1条重要技术条款负偏离的等同2条普通技术条款负偏离。</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3.技术响应的偏离按以下进行：</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w:t>
            </w:r>
            <w:r>
              <w:rPr>
                <w:rFonts w:hint="eastAsia" w:ascii="宋体" w:hAnsi="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val="en-US" w:eastAsia="zh-CN"/>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1条及以上实质性技术条款负偏离的，作无效标处理</w:t>
            </w:r>
            <w:r>
              <w:rPr>
                <w:rFonts w:hint="eastAsia" w:ascii="宋体" w:hAnsi="宋体" w:cs="宋体"/>
                <w:b w:val="0"/>
                <w:bCs w:val="0"/>
                <w:color w:val="auto"/>
                <w:sz w:val="21"/>
                <w:szCs w:val="21"/>
                <w:highlight w:val="none"/>
                <w:lang w:val="en-US" w:eastAsia="zh-CN"/>
              </w:rPr>
              <w:t>；</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投标人得分=1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-（负偏离条数-20）*</w:t>
            </w:r>
            <w:r>
              <w:rPr>
                <w:rFonts w:hint="eastAsia" w:ascii="宋体" w:hAnsi="宋体" w:cs="宋体"/>
                <w:b w:val="0"/>
                <w:bCs w:val="0"/>
                <w:color w:val="auto"/>
                <w:sz w:val="21"/>
                <w:szCs w:val="21"/>
                <w:highlight w:val="none"/>
                <w:lang w:val="en-US" w:eastAsia="zh-CN"/>
              </w:rPr>
              <w:t>1.18</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line="360" w:lineRule="auto"/>
        <w:rPr>
          <w:rFonts w:hint="eastAsia" w:ascii="宋体" w:hAnsi="宋体" w:cs="宋体"/>
          <w:b/>
          <w:color w:val="auto"/>
          <w:highlight w:val="none"/>
          <w:lang w:val="en-US" w:eastAsia="zh-CN"/>
        </w:rPr>
      </w:pPr>
    </w:p>
    <w:p>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标项三：</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1.本项目共有</w:t>
            </w: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lang w:val="en-US" w:eastAsia="zh-CN"/>
              </w:rPr>
              <w:t>项技术条款：标注“★”号的技术条款为实质性技术条款共</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lang w:val="en-US" w:eastAsia="zh-CN"/>
              </w:rPr>
              <w:t>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2.每1条重要技术条款负偏离的等同2条普通技术条款负偏离。</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3.技术响应的偏离按以下进行：</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w:t>
            </w:r>
            <w:r>
              <w:rPr>
                <w:rFonts w:hint="eastAsia" w:ascii="宋体" w:hAnsi="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val="en-US" w:eastAsia="zh-CN"/>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1条及以上实质性技术条款负偏离的，作无效标处理</w:t>
            </w:r>
            <w:r>
              <w:rPr>
                <w:rFonts w:hint="eastAsia" w:ascii="宋体" w:hAnsi="宋体" w:cs="宋体"/>
                <w:b w:val="0"/>
                <w:bCs w:val="0"/>
                <w:color w:val="auto"/>
                <w:sz w:val="21"/>
                <w:szCs w:val="21"/>
                <w:highlight w:val="none"/>
                <w:lang w:val="en-US" w:eastAsia="zh-CN"/>
              </w:rPr>
              <w:t>；</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投标人得分=1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-（负偏离条数-20）*0.</w:t>
            </w:r>
            <w:r>
              <w:rPr>
                <w:rFonts w:hint="eastAsia" w:ascii="宋体" w:hAnsi="宋体" w:cs="宋体"/>
                <w:b w:val="0"/>
                <w:bCs w:val="0"/>
                <w:color w:val="auto"/>
                <w:sz w:val="21"/>
                <w:szCs w:val="21"/>
                <w:highlight w:val="none"/>
                <w:lang w:val="en-US" w:eastAsia="zh-CN"/>
              </w:rPr>
              <w:t>4</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line="360" w:lineRule="auto"/>
        <w:rPr>
          <w:rFonts w:hint="eastAsia" w:ascii="宋体" w:hAnsi="宋体" w:cs="宋体"/>
          <w:b/>
          <w:color w:val="auto"/>
          <w:highlight w:val="none"/>
          <w:lang w:val="en-US" w:eastAsia="zh-CN"/>
        </w:rPr>
      </w:pPr>
    </w:p>
    <w:p>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标项四：</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bookmarkStart w:id="178" w:name="_GoBack"/>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1.本项目共有</w:t>
            </w:r>
            <w:r>
              <w:rPr>
                <w:rFonts w:hint="eastAsia" w:ascii="宋体" w:hAnsi="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lang w:val="en-US" w:eastAsia="zh-CN"/>
              </w:rPr>
              <w:t>项技术条款：标注“★”号的技术条款为实质性技术条款共</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val="en-US" w:eastAsia="zh-CN"/>
              </w:rPr>
              <w:t>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2.每1条重要技术条款负偏离的等同2条普通技术条款负偏离。</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3.技术响应的偏离按以下进行：</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w:t>
            </w:r>
            <w:r>
              <w:rPr>
                <w:rFonts w:hint="eastAsia" w:ascii="宋体" w:hAnsi="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val="en-US" w:eastAsia="zh-CN"/>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1条及以上实质性技术条款负偏离的，作无效标处理</w:t>
            </w:r>
            <w:r>
              <w:rPr>
                <w:rFonts w:hint="eastAsia" w:ascii="宋体" w:hAnsi="宋体" w:cs="宋体"/>
                <w:b w:val="0"/>
                <w:bCs w:val="0"/>
                <w:color w:val="auto"/>
                <w:sz w:val="21"/>
                <w:szCs w:val="21"/>
                <w:highlight w:val="none"/>
                <w:lang w:val="en-US" w:eastAsia="zh-CN"/>
              </w:rPr>
              <w:t>；</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条的按以下原则评审：普通技术条款每负偏离1条，扣1分。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投标人得分=</w:t>
            </w: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lang w:val="en-US" w:eastAsia="zh-CN"/>
              </w:rPr>
              <w:t>-（负偏离条数-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2.3</w:t>
            </w:r>
            <w:bookmarkEnd w:id="178"/>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六、定标</w:t>
      </w:r>
      <w:bookmarkEnd w:id="163"/>
    </w:p>
    <w:p>
      <w:pPr>
        <w:spacing w:before="120" w:beforeLines="50" w:after="120" w:afterLines="50"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1.采购代理机构在评标结束后将评标报告交采购人确认。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rPr>
        <w:t>4.</w:t>
      </w:r>
      <w:r>
        <w:rPr>
          <w:rFonts w:hint="eastAsia" w:ascii="宋体" w:hAnsi="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color w:val="auto"/>
          <w:highlight w:val="none"/>
          <w:lang w:bidi="ar"/>
        </w:rPr>
      </w:pPr>
      <w:r>
        <w:rPr>
          <w:rFonts w:hint="eastAsia" w:ascii="宋体" w:hAnsi="宋体" w:cs="宋体"/>
          <w:b/>
          <w:bCs/>
          <w:color w:val="auto"/>
          <w:highlight w:val="none"/>
          <w:lang w:bidi="ar"/>
        </w:rPr>
        <w:t>七、评标过程的监控与保密</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color w:val="auto"/>
          <w:highlight w:val="none"/>
        </w:rPr>
      </w:pPr>
      <w:bookmarkStart w:id="167" w:name="_Toc17747"/>
      <w:r>
        <w:rPr>
          <w:rFonts w:hint="eastAsia" w:ascii="宋体" w:hAnsi="宋体" w:cs="宋体"/>
          <w:b/>
          <w:color w:val="auto"/>
          <w:highlight w:val="none"/>
        </w:rPr>
        <w:t>八、合同授予</w:t>
      </w:r>
      <w:bookmarkEnd w:id="16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color w:val="auto"/>
          <w:highlight w:val="none"/>
        </w:rPr>
        <w:t>.</w:t>
      </w:r>
      <w:r>
        <w:rPr>
          <w:rFonts w:hint="eastAsia" w:ascii="宋体"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color w:val="auto"/>
          <w:highlight w:val="none"/>
        </w:rPr>
        <w:t>.</w:t>
      </w:r>
      <w:r>
        <w:rPr>
          <w:rFonts w:hint="eastAsia" w:ascii="宋体" w:hAnsi="宋体" w:cs="宋体"/>
          <w:bCs/>
          <w:color w:val="auto"/>
          <w:highlight w:val="none"/>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4.中标或者成交供应商拒绝与采购人签订合同的，采购人应重新招标。</w:t>
      </w:r>
    </w:p>
    <w:p>
      <w:pPr>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九、履约验收</w:t>
      </w:r>
    </w:p>
    <w:p>
      <w:pPr>
        <w:spacing w:before="120" w:beforeLines="50" w:after="120" w:afterLines="50" w:line="360" w:lineRule="auto"/>
        <w:ind w:firstLine="411" w:firstLineChars="196"/>
        <w:rPr>
          <w:rFonts w:ascii="宋体" w:hAnsi="宋体" w:cs="宋体"/>
          <w:color w:val="auto"/>
          <w:highlight w:val="none"/>
        </w:rPr>
      </w:pPr>
      <w:r>
        <w:rPr>
          <w:rFonts w:hint="eastAsia" w:ascii="宋体" w:hAnsi="宋体" w:cs="宋体"/>
          <w:bCs/>
          <w:color w:val="auto"/>
          <w:highlight w:val="none"/>
        </w:rPr>
        <w:t>采购人负责对中标供应商的履约行为进行验收。政府向社会公众提供的公共服务项目，验收时应当邀请服务对象参与并出具意见，验收结果应当向社会公告。</w:t>
      </w:r>
    </w:p>
    <w:p>
      <w:pPr>
        <w:pStyle w:val="3"/>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164"/>
    <w:bookmarkEnd w:id="165"/>
    <w:bookmarkEnd w:id="166"/>
    <w:p>
      <w:pPr>
        <w:pStyle w:val="3"/>
        <w:rPr>
          <w:rFonts w:ascii="宋体" w:cs="宋体"/>
          <w:color w:val="auto"/>
          <w:highlight w:val="none"/>
        </w:rPr>
      </w:pPr>
      <w:r>
        <w:rPr>
          <w:rFonts w:hint="eastAsia" w:ascii="宋体" w:cs="宋体"/>
          <w:color w:val="auto"/>
          <w:highlight w:val="none"/>
        </w:rPr>
        <w:t>第五章  合同主要条款</w:t>
      </w:r>
    </w:p>
    <w:p>
      <w:pPr>
        <w:rPr>
          <w:rFonts w:ascii="宋体" w:hAnsi="宋体" w:cs="宋体"/>
          <w:b/>
          <w:bCs/>
          <w:color w:val="auto"/>
          <w:sz w:val="32"/>
          <w:szCs w:val="32"/>
          <w:highlight w:val="none"/>
        </w:rPr>
      </w:pPr>
      <w:r>
        <w:rPr>
          <w:rFonts w:hint="eastAsia" w:ascii="宋体" w:hAnsi="宋体" w:cs="宋体"/>
          <w:b/>
          <w:bCs/>
          <w:color w:val="auto"/>
          <w:highlight w:val="none"/>
        </w:rPr>
        <w:t xml:space="preserve">合同编号： </w:t>
      </w:r>
      <w:r>
        <w:rPr>
          <w:rFonts w:hint="eastAsia" w:ascii="宋体" w:hAnsi="宋体" w:cs="宋体"/>
          <w:b/>
          <w:bCs/>
          <w:color w:val="auto"/>
          <w:sz w:val="32"/>
          <w:szCs w:val="32"/>
          <w:highlight w:val="none"/>
        </w:rPr>
        <w:t xml:space="preserve">                         </w:t>
      </w:r>
      <w:r>
        <w:rPr>
          <w:rFonts w:hint="eastAsia" w:ascii="宋体" w:hAnsi="宋体" w:cs="宋体"/>
          <w:b/>
          <w:bCs/>
          <w:color w:val="auto"/>
          <w:highlight w:val="none"/>
        </w:rPr>
        <w:t>签约地  ：丽水市莲都区</w:t>
      </w:r>
      <w:r>
        <w:rPr>
          <w:rFonts w:hint="eastAsia" w:ascii="宋体" w:hAnsi="宋体" w:cs="宋体"/>
          <w:b/>
          <w:bCs/>
          <w:color w:val="auto"/>
          <w:sz w:val="24"/>
          <w:szCs w:val="24"/>
          <w:highlight w:val="none"/>
        </w:rPr>
        <w:t xml:space="preserve">                                  </w:t>
      </w:r>
    </w:p>
    <w:p>
      <w:pPr>
        <w:spacing w:line="340" w:lineRule="exact"/>
        <w:rPr>
          <w:rFonts w:ascii="宋体" w:hAnsi="宋体" w:cs="宋体"/>
          <w:b/>
          <w:bCs/>
          <w:color w:val="auto"/>
          <w:highlight w:val="none"/>
        </w:rPr>
      </w:pPr>
      <w:r>
        <w:rPr>
          <w:rFonts w:hint="eastAsia" w:ascii="宋体" w:hAnsi="宋体" w:cs="宋体"/>
          <w:b/>
          <w:bCs/>
          <w:color w:val="auto"/>
          <w:highlight w:val="none"/>
        </w:rPr>
        <w:t>甲方（买方）：丽水市中心医院                      乙方（卖方）：</w:t>
      </w:r>
    </w:p>
    <w:p>
      <w:pPr>
        <w:pStyle w:val="21"/>
        <w:spacing w:line="340" w:lineRule="exact"/>
        <w:ind w:firstLine="0"/>
        <w:rPr>
          <w:rFonts w:hAnsi="宋体"/>
          <w:color w:val="auto"/>
          <w:sz w:val="21"/>
          <w:szCs w:val="21"/>
          <w:highlight w:val="none"/>
        </w:rPr>
      </w:pPr>
      <w:r>
        <w:rPr>
          <w:rFonts w:hint="eastAsia" w:hAnsi="宋体"/>
          <w:b/>
          <w:bCs/>
          <w:color w:val="auto"/>
          <w:sz w:val="21"/>
          <w:szCs w:val="21"/>
          <w:highlight w:val="none"/>
        </w:rPr>
        <w:t>1.</w:t>
      </w:r>
      <w:r>
        <w:rPr>
          <w:rFonts w:hint="eastAsia" w:hAnsi="宋体"/>
          <w:color w:val="auto"/>
          <w:sz w:val="21"/>
          <w:szCs w:val="21"/>
          <w:highlight w:val="none"/>
        </w:rPr>
        <w:t>甲乙双方根据《中华人民共和国民典法》，在平等互利、协商一致的基础上，买方同意向卖方</w:t>
      </w:r>
    </w:p>
    <w:p>
      <w:pPr>
        <w:pStyle w:val="21"/>
        <w:spacing w:line="340" w:lineRule="exact"/>
        <w:ind w:left="329" w:leftChars="-228" w:hanging="808" w:hangingChars="400"/>
        <w:rPr>
          <w:rFonts w:hAnsi="宋体"/>
          <w:b/>
          <w:bCs/>
          <w:color w:val="auto"/>
          <w:sz w:val="21"/>
          <w:szCs w:val="21"/>
          <w:highlight w:val="none"/>
        </w:rPr>
      </w:pPr>
      <w:r>
        <w:rPr>
          <w:rFonts w:hint="eastAsia" w:hAnsi="宋体"/>
          <w:color w:val="auto"/>
          <w:sz w:val="21"/>
          <w:szCs w:val="21"/>
          <w:highlight w:val="none"/>
        </w:rPr>
        <w:t xml:space="preserve">        购买同时卖方同意授予买方以下设备（</w:t>
      </w:r>
      <w:r>
        <w:rPr>
          <w:rFonts w:hint="eastAsia" w:hAnsi="宋体"/>
          <w:b/>
          <w:bCs/>
          <w:color w:val="auto"/>
          <w:sz w:val="21"/>
          <w:szCs w:val="21"/>
          <w:highlight w:val="none"/>
        </w:rPr>
        <w:t>以下设备器械均简称设备，设备名称、规格型号、品牌等必须按注册证上的名称填写</w:t>
      </w:r>
      <w:r>
        <w:rPr>
          <w:rFonts w:hint="eastAsia" w:hAnsi="宋体"/>
          <w:color w:val="auto"/>
          <w:sz w:val="21"/>
          <w:szCs w:val="21"/>
          <w:highlight w:val="none"/>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设备名称</w:t>
            </w:r>
          </w:p>
        </w:tc>
        <w:tc>
          <w:tcPr>
            <w:tcW w:w="1216"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规格型号</w:t>
            </w:r>
          </w:p>
        </w:tc>
        <w:tc>
          <w:tcPr>
            <w:tcW w:w="93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品牌</w:t>
            </w:r>
          </w:p>
        </w:tc>
        <w:tc>
          <w:tcPr>
            <w:tcW w:w="72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产地</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26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单价（元）</w:t>
            </w:r>
          </w:p>
        </w:tc>
        <w:tc>
          <w:tcPr>
            <w:tcW w:w="180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color w:val="auto"/>
                <w:highlight w:val="none"/>
              </w:rPr>
            </w:pPr>
            <w:r>
              <w:rPr>
                <w:rFonts w:hint="eastAsia" w:ascii="宋体" w:hAnsi="宋体" w:cs="宋体"/>
                <w:b/>
                <w:bCs/>
                <w:color w:val="auto"/>
                <w:highlight w:val="none"/>
              </w:rPr>
              <w:t>（注册证上的名称）</w:t>
            </w:r>
          </w:p>
        </w:tc>
        <w:tc>
          <w:tcPr>
            <w:tcW w:w="1216" w:type="dxa"/>
            <w:vAlign w:val="center"/>
          </w:tcPr>
          <w:p>
            <w:pPr>
              <w:spacing w:line="340" w:lineRule="exact"/>
              <w:jc w:val="center"/>
              <w:rPr>
                <w:rFonts w:ascii="宋体" w:hAnsi="宋体" w:cs="宋体"/>
                <w:color w:val="auto"/>
                <w:highlight w:val="none"/>
              </w:rPr>
            </w:pPr>
          </w:p>
        </w:tc>
        <w:tc>
          <w:tcPr>
            <w:tcW w:w="937" w:type="dxa"/>
            <w:vAlign w:val="center"/>
          </w:tcPr>
          <w:p>
            <w:pPr>
              <w:spacing w:line="340" w:lineRule="exact"/>
              <w:jc w:val="center"/>
              <w:rPr>
                <w:rFonts w:ascii="宋体" w:hAnsi="宋体" w:cs="宋体"/>
                <w:color w:val="auto"/>
                <w:highlight w:val="none"/>
              </w:rPr>
            </w:pPr>
          </w:p>
        </w:tc>
        <w:tc>
          <w:tcPr>
            <w:tcW w:w="727"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1260" w:type="dxa"/>
            <w:vAlign w:val="center"/>
          </w:tcPr>
          <w:p>
            <w:pPr>
              <w:spacing w:line="340" w:lineRule="exact"/>
              <w:jc w:val="center"/>
              <w:rPr>
                <w:rFonts w:ascii="宋体" w:hAnsi="宋体" w:cs="宋体"/>
                <w:color w:val="auto"/>
                <w:highlight w:val="none"/>
              </w:rPr>
            </w:pPr>
          </w:p>
        </w:tc>
        <w:tc>
          <w:tcPr>
            <w:tcW w:w="1800" w:type="dxa"/>
            <w:vAlign w:val="center"/>
          </w:tcPr>
          <w:p>
            <w:pPr>
              <w:spacing w:line="340" w:lineRule="exact"/>
              <w:jc w:val="cente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rFonts w:ascii="宋体" w:hAnsi="宋体" w:cs="宋体"/>
                <w:b/>
                <w:bCs/>
                <w:color w:val="auto"/>
                <w:highlight w:val="none"/>
              </w:rPr>
            </w:pPr>
            <w:r>
              <w:rPr>
                <w:rFonts w:hint="eastAsia" w:ascii="宋体" w:hAnsi="宋体" w:cs="宋体"/>
                <w:b/>
                <w:bCs/>
                <w:color w:val="auto"/>
                <w:highlight w:val="none"/>
              </w:rPr>
              <w:t>合计成交金额（大写）：  整(RMB)</w:t>
            </w:r>
          </w:p>
        </w:tc>
      </w:tr>
    </w:tbl>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本合同若有详细的双方签字的配置清单，请详见附件。</w:t>
      </w:r>
    </w:p>
    <w:p>
      <w:pPr>
        <w:spacing w:line="340" w:lineRule="exact"/>
        <w:ind w:firstLine="210" w:firstLineChars="100"/>
        <w:rPr>
          <w:rFonts w:ascii="宋体" w:hAnsi="宋体" w:cs="宋体"/>
          <w:color w:val="auto"/>
          <w:highlight w:val="none"/>
        </w:rPr>
      </w:pPr>
      <w:r>
        <w:rPr>
          <w:rFonts w:hint="eastAsia" w:ascii="宋体" w:hAnsi="宋体" w:cs="宋体"/>
          <w:color w:val="auto"/>
          <w:highlight w:val="none"/>
        </w:rPr>
        <w:t>（医疗器械产品注册证号：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注册证有效期：</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40" w:lineRule="exact"/>
        <w:ind w:left="358" w:hanging="358" w:hangingChars="170"/>
        <w:rPr>
          <w:rFonts w:ascii="宋体" w:hAnsi="宋体" w:cs="宋体"/>
          <w:b/>
          <w:bCs/>
          <w:color w:val="auto"/>
          <w:highlight w:val="none"/>
        </w:rPr>
      </w:pPr>
      <w:r>
        <w:rPr>
          <w:rFonts w:hint="eastAsia" w:ascii="宋体" w:hAnsi="宋体" w:cs="宋体"/>
          <w:b/>
          <w:bCs/>
          <w:color w:val="auto"/>
          <w:highlight w:val="none"/>
        </w:rPr>
        <w:t xml:space="preserve">2. 设备的交付期 </w:t>
      </w:r>
      <w:r>
        <w:rPr>
          <w:rFonts w:hint="eastAsia" w:ascii="宋体" w:hAnsi="宋体" w:cs="宋体"/>
          <w:color w:val="auto"/>
          <w:highlight w:val="none"/>
        </w:rPr>
        <w:t>乙方在合同生效的</w:t>
      </w:r>
      <w:r>
        <w:rPr>
          <w:rFonts w:hint="eastAsia" w:ascii="宋体" w:hAnsi="宋体" w:cs="宋体"/>
          <w:color w:val="auto"/>
          <w:highlight w:val="none"/>
          <w:u w:val="single"/>
        </w:rPr>
        <w:t xml:space="preserve">   </w:t>
      </w:r>
      <w:r>
        <w:rPr>
          <w:rFonts w:hint="eastAsia" w:ascii="宋体" w:hAnsi="宋体" w:cs="宋体"/>
          <w:color w:val="auto"/>
          <w:highlight w:val="none"/>
        </w:rPr>
        <w:t>天内送货至甲方指定地点向甲方交付上述设备，逾期将按照第7条规定执行。</w:t>
      </w:r>
    </w:p>
    <w:p>
      <w:pPr>
        <w:spacing w:line="340" w:lineRule="exact"/>
        <w:rPr>
          <w:rFonts w:ascii="宋体" w:hAnsi="宋体" w:cs="宋体"/>
          <w:b/>
          <w:bCs/>
          <w:color w:val="auto"/>
          <w:highlight w:val="none"/>
        </w:rPr>
      </w:pPr>
      <w:r>
        <w:rPr>
          <w:rFonts w:hint="eastAsia" w:ascii="宋体" w:hAnsi="宋体" w:cs="宋体"/>
          <w:b/>
          <w:bCs/>
          <w:color w:val="auto"/>
          <w:highlight w:val="none"/>
        </w:rPr>
        <w:t>3. 设备运输、安装和验收</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 xml:space="preserve">3.1乙方确保设备安全无损地运抵甲方指定现场,并承担设备的运费、保险费等费用，装卸费由乙方承担。  </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3.2甲乙双方对设备进行开箱清点检查验收，如果发现数量不足、品牌规格不符或有质量、技术等问题，乙方应在</w:t>
      </w:r>
      <w:r>
        <w:rPr>
          <w:rFonts w:hint="eastAsia" w:ascii="宋体" w:hAnsi="宋体" w:cs="宋体"/>
          <w:color w:val="auto"/>
          <w:highlight w:val="none"/>
          <w:u w:val="single"/>
        </w:rPr>
        <w:t xml:space="preserve">   </w:t>
      </w:r>
      <w:r>
        <w:rPr>
          <w:rFonts w:hint="eastAsia" w:ascii="宋体" w:hAnsi="宋体" w:cs="宋体"/>
          <w:color w:val="auto"/>
          <w:highlight w:val="none"/>
        </w:rPr>
        <w:t>天内，按照甲方的要求，采取补足、更换或退货等处理措施，并承担由此发生的一切损失和费用。</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3.3设备到货后，乙方应在接到甲方通知后</w:t>
      </w:r>
      <w:r>
        <w:rPr>
          <w:rFonts w:hint="eastAsia" w:ascii="宋体" w:hAnsi="宋体" w:cs="宋体"/>
          <w:color w:val="auto"/>
          <w:highlight w:val="none"/>
          <w:u w:val="single"/>
        </w:rPr>
        <w:t>3</w:t>
      </w:r>
      <w:r>
        <w:rPr>
          <w:rFonts w:hint="eastAsia" w:ascii="宋体" w:hAnsi="宋体" w:cs="宋体"/>
          <w:color w:val="auto"/>
          <w:highlight w:val="none"/>
        </w:rPr>
        <w:t>天内安装调试完成。</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3.4甲、乙双方在符合国家相关技术标准的基础上，根据招标要求的技术标准进行技术验收，验收合格后，双方在甲方《丽水市中心医院医疗设备到货验收报告》上签字确认。</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3.5若属强检计量设备，需提供有效的计量合格证书。</w:t>
      </w:r>
    </w:p>
    <w:p>
      <w:pPr>
        <w:spacing w:line="340" w:lineRule="exact"/>
        <w:rPr>
          <w:rFonts w:ascii="宋体" w:hAnsi="宋体" w:cs="宋体"/>
          <w:b/>
          <w:bCs/>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w:t>
      </w:r>
      <w:r>
        <w:rPr>
          <w:rFonts w:hint="eastAsia" w:ascii="宋体" w:hAnsi="宋体" w:cs="宋体"/>
          <w:b/>
          <w:bCs/>
          <w:color w:val="auto"/>
          <w:highlight w:val="none"/>
        </w:rPr>
        <w:t>付款方式</w:t>
      </w:r>
    </w:p>
    <w:p>
      <w:pPr>
        <w:ind w:left="420" w:leftChars="200"/>
        <w:rPr>
          <w:rFonts w:ascii="宋体" w:hAnsi="宋体" w:cs="宋体"/>
          <w:color w:val="auto"/>
          <w:highlight w:val="none"/>
        </w:rPr>
      </w:pPr>
      <w:r>
        <w:rPr>
          <w:rFonts w:hint="eastAsia" w:ascii="宋体" w:hAnsi="宋体" w:cs="宋体"/>
          <w:color w:val="auto"/>
          <w:highlight w:val="none"/>
        </w:rPr>
        <w:t>4.1合同生效并具备实施条件后7个工作日内</w:t>
      </w:r>
      <w:r>
        <w:rPr>
          <w:rFonts w:hint="eastAsia" w:ascii="宋体" w:hAnsi="宋体" w:cs="宋体"/>
          <w:color w:val="auto"/>
          <w:highlight w:val="none"/>
          <w:lang w:val="en-US" w:eastAsia="zh-CN"/>
        </w:rPr>
        <w:t>凭</w:t>
      </w:r>
      <w:r>
        <w:rPr>
          <w:rFonts w:hint="eastAsia" w:ascii="宋体" w:hAnsi="宋体" w:eastAsia="宋体" w:cs="宋体"/>
          <w:color w:val="auto"/>
          <w:highlight w:val="none"/>
        </w:rPr>
        <w:t>等金额预付款保函</w:t>
      </w:r>
      <w:r>
        <w:rPr>
          <w:rFonts w:hint="eastAsia" w:ascii="宋体" w:hAnsi="宋体" w:cs="宋体"/>
          <w:color w:val="auto"/>
          <w:highlight w:val="none"/>
        </w:rPr>
        <w:t>支付支付合同金额的40%作为预付款；</w:t>
      </w:r>
    </w:p>
    <w:p>
      <w:pPr>
        <w:ind w:left="420" w:leftChars="200"/>
        <w:rPr>
          <w:rFonts w:ascii="宋体" w:hAnsi="宋体" w:cs="宋体"/>
          <w:color w:val="auto"/>
          <w:highlight w:val="none"/>
        </w:rPr>
      </w:pPr>
      <w:r>
        <w:rPr>
          <w:rFonts w:hint="eastAsia" w:ascii="宋体" w:hAnsi="宋体" w:cs="宋体"/>
          <w:color w:val="auto"/>
          <w:highlight w:val="none"/>
        </w:rPr>
        <w:t>4.2项目验收合格并收到中标人正式发票之日起7个工作日内一次性付清合同款。</w:t>
      </w:r>
    </w:p>
    <w:p>
      <w:pPr>
        <w:ind w:left="420" w:leftChars="200"/>
        <w:rPr>
          <w:rFonts w:ascii="宋体" w:hAnsi="宋体" w:cs="宋体"/>
          <w:color w:val="auto"/>
          <w:highlight w:val="none"/>
        </w:rPr>
      </w:pPr>
      <w:r>
        <w:rPr>
          <w:rFonts w:hint="eastAsia" w:ascii="宋体" w:hAnsi="宋体" w:cs="宋体"/>
          <w:color w:val="auto"/>
          <w:highlight w:val="none"/>
        </w:rPr>
        <w:t>乙方应在甲方验收完成时向甲方提供合同总价的增值税发票，逾期开具，甲方付款时间顺延。</w:t>
      </w:r>
    </w:p>
    <w:p>
      <w:pPr>
        <w:ind w:left="420" w:leftChars="200"/>
        <w:rPr>
          <w:rFonts w:ascii="宋体" w:hAnsi="宋体" w:cs="宋体"/>
          <w:color w:val="auto"/>
          <w:highlight w:val="none"/>
        </w:rPr>
      </w:pPr>
      <w:r>
        <w:rPr>
          <w:rFonts w:hint="eastAsia" w:ascii="宋体" w:hAnsi="宋体" w:cs="宋体"/>
          <w:color w:val="auto"/>
          <w:highlight w:val="none"/>
        </w:rPr>
        <w:t>乙方帐户：</w:t>
      </w:r>
      <w:r>
        <w:rPr>
          <w:rFonts w:hint="eastAsia" w:ascii="宋体" w:hAnsi="宋体" w:cs="宋体"/>
          <w:color w:val="auto"/>
          <w:highlight w:val="none"/>
        </w:rPr>
        <w:tab/>
      </w:r>
    </w:p>
    <w:p>
      <w:pPr>
        <w:tabs>
          <w:tab w:val="left" w:pos="90"/>
          <w:tab w:val="left" w:pos="340"/>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单位全称：                  </w:t>
      </w:r>
    </w:p>
    <w:p>
      <w:pPr>
        <w:tabs>
          <w:tab w:val="left" w:pos="90"/>
          <w:tab w:val="left" w:pos="340"/>
          <w:tab w:val="left" w:pos="2551"/>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开 户 行：                  </w:t>
      </w:r>
    </w:p>
    <w:p>
      <w:pPr>
        <w:tabs>
          <w:tab w:val="center" w:pos="4613"/>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银行帐号：                  </w:t>
      </w:r>
    </w:p>
    <w:p>
      <w:pPr>
        <w:spacing w:line="340" w:lineRule="exact"/>
        <w:rPr>
          <w:rFonts w:ascii="宋体" w:hAnsi="宋体" w:cs="宋体"/>
          <w:b/>
          <w:bCs/>
          <w:color w:val="auto"/>
          <w:highlight w:val="none"/>
        </w:rPr>
      </w:pPr>
      <w:r>
        <w:rPr>
          <w:rFonts w:hint="eastAsia" w:ascii="宋体" w:hAnsi="宋体" w:cs="宋体"/>
          <w:b/>
          <w:bCs/>
          <w:color w:val="auto"/>
          <w:highlight w:val="none"/>
        </w:rPr>
        <w:t>5.伴随服务</w:t>
      </w:r>
    </w:p>
    <w:p>
      <w:pPr>
        <w:spacing w:line="340" w:lineRule="exact"/>
        <w:ind w:left="428" w:leftChars="172" w:hanging="67" w:hangingChars="32"/>
        <w:rPr>
          <w:rFonts w:ascii="宋体" w:hAnsi="宋体" w:cs="宋体"/>
          <w:b/>
          <w:bCs/>
          <w:color w:val="auto"/>
          <w:highlight w:val="none"/>
        </w:rPr>
      </w:pPr>
      <w:r>
        <w:rPr>
          <w:rFonts w:hint="eastAsia" w:ascii="宋体" w:hAnsi="宋体" w:cs="宋体"/>
          <w:color w:val="auto"/>
          <w:highlight w:val="none"/>
        </w:rPr>
        <w:t>5.1乙方应提供设备的技术文件，包括</w:t>
      </w:r>
      <w:r>
        <w:rPr>
          <w:rFonts w:hint="eastAsia" w:ascii="宋体" w:hAnsi="宋体" w:cs="宋体"/>
          <w:color w:val="auto"/>
          <w:kern w:val="0"/>
          <w:highlight w:val="none"/>
        </w:rPr>
        <w:t>合格证明文件、</w:t>
      </w:r>
      <w:r>
        <w:rPr>
          <w:rFonts w:hint="eastAsia" w:ascii="宋体" w:hAnsi="宋体" w:cs="宋体"/>
          <w:color w:val="auto"/>
          <w:highlight w:val="none"/>
        </w:rPr>
        <w:t>中文说明书（纸质两份）、中文说明书（电子版）、符合监管要求的中文标签</w:t>
      </w:r>
      <w:r>
        <w:rPr>
          <w:rFonts w:hint="eastAsia" w:ascii="宋体" w:hAnsi="宋体" w:cs="宋体"/>
          <w:color w:val="auto"/>
          <w:kern w:val="0"/>
          <w:highlight w:val="none"/>
        </w:rPr>
        <w:t>、</w:t>
      </w:r>
      <w:r>
        <w:rPr>
          <w:rFonts w:hint="eastAsia" w:ascii="宋体" w:hAnsi="宋体" w:cs="宋体"/>
          <w:color w:val="auto"/>
          <w:highlight w:val="none"/>
        </w:rPr>
        <w:t>维护手册、维修手册、故障代码表、软件备份、备件清单、零部件等维护维修必需的材料和信息。</w:t>
      </w:r>
    </w:p>
    <w:p>
      <w:pPr>
        <w:spacing w:line="340" w:lineRule="exact"/>
        <w:ind w:firstLine="359" w:firstLineChars="171"/>
        <w:rPr>
          <w:rFonts w:ascii="宋体" w:hAnsi="宋体" w:cs="宋体"/>
          <w:color w:val="auto"/>
          <w:highlight w:val="none"/>
        </w:rPr>
      </w:pPr>
      <w:r>
        <w:rPr>
          <w:rFonts w:hint="eastAsia" w:ascii="宋体" w:hAnsi="宋体" w:cs="宋体"/>
          <w:color w:val="auto"/>
          <w:highlight w:val="none"/>
        </w:rPr>
        <w:t>5.2乙方还应免费提供下列服务：</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设备的现场安装和调试；</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提供设备安装和维修所需的专用工具和辅助材料；</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pPr>
        <w:spacing w:line="340" w:lineRule="exact"/>
        <w:rPr>
          <w:rFonts w:ascii="宋体" w:hAnsi="宋体" w:cs="宋体"/>
          <w:color w:val="auto"/>
          <w:highlight w:val="none"/>
        </w:rPr>
      </w:pPr>
      <w:r>
        <w:rPr>
          <w:rFonts w:hint="eastAsia" w:ascii="宋体" w:hAnsi="宋体" w:cs="宋体"/>
          <w:b/>
          <w:bCs/>
          <w:color w:val="auto"/>
          <w:highlight w:val="none"/>
        </w:rPr>
        <w:t>6.质量保证及售后服务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6.1乙方应保证所供设备是在</w:t>
      </w:r>
      <w:r>
        <w:rPr>
          <w:rFonts w:hint="eastAsia" w:ascii="宋体" w:hAnsi="宋体" w:cs="宋体"/>
          <w:color w:val="auto"/>
          <w:highlight w:val="none"/>
          <w:u w:val="single"/>
        </w:rPr>
        <w:t xml:space="preserve">   </w:t>
      </w:r>
      <w:r>
        <w:rPr>
          <w:rFonts w:hint="eastAsia" w:ascii="宋体" w:hAnsi="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rFonts w:ascii="宋体" w:hAnsi="宋体" w:cs="宋体"/>
          <w:color w:val="auto"/>
          <w:highlight w:val="none"/>
        </w:rPr>
      </w:pPr>
      <w:r>
        <w:rPr>
          <w:rFonts w:hint="eastAsia" w:ascii="宋体" w:hAnsi="宋体" w:cs="宋体"/>
          <w:color w:val="auto"/>
          <w:highlight w:val="none"/>
        </w:rPr>
        <w:t>6.2乙方应提供保修期</w:t>
      </w:r>
      <w:r>
        <w:rPr>
          <w:rFonts w:hint="eastAsia" w:ascii="宋体" w:hAnsi="宋体" w:cs="宋体"/>
          <w:color w:val="auto"/>
          <w:highlight w:val="none"/>
          <w:u w:val="single"/>
        </w:rPr>
        <w:t xml:space="preserve">    </w:t>
      </w:r>
      <w:r>
        <w:rPr>
          <w:rFonts w:hint="eastAsia" w:ascii="宋体" w:hAnsi="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color w:val="auto"/>
          <w:highlight w:val="none"/>
          <w:u w:val="single"/>
        </w:rPr>
        <w:t xml:space="preserve">   </w:t>
      </w:r>
      <w:r>
        <w:rPr>
          <w:rFonts w:hint="eastAsia" w:ascii="宋体" w:hAnsi="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6.3报修响应时间</w:t>
      </w:r>
      <w:r>
        <w:rPr>
          <w:rFonts w:hint="eastAsia" w:ascii="宋体" w:hAnsi="宋体" w:cs="宋体"/>
          <w:color w:val="auto"/>
          <w:highlight w:val="none"/>
          <w:u w:val="single"/>
        </w:rPr>
        <w:t xml:space="preserve">  </w:t>
      </w:r>
      <w:r>
        <w:rPr>
          <w:rFonts w:hint="eastAsia" w:ascii="宋体" w:hAnsi="宋体" w:cs="宋体"/>
          <w:color w:val="auto"/>
          <w:highlight w:val="none"/>
        </w:rPr>
        <w:t>小时，到场时间</w:t>
      </w:r>
      <w:r>
        <w:rPr>
          <w:rFonts w:hint="eastAsia" w:ascii="宋体" w:hAnsi="宋体" w:cs="宋体"/>
          <w:color w:val="auto"/>
          <w:highlight w:val="none"/>
          <w:u w:val="single"/>
        </w:rPr>
        <w:t xml:space="preserve">   </w:t>
      </w:r>
      <w:r>
        <w:rPr>
          <w:rFonts w:hint="eastAsia" w:ascii="宋体" w:hAnsi="宋体" w:cs="宋体"/>
          <w:color w:val="auto"/>
          <w:highlight w:val="none"/>
        </w:rPr>
        <w:t>小时（不可抗因素除外）</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6.4保修期满后的服务：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6.4.1乙方负责设备的终身维修并应继续提供优质的服务，储备足够的零配件备库。保修期满后，以不高于</w:t>
      </w:r>
      <w:r>
        <w:rPr>
          <w:rFonts w:hint="eastAsia" w:ascii="宋体" w:hAnsi="宋体" w:cs="宋体"/>
          <w:color w:val="auto"/>
          <w:highlight w:val="none"/>
          <w:u w:val="single"/>
        </w:rPr>
        <w:t xml:space="preserve">  %</w:t>
      </w:r>
      <w:r>
        <w:rPr>
          <w:rFonts w:hint="eastAsia" w:ascii="宋体" w:hAnsi="宋体" w:cs="宋体"/>
          <w:color w:val="auto"/>
          <w:highlight w:val="none"/>
        </w:rPr>
        <w:t>的优惠价供应维修零配件，消耗品的供应应由双方另设协议确定。</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6.4.2保修期满后人工费方案：</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 xml:space="preserve">1、免人工费及差旅住宿费等，仅收取零配件费。 </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2、人工费为单次故障不高于</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6.4..3所有费用采用先维修后付款方式。</w:t>
      </w:r>
    </w:p>
    <w:p>
      <w:pPr>
        <w:spacing w:line="340" w:lineRule="exact"/>
        <w:ind w:left="359" w:leftChars="171" w:firstLine="1"/>
        <w:rPr>
          <w:rFonts w:ascii="宋体" w:hAnsi="宋体" w:cs="宋体"/>
          <w:color w:val="auto"/>
          <w:highlight w:val="none"/>
        </w:rPr>
      </w:pPr>
      <w:r>
        <w:rPr>
          <w:rFonts w:hint="eastAsia" w:ascii="宋体" w:hAnsi="宋体" w:cs="宋体"/>
          <w:color w:val="auto"/>
          <w:kern w:val="0"/>
          <w:highlight w:val="none"/>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7.索赔条款</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 如确认货物不符合本合同约定，甲方有权选择下列方式之一要求卖方进行补救：</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7.1.1甲方退货，乙方将全额货款偿还甲方，并负担因退货而发生的一切直接损失和费用。</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7.1.2按照货物的疵劣程度、损坏的范围和甲方所遭受的损失，将货物贬值。</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7.1.3调换有瑕疵的货物，换货必须全新并符合本合同规定的规格，质量和性能，乙方并负责因此而产生的一切费用和甲方的一切直接损失。</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spacing w:line="340" w:lineRule="exact"/>
        <w:ind w:left="420" w:leftChars="200"/>
        <w:rPr>
          <w:rFonts w:ascii="宋体" w:hAnsi="宋体" w:cs="宋体"/>
          <w:color w:val="auto"/>
          <w:highlight w:val="none"/>
        </w:rPr>
      </w:pPr>
      <w:r>
        <w:rPr>
          <w:rFonts w:hint="eastAsia" w:ascii="宋体" w:hAnsi="宋体" w:cs="宋体"/>
          <w:color w:val="auto"/>
          <w:highlight w:val="none"/>
        </w:rPr>
        <w:t>7.3乙方应保证甲方和使用单位在使用该设备或其任何一部分时免受第三方提出侵犯其专利权、商标权或工业产权的起诉。</w:t>
      </w:r>
    </w:p>
    <w:p>
      <w:pPr>
        <w:spacing w:line="340" w:lineRule="exact"/>
        <w:rPr>
          <w:rFonts w:ascii="宋体" w:hAnsi="宋体" w:cs="宋体"/>
          <w:b/>
          <w:bCs/>
          <w:color w:val="auto"/>
          <w:highlight w:val="none"/>
        </w:rPr>
      </w:pPr>
      <w:r>
        <w:rPr>
          <w:rFonts w:hint="eastAsia" w:ascii="宋体" w:hAnsi="宋体" w:cs="宋体"/>
          <w:b/>
          <w:bCs/>
          <w:color w:val="auto"/>
          <w:highlight w:val="none"/>
        </w:rPr>
        <w:t>8.争端的解决</w:t>
      </w:r>
    </w:p>
    <w:p>
      <w:pPr>
        <w:spacing w:line="340" w:lineRule="exact"/>
        <w:ind w:left="357" w:leftChars="170" w:right="-216" w:rightChars="-103" w:firstLine="1"/>
        <w:rPr>
          <w:rFonts w:ascii="宋体" w:hAnsi="宋体" w:cs="宋体"/>
          <w:color w:val="auto"/>
          <w:highlight w:val="none"/>
        </w:rPr>
      </w:pPr>
      <w:r>
        <w:rPr>
          <w:rFonts w:hint="eastAsia" w:ascii="宋体" w:hAnsi="宋体" w:cs="宋体"/>
          <w:color w:val="auto"/>
          <w:highlight w:val="none"/>
        </w:rPr>
        <w:t>双方如在履行合同中发生纠纷，首先应友好协商，协商不成，提交丽水仲裁委员会仲裁解决。</w:t>
      </w:r>
    </w:p>
    <w:p>
      <w:pPr>
        <w:spacing w:line="340" w:lineRule="exact"/>
        <w:rPr>
          <w:rFonts w:ascii="宋体" w:hAnsi="宋体" w:cs="宋体"/>
          <w:b/>
          <w:bCs/>
          <w:color w:val="auto"/>
          <w:highlight w:val="none"/>
        </w:rPr>
      </w:pPr>
      <w:r>
        <w:rPr>
          <w:rFonts w:hint="eastAsia" w:ascii="宋体" w:hAnsi="宋体" w:cs="宋体"/>
          <w:b/>
          <w:bCs/>
          <w:color w:val="auto"/>
          <w:highlight w:val="none"/>
        </w:rPr>
        <w:t>9.合同生效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9.1 本合同在甲、乙双方签字盖章后生效。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9.2 本合同一式</w:t>
      </w:r>
      <w:r>
        <w:rPr>
          <w:rFonts w:hint="eastAsia" w:ascii="宋体" w:hAnsi="宋体" w:cs="宋体"/>
          <w:color w:val="auto"/>
          <w:highlight w:val="none"/>
          <w:u w:val="single"/>
        </w:rPr>
        <w:t>两</w:t>
      </w:r>
      <w:r>
        <w:rPr>
          <w:rFonts w:hint="eastAsia" w:ascii="宋体" w:hAnsi="宋体" w:cs="宋体"/>
          <w:color w:val="auto"/>
          <w:highlight w:val="none"/>
        </w:rPr>
        <w:t>份，以中文书就，签约双方各执一份，具有相同的法律效力。</w:t>
      </w:r>
    </w:p>
    <w:p>
      <w:pPr>
        <w:spacing w:line="340" w:lineRule="exact"/>
        <w:rPr>
          <w:rFonts w:ascii="宋体" w:hAnsi="宋体" w:cs="宋体"/>
          <w:color w:val="auto"/>
          <w:highlight w:val="none"/>
        </w:rPr>
      </w:pPr>
      <w:r>
        <w:rPr>
          <w:rFonts w:hint="eastAsia" w:ascii="宋体" w:hAnsi="宋体" w:cs="宋体"/>
          <w:b/>
          <w:bCs/>
          <w:color w:val="auto"/>
          <w:highlight w:val="none"/>
        </w:rPr>
        <w:t xml:space="preserve">10.合同附件 </w:t>
      </w:r>
      <w:r>
        <w:rPr>
          <w:rFonts w:hint="eastAsia" w:ascii="宋体" w:hAnsi="宋体" w:cs="宋体"/>
          <w:color w:val="auto"/>
          <w:highlight w:val="none"/>
        </w:rPr>
        <w:t>合同附件是合同的不可分割的组成部分，与合同具有同等法律效力。</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10.1配置清单      □设备的配置清单</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10.2技术标准      □投标文件的技术响应   □设备技术说明　</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 xml:space="preserve">10.3其他          □承诺书或补充协议等    </w:t>
      </w:r>
    </w:p>
    <w:p>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特别约定：</w:t>
      </w:r>
      <w:r>
        <w:rPr>
          <w:rFonts w:hint="eastAsia" w:ascii="宋体" w:hAnsi="宋体" w:cs="宋体"/>
          <w:b/>
          <w:bCs/>
          <w:color w:val="auto"/>
          <w:highlight w:val="none"/>
          <w:u w:val="single"/>
        </w:rPr>
        <w:t>中标人的投标响应及承诺作为合同的附件。</w:t>
      </w:r>
    </w:p>
    <w:p>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其他说明：投标商、开票公司以及合同签订人必须为同家公司</w:t>
      </w:r>
    </w:p>
    <w:p>
      <w:pPr>
        <w:spacing w:line="340" w:lineRule="exact"/>
        <w:ind w:firstLine="422" w:firstLineChars="200"/>
        <w:rPr>
          <w:rFonts w:ascii="宋体" w:hAnsi="宋体" w:cs="宋体"/>
          <w:b/>
          <w:bCs/>
          <w:color w:val="auto"/>
          <w:highlight w:val="none"/>
        </w:rPr>
      </w:pPr>
      <w:r>
        <w:rPr>
          <w:rFonts w:hint="eastAsia" w:ascii="宋体" w:hAnsi="宋体" w:cs="宋体"/>
          <w:b/>
          <w:bCs/>
          <w:color w:val="auto"/>
          <w:highlight w:val="none"/>
        </w:rPr>
        <w:t xml:space="preserve">甲方：丽水市中心医院                               乙方： </w:t>
      </w:r>
    </w:p>
    <w:p>
      <w:pPr>
        <w:spacing w:line="340" w:lineRule="exact"/>
        <w:ind w:firstLine="310" w:firstLineChars="147"/>
        <w:rPr>
          <w:rFonts w:ascii="宋体" w:hAnsi="宋体" w:cs="宋体"/>
          <w:b/>
          <w:bCs/>
          <w:color w:val="auto"/>
          <w:highlight w:val="none"/>
        </w:rPr>
      </w:pPr>
      <w:r>
        <w:rPr>
          <w:rFonts w:hint="eastAsia" w:ascii="宋体" w:hAnsi="宋体" w:cs="宋体"/>
          <w:b/>
          <w:bCs/>
          <w:color w:val="auto"/>
          <w:highlight w:val="none"/>
        </w:rPr>
        <w:t>（盖章）                                          （盖章）</w:t>
      </w:r>
    </w:p>
    <w:p>
      <w:pPr>
        <w:spacing w:line="340" w:lineRule="exact"/>
        <w:rPr>
          <w:rFonts w:ascii="宋体" w:hAnsi="宋体" w:cs="宋体"/>
          <w:b/>
          <w:bCs/>
          <w:color w:val="auto"/>
          <w:highlight w:val="none"/>
        </w:rPr>
      </w:pPr>
      <w:r>
        <w:rPr>
          <w:rFonts w:hint="eastAsia" w:ascii="宋体" w:hAnsi="宋体" w:cs="宋体"/>
          <w:b/>
          <w:bCs/>
          <w:color w:val="auto"/>
          <w:highlight w:val="none"/>
        </w:rPr>
        <w:t>甲方法定代表人或授权委托人                        乙方法定代表人或授权委托人</w:t>
      </w:r>
    </w:p>
    <w:p>
      <w:pPr>
        <w:spacing w:line="340" w:lineRule="exact"/>
        <w:rPr>
          <w:rFonts w:ascii="宋体" w:hAnsi="宋体" w:cs="宋体"/>
          <w:b/>
          <w:bCs/>
          <w:color w:val="auto"/>
          <w:highlight w:val="none"/>
        </w:rPr>
      </w:pPr>
      <w:r>
        <w:rPr>
          <w:rFonts w:hint="eastAsia" w:ascii="宋体" w:hAnsi="宋体" w:cs="宋体"/>
          <w:b/>
          <w:bCs/>
          <w:color w:val="auto"/>
          <w:highlight w:val="none"/>
        </w:rPr>
        <w:t>__________________________                         __________________________</w:t>
      </w:r>
    </w:p>
    <w:p>
      <w:pPr>
        <w:spacing w:line="340" w:lineRule="exact"/>
        <w:rPr>
          <w:rFonts w:ascii="宋体" w:hAnsi="宋体" w:cs="宋体"/>
          <w:b/>
          <w:bCs/>
          <w:color w:val="auto"/>
          <w:highlight w:val="none"/>
        </w:rPr>
      </w:pPr>
      <w:r>
        <w:rPr>
          <w:rFonts w:hint="eastAsia" w:ascii="宋体" w:hAnsi="宋体" w:cs="宋体"/>
          <w:b/>
          <w:bCs/>
          <w:color w:val="auto"/>
          <w:highlight w:val="none"/>
        </w:rPr>
        <w:t>日期：____________________                        日期：____________________</w:t>
      </w:r>
    </w:p>
    <w:p>
      <w:pPr>
        <w:spacing w:line="340" w:lineRule="exact"/>
        <w:rPr>
          <w:rFonts w:ascii="宋体" w:hAnsi="宋体" w:cs="宋体"/>
          <w:color w:val="auto"/>
          <w:highlight w:val="none"/>
        </w:rPr>
      </w:pPr>
    </w:p>
    <w:p>
      <w:pPr>
        <w:spacing w:line="340" w:lineRule="exact"/>
        <w:ind w:firstLine="413" w:firstLineChars="196"/>
        <w:rPr>
          <w:rFonts w:ascii="宋体" w:hAnsi="宋体" w:cs="宋体"/>
          <w:b/>
          <w:bCs/>
          <w:color w:val="auto"/>
          <w:highlight w:val="none"/>
        </w:rPr>
      </w:pPr>
      <w:r>
        <w:rPr>
          <w:rFonts w:hint="eastAsia" w:ascii="宋体" w:hAnsi="宋体" w:cs="宋体"/>
          <w:b/>
          <w:bCs/>
          <w:color w:val="auto"/>
          <w:highlight w:val="none"/>
        </w:rPr>
        <w:t>联系地址：                                          联系地址：</w:t>
      </w:r>
    </w:p>
    <w:p>
      <w:pPr>
        <w:spacing w:line="340" w:lineRule="exact"/>
        <w:rPr>
          <w:rFonts w:ascii="宋体" w:hAnsi="宋体" w:cs="宋体"/>
          <w:b/>
          <w:bCs/>
          <w:color w:val="auto"/>
          <w:highlight w:val="none"/>
        </w:rPr>
      </w:pPr>
      <w:r>
        <w:rPr>
          <w:rFonts w:hint="eastAsia" w:ascii="宋体" w:hAnsi="宋体" w:cs="宋体"/>
          <w:b/>
          <w:bCs/>
          <w:color w:val="auto"/>
          <w:highlight w:val="none"/>
        </w:rPr>
        <w:t xml:space="preserve">    固定电话：                                        固定电话：</w:t>
      </w:r>
    </w:p>
    <w:p>
      <w:pPr>
        <w:spacing w:line="340" w:lineRule="exact"/>
        <w:rPr>
          <w:rFonts w:ascii="宋体" w:hAnsi="宋体" w:cs="宋体"/>
          <w:b/>
          <w:bCs/>
          <w:color w:val="auto"/>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highlight w:val="none"/>
        </w:rPr>
        <w:t>采购员联系电话：                                   销售员联系电话：</w:t>
      </w:r>
    </w:p>
    <w:p>
      <w:pPr>
        <w:spacing w:line="340" w:lineRule="exact"/>
        <w:rPr>
          <w:rFonts w:ascii="宋体" w:hAnsi="宋体" w:cs="宋体"/>
          <w:b/>
          <w:bCs/>
          <w:color w:val="auto"/>
          <w:sz w:val="24"/>
          <w:szCs w:val="24"/>
          <w:highlight w:val="none"/>
        </w:rPr>
      </w:pPr>
      <w:r>
        <w:rPr>
          <w:rFonts w:hint="eastAsia" w:ascii="宋体" w:hAnsi="宋体" w:cs="宋体"/>
          <w:b/>
          <w:bCs/>
          <w:color w:val="auto"/>
          <w:highlight w:val="none"/>
        </w:rPr>
        <w:t xml:space="preserve">   工程师联系电话：                                   工程师联系电话：</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医疗设备配置清单</w:t>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已   选   配   置</w:t>
            </w: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编号</w:t>
            </w:r>
          </w:p>
        </w:tc>
        <w:tc>
          <w:tcPr>
            <w:tcW w:w="2716" w:type="dxa"/>
          </w:tcPr>
          <w:p>
            <w:pPr>
              <w:jc w:val="center"/>
              <w:rPr>
                <w:rFonts w:ascii="宋体" w:hAnsi="宋体" w:cs="宋体"/>
                <w:b/>
                <w:bCs/>
                <w:color w:val="auto"/>
                <w:highlight w:val="none"/>
              </w:rPr>
            </w:pPr>
            <w:r>
              <w:rPr>
                <w:rFonts w:hint="eastAsia" w:ascii="宋体" w:hAnsi="宋体" w:cs="宋体"/>
                <w:b/>
                <w:bCs/>
                <w:color w:val="auto"/>
                <w:highlight w:val="none"/>
              </w:rPr>
              <w:t>部件名称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规格型号</w:t>
            </w:r>
          </w:p>
        </w:tc>
        <w:tc>
          <w:tcPr>
            <w:tcW w:w="900" w:type="dxa"/>
          </w:tcPr>
          <w:p>
            <w:pPr>
              <w:jc w:val="center"/>
              <w:rPr>
                <w:rFonts w:ascii="宋体" w:hAnsi="宋体" w:cs="宋体"/>
                <w:b/>
                <w:bCs/>
                <w:color w:val="auto"/>
                <w:highlight w:val="none"/>
              </w:rPr>
            </w:pPr>
            <w:r>
              <w:rPr>
                <w:rFonts w:hint="eastAsia" w:ascii="宋体" w:hAnsi="宋体" w:cs="宋体"/>
                <w:b/>
                <w:bCs/>
                <w:color w:val="auto"/>
                <w:highlight w:val="none"/>
              </w:rPr>
              <w:t>产  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数   量</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价  格</w:t>
            </w:r>
          </w:p>
        </w:tc>
        <w:tc>
          <w:tcPr>
            <w:tcW w:w="1260" w:type="dxa"/>
          </w:tcPr>
          <w:p>
            <w:pPr>
              <w:jc w:val="center"/>
              <w:rPr>
                <w:rFonts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b/>
                <w:bCs/>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3</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4</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5</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6</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7</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8</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9</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10</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bl>
    <w:p>
      <w:pPr>
        <w:rPr>
          <w:rFonts w:ascii="宋体" w:hAnsi="宋体" w:cs="宋体"/>
          <w:b/>
          <w:bCs/>
          <w:color w:val="auto"/>
          <w:sz w:val="24"/>
          <w:szCs w:val="24"/>
          <w:highlight w:val="none"/>
        </w:rPr>
      </w:pPr>
    </w:p>
    <w:p>
      <w:pPr>
        <w:rPr>
          <w:rFonts w:ascii="宋体" w:hAnsi="宋体" w:cs="宋体"/>
          <w:color w:val="auto"/>
          <w:highlight w:val="none"/>
        </w:rPr>
      </w:pPr>
    </w:p>
    <w:p>
      <w:pPr>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需方: (签字)                                        供方:(签字)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333"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配件或耗材名称</w:t>
            </w:r>
          </w:p>
        </w:tc>
        <w:tc>
          <w:tcPr>
            <w:tcW w:w="1514"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678"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生产厂商</w:t>
            </w:r>
          </w:p>
        </w:tc>
        <w:tc>
          <w:tcPr>
            <w:tcW w:w="118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521"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1</w:t>
            </w:r>
          </w:p>
        </w:tc>
        <w:tc>
          <w:tcPr>
            <w:tcW w:w="2333" w:type="dxa"/>
            <w:vAlign w:val="bottom"/>
          </w:tcPr>
          <w:p>
            <w:pPr>
              <w:rPr>
                <w:rFonts w:ascii="宋体" w:hAnsi="宋体" w:cs="宋体"/>
                <w:color w:val="auto"/>
                <w:sz w:val="24"/>
                <w:szCs w:val="24"/>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2</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3</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4</w:t>
            </w:r>
          </w:p>
        </w:tc>
        <w:tc>
          <w:tcPr>
            <w:tcW w:w="2333" w:type="dxa"/>
            <w:vAlign w:val="bottom"/>
          </w:tcPr>
          <w:p>
            <w:pPr>
              <w:rPr>
                <w:rFonts w:ascii="宋体" w:hAnsi="宋体" w:cs="宋体"/>
                <w:color w:val="auto"/>
                <w:sz w:val="24"/>
                <w:szCs w:val="24"/>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5</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6</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7</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bl>
    <w:p>
      <w:pPr>
        <w:rPr>
          <w:rFonts w:ascii="宋体" w:hAnsi="宋体" w:cs="宋体"/>
          <w:b/>
          <w:bCs/>
          <w:color w:val="auto"/>
          <w:sz w:val="24"/>
          <w:szCs w:val="24"/>
          <w:highlight w:val="none"/>
        </w:rPr>
      </w:pPr>
      <w:r>
        <w:rPr>
          <w:rFonts w:hint="eastAsia" w:ascii="宋体" w:hAnsi="宋体" w:cs="宋体"/>
          <w:b/>
          <w:bCs/>
          <w:color w:val="auto"/>
          <w:sz w:val="24"/>
          <w:szCs w:val="24"/>
          <w:highlight w:val="none"/>
        </w:rPr>
        <w:t>供方保证在合同签定         年内以不高于上述价格供应设备相应配件及耗品</w:t>
      </w:r>
    </w:p>
    <w:p>
      <w:pPr>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需方: (签字)                                    供方:(签字)</w:t>
      </w:r>
    </w:p>
    <w:p>
      <w:pPr>
        <w:pStyle w:val="18"/>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18"/>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3"/>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168" w:name="_Toc47388386"/>
      <w:bookmarkStart w:id="169" w:name="_Toc317116872"/>
      <w:bookmarkStart w:id="170" w:name="_Toc13023"/>
    </w:p>
    <w:p>
      <w:pPr>
        <w:pStyle w:val="3"/>
        <w:rPr>
          <w:rFonts w:ascii="宋体" w:cs="宋体"/>
          <w:color w:val="auto"/>
          <w:highlight w:val="none"/>
        </w:rPr>
      </w:pPr>
      <w:r>
        <w:rPr>
          <w:rFonts w:hint="eastAsia" w:ascii="宋体" w:cs="宋体"/>
          <w:color w:val="auto"/>
          <w:highlight w:val="none"/>
        </w:rPr>
        <w:t>第六章  投标文件格式</w:t>
      </w:r>
      <w:bookmarkEnd w:id="168"/>
      <w:bookmarkEnd w:id="169"/>
      <w:bookmarkEnd w:id="170"/>
    </w:p>
    <w:p>
      <w:pPr>
        <w:snapToGrid w:val="0"/>
        <w:spacing w:before="120" w:beforeLines="50" w:after="50" w:line="360" w:lineRule="auto"/>
        <w:rPr>
          <w:rFonts w:ascii="宋体" w:hAnsi="宋体" w:cs="宋体"/>
          <w:b/>
          <w:bCs/>
          <w:color w:val="auto"/>
          <w:highlight w:val="none"/>
        </w:rPr>
      </w:pPr>
      <w:r>
        <w:rPr>
          <w:rFonts w:hint="eastAsia" w:ascii="宋体" w:hAnsi="宋体" w:cs="宋体"/>
          <w:b/>
          <w:bCs/>
          <w:color w:val="auto"/>
          <w:highlight w:val="none"/>
        </w:rPr>
        <w:t>1.封面格式：</w:t>
      </w:r>
    </w:p>
    <w:p>
      <w:pPr>
        <w:snapToGrid w:val="0"/>
        <w:spacing w:before="120" w:beforeLines="50" w:after="50" w:line="360" w:lineRule="auto"/>
        <w:ind w:firstLine="207" w:firstLineChars="98"/>
        <w:rPr>
          <w:rFonts w:ascii="宋体" w:hAnsi="宋体" w:cs="宋体"/>
          <w:b/>
          <w:bCs/>
          <w:color w:val="auto"/>
          <w:highlight w:val="none"/>
        </w:rPr>
      </w:pPr>
    </w:p>
    <w:p>
      <w:pPr>
        <w:snapToGrid w:val="0"/>
        <w:spacing w:before="120" w:beforeLines="50" w:after="50" w:line="360" w:lineRule="auto"/>
        <w:jc w:val="center"/>
        <w:rPr>
          <w:rFonts w:ascii="宋体" w:hAnsi="宋体" w:cs="宋体"/>
          <w:color w:val="auto"/>
          <w:highlight w:val="none"/>
        </w:rPr>
      </w:pPr>
      <w:r>
        <w:rPr>
          <w:rFonts w:hint="eastAsia" w:ascii="宋体" w:hAnsi="宋体" w:cs="宋体"/>
          <w:b/>
          <w:bCs/>
          <w:color w:val="auto"/>
          <w:highlight w:val="none"/>
        </w:rPr>
        <w:t xml:space="preserve">                                            正本/或副本</w:t>
      </w:r>
    </w:p>
    <w:p>
      <w:pPr>
        <w:snapToGrid w:val="0"/>
        <w:spacing w:before="120" w:beforeLines="50" w:after="50" w:line="360" w:lineRule="auto"/>
        <w:jc w:val="center"/>
        <w:rPr>
          <w:rFonts w:ascii="宋体" w:hAnsi="宋体" w:cs="宋体"/>
          <w:color w:val="auto"/>
          <w:highlight w:val="none"/>
        </w:rPr>
      </w:pPr>
      <w:r>
        <w:rPr>
          <w:rFonts w:hint="eastAsia" w:ascii="宋体" w:hAnsi="宋体" w:cs="宋体"/>
          <w:color w:val="auto"/>
          <w:highlight w:val="none"/>
        </w:rPr>
        <w:t>投 标 文 件（商务技术文件/报价文件）</w:t>
      </w:r>
    </w:p>
    <w:p>
      <w:pPr>
        <w:snapToGrid w:val="0"/>
        <w:spacing w:before="120" w:beforeLines="50" w:after="50" w:line="360" w:lineRule="auto"/>
        <w:ind w:firstLine="6054" w:firstLineChars="2883"/>
        <w:rPr>
          <w:rFonts w:ascii="宋体" w:hAnsi="宋体" w:cs="宋体"/>
          <w:color w:val="auto"/>
          <w:highlight w:val="none"/>
        </w:rPr>
      </w:pPr>
    </w:p>
    <w:p>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丽水市中心医院采购准分子激光角膜屈光治疗机、手术动力系统及电动颅骨钻、口腔颌面锥形束计算机体层摄影设备、高频电刀项目</w:t>
      </w:r>
    </w:p>
    <w:p>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     项目编号：</w:t>
      </w:r>
      <w:r>
        <w:rPr>
          <w:rFonts w:hint="eastAsia" w:ascii="宋体" w:hAnsi="宋体" w:cs="宋体"/>
          <w:color w:val="auto"/>
          <w:highlight w:val="none"/>
          <w:lang w:eastAsia="zh-CN"/>
        </w:rPr>
        <w:t>CBNB-20245182GLS</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投标人名称（加盖公章）：</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投标人地址：</w:t>
      </w:r>
    </w:p>
    <w:p>
      <w:pPr>
        <w:snapToGrid w:val="0"/>
        <w:spacing w:before="50" w:after="50" w:line="360" w:lineRule="auto"/>
        <w:outlineLvl w:val="1"/>
        <w:rPr>
          <w:rFonts w:ascii="宋体" w:hAnsi="宋体" w:cs="宋体"/>
          <w:color w:val="auto"/>
          <w:highlight w:val="none"/>
        </w:rPr>
      </w:pPr>
      <w:r>
        <w:rPr>
          <w:rFonts w:hint="eastAsia" w:ascii="宋体" w:hAnsi="宋体" w:cs="宋体"/>
          <w:color w:val="auto"/>
          <w:highlight w:val="none"/>
        </w:rPr>
        <w:t xml:space="preserve">                                                 </w:t>
      </w:r>
      <w:bookmarkStart w:id="171" w:name="_Toc23227"/>
      <w:bookmarkStart w:id="172" w:name="_Toc47388387"/>
      <w:bookmarkStart w:id="173" w:name="_Toc447886361"/>
      <w:bookmarkStart w:id="174" w:name="_Toc447886499"/>
      <w:r>
        <w:rPr>
          <w:rFonts w:hint="eastAsia" w:ascii="宋体" w:hAnsi="宋体" w:cs="宋体"/>
          <w:color w:val="auto"/>
          <w:highlight w:val="none"/>
        </w:rPr>
        <w:t>年  月  日</w:t>
      </w:r>
      <w:bookmarkEnd w:id="171"/>
      <w:bookmarkEnd w:id="172"/>
      <w:bookmarkEnd w:id="173"/>
      <w:bookmarkEnd w:id="174"/>
    </w:p>
    <w:p>
      <w:pPr>
        <w:snapToGrid w:val="0"/>
        <w:spacing w:before="120" w:beforeLines="50" w:after="50"/>
        <w:rPr>
          <w:rFonts w:ascii="宋体" w:hAnsi="宋体" w:cs="宋体"/>
          <w:color w:val="auto"/>
          <w:highlight w:val="none"/>
        </w:rPr>
      </w:pPr>
    </w:p>
    <w:p>
      <w:pPr>
        <w:snapToGrid w:val="0"/>
        <w:spacing w:before="120" w:beforeLines="50" w:after="50"/>
        <w:jc w:val="cente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color w:val="auto"/>
          <w:highlight w:val="none"/>
        </w:rPr>
        <w:t>注：联合体投标的，可只由联合体牵头人盖章。</w:t>
      </w:r>
    </w:p>
    <w:p>
      <w:pPr>
        <w:snapToGrid w:val="0"/>
        <w:spacing w:before="120" w:beforeLines="50" w:after="50"/>
        <w:rPr>
          <w:rFonts w:ascii="宋体" w:hAnsi="宋体" w:cs="宋体"/>
          <w:b/>
          <w:bCs/>
          <w:color w:val="auto"/>
          <w:highlight w:val="none"/>
        </w:rPr>
      </w:pPr>
      <w:r>
        <w:rPr>
          <w:rFonts w:hint="eastAsia" w:ascii="宋体" w:hAnsi="宋体" w:cs="宋体"/>
          <w:b/>
          <w:bCs/>
          <w:color w:val="auto"/>
          <w:highlight w:val="none"/>
        </w:rPr>
        <w:t>一、报价文件</w:t>
      </w:r>
    </w:p>
    <w:p>
      <w:pPr>
        <w:snapToGrid w:val="0"/>
        <w:spacing w:before="120" w:beforeLines="50" w:after="50"/>
        <w:rPr>
          <w:rFonts w:ascii="宋体" w:hAnsi="宋体" w:cs="宋体"/>
          <w:color w:val="auto"/>
          <w:highlight w:val="none"/>
        </w:rPr>
      </w:pPr>
      <w:r>
        <w:rPr>
          <w:rFonts w:hint="eastAsia" w:ascii="宋体" w:hAnsi="宋体" w:cs="宋体"/>
          <w:color w:val="auto"/>
          <w:highlight w:val="none"/>
        </w:rPr>
        <w:t>（1）投标函</w:t>
      </w:r>
    </w:p>
    <w:p>
      <w:pPr>
        <w:pStyle w:val="21"/>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pPr>
        <w:pStyle w:val="21"/>
        <w:widowControl/>
        <w:spacing w:line="360" w:lineRule="auto"/>
        <w:ind w:firstLine="0"/>
        <w:jc w:val="center"/>
        <w:rPr>
          <w:rFonts w:hAnsi="宋体"/>
          <w:b/>
          <w:bCs/>
          <w:color w:val="auto"/>
          <w:sz w:val="24"/>
          <w:szCs w:val="24"/>
          <w:highlight w:val="none"/>
        </w:rPr>
      </w:pPr>
    </w:p>
    <w:p>
      <w:pPr>
        <w:pStyle w:val="21"/>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pPr>
        <w:pStyle w:val="21"/>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pPr>
        <w:pStyle w:val="21"/>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pPr>
        <w:pStyle w:val="21"/>
        <w:widowControl/>
        <w:numPr>
          <w:ilvl w:val="0"/>
          <w:numId w:val="19"/>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pPr>
        <w:pStyle w:val="21"/>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pPr>
        <w:pStyle w:val="21"/>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pPr>
        <w:pStyle w:val="21"/>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pPr>
        <w:pStyle w:val="21"/>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pPr>
        <w:pStyle w:val="21"/>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pPr>
        <w:pStyle w:val="21"/>
        <w:widowControl/>
        <w:spacing w:line="360" w:lineRule="auto"/>
        <w:jc w:val="left"/>
        <w:rPr>
          <w:rFonts w:hAnsi="宋体"/>
          <w:color w:val="auto"/>
          <w:sz w:val="21"/>
          <w:szCs w:val="21"/>
          <w:highlight w:val="none"/>
        </w:rPr>
      </w:pPr>
    </w:p>
    <w:p>
      <w:pPr>
        <w:pStyle w:val="26"/>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1584"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1584" w:type="pct"/>
            <w:vAlign w:val="center"/>
          </w:tcPr>
          <w:p>
            <w:pPr>
              <w:spacing w:line="400" w:lineRule="exact"/>
              <w:jc w:val="center"/>
              <w:rPr>
                <w:rFonts w:ascii="宋体" w:hAnsi="宋体" w:cs="宋体"/>
                <w:color w:val="auto"/>
                <w:highlight w:val="none"/>
              </w:rPr>
            </w:pPr>
          </w:p>
        </w:tc>
        <w:tc>
          <w:tcPr>
            <w:tcW w:w="2668" w:type="pct"/>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大写：</w:t>
            </w:r>
          </w:p>
          <w:p>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pPr>
        <w:snapToGrid w:val="0"/>
        <w:spacing w:before="50" w:after="50" w:line="360" w:lineRule="auto"/>
        <w:rPr>
          <w:rFonts w:ascii="宋体" w:hAnsi="宋体" w:cs="宋体"/>
          <w:color w:val="auto"/>
          <w:highlight w:val="none"/>
        </w:rPr>
      </w:pPr>
    </w:p>
    <w:p>
      <w:pPr>
        <w:snapToGrid w:val="0"/>
        <w:spacing w:before="50" w:after="50" w:line="360" w:lineRule="auto"/>
        <w:rPr>
          <w:rFonts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auto"/>
          <w:highlight w:val="none"/>
        </w:rPr>
      </w:pPr>
    </w:p>
    <w:p>
      <w:pPr>
        <w:snapToGrid w:val="0"/>
        <w:spacing w:line="360" w:lineRule="auto"/>
        <w:ind w:left="-21" w:leftChars="-72" w:right="-817" w:rightChars="-389" w:hanging="130" w:hangingChars="62"/>
        <w:rPr>
          <w:rFonts w:ascii="宋体" w:hAnsi="宋体" w:cs="宋体"/>
          <w:color w:val="auto"/>
          <w:highlight w:val="none"/>
        </w:rPr>
      </w:pPr>
    </w:p>
    <w:p>
      <w:pPr>
        <w:pStyle w:val="26"/>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pStyle w:val="26"/>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pPr>
        <w:pStyle w:val="18"/>
        <w:rPr>
          <w:rFonts w:ascii="宋体" w:hAnsi="宋体" w:cs="宋体"/>
          <w:color w:val="auto"/>
          <w:highlight w:val="none"/>
        </w:rPr>
      </w:pP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pStyle w:val="26"/>
        <w:snapToGrid w:val="0"/>
        <w:spacing w:beforeLines="0" w:afterLines="0" w:line="240" w:lineRule="auto"/>
        <w:rPr>
          <w:rFonts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pPr>
        <w:pStyle w:val="26"/>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pPr>
        <w:pStyle w:val="26"/>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w:t>
      </w:r>
      <w:r>
        <w:rPr>
          <w:rFonts w:hint="eastAsia" w:hAnsi="宋体"/>
          <w:color w:val="auto"/>
          <w:sz w:val="21"/>
          <w:szCs w:val="21"/>
          <w:highlight w:val="none"/>
          <w:u w:val="single"/>
        </w:rPr>
        <w:t xml:space="preserve">                     </w:t>
      </w:r>
      <w:r>
        <w:rPr>
          <w:rFonts w:hint="eastAsia" w:hAnsi="宋体"/>
          <w:color w:val="auto"/>
          <w:sz w:val="21"/>
          <w:szCs w:val="21"/>
          <w:highlight w:val="none"/>
        </w:rPr>
        <w:t>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bl>
    <w:p>
      <w:pPr>
        <w:snapToGrid w:val="0"/>
        <w:spacing w:line="360" w:lineRule="auto"/>
        <w:ind w:firstLine="420" w:firstLineChars="200"/>
        <w:jc w:val="left"/>
        <w:rPr>
          <w:rFonts w:ascii="宋体" w:hAnsi="宋体" w:cs="宋体"/>
          <w:color w:val="auto"/>
          <w:highlight w:val="none"/>
        </w:rPr>
      </w:pP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pPr>
        <w:tabs>
          <w:tab w:val="left" w:pos="1418"/>
        </w:tabs>
        <w:snapToGrid w:val="0"/>
        <w:spacing w:before="50" w:after="50"/>
        <w:ind w:left="1418" w:hanging="567"/>
        <w:jc w:val="center"/>
        <w:rPr>
          <w:rFonts w:ascii="宋体" w:hAnsi="宋体" w:cs="宋体"/>
          <w:color w:val="auto"/>
          <w:spacing w:val="20"/>
          <w:highlight w:val="none"/>
          <w:u w:val="single"/>
        </w:rPr>
      </w:pPr>
    </w:p>
    <w:p>
      <w:pPr>
        <w:pStyle w:val="26"/>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pPr>
        <w:pStyle w:val="26"/>
        <w:snapToGrid w:val="0"/>
        <w:spacing w:beforeLines="0" w:afterLines="0" w:line="240" w:lineRule="auto"/>
        <w:rPr>
          <w:rFonts w:hAnsi="宋体"/>
          <w:color w:val="auto"/>
          <w:sz w:val="21"/>
          <w:szCs w:val="21"/>
          <w:highlight w:val="none"/>
        </w:rPr>
      </w:pPr>
    </w:p>
    <w:p>
      <w:pPr>
        <w:pStyle w:val="21"/>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pPr>
        <w:rPr>
          <w:rFonts w:ascii="宋体" w:hAnsi="宋体" w:cs="宋体"/>
          <w:b/>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hAnsi="宋体"/>
          <w:b/>
          <w:bCs/>
          <w:color w:val="auto"/>
          <w:sz w:val="24"/>
          <w:szCs w:val="24"/>
          <w:highlight w:val="none"/>
        </w:rPr>
      </w:pPr>
      <w:r>
        <w:rPr>
          <w:rFonts w:hint="eastAsia" w:ascii="宋体" w:hAnsi="宋体" w:cs="宋体"/>
          <w:color w:val="auto"/>
          <w:highlight w:val="none"/>
        </w:rPr>
        <w:t>（4）中小企业声明函</w:t>
      </w:r>
    </w:p>
    <w:p>
      <w:pPr>
        <w:snapToGrid w:val="0"/>
        <w:spacing w:after="120"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line="360" w:lineRule="auto"/>
        <w:rPr>
          <w:rFonts w:ascii="宋体" w:hAnsi="宋体" w:cs="宋体"/>
          <w:b/>
          <w:bCs/>
          <w:color w:val="auto"/>
          <w:spacing w:val="6"/>
          <w:highlight w:val="none"/>
        </w:rPr>
      </w:pP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（准分子激光角膜屈光治疗机</w:t>
      </w:r>
      <w:r>
        <w:rPr>
          <w:rFonts w:hint="eastAsia" w:ascii="宋体" w:hAnsi="宋体" w:cs="宋体"/>
          <w:color w:val="auto"/>
          <w:spacing w:val="6"/>
          <w:highlight w:val="none"/>
          <w:u w:val="single"/>
          <w:lang w:eastAsia="zh-CN"/>
        </w:rPr>
        <w:t>）</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hint="eastAsia"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（手术动力系统、电动颅骨钻）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hint="eastAsia" w:ascii="宋体" w:hAnsi="宋体" w:cs="宋体"/>
          <w:color w:val="auto"/>
          <w:spacing w:val="6"/>
          <w:highlight w:val="none"/>
        </w:rPr>
      </w:pPr>
      <w:r>
        <w:rPr>
          <w:rFonts w:hint="eastAsia" w:ascii="宋体" w:hAnsi="宋体" w:cs="宋体"/>
          <w:color w:val="auto"/>
          <w:spacing w:val="6"/>
          <w:highlight w:val="none"/>
          <w:lang w:val="en-US" w:eastAsia="zh-CN"/>
        </w:rPr>
        <w:t>3</w:t>
      </w:r>
      <w:r>
        <w:rPr>
          <w:rFonts w:hint="eastAsia" w:ascii="宋体" w:hAnsi="宋体" w:cs="宋体"/>
          <w:color w:val="auto"/>
          <w:spacing w:val="6"/>
          <w:highlight w:val="none"/>
        </w:rPr>
        <w:t>.</w:t>
      </w:r>
      <w:r>
        <w:rPr>
          <w:rFonts w:hint="eastAsia" w:ascii="宋体" w:hAnsi="宋体" w:cs="宋体"/>
          <w:color w:val="auto"/>
          <w:spacing w:val="6"/>
          <w:highlight w:val="none"/>
          <w:u w:val="single"/>
        </w:rPr>
        <w:t xml:space="preserve"> （口腔颌面锥形束计算机体层摄影设备）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lang w:val="en-US" w:eastAsia="zh-CN"/>
        </w:rPr>
        <w:t>4</w:t>
      </w:r>
      <w:r>
        <w:rPr>
          <w:rFonts w:hint="eastAsia" w:ascii="宋体" w:hAnsi="宋体" w:cs="宋体"/>
          <w:color w:val="auto"/>
          <w:spacing w:val="6"/>
          <w:highlight w:val="none"/>
        </w:rPr>
        <w:t>.</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高频电刀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w:t>
      </w:r>
    </w:p>
    <w:p>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color w:val="auto"/>
          <w:kern w:val="0"/>
          <w:highlight w:val="none"/>
        </w:rPr>
      </w:pPr>
    </w:p>
    <w:p>
      <w:pPr>
        <w:snapToGrid w:val="0"/>
        <w:spacing w:line="360" w:lineRule="auto"/>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numPr>
          <w:ilvl w:val="0"/>
          <w:numId w:val="0"/>
        </w:numPr>
        <w:spacing w:line="360" w:lineRule="auto"/>
        <w:jc w:val="left"/>
        <w:outlineLvl w:val="0"/>
        <w:rPr>
          <w:rFonts w:hint="eastAsia" w:ascii="宋体" w:hAnsi="宋体" w:cs="宋体"/>
          <w:color w:val="auto"/>
          <w:highlight w:val="none"/>
        </w:rPr>
      </w:pPr>
      <w:r>
        <w:rPr>
          <w:rFonts w:hint="eastAsia" w:ascii="宋体" w:hAnsi="宋体" w:cs="宋体"/>
          <w:color w:val="auto"/>
          <w:highlight w:val="none"/>
        </w:rPr>
        <w:t>（5）供应商为监狱企业的证明文件：省级以上监狱管理局、戒毒管理局（含新疆生产建设兵团）出具（如是请提供）；</w:t>
      </w: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lang w:eastAsia="zh-CN"/>
        </w:rPr>
      </w:pPr>
    </w:p>
    <w:p>
      <w:pPr>
        <w:spacing w:line="360" w:lineRule="auto"/>
        <w:jc w:val="left"/>
        <w:outlineLvl w:val="0"/>
        <w:rPr>
          <w:rFonts w:hAnsi="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残疾人福利性单位声明函</w:t>
      </w:r>
    </w:p>
    <w:p>
      <w:pPr>
        <w:jc w:val="center"/>
        <w:rPr>
          <w:rFonts w:ascii="宋体" w:hAnsi="宋体" w:cs="宋体"/>
          <w:b/>
          <w:color w:val="auto"/>
          <w:kern w:val="0"/>
          <w:highlight w:val="none"/>
        </w:rPr>
      </w:pPr>
    </w:p>
    <w:p>
      <w:pPr>
        <w:spacing w:line="588" w:lineRule="exact"/>
        <w:jc w:val="center"/>
        <w:rPr>
          <w:rFonts w:ascii="宋体" w:hAnsi="宋体" w:cs="宋体"/>
          <w:b/>
          <w:bCs/>
          <w:color w:val="auto"/>
          <w:spacing w:val="6"/>
          <w:highlight w:val="none"/>
        </w:rPr>
      </w:pPr>
      <w:bookmarkStart w:id="175" w:name="OLE_LINK14"/>
      <w:bookmarkStart w:id="176" w:name="OLE_LINK13"/>
      <w:r>
        <w:rPr>
          <w:rFonts w:hint="eastAsia" w:ascii="宋体" w:hAnsi="宋体" w:cs="宋体"/>
          <w:b/>
          <w:bCs/>
          <w:color w:val="auto"/>
          <w:spacing w:val="6"/>
          <w:highlight w:val="none"/>
        </w:rPr>
        <w:t>残疾人福利性单位声明函</w:t>
      </w:r>
    </w:p>
    <w:bookmarkEnd w:id="175"/>
    <w:bookmarkEnd w:id="176"/>
    <w:p>
      <w:pPr>
        <w:spacing w:line="588" w:lineRule="exact"/>
        <w:rPr>
          <w:rFonts w:ascii="宋体" w:hAnsi="宋体" w:cs="宋体"/>
          <w:b/>
          <w:bCs/>
          <w:color w:val="auto"/>
          <w:spacing w:val="6"/>
          <w:highlight w:val="none"/>
        </w:rPr>
      </w:pP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444" w:firstLineChars="200"/>
        <w:rPr>
          <w:rFonts w:ascii="宋体" w:hAnsi="宋体" w:cs="宋体"/>
          <w:color w:val="auto"/>
          <w:spacing w:val="6"/>
          <w:highlight w:val="none"/>
        </w:rPr>
      </w:pPr>
    </w:p>
    <w:p>
      <w:pPr>
        <w:spacing w:line="588" w:lineRule="exact"/>
        <w:ind w:firstLine="444" w:firstLineChars="200"/>
        <w:rPr>
          <w:rFonts w:ascii="宋体" w:hAnsi="宋体" w:cs="宋体"/>
          <w:color w:val="auto"/>
          <w:spacing w:val="6"/>
          <w:highlight w:val="none"/>
        </w:rPr>
      </w:pP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p>
    <w:p>
      <w:pPr>
        <w:rPr>
          <w:rFonts w:ascii="宋体" w:hAnsi="宋体" w:cs="宋体"/>
          <w:b/>
          <w:color w:val="auto"/>
          <w:highlight w:val="none"/>
        </w:rPr>
      </w:pPr>
    </w:p>
    <w:p>
      <w:pPr>
        <w:pStyle w:val="47"/>
        <w:ind w:firstLine="422"/>
        <w:rPr>
          <w:rFonts w:ascii="宋体" w:hAnsi="宋体" w:cs="宋体"/>
          <w:b/>
          <w:color w:val="auto"/>
          <w:highlight w:val="none"/>
        </w:rPr>
      </w:pPr>
    </w:p>
    <w:p>
      <w:pP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）投标人针对报价需要说明的其他文件和说明。</w:t>
      </w:r>
    </w:p>
    <w:p>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pPr>
        <w:outlineLvl w:val="2"/>
        <w:rPr>
          <w:rFonts w:ascii="宋体" w:hAnsi="宋体" w:cs="宋体"/>
          <w:b/>
          <w:bCs/>
          <w:color w:val="auto"/>
          <w:highlight w:val="none"/>
        </w:rPr>
      </w:pPr>
      <w:bookmarkStart w:id="177" w:name="_Toc275865606"/>
      <w:r>
        <w:rPr>
          <w:rFonts w:hint="eastAsia" w:ascii="宋体" w:hAnsi="宋体" w:cs="宋体"/>
          <w:b/>
          <w:bCs/>
          <w:color w:val="auto"/>
          <w:highlight w:val="none"/>
        </w:rPr>
        <w:t>（1）投标人的营业执照副本复印件</w:t>
      </w:r>
    </w:p>
    <w:p>
      <w:pPr>
        <w:outlineLvl w:val="2"/>
        <w:rPr>
          <w:rFonts w:ascii="宋体" w:hAnsi="宋体" w:cs="宋体"/>
          <w:b/>
          <w:bCs/>
          <w:color w:val="auto"/>
          <w:highlight w:val="none"/>
        </w:rPr>
      </w:pPr>
    </w:p>
    <w:p>
      <w:pPr>
        <w:outlineLvl w:val="2"/>
        <w:rPr>
          <w:rFonts w:ascii="宋体" w:hAnsi="宋体" w:cs="宋体"/>
          <w:b/>
          <w:bCs/>
          <w:color w:val="auto"/>
          <w:highlight w:val="none"/>
        </w:rPr>
      </w:pPr>
    </w:p>
    <w:p>
      <w:pPr>
        <w:outlineLvl w:val="2"/>
        <w:rPr>
          <w:rFonts w:ascii="宋体" w:hAnsi="宋体" w:cs="宋体"/>
          <w:b/>
          <w:bCs/>
          <w:color w:val="auto"/>
          <w:highlight w:val="none"/>
        </w:rPr>
      </w:pPr>
      <w:r>
        <w:rPr>
          <w:rFonts w:hint="eastAsia" w:ascii="宋体" w:hAnsi="宋体" w:cs="宋体"/>
          <w:b/>
          <w:bCs/>
          <w:color w:val="auto"/>
          <w:highlight w:val="none"/>
        </w:rPr>
        <w:t>（2）投标人资格声明函</w:t>
      </w:r>
    </w:p>
    <w:p>
      <w:pPr>
        <w:jc w:val="center"/>
        <w:outlineLvl w:val="2"/>
        <w:rPr>
          <w:rFonts w:ascii="宋体" w:hAnsi="宋体" w:cs="宋体"/>
          <w:b/>
          <w:bCs/>
          <w:color w:val="auto"/>
          <w:highlight w:val="none"/>
        </w:rPr>
      </w:pPr>
      <w:r>
        <w:rPr>
          <w:rFonts w:hint="eastAsia" w:ascii="宋体" w:hAnsi="宋体" w:cs="宋体"/>
          <w:b/>
          <w:bCs/>
          <w:color w:val="auto"/>
          <w:highlight w:val="none"/>
        </w:rPr>
        <w:t>投标人资格声明函</w:t>
      </w:r>
      <w:bookmarkEnd w:id="177"/>
    </w:p>
    <w:p>
      <w:pPr>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pPr>
        <w:numPr>
          <w:ilvl w:val="0"/>
          <w:numId w:val="21"/>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color w:val="auto"/>
          <w:highlight w:val="none"/>
        </w:rPr>
      </w:pPr>
    </w:p>
    <w:p>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hAnsi="宋体" w:cs="宋体"/>
          <w:color w:val="auto"/>
          <w:spacing w:val="4"/>
          <w:highlight w:val="none"/>
        </w:rPr>
      </w:pPr>
    </w:p>
    <w:p>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pPr>
        <w:spacing w:line="360" w:lineRule="auto"/>
        <w:rPr>
          <w:rFonts w:ascii="宋体" w:hAnsi="宋体" w:cs="宋体"/>
          <w:color w:val="auto"/>
          <w:highlight w:val="none"/>
        </w:rPr>
      </w:pPr>
    </w:p>
    <w:p>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pPr>
        <w:spacing w:line="300" w:lineRule="auto"/>
        <w:rPr>
          <w:rFonts w:ascii="宋体" w:hAnsi="宋体" w:cs="宋体"/>
          <w:b/>
          <w:bCs/>
          <w:color w:val="auto"/>
          <w:highlight w:val="none"/>
        </w:rPr>
      </w:pPr>
    </w:p>
    <w:p>
      <w:pPr>
        <w:spacing w:line="360" w:lineRule="auto"/>
        <w:rPr>
          <w:rFonts w:ascii="宋体" w:hAnsi="宋体" w:cs="宋体"/>
          <w:color w:val="auto"/>
          <w:kern w:val="0"/>
          <w:highlight w:val="none"/>
        </w:rPr>
      </w:pPr>
      <w:r>
        <w:rPr>
          <w:rFonts w:hint="eastAsia" w:ascii="宋体" w:hAnsi="宋体" w:cs="宋体"/>
          <w:b/>
          <w:bCs/>
          <w:color w:val="auto"/>
          <w:highlight w:val="none"/>
        </w:rPr>
        <w:t>（3）投标人的特定条件的证明文件：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color w:val="auto"/>
          <w:highlight w:val="none"/>
        </w:rPr>
      </w:pPr>
    </w:p>
    <w:p>
      <w:pPr>
        <w:rPr>
          <w:rFonts w:ascii="宋体" w:hAnsi="宋体" w:cs="宋体"/>
          <w:b/>
          <w:bCs/>
          <w:color w:val="auto"/>
          <w:kern w:val="0"/>
          <w:highlight w:val="none"/>
        </w:rPr>
      </w:pPr>
      <w:r>
        <w:rPr>
          <w:rFonts w:hint="eastAsia" w:ascii="宋体" w:hAnsi="宋体" w:cs="宋体"/>
          <w:b/>
          <w:bCs/>
          <w:color w:val="auto"/>
          <w:highlight w:val="none"/>
        </w:rPr>
        <w:t>（4）</w:t>
      </w:r>
      <w:r>
        <w:rPr>
          <w:rFonts w:hint="eastAsia" w:ascii="宋体" w:hAnsi="宋体" w:cs="宋体"/>
          <w:b/>
          <w:bCs/>
          <w:color w:val="auto"/>
          <w:kern w:val="0"/>
          <w:highlight w:val="none"/>
        </w:rPr>
        <w:t>联合投标协议书</w:t>
      </w:r>
    </w:p>
    <w:p>
      <w:pPr>
        <w:widowControl/>
        <w:adjustRightInd w:val="0"/>
        <w:spacing w:line="360" w:lineRule="auto"/>
        <w:jc w:val="left"/>
        <w:rPr>
          <w:rFonts w:ascii="宋体" w:hAnsi="宋体" w:cs="宋体"/>
          <w:color w:val="auto"/>
          <w:spacing w:val="4"/>
          <w:highlight w:val="none"/>
        </w:rPr>
      </w:pPr>
    </w:p>
    <w:p>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pPr>
        <w:jc w:val="center"/>
        <w:rPr>
          <w:rFonts w:ascii="宋体" w:hAnsi="宋体" w:cs="宋体"/>
          <w:b/>
          <w:color w:val="auto"/>
          <w:kern w:val="0"/>
          <w:highlight w:val="none"/>
        </w:rPr>
      </w:pPr>
      <w:r>
        <w:rPr>
          <w:rFonts w:hint="eastAsia" w:ascii="宋体" w:hAnsi="宋体" w:cs="宋体"/>
          <w:color w:val="auto"/>
          <w:highlight w:val="none"/>
        </w:rPr>
        <w:t>（联合体投标须提供）</w:t>
      </w:r>
    </w:p>
    <w:p>
      <w:pPr>
        <w:pStyle w:val="21"/>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甲方：</w:t>
      </w:r>
    </w:p>
    <w:p>
      <w:pPr>
        <w:pStyle w:val="21"/>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乙方：</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w:t>
      </w:r>
      <w:r>
        <w:rPr>
          <w:rFonts w:hint="eastAsia" w:hAnsi="宋体"/>
          <w:color w:val="auto"/>
          <w:sz w:val="21"/>
          <w:szCs w:val="21"/>
          <w:highlight w:val="none"/>
          <w:u w:val="single"/>
        </w:rPr>
        <w:t xml:space="preserve">       </w:t>
      </w:r>
      <w:r>
        <w:rPr>
          <w:rFonts w:hint="eastAsia" w:hAnsi="宋体"/>
          <w:color w:val="auto"/>
          <w:sz w:val="21"/>
          <w:szCs w:val="21"/>
          <w:highlight w:val="none"/>
        </w:rPr>
        <w:t>（招标方）组织实施的</w:t>
      </w:r>
      <w:r>
        <w:rPr>
          <w:rFonts w:hint="eastAsia" w:hAnsi="宋体"/>
          <w:color w:val="auto"/>
          <w:sz w:val="21"/>
          <w:szCs w:val="21"/>
          <w:highlight w:val="none"/>
          <w:u w:val="single"/>
        </w:rPr>
        <w:t xml:space="preserve">    </w:t>
      </w:r>
      <w:r>
        <w:rPr>
          <w:rFonts w:hint="eastAsia" w:hAnsi="宋体"/>
          <w:color w:val="auto"/>
          <w:sz w:val="21"/>
          <w:szCs w:val="21"/>
          <w:highlight w:val="none"/>
        </w:rPr>
        <w:t>项目（采购编号：</w:t>
      </w:r>
      <w:r>
        <w:rPr>
          <w:rFonts w:hint="eastAsia" w:hAnsi="宋体"/>
          <w:color w:val="auto"/>
          <w:sz w:val="21"/>
          <w:szCs w:val="21"/>
          <w:highlight w:val="none"/>
          <w:u w:val="single"/>
        </w:rPr>
        <w:t xml:space="preserve">                </w:t>
      </w:r>
      <w:r>
        <w:rPr>
          <w:rFonts w:hint="eastAsia" w:hAnsi="宋体"/>
          <w:color w:val="auto"/>
          <w:sz w:val="21"/>
          <w:szCs w:val="21"/>
          <w:highlight w:val="none"/>
        </w:rPr>
        <w:t>招标活动联合进行投标之事宜，达成如下协议：</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r>
        <w:rPr>
          <w:rFonts w:hint="eastAsia" w:hAnsi="宋体"/>
          <w:color w:val="auto"/>
          <w:sz w:val="21"/>
          <w:szCs w:val="21"/>
          <w:highlight w:val="none"/>
          <w:u w:val="single"/>
        </w:rPr>
        <w:t xml:space="preserve">                          </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pPr>
        <w:pStyle w:val="21"/>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pPr>
        <w:pStyle w:val="21"/>
        <w:spacing w:line="500" w:lineRule="exact"/>
        <w:ind w:left="840" w:hanging="420"/>
        <w:rPr>
          <w:rFonts w:hAnsi="宋体"/>
          <w:color w:val="auto"/>
          <w:sz w:val="21"/>
          <w:szCs w:val="21"/>
          <w:highlight w:val="none"/>
        </w:rPr>
      </w:pPr>
    </w:p>
    <w:p>
      <w:pPr>
        <w:pStyle w:val="21"/>
        <w:spacing w:line="360" w:lineRule="auto"/>
        <w:ind w:left="840"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pPr>
        <w:pStyle w:val="21"/>
        <w:spacing w:line="360" w:lineRule="auto"/>
        <w:ind w:left="840" w:hanging="420"/>
        <w:rPr>
          <w:rFonts w:hAnsi="宋体"/>
          <w:color w:val="auto"/>
          <w:sz w:val="21"/>
          <w:szCs w:val="21"/>
          <w:highlight w:val="none"/>
        </w:rPr>
      </w:pPr>
    </w:p>
    <w:p>
      <w:pPr>
        <w:pStyle w:val="21"/>
        <w:spacing w:line="360" w:lineRule="auto"/>
        <w:ind w:left="840"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pPr>
        <w:snapToGrid w:val="0"/>
        <w:spacing w:line="360" w:lineRule="auto"/>
        <w:rPr>
          <w:rFonts w:ascii="宋体" w:hAnsi="宋体" w:cs="宋体"/>
          <w:color w:val="auto"/>
          <w:highlight w:val="none"/>
        </w:rPr>
      </w:pPr>
    </w:p>
    <w:p>
      <w:pPr>
        <w:snapToGrid w:val="0"/>
        <w:spacing w:line="360" w:lineRule="auto"/>
        <w:ind w:firstLine="420" w:firstLineChars="200"/>
        <w:rPr>
          <w:rFonts w:ascii="宋体" w:hAnsi="宋体" w:cs="宋体"/>
          <w:color w:val="auto"/>
          <w:spacing w:val="4"/>
          <w:highlight w:val="none"/>
        </w:rPr>
      </w:pPr>
      <w:r>
        <w:rPr>
          <w:rFonts w:hint="eastAsia" w:ascii="宋体" w:hAnsi="宋体" w:cs="宋体"/>
          <w:color w:val="auto"/>
          <w:highlight w:val="none"/>
        </w:rPr>
        <w:t>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                       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w:t>
      </w:r>
      <w:r>
        <w:rPr>
          <w:rFonts w:hint="eastAsia" w:ascii="宋体" w:hAnsi="宋体" w:cs="宋体"/>
          <w:color w:val="auto"/>
          <w:spacing w:val="4"/>
          <w:highlight w:val="none"/>
        </w:rPr>
        <w:br w:type="page"/>
      </w:r>
    </w:p>
    <w:p>
      <w:pPr>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pPr>
        <w:snapToGrid w:val="0"/>
        <w:spacing w:before="156" w:beforeLines="50" w:after="50"/>
        <w:jc w:val="left"/>
        <w:rPr>
          <w:rFonts w:ascii="宋体" w:hAnsi="宋体" w:cs="宋体"/>
          <w:color w:val="auto"/>
          <w:highlight w:val="none"/>
        </w:rPr>
      </w:pPr>
      <w:r>
        <w:rPr>
          <w:rFonts w:hint="eastAsia" w:ascii="宋体" w:hAnsi="宋体" w:cs="宋体"/>
          <w:color w:val="auto"/>
          <w:highlight w:val="none"/>
        </w:rPr>
        <w:t>（1）符合性自查表</w:t>
      </w:r>
    </w:p>
    <w:p>
      <w:pPr>
        <w:snapToGrid w:val="0"/>
        <w:spacing w:before="156"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bl>
    <w:p>
      <w:pPr>
        <w:snapToGrid w:val="0"/>
        <w:spacing w:before="156"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pPr>
        <w:snapToGrid w:val="0"/>
        <w:spacing w:before="156" w:beforeLines="50" w:after="50"/>
        <w:rPr>
          <w:rFonts w:ascii="宋体" w:hAnsi="宋体" w:cs="宋体"/>
          <w:color w:val="auto"/>
          <w:highlight w:val="none"/>
        </w:rPr>
      </w:pPr>
    </w:p>
    <w:p>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pPr>
        <w:widowControl/>
        <w:adjustRightInd w:val="0"/>
        <w:spacing w:line="360" w:lineRule="auto"/>
        <w:jc w:val="left"/>
        <w:rPr>
          <w:rFonts w:ascii="宋体" w:hAnsi="宋体" w:cs="宋体"/>
          <w:b/>
          <w:bCs/>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    别：</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pStyle w:val="26"/>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156" w:beforeLines="50" w:after="50"/>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pPr>
        <w:snapToGrid w:val="0"/>
        <w:spacing w:line="360" w:lineRule="auto"/>
        <w:rPr>
          <w:rFonts w:ascii="宋体" w:hAnsi="宋体" w:cs="宋体"/>
          <w:color w:val="auto"/>
          <w:highlight w:val="none"/>
        </w:rPr>
      </w:pPr>
    </w:p>
    <w:p>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r>
        <w:rPr>
          <w:rFonts w:hint="eastAsia"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法定代表人签名或盖章：</w:t>
      </w:r>
      <w:r>
        <w:rPr>
          <w:rFonts w:hint="eastAsia" w:ascii="宋体" w:hAnsi="宋体" w:cs="宋体"/>
          <w:color w:val="auto"/>
          <w:highlight w:val="none"/>
          <w:u w:val="single"/>
        </w:rPr>
        <w:t xml:space="preserve">          </w:t>
      </w:r>
    </w:p>
    <w:p>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pStyle w:val="26"/>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pStyle w:val="18"/>
        <w:rPr>
          <w:rFonts w:ascii="宋体" w:hAnsi="宋体" w:cs="宋体"/>
          <w:color w:val="auto"/>
          <w:highlight w:val="none"/>
        </w:rPr>
      </w:pPr>
      <w:r>
        <w:rPr>
          <w:rFonts w:hint="eastAsia" w:ascii="宋体" w:hAnsi="宋体" w:cs="宋体"/>
          <w:color w:val="auto"/>
          <w:highlight w:val="none"/>
        </w:rPr>
        <w:br w:type="page"/>
      </w:r>
    </w:p>
    <w:p>
      <w:pPr>
        <w:pStyle w:val="26"/>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pPr>
        <w:pStyle w:val="21"/>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pPr>
        <w:pStyle w:val="21"/>
        <w:spacing w:line="480" w:lineRule="auto"/>
        <w:ind w:left="-107" w:leftChars="-51" w:firstLine="404" w:firstLineChars="200"/>
        <w:rPr>
          <w:rFonts w:hAnsi="宋体"/>
          <w:color w:val="auto"/>
          <w:sz w:val="21"/>
          <w:szCs w:val="21"/>
          <w:highlight w:val="none"/>
        </w:rPr>
      </w:pP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本授权委托书声明：根据</w:t>
      </w:r>
      <w:r>
        <w:rPr>
          <w:rFonts w:hint="eastAsia" w:hAnsi="宋体"/>
          <w:color w:val="auto"/>
          <w:sz w:val="21"/>
          <w:szCs w:val="21"/>
          <w:highlight w:val="none"/>
          <w:u w:val="single"/>
        </w:rPr>
        <w:t xml:space="preserve">             </w:t>
      </w:r>
      <w:r>
        <w:rPr>
          <w:rFonts w:hint="eastAsia" w:hAnsi="宋体"/>
          <w:color w:val="auto"/>
          <w:sz w:val="21"/>
          <w:szCs w:val="21"/>
          <w:highlight w:val="none"/>
        </w:rPr>
        <w:t>与</w:t>
      </w:r>
      <w:r>
        <w:rPr>
          <w:rFonts w:hint="eastAsia" w:hAnsi="宋体"/>
          <w:color w:val="auto"/>
          <w:sz w:val="21"/>
          <w:szCs w:val="21"/>
          <w:highlight w:val="none"/>
          <w:u w:val="single"/>
        </w:rPr>
        <w:t xml:space="preserve">             </w:t>
      </w:r>
      <w:r>
        <w:rPr>
          <w:rFonts w:hint="eastAsia" w:hAnsi="宋体"/>
          <w:color w:val="auto"/>
          <w:sz w:val="21"/>
          <w:szCs w:val="21"/>
          <w:highlight w:val="none"/>
        </w:rPr>
        <w:t>签订的《联合投标协议书》的内容，联合体牵头人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的法定代表人</w:t>
      </w:r>
      <w:r>
        <w:rPr>
          <w:rFonts w:hint="eastAsia" w:hAnsi="宋体"/>
          <w:color w:val="auto"/>
          <w:sz w:val="21"/>
          <w:szCs w:val="21"/>
          <w:highlight w:val="none"/>
          <w:u w:val="single"/>
        </w:rPr>
        <w:t xml:space="preserve">            </w:t>
      </w:r>
      <w:r>
        <w:rPr>
          <w:rFonts w:hint="eastAsia" w:hAnsi="宋体"/>
          <w:color w:val="auto"/>
          <w:sz w:val="21"/>
          <w:szCs w:val="21"/>
          <w:highlight w:val="none"/>
        </w:rPr>
        <w:t>现授权</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 xml:space="preserve">年  月  日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pPr>
        <w:pStyle w:val="21"/>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年  月  日</w:t>
      </w:r>
    </w:p>
    <w:p>
      <w:pPr>
        <w:pStyle w:val="21"/>
        <w:spacing w:line="480" w:lineRule="auto"/>
        <w:ind w:left="840" w:hanging="420"/>
        <w:rPr>
          <w:rFonts w:hAnsi="宋体"/>
          <w:color w:val="auto"/>
          <w:sz w:val="21"/>
          <w:szCs w:val="21"/>
          <w:highlight w:val="none"/>
        </w:rPr>
      </w:pPr>
    </w:p>
    <w:p>
      <w:pPr>
        <w:pStyle w:val="21"/>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pPr>
        <w:snapToGrid w:val="0"/>
        <w:spacing w:before="50" w:line="360" w:lineRule="auto"/>
        <w:jc w:val="left"/>
        <w:rPr>
          <w:rFonts w:ascii="宋体" w:hAnsi="宋体" w:cs="宋体"/>
          <w:color w:val="auto"/>
          <w:highlight w:val="none"/>
        </w:rPr>
      </w:pPr>
    </w:p>
    <w:p>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pPr>
        <w:snapToGrid w:val="0"/>
        <w:spacing w:before="50" w:line="360" w:lineRule="auto"/>
        <w:jc w:val="center"/>
        <w:rPr>
          <w:rFonts w:ascii="宋体" w:hAnsi="宋体" w:cs="宋体"/>
          <w:color w:val="auto"/>
          <w:highlight w:val="none"/>
        </w:rPr>
      </w:pP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2939" w:type="dxa"/>
            <w:tcBorders>
              <w:top w:val="single" w:color="auto" w:sz="4" w:space="0"/>
              <w:left w:val="single" w:color="auto" w:sz="4" w:space="0"/>
              <w:bottom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注:投标人须按第二章 招标需求</w:t>
      </w:r>
      <w:r>
        <w:rPr>
          <w:rFonts w:hint="eastAsia" w:ascii="宋体" w:hAnsi="宋体" w:cs="宋体"/>
          <w:b/>
          <w:bCs/>
          <w:color w:val="auto"/>
          <w:highlight w:val="none"/>
        </w:rPr>
        <w:t>一、商务要求中</w:t>
      </w:r>
      <w:r>
        <w:rPr>
          <w:rFonts w:hint="eastAsia" w:ascii="宋体" w:hAnsi="宋体" w:cs="宋体"/>
          <w:color w:val="auto"/>
          <w:highlight w:val="none"/>
        </w:rPr>
        <w:t>逐条填写，在说明栏如实填写“正偏离”、“无偏离”或“负偏离”。</w:t>
      </w: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pStyle w:val="26"/>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156" w:afterLines="50"/>
        <w:jc w:val="left"/>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pPr>
        <w:snapToGrid w:val="0"/>
        <w:spacing w:before="50" w:after="156" w:afterLines="50"/>
        <w:jc w:val="left"/>
        <w:rPr>
          <w:rFonts w:ascii="宋体" w:hAnsi="宋体" w:cs="宋体"/>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t>（4）技术条款响应（偏离）表</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注：注:投标人须按第二章 招标需求</w:t>
      </w:r>
      <w:r>
        <w:rPr>
          <w:rFonts w:hint="eastAsia" w:ascii="宋体" w:hAnsi="宋体" w:cs="宋体"/>
          <w:b/>
          <w:bCs/>
          <w:color w:val="auto"/>
          <w:highlight w:val="none"/>
        </w:rPr>
        <w:t>二、技术需求</w:t>
      </w:r>
      <w:r>
        <w:rPr>
          <w:rFonts w:hint="eastAsia" w:ascii="宋体" w:hAnsi="宋体" w:cs="宋体"/>
          <w:color w:val="auto"/>
          <w:highlight w:val="none"/>
        </w:rPr>
        <w:t>逐条填写，在说明栏如实填写“正偏离”、“无偏离”或“负偏离”。</w:t>
      </w:r>
    </w:p>
    <w:p>
      <w:pPr>
        <w:spacing w:line="400" w:lineRule="exact"/>
        <w:rPr>
          <w:rFonts w:ascii="宋体" w:hAnsi="宋体" w:cs="宋体"/>
          <w:color w:val="auto"/>
          <w:highlight w:val="none"/>
        </w:rPr>
      </w:pPr>
      <w:r>
        <w:rPr>
          <w:rFonts w:hint="eastAsia" w:ascii="宋体" w:hAnsi="宋体" w:cs="宋体"/>
          <w:color w:val="auto"/>
          <w:highlight w:val="none"/>
        </w:rPr>
        <w:t>投标人（盖章）：</w:t>
      </w:r>
    </w:p>
    <w:p>
      <w:pPr>
        <w:pStyle w:val="21"/>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pPr>
        <w:snapToGrid w:val="0"/>
        <w:spacing w:before="50" w:after="156" w:afterLines="50"/>
        <w:jc w:val="left"/>
        <w:rPr>
          <w:rFonts w:ascii="宋体" w:hAnsi="宋体" w:cs="宋体"/>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pStyle w:val="57"/>
        <w:rPr>
          <w:rFonts w:cs="宋体"/>
          <w:b/>
          <w:bCs/>
          <w:color w:val="auto"/>
          <w:highlight w:val="none"/>
        </w:rPr>
      </w:pPr>
    </w:p>
    <w:p>
      <w:pPr>
        <w:pStyle w:val="57"/>
        <w:rPr>
          <w:rFonts w:cs="宋体"/>
          <w:b/>
          <w:bCs/>
          <w:color w:val="auto"/>
          <w:highlight w:val="none"/>
        </w:rPr>
      </w:pPr>
    </w:p>
    <w:p>
      <w:pPr>
        <w:pStyle w:val="57"/>
        <w:rPr>
          <w:rFonts w:cs="宋体"/>
          <w:b/>
          <w:bCs/>
          <w:color w:val="auto"/>
          <w:highlight w:val="none"/>
        </w:rPr>
      </w:pPr>
    </w:p>
    <w:p>
      <w:pPr>
        <w:pStyle w:val="57"/>
        <w:ind w:firstLine="0"/>
        <w:rPr>
          <w:rFonts w:cs="宋体"/>
          <w:b/>
          <w:bCs/>
          <w:color w:val="auto"/>
          <w:highlight w:val="none"/>
        </w:rPr>
      </w:pP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供货方案；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安装与验收方案；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售后服务；</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培训方案；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维修成本方案；</w:t>
      </w:r>
    </w:p>
    <w:p>
      <w:pPr>
        <w:numPr>
          <w:ilvl w:val="0"/>
          <w:numId w:val="22"/>
        </w:numPr>
        <w:tabs>
          <w:tab w:val="left" w:pos="840"/>
        </w:tabs>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投标人所投产品的节能环保产品认证证书复印件及所投产品属于“节能产品政府采购清单”中所列产品的相关证明资料或截图（如有请提供，加盖公章）</w:t>
      </w:r>
      <w:r>
        <w:rPr>
          <w:rFonts w:hint="eastAsia" w:ascii="宋体" w:hAnsi="宋体" w:cs="宋体"/>
          <w:color w:val="auto"/>
          <w:highlight w:val="none"/>
          <w:lang w:eastAsia="zh-CN"/>
        </w:rPr>
        <w:t>；</w:t>
      </w: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3"/>
        <w:rPr>
          <w:rFonts w:hint="eastAsia" w:ascii="宋体" w:hAnsi="宋体" w:cs="宋体"/>
          <w:color w:val="auto"/>
          <w:highlight w:val="none"/>
          <w:lang w:eastAsia="zh-CN"/>
        </w:rPr>
      </w:pPr>
    </w:p>
    <w:p>
      <w:pPr>
        <w:rPr>
          <w:highlight w:val="none"/>
        </w:rPr>
      </w:pPr>
    </w:p>
    <w:p>
      <w:pPr>
        <w:numPr>
          <w:ilvl w:val="0"/>
          <w:numId w:val="22"/>
        </w:numPr>
        <w:tabs>
          <w:tab w:val="left" w:pos="840"/>
        </w:tabs>
        <w:spacing w:line="480" w:lineRule="auto"/>
        <w:ind w:left="425" w:leftChars="0" w:hanging="425" w:firstLineChars="0"/>
        <w:rPr>
          <w:rFonts w:ascii="宋体" w:hAnsi="宋体" w:cs="宋体"/>
          <w:color w:val="auto"/>
          <w:highlight w:val="none"/>
        </w:rPr>
      </w:pPr>
      <w:r>
        <w:rPr>
          <w:rFonts w:hint="eastAsia" w:ascii="宋体" w:hAnsi="宋体" w:cs="宋体"/>
          <w:color w:val="auto"/>
          <w:highlight w:val="none"/>
        </w:rPr>
        <w:t>业绩一览表</w:t>
      </w:r>
    </w:p>
    <w:p>
      <w:pPr>
        <w:snapToGrid w:val="0"/>
        <w:spacing w:after="156"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pPr>
        <w:pStyle w:val="38"/>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8"/>
        <w:tblW w:w="10515" w:type="dxa"/>
        <w:tblInd w:w="-9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5"/>
        <w:gridCol w:w="2565"/>
        <w:gridCol w:w="1076"/>
        <w:gridCol w:w="742"/>
        <w:gridCol w:w="1305"/>
        <w:gridCol w:w="1168"/>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21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采购人名称</w:t>
            </w:r>
          </w:p>
        </w:tc>
        <w:tc>
          <w:tcPr>
            <w:tcW w:w="25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设备或项目名称</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数量（套）</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单价</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合同金额（万元）</w:t>
            </w:r>
          </w:p>
        </w:tc>
        <w:tc>
          <w:tcPr>
            <w:tcW w:w="11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附件页码</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采购人联系人及</w:t>
            </w:r>
          </w:p>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2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2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bl>
    <w:p>
      <w:pPr>
        <w:pStyle w:val="26"/>
        <w:tabs>
          <w:tab w:val="left" w:pos="2472"/>
        </w:tabs>
        <w:snapToGrid w:val="0"/>
        <w:spacing w:beforeLines="0" w:afterLines="0" w:line="360" w:lineRule="auto"/>
        <w:jc w:val="left"/>
        <w:rPr>
          <w:rFonts w:hint="eastAsia" w:hAnsi="宋体"/>
          <w:color w:val="auto"/>
          <w:sz w:val="21"/>
          <w:highlight w:val="none"/>
        </w:rPr>
      </w:pPr>
    </w:p>
    <w:p>
      <w:pPr>
        <w:pStyle w:val="26"/>
        <w:tabs>
          <w:tab w:val="left" w:pos="2472"/>
        </w:tabs>
        <w:snapToGrid w:val="0"/>
        <w:spacing w:beforeLines="0" w:afterLines="0" w:line="360" w:lineRule="auto"/>
        <w:jc w:val="left"/>
        <w:rPr>
          <w:rFonts w:hint="eastAsia" w:hAnsi="宋体"/>
          <w:color w:val="auto"/>
          <w:sz w:val="21"/>
          <w:highlight w:val="none"/>
        </w:rPr>
      </w:pPr>
    </w:p>
    <w:p>
      <w:pPr>
        <w:pStyle w:val="26"/>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pacing w:line="360" w:lineRule="auto"/>
        <w:rPr>
          <w:rFonts w:hint="eastAsia" w:ascii="宋体" w:hAnsi="宋体" w:cs="宋体"/>
          <w:color w:val="auto"/>
          <w:highlight w:val="none"/>
        </w:rPr>
      </w:pPr>
      <w:r>
        <w:rPr>
          <w:rFonts w:hint="eastAsia" w:ascii="宋体" w:hAnsi="宋体" w:cs="宋体"/>
          <w:color w:val="auto"/>
          <w:highlight w:val="none"/>
        </w:rPr>
        <w:t>日期:_____年___月___日</w:t>
      </w:r>
    </w:p>
    <w:p>
      <w:pPr>
        <w:spacing w:line="360" w:lineRule="auto"/>
        <w:rPr>
          <w:rFonts w:hint="eastAsia"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)其他采购需求或评分标准所需资料。</w:t>
      </w:r>
    </w:p>
    <w:p>
      <w:pPr>
        <w:snapToGrid w:val="0"/>
        <w:spacing w:before="50" w:line="360" w:lineRule="auto"/>
        <w:jc w:val="left"/>
        <w:rPr>
          <w:rFonts w:ascii="宋体" w:hAnsi="宋体" w:cs="宋体"/>
          <w:color w:val="auto"/>
          <w:highlight w:val="none"/>
        </w:rPr>
      </w:pP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2"/>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2"/>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3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2"/>
          <w:jc w:val="center"/>
        </w:pPr>
        <w:r>
          <w:fldChar w:fldCharType="begin"/>
        </w:r>
        <w:r>
          <w:instrText xml:space="preserve">PAGE   \* MERGEFORMAT</w:instrText>
        </w:r>
        <w:r>
          <w:fldChar w:fldCharType="separate"/>
        </w:r>
        <w:r>
          <w:rPr>
            <w:lang w:val="zh-CN"/>
          </w:rPr>
          <w:t>47</w:t>
        </w:r>
        <w:r>
          <w:rPr>
            <w:lang w:val="zh-CN"/>
          </w:rPr>
          <w:fldChar w:fldCharType="end"/>
        </w:r>
      </w:p>
    </w:sdtContent>
  </w:sdt>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2"/>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2"/>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DF63E07B"/>
    <w:multiLevelType w:val="singleLevel"/>
    <w:tmpl w:val="DF63E07B"/>
    <w:lvl w:ilvl="0" w:tentative="0">
      <w:start w:val="5"/>
      <w:numFmt w:val="decimal"/>
      <w:lvlText w:val="(%1)"/>
      <w:lvlJc w:val="left"/>
      <w:pPr>
        <w:tabs>
          <w:tab w:val="left" w:pos="420"/>
        </w:tabs>
        <w:ind w:left="425" w:hanging="425"/>
      </w:pPr>
      <w:rPr>
        <w:rFonts w:hint="default"/>
      </w:rPr>
    </w:lvl>
  </w:abstractNum>
  <w:abstractNum w:abstractNumId="6">
    <w:nsid w:val="FFFFFF7E"/>
    <w:multiLevelType w:val="singleLevel"/>
    <w:tmpl w:val="FFFFFF7E"/>
    <w:lvl w:ilvl="0" w:tentative="0">
      <w:start w:val="1"/>
      <w:numFmt w:val="decimal"/>
      <w:lvlText w:val="%1."/>
      <w:lvlJc w:val="left"/>
      <w:pPr>
        <w:tabs>
          <w:tab w:val="left" w:pos="1200"/>
        </w:tabs>
        <w:ind w:left="1200" w:hanging="360"/>
      </w:pPr>
    </w:lvl>
  </w:abstractNum>
  <w:abstractNum w:abstractNumId="7">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9">
    <w:nsid w:val="00000007"/>
    <w:multiLevelType w:val="singleLevel"/>
    <w:tmpl w:val="00000007"/>
    <w:lvl w:ilvl="0" w:tentative="0">
      <w:start w:val="1"/>
      <w:numFmt w:val="chineseCounting"/>
      <w:pStyle w:val="326"/>
      <w:suff w:val="nothing"/>
      <w:lvlText w:val="%1、"/>
      <w:lvlJc w:val="left"/>
    </w:lvl>
  </w:abstractNum>
  <w:abstractNum w:abstractNumId="10">
    <w:nsid w:val="0000000C"/>
    <w:multiLevelType w:val="singleLevel"/>
    <w:tmpl w:val="0000000C"/>
    <w:lvl w:ilvl="0" w:tentative="0">
      <w:start w:val="11"/>
      <w:numFmt w:val="decimal"/>
      <w:suff w:val="nothing"/>
      <w:lvlText w:val="%1."/>
      <w:lvlJc w:val="left"/>
    </w:lvl>
  </w:abstractNum>
  <w:abstractNum w:abstractNumId="11">
    <w:nsid w:val="0000000D"/>
    <w:multiLevelType w:val="singleLevel"/>
    <w:tmpl w:val="0000000D"/>
    <w:lvl w:ilvl="0" w:tentative="0">
      <w:start w:val="1"/>
      <w:numFmt w:val="decimal"/>
      <w:lvlText w:val="%1."/>
      <w:lvlJc w:val="left"/>
      <w:pPr>
        <w:tabs>
          <w:tab w:val="left" w:pos="1200"/>
        </w:tabs>
        <w:ind w:left="1200" w:hanging="360"/>
      </w:pPr>
    </w:lvl>
  </w:abstractNum>
  <w:abstractNum w:abstractNumId="12">
    <w:nsid w:val="00000015"/>
    <w:multiLevelType w:val="singleLevel"/>
    <w:tmpl w:val="00000015"/>
    <w:lvl w:ilvl="0" w:tentative="0">
      <w:start w:val="2"/>
      <w:numFmt w:val="decimal"/>
      <w:suff w:val="nothing"/>
      <w:lvlText w:val="%1、"/>
      <w:lvlJc w:val="left"/>
    </w:lvl>
  </w:abstractNum>
  <w:abstractNum w:abstractNumId="13">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485011F"/>
    <w:multiLevelType w:val="singleLevel"/>
    <w:tmpl w:val="0485011F"/>
    <w:lvl w:ilvl="0" w:tentative="0">
      <w:start w:val="1"/>
      <w:numFmt w:val="decimal"/>
      <w:lvlText w:val="(%1)"/>
      <w:lvlJc w:val="left"/>
      <w:pPr>
        <w:ind w:left="851" w:hanging="425"/>
      </w:pPr>
      <w:rPr>
        <w:rFonts w:hint="default"/>
      </w:rPr>
    </w:lvl>
  </w:abstractNum>
  <w:abstractNum w:abstractNumId="15">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6">
    <w:nsid w:val="113ACB04"/>
    <w:multiLevelType w:val="singleLevel"/>
    <w:tmpl w:val="113ACB04"/>
    <w:lvl w:ilvl="0" w:tentative="0">
      <w:start w:val="3"/>
      <w:numFmt w:val="chineseCounting"/>
      <w:suff w:val="space"/>
      <w:lvlText w:val="第%1章"/>
      <w:lvlJc w:val="left"/>
      <w:rPr>
        <w:rFonts w:hint="eastAsia"/>
      </w:rPr>
    </w:lvl>
  </w:abstractNum>
  <w:abstractNum w:abstractNumId="17">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9D120CC"/>
    <w:multiLevelType w:val="singleLevel"/>
    <w:tmpl w:val="29D120CC"/>
    <w:lvl w:ilvl="0" w:tentative="0">
      <w:start w:val="1"/>
      <w:numFmt w:val="decimal"/>
      <w:suff w:val="nothing"/>
      <w:lvlText w:val="（%1）"/>
      <w:lvlJc w:val="left"/>
    </w:lvl>
  </w:abstractNum>
  <w:abstractNum w:abstractNumId="19">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67CFDD7"/>
    <w:multiLevelType w:val="singleLevel"/>
    <w:tmpl w:val="567CFDD7"/>
    <w:lvl w:ilvl="0" w:tentative="0">
      <w:start w:val="1"/>
      <w:numFmt w:val="decimal"/>
      <w:suff w:val="nothing"/>
      <w:lvlText w:val="%1、"/>
      <w:lvlJc w:val="left"/>
    </w:lvl>
  </w:abstractNum>
  <w:num w:numId="1">
    <w:abstractNumId w:val="8"/>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11"/>
  </w:num>
  <w:num w:numId="7">
    <w:abstractNumId w:val="9"/>
  </w:num>
  <w:num w:numId="8">
    <w:abstractNumId w:val="3"/>
  </w:num>
  <w:num w:numId="9">
    <w:abstractNumId w:val="16"/>
  </w:num>
  <w:num w:numId="10">
    <w:abstractNumId w:val="4"/>
  </w:num>
  <w:num w:numId="11">
    <w:abstractNumId w:val="14"/>
  </w:num>
  <w:num w:numId="12">
    <w:abstractNumId w:val="2"/>
  </w:num>
  <w:num w:numId="13">
    <w:abstractNumId w:val="1"/>
  </w:num>
  <w:num w:numId="14">
    <w:abstractNumId w:val="0"/>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7"/>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2FD2"/>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048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2DE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B6D1F"/>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07DA"/>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4552"/>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27CB"/>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069"/>
    <w:rsid w:val="008244DD"/>
    <w:rsid w:val="00830108"/>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1D22"/>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2BA0"/>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035"/>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28D4"/>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20F7"/>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0880"/>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56BA"/>
    <w:rsid w:val="00FF6365"/>
    <w:rsid w:val="01112584"/>
    <w:rsid w:val="013B2B96"/>
    <w:rsid w:val="013B4944"/>
    <w:rsid w:val="01402345"/>
    <w:rsid w:val="01456A08"/>
    <w:rsid w:val="014D0B1B"/>
    <w:rsid w:val="015123B9"/>
    <w:rsid w:val="01527C9C"/>
    <w:rsid w:val="01541EA9"/>
    <w:rsid w:val="0168325F"/>
    <w:rsid w:val="01763BCE"/>
    <w:rsid w:val="01785B98"/>
    <w:rsid w:val="017C6D0A"/>
    <w:rsid w:val="017F049C"/>
    <w:rsid w:val="01877B89"/>
    <w:rsid w:val="018E53BB"/>
    <w:rsid w:val="018F6A3E"/>
    <w:rsid w:val="0194674A"/>
    <w:rsid w:val="0196601E"/>
    <w:rsid w:val="019A0A09"/>
    <w:rsid w:val="019B53E2"/>
    <w:rsid w:val="01A7022B"/>
    <w:rsid w:val="01A8043A"/>
    <w:rsid w:val="01AA1AC9"/>
    <w:rsid w:val="01B34E22"/>
    <w:rsid w:val="01B51D18"/>
    <w:rsid w:val="01C34939"/>
    <w:rsid w:val="01C54B55"/>
    <w:rsid w:val="01C73FAA"/>
    <w:rsid w:val="01CD7566"/>
    <w:rsid w:val="01D31020"/>
    <w:rsid w:val="01DB7ED5"/>
    <w:rsid w:val="01E21263"/>
    <w:rsid w:val="01E943A0"/>
    <w:rsid w:val="01EC5C3E"/>
    <w:rsid w:val="01F01BD2"/>
    <w:rsid w:val="01F86CD9"/>
    <w:rsid w:val="020E2058"/>
    <w:rsid w:val="020F4392"/>
    <w:rsid w:val="02223D56"/>
    <w:rsid w:val="0224362A"/>
    <w:rsid w:val="02291994"/>
    <w:rsid w:val="022B0E5C"/>
    <w:rsid w:val="022C24DE"/>
    <w:rsid w:val="023A109F"/>
    <w:rsid w:val="025F0B06"/>
    <w:rsid w:val="02661E94"/>
    <w:rsid w:val="02691984"/>
    <w:rsid w:val="02693733"/>
    <w:rsid w:val="026B74AB"/>
    <w:rsid w:val="026E2AF7"/>
    <w:rsid w:val="026F18C5"/>
    <w:rsid w:val="0270061D"/>
    <w:rsid w:val="02702D13"/>
    <w:rsid w:val="02750329"/>
    <w:rsid w:val="027A76EE"/>
    <w:rsid w:val="02810A7C"/>
    <w:rsid w:val="028C2486"/>
    <w:rsid w:val="028E13EB"/>
    <w:rsid w:val="02933D80"/>
    <w:rsid w:val="029702A0"/>
    <w:rsid w:val="02A91D81"/>
    <w:rsid w:val="02AD1871"/>
    <w:rsid w:val="02C1356F"/>
    <w:rsid w:val="02C24BF1"/>
    <w:rsid w:val="02C941D1"/>
    <w:rsid w:val="02D54924"/>
    <w:rsid w:val="02E35293"/>
    <w:rsid w:val="02E64D83"/>
    <w:rsid w:val="02E84657"/>
    <w:rsid w:val="02E903CF"/>
    <w:rsid w:val="02EA4873"/>
    <w:rsid w:val="02EC12E0"/>
    <w:rsid w:val="02ED6112"/>
    <w:rsid w:val="02F456F2"/>
    <w:rsid w:val="02F46D17"/>
    <w:rsid w:val="02FE031F"/>
    <w:rsid w:val="0301396B"/>
    <w:rsid w:val="030E7E36"/>
    <w:rsid w:val="031F2043"/>
    <w:rsid w:val="03237362"/>
    <w:rsid w:val="03411FB9"/>
    <w:rsid w:val="0341645D"/>
    <w:rsid w:val="034675D0"/>
    <w:rsid w:val="034F46D6"/>
    <w:rsid w:val="035B12CD"/>
    <w:rsid w:val="036D7252"/>
    <w:rsid w:val="0370464D"/>
    <w:rsid w:val="03764359"/>
    <w:rsid w:val="0385634A"/>
    <w:rsid w:val="038C76D9"/>
    <w:rsid w:val="038F541B"/>
    <w:rsid w:val="03942A31"/>
    <w:rsid w:val="0394588E"/>
    <w:rsid w:val="039D18E6"/>
    <w:rsid w:val="039D7B38"/>
    <w:rsid w:val="039E1AF5"/>
    <w:rsid w:val="03A7145C"/>
    <w:rsid w:val="03AA7B5F"/>
    <w:rsid w:val="03AF1619"/>
    <w:rsid w:val="03B409DD"/>
    <w:rsid w:val="03B569CC"/>
    <w:rsid w:val="03BD3D36"/>
    <w:rsid w:val="03C230FA"/>
    <w:rsid w:val="03C84489"/>
    <w:rsid w:val="03CA0201"/>
    <w:rsid w:val="03CA6453"/>
    <w:rsid w:val="03CC21CB"/>
    <w:rsid w:val="03CF3A69"/>
    <w:rsid w:val="03D42E2E"/>
    <w:rsid w:val="03DB41BC"/>
    <w:rsid w:val="03DE3CAC"/>
    <w:rsid w:val="03EC63C9"/>
    <w:rsid w:val="03F82FC0"/>
    <w:rsid w:val="040556DD"/>
    <w:rsid w:val="04071455"/>
    <w:rsid w:val="04131075"/>
    <w:rsid w:val="042353E7"/>
    <w:rsid w:val="042E253E"/>
    <w:rsid w:val="04367644"/>
    <w:rsid w:val="043D6C25"/>
    <w:rsid w:val="043F0BEF"/>
    <w:rsid w:val="044F0706"/>
    <w:rsid w:val="0462668B"/>
    <w:rsid w:val="04806B11"/>
    <w:rsid w:val="0482228F"/>
    <w:rsid w:val="048C3708"/>
    <w:rsid w:val="04932CE9"/>
    <w:rsid w:val="049C6264"/>
    <w:rsid w:val="049D76C3"/>
    <w:rsid w:val="049F168E"/>
    <w:rsid w:val="04A22F2C"/>
    <w:rsid w:val="04A24CDA"/>
    <w:rsid w:val="04A647CA"/>
    <w:rsid w:val="04B35139"/>
    <w:rsid w:val="04C17856"/>
    <w:rsid w:val="04C42EA2"/>
    <w:rsid w:val="04C56194"/>
    <w:rsid w:val="04C603B1"/>
    <w:rsid w:val="04C64E6C"/>
    <w:rsid w:val="04CA58BB"/>
    <w:rsid w:val="04DC01EC"/>
    <w:rsid w:val="04EE0073"/>
    <w:rsid w:val="04EE7F1F"/>
    <w:rsid w:val="04F25C61"/>
    <w:rsid w:val="04FC088E"/>
    <w:rsid w:val="05014F82"/>
    <w:rsid w:val="05017C52"/>
    <w:rsid w:val="050339CA"/>
    <w:rsid w:val="050F6813"/>
    <w:rsid w:val="052E47BF"/>
    <w:rsid w:val="05300538"/>
    <w:rsid w:val="05412745"/>
    <w:rsid w:val="05495D59"/>
    <w:rsid w:val="054A784B"/>
    <w:rsid w:val="055E32F7"/>
    <w:rsid w:val="05614B95"/>
    <w:rsid w:val="0563090D"/>
    <w:rsid w:val="056326BB"/>
    <w:rsid w:val="05720B50"/>
    <w:rsid w:val="0575419C"/>
    <w:rsid w:val="05793C8D"/>
    <w:rsid w:val="059565ED"/>
    <w:rsid w:val="05A01219"/>
    <w:rsid w:val="05AF76AE"/>
    <w:rsid w:val="05B3084E"/>
    <w:rsid w:val="05BD6A04"/>
    <w:rsid w:val="05CB7E52"/>
    <w:rsid w:val="05DA38E6"/>
    <w:rsid w:val="05DE7F94"/>
    <w:rsid w:val="05E05ABA"/>
    <w:rsid w:val="05F23A3F"/>
    <w:rsid w:val="0607573C"/>
    <w:rsid w:val="061B2F96"/>
    <w:rsid w:val="061E4834"/>
    <w:rsid w:val="061E65E2"/>
    <w:rsid w:val="0621750B"/>
    <w:rsid w:val="062A5DF7"/>
    <w:rsid w:val="062C51A3"/>
    <w:rsid w:val="06314567"/>
    <w:rsid w:val="06477D96"/>
    <w:rsid w:val="065344DE"/>
    <w:rsid w:val="065F10D4"/>
    <w:rsid w:val="06616315"/>
    <w:rsid w:val="066F6E3E"/>
    <w:rsid w:val="06710E08"/>
    <w:rsid w:val="067B1C86"/>
    <w:rsid w:val="067C5F10"/>
    <w:rsid w:val="068723D9"/>
    <w:rsid w:val="06897EFF"/>
    <w:rsid w:val="068E5516"/>
    <w:rsid w:val="069845E6"/>
    <w:rsid w:val="06A51EF3"/>
    <w:rsid w:val="06B07006"/>
    <w:rsid w:val="06B156A8"/>
    <w:rsid w:val="06B55198"/>
    <w:rsid w:val="06B56F46"/>
    <w:rsid w:val="06BA630B"/>
    <w:rsid w:val="06C278B5"/>
    <w:rsid w:val="06E415DA"/>
    <w:rsid w:val="06EC66E0"/>
    <w:rsid w:val="06F832D7"/>
    <w:rsid w:val="06FC2DC7"/>
    <w:rsid w:val="07027CB2"/>
    <w:rsid w:val="070B300A"/>
    <w:rsid w:val="07117EF5"/>
    <w:rsid w:val="07124399"/>
    <w:rsid w:val="071D689A"/>
    <w:rsid w:val="07201E36"/>
    <w:rsid w:val="07320597"/>
    <w:rsid w:val="073863F0"/>
    <w:rsid w:val="073F0F06"/>
    <w:rsid w:val="074107DA"/>
    <w:rsid w:val="07493882"/>
    <w:rsid w:val="074D22E3"/>
    <w:rsid w:val="07521BCF"/>
    <w:rsid w:val="07603356"/>
    <w:rsid w:val="0765096C"/>
    <w:rsid w:val="076C30FC"/>
    <w:rsid w:val="07702E6D"/>
    <w:rsid w:val="077645A8"/>
    <w:rsid w:val="077F7DAE"/>
    <w:rsid w:val="0781507A"/>
    <w:rsid w:val="07837045"/>
    <w:rsid w:val="078828AD"/>
    <w:rsid w:val="079500F6"/>
    <w:rsid w:val="07971AAB"/>
    <w:rsid w:val="079923C4"/>
    <w:rsid w:val="07A36FBB"/>
    <w:rsid w:val="07A47A72"/>
    <w:rsid w:val="07AC659B"/>
    <w:rsid w:val="07B0770E"/>
    <w:rsid w:val="07CA07CF"/>
    <w:rsid w:val="07CC09EB"/>
    <w:rsid w:val="07CD6512"/>
    <w:rsid w:val="07D10E55"/>
    <w:rsid w:val="07D258D6"/>
    <w:rsid w:val="07F7358F"/>
    <w:rsid w:val="07F77E76"/>
    <w:rsid w:val="08017F69"/>
    <w:rsid w:val="08071A24"/>
    <w:rsid w:val="0811757F"/>
    <w:rsid w:val="081952B3"/>
    <w:rsid w:val="081E6D6D"/>
    <w:rsid w:val="082243E1"/>
    <w:rsid w:val="08273E74"/>
    <w:rsid w:val="082C154D"/>
    <w:rsid w:val="082C4FE6"/>
    <w:rsid w:val="0831084F"/>
    <w:rsid w:val="08346591"/>
    <w:rsid w:val="083B4644"/>
    <w:rsid w:val="083B4DC8"/>
    <w:rsid w:val="083C7EB4"/>
    <w:rsid w:val="084C38DA"/>
    <w:rsid w:val="084D31AF"/>
    <w:rsid w:val="08536A17"/>
    <w:rsid w:val="0854278F"/>
    <w:rsid w:val="085D1644"/>
    <w:rsid w:val="085E5A6E"/>
    <w:rsid w:val="086E4482"/>
    <w:rsid w:val="086F1377"/>
    <w:rsid w:val="08752E31"/>
    <w:rsid w:val="0878647D"/>
    <w:rsid w:val="087D5842"/>
    <w:rsid w:val="087F780C"/>
    <w:rsid w:val="088017D6"/>
    <w:rsid w:val="088A61B1"/>
    <w:rsid w:val="08913342"/>
    <w:rsid w:val="08940DDD"/>
    <w:rsid w:val="089F7EAE"/>
    <w:rsid w:val="08A52FEB"/>
    <w:rsid w:val="08A70B11"/>
    <w:rsid w:val="08A90D2D"/>
    <w:rsid w:val="08A91BD9"/>
    <w:rsid w:val="08AC25CB"/>
    <w:rsid w:val="08B6248C"/>
    <w:rsid w:val="08CE609D"/>
    <w:rsid w:val="08E43B13"/>
    <w:rsid w:val="08F158C8"/>
    <w:rsid w:val="08F655F4"/>
    <w:rsid w:val="08FC0E5C"/>
    <w:rsid w:val="090146C5"/>
    <w:rsid w:val="090569B5"/>
    <w:rsid w:val="090C4E18"/>
    <w:rsid w:val="090E293E"/>
    <w:rsid w:val="09104908"/>
    <w:rsid w:val="091268D2"/>
    <w:rsid w:val="09320D22"/>
    <w:rsid w:val="093700E7"/>
    <w:rsid w:val="094A4572"/>
    <w:rsid w:val="094D16B8"/>
    <w:rsid w:val="094D790A"/>
    <w:rsid w:val="09554A11"/>
    <w:rsid w:val="095F763D"/>
    <w:rsid w:val="096F5AD2"/>
    <w:rsid w:val="097735FF"/>
    <w:rsid w:val="097E7AC3"/>
    <w:rsid w:val="098350DA"/>
    <w:rsid w:val="098552F6"/>
    <w:rsid w:val="09905A49"/>
    <w:rsid w:val="099217C1"/>
    <w:rsid w:val="09954128"/>
    <w:rsid w:val="099B68C7"/>
    <w:rsid w:val="09A339CE"/>
    <w:rsid w:val="09A908B8"/>
    <w:rsid w:val="09B259BF"/>
    <w:rsid w:val="09B554AF"/>
    <w:rsid w:val="09D973F0"/>
    <w:rsid w:val="09DA6CC4"/>
    <w:rsid w:val="0A081A83"/>
    <w:rsid w:val="0A140428"/>
    <w:rsid w:val="0A173A74"/>
    <w:rsid w:val="0A261F09"/>
    <w:rsid w:val="0A2F7010"/>
    <w:rsid w:val="0A304CFB"/>
    <w:rsid w:val="0A312D88"/>
    <w:rsid w:val="0A36214C"/>
    <w:rsid w:val="0A3C34DB"/>
    <w:rsid w:val="0A586566"/>
    <w:rsid w:val="0A5B13F8"/>
    <w:rsid w:val="0A613E9E"/>
    <w:rsid w:val="0A622F41"/>
    <w:rsid w:val="0A717024"/>
    <w:rsid w:val="0A794981"/>
    <w:rsid w:val="0A7B2255"/>
    <w:rsid w:val="0A8A693C"/>
    <w:rsid w:val="0A8C4462"/>
    <w:rsid w:val="0A8C7FBE"/>
    <w:rsid w:val="0AA10AF7"/>
    <w:rsid w:val="0AA417AC"/>
    <w:rsid w:val="0AAE6186"/>
    <w:rsid w:val="0AB15C77"/>
    <w:rsid w:val="0AC43BFC"/>
    <w:rsid w:val="0AC7268D"/>
    <w:rsid w:val="0AC97464"/>
    <w:rsid w:val="0ACC485F"/>
    <w:rsid w:val="0ACE05D7"/>
    <w:rsid w:val="0AD33E3F"/>
    <w:rsid w:val="0AD96F7B"/>
    <w:rsid w:val="0AE778EA"/>
    <w:rsid w:val="0B0264D2"/>
    <w:rsid w:val="0B0275C9"/>
    <w:rsid w:val="0B04049C"/>
    <w:rsid w:val="0B044101"/>
    <w:rsid w:val="0B163D2C"/>
    <w:rsid w:val="0B226B74"/>
    <w:rsid w:val="0B260413"/>
    <w:rsid w:val="0B3643CE"/>
    <w:rsid w:val="0B380146"/>
    <w:rsid w:val="0B3C7C36"/>
    <w:rsid w:val="0B424B21"/>
    <w:rsid w:val="0B472137"/>
    <w:rsid w:val="0B505490"/>
    <w:rsid w:val="0B554854"/>
    <w:rsid w:val="0B674587"/>
    <w:rsid w:val="0B6902FF"/>
    <w:rsid w:val="0B6E0D48"/>
    <w:rsid w:val="0B6E1DBA"/>
    <w:rsid w:val="0B776EC0"/>
    <w:rsid w:val="0B786794"/>
    <w:rsid w:val="0B7C44D7"/>
    <w:rsid w:val="0B8213C1"/>
    <w:rsid w:val="0B835865"/>
    <w:rsid w:val="0B896BF3"/>
    <w:rsid w:val="0B8D2240"/>
    <w:rsid w:val="0B923CFA"/>
    <w:rsid w:val="0B9A5A90"/>
    <w:rsid w:val="0BA457DB"/>
    <w:rsid w:val="0BA61553"/>
    <w:rsid w:val="0BAE6842"/>
    <w:rsid w:val="0BBA0B5B"/>
    <w:rsid w:val="0BBC2B25"/>
    <w:rsid w:val="0BBE4AEF"/>
    <w:rsid w:val="0BC96FF0"/>
    <w:rsid w:val="0BD51E39"/>
    <w:rsid w:val="0BD53BE7"/>
    <w:rsid w:val="0BD55995"/>
    <w:rsid w:val="0BDF6813"/>
    <w:rsid w:val="0BE45BD8"/>
    <w:rsid w:val="0BEA2C81"/>
    <w:rsid w:val="0BEA7692"/>
    <w:rsid w:val="0BF4406D"/>
    <w:rsid w:val="0C0369A6"/>
    <w:rsid w:val="0C0544CC"/>
    <w:rsid w:val="0C063B21"/>
    <w:rsid w:val="0C0C2939"/>
    <w:rsid w:val="0C122745"/>
    <w:rsid w:val="0C1741FF"/>
    <w:rsid w:val="0C232BA4"/>
    <w:rsid w:val="0C272694"/>
    <w:rsid w:val="0C300E1D"/>
    <w:rsid w:val="0C3628D7"/>
    <w:rsid w:val="0C405504"/>
    <w:rsid w:val="0C4667E7"/>
    <w:rsid w:val="0C48085D"/>
    <w:rsid w:val="0C525237"/>
    <w:rsid w:val="0C5965C6"/>
    <w:rsid w:val="0C62191E"/>
    <w:rsid w:val="0C632FA1"/>
    <w:rsid w:val="0C7358DA"/>
    <w:rsid w:val="0C7C43F5"/>
    <w:rsid w:val="0C811679"/>
    <w:rsid w:val="0C945E53"/>
    <w:rsid w:val="0C963376"/>
    <w:rsid w:val="0C9B273A"/>
    <w:rsid w:val="0CA77331"/>
    <w:rsid w:val="0CB657C6"/>
    <w:rsid w:val="0CBD0903"/>
    <w:rsid w:val="0CC25F19"/>
    <w:rsid w:val="0CCC0564"/>
    <w:rsid w:val="0CCF6888"/>
    <w:rsid w:val="0CD01D3C"/>
    <w:rsid w:val="0CD520F0"/>
    <w:rsid w:val="0CE050F9"/>
    <w:rsid w:val="0CE57E5A"/>
    <w:rsid w:val="0CE73BD2"/>
    <w:rsid w:val="0D1515D0"/>
    <w:rsid w:val="0D246BD4"/>
    <w:rsid w:val="0D2B61B4"/>
    <w:rsid w:val="0D380E95"/>
    <w:rsid w:val="0D411534"/>
    <w:rsid w:val="0D441024"/>
    <w:rsid w:val="0D4728C2"/>
    <w:rsid w:val="0D4A5F0F"/>
    <w:rsid w:val="0D501777"/>
    <w:rsid w:val="0D51729D"/>
    <w:rsid w:val="0D786F20"/>
    <w:rsid w:val="0D7D4536"/>
    <w:rsid w:val="0D837D9E"/>
    <w:rsid w:val="0D8633EB"/>
    <w:rsid w:val="0D8D29CB"/>
    <w:rsid w:val="0D8E6743"/>
    <w:rsid w:val="0D9676E6"/>
    <w:rsid w:val="0DC12675"/>
    <w:rsid w:val="0DC45CC1"/>
    <w:rsid w:val="0DD34156"/>
    <w:rsid w:val="0DD71E98"/>
    <w:rsid w:val="0DE402D0"/>
    <w:rsid w:val="0DE6032D"/>
    <w:rsid w:val="0DEF71E2"/>
    <w:rsid w:val="0DFA7935"/>
    <w:rsid w:val="0DFC545B"/>
    <w:rsid w:val="0E012A71"/>
    <w:rsid w:val="0E034A3B"/>
    <w:rsid w:val="0E0407B3"/>
    <w:rsid w:val="0E097B78"/>
    <w:rsid w:val="0E0D58BA"/>
    <w:rsid w:val="0E121122"/>
    <w:rsid w:val="0E1721A6"/>
    <w:rsid w:val="0E1E1875"/>
    <w:rsid w:val="0E1E7AC7"/>
    <w:rsid w:val="0E250E55"/>
    <w:rsid w:val="0E325320"/>
    <w:rsid w:val="0E372937"/>
    <w:rsid w:val="0E4A08BC"/>
    <w:rsid w:val="0E4B19A7"/>
    <w:rsid w:val="0E5C239D"/>
    <w:rsid w:val="0E6354DA"/>
    <w:rsid w:val="0E6A2D0C"/>
    <w:rsid w:val="0E721BC1"/>
    <w:rsid w:val="0E8A515C"/>
    <w:rsid w:val="0E927B6D"/>
    <w:rsid w:val="0E941B37"/>
    <w:rsid w:val="0E947D89"/>
    <w:rsid w:val="0E98648A"/>
    <w:rsid w:val="0EA3634A"/>
    <w:rsid w:val="0EAA135B"/>
    <w:rsid w:val="0EAD2BF9"/>
    <w:rsid w:val="0EAF6971"/>
    <w:rsid w:val="0EB761E3"/>
    <w:rsid w:val="0EC248F6"/>
    <w:rsid w:val="0ECC12D1"/>
    <w:rsid w:val="0ED62150"/>
    <w:rsid w:val="0ED924DE"/>
    <w:rsid w:val="0ED9579C"/>
    <w:rsid w:val="0EDE2DB2"/>
    <w:rsid w:val="0EE04D7C"/>
    <w:rsid w:val="0EE24651"/>
    <w:rsid w:val="0EE43615"/>
    <w:rsid w:val="0EF12AE6"/>
    <w:rsid w:val="0EF166CA"/>
    <w:rsid w:val="0F152C78"/>
    <w:rsid w:val="0F16079E"/>
    <w:rsid w:val="0F276507"/>
    <w:rsid w:val="0F29227F"/>
    <w:rsid w:val="0F2F1860"/>
    <w:rsid w:val="0F2F360E"/>
    <w:rsid w:val="0F346E76"/>
    <w:rsid w:val="0F39623B"/>
    <w:rsid w:val="0F5434E8"/>
    <w:rsid w:val="0F557518"/>
    <w:rsid w:val="0F5A4B2F"/>
    <w:rsid w:val="0F615EBD"/>
    <w:rsid w:val="0F7A0D2D"/>
    <w:rsid w:val="0F851480"/>
    <w:rsid w:val="0F8C280E"/>
    <w:rsid w:val="0F9D4A1B"/>
    <w:rsid w:val="0F9F0794"/>
    <w:rsid w:val="0FA4224E"/>
    <w:rsid w:val="0FA97A45"/>
    <w:rsid w:val="0FB25B2C"/>
    <w:rsid w:val="0FBD50BE"/>
    <w:rsid w:val="0FC401FA"/>
    <w:rsid w:val="0FC93A62"/>
    <w:rsid w:val="0FCC70AF"/>
    <w:rsid w:val="0FDF6DE2"/>
    <w:rsid w:val="0FF7412C"/>
    <w:rsid w:val="0FFD3FC3"/>
    <w:rsid w:val="0FFE370C"/>
    <w:rsid w:val="10036F74"/>
    <w:rsid w:val="10046849"/>
    <w:rsid w:val="100D7DF3"/>
    <w:rsid w:val="1010343F"/>
    <w:rsid w:val="10152804"/>
    <w:rsid w:val="101F18D4"/>
    <w:rsid w:val="10234F21"/>
    <w:rsid w:val="10240C99"/>
    <w:rsid w:val="102D2243"/>
    <w:rsid w:val="104355C3"/>
    <w:rsid w:val="105B0B5E"/>
    <w:rsid w:val="106043C7"/>
    <w:rsid w:val="10645539"/>
    <w:rsid w:val="106A2B50"/>
    <w:rsid w:val="106C2D6C"/>
    <w:rsid w:val="1074577C"/>
    <w:rsid w:val="107514F4"/>
    <w:rsid w:val="108257E7"/>
    <w:rsid w:val="108473E6"/>
    <w:rsid w:val="10881228"/>
    <w:rsid w:val="1089622E"/>
    <w:rsid w:val="108A1444"/>
    <w:rsid w:val="108C6F6A"/>
    <w:rsid w:val="10944070"/>
    <w:rsid w:val="10993435"/>
    <w:rsid w:val="10A1053B"/>
    <w:rsid w:val="10A2678D"/>
    <w:rsid w:val="10A36062"/>
    <w:rsid w:val="10B1077E"/>
    <w:rsid w:val="10B169D0"/>
    <w:rsid w:val="10C20BDE"/>
    <w:rsid w:val="10CF32FA"/>
    <w:rsid w:val="10D0497D"/>
    <w:rsid w:val="10D73F5D"/>
    <w:rsid w:val="10D75D0B"/>
    <w:rsid w:val="10E5667A"/>
    <w:rsid w:val="10F44B0F"/>
    <w:rsid w:val="11020FDA"/>
    <w:rsid w:val="110F1949"/>
    <w:rsid w:val="110F36F7"/>
    <w:rsid w:val="11186A50"/>
    <w:rsid w:val="11196324"/>
    <w:rsid w:val="111D7D2A"/>
    <w:rsid w:val="112453F4"/>
    <w:rsid w:val="113413B0"/>
    <w:rsid w:val="11405FA6"/>
    <w:rsid w:val="1145536B"/>
    <w:rsid w:val="11533A80"/>
    <w:rsid w:val="11555572"/>
    <w:rsid w:val="115B4B8E"/>
    <w:rsid w:val="116D4627"/>
    <w:rsid w:val="118C11EC"/>
    <w:rsid w:val="11967974"/>
    <w:rsid w:val="11A55E09"/>
    <w:rsid w:val="11AB1672"/>
    <w:rsid w:val="11B322D4"/>
    <w:rsid w:val="11C049F1"/>
    <w:rsid w:val="11C42733"/>
    <w:rsid w:val="11C75D80"/>
    <w:rsid w:val="11D02E86"/>
    <w:rsid w:val="11D566EF"/>
    <w:rsid w:val="11F052D6"/>
    <w:rsid w:val="11F254F3"/>
    <w:rsid w:val="11F272A1"/>
    <w:rsid w:val="11F37536"/>
    <w:rsid w:val="11FF3031"/>
    <w:rsid w:val="122136E2"/>
    <w:rsid w:val="1235718D"/>
    <w:rsid w:val="12394ECF"/>
    <w:rsid w:val="123E4294"/>
    <w:rsid w:val="123F1DBA"/>
    <w:rsid w:val="12415B32"/>
    <w:rsid w:val="12505D75"/>
    <w:rsid w:val="125951DB"/>
    <w:rsid w:val="125C471A"/>
    <w:rsid w:val="12631F4C"/>
    <w:rsid w:val="12647A72"/>
    <w:rsid w:val="126B0E01"/>
    <w:rsid w:val="126E6D2B"/>
    <w:rsid w:val="126F08F1"/>
    <w:rsid w:val="127001C5"/>
    <w:rsid w:val="12706417"/>
    <w:rsid w:val="127203E1"/>
    <w:rsid w:val="12751C80"/>
    <w:rsid w:val="128819B3"/>
    <w:rsid w:val="128D7801"/>
    <w:rsid w:val="12BA7692"/>
    <w:rsid w:val="12BC340B"/>
    <w:rsid w:val="12C81DAF"/>
    <w:rsid w:val="12D40754"/>
    <w:rsid w:val="12D67AB1"/>
    <w:rsid w:val="12D746E8"/>
    <w:rsid w:val="12D93FBD"/>
    <w:rsid w:val="12E36BE9"/>
    <w:rsid w:val="12E806A4"/>
    <w:rsid w:val="12EA12C6"/>
    <w:rsid w:val="12EC0194"/>
    <w:rsid w:val="12ED3C46"/>
    <w:rsid w:val="12F17558"/>
    <w:rsid w:val="12F232D0"/>
    <w:rsid w:val="12F64B6E"/>
    <w:rsid w:val="12F928B1"/>
    <w:rsid w:val="1302547C"/>
    <w:rsid w:val="130A061A"/>
    <w:rsid w:val="130C25E4"/>
    <w:rsid w:val="13141499"/>
    <w:rsid w:val="13143247"/>
    <w:rsid w:val="131E658C"/>
    <w:rsid w:val="13203999"/>
    <w:rsid w:val="13231601"/>
    <w:rsid w:val="132A2A6A"/>
    <w:rsid w:val="13390EFF"/>
    <w:rsid w:val="1347448C"/>
    <w:rsid w:val="135950FD"/>
    <w:rsid w:val="135B0E75"/>
    <w:rsid w:val="135B70C7"/>
    <w:rsid w:val="13645F7C"/>
    <w:rsid w:val="137141F5"/>
    <w:rsid w:val="137A57A0"/>
    <w:rsid w:val="137A623D"/>
    <w:rsid w:val="13985D29"/>
    <w:rsid w:val="139B74C4"/>
    <w:rsid w:val="13AC16D1"/>
    <w:rsid w:val="13BF7656"/>
    <w:rsid w:val="13C02048"/>
    <w:rsid w:val="13C24A51"/>
    <w:rsid w:val="13C34C54"/>
    <w:rsid w:val="13C407C9"/>
    <w:rsid w:val="13C46A1B"/>
    <w:rsid w:val="13CD5C93"/>
    <w:rsid w:val="13D1434E"/>
    <w:rsid w:val="13D1738A"/>
    <w:rsid w:val="13DA623E"/>
    <w:rsid w:val="13DA7FEC"/>
    <w:rsid w:val="13DD7ADC"/>
    <w:rsid w:val="13F55BF3"/>
    <w:rsid w:val="13FA41EA"/>
    <w:rsid w:val="14016119"/>
    <w:rsid w:val="140C2170"/>
    <w:rsid w:val="14117786"/>
    <w:rsid w:val="141379A2"/>
    <w:rsid w:val="14157276"/>
    <w:rsid w:val="1424570B"/>
    <w:rsid w:val="143C04B5"/>
    <w:rsid w:val="14587163"/>
    <w:rsid w:val="145F6743"/>
    <w:rsid w:val="146975C2"/>
    <w:rsid w:val="146E3766"/>
    <w:rsid w:val="14733869"/>
    <w:rsid w:val="147541B9"/>
    <w:rsid w:val="14777F31"/>
    <w:rsid w:val="148443FC"/>
    <w:rsid w:val="149E726C"/>
    <w:rsid w:val="14A84F0A"/>
    <w:rsid w:val="14BB6070"/>
    <w:rsid w:val="14C111AC"/>
    <w:rsid w:val="14C173FE"/>
    <w:rsid w:val="14C52A4A"/>
    <w:rsid w:val="14D56B3C"/>
    <w:rsid w:val="14D964F6"/>
    <w:rsid w:val="14DA401C"/>
    <w:rsid w:val="14E07884"/>
    <w:rsid w:val="14E60C13"/>
    <w:rsid w:val="14E76E65"/>
    <w:rsid w:val="14ED1FA1"/>
    <w:rsid w:val="14F21366"/>
    <w:rsid w:val="14F90946"/>
    <w:rsid w:val="14FB46BE"/>
    <w:rsid w:val="15003A82"/>
    <w:rsid w:val="15023F0C"/>
    <w:rsid w:val="150572EB"/>
    <w:rsid w:val="15090375"/>
    <w:rsid w:val="1528122B"/>
    <w:rsid w:val="15347E88"/>
    <w:rsid w:val="153E27FD"/>
    <w:rsid w:val="15400323"/>
    <w:rsid w:val="154D47EE"/>
    <w:rsid w:val="15520056"/>
    <w:rsid w:val="155F086C"/>
    <w:rsid w:val="156009C5"/>
    <w:rsid w:val="156C2EC6"/>
    <w:rsid w:val="156C55BC"/>
    <w:rsid w:val="1571672E"/>
    <w:rsid w:val="15747FCD"/>
    <w:rsid w:val="15836559"/>
    <w:rsid w:val="15883A78"/>
    <w:rsid w:val="158A5A42"/>
    <w:rsid w:val="158C3A67"/>
    <w:rsid w:val="158C5FD4"/>
    <w:rsid w:val="15995C85"/>
    <w:rsid w:val="15A12860"/>
    <w:rsid w:val="15B17473"/>
    <w:rsid w:val="15B36D47"/>
    <w:rsid w:val="15B70F3E"/>
    <w:rsid w:val="15B91E83"/>
    <w:rsid w:val="15C34AB0"/>
    <w:rsid w:val="15C50828"/>
    <w:rsid w:val="15C90318"/>
    <w:rsid w:val="15E92769"/>
    <w:rsid w:val="15F80BFE"/>
    <w:rsid w:val="15F829AC"/>
    <w:rsid w:val="160550C9"/>
    <w:rsid w:val="16092E0B"/>
    <w:rsid w:val="160C28FB"/>
    <w:rsid w:val="160C6457"/>
    <w:rsid w:val="16105F47"/>
    <w:rsid w:val="16133C89"/>
    <w:rsid w:val="161D0664"/>
    <w:rsid w:val="162072CD"/>
    <w:rsid w:val="16273291"/>
    <w:rsid w:val="16287735"/>
    <w:rsid w:val="162B0FD3"/>
    <w:rsid w:val="163065E9"/>
    <w:rsid w:val="16355A10"/>
    <w:rsid w:val="163F05DA"/>
    <w:rsid w:val="164976AB"/>
    <w:rsid w:val="16610551"/>
    <w:rsid w:val="16612C47"/>
    <w:rsid w:val="1675224E"/>
    <w:rsid w:val="1683496B"/>
    <w:rsid w:val="16893F4C"/>
    <w:rsid w:val="168E50BE"/>
    <w:rsid w:val="16924BAE"/>
    <w:rsid w:val="16970417"/>
    <w:rsid w:val="16A668AC"/>
    <w:rsid w:val="16A67991"/>
    <w:rsid w:val="16A843D2"/>
    <w:rsid w:val="16AD3796"/>
    <w:rsid w:val="16B71ED0"/>
    <w:rsid w:val="16BE1E47"/>
    <w:rsid w:val="16C136E5"/>
    <w:rsid w:val="16CD7489"/>
    <w:rsid w:val="16D50F3F"/>
    <w:rsid w:val="16E11692"/>
    <w:rsid w:val="16E178E4"/>
    <w:rsid w:val="16E86EC4"/>
    <w:rsid w:val="16F2389F"/>
    <w:rsid w:val="16F258C7"/>
    <w:rsid w:val="16F5338F"/>
    <w:rsid w:val="16FE3FF2"/>
    <w:rsid w:val="17035549"/>
    <w:rsid w:val="171B2DF6"/>
    <w:rsid w:val="171C6B6E"/>
    <w:rsid w:val="172779EC"/>
    <w:rsid w:val="173B3498"/>
    <w:rsid w:val="173B7EBF"/>
    <w:rsid w:val="17516817"/>
    <w:rsid w:val="1752258F"/>
    <w:rsid w:val="17544559"/>
    <w:rsid w:val="175E0F34"/>
    <w:rsid w:val="1763654B"/>
    <w:rsid w:val="1767603B"/>
    <w:rsid w:val="176C3651"/>
    <w:rsid w:val="176D1177"/>
    <w:rsid w:val="176D3091"/>
    <w:rsid w:val="177E3384"/>
    <w:rsid w:val="17824C23"/>
    <w:rsid w:val="1783099B"/>
    <w:rsid w:val="17914E66"/>
    <w:rsid w:val="179E3A27"/>
    <w:rsid w:val="179F7397"/>
    <w:rsid w:val="17AA4179"/>
    <w:rsid w:val="17B648CC"/>
    <w:rsid w:val="17BA0860"/>
    <w:rsid w:val="17C13728"/>
    <w:rsid w:val="17C74D2B"/>
    <w:rsid w:val="17D631C0"/>
    <w:rsid w:val="17DE3E23"/>
    <w:rsid w:val="17E94CA2"/>
    <w:rsid w:val="17EE050A"/>
    <w:rsid w:val="17F36D78"/>
    <w:rsid w:val="17F453F5"/>
    <w:rsid w:val="17F65611"/>
    <w:rsid w:val="17FA5823"/>
    <w:rsid w:val="17FD6AF1"/>
    <w:rsid w:val="180A4567"/>
    <w:rsid w:val="18100480"/>
    <w:rsid w:val="18137F71"/>
    <w:rsid w:val="18147845"/>
    <w:rsid w:val="181A183E"/>
    <w:rsid w:val="181B5077"/>
    <w:rsid w:val="18291542"/>
    <w:rsid w:val="182E6B59"/>
    <w:rsid w:val="1833416F"/>
    <w:rsid w:val="183A54FD"/>
    <w:rsid w:val="184719C8"/>
    <w:rsid w:val="18475E6C"/>
    <w:rsid w:val="18477C1A"/>
    <w:rsid w:val="18495740"/>
    <w:rsid w:val="1853036D"/>
    <w:rsid w:val="1853659B"/>
    <w:rsid w:val="185540E5"/>
    <w:rsid w:val="185C36C6"/>
    <w:rsid w:val="186407CC"/>
    <w:rsid w:val="18694035"/>
    <w:rsid w:val="18736C61"/>
    <w:rsid w:val="187529D9"/>
    <w:rsid w:val="18787DD4"/>
    <w:rsid w:val="187F5606"/>
    <w:rsid w:val="1888270D"/>
    <w:rsid w:val="188E4854"/>
    <w:rsid w:val="18954E2A"/>
    <w:rsid w:val="189B7D05"/>
    <w:rsid w:val="189E3CDE"/>
    <w:rsid w:val="189E6E29"/>
    <w:rsid w:val="18A8690B"/>
    <w:rsid w:val="18AF5EEB"/>
    <w:rsid w:val="18BC5F12"/>
    <w:rsid w:val="18CC3E8C"/>
    <w:rsid w:val="18DD40DB"/>
    <w:rsid w:val="18F03E0E"/>
    <w:rsid w:val="18F57676"/>
    <w:rsid w:val="19102702"/>
    <w:rsid w:val="19183D6F"/>
    <w:rsid w:val="192341E3"/>
    <w:rsid w:val="194A5C14"/>
    <w:rsid w:val="19502AFF"/>
    <w:rsid w:val="1954064E"/>
    <w:rsid w:val="19550115"/>
    <w:rsid w:val="195E6FCA"/>
    <w:rsid w:val="19632832"/>
    <w:rsid w:val="196A3C88"/>
    <w:rsid w:val="19707D4F"/>
    <w:rsid w:val="197607B7"/>
    <w:rsid w:val="19792055"/>
    <w:rsid w:val="19793E03"/>
    <w:rsid w:val="197B6C99"/>
    <w:rsid w:val="19805192"/>
    <w:rsid w:val="1990114D"/>
    <w:rsid w:val="199155F1"/>
    <w:rsid w:val="19952EAE"/>
    <w:rsid w:val="199C7AF2"/>
    <w:rsid w:val="19B17A41"/>
    <w:rsid w:val="19B94B48"/>
    <w:rsid w:val="19BD25AA"/>
    <w:rsid w:val="19C01A32"/>
    <w:rsid w:val="19C21C4E"/>
    <w:rsid w:val="19C57049"/>
    <w:rsid w:val="19D96F98"/>
    <w:rsid w:val="19F01E5D"/>
    <w:rsid w:val="19F16090"/>
    <w:rsid w:val="1A077661"/>
    <w:rsid w:val="1A1324AA"/>
    <w:rsid w:val="1A197394"/>
    <w:rsid w:val="1A204BC7"/>
    <w:rsid w:val="1A231FC1"/>
    <w:rsid w:val="1A246465"/>
    <w:rsid w:val="1A2521DD"/>
    <w:rsid w:val="1A2975D8"/>
    <w:rsid w:val="1A312930"/>
    <w:rsid w:val="1A385085"/>
    <w:rsid w:val="1A407D3A"/>
    <w:rsid w:val="1A4563DB"/>
    <w:rsid w:val="1A491A28"/>
    <w:rsid w:val="1A4E5290"/>
    <w:rsid w:val="1A5D1977"/>
    <w:rsid w:val="1A66082C"/>
    <w:rsid w:val="1A6920CA"/>
    <w:rsid w:val="1A6B4094"/>
    <w:rsid w:val="1A6C3968"/>
    <w:rsid w:val="1A6E148E"/>
    <w:rsid w:val="1A846F04"/>
    <w:rsid w:val="1A86686D"/>
    <w:rsid w:val="1A887069"/>
    <w:rsid w:val="1A930EF5"/>
    <w:rsid w:val="1A9703C8"/>
    <w:rsid w:val="1AA50C28"/>
    <w:rsid w:val="1AB175CD"/>
    <w:rsid w:val="1AB71087"/>
    <w:rsid w:val="1ABD5F72"/>
    <w:rsid w:val="1AC9700C"/>
    <w:rsid w:val="1ADA521A"/>
    <w:rsid w:val="1B010554"/>
    <w:rsid w:val="1B0B13D3"/>
    <w:rsid w:val="1B1C713C"/>
    <w:rsid w:val="1B222279"/>
    <w:rsid w:val="1B2304CB"/>
    <w:rsid w:val="1B4F12C0"/>
    <w:rsid w:val="1B5036C8"/>
    <w:rsid w:val="1B5508A0"/>
    <w:rsid w:val="1B5B5EB7"/>
    <w:rsid w:val="1B617DB0"/>
    <w:rsid w:val="1B6603B7"/>
    <w:rsid w:val="1B723200"/>
    <w:rsid w:val="1B770817"/>
    <w:rsid w:val="1B7C5E2D"/>
    <w:rsid w:val="1B7F1479"/>
    <w:rsid w:val="1B8C2514"/>
    <w:rsid w:val="1B99078D"/>
    <w:rsid w:val="1BA01B1B"/>
    <w:rsid w:val="1BA333BA"/>
    <w:rsid w:val="1BA710FC"/>
    <w:rsid w:val="1BAF6202"/>
    <w:rsid w:val="1BBB0703"/>
    <w:rsid w:val="1BBB36B4"/>
    <w:rsid w:val="1BD01CD5"/>
    <w:rsid w:val="1BE37C5A"/>
    <w:rsid w:val="1BF260EF"/>
    <w:rsid w:val="1C071B9A"/>
    <w:rsid w:val="1C1147C7"/>
    <w:rsid w:val="1C2344FA"/>
    <w:rsid w:val="1C27223D"/>
    <w:rsid w:val="1C295FB5"/>
    <w:rsid w:val="1C35495A"/>
    <w:rsid w:val="1C7E25A5"/>
    <w:rsid w:val="1C844F99"/>
    <w:rsid w:val="1C960037"/>
    <w:rsid w:val="1C986C96"/>
    <w:rsid w:val="1CB03FE0"/>
    <w:rsid w:val="1CBC0BD7"/>
    <w:rsid w:val="1CC030A6"/>
    <w:rsid w:val="1CC25AC1"/>
    <w:rsid w:val="1CE04199"/>
    <w:rsid w:val="1CE1063D"/>
    <w:rsid w:val="1D1D63D2"/>
    <w:rsid w:val="1D24481A"/>
    <w:rsid w:val="1D273504"/>
    <w:rsid w:val="1D2F75FB"/>
    <w:rsid w:val="1D305121"/>
    <w:rsid w:val="1D434E54"/>
    <w:rsid w:val="1D50131F"/>
    <w:rsid w:val="1D596426"/>
    <w:rsid w:val="1D5C1A72"/>
    <w:rsid w:val="1D6152DA"/>
    <w:rsid w:val="1D632E00"/>
    <w:rsid w:val="1D664516"/>
    <w:rsid w:val="1D6B43AB"/>
    <w:rsid w:val="1D6B7F07"/>
    <w:rsid w:val="1D6E79F7"/>
    <w:rsid w:val="1D7940CD"/>
    <w:rsid w:val="1D8334A3"/>
    <w:rsid w:val="1D862F93"/>
    <w:rsid w:val="1D9B6A3E"/>
    <w:rsid w:val="1DAD49C3"/>
    <w:rsid w:val="1DB7139E"/>
    <w:rsid w:val="1DB73B41"/>
    <w:rsid w:val="1DED4DC0"/>
    <w:rsid w:val="1E026ABD"/>
    <w:rsid w:val="1E1E4B8E"/>
    <w:rsid w:val="1E200CF1"/>
    <w:rsid w:val="1E320A25"/>
    <w:rsid w:val="1E37603B"/>
    <w:rsid w:val="1E396257"/>
    <w:rsid w:val="1E4F15D7"/>
    <w:rsid w:val="1E51534F"/>
    <w:rsid w:val="1E532470"/>
    <w:rsid w:val="1E5F5CBE"/>
    <w:rsid w:val="1E6432D4"/>
    <w:rsid w:val="1E696C55"/>
    <w:rsid w:val="1E6A01BF"/>
    <w:rsid w:val="1E796654"/>
    <w:rsid w:val="1E8F40C9"/>
    <w:rsid w:val="1EA27958"/>
    <w:rsid w:val="1EAA4A5F"/>
    <w:rsid w:val="1EB3656C"/>
    <w:rsid w:val="1EB477CA"/>
    <w:rsid w:val="1ECD2E93"/>
    <w:rsid w:val="1EDA17E8"/>
    <w:rsid w:val="1EDB10BC"/>
    <w:rsid w:val="1EE2069D"/>
    <w:rsid w:val="1EE241F9"/>
    <w:rsid w:val="1EFF2FFD"/>
    <w:rsid w:val="1F09486E"/>
    <w:rsid w:val="1F0E4FEE"/>
    <w:rsid w:val="1F1D16D5"/>
    <w:rsid w:val="1F2667DB"/>
    <w:rsid w:val="1F2C36C6"/>
    <w:rsid w:val="1F3233D2"/>
    <w:rsid w:val="1F4B4494"/>
    <w:rsid w:val="1F5640E5"/>
    <w:rsid w:val="1F5E41C7"/>
    <w:rsid w:val="1F745799"/>
    <w:rsid w:val="1F8976D3"/>
    <w:rsid w:val="1F8C4524"/>
    <w:rsid w:val="1F941997"/>
    <w:rsid w:val="1F996FAD"/>
    <w:rsid w:val="1FA37E2C"/>
    <w:rsid w:val="1FAE057F"/>
    <w:rsid w:val="1FB060A5"/>
    <w:rsid w:val="1FB738D7"/>
    <w:rsid w:val="1FBB33C8"/>
    <w:rsid w:val="1FC102B2"/>
    <w:rsid w:val="1FD36F7E"/>
    <w:rsid w:val="1FD55B0C"/>
    <w:rsid w:val="1FD75D28"/>
    <w:rsid w:val="1FE10954"/>
    <w:rsid w:val="1FE83A91"/>
    <w:rsid w:val="1FED554B"/>
    <w:rsid w:val="1FF02946"/>
    <w:rsid w:val="1FF42436"/>
    <w:rsid w:val="2000702C"/>
    <w:rsid w:val="200563F1"/>
    <w:rsid w:val="200D799B"/>
    <w:rsid w:val="200F54C2"/>
    <w:rsid w:val="20315438"/>
    <w:rsid w:val="204D5FEA"/>
    <w:rsid w:val="204F1D62"/>
    <w:rsid w:val="20531852"/>
    <w:rsid w:val="20577DFF"/>
    <w:rsid w:val="20605D1D"/>
    <w:rsid w:val="20670E5A"/>
    <w:rsid w:val="20672C08"/>
    <w:rsid w:val="20692E24"/>
    <w:rsid w:val="20717F2A"/>
    <w:rsid w:val="207812B9"/>
    <w:rsid w:val="207F2A26"/>
    <w:rsid w:val="20857532"/>
    <w:rsid w:val="209D2ACD"/>
    <w:rsid w:val="20A0611A"/>
    <w:rsid w:val="20B3409F"/>
    <w:rsid w:val="20B63B8F"/>
    <w:rsid w:val="20BD4F1E"/>
    <w:rsid w:val="20C37337"/>
    <w:rsid w:val="20C53DD2"/>
    <w:rsid w:val="20C91B14"/>
    <w:rsid w:val="20CA763A"/>
    <w:rsid w:val="20D3029D"/>
    <w:rsid w:val="20D64231"/>
    <w:rsid w:val="20D81349"/>
    <w:rsid w:val="20F3093F"/>
    <w:rsid w:val="20F46465"/>
    <w:rsid w:val="21154D5A"/>
    <w:rsid w:val="212A1E87"/>
    <w:rsid w:val="212E5E1B"/>
    <w:rsid w:val="213571AA"/>
    <w:rsid w:val="213A47C0"/>
    <w:rsid w:val="213D1BBA"/>
    <w:rsid w:val="214473ED"/>
    <w:rsid w:val="214747E7"/>
    <w:rsid w:val="214E2429"/>
    <w:rsid w:val="21514EF5"/>
    <w:rsid w:val="215552ED"/>
    <w:rsid w:val="215A6C10"/>
    <w:rsid w:val="215C64E4"/>
    <w:rsid w:val="21645399"/>
    <w:rsid w:val="216830DB"/>
    <w:rsid w:val="216D06F2"/>
    <w:rsid w:val="2181181C"/>
    <w:rsid w:val="21837F15"/>
    <w:rsid w:val="21891265"/>
    <w:rsid w:val="218E68BA"/>
    <w:rsid w:val="219263AA"/>
    <w:rsid w:val="21A525BC"/>
    <w:rsid w:val="21A8172A"/>
    <w:rsid w:val="21B76AE0"/>
    <w:rsid w:val="21C978F2"/>
    <w:rsid w:val="21CD6779"/>
    <w:rsid w:val="21D73DBD"/>
    <w:rsid w:val="21E14C3C"/>
    <w:rsid w:val="21F20BF7"/>
    <w:rsid w:val="21F506E7"/>
    <w:rsid w:val="21F52495"/>
    <w:rsid w:val="21F91F85"/>
    <w:rsid w:val="220152DE"/>
    <w:rsid w:val="220A4192"/>
    <w:rsid w:val="220B7F0B"/>
    <w:rsid w:val="220D77DF"/>
    <w:rsid w:val="22145011"/>
    <w:rsid w:val="22230DB0"/>
    <w:rsid w:val="222C7388"/>
    <w:rsid w:val="22356D36"/>
    <w:rsid w:val="223631D9"/>
    <w:rsid w:val="22396826"/>
    <w:rsid w:val="22405E06"/>
    <w:rsid w:val="224A458F"/>
    <w:rsid w:val="22576CAC"/>
    <w:rsid w:val="226E2973"/>
    <w:rsid w:val="22835CF3"/>
    <w:rsid w:val="228F28EA"/>
    <w:rsid w:val="229879F0"/>
    <w:rsid w:val="22A04AF7"/>
    <w:rsid w:val="22A16179"/>
    <w:rsid w:val="22AA14D2"/>
    <w:rsid w:val="22B12860"/>
    <w:rsid w:val="22B20386"/>
    <w:rsid w:val="22BE4F7D"/>
    <w:rsid w:val="22C04851"/>
    <w:rsid w:val="22CF718A"/>
    <w:rsid w:val="22D36C7A"/>
    <w:rsid w:val="22D622C7"/>
    <w:rsid w:val="22D81D21"/>
    <w:rsid w:val="22D93B65"/>
    <w:rsid w:val="22E22A19"/>
    <w:rsid w:val="22E52653"/>
    <w:rsid w:val="22EC5646"/>
    <w:rsid w:val="22FF7A6F"/>
    <w:rsid w:val="230C5CE8"/>
    <w:rsid w:val="231150AD"/>
    <w:rsid w:val="231B1EBA"/>
    <w:rsid w:val="231B23CF"/>
    <w:rsid w:val="231E77CA"/>
    <w:rsid w:val="23201794"/>
    <w:rsid w:val="23254986"/>
    <w:rsid w:val="232E3EB1"/>
    <w:rsid w:val="233174FD"/>
    <w:rsid w:val="233652EC"/>
    <w:rsid w:val="23405858"/>
    <w:rsid w:val="234611FA"/>
    <w:rsid w:val="23580F2E"/>
    <w:rsid w:val="23594841"/>
    <w:rsid w:val="235B27CC"/>
    <w:rsid w:val="235F406A"/>
    <w:rsid w:val="236773C3"/>
    <w:rsid w:val="23694EE9"/>
    <w:rsid w:val="237C4C1C"/>
    <w:rsid w:val="239C52BE"/>
    <w:rsid w:val="23A10B26"/>
    <w:rsid w:val="23A1249F"/>
    <w:rsid w:val="23A44173"/>
    <w:rsid w:val="23C2284B"/>
    <w:rsid w:val="23CD5478"/>
    <w:rsid w:val="23DA1943"/>
    <w:rsid w:val="23ED1676"/>
    <w:rsid w:val="23FA3D93"/>
    <w:rsid w:val="23FF584D"/>
    <w:rsid w:val="240B2444"/>
    <w:rsid w:val="241237D2"/>
    <w:rsid w:val="2412732E"/>
    <w:rsid w:val="241906BD"/>
    <w:rsid w:val="241A4435"/>
    <w:rsid w:val="241F37F9"/>
    <w:rsid w:val="24373239"/>
    <w:rsid w:val="24386EC6"/>
    <w:rsid w:val="2443398C"/>
    <w:rsid w:val="244871F4"/>
    <w:rsid w:val="24487559"/>
    <w:rsid w:val="245060A9"/>
    <w:rsid w:val="245B0CD5"/>
    <w:rsid w:val="245B6F27"/>
    <w:rsid w:val="246851A0"/>
    <w:rsid w:val="24692CFA"/>
    <w:rsid w:val="246F4781"/>
    <w:rsid w:val="24751037"/>
    <w:rsid w:val="24861ACA"/>
    <w:rsid w:val="248C5333"/>
    <w:rsid w:val="249B3CCC"/>
    <w:rsid w:val="249E6E14"/>
    <w:rsid w:val="24A51F50"/>
    <w:rsid w:val="24AF1021"/>
    <w:rsid w:val="24AF7273"/>
    <w:rsid w:val="24BC729A"/>
    <w:rsid w:val="24C20D54"/>
    <w:rsid w:val="24CA5E5B"/>
    <w:rsid w:val="24CE594B"/>
    <w:rsid w:val="24D14F8B"/>
    <w:rsid w:val="24D26ABE"/>
    <w:rsid w:val="24E862E1"/>
    <w:rsid w:val="24F668CE"/>
    <w:rsid w:val="24FB6014"/>
    <w:rsid w:val="24FE5B05"/>
    <w:rsid w:val="250A6257"/>
    <w:rsid w:val="25257535"/>
    <w:rsid w:val="252A68FA"/>
    <w:rsid w:val="25311A36"/>
    <w:rsid w:val="2533755C"/>
    <w:rsid w:val="253432D4"/>
    <w:rsid w:val="253D662D"/>
    <w:rsid w:val="253F23A5"/>
    <w:rsid w:val="25441769"/>
    <w:rsid w:val="254A2AF8"/>
    <w:rsid w:val="25583467"/>
    <w:rsid w:val="255A445E"/>
    <w:rsid w:val="256242E5"/>
    <w:rsid w:val="25643BBA"/>
    <w:rsid w:val="256718FC"/>
    <w:rsid w:val="256736AA"/>
    <w:rsid w:val="257007B0"/>
    <w:rsid w:val="25714529"/>
    <w:rsid w:val="25853522"/>
    <w:rsid w:val="258A1146"/>
    <w:rsid w:val="258B7398"/>
    <w:rsid w:val="25924AD2"/>
    <w:rsid w:val="25A55F80"/>
    <w:rsid w:val="25A8619C"/>
    <w:rsid w:val="25AE3087"/>
    <w:rsid w:val="25B14925"/>
    <w:rsid w:val="25CE3729"/>
    <w:rsid w:val="25D52D09"/>
    <w:rsid w:val="25D6438C"/>
    <w:rsid w:val="25DC7BF4"/>
    <w:rsid w:val="25DD5432"/>
    <w:rsid w:val="25E92311"/>
    <w:rsid w:val="2609650F"/>
    <w:rsid w:val="261451ED"/>
    <w:rsid w:val="261B31D1"/>
    <w:rsid w:val="262275D1"/>
    <w:rsid w:val="262477ED"/>
    <w:rsid w:val="262D48F3"/>
    <w:rsid w:val="262E5F76"/>
    <w:rsid w:val="263712CE"/>
    <w:rsid w:val="26415CA9"/>
    <w:rsid w:val="26492DAF"/>
    <w:rsid w:val="264A1001"/>
    <w:rsid w:val="264D28A0"/>
    <w:rsid w:val="265005E2"/>
    <w:rsid w:val="26533F22"/>
    <w:rsid w:val="26600825"/>
    <w:rsid w:val="26606A77"/>
    <w:rsid w:val="2666570F"/>
    <w:rsid w:val="26722306"/>
    <w:rsid w:val="267225B5"/>
    <w:rsid w:val="26753BA5"/>
    <w:rsid w:val="267A11BB"/>
    <w:rsid w:val="26834513"/>
    <w:rsid w:val="26936BE5"/>
    <w:rsid w:val="26946721"/>
    <w:rsid w:val="26964247"/>
    <w:rsid w:val="26971D6D"/>
    <w:rsid w:val="269F0C21"/>
    <w:rsid w:val="26AB75C6"/>
    <w:rsid w:val="26AF355A"/>
    <w:rsid w:val="26AF5308"/>
    <w:rsid w:val="26B75F6B"/>
    <w:rsid w:val="26BE72FA"/>
    <w:rsid w:val="26C32B62"/>
    <w:rsid w:val="26D263D5"/>
    <w:rsid w:val="26D62895"/>
    <w:rsid w:val="26D7660D"/>
    <w:rsid w:val="26DE174A"/>
    <w:rsid w:val="26EB3E67"/>
    <w:rsid w:val="26EF3957"/>
    <w:rsid w:val="26F947D6"/>
    <w:rsid w:val="27003DB6"/>
    <w:rsid w:val="27005B64"/>
    <w:rsid w:val="27070CA1"/>
    <w:rsid w:val="270D0281"/>
    <w:rsid w:val="270D1AB7"/>
    <w:rsid w:val="27271343"/>
    <w:rsid w:val="27281650"/>
    <w:rsid w:val="272A0E33"/>
    <w:rsid w:val="272F6449"/>
    <w:rsid w:val="27475541"/>
    <w:rsid w:val="27515689"/>
    <w:rsid w:val="275163C0"/>
    <w:rsid w:val="275639D6"/>
    <w:rsid w:val="27565784"/>
    <w:rsid w:val="27781B9E"/>
    <w:rsid w:val="278B5528"/>
    <w:rsid w:val="278B7B24"/>
    <w:rsid w:val="279B3ADF"/>
    <w:rsid w:val="27A42993"/>
    <w:rsid w:val="27AE55C0"/>
    <w:rsid w:val="27BC5F2F"/>
    <w:rsid w:val="27C748D4"/>
    <w:rsid w:val="27D326C2"/>
    <w:rsid w:val="27DF5779"/>
    <w:rsid w:val="27E2526A"/>
    <w:rsid w:val="27EC60E8"/>
    <w:rsid w:val="27F60D15"/>
    <w:rsid w:val="27FF406E"/>
    <w:rsid w:val="28074CD0"/>
    <w:rsid w:val="280B47C0"/>
    <w:rsid w:val="280D12AA"/>
    <w:rsid w:val="28333D17"/>
    <w:rsid w:val="2837724B"/>
    <w:rsid w:val="283A32F8"/>
    <w:rsid w:val="283C7070"/>
    <w:rsid w:val="284E0B51"/>
    <w:rsid w:val="284E28FF"/>
    <w:rsid w:val="2852419D"/>
    <w:rsid w:val="285C501C"/>
    <w:rsid w:val="286345FC"/>
    <w:rsid w:val="28700AC7"/>
    <w:rsid w:val="28702875"/>
    <w:rsid w:val="287C746C"/>
    <w:rsid w:val="28810F26"/>
    <w:rsid w:val="288325A9"/>
    <w:rsid w:val="28836A4D"/>
    <w:rsid w:val="288B76AF"/>
    <w:rsid w:val="288F53F1"/>
    <w:rsid w:val="2895052E"/>
    <w:rsid w:val="289A5B44"/>
    <w:rsid w:val="289C18BC"/>
    <w:rsid w:val="289F315B"/>
    <w:rsid w:val="28A6098D"/>
    <w:rsid w:val="28C52BC1"/>
    <w:rsid w:val="28DE1ED5"/>
    <w:rsid w:val="28E16B4E"/>
    <w:rsid w:val="28FE2577"/>
    <w:rsid w:val="290D6316"/>
    <w:rsid w:val="29183639"/>
    <w:rsid w:val="2919115F"/>
    <w:rsid w:val="29233D8C"/>
    <w:rsid w:val="29235B3A"/>
    <w:rsid w:val="29361D11"/>
    <w:rsid w:val="2939535D"/>
    <w:rsid w:val="294361DC"/>
    <w:rsid w:val="294A3612"/>
    <w:rsid w:val="294E0E09"/>
    <w:rsid w:val="294F4B81"/>
    <w:rsid w:val="29542197"/>
    <w:rsid w:val="29634188"/>
    <w:rsid w:val="29657F00"/>
    <w:rsid w:val="296F6FD1"/>
    <w:rsid w:val="29787C34"/>
    <w:rsid w:val="297A7E50"/>
    <w:rsid w:val="29852351"/>
    <w:rsid w:val="2987256D"/>
    <w:rsid w:val="29883BEF"/>
    <w:rsid w:val="299F1664"/>
    <w:rsid w:val="29A0362E"/>
    <w:rsid w:val="29AF73CD"/>
    <w:rsid w:val="29B570DA"/>
    <w:rsid w:val="29B669AE"/>
    <w:rsid w:val="29BA46F0"/>
    <w:rsid w:val="29C235A5"/>
    <w:rsid w:val="29CC7F7F"/>
    <w:rsid w:val="29EE6148"/>
    <w:rsid w:val="29FC6AB7"/>
    <w:rsid w:val="2A034D83"/>
    <w:rsid w:val="2A1F09F7"/>
    <w:rsid w:val="2A385615"/>
    <w:rsid w:val="2A490E0C"/>
    <w:rsid w:val="2A554419"/>
    <w:rsid w:val="2A5561C7"/>
    <w:rsid w:val="2A6401B8"/>
    <w:rsid w:val="2A756869"/>
    <w:rsid w:val="2A7E3970"/>
    <w:rsid w:val="2A832D34"/>
    <w:rsid w:val="2A846AAC"/>
    <w:rsid w:val="2A992557"/>
    <w:rsid w:val="2A9D36CA"/>
    <w:rsid w:val="2AA44A58"/>
    <w:rsid w:val="2AAA6513"/>
    <w:rsid w:val="2AAE58D7"/>
    <w:rsid w:val="2AB4113F"/>
    <w:rsid w:val="2AB63109"/>
    <w:rsid w:val="2AC11AAE"/>
    <w:rsid w:val="2ACD3FAF"/>
    <w:rsid w:val="2AD01CF1"/>
    <w:rsid w:val="2AD417E1"/>
    <w:rsid w:val="2AD43590"/>
    <w:rsid w:val="2AD9330C"/>
    <w:rsid w:val="2ADC41F2"/>
    <w:rsid w:val="2AE15CAC"/>
    <w:rsid w:val="2AE17A5A"/>
    <w:rsid w:val="2AE31A25"/>
    <w:rsid w:val="2AE82B97"/>
    <w:rsid w:val="2AE8528D"/>
    <w:rsid w:val="2AEB2687"/>
    <w:rsid w:val="2AF027CC"/>
    <w:rsid w:val="2AF53506"/>
    <w:rsid w:val="2B0100FD"/>
    <w:rsid w:val="2B033E75"/>
    <w:rsid w:val="2B057BED"/>
    <w:rsid w:val="2B0674C1"/>
    <w:rsid w:val="2B0A0D5F"/>
    <w:rsid w:val="2B0C4B9E"/>
    <w:rsid w:val="2B0E25E2"/>
    <w:rsid w:val="2B0F281A"/>
    <w:rsid w:val="2B0F45C8"/>
    <w:rsid w:val="2B1F4DD1"/>
    <w:rsid w:val="2B287437"/>
    <w:rsid w:val="2B420D1D"/>
    <w:rsid w:val="2B473D61"/>
    <w:rsid w:val="2B4D50F0"/>
    <w:rsid w:val="2B4F2C16"/>
    <w:rsid w:val="2B563FA5"/>
    <w:rsid w:val="2B606BD1"/>
    <w:rsid w:val="2B681F2A"/>
    <w:rsid w:val="2B6A7A50"/>
    <w:rsid w:val="2B7F799F"/>
    <w:rsid w:val="2B85488A"/>
    <w:rsid w:val="2B8A1EA0"/>
    <w:rsid w:val="2B8C5C18"/>
    <w:rsid w:val="2B9D1BD3"/>
    <w:rsid w:val="2BAC0068"/>
    <w:rsid w:val="2BC453B2"/>
    <w:rsid w:val="2BC929C8"/>
    <w:rsid w:val="2BDD6474"/>
    <w:rsid w:val="2BE36401"/>
    <w:rsid w:val="2BE94E19"/>
    <w:rsid w:val="2BEB4C14"/>
    <w:rsid w:val="2BF0264B"/>
    <w:rsid w:val="2C02237E"/>
    <w:rsid w:val="2C027C88"/>
    <w:rsid w:val="2C034B3B"/>
    <w:rsid w:val="2C091017"/>
    <w:rsid w:val="2C1347A2"/>
    <w:rsid w:val="2C1520B2"/>
    <w:rsid w:val="2C1D0405"/>
    <w:rsid w:val="2C2B5431"/>
    <w:rsid w:val="2C2C11A9"/>
    <w:rsid w:val="2C2C73FB"/>
    <w:rsid w:val="2C372028"/>
    <w:rsid w:val="2C3B13EC"/>
    <w:rsid w:val="2C3F0EDD"/>
    <w:rsid w:val="2C4B5AD3"/>
    <w:rsid w:val="2C4D184B"/>
    <w:rsid w:val="2C4E2ECE"/>
    <w:rsid w:val="2C550700"/>
    <w:rsid w:val="2C55425C"/>
    <w:rsid w:val="2C5D75B5"/>
    <w:rsid w:val="2C614B13"/>
    <w:rsid w:val="2C723060"/>
    <w:rsid w:val="2C752B50"/>
    <w:rsid w:val="2C772424"/>
    <w:rsid w:val="2C8132A3"/>
    <w:rsid w:val="2C923702"/>
    <w:rsid w:val="2C950AFD"/>
    <w:rsid w:val="2C9D688B"/>
    <w:rsid w:val="2CAE1BBE"/>
    <w:rsid w:val="2CB25B52"/>
    <w:rsid w:val="2CB847EB"/>
    <w:rsid w:val="2CC43190"/>
    <w:rsid w:val="2CE43832"/>
    <w:rsid w:val="2CEB2E12"/>
    <w:rsid w:val="2CF55A3F"/>
    <w:rsid w:val="2D0A14EA"/>
    <w:rsid w:val="2D0B5263"/>
    <w:rsid w:val="2D4B38B1"/>
    <w:rsid w:val="2D574004"/>
    <w:rsid w:val="2D5B3AF4"/>
    <w:rsid w:val="2D5C5ABE"/>
    <w:rsid w:val="2D621327"/>
    <w:rsid w:val="2D633CAF"/>
    <w:rsid w:val="2D652BC5"/>
    <w:rsid w:val="2D6D3827"/>
    <w:rsid w:val="2D713318"/>
    <w:rsid w:val="2D8172D3"/>
    <w:rsid w:val="2D825575"/>
    <w:rsid w:val="2D8748E9"/>
    <w:rsid w:val="2D8C1F00"/>
    <w:rsid w:val="2DAF2092"/>
    <w:rsid w:val="2DB15A09"/>
    <w:rsid w:val="2DB8624C"/>
    <w:rsid w:val="2DBF0527"/>
    <w:rsid w:val="2DC21DC5"/>
    <w:rsid w:val="2DC25921"/>
    <w:rsid w:val="2DC7118A"/>
    <w:rsid w:val="2DD12008"/>
    <w:rsid w:val="2DD218DC"/>
    <w:rsid w:val="2DD41AF8"/>
    <w:rsid w:val="2DDB3F6C"/>
    <w:rsid w:val="2DE450DE"/>
    <w:rsid w:val="2DEA4E78"/>
    <w:rsid w:val="2DEE4968"/>
    <w:rsid w:val="2DF53F49"/>
    <w:rsid w:val="2DF61A6F"/>
    <w:rsid w:val="2E132621"/>
    <w:rsid w:val="2E2A34C6"/>
    <w:rsid w:val="2E3C1B78"/>
    <w:rsid w:val="2E41718E"/>
    <w:rsid w:val="2E422F06"/>
    <w:rsid w:val="2E5D1AEE"/>
    <w:rsid w:val="2E5F7614"/>
    <w:rsid w:val="2E662DF3"/>
    <w:rsid w:val="2E6B5FB9"/>
    <w:rsid w:val="2E76495E"/>
    <w:rsid w:val="2E823302"/>
    <w:rsid w:val="2E870919"/>
    <w:rsid w:val="2E913546"/>
    <w:rsid w:val="2E9372BE"/>
    <w:rsid w:val="2E976DAE"/>
    <w:rsid w:val="2E980D78"/>
    <w:rsid w:val="2E9C09D3"/>
    <w:rsid w:val="2E9C43C4"/>
    <w:rsid w:val="2EA339A5"/>
    <w:rsid w:val="2EB07E70"/>
    <w:rsid w:val="2EB23BE8"/>
    <w:rsid w:val="2EBA1EDB"/>
    <w:rsid w:val="2EC658E5"/>
    <w:rsid w:val="2ECB4CA9"/>
    <w:rsid w:val="2ECD6C74"/>
    <w:rsid w:val="2ED33B5E"/>
    <w:rsid w:val="2EDC0C65"/>
    <w:rsid w:val="2EDE2C2F"/>
    <w:rsid w:val="2EE144CD"/>
    <w:rsid w:val="2EEB6188"/>
    <w:rsid w:val="2EF51D26"/>
    <w:rsid w:val="2EF75A9F"/>
    <w:rsid w:val="2EF85217"/>
    <w:rsid w:val="2EFE507F"/>
    <w:rsid w:val="2F067A90"/>
    <w:rsid w:val="2F120B2A"/>
    <w:rsid w:val="2F124686"/>
    <w:rsid w:val="2F1877C3"/>
    <w:rsid w:val="2F1C3757"/>
    <w:rsid w:val="2F230642"/>
    <w:rsid w:val="2F25260C"/>
    <w:rsid w:val="2F340AA1"/>
    <w:rsid w:val="2F3740ED"/>
    <w:rsid w:val="2F3E191F"/>
    <w:rsid w:val="2F4F58DB"/>
    <w:rsid w:val="2F546A4D"/>
    <w:rsid w:val="2F5C1DA5"/>
    <w:rsid w:val="2F5E78CC"/>
    <w:rsid w:val="2F633134"/>
    <w:rsid w:val="2F634EE2"/>
    <w:rsid w:val="2F6824F8"/>
    <w:rsid w:val="2F7C3537"/>
    <w:rsid w:val="2F832EF4"/>
    <w:rsid w:val="2F837332"/>
    <w:rsid w:val="2F8C4439"/>
    <w:rsid w:val="2F8F5CD7"/>
    <w:rsid w:val="2F923A19"/>
    <w:rsid w:val="2F9A4B34"/>
    <w:rsid w:val="2FA07EE4"/>
    <w:rsid w:val="2FA71273"/>
    <w:rsid w:val="2FAF6379"/>
    <w:rsid w:val="2FB971F8"/>
    <w:rsid w:val="2FC040E2"/>
    <w:rsid w:val="2FC11C09"/>
    <w:rsid w:val="2FCA6D0F"/>
    <w:rsid w:val="2FD47B8E"/>
    <w:rsid w:val="2FD656B4"/>
    <w:rsid w:val="2FE75B13"/>
    <w:rsid w:val="2FF4051A"/>
    <w:rsid w:val="30055F99"/>
    <w:rsid w:val="300761B5"/>
    <w:rsid w:val="30086895"/>
    <w:rsid w:val="30093CDB"/>
    <w:rsid w:val="30121DFF"/>
    <w:rsid w:val="30142680"/>
    <w:rsid w:val="30182170"/>
    <w:rsid w:val="30183F1E"/>
    <w:rsid w:val="301B0871"/>
    <w:rsid w:val="301B756B"/>
    <w:rsid w:val="30275F10"/>
    <w:rsid w:val="3034062C"/>
    <w:rsid w:val="30360848"/>
    <w:rsid w:val="304C3BC8"/>
    <w:rsid w:val="30550CCF"/>
    <w:rsid w:val="30601421"/>
    <w:rsid w:val="30656A38"/>
    <w:rsid w:val="306A22A0"/>
    <w:rsid w:val="30755674"/>
    <w:rsid w:val="30817D16"/>
    <w:rsid w:val="3086532C"/>
    <w:rsid w:val="30872E52"/>
    <w:rsid w:val="309F3091"/>
    <w:rsid w:val="30A05CC2"/>
    <w:rsid w:val="30AA08EF"/>
    <w:rsid w:val="30AA4FAA"/>
    <w:rsid w:val="30AD0B0B"/>
    <w:rsid w:val="30BA4FD6"/>
    <w:rsid w:val="30CE0A81"/>
    <w:rsid w:val="30D00355"/>
    <w:rsid w:val="30D836AE"/>
    <w:rsid w:val="30E36564"/>
    <w:rsid w:val="30E402A4"/>
    <w:rsid w:val="30F027A5"/>
    <w:rsid w:val="30F93D50"/>
    <w:rsid w:val="310149B3"/>
    <w:rsid w:val="31046251"/>
    <w:rsid w:val="3106646D"/>
    <w:rsid w:val="310F4C68"/>
    <w:rsid w:val="31172428"/>
    <w:rsid w:val="311C359A"/>
    <w:rsid w:val="311F15F9"/>
    <w:rsid w:val="31224929"/>
    <w:rsid w:val="312406A1"/>
    <w:rsid w:val="31244B45"/>
    <w:rsid w:val="313F54DB"/>
    <w:rsid w:val="31570A76"/>
    <w:rsid w:val="31615451"/>
    <w:rsid w:val="316513E5"/>
    <w:rsid w:val="31653193"/>
    <w:rsid w:val="3166515D"/>
    <w:rsid w:val="31692558"/>
    <w:rsid w:val="31723B02"/>
    <w:rsid w:val="31745184"/>
    <w:rsid w:val="318135CB"/>
    <w:rsid w:val="318F1FBE"/>
    <w:rsid w:val="31973569"/>
    <w:rsid w:val="31994BEB"/>
    <w:rsid w:val="319B4E07"/>
    <w:rsid w:val="31A737AC"/>
    <w:rsid w:val="31B22151"/>
    <w:rsid w:val="31B5579D"/>
    <w:rsid w:val="31D67BED"/>
    <w:rsid w:val="31D9148B"/>
    <w:rsid w:val="31DA2486"/>
    <w:rsid w:val="31E50C02"/>
    <w:rsid w:val="31E57E30"/>
    <w:rsid w:val="31EC5663"/>
    <w:rsid w:val="32026C34"/>
    <w:rsid w:val="320A5AE9"/>
    <w:rsid w:val="32116044"/>
    <w:rsid w:val="322070BA"/>
    <w:rsid w:val="32221084"/>
    <w:rsid w:val="3227669B"/>
    <w:rsid w:val="322946C9"/>
    <w:rsid w:val="322C1F03"/>
    <w:rsid w:val="322C3CB1"/>
    <w:rsid w:val="3239017C"/>
    <w:rsid w:val="32396127"/>
    <w:rsid w:val="323B04A4"/>
    <w:rsid w:val="32505B7F"/>
    <w:rsid w:val="326A47D9"/>
    <w:rsid w:val="326F71AB"/>
    <w:rsid w:val="32957AA8"/>
    <w:rsid w:val="32AA2E28"/>
    <w:rsid w:val="32AE2918"/>
    <w:rsid w:val="32AF737A"/>
    <w:rsid w:val="32C97752"/>
    <w:rsid w:val="32CB5278"/>
    <w:rsid w:val="32D050B8"/>
    <w:rsid w:val="32D22AAA"/>
    <w:rsid w:val="32D305D1"/>
    <w:rsid w:val="32D87995"/>
    <w:rsid w:val="32DB1233"/>
    <w:rsid w:val="32F02F31"/>
    <w:rsid w:val="32F04CDF"/>
    <w:rsid w:val="33044C2E"/>
    <w:rsid w:val="3307027A"/>
    <w:rsid w:val="330D6CFF"/>
    <w:rsid w:val="33105381"/>
    <w:rsid w:val="3310712F"/>
    <w:rsid w:val="33154745"/>
    <w:rsid w:val="33184235"/>
    <w:rsid w:val="331C1F78"/>
    <w:rsid w:val="331F7372"/>
    <w:rsid w:val="33233306"/>
    <w:rsid w:val="33294694"/>
    <w:rsid w:val="333A7FDD"/>
    <w:rsid w:val="33550FE6"/>
    <w:rsid w:val="335E60EC"/>
    <w:rsid w:val="33680D19"/>
    <w:rsid w:val="336851BD"/>
    <w:rsid w:val="336A4A46"/>
    <w:rsid w:val="33770F5C"/>
    <w:rsid w:val="337A0A4C"/>
    <w:rsid w:val="3381627F"/>
    <w:rsid w:val="338654C9"/>
    <w:rsid w:val="338B2C59"/>
    <w:rsid w:val="33957634"/>
    <w:rsid w:val="33A61841"/>
    <w:rsid w:val="33AA7583"/>
    <w:rsid w:val="33AD0E22"/>
    <w:rsid w:val="33C551F0"/>
    <w:rsid w:val="33D463AE"/>
    <w:rsid w:val="33D740F0"/>
    <w:rsid w:val="33DF6B01"/>
    <w:rsid w:val="3409025B"/>
    <w:rsid w:val="340D18C0"/>
    <w:rsid w:val="341449FD"/>
    <w:rsid w:val="342D5ABF"/>
    <w:rsid w:val="343E1A7A"/>
    <w:rsid w:val="34441786"/>
    <w:rsid w:val="34474DD2"/>
    <w:rsid w:val="345B6AD0"/>
    <w:rsid w:val="34627E5E"/>
    <w:rsid w:val="34655258"/>
    <w:rsid w:val="34684D49"/>
    <w:rsid w:val="346D235F"/>
    <w:rsid w:val="34735BC7"/>
    <w:rsid w:val="34761214"/>
    <w:rsid w:val="348A4CBF"/>
    <w:rsid w:val="34931DC5"/>
    <w:rsid w:val="34936269"/>
    <w:rsid w:val="349E076A"/>
    <w:rsid w:val="34A044E2"/>
    <w:rsid w:val="34A22009"/>
    <w:rsid w:val="34A246FE"/>
    <w:rsid w:val="34AC2E87"/>
    <w:rsid w:val="34AE30A3"/>
    <w:rsid w:val="34B21B0F"/>
    <w:rsid w:val="34BF705E"/>
    <w:rsid w:val="34C401D1"/>
    <w:rsid w:val="34C826ED"/>
    <w:rsid w:val="34DA3E98"/>
    <w:rsid w:val="34DF14AF"/>
    <w:rsid w:val="34E40873"/>
    <w:rsid w:val="34E95E89"/>
    <w:rsid w:val="34FC3E0F"/>
    <w:rsid w:val="3509652C"/>
    <w:rsid w:val="350E769E"/>
    <w:rsid w:val="35123632"/>
    <w:rsid w:val="351A4295"/>
    <w:rsid w:val="351D3D85"/>
    <w:rsid w:val="35227EF9"/>
    <w:rsid w:val="35245113"/>
    <w:rsid w:val="353438FB"/>
    <w:rsid w:val="354B08F2"/>
    <w:rsid w:val="355754E9"/>
    <w:rsid w:val="35584DBD"/>
    <w:rsid w:val="355A0B35"/>
    <w:rsid w:val="355F614C"/>
    <w:rsid w:val="357C0AAC"/>
    <w:rsid w:val="35873781"/>
    <w:rsid w:val="358B0CEF"/>
    <w:rsid w:val="35935DF5"/>
    <w:rsid w:val="359C114E"/>
    <w:rsid w:val="359F7016"/>
    <w:rsid w:val="35A40002"/>
    <w:rsid w:val="35C0308E"/>
    <w:rsid w:val="35C80195"/>
    <w:rsid w:val="35D5640E"/>
    <w:rsid w:val="35E328D9"/>
    <w:rsid w:val="35EB6701"/>
    <w:rsid w:val="36015455"/>
    <w:rsid w:val="36154A5C"/>
    <w:rsid w:val="36162CAE"/>
    <w:rsid w:val="361909F0"/>
    <w:rsid w:val="36203B2D"/>
    <w:rsid w:val="36257395"/>
    <w:rsid w:val="362F3D70"/>
    <w:rsid w:val="363B44C3"/>
    <w:rsid w:val="3652180C"/>
    <w:rsid w:val="36545584"/>
    <w:rsid w:val="365E6055"/>
    <w:rsid w:val="36626903"/>
    <w:rsid w:val="3668693C"/>
    <w:rsid w:val="36897924"/>
    <w:rsid w:val="368A369C"/>
    <w:rsid w:val="369E4A52"/>
    <w:rsid w:val="36A22794"/>
    <w:rsid w:val="36A4650C"/>
    <w:rsid w:val="36AF6C5F"/>
    <w:rsid w:val="36B349A1"/>
    <w:rsid w:val="36C26992"/>
    <w:rsid w:val="36C546D4"/>
    <w:rsid w:val="36CA3A99"/>
    <w:rsid w:val="36D641EB"/>
    <w:rsid w:val="36D84407"/>
    <w:rsid w:val="36D97FDD"/>
    <w:rsid w:val="36FD79CA"/>
    <w:rsid w:val="37046FAB"/>
    <w:rsid w:val="3715665F"/>
    <w:rsid w:val="3715740A"/>
    <w:rsid w:val="371A057C"/>
    <w:rsid w:val="372907BF"/>
    <w:rsid w:val="372C02AF"/>
    <w:rsid w:val="37392328"/>
    <w:rsid w:val="373D426B"/>
    <w:rsid w:val="374101FF"/>
    <w:rsid w:val="37427AD3"/>
    <w:rsid w:val="37446B19"/>
    <w:rsid w:val="374B6987"/>
    <w:rsid w:val="37506F8C"/>
    <w:rsid w:val="37515F68"/>
    <w:rsid w:val="375515B4"/>
    <w:rsid w:val="3757357E"/>
    <w:rsid w:val="375872F6"/>
    <w:rsid w:val="375A6BCB"/>
    <w:rsid w:val="37704640"/>
    <w:rsid w:val="3771317E"/>
    <w:rsid w:val="377A54BF"/>
    <w:rsid w:val="377C2FE5"/>
    <w:rsid w:val="37802DC5"/>
    <w:rsid w:val="378123A9"/>
    <w:rsid w:val="378620B5"/>
    <w:rsid w:val="378B76CC"/>
    <w:rsid w:val="37904CE2"/>
    <w:rsid w:val="37971BCD"/>
    <w:rsid w:val="379876F3"/>
    <w:rsid w:val="379C4C58"/>
    <w:rsid w:val="379C71E3"/>
    <w:rsid w:val="37A27B7C"/>
    <w:rsid w:val="37A661A0"/>
    <w:rsid w:val="37A66786"/>
    <w:rsid w:val="37AB1B1C"/>
    <w:rsid w:val="37AD7642"/>
    <w:rsid w:val="37B564F7"/>
    <w:rsid w:val="37B95FE7"/>
    <w:rsid w:val="37BA1D5F"/>
    <w:rsid w:val="37CB103B"/>
    <w:rsid w:val="37CF226E"/>
    <w:rsid w:val="37D3697D"/>
    <w:rsid w:val="37D42E21"/>
    <w:rsid w:val="37E40B8A"/>
    <w:rsid w:val="37EA2644"/>
    <w:rsid w:val="37EF7C5B"/>
    <w:rsid w:val="37F012DD"/>
    <w:rsid w:val="37FF5047"/>
    <w:rsid w:val="380354B4"/>
    <w:rsid w:val="380A05F1"/>
    <w:rsid w:val="381C47C8"/>
    <w:rsid w:val="381D4C13"/>
    <w:rsid w:val="381E22EE"/>
    <w:rsid w:val="381E409C"/>
    <w:rsid w:val="38237904"/>
    <w:rsid w:val="3830058E"/>
    <w:rsid w:val="38334452"/>
    <w:rsid w:val="3842422E"/>
    <w:rsid w:val="384F06F9"/>
    <w:rsid w:val="385D37E7"/>
    <w:rsid w:val="38657F1D"/>
    <w:rsid w:val="386677F1"/>
    <w:rsid w:val="387737AC"/>
    <w:rsid w:val="38803573"/>
    <w:rsid w:val="38887767"/>
    <w:rsid w:val="388D1222"/>
    <w:rsid w:val="388E7474"/>
    <w:rsid w:val="38926838"/>
    <w:rsid w:val="38934A8A"/>
    <w:rsid w:val="389425B0"/>
    <w:rsid w:val="389C3213"/>
    <w:rsid w:val="389E51DD"/>
    <w:rsid w:val="38AD022B"/>
    <w:rsid w:val="38AD5420"/>
    <w:rsid w:val="38AF1198"/>
    <w:rsid w:val="38B92017"/>
    <w:rsid w:val="38C06F01"/>
    <w:rsid w:val="38C42E95"/>
    <w:rsid w:val="38CA5FD2"/>
    <w:rsid w:val="38D26C34"/>
    <w:rsid w:val="38D37F4B"/>
    <w:rsid w:val="38DF7CCF"/>
    <w:rsid w:val="38E70932"/>
    <w:rsid w:val="390B1759"/>
    <w:rsid w:val="390B2A81"/>
    <w:rsid w:val="390E5784"/>
    <w:rsid w:val="391D4354"/>
    <w:rsid w:val="392E6561"/>
    <w:rsid w:val="39332945"/>
    <w:rsid w:val="39447B32"/>
    <w:rsid w:val="394915ED"/>
    <w:rsid w:val="394C69E7"/>
    <w:rsid w:val="39537D75"/>
    <w:rsid w:val="39616936"/>
    <w:rsid w:val="39665CFB"/>
    <w:rsid w:val="39697599"/>
    <w:rsid w:val="396C0E37"/>
    <w:rsid w:val="397D1296"/>
    <w:rsid w:val="397F500E"/>
    <w:rsid w:val="398268AC"/>
    <w:rsid w:val="398402F3"/>
    <w:rsid w:val="39842625"/>
    <w:rsid w:val="39846181"/>
    <w:rsid w:val="39A405D1"/>
    <w:rsid w:val="39A763EE"/>
    <w:rsid w:val="39A84565"/>
    <w:rsid w:val="39AD1B7B"/>
    <w:rsid w:val="39C26CA9"/>
    <w:rsid w:val="39CB0253"/>
    <w:rsid w:val="39CD3FCC"/>
    <w:rsid w:val="39D013C6"/>
    <w:rsid w:val="39D76BF8"/>
    <w:rsid w:val="39DC5FBD"/>
    <w:rsid w:val="39EC3D26"/>
    <w:rsid w:val="39F41558"/>
    <w:rsid w:val="39F50E2C"/>
    <w:rsid w:val="3A0472C2"/>
    <w:rsid w:val="3A0F6392"/>
    <w:rsid w:val="3A173499"/>
    <w:rsid w:val="3A176FF5"/>
    <w:rsid w:val="3A2F07E2"/>
    <w:rsid w:val="3A3E0A25"/>
    <w:rsid w:val="3A445910"/>
    <w:rsid w:val="3A465B2C"/>
    <w:rsid w:val="3A4B4EF0"/>
    <w:rsid w:val="3A570AD9"/>
    <w:rsid w:val="3A5B15D7"/>
    <w:rsid w:val="3A5C0EAC"/>
    <w:rsid w:val="3A6F0BDF"/>
    <w:rsid w:val="3A704957"/>
    <w:rsid w:val="3A8723CC"/>
    <w:rsid w:val="3A916ECC"/>
    <w:rsid w:val="3A95616C"/>
    <w:rsid w:val="3A9B7C26"/>
    <w:rsid w:val="3AA27206"/>
    <w:rsid w:val="3AA31A28"/>
    <w:rsid w:val="3AC56A51"/>
    <w:rsid w:val="3ACF5B21"/>
    <w:rsid w:val="3AD6236B"/>
    <w:rsid w:val="3AD62A0C"/>
    <w:rsid w:val="3AEE41FA"/>
    <w:rsid w:val="3AF410E4"/>
    <w:rsid w:val="3B0532F1"/>
    <w:rsid w:val="3B0774FE"/>
    <w:rsid w:val="3B181276"/>
    <w:rsid w:val="3B245E6D"/>
    <w:rsid w:val="3B2C4D22"/>
    <w:rsid w:val="3B2F036E"/>
    <w:rsid w:val="3B392F9B"/>
    <w:rsid w:val="3B404329"/>
    <w:rsid w:val="3B540F72"/>
    <w:rsid w:val="3B563B4D"/>
    <w:rsid w:val="3B566CE4"/>
    <w:rsid w:val="3B6049CB"/>
    <w:rsid w:val="3B6A75F8"/>
    <w:rsid w:val="3B714E2B"/>
    <w:rsid w:val="3B7A5A8D"/>
    <w:rsid w:val="3B8406BA"/>
    <w:rsid w:val="3B844B5E"/>
    <w:rsid w:val="3B8B7C9A"/>
    <w:rsid w:val="3B9C1EA7"/>
    <w:rsid w:val="3BA42B0A"/>
    <w:rsid w:val="3BA725FA"/>
    <w:rsid w:val="3BAB20EB"/>
    <w:rsid w:val="3BBB7E54"/>
    <w:rsid w:val="3BBD597A"/>
    <w:rsid w:val="3BC625F4"/>
    <w:rsid w:val="3BD056AD"/>
    <w:rsid w:val="3BD72EE0"/>
    <w:rsid w:val="3BE41159"/>
    <w:rsid w:val="3BE63123"/>
    <w:rsid w:val="3BE82DC5"/>
    <w:rsid w:val="3BF3370C"/>
    <w:rsid w:val="3BF910A8"/>
    <w:rsid w:val="3C0B4937"/>
    <w:rsid w:val="3C0F436B"/>
    <w:rsid w:val="3C1A101E"/>
    <w:rsid w:val="3C1D466B"/>
    <w:rsid w:val="3C242CAC"/>
    <w:rsid w:val="3C2B6D87"/>
    <w:rsid w:val="3C2E0626"/>
    <w:rsid w:val="3C3814A4"/>
    <w:rsid w:val="3C3A6FCB"/>
    <w:rsid w:val="3C3C0F95"/>
    <w:rsid w:val="3C3E4D0D"/>
    <w:rsid w:val="3C4D6CFE"/>
    <w:rsid w:val="3C4E2A76"/>
    <w:rsid w:val="3C793F97"/>
    <w:rsid w:val="3C862210"/>
    <w:rsid w:val="3C875E4E"/>
    <w:rsid w:val="3C945361"/>
    <w:rsid w:val="3CA803D8"/>
    <w:rsid w:val="3CA8662A"/>
    <w:rsid w:val="3CC82828"/>
    <w:rsid w:val="3CD613E9"/>
    <w:rsid w:val="3CD92C87"/>
    <w:rsid w:val="3CE05DC4"/>
    <w:rsid w:val="3CF11D7F"/>
    <w:rsid w:val="3CF25AF7"/>
    <w:rsid w:val="3CF61143"/>
    <w:rsid w:val="3CFB4FDE"/>
    <w:rsid w:val="3D0221DE"/>
    <w:rsid w:val="3D073351"/>
    <w:rsid w:val="3D0E7C87"/>
    <w:rsid w:val="3D145A6E"/>
    <w:rsid w:val="3D1B32A0"/>
    <w:rsid w:val="3D2F4655"/>
    <w:rsid w:val="3D3879AE"/>
    <w:rsid w:val="3D3D3216"/>
    <w:rsid w:val="3D566086"/>
    <w:rsid w:val="3D5A3DC8"/>
    <w:rsid w:val="3D6407A3"/>
    <w:rsid w:val="3D6B1F10"/>
    <w:rsid w:val="3D6F7148"/>
    <w:rsid w:val="3D714641"/>
    <w:rsid w:val="3D820C29"/>
    <w:rsid w:val="3D8E75CE"/>
    <w:rsid w:val="3D8F4E37"/>
    <w:rsid w:val="3D915310"/>
    <w:rsid w:val="3D956BAE"/>
    <w:rsid w:val="3DA07301"/>
    <w:rsid w:val="3DA45043"/>
    <w:rsid w:val="3DA768E2"/>
    <w:rsid w:val="3DB159B2"/>
    <w:rsid w:val="3DB8289D"/>
    <w:rsid w:val="3DBA1129"/>
    <w:rsid w:val="3DC15BF5"/>
    <w:rsid w:val="3DC2538F"/>
    <w:rsid w:val="3DD07BE6"/>
    <w:rsid w:val="3DD27E02"/>
    <w:rsid w:val="3DDA2813"/>
    <w:rsid w:val="3DDC2A2F"/>
    <w:rsid w:val="3DDD67A7"/>
    <w:rsid w:val="3DF8713D"/>
    <w:rsid w:val="3E045AE2"/>
    <w:rsid w:val="3E077380"/>
    <w:rsid w:val="3E0D0E3B"/>
    <w:rsid w:val="3E0E6961"/>
    <w:rsid w:val="3E1622ED"/>
    <w:rsid w:val="3E1C1B38"/>
    <w:rsid w:val="3E210442"/>
    <w:rsid w:val="3E246184"/>
    <w:rsid w:val="3E257E84"/>
    <w:rsid w:val="3E287A22"/>
    <w:rsid w:val="3E2B12C1"/>
    <w:rsid w:val="3E3C1720"/>
    <w:rsid w:val="3E43589F"/>
    <w:rsid w:val="3E524A9F"/>
    <w:rsid w:val="3E6E11AD"/>
    <w:rsid w:val="3E703A7C"/>
    <w:rsid w:val="3E7762B4"/>
    <w:rsid w:val="3E8135D7"/>
    <w:rsid w:val="3E817133"/>
    <w:rsid w:val="3E860BED"/>
    <w:rsid w:val="3E921340"/>
    <w:rsid w:val="3E927592"/>
    <w:rsid w:val="3E9C3F6D"/>
    <w:rsid w:val="3E9E5F37"/>
    <w:rsid w:val="3EA572C5"/>
    <w:rsid w:val="3EA846BF"/>
    <w:rsid w:val="3EAB0654"/>
    <w:rsid w:val="3EAB38BB"/>
    <w:rsid w:val="3EAD617A"/>
    <w:rsid w:val="3EAD6F0F"/>
    <w:rsid w:val="3EB218F1"/>
    <w:rsid w:val="3EBC3B56"/>
    <w:rsid w:val="3EC7548D"/>
    <w:rsid w:val="3ECA6D2C"/>
    <w:rsid w:val="3ED23E32"/>
    <w:rsid w:val="3EDB4A95"/>
    <w:rsid w:val="3EE55913"/>
    <w:rsid w:val="3EE85404"/>
    <w:rsid w:val="3EEA117C"/>
    <w:rsid w:val="3EF06066"/>
    <w:rsid w:val="3F0062A9"/>
    <w:rsid w:val="3F012022"/>
    <w:rsid w:val="3F283A52"/>
    <w:rsid w:val="3F2B293E"/>
    <w:rsid w:val="3F32667F"/>
    <w:rsid w:val="3F3643C1"/>
    <w:rsid w:val="3F4A1C1A"/>
    <w:rsid w:val="3F4D34B9"/>
    <w:rsid w:val="3F4E1470"/>
    <w:rsid w:val="3F4F7231"/>
    <w:rsid w:val="3F5860E5"/>
    <w:rsid w:val="3F7E3672"/>
    <w:rsid w:val="3F8769CB"/>
    <w:rsid w:val="3F88629F"/>
    <w:rsid w:val="3F944C57"/>
    <w:rsid w:val="3F9D1D4A"/>
    <w:rsid w:val="3FAE21A9"/>
    <w:rsid w:val="3FAF7CCF"/>
    <w:rsid w:val="3FB84DD6"/>
    <w:rsid w:val="3FB86B84"/>
    <w:rsid w:val="3FC30E51"/>
    <w:rsid w:val="3FC65745"/>
    <w:rsid w:val="3FCE0156"/>
    <w:rsid w:val="3FD06369"/>
    <w:rsid w:val="3FD6050A"/>
    <w:rsid w:val="3FDC31A6"/>
    <w:rsid w:val="3FE71217"/>
    <w:rsid w:val="3FF04570"/>
    <w:rsid w:val="400B3158"/>
    <w:rsid w:val="401A15ED"/>
    <w:rsid w:val="401F6C03"/>
    <w:rsid w:val="40273D0A"/>
    <w:rsid w:val="403A3A3D"/>
    <w:rsid w:val="403F2E01"/>
    <w:rsid w:val="40400BE3"/>
    <w:rsid w:val="4041301D"/>
    <w:rsid w:val="404448BC"/>
    <w:rsid w:val="40464190"/>
    <w:rsid w:val="404B17A6"/>
    <w:rsid w:val="405C39B3"/>
    <w:rsid w:val="406228F9"/>
    <w:rsid w:val="406330B9"/>
    <w:rsid w:val="406D5BC1"/>
    <w:rsid w:val="4070745F"/>
    <w:rsid w:val="4070746C"/>
    <w:rsid w:val="40714F85"/>
    <w:rsid w:val="407249CF"/>
    <w:rsid w:val="407A208B"/>
    <w:rsid w:val="40953369"/>
    <w:rsid w:val="409A272E"/>
    <w:rsid w:val="409C46F8"/>
    <w:rsid w:val="409E221E"/>
    <w:rsid w:val="40A1586A"/>
    <w:rsid w:val="40A23390"/>
    <w:rsid w:val="40A86BF9"/>
    <w:rsid w:val="40A92971"/>
    <w:rsid w:val="40B41A41"/>
    <w:rsid w:val="40C81049"/>
    <w:rsid w:val="40C8729B"/>
    <w:rsid w:val="40DC1869"/>
    <w:rsid w:val="40EA7211"/>
    <w:rsid w:val="4105229D"/>
    <w:rsid w:val="410D4CAE"/>
    <w:rsid w:val="411A73CB"/>
    <w:rsid w:val="411E510D"/>
    <w:rsid w:val="41306BEE"/>
    <w:rsid w:val="41354204"/>
    <w:rsid w:val="41412BA9"/>
    <w:rsid w:val="41432DC5"/>
    <w:rsid w:val="414508EB"/>
    <w:rsid w:val="415D3E87"/>
    <w:rsid w:val="415D5C35"/>
    <w:rsid w:val="4162149D"/>
    <w:rsid w:val="41652D3C"/>
    <w:rsid w:val="41727207"/>
    <w:rsid w:val="41792C41"/>
    <w:rsid w:val="41895373"/>
    <w:rsid w:val="418C651A"/>
    <w:rsid w:val="4194717D"/>
    <w:rsid w:val="41984EBF"/>
    <w:rsid w:val="419D24D5"/>
    <w:rsid w:val="419D5C78"/>
    <w:rsid w:val="41B25855"/>
    <w:rsid w:val="41BC157F"/>
    <w:rsid w:val="41BF069E"/>
    <w:rsid w:val="41C17F73"/>
    <w:rsid w:val="41C23CEA"/>
    <w:rsid w:val="41DF489C"/>
    <w:rsid w:val="41E9571B"/>
    <w:rsid w:val="41EC6FB9"/>
    <w:rsid w:val="41FD2F74"/>
    <w:rsid w:val="420460B1"/>
    <w:rsid w:val="420F4A55"/>
    <w:rsid w:val="42140B1B"/>
    <w:rsid w:val="42220C2D"/>
    <w:rsid w:val="42276243"/>
    <w:rsid w:val="4230334A"/>
    <w:rsid w:val="423746D8"/>
    <w:rsid w:val="42440BA3"/>
    <w:rsid w:val="4246491B"/>
    <w:rsid w:val="424C5CAA"/>
    <w:rsid w:val="424C7A58"/>
    <w:rsid w:val="42533248"/>
    <w:rsid w:val="42554B5E"/>
    <w:rsid w:val="42613503"/>
    <w:rsid w:val="4269685C"/>
    <w:rsid w:val="42845443"/>
    <w:rsid w:val="428A1FC5"/>
    <w:rsid w:val="42925DB2"/>
    <w:rsid w:val="429733C9"/>
    <w:rsid w:val="42997141"/>
    <w:rsid w:val="42AD6748"/>
    <w:rsid w:val="42B31885"/>
    <w:rsid w:val="42B705DC"/>
    <w:rsid w:val="42B9333F"/>
    <w:rsid w:val="42CB3072"/>
    <w:rsid w:val="42CE22CA"/>
    <w:rsid w:val="42D55C9F"/>
    <w:rsid w:val="42D71A17"/>
    <w:rsid w:val="42DB79D7"/>
    <w:rsid w:val="42DF267A"/>
    <w:rsid w:val="42ED123B"/>
    <w:rsid w:val="42F41450"/>
    <w:rsid w:val="43030A5E"/>
    <w:rsid w:val="431A7B56"/>
    <w:rsid w:val="43487189"/>
    <w:rsid w:val="435117C9"/>
    <w:rsid w:val="4352109E"/>
    <w:rsid w:val="43560B8E"/>
    <w:rsid w:val="43586EE2"/>
    <w:rsid w:val="4364538A"/>
    <w:rsid w:val="436C7078"/>
    <w:rsid w:val="436F1C50"/>
    <w:rsid w:val="43943464"/>
    <w:rsid w:val="43993170"/>
    <w:rsid w:val="439E42E3"/>
    <w:rsid w:val="43A044FF"/>
    <w:rsid w:val="43A15B81"/>
    <w:rsid w:val="43A85162"/>
    <w:rsid w:val="43AA0EDA"/>
    <w:rsid w:val="43B81849"/>
    <w:rsid w:val="43BB4E95"/>
    <w:rsid w:val="43BD0C0D"/>
    <w:rsid w:val="43C04259"/>
    <w:rsid w:val="43C401ED"/>
    <w:rsid w:val="43CA332A"/>
    <w:rsid w:val="43D30430"/>
    <w:rsid w:val="43E51F12"/>
    <w:rsid w:val="43E837B0"/>
    <w:rsid w:val="43F6411F"/>
    <w:rsid w:val="43FB1735"/>
    <w:rsid w:val="441B5C16"/>
    <w:rsid w:val="44202F4A"/>
    <w:rsid w:val="44240FD0"/>
    <w:rsid w:val="442E38B9"/>
    <w:rsid w:val="443B20A2"/>
    <w:rsid w:val="443D1D4E"/>
    <w:rsid w:val="443D58AA"/>
    <w:rsid w:val="44421112"/>
    <w:rsid w:val="444B0F20"/>
    <w:rsid w:val="444F07DA"/>
    <w:rsid w:val="44613C8E"/>
    <w:rsid w:val="44617EC6"/>
    <w:rsid w:val="446217B4"/>
    <w:rsid w:val="44632243"/>
    <w:rsid w:val="44727C49"/>
    <w:rsid w:val="447B0A98"/>
    <w:rsid w:val="447F5EC2"/>
    <w:rsid w:val="448B4867"/>
    <w:rsid w:val="448E4357"/>
    <w:rsid w:val="449776B0"/>
    <w:rsid w:val="449851D6"/>
    <w:rsid w:val="44AB4F09"/>
    <w:rsid w:val="44AC2A30"/>
    <w:rsid w:val="44C67F95"/>
    <w:rsid w:val="44D52979"/>
    <w:rsid w:val="44DC50C3"/>
    <w:rsid w:val="44DD5933"/>
    <w:rsid w:val="44DE52DF"/>
    <w:rsid w:val="44E16B7D"/>
    <w:rsid w:val="44F763A1"/>
    <w:rsid w:val="44F85C75"/>
    <w:rsid w:val="44F87A23"/>
    <w:rsid w:val="44FA379B"/>
    <w:rsid w:val="44FF34A7"/>
    <w:rsid w:val="44FF64F9"/>
    <w:rsid w:val="45010FCD"/>
    <w:rsid w:val="45126D36"/>
    <w:rsid w:val="451E0336"/>
    <w:rsid w:val="451E56DB"/>
    <w:rsid w:val="4528655A"/>
    <w:rsid w:val="452B604A"/>
    <w:rsid w:val="452D591E"/>
    <w:rsid w:val="453C0257"/>
    <w:rsid w:val="45401AF6"/>
    <w:rsid w:val="4541586E"/>
    <w:rsid w:val="454A4722"/>
    <w:rsid w:val="454D49ED"/>
    <w:rsid w:val="454F3AE7"/>
    <w:rsid w:val="454F7F8B"/>
    <w:rsid w:val="4550785F"/>
    <w:rsid w:val="45521167"/>
    <w:rsid w:val="455A06DD"/>
    <w:rsid w:val="455C6204"/>
    <w:rsid w:val="45682DFA"/>
    <w:rsid w:val="456A6B72"/>
    <w:rsid w:val="456D6663"/>
    <w:rsid w:val="457479F1"/>
    <w:rsid w:val="45766F3D"/>
    <w:rsid w:val="4582210E"/>
    <w:rsid w:val="458659AA"/>
    <w:rsid w:val="45941CA2"/>
    <w:rsid w:val="459B6D2C"/>
    <w:rsid w:val="45A51959"/>
    <w:rsid w:val="45AA6F6F"/>
    <w:rsid w:val="45B7168C"/>
    <w:rsid w:val="45C85647"/>
    <w:rsid w:val="45DC10F2"/>
    <w:rsid w:val="45E00BE3"/>
    <w:rsid w:val="45E22BAD"/>
    <w:rsid w:val="45E2495B"/>
    <w:rsid w:val="45F4643C"/>
    <w:rsid w:val="46081EE8"/>
    <w:rsid w:val="46144D30"/>
    <w:rsid w:val="4618037D"/>
    <w:rsid w:val="462C02CC"/>
    <w:rsid w:val="462F3918"/>
    <w:rsid w:val="46456C98"/>
    <w:rsid w:val="465869CB"/>
    <w:rsid w:val="46592743"/>
    <w:rsid w:val="465D66D7"/>
    <w:rsid w:val="46641814"/>
    <w:rsid w:val="46753A21"/>
    <w:rsid w:val="467F03FC"/>
    <w:rsid w:val="46843C64"/>
    <w:rsid w:val="46902629"/>
    <w:rsid w:val="469F0A9E"/>
    <w:rsid w:val="46A96A93"/>
    <w:rsid w:val="46AE0CE1"/>
    <w:rsid w:val="46B3324E"/>
    <w:rsid w:val="46B5206F"/>
    <w:rsid w:val="46BD2CD2"/>
    <w:rsid w:val="46BE763A"/>
    <w:rsid w:val="46BF2EEE"/>
    <w:rsid w:val="46C329DE"/>
    <w:rsid w:val="46C978C9"/>
    <w:rsid w:val="46D06EA9"/>
    <w:rsid w:val="46D87B0C"/>
    <w:rsid w:val="46DF70EC"/>
    <w:rsid w:val="46E44703"/>
    <w:rsid w:val="46E91D19"/>
    <w:rsid w:val="47094169"/>
    <w:rsid w:val="4710374A"/>
    <w:rsid w:val="471D19C3"/>
    <w:rsid w:val="471E7C15"/>
    <w:rsid w:val="47215957"/>
    <w:rsid w:val="47266AC9"/>
    <w:rsid w:val="47280A93"/>
    <w:rsid w:val="472B0583"/>
    <w:rsid w:val="472D382A"/>
    <w:rsid w:val="473016F6"/>
    <w:rsid w:val="473B07C3"/>
    <w:rsid w:val="473F7B8B"/>
    <w:rsid w:val="474D4056"/>
    <w:rsid w:val="474E2445"/>
    <w:rsid w:val="47501D98"/>
    <w:rsid w:val="47541888"/>
    <w:rsid w:val="4755115C"/>
    <w:rsid w:val="475F1FDB"/>
    <w:rsid w:val="47646C1E"/>
    <w:rsid w:val="476870E2"/>
    <w:rsid w:val="476A2E5A"/>
    <w:rsid w:val="47723ABC"/>
    <w:rsid w:val="47797541"/>
    <w:rsid w:val="478B4B7E"/>
    <w:rsid w:val="47975C19"/>
    <w:rsid w:val="479C04F0"/>
    <w:rsid w:val="47A508CD"/>
    <w:rsid w:val="47AB6FCE"/>
    <w:rsid w:val="47B02834"/>
    <w:rsid w:val="47B57E4D"/>
    <w:rsid w:val="47B9793D"/>
    <w:rsid w:val="47BC11DC"/>
    <w:rsid w:val="47C24A40"/>
    <w:rsid w:val="47C6205A"/>
    <w:rsid w:val="47C744A7"/>
    <w:rsid w:val="47CD5197"/>
    <w:rsid w:val="47D209FF"/>
    <w:rsid w:val="47DC187E"/>
    <w:rsid w:val="47DE2186"/>
    <w:rsid w:val="47EA5D49"/>
    <w:rsid w:val="47F163FC"/>
    <w:rsid w:val="47F2339A"/>
    <w:rsid w:val="47FD7147"/>
    <w:rsid w:val="480768FB"/>
    <w:rsid w:val="48111527"/>
    <w:rsid w:val="4812704D"/>
    <w:rsid w:val="481B4154"/>
    <w:rsid w:val="481C2CB6"/>
    <w:rsid w:val="481E5F6E"/>
    <w:rsid w:val="48233009"/>
    <w:rsid w:val="482F5E51"/>
    <w:rsid w:val="484D0086"/>
    <w:rsid w:val="48541414"/>
    <w:rsid w:val="4856518C"/>
    <w:rsid w:val="48627FD5"/>
    <w:rsid w:val="486A0D57"/>
    <w:rsid w:val="48896395"/>
    <w:rsid w:val="489F6B33"/>
    <w:rsid w:val="48A759E8"/>
    <w:rsid w:val="48A979B2"/>
    <w:rsid w:val="48B40105"/>
    <w:rsid w:val="48C06AA9"/>
    <w:rsid w:val="48C93BB0"/>
    <w:rsid w:val="48CC18F2"/>
    <w:rsid w:val="48D027A5"/>
    <w:rsid w:val="48D03190"/>
    <w:rsid w:val="48D04F3E"/>
    <w:rsid w:val="48DA400F"/>
    <w:rsid w:val="48DE45C1"/>
    <w:rsid w:val="48F14EB5"/>
    <w:rsid w:val="49155047"/>
    <w:rsid w:val="4916491B"/>
    <w:rsid w:val="491A08B0"/>
    <w:rsid w:val="491F1A22"/>
    <w:rsid w:val="491F7C74"/>
    <w:rsid w:val="492C413F"/>
    <w:rsid w:val="493059DD"/>
    <w:rsid w:val="49357497"/>
    <w:rsid w:val="493E459E"/>
    <w:rsid w:val="49470F79"/>
    <w:rsid w:val="495042D1"/>
    <w:rsid w:val="49647D7D"/>
    <w:rsid w:val="49686565"/>
    <w:rsid w:val="4972249A"/>
    <w:rsid w:val="49746212"/>
    <w:rsid w:val="49793828"/>
    <w:rsid w:val="497A30FC"/>
    <w:rsid w:val="49865F45"/>
    <w:rsid w:val="49900B72"/>
    <w:rsid w:val="49997A26"/>
    <w:rsid w:val="49C90530"/>
    <w:rsid w:val="49CA4084"/>
    <w:rsid w:val="49CF64B8"/>
    <w:rsid w:val="49EA2030"/>
    <w:rsid w:val="49F11610"/>
    <w:rsid w:val="49F44C5D"/>
    <w:rsid w:val="4A0E7992"/>
    <w:rsid w:val="4A0F5F3A"/>
    <w:rsid w:val="4A121587"/>
    <w:rsid w:val="4A130577"/>
    <w:rsid w:val="4A13463B"/>
    <w:rsid w:val="4A2319E6"/>
    <w:rsid w:val="4A2F3EE7"/>
    <w:rsid w:val="4A315EB1"/>
    <w:rsid w:val="4A5751EC"/>
    <w:rsid w:val="4A58168F"/>
    <w:rsid w:val="4A673681"/>
    <w:rsid w:val="4A69389D"/>
    <w:rsid w:val="4A82495E"/>
    <w:rsid w:val="4A8C30E7"/>
    <w:rsid w:val="4A9455FE"/>
    <w:rsid w:val="4A965D14"/>
    <w:rsid w:val="4AA46683"/>
    <w:rsid w:val="4ABB577A"/>
    <w:rsid w:val="4AC62A9D"/>
    <w:rsid w:val="4AC97E97"/>
    <w:rsid w:val="4ADF76BB"/>
    <w:rsid w:val="4AF1793D"/>
    <w:rsid w:val="4AF62C56"/>
    <w:rsid w:val="4AF64A04"/>
    <w:rsid w:val="4B0111A7"/>
    <w:rsid w:val="4B0E1D4E"/>
    <w:rsid w:val="4B142DF8"/>
    <w:rsid w:val="4B1A76AD"/>
    <w:rsid w:val="4B1B531B"/>
    <w:rsid w:val="4B271062"/>
    <w:rsid w:val="4B313C8F"/>
    <w:rsid w:val="4B4614E8"/>
    <w:rsid w:val="4B4B19D3"/>
    <w:rsid w:val="4B4E6EB7"/>
    <w:rsid w:val="4B5160DF"/>
    <w:rsid w:val="4B517E8D"/>
    <w:rsid w:val="4B555BCF"/>
    <w:rsid w:val="4B702A09"/>
    <w:rsid w:val="4B736055"/>
    <w:rsid w:val="4B7A73E4"/>
    <w:rsid w:val="4B7F2C4C"/>
    <w:rsid w:val="4B8311C5"/>
    <w:rsid w:val="4B91439B"/>
    <w:rsid w:val="4B92472D"/>
    <w:rsid w:val="4B944949"/>
    <w:rsid w:val="4B9761E7"/>
    <w:rsid w:val="4BA32DDE"/>
    <w:rsid w:val="4BAF3531"/>
    <w:rsid w:val="4BB0572F"/>
    <w:rsid w:val="4BB548C0"/>
    <w:rsid w:val="4BB87F0C"/>
    <w:rsid w:val="4BC15012"/>
    <w:rsid w:val="4BCE772F"/>
    <w:rsid w:val="4BD034A7"/>
    <w:rsid w:val="4BDC009E"/>
    <w:rsid w:val="4BE17463"/>
    <w:rsid w:val="4BEA4569"/>
    <w:rsid w:val="4BEE392E"/>
    <w:rsid w:val="4BF74ED8"/>
    <w:rsid w:val="4BFE6267"/>
    <w:rsid w:val="4C003D8D"/>
    <w:rsid w:val="4C022E22"/>
    <w:rsid w:val="4C0269A3"/>
    <w:rsid w:val="4C1E2465"/>
    <w:rsid w:val="4C237A7B"/>
    <w:rsid w:val="4C2A705C"/>
    <w:rsid w:val="4C2C4B82"/>
    <w:rsid w:val="4C341C88"/>
    <w:rsid w:val="4C35155C"/>
    <w:rsid w:val="4C382E4C"/>
    <w:rsid w:val="4C404189"/>
    <w:rsid w:val="4C465518"/>
    <w:rsid w:val="4C481290"/>
    <w:rsid w:val="4C485734"/>
    <w:rsid w:val="4C4874E2"/>
    <w:rsid w:val="4C4A14AC"/>
    <w:rsid w:val="4C4D68A6"/>
    <w:rsid w:val="4C4F0870"/>
    <w:rsid w:val="4C51283A"/>
    <w:rsid w:val="4C59349D"/>
    <w:rsid w:val="4C5C2F8D"/>
    <w:rsid w:val="4C6A38FC"/>
    <w:rsid w:val="4C7327B1"/>
    <w:rsid w:val="4C793B3F"/>
    <w:rsid w:val="4C800A2A"/>
    <w:rsid w:val="4C804ECE"/>
    <w:rsid w:val="4C8A18A8"/>
    <w:rsid w:val="4C8A7AFA"/>
    <w:rsid w:val="4C935C0E"/>
    <w:rsid w:val="4C983FC5"/>
    <w:rsid w:val="4CA24E44"/>
    <w:rsid w:val="4CA566E2"/>
    <w:rsid w:val="4CAA0A32"/>
    <w:rsid w:val="4CB30DFF"/>
    <w:rsid w:val="4CB9218D"/>
    <w:rsid w:val="4CC36B68"/>
    <w:rsid w:val="4CDF1BF4"/>
    <w:rsid w:val="4CE87C0B"/>
    <w:rsid w:val="4CF82CB6"/>
    <w:rsid w:val="4CFB69E7"/>
    <w:rsid w:val="4CFD651E"/>
    <w:rsid w:val="4D074D86"/>
    <w:rsid w:val="4D094EC3"/>
    <w:rsid w:val="4D0A4797"/>
    <w:rsid w:val="4D151ABA"/>
    <w:rsid w:val="4D2770F7"/>
    <w:rsid w:val="4D2A6BE7"/>
    <w:rsid w:val="4D2C4DA5"/>
    <w:rsid w:val="4D2D7740"/>
    <w:rsid w:val="4D2E492A"/>
    <w:rsid w:val="4D33015A"/>
    <w:rsid w:val="4D333CEE"/>
    <w:rsid w:val="4D3F2693"/>
    <w:rsid w:val="4D4330E2"/>
    <w:rsid w:val="4D447CA9"/>
    <w:rsid w:val="4D4B54DB"/>
    <w:rsid w:val="4D52686A"/>
    <w:rsid w:val="4D553C64"/>
    <w:rsid w:val="4D5D520F"/>
    <w:rsid w:val="4D626381"/>
    <w:rsid w:val="4D7F33D7"/>
    <w:rsid w:val="4D853821"/>
    <w:rsid w:val="4D8C33FE"/>
    <w:rsid w:val="4D950505"/>
    <w:rsid w:val="4D9724CF"/>
    <w:rsid w:val="4D9C5D37"/>
    <w:rsid w:val="4DA42A5B"/>
    <w:rsid w:val="4DA90454"/>
    <w:rsid w:val="4DAB1AD6"/>
    <w:rsid w:val="4DAB41CC"/>
    <w:rsid w:val="4DAC584E"/>
    <w:rsid w:val="4DBE3EFF"/>
    <w:rsid w:val="4DBF37D4"/>
    <w:rsid w:val="4DC63969"/>
    <w:rsid w:val="4DD0778F"/>
    <w:rsid w:val="4DD21759"/>
    <w:rsid w:val="4DE1199C"/>
    <w:rsid w:val="4DE44FE8"/>
    <w:rsid w:val="4DEB281B"/>
    <w:rsid w:val="4DEB3FAD"/>
    <w:rsid w:val="4DED6593"/>
    <w:rsid w:val="4DFA0CB0"/>
    <w:rsid w:val="4E01203E"/>
    <w:rsid w:val="4E102281"/>
    <w:rsid w:val="4E127DA7"/>
    <w:rsid w:val="4E191136"/>
    <w:rsid w:val="4E1E20FF"/>
    <w:rsid w:val="4E1E674C"/>
    <w:rsid w:val="4E255D2C"/>
    <w:rsid w:val="4E263853"/>
    <w:rsid w:val="4E2A01A5"/>
    <w:rsid w:val="4E2D496A"/>
    <w:rsid w:val="4E4168DE"/>
    <w:rsid w:val="4E437F61"/>
    <w:rsid w:val="4E600B13"/>
    <w:rsid w:val="4E601F7A"/>
    <w:rsid w:val="4E61488B"/>
    <w:rsid w:val="4E76148B"/>
    <w:rsid w:val="4E7740AE"/>
    <w:rsid w:val="4E854A1D"/>
    <w:rsid w:val="4E8D38D2"/>
    <w:rsid w:val="4E8D742E"/>
    <w:rsid w:val="4E9F63D1"/>
    <w:rsid w:val="4EA2737D"/>
    <w:rsid w:val="4EA84268"/>
    <w:rsid w:val="4EAC3D58"/>
    <w:rsid w:val="4EAF3848"/>
    <w:rsid w:val="4EC310A1"/>
    <w:rsid w:val="4ECF5C98"/>
    <w:rsid w:val="4ED4505D"/>
    <w:rsid w:val="4EE07EA5"/>
    <w:rsid w:val="4EE47996"/>
    <w:rsid w:val="4EE554BC"/>
    <w:rsid w:val="4EE72FE2"/>
    <w:rsid w:val="4EE96D5A"/>
    <w:rsid w:val="4EF179BD"/>
    <w:rsid w:val="4EF24070"/>
    <w:rsid w:val="4EF31987"/>
    <w:rsid w:val="4F035942"/>
    <w:rsid w:val="4F0C5300"/>
    <w:rsid w:val="4F0E4A13"/>
    <w:rsid w:val="4F1B2C8C"/>
    <w:rsid w:val="4F1B712F"/>
    <w:rsid w:val="4F1D2EA8"/>
    <w:rsid w:val="4F2953A8"/>
    <w:rsid w:val="4F297BD3"/>
    <w:rsid w:val="4F3A75B6"/>
    <w:rsid w:val="4F3E697A"/>
    <w:rsid w:val="4F4F0B87"/>
    <w:rsid w:val="4F5C39D0"/>
    <w:rsid w:val="4F642884"/>
    <w:rsid w:val="4F7A5B51"/>
    <w:rsid w:val="4F7B372A"/>
    <w:rsid w:val="4F8627FB"/>
    <w:rsid w:val="4F912F4E"/>
    <w:rsid w:val="4F943D47"/>
    <w:rsid w:val="4F975D19"/>
    <w:rsid w:val="4F9C1546"/>
    <w:rsid w:val="4FA669F9"/>
    <w:rsid w:val="4FBA24A4"/>
    <w:rsid w:val="4FBC621D"/>
    <w:rsid w:val="4FBF5D0D"/>
    <w:rsid w:val="4FC12DBC"/>
    <w:rsid w:val="4FC7696F"/>
    <w:rsid w:val="4FD25A40"/>
    <w:rsid w:val="4FDF015D"/>
    <w:rsid w:val="4FF37764"/>
    <w:rsid w:val="4FFD05E3"/>
    <w:rsid w:val="50025BF9"/>
    <w:rsid w:val="50055E16"/>
    <w:rsid w:val="50086BD8"/>
    <w:rsid w:val="50152BF0"/>
    <w:rsid w:val="50191308"/>
    <w:rsid w:val="501C4F0D"/>
    <w:rsid w:val="501F49FD"/>
    <w:rsid w:val="50266110"/>
    <w:rsid w:val="502B5150"/>
    <w:rsid w:val="502F4C40"/>
    <w:rsid w:val="503E6C32"/>
    <w:rsid w:val="504415DE"/>
    <w:rsid w:val="50560A39"/>
    <w:rsid w:val="505C5BC8"/>
    <w:rsid w:val="5060304C"/>
    <w:rsid w:val="506D5769"/>
    <w:rsid w:val="506F14E1"/>
    <w:rsid w:val="50707007"/>
    <w:rsid w:val="507C1E50"/>
    <w:rsid w:val="507C59AC"/>
    <w:rsid w:val="50854860"/>
    <w:rsid w:val="50883755"/>
    <w:rsid w:val="508F3931"/>
    <w:rsid w:val="508F7316"/>
    <w:rsid w:val="50A8054F"/>
    <w:rsid w:val="50B74C36"/>
    <w:rsid w:val="50BB2978"/>
    <w:rsid w:val="50D457E8"/>
    <w:rsid w:val="50D70E34"/>
    <w:rsid w:val="50E420B4"/>
    <w:rsid w:val="50ED2406"/>
    <w:rsid w:val="50FC089B"/>
    <w:rsid w:val="51112598"/>
    <w:rsid w:val="51145BE4"/>
    <w:rsid w:val="511B51C5"/>
    <w:rsid w:val="5139564B"/>
    <w:rsid w:val="513B5867"/>
    <w:rsid w:val="513E2C61"/>
    <w:rsid w:val="5144296E"/>
    <w:rsid w:val="51453FF0"/>
    <w:rsid w:val="515626A1"/>
    <w:rsid w:val="51583D23"/>
    <w:rsid w:val="51595086"/>
    <w:rsid w:val="51597A9B"/>
    <w:rsid w:val="515C6A23"/>
    <w:rsid w:val="51624BA2"/>
    <w:rsid w:val="516927BD"/>
    <w:rsid w:val="51694182"/>
    <w:rsid w:val="516C77CE"/>
    <w:rsid w:val="51711289"/>
    <w:rsid w:val="51750D79"/>
    <w:rsid w:val="51825244"/>
    <w:rsid w:val="51856AE2"/>
    <w:rsid w:val="518C1C1F"/>
    <w:rsid w:val="518D05C9"/>
    <w:rsid w:val="51935AB4"/>
    <w:rsid w:val="51A90A23"/>
    <w:rsid w:val="51A946CE"/>
    <w:rsid w:val="51AC0513"/>
    <w:rsid w:val="51AF590D"/>
    <w:rsid w:val="51CE2237"/>
    <w:rsid w:val="51CE66DB"/>
    <w:rsid w:val="51D35A9F"/>
    <w:rsid w:val="51D6733E"/>
    <w:rsid w:val="51D75590"/>
    <w:rsid w:val="51E657D3"/>
    <w:rsid w:val="51EB2DE9"/>
    <w:rsid w:val="51FC4FF6"/>
    <w:rsid w:val="520143BB"/>
    <w:rsid w:val="52081BED"/>
    <w:rsid w:val="520C2D5F"/>
    <w:rsid w:val="52132340"/>
    <w:rsid w:val="521E31BF"/>
    <w:rsid w:val="521F2A93"/>
    <w:rsid w:val="52263E21"/>
    <w:rsid w:val="523E560F"/>
    <w:rsid w:val="524D5852"/>
    <w:rsid w:val="525745C2"/>
    <w:rsid w:val="52866DEB"/>
    <w:rsid w:val="52885388"/>
    <w:rsid w:val="528D3EA0"/>
    <w:rsid w:val="528F4686"/>
    <w:rsid w:val="52914064"/>
    <w:rsid w:val="529C0D10"/>
    <w:rsid w:val="529F5982"/>
    <w:rsid w:val="52A47972"/>
    <w:rsid w:val="52A5743C"/>
    <w:rsid w:val="52AD57D3"/>
    <w:rsid w:val="52B256B5"/>
    <w:rsid w:val="52B33145"/>
    <w:rsid w:val="52BC6534"/>
    <w:rsid w:val="52CF270B"/>
    <w:rsid w:val="52D33E80"/>
    <w:rsid w:val="52D7511B"/>
    <w:rsid w:val="52E141EC"/>
    <w:rsid w:val="52F17136"/>
    <w:rsid w:val="52F4235D"/>
    <w:rsid w:val="52F7756C"/>
    <w:rsid w:val="52FC2DD4"/>
    <w:rsid w:val="530323B4"/>
    <w:rsid w:val="530F6FAB"/>
    <w:rsid w:val="53397B84"/>
    <w:rsid w:val="533D7674"/>
    <w:rsid w:val="534A7FE3"/>
    <w:rsid w:val="534C66C9"/>
    <w:rsid w:val="53514ECE"/>
    <w:rsid w:val="53542C10"/>
    <w:rsid w:val="53590226"/>
    <w:rsid w:val="535968FA"/>
    <w:rsid w:val="536A41E2"/>
    <w:rsid w:val="536D782E"/>
    <w:rsid w:val="537961D3"/>
    <w:rsid w:val="53843A63"/>
    <w:rsid w:val="5391176E"/>
    <w:rsid w:val="53937294"/>
    <w:rsid w:val="53963229"/>
    <w:rsid w:val="53982AFD"/>
    <w:rsid w:val="539D6365"/>
    <w:rsid w:val="53A771E4"/>
    <w:rsid w:val="53A94D0A"/>
    <w:rsid w:val="53A96AB8"/>
    <w:rsid w:val="53B4545D"/>
    <w:rsid w:val="53C41B44"/>
    <w:rsid w:val="53CB1124"/>
    <w:rsid w:val="53CE4770"/>
    <w:rsid w:val="53E75832"/>
    <w:rsid w:val="53EE6BC1"/>
    <w:rsid w:val="53F341D7"/>
    <w:rsid w:val="53FD48A4"/>
    <w:rsid w:val="54065CB8"/>
    <w:rsid w:val="541303D5"/>
    <w:rsid w:val="541F4FCC"/>
    <w:rsid w:val="5428733F"/>
    <w:rsid w:val="54353A68"/>
    <w:rsid w:val="543A1E06"/>
    <w:rsid w:val="54436F0C"/>
    <w:rsid w:val="5445003E"/>
    <w:rsid w:val="54484523"/>
    <w:rsid w:val="54501629"/>
    <w:rsid w:val="545033D7"/>
    <w:rsid w:val="545D78A2"/>
    <w:rsid w:val="54705828"/>
    <w:rsid w:val="54714874"/>
    <w:rsid w:val="54776BB6"/>
    <w:rsid w:val="547F1F0F"/>
    <w:rsid w:val="5483555B"/>
    <w:rsid w:val="54837309"/>
    <w:rsid w:val="548412D3"/>
    <w:rsid w:val="549A4653"/>
    <w:rsid w:val="54A35BFD"/>
    <w:rsid w:val="54A61249"/>
    <w:rsid w:val="54A656ED"/>
    <w:rsid w:val="54B716A8"/>
    <w:rsid w:val="54B97065"/>
    <w:rsid w:val="54C067AF"/>
    <w:rsid w:val="54D1276A"/>
    <w:rsid w:val="54D9517B"/>
    <w:rsid w:val="54DA5359"/>
    <w:rsid w:val="54DA7145"/>
    <w:rsid w:val="54DC4C6B"/>
    <w:rsid w:val="54E26CD8"/>
    <w:rsid w:val="54E56DB8"/>
    <w:rsid w:val="55050666"/>
    <w:rsid w:val="550A17D8"/>
    <w:rsid w:val="550B72FE"/>
    <w:rsid w:val="550D12C8"/>
    <w:rsid w:val="550F3292"/>
    <w:rsid w:val="55164621"/>
    <w:rsid w:val="551663CF"/>
    <w:rsid w:val="55286102"/>
    <w:rsid w:val="554F368F"/>
    <w:rsid w:val="55564A1D"/>
    <w:rsid w:val="555851BD"/>
    <w:rsid w:val="555869E7"/>
    <w:rsid w:val="555B0286"/>
    <w:rsid w:val="555D7E50"/>
    <w:rsid w:val="555E420D"/>
    <w:rsid w:val="556233C2"/>
    <w:rsid w:val="55674B95"/>
    <w:rsid w:val="556C4241"/>
    <w:rsid w:val="55760C1C"/>
    <w:rsid w:val="55794BB0"/>
    <w:rsid w:val="558D41B7"/>
    <w:rsid w:val="5590774E"/>
    <w:rsid w:val="55911EF9"/>
    <w:rsid w:val="55A90FF1"/>
    <w:rsid w:val="55AC6AAE"/>
    <w:rsid w:val="55B81234"/>
    <w:rsid w:val="55BA1450"/>
    <w:rsid w:val="55BB6F76"/>
    <w:rsid w:val="55C0458D"/>
    <w:rsid w:val="55C5424A"/>
    <w:rsid w:val="55CC1183"/>
    <w:rsid w:val="55DB4F23"/>
    <w:rsid w:val="55E53FF3"/>
    <w:rsid w:val="55F06C20"/>
    <w:rsid w:val="55F27CF7"/>
    <w:rsid w:val="55FA7A9F"/>
    <w:rsid w:val="56004989"/>
    <w:rsid w:val="56091A90"/>
    <w:rsid w:val="56097CE2"/>
    <w:rsid w:val="56150435"/>
    <w:rsid w:val="561548D9"/>
    <w:rsid w:val="561A3C9D"/>
    <w:rsid w:val="5621502B"/>
    <w:rsid w:val="56262642"/>
    <w:rsid w:val="562A71CE"/>
    <w:rsid w:val="562C1C22"/>
    <w:rsid w:val="5630526E"/>
    <w:rsid w:val="56400E03"/>
    <w:rsid w:val="564E7DEA"/>
    <w:rsid w:val="56570A4D"/>
    <w:rsid w:val="565C2507"/>
    <w:rsid w:val="56690780"/>
    <w:rsid w:val="566B62A7"/>
    <w:rsid w:val="567333AD"/>
    <w:rsid w:val="567C6706"/>
    <w:rsid w:val="568630E0"/>
    <w:rsid w:val="568A7075"/>
    <w:rsid w:val="568A7C35"/>
    <w:rsid w:val="569D042A"/>
    <w:rsid w:val="56A25A40"/>
    <w:rsid w:val="56A31EE4"/>
    <w:rsid w:val="56A4475D"/>
    <w:rsid w:val="56A97FE7"/>
    <w:rsid w:val="56CE6835"/>
    <w:rsid w:val="56DD7C0E"/>
    <w:rsid w:val="56E04EE6"/>
    <w:rsid w:val="56E83D9B"/>
    <w:rsid w:val="56EC7A9B"/>
    <w:rsid w:val="56ED13B1"/>
    <w:rsid w:val="56F270DD"/>
    <w:rsid w:val="56F91B04"/>
    <w:rsid w:val="56F95FA8"/>
    <w:rsid w:val="571C1C97"/>
    <w:rsid w:val="571C3A45"/>
    <w:rsid w:val="57250B4B"/>
    <w:rsid w:val="57272B15"/>
    <w:rsid w:val="572C012C"/>
    <w:rsid w:val="57352BD1"/>
    <w:rsid w:val="57392849"/>
    <w:rsid w:val="573E39BB"/>
    <w:rsid w:val="574D1E50"/>
    <w:rsid w:val="57511940"/>
    <w:rsid w:val="5764096D"/>
    <w:rsid w:val="57650F48"/>
    <w:rsid w:val="57686C8A"/>
    <w:rsid w:val="577E200A"/>
    <w:rsid w:val="577E46FF"/>
    <w:rsid w:val="5785783C"/>
    <w:rsid w:val="578735B4"/>
    <w:rsid w:val="57877110"/>
    <w:rsid w:val="57882E88"/>
    <w:rsid w:val="579139FB"/>
    <w:rsid w:val="57984065"/>
    <w:rsid w:val="5798756F"/>
    <w:rsid w:val="57A2219C"/>
    <w:rsid w:val="57A37CC2"/>
    <w:rsid w:val="57A8352A"/>
    <w:rsid w:val="57AA1051"/>
    <w:rsid w:val="57AC301B"/>
    <w:rsid w:val="57BE68AA"/>
    <w:rsid w:val="57C06AC6"/>
    <w:rsid w:val="57C71C02"/>
    <w:rsid w:val="57CA34A1"/>
    <w:rsid w:val="57DD1426"/>
    <w:rsid w:val="57DD31D4"/>
    <w:rsid w:val="57DE0CFA"/>
    <w:rsid w:val="57E502DB"/>
    <w:rsid w:val="57E74053"/>
    <w:rsid w:val="57E97DCB"/>
    <w:rsid w:val="57EF4CB5"/>
    <w:rsid w:val="57F81DBC"/>
    <w:rsid w:val="581035A9"/>
    <w:rsid w:val="58173D50"/>
    <w:rsid w:val="58296419"/>
    <w:rsid w:val="583059FA"/>
    <w:rsid w:val="583345AB"/>
    <w:rsid w:val="58380D08"/>
    <w:rsid w:val="583F5C3D"/>
    <w:rsid w:val="58405511"/>
    <w:rsid w:val="58417C07"/>
    <w:rsid w:val="584B2834"/>
    <w:rsid w:val="584F7E8A"/>
    <w:rsid w:val="585A2A77"/>
    <w:rsid w:val="58613E05"/>
    <w:rsid w:val="5866766D"/>
    <w:rsid w:val="58692CBA"/>
    <w:rsid w:val="587C29ED"/>
    <w:rsid w:val="588673C8"/>
    <w:rsid w:val="58A61818"/>
    <w:rsid w:val="58A837E2"/>
    <w:rsid w:val="58B101BD"/>
    <w:rsid w:val="58B425AE"/>
    <w:rsid w:val="58BA3515"/>
    <w:rsid w:val="58BC06AB"/>
    <w:rsid w:val="58BD4DB3"/>
    <w:rsid w:val="58BF0B2C"/>
    <w:rsid w:val="58C425E6"/>
    <w:rsid w:val="58D42829"/>
    <w:rsid w:val="58E6153D"/>
    <w:rsid w:val="58E81E30"/>
    <w:rsid w:val="58E862D4"/>
    <w:rsid w:val="58ED7B86"/>
    <w:rsid w:val="58F46A27"/>
    <w:rsid w:val="58F85DEC"/>
    <w:rsid w:val="590824D3"/>
    <w:rsid w:val="59091DA7"/>
    <w:rsid w:val="591075D9"/>
    <w:rsid w:val="591C5F7E"/>
    <w:rsid w:val="592F0511"/>
    <w:rsid w:val="593212FE"/>
    <w:rsid w:val="59345076"/>
    <w:rsid w:val="59462FFB"/>
    <w:rsid w:val="594A2AEB"/>
    <w:rsid w:val="594D6137"/>
    <w:rsid w:val="59513E7A"/>
    <w:rsid w:val="59562159"/>
    <w:rsid w:val="595B6AA6"/>
    <w:rsid w:val="59637709"/>
    <w:rsid w:val="59701E26"/>
    <w:rsid w:val="597A4F3F"/>
    <w:rsid w:val="5980475F"/>
    <w:rsid w:val="5987789B"/>
    <w:rsid w:val="59883613"/>
    <w:rsid w:val="599975CF"/>
    <w:rsid w:val="59A23698"/>
    <w:rsid w:val="59AF6DF2"/>
    <w:rsid w:val="59B166C6"/>
    <w:rsid w:val="59B60181"/>
    <w:rsid w:val="59B66275"/>
    <w:rsid w:val="59B70343"/>
    <w:rsid w:val="59DB1995"/>
    <w:rsid w:val="59DB3743"/>
    <w:rsid w:val="59EC0A05"/>
    <w:rsid w:val="59EE16C8"/>
    <w:rsid w:val="59F14D15"/>
    <w:rsid w:val="5A0709DC"/>
    <w:rsid w:val="5A0C7DA1"/>
    <w:rsid w:val="5A13112F"/>
    <w:rsid w:val="5A1629CD"/>
    <w:rsid w:val="5A174397"/>
    <w:rsid w:val="5A1804F3"/>
    <w:rsid w:val="5A2A1C42"/>
    <w:rsid w:val="5A2C0443"/>
    <w:rsid w:val="5A366C08"/>
    <w:rsid w:val="5A3B2434"/>
    <w:rsid w:val="5A3F1F24"/>
    <w:rsid w:val="5A427C66"/>
    <w:rsid w:val="5A4A2677"/>
    <w:rsid w:val="5A6E45B7"/>
    <w:rsid w:val="5A7871E4"/>
    <w:rsid w:val="5A845B89"/>
    <w:rsid w:val="5A9102A6"/>
    <w:rsid w:val="5A971D60"/>
    <w:rsid w:val="5A981634"/>
    <w:rsid w:val="5A9C6C38"/>
    <w:rsid w:val="5AA4447D"/>
    <w:rsid w:val="5AA862C7"/>
    <w:rsid w:val="5AAE0E58"/>
    <w:rsid w:val="5AB04BD0"/>
    <w:rsid w:val="5AB3646E"/>
    <w:rsid w:val="5ABD72ED"/>
    <w:rsid w:val="5ABF12B7"/>
    <w:rsid w:val="5ADE798F"/>
    <w:rsid w:val="5B0171D9"/>
    <w:rsid w:val="5B0B0058"/>
    <w:rsid w:val="5B136F0D"/>
    <w:rsid w:val="5B152C85"/>
    <w:rsid w:val="5B296730"/>
    <w:rsid w:val="5B3550D5"/>
    <w:rsid w:val="5B3E51B6"/>
    <w:rsid w:val="5B4067A6"/>
    <w:rsid w:val="5B61236E"/>
    <w:rsid w:val="5B631C42"/>
    <w:rsid w:val="5B745BFD"/>
    <w:rsid w:val="5B791466"/>
    <w:rsid w:val="5B7976B8"/>
    <w:rsid w:val="5B800A46"/>
    <w:rsid w:val="5B8147BE"/>
    <w:rsid w:val="5B865931"/>
    <w:rsid w:val="5B977B3E"/>
    <w:rsid w:val="5B991B08"/>
    <w:rsid w:val="5BB95D06"/>
    <w:rsid w:val="5BC16969"/>
    <w:rsid w:val="5BC76675"/>
    <w:rsid w:val="5BD20B76"/>
    <w:rsid w:val="5BD4669C"/>
    <w:rsid w:val="5BDE5B94"/>
    <w:rsid w:val="5BE72873"/>
    <w:rsid w:val="5BF412EC"/>
    <w:rsid w:val="5BF705DC"/>
    <w:rsid w:val="5BF979BC"/>
    <w:rsid w:val="5BFE7BBD"/>
    <w:rsid w:val="5C0276AD"/>
    <w:rsid w:val="5C07081F"/>
    <w:rsid w:val="5C0C22DA"/>
    <w:rsid w:val="5C0D7E00"/>
    <w:rsid w:val="5C14118E"/>
    <w:rsid w:val="5C164F06"/>
    <w:rsid w:val="5C1D6295"/>
    <w:rsid w:val="5C2515ED"/>
    <w:rsid w:val="5C25514A"/>
    <w:rsid w:val="5C276E1A"/>
    <w:rsid w:val="5C2C297C"/>
    <w:rsid w:val="5C313AEE"/>
    <w:rsid w:val="5C433822"/>
    <w:rsid w:val="5C471564"/>
    <w:rsid w:val="5C583771"/>
    <w:rsid w:val="5C6043D4"/>
    <w:rsid w:val="5C643EC4"/>
    <w:rsid w:val="5C6519EA"/>
    <w:rsid w:val="5C6F18FC"/>
    <w:rsid w:val="5C71213D"/>
    <w:rsid w:val="5C8448C7"/>
    <w:rsid w:val="5C8C6F77"/>
    <w:rsid w:val="5C93440A"/>
    <w:rsid w:val="5C950521"/>
    <w:rsid w:val="5C9522CF"/>
    <w:rsid w:val="5CA72002"/>
    <w:rsid w:val="5CAC7619"/>
    <w:rsid w:val="5CB564CD"/>
    <w:rsid w:val="5CBA7F88"/>
    <w:rsid w:val="5CC901CB"/>
    <w:rsid w:val="5CCC3817"/>
    <w:rsid w:val="5CD728E8"/>
    <w:rsid w:val="5CE40B61"/>
    <w:rsid w:val="5CEB1EEF"/>
    <w:rsid w:val="5CEE19DF"/>
    <w:rsid w:val="5CF560A9"/>
    <w:rsid w:val="5CFC234E"/>
    <w:rsid w:val="5CFF0A79"/>
    <w:rsid w:val="5D013E49"/>
    <w:rsid w:val="5D072AA1"/>
    <w:rsid w:val="5D0D455B"/>
    <w:rsid w:val="5D131446"/>
    <w:rsid w:val="5D156F6C"/>
    <w:rsid w:val="5D1706B9"/>
    <w:rsid w:val="5D1A27D4"/>
    <w:rsid w:val="5D1F428F"/>
    <w:rsid w:val="5D213B63"/>
    <w:rsid w:val="5D2673CB"/>
    <w:rsid w:val="5D364BA9"/>
    <w:rsid w:val="5D3A69D3"/>
    <w:rsid w:val="5D3F66DF"/>
    <w:rsid w:val="5D445AA3"/>
    <w:rsid w:val="5D4E06D0"/>
    <w:rsid w:val="5D5E6B65"/>
    <w:rsid w:val="5D6121B1"/>
    <w:rsid w:val="5D645056"/>
    <w:rsid w:val="5D656AC5"/>
    <w:rsid w:val="5D683540"/>
    <w:rsid w:val="5D7449F1"/>
    <w:rsid w:val="5D7E0546"/>
    <w:rsid w:val="5D8660BC"/>
    <w:rsid w:val="5D9229BB"/>
    <w:rsid w:val="5D924A61"/>
    <w:rsid w:val="5DBE26B8"/>
    <w:rsid w:val="5DC25383"/>
    <w:rsid w:val="5DC32E6C"/>
    <w:rsid w:val="5DD76917"/>
    <w:rsid w:val="5DED7EE9"/>
    <w:rsid w:val="5DF50B4C"/>
    <w:rsid w:val="5DF70D68"/>
    <w:rsid w:val="5DF72B16"/>
    <w:rsid w:val="5DFB43B4"/>
    <w:rsid w:val="5E005E6E"/>
    <w:rsid w:val="5E015742"/>
    <w:rsid w:val="5E070FAB"/>
    <w:rsid w:val="5E0B036F"/>
    <w:rsid w:val="5E1B2CA8"/>
    <w:rsid w:val="5E2751A9"/>
    <w:rsid w:val="5E2F22B0"/>
    <w:rsid w:val="5E323B4E"/>
    <w:rsid w:val="5E355E51"/>
    <w:rsid w:val="5E3C677A"/>
    <w:rsid w:val="5E587A58"/>
    <w:rsid w:val="5E766130"/>
    <w:rsid w:val="5E7F76D7"/>
    <w:rsid w:val="5E8545C5"/>
    <w:rsid w:val="5E895E64"/>
    <w:rsid w:val="5E912F6A"/>
    <w:rsid w:val="5E9F11E3"/>
    <w:rsid w:val="5EA44A4C"/>
    <w:rsid w:val="5EAA7E85"/>
    <w:rsid w:val="5EAE58CA"/>
    <w:rsid w:val="5EB6652D"/>
    <w:rsid w:val="5EB7471A"/>
    <w:rsid w:val="5EC155FD"/>
    <w:rsid w:val="5EC40C4A"/>
    <w:rsid w:val="5ECC5D50"/>
    <w:rsid w:val="5ED03A93"/>
    <w:rsid w:val="5ED115B9"/>
    <w:rsid w:val="5EE906B0"/>
    <w:rsid w:val="5EEA72F8"/>
    <w:rsid w:val="5EEE5CC7"/>
    <w:rsid w:val="5EFC6636"/>
    <w:rsid w:val="5F04373C"/>
    <w:rsid w:val="5F1D086A"/>
    <w:rsid w:val="5F227E41"/>
    <w:rsid w:val="5F2B6F1B"/>
    <w:rsid w:val="5F3F29C6"/>
    <w:rsid w:val="5F520280"/>
    <w:rsid w:val="5F630463"/>
    <w:rsid w:val="5F6E5059"/>
    <w:rsid w:val="5F710D42"/>
    <w:rsid w:val="5F750196"/>
    <w:rsid w:val="5F8403D9"/>
    <w:rsid w:val="5F8605F5"/>
    <w:rsid w:val="5F920D48"/>
    <w:rsid w:val="5F9F32F8"/>
    <w:rsid w:val="5FA12D39"/>
    <w:rsid w:val="5FA40A7B"/>
    <w:rsid w:val="5FA85000"/>
    <w:rsid w:val="5FAE5456"/>
    <w:rsid w:val="5FB23198"/>
    <w:rsid w:val="5FBC5DC5"/>
    <w:rsid w:val="5FC44C79"/>
    <w:rsid w:val="5FC5111D"/>
    <w:rsid w:val="5FCA04E2"/>
    <w:rsid w:val="5FD02094"/>
    <w:rsid w:val="5FD27396"/>
    <w:rsid w:val="5FD50C35"/>
    <w:rsid w:val="5FDC0215"/>
    <w:rsid w:val="5FDE21DF"/>
    <w:rsid w:val="5FDE5D3B"/>
    <w:rsid w:val="5FE1582B"/>
    <w:rsid w:val="6004199A"/>
    <w:rsid w:val="60196D73"/>
    <w:rsid w:val="601D2D07"/>
    <w:rsid w:val="601E082E"/>
    <w:rsid w:val="6028345A"/>
    <w:rsid w:val="603718EF"/>
    <w:rsid w:val="6037544B"/>
    <w:rsid w:val="60432042"/>
    <w:rsid w:val="60457B68"/>
    <w:rsid w:val="604A1623"/>
    <w:rsid w:val="60673F83"/>
    <w:rsid w:val="60687CFB"/>
    <w:rsid w:val="6071095D"/>
    <w:rsid w:val="60765F74"/>
    <w:rsid w:val="6082700E"/>
    <w:rsid w:val="60830691"/>
    <w:rsid w:val="608368E3"/>
    <w:rsid w:val="60916947"/>
    <w:rsid w:val="60964868"/>
    <w:rsid w:val="60A704F0"/>
    <w:rsid w:val="60BE791B"/>
    <w:rsid w:val="60C2565D"/>
    <w:rsid w:val="60CA4511"/>
    <w:rsid w:val="60DE5F0E"/>
    <w:rsid w:val="60E90E3C"/>
    <w:rsid w:val="60F17CF0"/>
    <w:rsid w:val="60F43F81"/>
    <w:rsid w:val="6110461A"/>
    <w:rsid w:val="61131A15"/>
    <w:rsid w:val="61227EAA"/>
    <w:rsid w:val="612956DC"/>
    <w:rsid w:val="6142679E"/>
    <w:rsid w:val="61447E20"/>
    <w:rsid w:val="61500EBB"/>
    <w:rsid w:val="615A5587"/>
    <w:rsid w:val="6169465A"/>
    <w:rsid w:val="616C22EB"/>
    <w:rsid w:val="61700C15"/>
    <w:rsid w:val="61722BDF"/>
    <w:rsid w:val="61736957"/>
    <w:rsid w:val="61761FA3"/>
    <w:rsid w:val="61774699"/>
    <w:rsid w:val="617F70AA"/>
    <w:rsid w:val="61834DEC"/>
    <w:rsid w:val="618E3791"/>
    <w:rsid w:val="61A03FBA"/>
    <w:rsid w:val="61B9080E"/>
    <w:rsid w:val="61BC3E5A"/>
    <w:rsid w:val="61C471B3"/>
    <w:rsid w:val="61CF555E"/>
    <w:rsid w:val="61D76EE6"/>
    <w:rsid w:val="61D90EB0"/>
    <w:rsid w:val="620D2908"/>
    <w:rsid w:val="62116F15"/>
    <w:rsid w:val="6239194F"/>
    <w:rsid w:val="623B56C7"/>
    <w:rsid w:val="6247406C"/>
    <w:rsid w:val="62481B02"/>
    <w:rsid w:val="62500A46"/>
    <w:rsid w:val="62540537"/>
    <w:rsid w:val="625C563D"/>
    <w:rsid w:val="62600C89"/>
    <w:rsid w:val="6267026A"/>
    <w:rsid w:val="626A1B08"/>
    <w:rsid w:val="626C3AD2"/>
    <w:rsid w:val="627666FF"/>
    <w:rsid w:val="62796BC4"/>
    <w:rsid w:val="62864468"/>
    <w:rsid w:val="628A03FC"/>
    <w:rsid w:val="62944DD7"/>
    <w:rsid w:val="629628FD"/>
    <w:rsid w:val="62966DA1"/>
    <w:rsid w:val="629D3C8C"/>
    <w:rsid w:val="62A019CE"/>
    <w:rsid w:val="62A52B40"/>
    <w:rsid w:val="62B20DAE"/>
    <w:rsid w:val="62B912F6"/>
    <w:rsid w:val="62BB05B6"/>
    <w:rsid w:val="62BF00A6"/>
    <w:rsid w:val="62C05BCC"/>
    <w:rsid w:val="62D52568"/>
    <w:rsid w:val="62DE6052"/>
    <w:rsid w:val="62E33669"/>
    <w:rsid w:val="62EA2C49"/>
    <w:rsid w:val="62EB31E4"/>
    <w:rsid w:val="62EE098B"/>
    <w:rsid w:val="62FD0BCE"/>
    <w:rsid w:val="62FD297C"/>
    <w:rsid w:val="630B32EB"/>
    <w:rsid w:val="630C0E11"/>
    <w:rsid w:val="630F26B0"/>
    <w:rsid w:val="631877B6"/>
    <w:rsid w:val="631A67C1"/>
    <w:rsid w:val="632748F0"/>
    <w:rsid w:val="632A072D"/>
    <w:rsid w:val="63304B00"/>
    <w:rsid w:val="6333639E"/>
    <w:rsid w:val="63402869"/>
    <w:rsid w:val="634C7460"/>
    <w:rsid w:val="63555685"/>
    <w:rsid w:val="635822A8"/>
    <w:rsid w:val="635A7DCF"/>
    <w:rsid w:val="635D166D"/>
    <w:rsid w:val="63660521"/>
    <w:rsid w:val="63732C3E"/>
    <w:rsid w:val="637846F9"/>
    <w:rsid w:val="637A221F"/>
    <w:rsid w:val="637A3FCD"/>
    <w:rsid w:val="637E06AE"/>
    <w:rsid w:val="63901A42"/>
    <w:rsid w:val="63A76588"/>
    <w:rsid w:val="63AE011A"/>
    <w:rsid w:val="63CD67F3"/>
    <w:rsid w:val="63D062E3"/>
    <w:rsid w:val="63DF02D4"/>
    <w:rsid w:val="63E61662"/>
    <w:rsid w:val="63E91153"/>
    <w:rsid w:val="63EE6769"/>
    <w:rsid w:val="63EF49BB"/>
    <w:rsid w:val="63F21DB5"/>
    <w:rsid w:val="63F83144"/>
    <w:rsid w:val="63FA510E"/>
    <w:rsid w:val="63FA6EBC"/>
    <w:rsid w:val="640146EE"/>
    <w:rsid w:val="64030466"/>
    <w:rsid w:val="64061D04"/>
    <w:rsid w:val="64104931"/>
    <w:rsid w:val="64267CB1"/>
    <w:rsid w:val="6441132E"/>
    <w:rsid w:val="64412D3D"/>
    <w:rsid w:val="644C3BBB"/>
    <w:rsid w:val="644D7933"/>
    <w:rsid w:val="647629E6"/>
    <w:rsid w:val="647C1FC7"/>
    <w:rsid w:val="647C3D75"/>
    <w:rsid w:val="647C5B23"/>
    <w:rsid w:val="648D7D30"/>
    <w:rsid w:val="648F1CFA"/>
    <w:rsid w:val="64925346"/>
    <w:rsid w:val="64A05CB5"/>
    <w:rsid w:val="64B702F7"/>
    <w:rsid w:val="64C179D9"/>
    <w:rsid w:val="64CF0348"/>
    <w:rsid w:val="64E21E2A"/>
    <w:rsid w:val="64E57B6C"/>
    <w:rsid w:val="64EB7C27"/>
    <w:rsid w:val="64EF2799"/>
    <w:rsid w:val="64F953C5"/>
    <w:rsid w:val="65051FBC"/>
    <w:rsid w:val="650C50F9"/>
    <w:rsid w:val="650E7A25"/>
    <w:rsid w:val="65150451"/>
    <w:rsid w:val="65165F77"/>
    <w:rsid w:val="652266CA"/>
    <w:rsid w:val="65290E15"/>
    <w:rsid w:val="65293EFC"/>
    <w:rsid w:val="65295CAB"/>
    <w:rsid w:val="652E32C1"/>
    <w:rsid w:val="65312DB1"/>
    <w:rsid w:val="65424FBE"/>
    <w:rsid w:val="654F3237"/>
    <w:rsid w:val="65532D27"/>
    <w:rsid w:val="65586590"/>
    <w:rsid w:val="65635506"/>
    <w:rsid w:val="656767D3"/>
    <w:rsid w:val="656942F9"/>
    <w:rsid w:val="65757142"/>
    <w:rsid w:val="65766A16"/>
    <w:rsid w:val="657B402C"/>
    <w:rsid w:val="658B24C1"/>
    <w:rsid w:val="65924553"/>
    <w:rsid w:val="6593581A"/>
    <w:rsid w:val="659375C8"/>
    <w:rsid w:val="659A2704"/>
    <w:rsid w:val="659F41BF"/>
    <w:rsid w:val="65A215B9"/>
    <w:rsid w:val="65AE7F5E"/>
    <w:rsid w:val="65B35574"/>
    <w:rsid w:val="65CE23AE"/>
    <w:rsid w:val="65D379C4"/>
    <w:rsid w:val="65E120E1"/>
    <w:rsid w:val="65E63B9C"/>
    <w:rsid w:val="65E676F8"/>
    <w:rsid w:val="65EE0CA2"/>
    <w:rsid w:val="65F55B8D"/>
    <w:rsid w:val="66061B48"/>
    <w:rsid w:val="66214BD4"/>
    <w:rsid w:val="66391F1D"/>
    <w:rsid w:val="664803B2"/>
    <w:rsid w:val="66495ED8"/>
    <w:rsid w:val="664D3C1B"/>
    <w:rsid w:val="665054B9"/>
    <w:rsid w:val="66554089"/>
    <w:rsid w:val="66561DAB"/>
    <w:rsid w:val="666176C6"/>
    <w:rsid w:val="66650F64"/>
    <w:rsid w:val="666B5E4F"/>
    <w:rsid w:val="66703465"/>
    <w:rsid w:val="66846F11"/>
    <w:rsid w:val="66903B07"/>
    <w:rsid w:val="6692787F"/>
    <w:rsid w:val="66A63D78"/>
    <w:rsid w:val="66A80E51"/>
    <w:rsid w:val="66AC6B93"/>
    <w:rsid w:val="66B617C0"/>
    <w:rsid w:val="66B94E0C"/>
    <w:rsid w:val="66BC48FC"/>
    <w:rsid w:val="66C67529"/>
    <w:rsid w:val="66CA0E88"/>
    <w:rsid w:val="66CF63DE"/>
    <w:rsid w:val="66D47E98"/>
    <w:rsid w:val="66DB1226"/>
    <w:rsid w:val="66DE0D17"/>
    <w:rsid w:val="66E55E08"/>
    <w:rsid w:val="66E75E1D"/>
    <w:rsid w:val="66F10A4A"/>
    <w:rsid w:val="67006EDF"/>
    <w:rsid w:val="670562A3"/>
    <w:rsid w:val="67095D94"/>
    <w:rsid w:val="671169F6"/>
    <w:rsid w:val="67136C12"/>
    <w:rsid w:val="67191D4F"/>
    <w:rsid w:val="67242BCD"/>
    <w:rsid w:val="67286252"/>
    <w:rsid w:val="672A3F5C"/>
    <w:rsid w:val="672C6851"/>
    <w:rsid w:val="672D1356"/>
    <w:rsid w:val="67334BBF"/>
    <w:rsid w:val="67395F4D"/>
    <w:rsid w:val="673A5DE2"/>
    <w:rsid w:val="674342E3"/>
    <w:rsid w:val="6747066A"/>
    <w:rsid w:val="67472418"/>
    <w:rsid w:val="674C3ED2"/>
    <w:rsid w:val="67582877"/>
    <w:rsid w:val="676C3B8F"/>
    <w:rsid w:val="676D68B5"/>
    <w:rsid w:val="67835311"/>
    <w:rsid w:val="678C42CF"/>
    <w:rsid w:val="67901FF6"/>
    <w:rsid w:val="6790696E"/>
    <w:rsid w:val="6796514D"/>
    <w:rsid w:val="67C717AB"/>
    <w:rsid w:val="67DA7730"/>
    <w:rsid w:val="67DF0EB0"/>
    <w:rsid w:val="67E1461B"/>
    <w:rsid w:val="67E4235D"/>
    <w:rsid w:val="67E67E83"/>
    <w:rsid w:val="67E934CF"/>
    <w:rsid w:val="680D44B2"/>
    <w:rsid w:val="680E73DA"/>
    <w:rsid w:val="68155815"/>
    <w:rsid w:val="68354966"/>
    <w:rsid w:val="68355788"/>
    <w:rsid w:val="68541290"/>
    <w:rsid w:val="68576637"/>
    <w:rsid w:val="685C6397"/>
    <w:rsid w:val="686314D3"/>
    <w:rsid w:val="686B0388"/>
    <w:rsid w:val="687A05CB"/>
    <w:rsid w:val="687E455F"/>
    <w:rsid w:val="68833924"/>
    <w:rsid w:val="689773CF"/>
    <w:rsid w:val="689E69AF"/>
    <w:rsid w:val="68A67612"/>
    <w:rsid w:val="68B00491"/>
    <w:rsid w:val="68B25FB7"/>
    <w:rsid w:val="68C61A62"/>
    <w:rsid w:val="68CB0E27"/>
    <w:rsid w:val="68CE7E74"/>
    <w:rsid w:val="68CF4DBB"/>
    <w:rsid w:val="68D777CC"/>
    <w:rsid w:val="68EA39A3"/>
    <w:rsid w:val="68EC14C9"/>
    <w:rsid w:val="68F14D31"/>
    <w:rsid w:val="68F22857"/>
    <w:rsid w:val="68F93BE6"/>
    <w:rsid w:val="68FD2AC3"/>
    <w:rsid w:val="690031C6"/>
    <w:rsid w:val="690A5DF3"/>
    <w:rsid w:val="690D7691"/>
    <w:rsid w:val="690F6F65"/>
    <w:rsid w:val="69112CDD"/>
    <w:rsid w:val="691E2803"/>
    <w:rsid w:val="691E53FA"/>
    <w:rsid w:val="692844CB"/>
    <w:rsid w:val="69362744"/>
    <w:rsid w:val="693B7D5A"/>
    <w:rsid w:val="69401815"/>
    <w:rsid w:val="694110E9"/>
    <w:rsid w:val="694C640B"/>
    <w:rsid w:val="69561038"/>
    <w:rsid w:val="696279DD"/>
    <w:rsid w:val="696B5954"/>
    <w:rsid w:val="697274F4"/>
    <w:rsid w:val="69747710"/>
    <w:rsid w:val="69855479"/>
    <w:rsid w:val="698C2CAC"/>
    <w:rsid w:val="698E07D2"/>
    <w:rsid w:val="69913E1E"/>
    <w:rsid w:val="699224B1"/>
    <w:rsid w:val="69A920BB"/>
    <w:rsid w:val="69B144C0"/>
    <w:rsid w:val="69B67D29"/>
    <w:rsid w:val="69C77840"/>
    <w:rsid w:val="69D02B99"/>
    <w:rsid w:val="69D94559"/>
    <w:rsid w:val="69EF4985"/>
    <w:rsid w:val="69F47280"/>
    <w:rsid w:val="69F97043"/>
    <w:rsid w:val="69FA7C16"/>
    <w:rsid w:val="69FD14B4"/>
    <w:rsid w:val="6A072AD7"/>
    <w:rsid w:val="6A0E36C1"/>
    <w:rsid w:val="6A1C386D"/>
    <w:rsid w:val="6A2D7FEB"/>
    <w:rsid w:val="6A331379"/>
    <w:rsid w:val="6A3A656D"/>
    <w:rsid w:val="6A433406"/>
    <w:rsid w:val="6A4C5F97"/>
    <w:rsid w:val="6A4E3ABD"/>
    <w:rsid w:val="6A5437CA"/>
    <w:rsid w:val="6A55309E"/>
    <w:rsid w:val="6A582B8E"/>
    <w:rsid w:val="6A58493C"/>
    <w:rsid w:val="6A5A6906"/>
    <w:rsid w:val="6A5D1F52"/>
    <w:rsid w:val="6A617C95"/>
    <w:rsid w:val="6A687275"/>
    <w:rsid w:val="6A6E23B2"/>
    <w:rsid w:val="6A837C0B"/>
    <w:rsid w:val="6A8D0A8A"/>
    <w:rsid w:val="6A9C0CCD"/>
    <w:rsid w:val="6A9F07BD"/>
    <w:rsid w:val="6AA61B4B"/>
    <w:rsid w:val="6AA87672"/>
    <w:rsid w:val="6AC124E1"/>
    <w:rsid w:val="6AD95A7D"/>
    <w:rsid w:val="6ADE3093"/>
    <w:rsid w:val="6ADF6E0B"/>
    <w:rsid w:val="6AE54422"/>
    <w:rsid w:val="6AF208ED"/>
    <w:rsid w:val="6AF6662F"/>
    <w:rsid w:val="6AF705F9"/>
    <w:rsid w:val="6AF87C73"/>
    <w:rsid w:val="6B0C0FC3"/>
    <w:rsid w:val="6B197624"/>
    <w:rsid w:val="6B2018FE"/>
    <w:rsid w:val="6B234F4A"/>
    <w:rsid w:val="6B2A452A"/>
    <w:rsid w:val="6B364C7D"/>
    <w:rsid w:val="6B3727A3"/>
    <w:rsid w:val="6B39651C"/>
    <w:rsid w:val="6B476E8A"/>
    <w:rsid w:val="6B482C03"/>
    <w:rsid w:val="6B4B624F"/>
    <w:rsid w:val="6B5670CE"/>
    <w:rsid w:val="6B5C220A"/>
    <w:rsid w:val="6B7632CC"/>
    <w:rsid w:val="6B785296"/>
    <w:rsid w:val="6B7E1E0B"/>
    <w:rsid w:val="6B8E2D0B"/>
    <w:rsid w:val="6B8F25DF"/>
    <w:rsid w:val="6B9419A4"/>
    <w:rsid w:val="6B9B3981"/>
    <w:rsid w:val="6B9B71D6"/>
    <w:rsid w:val="6BA02A3F"/>
    <w:rsid w:val="6BAB5FA2"/>
    <w:rsid w:val="6BAD2A66"/>
    <w:rsid w:val="6BB87D88"/>
    <w:rsid w:val="6BBE4C73"/>
    <w:rsid w:val="6BC04E8F"/>
    <w:rsid w:val="6BC524A5"/>
    <w:rsid w:val="6BC73B27"/>
    <w:rsid w:val="6BD6020E"/>
    <w:rsid w:val="6BD9731F"/>
    <w:rsid w:val="6BDD77EF"/>
    <w:rsid w:val="6BF16DF6"/>
    <w:rsid w:val="6BF6265F"/>
    <w:rsid w:val="6BFB1A23"/>
    <w:rsid w:val="6BFD579B"/>
    <w:rsid w:val="6BFF3C0B"/>
    <w:rsid w:val="6BFF59B7"/>
    <w:rsid w:val="6C042FCD"/>
    <w:rsid w:val="6C122F13"/>
    <w:rsid w:val="6C157B27"/>
    <w:rsid w:val="6C164AAF"/>
    <w:rsid w:val="6C1C0317"/>
    <w:rsid w:val="6C246A1B"/>
    <w:rsid w:val="6C4F7438"/>
    <w:rsid w:val="6C5555D7"/>
    <w:rsid w:val="6C5630FD"/>
    <w:rsid w:val="6C5740F9"/>
    <w:rsid w:val="6C580C23"/>
    <w:rsid w:val="6C5B5F14"/>
    <w:rsid w:val="6C6E6699"/>
    <w:rsid w:val="6C7A3290"/>
    <w:rsid w:val="6C83461C"/>
    <w:rsid w:val="6C89702F"/>
    <w:rsid w:val="6C8B0FF9"/>
    <w:rsid w:val="6C9A748E"/>
    <w:rsid w:val="6CA16A6E"/>
    <w:rsid w:val="6CA259B8"/>
    <w:rsid w:val="6CA420BB"/>
    <w:rsid w:val="6CA83959"/>
    <w:rsid w:val="6CB0280D"/>
    <w:rsid w:val="6CB95B66"/>
    <w:rsid w:val="6CD3474E"/>
    <w:rsid w:val="6CE028AE"/>
    <w:rsid w:val="6CF3094C"/>
    <w:rsid w:val="6CF52916"/>
    <w:rsid w:val="6D0C7C9A"/>
    <w:rsid w:val="6D1159A2"/>
    <w:rsid w:val="6D147240"/>
    <w:rsid w:val="6D184E6C"/>
    <w:rsid w:val="6D1F1741"/>
    <w:rsid w:val="6D266F73"/>
    <w:rsid w:val="6D326341"/>
    <w:rsid w:val="6D392803"/>
    <w:rsid w:val="6D3F3B91"/>
    <w:rsid w:val="6D45389E"/>
    <w:rsid w:val="6D486EEA"/>
    <w:rsid w:val="6D57712D"/>
    <w:rsid w:val="6D583572"/>
    <w:rsid w:val="6D594C53"/>
    <w:rsid w:val="6D617FAC"/>
    <w:rsid w:val="6D6B4986"/>
    <w:rsid w:val="6D723F67"/>
    <w:rsid w:val="6D7D1F79"/>
    <w:rsid w:val="6D82064E"/>
    <w:rsid w:val="6D91263F"/>
    <w:rsid w:val="6D940381"/>
    <w:rsid w:val="6D997745"/>
    <w:rsid w:val="6DA34120"/>
    <w:rsid w:val="6DB14177"/>
    <w:rsid w:val="6DB427D1"/>
    <w:rsid w:val="6DC01176"/>
    <w:rsid w:val="6DC36570"/>
    <w:rsid w:val="6DC5678C"/>
    <w:rsid w:val="6DC9627D"/>
    <w:rsid w:val="6DCA6045"/>
    <w:rsid w:val="6DE07122"/>
    <w:rsid w:val="6DF1132F"/>
    <w:rsid w:val="6DF17581"/>
    <w:rsid w:val="6DF606F4"/>
    <w:rsid w:val="6DF64B98"/>
    <w:rsid w:val="6DFB5D0A"/>
    <w:rsid w:val="6E0077C5"/>
    <w:rsid w:val="6E032E11"/>
    <w:rsid w:val="6E146DCC"/>
    <w:rsid w:val="6E26547D"/>
    <w:rsid w:val="6E272FA3"/>
    <w:rsid w:val="6E354E76"/>
    <w:rsid w:val="6E3D1D91"/>
    <w:rsid w:val="6E407BC1"/>
    <w:rsid w:val="6E443B55"/>
    <w:rsid w:val="6E4678CD"/>
    <w:rsid w:val="6E4C0C5C"/>
    <w:rsid w:val="6E557B10"/>
    <w:rsid w:val="6E657628"/>
    <w:rsid w:val="6E680B4E"/>
    <w:rsid w:val="6E6F371A"/>
    <w:rsid w:val="6E781A51"/>
    <w:rsid w:val="6E7820E9"/>
    <w:rsid w:val="6E7F2DDF"/>
    <w:rsid w:val="6E8757F0"/>
    <w:rsid w:val="6E9543B1"/>
    <w:rsid w:val="6EB74327"/>
    <w:rsid w:val="6EBC36EB"/>
    <w:rsid w:val="6EC801D0"/>
    <w:rsid w:val="6ED053E9"/>
    <w:rsid w:val="6ED35967"/>
    <w:rsid w:val="6ED529FF"/>
    <w:rsid w:val="6EDF562C"/>
    <w:rsid w:val="6EE13152"/>
    <w:rsid w:val="6EE52F25"/>
    <w:rsid w:val="6EE80984"/>
    <w:rsid w:val="6EF07839"/>
    <w:rsid w:val="6EF2535F"/>
    <w:rsid w:val="6EF966EE"/>
    <w:rsid w:val="6EFC61DE"/>
    <w:rsid w:val="6EFF182A"/>
    <w:rsid w:val="6F0155A2"/>
    <w:rsid w:val="6F062BB9"/>
    <w:rsid w:val="6F0926A9"/>
    <w:rsid w:val="6F1E7F02"/>
    <w:rsid w:val="6F2474E3"/>
    <w:rsid w:val="6F40431D"/>
    <w:rsid w:val="6F457B85"/>
    <w:rsid w:val="6F4E54A4"/>
    <w:rsid w:val="6F5778B8"/>
    <w:rsid w:val="6F643868"/>
    <w:rsid w:val="6F653D83"/>
    <w:rsid w:val="6F7D6FD7"/>
    <w:rsid w:val="6F814935"/>
    <w:rsid w:val="6F914B78"/>
    <w:rsid w:val="6F963F3C"/>
    <w:rsid w:val="6F997ED1"/>
    <w:rsid w:val="6F9B1553"/>
    <w:rsid w:val="6FB24AEE"/>
    <w:rsid w:val="6FB30EF7"/>
    <w:rsid w:val="6FB676E1"/>
    <w:rsid w:val="6FBB39A3"/>
    <w:rsid w:val="6FCC795E"/>
    <w:rsid w:val="6FCD1928"/>
    <w:rsid w:val="6FCF56A0"/>
    <w:rsid w:val="6FD35191"/>
    <w:rsid w:val="6FD61C0D"/>
    <w:rsid w:val="6FE217DD"/>
    <w:rsid w:val="6FF173C5"/>
    <w:rsid w:val="6FF2313D"/>
    <w:rsid w:val="700417EE"/>
    <w:rsid w:val="700F0F78"/>
    <w:rsid w:val="701D28B0"/>
    <w:rsid w:val="70227EC6"/>
    <w:rsid w:val="7027728A"/>
    <w:rsid w:val="70291255"/>
    <w:rsid w:val="7036127C"/>
    <w:rsid w:val="703B4AE4"/>
    <w:rsid w:val="703D260A"/>
    <w:rsid w:val="70457711"/>
    <w:rsid w:val="704716DB"/>
    <w:rsid w:val="704C6CF1"/>
    <w:rsid w:val="705636CC"/>
    <w:rsid w:val="706E6C67"/>
    <w:rsid w:val="70766FB9"/>
    <w:rsid w:val="707846A8"/>
    <w:rsid w:val="70822713"/>
    <w:rsid w:val="70860455"/>
    <w:rsid w:val="70874311"/>
    <w:rsid w:val="70891CF3"/>
    <w:rsid w:val="70967F6C"/>
    <w:rsid w:val="70A02B99"/>
    <w:rsid w:val="70A408DB"/>
    <w:rsid w:val="70AB1C6A"/>
    <w:rsid w:val="70AB3A18"/>
    <w:rsid w:val="70BF3967"/>
    <w:rsid w:val="70C920F0"/>
    <w:rsid w:val="70CD7E32"/>
    <w:rsid w:val="70D07922"/>
    <w:rsid w:val="70D14B11"/>
    <w:rsid w:val="70E60EF4"/>
    <w:rsid w:val="70EB475C"/>
    <w:rsid w:val="710B6BAC"/>
    <w:rsid w:val="710D477B"/>
    <w:rsid w:val="71125845"/>
    <w:rsid w:val="712D6B22"/>
    <w:rsid w:val="71306613"/>
    <w:rsid w:val="71436346"/>
    <w:rsid w:val="714A1482"/>
    <w:rsid w:val="71520337"/>
    <w:rsid w:val="715F4802"/>
    <w:rsid w:val="71607830"/>
    <w:rsid w:val="7177183D"/>
    <w:rsid w:val="717E2EDA"/>
    <w:rsid w:val="718350B3"/>
    <w:rsid w:val="718524BB"/>
    <w:rsid w:val="718E34F8"/>
    <w:rsid w:val="7194566A"/>
    <w:rsid w:val="719679BC"/>
    <w:rsid w:val="719E17CE"/>
    <w:rsid w:val="71A072F4"/>
    <w:rsid w:val="71BE59CD"/>
    <w:rsid w:val="71D23226"/>
    <w:rsid w:val="71D90A58"/>
    <w:rsid w:val="71E2790D"/>
    <w:rsid w:val="71E60A7F"/>
    <w:rsid w:val="71E73594"/>
    <w:rsid w:val="71ED62B2"/>
    <w:rsid w:val="71F92EA9"/>
    <w:rsid w:val="72001B41"/>
    <w:rsid w:val="72121874"/>
    <w:rsid w:val="721675B7"/>
    <w:rsid w:val="72181581"/>
    <w:rsid w:val="721B2E1F"/>
    <w:rsid w:val="722E4900"/>
    <w:rsid w:val="722F68CA"/>
    <w:rsid w:val="72402885"/>
    <w:rsid w:val="725400DF"/>
    <w:rsid w:val="72572EF3"/>
    <w:rsid w:val="726245AA"/>
    <w:rsid w:val="726C367A"/>
    <w:rsid w:val="726E11A1"/>
    <w:rsid w:val="72730565"/>
    <w:rsid w:val="727D5888"/>
    <w:rsid w:val="72800ED4"/>
    <w:rsid w:val="72802C82"/>
    <w:rsid w:val="72897D89"/>
    <w:rsid w:val="72A86200"/>
    <w:rsid w:val="72A93F87"/>
    <w:rsid w:val="72B33057"/>
    <w:rsid w:val="72B91FED"/>
    <w:rsid w:val="72BE6102"/>
    <w:rsid w:val="72C47013"/>
    <w:rsid w:val="72CA214F"/>
    <w:rsid w:val="72CA5114"/>
    <w:rsid w:val="72D80D10"/>
    <w:rsid w:val="72DB435C"/>
    <w:rsid w:val="72EB459F"/>
    <w:rsid w:val="72F1592E"/>
    <w:rsid w:val="72F5541E"/>
    <w:rsid w:val="72F571CC"/>
    <w:rsid w:val="73137F9A"/>
    <w:rsid w:val="73320420"/>
    <w:rsid w:val="733676C5"/>
    <w:rsid w:val="733C129F"/>
    <w:rsid w:val="733F6699"/>
    <w:rsid w:val="73440153"/>
    <w:rsid w:val="7346211D"/>
    <w:rsid w:val="73487C44"/>
    <w:rsid w:val="734939BC"/>
    <w:rsid w:val="7349719A"/>
    <w:rsid w:val="734C0DB6"/>
    <w:rsid w:val="73552361"/>
    <w:rsid w:val="735D2FC3"/>
    <w:rsid w:val="73612AB3"/>
    <w:rsid w:val="739369E5"/>
    <w:rsid w:val="7399224D"/>
    <w:rsid w:val="73A62BBC"/>
    <w:rsid w:val="73AA6208"/>
    <w:rsid w:val="73B9644B"/>
    <w:rsid w:val="73BB0416"/>
    <w:rsid w:val="73CD639B"/>
    <w:rsid w:val="73D2750D"/>
    <w:rsid w:val="73E536E4"/>
    <w:rsid w:val="73ED6265"/>
    <w:rsid w:val="73FB2F08"/>
    <w:rsid w:val="73FC27DC"/>
    <w:rsid w:val="7407365B"/>
    <w:rsid w:val="74143FCA"/>
    <w:rsid w:val="74147B26"/>
    <w:rsid w:val="74161F6C"/>
    <w:rsid w:val="741D2E7E"/>
    <w:rsid w:val="742324ED"/>
    <w:rsid w:val="742C30C1"/>
    <w:rsid w:val="743C3497"/>
    <w:rsid w:val="74471CA9"/>
    <w:rsid w:val="74512B28"/>
    <w:rsid w:val="74550902"/>
    <w:rsid w:val="74690259"/>
    <w:rsid w:val="746F1200"/>
    <w:rsid w:val="74721F92"/>
    <w:rsid w:val="74732A9E"/>
    <w:rsid w:val="747800B5"/>
    <w:rsid w:val="748E78D8"/>
    <w:rsid w:val="749B3DA3"/>
    <w:rsid w:val="74A013B9"/>
    <w:rsid w:val="74B530B7"/>
    <w:rsid w:val="74B96C79"/>
    <w:rsid w:val="74BC39C6"/>
    <w:rsid w:val="74C652C4"/>
    <w:rsid w:val="74CA4688"/>
    <w:rsid w:val="74CA6436"/>
    <w:rsid w:val="74CF1C9F"/>
    <w:rsid w:val="74D06143"/>
    <w:rsid w:val="74E41BEE"/>
    <w:rsid w:val="74E4399C"/>
    <w:rsid w:val="74E92D60"/>
    <w:rsid w:val="750E7F6F"/>
    <w:rsid w:val="75157FF9"/>
    <w:rsid w:val="751E2445"/>
    <w:rsid w:val="7521074C"/>
    <w:rsid w:val="75226B23"/>
    <w:rsid w:val="75324707"/>
    <w:rsid w:val="7535244A"/>
    <w:rsid w:val="753A180E"/>
    <w:rsid w:val="753A7A60"/>
    <w:rsid w:val="753D12FE"/>
    <w:rsid w:val="753F1341"/>
    <w:rsid w:val="75412B9C"/>
    <w:rsid w:val="754A743D"/>
    <w:rsid w:val="755521A4"/>
    <w:rsid w:val="756B5E6B"/>
    <w:rsid w:val="757545F4"/>
    <w:rsid w:val="757A422E"/>
    <w:rsid w:val="75840CDB"/>
    <w:rsid w:val="75882579"/>
    <w:rsid w:val="75936516"/>
    <w:rsid w:val="759A04FF"/>
    <w:rsid w:val="75A849CA"/>
    <w:rsid w:val="75AD3D8E"/>
    <w:rsid w:val="75BA46FD"/>
    <w:rsid w:val="75C14E11"/>
    <w:rsid w:val="75CA2B92"/>
    <w:rsid w:val="75D25EEA"/>
    <w:rsid w:val="75D43A11"/>
    <w:rsid w:val="75D51537"/>
    <w:rsid w:val="75D67789"/>
    <w:rsid w:val="75E1612D"/>
    <w:rsid w:val="75E17EDC"/>
    <w:rsid w:val="75E31EA6"/>
    <w:rsid w:val="75EF25F8"/>
    <w:rsid w:val="75F93477"/>
    <w:rsid w:val="75FE45EA"/>
    <w:rsid w:val="76053BCA"/>
    <w:rsid w:val="76143E0D"/>
    <w:rsid w:val="761B163F"/>
    <w:rsid w:val="761B33ED"/>
    <w:rsid w:val="762B73A9"/>
    <w:rsid w:val="764741E2"/>
    <w:rsid w:val="76515EBE"/>
    <w:rsid w:val="76593F16"/>
    <w:rsid w:val="766234D3"/>
    <w:rsid w:val="76650B0D"/>
    <w:rsid w:val="766A7ED1"/>
    <w:rsid w:val="76777C07"/>
    <w:rsid w:val="76805946"/>
    <w:rsid w:val="76872831"/>
    <w:rsid w:val="768D3BBF"/>
    <w:rsid w:val="768E0063"/>
    <w:rsid w:val="7694670B"/>
    <w:rsid w:val="76962A74"/>
    <w:rsid w:val="76966F18"/>
    <w:rsid w:val="76A258BD"/>
    <w:rsid w:val="76AC7B4F"/>
    <w:rsid w:val="76AE24B4"/>
    <w:rsid w:val="76AF5FC8"/>
    <w:rsid w:val="76B01A68"/>
    <w:rsid w:val="76B13D52"/>
    <w:rsid w:val="76B178AE"/>
    <w:rsid w:val="76C23869"/>
    <w:rsid w:val="76C27D0D"/>
    <w:rsid w:val="76C53359"/>
    <w:rsid w:val="76C9109B"/>
    <w:rsid w:val="76CC293A"/>
    <w:rsid w:val="76CC46E8"/>
    <w:rsid w:val="76D4359C"/>
    <w:rsid w:val="76E2215D"/>
    <w:rsid w:val="76E23F0B"/>
    <w:rsid w:val="76E934EC"/>
    <w:rsid w:val="76E9529A"/>
    <w:rsid w:val="76FF28E3"/>
    <w:rsid w:val="77071BC4"/>
    <w:rsid w:val="77163BB5"/>
    <w:rsid w:val="771A5453"/>
    <w:rsid w:val="772E7150"/>
    <w:rsid w:val="77334767"/>
    <w:rsid w:val="773504DF"/>
    <w:rsid w:val="77400C32"/>
    <w:rsid w:val="77446974"/>
    <w:rsid w:val="774B103F"/>
    <w:rsid w:val="774E15A1"/>
    <w:rsid w:val="7755292F"/>
    <w:rsid w:val="775F37AE"/>
    <w:rsid w:val="77613082"/>
    <w:rsid w:val="776668EA"/>
    <w:rsid w:val="776E39F1"/>
    <w:rsid w:val="77737259"/>
    <w:rsid w:val="77844FC2"/>
    <w:rsid w:val="778D168F"/>
    <w:rsid w:val="77996CC0"/>
    <w:rsid w:val="77A13DC6"/>
    <w:rsid w:val="77A613DD"/>
    <w:rsid w:val="77A8314D"/>
    <w:rsid w:val="77AE203F"/>
    <w:rsid w:val="77B07B65"/>
    <w:rsid w:val="77B358A8"/>
    <w:rsid w:val="77D23F80"/>
    <w:rsid w:val="77DA4BE2"/>
    <w:rsid w:val="77DB2271"/>
    <w:rsid w:val="77E45A61"/>
    <w:rsid w:val="77E837A3"/>
    <w:rsid w:val="78006D3F"/>
    <w:rsid w:val="78085BF3"/>
    <w:rsid w:val="780954C8"/>
    <w:rsid w:val="780F6F82"/>
    <w:rsid w:val="781833E4"/>
    <w:rsid w:val="78197E01"/>
    <w:rsid w:val="781E0F73"/>
    <w:rsid w:val="782D7408"/>
    <w:rsid w:val="78300CA6"/>
    <w:rsid w:val="78397B5B"/>
    <w:rsid w:val="784A7FBA"/>
    <w:rsid w:val="7855070D"/>
    <w:rsid w:val="785B3F75"/>
    <w:rsid w:val="786C2FE5"/>
    <w:rsid w:val="786D5A56"/>
    <w:rsid w:val="787212BF"/>
    <w:rsid w:val="78770683"/>
    <w:rsid w:val="787E1A12"/>
    <w:rsid w:val="7880578A"/>
    <w:rsid w:val="78894F69"/>
    <w:rsid w:val="78941235"/>
    <w:rsid w:val="78986F77"/>
    <w:rsid w:val="78A23952"/>
    <w:rsid w:val="78AD0549"/>
    <w:rsid w:val="78AF42C1"/>
    <w:rsid w:val="78B83176"/>
    <w:rsid w:val="78BD77CE"/>
    <w:rsid w:val="78C66C41"/>
    <w:rsid w:val="78CA3D09"/>
    <w:rsid w:val="78CE71F9"/>
    <w:rsid w:val="78CF4963"/>
    <w:rsid w:val="78DA7590"/>
    <w:rsid w:val="78E71CAD"/>
    <w:rsid w:val="78FD327E"/>
    <w:rsid w:val="78FD502C"/>
    <w:rsid w:val="78FE6B6E"/>
    <w:rsid w:val="79022643"/>
    <w:rsid w:val="79077C59"/>
    <w:rsid w:val="790E0E19"/>
    <w:rsid w:val="790E548B"/>
    <w:rsid w:val="790F4D60"/>
    <w:rsid w:val="790F6B0E"/>
    <w:rsid w:val="79164340"/>
    <w:rsid w:val="791F1447"/>
    <w:rsid w:val="79287C02"/>
    <w:rsid w:val="792A3948"/>
    <w:rsid w:val="792B5F58"/>
    <w:rsid w:val="79330A4E"/>
    <w:rsid w:val="793B7903"/>
    <w:rsid w:val="793D18CD"/>
    <w:rsid w:val="7943641D"/>
    <w:rsid w:val="794C38BE"/>
    <w:rsid w:val="794E3ADA"/>
    <w:rsid w:val="79537342"/>
    <w:rsid w:val="79605479"/>
    <w:rsid w:val="79690914"/>
    <w:rsid w:val="79780B57"/>
    <w:rsid w:val="798219D5"/>
    <w:rsid w:val="79872B48"/>
    <w:rsid w:val="79892D64"/>
    <w:rsid w:val="798968C0"/>
    <w:rsid w:val="79AC0800"/>
    <w:rsid w:val="79AC25AE"/>
    <w:rsid w:val="79BA462A"/>
    <w:rsid w:val="79CB0C87"/>
    <w:rsid w:val="79D12015"/>
    <w:rsid w:val="79D40FAF"/>
    <w:rsid w:val="79DF4732"/>
    <w:rsid w:val="79E65AC0"/>
    <w:rsid w:val="79E93803"/>
    <w:rsid w:val="79ED50A1"/>
    <w:rsid w:val="79F857F4"/>
    <w:rsid w:val="79FA156C"/>
    <w:rsid w:val="79FE72AE"/>
    <w:rsid w:val="7A13262E"/>
    <w:rsid w:val="7A1A39BC"/>
    <w:rsid w:val="7A1A511A"/>
    <w:rsid w:val="7A1F0FD2"/>
    <w:rsid w:val="7A205476"/>
    <w:rsid w:val="7A214D4A"/>
    <w:rsid w:val="7A410F49"/>
    <w:rsid w:val="7A441A53"/>
    <w:rsid w:val="7A462A03"/>
    <w:rsid w:val="7A543372"/>
    <w:rsid w:val="7A682979"/>
    <w:rsid w:val="7A796935"/>
    <w:rsid w:val="7A811C8D"/>
    <w:rsid w:val="7A923E9A"/>
    <w:rsid w:val="7A996FD7"/>
    <w:rsid w:val="7A9B68AB"/>
    <w:rsid w:val="7AAA2F92"/>
    <w:rsid w:val="7AAA4D40"/>
    <w:rsid w:val="7AB21E46"/>
    <w:rsid w:val="7AB756AF"/>
    <w:rsid w:val="7AB94608"/>
    <w:rsid w:val="7ACC115A"/>
    <w:rsid w:val="7AD7365B"/>
    <w:rsid w:val="7ADA57DA"/>
    <w:rsid w:val="7ADB139D"/>
    <w:rsid w:val="7ADD3367"/>
    <w:rsid w:val="7ADD5115"/>
    <w:rsid w:val="7AE20296"/>
    <w:rsid w:val="7AFB559C"/>
    <w:rsid w:val="7AFE508C"/>
    <w:rsid w:val="7B0056BD"/>
    <w:rsid w:val="7B024B7C"/>
    <w:rsid w:val="7B0408F4"/>
    <w:rsid w:val="7B0703E4"/>
    <w:rsid w:val="7B1B79EC"/>
    <w:rsid w:val="7B2014A6"/>
    <w:rsid w:val="7B226FCC"/>
    <w:rsid w:val="7B2C39A7"/>
    <w:rsid w:val="7B2F3497"/>
    <w:rsid w:val="7B3D6D3E"/>
    <w:rsid w:val="7B5408DA"/>
    <w:rsid w:val="7B542EFE"/>
    <w:rsid w:val="7B570210"/>
    <w:rsid w:val="7B615D46"/>
    <w:rsid w:val="7B65510B"/>
    <w:rsid w:val="7B6770D5"/>
    <w:rsid w:val="7B6A2721"/>
    <w:rsid w:val="7B811F45"/>
    <w:rsid w:val="7B8207C7"/>
    <w:rsid w:val="7B825CBD"/>
    <w:rsid w:val="7B8A691F"/>
    <w:rsid w:val="7B8C2F4C"/>
    <w:rsid w:val="7B8C6B3B"/>
    <w:rsid w:val="7B98728E"/>
    <w:rsid w:val="7B9A4DB4"/>
    <w:rsid w:val="7B9D6653"/>
    <w:rsid w:val="7BA45C33"/>
    <w:rsid w:val="7BA63759"/>
    <w:rsid w:val="7BA7127F"/>
    <w:rsid w:val="7BA93249"/>
    <w:rsid w:val="7BA94FF8"/>
    <w:rsid w:val="7BAB6FC2"/>
    <w:rsid w:val="7BB73BB8"/>
    <w:rsid w:val="7BBC11CF"/>
    <w:rsid w:val="7BBF481B"/>
    <w:rsid w:val="7BC41E31"/>
    <w:rsid w:val="7BC96777"/>
    <w:rsid w:val="7BCE2CB0"/>
    <w:rsid w:val="7BD55DED"/>
    <w:rsid w:val="7BDA5A10"/>
    <w:rsid w:val="7BEF5047"/>
    <w:rsid w:val="7BF32717"/>
    <w:rsid w:val="7BF5023D"/>
    <w:rsid w:val="7BF5648F"/>
    <w:rsid w:val="7BF924E4"/>
    <w:rsid w:val="7BFF2E69"/>
    <w:rsid w:val="7C092437"/>
    <w:rsid w:val="7C09515A"/>
    <w:rsid w:val="7C0B7A60"/>
    <w:rsid w:val="7C105077"/>
    <w:rsid w:val="7C232FFC"/>
    <w:rsid w:val="7C2366FD"/>
    <w:rsid w:val="7C296138"/>
    <w:rsid w:val="7C2F48EF"/>
    <w:rsid w:val="7C374CF9"/>
    <w:rsid w:val="7C3A20F4"/>
    <w:rsid w:val="7C3C5E6C"/>
    <w:rsid w:val="7C3E517F"/>
    <w:rsid w:val="7C413482"/>
    <w:rsid w:val="7C4371FA"/>
    <w:rsid w:val="7C4A67DB"/>
    <w:rsid w:val="7C7A4BE6"/>
    <w:rsid w:val="7C8021FC"/>
    <w:rsid w:val="7C86358B"/>
    <w:rsid w:val="7C8B294F"/>
    <w:rsid w:val="7C8E41ED"/>
    <w:rsid w:val="7C9573B2"/>
    <w:rsid w:val="7CAF2AE1"/>
    <w:rsid w:val="7CC12815"/>
    <w:rsid w:val="7CCF0A8E"/>
    <w:rsid w:val="7CD10CAA"/>
    <w:rsid w:val="7CD442F6"/>
    <w:rsid w:val="7CD51E1C"/>
    <w:rsid w:val="7D056BA5"/>
    <w:rsid w:val="7D0C34C4"/>
    <w:rsid w:val="7D0E5A5A"/>
    <w:rsid w:val="7D1110A6"/>
    <w:rsid w:val="7D1F7C67"/>
    <w:rsid w:val="7D292894"/>
    <w:rsid w:val="7D31799A"/>
    <w:rsid w:val="7D344D95"/>
    <w:rsid w:val="7D360B0D"/>
    <w:rsid w:val="7D384885"/>
    <w:rsid w:val="7D3D00ED"/>
    <w:rsid w:val="7D4476CE"/>
    <w:rsid w:val="7D666DDE"/>
    <w:rsid w:val="7D6F5181"/>
    <w:rsid w:val="7D747887"/>
    <w:rsid w:val="7D7D79ED"/>
    <w:rsid w:val="7D7F0706"/>
    <w:rsid w:val="7D847ACA"/>
    <w:rsid w:val="7D8C4BD1"/>
    <w:rsid w:val="7D8E6B9B"/>
    <w:rsid w:val="7D9C12B8"/>
    <w:rsid w:val="7D9D6DDE"/>
    <w:rsid w:val="7D9F2B56"/>
    <w:rsid w:val="7DA0067C"/>
    <w:rsid w:val="7DA22646"/>
    <w:rsid w:val="7DA939D5"/>
    <w:rsid w:val="7DAE0FEB"/>
    <w:rsid w:val="7DB06B11"/>
    <w:rsid w:val="7DB36601"/>
    <w:rsid w:val="7DC223A1"/>
    <w:rsid w:val="7DC413B1"/>
    <w:rsid w:val="7DC600E3"/>
    <w:rsid w:val="7DD32800"/>
    <w:rsid w:val="7DD83452"/>
    <w:rsid w:val="7DD86068"/>
    <w:rsid w:val="7DDA3B8E"/>
    <w:rsid w:val="7DDB16B4"/>
    <w:rsid w:val="7DDD71DA"/>
    <w:rsid w:val="7DDF6300"/>
    <w:rsid w:val="7DDF73F6"/>
    <w:rsid w:val="7DEE7D58"/>
    <w:rsid w:val="7E0806FB"/>
    <w:rsid w:val="7E096221"/>
    <w:rsid w:val="7E0C070F"/>
    <w:rsid w:val="7E130E4E"/>
    <w:rsid w:val="7E186464"/>
    <w:rsid w:val="7E355268"/>
    <w:rsid w:val="7E3D748B"/>
    <w:rsid w:val="7E490D14"/>
    <w:rsid w:val="7E4B05E8"/>
    <w:rsid w:val="7E617E0B"/>
    <w:rsid w:val="7E694F12"/>
    <w:rsid w:val="7E7C4C45"/>
    <w:rsid w:val="7E7F64E4"/>
    <w:rsid w:val="7E861620"/>
    <w:rsid w:val="7E924469"/>
    <w:rsid w:val="7E955D07"/>
    <w:rsid w:val="7E991353"/>
    <w:rsid w:val="7EA36676"/>
    <w:rsid w:val="7EA47CF8"/>
    <w:rsid w:val="7EAA17B2"/>
    <w:rsid w:val="7EB10D93"/>
    <w:rsid w:val="7EB77A2B"/>
    <w:rsid w:val="7EB80BC2"/>
    <w:rsid w:val="7EC42148"/>
    <w:rsid w:val="7EC65EC0"/>
    <w:rsid w:val="7ECF1219"/>
    <w:rsid w:val="7ED06D3F"/>
    <w:rsid w:val="7ED625A7"/>
    <w:rsid w:val="7EDB7BBE"/>
    <w:rsid w:val="7EE277E1"/>
    <w:rsid w:val="7EEA7E01"/>
    <w:rsid w:val="7EEF5417"/>
    <w:rsid w:val="7EF02F3D"/>
    <w:rsid w:val="7EFE565A"/>
    <w:rsid w:val="7F0013D2"/>
    <w:rsid w:val="7F0C421B"/>
    <w:rsid w:val="7F111831"/>
    <w:rsid w:val="7F192494"/>
    <w:rsid w:val="7F2826D7"/>
    <w:rsid w:val="7F2C0419"/>
    <w:rsid w:val="7F3217A8"/>
    <w:rsid w:val="7F345520"/>
    <w:rsid w:val="7F3948E4"/>
    <w:rsid w:val="7F3E1EFB"/>
    <w:rsid w:val="7F4A6AF1"/>
    <w:rsid w:val="7F5C0499"/>
    <w:rsid w:val="7F610C44"/>
    <w:rsid w:val="7F800765"/>
    <w:rsid w:val="7F8244DD"/>
    <w:rsid w:val="7F8D0ACE"/>
    <w:rsid w:val="7F952435"/>
    <w:rsid w:val="7FA501CC"/>
    <w:rsid w:val="7FAA7590"/>
    <w:rsid w:val="7FAC3308"/>
    <w:rsid w:val="7FB126CD"/>
    <w:rsid w:val="7FC56178"/>
    <w:rsid w:val="7FC76394"/>
    <w:rsid w:val="7FC93EBA"/>
    <w:rsid w:val="7FCE14D1"/>
    <w:rsid w:val="7FD10FC1"/>
    <w:rsid w:val="7FDE37F0"/>
    <w:rsid w:val="7FEE1B73"/>
    <w:rsid w:val="7FFB7DEC"/>
    <w:rsid w:val="7FFD1DB6"/>
    <w:rsid w:val="7FFD3B64"/>
    <w:rsid w:val="7FFF5B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9"/>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60"/>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61"/>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2"/>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2">
    <w:name w:val="heading 5"/>
    <w:basedOn w:val="1"/>
    <w:next w:val="1"/>
    <w:link w:val="63"/>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7">
    <w:name w:val="heading 6"/>
    <w:basedOn w:val="1"/>
    <w:next w:val="8"/>
    <w:link w:val="64"/>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8"/>
    <w:link w:val="65"/>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8"/>
    <w:link w:val="66"/>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8"/>
    <w:link w:val="67"/>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131"/>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69"/>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0"/>
    <w:autoRedefine/>
    <w:semiHidden/>
    <w:qFormat/>
    <w:uiPriority w:val="99"/>
    <w:pPr>
      <w:jc w:val="left"/>
    </w:pPr>
    <w:rPr>
      <w:rFonts w:ascii="Calibri" w:hAnsi="Calibri" w:cs="Calibri"/>
    </w:rPr>
  </w:style>
  <w:style w:type="paragraph" w:styleId="17">
    <w:name w:val="Body Text 3"/>
    <w:basedOn w:val="1"/>
    <w:link w:val="71"/>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9"/>
    <w:link w:val="72"/>
    <w:autoRedefine/>
    <w:qFormat/>
    <w:uiPriority w:val="99"/>
    <w:pPr>
      <w:spacing w:after="120"/>
    </w:pPr>
    <w:rPr>
      <w:rFonts w:ascii="Calibri" w:hAnsi="Calibri" w:cs="Calibri"/>
      <w:sz w:val="28"/>
      <w:szCs w:val="28"/>
    </w:rPr>
  </w:style>
  <w:style w:type="paragraph" w:styleId="19">
    <w:name w:val="Body Text First Indent"/>
    <w:basedOn w:val="18"/>
    <w:next w:val="20"/>
    <w:link w:val="86"/>
    <w:autoRedefine/>
    <w:qFormat/>
    <w:uiPriority w:val="99"/>
    <w:pPr>
      <w:ind w:firstLine="420" w:firstLineChars="100"/>
    </w:pPr>
    <w:rPr>
      <w:sz w:val="21"/>
      <w:szCs w:val="21"/>
    </w:rPr>
  </w:style>
  <w:style w:type="paragraph" w:styleId="20">
    <w:name w:val="toc 6"/>
    <w:basedOn w:val="1"/>
    <w:next w:val="1"/>
    <w:autoRedefine/>
    <w:semiHidden/>
    <w:qFormat/>
    <w:uiPriority w:val="99"/>
    <w:pPr>
      <w:ind w:left="1050"/>
      <w:jc w:val="left"/>
    </w:pPr>
    <w:rPr>
      <w:sz w:val="18"/>
      <w:szCs w:val="18"/>
    </w:rPr>
  </w:style>
  <w:style w:type="paragraph" w:styleId="21">
    <w:name w:val="Body Text Indent"/>
    <w:basedOn w:val="1"/>
    <w:link w:val="73"/>
    <w:autoRedefine/>
    <w:qFormat/>
    <w:uiPriority w:val="99"/>
    <w:pPr>
      <w:spacing w:line="200" w:lineRule="exact"/>
      <w:ind w:firstLine="301"/>
    </w:pPr>
    <w:rPr>
      <w:rFonts w:ascii="宋体" w:hAnsi="Courier New" w:cs="宋体"/>
      <w:spacing w:val="-4"/>
      <w:sz w:val="18"/>
      <w:szCs w:val="18"/>
    </w:rPr>
  </w:style>
  <w:style w:type="paragraph" w:styleId="22">
    <w:name w:val="List Number 3"/>
    <w:basedOn w:val="1"/>
    <w:autoRedefine/>
    <w:qFormat/>
    <w:uiPriority w:val="99"/>
    <w:pPr>
      <w:tabs>
        <w:tab w:val="left" w:pos="1200"/>
      </w:tabs>
      <w:ind w:left="1200" w:hanging="360"/>
    </w:pPr>
  </w:style>
  <w:style w:type="paragraph" w:styleId="23">
    <w:name w:val="List 2"/>
    <w:basedOn w:val="1"/>
    <w:autoRedefine/>
    <w:qFormat/>
    <w:uiPriority w:val="99"/>
    <w:pPr>
      <w:ind w:left="100" w:leftChars="200" w:hanging="200" w:hangingChars="200"/>
    </w:pPr>
    <w:rPr>
      <w:sz w:val="28"/>
      <w:szCs w:val="28"/>
    </w:rPr>
  </w:style>
  <w:style w:type="paragraph" w:styleId="24">
    <w:name w:val="toc 5"/>
    <w:basedOn w:val="1"/>
    <w:next w:val="1"/>
    <w:autoRedefine/>
    <w:semiHidden/>
    <w:qFormat/>
    <w:uiPriority w:val="99"/>
    <w:pPr>
      <w:ind w:left="840"/>
      <w:jc w:val="left"/>
    </w:pPr>
    <w:rPr>
      <w:sz w:val="18"/>
      <w:szCs w:val="18"/>
    </w:rPr>
  </w:style>
  <w:style w:type="paragraph" w:styleId="25">
    <w:name w:val="toc 3"/>
    <w:basedOn w:val="1"/>
    <w:next w:val="1"/>
    <w:autoRedefine/>
    <w:semiHidden/>
    <w:qFormat/>
    <w:uiPriority w:val="99"/>
    <w:pPr>
      <w:ind w:left="420"/>
      <w:jc w:val="left"/>
    </w:pPr>
    <w:rPr>
      <w:i/>
      <w:iCs/>
      <w:sz w:val="20"/>
      <w:szCs w:val="20"/>
    </w:rPr>
  </w:style>
  <w:style w:type="paragraph" w:styleId="26">
    <w:name w:val="Plain Text"/>
    <w:basedOn w:val="1"/>
    <w:link w:val="116"/>
    <w:autoRedefine/>
    <w:qFormat/>
    <w:uiPriority w:val="99"/>
    <w:pPr>
      <w:spacing w:beforeLines="50" w:afterLines="50" w:line="400" w:lineRule="exact"/>
    </w:pPr>
    <w:rPr>
      <w:rFonts w:ascii="宋体" w:hAnsi="Courier New" w:cs="宋体"/>
      <w:sz w:val="24"/>
      <w:szCs w:val="24"/>
    </w:rPr>
  </w:style>
  <w:style w:type="paragraph" w:styleId="27">
    <w:name w:val="toc 8"/>
    <w:basedOn w:val="1"/>
    <w:next w:val="1"/>
    <w:autoRedefine/>
    <w:semiHidden/>
    <w:qFormat/>
    <w:uiPriority w:val="99"/>
    <w:pPr>
      <w:ind w:left="1470"/>
      <w:jc w:val="left"/>
    </w:pPr>
    <w:rPr>
      <w:sz w:val="18"/>
      <w:szCs w:val="18"/>
    </w:rPr>
  </w:style>
  <w:style w:type="paragraph" w:styleId="28">
    <w:name w:val="Date"/>
    <w:basedOn w:val="1"/>
    <w:next w:val="1"/>
    <w:link w:val="74"/>
    <w:autoRedefine/>
    <w:qFormat/>
    <w:uiPriority w:val="99"/>
    <w:pPr>
      <w:ind w:left="2500" w:leftChars="2500"/>
    </w:pPr>
    <w:rPr>
      <w:rFonts w:ascii="Calibri" w:hAnsi="Calibri" w:eastAsia="楷体_GB2312" w:cs="Calibri"/>
      <w:sz w:val="32"/>
      <w:szCs w:val="32"/>
    </w:rPr>
  </w:style>
  <w:style w:type="paragraph" w:styleId="29">
    <w:name w:val="Body Text Indent 2"/>
    <w:basedOn w:val="1"/>
    <w:link w:val="75"/>
    <w:autoRedefine/>
    <w:qFormat/>
    <w:uiPriority w:val="99"/>
    <w:pPr>
      <w:snapToGrid w:val="0"/>
      <w:ind w:firstLine="542" w:firstLineChars="225"/>
    </w:pPr>
    <w:rPr>
      <w:rFonts w:ascii="仿宋_GB2312" w:hAnsi="宋体" w:cs="仿宋_GB2312"/>
      <w:b/>
      <w:bCs/>
      <w:color w:val="000000"/>
      <w:sz w:val="24"/>
      <w:szCs w:val="24"/>
    </w:rPr>
  </w:style>
  <w:style w:type="paragraph" w:styleId="30">
    <w:name w:val="endnote text"/>
    <w:basedOn w:val="1"/>
    <w:link w:val="76"/>
    <w:autoRedefine/>
    <w:semiHidden/>
    <w:qFormat/>
    <w:uiPriority w:val="99"/>
    <w:pPr>
      <w:snapToGrid w:val="0"/>
      <w:jc w:val="left"/>
    </w:pPr>
    <w:rPr>
      <w:rFonts w:ascii="Calibri" w:hAnsi="Calibri" w:cs="Calibri"/>
    </w:rPr>
  </w:style>
  <w:style w:type="paragraph" w:styleId="31">
    <w:name w:val="Balloon Text"/>
    <w:basedOn w:val="1"/>
    <w:link w:val="77"/>
    <w:autoRedefine/>
    <w:semiHidden/>
    <w:qFormat/>
    <w:uiPriority w:val="99"/>
    <w:rPr>
      <w:rFonts w:ascii="Calibri" w:hAnsi="Calibri" w:cs="Calibri"/>
      <w:sz w:val="18"/>
      <w:szCs w:val="18"/>
    </w:rPr>
  </w:style>
  <w:style w:type="paragraph" w:styleId="32">
    <w:name w:val="footer"/>
    <w:basedOn w:val="1"/>
    <w:link w:val="78"/>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3">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4">
    <w:name w:val="header"/>
    <w:basedOn w:val="1"/>
    <w:link w:val="79"/>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5">
    <w:name w:val="toc 1"/>
    <w:basedOn w:val="1"/>
    <w:next w:val="1"/>
    <w:autoRedefine/>
    <w:semiHidden/>
    <w:qFormat/>
    <w:uiPriority w:val="99"/>
  </w:style>
  <w:style w:type="paragraph" w:styleId="36">
    <w:name w:val="toc 4"/>
    <w:basedOn w:val="1"/>
    <w:next w:val="1"/>
    <w:autoRedefine/>
    <w:semiHidden/>
    <w:qFormat/>
    <w:uiPriority w:val="99"/>
    <w:pPr>
      <w:ind w:left="630"/>
      <w:jc w:val="left"/>
    </w:pPr>
    <w:rPr>
      <w:sz w:val="18"/>
      <w:szCs w:val="18"/>
    </w:rPr>
  </w:style>
  <w:style w:type="paragraph" w:styleId="37">
    <w:name w:val="Subtitle"/>
    <w:basedOn w:val="1"/>
    <w:next w:val="1"/>
    <w:link w:val="80"/>
    <w:autoRedefine/>
    <w:qFormat/>
    <w:uiPriority w:val="99"/>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rPr>
      <w:sz w:val="28"/>
      <w:szCs w:val="28"/>
    </w:rPr>
  </w:style>
  <w:style w:type="paragraph" w:styleId="39">
    <w:name w:val="footnote text"/>
    <w:basedOn w:val="1"/>
    <w:link w:val="81"/>
    <w:autoRedefine/>
    <w:semiHidden/>
    <w:qFormat/>
    <w:uiPriority w:val="99"/>
    <w:pPr>
      <w:snapToGrid w:val="0"/>
      <w:jc w:val="left"/>
    </w:pPr>
    <w:rPr>
      <w:rFonts w:ascii="Calibri" w:hAnsi="Calibri" w:cs="Calibri"/>
      <w:sz w:val="18"/>
      <w:szCs w:val="18"/>
    </w:rPr>
  </w:style>
  <w:style w:type="paragraph" w:styleId="40">
    <w:name w:val="Body Text Indent 3"/>
    <w:basedOn w:val="1"/>
    <w:link w:val="82"/>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autoRedefine/>
    <w:semiHidden/>
    <w:qFormat/>
    <w:uiPriority w:val="99"/>
    <w:pPr>
      <w:ind w:left="210"/>
      <w:jc w:val="left"/>
    </w:pPr>
    <w:rPr>
      <w:smallCaps/>
      <w:sz w:val="20"/>
      <w:szCs w:val="20"/>
    </w:rPr>
  </w:style>
  <w:style w:type="paragraph" w:styleId="42">
    <w:name w:val="toc 9"/>
    <w:basedOn w:val="1"/>
    <w:next w:val="1"/>
    <w:autoRedefine/>
    <w:semiHidden/>
    <w:qFormat/>
    <w:uiPriority w:val="99"/>
    <w:pPr>
      <w:ind w:left="1680"/>
      <w:jc w:val="left"/>
    </w:pPr>
    <w:rPr>
      <w:sz w:val="18"/>
      <w:szCs w:val="18"/>
    </w:rPr>
  </w:style>
  <w:style w:type="paragraph" w:styleId="43">
    <w:name w:val="Body Text 2"/>
    <w:basedOn w:val="1"/>
    <w:link w:val="83"/>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szCs w:val="24"/>
    </w:rPr>
  </w:style>
  <w:style w:type="paragraph" w:styleId="45">
    <w:name w:val="Title"/>
    <w:basedOn w:val="1"/>
    <w:next w:val="1"/>
    <w:link w:val="84"/>
    <w:autoRedefine/>
    <w:qFormat/>
    <w:uiPriority w:val="10"/>
    <w:pPr>
      <w:spacing w:before="240" w:after="60"/>
      <w:jc w:val="center"/>
      <w:outlineLvl w:val="0"/>
    </w:pPr>
    <w:rPr>
      <w:rFonts w:ascii="Cambria" w:hAnsi="Cambria" w:cs="Cambria"/>
      <w:b/>
      <w:bCs/>
      <w:sz w:val="32"/>
      <w:szCs w:val="32"/>
    </w:rPr>
  </w:style>
  <w:style w:type="paragraph" w:styleId="46">
    <w:name w:val="annotation subject"/>
    <w:basedOn w:val="16"/>
    <w:next w:val="16"/>
    <w:link w:val="85"/>
    <w:autoRedefine/>
    <w:semiHidden/>
    <w:qFormat/>
    <w:uiPriority w:val="99"/>
    <w:rPr>
      <w:b/>
      <w:bCs/>
    </w:rPr>
  </w:style>
  <w:style w:type="paragraph" w:styleId="47">
    <w:name w:val="Body Text First Indent 2"/>
    <w:basedOn w:val="21"/>
    <w:next w:val="1"/>
    <w:link w:val="87"/>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b/>
      <w:bCs/>
    </w:rPr>
  </w:style>
  <w:style w:type="character" w:styleId="52">
    <w:name w:val="page number"/>
    <w:basedOn w:val="50"/>
    <w:autoRedefine/>
    <w:qFormat/>
    <w:uiPriority w:val="99"/>
  </w:style>
  <w:style w:type="character" w:styleId="53">
    <w:name w:val="FollowedHyperlink"/>
    <w:basedOn w:val="50"/>
    <w:autoRedefine/>
    <w:qFormat/>
    <w:uiPriority w:val="99"/>
    <w:rPr>
      <w:color w:val="800080"/>
      <w:u w:val="single"/>
    </w:rPr>
  </w:style>
  <w:style w:type="character" w:styleId="54">
    <w:name w:val="Emphasis"/>
    <w:basedOn w:val="50"/>
    <w:autoRedefine/>
    <w:qFormat/>
    <w:uiPriority w:val="99"/>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semiHidden/>
    <w:qFormat/>
    <w:uiPriority w:val="99"/>
    <w:rPr>
      <w:sz w:val="21"/>
      <w:szCs w:val="21"/>
    </w:rPr>
  </w:style>
  <w:style w:type="paragraph" w:customStyle="1" w:styleId="57">
    <w:name w:val="UserStyle_0"/>
    <w:basedOn w:val="1"/>
    <w:autoRedefine/>
    <w:qFormat/>
    <w:uiPriority w:val="0"/>
    <w:pPr>
      <w:spacing w:line="360" w:lineRule="auto"/>
      <w:ind w:firstLine="361"/>
    </w:pPr>
    <w:rPr>
      <w:rFonts w:ascii="宋体" w:hAnsi="宋体"/>
    </w:rPr>
  </w:style>
  <w:style w:type="paragraph" w:customStyle="1" w:styleId="58">
    <w:name w:val="样式3"/>
    <w:basedOn w:val="26"/>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Char"/>
    <w:basedOn w:val="50"/>
    <w:link w:val="3"/>
    <w:autoRedefine/>
    <w:qFormat/>
    <w:locked/>
    <w:uiPriority w:val="99"/>
    <w:rPr>
      <w:rFonts w:hAnsi="宋体"/>
      <w:b/>
      <w:bCs/>
      <w:color w:val="000000"/>
      <w:kern w:val="2"/>
      <w:sz w:val="30"/>
      <w:szCs w:val="30"/>
    </w:rPr>
  </w:style>
  <w:style w:type="character" w:customStyle="1" w:styleId="60">
    <w:name w:val="标题 2 Char"/>
    <w:basedOn w:val="50"/>
    <w:link w:val="4"/>
    <w:autoRedefine/>
    <w:qFormat/>
    <w:locked/>
    <w:uiPriority w:val="99"/>
    <w:rPr>
      <w:rFonts w:ascii="Arial" w:hAnsi="Arial" w:eastAsia="黑体" w:cs="Arial"/>
      <w:b/>
      <w:bCs/>
      <w:kern w:val="2"/>
      <w:sz w:val="32"/>
      <w:szCs w:val="32"/>
    </w:rPr>
  </w:style>
  <w:style w:type="character" w:customStyle="1" w:styleId="61">
    <w:name w:val="标题 3 Char"/>
    <w:basedOn w:val="50"/>
    <w:link w:val="5"/>
    <w:autoRedefine/>
    <w:qFormat/>
    <w:locked/>
    <w:uiPriority w:val="99"/>
    <w:rPr>
      <w:b/>
      <w:bCs/>
      <w:sz w:val="32"/>
      <w:szCs w:val="32"/>
    </w:rPr>
  </w:style>
  <w:style w:type="character" w:customStyle="1" w:styleId="62">
    <w:name w:val="标题 4 Char"/>
    <w:basedOn w:val="50"/>
    <w:link w:val="6"/>
    <w:autoRedefine/>
    <w:qFormat/>
    <w:locked/>
    <w:uiPriority w:val="99"/>
    <w:rPr>
      <w:rFonts w:ascii="Arial" w:hAnsi="Arial" w:eastAsia="黑体" w:cs="Arial"/>
      <w:b/>
      <w:bCs/>
      <w:kern w:val="2"/>
      <w:sz w:val="28"/>
      <w:szCs w:val="28"/>
    </w:rPr>
  </w:style>
  <w:style w:type="character" w:customStyle="1" w:styleId="63">
    <w:name w:val="标题 5 Char"/>
    <w:basedOn w:val="50"/>
    <w:link w:val="2"/>
    <w:autoRedefine/>
    <w:qFormat/>
    <w:locked/>
    <w:uiPriority w:val="99"/>
    <w:rPr>
      <w:rFonts w:ascii="Calibri" w:hAnsi="Calibri" w:cs="Calibri"/>
      <w:b/>
      <w:bCs/>
      <w:sz w:val="28"/>
      <w:szCs w:val="28"/>
    </w:rPr>
  </w:style>
  <w:style w:type="character" w:customStyle="1" w:styleId="64">
    <w:name w:val="标题 6 Char"/>
    <w:basedOn w:val="50"/>
    <w:link w:val="7"/>
    <w:autoRedefine/>
    <w:qFormat/>
    <w:locked/>
    <w:uiPriority w:val="99"/>
    <w:rPr>
      <w:rFonts w:ascii="Arial" w:hAnsi="Arial" w:eastAsia="黑体" w:cs="Arial"/>
      <w:b/>
      <w:bCs/>
      <w:sz w:val="24"/>
      <w:szCs w:val="24"/>
    </w:rPr>
  </w:style>
  <w:style w:type="character" w:customStyle="1" w:styleId="65">
    <w:name w:val="标题 7 Char"/>
    <w:basedOn w:val="50"/>
    <w:link w:val="9"/>
    <w:autoRedefine/>
    <w:qFormat/>
    <w:locked/>
    <w:uiPriority w:val="99"/>
    <w:rPr>
      <w:rFonts w:ascii="Calibri" w:hAnsi="Calibri" w:cs="Calibri"/>
      <w:b/>
      <w:bCs/>
      <w:sz w:val="24"/>
      <w:szCs w:val="24"/>
    </w:rPr>
  </w:style>
  <w:style w:type="character" w:customStyle="1" w:styleId="66">
    <w:name w:val="标题 8 Char"/>
    <w:basedOn w:val="50"/>
    <w:link w:val="10"/>
    <w:autoRedefine/>
    <w:qFormat/>
    <w:locked/>
    <w:uiPriority w:val="99"/>
    <w:rPr>
      <w:rFonts w:ascii="Arial" w:hAnsi="Arial" w:eastAsia="黑体" w:cs="Arial"/>
      <w:sz w:val="24"/>
      <w:szCs w:val="24"/>
    </w:rPr>
  </w:style>
  <w:style w:type="character" w:customStyle="1" w:styleId="67">
    <w:name w:val="标题 9 Char"/>
    <w:basedOn w:val="50"/>
    <w:link w:val="11"/>
    <w:autoRedefine/>
    <w:qFormat/>
    <w:locked/>
    <w:uiPriority w:val="99"/>
    <w:rPr>
      <w:rFonts w:ascii="Arial" w:hAnsi="Arial" w:eastAsia="黑体" w:cs="Arial"/>
      <w:szCs w:val="21"/>
    </w:rPr>
  </w:style>
  <w:style w:type="character" w:customStyle="1" w:styleId="68">
    <w:name w:val="Plain Text Char"/>
    <w:basedOn w:val="50"/>
    <w:autoRedefine/>
    <w:qFormat/>
    <w:locked/>
    <w:uiPriority w:val="99"/>
    <w:rPr>
      <w:rFonts w:ascii="宋体" w:hAnsi="Courier New" w:eastAsia="宋体" w:cs="宋体"/>
      <w:sz w:val="21"/>
      <w:szCs w:val="21"/>
    </w:rPr>
  </w:style>
  <w:style w:type="character" w:customStyle="1" w:styleId="69">
    <w:name w:val="文档结构图 Char"/>
    <w:basedOn w:val="50"/>
    <w:link w:val="15"/>
    <w:autoRedefine/>
    <w:qFormat/>
    <w:locked/>
    <w:uiPriority w:val="99"/>
    <w:rPr>
      <w:kern w:val="2"/>
      <w:sz w:val="24"/>
      <w:szCs w:val="24"/>
      <w:shd w:val="clear" w:color="auto" w:fill="000080"/>
    </w:rPr>
  </w:style>
  <w:style w:type="character" w:customStyle="1" w:styleId="70">
    <w:name w:val="批注文字 Char"/>
    <w:basedOn w:val="50"/>
    <w:link w:val="16"/>
    <w:autoRedefine/>
    <w:qFormat/>
    <w:locked/>
    <w:uiPriority w:val="99"/>
    <w:rPr>
      <w:kern w:val="2"/>
      <w:sz w:val="24"/>
      <w:szCs w:val="24"/>
    </w:rPr>
  </w:style>
  <w:style w:type="character" w:customStyle="1" w:styleId="71">
    <w:name w:val="正文文本 3 Char"/>
    <w:basedOn w:val="50"/>
    <w:link w:val="17"/>
    <w:autoRedefine/>
    <w:qFormat/>
    <w:locked/>
    <w:uiPriority w:val="99"/>
    <w:rPr>
      <w:rFonts w:hAnsi="宋体" w:eastAsia="仿宋_GB2312"/>
      <w:b/>
      <w:bCs/>
      <w:kern w:val="2"/>
      <w:sz w:val="24"/>
      <w:szCs w:val="24"/>
    </w:rPr>
  </w:style>
  <w:style w:type="character" w:customStyle="1" w:styleId="72">
    <w:name w:val="正文文本 Char1"/>
    <w:basedOn w:val="50"/>
    <w:link w:val="18"/>
    <w:autoRedefine/>
    <w:qFormat/>
    <w:locked/>
    <w:uiPriority w:val="99"/>
    <w:rPr>
      <w:kern w:val="2"/>
      <w:sz w:val="24"/>
      <w:szCs w:val="24"/>
    </w:rPr>
  </w:style>
  <w:style w:type="character" w:customStyle="1" w:styleId="73">
    <w:name w:val="正文文本缩进 Char"/>
    <w:basedOn w:val="50"/>
    <w:link w:val="21"/>
    <w:autoRedefine/>
    <w:qFormat/>
    <w:locked/>
    <w:uiPriority w:val="99"/>
    <w:rPr>
      <w:rFonts w:ascii="宋体" w:hAnsi="Courier New" w:cs="宋体"/>
      <w:spacing w:val="-4"/>
      <w:kern w:val="2"/>
      <w:sz w:val="18"/>
      <w:szCs w:val="18"/>
    </w:rPr>
  </w:style>
  <w:style w:type="character" w:customStyle="1" w:styleId="74">
    <w:name w:val="日期 Char"/>
    <w:basedOn w:val="50"/>
    <w:link w:val="28"/>
    <w:autoRedefine/>
    <w:qFormat/>
    <w:locked/>
    <w:uiPriority w:val="99"/>
    <w:rPr>
      <w:rFonts w:eastAsia="楷体_GB2312"/>
      <w:kern w:val="2"/>
      <w:sz w:val="32"/>
      <w:szCs w:val="32"/>
    </w:rPr>
  </w:style>
  <w:style w:type="character" w:customStyle="1" w:styleId="75">
    <w:name w:val="正文文本缩进 2 Char"/>
    <w:basedOn w:val="50"/>
    <w:link w:val="29"/>
    <w:autoRedefine/>
    <w:qFormat/>
    <w:locked/>
    <w:uiPriority w:val="99"/>
    <w:rPr>
      <w:rFonts w:ascii="仿宋_GB2312" w:hAnsi="宋体" w:cs="仿宋_GB2312"/>
      <w:b/>
      <w:bCs/>
      <w:color w:val="000000"/>
      <w:kern w:val="2"/>
      <w:sz w:val="24"/>
      <w:szCs w:val="24"/>
    </w:rPr>
  </w:style>
  <w:style w:type="character" w:customStyle="1" w:styleId="76">
    <w:name w:val="尾注文本 Char"/>
    <w:basedOn w:val="50"/>
    <w:link w:val="30"/>
    <w:autoRedefine/>
    <w:qFormat/>
    <w:locked/>
    <w:uiPriority w:val="99"/>
    <w:rPr>
      <w:kern w:val="2"/>
      <w:sz w:val="24"/>
      <w:szCs w:val="24"/>
    </w:rPr>
  </w:style>
  <w:style w:type="character" w:customStyle="1" w:styleId="77">
    <w:name w:val="批注框文本 Char"/>
    <w:basedOn w:val="50"/>
    <w:link w:val="31"/>
    <w:autoRedefine/>
    <w:qFormat/>
    <w:locked/>
    <w:uiPriority w:val="99"/>
    <w:rPr>
      <w:kern w:val="2"/>
      <w:sz w:val="18"/>
      <w:szCs w:val="18"/>
    </w:rPr>
  </w:style>
  <w:style w:type="character" w:customStyle="1" w:styleId="78">
    <w:name w:val="页脚 Char"/>
    <w:basedOn w:val="50"/>
    <w:link w:val="32"/>
    <w:autoRedefine/>
    <w:qFormat/>
    <w:locked/>
    <w:uiPriority w:val="99"/>
    <w:rPr>
      <w:rFonts w:eastAsia="黑体"/>
      <w:snapToGrid w:val="0"/>
      <w:sz w:val="18"/>
      <w:szCs w:val="18"/>
      <w:lang w:val="en-US" w:eastAsia="zh-CN"/>
    </w:rPr>
  </w:style>
  <w:style w:type="character" w:customStyle="1" w:styleId="79">
    <w:name w:val="页眉 Char"/>
    <w:basedOn w:val="50"/>
    <w:link w:val="34"/>
    <w:autoRedefine/>
    <w:qFormat/>
    <w:locked/>
    <w:uiPriority w:val="99"/>
    <w:rPr>
      <w:rFonts w:eastAsia="仿宋_GB2312"/>
      <w:kern w:val="2"/>
      <w:sz w:val="18"/>
      <w:szCs w:val="18"/>
    </w:rPr>
  </w:style>
  <w:style w:type="character" w:customStyle="1" w:styleId="80">
    <w:name w:val="副标题 Char"/>
    <w:basedOn w:val="50"/>
    <w:link w:val="37"/>
    <w:autoRedefine/>
    <w:qFormat/>
    <w:locked/>
    <w:uiPriority w:val="99"/>
    <w:rPr>
      <w:rFonts w:ascii="Cambria" w:hAnsi="Cambria" w:cs="Cambria"/>
      <w:b/>
      <w:bCs/>
      <w:kern w:val="28"/>
      <w:sz w:val="32"/>
      <w:szCs w:val="32"/>
    </w:rPr>
  </w:style>
  <w:style w:type="character" w:customStyle="1" w:styleId="81">
    <w:name w:val="脚注文本 Char"/>
    <w:basedOn w:val="50"/>
    <w:link w:val="39"/>
    <w:autoRedefine/>
    <w:qFormat/>
    <w:locked/>
    <w:uiPriority w:val="99"/>
    <w:rPr>
      <w:kern w:val="2"/>
      <w:sz w:val="18"/>
      <w:szCs w:val="18"/>
    </w:rPr>
  </w:style>
  <w:style w:type="character" w:customStyle="1" w:styleId="82">
    <w:name w:val="正文文本缩进 3 Char"/>
    <w:basedOn w:val="50"/>
    <w:link w:val="40"/>
    <w:autoRedefine/>
    <w:qFormat/>
    <w:locked/>
    <w:uiPriority w:val="99"/>
    <w:rPr>
      <w:rFonts w:ascii="仿宋_GB2312" w:hAnsi="宋体" w:eastAsia="仿宋_GB2312" w:cs="仿宋_GB2312"/>
      <w:color w:val="000000"/>
      <w:kern w:val="2"/>
      <w:sz w:val="24"/>
      <w:szCs w:val="24"/>
    </w:rPr>
  </w:style>
  <w:style w:type="character" w:customStyle="1" w:styleId="83">
    <w:name w:val="正文文本 2 Char"/>
    <w:basedOn w:val="50"/>
    <w:link w:val="43"/>
    <w:autoRedefine/>
    <w:qFormat/>
    <w:locked/>
    <w:uiPriority w:val="99"/>
    <w:rPr>
      <w:rFonts w:ascii="宋体" w:eastAsia="宋体" w:cs="宋体"/>
      <w:color w:val="000000"/>
      <w:kern w:val="2"/>
      <w:sz w:val="24"/>
      <w:szCs w:val="24"/>
    </w:rPr>
  </w:style>
  <w:style w:type="character" w:customStyle="1" w:styleId="84">
    <w:name w:val="标题 Char"/>
    <w:basedOn w:val="50"/>
    <w:link w:val="45"/>
    <w:autoRedefine/>
    <w:qFormat/>
    <w:locked/>
    <w:uiPriority w:val="10"/>
    <w:rPr>
      <w:rFonts w:ascii="Cambria" w:hAnsi="Cambria" w:cs="Cambria"/>
      <w:b/>
      <w:bCs/>
      <w:kern w:val="2"/>
      <w:sz w:val="32"/>
      <w:szCs w:val="32"/>
    </w:rPr>
  </w:style>
  <w:style w:type="character" w:customStyle="1" w:styleId="85">
    <w:name w:val="批注主题 Char"/>
    <w:basedOn w:val="70"/>
    <w:link w:val="46"/>
    <w:autoRedefine/>
    <w:qFormat/>
    <w:locked/>
    <w:uiPriority w:val="99"/>
    <w:rPr>
      <w:b/>
      <w:bCs/>
      <w:kern w:val="2"/>
      <w:sz w:val="24"/>
      <w:szCs w:val="24"/>
    </w:rPr>
  </w:style>
  <w:style w:type="character" w:customStyle="1" w:styleId="86">
    <w:name w:val="正文首行缩进 Char1"/>
    <w:basedOn w:val="72"/>
    <w:link w:val="19"/>
    <w:autoRedefine/>
    <w:qFormat/>
    <w:locked/>
    <w:uiPriority w:val="99"/>
    <w:rPr>
      <w:kern w:val="2"/>
      <w:sz w:val="24"/>
      <w:szCs w:val="24"/>
    </w:rPr>
  </w:style>
  <w:style w:type="character" w:customStyle="1" w:styleId="87">
    <w:name w:val="正文首行缩进 2 Char"/>
    <w:basedOn w:val="73"/>
    <w:link w:val="47"/>
    <w:autoRedefine/>
    <w:qFormat/>
    <w:locked/>
    <w:uiPriority w:val="99"/>
    <w:rPr>
      <w:rFonts w:ascii="宋体" w:hAnsi="Courier New" w:cs="宋体"/>
      <w:spacing w:val="-4"/>
      <w:kern w:val="2"/>
      <w:sz w:val="21"/>
      <w:szCs w:val="21"/>
    </w:rPr>
  </w:style>
  <w:style w:type="character" w:customStyle="1" w:styleId="88">
    <w:name w:val="纯文本 字符"/>
    <w:autoRedefine/>
    <w:qFormat/>
    <w:locked/>
    <w:uiPriority w:val="99"/>
    <w:rPr>
      <w:rFonts w:ascii="宋体" w:hAnsi="Courier New" w:cs="宋体"/>
      <w:kern w:val="2"/>
    </w:rPr>
  </w:style>
  <w:style w:type="character" w:customStyle="1" w:styleId="89">
    <w:name w:val="标题 字符"/>
    <w:autoRedefine/>
    <w:qFormat/>
    <w:uiPriority w:val="99"/>
    <w:rPr>
      <w:rFonts w:ascii="等线 Light" w:eastAsia="等线 Light" w:cs="等线 Light"/>
      <w:b/>
      <w:bCs/>
      <w:kern w:val="2"/>
      <w:sz w:val="32"/>
      <w:szCs w:val="32"/>
    </w:rPr>
  </w:style>
  <w:style w:type="character" w:customStyle="1" w:styleId="90">
    <w:name w:val="font14zd"/>
    <w:basedOn w:val="50"/>
    <w:autoRedefine/>
    <w:qFormat/>
    <w:uiPriority w:val="99"/>
  </w:style>
  <w:style w:type="character" w:customStyle="1" w:styleId="91">
    <w:name w:val="批注文字 Char1"/>
    <w:autoRedefine/>
    <w:qFormat/>
    <w:locked/>
    <w:uiPriority w:val="99"/>
    <w:rPr>
      <w:rFonts w:ascii="Times New Roman" w:hAnsi="Times New Roman" w:eastAsia="宋体" w:cs="Times New Roman"/>
      <w:sz w:val="20"/>
      <w:szCs w:val="20"/>
    </w:rPr>
  </w:style>
  <w:style w:type="character" w:customStyle="1" w:styleId="92">
    <w:name w:val="尾注文本 Char1"/>
    <w:autoRedefine/>
    <w:qFormat/>
    <w:uiPriority w:val="99"/>
    <w:rPr>
      <w:kern w:val="2"/>
      <w:sz w:val="24"/>
      <w:szCs w:val="24"/>
    </w:rPr>
  </w:style>
  <w:style w:type="character" w:customStyle="1" w:styleId="93">
    <w:name w:val="列出段落 Char1"/>
    <w:link w:val="94"/>
    <w:autoRedefine/>
    <w:qFormat/>
    <w:locked/>
    <w:uiPriority w:val="99"/>
    <w:rPr>
      <w:rFonts w:ascii="Calibri" w:hAnsi="Calibri" w:cs="Calibri"/>
      <w:kern w:val="2"/>
      <w:sz w:val="22"/>
      <w:szCs w:val="22"/>
    </w:rPr>
  </w:style>
  <w:style w:type="paragraph" w:customStyle="1" w:styleId="94">
    <w:name w:val="列出段落11"/>
    <w:basedOn w:val="1"/>
    <w:link w:val="93"/>
    <w:autoRedefine/>
    <w:qFormat/>
    <w:uiPriority w:val="99"/>
    <w:pPr>
      <w:ind w:firstLine="420" w:firstLineChars="200"/>
    </w:pPr>
    <w:rPr>
      <w:rFonts w:ascii="Calibri" w:hAnsi="Calibri" w:cs="Calibri"/>
      <w:sz w:val="22"/>
      <w:szCs w:val="22"/>
    </w:rPr>
  </w:style>
  <w:style w:type="character" w:customStyle="1" w:styleId="95">
    <w:name w:val="页码1"/>
    <w:autoRedefine/>
    <w:qFormat/>
    <w:uiPriority w:val="99"/>
  </w:style>
  <w:style w:type="character" w:customStyle="1" w:styleId="9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autoRedefine/>
    <w:qFormat/>
    <w:locked/>
    <w:uiPriority w:val="99"/>
    <w:rPr>
      <w:sz w:val="24"/>
      <w:szCs w:val="24"/>
    </w:rPr>
  </w:style>
  <w:style w:type="paragraph" w:customStyle="1" w:styleId="98">
    <w:name w:val="样式 正文缩进 + 首行缩进:  2 字符"/>
    <w:basedOn w:val="8"/>
    <w:link w:val="97"/>
    <w:autoRedefine/>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0">
    <w:name w:val="文档正文 Char"/>
    <w:link w:val="101"/>
    <w:autoRedefine/>
    <w:qFormat/>
    <w:locked/>
    <w:uiPriority w:val="99"/>
    <w:rPr>
      <w:rFonts w:ascii="Arial" w:hAnsi="Arial" w:cs="Arial"/>
      <w:sz w:val="24"/>
      <w:szCs w:val="24"/>
    </w:rPr>
  </w:style>
  <w:style w:type="paragraph" w:customStyle="1" w:styleId="101">
    <w:name w:val="文档正文"/>
    <w:basedOn w:val="1"/>
    <w:link w:val="100"/>
    <w:autoRedefine/>
    <w:qFormat/>
    <w:uiPriority w:val="99"/>
    <w:rPr>
      <w:rFonts w:ascii="Arial" w:hAnsi="Arial" w:cs="Arial"/>
      <w:kern w:val="0"/>
      <w:sz w:val="24"/>
      <w:szCs w:val="24"/>
    </w:rPr>
  </w:style>
  <w:style w:type="character" w:customStyle="1" w:styleId="102">
    <w:name w:val="页脚 字符"/>
    <w:autoRedefine/>
    <w:qFormat/>
    <w:uiPriority w:val="99"/>
    <w:rPr>
      <w:rFonts w:ascii="Tahoma" w:hAnsi="Tahoma" w:eastAsia="微软雅黑" w:cs="Tahoma"/>
      <w:sz w:val="18"/>
      <w:szCs w:val="18"/>
    </w:rPr>
  </w:style>
  <w:style w:type="character" w:customStyle="1" w:styleId="103">
    <w:name w:val="font21"/>
    <w:basedOn w:val="50"/>
    <w:autoRedefine/>
    <w:qFormat/>
    <w:uiPriority w:val="99"/>
    <w:rPr>
      <w:rFonts w:ascii="微软雅黑" w:hAnsi="微软雅黑" w:eastAsia="微软雅黑" w:cs="微软雅黑"/>
      <w:color w:val="auto"/>
      <w:sz w:val="18"/>
      <w:szCs w:val="18"/>
      <w:u w:val="none"/>
    </w:rPr>
  </w:style>
  <w:style w:type="character" w:customStyle="1" w:styleId="104">
    <w:name w:val="04-正文 Char Char"/>
    <w:link w:val="105"/>
    <w:autoRedefine/>
    <w:qFormat/>
    <w:locked/>
    <w:uiPriority w:val="99"/>
    <w:rPr>
      <w:sz w:val="24"/>
      <w:szCs w:val="24"/>
    </w:rPr>
  </w:style>
  <w:style w:type="paragraph" w:customStyle="1" w:styleId="105">
    <w:name w:val="04-正文"/>
    <w:basedOn w:val="1"/>
    <w:link w:val="104"/>
    <w:autoRedefine/>
    <w:qFormat/>
    <w:uiPriority w:val="99"/>
    <w:pPr>
      <w:spacing w:line="360" w:lineRule="exact"/>
      <w:ind w:firstLine="420"/>
    </w:pPr>
    <w:rPr>
      <w:kern w:val="0"/>
      <w:sz w:val="24"/>
      <w:szCs w:val="24"/>
    </w:rPr>
  </w:style>
  <w:style w:type="character" w:customStyle="1" w:styleId="106">
    <w:name w:val="未处理的提及1"/>
    <w:autoRedefine/>
    <w:qFormat/>
    <w:uiPriority w:val="99"/>
    <w:rPr>
      <w:color w:val="auto"/>
      <w:shd w:val="clear" w:color="auto" w:fill="auto"/>
    </w:rPr>
  </w:style>
  <w:style w:type="character" w:customStyle="1" w:styleId="107">
    <w:name w:val="text1"/>
    <w:autoRedefine/>
    <w:qFormat/>
    <w:uiPriority w:val="99"/>
    <w:rPr>
      <w:color w:val="000000"/>
      <w:sz w:val="24"/>
      <w:szCs w:val="24"/>
    </w:rPr>
  </w:style>
  <w:style w:type="character" w:customStyle="1" w:styleId="108">
    <w:name w:val="段 Char"/>
    <w:link w:val="109"/>
    <w:autoRedefine/>
    <w:qFormat/>
    <w:locked/>
    <w:uiPriority w:val="99"/>
    <w:rPr>
      <w:rFonts w:ascii="宋体" w:cs="宋体"/>
      <w:sz w:val="21"/>
      <w:szCs w:val="21"/>
      <w:lang w:val="en-US" w:eastAsia="zh-CN"/>
    </w:rPr>
  </w:style>
  <w:style w:type="paragraph" w:customStyle="1" w:styleId="109">
    <w:name w:val="段"/>
    <w:link w:val="108"/>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autoRedefine/>
    <w:qFormat/>
    <w:uiPriority w:val="99"/>
    <w:rPr>
      <w:rFonts w:ascii="Arial" w:hAnsi="Arial" w:cs="Arial"/>
      <w:b/>
      <w:bCs/>
      <w:sz w:val="18"/>
      <w:szCs w:val="18"/>
    </w:rPr>
  </w:style>
  <w:style w:type="character" w:customStyle="1" w:styleId="111">
    <w:name w:val="标题 41"/>
    <w:autoRedefine/>
    <w:qFormat/>
    <w:uiPriority w:val="99"/>
  </w:style>
  <w:style w:type="character" w:customStyle="1" w:styleId="112">
    <w:name w:val="apple-style-span"/>
    <w:autoRedefine/>
    <w:qFormat/>
    <w:uiPriority w:val="99"/>
  </w:style>
  <w:style w:type="character" w:customStyle="1" w:styleId="113">
    <w:name w:val="04-正文 Char"/>
    <w:autoRedefine/>
    <w:qFormat/>
    <w:uiPriority w:val="99"/>
    <w:rPr>
      <w:rFonts w:eastAsia="仿宋"/>
      <w:kern w:val="2"/>
      <w:sz w:val="24"/>
      <w:szCs w:val="24"/>
    </w:rPr>
  </w:style>
  <w:style w:type="character" w:customStyle="1" w:styleId="114">
    <w:name w:val="纯文本 Char1"/>
    <w:autoRedefine/>
    <w:qFormat/>
    <w:uiPriority w:val="99"/>
    <w:rPr>
      <w:rFonts w:ascii="宋体" w:hAnsi="Courier New" w:eastAsia="宋体" w:cs="宋体"/>
      <w:kern w:val="2"/>
      <w:sz w:val="21"/>
      <w:szCs w:val="21"/>
    </w:rPr>
  </w:style>
  <w:style w:type="character" w:customStyle="1" w:styleId="115">
    <w:name w:val="m_171"/>
    <w:autoRedefine/>
    <w:qFormat/>
    <w:uiPriority w:val="99"/>
  </w:style>
  <w:style w:type="character" w:customStyle="1" w:styleId="116">
    <w:name w:val="纯文本 Char"/>
    <w:link w:val="26"/>
    <w:autoRedefine/>
    <w:qFormat/>
    <w:locked/>
    <w:uiPriority w:val="99"/>
    <w:rPr>
      <w:rFonts w:ascii="宋体" w:hAnsi="Courier New" w:eastAsia="宋体" w:cs="宋体"/>
      <w:kern w:val="2"/>
      <w:sz w:val="24"/>
      <w:szCs w:val="24"/>
      <w:lang w:val="en-US" w:eastAsia="zh-CN"/>
    </w:rPr>
  </w:style>
  <w:style w:type="character" w:customStyle="1" w:styleId="117">
    <w:name w:val="aa1"/>
    <w:basedOn w:val="50"/>
    <w:autoRedefine/>
    <w:qFormat/>
    <w:uiPriority w:val="99"/>
  </w:style>
  <w:style w:type="character" w:customStyle="1" w:styleId="118">
    <w:name w:val="www序号1) Char"/>
    <w:link w:val="119"/>
    <w:autoRedefine/>
    <w:qFormat/>
    <w:locked/>
    <w:uiPriority w:val="99"/>
    <w:rPr>
      <w:sz w:val="24"/>
      <w:szCs w:val="24"/>
    </w:rPr>
  </w:style>
  <w:style w:type="paragraph" w:customStyle="1" w:styleId="119">
    <w:name w:val="www序号1)"/>
    <w:basedOn w:val="1"/>
    <w:link w:val="118"/>
    <w:autoRedefine/>
    <w:qFormat/>
    <w:uiPriority w:val="99"/>
    <w:pPr>
      <w:tabs>
        <w:tab w:val="left" w:pos="2160"/>
      </w:tabs>
      <w:ind w:left="2160" w:hanging="420"/>
    </w:pPr>
    <w:rPr>
      <w:kern w:val="0"/>
      <w:sz w:val="24"/>
      <w:szCs w:val="24"/>
    </w:rPr>
  </w:style>
  <w:style w:type="character" w:customStyle="1" w:styleId="120">
    <w:name w:val="JD1-正文 Char"/>
    <w:link w:val="121"/>
    <w:autoRedefine/>
    <w:qFormat/>
    <w:locked/>
    <w:uiPriority w:val="99"/>
    <w:rPr>
      <w:rFonts w:ascii="宋体" w:hAnsi="宋体" w:eastAsia="仿宋_GB2312" w:cs="宋体"/>
      <w:kern w:val="2"/>
      <w:sz w:val="24"/>
      <w:szCs w:val="24"/>
      <w:lang w:val="zh-CN"/>
    </w:rPr>
  </w:style>
  <w:style w:type="paragraph" w:customStyle="1" w:styleId="121">
    <w:name w:val="JD1-正文"/>
    <w:basedOn w:val="1"/>
    <w:link w:val="120"/>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autoRedefine/>
    <w:qFormat/>
    <w:uiPriority w:val="99"/>
  </w:style>
  <w:style w:type="character" w:customStyle="1" w:styleId="123">
    <w:name w:val="en"/>
    <w:basedOn w:val="50"/>
    <w:autoRedefine/>
    <w:qFormat/>
    <w:uiPriority w:val="99"/>
  </w:style>
  <w:style w:type="character" w:customStyle="1" w:styleId="124">
    <w:name w:val="H4"/>
    <w:autoRedefine/>
    <w:qFormat/>
    <w:uiPriority w:val="99"/>
  </w:style>
  <w:style w:type="character" w:customStyle="1" w:styleId="125">
    <w:name w:val="正文缩进 Char"/>
    <w:autoRedefine/>
    <w:qFormat/>
    <w:locked/>
    <w:uiPriority w:val="99"/>
    <w:rPr>
      <w:kern w:val="2"/>
      <w:sz w:val="21"/>
      <w:szCs w:val="21"/>
    </w:rPr>
  </w:style>
  <w:style w:type="character" w:customStyle="1" w:styleId="126">
    <w:name w:val="Table Text Char Char Char Char"/>
    <w:autoRedefine/>
    <w:qFormat/>
    <w:uiPriority w:val="99"/>
    <w:rPr>
      <w:rFonts w:ascii="Arial" w:hAnsi="Arial" w:eastAsia="宋体" w:cs="Arial"/>
      <w:kern w:val="2"/>
      <w:sz w:val="18"/>
      <w:szCs w:val="18"/>
      <w:lang w:val="en-US" w:eastAsia="zh-CN"/>
    </w:rPr>
  </w:style>
  <w:style w:type="character" w:customStyle="1" w:styleId="127">
    <w:name w:val="批注框文本 字符"/>
    <w:autoRedefine/>
    <w:qFormat/>
    <w:uiPriority w:val="99"/>
    <w:rPr>
      <w:rFonts w:ascii="Tahoma" w:hAnsi="Tahoma" w:eastAsia="微软雅黑" w:cs="Tahoma"/>
      <w:sz w:val="18"/>
      <w:szCs w:val="18"/>
    </w:rPr>
  </w:style>
  <w:style w:type="character" w:customStyle="1" w:styleId="128">
    <w:name w:val="_正文段落 Char"/>
    <w:link w:val="129"/>
    <w:autoRedefine/>
    <w:qFormat/>
    <w:locked/>
    <w:uiPriority w:val="99"/>
    <w:rPr>
      <w:rFonts w:ascii="宋体" w:hAnsi="宋体" w:eastAsia="仿宋_GB2312" w:cs="宋体"/>
      <w:sz w:val="24"/>
      <w:szCs w:val="24"/>
    </w:rPr>
  </w:style>
  <w:style w:type="paragraph" w:customStyle="1" w:styleId="129">
    <w:name w:val="_正文段落"/>
    <w:basedOn w:val="1"/>
    <w:link w:val="128"/>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autoRedefine/>
    <w:qFormat/>
    <w:uiPriority w:val="99"/>
    <w:rPr>
      <w:rFonts w:ascii="Calibri" w:hAnsi="Calibri" w:eastAsia="宋体" w:cs="Calibri"/>
    </w:rPr>
  </w:style>
  <w:style w:type="character" w:customStyle="1" w:styleId="131">
    <w:name w:val="正文缩进 Char1"/>
    <w:link w:val="8"/>
    <w:autoRedefine/>
    <w:qFormat/>
    <w:locked/>
    <w:uiPriority w:val="99"/>
    <w:rPr>
      <w:kern w:val="2"/>
      <w:sz w:val="21"/>
      <w:szCs w:val="21"/>
    </w:rPr>
  </w:style>
  <w:style w:type="character" w:customStyle="1" w:styleId="132">
    <w:name w:val="m_491"/>
    <w:autoRedefine/>
    <w:qFormat/>
    <w:uiPriority w:val="99"/>
  </w:style>
  <w:style w:type="character" w:customStyle="1" w:styleId="133">
    <w:name w:val="m_391"/>
    <w:autoRedefine/>
    <w:qFormat/>
    <w:uiPriority w:val="99"/>
  </w:style>
  <w:style w:type="character" w:customStyle="1" w:styleId="134">
    <w:name w:val="副标题 Char1"/>
    <w:autoRedefine/>
    <w:qFormat/>
    <w:uiPriority w:val="99"/>
    <w:rPr>
      <w:rFonts w:ascii="Cambria" w:hAnsi="Cambria" w:cs="Cambria"/>
      <w:b/>
      <w:bCs/>
      <w:kern w:val="28"/>
      <w:sz w:val="32"/>
      <w:szCs w:val="32"/>
    </w:rPr>
  </w:style>
  <w:style w:type="character" w:customStyle="1" w:styleId="135">
    <w:name w:val="页眉 字符"/>
    <w:autoRedefine/>
    <w:qFormat/>
    <w:uiPriority w:val="99"/>
    <w:rPr>
      <w:rFonts w:ascii="Tahoma" w:hAnsi="Tahoma" w:eastAsia="微软雅黑" w:cs="Tahoma"/>
      <w:sz w:val="18"/>
      <w:szCs w:val="18"/>
    </w:rPr>
  </w:style>
  <w:style w:type="character" w:customStyle="1" w:styleId="136">
    <w:name w:val="正文首行缩进 Char"/>
    <w:autoRedefine/>
    <w:qFormat/>
    <w:uiPriority w:val="99"/>
    <w:rPr>
      <w:kern w:val="2"/>
      <w:sz w:val="24"/>
      <w:szCs w:val="24"/>
    </w:rPr>
  </w:style>
  <w:style w:type="character" w:customStyle="1" w:styleId="137">
    <w:name w:val="m_01"/>
    <w:autoRedefine/>
    <w:qFormat/>
    <w:uiPriority w:val="99"/>
  </w:style>
  <w:style w:type="character" w:customStyle="1" w:styleId="138">
    <w:name w:val="m_461"/>
    <w:autoRedefine/>
    <w:qFormat/>
    <w:uiPriority w:val="99"/>
  </w:style>
  <w:style w:type="character" w:customStyle="1" w:styleId="139">
    <w:name w:val="脚注文本 Char1"/>
    <w:autoRedefine/>
    <w:qFormat/>
    <w:uiPriority w:val="99"/>
    <w:rPr>
      <w:kern w:val="2"/>
      <w:sz w:val="18"/>
      <w:szCs w:val="18"/>
    </w:rPr>
  </w:style>
  <w:style w:type="character" w:customStyle="1" w:styleId="140">
    <w:name w:val="正文文本 Char"/>
    <w:autoRedefine/>
    <w:qFormat/>
    <w:uiPriority w:val="99"/>
    <w:rPr>
      <w:kern w:val="2"/>
      <w:sz w:val="24"/>
      <w:szCs w:val="24"/>
    </w:rPr>
  </w:style>
  <w:style w:type="character" w:customStyle="1" w:styleId="141">
    <w:name w:val="文档结构图 Char1"/>
    <w:autoRedefine/>
    <w:qFormat/>
    <w:uiPriority w:val="99"/>
    <w:rPr>
      <w:rFonts w:ascii="宋体" w:cs="宋体"/>
      <w:kern w:val="2"/>
      <w:sz w:val="18"/>
      <w:szCs w:val="18"/>
    </w:rPr>
  </w:style>
  <w:style w:type="character" w:customStyle="1" w:styleId="142">
    <w:name w:val="二级标题 Char"/>
    <w:link w:val="143"/>
    <w:autoRedefine/>
    <w:qFormat/>
    <w:locked/>
    <w:uiPriority w:val="99"/>
    <w:rPr>
      <w:rFonts w:ascii="宋体" w:eastAsia="宋体" w:cs="宋体"/>
      <w:b/>
      <w:bCs/>
      <w:sz w:val="30"/>
      <w:szCs w:val="30"/>
      <w:lang w:val="zh-CN"/>
    </w:rPr>
  </w:style>
  <w:style w:type="paragraph" w:customStyle="1" w:styleId="143">
    <w:name w:val="二级标题"/>
    <w:basedOn w:val="4"/>
    <w:link w:val="142"/>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autoRedefine/>
    <w:qFormat/>
    <w:uiPriority w:val="99"/>
    <w:rPr>
      <w:rFonts w:eastAsia="宋体"/>
      <w:b/>
      <w:bCs/>
      <w:spacing w:val="-2"/>
      <w:sz w:val="24"/>
      <w:szCs w:val="24"/>
      <w:lang w:val="en-US" w:eastAsia="zh-CN"/>
    </w:rPr>
  </w:style>
  <w:style w:type="character" w:customStyle="1" w:styleId="145">
    <w:name w:val="m_51"/>
    <w:autoRedefine/>
    <w:qFormat/>
    <w:uiPriority w:val="99"/>
  </w:style>
  <w:style w:type="character" w:customStyle="1" w:styleId="146">
    <w:name w:val="z21"/>
    <w:autoRedefine/>
    <w:qFormat/>
    <w:uiPriority w:val="99"/>
    <w:rPr>
      <w:color w:val="000000"/>
      <w:sz w:val="18"/>
      <w:szCs w:val="18"/>
    </w:rPr>
  </w:style>
  <w:style w:type="character" w:customStyle="1" w:styleId="147">
    <w:name w:val="a41"/>
    <w:autoRedefine/>
    <w:qFormat/>
    <w:uiPriority w:val="99"/>
    <w:rPr>
      <w:color w:val="auto"/>
      <w:sz w:val="26"/>
      <w:szCs w:val="26"/>
    </w:rPr>
  </w:style>
  <w:style w:type="character" w:customStyle="1" w:styleId="148">
    <w:name w:val="2.1样式 Char"/>
    <w:link w:val="149"/>
    <w:autoRedefine/>
    <w:qFormat/>
    <w:locked/>
    <w:uiPriority w:val="99"/>
    <w:rPr>
      <w:rFonts w:ascii="Arial" w:hAnsi="Arial" w:eastAsia="黑体" w:cs="Arial"/>
      <w:b/>
      <w:bCs/>
      <w:kern w:val="0"/>
      <w:sz w:val="32"/>
      <w:szCs w:val="32"/>
    </w:rPr>
  </w:style>
  <w:style w:type="paragraph" w:customStyle="1" w:styleId="149">
    <w:name w:val="2.1样式"/>
    <w:basedOn w:val="4"/>
    <w:link w:val="148"/>
    <w:autoRedefine/>
    <w:qFormat/>
    <w:uiPriority w:val="99"/>
    <w:pPr>
      <w:numPr>
        <w:ilvl w:val="0"/>
        <w:numId w:val="2"/>
      </w:numPr>
      <w:spacing w:line="416" w:lineRule="auto"/>
    </w:pPr>
    <w:rPr>
      <w:kern w:val="0"/>
    </w:rPr>
  </w:style>
  <w:style w:type="character" w:customStyle="1" w:styleId="150">
    <w:name w:val="bookmark-item"/>
    <w:autoRedefine/>
    <w:qFormat/>
    <w:uiPriority w:val="99"/>
  </w:style>
  <w:style w:type="paragraph" w:customStyle="1" w:styleId="151">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autoRedefine/>
    <w:qFormat/>
    <w:uiPriority w:val="99"/>
    <w:pPr>
      <w:ind w:firstLine="200" w:firstLineChars="200"/>
    </w:pPr>
    <w:rPr>
      <w:rFonts w:ascii="Tahoma" w:hAnsi="Tahoma" w:cs="Tahoma"/>
      <w:sz w:val="24"/>
      <w:szCs w:val="24"/>
    </w:rPr>
  </w:style>
  <w:style w:type="paragraph" w:customStyle="1" w:styleId="153">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autoRedefine/>
    <w:qFormat/>
    <w:uiPriority w:val="99"/>
    <w:pPr>
      <w:numPr>
        <w:ilvl w:val="0"/>
        <w:numId w:val="3"/>
      </w:numPr>
      <w:adjustRightInd w:val="0"/>
      <w:spacing w:line="360" w:lineRule="exact"/>
    </w:pPr>
  </w:style>
  <w:style w:type="paragraph" w:customStyle="1" w:styleId="156">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autoRedefine/>
    <w:qFormat/>
    <w:uiPriority w:val="99"/>
    <w:pPr>
      <w:ind w:firstLine="200" w:firstLineChars="200"/>
    </w:pPr>
    <w:rPr>
      <w:rFonts w:ascii="Tahoma" w:hAnsi="Tahoma" w:cs="Tahoma"/>
      <w:sz w:val="24"/>
      <w:szCs w:val="24"/>
    </w:rPr>
  </w:style>
  <w:style w:type="paragraph" w:customStyle="1" w:styleId="160">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autoRedefine/>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autoRedefine/>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autoRedefine/>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autoRedefine/>
    <w:qFormat/>
    <w:uiPriority w:val="99"/>
    <w:pPr>
      <w:ind w:firstLine="200" w:firstLineChars="200"/>
    </w:pPr>
    <w:rPr>
      <w:rFonts w:ascii="Tahoma" w:hAnsi="Tahoma" w:cs="Tahoma"/>
      <w:sz w:val="24"/>
      <w:szCs w:val="24"/>
    </w:rPr>
  </w:style>
  <w:style w:type="paragraph" w:customStyle="1" w:styleId="167">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8"/>
    <w:autoRedefine/>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autoRedefine/>
    <w:qFormat/>
    <w:uiPriority w:val="99"/>
    <w:pPr>
      <w:spacing w:line="360" w:lineRule="auto"/>
      <w:ind w:firstLine="600"/>
    </w:pPr>
    <w:rPr>
      <w:sz w:val="24"/>
      <w:szCs w:val="24"/>
    </w:rPr>
  </w:style>
  <w:style w:type="paragraph" w:customStyle="1" w:styleId="173">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4">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autoRedefine/>
    <w:qFormat/>
    <w:uiPriority w:val="99"/>
    <w:pPr>
      <w:ind w:firstLine="420" w:firstLineChars="200"/>
    </w:pPr>
  </w:style>
  <w:style w:type="paragraph" w:customStyle="1" w:styleId="179">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autoRedefine/>
    <w:qFormat/>
    <w:uiPriority w:val="99"/>
    <w:rPr>
      <w:rFonts w:ascii="仿宋_GB2312" w:eastAsia="仿宋_GB2312" w:cs="仿宋_GB2312"/>
      <w:b/>
      <w:bCs/>
      <w:sz w:val="32"/>
      <w:szCs w:val="32"/>
    </w:rPr>
  </w:style>
  <w:style w:type="paragraph" w:customStyle="1" w:styleId="182">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5"/>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4"/>
    <w:next w:val="4"/>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5"/>
    <w:autoRedefine/>
    <w:qFormat/>
    <w:uiPriority w:val="99"/>
    <w:pPr>
      <w:adjustRightInd/>
      <w:spacing w:line="416" w:lineRule="auto"/>
      <w:jc w:val="center"/>
      <w:textAlignment w:val="auto"/>
    </w:pPr>
    <w:rPr>
      <w:sz w:val="28"/>
      <w:szCs w:val="28"/>
    </w:rPr>
  </w:style>
  <w:style w:type="paragraph" w:customStyle="1" w:styleId="18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8"/>
    <w:autoRedefine/>
    <w:qFormat/>
    <w:uiPriority w:val="99"/>
    <w:pPr>
      <w:ind w:firstLine="420" w:firstLineChars="200"/>
    </w:pPr>
  </w:style>
  <w:style w:type="paragraph" w:customStyle="1" w:styleId="192">
    <w:name w:val="Char1"/>
    <w:basedOn w:val="1"/>
    <w:autoRedefine/>
    <w:qFormat/>
    <w:uiPriority w:val="99"/>
    <w:rPr>
      <w:rFonts w:ascii="Tahoma" w:hAnsi="Tahoma" w:cs="Tahoma"/>
      <w:sz w:val="24"/>
      <w:szCs w:val="24"/>
    </w:rPr>
  </w:style>
  <w:style w:type="paragraph" w:customStyle="1" w:styleId="193">
    <w:name w:val="List Paragraph1"/>
    <w:basedOn w:val="1"/>
    <w:autoRedefine/>
    <w:qFormat/>
    <w:uiPriority w:val="99"/>
    <w:pPr>
      <w:ind w:firstLine="420" w:firstLineChars="200"/>
    </w:pPr>
    <w:rPr>
      <w:rFonts w:ascii="Calibri" w:hAnsi="Calibri" w:cs="Calibri"/>
    </w:rPr>
  </w:style>
  <w:style w:type="paragraph" w:customStyle="1" w:styleId="194">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199">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autoRedefine/>
    <w:qFormat/>
    <w:uiPriority w:val="99"/>
    <w:rPr>
      <w:rFonts w:ascii="Tahoma" w:hAnsi="Tahoma" w:cs="Tahoma"/>
      <w:sz w:val="24"/>
      <w:szCs w:val="24"/>
    </w:rPr>
  </w:style>
  <w:style w:type="paragraph" w:customStyle="1" w:styleId="201">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3"/>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autoRedefine/>
    <w:qFormat/>
    <w:uiPriority w:val="99"/>
    <w:pPr>
      <w:ind w:firstLine="420" w:firstLineChars="200"/>
    </w:pPr>
  </w:style>
  <w:style w:type="paragraph" w:customStyle="1" w:styleId="206">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1">
    <w:name w:val="四号正文"/>
    <w:basedOn w:val="1"/>
    <w:autoRedefine/>
    <w:qFormat/>
    <w:uiPriority w:val="99"/>
    <w:pPr>
      <w:spacing w:line="360" w:lineRule="auto"/>
      <w:ind w:firstLine="560" w:firstLineChars="200"/>
    </w:pPr>
    <w:rPr>
      <w:sz w:val="28"/>
      <w:szCs w:val="28"/>
    </w:rPr>
  </w:style>
  <w:style w:type="paragraph" w:customStyle="1" w:styleId="212">
    <w:name w:val="列项◆（三级）"/>
    <w:basedOn w:val="1"/>
    <w:autoRedefine/>
    <w:qFormat/>
    <w:uiPriority w:val="99"/>
    <w:pPr>
      <w:numPr>
        <w:ilvl w:val="2"/>
        <w:numId w:val="5"/>
      </w:numPr>
      <w:ind w:firstLine="0"/>
    </w:pPr>
    <w:rPr>
      <w:rFonts w:ascii="宋体" w:cs="宋体"/>
    </w:rPr>
  </w:style>
  <w:style w:type="paragraph" w:customStyle="1" w:styleId="213">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autoRedefine/>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autoRedefine/>
    <w:qFormat/>
    <w:uiPriority w:val="99"/>
    <w:pPr>
      <w:ind w:firstLine="420" w:firstLineChars="200"/>
    </w:pPr>
    <w:rPr>
      <w:rFonts w:ascii="Calibri" w:hAnsi="Calibri" w:cs="Calibri"/>
    </w:rPr>
  </w:style>
  <w:style w:type="paragraph" w:customStyle="1" w:styleId="217">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6"/>
    <w:autoRedefine/>
    <w:qFormat/>
    <w:uiPriority w:val="99"/>
  </w:style>
  <w:style w:type="paragraph" w:customStyle="1" w:styleId="222">
    <w:name w:val="TOC 标题2"/>
    <w:basedOn w:val="3"/>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autoRedefine/>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autoRedefine/>
    <w:qFormat/>
    <w:uiPriority w:val="99"/>
    <w:pPr>
      <w:spacing w:line="360" w:lineRule="auto"/>
      <w:ind w:firstLine="200" w:firstLineChars="200"/>
    </w:pPr>
    <w:rPr>
      <w:sz w:val="24"/>
      <w:szCs w:val="24"/>
    </w:rPr>
  </w:style>
  <w:style w:type="paragraph" w:customStyle="1" w:styleId="230">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autoRedefine/>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autoRedefine/>
    <w:qFormat/>
    <w:uiPriority w:val="99"/>
    <w:pPr>
      <w:spacing w:line="360" w:lineRule="auto"/>
    </w:pPr>
    <w:rPr>
      <w:sz w:val="24"/>
      <w:szCs w:val="24"/>
    </w:rPr>
  </w:style>
  <w:style w:type="paragraph" w:customStyle="1" w:styleId="239">
    <w:name w:val="标准正文"/>
    <w:basedOn w:val="1"/>
    <w:autoRedefine/>
    <w:qFormat/>
    <w:uiPriority w:val="99"/>
    <w:pPr>
      <w:spacing w:line="240" w:lineRule="atLeast"/>
      <w:ind w:firstLine="200" w:firstLineChars="200"/>
    </w:pPr>
  </w:style>
  <w:style w:type="paragraph" w:customStyle="1" w:styleId="240">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5">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autoRedefine/>
    <w:qFormat/>
    <w:uiPriority w:val="99"/>
    <w:pPr>
      <w:spacing w:line="360" w:lineRule="auto"/>
      <w:ind w:firstLine="480" w:firstLineChars="200"/>
    </w:pPr>
    <w:rPr>
      <w:sz w:val="24"/>
      <w:szCs w:val="24"/>
    </w:rPr>
  </w:style>
  <w:style w:type="paragraph" w:customStyle="1" w:styleId="250">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1">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autoRedefine/>
    <w:qFormat/>
    <w:uiPriority w:val="99"/>
    <w:pPr>
      <w:spacing w:line="360" w:lineRule="auto"/>
      <w:ind w:firstLine="420" w:firstLineChars="200"/>
    </w:pPr>
    <w:rPr>
      <w:rFonts w:ascii="Calibri" w:hAnsi="Calibri" w:cs="Calibri"/>
    </w:rPr>
  </w:style>
  <w:style w:type="paragraph" w:customStyle="1" w:styleId="25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autoRedefine/>
    <w:qFormat/>
    <w:uiPriority w:val="99"/>
    <w:rPr>
      <w:rFonts w:ascii="Calibri" w:hAnsi="Calibri" w:eastAsia="宋体" w:cs="Calibri"/>
      <w:lang w:val="en-US" w:eastAsia="zh-CN" w:bidi="ar-SA"/>
    </w:rPr>
  </w:style>
  <w:style w:type="paragraph" w:customStyle="1" w:styleId="259">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autoRedefine/>
    <w:qFormat/>
    <w:uiPriority w:val="99"/>
    <w:pPr>
      <w:spacing w:line="360" w:lineRule="auto"/>
      <w:ind w:firstLine="420" w:firstLineChars="200"/>
    </w:pPr>
    <w:rPr>
      <w:rFonts w:ascii="Calibri" w:hAnsi="Calibri" w:cs="Calibri"/>
    </w:rPr>
  </w:style>
  <w:style w:type="paragraph" w:customStyle="1" w:styleId="262">
    <w:name w:val="p18"/>
    <w:basedOn w:val="1"/>
    <w:autoRedefine/>
    <w:qFormat/>
    <w:uiPriority w:val="99"/>
    <w:pPr>
      <w:widowControl/>
    </w:pPr>
    <w:rPr>
      <w:kern w:val="0"/>
      <w:sz w:val="24"/>
      <w:szCs w:val="24"/>
    </w:rPr>
  </w:style>
  <w:style w:type="paragraph" w:customStyle="1" w:styleId="263">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5"/>
    <w:autoRedefine/>
    <w:qFormat/>
    <w:uiPriority w:val="99"/>
    <w:pPr>
      <w:adjustRightInd/>
      <w:spacing w:line="416" w:lineRule="auto"/>
      <w:jc w:val="center"/>
      <w:textAlignment w:val="auto"/>
    </w:pPr>
    <w:rPr>
      <w:sz w:val="28"/>
      <w:szCs w:val="28"/>
    </w:rPr>
  </w:style>
  <w:style w:type="paragraph" w:customStyle="1" w:styleId="265">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autoRedefine/>
    <w:qFormat/>
    <w:uiPriority w:val="99"/>
    <w:pPr>
      <w:jc w:val="left"/>
    </w:pPr>
    <w:rPr>
      <w:rFonts w:eastAsia="微软雅黑"/>
      <w:sz w:val="18"/>
      <w:szCs w:val="18"/>
    </w:rPr>
  </w:style>
  <w:style w:type="paragraph" w:customStyle="1" w:styleId="271">
    <w:name w:val="5"/>
    <w:basedOn w:val="1"/>
    <w:next w:val="1"/>
    <w:autoRedefine/>
    <w:qFormat/>
    <w:uiPriority w:val="99"/>
  </w:style>
  <w:style w:type="paragraph" w:customStyle="1" w:styleId="272">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autoRedefine/>
    <w:qFormat/>
    <w:uiPriority w:val="99"/>
    <w:rPr>
      <w:rFonts w:ascii="仿宋_GB2312" w:eastAsia="仿宋_GB2312" w:cs="仿宋_GB2312"/>
      <w:sz w:val="24"/>
      <w:szCs w:val="24"/>
    </w:rPr>
  </w:style>
  <w:style w:type="paragraph" w:customStyle="1" w:styleId="27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2">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autoRedefine/>
    <w:qFormat/>
    <w:uiPriority w:val="99"/>
    <w:rPr>
      <w:rFonts w:ascii="Tahoma" w:hAnsi="Tahoma" w:cs="Tahoma"/>
      <w:sz w:val="24"/>
      <w:szCs w:val="24"/>
    </w:rPr>
  </w:style>
  <w:style w:type="paragraph" w:customStyle="1" w:styleId="28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2"/>
    <w:autoRedefine/>
    <w:qFormat/>
    <w:uiPriority w:val="99"/>
    <w:pPr>
      <w:tabs>
        <w:tab w:val="left" w:pos="992"/>
        <w:tab w:val="clear" w:pos="2100"/>
      </w:tabs>
      <w:spacing w:before="120" w:after="120" w:line="240" w:lineRule="auto"/>
      <w:ind w:left="0" w:firstLine="0"/>
    </w:pPr>
  </w:style>
  <w:style w:type="paragraph" w:customStyle="1" w:styleId="292">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autoRedefine/>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0">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autoRedefine/>
    <w:qFormat/>
    <w:uiPriority w:val="99"/>
    <w:pPr>
      <w:tabs>
        <w:tab w:val="left" w:pos="360"/>
      </w:tabs>
      <w:spacing w:line="360" w:lineRule="auto"/>
    </w:pPr>
    <w:rPr>
      <w:sz w:val="24"/>
      <w:szCs w:val="24"/>
    </w:rPr>
  </w:style>
  <w:style w:type="paragraph" w:customStyle="1" w:styleId="302">
    <w:name w:val="列表段落2"/>
    <w:basedOn w:val="1"/>
    <w:autoRedefine/>
    <w:qFormat/>
    <w:uiPriority w:val="99"/>
    <w:pPr>
      <w:ind w:firstLine="420" w:firstLineChars="200"/>
    </w:pPr>
    <w:rPr>
      <w:rFonts w:ascii="Calibri" w:hAnsi="Calibri" w:cs="Calibri"/>
    </w:rPr>
  </w:style>
  <w:style w:type="paragraph" w:customStyle="1" w:styleId="303">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autoRedefine/>
    <w:qFormat/>
    <w:uiPriority w:val="99"/>
    <w:pPr>
      <w:widowControl/>
      <w:spacing w:after="160" w:line="259" w:lineRule="auto"/>
      <w:ind w:left="720"/>
      <w:jc w:val="left"/>
    </w:pPr>
    <w:rPr>
      <w:kern w:val="0"/>
      <w:sz w:val="22"/>
      <w:szCs w:val="22"/>
    </w:rPr>
  </w:style>
  <w:style w:type="paragraph" w:customStyle="1" w:styleId="309">
    <w:name w:val="_Style 222"/>
    <w:basedOn w:val="1"/>
    <w:next w:val="302"/>
    <w:autoRedefine/>
    <w:qFormat/>
    <w:uiPriority w:val="99"/>
    <w:pPr>
      <w:ind w:firstLine="420" w:firstLineChars="200"/>
    </w:pPr>
    <w:rPr>
      <w:rFonts w:ascii="Calibri" w:hAnsi="Calibri" w:cs="Calibri"/>
    </w:rPr>
  </w:style>
  <w:style w:type="paragraph" w:customStyle="1" w:styleId="310">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autoRedefine/>
    <w:qFormat/>
    <w:uiPriority w:val="99"/>
    <w:pPr>
      <w:ind w:left="200" w:leftChars="200"/>
    </w:pPr>
    <w:rPr>
      <w:rFonts w:ascii="Calibri" w:hAnsi="Calibri" w:eastAsia="宋体" w:cs="Calibri"/>
      <w:lang w:val="en-US" w:eastAsia="zh-CN" w:bidi="ar-SA"/>
    </w:rPr>
  </w:style>
  <w:style w:type="paragraph" w:customStyle="1" w:styleId="318">
    <w:name w:val="font11"/>
    <w:basedOn w:val="1"/>
    <w:autoRedefine/>
    <w:qFormat/>
    <w:uiPriority w:val="99"/>
    <w:pPr>
      <w:widowControl/>
      <w:spacing w:before="100" w:beforeAutospacing="1" w:after="100" w:afterAutospacing="1"/>
      <w:jc w:val="left"/>
    </w:pPr>
    <w:rPr>
      <w:kern w:val="0"/>
      <w:sz w:val="24"/>
      <w:szCs w:val="24"/>
    </w:rPr>
  </w:style>
  <w:style w:type="paragraph" w:customStyle="1" w:styleId="319">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6"/>
    <w:autoRedefine/>
    <w:qFormat/>
    <w:uiPriority w:val="99"/>
    <w:pPr>
      <w:spacing w:before="120" w:after="120" w:line="240" w:lineRule="auto"/>
    </w:pPr>
    <w:rPr>
      <w:rFonts w:eastAsia="仿宋_GB2312"/>
    </w:rPr>
  </w:style>
  <w:style w:type="paragraph" w:customStyle="1" w:styleId="321">
    <w:name w:val="_Style 1"/>
    <w:basedOn w:val="1"/>
    <w:autoRedefine/>
    <w:qFormat/>
    <w:uiPriority w:val="99"/>
    <w:pPr>
      <w:ind w:firstLine="420" w:firstLineChars="200"/>
    </w:pPr>
    <w:rPr>
      <w:rFonts w:ascii="Calibri" w:hAnsi="Calibri" w:cs="Calibri"/>
    </w:rPr>
  </w:style>
  <w:style w:type="paragraph" w:customStyle="1" w:styleId="322">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autoRedefine/>
    <w:qFormat/>
    <w:uiPriority w:val="99"/>
  </w:style>
  <w:style w:type="paragraph" w:customStyle="1" w:styleId="326">
    <w:name w:val="Item List in Table"/>
    <w:autoRedefin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autoRedefine/>
    <w:qFormat/>
    <w:uiPriority w:val="99"/>
    <w:pPr>
      <w:widowControl/>
      <w:snapToGrid w:val="0"/>
      <w:spacing w:line="312" w:lineRule="atLeast"/>
    </w:pPr>
    <w:rPr>
      <w:kern w:val="0"/>
    </w:rPr>
  </w:style>
  <w:style w:type="paragraph" w:customStyle="1" w:styleId="330">
    <w:name w:val="列出段落2"/>
    <w:basedOn w:val="1"/>
    <w:autoRedefine/>
    <w:qFormat/>
    <w:uiPriority w:val="99"/>
    <w:pPr>
      <w:spacing w:line="360" w:lineRule="auto"/>
      <w:ind w:firstLine="420" w:firstLineChars="200"/>
    </w:pPr>
    <w:rPr>
      <w:sz w:val="24"/>
      <w:szCs w:val="24"/>
    </w:rPr>
  </w:style>
  <w:style w:type="paragraph" w:styleId="331">
    <w:name w:val="List Paragraph"/>
    <w:basedOn w:val="1"/>
    <w:autoRedefine/>
    <w:qFormat/>
    <w:uiPriority w:val="34"/>
    <w:pPr>
      <w:ind w:firstLine="420" w:firstLineChars="200"/>
    </w:pPr>
  </w:style>
  <w:style w:type="paragraph" w:customStyle="1" w:styleId="332">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autoRedefine/>
    <w:semiHidden/>
    <w:qFormat/>
    <w:uiPriority w:val="99"/>
  </w:style>
  <w:style w:type="paragraph" w:customStyle="1" w:styleId="334">
    <w:name w:val="Char5"/>
    <w:basedOn w:val="1"/>
    <w:autoRedefine/>
    <w:qFormat/>
    <w:uiPriority w:val="99"/>
    <w:pPr>
      <w:tabs>
        <w:tab w:val="left" w:pos="840"/>
      </w:tabs>
      <w:ind w:left="840" w:hanging="420"/>
    </w:pPr>
    <w:rPr>
      <w:kern w:val="0"/>
      <w:sz w:val="24"/>
      <w:szCs w:val="24"/>
    </w:rPr>
  </w:style>
  <w:style w:type="paragraph" w:customStyle="1" w:styleId="335">
    <w:name w:val="Char4"/>
    <w:basedOn w:val="1"/>
    <w:autoRedefine/>
    <w:qFormat/>
    <w:uiPriority w:val="99"/>
    <w:pPr>
      <w:tabs>
        <w:tab w:val="left" w:pos="840"/>
      </w:tabs>
      <w:ind w:left="840" w:hanging="420"/>
    </w:pPr>
    <w:rPr>
      <w:kern w:val="0"/>
      <w:sz w:val="24"/>
      <w:szCs w:val="24"/>
    </w:rPr>
  </w:style>
  <w:style w:type="character" w:customStyle="1" w:styleId="336">
    <w:name w:val="未处理的提及2"/>
    <w:basedOn w:val="50"/>
    <w:autoRedefine/>
    <w:semiHidden/>
    <w:unhideWhenUsed/>
    <w:qFormat/>
    <w:uiPriority w:val="99"/>
    <w:rPr>
      <w:color w:val="605E5C"/>
      <w:shd w:val="clear" w:color="auto" w:fill="E1DFDD"/>
    </w:rPr>
  </w:style>
  <w:style w:type="paragraph" w:customStyle="1" w:styleId="337">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autoRedefine/>
    <w:qFormat/>
    <w:uiPriority w:val="0"/>
    <w:pPr>
      <w:ind w:firstLine="420" w:firstLineChars="200"/>
    </w:pPr>
    <w:rPr>
      <w:szCs w:val="22"/>
    </w:rPr>
  </w:style>
  <w:style w:type="character" w:customStyle="1" w:styleId="340">
    <w:name w:val="font51"/>
    <w:basedOn w:val="50"/>
    <w:autoRedefine/>
    <w:qFormat/>
    <w:uiPriority w:val="0"/>
    <w:rPr>
      <w:rFonts w:hint="eastAsia" w:ascii="宋体" w:hAnsi="宋体" w:eastAsia="宋体" w:cs="宋体"/>
      <w:color w:val="000000"/>
      <w:sz w:val="24"/>
      <w:szCs w:val="24"/>
      <w:u w:val="none"/>
    </w:rPr>
  </w:style>
  <w:style w:type="character" w:customStyle="1" w:styleId="341">
    <w:name w:val="font31"/>
    <w:basedOn w:val="50"/>
    <w:autoRedefine/>
    <w:qFormat/>
    <w:uiPriority w:val="0"/>
    <w:rPr>
      <w:rFonts w:hint="default" w:ascii="Times New Roman" w:hAnsi="Times New Roman" w:cs="Times New Roman"/>
      <w:color w:val="000000"/>
      <w:sz w:val="24"/>
      <w:szCs w:val="24"/>
      <w:u w:val="none"/>
    </w:rPr>
  </w:style>
  <w:style w:type="character" w:customStyle="1" w:styleId="342">
    <w:name w:val="font41"/>
    <w:basedOn w:val="50"/>
    <w:autoRedefine/>
    <w:qFormat/>
    <w:uiPriority w:val="0"/>
    <w:rPr>
      <w:rFonts w:hint="eastAsia" w:ascii="宋体" w:hAnsi="宋体" w:eastAsia="宋体" w:cs="宋体"/>
      <w:color w:val="000000"/>
      <w:sz w:val="24"/>
      <w:szCs w:val="24"/>
      <w:u w:val="none"/>
    </w:rPr>
  </w:style>
  <w:style w:type="table" w:customStyle="1" w:styleId="343">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40865</Words>
  <Characters>43592</Characters>
  <Lines>67</Lines>
  <Paragraphs>76</Paragraphs>
  <TotalTime>9</TotalTime>
  <ScaleCrop>false</ScaleCrop>
  <LinksUpToDate>false</LinksUpToDate>
  <CharactersWithSpaces>46387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2022-06-09T00:47:00Z</cp:lastPrinted>
  <dcterms:modified xsi:type="dcterms:W3CDTF">2024-05-22T03:17:52Z</dcterms:modified>
  <dc:title>丽水市人民医院采购全自动特定蛋白分析系统及配套和便携彩超项目</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3A317B66E99D490CB804F2FEA22F6E36_13</vt:lpwstr>
  </property>
</Properties>
</file>