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420"/>
        <w:jc w:val="center"/>
        <w:rPr>
          <w:rFonts w:ascii="宋体" w:hAnsi="宋体" w:cs="宋体"/>
          <w:color w:val="auto"/>
          <w:sz w:val="32"/>
          <w:szCs w:val="32"/>
          <w:highlight w:val="none"/>
        </w:rPr>
      </w:pPr>
    </w:p>
    <w:p>
      <w:pPr>
        <w:spacing w:line="360" w:lineRule="auto"/>
        <w:rPr>
          <w:rFonts w:ascii="宋体" w:hAnsi="宋体" w:cs="宋体"/>
          <w:color w:val="auto"/>
          <w:sz w:val="44"/>
          <w:szCs w:val="44"/>
          <w:highlight w:val="none"/>
        </w:rPr>
      </w:pPr>
    </w:p>
    <w:p>
      <w:pPr>
        <w:spacing w:before="120" w:beforeLines="50" w:line="360" w:lineRule="auto"/>
        <w:jc w:val="center"/>
        <w:rPr>
          <w:rFonts w:ascii="宋体" w:hAnsi="宋体" w:cs="宋体"/>
          <w:b/>
          <w:bCs/>
          <w:color w:val="auto"/>
          <w:sz w:val="52"/>
          <w:szCs w:val="52"/>
          <w:highlight w:val="none"/>
        </w:rPr>
      </w:pPr>
      <w:r>
        <w:rPr>
          <w:rFonts w:hint="eastAsia" w:ascii="宋体" w:hAnsi="宋体" w:cs="宋体"/>
          <w:b/>
          <w:bCs/>
          <w:color w:val="auto"/>
          <w:sz w:val="52"/>
          <w:szCs w:val="52"/>
          <w:highlight w:val="none"/>
          <w:lang w:eastAsia="zh-CN"/>
        </w:rPr>
        <w:t>缙云县人民医院手术腔镜系统（3D）、甲醛灭菌器及高清电子内窥镜系统采购项目</w:t>
      </w:r>
      <w:r>
        <w:rPr>
          <w:rFonts w:hint="eastAsia" w:ascii="宋体" w:hAnsi="宋体" w:cs="宋体"/>
          <w:b/>
          <w:bCs/>
          <w:color w:val="auto"/>
          <w:sz w:val="52"/>
          <w:szCs w:val="52"/>
          <w:highlight w:val="none"/>
        </w:rPr>
        <w:t>公开招标文件</w:t>
      </w:r>
    </w:p>
    <w:p>
      <w:pPr>
        <w:snapToGrid w:val="0"/>
        <w:spacing w:before="120" w:beforeLines="50" w:line="360" w:lineRule="auto"/>
        <w:rPr>
          <w:rFonts w:ascii="宋体" w:hAnsi="宋体" w:cs="宋体"/>
          <w:color w:val="auto"/>
          <w:sz w:val="30"/>
          <w:szCs w:val="30"/>
          <w:highlight w:val="none"/>
        </w:rPr>
      </w:pPr>
    </w:p>
    <w:p>
      <w:pPr>
        <w:snapToGrid w:val="0"/>
        <w:spacing w:before="120" w:beforeLines="50" w:line="360" w:lineRule="auto"/>
        <w:rPr>
          <w:rFonts w:ascii="宋体" w:hAnsi="宋体" w:cs="宋体"/>
          <w:color w:val="auto"/>
          <w:sz w:val="30"/>
          <w:szCs w:val="30"/>
          <w:highlight w:val="none"/>
        </w:rPr>
      </w:pPr>
    </w:p>
    <w:p>
      <w:pPr>
        <w:pStyle w:val="26"/>
        <w:spacing w:before="120" w:after="120"/>
        <w:rPr>
          <w:rFonts w:hAnsi="宋体"/>
          <w:color w:val="auto"/>
          <w:sz w:val="30"/>
          <w:szCs w:val="30"/>
          <w:highlight w:val="none"/>
        </w:rPr>
      </w:pPr>
    </w:p>
    <w:p>
      <w:pPr>
        <w:pStyle w:val="26"/>
        <w:spacing w:before="120" w:after="120"/>
        <w:rPr>
          <w:rFonts w:hAnsi="宋体"/>
          <w:color w:val="auto"/>
          <w:sz w:val="30"/>
          <w:szCs w:val="30"/>
          <w:highlight w:val="none"/>
        </w:rPr>
      </w:pPr>
    </w:p>
    <w:p>
      <w:pPr>
        <w:snapToGrid w:val="0"/>
        <w:spacing w:before="120" w:beforeLines="50" w:line="360" w:lineRule="auto"/>
        <w:rPr>
          <w:rFonts w:ascii="宋体" w:hAnsi="宋体" w:cs="宋体"/>
          <w:color w:val="auto"/>
          <w:sz w:val="30"/>
          <w:szCs w:val="30"/>
          <w:highlight w:val="none"/>
        </w:rPr>
      </w:pPr>
    </w:p>
    <w:p>
      <w:pPr>
        <w:rPr>
          <w:rFonts w:ascii="宋体" w:hAnsi="宋体" w:cs="宋体"/>
          <w:color w:val="auto"/>
          <w:highlight w:val="none"/>
        </w:rPr>
      </w:pPr>
    </w:p>
    <w:p>
      <w:pPr>
        <w:pStyle w:val="26"/>
        <w:snapToGrid w:val="0"/>
        <w:spacing w:beforeLines="0" w:afterLines="0" w:line="360" w:lineRule="auto"/>
        <w:rPr>
          <w:rFonts w:hint="eastAsia" w:hAnsi="宋体" w:eastAsia="宋体"/>
          <w:b/>
          <w:bCs/>
          <w:color w:val="auto"/>
          <w:sz w:val="30"/>
          <w:szCs w:val="30"/>
          <w:highlight w:val="none"/>
          <w:lang w:eastAsia="zh-CN"/>
        </w:rPr>
      </w:pPr>
      <w:r>
        <w:rPr>
          <w:rFonts w:hint="eastAsia" w:hAnsi="宋体"/>
          <w:b/>
          <w:bCs/>
          <w:color w:val="auto"/>
          <w:sz w:val="30"/>
          <w:szCs w:val="30"/>
          <w:highlight w:val="none"/>
        </w:rPr>
        <w:t>项目编号：</w:t>
      </w:r>
      <w:r>
        <w:rPr>
          <w:rFonts w:hint="eastAsia" w:hAnsi="宋体"/>
          <w:b/>
          <w:bCs/>
          <w:color w:val="auto"/>
          <w:sz w:val="30"/>
          <w:szCs w:val="30"/>
          <w:highlight w:val="none"/>
          <w:lang w:eastAsia="zh-CN"/>
        </w:rPr>
        <w:t>JY分散公开2023-30</w:t>
      </w:r>
    </w:p>
    <w:p>
      <w:pPr>
        <w:pStyle w:val="26"/>
        <w:snapToGrid w:val="0"/>
        <w:spacing w:beforeLines="0" w:afterLines="0" w:line="360" w:lineRule="auto"/>
        <w:ind w:left="1506" w:hanging="1506" w:hangingChars="500"/>
        <w:rPr>
          <w:rFonts w:hint="eastAsia" w:hAnsi="宋体" w:eastAsia="宋体"/>
          <w:b/>
          <w:bCs/>
          <w:color w:val="auto"/>
          <w:sz w:val="30"/>
          <w:szCs w:val="30"/>
          <w:highlight w:val="none"/>
          <w:lang w:eastAsia="zh-CN"/>
        </w:rPr>
      </w:pPr>
      <w:r>
        <w:rPr>
          <w:rFonts w:hint="eastAsia" w:hAnsi="宋体"/>
          <w:b/>
          <w:bCs/>
          <w:color w:val="auto"/>
          <w:sz w:val="30"/>
          <w:szCs w:val="30"/>
          <w:highlight w:val="none"/>
        </w:rPr>
        <w:t>项目名称：</w:t>
      </w:r>
      <w:r>
        <w:rPr>
          <w:rFonts w:hint="eastAsia" w:hAnsi="宋体"/>
          <w:b/>
          <w:bCs/>
          <w:color w:val="auto"/>
          <w:sz w:val="30"/>
          <w:szCs w:val="30"/>
          <w:highlight w:val="none"/>
          <w:lang w:eastAsia="zh-CN"/>
        </w:rPr>
        <w:t>缙云县人民医院手术腔镜系统（3D）、甲醛灭菌器及高清电子内窥镜系统采购项目</w:t>
      </w:r>
    </w:p>
    <w:p>
      <w:pPr>
        <w:pStyle w:val="26"/>
        <w:snapToGrid w:val="0"/>
        <w:spacing w:beforeLines="0" w:afterLines="0" w:line="360" w:lineRule="auto"/>
        <w:rPr>
          <w:rFonts w:hAnsi="宋体"/>
          <w:b/>
          <w:bCs/>
          <w:color w:val="auto"/>
          <w:sz w:val="30"/>
          <w:szCs w:val="30"/>
          <w:highlight w:val="none"/>
        </w:rPr>
      </w:pPr>
      <w:r>
        <w:rPr>
          <w:rFonts w:hint="eastAsia" w:hAnsi="宋体"/>
          <w:b/>
          <w:bCs/>
          <w:color w:val="auto"/>
          <w:sz w:val="30"/>
          <w:szCs w:val="30"/>
          <w:highlight w:val="none"/>
        </w:rPr>
        <w:t>采购单位：</w:t>
      </w:r>
      <w:r>
        <w:rPr>
          <w:rFonts w:hint="eastAsia" w:hAnsi="宋体"/>
          <w:b/>
          <w:bCs/>
          <w:color w:val="auto"/>
          <w:sz w:val="30"/>
          <w:szCs w:val="30"/>
          <w:highlight w:val="none"/>
          <w:lang w:eastAsia="zh-CN"/>
        </w:rPr>
        <w:t>缙云县人民医院</w:t>
      </w:r>
    </w:p>
    <w:p>
      <w:pPr>
        <w:pStyle w:val="26"/>
        <w:snapToGrid w:val="0"/>
        <w:spacing w:beforeLines="0" w:afterLines="0" w:line="360" w:lineRule="auto"/>
        <w:rPr>
          <w:rFonts w:hAnsi="宋体"/>
          <w:b/>
          <w:bCs/>
          <w:color w:val="auto"/>
          <w:sz w:val="30"/>
          <w:szCs w:val="30"/>
          <w:highlight w:val="none"/>
        </w:rPr>
      </w:pPr>
      <w:r>
        <w:rPr>
          <w:rFonts w:hint="eastAsia" w:hAnsi="宋体"/>
          <w:b/>
          <w:bCs/>
          <w:color w:val="auto"/>
          <w:sz w:val="30"/>
          <w:szCs w:val="30"/>
          <w:highlight w:val="none"/>
        </w:rPr>
        <w:t>代理机构：宁波中基国际招标有限公司</w:t>
      </w:r>
    </w:p>
    <w:p>
      <w:pPr>
        <w:snapToGrid w:val="0"/>
        <w:spacing w:before="120" w:beforeLines="50" w:line="360" w:lineRule="auto"/>
        <w:jc w:val="center"/>
        <w:rPr>
          <w:rFonts w:ascii="宋体" w:hAnsi="宋体" w:cs="宋体"/>
          <w:b/>
          <w:bCs/>
          <w:color w:val="auto"/>
          <w:w w:val="95"/>
          <w:sz w:val="30"/>
          <w:szCs w:val="30"/>
          <w:highlight w:val="none"/>
        </w:rPr>
      </w:pPr>
    </w:p>
    <w:p>
      <w:pPr>
        <w:snapToGrid w:val="0"/>
        <w:spacing w:before="120" w:beforeLines="50" w:line="360" w:lineRule="auto"/>
        <w:rPr>
          <w:rFonts w:ascii="宋体" w:hAnsi="宋体" w:cs="宋体"/>
          <w:b/>
          <w:bCs/>
          <w:color w:val="auto"/>
          <w:w w:val="95"/>
          <w:sz w:val="30"/>
          <w:szCs w:val="30"/>
          <w:highlight w:val="none"/>
        </w:rPr>
      </w:pPr>
    </w:p>
    <w:p>
      <w:pPr>
        <w:pStyle w:val="26"/>
        <w:spacing w:before="120" w:after="120"/>
        <w:rPr>
          <w:rFonts w:hAnsi="宋体"/>
          <w:color w:val="auto"/>
          <w:highlight w:val="none"/>
        </w:rPr>
      </w:pPr>
    </w:p>
    <w:p>
      <w:pPr>
        <w:snapToGrid w:val="0"/>
        <w:spacing w:before="120" w:beforeLines="50" w:line="360" w:lineRule="auto"/>
        <w:jc w:val="center"/>
        <w:rPr>
          <w:rFonts w:ascii="宋体" w:hAnsi="宋体" w:cs="宋体"/>
          <w:color w:val="auto"/>
          <w:sz w:val="30"/>
          <w:szCs w:val="30"/>
          <w:highlight w:val="none"/>
        </w:rPr>
      </w:pPr>
      <w:r>
        <w:rPr>
          <w:rFonts w:hint="eastAsia" w:ascii="宋体" w:hAnsi="宋体" w:cs="宋体"/>
          <w:b/>
          <w:bCs/>
          <w:color w:val="auto"/>
          <w:w w:val="95"/>
          <w:sz w:val="30"/>
          <w:szCs w:val="30"/>
          <w:highlight w:val="none"/>
        </w:rPr>
        <w:t>2023 年</w:t>
      </w:r>
      <w:r>
        <w:rPr>
          <w:rFonts w:hint="eastAsia" w:ascii="宋体" w:hAnsi="宋体" w:cs="宋体"/>
          <w:b/>
          <w:bCs/>
          <w:color w:val="auto"/>
          <w:w w:val="95"/>
          <w:sz w:val="30"/>
          <w:szCs w:val="30"/>
          <w:highlight w:val="none"/>
          <w:lang w:val="en-US" w:eastAsia="zh-CN"/>
        </w:rPr>
        <w:t>9</w:t>
      </w:r>
      <w:r>
        <w:rPr>
          <w:rFonts w:hint="eastAsia" w:ascii="宋体" w:hAnsi="宋体" w:cs="宋体"/>
          <w:b/>
          <w:bCs/>
          <w:color w:val="auto"/>
          <w:w w:val="95"/>
          <w:sz w:val="30"/>
          <w:szCs w:val="30"/>
          <w:highlight w:val="none"/>
        </w:rPr>
        <w:t>月</w:t>
      </w:r>
    </w:p>
    <w:p>
      <w:pPr>
        <w:spacing w:line="360" w:lineRule="auto"/>
        <w:jc w:val="center"/>
        <w:rPr>
          <w:rFonts w:ascii="宋体" w:hAnsi="宋体" w:cs="宋体"/>
          <w:color w:val="auto"/>
          <w:sz w:val="32"/>
          <w:szCs w:val="32"/>
          <w:highlight w:val="none"/>
        </w:rPr>
      </w:pPr>
      <w:r>
        <w:rPr>
          <w:rFonts w:hint="eastAsia" w:ascii="宋体" w:hAnsi="宋体" w:cs="宋体"/>
          <w:color w:val="auto"/>
          <w:highlight w:val="none"/>
        </w:rPr>
        <w:br w:type="page"/>
      </w:r>
    </w:p>
    <w:p>
      <w:pP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pStyle w:val="3"/>
        <w:rPr>
          <w:rFonts w:ascii="宋体" w:hAnsi="宋体" w:cs="宋体"/>
          <w:color w:val="auto"/>
          <w:highlight w:val="none"/>
        </w:rPr>
      </w:pPr>
    </w:p>
    <w:p>
      <w:pPr>
        <w:pStyle w:val="35"/>
        <w:tabs>
          <w:tab w:val="right" w:leader="dot" w:pos="8307"/>
        </w:tabs>
        <w:spacing w:line="480" w:lineRule="auto"/>
        <w:rPr>
          <w:sz w:val="32"/>
          <w:szCs w:val="32"/>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 TOC \o "1-3" \h \z \u </w:instrText>
      </w:r>
      <w:r>
        <w:rPr>
          <w:rFonts w:hint="eastAsia" w:ascii="宋体" w:hAnsi="宋体" w:cs="宋体"/>
          <w:b/>
          <w:bCs/>
          <w:color w:val="auto"/>
          <w:sz w:val="32"/>
          <w:szCs w:val="32"/>
          <w:highlight w:val="none"/>
        </w:rPr>
        <w:fldChar w:fldCharType="separate"/>
      </w:r>
      <w:r>
        <w:rPr>
          <w:rFonts w:hint="eastAsia" w:ascii="宋体" w:hAnsi="宋体" w:cs="宋体"/>
          <w:bCs/>
          <w:color w:val="auto"/>
          <w:sz w:val="32"/>
          <w:szCs w:val="32"/>
          <w:highlight w:val="none"/>
        </w:rPr>
        <w:fldChar w:fldCharType="begin"/>
      </w:r>
      <w:r>
        <w:rPr>
          <w:rFonts w:hint="eastAsia" w:ascii="宋体" w:hAnsi="宋体" w:cs="宋体"/>
          <w:bCs/>
          <w:sz w:val="32"/>
          <w:szCs w:val="32"/>
          <w:highlight w:val="none"/>
        </w:rPr>
        <w:instrText xml:space="preserve"> HYPERLINK \l _Toc284 </w:instrText>
      </w:r>
      <w:r>
        <w:rPr>
          <w:rFonts w:hint="eastAsia" w:ascii="宋体" w:hAnsi="宋体" w:cs="宋体"/>
          <w:bCs/>
          <w:sz w:val="32"/>
          <w:szCs w:val="32"/>
          <w:highlight w:val="none"/>
        </w:rPr>
        <w:fldChar w:fldCharType="separate"/>
      </w:r>
      <w:r>
        <w:rPr>
          <w:rFonts w:hint="eastAsia" w:ascii="宋体" w:hAnsi="宋体" w:cs="宋体"/>
          <w:sz w:val="32"/>
          <w:szCs w:val="32"/>
          <w:highlight w:val="none"/>
        </w:rPr>
        <w:t>第一章 公开招标采购公告</w:t>
      </w:r>
      <w:r>
        <w:rPr>
          <w:sz w:val="32"/>
          <w:szCs w:val="32"/>
        </w:rPr>
        <w:tab/>
      </w:r>
      <w:r>
        <w:rPr>
          <w:sz w:val="32"/>
          <w:szCs w:val="32"/>
        </w:rPr>
        <w:fldChar w:fldCharType="begin"/>
      </w:r>
      <w:r>
        <w:rPr>
          <w:sz w:val="32"/>
          <w:szCs w:val="32"/>
        </w:rPr>
        <w:instrText xml:space="preserve"> PAGEREF _Toc284 \h </w:instrText>
      </w:r>
      <w:r>
        <w:rPr>
          <w:sz w:val="32"/>
          <w:szCs w:val="32"/>
        </w:rPr>
        <w:fldChar w:fldCharType="separate"/>
      </w:r>
      <w:r>
        <w:rPr>
          <w:sz w:val="32"/>
          <w:szCs w:val="32"/>
        </w:rPr>
        <w:t>4</w:t>
      </w:r>
      <w:r>
        <w:rPr>
          <w:sz w:val="32"/>
          <w:szCs w:val="32"/>
        </w:rPr>
        <w:fldChar w:fldCharType="end"/>
      </w:r>
      <w:r>
        <w:rPr>
          <w:rFonts w:hint="eastAsia" w:ascii="宋体" w:hAnsi="宋体" w:cs="宋体"/>
          <w:bCs/>
          <w:color w:val="auto"/>
          <w:sz w:val="32"/>
          <w:szCs w:val="32"/>
          <w:highlight w:val="none"/>
        </w:rPr>
        <w:fldChar w:fldCharType="end"/>
      </w:r>
    </w:p>
    <w:p>
      <w:pPr>
        <w:pStyle w:val="35"/>
        <w:tabs>
          <w:tab w:val="right" w:leader="dot" w:pos="8307"/>
        </w:tabs>
        <w:spacing w:line="480" w:lineRule="auto"/>
        <w:rPr>
          <w:sz w:val="32"/>
          <w:szCs w:val="32"/>
        </w:rPr>
      </w:pPr>
      <w:r>
        <w:rPr>
          <w:rFonts w:hint="eastAsia" w:ascii="宋体" w:hAnsi="宋体" w:cs="宋体"/>
          <w:bCs/>
          <w:color w:val="auto"/>
          <w:sz w:val="32"/>
          <w:szCs w:val="32"/>
          <w:highlight w:val="none"/>
        </w:rPr>
        <w:fldChar w:fldCharType="begin"/>
      </w:r>
      <w:r>
        <w:rPr>
          <w:rFonts w:hint="eastAsia" w:ascii="宋体" w:hAnsi="宋体" w:cs="宋体"/>
          <w:bCs/>
          <w:sz w:val="32"/>
          <w:szCs w:val="32"/>
          <w:highlight w:val="none"/>
        </w:rPr>
        <w:instrText xml:space="preserve"> HYPERLINK \l _Toc12229 </w:instrText>
      </w:r>
      <w:r>
        <w:rPr>
          <w:rFonts w:hint="eastAsia" w:ascii="宋体" w:hAnsi="宋体" w:cs="宋体"/>
          <w:bCs/>
          <w:sz w:val="32"/>
          <w:szCs w:val="32"/>
          <w:highlight w:val="none"/>
        </w:rPr>
        <w:fldChar w:fldCharType="separate"/>
      </w:r>
      <w:r>
        <w:rPr>
          <w:rFonts w:hint="eastAsia" w:ascii="宋体" w:cs="宋体"/>
          <w:sz w:val="32"/>
          <w:szCs w:val="32"/>
          <w:highlight w:val="none"/>
        </w:rPr>
        <w:t>第二章  招标需求</w:t>
      </w:r>
      <w:r>
        <w:rPr>
          <w:sz w:val="32"/>
          <w:szCs w:val="32"/>
        </w:rPr>
        <w:tab/>
      </w:r>
      <w:r>
        <w:rPr>
          <w:sz w:val="32"/>
          <w:szCs w:val="32"/>
        </w:rPr>
        <w:fldChar w:fldCharType="begin"/>
      </w:r>
      <w:r>
        <w:rPr>
          <w:sz w:val="32"/>
          <w:szCs w:val="32"/>
        </w:rPr>
        <w:instrText xml:space="preserve"> PAGEREF _Toc12229 \h </w:instrText>
      </w:r>
      <w:r>
        <w:rPr>
          <w:sz w:val="32"/>
          <w:szCs w:val="32"/>
        </w:rPr>
        <w:fldChar w:fldCharType="separate"/>
      </w:r>
      <w:r>
        <w:rPr>
          <w:sz w:val="32"/>
          <w:szCs w:val="32"/>
        </w:rPr>
        <w:t>9</w:t>
      </w:r>
      <w:r>
        <w:rPr>
          <w:sz w:val="32"/>
          <w:szCs w:val="32"/>
        </w:rPr>
        <w:fldChar w:fldCharType="end"/>
      </w:r>
      <w:r>
        <w:rPr>
          <w:rFonts w:hint="eastAsia" w:ascii="宋体" w:hAnsi="宋体" w:cs="宋体"/>
          <w:bCs/>
          <w:color w:val="auto"/>
          <w:sz w:val="32"/>
          <w:szCs w:val="32"/>
          <w:highlight w:val="none"/>
        </w:rPr>
        <w:fldChar w:fldCharType="end"/>
      </w:r>
    </w:p>
    <w:p>
      <w:pPr>
        <w:pStyle w:val="35"/>
        <w:tabs>
          <w:tab w:val="right" w:leader="dot" w:pos="8307"/>
        </w:tabs>
        <w:spacing w:line="480" w:lineRule="auto"/>
        <w:rPr>
          <w:sz w:val="32"/>
          <w:szCs w:val="32"/>
        </w:rPr>
      </w:pPr>
      <w:r>
        <w:rPr>
          <w:rFonts w:hint="eastAsia" w:ascii="宋体" w:hAnsi="宋体" w:cs="宋体"/>
          <w:bCs/>
          <w:color w:val="auto"/>
          <w:sz w:val="32"/>
          <w:szCs w:val="32"/>
          <w:highlight w:val="none"/>
        </w:rPr>
        <w:fldChar w:fldCharType="begin"/>
      </w:r>
      <w:r>
        <w:rPr>
          <w:rFonts w:hint="eastAsia" w:ascii="宋体" w:hAnsi="宋体" w:cs="宋体"/>
          <w:bCs/>
          <w:sz w:val="32"/>
          <w:szCs w:val="32"/>
          <w:highlight w:val="none"/>
        </w:rPr>
        <w:instrText xml:space="preserve"> HYPERLINK \l _Toc12110 </w:instrText>
      </w:r>
      <w:r>
        <w:rPr>
          <w:rFonts w:hint="eastAsia" w:ascii="宋体" w:hAnsi="宋体" w:cs="宋体"/>
          <w:bCs/>
          <w:sz w:val="32"/>
          <w:szCs w:val="32"/>
          <w:highlight w:val="none"/>
        </w:rPr>
        <w:fldChar w:fldCharType="separate"/>
      </w:r>
      <w:r>
        <w:rPr>
          <w:rFonts w:hint="eastAsia" w:ascii="宋体" w:cs="宋体"/>
          <w:sz w:val="32"/>
          <w:szCs w:val="32"/>
        </w:rPr>
        <w:t xml:space="preserve">第三章 </w:t>
      </w:r>
      <w:r>
        <w:rPr>
          <w:rFonts w:hint="eastAsia" w:ascii="宋体" w:cs="宋体"/>
          <w:sz w:val="32"/>
          <w:szCs w:val="32"/>
          <w:highlight w:val="none"/>
        </w:rPr>
        <w:t>投标人须知</w:t>
      </w:r>
      <w:r>
        <w:rPr>
          <w:sz w:val="32"/>
          <w:szCs w:val="32"/>
        </w:rPr>
        <w:tab/>
      </w:r>
      <w:r>
        <w:rPr>
          <w:sz w:val="32"/>
          <w:szCs w:val="32"/>
        </w:rPr>
        <w:fldChar w:fldCharType="begin"/>
      </w:r>
      <w:r>
        <w:rPr>
          <w:sz w:val="32"/>
          <w:szCs w:val="32"/>
        </w:rPr>
        <w:instrText xml:space="preserve"> PAGEREF _Toc12110 \h </w:instrText>
      </w:r>
      <w:r>
        <w:rPr>
          <w:sz w:val="32"/>
          <w:szCs w:val="32"/>
        </w:rPr>
        <w:fldChar w:fldCharType="separate"/>
      </w:r>
      <w:r>
        <w:rPr>
          <w:sz w:val="32"/>
          <w:szCs w:val="32"/>
        </w:rPr>
        <w:t>27</w:t>
      </w:r>
      <w:r>
        <w:rPr>
          <w:sz w:val="32"/>
          <w:szCs w:val="32"/>
        </w:rPr>
        <w:fldChar w:fldCharType="end"/>
      </w:r>
      <w:r>
        <w:rPr>
          <w:rFonts w:hint="eastAsia" w:ascii="宋体" w:hAnsi="宋体" w:cs="宋体"/>
          <w:bCs/>
          <w:color w:val="auto"/>
          <w:sz w:val="32"/>
          <w:szCs w:val="32"/>
          <w:highlight w:val="none"/>
        </w:rPr>
        <w:fldChar w:fldCharType="end"/>
      </w:r>
    </w:p>
    <w:p>
      <w:pPr>
        <w:pStyle w:val="35"/>
        <w:tabs>
          <w:tab w:val="right" w:leader="dot" w:pos="8307"/>
        </w:tabs>
        <w:spacing w:line="480" w:lineRule="auto"/>
        <w:rPr>
          <w:sz w:val="32"/>
          <w:szCs w:val="32"/>
        </w:rPr>
      </w:pPr>
      <w:r>
        <w:rPr>
          <w:rFonts w:hint="eastAsia" w:ascii="宋体" w:hAnsi="宋体" w:cs="宋体"/>
          <w:bCs/>
          <w:color w:val="auto"/>
          <w:sz w:val="32"/>
          <w:szCs w:val="32"/>
          <w:highlight w:val="none"/>
        </w:rPr>
        <w:fldChar w:fldCharType="begin"/>
      </w:r>
      <w:r>
        <w:rPr>
          <w:rFonts w:hint="eastAsia" w:ascii="宋体" w:hAnsi="宋体" w:cs="宋体"/>
          <w:bCs/>
          <w:sz w:val="32"/>
          <w:szCs w:val="32"/>
          <w:highlight w:val="none"/>
        </w:rPr>
        <w:instrText xml:space="preserve"> HYPERLINK \l _Toc16830 </w:instrText>
      </w:r>
      <w:r>
        <w:rPr>
          <w:rFonts w:hint="eastAsia" w:ascii="宋体" w:hAnsi="宋体" w:cs="宋体"/>
          <w:bCs/>
          <w:sz w:val="32"/>
          <w:szCs w:val="32"/>
          <w:highlight w:val="none"/>
        </w:rPr>
        <w:fldChar w:fldCharType="separate"/>
      </w:r>
      <w:r>
        <w:rPr>
          <w:rFonts w:hint="eastAsia" w:ascii="宋体" w:cs="宋体"/>
          <w:sz w:val="32"/>
          <w:szCs w:val="32"/>
          <w:highlight w:val="none"/>
        </w:rPr>
        <w:t>第四章  评标办法及评分标准</w:t>
      </w:r>
      <w:r>
        <w:rPr>
          <w:sz w:val="32"/>
          <w:szCs w:val="32"/>
        </w:rPr>
        <w:tab/>
      </w:r>
      <w:r>
        <w:rPr>
          <w:sz w:val="32"/>
          <w:szCs w:val="32"/>
        </w:rPr>
        <w:fldChar w:fldCharType="begin"/>
      </w:r>
      <w:r>
        <w:rPr>
          <w:sz w:val="32"/>
          <w:szCs w:val="32"/>
        </w:rPr>
        <w:instrText xml:space="preserve"> PAGEREF _Toc16830 \h </w:instrText>
      </w:r>
      <w:r>
        <w:rPr>
          <w:sz w:val="32"/>
          <w:szCs w:val="32"/>
        </w:rPr>
        <w:fldChar w:fldCharType="separate"/>
      </w:r>
      <w:r>
        <w:rPr>
          <w:sz w:val="32"/>
          <w:szCs w:val="32"/>
        </w:rPr>
        <w:t>36</w:t>
      </w:r>
      <w:r>
        <w:rPr>
          <w:sz w:val="32"/>
          <w:szCs w:val="32"/>
        </w:rPr>
        <w:fldChar w:fldCharType="end"/>
      </w:r>
      <w:r>
        <w:rPr>
          <w:rFonts w:hint="eastAsia" w:ascii="宋体" w:hAnsi="宋体" w:cs="宋体"/>
          <w:bCs/>
          <w:color w:val="auto"/>
          <w:sz w:val="32"/>
          <w:szCs w:val="32"/>
          <w:highlight w:val="none"/>
        </w:rPr>
        <w:fldChar w:fldCharType="end"/>
      </w:r>
    </w:p>
    <w:p>
      <w:pPr>
        <w:pStyle w:val="35"/>
        <w:tabs>
          <w:tab w:val="right" w:leader="dot" w:pos="8307"/>
        </w:tabs>
        <w:spacing w:line="480" w:lineRule="auto"/>
        <w:rPr>
          <w:sz w:val="32"/>
          <w:szCs w:val="32"/>
        </w:rPr>
      </w:pPr>
      <w:r>
        <w:rPr>
          <w:rFonts w:hint="eastAsia" w:ascii="宋体" w:hAnsi="宋体" w:cs="宋体"/>
          <w:bCs/>
          <w:color w:val="auto"/>
          <w:sz w:val="32"/>
          <w:szCs w:val="32"/>
          <w:highlight w:val="none"/>
        </w:rPr>
        <w:fldChar w:fldCharType="begin"/>
      </w:r>
      <w:r>
        <w:rPr>
          <w:rFonts w:hint="eastAsia" w:ascii="宋体" w:hAnsi="宋体" w:cs="宋体"/>
          <w:bCs/>
          <w:sz w:val="32"/>
          <w:szCs w:val="32"/>
          <w:highlight w:val="none"/>
        </w:rPr>
        <w:instrText xml:space="preserve"> HYPERLINK \l _Toc15863 </w:instrText>
      </w:r>
      <w:r>
        <w:rPr>
          <w:rFonts w:hint="eastAsia" w:ascii="宋体" w:hAnsi="宋体" w:cs="宋体"/>
          <w:bCs/>
          <w:sz w:val="32"/>
          <w:szCs w:val="32"/>
          <w:highlight w:val="none"/>
        </w:rPr>
        <w:fldChar w:fldCharType="separate"/>
      </w:r>
      <w:r>
        <w:rPr>
          <w:rFonts w:hint="eastAsia" w:ascii="宋体" w:cs="宋体"/>
          <w:sz w:val="32"/>
          <w:szCs w:val="32"/>
          <w:highlight w:val="none"/>
        </w:rPr>
        <w:t>第五章  合同主要条款</w:t>
      </w:r>
      <w:r>
        <w:rPr>
          <w:sz w:val="32"/>
          <w:szCs w:val="32"/>
        </w:rPr>
        <w:tab/>
      </w:r>
      <w:r>
        <w:rPr>
          <w:sz w:val="32"/>
          <w:szCs w:val="32"/>
        </w:rPr>
        <w:fldChar w:fldCharType="begin"/>
      </w:r>
      <w:r>
        <w:rPr>
          <w:sz w:val="32"/>
          <w:szCs w:val="32"/>
        </w:rPr>
        <w:instrText xml:space="preserve"> PAGEREF _Toc15863 \h </w:instrText>
      </w:r>
      <w:r>
        <w:rPr>
          <w:sz w:val="32"/>
          <w:szCs w:val="32"/>
        </w:rPr>
        <w:fldChar w:fldCharType="separate"/>
      </w:r>
      <w:r>
        <w:rPr>
          <w:sz w:val="32"/>
          <w:szCs w:val="32"/>
        </w:rPr>
        <w:t>54</w:t>
      </w:r>
      <w:r>
        <w:rPr>
          <w:sz w:val="32"/>
          <w:szCs w:val="32"/>
        </w:rPr>
        <w:fldChar w:fldCharType="end"/>
      </w:r>
      <w:r>
        <w:rPr>
          <w:rFonts w:hint="eastAsia" w:ascii="宋体" w:hAnsi="宋体" w:cs="宋体"/>
          <w:bCs/>
          <w:color w:val="auto"/>
          <w:sz w:val="32"/>
          <w:szCs w:val="32"/>
          <w:highlight w:val="none"/>
        </w:rPr>
        <w:fldChar w:fldCharType="end"/>
      </w:r>
    </w:p>
    <w:p>
      <w:pPr>
        <w:pStyle w:val="35"/>
        <w:tabs>
          <w:tab w:val="right" w:leader="dot" w:pos="8307"/>
        </w:tabs>
        <w:spacing w:line="480" w:lineRule="auto"/>
        <w:rPr>
          <w:sz w:val="32"/>
          <w:szCs w:val="32"/>
        </w:rPr>
      </w:pPr>
      <w:r>
        <w:rPr>
          <w:rFonts w:hint="eastAsia" w:ascii="宋体" w:hAnsi="宋体" w:cs="宋体"/>
          <w:bCs/>
          <w:color w:val="auto"/>
          <w:sz w:val="32"/>
          <w:szCs w:val="32"/>
          <w:highlight w:val="none"/>
        </w:rPr>
        <w:fldChar w:fldCharType="begin"/>
      </w:r>
      <w:r>
        <w:rPr>
          <w:rFonts w:hint="eastAsia" w:ascii="宋体" w:hAnsi="宋体" w:cs="宋体"/>
          <w:bCs/>
          <w:sz w:val="32"/>
          <w:szCs w:val="32"/>
          <w:highlight w:val="none"/>
        </w:rPr>
        <w:instrText xml:space="preserve"> HYPERLINK \l _Toc32670 </w:instrText>
      </w:r>
      <w:r>
        <w:rPr>
          <w:rFonts w:hint="eastAsia" w:ascii="宋体" w:hAnsi="宋体" w:cs="宋体"/>
          <w:bCs/>
          <w:sz w:val="32"/>
          <w:szCs w:val="32"/>
          <w:highlight w:val="none"/>
        </w:rPr>
        <w:fldChar w:fldCharType="separate"/>
      </w:r>
      <w:r>
        <w:rPr>
          <w:rFonts w:hint="eastAsia" w:ascii="宋体" w:cs="宋体"/>
          <w:sz w:val="32"/>
          <w:szCs w:val="32"/>
          <w:highlight w:val="none"/>
        </w:rPr>
        <w:t>第六章  投标文件格式</w:t>
      </w:r>
      <w:r>
        <w:rPr>
          <w:sz w:val="32"/>
          <w:szCs w:val="32"/>
        </w:rPr>
        <w:tab/>
      </w:r>
      <w:r>
        <w:rPr>
          <w:sz w:val="32"/>
          <w:szCs w:val="32"/>
        </w:rPr>
        <w:fldChar w:fldCharType="begin"/>
      </w:r>
      <w:r>
        <w:rPr>
          <w:sz w:val="32"/>
          <w:szCs w:val="32"/>
        </w:rPr>
        <w:instrText xml:space="preserve"> PAGEREF _Toc32670 \h </w:instrText>
      </w:r>
      <w:r>
        <w:rPr>
          <w:sz w:val="32"/>
          <w:szCs w:val="32"/>
        </w:rPr>
        <w:fldChar w:fldCharType="separate"/>
      </w:r>
      <w:r>
        <w:rPr>
          <w:sz w:val="32"/>
          <w:szCs w:val="32"/>
        </w:rPr>
        <w:t>59</w:t>
      </w:r>
      <w:r>
        <w:rPr>
          <w:sz w:val="32"/>
          <w:szCs w:val="32"/>
        </w:rPr>
        <w:fldChar w:fldCharType="end"/>
      </w:r>
      <w:r>
        <w:rPr>
          <w:rFonts w:hint="eastAsia" w:ascii="宋体" w:hAnsi="宋体" w:cs="宋体"/>
          <w:bCs/>
          <w:color w:val="auto"/>
          <w:sz w:val="32"/>
          <w:szCs w:val="32"/>
          <w:highlight w:val="none"/>
        </w:rPr>
        <w:fldChar w:fldCharType="end"/>
      </w:r>
    </w:p>
    <w:p>
      <w:pPr>
        <w:spacing w:line="480" w:lineRule="auto"/>
        <w:rPr>
          <w:rFonts w:ascii="宋体" w:hAnsi="宋体" w:cs="宋体"/>
          <w:color w:val="auto"/>
          <w:sz w:val="32"/>
          <w:szCs w:val="32"/>
          <w:highlight w:val="none"/>
        </w:rPr>
      </w:pPr>
      <w:r>
        <w:rPr>
          <w:rFonts w:hint="eastAsia" w:ascii="宋体" w:hAnsi="宋体" w:cs="宋体"/>
          <w:bCs/>
          <w:color w:val="auto"/>
          <w:sz w:val="32"/>
          <w:szCs w:val="32"/>
          <w:highlight w:val="none"/>
        </w:rPr>
        <w:fldChar w:fldCharType="end"/>
      </w:r>
    </w:p>
    <w:p>
      <w:pPr>
        <w:tabs>
          <w:tab w:val="left" w:pos="855"/>
        </w:tabs>
        <w:spacing w:line="360" w:lineRule="auto"/>
        <w:rPr>
          <w:rFonts w:ascii="宋体" w:hAnsi="宋体" w:cs="宋体"/>
          <w:color w:val="auto"/>
          <w:sz w:val="28"/>
          <w:szCs w:val="28"/>
          <w:highlight w:val="none"/>
        </w:rPr>
      </w:pPr>
    </w:p>
    <w:p>
      <w:pPr>
        <w:spacing w:line="360" w:lineRule="auto"/>
        <w:rPr>
          <w:rFonts w:ascii="宋体" w:hAnsi="宋体" w:cs="宋体"/>
          <w:b/>
          <w:bCs/>
          <w:color w:val="auto"/>
          <w:sz w:val="28"/>
          <w:szCs w:val="28"/>
          <w:highlight w:val="none"/>
        </w:rPr>
      </w:pPr>
      <w:r>
        <w:rPr>
          <w:rFonts w:hint="eastAsia" w:ascii="宋体" w:hAnsi="宋体" w:cs="宋体"/>
          <w:color w:val="auto"/>
          <w:sz w:val="28"/>
          <w:szCs w:val="28"/>
          <w:highlight w:val="none"/>
        </w:rPr>
        <w:t xml:space="preserve"> </w:t>
      </w:r>
    </w:p>
    <w:p>
      <w:pPr>
        <w:pStyle w:val="26"/>
        <w:spacing w:beforeLines="0" w:afterLines="0" w:line="360" w:lineRule="auto"/>
        <w:rPr>
          <w:rFonts w:hAnsi="宋体"/>
          <w:b/>
          <w:bCs/>
          <w:color w:val="auto"/>
          <w:sz w:val="30"/>
          <w:szCs w:val="30"/>
          <w:highlight w:val="none"/>
        </w:rPr>
      </w:pPr>
    </w:p>
    <w:p>
      <w:pPr>
        <w:pStyle w:val="26"/>
        <w:spacing w:beforeLines="0" w:afterLines="0" w:line="360" w:lineRule="auto"/>
        <w:jc w:val="center"/>
        <w:rPr>
          <w:rFonts w:hAnsi="宋体"/>
          <w:b/>
          <w:bCs/>
          <w:color w:val="auto"/>
          <w:sz w:val="30"/>
          <w:szCs w:val="30"/>
          <w:highlight w:val="none"/>
        </w:rPr>
        <w:sectPr>
          <w:footerReference r:id="rId4" w:type="first"/>
          <w:footerReference r:id="rId3" w:type="default"/>
          <w:pgSz w:w="11907" w:h="16840"/>
          <w:pgMar w:top="1440" w:right="1800" w:bottom="1440" w:left="1800" w:header="720" w:footer="720" w:gutter="0"/>
          <w:cols w:space="720" w:num="1"/>
          <w:docGrid w:linePitch="286" w:charSpace="0"/>
        </w:sectPr>
      </w:pPr>
    </w:p>
    <w:p>
      <w:pPr>
        <w:pStyle w:val="45"/>
        <w:rPr>
          <w:rFonts w:ascii="宋体" w:hAnsi="宋体" w:cs="宋体"/>
          <w:color w:val="auto"/>
          <w:highlight w:val="none"/>
        </w:rPr>
      </w:pPr>
      <w:bookmarkStart w:id="0" w:name="_Toc397325809"/>
      <w:bookmarkStart w:id="1" w:name="_Toc11614"/>
      <w:bookmarkStart w:id="2" w:name="_Toc284"/>
      <w:r>
        <w:rPr>
          <w:rFonts w:hint="eastAsia" w:ascii="宋体" w:hAnsi="宋体" w:cs="宋体"/>
          <w:color w:val="auto"/>
          <w:highlight w:val="none"/>
        </w:rPr>
        <w:t>第一章 公开招标采购公告</w:t>
      </w:r>
      <w:bookmarkEnd w:id="0"/>
      <w:bookmarkEnd w:id="1"/>
      <w:bookmarkEnd w:id="2"/>
    </w:p>
    <w:p>
      <w:pPr>
        <w:pStyle w:val="210"/>
        <w:widowControl w:val="0"/>
        <w:snapToGrid/>
        <w:spacing w:afterLines="0" w:line="360" w:lineRule="auto"/>
        <w:ind w:firstLine="0" w:firstLineChars="0"/>
        <w:rPr>
          <w:rFonts w:ascii="宋体" w:hAnsi="宋体" w:cs="宋体"/>
          <w:color w:val="auto"/>
          <w:sz w:val="21"/>
          <w:szCs w:val="21"/>
          <w:highlight w:val="none"/>
        </w:rPr>
      </w:pPr>
      <w:r>
        <w:rPr>
          <w:rFonts w:hint="eastAsia" w:ascii="宋体" w:hAnsi="宋体" w:cs="宋体"/>
          <w:b/>
          <w:bCs/>
          <w:color w:val="auto"/>
          <w:sz w:val="21"/>
          <w:szCs w:val="21"/>
          <w:highlight w:val="none"/>
        </w:rPr>
        <w:t>项目概况：</w:t>
      </w:r>
    </w:p>
    <w:p>
      <w:pPr>
        <w:pStyle w:val="210"/>
        <w:widowControl w:val="0"/>
        <w:snapToGrid/>
        <w:spacing w:afterLines="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lang w:eastAsia="zh-CN"/>
        </w:rPr>
        <w:t>缙云县人民医院手术腔镜系统（3D）、甲醛灭菌器及高清电子内窥镜系统采购项目</w:t>
      </w:r>
      <w:r>
        <w:rPr>
          <w:rFonts w:hint="eastAsia" w:ascii="宋体" w:hAnsi="宋体" w:cs="宋体"/>
          <w:color w:val="auto"/>
          <w:sz w:val="21"/>
          <w:szCs w:val="21"/>
          <w:highlight w:val="none"/>
        </w:rPr>
        <w:t>的潜在投标人应在政府采购云平台（www.zcygov.cn）获取（下载）招标文件，并于2023年</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0（北京时间）前递交（上传）投标文件。 </w:t>
      </w:r>
    </w:p>
    <w:p>
      <w:pPr>
        <w:pStyle w:val="210"/>
        <w:widowControl w:val="0"/>
        <w:snapToGrid/>
        <w:spacing w:afterLines="0" w:line="360" w:lineRule="auto"/>
        <w:ind w:firstLine="0" w:firstLineChars="0"/>
        <w:rPr>
          <w:rFonts w:ascii="宋体" w:hAnsi="宋体" w:cs="宋体"/>
          <w:color w:val="auto"/>
          <w:sz w:val="21"/>
          <w:szCs w:val="21"/>
          <w:highlight w:val="none"/>
        </w:rPr>
      </w:pPr>
      <w:r>
        <w:rPr>
          <w:rFonts w:hint="eastAsia" w:ascii="宋体" w:hAnsi="宋体" w:cs="宋体"/>
          <w:b/>
          <w:bCs/>
          <w:color w:val="auto"/>
          <w:sz w:val="21"/>
          <w:szCs w:val="21"/>
          <w:highlight w:val="none"/>
        </w:rPr>
        <w:t>一、项目基本情况</w:t>
      </w:r>
      <w:r>
        <w:rPr>
          <w:rFonts w:hint="eastAsia" w:ascii="宋体" w:hAnsi="宋体" w:cs="宋体"/>
          <w:color w:val="auto"/>
          <w:sz w:val="21"/>
          <w:szCs w:val="21"/>
          <w:highlight w:val="none"/>
        </w:rPr>
        <w:t xml:space="preserve">                          </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项目编号：</w:t>
      </w:r>
      <w:r>
        <w:rPr>
          <w:rFonts w:hint="eastAsia" w:ascii="宋体" w:hAnsi="宋体" w:cs="宋体"/>
          <w:color w:val="auto"/>
          <w:kern w:val="0"/>
          <w:highlight w:val="none"/>
          <w:lang w:eastAsia="zh-CN"/>
        </w:rPr>
        <w:t>JY分散公开2023-30</w:t>
      </w:r>
    </w:p>
    <w:p>
      <w:pPr>
        <w:widowControl/>
        <w:spacing w:line="360" w:lineRule="auto"/>
        <w:ind w:firstLine="420" w:firstLineChars="200"/>
        <w:rPr>
          <w:rFonts w:hint="eastAsia" w:ascii="宋体" w:hAnsi="宋体" w:cs="宋体"/>
          <w:color w:val="auto"/>
          <w:highlight w:val="none"/>
          <w:lang w:eastAsia="zh-CN"/>
        </w:rPr>
      </w:pPr>
      <w:r>
        <w:rPr>
          <w:rFonts w:hint="eastAsia" w:ascii="宋体" w:hAnsi="宋体" w:cs="宋体"/>
          <w:color w:val="auto"/>
          <w:kern w:val="0"/>
          <w:highlight w:val="none"/>
        </w:rPr>
        <w:t>项目名称：</w:t>
      </w:r>
      <w:r>
        <w:rPr>
          <w:rFonts w:hint="eastAsia" w:ascii="宋体" w:hAnsi="宋体" w:cs="宋体"/>
          <w:color w:val="auto"/>
          <w:highlight w:val="none"/>
          <w:lang w:eastAsia="zh-CN"/>
        </w:rPr>
        <w:t>缙云县人民医院手术腔镜系统（3D）、甲醛灭菌器及高清电子内窥镜系统采购项目</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40</w:t>
      </w:r>
      <w:r>
        <w:rPr>
          <w:rFonts w:hint="eastAsia" w:ascii="宋体" w:hAnsi="宋体" w:cs="宋体"/>
          <w:color w:val="auto"/>
          <w:kern w:val="0"/>
          <w:highlight w:val="none"/>
        </w:rPr>
        <w:t>0,000.00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标项一：2,400,000.00；标项二：1,000,000.00；标项三：2,000,000.00</w:t>
      </w:r>
      <w:r>
        <w:rPr>
          <w:rFonts w:hint="eastAsia" w:ascii="宋体" w:hAnsi="宋体" w:cs="宋体"/>
          <w:color w:val="auto"/>
          <w:kern w:val="0"/>
          <w:highlight w:val="none"/>
          <w:lang w:eastAsia="zh-CN"/>
        </w:rPr>
        <w:t>）</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最高限价（元）：</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40</w:t>
      </w:r>
      <w:r>
        <w:rPr>
          <w:rFonts w:hint="eastAsia" w:ascii="宋体" w:hAnsi="宋体" w:cs="宋体"/>
          <w:color w:val="auto"/>
          <w:kern w:val="0"/>
          <w:highlight w:val="none"/>
        </w:rPr>
        <w:t>0,000.00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标项一：2,400,000.00；标项二：1,000,000.00；标项三：2,000,000.00</w:t>
      </w:r>
      <w:r>
        <w:rPr>
          <w:rFonts w:hint="eastAsia" w:ascii="宋体" w:hAnsi="宋体" w:cs="宋体"/>
          <w:color w:val="auto"/>
          <w:kern w:val="0"/>
          <w:highlight w:val="none"/>
          <w:lang w:eastAsia="zh-CN"/>
        </w:rPr>
        <w:t>）</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采购需求：</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标项一：</w:t>
      </w:r>
    </w:p>
    <w:p>
      <w:pPr>
        <w:widowControl/>
        <w:spacing w:line="360" w:lineRule="auto"/>
        <w:ind w:left="420" w:leftChars="200"/>
        <w:rPr>
          <w:rFonts w:hint="eastAsia" w:ascii="宋体" w:hAnsi="宋体" w:cs="宋体"/>
          <w:color w:val="auto"/>
          <w:highlight w:val="none"/>
          <w:lang w:eastAsia="zh-CN"/>
        </w:rPr>
      </w:pPr>
      <w:r>
        <w:rPr>
          <w:rFonts w:hint="eastAsia" w:ascii="宋体" w:hAnsi="宋体" w:cs="宋体"/>
          <w:color w:val="auto"/>
          <w:kern w:val="0"/>
          <w:highlight w:val="none"/>
        </w:rPr>
        <w:t>标项名称：</w:t>
      </w:r>
      <w:r>
        <w:rPr>
          <w:rFonts w:hint="eastAsia" w:ascii="宋体" w:hAnsi="宋体" w:cs="宋体"/>
          <w:color w:val="auto"/>
          <w:highlight w:val="none"/>
          <w:lang w:eastAsia="zh-CN"/>
        </w:rPr>
        <w:t>手术腔镜系统（3D）</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2,400,000.00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简要规格描述或项目基本概况介绍、用途：详见第二章招标需求。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备注：本标项允许采购进口产品</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欢迎国产产品投标</w:t>
      </w:r>
      <w:r>
        <w:rPr>
          <w:rFonts w:hint="eastAsia" w:ascii="宋体" w:hAnsi="宋体" w:cs="宋体"/>
          <w:color w:val="auto"/>
          <w:kern w:val="0"/>
          <w:highlight w:val="none"/>
          <w:lang w:eastAsia="zh-CN"/>
        </w:rPr>
        <w:t>）</w:t>
      </w:r>
      <w:r>
        <w:rPr>
          <w:rFonts w:hint="eastAsia" w:ascii="宋体" w:hAnsi="宋体" w:cs="宋体"/>
          <w:color w:val="auto"/>
          <w:kern w:val="0"/>
          <w:highlight w:val="none"/>
        </w:rPr>
        <w:t>。</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cs="宋体"/>
          <w:color w:val="auto"/>
          <w:kern w:val="0"/>
          <w:highlight w:val="none"/>
        </w:rPr>
      </w:pPr>
      <w:r>
        <w:rPr>
          <w:rFonts w:hint="eastAsia" w:ascii="宋体" w:hAnsi="宋体" w:cs="宋体"/>
          <w:color w:val="auto"/>
          <w:kern w:val="0"/>
          <w:highlight w:val="none"/>
        </w:rPr>
        <w:t>本项目（是）接受联合体投标。</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w:t>
      </w:r>
      <w:r>
        <w:rPr>
          <w:rFonts w:hint="eastAsia" w:ascii="宋体" w:hAnsi="宋体" w:cs="宋体"/>
          <w:color w:val="auto"/>
          <w:kern w:val="0"/>
          <w:highlight w:val="none"/>
          <w:lang w:val="en-US" w:eastAsia="zh-CN"/>
        </w:rPr>
        <w:t>二</w:t>
      </w:r>
      <w:r>
        <w:rPr>
          <w:rFonts w:hint="eastAsia" w:ascii="宋体" w:hAnsi="宋体" w:cs="宋体"/>
          <w:color w:val="auto"/>
          <w:kern w:val="0"/>
          <w:highlight w:val="none"/>
        </w:rPr>
        <w:t>：</w:t>
      </w:r>
    </w:p>
    <w:p>
      <w:pPr>
        <w:widowControl/>
        <w:spacing w:line="360" w:lineRule="auto"/>
        <w:ind w:left="420" w:leftChars="200"/>
        <w:rPr>
          <w:rFonts w:hint="eastAsia" w:ascii="宋体" w:hAnsi="宋体" w:cs="宋体"/>
          <w:color w:val="auto"/>
          <w:highlight w:val="none"/>
          <w:lang w:eastAsia="zh-CN"/>
        </w:rPr>
      </w:pPr>
      <w:r>
        <w:rPr>
          <w:rFonts w:hint="eastAsia" w:ascii="宋体" w:hAnsi="宋体" w:cs="宋体"/>
          <w:color w:val="auto"/>
          <w:kern w:val="0"/>
          <w:highlight w:val="none"/>
        </w:rPr>
        <w:t>标项名称：</w:t>
      </w:r>
      <w:r>
        <w:rPr>
          <w:rFonts w:hint="eastAsia" w:ascii="宋体" w:hAnsi="宋体" w:cs="宋体"/>
          <w:color w:val="auto"/>
          <w:highlight w:val="none"/>
          <w:lang w:eastAsia="zh-CN"/>
        </w:rPr>
        <w:t>甲醛灭菌器</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1台</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1,000,000.00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简要规格描述或项目基本概况介绍、用途：详见第二章招标需求。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备注：本标项</w:t>
      </w:r>
      <w:r>
        <w:rPr>
          <w:rFonts w:hint="eastAsia" w:ascii="宋体" w:hAnsi="宋体" w:cs="宋体"/>
          <w:color w:val="auto"/>
          <w:kern w:val="0"/>
          <w:highlight w:val="none"/>
          <w:lang w:val="en-US" w:eastAsia="zh-CN"/>
        </w:rPr>
        <w:t>不</w:t>
      </w:r>
      <w:r>
        <w:rPr>
          <w:rFonts w:hint="eastAsia" w:ascii="宋体" w:hAnsi="宋体" w:cs="宋体"/>
          <w:color w:val="auto"/>
          <w:kern w:val="0"/>
          <w:highlight w:val="none"/>
        </w:rPr>
        <w:t>允许采购进口产品。</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cs="宋体"/>
          <w:color w:val="auto"/>
          <w:kern w:val="0"/>
          <w:highlight w:val="none"/>
        </w:rPr>
      </w:pPr>
      <w:r>
        <w:rPr>
          <w:rFonts w:hint="eastAsia" w:ascii="宋体" w:hAnsi="宋体" w:cs="宋体"/>
          <w:color w:val="auto"/>
          <w:kern w:val="0"/>
          <w:highlight w:val="none"/>
        </w:rPr>
        <w:t>本项目（是）接受联合体投标。</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w:t>
      </w:r>
      <w:r>
        <w:rPr>
          <w:rFonts w:hint="eastAsia" w:ascii="宋体" w:hAnsi="宋体" w:cs="宋体"/>
          <w:color w:val="auto"/>
          <w:kern w:val="0"/>
          <w:highlight w:val="none"/>
          <w:lang w:val="en-US" w:eastAsia="zh-CN"/>
        </w:rPr>
        <w:t>三</w:t>
      </w:r>
      <w:r>
        <w:rPr>
          <w:rFonts w:hint="eastAsia" w:ascii="宋体" w:hAnsi="宋体" w:cs="宋体"/>
          <w:color w:val="auto"/>
          <w:kern w:val="0"/>
          <w:highlight w:val="none"/>
        </w:rPr>
        <w:t>：</w:t>
      </w:r>
    </w:p>
    <w:p>
      <w:pPr>
        <w:widowControl/>
        <w:spacing w:line="360" w:lineRule="auto"/>
        <w:ind w:left="420" w:leftChars="200"/>
        <w:rPr>
          <w:rFonts w:hint="eastAsia" w:ascii="宋体" w:hAnsi="宋体" w:cs="宋体"/>
          <w:color w:val="auto"/>
          <w:highlight w:val="none"/>
          <w:lang w:eastAsia="zh-CN"/>
        </w:rPr>
      </w:pPr>
      <w:r>
        <w:rPr>
          <w:rFonts w:hint="eastAsia" w:ascii="宋体" w:hAnsi="宋体" w:cs="宋体"/>
          <w:color w:val="auto"/>
          <w:kern w:val="0"/>
          <w:highlight w:val="none"/>
        </w:rPr>
        <w:t>标项名称：</w:t>
      </w:r>
      <w:r>
        <w:rPr>
          <w:rFonts w:hint="eastAsia" w:ascii="宋体" w:hAnsi="宋体" w:cs="宋体"/>
          <w:color w:val="auto"/>
          <w:highlight w:val="none"/>
          <w:lang w:eastAsia="zh-CN"/>
        </w:rPr>
        <w:t>高清电子内窥镜系统</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2,000,000.00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简要规格描述或项目基本概况介绍、用途：详见第二章招标需求。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备注：本标项</w:t>
      </w:r>
      <w:r>
        <w:rPr>
          <w:rFonts w:hint="eastAsia" w:ascii="宋体" w:hAnsi="宋体" w:cs="宋体"/>
          <w:color w:val="auto"/>
          <w:kern w:val="0"/>
          <w:highlight w:val="none"/>
          <w:lang w:val="en-US" w:eastAsia="zh-CN"/>
        </w:rPr>
        <w:t>不</w:t>
      </w:r>
      <w:r>
        <w:rPr>
          <w:rFonts w:hint="eastAsia" w:ascii="宋体" w:hAnsi="宋体" w:cs="宋体"/>
          <w:color w:val="auto"/>
          <w:kern w:val="0"/>
          <w:highlight w:val="none"/>
        </w:rPr>
        <w:t>允许采购进口产品。</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cs="宋体"/>
          <w:color w:val="auto"/>
          <w:kern w:val="0"/>
          <w:highlight w:val="none"/>
        </w:rPr>
      </w:pPr>
      <w:r>
        <w:rPr>
          <w:rFonts w:hint="eastAsia" w:ascii="宋体" w:hAnsi="宋体" w:cs="宋体"/>
          <w:color w:val="auto"/>
          <w:kern w:val="0"/>
          <w:highlight w:val="none"/>
        </w:rPr>
        <w:t>本项目（是）接受联合体投标。</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二、申请人的资格要求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rPr>
        <w:t>2.落实政府采购政策需满足的资格要求：</w:t>
      </w:r>
      <w:r>
        <w:rPr>
          <w:rFonts w:hint="eastAsia" w:ascii="宋体" w:hAnsi="宋体" w:cs="宋体"/>
          <w:color w:val="auto"/>
          <w:kern w:val="0"/>
          <w:highlight w:val="none"/>
          <w:lang w:val="en-US" w:eastAsia="zh-CN"/>
        </w:rPr>
        <w:t>无。</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3.本项目的特定资格要求：</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w:t>
      </w:r>
      <w:r>
        <w:rPr>
          <w:rFonts w:hint="eastAsia" w:ascii="宋体" w:hAnsi="宋体" w:cs="宋体"/>
          <w:color w:val="auto"/>
          <w:highlight w:val="none"/>
        </w:rPr>
        <w:t>1</w:t>
      </w:r>
      <w:r>
        <w:rPr>
          <w:rFonts w:hint="eastAsia" w:ascii="宋体" w:hAnsi="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3.2投标人为医疗器械经营企业的：第三类医疗器械经营企业提供《医疗器械经营许可证》复印件、第二类医疗器械经营企业提供第二类医疗器械经营备案凭证复印件。</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三、获取招标文件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时间：/至2023年</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11</w:t>
      </w:r>
      <w:r>
        <w:rPr>
          <w:rFonts w:hint="eastAsia" w:ascii="宋体" w:hAnsi="宋体" w:cs="宋体"/>
          <w:color w:val="auto"/>
          <w:kern w:val="0"/>
          <w:highlight w:val="none"/>
        </w:rPr>
        <w:t>日，每天上午00:00至12:00，下午12:00至23:59（北京时间，线上获取法定节假日均可，线下获取文件法定节假日除外）</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地点（网址）：政府采购云平台（www.zcygov.cn）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售价（元）：0 </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四、提交投标文件截止时间、开标时间和地点</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提交投标文件截止时间：2023年</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11</w:t>
      </w:r>
      <w:r>
        <w:rPr>
          <w:rFonts w:hint="eastAsia" w:ascii="宋体" w:hAnsi="宋体" w:cs="宋体"/>
          <w:color w:val="auto"/>
          <w:kern w:val="0"/>
          <w:highlight w:val="none"/>
        </w:rPr>
        <w:t>日</w:t>
      </w:r>
      <w:r>
        <w:rPr>
          <w:rFonts w:hint="eastAsia" w:ascii="宋体" w:hAnsi="宋体" w:cs="宋体"/>
          <w:color w:val="auto"/>
          <w:kern w:val="0"/>
          <w:highlight w:val="none"/>
          <w:lang w:val="en-US" w:eastAsia="zh-CN"/>
        </w:rPr>
        <w:t>09</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0（北京时间）</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投标地点（网址）：政府采购云平台（www.zcygov.cn）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开标时间：2023年</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11</w:t>
      </w:r>
      <w:r>
        <w:rPr>
          <w:rFonts w:hint="eastAsia" w:ascii="宋体" w:hAnsi="宋体" w:cs="宋体"/>
          <w:color w:val="auto"/>
          <w:kern w:val="0"/>
          <w:highlight w:val="none"/>
        </w:rPr>
        <w:t>日</w:t>
      </w:r>
      <w:r>
        <w:rPr>
          <w:rFonts w:hint="eastAsia" w:ascii="宋体" w:hAnsi="宋体" w:cs="宋体"/>
          <w:color w:val="auto"/>
          <w:kern w:val="0"/>
          <w:highlight w:val="none"/>
          <w:lang w:val="en-US" w:eastAsia="zh-CN"/>
        </w:rPr>
        <w:t>09</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0 </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开标地点（网址）：政府采购云平台（www.zcygov.cn</w:t>
      </w:r>
      <w:r>
        <w:rPr>
          <w:rFonts w:hint="eastAsia" w:ascii="宋体" w:hAnsi="宋体" w:cs="宋体"/>
          <w:color w:val="auto"/>
          <w:kern w:val="0"/>
          <w:highlight w:val="none"/>
          <w:lang w:eastAsia="zh-CN"/>
        </w:rPr>
        <w:t>）</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五、公告期限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自本公告发布之日起5个工作日。</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六、其他补充事宜</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4.其他事项：</w:t>
      </w:r>
    </w:p>
    <w:p>
      <w:pPr>
        <w:widowControl/>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4.1</w:t>
      </w:r>
      <w:r>
        <w:rPr>
          <w:rFonts w:hint="eastAsia" w:ascii="宋体" w:hAnsi="宋体" w:cs="宋体"/>
          <w:color w:val="auto"/>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4.2落实的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对省级以上主管部门认定的首台套产品，自纳入《省推广应用指导目录》起三年内参加政府采购活动，视同已具备相应销售业绩，业绩分为满分，投标文件中提供相应的证明材料。</w:t>
      </w:r>
    </w:p>
    <w:p>
      <w:pPr>
        <w:widowControl/>
        <w:spacing w:line="360" w:lineRule="auto"/>
        <w:ind w:firstLine="420" w:firstLineChars="200"/>
        <w:rPr>
          <w:rFonts w:ascii="宋体" w:hAnsi="宋体" w:cs="宋体"/>
          <w:b/>
          <w:bCs/>
          <w:color w:val="auto"/>
          <w:kern w:val="0"/>
          <w:highlight w:val="none"/>
        </w:rPr>
      </w:pPr>
      <w:r>
        <w:rPr>
          <w:rFonts w:hint="eastAsia" w:ascii="宋体" w:hAnsi="宋体" w:cs="宋体"/>
          <w:color w:val="auto"/>
          <w:highlight w:val="none"/>
        </w:rPr>
        <w:t>4.3本招标公告中二、申请人的资格要求：第1条中的“重大税收违法案件当事人名单”即为“重大税收违法失信主体”。</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七、对本次采购提出询问、质疑、投诉，请按以下方式联系</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1.采购人信息</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名称：缙云县人民医院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地址：缙云县五云街道紫薇北路299号</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传真：/</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联系人：麻先生</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联系电话：0578-3029036</w:t>
      </w:r>
    </w:p>
    <w:p>
      <w:pPr>
        <w:widowControl/>
        <w:spacing w:line="360" w:lineRule="auto"/>
        <w:ind w:firstLine="420" w:firstLineChars="200"/>
        <w:rPr>
          <w:rFonts w:hint="eastAsia" w:ascii="宋体" w:hAnsi="宋体" w:eastAsia="宋体" w:cs="宋体"/>
          <w:kern w:val="0"/>
          <w:highlight w:val="none"/>
          <w:lang w:eastAsia="zh-CN"/>
        </w:rPr>
      </w:pPr>
      <w:r>
        <w:rPr>
          <w:rFonts w:hint="eastAsia" w:ascii="宋体" w:hAnsi="宋体" w:cs="宋体"/>
          <w:kern w:val="0"/>
          <w:highlight w:val="none"/>
        </w:rPr>
        <w:t>质疑联系人：</w:t>
      </w:r>
      <w:r>
        <w:rPr>
          <w:rFonts w:hint="eastAsia" w:ascii="宋体" w:hAnsi="宋体" w:cs="宋体"/>
          <w:kern w:val="0"/>
          <w:highlight w:val="none"/>
          <w:lang w:val="en-US" w:eastAsia="zh-CN"/>
        </w:rPr>
        <w:t>王先生</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质疑联系方式：0578-3029036 </w:t>
      </w:r>
    </w:p>
    <w:p>
      <w:pPr>
        <w:widowControl/>
        <w:spacing w:line="360" w:lineRule="auto"/>
        <w:ind w:left="420" w:leftChars="200"/>
        <w:rPr>
          <w:rFonts w:ascii="宋体" w:hAnsi="宋体" w:cs="宋体"/>
          <w:color w:val="auto"/>
          <w:kern w:val="0"/>
          <w:highlight w:val="none"/>
        </w:rPr>
      </w:pP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2.采购代理机构信息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名称：宁波中基国际招标有限公司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地址：宁波市鄞州区天童南路666号中基大厦19楼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传真：0574-87425386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项目联系人（询问）：任翔、殷悦、单琛耘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项目联系方式（询问）：0578-2381667、0574-88090150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质疑联系人：杨未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质疑联系方式：0574-87425382 　　　　　　     </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    </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3.同级政府采购监督管理部门</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名称：缙云县财政局政府采购监管科    </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地址：缙云县财政大楼7楼    </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传真：/         </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联系人：朱航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监督投诉电话：0578-3318985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w:t>
      </w:r>
    </w:p>
    <w:p>
      <w:pPr>
        <w:widowControl/>
        <w:spacing w:line="360" w:lineRule="auto"/>
        <w:ind w:firstLine="422" w:firstLineChars="200"/>
        <w:rPr>
          <w:rFonts w:ascii="宋体" w:hAnsi="宋体" w:cs="宋体"/>
          <w:b/>
          <w:bCs/>
          <w:color w:val="auto"/>
          <w:highlight w:val="none"/>
        </w:rPr>
      </w:pPr>
      <w:r>
        <w:rPr>
          <w:rFonts w:hint="eastAsia" w:ascii="宋体" w:hAnsi="宋体" w:cs="宋体"/>
          <w:b/>
          <w:bCs/>
          <w:color w:val="auto"/>
          <w:kern w:val="0"/>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5"/>
        <w:rPr>
          <w:rFonts w:ascii="宋体" w:cs="宋体"/>
          <w:color w:val="auto"/>
          <w:highlight w:val="none"/>
        </w:rPr>
        <w:sectPr>
          <w:pgSz w:w="11906" w:h="16838"/>
          <w:pgMar w:top="1474" w:right="1797" w:bottom="1247" w:left="1797" w:header="851" w:footer="851" w:gutter="0"/>
          <w:cols w:space="720" w:num="1"/>
          <w:docGrid w:type="lines" w:linePitch="312" w:charSpace="0"/>
        </w:sectPr>
      </w:pPr>
    </w:p>
    <w:p>
      <w:pPr>
        <w:pStyle w:val="5"/>
        <w:rPr>
          <w:rFonts w:ascii="宋体" w:cs="宋体"/>
          <w:color w:val="auto"/>
          <w:highlight w:val="none"/>
        </w:rPr>
      </w:pPr>
      <w:bookmarkStart w:id="3" w:name="_Toc28324"/>
      <w:bookmarkStart w:id="4" w:name="_Toc12229"/>
      <w:r>
        <w:rPr>
          <w:rFonts w:hint="eastAsia" w:ascii="宋体" w:cs="宋体"/>
          <w:color w:val="auto"/>
          <w:highlight w:val="none"/>
        </w:rPr>
        <w:t>第二章  招标需求</w:t>
      </w:r>
      <w:bookmarkEnd w:id="3"/>
      <w:bookmarkEnd w:id="4"/>
    </w:p>
    <w:p>
      <w:pPr>
        <w:pStyle w:val="26"/>
        <w:snapToGrid w:val="0"/>
        <w:spacing w:beforeLines="0" w:afterLines="0" w:line="360" w:lineRule="auto"/>
        <w:outlineLvl w:val="0"/>
        <w:rPr>
          <w:rFonts w:hint="eastAsia" w:hAnsi="宋体" w:eastAsia="宋体"/>
          <w:color w:val="auto"/>
          <w:sz w:val="21"/>
          <w:szCs w:val="21"/>
          <w:highlight w:val="none"/>
          <w:lang w:eastAsia="zh-CN"/>
        </w:rPr>
      </w:pPr>
      <w:bookmarkStart w:id="5" w:name="_Toc417922222"/>
      <w:bookmarkStart w:id="6" w:name="_Toc47388281"/>
      <w:bookmarkStart w:id="7" w:name="_Toc6875"/>
      <w:bookmarkStart w:id="8" w:name="_Toc22061"/>
      <w:r>
        <w:rPr>
          <w:rFonts w:hint="eastAsia" w:hAnsi="宋体"/>
          <w:color w:val="auto"/>
          <w:sz w:val="21"/>
          <w:szCs w:val="21"/>
          <w:highlight w:val="none"/>
        </w:rPr>
        <w:t>编号：</w:t>
      </w:r>
      <w:bookmarkEnd w:id="5"/>
      <w:bookmarkEnd w:id="6"/>
      <w:bookmarkEnd w:id="7"/>
      <w:r>
        <w:rPr>
          <w:rFonts w:hint="eastAsia" w:hAnsi="宋体"/>
          <w:color w:val="auto"/>
          <w:sz w:val="21"/>
          <w:szCs w:val="21"/>
          <w:highlight w:val="none"/>
          <w:lang w:eastAsia="zh-CN"/>
        </w:rPr>
        <w:t>JY分散公开2023-30</w:t>
      </w:r>
      <w:bookmarkEnd w:id="8"/>
    </w:p>
    <w:p>
      <w:pPr>
        <w:pStyle w:val="26"/>
        <w:snapToGrid w:val="0"/>
        <w:spacing w:beforeLines="0" w:afterLines="0" w:line="360" w:lineRule="auto"/>
        <w:outlineLvl w:val="0"/>
        <w:rPr>
          <w:rFonts w:hint="eastAsia" w:hAnsi="宋体" w:eastAsia="宋体"/>
          <w:i w:val="0"/>
          <w:iCs w:val="0"/>
          <w:color w:val="auto"/>
          <w:sz w:val="21"/>
          <w:szCs w:val="21"/>
          <w:highlight w:val="none"/>
          <w:lang w:eastAsia="zh-CN"/>
        </w:rPr>
      </w:pPr>
      <w:bookmarkStart w:id="9" w:name="_Toc417922223"/>
      <w:bookmarkStart w:id="10" w:name="_Toc76"/>
      <w:bookmarkStart w:id="11" w:name="_Toc47388282"/>
      <w:bookmarkStart w:id="12" w:name="_Toc14080"/>
      <w:r>
        <w:rPr>
          <w:rFonts w:hint="eastAsia" w:hAnsi="宋体"/>
          <w:color w:val="auto"/>
          <w:sz w:val="21"/>
          <w:szCs w:val="21"/>
          <w:highlight w:val="none"/>
        </w:rPr>
        <w:t>采购单位名称：</w:t>
      </w:r>
      <w:bookmarkEnd w:id="9"/>
      <w:bookmarkEnd w:id="10"/>
      <w:bookmarkEnd w:id="11"/>
      <w:r>
        <w:rPr>
          <w:rFonts w:hint="eastAsia" w:hAnsi="宋体"/>
          <w:color w:val="auto"/>
          <w:sz w:val="21"/>
          <w:szCs w:val="21"/>
          <w:highlight w:val="none"/>
          <w:lang w:eastAsia="zh-CN"/>
        </w:rPr>
        <w:t>缙云县人民医院手术腔镜系统（3D）、甲醛灭菌器及高清电子内窥镜系统采购项目</w:t>
      </w:r>
      <w:bookmarkEnd w:id="12"/>
    </w:p>
    <w:p>
      <w:pPr>
        <w:snapToGrid w:val="0"/>
        <w:spacing w:line="400" w:lineRule="exact"/>
        <w:ind w:left="238"/>
        <w:jc w:val="center"/>
        <w:outlineLvl w:val="0"/>
        <w:rPr>
          <w:rFonts w:ascii="宋体" w:hAnsi="宋体" w:cs="宋体"/>
          <w:b/>
          <w:bCs/>
          <w:color w:val="auto"/>
          <w:sz w:val="30"/>
          <w:szCs w:val="30"/>
          <w:highlight w:val="none"/>
        </w:rPr>
      </w:pPr>
      <w:bookmarkStart w:id="13" w:name="_Toc47388283"/>
      <w:bookmarkStart w:id="14" w:name="_Toc9001"/>
      <w:bookmarkStart w:id="15" w:name="_Toc5840"/>
      <w:r>
        <w:rPr>
          <w:rFonts w:hint="eastAsia" w:ascii="宋体" w:hAnsi="宋体" w:cs="宋体"/>
          <w:b/>
          <w:bCs/>
          <w:color w:val="auto"/>
          <w:sz w:val="30"/>
          <w:szCs w:val="30"/>
          <w:highlight w:val="none"/>
        </w:rPr>
        <w:t>前附表</w:t>
      </w:r>
      <w:bookmarkEnd w:id="13"/>
      <w:bookmarkEnd w:id="14"/>
      <w:bookmarkEnd w:id="15"/>
    </w:p>
    <w:tbl>
      <w:tblPr>
        <w:tblStyle w:val="48"/>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12" w:space="0"/>
            </w:tcBorders>
            <w:vAlign w:val="center"/>
          </w:tcPr>
          <w:p>
            <w:pPr>
              <w:spacing w:line="400" w:lineRule="exact"/>
              <w:jc w:val="center"/>
              <w:outlineLvl w:val="1"/>
              <w:rPr>
                <w:rFonts w:ascii="宋体" w:hAnsi="宋体" w:cs="宋体"/>
                <w:b/>
                <w:bCs/>
                <w:color w:val="auto"/>
                <w:highlight w:val="none"/>
              </w:rPr>
            </w:pPr>
            <w:bookmarkStart w:id="16" w:name="_Toc19637"/>
            <w:bookmarkStart w:id="17" w:name="_Toc47388284"/>
            <w:bookmarkStart w:id="18" w:name="_Toc13621"/>
            <w:r>
              <w:rPr>
                <w:rFonts w:hint="eastAsia" w:ascii="宋体" w:hAnsi="宋体" w:cs="宋体"/>
                <w:b/>
                <w:bCs/>
                <w:color w:val="auto"/>
                <w:highlight w:val="none"/>
              </w:rPr>
              <w:t>序号</w:t>
            </w:r>
            <w:bookmarkEnd w:id="16"/>
            <w:bookmarkEnd w:id="17"/>
            <w:bookmarkEnd w:id="18"/>
          </w:p>
        </w:tc>
        <w:tc>
          <w:tcPr>
            <w:tcW w:w="3495" w:type="dxa"/>
            <w:tcBorders>
              <w:top w:val="single" w:color="auto" w:sz="12" w:space="0"/>
            </w:tcBorders>
          </w:tcPr>
          <w:p>
            <w:pPr>
              <w:spacing w:line="400" w:lineRule="exact"/>
              <w:jc w:val="center"/>
              <w:outlineLvl w:val="1"/>
              <w:rPr>
                <w:rFonts w:ascii="宋体" w:hAnsi="宋体" w:cs="宋体"/>
                <w:b/>
                <w:bCs/>
                <w:color w:val="auto"/>
                <w:highlight w:val="none"/>
              </w:rPr>
            </w:pPr>
            <w:bookmarkStart w:id="19" w:name="_Toc13977"/>
            <w:bookmarkStart w:id="20" w:name="_Toc47388285"/>
            <w:bookmarkStart w:id="21" w:name="_Toc4730"/>
            <w:r>
              <w:rPr>
                <w:rFonts w:hint="eastAsia" w:ascii="宋体" w:hAnsi="宋体" w:cs="宋体"/>
                <w:b/>
                <w:bCs/>
                <w:color w:val="auto"/>
                <w:highlight w:val="none"/>
              </w:rPr>
              <w:t>子项</w:t>
            </w:r>
            <w:bookmarkEnd w:id="19"/>
            <w:bookmarkEnd w:id="20"/>
            <w:bookmarkEnd w:id="21"/>
          </w:p>
        </w:tc>
        <w:tc>
          <w:tcPr>
            <w:tcW w:w="4095" w:type="dxa"/>
            <w:tcBorders>
              <w:top w:val="single" w:color="auto" w:sz="12" w:space="0"/>
            </w:tcBorders>
          </w:tcPr>
          <w:p>
            <w:pPr>
              <w:spacing w:line="400" w:lineRule="exact"/>
              <w:jc w:val="center"/>
              <w:outlineLvl w:val="1"/>
              <w:rPr>
                <w:rFonts w:ascii="宋体" w:hAnsi="宋体" w:cs="宋体"/>
                <w:b/>
                <w:bCs/>
                <w:color w:val="auto"/>
                <w:highlight w:val="none"/>
              </w:rPr>
            </w:pPr>
            <w:bookmarkStart w:id="22" w:name="_Toc47388286"/>
            <w:bookmarkStart w:id="23" w:name="_Toc11907"/>
            <w:bookmarkStart w:id="24" w:name="_Toc15228"/>
            <w:r>
              <w:rPr>
                <w:rFonts w:hint="eastAsia" w:ascii="宋体" w:hAnsi="宋体" w:cs="宋体"/>
                <w:b/>
                <w:bCs/>
                <w:color w:val="auto"/>
                <w:highlight w:val="none"/>
              </w:rPr>
              <w:t>招标需求</w:t>
            </w:r>
            <w:bookmarkEnd w:id="22"/>
            <w:bookmarkEnd w:id="23"/>
            <w:bookmarkEnd w:id="2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05" w:type="dxa"/>
            <w:vAlign w:val="center"/>
          </w:tcPr>
          <w:p>
            <w:pPr>
              <w:spacing w:line="400" w:lineRule="exact"/>
              <w:jc w:val="center"/>
              <w:outlineLvl w:val="1"/>
              <w:rPr>
                <w:rFonts w:ascii="宋体" w:hAnsi="宋体" w:cs="宋体"/>
                <w:b/>
                <w:bCs/>
                <w:color w:val="auto"/>
                <w:highlight w:val="none"/>
              </w:rPr>
            </w:pPr>
            <w:bookmarkStart w:id="25" w:name="_Toc10868"/>
            <w:bookmarkStart w:id="26" w:name="_Toc47388287"/>
            <w:bookmarkStart w:id="27" w:name="_Toc32627"/>
            <w:r>
              <w:rPr>
                <w:rFonts w:hint="eastAsia" w:ascii="宋体" w:hAnsi="宋体" w:cs="宋体"/>
                <w:b/>
                <w:bCs/>
                <w:color w:val="auto"/>
                <w:highlight w:val="none"/>
              </w:rPr>
              <w:t>一</w:t>
            </w:r>
            <w:bookmarkEnd w:id="25"/>
            <w:bookmarkEnd w:id="26"/>
            <w:bookmarkEnd w:id="27"/>
          </w:p>
        </w:tc>
        <w:tc>
          <w:tcPr>
            <w:tcW w:w="3495" w:type="dxa"/>
            <w:vAlign w:val="center"/>
          </w:tcPr>
          <w:p>
            <w:pPr>
              <w:spacing w:line="400" w:lineRule="exact"/>
              <w:outlineLvl w:val="1"/>
              <w:rPr>
                <w:rFonts w:ascii="宋体" w:hAnsi="宋体" w:cs="宋体"/>
                <w:color w:val="auto"/>
                <w:highlight w:val="none"/>
              </w:rPr>
            </w:pPr>
            <w:bookmarkStart w:id="28" w:name="_Toc47388288"/>
            <w:bookmarkStart w:id="29" w:name="_Toc15946"/>
            <w:bookmarkStart w:id="30" w:name="_Toc12876"/>
            <w:r>
              <w:rPr>
                <w:rFonts w:hint="eastAsia" w:ascii="宋体" w:hAnsi="宋体" w:cs="宋体"/>
                <w:color w:val="auto"/>
                <w:highlight w:val="none"/>
              </w:rPr>
              <w:t>采购标的需实现的功能或者目标，为落实政府采购需满足的要求</w:t>
            </w:r>
            <w:bookmarkEnd w:id="28"/>
            <w:bookmarkEnd w:id="29"/>
            <w:bookmarkEnd w:id="30"/>
          </w:p>
        </w:tc>
        <w:tc>
          <w:tcPr>
            <w:tcW w:w="4095" w:type="dxa"/>
            <w:vAlign w:val="center"/>
          </w:tcPr>
          <w:p>
            <w:pPr>
              <w:spacing w:line="400" w:lineRule="exact"/>
              <w:outlineLvl w:val="1"/>
              <w:rPr>
                <w:rFonts w:ascii="宋体" w:hAnsi="宋体" w:cs="宋体"/>
                <w:b/>
                <w:bCs/>
                <w:color w:val="auto"/>
                <w:highlight w:val="none"/>
              </w:rPr>
            </w:pPr>
            <w:bookmarkStart w:id="31" w:name="_Toc5051"/>
            <w:bookmarkStart w:id="32" w:name="_Toc47388289"/>
            <w:bookmarkStart w:id="33" w:name="_Toc10870"/>
            <w:r>
              <w:rPr>
                <w:rFonts w:hint="eastAsia" w:ascii="宋体" w:hAnsi="宋体" w:cs="宋体"/>
                <w:color w:val="auto"/>
                <w:highlight w:val="none"/>
              </w:rPr>
              <w:t>详见技术需求</w:t>
            </w:r>
            <w:bookmarkEnd w:id="31"/>
            <w:bookmarkEnd w:id="32"/>
            <w:bookmarkEnd w:id="3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b/>
                <w:bCs/>
                <w:color w:val="auto"/>
                <w:highlight w:val="none"/>
              </w:rPr>
            </w:pPr>
            <w:bookmarkStart w:id="34" w:name="_Toc10426"/>
            <w:bookmarkStart w:id="35" w:name="_Toc47388290"/>
            <w:bookmarkStart w:id="36" w:name="_Toc10505"/>
            <w:r>
              <w:rPr>
                <w:rFonts w:hint="eastAsia" w:ascii="宋体" w:hAnsi="宋体" w:cs="宋体"/>
                <w:b/>
                <w:bCs/>
                <w:color w:val="auto"/>
                <w:highlight w:val="none"/>
              </w:rPr>
              <w:t>二</w:t>
            </w:r>
            <w:bookmarkEnd w:id="34"/>
            <w:bookmarkEnd w:id="35"/>
            <w:bookmarkEnd w:id="36"/>
          </w:p>
        </w:tc>
        <w:tc>
          <w:tcPr>
            <w:tcW w:w="3495" w:type="dxa"/>
            <w:vAlign w:val="center"/>
          </w:tcPr>
          <w:p>
            <w:pPr>
              <w:spacing w:line="400" w:lineRule="exact"/>
              <w:outlineLvl w:val="1"/>
              <w:rPr>
                <w:rFonts w:ascii="宋体" w:hAnsi="宋体" w:cs="宋体"/>
                <w:color w:val="auto"/>
                <w:highlight w:val="none"/>
              </w:rPr>
            </w:pPr>
            <w:bookmarkStart w:id="37" w:name="_Toc47388291"/>
            <w:bookmarkStart w:id="38" w:name="_Toc4406"/>
            <w:bookmarkStart w:id="39" w:name="_Toc27786"/>
            <w:r>
              <w:rPr>
                <w:rFonts w:hint="eastAsia" w:ascii="宋体" w:hAnsi="宋体" w:cs="宋体"/>
                <w:color w:val="auto"/>
                <w:highlight w:val="none"/>
              </w:rPr>
              <w:t>采购标的需执行的国家相关标准、行业标准、地方标准或者其他标准规范</w:t>
            </w:r>
            <w:bookmarkEnd w:id="37"/>
            <w:bookmarkEnd w:id="38"/>
            <w:bookmarkEnd w:id="39"/>
          </w:p>
        </w:tc>
        <w:tc>
          <w:tcPr>
            <w:tcW w:w="4095" w:type="dxa"/>
            <w:vAlign w:val="center"/>
          </w:tcPr>
          <w:p>
            <w:pPr>
              <w:pStyle w:val="26"/>
              <w:snapToGrid w:val="0"/>
              <w:spacing w:beforeLines="0" w:afterLines="0" w:line="360" w:lineRule="auto"/>
              <w:rPr>
                <w:rFonts w:hAnsi="宋体"/>
                <w:color w:val="auto"/>
                <w:sz w:val="21"/>
                <w:szCs w:val="21"/>
                <w:highlight w:val="none"/>
              </w:rPr>
            </w:pPr>
            <w:r>
              <w:rPr>
                <w:rFonts w:hint="eastAsia" w:hAnsi="宋体"/>
                <w:color w:val="auto"/>
                <w:sz w:val="21"/>
                <w:szCs w:val="21"/>
                <w:highlight w:val="none"/>
              </w:rPr>
              <w:t>由投标人提供的所有产品和服务必须符合下列规范、条例及标准，并不限于下列规范、条例及标准：</w:t>
            </w:r>
          </w:p>
          <w:p>
            <w:pPr>
              <w:pStyle w:val="26"/>
              <w:snapToGrid w:val="0"/>
              <w:spacing w:beforeLines="0" w:afterLines="0" w:line="360" w:lineRule="auto"/>
              <w:rPr>
                <w:rFonts w:hAnsi="宋体"/>
                <w:color w:val="auto"/>
                <w:sz w:val="21"/>
                <w:szCs w:val="21"/>
                <w:highlight w:val="none"/>
              </w:rPr>
            </w:pPr>
            <w:r>
              <w:rPr>
                <w:rFonts w:hint="eastAsia" w:hAnsi="宋体"/>
                <w:color w:val="auto"/>
                <w:sz w:val="21"/>
                <w:szCs w:val="21"/>
                <w:highlight w:val="none"/>
              </w:rPr>
              <w:t>2.1中华人民共和国有关技术和卫生标准</w:t>
            </w:r>
          </w:p>
          <w:p>
            <w:pPr>
              <w:pStyle w:val="26"/>
              <w:snapToGrid w:val="0"/>
              <w:spacing w:beforeLines="0" w:afterLines="0" w:line="360" w:lineRule="auto"/>
              <w:rPr>
                <w:rFonts w:hAnsi="宋体"/>
                <w:color w:val="auto"/>
                <w:sz w:val="21"/>
                <w:szCs w:val="21"/>
                <w:highlight w:val="none"/>
              </w:rPr>
            </w:pPr>
            <w:r>
              <w:rPr>
                <w:rFonts w:hint="eastAsia" w:hAnsi="宋体"/>
                <w:color w:val="auto"/>
                <w:sz w:val="21"/>
                <w:szCs w:val="21"/>
                <w:highlight w:val="none"/>
              </w:rPr>
              <w:t>2.2由招标人认可的有关国家权威标准</w:t>
            </w:r>
          </w:p>
          <w:p>
            <w:pPr>
              <w:spacing w:line="400" w:lineRule="exact"/>
              <w:outlineLvl w:val="1"/>
              <w:rPr>
                <w:rFonts w:ascii="宋体" w:hAnsi="宋体" w:cs="宋体"/>
                <w:b/>
                <w:bCs/>
                <w:color w:val="auto"/>
                <w:highlight w:val="none"/>
              </w:rPr>
            </w:pPr>
            <w:bookmarkStart w:id="40" w:name="_Toc47388292"/>
            <w:bookmarkStart w:id="41" w:name="_Toc27406"/>
            <w:bookmarkStart w:id="42" w:name="_Toc18189"/>
            <w:r>
              <w:rPr>
                <w:rFonts w:hint="eastAsia" w:ascii="宋体" w:hAnsi="宋体" w:cs="宋体"/>
                <w:color w:val="auto"/>
                <w:highlight w:val="none"/>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bookmarkEnd w:id="40"/>
            <w:bookmarkEnd w:id="41"/>
            <w:bookmarkEnd w:id="4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b/>
                <w:bCs/>
                <w:color w:val="auto"/>
                <w:highlight w:val="none"/>
              </w:rPr>
            </w:pPr>
            <w:bookmarkStart w:id="43" w:name="_Toc18066"/>
            <w:bookmarkStart w:id="44" w:name="_Toc47388293"/>
            <w:bookmarkStart w:id="45" w:name="_Toc24675"/>
            <w:r>
              <w:rPr>
                <w:rFonts w:hint="eastAsia" w:ascii="宋体" w:hAnsi="宋体" w:cs="宋体"/>
                <w:b/>
                <w:bCs/>
                <w:color w:val="auto"/>
                <w:highlight w:val="none"/>
              </w:rPr>
              <w:t>三</w:t>
            </w:r>
            <w:bookmarkEnd w:id="43"/>
            <w:bookmarkEnd w:id="44"/>
            <w:bookmarkEnd w:id="45"/>
          </w:p>
        </w:tc>
        <w:tc>
          <w:tcPr>
            <w:tcW w:w="3495" w:type="dxa"/>
            <w:vAlign w:val="center"/>
          </w:tcPr>
          <w:p>
            <w:pPr>
              <w:spacing w:line="400" w:lineRule="exact"/>
              <w:outlineLvl w:val="1"/>
              <w:rPr>
                <w:rFonts w:ascii="宋体" w:hAnsi="宋体" w:cs="宋体"/>
                <w:color w:val="auto"/>
                <w:highlight w:val="none"/>
              </w:rPr>
            </w:pPr>
            <w:bookmarkStart w:id="46" w:name="_Toc20497"/>
            <w:bookmarkStart w:id="47" w:name="_Toc47388294"/>
            <w:bookmarkStart w:id="48" w:name="_Toc4591"/>
            <w:r>
              <w:rPr>
                <w:rFonts w:hint="eastAsia" w:ascii="宋体" w:hAnsi="宋体" w:cs="宋体"/>
                <w:color w:val="auto"/>
                <w:highlight w:val="none"/>
              </w:rPr>
              <w:t>采购标的需满足的质量、安全、技术规格、物理特性等要求</w:t>
            </w:r>
            <w:bookmarkEnd w:id="46"/>
            <w:bookmarkEnd w:id="47"/>
            <w:bookmarkEnd w:id="48"/>
          </w:p>
        </w:tc>
        <w:tc>
          <w:tcPr>
            <w:tcW w:w="4095" w:type="dxa"/>
            <w:vAlign w:val="center"/>
          </w:tcPr>
          <w:p>
            <w:pPr>
              <w:spacing w:line="400" w:lineRule="exact"/>
              <w:outlineLvl w:val="1"/>
              <w:rPr>
                <w:rFonts w:ascii="宋体" w:hAnsi="宋体" w:cs="宋体"/>
                <w:b/>
                <w:bCs/>
                <w:color w:val="auto"/>
                <w:highlight w:val="none"/>
              </w:rPr>
            </w:pPr>
            <w:bookmarkStart w:id="49" w:name="_Toc6626"/>
            <w:bookmarkStart w:id="50" w:name="_Toc47388295"/>
            <w:bookmarkStart w:id="51" w:name="_Toc23567"/>
            <w:r>
              <w:rPr>
                <w:rFonts w:hint="eastAsia" w:ascii="宋体" w:hAnsi="宋体" w:cs="宋体"/>
                <w:color w:val="auto"/>
                <w:highlight w:val="none"/>
              </w:rPr>
              <w:t>详见技术需求。</w:t>
            </w:r>
            <w:bookmarkEnd w:id="49"/>
            <w:bookmarkEnd w:id="50"/>
            <w:bookmarkEnd w:id="5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52" w:name="_Toc6713"/>
            <w:bookmarkStart w:id="53" w:name="_Toc47388296"/>
            <w:bookmarkStart w:id="54" w:name="_Toc6935"/>
            <w:r>
              <w:rPr>
                <w:rFonts w:hint="eastAsia" w:ascii="宋体" w:hAnsi="宋体" w:cs="宋体"/>
                <w:color w:val="auto"/>
                <w:highlight w:val="none"/>
              </w:rPr>
              <w:t>四</w:t>
            </w:r>
            <w:bookmarkEnd w:id="52"/>
            <w:bookmarkEnd w:id="53"/>
            <w:bookmarkEnd w:id="54"/>
          </w:p>
        </w:tc>
        <w:tc>
          <w:tcPr>
            <w:tcW w:w="3495" w:type="dxa"/>
            <w:vAlign w:val="center"/>
          </w:tcPr>
          <w:p>
            <w:pPr>
              <w:spacing w:line="400" w:lineRule="exact"/>
              <w:outlineLvl w:val="1"/>
              <w:rPr>
                <w:rFonts w:ascii="宋体" w:hAnsi="宋体" w:cs="宋体"/>
                <w:color w:val="auto"/>
                <w:highlight w:val="none"/>
              </w:rPr>
            </w:pPr>
            <w:bookmarkStart w:id="55" w:name="_Toc47388297"/>
            <w:bookmarkStart w:id="56" w:name="_Toc3523"/>
            <w:bookmarkStart w:id="57" w:name="_Toc6326"/>
            <w:r>
              <w:rPr>
                <w:rFonts w:hint="eastAsia" w:ascii="宋体" w:hAnsi="宋体" w:cs="宋体"/>
                <w:color w:val="auto"/>
                <w:highlight w:val="none"/>
              </w:rPr>
              <w:t>采购标的的数量、采购项目交付或者实施的时间和地点</w:t>
            </w:r>
            <w:bookmarkEnd w:id="55"/>
            <w:bookmarkEnd w:id="56"/>
            <w:bookmarkEnd w:id="57"/>
          </w:p>
        </w:tc>
        <w:tc>
          <w:tcPr>
            <w:tcW w:w="4095" w:type="dxa"/>
            <w:vAlign w:val="center"/>
          </w:tcPr>
          <w:p>
            <w:pPr>
              <w:spacing w:line="400" w:lineRule="exact"/>
              <w:outlineLvl w:val="1"/>
              <w:rPr>
                <w:rFonts w:ascii="宋体" w:hAnsi="宋体" w:cs="宋体"/>
                <w:b/>
                <w:bCs/>
                <w:color w:val="auto"/>
                <w:highlight w:val="none"/>
              </w:rPr>
            </w:pPr>
            <w:bookmarkStart w:id="58" w:name="_Toc47388298"/>
            <w:bookmarkStart w:id="59" w:name="_Toc27559"/>
            <w:bookmarkStart w:id="60" w:name="_Toc30433"/>
            <w:r>
              <w:rPr>
                <w:rFonts w:hint="eastAsia" w:ascii="宋体" w:hAnsi="宋体" w:cs="宋体"/>
                <w:color w:val="auto"/>
                <w:highlight w:val="none"/>
              </w:rPr>
              <w:t>详见商务需求</w:t>
            </w:r>
            <w:bookmarkEnd w:id="58"/>
            <w:bookmarkEnd w:id="59"/>
            <w:bookmarkEnd w:id="6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61" w:name="_Toc47388299"/>
            <w:bookmarkStart w:id="62" w:name="_Toc9705"/>
            <w:bookmarkStart w:id="63" w:name="_Toc441"/>
            <w:r>
              <w:rPr>
                <w:rFonts w:hint="eastAsia" w:ascii="宋体" w:hAnsi="宋体" w:cs="宋体"/>
                <w:color w:val="auto"/>
                <w:highlight w:val="none"/>
              </w:rPr>
              <w:t>五</w:t>
            </w:r>
            <w:bookmarkEnd w:id="61"/>
            <w:bookmarkEnd w:id="62"/>
            <w:bookmarkEnd w:id="63"/>
          </w:p>
        </w:tc>
        <w:tc>
          <w:tcPr>
            <w:tcW w:w="3495" w:type="dxa"/>
            <w:vAlign w:val="center"/>
          </w:tcPr>
          <w:p>
            <w:pPr>
              <w:spacing w:line="400" w:lineRule="exact"/>
              <w:outlineLvl w:val="1"/>
              <w:rPr>
                <w:rFonts w:ascii="宋体" w:hAnsi="宋体" w:cs="宋体"/>
                <w:color w:val="auto"/>
                <w:highlight w:val="none"/>
              </w:rPr>
            </w:pPr>
            <w:bookmarkStart w:id="64" w:name="_Toc17159"/>
            <w:bookmarkStart w:id="65" w:name="_Toc47388300"/>
            <w:bookmarkStart w:id="66" w:name="_Toc12759"/>
            <w:r>
              <w:rPr>
                <w:rFonts w:hint="eastAsia" w:ascii="宋体" w:hAnsi="宋体" w:cs="宋体"/>
                <w:color w:val="auto"/>
                <w:highlight w:val="none"/>
              </w:rPr>
              <w:t>采购标的需满足的服务标准、期限、效率等要求</w:t>
            </w:r>
            <w:bookmarkEnd w:id="64"/>
            <w:bookmarkEnd w:id="65"/>
            <w:bookmarkEnd w:id="66"/>
          </w:p>
        </w:tc>
        <w:tc>
          <w:tcPr>
            <w:tcW w:w="4095" w:type="dxa"/>
            <w:vAlign w:val="center"/>
          </w:tcPr>
          <w:p>
            <w:pPr>
              <w:spacing w:line="400" w:lineRule="exact"/>
              <w:outlineLvl w:val="1"/>
              <w:rPr>
                <w:rFonts w:ascii="宋体" w:hAnsi="宋体" w:cs="宋体"/>
                <w:b/>
                <w:bCs/>
                <w:color w:val="auto"/>
                <w:highlight w:val="none"/>
              </w:rPr>
            </w:pPr>
            <w:bookmarkStart w:id="67" w:name="_Toc28908"/>
            <w:bookmarkStart w:id="68" w:name="_Toc47388301"/>
            <w:bookmarkStart w:id="69" w:name="_Toc11640"/>
            <w:r>
              <w:rPr>
                <w:rFonts w:hint="eastAsia" w:ascii="宋体" w:hAnsi="宋体" w:cs="宋体"/>
                <w:color w:val="auto"/>
                <w:highlight w:val="none"/>
              </w:rPr>
              <w:t>详见商务需求</w:t>
            </w:r>
            <w:bookmarkEnd w:id="67"/>
            <w:bookmarkEnd w:id="68"/>
            <w:bookmarkEnd w:id="6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70" w:name="_Toc47388302"/>
            <w:bookmarkStart w:id="71" w:name="_Toc23727"/>
            <w:bookmarkStart w:id="72" w:name="_Toc23762"/>
            <w:r>
              <w:rPr>
                <w:rFonts w:hint="eastAsia" w:ascii="宋体" w:hAnsi="宋体" w:cs="宋体"/>
                <w:color w:val="auto"/>
                <w:highlight w:val="none"/>
              </w:rPr>
              <w:t>六</w:t>
            </w:r>
            <w:bookmarkEnd w:id="70"/>
            <w:bookmarkEnd w:id="71"/>
            <w:bookmarkEnd w:id="72"/>
          </w:p>
        </w:tc>
        <w:tc>
          <w:tcPr>
            <w:tcW w:w="3495" w:type="dxa"/>
            <w:vAlign w:val="center"/>
          </w:tcPr>
          <w:p>
            <w:pPr>
              <w:spacing w:line="400" w:lineRule="exact"/>
              <w:outlineLvl w:val="1"/>
              <w:rPr>
                <w:rFonts w:ascii="宋体" w:hAnsi="宋体" w:cs="宋体"/>
                <w:color w:val="auto"/>
                <w:highlight w:val="none"/>
              </w:rPr>
            </w:pPr>
            <w:bookmarkStart w:id="73" w:name="_Toc27008"/>
            <w:bookmarkStart w:id="74" w:name="_Toc47388303"/>
            <w:bookmarkStart w:id="75" w:name="_Toc21886"/>
            <w:r>
              <w:rPr>
                <w:rFonts w:hint="eastAsia" w:ascii="宋体" w:hAnsi="宋体" w:cs="宋体"/>
                <w:color w:val="auto"/>
                <w:highlight w:val="none"/>
              </w:rPr>
              <w:t>采购标的的验收标准</w:t>
            </w:r>
            <w:bookmarkEnd w:id="73"/>
            <w:bookmarkEnd w:id="74"/>
            <w:bookmarkEnd w:id="75"/>
          </w:p>
        </w:tc>
        <w:tc>
          <w:tcPr>
            <w:tcW w:w="4095" w:type="dxa"/>
            <w:vAlign w:val="center"/>
          </w:tcPr>
          <w:p>
            <w:pPr>
              <w:spacing w:line="400" w:lineRule="exact"/>
              <w:outlineLvl w:val="1"/>
              <w:rPr>
                <w:rFonts w:ascii="宋体" w:hAnsi="宋体" w:cs="宋体"/>
                <w:color w:val="auto"/>
                <w:highlight w:val="none"/>
              </w:rPr>
            </w:pPr>
            <w:bookmarkStart w:id="76" w:name="_Toc362"/>
            <w:bookmarkStart w:id="77" w:name="_Toc47388304"/>
            <w:bookmarkStart w:id="78" w:name="_Toc20221"/>
            <w:r>
              <w:rPr>
                <w:rFonts w:hint="eastAsia" w:ascii="宋体" w:hAnsi="宋体" w:cs="宋体"/>
                <w:color w:val="auto"/>
                <w:highlight w:val="none"/>
              </w:rPr>
              <w:t>详见技术需求</w:t>
            </w:r>
            <w:bookmarkEnd w:id="76"/>
            <w:bookmarkEnd w:id="77"/>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79" w:name="_Toc47388305"/>
            <w:bookmarkStart w:id="80" w:name="_Toc12938"/>
            <w:bookmarkStart w:id="81" w:name="_Toc4332"/>
            <w:r>
              <w:rPr>
                <w:rFonts w:hint="eastAsia" w:ascii="宋体" w:hAnsi="宋体" w:cs="宋体"/>
                <w:color w:val="auto"/>
                <w:highlight w:val="none"/>
              </w:rPr>
              <w:t>七</w:t>
            </w:r>
            <w:bookmarkEnd w:id="79"/>
            <w:bookmarkEnd w:id="80"/>
            <w:bookmarkEnd w:id="81"/>
          </w:p>
        </w:tc>
        <w:tc>
          <w:tcPr>
            <w:tcW w:w="3495" w:type="dxa"/>
            <w:vAlign w:val="center"/>
          </w:tcPr>
          <w:p>
            <w:pPr>
              <w:spacing w:line="400" w:lineRule="exact"/>
              <w:outlineLvl w:val="1"/>
              <w:rPr>
                <w:rFonts w:ascii="宋体" w:hAnsi="宋体" w:cs="宋体"/>
                <w:color w:val="auto"/>
                <w:highlight w:val="none"/>
              </w:rPr>
            </w:pPr>
            <w:bookmarkStart w:id="82" w:name="_Toc22727"/>
            <w:bookmarkStart w:id="83" w:name="_Toc47388306"/>
            <w:bookmarkStart w:id="84" w:name="_Toc29963"/>
            <w:r>
              <w:rPr>
                <w:rFonts w:hint="eastAsia" w:ascii="宋体" w:hAnsi="宋体" w:cs="宋体"/>
                <w:color w:val="auto"/>
                <w:highlight w:val="none"/>
              </w:rPr>
              <w:t>采购标的的其他技术、服务等要求</w:t>
            </w:r>
            <w:bookmarkEnd w:id="82"/>
            <w:bookmarkEnd w:id="83"/>
            <w:bookmarkEnd w:id="84"/>
          </w:p>
        </w:tc>
        <w:tc>
          <w:tcPr>
            <w:tcW w:w="4095" w:type="dxa"/>
            <w:vAlign w:val="center"/>
          </w:tcPr>
          <w:p>
            <w:pPr>
              <w:spacing w:line="400" w:lineRule="exact"/>
              <w:outlineLvl w:val="1"/>
              <w:rPr>
                <w:rFonts w:ascii="宋体" w:hAnsi="宋体" w:cs="宋体"/>
                <w:color w:val="auto"/>
                <w:highlight w:val="none"/>
              </w:rPr>
            </w:pPr>
            <w:bookmarkStart w:id="85" w:name="_Toc3237"/>
            <w:bookmarkStart w:id="86" w:name="_Toc47388307"/>
            <w:bookmarkStart w:id="87" w:name="_Toc27479"/>
            <w:r>
              <w:rPr>
                <w:rFonts w:hint="eastAsia" w:ascii="宋体" w:hAnsi="宋体" w:cs="宋体"/>
                <w:color w:val="auto"/>
                <w:highlight w:val="none"/>
              </w:rPr>
              <w:t>详见技术需求</w:t>
            </w:r>
            <w:bookmarkEnd w:id="85"/>
            <w:bookmarkEnd w:id="86"/>
            <w:bookmarkEnd w:id="8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88" w:name="_Toc47388308"/>
            <w:bookmarkStart w:id="89" w:name="_Toc17147"/>
            <w:bookmarkStart w:id="90" w:name="_Toc32556"/>
            <w:r>
              <w:rPr>
                <w:rFonts w:hint="eastAsia" w:ascii="宋体" w:hAnsi="宋体" w:cs="宋体"/>
                <w:color w:val="auto"/>
                <w:highlight w:val="none"/>
              </w:rPr>
              <w:t>八</w:t>
            </w:r>
            <w:bookmarkEnd w:id="88"/>
            <w:bookmarkEnd w:id="89"/>
            <w:bookmarkEnd w:id="90"/>
          </w:p>
        </w:tc>
        <w:tc>
          <w:tcPr>
            <w:tcW w:w="3495" w:type="dxa"/>
          </w:tcPr>
          <w:p>
            <w:pPr>
              <w:spacing w:line="400" w:lineRule="exact"/>
              <w:outlineLvl w:val="1"/>
              <w:rPr>
                <w:rFonts w:ascii="宋体" w:hAnsi="宋体" w:cs="宋体"/>
                <w:color w:val="auto"/>
                <w:highlight w:val="none"/>
              </w:rPr>
            </w:pPr>
            <w:bookmarkStart w:id="91" w:name="_Toc6426"/>
            <w:bookmarkStart w:id="92" w:name="_Toc47388312"/>
            <w:bookmarkStart w:id="93" w:name="_Toc882"/>
            <w:r>
              <w:rPr>
                <w:rFonts w:hint="eastAsia" w:ascii="宋体" w:hAnsi="宋体" w:cs="宋体"/>
                <w:color w:val="auto"/>
                <w:highlight w:val="none"/>
              </w:rPr>
              <w:t>现场踏勘</w:t>
            </w:r>
            <w:bookmarkEnd w:id="91"/>
            <w:bookmarkEnd w:id="92"/>
            <w:bookmarkEnd w:id="93"/>
          </w:p>
        </w:tc>
        <w:tc>
          <w:tcPr>
            <w:tcW w:w="4095" w:type="dxa"/>
            <w:vAlign w:val="center"/>
          </w:tcPr>
          <w:p>
            <w:pPr>
              <w:spacing w:line="400" w:lineRule="exact"/>
              <w:outlineLvl w:val="1"/>
              <w:rPr>
                <w:rFonts w:ascii="宋体" w:hAnsi="宋体" w:cs="宋体"/>
                <w:color w:val="auto"/>
                <w:highlight w:val="none"/>
              </w:rPr>
            </w:pPr>
            <w:bookmarkStart w:id="94" w:name="_Toc47388313"/>
            <w:bookmarkStart w:id="95" w:name="_Toc7814"/>
            <w:bookmarkStart w:id="96" w:name="_Toc2939"/>
            <w:r>
              <w:rPr>
                <w:rFonts w:hint="eastAsia" w:ascii="宋体" w:hAnsi="宋体" w:cs="宋体"/>
                <w:color w:val="auto"/>
                <w:highlight w:val="none"/>
              </w:rPr>
              <w:t>无</w:t>
            </w:r>
            <w:bookmarkEnd w:id="94"/>
            <w:bookmarkEnd w:id="95"/>
            <w:bookmarkEnd w:id="9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97" w:name="_Toc47388311"/>
            <w:bookmarkStart w:id="98" w:name="_Toc23900"/>
            <w:bookmarkStart w:id="99" w:name="_Toc30787"/>
            <w:r>
              <w:rPr>
                <w:rFonts w:hint="eastAsia" w:ascii="宋体" w:hAnsi="宋体" w:cs="宋体"/>
                <w:color w:val="auto"/>
                <w:highlight w:val="none"/>
              </w:rPr>
              <w:t>九</w:t>
            </w:r>
            <w:bookmarkEnd w:id="97"/>
            <w:bookmarkEnd w:id="98"/>
            <w:bookmarkEnd w:id="99"/>
          </w:p>
        </w:tc>
        <w:tc>
          <w:tcPr>
            <w:tcW w:w="3495" w:type="dxa"/>
          </w:tcPr>
          <w:p>
            <w:pPr>
              <w:spacing w:line="400" w:lineRule="exact"/>
              <w:outlineLvl w:val="1"/>
              <w:rPr>
                <w:rFonts w:ascii="宋体" w:hAnsi="宋体" w:cs="宋体"/>
                <w:color w:val="auto"/>
                <w:highlight w:val="none"/>
              </w:rPr>
            </w:pPr>
            <w:bookmarkStart w:id="100" w:name="_Toc16439"/>
            <w:bookmarkStart w:id="101" w:name="_Toc47388315"/>
            <w:bookmarkStart w:id="102" w:name="_Toc6390"/>
            <w:r>
              <w:rPr>
                <w:rFonts w:hint="eastAsia" w:ascii="宋体" w:hAnsi="宋体" w:cs="宋体"/>
                <w:color w:val="auto"/>
                <w:highlight w:val="none"/>
              </w:rPr>
              <w:t>样品要求</w:t>
            </w:r>
            <w:bookmarkEnd w:id="100"/>
            <w:bookmarkEnd w:id="101"/>
            <w:bookmarkEnd w:id="102"/>
          </w:p>
        </w:tc>
        <w:tc>
          <w:tcPr>
            <w:tcW w:w="4095" w:type="dxa"/>
            <w:vAlign w:val="center"/>
          </w:tcPr>
          <w:p>
            <w:pPr>
              <w:spacing w:line="400" w:lineRule="exact"/>
              <w:outlineLvl w:val="1"/>
              <w:rPr>
                <w:rFonts w:ascii="宋体" w:hAnsi="宋体" w:cs="宋体"/>
                <w:color w:val="auto"/>
                <w:highlight w:val="none"/>
              </w:rPr>
            </w:pPr>
            <w:bookmarkStart w:id="103" w:name="_Toc21374"/>
            <w:bookmarkStart w:id="104" w:name="_Toc47388316"/>
            <w:bookmarkStart w:id="105" w:name="_Toc24747"/>
            <w:r>
              <w:rPr>
                <w:rFonts w:hint="eastAsia" w:ascii="宋体" w:hAnsi="宋体" w:cs="宋体"/>
                <w:color w:val="auto"/>
                <w:highlight w:val="none"/>
              </w:rPr>
              <w:t>无</w:t>
            </w:r>
            <w:bookmarkEnd w:id="103"/>
            <w:bookmarkEnd w:id="104"/>
            <w:bookmarkEnd w:id="105"/>
          </w:p>
        </w:tc>
      </w:tr>
    </w:tbl>
    <w:p>
      <w:pPr>
        <w:snapToGrid w:val="0"/>
        <w:spacing w:line="360" w:lineRule="auto"/>
        <w:rPr>
          <w:rFonts w:ascii="宋体" w:hAnsi="宋体" w:cs="宋体"/>
          <w:color w:val="auto"/>
          <w:highlight w:val="none"/>
        </w:rPr>
      </w:pPr>
    </w:p>
    <w:p>
      <w:pPr>
        <w:rPr>
          <w:rFonts w:ascii="宋体" w:hAnsi="宋体" w:cs="宋体"/>
          <w:color w:val="auto"/>
          <w:highlight w:val="none"/>
        </w:rPr>
      </w:pPr>
      <w:r>
        <w:rPr>
          <w:rFonts w:hint="eastAsia" w:ascii="宋体" w:hAnsi="宋体" w:cs="宋体"/>
          <w:b/>
          <w:bCs/>
          <w:color w:val="auto"/>
          <w:highlight w:val="none"/>
        </w:rPr>
        <w:br w:type="page"/>
      </w:r>
      <w:bookmarkStart w:id="106" w:name="_Toc1077"/>
    </w:p>
    <w:p>
      <w:pPr>
        <w:snapToGrid w:val="0"/>
        <w:spacing w:line="360" w:lineRule="auto"/>
        <w:rPr>
          <w:rFonts w:ascii="宋体" w:hAnsi="宋体" w:cs="宋体"/>
          <w:b/>
          <w:bCs/>
          <w:color w:val="auto"/>
          <w:highlight w:val="none"/>
        </w:rPr>
        <w:sectPr>
          <w:headerReference r:id="rId5" w:type="default"/>
          <w:footerReference r:id="rId6" w:type="default"/>
          <w:pgSz w:w="11906" w:h="16838"/>
          <w:pgMar w:top="1474" w:right="1797" w:bottom="1247" w:left="1797" w:header="851" w:footer="851" w:gutter="0"/>
          <w:cols w:space="720" w:num="1"/>
          <w:docGrid w:type="lines" w:linePitch="312" w:charSpace="0"/>
        </w:sectPr>
      </w:pPr>
    </w:p>
    <w:p>
      <w:pPr>
        <w:numPr>
          <w:ilvl w:val="0"/>
          <w:numId w:val="8"/>
        </w:numPr>
        <w:snapToGrid w:val="0"/>
        <w:spacing w:line="360" w:lineRule="auto"/>
        <w:rPr>
          <w:rFonts w:ascii="宋体" w:hAnsi="宋体" w:cs="宋体"/>
          <w:color w:val="auto"/>
          <w:highlight w:val="none"/>
        </w:rPr>
      </w:pPr>
      <w:r>
        <w:rPr>
          <w:rFonts w:hint="eastAsia" w:ascii="宋体" w:hAnsi="宋体" w:cs="宋体"/>
          <w:b/>
          <w:bCs/>
          <w:color w:val="auto"/>
          <w:highlight w:val="none"/>
        </w:rPr>
        <w:t>商务要求</w:t>
      </w:r>
    </w:p>
    <w:tbl>
      <w:tblPr>
        <w:tblStyle w:val="48"/>
        <w:tblW w:w="0" w:type="auto"/>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79"/>
        <w:gridCol w:w="714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trPr>
        <w:tc>
          <w:tcPr>
            <w:tcW w:w="1379" w:type="dxa"/>
            <w:tcBorders>
              <w:tl2br w:val="nil"/>
              <w:tr2bl w:val="nil"/>
            </w:tcBorders>
            <w:vAlign w:val="center"/>
          </w:tcPr>
          <w:p>
            <w:pPr>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7143" w:type="dxa"/>
            <w:tcBorders>
              <w:tl2br w:val="nil"/>
              <w:tr2bl w:val="nil"/>
            </w:tcBorders>
            <w:vAlign w:val="center"/>
          </w:tcPr>
          <w:p>
            <w:pPr>
              <w:pStyle w:val="3"/>
              <w:spacing w:after="0"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商务要求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★一</w:t>
            </w:r>
          </w:p>
        </w:tc>
        <w:tc>
          <w:tcPr>
            <w:tcW w:w="7143" w:type="dxa"/>
            <w:tcBorders>
              <w:tl2br w:val="nil"/>
              <w:tr2bl w:val="nil"/>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付款方式：</w:t>
            </w:r>
          </w:p>
          <w:p>
            <w:pPr>
              <w:spacing w:line="360" w:lineRule="auto"/>
              <w:jc w:val="left"/>
              <w:rPr>
                <w:rFonts w:ascii="宋体" w:hAnsi="宋体" w:cs="宋体"/>
                <w:color w:val="auto"/>
                <w:highlight w:val="none"/>
              </w:rPr>
            </w:pPr>
            <w:r>
              <w:rPr>
                <w:rFonts w:hint="eastAsia" w:ascii="宋体" w:hAnsi="宋体" w:cs="宋体"/>
                <w:color w:val="auto"/>
                <w:highlight w:val="none"/>
              </w:rPr>
              <w:t>合同签订生效后7日内支付合同额的40%作为预付款</w:t>
            </w:r>
            <w:r>
              <w:rPr>
                <w:rFonts w:hint="eastAsia" w:ascii="宋体" w:hAnsi="宋体" w:cs="宋体"/>
                <w:color w:val="auto"/>
                <w:highlight w:val="none"/>
                <w:lang w:eastAsia="zh-CN"/>
              </w:rPr>
              <w:t>（</w:t>
            </w:r>
            <w:r>
              <w:rPr>
                <w:rFonts w:hint="eastAsia" w:ascii="宋体" w:hAnsi="宋体" w:cs="宋体"/>
                <w:color w:val="auto"/>
                <w:highlight w:val="none"/>
              </w:rPr>
              <w:t>供应商应提交银行、保险公司等金融机构出具同等金额的预付款保函</w:t>
            </w:r>
            <w:r>
              <w:rPr>
                <w:rFonts w:hint="eastAsia" w:ascii="宋体" w:hAnsi="宋体" w:cs="宋体"/>
                <w:color w:val="auto"/>
                <w:highlight w:val="none"/>
                <w:lang w:eastAsia="zh-CN"/>
              </w:rPr>
              <w:t>）</w:t>
            </w:r>
            <w:r>
              <w:rPr>
                <w:rFonts w:hint="eastAsia" w:ascii="宋体" w:hAnsi="宋体" w:cs="宋体"/>
                <w:color w:val="auto"/>
                <w:highlight w:val="none"/>
              </w:rPr>
              <w:t>（供应商为《政府采购促进中小企业发展管理办法》（财库﹝2020﹞46号）第四条认定的大型企业无预付款，不适用该条款）；</w:t>
            </w:r>
          </w:p>
          <w:p>
            <w:pPr>
              <w:spacing w:line="360" w:lineRule="auto"/>
              <w:jc w:val="left"/>
              <w:rPr>
                <w:rFonts w:ascii="宋体" w:hAnsi="宋体" w:cs="宋体"/>
                <w:color w:val="auto"/>
                <w:highlight w:val="none"/>
              </w:rPr>
            </w:pPr>
            <w:r>
              <w:rPr>
                <w:rFonts w:hint="eastAsia" w:ascii="宋体" w:hAnsi="宋体" w:cs="宋体"/>
                <w:color w:val="auto"/>
                <w:highlight w:val="none"/>
              </w:rPr>
              <w:t>项目验收合格并收到中标人正式发票之日起7个工作日内付清合同款。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highlight w:val="none"/>
              </w:rPr>
            </w:pPr>
            <w:r>
              <w:rPr>
                <w:rFonts w:hint="eastAsia" w:ascii="宋体" w:hAnsi="宋体" w:cs="宋体"/>
                <w:b/>
                <w:bCs/>
                <w:color w:val="auto"/>
                <w:highlight w:val="none"/>
              </w:rPr>
              <w:t>二</w:t>
            </w:r>
          </w:p>
        </w:tc>
        <w:tc>
          <w:tcPr>
            <w:tcW w:w="7143" w:type="dxa"/>
            <w:tcBorders>
              <w:tl2br w:val="nil"/>
              <w:tr2bl w:val="nil"/>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其他：</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kern w:val="0"/>
                <w:highlight w:val="none"/>
              </w:rPr>
              <w:t>★</w:t>
            </w:r>
            <w:r>
              <w:rPr>
                <w:rFonts w:hint="eastAsia" w:ascii="宋体" w:hAnsi="宋体" w:cs="宋体"/>
                <w:color w:val="auto"/>
                <w:highlight w:val="none"/>
              </w:rPr>
              <w:t>2.1</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列出详细的设备配置清单（包括附件及选配件），清单包括：硬件、软件、附件及选配件的规格型号、接口。提供分项价格并提供价格的折扣率，同时提供耗</w:t>
            </w:r>
            <w:r>
              <w:rPr>
                <w:rFonts w:hint="eastAsia" w:ascii="宋体" w:hAnsi="宋体" w:cs="宋体"/>
                <w:color w:val="auto"/>
                <w:highlight w:val="none"/>
                <w:lang w:val="en-US" w:eastAsia="zh-CN"/>
              </w:rPr>
              <w:t>材</w:t>
            </w:r>
            <w:r>
              <w:rPr>
                <w:rFonts w:hint="eastAsia" w:ascii="宋体" w:hAnsi="宋体" w:cs="宋体"/>
                <w:color w:val="auto"/>
                <w:highlight w:val="none"/>
              </w:rPr>
              <w:t>的清单及供应价（各种包装规格分别报价）。招标文件中未提及的某些属选配的功能、软硬件，供方必须充分告知采购人，以采购人选择为准。若在交付使用后采购人发现其功能或软件未告知采购人的，中标人必须无条件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2.2</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提供各类必要证件（书），包括但不限于进字号注册证、</w:t>
            </w:r>
            <w:r>
              <w:rPr>
                <w:rFonts w:hint="eastAsia" w:ascii="宋体" w:hAnsi="宋体" w:cs="宋体"/>
                <w:kern w:val="0"/>
                <w:szCs w:val="21"/>
                <w:highlight w:val="none"/>
              </w:rPr>
              <w:t>医疗器械注册证、产品注册登记表及各类必要证件（书）</w:t>
            </w:r>
            <w:r>
              <w:rPr>
                <w:rFonts w:hint="eastAsia" w:ascii="宋体" w:hAnsi="宋体" w:cs="宋体"/>
                <w:color w:val="auto"/>
                <w:kern w:val="0"/>
                <w:highlight w:val="none"/>
              </w:rPr>
              <w:t>。全套设备必须为全新，未曾使用过的原装产品，软件版本为最新版本（投标文件中须注明设备进入市场时间及软件最新版本号）。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2.3</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招标设备如为法定商检产品或国家强检计量设备，由中标人负责进行商检或计量等，费用包含在投标总价之内。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2.4</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投标人必须以招标人需要的机型进行投标，在投标时如实响应招标文件技术文件并提供完全配置，不得欺骗、隐瞒，投标后对招标文件的响应内容，不得以任何理由加价，招、投标文件为合同的组成部分，具备同等法律效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2.5</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提供纸质和电子版操作手册（包括纸质版两套和电子版一套）、维修手册（包括维修技术资料及线路图）、软件、维修零配件、维修密码等。</w:t>
            </w:r>
            <w:r>
              <w:rPr>
                <w:rFonts w:hint="eastAsia" w:ascii="宋体" w:hAnsi="宋体" w:eastAsia="宋体" w:cs="宋体"/>
                <w:color w:val="auto"/>
                <w:sz w:val="21"/>
                <w:szCs w:val="21"/>
                <w:highlight w:val="none"/>
              </w:rPr>
              <w:t>开放维修权限，医院工程师具有自主维修权限</w:t>
            </w:r>
            <w:r>
              <w:rPr>
                <w:rFonts w:hint="eastAsia" w:ascii="宋体" w:hAnsi="宋体" w:cs="宋体"/>
                <w:color w:val="auto"/>
                <w:sz w:val="21"/>
                <w:szCs w:val="21"/>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2.6</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提供近三年内国内医院的用户名单、联系电话。（同规格型号的用户）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2.7</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lang w:eastAsia="zh-CN"/>
              </w:rPr>
            </w:pPr>
            <w:r>
              <w:rPr>
                <w:rFonts w:hint="eastAsia" w:ascii="宋体" w:hAnsi="宋体" w:cs="宋体"/>
                <w:kern w:val="0"/>
                <w:szCs w:val="21"/>
                <w:highlight w:val="none"/>
              </w:rPr>
              <w:t>如实提供有注册证医疗器械的使用年限或使用期限。设备到医院日期与生产日期间隔不超过半年</w:t>
            </w:r>
            <w:r>
              <w:rPr>
                <w:rFonts w:hint="eastAsia" w:ascii="宋体" w:hAnsi="宋体" w:cs="宋体"/>
                <w:kern w:val="0"/>
                <w:szCs w:val="21"/>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2.8</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提供制造商原厂data sheet，提供符合上述参数和配置要求的详细配置清单及单价，必需的耗材清单，承诺长期供应的优惠价格。应标技术文件参数应与官方网站的数据或原厂data sheet保持一致，并以此验收。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2.9</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lang w:eastAsia="zh-CN"/>
              </w:rPr>
            </w:pPr>
            <w:r>
              <w:rPr>
                <w:rFonts w:hint="eastAsia" w:ascii="宋体" w:hAnsi="宋体" w:cs="宋体"/>
                <w:color w:val="auto"/>
                <w:kern w:val="0"/>
                <w:highlight w:val="none"/>
              </w:rPr>
              <w:t>免费开放所有接口，便于信息系统接入</w:t>
            </w:r>
            <w:r>
              <w:rPr>
                <w:rFonts w:hint="eastAsia" w:ascii="宋体" w:hAnsi="宋体" w:cs="宋体"/>
                <w:color w:val="auto"/>
                <w:kern w:val="0"/>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3.10</w:t>
            </w:r>
          </w:p>
        </w:tc>
        <w:tc>
          <w:tcPr>
            <w:tcW w:w="7143" w:type="dxa"/>
            <w:tcBorders>
              <w:tl2br w:val="nil"/>
              <w:tr2bl w:val="nil"/>
            </w:tcBorders>
            <w:vAlign w:val="center"/>
          </w:tcPr>
          <w:p>
            <w:pPr>
              <w:spacing w:line="360" w:lineRule="auto"/>
              <w:rPr>
                <w:rFonts w:hint="eastAsia" w:ascii="宋体" w:hAnsi="宋体" w:cs="宋体"/>
                <w:color w:val="auto"/>
                <w:kern w:val="0"/>
                <w:highlight w:val="none"/>
                <w:lang w:eastAsia="zh-CN"/>
              </w:rPr>
            </w:pPr>
            <w:r>
              <w:rPr>
                <w:rFonts w:hint="eastAsia" w:ascii="宋体" w:hAnsi="宋体" w:cs="宋体"/>
                <w:color w:val="auto"/>
                <w:kern w:val="0"/>
                <w:highlight w:val="none"/>
                <w:lang w:val="en-US" w:eastAsia="zh-CN"/>
              </w:rPr>
              <w:t>标项二：</w:t>
            </w:r>
            <w:r>
              <w:rPr>
                <w:rFonts w:hint="eastAsia" w:ascii="宋体" w:hAnsi="宋体" w:cs="宋体"/>
                <w:color w:val="auto"/>
                <w:kern w:val="0"/>
                <w:highlight w:val="none"/>
              </w:rPr>
              <w:t>投标设备使用寿命≥</w:t>
            </w:r>
            <w:r>
              <w:rPr>
                <w:rFonts w:hint="eastAsia" w:ascii="宋体" w:hAnsi="宋体" w:cs="宋体"/>
                <w:color w:val="auto"/>
                <w:kern w:val="0"/>
                <w:highlight w:val="none"/>
                <w:lang w:val="en-US" w:eastAsia="zh-CN"/>
              </w:rPr>
              <w:t>8</w:t>
            </w:r>
            <w:r>
              <w:rPr>
                <w:rFonts w:hint="eastAsia" w:ascii="宋体" w:hAnsi="宋体" w:cs="宋体"/>
                <w:color w:val="auto"/>
                <w:kern w:val="0"/>
                <w:highlight w:val="none"/>
              </w:rPr>
              <w:t>年</w:t>
            </w:r>
            <w:r>
              <w:rPr>
                <w:rFonts w:hint="eastAsia" w:ascii="宋体" w:hAnsi="宋体" w:cs="宋体"/>
                <w:color w:val="auto"/>
                <w:kern w:val="0"/>
                <w:highlight w:val="none"/>
                <w:lang w:eastAsia="zh-CN"/>
              </w:rPr>
              <w:t>；</w:t>
            </w:r>
          </w:p>
          <w:p>
            <w:pPr>
              <w:spacing w:line="360" w:lineRule="auto"/>
              <w:rPr>
                <w:rFonts w:ascii="宋体" w:hAnsi="宋体" w:cs="宋体"/>
                <w:color w:val="auto"/>
                <w:kern w:val="0"/>
                <w:highlight w:val="none"/>
              </w:rPr>
            </w:pPr>
            <w:r>
              <w:rPr>
                <w:rFonts w:hint="eastAsia" w:ascii="宋体" w:hAnsi="宋体" w:cs="宋体"/>
                <w:color w:val="auto"/>
                <w:kern w:val="0"/>
                <w:highlight w:val="none"/>
                <w:lang w:val="en-US" w:eastAsia="zh-CN"/>
              </w:rPr>
              <w:t>标项一、标项三：</w:t>
            </w:r>
            <w:r>
              <w:rPr>
                <w:rFonts w:hint="eastAsia" w:ascii="宋体" w:hAnsi="宋体" w:cs="宋体"/>
                <w:kern w:val="0"/>
                <w:szCs w:val="21"/>
                <w:highlight w:val="none"/>
                <w:lang w:eastAsia="zh-CN"/>
              </w:rPr>
              <w:t>主机设备使用寿命</w:t>
            </w:r>
            <w:r>
              <w:rPr>
                <w:rFonts w:hint="eastAsia" w:ascii="宋体" w:hAnsi="宋体" w:eastAsia="宋体" w:cs="宋体"/>
                <w:kern w:val="0"/>
                <w:szCs w:val="21"/>
                <w:highlight w:val="none"/>
                <w:lang w:eastAsia="zh-CN"/>
              </w:rPr>
              <w:t>≧</w:t>
            </w:r>
            <w:r>
              <w:rPr>
                <w:rFonts w:hint="eastAsia" w:ascii="宋体" w:hAnsi="宋体" w:cs="宋体"/>
                <w:kern w:val="0"/>
                <w:szCs w:val="21"/>
                <w:highlight w:val="none"/>
                <w:lang w:val="en-US" w:eastAsia="zh-CN"/>
              </w:rPr>
              <w:t>5年</w:t>
            </w:r>
            <w:r>
              <w:rPr>
                <w:rFonts w:hint="eastAsia" w:ascii="宋体" w:hAnsi="宋体" w:cs="宋体"/>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3.11</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及时提供投标设备新功能信息和临床应用的资料。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highlight w:val="none"/>
              </w:rPr>
            </w:pPr>
            <w:r>
              <w:rPr>
                <w:rFonts w:hint="eastAsia" w:ascii="宋体" w:hAnsi="宋体" w:cs="宋体"/>
                <w:b/>
                <w:bCs/>
                <w:color w:val="auto"/>
                <w:highlight w:val="none"/>
              </w:rPr>
              <w:t>三</w:t>
            </w:r>
          </w:p>
        </w:tc>
        <w:tc>
          <w:tcPr>
            <w:tcW w:w="7143" w:type="dxa"/>
            <w:tcBorders>
              <w:tl2br w:val="nil"/>
              <w:tr2bl w:val="nil"/>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售后服务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★3.1</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b/>
                <w:bCs/>
                <w:color w:val="auto"/>
                <w:kern w:val="0"/>
                <w:highlight w:val="none"/>
              </w:rPr>
              <w:t>设备验收合格后整机及附属设备免费保修</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标项一、标项二、标项三</w:t>
            </w:r>
            <w:r>
              <w:rPr>
                <w:rFonts w:hint="eastAsia" w:ascii="宋体" w:hAnsi="宋体" w:cs="宋体"/>
                <w:b/>
                <w:bCs/>
                <w:color w:val="auto"/>
                <w:kern w:val="0"/>
                <w:highlight w:val="none"/>
                <w:u w:val="none"/>
              </w:rPr>
              <w:t>≥</w:t>
            </w:r>
            <w:r>
              <w:rPr>
                <w:rFonts w:hint="eastAsia" w:ascii="宋体" w:hAnsi="宋体" w:cs="宋体"/>
                <w:b/>
                <w:bCs/>
                <w:color w:val="auto"/>
                <w:kern w:val="0"/>
                <w:highlight w:val="none"/>
                <w:u w:val="none"/>
                <w:lang w:val="en-US" w:eastAsia="zh-CN"/>
              </w:rPr>
              <w:t>3</w:t>
            </w:r>
            <w:r>
              <w:rPr>
                <w:rFonts w:hint="eastAsia" w:ascii="宋体" w:hAnsi="宋体" w:cs="宋体"/>
                <w:b/>
                <w:bCs/>
                <w:color w:val="auto"/>
                <w:kern w:val="0"/>
                <w:highlight w:val="none"/>
                <w:u w:val="none"/>
              </w:rPr>
              <w:t>年</w:t>
            </w:r>
            <w:r>
              <w:rPr>
                <w:rFonts w:hint="eastAsia" w:ascii="宋体" w:hAnsi="宋体" w:cs="宋体"/>
                <w:b/>
                <w:bCs/>
                <w:color w:val="auto"/>
                <w:kern w:val="0"/>
                <w:highlight w:val="none"/>
              </w:rPr>
              <w:t>。设备停产后仍保证零配件供应</w:t>
            </w:r>
            <w:r>
              <w:rPr>
                <w:rFonts w:hint="eastAsia" w:ascii="宋体" w:hAnsi="宋体" w:cs="宋体"/>
                <w:b/>
                <w:bCs/>
                <w:color w:val="auto"/>
                <w:kern w:val="0"/>
                <w:highlight w:val="none"/>
                <w:lang w:val="en-US" w:eastAsia="zh-CN"/>
              </w:rPr>
              <w:t>8</w:t>
            </w:r>
            <w:r>
              <w:rPr>
                <w:rFonts w:hint="eastAsia" w:ascii="宋体" w:hAnsi="宋体" w:cs="宋体"/>
                <w:b/>
                <w:bCs/>
                <w:color w:val="auto"/>
                <w:kern w:val="0"/>
                <w:highlight w:val="none"/>
              </w:rPr>
              <w:t>年及以上（保修起始时间以医院验收合格之日为准）。</w:t>
            </w:r>
            <w:r>
              <w:rPr>
                <w:rFonts w:hint="eastAsia" w:ascii="宋体" w:hAnsi="宋体" w:cs="宋体"/>
                <w:color w:val="auto"/>
                <w:kern w:val="0"/>
                <w:highlight w:val="none"/>
              </w:rPr>
              <w:t>投标人需提供保修期后每年整机保修费用，</w:t>
            </w:r>
            <w:r>
              <w:rPr>
                <w:rFonts w:hint="eastAsia" w:ascii="宋体" w:hAnsi="宋体" w:cs="宋体"/>
                <w:color w:val="auto"/>
                <w:highlight w:val="none"/>
              </w:rPr>
              <w:t>单独报价，</w:t>
            </w:r>
            <w:r>
              <w:rPr>
                <w:rFonts w:hint="eastAsia" w:ascii="宋体" w:hAnsi="宋体" w:cs="宋体"/>
                <w:color w:val="auto"/>
                <w:kern w:val="0"/>
                <w:highlight w:val="none"/>
              </w:rPr>
              <w:t>并且保证价格为真实、有效，并作为售后服务的评标依据，保修期后需要保修的，不高于此价格（如技术需求中有相关要求，以技术需求准）。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3.2</w:t>
            </w:r>
          </w:p>
        </w:tc>
        <w:tc>
          <w:tcPr>
            <w:tcW w:w="7143" w:type="dxa"/>
            <w:tcBorders>
              <w:tl2br w:val="nil"/>
              <w:tr2bl w:val="nil"/>
            </w:tcBorders>
            <w:vAlign w:val="center"/>
          </w:tcPr>
          <w:p>
            <w:pPr>
              <w:spacing w:line="360" w:lineRule="auto"/>
              <w:rPr>
                <w:rFonts w:ascii="宋体" w:hAnsi="宋体" w:cs="宋体"/>
                <w:b/>
                <w:bCs/>
                <w:color w:val="auto"/>
                <w:kern w:val="0"/>
                <w:highlight w:val="none"/>
              </w:rPr>
            </w:pPr>
            <w:r>
              <w:rPr>
                <w:rFonts w:hint="eastAsia" w:ascii="宋体" w:hAnsi="宋体" w:cs="宋体"/>
                <w:color w:val="auto"/>
                <w:highlight w:val="none"/>
              </w:rPr>
              <w:t>保修范围内设备的故障维修响应时间≤</w:t>
            </w:r>
            <w:r>
              <w:rPr>
                <w:rFonts w:hint="eastAsia" w:ascii="宋体" w:hAnsi="宋体" w:cs="宋体"/>
                <w:color w:val="auto"/>
                <w:highlight w:val="none"/>
                <w:lang w:val="en-US" w:eastAsia="zh-CN"/>
              </w:rPr>
              <w:t>0.5</w:t>
            </w:r>
            <w:r>
              <w:rPr>
                <w:rFonts w:hint="eastAsia" w:ascii="宋体" w:hAnsi="宋体" w:cs="宋体"/>
                <w:color w:val="auto"/>
                <w:highlight w:val="none"/>
              </w:rPr>
              <w:t>小时，到达现场时间≤24小时（包括节假日），8个工作小时未修复须提供备品备件。每次现场服务后提供详细的维修报告单。</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3.3</w:t>
            </w:r>
          </w:p>
        </w:tc>
        <w:tc>
          <w:tcPr>
            <w:tcW w:w="7143" w:type="dxa"/>
            <w:tcBorders>
              <w:tl2br w:val="nil"/>
              <w:tr2bl w:val="nil"/>
            </w:tcBorders>
            <w:vAlign w:val="center"/>
          </w:tcPr>
          <w:p>
            <w:pPr>
              <w:spacing w:line="360" w:lineRule="auto"/>
              <w:rPr>
                <w:rFonts w:ascii="宋体" w:hAnsi="宋体" w:cs="宋体"/>
                <w:b/>
                <w:bCs/>
                <w:color w:val="auto"/>
                <w:kern w:val="0"/>
                <w:highlight w:val="none"/>
              </w:rPr>
            </w:pPr>
            <w:r>
              <w:rPr>
                <w:rFonts w:hint="eastAsia" w:ascii="宋体" w:hAnsi="宋体" w:cs="宋体"/>
                <w:color w:val="auto"/>
                <w:highlight w:val="none"/>
              </w:rPr>
              <w:t>保修期内每年开机率不低于95%（一年按365天计），即停机天数不超过18个自然日/年，如开机率达不到要求，每停机超过1个自然日保修期相应延长</w:t>
            </w:r>
            <w:r>
              <w:rPr>
                <w:rFonts w:hint="eastAsia" w:ascii="宋体" w:hAnsi="宋体" w:cs="宋体"/>
                <w:color w:val="auto"/>
                <w:highlight w:val="none"/>
                <w:lang w:val="en-US" w:eastAsia="zh-CN"/>
              </w:rPr>
              <w:t>5</w:t>
            </w:r>
            <w:r>
              <w:rPr>
                <w:rFonts w:hint="eastAsia" w:ascii="宋体" w:hAnsi="宋体" w:cs="宋体"/>
                <w:color w:val="auto"/>
                <w:highlight w:val="none"/>
              </w:rPr>
              <w:t>个自然日。单次停机时间不得超过一周，否则投标人需做出相应补偿并承担责任。</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3.4</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按规范进行每年至少2次的维保、检测服务并提供详细的维保及检测报告（提供有关测试证明）等。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3.5</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保修期内，确保设备通过浙江省卫生厅的质控检查和技术监督局等有关部门的技术检测。如不合格，承担重检费用，直至通过检测。</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3.6</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kern w:val="0"/>
                <w:highlight w:val="none"/>
              </w:rPr>
              <w:t>在保质期内出现问题，所产生的维修费用（包括零部件费用、运返费用等费用)均由投标人承担；</w:t>
            </w:r>
            <w:r>
              <w:rPr>
                <w:rFonts w:hint="eastAsia" w:ascii="宋体" w:hAnsi="宋体" w:cs="宋体"/>
                <w:color w:val="auto"/>
                <w:highlight w:val="none"/>
              </w:rPr>
              <w:t>保修期后，</w:t>
            </w:r>
            <w:r>
              <w:rPr>
                <w:rFonts w:hint="eastAsia" w:ascii="宋体" w:hAnsi="宋体" w:cs="宋体"/>
                <w:color w:val="auto"/>
                <w:kern w:val="0"/>
                <w:highlight w:val="none"/>
              </w:rPr>
              <w:t>投标人应提供终身维修，</w:t>
            </w:r>
            <w:r>
              <w:rPr>
                <w:rFonts w:hint="eastAsia" w:ascii="宋体" w:hAnsi="宋体" w:cs="宋体"/>
                <w:color w:val="auto"/>
                <w:highlight w:val="none"/>
              </w:rPr>
              <w:t>对设备进行维修免收差旅费、人工费等，仅收损坏更换的零备件费。必须做到先维修后付款。要求原厂或原厂授权维修服务机构进行书面承诺。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3.7</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提供保修期后消耗品和常用零配件的供应价格与折扣，折扣按优惠程度供应（供应价格和折扣，在投标文件中明确）。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3.8</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操作培训及考核和工程师的维护、维修培训（列出具体的培训方案。如提供院外培训，投标人负责采购人人员培训期间的一切费用(包括会务费、差旅费、食宿费用等），投标人应知晓所有这些费用已包含在合同总价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3.9</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提供售后服务地址、联系人、电话等信息。</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3.10</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提供软件光盘，软件终身免费升级。</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3.11</w:t>
            </w:r>
          </w:p>
        </w:tc>
        <w:tc>
          <w:tcPr>
            <w:tcW w:w="7143" w:type="dxa"/>
            <w:tcBorders>
              <w:tl2br w:val="nil"/>
              <w:tr2bl w:val="nil"/>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如属计量器具、放射类设备，则卖方提供经买方认可的且具有资质的检测机构出具的计量、放射防护检测合格报告，检测费用包含在合同总价中。</w:t>
            </w:r>
          </w:p>
          <w:p>
            <w:pPr>
              <w:spacing w:line="360" w:lineRule="auto"/>
              <w:rPr>
                <w:rFonts w:ascii="宋体" w:hAnsi="宋体" w:cs="宋体"/>
                <w:b/>
                <w:bCs/>
                <w:color w:val="auto"/>
                <w:highlight w:val="none"/>
              </w:rPr>
            </w:pPr>
            <w:r>
              <w:rPr>
                <w:rFonts w:hint="eastAsia" w:ascii="宋体" w:hAnsi="宋体" w:cs="宋体"/>
                <w:color w:val="auto"/>
                <w:highlight w:val="none"/>
              </w:rPr>
              <w:t>若设备有信息系统接口，则全部免费开放。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highlight w:val="none"/>
              </w:rPr>
            </w:pPr>
            <w:r>
              <w:rPr>
                <w:rFonts w:hint="eastAsia" w:ascii="宋体" w:hAnsi="宋体" w:cs="宋体"/>
                <w:b/>
                <w:bCs/>
                <w:color w:val="auto"/>
                <w:highlight w:val="none"/>
              </w:rPr>
              <w:t>四</w:t>
            </w:r>
          </w:p>
        </w:tc>
        <w:tc>
          <w:tcPr>
            <w:tcW w:w="7143" w:type="dxa"/>
            <w:tcBorders>
              <w:tl2br w:val="nil"/>
              <w:tr2bl w:val="nil"/>
            </w:tcBorders>
            <w:vAlign w:val="center"/>
          </w:tcPr>
          <w:p>
            <w:pPr>
              <w:spacing w:line="360" w:lineRule="auto"/>
              <w:rPr>
                <w:rFonts w:ascii="宋体" w:hAnsi="宋体" w:cs="宋体"/>
                <w:b/>
                <w:bCs/>
                <w:color w:val="auto"/>
                <w:kern w:val="0"/>
                <w:highlight w:val="none"/>
              </w:rPr>
            </w:pPr>
            <w:r>
              <w:rPr>
                <w:rFonts w:hint="eastAsia" w:ascii="宋体" w:hAnsi="宋体" w:cs="宋体"/>
                <w:b/>
                <w:bCs/>
                <w:color w:val="auto"/>
                <w:kern w:val="0"/>
                <w:highlight w:val="none"/>
              </w:rPr>
              <w:t>安装及验收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4.1</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安装地点：医院指定地点。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4.2</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安装要求：到货后</w:t>
            </w:r>
            <w:r>
              <w:rPr>
                <w:rFonts w:hint="eastAsia" w:ascii="宋体" w:hAnsi="宋体" w:cs="宋体"/>
                <w:color w:val="auto"/>
                <w:highlight w:val="none"/>
              </w:rPr>
              <w:t>接到采购人通知</w:t>
            </w:r>
            <w:r>
              <w:rPr>
                <w:rFonts w:hint="eastAsia" w:ascii="宋体" w:hAnsi="宋体" w:cs="宋体"/>
                <w:color w:val="auto"/>
                <w:highlight w:val="none"/>
                <w:lang w:val="en-US" w:eastAsia="zh-CN"/>
              </w:rPr>
              <w:t>3</w:t>
            </w:r>
            <w:r>
              <w:rPr>
                <w:rFonts w:hint="eastAsia" w:ascii="宋体" w:hAnsi="宋体" w:cs="宋体"/>
                <w:color w:val="auto"/>
                <w:highlight w:val="none"/>
              </w:rPr>
              <w:t>天内全部安装调试完成。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4.3</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安装、验收前所产生的一切费用及风险（包括运输费、保险费、装卸及搬运费用等）由供方负责提供。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4.4</w:t>
            </w:r>
          </w:p>
        </w:tc>
        <w:tc>
          <w:tcPr>
            <w:tcW w:w="7143" w:type="dxa"/>
            <w:tcBorders>
              <w:tl2br w:val="nil"/>
              <w:tr2bl w:val="nil"/>
            </w:tcBorders>
            <w:vAlign w:val="center"/>
          </w:tcPr>
          <w:p>
            <w:pPr>
              <w:spacing w:line="360" w:lineRule="auto"/>
              <w:rPr>
                <w:rFonts w:ascii="宋体" w:hAnsi="宋体" w:cs="宋体"/>
                <w:color w:val="auto"/>
                <w:kern w:val="0"/>
                <w:highlight w:val="none"/>
              </w:rPr>
            </w:pPr>
            <w:r>
              <w:rPr>
                <w:rFonts w:hint="eastAsia" w:ascii="宋体" w:hAnsi="宋体" w:cs="宋体"/>
                <w:color w:val="auto"/>
                <w:kern w:val="0"/>
                <w:highlight w:val="none"/>
              </w:rPr>
              <w:t>安装、验收标准：应与产品技术数据及投标文件技术文件一致，符合我国有关技术规范和技术标准，符合合同要求。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color w:val="auto"/>
                <w:kern w:val="0"/>
                <w:highlight w:val="none"/>
              </w:rPr>
            </w:pPr>
            <w:r>
              <w:rPr>
                <w:rFonts w:hint="eastAsia" w:ascii="宋体" w:hAnsi="宋体" w:cs="宋体"/>
                <w:color w:val="auto"/>
                <w:kern w:val="0"/>
                <w:highlight w:val="none"/>
              </w:rPr>
              <w:t>4.5</w:t>
            </w:r>
          </w:p>
        </w:tc>
        <w:tc>
          <w:tcPr>
            <w:tcW w:w="7143" w:type="dxa"/>
            <w:tcBorders>
              <w:tl2br w:val="nil"/>
              <w:tr2bl w:val="nil"/>
            </w:tcBorders>
            <w:vAlign w:val="center"/>
          </w:tcPr>
          <w:p>
            <w:pPr>
              <w:widowControl/>
              <w:spacing w:line="360" w:lineRule="auto"/>
              <w:rPr>
                <w:rFonts w:ascii="宋体" w:hAnsi="宋体" w:cs="宋体"/>
                <w:color w:val="auto"/>
                <w:kern w:val="0"/>
                <w:highlight w:val="none"/>
              </w:rPr>
            </w:pPr>
            <w:r>
              <w:rPr>
                <w:rFonts w:hint="eastAsia" w:ascii="宋体" w:hAnsi="宋体" w:cs="宋体"/>
                <w:color w:val="auto"/>
                <w:kern w:val="0"/>
                <w:highlight w:val="none"/>
              </w:rPr>
              <w:t>验收：符合医院的验收规范。</w:t>
            </w:r>
          </w:p>
          <w:p>
            <w:pPr>
              <w:widowControl/>
              <w:spacing w:line="360" w:lineRule="auto"/>
              <w:rPr>
                <w:rFonts w:ascii="宋体" w:hAnsi="宋体" w:cs="宋体"/>
                <w:color w:val="auto"/>
                <w:kern w:val="0"/>
                <w:highlight w:val="none"/>
              </w:rPr>
            </w:pPr>
            <w:r>
              <w:rPr>
                <w:rFonts w:hint="eastAsia" w:ascii="宋体" w:hAnsi="宋体" w:cs="宋体"/>
                <w:b/>
                <w:bCs/>
                <w:color w:val="auto"/>
                <w:kern w:val="0"/>
                <w:highlight w:val="none"/>
              </w:rPr>
              <w:t>注：1.提供规范的安装验收报告；2.提供电子版和纸质简明操作规程（至少包括使用前检查准备、操作步骤、注意事项、适用范围或禁忌证，日常维护、应急处理方案等）；3.提供厂家标准维保（PM）内容。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ascii="宋体" w:hAnsi="宋体" w:cs="宋体"/>
                <w:b/>
                <w:bCs/>
                <w:color w:val="auto"/>
                <w:kern w:val="0"/>
                <w:highlight w:val="none"/>
              </w:rPr>
            </w:pPr>
            <w:r>
              <w:rPr>
                <w:rFonts w:hint="eastAsia" w:ascii="宋体" w:hAnsi="宋体" w:cs="宋体"/>
                <w:b/>
                <w:bCs/>
                <w:color w:val="auto"/>
                <w:kern w:val="0"/>
                <w:highlight w:val="none"/>
              </w:rPr>
              <w:t>五</w:t>
            </w:r>
          </w:p>
        </w:tc>
        <w:tc>
          <w:tcPr>
            <w:tcW w:w="7143" w:type="dxa"/>
            <w:tcBorders>
              <w:tl2br w:val="nil"/>
              <w:tr2bl w:val="nil"/>
            </w:tcBorders>
            <w:vAlign w:val="center"/>
          </w:tcPr>
          <w:p>
            <w:pPr>
              <w:spacing w:line="360" w:lineRule="auto"/>
              <w:rPr>
                <w:rFonts w:hint="eastAsia" w:ascii="宋体" w:hAnsi="宋体" w:cs="宋体"/>
                <w:b/>
                <w:bCs/>
                <w:color w:val="auto"/>
                <w:kern w:val="0"/>
                <w:highlight w:val="none"/>
              </w:rPr>
            </w:pPr>
            <w:r>
              <w:rPr>
                <w:rFonts w:hint="eastAsia" w:ascii="宋体" w:hAnsi="宋体" w:cs="宋体"/>
                <w:b/>
                <w:bCs/>
                <w:color w:val="auto"/>
                <w:kern w:val="0"/>
                <w:highlight w:val="none"/>
              </w:rPr>
              <w:t>交货期：</w:t>
            </w:r>
          </w:p>
          <w:p>
            <w:pPr>
              <w:spacing w:line="360" w:lineRule="auto"/>
              <w:rPr>
                <w:rFonts w:hint="eastAsia" w:ascii="宋体" w:hAnsi="宋体" w:cs="宋体"/>
                <w:b/>
                <w:bCs/>
                <w:color w:val="auto"/>
                <w:kern w:val="0"/>
                <w:highlight w:val="none"/>
                <w:lang w:eastAsia="zh-CN"/>
              </w:rPr>
            </w:pPr>
            <w:r>
              <w:rPr>
                <w:rFonts w:hint="eastAsia" w:ascii="宋体" w:hAnsi="宋体" w:cs="宋体"/>
                <w:b/>
                <w:bCs/>
                <w:color w:val="auto"/>
                <w:kern w:val="0"/>
                <w:highlight w:val="none"/>
                <w:lang w:val="en-US" w:eastAsia="zh-CN"/>
              </w:rPr>
              <w:t>标项一、标项三：</w:t>
            </w:r>
            <w:r>
              <w:rPr>
                <w:rFonts w:hint="eastAsia" w:ascii="宋体" w:hAnsi="宋体" w:cs="宋体"/>
                <w:b/>
                <w:bCs/>
                <w:color w:val="auto"/>
                <w:kern w:val="0"/>
                <w:highlight w:val="none"/>
              </w:rPr>
              <w:t>合同签订之日起</w:t>
            </w:r>
            <w:r>
              <w:rPr>
                <w:rFonts w:hint="eastAsia" w:ascii="宋体" w:hAnsi="宋体" w:cs="宋体"/>
                <w:b/>
                <w:bCs/>
                <w:color w:val="auto"/>
                <w:kern w:val="0"/>
                <w:highlight w:val="none"/>
                <w:u w:val="single"/>
                <w:lang w:val="en-US" w:eastAsia="zh-CN"/>
              </w:rPr>
              <w:t>90日</w:t>
            </w:r>
            <w:r>
              <w:rPr>
                <w:rFonts w:hint="eastAsia" w:ascii="宋体" w:hAnsi="宋体" w:cs="宋体"/>
                <w:b/>
                <w:bCs/>
                <w:color w:val="auto"/>
                <w:kern w:val="0"/>
                <w:highlight w:val="none"/>
              </w:rPr>
              <w:t>内</w:t>
            </w:r>
            <w:r>
              <w:rPr>
                <w:rFonts w:hint="eastAsia" w:ascii="宋体" w:hAnsi="宋体" w:cs="宋体"/>
                <w:b/>
                <w:bCs/>
                <w:color w:val="auto"/>
                <w:kern w:val="0"/>
                <w:highlight w:val="none"/>
                <w:lang w:eastAsia="zh-CN"/>
              </w:rPr>
              <w:t>；</w:t>
            </w:r>
          </w:p>
          <w:p>
            <w:pPr>
              <w:spacing w:line="360" w:lineRule="auto"/>
              <w:rPr>
                <w:rFonts w:ascii="宋体" w:hAnsi="宋体" w:cs="宋体"/>
                <w:b/>
                <w:bCs/>
                <w:color w:val="auto"/>
                <w:kern w:val="0"/>
                <w:highlight w:val="none"/>
              </w:rPr>
            </w:pPr>
            <w:r>
              <w:rPr>
                <w:rFonts w:hint="eastAsia" w:ascii="宋体" w:hAnsi="宋体" w:cs="宋体"/>
                <w:b/>
                <w:bCs/>
                <w:color w:val="auto"/>
                <w:kern w:val="0"/>
                <w:highlight w:val="none"/>
                <w:lang w:val="en-US" w:eastAsia="zh-CN"/>
              </w:rPr>
              <w:t>标项二：</w:t>
            </w:r>
            <w:r>
              <w:rPr>
                <w:rFonts w:hint="eastAsia" w:ascii="宋体" w:hAnsi="宋体" w:cs="宋体"/>
                <w:b/>
                <w:bCs/>
                <w:color w:val="auto"/>
                <w:kern w:val="0"/>
                <w:highlight w:val="none"/>
              </w:rPr>
              <w:t>合同签订之日起</w:t>
            </w:r>
            <w:r>
              <w:rPr>
                <w:rFonts w:hint="eastAsia" w:ascii="宋体" w:hAnsi="宋体" w:cs="宋体"/>
                <w:b/>
                <w:bCs/>
                <w:color w:val="auto"/>
                <w:kern w:val="0"/>
                <w:highlight w:val="none"/>
                <w:u w:val="single"/>
                <w:lang w:val="en-US" w:eastAsia="zh-CN"/>
              </w:rPr>
              <w:t>30</w:t>
            </w:r>
            <w:r>
              <w:rPr>
                <w:rFonts w:hint="eastAsia" w:ascii="宋体" w:hAnsi="宋体" w:cs="宋体"/>
                <w:b/>
                <w:bCs/>
                <w:color w:val="auto"/>
                <w:kern w:val="0"/>
                <w:highlight w:val="none"/>
                <w:u w:val="none"/>
                <w:lang w:val="en-US" w:eastAsia="zh-CN"/>
              </w:rPr>
              <w:t>个工作日</w:t>
            </w:r>
            <w:r>
              <w:rPr>
                <w:rFonts w:hint="eastAsia" w:ascii="宋体" w:hAnsi="宋体" w:cs="宋体"/>
                <w:b/>
                <w:bCs/>
                <w:color w:val="auto"/>
                <w:kern w:val="0"/>
                <w:highlight w:val="none"/>
              </w:rPr>
              <w:t>内。</w:t>
            </w:r>
          </w:p>
        </w:tc>
      </w:tr>
    </w:tbl>
    <w:p>
      <w:pPr>
        <w:snapToGrid w:val="0"/>
        <w:spacing w:line="360" w:lineRule="auto"/>
        <w:rPr>
          <w:rFonts w:ascii="宋体" w:hAnsi="宋体" w:cs="宋体"/>
          <w:b/>
          <w:bCs/>
          <w:color w:val="auto"/>
          <w:highlight w:val="none"/>
        </w:rPr>
      </w:pPr>
    </w:p>
    <w:p>
      <w:pPr>
        <w:snapToGrid w:val="0"/>
        <w:spacing w:line="360" w:lineRule="auto"/>
        <w:rPr>
          <w:rFonts w:ascii="宋体" w:hAnsi="宋体" w:cs="宋体"/>
          <w:b/>
          <w:bCs/>
          <w:color w:val="auto"/>
          <w:highlight w:val="none"/>
        </w:rPr>
      </w:pPr>
    </w:p>
    <w:p>
      <w:pPr>
        <w:pStyle w:val="5"/>
        <w:rPr>
          <w:rFonts w:ascii="宋体" w:hAnsi="宋体" w:cs="宋体"/>
          <w:b/>
          <w:bCs/>
          <w:color w:val="auto"/>
          <w:highlight w:val="none"/>
        </w:rPr>
      </w:pPr>
    </w:p>
    <w:p>
      <w:pPr>
        <w:rPr>
          <w:highlight w:val="none"/>
        </w:rPr>
      </w:pPr>
    </w:p>
    <w:p>
      <w:pPr>
        <w:numPr>
          <w:ilvl w:val="0"/>
          <w:numId w:val="8"/>
        </w:numPr>
        <w:snapToGrid w:val="0"/>
        <w:spacing w:line="360" w:lineRule="auto"/>
        <w:rPr>
          <w:rFonts w:ascii="宋体" w:hAnsi="宋体" w:cs="宋体"/>
          <w:b/>
          <w:bCs/>
          <w:color w:val="auto"/>
          <w:highlight w:val="none"/>
        </w:rPr>
      </w:pPr>
      <w:r>
        <w:rPr>
          <w:rFonts w:hint="eastAsia" w:ascii="宋体" w:hAnsi="宋体" w:cs="宋体"/>
          <w:b/>
          <w:bCs/>
          <w:color w:val="auto"/>
          <w:highlight w:val="none"/>
        </w:rPr>
        <w:t>技术需求：</w:t>
      </w:r>
    </w:p>
    <w:p>
      <w:pPr>
        <w:snapToGrid w:val="0"/>
        <w:spacing w:line="360" w:lineRule="auto"/>
        <w:jc w:val="left"/>
        <w:rPr>
          <w:rFonts w:ascii="宋体" w:hAnsi="宋体" w:cs="宋体"/>
          <w:b/>
          <w:bCs/>
          <w:color w:val="auto"/>
          <w:highlight w:val="none"/>
        </w:rPr>
      </w:pPr>
      <w:r>
        <w:rPr>
          <w:rFonts w:hint="eastAsia" w:ascii="宋体" w:hAnsi="宋体" w:cs="宋体"/>
          <w:b/>
          <w:bCs/>
          <w:color w:val="auto"/>
          <w:highlight w:val="none"/>
        </w:rPr>
        <w:t>标项一：</w:t>
      </w:r>
      <w:r>
        <w:rPr>
          <w:rFonts w:hint="eastAsia" w:ascii="宋体" w:hAnsi="宋体" w:cs="宋体"/>
          <w:b/>
          <w:bCs/>
          <w:color w:val="auto"/>
          <w:highlight w:val="none"/>
          <w:lang w:eastAsia="zh-CN"/>
        </w:rPr>
        <w:t>手术腔镜系统（3D）</w:t>
      </w:r>
      <w:r>
        <w:rPr>
          <w:rFonts w:hint="eastAsia" w:ascii="宋体" w:hAnsi="宋体" w:cs="宋体"/>
          <w:b/>
          <w:bCs/>
          <w:color w:val="auto"/>
          <w:highlight w:val="none"/>
        </w:rPr>
        <w:t xml:space="preserve">                          </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rPr>
        <w:t>数量：</w:t>
      </w:r>
      <w:r>
        <w:rPr>
          <w:rFonts w:hint="eastAsia" w:ascii="宋体" w:hAnsi="宋体" w:cs="宋体"/>
          <w:b/>
          <w:bCs/>
          <w:color w:val="auto"/>
          <w:highlight w:val="none"/>
          <w:lang w:val="en-US" w:eastAsia="zh-CN"/>
        </w:rPr>
        <w:t>1套</w:t>
      </w:r>
      <w:r>
        <w:rPr>
          <w:rFonts w:hint="eastAsia" w:ascii="宋体" w:hAnsi="宋体" w:cs="宋体"/>
          <w:b/>
          <w:bCs/>
          <w:color w:val="auto"/>
          <w:highlight w:val="none"/>
        </w:rPr>
        <w:t xml:space="preserve">                                        </w:t>
      </w:r>
    </w:p>
    <w:tbl>
      <w:tblPr>
        <w:tblStyle w:val="48"/>
        <w:tblpPr w:leftFromText="180" w:rightFromText="180" w:vertAnchor="text" w:tblpY="1"/>
        <w:tblOverlap w:val="never"/>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6091"/>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04"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参数要求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sz w:val="21"/>
                <w:szCs w:val="21"/>
                <w:highlight w:val="none"/>
              </w:rPr>
              <w:t>一</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sz w:val="21"/>
                <w:szCs w:val="21"/>
                <w:highlight w:val="none"/>
              </w:rPr>
              <w:t>总体要求：适用于外科、妇科、泌尿外科等腹腔镜微创手术</w:t>
            </w:r>
            <w:r>
              <w:rPr>
                <w:rFonts w:hint="eastAsia" w:ascii="宋体" w:hAnsi="宋体" w:eastAsia="宋体" w:cs="宋体"/>
                <w:b/>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sz w:val="21"/>
                <w:szCs w:val="21"/>
                <w:highlight w:val="none"/>
              </w:rPr>
              <w:t>二</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sz w:val="21"/>
                <w:szCs w:val="21"/>
                <w:highlight w:val="none"/>
              </w:rPr>
              <w:t>技术参数要求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lang w:val="en-US" w:eastAsia="zh-CN"/>
              </w:rPr>
              <w:t>2.1</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rPr>
            </w:pPr>
            <w:r>
              <w:rPr>
                <w:rFonts w:hint="eastAsia" w:ascii="宋体" w:hAnsi="宋体" w:eastAsia="宋体" w:cs="宋体"/>
                <w:b/>
                <w:sz w:val="21"/>
                <w:szCs w:val="21"/>
                <w:highlight w:val="none"/>
              </w:rPr>
              <w:t>内窥镜摄像主机</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0"/>
                <w:sz w:val="21"/>
                <w:szCs w:val="21"/>
                <w:highlight w:val="none"/>
                <w:lang w:bidi="ar"/>
              </w:rPr>
              <w:t>★</w:t>
            </w:r>
            <w:r>
              <w:rPr>
                <w:rFonts w:hint="eastAsia" w:ascii="宋体" w:hAnsi="宋体" w:eastAsia="宋体" w:cs="宋体"/>
                <w:sz w:val="21"/>
                <w:szCs w:val="21"/>
                <w:highlight w:val="none"/>
              </w:rPr>
              <w:t>2.1.1</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sz w:val="21"/>
                <w:szCs w:val="21"/>
                <w:highlight w:val="none"/>
              </w:rPr>
              <w:t>主机可兼容3D电子腹腔镜、</w:t>
            </w:r>
            <w:r>
              <w:rPr>
                <w:rFonts w:hint="eastAsia" w:ascii="宋体" w:hAnsi="宋体" w:eastAsia="宋体" w:cs="宋体"/>
                <w:sz w:val="21"/>
                <w:szCs w:val="21"/>
                <w:highlight w:val="none"/>
                <w:lang w:eastAsia="zh-CN"/>
              </w:rPr>
              <w:t>全</w:t>
            </w:r>
            <w:r>
              <w:rPr>
                <w:rFonts w:hint="eastAsia" w:ascii="宋体" w:hAnsi="宋体" w:eastAsia="宋体" w:cs="宋体"/>
                <w:sz w:val="21"/>
                <w:szCs w:val="21"/>
                <w:highlight w:val="none"/>
              </w:rPr>
              <w:t>高清摄像头、电子膀胱镜、电子输尿管镜、等内窥镜</w:t>
            </w:r>
            <w:r>
              <w:rPr>
                <w:rFonts w:hint="eastAsia" w:ascii="宋体" w:hAnsi="宋体" w:eastAsia="宋体" w:cs="宋体"/>
                <w:sz w:val="21"/>
                <w:szCs w:val="21"/>
                <w:highlight w:val="none"/>
                <w:lang w:eastAsia="zh-CN"/>
              </w:rPr>
              <w:t>，可实现与同品牌一体化手术室无缝连接。</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2</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用户预设：最多可以保存20名用户的功能设置。</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3</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可以一键切换2D及3D图像。</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4</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具有一键白平衡功能。</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5</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具有色彩、亮度调节功能。</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6</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主机具备视野翻转功能</w:t>
            </w:r>
            <w:r>
              <w:rPr>
                <w:rFonts w:hint="eastAsia" w:ascii="宋体" w:hAnsi="宋体" w:eastAsia="宋体" w:cs="宋体"/>
                <w:sz w:val="21"/>
                <w:szCs w:val="21"/>
                <w:highlight w:val="none"/>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cs="宋体"/>
                <w:sz w:val="21"/>
                <w:szCs w:val="21"/>
                <w:highlight w:val="none"/>
                <w:lang w:val="en-US" w:eastAsia="zh-CN"/>
              </w:rPr>
              <w:t>7</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具有动态调节画面亮度、暗处增亮并减少反光功能。</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cs="宋体"/>
                <w:sz w:val="21"/>
                <w:szCs w:val="21"/>
                <w:highlight w:val="none"/>
                <w:lang w:val="en-US" w:eastAsia="zh-CN"/>
              </w:rPr>
              <w:t>8</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具有≥</w:t>
            </w:r>
            <w:r>
              <w:rPr>
                <w:rFonts w:hint="eastAsia" w:ascii="宋体" w:hAnsi="宋体" w:eastAsia="宋体" w:cs="宋体"/>
                <w:sz w:val="21"/>
                <w:szCs w:val="21"/>
                <w:highlight w:val="none"/>
                <w:lang w:val="en-US" w:eastAsia="zh-CN"/>
              </w:rPr>
              <w:t>5种手术模式可选择。</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cs="宋体"/>
                <w:sz w:val="21"/>
                <w:szCs w:val="21"/>
                <w:highlight w:val="none"/>
                <w:lang w:val="en-US" w:eastAsia="zh-CN"/>
              </w:rPr>
              <w:t>9</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val="en-US" w:eastAsia="zh-CN"/>
              </w:rPr>
              <w:t>具有腔镜光谱分析处理模式或NBI窄带成像功能，可提高对血管的辨识度。</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lang w:val="en-US" w:eastAsia="zh-CN"/>
              </w:rPr>
              <w:t>2.1.11</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内置或外接高清刻录系统，可通过连接U盘或硬盘直接刻录1920×1080的动态图像和静态图片</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12</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信号输出：</w:t>
            </w:r>
            <w:r>
              <w:rPr>
                <w:rFonts w:hint="eastAsia" w:ascii="宋体" w:hAnsi="宋体" w:eastAsia="宋体" w:cs="宋体"/>
                <w:sz w:val="21"/>
                <w:szCs w:val="21"/>
                <w:highlight w:val="none"/>
                <w:lang w:val="en-US" w:eastAsia="zh-CN"/>
              </w:rPr>
              <w:t>DVI或3G-SDI输出。</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13</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sz w:val="21"/>
                <w:szCs w:val="21"/>
                <w:highlight w:val="none"/>
                <w:lang w:eastAsia="zh-CN"/>
              </w:rPr>
              <w:t>主机或显示器具有图像电子缩放、冻结功能。</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14</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eastAsia="zh-CN"/>
              </w:rPr>
              <w:t>主机具有图像优化功能，提高组织的辨识度。</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lang w:val="en-US" w:eastAsia="zh-CN"/>
              </w:rPr>
              <w:t>2.2</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sz w:val="21"/>
                <w:szCs w:val="21"/>
                <w:highlight w:val="none"/>
                <w:lang w:val="en-US" w:eastAsia="zh-CN"/>
              </w:rPr>
              <w:t>LED光源</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2.1</w:t>
            </w:r>
          </w:p>
        </w:tc>
        <w:tc>
          <w:tcPr>
            <w:tcW w:w="3604" w:type="pct"/>
            <w:vAlign w:val="top"/>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采用LED光源设计：LED灯泡寿命更长，能够降低使用成本。</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2.2</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lang w:val="en-US" w:eastAsia="zh-CN"/>
              </w:rPr>
              <w:t>光亮度可触摸屏幕调节，具有待机功能。</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kern w:val="0"/>
                <w:sz w:val="21"/>
                <w:szCs w:val="21"/>
                <w:highlight w:val="none"/>
              </w:rPr>
              <w:t>2.</w:t>
            </w:r>
            <w:r>
              <w:rPr>
                <w:rFonts w:hint="eastAsia" w:ascii="宋体" w:hAnsi="宋体" w:eastAsia="宋体" w:cs="宋体"/>
                <w:b/>
                <w:kern w:val="0"/>
                <w:sz w:val="21"/>
                <w:szCs w:val="21"/>
                <w:highlight w:val="none"/>
                <w:lang w:val="en-US" w:eastAsia="zh-CN"/>
              </w:rPr>
              <w:t>3</w:t>
            </w:r>
          </w:p>
        </w:tc>
        <w:tc>
          <w:tcPr>
            <w:tcW w:w="3604"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sz w:val="21"/>
                <w:szCs w:val="21"/>
                <w:highlight w:val="none"/>
                <w:lang w:val="en-US" w:eastAsia="zh-CN"/>
              </w:rPr>
              <w:t xml:space="preserve">3D医用监视器 </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.1</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rPr>
              <w:t>医用监视器分辨率≥1920×1080。</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尺寸≥31英寸。</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宽高比16：9。</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具备输入信号处理功能接口，包括DVI-D、3G-SDI。</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sz w:val="21"/>
                <w:szCs w:val="21"/>
                <w:highlight w:val="none"/>
              </w:rPr>
              <w:t>2.</w:t>
            </w:r>
            <w:r>
              <w:rPr>
                <w:rFonts w:hint="eastAsia" w:ascii="宋体" w:hAnsi="宋体" w:eastAsia="宋体" w:cs="宋体"/>
                <w:b/>
                <w:sz w:val="21"/>
                <w:szCs w:val="21"/>
                <w:highlight w:val="none"/>
                <w:lang w:val="en-US" w:eastAsia="zh-CN"/>
              </w:rPr>
              <w:t>4</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sz w:val="21"/>
                <w:szCs w:val="21"/>
                <w:highlight w:val="none"/>
                <w:lang w:val="en-US" w:eastAsia="zh-CN"/>
              </w:rPr>
              <w:t>气腹机</w:t>
            </w:r>
            <w:r>
              <w:rPr>
                <w:rFonts w:hint="eastAsia" w:ascii="宋体" w:hAnsi="宋体" w:eastAsia="宋体" w:cs="宋体"/>
                <w:b/>
                <w:sz w:val="21"/>
                <w:szCs w:val="21"/>
                <w:highlight w:val="none"/>
              </w:rPr>
              <w:t xml:space="preserve"> </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.1</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气腹机最大流量≥40升/分，流量可调节。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.2</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开机自检，兼备声光报警。</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lang w:val="en-US" w:eastAsia="zh-CN"/>
              </w:rPr>
              <w:t>2.4.3</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具有CO2累计消耗总量计算功能，并以数值显示。</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sz w:val="21"/>
                <w:szCs w:val="21"/>
                <w:highlight w:val="none"/>
              </w:rPr>
              <w:t>2.</w:t>
            </w:r>
            <w:r>
              <w:rPr>
                <w:rFonts w:hint="eastAsia" w:ascii="宋体" w:hAnsi="宋体" w:eastAsia="宋体" w:cs="宋体"/>
                <w:b/>
                <w:sz w:val="21"/>
                <w:szCs w:val="21"/>
                <w:highlight w:val="none"/>
                <w:lang w:val="en-US" w:eastAsia="zh-CN"/>
              </w:rPr>
              <w:t>5</w:t>
            </w:r>
          </w:p>
        </w:tc>
        <w:tc>
          <w:tcPr>
            <w:tcW w:w="3604"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sz w:val="21"/>
                <w:szCs w:val="21"/>
                <w:highlight w:val="none"/>
                <w:lang w:val="en-US" w:eastAsia="zh-CN"/>
              </w:rPr>
              <w:t>全高清摄像头</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全数字化摄像头，图像在摄像头端完成数字化处理，全程数字化影像传输。</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摄像头具有3个按钮，可自定义设置。</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摄像头采集和摄像主机输出的像素均为1920*1080P，画面宽高比：16：9，</w:t>
            </w:r>
            <w:r>
              <w:rPr>
                <w:rFonts w:hint="eastAsia" w:ascii="宋体" w:hAnsi="宋体" w:eastAsia="宋体" w:cs="宋体"/>
                <w:sz w:val="21"/>
                <w:szCs w:val="21"/>
                <w:highlight w:val="none"/>
                <w:lang w:val="de-DE" w:eastAsia="zh-CN"/>
              </w:rPr>
              <w:t>逐行扫描。</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sz w:val="21"/>
                <w:szCs w:val="21"/>
                <w:highlight w:val="none"/>
              </w:rPr>
              <w:t>2.</w:t>
            </w:r>
            <w:r>
              <w:rPr>
                <w:rFonts w:hint="eastAsia" w:ascii="宋体" w:hAnsi="宋体" w:eastAsia="宋体" w:cs="宋体"/>
                <w:b/>
                <w:sz w:val="21"/>
                <w:szCs w:val="21"/>
                <w:highlight w:val="none"/>
                <w:lang w:val="en-US" w:eastAsia="zh-CN"/>
              </w:rPr>
              <w:t>6</w:t>
            </w:r>
          </w:p>
        </w:tc>
        <w:tc>
          <w:tcPr>
            <w:tcW w:w="3604"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sz w:val="21"/>
                <w:szCs w:val="21"/>
                <w:highlight w:val="none"/>
                <w:lang w:val="en-US" w:eastAsia="zh-CN"/>
              </w:rPr>
              <w:t>腹腔镜</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.1</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30°腹腔镜。</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.2</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可高温高压消毒。</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sz w:val="21"/>
                <w:szCs w:val="21"/>
                <w:highlight w:val="none"/>
              </w:rPr>
              <w:t>2.</w:t>
            </w:r>
            <w:r>
              <w:rPr>
                <w:rFonts w:hint="eastAsia" w:ascii="宋体" w:hAnsi="宋体" w:eastAsia="宋体" w:cs="宋体"/>
                <w:b/>
                <w:sz w:val="21"/>
                <w:szCs w:val="21"/>
                <w:highlight w:val="none"/>
                <w:lang w:val="en-US" w:eastAsia="zh-CN"/>
              </w:rPr>
              <w:t>7</w:t>
            </w:r>
          </w:p>
        </w:tc>
        <w:tc>
          <w:tcPr>
            <w:tcW w:w="3604"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sz w:val="21"/>
                <w:szCs w:val="21"/>
                <w:highlight w:val="none"/>
                <w:lang w:val="en-US" w:eastAsia="zh-CN"/>
              </w:rPr>
              <w:t>导光束</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.1</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直径≥4.5 mm，长度≥300cm。</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可高温高压灭菌</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bCs/>
                <w:color w:val="000000"/>
                <w:kern w:val="0"/>
                <w:sz w:val="21"/>
                <w:szCs w:val="21"/>
                <w:highlight w:val="none"/>
              </w:rPr>
              <w:t>2.</w:t>
            </w:r>
            <w:r>
              <w:rPr>
                <w:rFonts w:hint="eastAsia" w:ascii="宋体" w:hAnsi="宋体" w:eastAsia="宋体" w:cs="宋体"/>
                <w:b/>
                <w:bCs/>
                <w:color w:val="000000"/>
                <w:kern w:val="0"/>
                <w:sz w:val="21"/>
                <w:szCs w:val="21"/>
                <w:highlight w:val="none"/>
                <w:lang w:val="en-US" w:eastAsia="zh-CN"/>
              </w:rPr>
              <w:t>8</w:t>
            </w:r>
          </w:p>
        </w:tc>
        <w:tc>
          <w:tcPr>
            <w:tcW w:w="3604"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sz w:val="21"/>
                <w:szCs w:val="21"/>
                <w:highlight w:val="none"/>
                <w:lang w:val="en-US" w:eastAsia="zh-CN"/>
              </w:rPr>
              <w:t>3D电子腹腔镜</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.1</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具有镜头防起雾功能。</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.2</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镜子为一体化设计。</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.3</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视向角30°。</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有效景深范围包含25mm-120mm，具有免调焦设计。</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手柄控制按键数量≥3个，控制按键可用于白平衡、亮度调节等设定。</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电子镜可整体均可进行低温等离子和高温高压灭菌。</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有效工作长度≥300mm。</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三</w:t>
            </w:r>
          </w:p>
        </w:tc>
        <w:tc>
          <w:tcPr>
            <w:tcW w:w="3604"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设备配置要求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3.1</w:t>
            </w:r>
          </w:p>
        </w:tc>
        <w:tc>
          <w:tcPr>
            <w:tcW w:w="3604" w:type="pct"/>
            <w:vAlign w:val="center"/>
          </w:tcPr>
          <w:p>
            <w:pPr>
              <w:keepNext w:val="0"/>
              <w:keepLines w:val="0"/>
              <w:pageBreakBefore w:val="0"/>
              <w:tabs>
                <w:tab w:val="left" w:pos="2579"/>
              </w:tabs>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内窥镜摄像主机</w:t>
            </w:r>
            <w:r>
              <w:rPr>
                <w:rFonts w:hint="eastAsia" w:ascii="宋体" w:hAnsi="宋体" w:eastAsia="宋体" w:cs="宋体"/>
                <w:bCs/>
                <w:kern w:val="0"/>
                <w:sz w:val="21"/>
                <w:szCs w:val="21"/>
                <w:highlight w:val="none"/>
                <w:lang w:val="en-US" w:eastAsia="zh-CN"/>
              </w:rPr>
              <w:t>1套</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2</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医用3D监视器</w:t>
            </w:r>
            <w:r>
              <w:rPr>
                <w:rFonts w:hint="eastAsia" w:ascii="宋体" w:hAnsi="宋体" w:eastAsia="宋体" w:cs="宋体"/>
                <w:bCs/>
                <w:kern w:val="0"/>
                <w:sz w:val="21"/>
                <w:szCs w:val="21"/>
                <w:highlight w:val="none"/>
                <w:lang w:val="en-US" w:eastAsia="zh-CN"/>
              </w:rPr>
              <w:t>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3</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气腹机</w:t>
            </w:r>
            <w:r>
              <w:rPr>
                <w:rFonts w:hint="eastAsia" w:ascii="宋体" w:hAnsi="宋体" w:eastAsia="宋体" w:cs="宋体"/>
                <w:bCs/>
                <w:kern w:val="0"/>
                <w:sz w:val="21"/>
                <w:szCs w:val="21"/>
                <w:highlight w:val="none"/>
                <w:lang w:val="en-US" w:eastAsia="zh-CN"/>
              </w:rPr>
              <w:t>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4</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全高清摄像头</w:t>
            </w:r>
            <w:r>
              <w:rPr>
                <w:rFonts w:hint="eastAsia" w:ascii="宋体" w:hAnsi="宋体" w:eastAsia="宋体" w:cs="宋体"/>
                <w:bCs/>
                <w:kern w:val="0"/>
                <w:sz w:val="21"/>
                <w:szCs w:val="21"/>
                <w:highlight w:val="none"/>
                <w:lang w:val="en-US" w:eastAsia="zh-CN"/>
              </w:rPr>
              <w:t>1个</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5</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腹腔镜</w:t>
            </w:r>
            <w:r>
              <w:rPr>
                <w:rFonts w:hint="eastAsia" w:ascii="宋体" w:hAnsi="宋体" w:eastAsia="宋体" w:cs="宋体"/>
                <w:bCs/>
                <w:kern w:val="0"/>
                <w:sz w:val="21"/>
                <w:szCs w:val="21"/>
                <w:highlight w:val="none"/>
                <w:lang w:val="en-US" w:eastAsia="zh-CN"/>
              </w:rPr>
              <w:t>2根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6</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导光束</w:t>
            </w:r>
            <w:r>
              <w:rPr>
                <w:rFonts w:hint="eastAsia" w:ascii="宋体" w:hAnsi="宋体" w:eastAsia="宋体" w:cs="宋体"/>
                <w:bCs/>
                <w:kern w:val="0"/>
                <w:sz w:val="21"/>
                <w:szCs w:val="21"/>
                <w:highlight w:val="none"/>
                <w:lang w:val="en-US" w:eastAsia="zh-CN"/>
              </w:rPr>
              <w:t>2根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7</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3D电子腹腔镜</w:t>
            </w:r>
            <w:r>
              <w:rPr>
                <w:rFonts w:hint="eastAsia" w:ascii="宋体" w:hAnsi="宋体" w:eastAsia="宋体" w:cs="宋体"/>
                <w:bCs/>
                <w:kern w:val="0"/>
                <w:sz w:val="21"/>
                <w:szCs w:val="21"/>
                <w:highlight w:val="none"/>
                <w:lang w:val="en-US" w:eastAsia="zh-CN"/>
              </w:rPr>
              <w:t>2根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8</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 xml:space="preserve">3D眼镜 </w:t>
            </w:r>
            <w:r>
              <w:rPr>
                <w:rFonts w:hint="eastAsia" w:ascii="宋体" w:hAnsi="宋体" w:eastAsia="宋体" w:cs="宋体"/>
                <w:bCs/>
                <w:kern w:val="0"/>
                <w:sz w:val="21"/>
                <w:szCs w:val="21"/>
                <w:highlight w:val="none"/>
                <w:lang w:val="en-US" w:eastAsia="zh-CN"/>
              </w:rPr>
              <w:t>10副</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9</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专用腔镜台车</w:t>
            </w:r>
            <w:r>
              <w:rPr>
                <w:rFonts w:hint="eastAsia" w:ascii="宋体" w:hAnsi="宋体" w:eastAsia="宋体" w:cs="宋体"/>
                <w:bCs/>
                <w:kern w:val="0"/>
                <w:sz w:val="21"/>
                <w:szCs w:val="21"/>
                <w:highlight w:val="none"/>
                <w:lang w:val="en-US" w:eastAsia="zh-CN"/>
              </w:rPr>
              <w:t>1辆</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val="en-US" w:eastAsia="zh-CN"/>
              </w:rPr>
              <w:t>10</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LED光源</w:t>
            </w:r>
            <w:r>
              <w:rPr>
                <w:rFonts w:hint="eastAsia" w:ascii="宋体" w:hAnsi="宋体" w:eastAsia="宋体" w:cs="宋体"/>
                <w:bCs/>
                <w:kern w:val="0"/>
                <w:sz w:val="21"/>
                <w:szCs w:val="21"/>
                <w:highlight w:val="none"/>
                <w:lang w:val="en-US" w:eastAsia="zh-CN"/>
              </w:rPr>
              <w:t>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snapToGrid w:val="0"/>
        <w:spacing w:line="360" w:lineRule="auto"/>
        <w:jc w:val="left"/>
        <w:rPr>
          <w:rFonts w:hint="eastAsia" w:ascii="宋体" w:hAnsi="宋体" w:cs="宋体"/>
          <w:b/>
          <w:bCs/>
          <w:color w:val="auto"/>
          <w:highlight w:val="none"/>
        </w:rPr>
      </w:pPr>
    </w:p>
    <w:p>
      <w:pPr>
        <w:snapToGrid w:val="0"/>
        <w:spacing w:line="360" w:lineRule="auto"/>
        <w:jc w:val="left"/>
        <w:rPr>
          <w:rFonts w:hint="eastAsia" w:ascii="宋体" w:hAnsi="宋体" w:cs="宋体"/>
          <w:b/>
          <w:bCs/>
          <w:color w:val="auto"/>
          <w:highlight w:val="none"/>
        </w:rPr>
      </w:pPr>
    </w:p>
    <w:p>
      <w:pPr>
        <w:snapToGrid w:val="0"/>
        <w:spacing w:line="360" w:lineRule="auto"/>
        <w:jc w:val="left"/>
        <w:rPr>
          <w:rFonts w:hint="eastAsia" w:ascii="宋体" w:hAnsi="宋体" w:cs="宋体"/>
          <w:b/>
          <w:bCs/>
          <w:color w:val="auto"/>
          <w:highlight w:val="none"/>
        </w:rPr>
      </w:pPr>
    </w:p>
    <w:p>
      <w:pPr>
        <w:snapToGrid w:val="0"/>
        <w:spacing w:line="360" w:lineRule="auto"/>
        <w:jc w:val="left"/>
        <w:rPr>
          <w:rFonts w:ascii="宋体" w:hAnsi="宋体" w:cs="宋体"/>
          <w:b/>
          <w:bCs/>
          <w:color w:val="auto"/>
          <w:highlight w:val="none"/>
        </w:rPr>
      </w:pPr>
      <w:r>
        <w:rPr>
          <w:rFonts w:hint="eastAsia" w:ascii="宋体" w:hAnsi="宋体" w:cs="宋体"/>
          <w:b/>
          <w:bCs/>
          <w:color w:val="auto"/>
          <w:highlight w:val="none"/>
        </w:rPr>
        <w:t>标项</w:t>
      </w:r>
      <w:r>
        <w:rPr>
          <w:rFonts w:hint="eastAsia" w:ascii="宋体" w:hAnsi="宋体" w:cs="宋体"/>
          <w:b/>
          <w:bCs/>
          <w:color w:val="auto"/>
          <w:highlight w:val="none"/>
          <w:lang w:val="en-US" w:eastAsia="zh-CN"/>
        </w:rPr>
        <w:t>二</w:t>
      </w:r>
      <w:r>
        <w:rPr>
          <w:rFonts w:hint="eastAsia" w:ascii="宋体" w:hAnsi="宋体" w:cs="宋体"/>
          <w:b/>
          <w:bCs/>
          <w:color w:val="auto"/>
          <w:highlight w:val="none"/>
        </w:rPr>
        <w:t>：</w:t>
      </w:r>
      <w:r>
        <w:rPr>
          <w:rFonts w:hint="eastAsia" w:ascii="宋体" w:hAnsi="宋体" w:cs="宋体"/>
          <w:b/>
          <w:bCs/>
          <w:color w:val="auto"/>
          <w:highlight w:val="none"/>
          <w:lang w:eastAsia="zh-CN"/>
        </w:rPr>
        <w:t xml:space="preserve">甲醛灭菌器高清 </w:t>
      </w:r>
      <w:r>
        <w:rPr>
          <w:rFonts w:hint="eastAsia" w:ascii="宋体" w:hAnsi="宋体" w:cs="宋体"/>
          <w:b/>
          <w:bCs/>
          <w:color w:val="auto"/>
          <w:highlight w:val="none"/>
        </w:rPr>
        <w:t xml:space="preserve">                              </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rPr>
        <w:t>数量：</w:t>
      </w:r>
      <w:r>
        <w:rPr>
          <w:rFonts w:hint="eastAsia" w:ascii="宋体" w:hAnsi="宋体" w:cs="宋体"/>
          <w:b/>
          <w:bCs/>
          <w:color w:val="auto"/>
          <w:highlight w:val="none"/>
          <w:lang w:val="en-US" w:eastAsia="zh-CN"/>
        </w:rPr>
        <w:t>1台</w:t>
      </w:r>
      <w:r>
        <w:rPr>
          <w:rFonts w:hint="eastAsia" w:ascii="宋体" w:hAnsi="宋体" w:cs="宋体"/>
          <w:b/>
          <w:bCs/>
          <w:color w:val="auto"/>
          <w:highlight w:val="none"/>
        </w:rPr>
        <w:t xml:space="preserve">                                       </w:t>
      </w:r>
    </w:p>
    <w:tbl>
      <w:tblPr>
        <w:tblStyle w:val="48"/>
        <w:tblpPr w:leftFromText="180" w:rightFromText="180" w:vertAnchor="text" w:tblpY="1"/>
        <w:tblOverlap w:val="never"/>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6091"/>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3"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04"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参数要求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eastAsia" w:ascii="宋体" w:hAnsi="宋体" w:eastAsia="宋体" w:cs="宋体"/>
                <w:color w:val="auto"/>
                <w:sz w:val="21"/>
                <w:szCs w:val="21"/>
                <w:highlight w:val="none"/>
                <w:lang w:val="en-US" w:eastAsia="zh-CN"/>
              </w:rPr>
            </w:pPr>
            <w:r>
              <w:rPr>
                <w:rFonts w:hint="eastAsia" w:ascii="宋体" w:hAnsi="宋体" w:cs="宋体"/>
                <w:b/>
                <w:bCs/>
                <w:color w:val="auto"/>
                <w:highlight w:val="none"/>
              </w:rPr>
              <w:t>▲</w:t>
            </w:r>
            <w:r>
              <w:rPr>
                <w:rFonts w:hint="eastAsia" w:ascii="宋体" w:hAnsi="宋体" w:eastAsia="宋体" w:cs="宋体"/>
                <w:color w:val="auto"/>
                <w:sz w:val="21"/>
                <w:szCs w:val="21"/>
                <w:highlight w:val="none"/>
                <w:lang w:val="en-US" w:eastAsia="zh-CN"/>
              </w:rPr>
              <w:t>一</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适用范围：用于不能耐受高温的软式内镜、硬式内镜、电刀、眼科器械等热敏医疗器械的灭菌。</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b/>
                <w:bCs/>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设备符合低温蒸汽甲醛灭菌器产品标准YYT0679-2016标准，具备国内医疗器械注册证及经过备案的消毒产品安全评价报告，生产企业同时具备ISO体系认证，以保证产品质量</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投标文件提供相关证明并加盖公章</w:t>
            </w:r>
            <w:r>
              <w:rPr>
                <w:rFonts w:hint="eastAsia" w:ascii="宋体" w:hAnsi="宋体" w:eastAsia="宋体" w:cs="宋体"/>
                <w:bCs/>
                <w:color w:val="auto"/>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2</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产品为专门的低温蒸汽灭菌设备，确保设备日常运行的稳定性，且防止操作者误选高温程序造成对器械的损伤。</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3</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同品牌灭菌介质：2%甲醛、3%乙醇和95%纯水的混合溶液灭菌剂，每袋≥2升。</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4</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灭菌剂包装：采用密闭塑料袋包装系统，全灭菌循环包括更换灭菌剂操作均完全封闭无暴露。</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5</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jc w:val="left"/>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腔体结构及材质：腔体结构为矩形，腔体具有优越的导热性能、耐压耐腐蚀。</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6</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jc w:val="left"/>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单门或者双门灭菌器，区分装载侧和卸载侧，舱体容积≥140L，便于装载软镜类长管腔器械。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7</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jc w:val="left"/>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门锁系统：自动门，屏幕点击启动键后，设备自动运行整个灭菌过程，灭菌完成后自动打开灭菌舱门无需人力操作，确保任何情况下操作人员和环境安全。</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b/>
                <w:bCs/>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8</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灭菌程序：预置至少有60°和78℃的两个低温灭菌程序和真空测试程序，以满足不同器械灭菌温度和时间的需求。程序各阶段参数均可显示、可记录、可追溯，可保存，可调阅。</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9</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循环时间：预热升温时间≤30min，通用程序完整循环时间≤180分钟。</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10</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灭菌介质残留：灭菌后器械表面灭菌剂残留符合YYT0679-2016标准要求</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投标文件提供相关证明并加盖公章</w:t>
            </w:r>
            <w:r>
              <w:rPr>
                <w:rFonts w:hint="eastAsia" w:ascii="宋体" w:hAnsi="宋体" w:eastAsia="宋体" w:cs="宋体"/>
                <w:bCs/>
                <w:color w:val="auto"/>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11</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设备运行环境中甲醛含量＜0.07mg/m³，符合国家职业暴露限值要求。</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投标文件提供相关证明并加盖公章</w:t>
            </w:r>
            <w:r>
              <w:rPr>
                <w:rFonts w:hint="eastAsia" w:ascii="宋体" w:hAnsi="宋体" w:eastAsia="宋体" w:cs="宋体"/>
                <w:bCs/>
                <w:color w:val="auto"/>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12</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jc w:val="left"/>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灭菌有效性：提供60°和78°灭菌效果的第三方报告</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投标文件提供相关证明并加盖公章</w:t>
            </w:r>
            <w:r>
              <w:rPr>
                <w:rFonts w:hint="eastAsia" w:ascii="宋体" w:hAnsi="宋体" w:eastAsia="宋体" w:cs="宋体"/>
                <w:bCs/>
                <w:color w:val="auto"/>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13</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操作和控制系统：≥7寸全触摸屏操作系统，中文菜单，具备操作提示音，自动声音、视觉报警系统，显示错误信息。全自动PLC控制，实时压力、温度、灭菌剂消耗量等参数的显示，全程检漏。</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14</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物理参数监测系统：双路独立温度、压力监控，内置双通道记录仪，可打印压力、温度曲线，作为过程监测的参数记录。</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设备可通过以太网或串口连接医院追溯系统。售后服务系统，设备自带售后服务系统，厂家可以远程调控、监控该设备，便于更好的服务客户。</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16</w:t>
            </w:r>
          </w:p>
        </w:tc>
        <w:tc>
          <w:tcPr>
            <w:tcW w:w="3604" w:type="pct"/>
            <w:vAlign w:val="top"/>
          </w:tcPr>
          <w:p>
            <w:pPr>
              <w:pStyle w:val="331"/>
              <w:keepNext w:val="0"/>
              <w:keepLines w:val="0"/>
              <w:pageBreakBefore w:val="0"/>
              <w:numPr>
                <w:ilvl w:val="0"/>
                <w:numId w:val="0"/>
              </w:numPr>
              <w:kinsoku/>
              <w:wordWrap/>
              <w:overflowPunct/>
              <w:topLinePunct w:val="0"/>
              <w:autoSpaceDE/>
              <w:autoSpaceDN/>
              <w:bidi w:val="0"/>
              <w:adjustRightInd/>
              <w:snapToGrid/>
              <w:spacing w:before="156" w:beforeLines="50" w:line="300" w:lineRule="auto"/>
              <w:ind w:leftChars="0"/>
              <w:jc w:val="left"/>
              <w:rPr>
                <w:rFonts w:hint="eastAsia" w:ascii="宋体" w:hAnsi="宋体" w:eastAsia="宋体" w:cs="宋体"/>
                <w:b/>
                <w:bCs/>
                <w:color w:val="auto"/>
                <w:sz w:val="21"/>
                <w:szCs w:val="21"/>
                <w:highlight w:val="none"/>
                <w:lang w:eastAsia="zh-CN"/>
              </w:rPr>
            </w:pPr>
            <w:r>
              <w:rPr>
                <w:rFonts w:hint="eastAsia" w:ascii="宋体" w:hAnsi="宋体" w:eastAsia="宋体" w:cs="宋体"/>
                <w:bCs/>
                <w:color w:val="auto"/>
                <w:sz w:val="21"/>
                <w:szCs w:val="21"/>
                <w:highlight w:val="none"/>
              </w:rPr>
              <w:t>水排系统中的排水要符合国家相关规定，提供排放水的检测报告</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投标文件提供相关证明并加盖公章</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w:t>
            </w:r>
          </w:p>
        </w:tc>
        <w:tc>
          <w:tcPr>
            <w:tcW w:w="3604" w:type="pct"/>
            <w:vAlign w:val="top"/>
          </w:tcPr>
          <w:p>
            <w:pPr>
              <w:keepNext w:val="0"/>
              <w:keepLines w:val="0"/>
              <w:pageBreakBefore w:val="0"/>
              <w:widowControl/>
              <w:tabs>
                <w:tab w:val="left" w:pos="720"/>
              </w:tabs>
              <w:kinsoku/>
              <w:wordWrap/>
              <w:overflowPunct/>
              <w:topLinePunct w:val="0"/>
              <w:autoSpaceDE/>
              <w:autoSpaceDN/>
              <w:bidi w:val="0"/>
              <w:adjustRightInd/>
              <w:snapToGrid/>
              <w:spacing w:line="300" w:lineRule="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kern w:val="0"/>
                <w:sz w:val="21"/>
                <w:szCs w:val="21"/>
                <w:highlight w:val="none"/>
              </w:rPr>
              <w:t>设备配置要求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highlight w:val="none"/>
                <w:lang w:eastAsia="zh-CN"/>
              </w:rPr>
            </w:pPr>
            <w:r>
              <w:rPr>
                <w:rFonts w:hint="eastAsia" w:ascii="宋体" w:hAnsi="宋体" w:eastAsia="宋体" w:cs="宋体"/>
                <w:kern w:val="2"/>
                <w:sz w:val="21"/>
                <w:szCs w:val="21"/>
                <w:highlight w:val="none"/>
                <w:lang w:val="zh-CN" w:eastAsia="zh-CN" w:bidi="ar-SA"/>
              </w:rPr>
              <w:t>主机</w:t>
            </w:r>
            <w:r>
              <w:rPr>
                <w:rFonts w:hint="eastAsia" w:ascii="宋体" w:hAnsi="宋体" w:eastAsia="宋体" w:cs="宋体"/>
                <w:bCs/>
                <w:kern w:val="0"/>
                <w:sz w:val="21"/>
                <w:szCs w:val="21"/>
                <w:highlight w:val="none"/>
              </w:rPr>
              <w:t>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highlight w:val="none"/>
                <w:lang w:eastAsia="zh-CN"/>
              </w:rPr>
            </w:pPr>
            <w:r>
              <w:rPr>
                <w:rFonts w:hint="eastAsia" w:ascii="宋体" w:hAnsi="宋体" w:eastAsia="宋体" w:cs="宋体"/>
                <w:kern w:val="2"/>
                <w:sz w:val="21"/>
                <w:szCs w:val="21"/>
                <w:highlight w:val="none"/>
                <w:lang w:val="zh-CN" w:eastAsia="zh-CN" w:bidi="ar-SA"/>
              </w:rPr>
              <w:t>环境浓度监测仪（含甲醛、过氧化氢、）</w:t>
            </w:r>
            <w:r>
              <w:rPr>
                <w:rFonts w:hint="eastAsia" w:ascii="宋体" w:hAnsi="宋体" w:eastAsia="宋体" w:cs="宋体"/>
                <w:bCs/>
                <w:kern w:val="0"/>
                <w:sz w:val="21"/>
                <w:szCs w:val="21"/>
                <w:highlight w:val="none"/>
              </w:rPr>
              <w:t>1套</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highlight w:val="none"/>
                <w:lang w:eastAsia="zh-CN"/>
              </w:rPr>
            </w:pPr>
            <w:r>
              <w:rPr>
                <w:rFonts w:hint="eastAsia" w:ascii="宋体" w:hAnsi="宋体" w:eastAsia="宋体" w:cs="宋体"/>
                <w:kern w:val="2"/>
                <w:sz w:val="21"/>
                <w:szCs w:val="21"/>
                <w:highlight w:val="none"/>
                <w:lang w:val="zh-CN" w:eastAsia="zh-CN" w:bidi="ar-SA"/>
              </w:rPr>
              <w:t>极速生物阅读器</w:t>
            </w:r>
            <w:r>
              <w:rPr>
                <w:rFonts w:hint="eastAsia" w:ascii="宋体" w:hAnsi="宋体" w:eastAsia="宋体" w:cs="宋体"/>
                <w:bCs/>
                <w:kern w:val="0"/>
                <w:sz w:val="21"/>
                <w:szCs w:val="21"/>
                <w:highlight w:val="none"/>
              </w:rPr>
              <w:t>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w:t>
            </w:r>
          </w:p>
        </w:tc>
        <w:tc>
          <w:tcPr>
            <w:tcW w:w="3604" w:type="pct"/>
            <w:vAlign w:val="center"/>
          </w:tcPr>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highlight w:val="none"/>
                <w:lang w:eastAsia="zh-CN"/>
              </w:rPr>
            </w:pPr>
            <w:r>
              <w:rPr>
                <w:rFonts w:hint="eastAsia" w:ascii="宋体" w:hAnsi="宋体" w:eastAsia="宋体" w:cs="宋体"/>
                <w:kern w:val="2"/>
                <w:sz w:val="21"/>
                <w:szCs w:val="21"/>
                <w:highlight w:val="none"/>
                <w:lang w:val="zh-CN" w:eastAsia="zh-CN" w:bidi="ar-SA"/>
              </w:rPr>
              <w:t>多功能纸塑包装台（含塑封机）</w:t>
            </w:r>
            <w:r>
              <w:rPr>
                <w:rFonts w:hint="eastAsia" w:ascii="宋体" w:hAnsi="宋体" w:eastAsia="宋体" w:cs="宋体"/>
                <w:bCs/>
                <w:kern w:val="0"/>
                <w:sz w:val="21"/>
                <w:szCs w:val="21"/>
                <w:highlight w:val="none"/>
              </w:rPr>
              <w:t>1套</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top"/>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w:t>
            </w:r>
          </w:p>
        </w:tc>
        <w:tc>
          <w:tcPr>
            <w:tcW w:w="3604" w:type="pct"/>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top"/>
              <w:rPr>
                <w:rFonts w:hint="eastAsia" w:ascii="宋体" w:hAnsi="宋体" w:eastAsia="宋体" w:cs="宋体"/>
                <w:b/>
                <w:bCs/>
                <w:color w:val="auto"/>
                <w:sz w:val="21"/>
                <w:szCs w:val="21"/>
                <w:highlight w:val="none"/>
                <w:lang w:eastAsia="zh-CN"/>
              </w:rPr>
            </w:pPr>
            <w:r>
              <w:rPr>
                <w:rFonts w:hint="eastAsia" w:ascii="宋体" w:hAnsi="宋体" w:eastAsia="宋体" w:cs="宋体"/>
                <w:kern w:val="2"/>
                <w:sz w:val="21"/>
                <w:szCs w:val="21"/>
                <w:highlight w:val="none"/>
                <w:lang w:val="en-US" w:eastAsia="zh-CN" w:bidi="ar-SA"/>
              </w:rPr>
              <w:t>相关附件</w:t>
            </w:r>
            <w:r>
              <w:rPr>
                <w:rFonts w:hint="eastAsia" w:ascii="宋体" w:hAnsi="宋体" w:eastAsia="宋体" w:cs="宋体"/>
                <w:bCs/>
                <w:kern w:val="0"/>
                <w:sz w:val="21"/>
                <w:szCs w:val="21"/>
                <w:highlight w:val="none"/>
              </w:rPr>
              <w:t>1套</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snapToGrid w:val="0"/>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 xml:space="preserve">                                       </w:t>
      </w:r>
    </w:p>
    <w:p>
      <w:pPr>
        <w:snapToGrid w:val="0"/>
        <w:spacing w:line="360" w:lineRule="auto"/>
        <w:jc w:val="left"/>
        <w:rPr>
          <w:rFonts w:ascii="宋体" w:hAnsi="宋体" w:cs="宋体"/>
          <w:b/>
          <w:bCs/>
          <w:color w:val="auto"/>
          <w:highlight w:val="none"/>
        </w:rPr>
      </w:pPr>
      <w:r>
        <w:rPr>
          <w:rFonts w:hint="eastAsia" w:ascii="宋体" w:hAnsi="宋体" w:cs="宋体"/>
          <w:b/>
          <w:bCs/>
          <w:color w:val="auto"/>
          <w:highlight w:val="none"/>
        </w:rPr>
        <w:t>标项</w:t>
      </w:r>
      <w:r>
        <w:rPr>
          <w:rFonts w:hint="eastAsia" w:ascii="宋体" w:hAnsi="宋体" w:cs="宋体"/>
          <w:b/>
          <w:bCs/>
          <w:color w:val="auto"/>
          <w:highlight w:val="none"/>
          <w:lang w:val="en-US" w:eastAsia="zh-CN"/>
        </w:rPr>
        <w:t>三</w:t>
      </w:r>
      <w:r>
        <w:rPr>
          <w:rFonts w:hint="eastAsia" w:ascii="宋体" w:hAnsi="宋体" w:cs="宋体"/>
          <w:b/>
          <w:bCs/>
          <w:color w:val="auto"/>
          <w:highlight w:val="none"/>
        </w:rPr>
        <w:t>：</w:t>
      </w:r>
      <w:r>
        <w:rPr>
          <w:rFonts w:hint="eastAsia" w:ascii="宋体" w:hAnsi="宋体" w:cs="宋体"/>
          <w:b/>
          <w:bCs/>
          <w:color w:val="auto"/>
          <w:highlight w:val="none"/>
          <w:lang w:eastAsia="zh-CN"/>
        </w:rPr>
        <w:t xml:space="preserve">高清电子内窥镜系统 </w:t>
      </w:r>
      <w:r>
        <w:rPr>
          <w:rFonts w:hint="eastAsia" w:ascii="宋体" w:hAnsi="宋体" w:cs="宋体"/>
          <w:b/>
          <w:bCs/>
          <w:color w:val="auto"/>
          <w:highlight w:val="none"/>
        </w:rPr>
        <w:t xml:space="preserve">                          </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rPr>
        <w:t>数量：</w:t>
      </w:r>
      <w:r>
        <w:rPr>
          <w:rFonts w:hint="eastAsia" w:ascii="宋体" w:hAnsi="宋体" w:cs="宋体"/>
          <w:b/>
          <w:bCs/>
          <w:color w:val="auto"/>
          <w:highlight w:val="none"/>
          <w:lang w:val="en-US" w:eastAsia="zh-CN"/>
        </w:rPr>
        <w:t>1套</w:t>
      </w:r>
      <w:r>
        <w:rPr>
          <w:rFonts w:hint="eastAsia" w:ascii="宋体" w:hAnsi="宋体" w:cs="宋体"/>
          <w:b/>
          <w:bCs/>
          <w:color w:val="auto"/>
          <w:highlight w:val="none"/>
        </w:rPr>
        <w:t xml:space="preserve">                                       </w:t>
      </w:r>
    </w:p>
    <w:tbl>
      <w:tblPr>
        <w:tblStyle w:val="48"/>
        <w:tblpPr w:leftFromText="180" w:rightFromText="180" w:vertAnchor="text" w:tblpY="1"/>
        <w:tblOverlap w:val="never"/>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6091"/>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04"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参数要求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一</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sz w:val="21"/>
                <w:szCs w:val="21"/>
                <w:highlight w:val="none"/>
              </w:rPr>
              <w:t>总体要求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000000" w:themeColor="text1"/>
                <w:sz w:val="21"/>
                <w:szCs w:val="21"/>
                <w:highlight w:val="none"/>
                <w14:textFill>
                  <w14:solidFill>
                    <w14:schemeClr w14:val="tx1"/>
                  </w14:solidFill>
                </w14:textFill>
              </w:rPr>
              <w:t>设备主要功能及用途：用于食道、胃以及结肠疾病的检查诊断和治疗，具备光学染色功能，有助于消化道早期病变的发现。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Style w:val="333"/>
                <w:rFonts w:hint="eastAsia" w:ascii="宋体" w:hAnsi="宋体" w:eastAsia="宋体" w:cs="宋体"/>
                <w:kern w:val="0"/>
                <w:sz w:val="21"/>
                <w:szCs w:val="21"/>
                <w:highlight w:val="none"/>
              </w:rPr>
              <w:t>★</w:t>
            </w: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主机系统具有两种光学染色技术成像功能，至少满足以下条款之一：</w:t>
            </w:r>
          </w:p>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具备NBI窄带成像功能和AFI自体荧光成像功能；</w:t>
            </w:r>
          </w:p>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具备VIST光学复合染色成像功能和SFI聚谱成像功能；</w:t>
            </w:r>
          </w:p>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具备BLI蓝激光成像和LCI联动成像功能；</w:t>
            </w:r>
          </w:p>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具备OE和i-Scan成像功能</w:t>
            </w:r>
            <w:r>
              <w:rPr>
                <w:rFonts w:hint="eastAsia" w:ascii="宋体" w:hAnsi="宋体" w:eastAsia="宋体" w:cs="宋体"/>
                <w:sz w:val="21"/>
                <w:szCs w:val="21"/>
                <w:highlight w:val="none"/>
                <w:lang w:eastAsia="zh-CN"/>
              </w:rPr>
              <w:t>；</w:t>
            </w:r>
          </w:p>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具备CBI染色成像技术</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图像处理装置与冷光源分体设计</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支持镜体热插拔</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所有配置的胃肠镜镜体均具备辅助送水功能（具备专用辅助送水通道）</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镜体导光部一键式拔插、全密封设计，无需防水帽，可直接浸泡消毒。</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7</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镜体操作部具有4 个自定义功能远程控制按钮（水气按钮和吸引按钮除外）</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8</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全高清染色内窥镜，支持1080P高清图像</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9</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具有100万像素优质高清CMOS传感器</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Style w:val="333"/>
                <w:rFonts w:hint="eastAsia" w:ascii="宋体" w:hAnsi="宋体" w:eastAsia="宋体" w:cs="宋体"/>
                <w:kern w:val="0"/>
                <w:sz w:val="21"/>
                <w:szCs w:val="21"/>
                <w:highlight w:val="none"/>
                <w:lang w:val="en-US" w:eastAsia="zh-CN"/>
              </w:rPr>
              <w:t>1.</w:t>
            </w:r>
            <w:r>
              <w:rPr>
                <w:rFonts w:hint="eastAsia" w:ascii="宋体" w:hAnsi="宋体" w:eastAsia="宋体" w:cs="宋体"/>
                <w:sz w:val="21"/>
                <w:szCs w:val="21"/>
                <w:highlight w:val="none"/>
              </w:rPr>
              <w:t>10</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主机支持光学放大内镜、支气管镜 等特殊镜体</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Style w:val="333"/>
                <w:rFonts w:hint="default" w:ascii="宋体" w:hAnsi="宋体" w:eastAsia="宋体" w:cs="宋体"/>
                <w:kern w:val="0"/>
                <w:sz w:val="21"/>
                <w:szCs w:val="21"/>
                <w:highlight w:val="none"/>
                <w:lang w:val="en-US" w:eastAsia="zh-CN"/>
              </w:rPr>
            </w:pPr>
            <w:r>
              <w:rPr>
                <w:rStyle w:val="333"/>
                <w:rFonts w:hint="eastAsia" w:ascii="宋体" w:hAnsi="宋体" w:cs="宋体"/>
                <w:kern w:val="0"/>
                <w:sz w:val="21"/>
                <w:szCs w:val="21"/>
                <w:highlight w:val="none"/>
                <w:lang w:val="en-US" w:eastAsia="zh-CN"/>
              </w:rPr>
              <w:t>1.11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具有无线供电功能，可通过电磁耦合方式对镜子进行供电</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Style w:val="333"/>
                <w:rFonts w:hint="default" w:ascii="宋体" w:hAnsi="宋体" w:eastAsia="宋体" w:cs="宋体"/>
                <w:kern w:val="0"/>
                <w:sz w:val="21"/>
                <w:szCs w:val="21"/>
                <w:highlight w:val="none"/>
                <w:lang w:val="en-US" w:eastAsia="zh-CN"/>
              </w:rPr>
            </w:pPr>
            <w:r>
              <w:rPr>
                <w:rStyle w:val="333"/>
                <w:rFonts w:hint="eastAsia" w:ascii="宋体" w:hAnsi="宋体" w:cs="宋体"/>
                <w:kern w:val="0"/>
                <w:sz w:val="21"/>
                <w:szCs w:val="21"/>
                <w:highlight w:val="none"/>
                <w:lang w:val="en-US" w:eastAsia="zh-CN"/>
              </w:rPr>
              <w:t>1.12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有双光功能，可同时动态显示普通模式图像与染色模式图像</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 xml:space="preserve"> </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bCs/>
                <w:sz w:val="21"/>
                <w:szCs w:val="21"/>
                <w:highlight w:val="none"/>
              </w:rPr>
              <w:t>二</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sz w:val="21"/>
                <w:szCs w:val="21"/>
                <w:highlight w:val="none"/>
              </w:rPr>
              <w:t>配套及参数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rPr>
              <w:t>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sz w:val="21"/>
                <w:szCs w:val="21"/>
                <w:highlight w:val="none"/>
              </w:rPr>
              <w:t>图像处理装置</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全高清染色内窥镜，支持1080P高清图像输出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高清视频信号（DVI）输出视频分辨率≥1920*1080</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支持全高清图像输出，具有DVI、SDI、S-VIDEO等信号输出方式</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具有自动增益功能：开/关</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测光模式调节功能：平均测光、峰值测光、全自动测光</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具有白平衡自动修正功能,白平衡记忆功能</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具有电子放大功能，最大能放大2倍，三档可调</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1.7</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具备录像功能，可通过 USB 将视频存储到外接 U 盘中。</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1.8</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可通过 USB 接口一键导出视频、图像、报告等信息</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1.9</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具有图像冻结功能，可通过镜体按钮、键盘、脚踏开关控制冻结功能</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1.10</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画中画功能，大图像冻结，活动小画面出现，保证检查治疗的安全。</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1.11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主机具备≥2个USB接口</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1.12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具有内镜冻结图像功能</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1.13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具有内镜信息显示功能：可在显示器上显示内镜相关数据信息</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sz w:val="21"/>
                <w:szCs w:val="21"/>
                <w:highlight w:val="none"/>
              </w:rPr>
              <w:t>2.2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sz w:val="21"/>
                <w:szCs w:val="21"/>
                <w:highlight w:val="none"/>
              </w:rPr>
              <w:t>内窥镜冷光源</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color w:val="000000" w:themeColor="text1"/>
                <w:sz w:val="21"/>
                <w:szCs w:val="21"/>
                <w:highlight w:val="none"/>
                <w14:textFill>
                  <w14:solidFill>
                    <w14:schemeClr w14:val="tx1"/>
                  </w14:solidFill>
                </w14:textFill>
              </w:rPr>
              <w:t>2.1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themeColor="text1"/>
                <w:sz w:val="21"/>
                <w:szCs w:val="21"/>
                <w:highlight w:val="none"/>
                <w14:textFill>
                  <w14:solidFill>
                    <w14:schemeClr w14:val="tx1"/>
                  </w14:solidFill>
                </w14:textFill>
              </w:rPr>
              <w:t>采用高亮度、节能型LED灯光源</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sz w:val="21"/>
                <w:szCs w:val="21"/>
                <w:highlight w:val="none"/>
              </w:rPr>
              <w:t>采用至少4路LED光组</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支持白光和两种特殊光照明模式</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光源灯使用寿命：≥10000小时</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具有自动和手动两种调光模式</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长寿命静音气泵</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主灯灯泡寿命具有指示灯显示，可随时掌握主灯剩余寿命情况</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2.7</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透光模式功能，光导定位</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sz w:val="21"/>
                <w:szCs w:val="21"/>
                <w:highlight w:val="none"/>
              </w:rPr>
              <w:t>2.3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sz w:val="21"/>
                <w:szCs w:val="21"/>
                <w:highlight w:val="none"/>
              </w:rPr>
              <w:t>高清电子肠镜（硬度可调）</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kern w:val="0"/>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具有刚度可调功能，可根据病例的不同情况对内镜的硬度进行调节</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视场角≥170°</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观察景深：2-100mm</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头端部外径≤12.2mm</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插入部主软管外径≤12mm</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弯曲角度：上下均≥180°，左右均≥160°</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3.7</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最小器械孔道内径≥3.2mm</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3.8</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工作长度≥1300mm；</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kern w:val="0"/>
                <w:sz w:val="21"/>
                <w:szCs w:val="21"/>
                <w:highlight w:val="none"/>
              </w:rPr>
              <w:t>2.4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000000"/>
                <w:kern w:val="0"/>
                <w:sz w:val="21"/>
                <w:szCs w:val="21"/>
                <w:highlight w:val="none"/>
              </w:rPr>
              <w:t>高清电子胃镜（检查镜）</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视野角≥140°</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景深：3-100mm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头端部外径≤9.3mm</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插入部主软管外径≤9.3mm，</w:t>
            </w:r>
            <w:r>
              <w:rPr>
                <w:rFonts w:hint="eastAsia" w:ascii="宋体" w:hAnsi="宋体" w:eastAsia="宋体" w:cs="宋体"/>
                <w:sz w:val="21"/>
                <w:szCs w:val="21"/>
                <w:highlight w:val="none"/>
              </w:rPr>
              <w:t>镜体具有辅助送水功能（专用送水孔道）。</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钳道孔内径≥2.8mm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弯曲角度：上≥ 210°下≥ 90°，左右各≥ 100°；</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4.7</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有效工作长度≥1050mm；</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4.9</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具备实现两种光学染色成像技术功能</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sz w:val="21"/>
                <w:szCs w:val="21"/>
                <w:highlight w:val="none"/>
              </w:rPr>
              <w:t>2.5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000000"/>
                <w:kern w:val="0"/>
                <w:sz w:val="21"/>
                <w:szCs w:val="21"/>
                <w:highlight w:val="none"/>
              </w:rPr>
              <w:t xml:space="preserve">高清治疗电子胃镜 </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5.1</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视野角≥140°</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5.2</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景深：3-100mm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5.3</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头端部外径≤9.8mm，</w:t>
            </w:r>
            <w:r>
              <w:rPr>
                <w:rFonts w:hint="eastAsia" w:ascii="宋体" w:hAnsi="宋体" w:eastAsia="宋体" w:cs="宋体"/>
                <w:sz w:val="21"/>
                <w:szCs w:val="21"/>
                <w:highlight w:val="none"/>
              </w:rPr>
              <w:t>镜体具有辅助送水功能（专用送水孔道）。</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5.4</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插入部主软管外径≤9.8mm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5.5</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钳道孔内径≥3.2mm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 xml:space="preserve">弯曲角度：上≥ 210°下≥ </w:t>
            </w:r>
            <w:r>
              <w:rPr>
                <w:rFonts w:hint="eastAsia" w:ascii="宋体" w:hAnsi="宋体" w:cs="宋体"/>
                <w:color w:val="000000"/>
                <w:kern w:val="0"/>
                <w:sz w:val="21"/>
                <w:szCs w:val="21"/>
                <w:highlight w:val="none"/>
                <w:lang w:val="en-US" w:eastAsia="zh-CN"/>
              </w:rPr>
              <w:t>120</w:t>
            </w:r>
            <w:r>
              <w:rPr>
                <w:rFonts w:hint="eastAsia" w:ascii="宋体" w:hAnsi="宋体" w:eastAsia="宋体" w:cs="宋体"/>
                <w:color w:val="000000"/>
                <w:kern w:val="0"/>
                <w:sz w:val="21"/>
                <w:szCs w:val="21"/>
                <w:highlight w:val="none"/>
              </w:rPr>
              <w:t>°，左右各≥ 100°；</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5.7</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有效工作长度≥1050mm；</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5.8</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具备实现两种光学染色成像技术功能</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sz w:val="21"/>
                <w:szCs w:val="21"/>
                <w:highlight w:val="none"/>
              </w:rPr>
              <w:t>2.6</w:t>
            </w:r>
          </w:p>
        </w:tc>
        <w:tc>
          <w:tcPr>
            <w:tcW w:w="3604" w:type="pct"/>
            <w:vAlign w:val="center"/>
          </w:tcPr>
          <w:p>
            <w:pPr>
              <w:keepNext w:val="0"/>
              <w:keepLines w:val="0"/>
              <w:pageBreakBefore w:val="0"/>
              <w:widowControl w:val="0"/>
              <w:tabs>
                <w:tab w:val="left" w:pos="601"/>
              </w:tabs>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000000"/>
                <w:kern w:val="0"/>
                <w:sz w:val="21"/>
                <w:szCs w:val="21"/>
                <w:highlight w:val="none"/>
              </w:rPr>
              <w:t>高清光学放大胃镜</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6.1</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具备光学可变焦技术</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6.2</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视场角：广角模式≥140°，长焦模式≥90°</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6.3</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观察景深：广角模式≥3-100mm，长焦模式≥1.5-3.0mm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6.4</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头端部外径≤10.8mm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6.5</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插入部主软管外径≤10.5mm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6.6</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弯曲角度：向上≥210°，向下≥90°，左右均≥100°</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6.7</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最小器械孔道内径≥2.8mm</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6.8</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具备实现两种光学染色成像技术功能</w:t>
            </w:r>
            <w:r>
              <w:rPr>
                <w:rFonts w:hint="eastAsia" w:ascii="宋体" w:hAnsi="宋体" w:eastAsia="宋体" w:cs="宋体"/>
                <w:color w:val="000000"/>
                <w:kern w:val="0"/>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sz w:val="21"/>
                <w:szCs w:val="21"/>
                <w:highlight w:val="none"/>
              </w:rPr>
              <w:t>2.7</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sz w:val="21"/>
                <w:szCs w:val="21"/>
                <w:highlight w:val="none"/>
              </w:rPr>
              <w:t>高清电子肠镜</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7.1</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视野角≥140°</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7.2</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景深：3-100mm</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7.3</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头端部外径≤12.2mm，镜体具有辅助送水功能（专用送水孔道）</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7.4</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插入部主软管外径≤12.5mm</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7.5</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钳道孔内径≥3.</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xml:space="preserve">mm </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7.6</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弯曲角度：上下各180°，左右各 160°</w:t>
            </w:r>
            <w:r>
              <w:rPr>
                <w:rFonts w:hint="eastAsia" w:ascii="宋体" w:hAnsi="宋体" w:eastAsia="宋体" w:cs="宋体"/>
                <w:sz w:val="21"/>
                <w:szCs w:val="21"/>
                <w:highlight w:val="none"/>
                <w:lang w:eastAsia="zh-CN"/>
              </w:rPr>
              <w:t>。</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7.7</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sz w:val="21"/>
                <w:szCs w:val="21"/>
                <w:highlight w:val="none"/>
              </w:rPr>
              <w:t>有效工作长度≥1300mm；</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三</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Style w:val="333"/>
                <w:rFonts w:hint="eastAsia" w:ascii="宋体" w:hAnsi="宋体" w:eastAsia="宋体" w:cs="宋体"/>
                <w:b/>
                <w:bCs/>
                <w:color w:val="000000"/>
                <w:kern w:val="0"/>
                <w:sz w:val="21"/>
                <w:szCs w:val="21"/>
                <w:highlight w:val="none"/>
              </w:rPr>
              <w:t>配置要求</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3.1</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电子内窥镜图像处理器1台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3.2</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内窥镜LED冷光源1台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3.3</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高清电子胃镜（检查镜）2根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3.4</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高清电子胃镜（治疗镜）1根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3.5</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高清光学放大胃镜1根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3.6</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高清电子肠镜1根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3.7</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高清电子肠镜（硬度可调）2根</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3.8</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医用监视器1台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rPr>
            </w:pPr>
            <w:r>
              <w:rPr>
                <w:rStyle w:val="333"/>
                <w:rFonts w:hint="eastAsia" w:ascii="宋体" w:hAnsi="宋体" w:eastAsia="宋体" w:cs="宋体"/>
                <w:sz w:val="21"/>
                <w:szCs w:val="21"/>
                <w:highlight w:val="none"/>
              </w:rPr>
              <w:t>3.9</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专用台车1台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val="0"/>
                <w:bCs w:val="0"/>
                <w:color w:val="auto"/>
                <w:sz w:val="21"/>
                <w:szCs w:val="21"/>
                <w:highlight w:val="none"/>
                <w:lang w:val="en-US" w:eastAsia="zh-CN"/>
              </w:rPr>
            </w:pPr>
            <w:r>
              <w:rPr>
                <w:rStyle w:val="333"/>
                <w:rFonts w:hint="eastAsia" w:ascii="宋体" w:hAnsi="宋体" w:eastAsia="宋体" w:cs="宋体"/>
                <w:sz w:val="21"/>
                <w:szCs w:val="21"/>
                <w:highlight w:val="none"/>
                <w:lang w:val="en-US" w:eastAsia="zh-CN"/>
              </w:rPr>
              <w:t>3.10</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内窥镜送水泵1台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val="0"/>
                <w:bCs w:val="0"/>
                <w:color w:val="auto"/>
                <w:sz w:val="21"/>
                <w:szCs w:val="21"/>
                <w:highlight w:val="none"/>
                <w:lang w:val="en-US" w:eastAsia="zh-CN"/>
              </w:rPr>
            </w:pPr>
            <w:r>
              <w:rPr>
                <w:rStyle w:val="333"/>
                <w:rFonts w:hint="eastAsia" w:ascii="宋体" w:hAnsi="宋体" w:eastAsia="宋体" w:cs="宋体"/>
                <w:sz w:val="21"/>
                <w:szCs w:val="21"/>
                <w:highlight w:val="none"/>
                <w:lang w:val="en-US" w:eastAsia="zh-CN"/>
              </w:rPr>
              <w:t>3.11</w:t>
            </w:r>
          </w:p>
        </w:tc>
        <w:tc>
          <w:tcPr>
            <w:tcW w:w="3604"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000000"/>
                <w:kern w:val="0"/>
                <w:sz w:val="21"/>
                <w:szCs w:val="21"/>
                <w:highlight w:val="none"/>
              </w:rPr>
              <w:t>内窥镜送气装置1台</w:t>
            </w:r>
          </w:p>
        </w:tc>
        <w:tc>
          <w:tcPr>
            <w:tcW w:w="672"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bl>
    <w:p>
      <w:pPr>
        <w:pStyle w:val="5"/>
        <w:jc w:val="both"/>
        <w:rPr>
          <w:highlight w:val="none"/>
        </w:rPr>
      </w:pPr>
    </w:p>
    <w:p>
      <w:pPr>
        <w:snapToGrid w:val="0"/>
        <w:spacing w:line="360" w:lineRule="auto"/>
        <w:jc w:val="left"/>
        <w:rPr>
          <w:rFonts w:ascii="宋体" w:hAnsi="宋体" w:cs="宋体"/>
          <w:b/>
          <w:bCs/>
          <w:color w:val="auto"/>
          <w:highlight w:val="none"/>
        </w:rPr>
      </w:pPr>
      <w:r>
        <w:rPr>
          <w:rFonts w:hint="eastAsia" w:ascii="宋体" w:hAnsi="宋体" w:cs="宋体"/>
          <w:b/>
          <w:bCs/>
          <w:color w:val="auto"/>
          <w:highlight w:val="none"/>
        </w:rPr>
        <w:t xml:space="preserve">                                   </w:t>
      </w:r>
    </w:p>
    <w:p>
      <w:pPr>
        <w:rPr>
          <w:highlight w:val="none"/>
        </w:rPr>
      </w:pPr>
    </w:p>
    <w:p>
      <w:pPr>
        <w:snapToGrid w:val="0"/>
        <w:spacing w:line="360" w:lineRule="auto"/>
        <w:rPr>
          <w:rFonts w:ascii="宋体" w:hAnsi="宋体" w:cs="宋体"/>
          <w:b/>
          <w:bCs/>
          <w:color w:val="auto"/>
          <w:highlight w:val="none"/>
        </w:rPr>
      </w:pPr>
      <w:r>
        <w:rPr>
          <w:rFonts w:hint="eastAsia" w:ascii="宋体" w:hAnsi="宋体" w:cs="宋体"/>
          <w:b/>
          <w:bCs/>
          <w:color w:val="auto"/>
          <w:highlight w:val="none"/>
        </w:rPr>
        <w:t xml:space="preserve">                                               </w:t>
      </w:r>
    </w:p>
    <w:p>
      <w:pPr>
        <w:snapToGrid w:val="0"/>
        <w:spacing w:line="360" w:lineRule="auto"/>
        <w:jc w:val="left"/>
        <w:rPr>
          <w:rFonts w:ascii="宋体" w:cs="宋体"/>
          <w:color w:val="auto"/>
          <w:highlight w:val="none"/>
        </w:rPr>
        <w:sectPr>
          <w:pgSz w:w="11906" w:h="16838"/>
          <w:pgMar w:top="1474" w:right="1797" w:bottom="1247" w:left="1797" w:header="851" w:footer="851" w:gutter="0"/>
          <w:cols w:space="720" w:num="1"/>
          <w:docGrid w:type="lines" w:linePitch="312" w:charSpace="0"/>
        </w:sectPr>
      </w:pPr>
    </w:p>
    <w:p>
      <w:pPr>
        <w:pStyle w:val="5"/>
        <w:numPr>
          <w:ilvl w:val="0"/>
          <w:numId w:val="9"/>
        </w:numPr>
        <w:rPr>
          <w:rFonts w:ascii="宋体" w:cs="宋体"/>
          <w:color w:val="auto"/>
          <w:highlight w:val="none"/>
        </w:rPr>
      </w:pPr>
      <w:r>
        <w:rPr>
          <w:rFonts w:hint="eastAsia" w:ascii="宋体" w:cs="宋体"/>
          <w:color w:val="auto"/>
          <w:highlight w:val="none"/>
        </w:rPr>
        <w:t xml:space="preserve"> </w:t>
      </w:r>
      <w:bookmarkStart w:id="107" w:name="_Toc12110"/>
      <w:r>
        <w:rPr>
          <w:rFonts w:hint="eastAsia" w:ascii="宋体" w:cs="宋体"/>
          <w:color w:val="auto"/>
          <w:highlight w:val="none"/>
        </w:rPr>
        <w:t>投标人须知</w:t>
      </w:r>
      <w:bookmarkEnd w:id="106"/>
      <w:bookmarkEnd w:id="107"/>
    </w:p>
    <w:p>
      <w:pPr>
        <w:snapToGrid w:val="0"/>
        <w:spacing w:before="120" w:beforeLines="50" w:after="120" w:afterLines="50" w:line="360" w:lineRule="auto"/>
        <w:ind w:left="238"/>
        <w:jc w:val="center"/>
        <w:outlineLvl w:val="1"/>
        <w:rPr>
          <w:rFonts w:ascii="宋体" w:hAnsi="宋体" w:cs="宋体"/>
          <w:color w:val="auto"/>
          <w:highlight w:val="none"/>
        </w:rPr>
      </w:pPr>
      <w:bookmarkStart w:id="108" w:name="_Toc47388318"/>
      <w:bookmarkStart w:id="109" w:name="_Toc417922226"/>
      <w:bookmarkStart w:id="110" w:name="_Toc4833"/>
      <w:bookmarkStart w:id="111" w:name="_Toc10382"/>
      <w:r>
        <w:rPr>
          <w:rFonts w:hint="eastAsia" w:ascii="宋体" w:hAnsi="宋体" w:cs="宋体"/>
          <w:color w:val="auto"/>
          <w:highlight w:val="none"/>
        </w:rPr>
        <w:t>前附表</w:t>
      </w:r>
      <w:bookmarkEnd w:id="108"/>
      <w:bookmarkEnd w:id="109"/>
      <w:bookmarkEnd w:id="110"/>
      <w:bookmarkEnd w:id="111"/>
    </w:p>
    <w:tbl>
      <w:tblPr>
        <w:tblStyle w:val="48"/>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8309" w:type="dxa"/>
            <w:tcBorders>
              <w:top w:val="single" w:color="auto" w:sz="4" w:space="0"/>
              <w:left w:val="single" w:color="auto" w:sz="4" w:space="0"/>
              <w:bottom w:val="single" w:color="auto" w:sz="4" w:space="0"/>
            </w:tcBorders>
            <w:vAlign w:val="center"/>
          </w:tcPr>
          <w:p>
            <w:pPr>
              <w:spacing w:line="360" w:lineRule="auto"/>
              <w:jc w:val="left"/>
              <w:rPr>
                <w:rFonts w:ascii="宋体" w:hAnsi="宋体" w:cs="宋体"/>
                <w:color w:val="auto"/>
                <w:highlight w:val="none"/>
              </w:rPr>
            </w:pPr>
            <w:r>
              <w:rPr>
                <w:rFonts w:hint="eastAsia" w:ascii="宋体" w:hAnsi="宋体" w:cs="宋体"/>
                <w:color w:val="auto"/>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缙云县人民医院手术腔镜系统（3D）、甲醛灭菌器及高清电子内窥镜系统采购项目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8309" w:type="dxa"/>
            <w:tcBorders>
              <w:top w:val="single" w:color="auto" w:sz="4" w:space="0"/>
              <w:left w:val="single" w:color="auto" w:sz="4" w:space="0"/>
              <w:bottom w:val="single" w:color="auto" w:sz="4" w:space="0"/>
            </w:tcBorders>
            <w:vAlign w:val="center"/>
          </w:tcPr>
          <w:p>
            <w:pPr>
              <w:spacing w:line="360" w:lineRule="auto"/>
              <w:rPr>
                <w:rFonts w:ascii="宋体" w:hAnsi="宋体" w:cs="宋体"/>
                <w:b/>
                <w:bCs/>
                <w:color w:val="auto"/>
                <w:highlight w:val="none"/>
              </w:rPr>
            </w:pPr>
            <w:r>
              <w:rPr>
                <w:rFonts w:hint="eastAsia" w:ascii="宋体" w:hAnsi="宋体" w:cs="宋体"/>
                <w:b/>
                <w:bCs/>
                <w:color w:val="auto"/>
                <w:highlight w:val="none"/>
              </w:rPr>
              <w:t>投标报价及费用：</w:t>
            </w:r>
          </w:p>
          <w:p>
            <w:pPr>
              <w:overflowPunct w:val="0"/>
              <w:spacing w:line="360" w:lineRule="auto"/>
              <w:ind w:left="63" w:leftChars="1" w:hanging="61" w:hangingChars="29"/>
              <w:rPr>
                <w:rFonts w:ascii="宋体" w:hAnsi="宋体" w:cs="宋体"/>
                <w:b/>
                <w:bCs/>
                <w:color w:val="auto"/>
                <w:highlight w:val="none"/>
              </w:rPr>
            </w:pPr>
            <w:r>
              <w:rPr>
                <w:rFonts w:hint="eastAsia" w:ascii="宋体" w:hAnsi="宋体" w:cs="宋体"/>
                <w:b/>
                <w:bCs/>
                <w:color w:val="auto"/>
                <w:highlight w:val="none"/>
              </w:rPr>
              <w:t>1、投标报价是履行合同的最终价格，应包括设备价、安装调试、系统集成、货物运至项目现场的运输费、保险费、培训费、售后服务、利润、税金等一切与本次采购相关的费用。</w:t>
            </w:r>
          </w:p>
          <w:p>
            <w:pPr>
              <w:overflowPunct w:val="0"/>
              <w:spacing w:line="360" w:lineRule="auto"/>
              <w:ind w:left="63" w:leftChars="1" w:hanging="61" w:hangingChars="29"/>
              <w:rPr>
                <w:rFonts w:ascii="宋体" w:hAnsi="宋体" w:cs="宋体"/>
                <w:b/>
                <w:bCs/>
                <w:color w:val="auto"/>
                <w:highlight w:val="none"/>
              </w:rPr>
            </w:pPr>
            <w:r>
              <w:rPr>
                <w:rFonts w:hint="eastAsia" w:ascii="宋体" w:hAnsi="宋体" w:cs="宋体"/>
                <w:b/>
                <w:bCs/>
                <w:color w:val="auto"/>
                <w:highlight w:val="none"/>
              </w:rPr>
              <w:t>本项目预算金额/最高限价：详见第一章公开招标采购公告。投标报价超过预算金额或最高限价的作无效标处理。</w:t>
            </w:r>
          </w:p>
          <w:p>
            <w:pPr>
              <w:spacing w:line="360" w:lineRule="auto"/>
              <w:rPr>
                <w:rFonts w:ascii="宋体" w:hAnsi="宋体" w:cs="宋体"/>
                <w:b/>
                <w:bCs/>
                <w:color w:val="auto"/>
                <w:highlight w:val="none"/>
              </w:rPr>
            </w:pPr>
            <w:r>
              <w:rPr>
                <w:rFonts w:hint="eastAsia" w:ascii="宋体" w:hAnsi="宋体" w:cs="宋体"/>
                <w:b/>
                <w:bCs/>
                <w:color w:val="auto"/>
                <w:highlight w:val="none"/>
              </w:rPr>
              <w:t>2、不论投标结果如何，投标人均应自行承担所有与投标有关的全部费用；</w:t>
            </w:r>
          </w:p>
          <w:p>
            <w:pPr>
              <w:spacing w:line="360" w:lineRule="auto"/>
              <w:rPr>
                <w:rFonts w:ascii="宋体" w:hAnsi="宋体" w:cs="宋体"/>
                <w:b/>
                <w:bCs/>
                <w:color w:val="auto"/>
                <w:highlight w:val="none"/>
              </w:rPr>
            </w:pPr>
            <w:r>
              <w:rPr>
                <w:rFonts w:hint="eastAsia" w:ascii="宋体" w:hAnsi="宋体" w:cs="宋体"/>
                <w:b/>
                <w:bCs/>
                <w:color w:val="auto"/>
                <w:highlight w:val="none"/>
                <w:lang w:val="en-US" w:eastAsia="zh-CN"/>
              </w:rPr>
              <w:t>3</w:t>
            </w:r>
            <w:r>
              <w:rPr>
                <w:rFonts w:hint="eastAsia" w:ascii="宋体" w:hAnsi="宋体" w:cs="宋体"/>
                <w:b/>
                <w:bCs/>
                <w:color w:val="auto"/>
                <w:highlight w:val="none"/>
              </w:rPr>
              <w:t>、招标服务费的收取标准：</w:t>
            </w:r>
          </w:p>
          <w:p>
            <w:pPr>
              <w:spacing w:line="360" w:lineRule="auto"/>
              <w:rPr>
                <w:color w:val="auto"/>
                <w:highlight w:val="none"/>
              </w:rPr>
            </w:pPr>
            <w:r>
              <w:rPr>
                <w:rFonts w:hint="eastAsia" w:ascii="宋体" w:hAnsi="宋体" w:cs="宋体"/>
                <w:color w:val="auto"/>
                <w:highlight w:val="none"/>
              </w:rPr>
              <w:t>（1）</w:t>
            </w:r>
            <w:r>
              <w:rPr>
                <w:rFonts w:hint="eastAsia" w:ascii="宋体" w:hAnsi="宋体"/>
                <w:color w:val="auto"/>
                <w:highlight w:val="none"/>
              </w:rPr>
              <w:t>参照下表中的货物收费标准下浮10%，采用差额定率累进法按照中标通知书确定的中标总金额，向中标人收取</w:t>
            </w:r>
            <w:r>
              <w:rPr>
                <w:rFonts w:hint="eastAsia" w:ascii="宋体" w:hAnsi="宋体" w:cs="宋体"/>
                <w:color w:val="auto"/>
                <w:highlight w:val="none"/>
              </w:rPr>
              <w:t>招标服务费</w:t>
            </w:r>
            <w:r>
              <w:rPr>
                <w:rFonts w:hint="eastAsia" w:ascii="宋体" w:hAnsi="宋体"/>
                <w:color w:val="auto"/>
                <w:highlight w:val="none"/>
              </w:rPr>
              <w:t>。</w:t>
            </w:r>
          </w:p>
          <w:p>
            <w:pPr>
              <w:spacing w:line="360" w:lineRule="auto"/>
              <w:jc w:val="left"/>
              <w:rPr>
                <w:color w:val="auto"/>
                <w:highlight w:val="none"/>
              </w:rPr>
            </w:pPr>
            <w:r>
              <w:rPr>
                <w:color w:val="auto"/>
                <w:highlight w:val="none"/>
              </w:rPr>
              <w:drawing>
                <wp:inline distT="0" distB="0" distL="0" distR="0">
                  <wp:extent cx="4050665" cy="2076450"/>
                  <wp:effectExtent l="0" t="0" r="6985" b="0"/>
                  <wp:docPr id="5" name="图片 5" descr="C:\Users\ADMINI~1\AppData\Local\Temp\ksohtml222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22284\wp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51113" cy="2076450"/>
                          </a:xfrm>
                          <a:prstGeom prst="rect">
                            <a:avLst/>
                          </a:prstGeom>
                          <a:noFill/>
                          <a:ln>
                            <a:noFill/>
                          </a:ln>
                        </pic:spPr>
                      </pic:pic>
                    </a:graphicData>
                  </a:graphic>
                </wp:inline>
              </w:drawing>
            </w:r>
          </w:p>
          <w:p>
            <w:pPr>
              <w:spacing w:line="360" w:lineRule="auto"/>
              <w:rPr>
                <w:rFonts w:ascii="宋体" w:hAnsi="宋体" w:cs="宋体"/>
                <w:color w:val="auto"/>
                <w:highlight w:val="none"/>
              </w:rPr>
            </w:pPr>
            <w:r>
              <w:rPr>
                <w:rFonts w:hint="eastAsia" w:ascii="宋体" w:hAnsi="宋体" w:cs="宋体"/>
                <w:color w:val="auto"/>
                <w:highlight w:val="none"/>
              </w:rPr>
              <w:t>（2）中标人接到本公司通知后5个工作日内向本招标公司支付招标服务费。</w:t>
            </w:r>
          </w:p>
          <w:p>
            <w:pPr>
              <w:spacing w:line="360" w:lineRule="auto"/>
              <w:rPr>
                <w:rFonts w:ascii="宋体" w:hAnsi="宋体" w:cs="宋体"/>
                <w:color w:val="auto"/>
                <w:highlight w:val="none"/>
              </w:rPr>
            </w:pPr>
            <w:r>
              <w:rPr>
                <w:rFonts w:hint="eastAsia" w:ascii="宋体" w:hAnsi="宋体" w:cs="宋体"/>
                <w:color w:val="auto"/>
                <w:highlight w:val="none"/>
              </w:rPr>
              <w:t>（3）招标服务费只收现金、银行票汇款、电汇款。</w:t>
            </w:r>
          </w:p>
          <w:p>
            <w:pPr>
              <w:spacing w:line="360" w:lineRule="auto"/>
              <w:rPr>
                <w:rFonts w:ascii="宋体" w:hAnsi="宋体" w:cs="宋体"/>
                <w:color w:val="auto"/>
                <w:highlight w:val="none"/>
              </w:rPr>
            </w:pPr>
            <w:r>
              <w:rPr>
                <w:rFonts w:hint="eastAsia" w:ascii="宋体" w:hAnsi="宋体" w:cs="宋体"/>
                <w:color w:val="auto"/>
                <w:highlight w:val="none"/>
              </w:rPr>
              <w:t>（4）招标服务费均汇入以下账户：</w:t>
            </w:r>
          </w:p>
          <w:p>
            <w:pPr>
              <w:spacing w:line="360" w:lineRule="auto"/>
              <w:rPr>
                <w:rFonts w:ascii="宋体" w:hAnsi="宋体" w:cs="宋体"/>
                <w:color w:val="auto"/>
                <w:highlight w:val="none"/>
              </w:rPr>
            </w:pPr>
            <w:r>
              <w:rPr>
                <w:rFonts w:hint="eastAsia" w:ascii="宋体" w:hAnsi="宋体" w:cs="宋体"/>
                <w:color w:val="auto"/>
                <w:highlight w:val="none"/>
              </w:rPr>
              <w:t>开户银行：宁波银行丽水分行</w:t>
            </w:r>
          </w:p>
          <w:p>
            <w:pPr>
              <w:spacing w:line="360" w:lineRule="auto"/>
              <w:rPr>
                <w:rFonts w:ascii="宋体" w:hAnsi="宋体" w:cs="宋体"/>
                <w:color w:val="auto"/>
                <w:highlight w:val="none"/>
              </w:rPr>
            </w:pPr>
            <w:r>
              <w:rPr>
                <w:rFonts w:hint="eastAsia" w:ascii="宋体" w:hAnsi="宋体" w:cs="宋体"/>
                <w:color w:val="auto"/>
                <w:highlight w:val="none"/>
              </w:rPr>
              <w:t>帐号：90010122000220378</w:t>
            </w:r>
          </w:p>
          <w:p>
            <w:pPr>
              <w:spacing w:line="360" w:lineRule="auto"/>
              <w:rPr>
                <w:rFonts w:ascii="宋体" w:hAnsi="宋体" w:cs="宋体"/>
                <w:color w:val="auto"/>
                <w:highlight w:val="none"/>
              </w:rPr>
            </w:pPr>
            <w:r>
              <w:rPr>
                <w:rFonts w:hint="eastAsia" w:ascii="宋体" w:hAnsi="宋体" w:cs="宋体"/>
                <w:color w:val="auto"/>
                <w:highlight w:val="none"/>
              </w:rPr>
              <w:t>户名：宁波中基国际招标有限公司丽水分公司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b/>
                <w:bCs/>
                <w:color w:val="auto"/>
                <w:highlight w:val="none"/>
                <w:lang w:eastAsia="zh-CN"/>
              </w:rPr>
            </w:pPr>
            <w:r>
              <w:rPr>
                <w:rFonts w:hint="eastAsia" w:ascii="宋体" w:hAnsi="宋体" w:cs="宋体"/>
                <w:color w:val="auto"/>
                <w:highlight w:val="none"/>
              </w:rPr>
              <w:t>投标保证金：无</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4</w:t>
            </w:r>
          </w:p>
        </w:tc>
        <w:tc>
          <w:tcPr>
            <w:tcW w:w="830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5</w:t>
            </w:r>
          </w:p>
        </w:tc>
        <w:tc>
          <w:tcPr>
            <w:tcW w:w="8309"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highlight w:val="none"/>
              </w:rPr>
              <w:t>投标文件组成：本项目实行网上投标，供应商应准备以下投标文件：</w:t>
            </w:r>
          </w:p>
          <w:p>
            <w:pPr>
              <w:snapToGrid w:val="0"/>
              <w:spacing w:line="360" w:lineRule="auto"/>
              <w:rPr>
                <w:rFonts w:ascii="宋体" w:hAnsi="宋体" w:cs="宋体"/>
                <w:color w:val="auto"/>
                <w:highlight w:val="none"/>
              </w:rPr>
            </w:pPr>
            <w:r>
              <w:rPr>
                <w:rFonts w:hint="eastAsia" w:ascii="宋体" w:hAnsi="宋体" w:cs="宋体"/>
                <w:color w:val="auto"/>
                <w:highlight w:val="none"/>
              </w:rPr>
              <w:t>（1）供应商于“政采云”上提供电子加密投标文件。</w:t>
            </w:r>
          </w:p>
          <w:p>
            <w:pPr>
              <w:snapToGrid w:val="0"/>
              <w:spacing w:line="360" w:lineRule="auto"/>
              <w:rPr>
                <w:rFonts w:ascii="宋体" w:hAnsi="宋体" w:cs="宋体"/>
                <w:color w:val="auto"/>
                <w:highlight w:val="none"/>
              </w:rPr>
            </w:pPr>
            <w:r>
              <w:rPr>
                <w:rFonts w:hint="eastAsia" w:ascii="宋体" w:hAnsi="宋体" w:cs="宋体"/>
                <w:color w:val="auto"/>
                <w:highlight w:val="none"/>
              </w:rPr>
              <w:t>（2）以电子邮件提供的备份电子投标文件数量1份。（自行决定，非必须要求）</w:t>
            </w:r>
          </w:p>
          <w:p>
            <w:pPr>
              <w:snapToGrid w:val="0"/>
              <w:spacing w:line="360" w:lineRule="auto"/>
              <w:rPr>
                <w:rFonts w:ascii="宋体" w:hAnsi="宋体" w:cs="宋体"/>
                <w:color w:val="auto"/>
                <w:highlight w:val="none"/>
              </w:rPr>
            </w:pPr>
            <w:r>
              <w:rPr>
                <w:rFonts w:hint="eastAsia" w:ascii="宋体" w:hAnsi="宋体" w:cs="宋体"/>
                <w:color w:val="auto"/>
                <w:highlight w:val="none"/>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6</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投标截止时间及地点：详见第一章</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7</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开标时间及地点：详见第一章</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8</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评标办法及评分标准：详见第四章</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9</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评标结果公示：评标结束后，评标结果公示于浙江省政府采购网，宁波中基国际招标有限公司网站</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10</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签订合同时间：中标通知书发出后30日内</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11</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履约保证金金额：不适用</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★12</w:t>
            </w:r>
          </w:p>
        </w:tc>
        <w:tc>
          <w:tcPr>
            <w:tcW w:w="830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13</w:t>
            </w:r>
          </w:p>
        </w:tc>
        <w:tc>
          <w:tcPr>
            <w:tcW w:w="830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解释：本招标文件的解释权属于招标采购单位。</w:t>
            </w:r>
          </w:p>
        </w:tc>
      </w:tr>
    </w:tbl>
    <w:p>
      <w:pPr>
        <w:pStyle w:val="26"/>
        <w:snapToGrid w:val="0"/>
        <w:spacing w:beforeLines="0" w:afterLines="0" w:line="360" w:lineRule="auto"/>
        <w:rPr>
          <w:rFonts w:hAnsi="宋体"/>
          <w:b/>
          <w:bCs/>
          <w:color w:val="auto"/>
          <w:sz w:val="21"/>
          <w:szCs w:val="21"/>
          <w:highlight w:val="none"/>
        </w:rPr>
      </w:pPr>
      <w:r>
        <w:rPr>
          <w:rFonts w:hint="eastAsia" w:hAnsi="宋体"/>
          <w:color w:val="auto"/>
          <w:highlight w:val="none"/>
        </w:rPr>
        <w:br w:type="page"/>
      </w:r>
      <w:r>
        <w:rPr>
          <w:rFonts w:hint="eastAsia" w:hAnsi="宋体"/>
          <w:b/>
          <w:bCs/>
          <w:color w:val="auto"/>
          <w:sz w:val="21"/>
          <w:szCs w:val="21"/>
          <w:highlight w:val="none"/>
        </w:rPr>
        <w:t>一   总  则</w:t>
      </w:r>
    </w:p>
    <w:p>
      <w:pPr>
        <w:snapToGrid w:val="0"/>
        <w:spacing w:line="360" w:lineRule="auto"/>
        <w:ind w:firstLine="413" w:firstLineChars="196"/>
        <w:jc w:val="left"/>
        <w:outlineLvl w:val="1"/>
        <w:rPr>
          <w:rFonts w:ascii="宋体" w:hAnsi="宋体" w:cs="宋体"/>
          <w:b/>
          <w:bCs/>
          <w:color w:val="auto"/>
          <w:highlight w:val="none"/>
        </w:rPr>
      </w:pPr>
      <w:bookmarkStart w:id="112" w:name="_Toc609"/>
      <w:bookmarkStart w:id="113" w:name="_Toc417922227"/>
      <w:bookmarkStart w:id="114" w:name="_Toc47388319"/>
      <w:bookmarkStart w:id="115" w:name="_Toc18951"/>
      <w:r>
        <w:rPr>
          <w:rFonts w:hint="eastAsia" w:ascii="宋体" w:hAnsi="宋体" w:cs="宋体"/>
          <w:b/>
          <w:bCs/>
          <w:color w:val="auto"/>
          <w:highlight w:val="none"/>
        </w:rPr>
        <w:t>（一） 适用范围</w:t>
      </w:r>
      <w:bookmarkEnd w:id="112"/>
      <w:bookmarkEnd w:id="113"/>
      <w:bookmarkEnd w:id="114"/>
      <w:bookmarkEnd w:id="115"/>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本招标文件适用</w:t>
      </w:r>
      <w:r>
        <w:rPr>
          <w:rFonts w:hint="eastAsia" w:ascii="宋体" w:hAnsi="宋体" w:cs="宋体"/>
          <w:color w:val="auto"/>
          <w:highlight w:val="none"/>
          <w:lang w:eastAsia="zh-CN"/>
        </w:rPr>
        <w:t>缙云县人民医院手术腔镜系统（3D）、甲醛灭菌器及高清电子内窥镜系统采购项目</w:t>
      </w:r>
      <w:r>
        <w:rPr>
          <w:rFonts w:hint="eastAsia" w:ascii="宋体" w:hAnsi="宋体" w:cs="宋体"/>
          <w:color w:val="auto"/>
          <w:highlight w:val="none"/>
        </w:rPr>
        <w:t>的招标、投标、评标、定标、验收、合同履约、付款等行为（法律、法规另有规定的，从其规定）。</w:t>
      </w:r>
    </w:p>
    <w:p>
      <w:pPr>
        <w:snapToGrid w:val="0"/>
        <w:spacing w:before="120" w:beforeLines="50" w:line="360" w:lineRule="auto"/>
        <w:ind w:firstLine="310" w:firstLineChars="147"/>
        <w:jc w:val="left"/>
        <w:outlineLvl w:val="1"/>
        <w:rPr>
          <w:rFonts w:ascii="宋体" w:hAnsi="宋体" w:cs="宋体"/>
          <w:b/>
          <w:bCs/>
          <w:color w:val="auto"/>
          <w:highlight w:val="none"/>
        </w:rPr>
      </w:pPr>
      <w:bookmarkStart w:id="116" w:name="_Toc47388320"/>
      <w:bookmarkStart w:id="117" w:name="_Toc417922228"/>
      <w:bookmarkStart w:id="118" w:name="_Toc24971"/>
      <w:bookmarkStart w:id="119" w:name="_Toc18398"/>
      <w:r>
        <w:rPr>
          <w:rFonts w:hint="eastAsia" w:ascii="宋体" w:hAnsi="宋体" w:cs="宋体"/>
          <w:b/>
          <w:bCs/>
          <w:color w:val="auto"/>
          <w:highlight w:val="none"/>
        </w:rPr>
        <w:t>（二）定义</w:t>
      </w:r>
      <w:bookmarkEnd w:id="116"/>
      <w:bookmarkEnd w:id="117"/>
      <w:bookmarkEnd w:id="118"/>
      <w:bookmarkEnd w:id="119"/>
    </w:p>
    <w:p>
      <w:pPr>
        <w:snapToGrid w:val="0"/>
        <w:spacing w:before="120" w:beforeLines="50" w:line="360" w:lineRule="auto"/>
        <w:ind w:firstLine="411" w:firstLineChars="196"/>
        <w:jc w:val="left"/>
        <w:outlineLvl w:val="1"/>
        <w:rPr>
          <w:rFonts w:ascii="宋体" w:hAnsi="宋体" w:cs="宋体"/>
          <w:color w:val="auto"/>
          <w:highlight w:val="none"/>
        </w:rPr>
      </w:pPr>
      <w:bookmarkStart w:id="120" w:name="_Toc47388321"/>
      <w:bookmarkStart w:id="121" w:name="_Toc31362"/>
      <w:bookmarkStart w:id="122" w:name="_Toc18881"/>
      <w:bookmarkStart w:id="123" w:name="_Toc417922229"/>
      <w:r>
        <w:rPr>
          <w:rFonts w:hint="eastAsia" w:ascii="宋体" w:hAnsi="宋体" w:cs="宋体"/>
          <w:color w:val="auto"/>
          <w:highlight w:val="none"/>
        </w:rPr>
        <w:t>1. 招标采购单位系指组织本次招标的代理机构和采购单位。</w:t>
      </w:r>
      <w:bookmarkEnd w:id="120"/>
      <w:bookmarkEnd w:id="121"/>
      <w:bookmarkEnd w:id="122"/>
    </w:p>
    <w:p>
      <w:pPr>
        <w:snapToGrid w:val="0"/>
        <w:spacing w:before="120" w:beforeLines="50" w:line="360" w:lineRule="auto"/>
        <w:ind w:firstLine="411" w:firstLineChars="196"/>
        <w:jc w:val="left"/>
        <w:outlineLvl w:val="1"/>
        <w:rPr>
          <w:rFonts w:ascii="宋体" w:hAnsi="宋体" w:cs="宋体"/>
          <w:color w:val="auto"/>
          <w:highlight w:val="none"/>
        </w:rPr>
      </w:pPr>
      <w:bookmarkStart w:id="124" w:name="_Toc3566"/>
      <w:bookmarkStart w:id="125" w:name="_Toc47388322"/>
      <w:bookmarkStart w:id="126" w:name="_Toc11091"/>
      <w:r>
        <w:rPr>
          <w:rFonts w:hint="eastAsia" w:ascii="宋体" w:hAnsi="宋体" w:cs="宋体"/>
          <w:color w:val="auto"/>
          <w:highlight w:val="none"/>
        </w:rPr>
        <w:t>2.“投标人”系指向招标方提交投标文件的单位。</w:t>
      </w:r>
      <w:bookmarkEnd w:id="124"/>
      <w:bookmarkEnd w:id="125"/>
      <w:bookmarkEnd w:id="126"/>
    </w:p>
    <w:p>
      <w:pPr>
        <w:snapToGrid w:val="0"/>
        <w:spacing w:before="120" w:beforeLines="50" w:line="360" w:lineRule="auto"/>
        <w:ind w:firstLine="411" w:firstLineChars="196"/>
        <w:jc w:val="left"/>
        <w:outlineLvl w:val="1"/>
        <w:rPr>
          <w:rFonts w:ascii="宋体" w:hAnsi="宋体" w:cs="宋体"/>
          <w:color w:val="auto"/>
          <w:highlight w:val="none"/>
        </w:rPr>
      </w:pPr>
      <w:bookmarkStart w:id="127" w:name="_Toc47388323"/>
      <w:bookmarkStart w:id="128" w:name="_Toc29602"/>
      <w:bookmarkStart w:id="129" w:name="_Toc1184"/>
      <w:r>
        <w:rPr>
          <w:rFonts w:hint="eastAsia" w:ascii="宋体" w:hAnsi="宋体" w:cs="宋体"/>
          <w:color w:val="auto"/>
          <w:highlight w:val="none"/>
        </w:rPr>
        <w:t>3.“服务”系指招标文件规定投标人须承担的服务。</w:t>
      </w:r>
      <w:bookmarkEnd w:id="127"/>
      <w:bookmarkEnd w:id="128"/>
      <w:bookmarkEnd w:id="129"/>
    </w:p>
    <w:p>
      <w:pPr>
        <w:snapToGrid w:val="0"/>
        <w:spacing w:before="120" w:beforeLines="50" w:line="360" w:lineRule="auto"/>
        <w:ind w:firstLine="411" w:firstLineChars="196"/>
        <w:jc w:val="left"/>
        <w:outlineLvl w:val="1"/>
        <w:rPr>
          <w:rFonts w:ascii="宋体" w:hAnsi="宋体" w:cs="宋体"/>
          <w:color w:val="auto"/>
          <w:highlight w:val="none"/>
        </w:rPr>
      </w:pPr>
      <w:bookmarkStart w:id="130" w:name="_Toc47388324"/>
      <w:bookmarkStart w:id="131" w:name="_Toc29129"/>
      <w:bookmarkStart w:id="132" w:name="_Toc9115"/>
      <w:r>
        <w:rPr>
          <w:rFonts w:hint="eastAsia" w:ascii="宋体" w:hAnsi="宋体" w:cs="宋体"/>
          <w:color w:val="auto"/>
          <w:highlight w:val="none"/>
        </w:rPr>
        <w:t>4.“项目”系指投标人按招标文件规定向采购人提供的货物和服务。</w:t>
      </w:r>
      <w:bookmarkEnd w:id="130"/>
      <w:bookmarkEnd w:id="131"/>
      <w:bookmarkEnd w:id="132"/>
    </w:p>
    <w:p>
      <w:pPr>
        <w:snapToGrid w:val="0"/>
        <w:spacing w:before="120" w:beforeLines="50" w:line="360" w:lineRule="auto"/>
        <w:ind w:firstLine="411" w:firstLineChars="196"/>
        <w:jc w:val="left"/>
        <w:outlineLvl w:val="1"/>
        <w:rPr>
          <w:rFonts w:ascii="宋体" w:hAnsi="宋体" w:cs="宋体"/>
          <w:color w:val="auto"/>
          <w:highlight w:val="none"/>
        </w:rPr>
      </w:pPr>
      <w:bookmarkStart w:id="133" w:name="_Toc31744"/>
      <w:bookmarkStart w:id="134" w:name="_Toc47388325"/>
      <w:bookmarkStart w:id="135" w:name="_Toc5940"/>
      <w:r>
        <w:rPr>
          <w:rFonts w:hint="eastAsia" w:ascii="宋体" w:hAnsi="宋体" w:cs="宋体"/>
          <w:color w:val="auto"/>
          <w:highlight w:val="none"/>
        </w:rPr>
        <w:t>5.“书面形式”包括信函、传真、电报等。</w:t>
      </w:r>
      <w:bookmarkEnd w:id="133"/>
      <w:bookmarkEnd w:id="134"/>
      <w:bookmarkEnd w:id="135"/>
    </w:p>
    <w:p>
      <w:pPr>
        <w:snapToGrid w:val="0"/>
        <w:spacing w:before="120" w:beforeLines="50" w:line="360" w:lineRule="auto"/>
        <w:ind w:firstLine="411" w:firstLineChars="196"/>
        <w:jc w:val="left"/>
        <w:outlineLvl w:val="1"/>
        <w:rPr>
          <w:rFonts w:ascii="宋体" w:hAnsi="宋体" w:cs="宋体"/>
          <w:color w:val="auto"/>
          <w:highlight w:val="none"/>
        </w:rPr>
      </w:pPr>
      <w:bookmarkStart w:id="136" w:name="_Toc47388326"/>
      <w:bookmarkStart w:id="137" w:name="_Toc22539"/>
      <w:bookmarkStart w:id="138" w:name="_Toc5952"/>
      <w:r>
        <w:rPr>
          <w:rFonts w:hint="eastAsia" w:ascii="宋体" w:hAnsi="宋体" w:cs="宋体"/>
          <w:color w:val="auto"/>
          <w:highlight w:val="none"/>
        </w:rPr>
        <w:t>6. “★”系指实质性要求条款。</w:t>
      </w:r>
      <w:bookmarkEnd w:id="136"/>
      <w:bookmarkEnd w:id="137"/>
      <w:bookmarkEnd w:id="138"/>
    </w:p>
    <w:p>
      <w:pPr>
        <w:snapToGrid w:val="0"/>
        <w:spacing w:before="120" w:beforeLines="50" w:line="360" w:lineRule="auto"/>
        <w:ind w:firstLine="413" w:firstLineChars="196"/>
        <w:jc w:val="left"/>
        <w:outlineLvl w:val="1"/>
        <w:rPr>
          <w:rFonts w:ascii="宋体" w:hAnsi="宋体" w:cs="宋体"/>
          <w:b/>
          <w:bCs/>
          <w:color w:val="auto"/>
          <w:highlight w:val="none"/>
        </w:rPr>
      </w:pPr>
      <w:bookmarkStart w:id="139" w:name="_Toc31175"/>
      <w:bookmarkStart w:id="140" w:name="_Toc47388327"/>
      <w:bookmarkStart w:id="141" w:name="_Toc24904"/>
      <w:r>
        <w:rPr>
          <w:rFonts w:hint="eastAsia" w:ascii="宋体" w:hAnsi="宋体" w:cs="宋体"/>
          <w:b/>
          <w:bCs/>
          <w:color w:val="auto"/>
          <w:highlight w:val="none"/>
        </w:rPr>
        <w:t>（三）招标方式</w:t>
      </w:r>
      <w:bookmarkEnd w:id="123"/>
      <w:bookmarkEnd w:id="139"/>
      <w:bookmarkEnd w:id="140"/>
      <w:bookmarkEnd w:id="141"/>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本次招标采用公开招标方式进行。</w:t>
      </w:r>
    </w:p>
    <w:p>
      <w:pPr>
        <w:snapToGrid w:val="0"/>
        <w:spacing w:before="120" w:beforeLines="50" w:line="360" w:lineRule="auto"/>
        <w:ind w:firstLine="413" w:firstLineChars="196"/>
        <w:jc w:val="left"/>
        <w:outlineLvl w:val="1"/>
        <w:rPr>
          <w:rFonts w:ascii="宋体" w:hAnsi="宋体" w:cs="宋体"/>
          <w:b/>
          <w:bCs/>
          <w:color w:val="auto"/>
          <w:highlight w:val="none"/>
        </w:rPr>
      </w:pPr>
      <w:bookmarkStart w:id="142" w:name="_Toc47388328"/>
      <w:bookmarkStart w:id="143" w:name="_Toc417922230"/>
      <w:bookmarkStart w:id="144" w:name="_Toc16683"/>
      <w:bookmarkStart w:id="145" w:name="_Toc21662"/>
      <w:r>
        <w:rPr>
          <w:rFonts w:hint="eastAsia" w:ascii="宋体" w:hAnsi="宋体" w:cs="宋体"/>
          <w:b/>
          <w:bCs/>
          <w:color w:val="auto"/>
          <w:highlight w:val="none"/>
        </w:rPr>
        <w:t>（四）投标委托</w:t>
      </w:r>
      <w:bookmarkEnd w:id="142"/>
      <w:bookmarkEnd w:id="143"/>
      <w:bookmarkEnd w:id="144"/>
      <w:bookmarkEnd w:id="145"/>
    </w:p>
    <w:p>
      <w:pPr>
        <w:pStyle w:val="21"/>
        <w:snapToGrid w:val="0"/>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投标人代表须携带有效身份证件。如投标人代表不是法定代表人，须有法定代表人出具的授权委托书（正本用原件，副本可用复印件，格式详见第六章投标文件格式）。</w:t>
      </w:r>
    </w:p>
    <w:p>
      <w:pPr>
        <w:snapToGrid w:val="0"/>
        <w:spacing w:before="120" w:beforeLines="50" w:line="360" w:lineRule="auto"/>
        <w:ind w:firstLine="413" w:firstLineChars="196"/>
        <w:jc w:val="left"/>
        <w:outlineLvl w:val="1"/>
        <w:rPr>
          <w:rFonts w:ascii="宋体" w:hAnsi="宋体" w:cs="宋体"/>
          <w:b/>
          <w:bCs/>
          <w:color w:val="auto"/>
          <w:highlight w:val="none"/>
        </w:rPr>
      </w:pPr>
      <w:bookmarkStart w:id="146" w:name="_Toc417922231"/>
      <w:bookmarkStart w:id="147" w:name="_Toc15019"/>
      <w:bookmarkStart w:id="148" w:name="_Toc47388329"/>
      <w:bookmarkStart w:id="149" w:name="_Toc13952"/>
      <w:r>
        <w:rPr>
          <w:rFonts w:hint="eastAsia" w:ascii="宋体" w:hAnsi="宋体" w:cs="宋体"/>
          <w:b/>
          <w:bCs/>
          <w:color w:val="auto"/>
          <w:highlight w:val="none"/>
        </w:rPr>
        <w:t>（五）投标费用</w:t>
      </w:r>
      <w:bookmarkEnd w:id="146"/>
      <w:bookmarkEnd w:id="147"/>
      <w:bookmarkEnd w:id="148"/>
      <w:bookmarkEnd w:id="149"/>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不论投标结果如何，投标人均应自行承担所有与投标有关的全部费用（招标文件有相反规定除外）。</w:t>
      </w:r>
    </w:p>
    <w:p>
      <w:pPr>
        <w:snapToGrid w:val="0"/>
        <w:spacing w:before="120" w:beforeLines="50" w:line="360" w:lineRule="auto"/>
        <w:ind w:firstLine="413" w:firstLineChars="196"/>
        <w:jc w:val="left"/>
        <w:rPr>
          <w:rFonts w:ascii="宋体" w:hAnsi="宋体" w:cs="宋体"/>
          <w:b/>
          <w:bCs/>
          <w:color w:val="auto"/>
          <w:highlight w:val="none"/>
        </w:rPr>
      </w:pPr>
      <w:r>
        <w:rPr>
          <w:rFonts w:hint="eastAsia" w:ascii="宋体" w:hAnsi="宋体" w:cs="宋体"/>
          <w:b/>
          <w:bCs/>
          <w:color w:val="auto"/>
          <w:highlight w:val="none"/>
        </w:rPr>
        <w:t>（六）联合体投标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1.本项目接受联合体投标（联合体投标的须在投标文件中提供联合体协议书，明确各联合投标单位的责任和义务）。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2.招标公告规定接受联合体投标的，除应符合招标公告规定的合格供应商的资格要求外，还应遵守以下规定：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（1）联合体各方应按招标文件提供的格式签订联合体协议书，明确联合体牵头人和各方工作内容和义务。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（2）联合体中有同类资质的供应商按照联合体分工承担相同工作的，应当按照资质等级较低的供应商确定联合体的资质等级。</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（3）联合体各方不得再单独参加或者与其他供应商另外组成联合体参加同一合同项下的投标。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（4）联合体各方应当共同与招标人签订采购合同，就采购合同约定的事项对招标人承担连带责任。</w:t>
      </w:r>
    </w:p>
    <w:p>
      <w:pPr>
        <w:snapToGrid w:val="0"/>
        <w:spacing w:before="120" w:beforeLines="50" w:line="360" w:lineRule="auto"/>
        <w:ind w:firstLine="413" w:firstLineChars="196"/>
        <w:jc w:val="left"/>
        <w:rPr>
          <w:rFonts w:ascii="宋体" w:hAnsi="宋体" w:cs="宋体"/>
          <w:b/>
          <w:bCs/>
          <w:color w:val="auto"/>
          <w:kern w:val="0"/>
          <w:highlight w:val="none"/>
        </w:rPr>
      </w:pPr>
      <w:r>
        <w:rPr>
          <w:rFonts w:hint="eastAsia" w:ascii="宋体" w:hAnsi="宋体" w:cs="宋体"/>
          <w:b/>
          <w:bCs/>
          <w:color w:val="auto"/>
          <w:highlight w:val="none"/>
        </w:rPr>
        <w:t>（七）</w:t>
      </w:r>
      <w:r>
        <w:rPr>
          <w:rFonts w:hint="eastAsia" w:ascii="宋体" w:hAnsi="宋体" w:cs="宋体"/>
          <w:b/>
          <w:bCs/>
          <w:color w:val="auto"/>
          <w:kern w:val="0"/>
          <w:highlight w:val="none"/>
        </w:rPr>
        <w:t>转包与分包</w:t>
      </w:r>
    </w:p>
    <w:p>
      <w:pPr>
        <w:snapToGrid w:val="0"/>
        <w:spacing w:line="360" w:lineRule="auto"/>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本项目不允许转包，经采购人同意，允许分包。</w:t>
      </w:r>
    </w:p>
    <w:p>
      <w:pPr>
        <w:spacing w:line="360" w:lineRule="auto"/>
        <w:jc w:val="left"/>
        <w:rPr>
          <w:rFonts w:ascii="宋体" w:hAnsi="宋体" w:cs="宋体"/>
          <w:b/>
          <w:bCs/>
          <w:color w:val="auto"/>
          <w:highlight w:val="none"/>
        </w:rPr>
      </w:pPr>
      <w:bookmarkStart w:id="150" w:name="_Toc417922232"/>
      <w:r>
        <w:rPr>
          <w:rFonts w:hint="eastAsia" w:ascii="宋体" w:hAnsi="宋体" w:cs="宋体"/>
          <w:b/>
          <w:bCs/>
          <w:color w:val="auto"/>
          <w:highlight w:val="none"/>
        </w:rPr>
        <w:t xml:space="preserve">   （八）特别说明：</w:t>
      </w:r>
    </w:p>
    <w:p>
      <w:pPr>
        <w:widowControl/>
        <w:spacing w:line="360" w:lineRule="auto"/>
        <w:ind w:firstLine="422" w:firstLineChars="200"/>
        <w:jc w:val="left"/>
        <w:rPr>
          <w:rFonts w:ascii="宋体" w:hAnsi="宋体" w:cs="宋体"/>
          <w:color w:val="auto"/>
          <w:highlight w:val="none"/>
        </w:rPr>
      </w:pPr>
      <w:r>
        <w:rPr>
          <w:rFonts w:hint="eastAsia" w:ascii="宋体" w:hAnsi="宋体" w:cs="宋体"/>
          <w:b/>
          <w:bCs/>
          <w:color w:val="auto"/>
          <w:highlight w:val="none"/>
        </w:rPr>
        <w:t xml:space="preserve"> </w:t>
      </w:r>
      <w:r>
        <w:rPr>
          <w:rFonts w:hint="eastAsia" w:ascii="宋体" w:hAnsi="宋体" w:cs="宋体"/>
          <w:color w:val="auto"/>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kern w:val="0"/>
          <w:highlight w:val="none"/>
        </w:rPr>
        <w:t>非单一产品采购项目，多家投标人提供的核心产品品牌相同的，按前款处理。</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★2.投标人应仔细阅读招标文件的所有内容，按照招标文件的要求提交投标文件，并对所提供的全部资料的真实性承担法律责任。</w:t>
      </w:r>
    </w:p>
    <w:p>
      <w:pPr>
        <w:pStyle w:val="26"/>
        <w:spacing w:beforeLines="0" w:afterLines="0" w:line="360" w:lineRule="auto"/>
        <w:ind w:firstLine="420" w:firstLineChars="200"/>
        <w:rPr>
          <w:rFonts w:hAnsi="宋体"/>
          <w:b/>
          <w:bCs/>
          <w:color w:val="auto"/>
          <w:sz w:val="21"/>
          <w:szCs w:val="21"/>
          <w:highlight w:val="none"/>
        </w:rPr>
      </w:pPr>
      <w:r>
        <w:rPr>
          <w:rFonts w:hint="eastAsia" w:hAnsi="宋体"/>
          <w:color w:val="auto"/>
          <w:sz w:val="21"/>
          <w:szCs w:val="21"/>
          <w:highlight w:val="none"/>
        </w:rPr>
        <w:t>★3.投标人在投标活动中提供任何虚假材料，其投标无效，并报监管部门查处；</w:t>
      </w:r>
      <w:r>
        <w:rPr>
          <w:rFonts w:hint="eastAsia" w:hAnsi="宋体"/>
          <w:b/>
          <w:bCs/>
          <w:color w:val="auto"/>
          <w:sz w:val="21"/>
          <w:szCs w:val="21"/>
          <w:highlight w:val="none"/>
        </w:rPr>
        <w:t xml:space="preserve"> </w:t>
      </w:r>
    </w:p>
    <w:p>
      <w:pPr>
        <w:widowControl/>
        <w:spacing w:line="360" w:lineRule="auto"/>
        <w:ind w:firstLine="422" w:firstLineChars="200"/>
        <w:jc w:val="left"/>
        <w:rPr>
          <w:rFonts w:ascii="宋体" w:hAnsi="宋体" w:cs="宋体"/>
          <w:color w:val="auto"/>
          <w:highlight w:val="none"/>
        </w:rPr>
      </w:pPr>
      <w:r>
        <w:rPr>
          <w:rFonts w:hint="eastAsia" w:ascii="宋体" w:hAnsi="宋体" w:cs="宋体"/>
          <w:b/>
          <w:bCs/>
          <w:color w:val="auto"/>
          <w:highlight w:val="none"/>
        </w:rPr>
        <w:t>（九）、关于分公司投标</w:t>
      </w:r>
    </w:p>
    <w:p>
      <w:pPr>
        <w:pStyle w:val="26"/>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除银行、保险、石油石化、电力、通信等行业外，法人的分支机构不能参加投标。</w:t>
      </w:r>
    </w:p>
    <w:p>
      <w:pPr>
        <w:widowControl/>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（十）、关于知识产权</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2.投标报价应包含所有应向所有权人支付的专利权、商标权或其它知识产权的一切相关费用。</w:t>
      </w:r>
    </w:p>
    <w:p>
      <w:pPr>
        <w:pStyle w:val="26"/>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26"/>
        <w:widowControl/>
        <w:spacing w:beforeLines="0" w:afterLines="0"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（十一）、质疑和投诉</w:t>
      </w:r>
    </w:p>
    <w:p>
      <w:pPr>
        <w:pStyle w:val="26"/>
        <w:spacing w:before="120" w:after="120" w:line="360" w:lineRule="auto"/>
        <w:ind w:firstLine="420" w:firstLineChars="200"/>
        <w:rPr>
          <w:rFonts w:hAnsi="宋体"/>
          <w:color w:val="auto"/>
          <w:sz w:val="21"/>
          <w:szCs w:val="21"/>
          <w:highlight w:val="none"/>
        </w:rPr>
      </w:pPr>
      <w:r>
        <w:rPr>
          <w:rFonts w:hint="eastAsia" w:hAnsi="宋体"/>
          <w:color w:val="auto"/>
          <w:sz w:val="21"/>
          <w:szCs w:val="21"/>
          <w:highlight w:val="none"/>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6"/>
        <w:spacing w:before="120" w:after="120" w:line="360" w:lineRule="auto"/>
        <w:ind w:firstLine="420" w:firstLineChars="200"/>
        <w:rPr>
          <w:rFonts w:hAnsi="宋体"/>
          <w:color w:val="auto"/>
          <w:sz w:val="21"/>
          <w:szCs w:val="21"/>
          <w:highlight w:val="none"/>
        </w:rPr>
      </w:pPr>
      <w:r>
        <w:rPr>
          <w:rFonts w:hint="eastAsia" w:hAnsi="宋体"/>
          <w:color w:val="auto"/>
          <w:sz w:val="21"/>
          <w:szCs w:val="21"/>
          <w:highlight w:val="none"/>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6"/>
        <w:spacing w:before="120" w:after="120" w:line="360" w:lineRule="auto"/>
        <w:ind w:firstLine="420" w:firstLineChars="200"/>
        <w:rPr>
          <w:rFonts w:hAnsi="宋体"/>
          <w:color w:val="auto"/>
          <w:sz w:val="21"/>
          <w:szCs w:val="21"/>
          <w:highlight w:val="none"/>
        </w:rPr>
      </w:pPr>
      <w:r>
        <w:rPr>
          <w:rFonts w:hint="eastAsia" w:hAnsi="宋体"/>
          <w:color w:val="auto"/>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26"/>
        <w:spacing w:before="120" w:after="120" w:line="360" w:lineRule="auto"/>
        <w:ind w:firstLine="420" w:firstLineChars="200"/>
        <w:rPr>
          <w:rFonts w:hAnsi="宋体"/>
          <w:color w:val="auto"/>
          <w:sz w:val="21"/>
          <w:szCs w:val="21"/>
          <w:highlight w:val="none"/>
        </w:rPr>
      </w:pPr>
      <w:r>
        <w:rPr>
          <w:rFonts w:hint="eastAsia" w:hAnsi="宋体"/>
          <w:color w:val="auto"/>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6"/>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5. 供应商对采购人或采购代理机构的质疑答复不满意或者采购人或采购代理机构未在规定时间内作出答复的，可以在答复期满后十五个工作日内向同级采购监管部门投诉。</w:t>
      </w:r>
      <w:bookmarkEnd w:id="150"/>
      <w:bookmarkStart w:id="151" w:name="_Toc417922237"/>
    </w:p>
    <w:p>
      <w:pPr>
        <w:pStyle w:val="26"/>
        <w:snapToGrid w:val="0"/>
        <w:spacing w:beforeLines="0" w:afterLines="0" w:line="360" w:lineRule="auto"/>
        <w:ind w:firstLine="413" w:firstLineChars="196"/>
        <w:jc w:val="left"/>
        <w:outlineLvl w:val="0"/>
        <w:rPr>
          <w:rFonts w:hAnsi="宋体"/>
          <w:b/>
          <w:bCs/>
          <w:color w:val="auto"/>
          <w:sz w:val="21"/>
          <w:szCs w:val="21"/>
          <w:highlight w:val="none"/>
        </w:rPr>
      </w:pPr>
      <w:bookmarkStart w:id="152" w:name="_Toc47388330"/>
      <w:bookmarkStart w:id="153" w:name="_Toc7892"/>
      <w:bookmarkStart w:id="154" w:name="_Toc3225"/>
      <w:r>
        <w:rPr>
          <w:rFonts w:hint="eastAsia" w:hAnsi="宋体"/>
          <w:b/>
          <w:bCs/>
          <w:color w:val="auto"/>
          <w:sz w:val="21"/>
          <w:szCs w:val="21"/>
          <w:highlight w:val="none"/>
        </w:rPr>
        <w:t>二  招标文件</w:t>
      </w:r>
      <w:bookmarkEnd w:id="151"/>
      <w:bookmarkEnd w:id="152"/>
      <w:bookmarkEnd w:id="153"/>
      <w:bookmarkEnd w:id="154"/>
    </w:p>
    <w:p>
      <w:pPr>
        <w:snapToGrid w:val="0"/>
        <w:spacing w:line="360" w:lineRule="auto"/>
        <w:ind w:firstLine="413" w:firstLineChars="196"/>
        <w:jc w:val="left"/>
        <w:rPr>
          <w:rFonts w:ascii="宋体" w:hAnsi="宋体" w:cs="宋体"/>
          <w:b/>
          <w:bCs/>
          <w:color w:val="auto"/>
          <w:highlight w:val="none"/>
        </w:rPr>
      </w:pPr>
      <w:r>
        <w:rPr>
          <w:rFonts w:hint="eastAsia" w:ascii="宋体" w:hAnsi="宋体" w:cs="宋体"/>
          <w:b/>
          <w:bCs/>
          <w:color w:val="auto"/>
          <w:highlight w:val="none"/>
        </w:rPr>
        <w:t>（一）招标文件的构成。本招标文件由以下部份组成：</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1.招标公告</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2.招标需求</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3.投标人须知</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4.评标办法及标准</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5.合同主要条款</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6.投标文件格式</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7.本项目招标文件的澄清、答复、修改、补充的内容</w:t>
      </w:r>
    </w:p>
    <w:p>
      <w:pPr>
        <w:snapToGrid w:val="0"/>
        <w:spacing w:before="120" w:beforeLines="50" w:line="360" w:lineRule="auto"/>
        <w:ind w:firstLine="413" w:firstLineChars="196"/>
        <w:jc w:val="left"/>
        <w:rPr>
          <w:rFonts w:ascii="宋体" w:hAnsi="宋体" w:cs="宋体"/>
          <w:b/>
          <w:bCs/>
          <w:color w:val="auto"/>
          <w:highlight w:val="none"/>
        </w:rPr>
      </w:pPr>
      <w:r>
        <w:rPr>
          <w:rFonts w:hint="eastAsia" w:ascii="宋体" w:hAnsi="宋体" w:cs="宋体"/>
          <w:b/>
          <w:bCs/>
          <w:color w:val="auto"/>
          <w:highlight w:val="none"/>
        </w:rPr>
        <w:t>（二）投标人的风险</w:t>
      </w:r>
    </w:p>
    <w:p>
      <w:pPr>
        <w:pStyle w:val="40"/>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40"/>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2.无论因何种原因导致本次采购活动终止致投标人损失的，相关责任人均不承担任何责任。</w:t>
      </w:r>
    </w:p>
    <w:p>
      <w:pPr>
        <w:pStyle w:val="16"/>
        <w:widowControl w:val="0"/>
        <w:tabs>
          <w:tab w:val="clear" w:pos="454"/>
        </w:tabs>
        <w:snapToGrid w:val="0"/>
        <w:spacing w:before="120" w:beforeLines="50" w:afterLines="0" w:line="360" w:lineRule="auto"/>
        <w:ind w:left="0" w:firstLine="413" w:firstLineChars="196"/>
        <w:rPr>
          <w:rFonts w:ascii="宋体" w:hAnsi="宋体" w:cs="宋体"/>
          <w:b/>
          <w:bCs/>
          <w:color w:val="auto"/>
          <w:sz w:val="21"/>
          <w:szCs w:val="21"/>
          <w:highlight w:val="none"/>
        </w:rPr>
      </w:pPr>
      <w:r>
        <w:rPr>
          <w:rFonts w:hint="eastAsia" w:ascii="宋体" w:hAnsi="宋体" w:cs="宋体"/>
          <w:b/>
          <w:bCs/>
          <w:color w:val="auto"/>
          <w:sz w:val="21"/>
          <w:szCs w:val="21"/>
          <w:highlight w:val="none"/>
        </w:rPr>
        <w:t xml:space="preserve">（三）招标文件的澄清与修改 </w:t>
      </w:r>
    </w:p>
    <w:p>
      <w:pPr>
        <w:pStyle w:val="40"/>
        <w:widowControl/>
        <w:snapToGrid/>
        <w:spacing w:line="360" w:lineRule="auto"/>
        <w:ind w:firstLine="420"/>
        <w:rPr>
          <w:rFonts w:ascii="宋体" w:eastAsia="宋体" w:cs="宋体"/>
          <w:color w:val="auto"/>
          <w:sz w:val="21"/>
          <w:szCs w:val="21"/>
          <w:highlight w:val="none"/>
        </w:rPr>
      </w:pPr>
      <w:bookmarkStart w:id="155" w:name="_Toc417922238"/>
      <w:r>
        <w:rPr>
          <w:rFonts w:hint="eastAsia" w:ascii="宋体" w:eastAsia="宋体" w:cs="宋体"/>
          <w:color w:val="auto"/>
          <w:sz w:val="21"/>
          <w:szCs w:val="21"/>
          <w:highlight w:val="none"/>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40"/>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40"/>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3.如更正公告有重新发布电子招标文件的，投标人应下载最新发布的电子招标文件制作投标文件。</w:t>
      </w:r>
    </w:p>
    <w:p>
      <w:pPr>
        <w:pStyle w:val="26"/>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6"/>
        <w:snapToGrid w:val="0"/>
        <w:spacing w:beforeLines="0" w:afterLines="0" w:line="360" w:lineRule="auto"/>
        <w:ind w:firstLine="413" w:firstLineChars="196"/>
        <w:jc w:val="left"/>
        <w:outlineLvl w:val="1"/>
        <w:rPr>
          <w:rFonts w:hAnsi="宋体"/>
          <w:b/>
          <w:bCs/>
          <w:color w:val="auto"/>
          <w:sz w:val="21"/>
          <w:szCs w:val="21"/>
          <w:highlight w:val="none"/>
        </w:rPr>
      </w:pPr>
      <w:bookmarkStart w:id="156" w:name="_Toc47388331"/>
      <w:bookmarkStart w:id="157" w:name="_Toc327"/>
      <w:bookmarkStart w:id="158" w:name="_Toc18622"/>
      <w:r>
        <w:rPr>
          <w:rFonts w:hint="eastAsia" w:hAnsi="宋体"/>
          <w:b/>
          <w:bCs/>
          <w:color w:val="auto"/>
          <w:sz w:val="21"/>
          <w:szCs w:val="21"/>
          <w:highlight w:val="none"/>
        </w:rPr>
        <w:t>三、投标文件的编制</w:t>
      </w:r>
      <w:bookmarkEnd w:id="155"/>
      <w:bookmarkEnd w:id="156"/>
      <w:bookmarkEnd w:id="157"/>
      <w:bookmarkEnd w:id="158"/>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（一）投标文件的组成</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ab/>
      </w:r>
      <w:r>
        <w:rPr>
          <w:rFonts w:hint="eastAsia" w:ascii="宋体" w:hAnsi="宋体" w:cs="宋体"/>
          <w:color w:val="auto"/>
          <w:highlight w:val="none"/>
        </w:rPr>
        <w:t>投标文件至少包含以下部分：</w:t>
      </w:r>
    </w:p>
    <w:p>
      <w:pPr>
        <w:snapToGrid w:val="0"/>
        <w:spacing w:line="360" w:lineRule="auto"/>
        <w:jc w:val="left"/>
        <w:rPr>
          <w:rFonts w:ascii="宋体" w:hAnsi="宋体" w:cs="宋体"/>
          <w:b/>
          <w:bCs/>
          <w:color w:val="auto"/>
          <w:highlight w:val="none"/>
        </w:rPr>
      </w:pPr>
      <w:bookmarkStart w:id="159" w:name="_Hlk105610750"/>
      <w:bookmarkStart w:id="160" w:name="_Toc417922239"/>
      <w:bookmarkStart w:id="161" w:name="_Toc47388342"/>
      <w:r>
        <w:rPr>
          <w:rFonts w:hint="eastAsia" w:ascii="宋体" w:hAnsi="宋体" w:cs="宋体"/>
          <w:b/>
          <w:bCs/>
          <w:color w:val="auto"/>
          <w:highlight w:val="none"/>
        </w:rPr>
        <w:t>1.报价文件：</w:t>
      </w:r>
    </w:p>
    <w:p>
      <w:pPr>
        <w:numPr>
          <w:ilvl w:val="0"/>
          <w:numId w:val="1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rPr>
        <w:t xml:space="preserve">投标函（格式详见第六章投标文件格式）； </w:t>
      </w:r>
    </w:p>
    <w:p>
      <w:pPr>
        <w:numPr>
          <w:ilvl w:val="0"/>
          <w:numId w:val="10"/>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开标一览表（格式详见第六章投标文件格式）；</w:t>
      </w:r>
    </w:p>
    <w:p>
      <w:pPr>
        <w:numPr>
          <w:ilvl w:val="0"/>
          <w:numId w:val="10"/>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投标报价明细表（格式详见第六章投标文件格式）；</w:t>
      </w:r>
    </w:p>
    <w:p>
      <w:pPr>
        <w:numPr>
          <w:ilvl w:val="0"/>
          <w:numId w:val="10"/>
        </w:numPr>
        <w:tabs>
          <w:tab w:val="left" w:pos="518"/>
          <w:tab w:val="left" w:pos="840"/>
        </w:tabs>
        <w:spacing w:line="360" w:lineRule="auto"/>
        <w:ind w:left="845" w:leftChars="0"/>
        <w:rPr>
          <w:rFonts w:ascii="宋体" w:hAnsi="宋体" w:cs="宋体"/>
          <w:color w:val="auto"/>
          <w:highlight w:val="none"/>
        </w:rPr>
      </w:pPr>
      <w:r>
        <w:rPr>
          <w:rFonts w:hint="eastAsia" w:ascii="宋体" w:hAnsi="宋体" w:cs="宋体"/>
          <w:color w:val="auto"/>
          <w:highlight w:val="none"/>
        </w:rPr>
        <w:t>中小企业声明函（格式详见第六章投标文件格式，如是请提供）；</w:t>
      </w:r>
    </w:p>
    <w:p>
      <w:pPr>
        <w:numPr>
          <w:ilvl w:val="0"/>
          <w:numId w:val="10"/>
        </w:numPr>
        <w:tabs>
          <w:tab w:val="left" w:pos="518"/>
          <w:tab w:val="left" w:pos="840"/>
        </w:tabs>
        <w:spacing w:line="360" w:lineRule="auto"/>
        <w:ind w:left="845" w:leftChars="0"/>
        <w:rPr>
          <w:rFonts w:ascii="宋体" w:hAnsi="宋体" w:cs="宋体"/>
          <w:color w:val="auto"/>
          <w:highlight w:val="none"/>
        </w:rPr>
      </w:pPr>
      <w:r>
        <w:rPr>
          <w:rFonts w:hint="eastAsia" w:ascii="宋体" w:hAnsi="宋体" w:cs="宋体"/>
          <w:highlight w:val="none"/>
        </w:rPr>
        <w:t>供应商为监狱企业的证明文件：省级以上监狱管理局、戒毒管理局（含新疆生产建设兵团）出具</w:t>
      </w:r>
      <w:r>
        <w:rPr>
          <w:rFonts w:hint="eastAsia" w:ascii="宋体" w:hAnsi="宋体" w:cs="宋体"/>
          <w:highlight w:val="none"/>
          <w:lang w:eastAsia="zh-CN"/>
        </w:rPr>
        <w:t>（</w:t>
      </w:r>
      <w:r>
        <w:rPr>
          <w:rFonts w:hint="eastAsia" w:ascii="宋体" w:hAnsi="宋体" w:cs="宋体"/>
          <w:highlight w:val="none"/>
        </w:rPr>
        <w:t>如</w:t>
      </w:r>
      <w:r>
        <w:rPr>
          <w:rFonts w:hint="eastAsia" w:ascii="宋体" w:hAnsi="宋体" w:cs="宋体"/>
          <w:highlight w:val="none"/>
          <w:lang w:val="en-US" w:eastAsia="zh-CN"/>
        </w:rPr>
        <w:t>是</w:t>
      </w:r>
      <w:r>
        <w:rPr>
          <w:rFonts w:hint="eastAsia" w:ascii="宋体" w:hAnsi="宋体" w:cs="宋体"/>
          <w:highlight w:val="none"/>
        </w:rPr>
        <w:t>请提供</w:t>
      </w:r>
      <w:r>
        <w:rPr>
          <w:rFonts w:hint="eastAsia" w:ascii="宋体" w:hAnsi="宋体" w:cs="宋体"/>
          <w:highlight w:val="none"/>
          <w:lang w:eastAsia="zh-CN"/>
        </w:rPr>
        <w:t>）；</w:t>
      </w:r>
    </w:p>
    <w:p>
      <w:pPr>
        <w:numPr>
          <w:ilvl w:val="0"/>
          <w:numId w:val="10"/>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残疾人福利性单位声明函（格式详见第六章投标文件格式，如是请提供）；</w:t>
      </w:r>
    </w:p>
    <w:p>
      <w:pPr>
        <w:numPr>
          <w:ilvl w:val="0"/>
          <w:numId w:val="10"/>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投标人针对报价需要说明的其他文件和说明。</w:t>
      </w:r>
    </w:p>
    <w:p>
      <w:pPr>
        <w:tabs>
          <w:tab w:val="left" w:pos="518"/>
        </w:tabs>
        <w:spacing w:line="360" w:lineRule="auto"/>
        <w:rPr>
          <w:rFonts w:ascii="宋体" w:hAnsi="宋体" w:cs="宋体"/>
          <w:b/>
          <w:bCs/>
          <w:color w:val="auto"/>
          <w:highlight w:val="none"/>
        </w:rPr>
      </w:pPr>
      <w:r>
        <w:rPr>
          <w:rFonts w:hint="eastAsia" w:ascii="宋体" w:hAnsi="宋体" w:cs="宋体"/>
          <w:b/>
          <w:bCs/>
          <w:color w:val="auto"/>
          <w:highlight w:val="none"/>
        </w:rPr>
        <w:t>2.资格证明文件：</w:t>
      </w:r>
    </w:p>
    <w:p>
      <w:pPr>
        <w:numPr>
          <w:ilvl w:val="0"/>
          <w:numId w:val="11"/>
        </w:numPr>
        <w:tabs>
          <w:tab w:val="left" w:pos="518"/>
          <w:tab w:val="left" w:pos="840"/>
        </w:tabs>
        <w:spacing w:line="360" w:lineRule="auto"/>
        <w:rPr>
          <w:rFonts w:ascii="宋体" w:hAnsi="宋体" w:cs="宋体"/>
          <w:color w:val="auto"/>
          <w:highlight w:val="none"/>
        </w:rPr>
      </w:pPr>
      <w:bookmarkStart w:id="162" w:name="_Toc27222"/>
      <w:bookmarkStart w:id="163" w:name="_Toc47388334"/>
      <w:r>
        <w:rPr>
          <w:rFonts w:hint="eastAsia" w:ascii="宋体" w:hAnsi="宋体" w:cs="宋体"/>
          <w:color w:val="auto"/>
          <w:highlight w:val="none"/>
        </w:rPr>
        <w:t>投标人的营业执照副本复印件（格式详见第六章投标文件格式）联合体投标的，联合体双方须分别提供</w:t>
      </w:r>
      <w:bookmarkEnd w:id="162"/>
      <w:bookmarkEnd w:id="163"/>
      <w:r>
        <w:rPr>
          <w:rFonts w:hint="eastAsia" w:ascii="宋体" w:hAnsi="宋体" w:cs="宋体"/>
          <w:color w:val="auto"/>
          <w:highlight w:val="none"/>
        </w:rPr>
        <w:t>；</w:t>
      </w:r>
    </w:p>
    <w:p>
      <w:pPr>
        <w:numPr>
          <w:ilvl w:val="0"/>
          <w:numId w:val="11"/>
        </w:numPr>
        <w:tabs>
          <w:tab w:val="left" w:pos="518"/>
          <w:tab w:val="left" w:pos="840"/>
        </w:tabs>
        <w:spacing w:line="360" w:lineRule="auto"/>
        <w:ind w:left="0" w:firstLine="420" w:firstLineChars="200"/>
        <w:rPr>
          <w:rFonts w:ascii="宋体" w:hAnsi="宋体" w:cs="宋体"/>
          <w:color w:val="auto"/>
          <w:highlight w:val="none"/>
        </w:rPr>
      </w:pPr>
      <w:bookmarkStart w:id="164" w:name="_Toc1635"/>
      <w:bookmarkStart w:id="165" w:name="_Toc47388340"/>
      <w:r>
        <w:rPr>
          <w:rFonts w:hint="eastAsia" w:ascii="宋体" w:hAnsi="宋体" w:cs="宋体"/>
          <w:color w:val="auto"/>
          <w:highlight w:val="none"/>
        </w:rPr>
        <w:t>投标人资格声明函（格式详见第六章投标文件格式）</w:t>
      </w:r>
      <w:bookmarkEnd w:id="164"/>
      <w:bookmarkEnd w:id="165"/>
      <w:r>
        <w:rPr>
          <w:rFonts w:hint="eastAsia" w:ascii="宋体" w:hAnsi="宋体" w:cs="宋体"/>
          <w:color w:val="auto"/>
          <w:highlight w:val="none"/>
        </w:rPr>
        <w:t>联合体投标的，联合体双方须分别提供；</w:t>
      </w:r>
    </w:p>
    <w:p>
      <w:pPr>
        <w:numPr>
          <w:ilvl w:val="0"/>
          <w:numId w:val="12"/>
        </w:numPr>
        <w:tabs>
          <w:tab w:val="left" w:pos="420"/>
          <w:tab w:val="clear" w:pos="840"/>
        </w:tabs>
        <w:spacing w:line="360" w:lineRule="auto"/>
        <w:rPr>
          <w:rFonts w:ascii="宋体" w:hAnsi="宋体" w:cs="宋体"/>
          <w:color w:val="auto"/>
          <w:highlight w:val="none"/>
        </w:rPr>
      </w:pPr>
      <w:bookmarkStart w:id="166" w:name="_Toc21309"/>
      <w:bookmarkStart w:id="167" w:name="_Toc47388341"/>
      <w:r>
        <w:rPr>
          <w:rFonts w:hint="eastAsia" w:ascii="宋体" w:hAnsi="宋体" w:cs="宋体"/>
          <w:color w:val="auto"/>
          <w:highlight w:val="none"/>
        </w:rPr>
        <w:t>投标人的特定条件的证明文件：</w:t>
      </w:r>
      <w:bookmarkEnd w:id="166"/>
      <w:bookmarkEnd w:id="167"/>
    </w:p>
    <w:p>
      <w:pPr>
        <w:spacing w:line="360" w:lineRule="auto"/>
        <w:ind w:firstLine="630" w:firstLineChars="300"/>
        <w:rPr>
          <w:rFonts w:ascii="宋体" w:hAnsi="宋体" w:cs="宋体"/>
          <w:color w:val="auto"/>
          <w:kern w:val="0"/>
          <w:highlight w:val="none"/>
        </w:rPr>
      </w:pPr>
      <w:r>
        <w:rPr>
          <w:rFonts w:hint="eastAsia" w:ascii="宋体" w:hAnsi="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投标人为医疗器械经营企业的：第三类医疗器械经营企业提供《医疗器械经营许可证》复印件、第二类医疗器械经营企业提供第二类医疗器械经营备案凭证复印件。</w:t>
      </w:r>
    </w:p>
    <w:p>
      <w:pPr>
        <w:pStyle w:val="331"/>
        <w:widowControl/>
        <w:numPr>
          <w:ilvl w:val="0"/>
          <w:numId w:val="13"/>
        </w:numPr>
        <w:tabs>
          <w:tab w:val="left" w:pos="420"/>
          <w:tab w:val="clear" w:pos="0"/>
        </w:tabs>
        <w:spacing w:line="360" w:lineRule="auto"/>
        <w:ind w:firstLine="420"/>
        <w:rPr>
          <w:rFonts w:ascii="宋体" w:hAnsi="宋体" w:cs="宋体"/>
          <w:color w:val="auto"/>
          <w:highlight w:val="none"/>
        </w:rPr>
      </w:pPr>
      <w:r>
        <w:rPr>
          <w:rFonts w:hint="eastAsia" w:ascii="宋体" w:hAnsi="宋体" w:cs="宋体"/>
          <w:color w:val="auto"/>
          <w:highlight w:val="none"/>
        </w:rPr>
        <w:t>联合体投标协议书（格式详见第六章投标文件格式，联合体投标的须提供）。</w:t>
      </w:r>
    </w:p>
    <w:p>
      <w:pPr>
        <w:tabs>
          <w:tab w:val="left" w:pos="518"/>
        </w:tabs>
        <w:spacing w:line="360" w:lineRule="auto"/>
        <w:ind w:left="40" w:firstLine="211" w:firstLineChars="100"/>
        <w:rPr>
          <w:rFonts w:ascii="宋体" w:hAnsi="宋体" w:cs="宋体"/>
          <w:b/>
          <w:bCs/>
          <w:color w:val="auto"/>
          <w:highlight w:val="none"/>
        </w:rPr>
      </w:pPr>
      <w:r>
        <w:rPr>
          <w:rFonts w:hint="eastAsia" w:ascii="宋体" w:hAnsi="宋体" w:cs="宋体"/>
          <w:b/>
          <w:bCs/>
          <w:color w:val="auto"/>
          <w:highlight w:val="none"/>
        </w:rPr>
        <w:t>3.商务技术文件：</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投标人自查表②符合性自查表（格式详见第六章投标文件格式）；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法定代表人身份证明、法定代表人授权委托书（或联合投标授权委托书）（格式    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商务条款响应（偏离）表（格式详见第六章投标文件格式）；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技术条款响应（偏离）表（格式详见第六章投标文件格式）；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技术需求中要求提供的证明资料（加盖公章）；</w:t>
      </w:r>
    </w:p>
    <w:bookmarkEnd w:id="159"/>
    <w:p>
      <w:pPr>
        <w:numPr>
          <w:ilvl w:val="0"/>
          <w:numId w:val="14"/>
        </w:numPr>
        <w:tabs>
          <w:tab w:val="left" w:pos="420"/>
        </w:tabs>
        <w:spacing w:line="360" w:lineRule="auto"/>
        <w:rPr>
          <w:rFonts w:hint="eastAsia" w:ascii="宋体" w:hAnsi="宋体" w:cs="宋体"/>
          <w:color w:val="auto"/>
          <w:highlight w:val="none"/>
        </w:rPr>
      </w:pPr>
      <w:bookmarkStart w:id="168" w:name="_Toc21913"/>
      <w:r>
        <w:rPr>
          <w:rFonts w:hint="eastAsia" w:ascii="宋体" w:hAnsi="宋体" w:cs="宋体"/>
          <w:color w:val="auto"/>
          <w:highlight w:val="none"/>
        </w:rPr>
        <w:t>供货方案</w:t>
      </w:r>
      <w:r>
        <w:rPr>
          <w:rFonts w:hint="eastAsia" w:ascii="宋体" w:hAnsi="宋体" w:cs="宋体"/>
          <w:color w:val="auto"/>
          <w:highlight w:val="none"/>
          <w:lang w:eastAsia="zh-CN"/>
        </w:rPr>
        <w:t>；</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安装与验收方案</w:t>
      </w:r>
      <w:r>
        <w:rPr>
          <w:rFonts w:hint="eastAsia" w:ascii="宋体" w:hAnsi="宋体" w:cs="宋体"/>
          <w:color w:val="auto"/>
          <w:highlight w:val="none"/>
          <w:lang w:eastAsia="zh-CN"/>
        </w:rPr>
        <w:t>；</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售后服务</w:t>
      </w:r>
      <w:r>
        <w:rPr>
          <w:rFonts w:hint="eastAsia" w:ascii="宋体" w:hAnsi="宋体" w:cs="宋体"/>
          <w:color w:val="auto"/>
          <w:highlight w:val="none"/>
          <w:lang w:eastAsia="zh-CN"/>
        </w:rPr>
        <w:t>；</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培训方案</w:t>
      </w:r>
      <w:r>
        <w:rPr>
          <w:rFonts w:hint="eastAsia" w:ascii="宋体" w:hAnsi="宋体" w:cs="宋体"/>
          <w:color w:val="auto"/>
          <w:highlight w:val="none"/>
          <w:lang w:eastAsia="zh-CN"/>
        </w:rPr>
        <w:t>；</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维修成本方案</w:t>
      </w:r>
      <w:r>
        <w:rPr>
          <w:rFonts w:hint="eastAsia" w:ascii="宋体" w:hAnsi="宋体" w:cs="宋体"/>
          <w:color w:val="auto"/>
          <w:highlight w:val="none"/>
          <w:lang w:eastAsia="zh-CN"/>
        </w:rPr>
        <w:t>；</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lang w:val="en-US" w:eastAsia="zh-CN"/>
        </w:rPr>
        <w:t>质保期承诺</w:t>
      </w:r>
      <w:r>
        <w:rPr>
          <w:rFonts w:hint="eastAsia" w:ascii="宋体" w:hAnsi="宋体" w:cs="宋体"/>
          <w:color w:val="auto"/>
          <w:highlight w:val="none"/>
        </w:rPr>
        <w:t>（加盖公章）；</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投标人所投产品的节能环保产品认证证书复印件及所投产品</w:t>
      </w:r>
      <w:r>
        <w:rPr>
          <w:rFonts w:hint="eastAsia" w:ascii="宋体" w:hAnsi="宋体" w:cs="宋体"/>
          <w:color w:val="auto"/>
          <w:highlight w:val="none"/>
          <w:lang w:val="zh-CN"/>
        </w:rPr>
        <w:t>属于“节能产品政府采购清单”</w:t>
      </w:r>
      <w:r>
        <w:rPr>
          <w:rFonts w:hint="eastAsia" w:ascii="宋体" w:hAnsi="宋体" w:cs="宋体"/>
          <w:color w:val="auto"/>
          <w:highlight w:val="none"/>
        </w:rPr>
        <w:t>中所列产品的</w:t>
      </w:r>
      <w:r>
        <w:rPr>
          <w:rFonts w:hint="eastAsia" w:ascii="宋体" w:hAnsi="宋体" w:cs="宋体"/>
          <w:color w:val="auto"/>
          <w:highlight w:val="none"/>
          <w:lang w:val="zh-CN"/>
        </w:rPr>
        <w:t>相关证明资料或截图</w:t>
      </w:r>
      <w:r>
        <w:rPr>
          <w:rFonts w:hint="eastAsia" w:ascii="宋体" w:hAnsi="宋体" w:cs="宋体"/>
          <w:color w:val="auto"/>
          <w:highlight w:val="none"/>
        </w:rPr>
        <w:t>（如有请提供，加盖公章）；</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业绩一览表（格式详见第六章投标文件格式）、投标产品的销售业绩的合同复印件（加盖公章）（根据评分标准提供）；</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其他采购需求或评分标准所需资料。</w:t>
      </w:r>
    </w:p>
    <w:p>
      <w:pPr>
        <w:snapToGrid w:val="0"/>
        <w:spacing w:line="360" w:lineRule="auto"/>
        <w:ind w:firstLine="411" w:firstLineChars="196"/>
        <w:jc w:val="left"/>
        <w:outlineLvl w:val="0"/>
        <w:rPr>
          <w:rFonts w:ascii="宋体" w:hAnsi="宋体" w:cs="宋体"/>
          <w:color w:val="auto"/>
          <w:highlight w:val="none"/>
        </w:rPr>
      </w:pPr>
      <w:bookmarkStart w:id="169" w:name="_Toc1013"/>
      <w:r>
        <w:rPr>
          <w:rFonts w:hint="eastAsia" w:ascii="宋体" w:hAnsi="宋体" w:cs="宋体"/>
          <w:color w:val="auto"/>
          <w:highlight w:val="none"/>
        </w:rPr>
        <w:t>（二）投标文件的语言及计量</w:t>
      </w:r>
      <w:bookmarkEnd w:id="160"/>
      <w:bookmarkEnd w:id="161"/>
      <w:bookmarkEnd w:id="168"/>
      <w:bookmarkEnd w:id="169"/>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★2投标计量单位，招标文件已有明确规定的，使用招标文件规定的计量单位；招标文件没有规定的，应采用中华人民共和国法定计量单位（例如货币单位：人民币元），否则视同未响应。</w:t>
      </w:r>
    </w:p>
    <w:p>
      <w:pPr>
        <w:snapToGrid w:val="0"/>
        <w:spacing w:before="120" w:beforeLines="50" w:line="360" w:lineRule="auto"/>
        <w:ind w:firstLine="413" w:firstLineChars="196"/>
        <w:jc w:val="left"/>
        <w:outlineLvl w:val="0"/>
        <w:rPr>
          <w:rFonts w:ascii="宋体" w:hAnsi="宋体" w:cs="宋体"/>
          <w:b/>
          <w:bCs/>
          <w:color w:val="auto"/>
          <w:highlight w:val="none"/>
        </w:rPr>
      </w:pPr>
      <w:r>
        <w:rPr>
          <w:rFonts w:hint="eastAsia" w:ascii="宋体" w:hAnsi="宋体" w:cs="宋体"/>
          <w:b/>
          <w:bCs/>
          <w:color w:val="auto"/>
          <w:highlight w:val="none"/>
        </w:rPr>
        <w:tab/>
      </w:r>
      <w:bookmarkStart w:id="170" w:name="_Toc28665"/>
      <w:bookmarkStart w:id="171" w:name="_Toc47388343"/>
      <w:bookmarkStart w:id="172" w:name="_Toc417922240"/>
      <w:bookmarkStart w:id="173" w:name="_Toc17036"/>
      <w:r>
        <w:rPr>
          <w:rFonts w:hint="eastAsia" w:ascii="宋体" w:hAnsi="宋体" w:cs="宋体"/>
          <w:b/>
          <w:bCs/>
          <w:color w:val="auto"/>
          <w:highlight w:val="none"/>
        </w:rPr>
        <w:t>（三）投标报价</w:t>
      </w:r>
      <w:bookmarkEnd w:id="170"/>
      <w:bookmarkEnd w:id="171"/>
      <w:bookmarkEnd w:id="172"/>
      <w:bookmarkEnd w:id="173"/>
    </w:p>
    <w:p>
      <w:pPr>
        <w:snapToGrid w:val="0"/>
        <w:spacing w:before="120" w:beforeLines="50" w:line="360" w:lineRule="auto"/>
        <w:ind w:firstLine="413" w:firstLineChars="196"/>
        <w:jc w:val="left"/>
        <w:outlineLvl w:val="0"/>
        <w:rPr>
          <w:rFonts w:ascii="宋体" w:hAnsi="宋体" w:cs="宋体"/>
          <w:b/>
          <w:bCs/>
          <w:color w:val="auto"/>
          <w:highlight w:val="none"/>
        </w:rPr>
      </w:pPr>
      <w:r>
        <w:rPr>
          <w:rFonts w:hint="eastAsia" w:ascii="宋体" w:hAnsi="宋体" w:cs="宋体"/>
          <w:b/>
          <w:bCs/>
          <w:color w:val="auto"/>
          <w:highlight w:val="none"/>
        </w:rPr>
        <w:tab/>
      </w:r>
      <w:bookmarkStart w:id="174" w:name="_Toc417922241"/>
      <w:bookmarkStart w:id="175" w:name="_Toc47388344"/>
      <w:bookmarkStart w:id="176" w:name="_Toc26606"/>
      <w:bookmarkStart w:id="177" w:name="_Toc14463"/>
      <w:r>
        <w:rPr>
          <w:rFonts w:hint="eastAsia" w:ascii="宋体" w:hAnsi="宋体" w:cs="宋体"/>
          <w:b/>
          <w:bCs/>
          <w:color w:val="auto"/>
          <w:highlight w:val="none"/>
        </w:rPr>
        <w:t>1.投标报价应按招标文件中相关附表格式填写。</w:t>
      </w:r>
      <w:bookmarkEnd w:id="174"/>
      <w:bookmarkEnd w:id="175"/>
      <w:bookmarkEnd w:id="176"/>
      <w:bookmarkEnd w:id="177"/>
    </w:p>
    <w:p>
      <w:pPr>
        <w:overflowPunct w:val="0"/>
        <w:spacing w:line="360" w:lineRule="auto"/>
        <w:ind w:left="63" w:leftChars="30" w:firstLine="103" w:firstLineChars="49"/>
        <w:rPr>
          <w:rFonts w:ascii="宋体" w:hAnsi="宋体" w:cs="宋体"/>
          <w:b/>
          <w:bCs/>
          <w:color w:val="auto"/>
          <w:highlight w:val="none"/>
        </w:rPr>
      </w:pPr>
      <w:r>
        <w:rPr>
          <w:rFonts w:hint="eastAsia" w:ascii="宋体" w:hAnsi="宋体" w:cs="宋体"/>
          <w:b/>
          <w:bCs/>
          <w:color w:val="auto"/>
          <w:highlight w:val="none"/>
        </w:rPr>
        <w:tab/>
      </w:r>
      <w:bookmarkStart w:id="178" w:name="_Toc417922242"/>
      <w:r>
        <w:rPr>
          <w:rFonts w:hint="eastAsia" w:ascii="宋体" w:hAnsi="宋体" w:cs="宋体"/>
          <w:color w:val="auto"/>
          <w:highlight w:val="none"/>
        </w:rPr>
        <w:t>★</w:t>
      </w:r>
      <w:r>
        <w:rPr>
          <w:rFonts w:hint="eastAsia" w:ascii="宋体" w:hAnsi="宋体" w:cs="宋体"/>
          <w:b/>
          <w:bCs/>
          <w:color w:val="auto"/>
          <w:highlight w:val="none"/>
        </w:rPr>
        <w:t>2.</w:t>
      </w:r>
      <w:bookmarkEnd w:id="178"/>
      <w:r>
        <w:rPr>
          <w:rFonts w:hint="eastAsia" w:ascii="宋体" w:hAnsi="宋体" w:cs="宋体"/>
          <w:b/>
          <w:bCs/>
          <w:color w:val="auto"/>
          <w:highlight w:val="none"/>
        </w:rPr>
        <w:t xml:space="preserve"> 投标报价是详见第三章前附表2。</w:t>
      </w:r>
    </w:p>
    <w:p>
      <w:pPr>
        <w:snapToGrid w:val="0"/>
        <w:spacing w:before="120" w:beforeLines="50" w:line="360" w:lineRule="auto"/>
        <w:ind w:firstLine="413" w:firstLineChars="196"/>
        <w:jc w:val="left"/>
        <w:outlineLvl w:val="0"/>
        <w:rPr>
          <w:rFonts w:ascii="宋体" w:hAnsi="宋体" w:cs="宋体"/>
          <w:b/>
          <w:bCs/>
          <w:color w:val="auto"/>
          <w:highlight w:val="none"/>
        </w:rPr>
      </w:pPr>
      <w:r>
        <w:rPr>
          <w:rFonts w:hint="eastAsia" w:ascii="宋体" w:hAnsi="宋体" w:cs="宋体"/>
          <w:b/>
          <w:bCs/>
          <w:color w:val="auto"/>
          <w:highlight w:val="none"/>
        </w:rPr>
        <w:tab/>
      </w:r>
      <w:bookmarkStart w:id="179" w:name="_Toc417922243"/>
      <w:bookmarkStart w:id="180" w:name="_Toc26755"/>
      <w:bookmarkStart w:id="181" w:name="_Toc47388345"/>
      <w:bookmarkStart w:id="182" w:name="_Toc31281"/>
      <w:r>
        <w:rPr>
          <w:rFonts w:hint="eastAsia" w:ascii="宋体" w:hAnsi="宋体" w:cs="宋体"/>
          <w:color w:val="auto"/>
          <w:highlight w:val="none"/>
        </w:rPr>
        <w:t>★</w:t>
      </w:r>
      <w:r>
        <w:rPr>
          <w:rFonts w:hint="eastAsia" w:ascii="宋体" w:hAnsi="宋体" w:cs="宋体"/>
          <w:b/>
          <w:bCs/>
          <w:color w:val="auto"/>
          <w:highlight w:val="none"/>
        </w:rPr>
        <w:t>3.投标文针对同一内容只允许有一个报价，有选择的或有条件的报价将不予接受。</w:t>
      </w:r>
      <w:bookmarkEnd w:id="179"/>
      <w:bookmarkEnd w:id="180"/>
      <w:bookmarkEnd w:id="181"/>
      <w:bookmarkEnd w:id="182"/>
    </w:p>
    <w:p>
      <w:pPr>
        <w:snapToGrid w:val="0"/>
        <w:spacing w:before="120" w:beforeLines="50" w:line="360" w:lineRule="auto"/>
        <w:ind w:firstLine="413" w:firstLineChars="196"/>
        <w:jc w:val="left"/>
        <w:outlineLvl w:val="0"/>
        <w:rPr>
          <w:rFonts w:ascii="宋体" w:hAnsi="宋体" w:cs="宋体"/>
          <w:b/>
          <w:bCs/>
          <w:color w:val="auto"/>
          <w:highlight w:val="none"/>
        </w:rPr>
      </w:pPr>
      <w:bookmarkStart w:id="183" w:name="_Toc13397"/>
      <w:bookmarkStart w:id="184" w:name="_Toc417922244"/>
      <w:bookmarkStart w:id="185" w:name="_Toc47388346"/>
      <w:bookmarkStart w:id="186" w:name="_Toc24678"/>
      <w:r>
        <w:rPr>
          <w:rFonts w:hint="eastAsia" w:ascii="宋体" w:hAnsi="宋体" w:cs="宋体"/>
          <w:b/>
          <w:bCs/>
          <w:color w:val="auto"/>
          <w:highlight w:val="none"/>
        </w:rPr>
        <w:t>（四）投标文件的有效期</w:t>
      </w:r>
      <w:bookmarkEnd w:id="183"/>
      <w:bookmarkEnd w:id="184"/>
      <w:bookmarkEnd w:id="185"/>
      <w:bookmarkEnd w:id="186"/>
    </w:p>
    <w:p>
      <w:pPr>
        <w:pStyle w:val="16"/>
        <w:widowControl w:val="0"/>
        <w:tabs>
          <w:tab w:val="clear" w:pos="454"/>
        </w:tabs>
        <w:snapToGrid w:val="0"/>
        <w:spacing w:afterLines="0" w:line="360" w:lineRule="auto"/>
        <w:ind w:left="0" w:firstLine="420"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1.自投标截止日起</w:t>
      </w:r>
      <w:r>
        <w:rPr>
          <w:rFonts w:hint="eastAsia" w:ascii="宋体" w:hAnsi="宋体" w:cs="宋体"/>
          <w:b/>
          <w:bCs/>
          <w:color w:val="auto"/>
          <w:sz w:val="21"/>
          <w:szCs w:val="21"/>
          <w:highlight w:val="none"/>
          <w:u w:val="single"/>
        </w:rPr>
        <w:t xml:space="preserve">90 </w:t>
      </w:r>
      <w:r>
        <w:rPr>
          <w:rFonts w:hint="eastAsia" w:ascii="宋体" w:hAnsi="宋体" w:cs="宋体"/>
          <w:b/>
          <w:bCs/>
          <w:color w:val="auto"/>
          <w:sz w:val="21"/>
          <w:szCs w:val="21"/>
          <w:highlight w:val="none"/>
        </w:rPr>
        <w:t>天投标文件应保持有效。有效期不足的投标文件将被拒绝。</w:t>
      </w:r>
    </w:p>
    <w:p>
      <w:pPr>
        <w:pStyle w:val="16"/>
        <w:widowControl w:val="0"/>
        <w:tabs>
          <w:tab w:val="clear" w:pos="454"/>
        </w:tabs>
        <w:snapToGrid w:val="0"/>
        <w:spacing w:afterLines="0" w:line="360" w:lineRule="auto"/>
        <w:ind w:left="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hAnsi="宋体" w:cs="宋体"/>
          <w:b/>
          <w:bCs/>
          <w:color w:val="auto"/>
          <w:highlight w:val="none"/>
        </w:rPr>
      </w:pPr>
      <w:bookmarkStart w:id="187" w:name="_Toc47388347"/>
      <w:bookmarkStart w:id="188" w:name="_Toc417922245"/>
      <w:bookmarkStart w:id="189" w:name="_Toc4957"/>
      <w:bookmarkStart w:id="190" w:name="_Toc10779"/>
      <w:r>
        <w:rPr>
          <w:rFonts w:hint="eastAsia" w:ascii="宋体" w:hAnsi="宋体" w:cs="宋体"/>
          <w:color w:val="auto"/>
          <w:highlight w:val="none"/>
        </w:rPr>
        <w:t>3.投标人可拒绝接受延期要求而不会导致投标保证金被没收。同意延长有效期的投标人需要相应延长投标保证金的有效期，但不能修改投标文件。</w:t>
      </w:r>
      <w:bookmarkEnd w:id="187"/>
      <w:bookmarkEnd w:id="188"/>
      <w:bookmarkEnd w:id="189"/>
      <w:bookmarkEnd w:id="190"/>
      <w:r>
        <w:rPr>
          <w:rFonts w:hint="eastAsia" w:ascii="宋体" w:hAnsi="宋体" w:cs="宋体"/>
          <w:b/>
          <w:bCs/>
          <w:color w:val="auto"/>
          <w:highlight w:val="none"/>
        </w:rPr>
        <w:t xml:space="preserve"> </w:t>
      </w:r>
    </w:p>
    <w:p>
      <w:pPr>
        <w:snapToGrid w:val="0"/>
        <w:spacing w:line="360" w:lineRule="auto"/>
        <w:ind w:firstLine="420" w:firstLineChars="200"/>
        <w:jc w:val="left"/>
        <w:outlineLvl w:val="0"/>
        <w:rPr>
          <w:rFonts w:ascii="宋体" w:hAnsi="宋体" w:cs="宋体"/>
          <w:b/>
          <w:bCs/>
          <w:color w:val="auto"/>
          <w:highlight w:val="none"/>
        </w:rPr>
      </w:pPr>
      <w:bookmarkStart w:id="191" w:name="_Toc47388348"/>
      <w:bookmarkStart w:id="192" w:name="_Toc27965"/>
      <w:bookmarkStart w:id="193" w:name="_Toc417922246"/>
      <w:bookmarkStart w:id="194" w:name="_Toc7539"/>
      <w:r>
        <w:rPr>
          <w:rFonts w:hint="eastAsia" w:ascii="宋体" w:hAnsi="宋体" w:cs="宋体"/>
          <w:color w:val="auto"/>
          <w:highlight w:val="none"/>
        </w:rPr>
        <w:t>4.中标人的投标文件自开标之日起至合同履行完毕止均应保持有效。</w:t>
      </w:r>
      <w:bookmarkEnd w:id="191"/>
      <w:bookmarkEnd w:id="192"/>
      <w:bookmarkEnd w:id="193"/>
      <w:bookmarkEnd w:id="194"/>
    </w:p>
    <w:p>
      <w:pPr>
        <w:snapToGrid w:val="0"/>
        <w:spacing w:before="120" w:beforeLines="50" w:line="360" w:lineRule="auto"/>
        <w:ind w:firstLine="413" w:firstLineChars="196"/>
        <w:jc w:val="left"/>
        <w:outlineLvl w:val="0"/>
        <w:rPr>
          <w:rFonts w:ascii="宋体" w:hAnsi="宋体" w:cs="宋体"/>
          <w:b/>
          <w:bCs/>
          <w:color w:val="auto"/>
          <w:highlight w:val="none"/>
        </w:rPr>
      </w:pPr>
      <w:bookmarkStart w:id="195" w:name="_Toc447886351"/>
      <w:bookmarkStart w:id="196" w:name="_Toc8457"/>
      <w:bookmarkStart w:id="197" w:name="_Toc47388363"/>
      <w:bookmarkStart w:id="198" w:name="_Toc447886489"/>
      <w:bookmarkStart w:id="199" w:name="_Toc16819"/>
      <w:r>
        <w:rPr>
          <w:rFonts w:hint="eastAsia" w:ascii="宋体" w:hAnsi="宋体" w:cs="宋体"/>
          <w:b/>
          <w:bCs/>
          <w:color w:val="auto"/>
          <w:highlight w:val="none"/>
        </w:rPr>
        <w:t>（五）投标文件的签署和份数</w:t>
      </w:r>
      <w:bookmarkEnd w:id="195"/>
      <w:bookmarkEnd w:id="196"/>
      <w:bookmarkEnd w:id="197"/>
      <w:bookmarkEnd w:id="198"/>
      <w:bookmarkEnd w:id="199"/>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w:t>
      </w:r>
      <w:r>
        <w:rPr>
          <w:rFonts w:hint="eastAsia" w:ascii="宋体" w:hAnsi="宋体" w:cs="宋体"/>
          <w:b/>
          <w:bCs/>
          <w:color w:val="auto"/>
          <w:highlight w:val="none"/>
        </w:rPr>
        <w:t>2.投标人应提供电子投标文件。电子投标文件中所须加盖公章（联合体的，只需盖联合体牵头人CA章）。</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3.投标文件须由投标人在规定位置盖章并由法定代表人或法定代表人的授权委托人签署，投标人应写全称。</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4.投标文件不得涂改，若有修改错漏处，须加盖单位公章或者法定代表人或授权委托人签字或盖章。投标文件因字迹潦草或表达不清所引起的后果由投标人负责。</w:t>
      </w:r>
    </w:p>
    <w:p>
      <w:pPr>
        <w:snapToGrid w:val="0"/>
        <w:spacing w:before="120" w:beforeLines="50" w:line="360" w:lineRule="auto"/>
        <w:ind w:firstLine="310" w:firstLineChars="147"/>
        <w:jc w:val="left"/>
        <w:rPr>
          <w:rFonts w:ascii="宋体" w:hAnsi="宋体" w:cs="宋体"/>
          <w:b/>
          <w:bCs/>
          <w:color w:val="auto"/>
          <w:highlight w:val="none"/>
        </w:rPr>
      </w:pPr>
      <w:r>
        <w:rPr>
          <w:rFonts w:hint="eastAsia" w:ascii="宋体" w:hAnsi="宋体" w:cs="宋体"/>
          <w:b/>
          <w:bCs/>
          <w:color w:val="auto"/>
          <w:highlight w:val="none"/>
        </w:rPr>
        <w:t>（六）投标文件的上传递交、修改和撤回</w:t>
      </w:r>
    </w:p>
    <w:p>
      <w:pPr>
        <w:snapToGrid w:val="0"/>
        <w:spacing w:before="120" w:beforeLines="50" w:line="360" w:lineRule="auto"/>
        <w:ind w:firstLine="411" w:firstLineChars="196"/>
        <w:jc w:val="left"/>
        <w:outlineLvl w:val="2"/>
        <w:rPr>
          <w:rFonts w:ascii="宋体" w:hAnsi="宋体" w:cs="宋体"/>
          <w:color w:val="auto"/>
          <w:highlight w:val="none"/>
        </w:rPr>
      </w:pPr>
      <w:bookmarkStart w:id="200" w:name="_Toc47388364"/>
      <w:bookmarkStart w:id="201" w:name="_Toc11204"/>
      <w:bookmarkStart w:id="202" w:name="_Toc19211"/>
      <w:bookmarkStart w:id="203" w:name="_Toc447886352"/>
      <w:bookmarkStart w:id="204" w:name="_Toc447886490"/>
      <w:r>
        <w:rPr>
          <w:rFonts w:hint="eastAsia" w:ascii="宋体" w:hAnsi="宋体" w:cs="宋体"/>
          <w:color w:val="auto"/>
          <w:highlight w:val="none"/>
        </w:rPr>
        <w:t>1.投标文件的上传递交：</w:t>
      </w:r>
      <w:bookmarkEnd w:id="200"/>
      <w:bookmarkEnd w:id="201"/>
      <w:bookmarkEnd w:id="202"/>
    </w:p>
    <w:p>
      <w:pPr>
        <w:snapToGrid w:val="0"/>
        <w:spacing w:before="120" w:beforeLines="50" w:line="360" w:lineRule="auto"/>
        <w:ind w:firstLine="411" w:firstLineChars="196"/>
        <w:jc w:val="left"/>
        <w:outlineLvl w:val="2"/>
        <w:rPr>
          <w:rFonts w:ascii="宋体" w:hAnsi="宋体" w:cs="宋体"/>
          <w:color w:val="auto"/>
          <w:highlight w:val="none"/>
        </w:rPr>
      </w:pPr>
      <w:bookmarkStart w:id="205" w:name="_Toc47388365"/>
      <w:bookmarkStart w:id="206" w:name="_Toc18986"/>
      <w:bookmarkStart w:id="207" w:name="_Toc14824"/>
      <w:r>
        <w:rPr>
          <w:rFonts w:hint="eastAsia" w:ascii="宋体" w:hAnsi="宋体" w:cs="宋体"/>
          <w:color w:val="auto"/>
          <w:highlight w:val="none"/>
        </w:rPr>
        <w:t>（1）电子加密投标文件的上传递交：</w:t>
      </w:r>
      <w:bookmarkEnd w:id="205"/>
      <w:bookmarkEnd w:id="206"/>
      <w:bookmarkEnd w:id="207"/>
    </w:p>
    <w:p>
      <w:pPr>
        <w:snapToGrid w:val="0"/>
        <w:spacing w:before="120" w:beforeLines="50" w:line="360" w:lineRule="auto"/>
        <w:ind w:firstLine="411" w:firstLineChars="196"/>
        <w:jc w:val="left"/>
        <w:outlineLvl w:val="2"/>
        <w:rPr>
          <w:rFonts w:ascii="宋体" w:hAnsi="宋体" w:cs="宋体"/>
          <w:color w:val="auto"/>
          <w:highlight w:val="none"/>
        </w:rPr>
      </w:pPr>
      <w:bookmarkStart w:id="208" w:name="_Toc28964"/>
      <w:bookmarkStart w:id="209" w:name="_Toc47388366"/>
      <w:bookmarkStart w:id="210" w:name="_Toc17686"/>
      <w:r>
        <w:rPr>
          <w:rFonts w:hint="eastAsia" w:ascii="宋体" w:hAnsi="宋体" w:cs="宋体"/>
          <w:color w:val="auto"/>
          <w:highlight w:val="none"/>
        </w:rPr>
        <w:t>★a.投标人应在投标截止时间前将电子加密投标文件成功上传递交至政府采购云平台，否则投标无效；</w:t>
      </w:r>
      <w:bookmarkEnd w:id="208"/>
      <w:bookmarkEnd w:id="209"/>
      <w:bookmarkEnd w:id="210"/>
    </w:p>
    <w:p>
      <w:pPr>
        <w:snapToGrid w:val="0"/>
        <w:spacing w:before="120" w:beforeLines="50" w:line="360" w:lineRule="auto"/>
        <w:ind w:firstLine="411" w:firstLineChars="196"/>
        <w:jc w:val="left"/>
        <w:outlineLvl w:val="2"/>
        <w:rPr>
          <w:rFonts w:ascii="宋体" w:hAnsi="宋体" w:cs="宋体"/>
          <w:color w:val="auto"/>
          <w:highlight w:val="none"/>
        </w:rPr>
      </w:pPr>
      <w:bookmarkStart w:id="211" w:name="_Toc47388367"/>
      <w:bookmarkStart w:id="212" w:name="_Toc31716"/>
      <w:bookmarkStart w:id="213" w:name="_Toc29420"/>
      <w:r>
        <w:rPr>
          <w:rFonts w:hint="eastAsia" w:ascii="宋体" w:hAnsi="宋体" w:cs="宋体"/>
          <w:color w:val="auto"/>
          <w:highlight w:val="none"/>
        </w:rPr>
        <w:t>b.电子加密投标文件成功上传递交后，投标人可自行打印投标文件接收回执。</w:t>
      </w:r>
      <w:bookmarkEnd w:id="211"/>
      <w:bookmarkEnd w:id="212"/>
      <w:bookmarkEnd w:id="213"/>
    </w:p>
    <w:p>
      <w:pPr>
        <w:snapToGrid w:val="0"/>
        <w:spacing w:before="120" w:beforeLines="50" w:line="360" w:lineRule="auto"/>
        <w:ind w:firstLine="411" w:firstLineChars="196"/>
        <w:jc w:val="left"/>
        <w:outlineLvl w:val="2"/>
        <w:rPr>
          <w:rFonts w:ascii="宋体" w:hAnsi="宋体" w:cs="宋体"/>
          <w:color w:val="auto"/>
          <w:highlight w:val="none"/>
        </w:rPr>
      </w:pPr>
      <w:bookmarkStart w:id="214" w:name="_Toc47388368"/>
      <w:bookmarkStart w:id="215" w:name="_Toc2573"/>
      <w:bookmarkStart w:id="216" w:name="_Toc14143"/>
      <w:r>
        <w:rPr>
          <w:rFonts w:hint="eastAsia" w:ascii="宋体" w:hAnsi="宋体" w:cs="宋体"/>
          <w:color w:val="auto"/>
          <w:highlight w:val="none"/>
        </w:rPr>
        <w:t>（2）备份投标文件的密封包装、递交：</w:t>
      </w:r>
      <w:bookmarkEnd w:id="214"/>
      <w:bookmarkEnd w:id="215"/>
      <w:bookmarkEnd w:id="216"/>
    </w:p>
    <w:p>
      <w:pPr>
        <w:snapToGrid w:val="0"/>
        <w:spacing w:before="120" w:beforeLines="50" w:line="360" w:lineRule="auto"/>
        <w:ind w:firstLine="411" w:firstLineChars="196"/>
        <w:jc w:val="left"/>
        <w:outlineLvl w:val="2"/>
        <w:rPr>
          <w:rFonts w:ascii="宋体" w:hAnsi="宋体" w:cs="宋体"/>
          <w:color w:val="auto"/>
          <w:highlight w:val="none"/>
        </w:rPr>
      </w:pPr>
      <w:bookmarkStart w:id="217" w:name="_Toc3075"/>
      <w:bookmarkStart w:id="218" w:name="_Toc47388369"/>
      <w:bookmarkStart w:id="219" w:name="_Toc3317"/>
      <w:r>
        <w:rPr>
          <w:rFonts w:hint="eastAsia" w:ascii="宋体" w:hAnsi="宋体" w:cs="宋体"/>
          <w:color w:val="auto"/>
          <w:highlight w:val="none"/>
        </w:rPr>
        <w:t>a.投标人在政府采购云平台完成电子加密投标文件的上传递交后，还可以通过电子邮件在投标截止时间前递交备份投标文件；</w:t>
      </w:r>
      <w:bookmarkEnd w:id="217"/>
      <w:bookmarkEnd w:id="218"/>
      <w:bookmarkEnd w:id="219"/>
    </w:p>
    <w:p>
      <w:pPr>
        <w:snapToGrid w:val="0"/>
        <w:spacing w:before="120" w:beforeLines="50" w:line="360" w:lineRule="auto"/>
        <w:ind w:firstLine="411" w:firstLineChars="196"/>
        <w:jc w:val="left"/>
        <w:outlineLvl w:val="2"/>
        <w:rPr>
          <w:rFonts w:ascii="宋体" w:hAnsi="宋体" w:cs="宋体"/>
          <w:color w:val="auto"/>
          <w:highlight w:val="none"/>
        </w:rPr>
      </w:pPr>
      <w:bookmarkStart w:id="220" w:name="_Toc47388370"/>
      <w:bookmarkStart w:id="221" w:name="_Toc6588"/>
      <w:bookmarkStart w:id="222" w:name="_Toc16178"/>
      <w:r>
        <w:rPr>
          <w:rFonts w:hint="eastAsia" w:ascii="宋体" w:hAnsi="宋体" w:cs="宋体"/>
          <w:color w:val="auto"/>
          <w:highlight w:val="none"/>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220"/>
      <w:bookmarkEnd w:id="221"/>
      <w:bookmarkEnd w:id="222"/>
    </w:p>
    <w:p>
      <w:pPr>
        <w:snapToGrid w:val="0"/>
        <w:spacing w:before="120" w:beforeLines="50" w:line="360" w:lineRule="auto"/>
        <w:ind w:firstLine="411" w:firstLineChars="196"/>
        <w:jc w:val="left"/>
        <w:outlineLvl w:val="2"/>
        <w:rPr>
          <w:rFonts w:ascii="宋体" w:hAnsi="宋体" w:cs="宋体"/>
          <w:color w:val="auto"/>
          <w:highlight w:val="none"/>
        </w:rPr>
      </w:pPr>
      <w:bookmarkStart w:id="223" w:name="_Toc10991"/>
      <w:bookmarkStart w:id="224" w:name="_Toc47388371"/>
      <w:bookmarkStart w:id="225" w:name="_Toc31755"/>
      <w:r>
        <w:rPr>
          <w:rFonts w:hint="eastAsia" w:ascii="宋体" w:hAnsi="宋体" w:cs="宋体"/>
          <w:color w:val="auto"/>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223"/>
      <w:bookmarkEnd w:id="224"/>
      <w:bookmarkEnd w:id="225"/>
    </w:p>
    <w:bookmarkEnd w:id="203"/>
    <w:bookmarkEnd w:id="204"/>
    <w:p>
      <w:pPr>
        <w:snapToGrid w:val="0"/>
        <w:spacing w:line="360" w:lineRule="auto"/>
        <w:jc w:val="left"/>
        <w:rPr>
          <w:rFonts w:ascii="宋体" w:hAnsi="宋体" w:cs="宋体"/>
          <w:b/>
          <w:bCs/>
          <w:color w:val="auto"/>
          <w:highlight w:val="none"/>
        </w:rPr>
      </w:pPr>
      <w:r>
        <w:rPr>
          <w:rFonts w:hint="eastAsia" w:ascii="宋体" w:hAnsi="宋体" w:cs="宋体"/>
          <w:b/>
          <w:bCs/>
          <w:color w:val="auto"/>
          <w:highlight w:val="none"/>
        </w:rPr>
        <w:t>四、特别说明</w:t>
      </w:r>
    </w:p>
    <w:p>
      <w:pPr>
        <w:pStyle w:val="21"/>
        <w:snapToGrid w:val="0"/>
        <w:spacing w:line="360" w:lineRule="auto"/>
        <w:ind w:firstLine="404" w:firstLineChars="200"/>
        <w:rPr>
          <w:rFonts w:hAnsi="宋体"/>
          <w:color w:val="auto"/>
          <w:sz w:val="21"/>
          <w:szCs w:val="21"/>
          <w:highlight w:val="none"/>
        </w:rPr>
      </w:pPr>
      <w:bookmarkStart w:id="226" w:name="_Toc28996"/>
      <w:r>
        <w:rPr>
          <w:rFonts w:hint="eastAsia" w:hAnsi="宋体"/>
          <w:color w:val="auto"/>
          <w:sz w:val="21"/>
          <w:szCs w:val="21"/>
          <w:highlight w:val="none"/>
        </w:rPr>
        <w:t>1.进口产品采购需符合“财政部关于印发《政府采购进口产品管理办法》的通知（财库[2007]119号）”第四、八、九、十、十一条的规定。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2.本项目</w:t>
      </w:r>
      <w:r>
        <w:rPr>
          <w:rFonts w:hint="eastAsia" w:ascii="宋体" w:hAnsi="宋体" w:cs="宋体"/>
          <w:color w:val="auto"/>
          <w:highlight w:val="none"/>
          <w:u w:val="single"/>
        </w:rPr>
        <w:t xml:space="preserve"> 非 </w:t>
      </w:r>
      <w:r>
        <w:rPr>
          <w:rFonts w:hint="eastAsia" w:ascii="宋体" w:hAnsi="宋体" w:cs="宋体"/>
          <w:color w:val="auto"/>
          <w:highlight w:val="none"/>
        </w:rPr>
        <w:t>专门面向中小企业采购。</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3.本项目对应的中小企业划分标准所属行业:</w:t>
      </w:r>
      <w:r>
        <w:rPr>
          <w:rFonts w:hint="eastAsia" w:ascii="宋体" w:hAnsi="宋体" w:cs="宋体"/>
          <w:color w:val="auto"/>
          <w:highlight w:val="none"/>
          <w:u w:val="single"/>
        </w:rPr>
        <w:t xml:space="preserve"> 工业。</w:t>
      </w:r>
      <w:r>
        <w:rPr>
          <w:rFonts w:hint="eastAsia" w:ascii="宋体" w:hAnsi="宋体" w:cs="宋体"/>
          <w:color w:val="auto"/>
          <w:highlight w:val="none"/>
        </w:rPr>
        <w:t xml:space="preserve"> </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国务院批准的中小企业划分标准：具体见工信部联企业[2011]300号。</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5.在政府采购活动中，供应商提供的货物、工程或者服务符合下列情形的，可享受小型、微型企业（以下简称小微企业）的价格扣除：</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（1）在货物采购项目中，货物由小微企业制造，即货物由小微企业生产且使用该小微企业商号或者注册商标；</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（2）在工程采购项目中，工程由小微企业承建，即工程施工单位为小微企业；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以联合体形式参加政府采购活动，联合体各方均为小微企业的，联合体视同小微企业。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6.在货物采购项目中，供应商提供的货物既有中小企业制造货物，也有大型企业制造货物的，不享受的小微企业价格扣除。</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7.本项目对符合《政府采购促进中小企业发展管理办法》（财库﹝2020﹞46号）和《财政部关于进一步加大政府采购支持中小企业力度的通知》（财库〔2022〕19号）规定的小微企业报价给予10%（工程项目为5%）的扣除，用扣除后的价格参加评审。</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8.小微企业应按照招标文件格式要求提供《中小企业声明函》。</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11.按规定享受扶持政策获得政府采购合同的，小微企业不得将合同分包给大中型企业，中型企业不得将合同分包给大型企业。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12.供应商按照《政府采购促进中小企业发展管理办法》（财库﹝2020﹞46号）规定提供声明函内容不实的，属于提供虚假材料谋取中标、成交，依照《中华人民共和国政府采购法》等国家有关规定追究相应责任。</w:t>
      </w:r>
    </w:p>
    <w:p>
      <w:pPr>
        <w:pStyle w:val="5"/>
        <w:rPr>
          <w:rFonts w:ascii="宋体" w:cs="宋体"/>
          <w:color w:val="auto"/>
          <w:sz w:val="21"/>
          <w:szCs w:val="21"/>
          <w:highlight w:val="none"/>
        </w:rPr>
      </w:pPr>
    </w:p>
    <w:p>
      <w:pPr>
        <w:pStyle w:val="5"/>
        <w:rPr>
          <w:rFonts w:ascii="宋体" w:cs="宋体"/>
          <w:color w:val="auto"/>
          <w:sz w:val="21"/>
          <w:szCs w:val="21"/>
          <w:highlight w:val="none"/>
        </w:rPr>
      </w:pPr>
    </w:p>
    <w:p>
      <w:pPr>
        <w:pStyle w:val="5"/>
        <w:rPr>
          <w:rFonts w:ascii="宋体" w:cs="宋体"/>
          <w:color w:val="auto"/>
          <w:highlight w:val="none"/>
        </w:rPr>
        <w:sectPr>
          <w:pgSz w:w="11906" w:h="16838"/>
          <w:pgMar w:top="1474" w:right="1797" w:bottom="1247" w:left="1797" w:header="851" w:footer="851" w:gutter="0"/>
          <w:cols w:space="720" w:num="1"/>
          <w:titlePg/>
          <w:docGrid w:linePitch="312" w:charSpace="0"/>
        </w:sectPr>
      </w:pPr>
    </w:p>
    <w:p>
      <w:pPr>
        <w:pStyle w:val="5"/>
        <w:rPr>
          <w:rFonts w:ascii="宋体" w:cs="宋体"/>
          <w:color w:val="auto"/>
          <w:highlight w:val="none"/>
        </w:rPr>
      </w:pPr>
      <w:bookmarkStart w:id="227" w:name="_Toc16830"/>
      <w:r>
        <w:rPr>
          <w:rFonts w:hint="eastAsia" w:ascii="宋体" w:cs="宋体"/>
          <w:color w:val="auto"/>
          <w:highlight w:val="none"/>
        </w:rPr>
        <w:t>第四章  评标办法及评分标准</w:t>
      </w:r>
      <w:bookmarkEnd w:id="226"/>
      <w:bookmarkEnd w:id="227"/>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ascii="宋体" w:hAnsi="宋体" w:cs="宋体"/>
          <w:color w:val="auto"/>
          <w:highlight w:val="none"/>
        </w:rPr>
      </w:pPr>
      <w:r>
        <w:rPr>
          <w:rFonts w:hint="eastAsia" w:ascii="宋体" w:hAnsi="宋体" w:cs="宋体"/>
          <w:b/>
          <w:bCs/>
          <w:color w:val="auto"/>
          <w:highlight w:val="none"/>
        </w:rPr>
        <w:t>一、开标程序：</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1、电子招投标开标程序：</w:t>
      </w:r>
    </w:p>
    <w:p>
      <w:pPr>
        <w:numPr>
          <w:ilvl w:val="0"/>
          <w:numId w:val="15"/>
        </w:num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投标截止时间后，供应商登录政府采购云平台，用“项目采购-开标评标”功能对电子投标文件进行在线解密，在线解密电子投标文件时间为开标时间后30分钟内。</w:t>
      </w:r>
    </w:p>
    <w:p>
      <w:pPr>
        <w:numPr>
          <w:ilvl w:val="0"/>
          <w:numId w:val="15"/>
        </w:num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在政府采购云平台开启已解密供应商的“资格证明文件、商务技术文件、报价文件”，并做开标记录；</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（3）在政府采购云平台宣告评审无效供应商名单及理由；</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（4）在政府采购云平台公布评审结果。</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（5）开标会议结束。</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本项目原则上采用政采云电子招投标开标程序，但有以下情形之一的，按以下情况处理：</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（1）若有供应商在规定时间内无法解密或解密失败，代理机构将开启该供应商递交的电子备份投标文件，上传至政采云平台项目采购模块，以完成开标，电子投标文件自动失效。</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3.1电子交易平台发生故障而无法登录访问的； </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3.2电子交易平台应用或数据库出现错误，不能进行正常操作的；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3.3电子交易平台发现严重安全漏洞，有潜在泄密危险的；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3.4病毒发作导致不能进行正常操作的； </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3.5其他无法保证电子交易的公平、公正和安全的情况。</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（3）未开启的备份投标文件现场予以退还（电子邮件方式除外）。</w:t>
      </w:r>
    </w:p>
    <w:p>
      <w:pPr>
        <w:spacing w:line="360" w:lineRule="auto"/>
        <w:rPr>
          <w:rFonts w:ascii="宋体" w:hAnsi="宋体" w:cs="宋体"/>
          <w:b/>
          <w:bCs/>
          <w:color w:val="auto"/>
          <w:highlight w:val="none"/>
        </w:rPr>
      </w:pPr>
      <w:r>
        <w:rPr>
          <w:rFonts w:hint="eastAsia" w:ascii="宋体" w:hAnsi="宋体" w:cs="宋体"/>
          <w:b/>
          <w:bCs/>
          <w:color w:val="auto"/>
          <w:highlight w:val="none"/>
        </w:rPr>
        <w:t>二、评标委员会</w:t>
      </w:r>
    </w:p>
    <w:p>
      <w:pPr>
        <w:spacing w:line="360" w:lineRule="auto"/>
        <w:ind w:firstLine="420" w:firstLineChars="200"/>
        <w:rPr>
          <w:rFonts w:ascii="宋体" w:hAnsi="宋体" w:cs="宋体"/>
          <w:bCs/>
          <w:color w:val="auto"/>
          <w:highlight w:val="none"/>
        </w:rPr>
      </w:pPr>
      <w:r>
        <w:rPr>
          <w:rFonts w:hint="eastAsia" w:ascii="宋体" w:hAnsi="宋体" w:cs="宋体"/>
          <w:color w:val="auto"/>
          <w:highlight w:val="none"/>
        </w:rPr>
        <w:t>（一）本次招标依法组建评标委员会。</w:t>
      </w:r>
    </w:p>
    <w:p>
      <w:pPr>
        <w:pStyle w:val="29"/>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（三）评审专家有下列情形之一的，受到邀请应主动提出回避，采购当事人也可以要求该评审专家回避：</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 xml:space="preserve">1、参加采购活动前三年内，与投标人存在劳动关系，或者担任过投标人的董事、监事，或者是投标人的控股股东或实际控制人； </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 xml:space="preserve">2、与投标人的法定代表人或者负责人有夫妻、直系血亲、三代以内旁系血亲或者近姻亲关系； </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3、与供应商有其他可能影响政府采购活动公平、公正进行的关系。</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4、曾经参加过该招标项目的进口产品论证服务工作；</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5、法律、法规、规章规定应当回避以及其他可能影响公正评审的。</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五）评委依法独立评审，并对评审意见承担个人责任。对明显畸高、畸低的评分（评审小组成员个人主观打分偏离所有评审小组成员主观打分平均值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highlight w:val="none"/>
        </w:rPr>
      </w:pPr>
      <w:r>
        <w:rPr>
          <w:rFonts w:hint="eastAsia" w:ascii="宋体" w:hAnsi="宋体" w:cs="宋体"/>
          <w:b/>
          <w:bCs/>
          <w:color w:val="auto"/>
          <w:highlight w:val="none"/>
        </w:rPr>
        <w:t>三、评标方法</w:t>
      </w:r>
    </w:p>
    <w:p>
      <w:pPr>
        <w:spacing w:line="360" w:lineRule="auto"/>
        <w:rPr>
          <w:rFonts w:ascii="宋体" w:hAnsi="宋体" w:cs="宋体"/>
          <w:color w:val="auto"/>
          <w:highlight w:val="none"/>
        </w:rPr>
      </w:pPr>
      <w:r>
        <w:rPr>
          <w:rFonts w:hint="eastAsia" w:ascii="宋体" w:hAnsi="宋体" w:cs="宋体"/>
          <w:color w:val="auto"/>
          <w:highlight w:val="none"/>
        </w:rPr>
        <w:t>（一）本次采购项目的评标方法为：综合评分法。</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采用综合评分法的，评标结果按评审后得分由高到低顺序</w:t>
      </w:r>
      <w:r>
        <w:rPr>
          <w:rFonts w:hint="eastAsia" w:ascii="宋体" w:cs="宋体"/>
          <w:b w:val="0"/>
          <w:bCs w:val="0"/>
          <w:color w:val="auto"/>
          <w:sz w:val="21"/>
          <w:szCs w:val="21"/>
          <w:highlight w:val="none"/>
        </w:rPr>
        <w:t>推荐1名</w:t>
      </w:r>
      <w:r>
        <w:rPr>
          <w:rFonts w:hint="eastAsia" w:ascii="宋体" w:cs="宋体"/>
          <w:b w:val="0"/>
          <w:color w:val="auto"/>
          <w:sz w:val="21"/>
          <w:szCs w:val="21"/>
          <w:highlight w:val="none"/>
        </w:rPr>
        <w:t>中标</w:t>
      </w:r>
      <w:r>
        <w:rPr>
          <w:rFonts w:hint="eastAsia" w:ascii="宋体" w:cs="宋体"/>
          <w:b w:val="0"/>
          <w:bCs w:val="0"/>
          <w:color w:val="auto"/>
          <w:sz w:val="21"/>
          <w:szCs w:val="21"/>
          <w:highlight w:val="none"/>
        </w:rPr>
        <w:t>候选人</w:t>
      </w:r>
      <w:r>
        <w:rPr>
          <w:rFonts w:hint="eastAsia" w:ascii="宋体" w:cs="宋体"/>
          <w:b w:val="0"/>
          <w:color w:val="auto"/>
          <w:sz w:val="21"/>
          <w:szCs w:val="21"/>
          <w:highlight w:val="none"/>
        </w:rPr>
        <w:t>。得分相同的，按投标报价由低到高顺序排列。得分且投标报价相同的并列，则抽签决定。</w:t>
      </w:r>
    </w:p>
    <w:p>
      <w:pPr>
        <w:spacing w:line="360" w:lineRule="auto"/>
        <w:rPr>
          <w:rFonts w:ascii="宋体" w:hAnsi="宋体" w:cs="宋体"/>
          <w:color w:val="auto"/>
          <w:highlight w:val="none"/>
        </w:rPr>
      </w:pPr>
      <w:r>
        <w:rPr>
          <w:rFonts w:hint="eastAsia" w:ascii="宋体" w:hAnsi="宋体" w:cs="宋体"/>
          <w:color w:val="auto"/>
          <w:highlight w:val="none"/>
        </w:rPr>
        <w:t>（二）投标文件的澄清</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highlight w:val="none"/>
        </w:rPr>
      </w:pPr>
      <w:r>
        <w:rPr>
          <w:rFonts w:hint="eastAsia" w:ascii="宋体" w:hAnsi="宋体" w:cs="宋体"/>
          <w:color w:val="auto"/>
          <w:highlight w:val="none"/>
        </w:rPr>
        <w:t>（三）投标文件错误修正原则</w:t>
      </w:r>
    </w:p>
    <w:p>
      <w:pPr>
        <w:spacing w:line="360" w:lineRule="auto"/>
        <w:rPr>
          <w:rFonts w:ascii="宋体" w:hAnsi="宋体" w:cs="宋体"/>
          <w:color w:val="auto"/>
          <w:highlight w:val="none"/>
        </w:rPr>
      </w:pPr>
      <w:r>
        <w:rPr>
          <w:rFonts w:hint="eastAsia" w:ascii="宋体" w:hAnsi="宋体" w:cs="宋体"/>
          <w:color w:val="auto"/>
          <w:highlight w:val="none"/>
        </w:rPr>
        <w:t>投标文件如果出现计算或表达上的错误，修正错误的原则如下：</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1、投标文件中开标一览表（报价表）内容与投标文件中相应内容不一致的，以开标一览表（报价表）为准；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2、政采云平台填报的开标一览表中的价格与上传的报价文件中开标一览表的报价不一致的，以上传的报价文件为准；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3、大写金额和小写金额不一致的，以大写金额为准；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4、单价金额小数点或者百分比有明显错位的，以开标一览表的总价为准，并修改单价；</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5、总价金额与按单价汇总金额不一致的，以单价金额计算结果为准。</w:t>
      </w:r>
    </w:p>
    <w:p>
      <w:pPr>
        <w:pStyle w:val="29"/>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widowControl/>
        <w:spacing w:line="360" w:lineRule="auto"/>
        <w:jc w:val="left"/>
        <w:rPr>
          <w:rFonts w:ascii="宋体" w:hAnsi="宋体" w:cs="宋体"/>
          <w:b/>
          <w:bCs/>
          <w:color w:val="auto"/>
          <w:highlight w:val="none"/>
        </w:rPr>
      </w:pPr>
      <w:r>
        <w:rPr>
          <w:rFonts w:hint="eastAsia" w:ascii="宋体" w:hAnsi="宋体" w:cs="宋体"/>
          <w:b/>
          <w:bCs/>
          <w:color w:val="auto"/>
          <w:highlight w:val="none"/>
        </w:rPr>
        <w:t>四、评标程序</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（一）资格条件审查</w:t>
      </w:r>
    </w:p>
    <w:p>
      <w:pPr>
        <w:spacing w:line="360" w:lineRule="auto"/>
        <w:ind w:firstLine="522" w:firstLineChars="249"/>
        <w:rPr>
          <w:rFonts w:ascii="宋体" w:hAnsi="宋体" w:cs="宋体"/>
          <w:color w:val="auto"/>
          <w:highlight w:val="none"/>
        </w:rPr>
      </w:pPr>
      <w:r>
        <w:rPr>
          <w:rFonts w:hint="eastAsia" w:ascii="宋体" w:hAnsi="宋体" w:cs="宋体"/>
          <w:color w:val="auto"/>
          <w:highlight w:val="none"/>
        </w:rPr>
        <w:t>由采购人或采购代理机构对供应商的资格进行审查。</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highlight w:val="none"/>
              </w:rPr>
            </w:pPr>
            <w:r>
              <w:rPr>
                <w:rFonts w:hint="eastAsia" w:ascii="宋体" w:hAnsi="宋体" w:cs="宋体"/>
                <w:b/>
                <w:color w:val="auto"/>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highlight w:val="none"/>
              </w:rPr>
            </w:pPr>
            <w:r>
              <w:rPr>
                <w:rFonts w:hint="eastAsia" w:ascii="宋体" w:hAnsi="宋体" w:cs="宋体"/>
                <w:b/>
                <w:color w:val="auto"/>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6"/>
              </w:numPr>
              <w:spacing w:line="360" w:lineRule="auto"/>
              <w:jc w:val="left"/>
              <w:rPr>
                <w:rFonts w:ascii="宋体" w:hAnsi="宋体" w:cs="宋体"/>
                <w:color w:val="auto"/>
                <w:highlight w:val="none"/>
              </w:rPr>
            </w:pPr>
            <w:r>
              <w:rPr>
                <w:rFonts w:hint="eastAsia" w:ascii="宋体" w:hAnsi="宋体" w:cs="宋体"/>
                <w:color w:val="auto"/>
                <w:highlight w:val="none"/>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6"/>
              </w:numPr>
              <w:spacing w:line="360" w:lineRule="auto"/>
              <w:jc w:val="left"/>
              <w:rPr>
                <w:rFonts w:ascii="宋体" w:hAnsi="宋体" w:cs="宋体"/>
                <w:color w:val="auto"/>
                <w:highlight w:val="none"/>
              </w:rPr>
            </w:pPr>
            <w:r>
              <w:rPr>
                <w:rFonts w:hint="eastAsia" w:ascii="宋体" w:hAnsi="宋体" w:cs="宋体"/>
                <w:color w:val="auto"/>
                <w:highlight w:val="none"/>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（三）落实政府采购政策需满足的资格要求：</w:t>
            </w:r>
            <w:r>
              <w:rPr>
                <w:rFonts w:hint="eastAsia" w:ascii="宋体" w:hAnsi="宋体" w:cs="宋体"/>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highlight w:val="none"/>
              </w:rPr>
            </w:pPr>
            <w:r>
              <w:rPr>
                <w:rFonts w:hint="eastAsia" w:ascii="宋体" w:hAnsi="宋体" w:cs="宋体"/>
                <w:color w:val="auto"/>
                <w:highlight w:val="none"/>
              </w:rPr>
              <w:t>（四）投标人为第二类、第三类医疗器械生产企业提供《医疗器械生产许可证》复印件、第一类医疗器械生产企业提供第一类医疗器械生产备案凭证复印件。投标人为医疗器械经营企业的：第三类医疗器械经营企业提供《医疗器械经营许可证》复印件、第二类医疗器械经营企业提供第二类医疗器械经营备案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highlight w:val="none"/>
              </w:rPr>
            </w:pPr>
            <w:r>
              <w:rPr>
                <w:rFonts w:hint="eastAsia" w:ascii="宋体" w:hAnsi="宋体" w:cs="宋体"/>
                <w:color w:val="auto"/>
                <w:highlight w:val="none"/>
              </w:rPr>
              <w:t>（五）本项目接受联合体投标。</w:t>
            </w:r>
          </w:p>
        </w:tc>
      </w:tr>
    </w:tbl>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（二）符合性审查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评标委员会应当对符合资格的供应商的投标文件进行符合性审查，以确定其是否满足采购文件的实质性要求。</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highlight w:val="none"/>
              </w:rPr>
            </w:pPr>
            <w:r>
              <w:rPr>
                <w:rFonts w:hint="eastAsia" w:ascii="宋体" w:hAnsi="宋体" w:cs="宋体"/>
                <w:b/>
                <w:color w:val="auto"/>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highlight w:val="none"/>
              </w:rPr>
            </w:pPr>
            <w:r>
              <w:rPr>
                <w:rFonts w:hint="eastAsia" w:ascii="宋体" w:hAnsi="宋体" w:cs="宋体"/>
                <w:b/>
                <w:color w:val="auto"/>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符合性审查</w:t>
            </w:r>
          </w:p>
          <w:p>
            <w:pPr>
              <w:spacing w:line="360" w:lineRule="auto"/>
              <w:jc w:val="center"/>
              <w:rPr>
                <w:rFonts w:ascii="宋体" w:hAnsi="宋体" w:cs="宋体"/>
                <w:color w:val="auto"/>
                <w:highlight w:val="none"/>
              </w:rPr>
            </w:pPr>
            <w:r>
              <w:rPr>
                <w:rFonts w:hint="eastAsia" w:ascii="宋体" w:hAnsi="宋体" w:cs="宋体"/>
                <w:color w:val="auto"/>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（三）投标文件标明的响应或偏离与事实相符且无虚假投标的；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（四）投标文件的实质性内容使用中文表述且意思表述明确，前后无矛盾且使用计量单位符合采购文件要求的；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（五）带“★”的条款满足采购文件要求、已实质性响应采购文件要求且投标文件无采购人不能接受的附加条件的；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（六）投标技术方案明确，不存在一个或一个以上备选（替代）投标方案的；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（七）不存在法律、法规和采购文件规定的其他无效情形；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（八）不存在投标文件的有效期不满足采购文件要求情形；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符合性审查</w:t>
            </w:r>
          </w:p>
          <w:p>
            <w:pPr>
              <w:spacing w:line="360" w:lineRule="auto"/>
              <w:ind w:firstLine="210" w:firstLineChars="100"/>
              <w:jc w:val="center"/>
              <w:rPr>
                <w:rFonts w:ascii="宋体" w:hAnsi="宋体" w:cs="宋体"/>
                <w:color w:val="auto"/>
                <w:highlight w:val="none"/>
              </w:rPr>
            </w:pPr>
            <w:r>
              <w:rPr>
                <w:rFonts w:hint="eastAsia" w:ascii="宋体" w:hAnsi="宋体" w:cs="宋体"/>
                <w:color w:val="auto"/>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（二）采用人民币报价或者按照采购文件标明的币种报价的；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（三）不存在报价超出最高限价，或者超出采购预算金额，采购人不能支付的情形。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（四）不存在投标报价具有选择性的情形；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（五）投标报价中未出现重大缺项、漏项；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（六）不存在评标委员会认为供应商的报价明显低于其他通过符合性审查供应商的报价，有可能影响产品质量或者不能诚信履约的且不能在评标现场合理时间内提供相关证明材料说明其报价的合理性的情形；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（七）投标文件（报价文件）内容与投标文件（商务技术文件）内容不存在重大差异的；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（八）不存在法律、法规和采购文件规定的其他无效情形；</w:t>
            </w:r>
          </w:p>
        </w:tc>
      </w:tr>
    </w:tbl>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（三）投标无效的情形</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没有响应采购文件实质性要求的投标将被视为无效投标。供应商不得通过修正或撤消不合要求的偏离或保留从而使其投标成为实质上响应的投标。</w:t>
      </w:r>
    </w:p>
    <w:p>
      <w:pPr>
        <w:widowControl/>
        <w:numPr>
          <w:ilvl w:val="0"/>
          <w:numId w:val="17"/>
        </w:numPr>
        <w:spacing w:line="360" w:lineRule="auto"/>
        <w:jc w:val="left"/>
        <w:rPr>
          <w:rFonts w:ascii="宋体" w:hAnsi="宋体" w:cs="宋体"/>
          <w:b/>
          <w:bCs/>
          <w:color w:val="auto"/>
          <w:highlight w:val="none"/>
        </w:rPr>
      </w:pPr>
      <w:r>
        <w:rPr>
          <w:rFonts w:hint="eastAsia" w:ascii="宋体" w:hAnsi="宋体" w:cs="宋体"/>
          <w:b/>
          <w:bCs/>
          <w:color w:val="auto"/>
          <w:highlight w:val="none"/>
        </w:rPr>
        <w:t>在资格审查时，如发现下列情形之一的，将被视为无效投标文件：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资格证明文件不全的或者不符合采购文件标明的资格要求的或者未按采购文件规定要求签署、盖章；；</w:t>
      </w:r>
    </w:p>
    <w:p>
      <w:pPr>
        <w:spacing w:line="360" w:lineRule="auto"/>
        <w:rPr>
          <w:rFonts w:ascii="宋体" w:hAnsi="宋体" w:cs="宋体"/>
          <w:b/>
          <w:bCs/>
          <w:color w:val="auto"/>
          <w:highlight w:val="none"/>
        </w:rPr>
      </w:pPr>
      <w:r>
        <w:rPr>
          <w:rFonts w:hint="eastAsia" w:ascii="宋体" w:hAnsi="宋体" w:cs="宋体"/>
          <w:b/>
          <w:bCs/>
          <w:color w:val="auto"/>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1、未按照采购文件规定要求签署或盖章；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2、投标文件无法定代表人签署本人姓名（或印盖本人姓名章），或签署人未提供有效的法定代表人授权委托书或授权委托书填写项目不齐全的；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3、投标文件标明的响应或偏离与事实不符或虚假投标的；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5、带“★”的条款不能满足采购文件要求、未实质性响应采购文件要求或者投标文件有采购人不能接受的附加条件的；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6、投标技术方案不明确，存在一个或一个以上备选（替代）投标方案的；</w:t>
      </w:r>
    </w:p>
    <w:p>
      <w:pPr>
        <w:spacing w:line="360" w:lineRule="auto"/>
        <w:ind w:firstLine="420"/>
        <w:rPr>
          <w:rFonts w:ascii="宋体" w:hAnsi="宋体" w:cs="宋体"/>
          <w:color w:val="auto"/>
          <w:highlight w:val="none"/>
        </w:rPr>
      </w:pPr>
      <w:r>
        <w:rPr>
          <w:rFonts w:hint="eastAsia" w:ascii="宋体" w:hAnsi="宋体" w:cs="宋体"/>
          <w:color w:val="auto"/>
          <w:highlight w:val="none"/>
        </w:rPr>
        <w:t>7、法律、法规和采购文件规定的其他无效情形；</w:t>
      </w:r>
    </w:p>
    <w:p>
      <w:pPr>
        <w:spacing w:line="360" w:lineRule="auto"/>
        <w:ind w:firstLine="420"/>
        <w:rPr>
          <w:rFonts w:ascii="宋体" w:hAnsi="宋体" w:cs="宋体"/>
          <w:color w:val="auto"/>
          <w:highlight w:val="none"/>
        </w:rPr>
      </w:pPr>
      <w:r>
        <w:rPr>
          <w:rFonts w:hint="eastAsia" w:ascii="宋体" w:hAnsi="宋体" w:cs="宋体"/>
          <w:color w:val="auto"/>
          <w:highlight w:val="none"/>
        </w:rPr>
        <w:t>8、投标文件的有效期不满足采购文件要求；</w:t>
      </w:r>
    </w:p>
    <w:p>
      <w:pPr>
        <w:spacing w:line="360" w:lineRule="auto"/>
        <w:rPr>
          <w:rFonts w:ascii="宋体" w:hAnsi="宋体" w:cs="宋体"/>
          <w:b/>
          <w:bCs/>
          <w:color w:val="auto"/>
          <w:kern w:val="0"/>
          <w:highlight w:val="none"/>
        </w:rPr>
      </w:pPr>
      <w:r>
        <w:rPr>
          <w:rFonts w:hint="eastAsia" w:ascii="宋体" w:hAnsi="宋体" w:cs="宋体"/>
          <w:b/>
          <w:bCs/>
          <w:color w:val="auto"/>
          <w:highlight w:val="none"/>
        </w:rPr>
        <w:t>C、在符合性审查（报价文件）时，如发现下列情形之一的，将被视为无效投标文件：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1、未提交投标函或投标函内容不符合采购文件要求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2、未按照采购文件规定要求签署或盖章；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3、未采用人民币报价或者未按照采购文件标明的币种报价的；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4、报价超出最高限价，或者超出采购预算金额，采购人不能支付的；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5、投标报价具有选择性的；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6、投标报价中出现重大缺项、漏项；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8、投标文件（报价文件）内容与投标文件（商务技术文件）内容有重大差异的；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9、法律、法规和采购文件规定的其他无效情形；</w:t>
      </w:r>
    </w:p>
    <w:p>
      <w:pPr>
        <w:spacing w:line="360" w:lineRule="auto"/>
        <w:rPr>
          <w:rFonts w:hint="eastAsia" w:ascii="宋体" w:hAnsi="宋体" w:cs="宋体"/>
          <w:b/>
          <w:color w:val="auto"/>
          <w:highlight w:val="none"/>
        </w:rPr>
      </w:pPr>
      <w:r>
        <w:rPr>
          <w:rFonts w:hint="eastAsia" w:ascii="宋体" w:hAnsi="宋体" w:cs="宋体"/>
          <w:b/>
          <w:color w:val="auto"/>
          <w:highlight w:val="none"/>
        </w:rPr>
        <w:t>（四）评分标准</w:t>
      </w:r>
    </w:p>
    <w:p>
      <w:pPr>
        <w:pStyle w:val="5"/>
        <w:jc w:val="left"/>
        <w:rPr>
          <w:rFonts w:hint="default" w:ascii="宋体" w:hAnsi="宋体" w:eastAsia="宋体" w:cs="宋体"/>
          <w:b w:val="0"/>
          <w:bCs w:val="0"/>
          <w:color w:val="auto"/>
          <w:kern w:val="2"/>
          <w:sz w:val="21"/>
          <w:szCs w:val="21"/>
          <w:highlight w:val="none"/>
          <w:lang w:val="en-US" w:eastAsia="zh-CN" w:bidi="ar-SA"/>
        </w:rPr>
      </w:pPr>
      <w:bookmarkStart w:id="228" w:name="_Toc22304"/>
      <w:r>
        <w:rPr>
          <w:rFonts w:hint="eastAsia" w:ascii="宋体" w:hAnsi="宋体" w:eastAsia="宋体" w:cs="宋体"/>
          <w:b w:val="0"/>
          <w:bCs w:val="0"/>
          <w:color w:val="auto"/>
          <w:kern w:val="2"/>
          <w:sz w:val="21"/>
          <w:szCs w:val="21"/>
          <w:highlight w:val="none"/>
          <w:lang w:val="en-US" w:eastAsia="zh-CN" w:bidi="ar-SA"/>
        </w:rPr>
        <w:t>标项一：</w:t>
      </w:r>
      <w:bookmarkEnd w:id="228"/>
    </w:p>
    <w:tbl>
      <w:tblPr>
        <w:tblStyle w:val="48"/>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50" w:type="dxa"/>
            <w:vAlign w:val="center"/>
          </w:tcPr>
          <w:p>
            <w:pPr>
              <w:spacing w:before="120" w:beforeLines="50" w:after="120" w:afterLines="50" w:line="240" w:lineRule="auto"/>
              <w:jc w:val="center"/>
              <w:rPr>
                <w:rFonts w:ascii="宋体" w:hAnsi="宋体" w:cs="宋体"/>
                <w:b/>
                <w:bCs/>
                <w:color w:val="auto"/>
                <w:highlight w:val="none"/>
              </w:rPr>
            </w:pPr>
            <w:bookmarkStart w:id="229" w:name="_Toc9029"/>
            <w:bookmarkStart w:id="230" w:name="_Toc26240"/>
            <w:bookmarkStart w:id="231" w:name="_Toc317116871"/>
            <w:r>
              <w:rPr>
                <w:rFonts w:hint="eastAsia" w:ascii="宋体" w:hAnsi="宋体" w:cs="宋体"/>
                <w:b/>
                <w:bCs/>
                <w:color w:val="auto"/>
                <w:highlight w:val="none"/>
              </w:rPr>
              <w:t>序号</w:t>
            </w:r>
          </w:p>
        </w:tc>
        <w:tc>
          <w:tcPr>
            <w:tcW w:w="6573" w:type="dxa"/>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（一）</w:t>
            </w:r>
          </w:p>
        </w:tc>
        <w:tc>
          <w:tcPr>
            <w:tcW w:w="6573" w:type="dxa"/>
          </w:tcPr>
          <w:p>
            <w:pPr>
              <w:spacing w:before="120" w:beforeLines="50" w:after="120" w:afterLines="50" w:line="240" w:lineRule="auto"/>
              <w:rPr>
                <w:rFonts w:ascii="宋体" w:hAnsi="宋体" w:cs="宋体"/>
                <w:b/>
                <w:bCs/>
                <w:color w:val="auto"/>
                <w:highlight w:val="none"/>
              </w:rPr>
            </w:pPr>
            <w:r>
              <w:rPr>
                <w:rFonts w:hint="eastAsia" w:ascii="宋体" w:hAnsi="宋体" w:cs="宋体"/>
                <w:b/>
                <w:bCs/>
                <w:color w:val="auto"/>
                <w:highlight w:val="none"/>
              </w:rPr>
              <w:t>商务技术部分部分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color w:val="auto"/>
                <w:highlight w:val="none"/>
                <w:u w:val="single"/>
              </w:rPr>
              <w:t>70</w:t>
            </w:r>
            <w:r>
              <w:rPr>
                <w:rFonts w:hint="eastAsia" w:ascii="宋体" w:hAnsi="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1</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对招标文件的技术需求（</w:t>
            </w:r>
            <w:r>
              <w:rPr>
                <w:rFonts w:hint="eastAsia" w:ascii="宋体" w:hAnsi="宋体" w:cs="宋体"/>
                <w:b/>
                <w:bCs/>
                <w:color w:val="auto"/>
                <w:highlight w:val="none"/>
                <w:lang w:val="en-US" w:eastAsia="zh-CN"/>
              </w:rPr>
              <w:t>30</w:t>
            </w:r>
            <w:r>
              <w:rPr>
                <w:rFonts w:hint="eastAsia" w:ascii="宋体" w:hAnsi="宋体" w:cs="宋体"/>
                <w:b/>
                <w:bCs/>
                <w:color w:val="auto"/>
                <w:highlight w:val="none"/>
              </w:rPr>
              <w:t>分）：</w:t>
            </w:r>
          </w:p>
          <w:p>
            <w:pPr>
              <w:numPr>
                <w:ilvl w:val="0"/>
                <w:numId w:val="18"/>
              </w:numPr>
              <w:spacing w:line="360" w:lineRule="auto"/>
              <w:jc w:val="left"/>
              <w:rPr>
                <w:rFonts w:hint="eastAsia" w:ascii="宋体" w:hAnsi="宋体" w:cs="宋体"/>
                <w:b/>
                <w:bCs/>
                <w:color w:val="auto"/>
                <w:highlight w:val="none"/>
              </w:rPr>
            </w:pPr>
            <w:r>
              <w:rPr>
                <w:rFonts w:hint="eastAsia" w:ascii="宋体" w:hAnsi="宋体" w:cs="宋体"/>
                <w:b/>
                <w:bCs/>
                <w:color w:val="auto"/>
                <w:highlight w:val="none"/>
                <w:lang w:val="en-US" w:eastAsia="zh-CN"/>
              </w:rPr>
              <w:t>标项一：</w:t>
            </w:r>
            <w:r>
              <w:rPr>
                <w:rFonts w:hint="eastAsia" w:ascii="宋体" w:hAnsi="宋体" w:cs="宋体"/>
                <w:b/>
                <w:bCs/>
                <w:color w:val="auto"/>
                <w:highlight w:val="none"/>
              </w:rPr>
              <w:t>本项目共有</w:t>
            </w:r>
            <w:r>
              <w:rPr>
                <w:rFonts w:hint="eastAsia" w:ascii="宋体" w:hAnsi="宋体" w:cs="宋体"/>
                <w:b/>
                <w:bCs/>
                <w:color w:val="auto"/>
                <w:highlight w:val="none"/>
                <w:lang w:val="en-US" w:eastAsia="zh-CN"/>
              </w:rPr>
              <w:t>47</w:t>
            </w:r>
            <w:r>
              <w:rPr>
                <w:rFonts w:hint="eastAsia" w:ascii="宋体" w:hAnsi="宋体" w:cs="宋体"/>
                <w:b/>
                <w:bCs/>
                <w:color w:val="auto"/>
                <w:highlight w:val="none"/>
              </w:rPr>
              <w:t>项技术条款：标注“★”号的技术条款为实质性技术条款共1项。标注“▲”号的技术条款为重要技术条款共</w:t>
            </w:r>
            <w:r>
              <w:rPr>
                <w:rFonts w:hint="eastAsia" w:ascii="宋体" w:hAnsi="宋体" w:cs="宋体"/>
                <w:b/>
                <w:bCs/>
                <w:color w:val="auto"/>
                <w:highlight w:val="none"/>
                <w:lang w:val="en-US" w:eastAsia="zh-CN"/>
              </w:rPr>
              <w:t>1</w:t>
            </w:r>
            <w:r>
              <w:rPr>
                <w:rFonts w:hint="eastAsia" w:ascii="宋体" w:hAnsi="宋体" w:cs="宋体"/>
                <w:b/>
                <w:bCs/>
                <w:color w:val="auto"/>
                <w:highlight w:val="none"/>
              </w:rPr>
              <w:t>项，其他技术条款为普通技术条款共</w:t>
            </w:r>
            <w:r>
              <w:rPr>
                <w:rFonts w:hint="eastAsia" w:ascii="宋体" w:hAnsi="宋体" w:cs="宋体"/>
                <w:b/>
                <w:bCs/>
                <w:color w:val="auto"/>
                <w:highlight w:val="none"/>
                <w:lang w:val="en-US" w:eastAsia="zh-CN"/>
              </w:rPr>
              <w:t>45</w:t>
            </w:r>
            <w:r>
              <w:rPr>
                <w:rFonts w:hint="eastAsia" w:ascii="宋体" w:hAnsi="宋体" w:cs="宋体"/>
                <w:b/>
                <w:bCs/>
                <w:color w:val="auto"/>
                <w:highlight w:val="none"/>
              </w:rPr>
              <w:t>项。</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1.1</w:t>
            </w:r>
            <w:r>
              <w:rPr>
                <w:rFonts w:hint="eastAsia" w:ascii="宋体" w:hAnsi="宋体" w:cs="宋体"/>
                <w:color w:val="auto"/>
                <w:highlight w:val="none"/>
              </w:rPr>
              <w:t>每</w:t>
            </w:r>
            <w:r>
              <w:rPr>
                <w:rFonts w:hint="eastAsia" w:ascii="宋体" w:hAnsi="宋体" w:cs="宋体"/>
                <w:color w:val="auto"/>
                <w:highlight w:val="none"/>
                <w:lang w:val="en-US" w:eastAsia="zh-CN"/>
              </w:rPr>
              <w:t>一</w:t>
            </w:r>
            <w:r>
              <w:rPr>
                <w:rFonts w:hint="eastAsia" w:ascii="宋体" w:hAnsi="宋体" w:cs="宋体"/>
                <w:color w:val="auto"/>
                <w:highlight w:val="none"/>
              </w:rPr>
              <w:t>条重要技术条款负偏离的等同2条普通技术条款负偏离。</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1.2</w:t>
            </w:r>
            <w:r>
              <w:rPr>
                <w:rFonts w:hint="eastAsia" w:ascii="宋体" w:hAnsi="宋体" w:cs="宋体"/>
                <w:color w:val="auto"/>
                <w:highlight w:val="none"/>
              </w:rPr>
              <w:t>技术响应的偏离按以下进行：</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1.2.1</w:t>
            </w:r>
            <w:r>
              <w:rPr>
                <w:rFonts w:hint="eastAsia" w:ascii="宋体" w:hAnsi="宋体" w:cs="宋体"/>
                <w:color w:val="auto"/>
                <w:highlight w:val="none"/>
              </w:rPr>
              <w:t>无负偏离得满分30分；</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1.2.2</w:t>
            </w:r>
            <w:r>
              <w:rPr>
                <w:rFonts w:hint="eastAsia" w:ascii="宋体" w:hAnsi="宋体" w:cs="宋体"/>
                <w:color w:val="auto"/>
                <w:highlight w:val="none"/>
              </w:rPr>
              <w:t xml:space="preserve"> </w:t>
            </w:r>
            <w:r>
              <w:rPr>
                <w:rFonts w:hint="eastAsia" w:ascii="宋体" w:hAnsi="宋体" w:cs="宋体"/>
                <w:color w:val="auto"/>
                <w:highlight w:val="none"/>
                <w:lang w:val="en-US" w:eastAsia="zh-CN"/>
              </w:rPr>
              <w:t>一</w:t>
            </w:r>
            <w:r>
              <w:rPr>
                <w:rFonts w:hint="eastAsia" w:ascii="宋体" w:hAnsi="宋体" w:cs="宋体"/>
                <w:color w:val="auto"/>
                <w:highlight w:val="none"/>
              </w:rPr>
              <w:t>条及以上实质性技术条款负偏离的，作无效标处理;</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1.2.3</w:t>
            </w:r>
            <w:r>
              <w:rPr>
                <w:rFonts w:hint="eastAsia" w:ascii="宋体" w:hAnsi="宋体" w:cs="宋体"/>
                <w:color w:val="auto"/>
                <w:highlight w:val="none"/>
              </w:rPr>
              <w:t>普通技术条款负偏离≤20条的按以下原则评审：普通技术条款每负偏离</w:t>
            </w:r>
            <w:r>
              <w:rPr>
                <w:rFonts w:hint="eastAsia" w:ascii="宋体" w:hAnsi="宋体" w:cs="宋体"/>
                <w:color w:val="auto"/>
                <w:highlight w:val="none"/>
                <w:lang w:val="en-US" w:eastAsia="zh-CN"/>
              </w:rPr>
              <w:t>一</w:t>
            </w:r>
            <w:r>
              <w:rPr>
                <w:rFonts w:hint="eastAsia" w:ascii="宋体" w:hAnsi="宋体" w:cs="宋体"/>
                <w:color w:val="auto"/>
                <w:highlight w:val="none"/>
              </w:rPr>
              <w:t>条，扣1分。</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1.2.4</w:t>
            </w:r>
            <w:r>
              <w:rPr>
                <w:rFonts w:hint="eastAsia" w:ascii="宋体" w:hAnsi="宋体" w:cs="宋体"/>
                <w:color w:val="auto"/>
                <w:highlight w:val="none"/>
              </w:rPr>
              <w:t>普通技术条款负偏离＞20条的按以下原则评审：</w:t>
            </w:r>
          </w:p>
          <w:p>
            <w:pPr>
              <w:spacing w:line="360" w:lineRule="auto"/>
              <w:jc w:val="left"/>
              <w:rPr>
                <w:rFonts w:hint="default" w:ascii="宋体" w:hAnsi="宋体" w:eastAsia="宋体" w:cs="宋体"/>
                <w:b/>
                <w:bCs/>
                <w:color w:val="auto"/>
                <w:highlight w:val="none"/>
                <w:lang w:val="en-US" w:eastAsia="zh-CN"/>
              </w:rPr>
            </w:pPr>
            <w:r>
              <w:rPr>
                <w:rFonts w:hint="eastAsia" w:ascii="宋体" w:hAnsi="宋体" w:cs="宋体"/>
                <w:color w:val="auto"/>
                <w:highlight w:val="none"/>
              </w:rPr>
              <w:t>投标人得分=10-（负偏离条数-20）*0.37</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lang w:val="en-US" w:eastAsia="zh-CN"/>
              </w:rPr>
              <w:t>30</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
                <w:color w:val="auto"/>
                <w:highlight w:val="none"/>
                <w:u w:val="singl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销售业绩（3分）：</w:t>
            </w:r>
            <w:r>
              <w:rPr>
                <w:rFonts w:hint="eastAsia" w:ascii="宋体" w:hAnsi="宋体" w:cs="宋体"/>
                <w:b w:val="0"/>
                <w:bCs w:val="0"/>
                <w:color w:val="auto"/>
                <w:highlight w:val="none"/>
              </w:rPr>
              <w:t>投标品牌在2021年以来于销售同一型号产品，合同签订时间自2021年1月1日以来的，与最终用户签订的销售业绩，每提供一例业绩得1分。</w:t>
            </w:r>
            <w:r>
              <w:rPr>
                <w:rFonts w:hint="eastAsia" w:ascii="宋体" w:hAnsi="宋体" w:cs="宋体"/>
                <w:b/>
                <w:bCs/>
                <w:color w:val="auto"/>
                <w:highlight w:val="none"/>
              </w:rPr>
              <w:t>提供完整的合同</w:t>
            </w:r>
            <w:r>
              <w:rPr>
                <w:rFonts w:hint="eastAsia" w:ascii="宋体" w:hAnsi="宋体" w:cs="宋体"/>
                <w:b/>
                <w:bCs/>
                <w:color w:val="auto"/>
                <w:highlight w:val="none"/>
                <w:lang w:val="en-US" w:eastAsia="zh-CN"/>
              </w:rPr>
              <w:t>扫描件并加盖公章</w:t>
            </w:r>
            <w:r>
              <w:rPr>
                <w:rFonts w:hint="eastAsia" w:ascii="宋体" w:hAnsi="宋体" w:cs="宋体"/>
                <w:b/>
                <w:bCs/>
                <w:color w:val="auto"/>
                <w:highlight w:val="none"/>
              </w:rPr>
              <w:t>，</w:t>
            </w:r>
            <w:r>
              <w:rPr>
                <w:rFonts w:hint="eastAsia" w:ascii="宋体" w:hAnsi="宋体" w:cs="宋体"/>
                <w:b/>
                <w:bCs/>
                <w:color w:val="auto"/>
                <w:highlight w:val="none"/>
                <w:lang w:val="en-US" w:eastAsia="zh-CN"/>
              </w:rPr>
              <w:t>扫描件</w:t>
            </w:r>
            <w:r>
              <w:rPr>
                <w:rFonts w:hint="eastAsia" w:ascii="宋体" w:hAnsi="宋体" w:cs="宋体"/>
                <w:b/>
                <w:bCs/>
                <w:color w:val="auto"/>
                <w:highlight w:val="none"/>
              </w:rPr>
              <w:t>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lang w:val="en-US" w:eastAsia="zh-CN"/>
              </w:rPr>
              <w:t>3</w:t>
            </w:r>
            <w:r>
              <w:rPr>
                <w:rFonts w:hint="eastAsia" w:ascii="宋体" w:hAnsi="宋体" w:cs="宋体"/>
                <w:bCs/>
                <w:color w:val="auto"/>
                <w:highlight w:val="none"/>
              </w:rPr>
              <w:t>分</w:t>
            </w:r>
          </w:p>
          <w:p>
            <w:pPr>
              <w:spacing w:before="120" w:beforeLines="50" w:after="120" w:afterLines="50" w:line="360" w:lineRule="auto"/>
              <w:jc w:val="center"/>
              <w:rPr>
                <w:rFonts w:hint="eastAsia"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3</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4</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bCs/>
                <w:color w:val="auto"/>
                <w:highlight w:val="none"/>
              </w:rPr>
              <w:t>安装与验收方案（</w:t>
            </w:r>
            <w:r>
              <w:rPr>
                <w:rFonts w:hint="eastAsia" w:ascii="宋体" w:hAnsi="宋体" w:cs="宋体"/>
                <w:b/>
                <w:bCs/>
                <w:color w:val="auto"/>
                <w:highlight w:val="none"/>
                <w:lang w:val="en-US" w:eastAsia="zh-CN"/>
              </w:rPr>
              <w:t>5</w:t>
            </w:r>
            <w:r>
              <w:rPr>
                <w:rFonts w:hint="eastAsia" w:ascii="宋体" w:hAnsi="宋体" w:cs="宋体"/>
                <w:b/>
                <w:bCs/>
                <w:color w:val="auto"/>
                <w:highlight w:val="none"/>
              </w:rPr>
              <w:t>分）：</w:t>
            </w:r>
            <w:r>
              <w:rPr>
                <w:rFonts w:hint="eastAsia" w:ascii="宋体" w:hAnsi="宋体" w:cs="宋体"/>
                <w:b w:val="0"/>
                <w:bCs w:val="0"/>
                <w:color w:val="auto"/>
                <w:highlight w:val="none"/>
                <w:lang w:val="en-US" w:eastAsia="zh-CN"/>
              </w:rPr>
              <w:t>根据</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rPr>
            </w:pPr>
          </w:p>
        </w:tc>
        <w:tc>
          <w:tcPr>
            <w:tcW w:w="6573" w:type="dxa"/>
            <w:vAlign w:val="center"/>
          </w:tcPr>
          <w:p>
            <w:pPr>
              <w:spacing w:line="360" w:lineRule="auto"/>
              <w:rPr>
                <w:rFonts w:hint="default"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w:t>
            </w:r>
            <w:r>
              <w:rPr>
                <w:rFonts w:hint="eastAsia" w:ascii="宋体" w:hAnsi="宋体" w:cs="宋体"/>
                <w:b/>
                <w:bCs/>
                <w:i w:val="0"/>
                <w:iCs w:val="0"/>
                <w:color w:val="auto"/>
                <w:kern w:val="0"/>
                <w:sz w:val="21"/>
                <w:szCs w:val="21"/>
                <w:highlight w:val="none"/>
                <w:lang w:val="en-US" w:eastAsia="zh-CN"/>
              </w:rPr>
              <w:t>12</w:t>
            </w:r>
            <w:r>
              <w:rPr>
                <w:rFonts w:hint="eastAsia" w:ascii="宋体" w:hAnsi="宋体" w:eastAsia="宋体" w:cs="宋体"/>
                <w:b/>
                <w:bCs/>
                <w:i w:val="0"/>
                <w:iCs w:val="0"/>
                <w:color w:val="auto"/>
                <w:kern w:val="0"/>
                <w:sz w:val="21"/>
                <w:szCs w:val="21"/>
                <w:highlight w:val="none"/>
                <w:lang w:val="en-US" w:eastAsia="zh-CN"/>
              </w:rPr>
              <w:t>分）：</w:t>
            </w:r>
          </w:p>
        </w:tc>
        <w:tc>
          <w:tcPr>
            <w:tcW w:w="1185" w:type="dxa"/>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restart"/>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w:t>
            </w:r>
            <w:r>
              <w:rPr>
                <w:rFonts w:hint="eastAsia" w:ascii="宋体" w:hAnsi="宋体" w:cs="宋体"/>
                <w:b w:val="0"/>
                <w:bCs w:val="0"/>
                <w:i w:val="0"/>
                <w:iCs w:val="0"/>
                <w:color w:val="auto"/>
                <w:kern w:val="0"/>
                <w:sz w:val="21"/>
                <w:szCs w:val="21"/>
                <w:highlight w:val="none"/>
                <w:lang w:val="en-US" w:eastAsia="zh-CN"/>
              </w:rPr>
              <w:t>4</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分</w:t>
            </w:r>
          </w:p>
          <w:p>
            <w:pPr>
              <w:spacing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w:t>
            </w:r>
            <w:r>
              <w:rPr>
                <w:rFonts w:hint="eastAsia" w:ascii="宋体" w:hAnsi="宋体" w:cs="宋体"/>
                <w:b w:val="0"/>
                <w:bCs w:val="0"/>
                <w:i w:val="0"/>
                <w:iCs w:val="0"/>
                <w:color w:val="auto"/>
                <w:kern w:val="0"/>
                <w:sz w:val="21"/>
                <w:szCs w:val="21"/>
                <w:highlight w:val="none"/>
                <w:lang w:val="en-US" w:eastAsia="zh-CN"/>
              </w:rPr>
              <w:t>4</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w:t>
            </w:r>
            <w:r>
              <w:rPr>
                <w:rFonts w:hint="eastAsia" w:ascii="宋体" w:hAnsi="宋体" w:cs="宋体"/>
                <w:b w:val="0"/>
                <w:bCs w:val="0"/>
                <w:i w:val="0"/>
                <w:iCs w:val="0"/>
                <w:color w:val="auto"/>
                <w:kern w:val="0"/>
                <w:sz w:val="21"/>
                <w:szCs w:val="21"/>
                <w:highlight w:val="none"/>
                <w:lang w:val="en-US" w:eastAsia="zh-CN"/>
              </w:rPr>
              <w:t>4</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suppressLineNumbers w:val="0"/>
              <w:adjustRightInd/>
              <w:spacing w:before="0" w:beforeAutospacing="0" w:after="0" w:afterAutospacing="0" w:line="360" w:lineRule="auto"/>
              <w:ind w:left="0" w:right="0"/>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分</w:t>
            </w:r>
          </w:p>
          <w:p>
            <w:pPr>
              <w:spacing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7</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w:t>
            </w:r>
            <w:r>
              <w:rPr>
                <w:rFonts w:hint="eastAsia" w:ascii="宋体" w:hAnsi="宋体" w:cs="宋体"/>
                <w:b w:val="0"/>
                <w:bCs w:val="0"/>
                <w:i w:val="0"/>
                <w:iCs w:val="0"/>
                <w:color w:val="auto"/>
                <w:sz w:val="21"/>
                <w:szCs w:val="21"/>
                <w:highlight w:val="none"/>
                <w:lang w:val="en-US" w:eastAsia="zh-CN"/>
              </w:rPr>
              <w:t>；④维修质量的保障，</w:t>
            </w:r>
            <w:r>
              <w:rPr>
                <w:rFonts w:hint="eastAsia" w:ascii="宋体" w:hAnsi="宋体" w:eastAsia="宋体" w:cs="宋体"/>
                <w:b w:val="0"/>
                <w:bCs w:val="0"/>
                <w:i w:val="0"/>
                <w:iCs w:val="0"/>
                <w:color w:val="auto"/>
                <w:sz w:val="21"/>
                <w:szCs w:val="21"/>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hint="eastAsia"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lang w:val="en-US" w:eastAsia="zh-CN"/>
              </w:rPr>
              <w:t>8</w:t>
            </w:r>
          </w:p>
        </w:tc>
        <w:tc>
          <w:tcPr>
            <w:tcW w:w="6573" w:type="dxa"/>
            <w:vAlign w:val="center"/>
          </w:tcPr>
          <w:p>
            <w:pPr>
              <w:spacing w:line="360" w:lineRule="auto"/>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cs="宋体"/>
                <w:b/>
                <w:bCs/>
                <w:i w:val="0"/>
                <w:iCs w:val="0"/>
                <w:color w:val="auto"/>
                <w:sz w:val="21"/>
                <w:szCs w:val="21"/>
                <w:highlight w:val="none"/>
                <w:lang w:val="en-US" w:eastAsia="zh-CN"/>
              </w:rPr>
              <w:t>主机寿命承诺</w:t>
            </w:r>
            <w:r>
              <w:rPr>
                <w:rFonts w:hint="eastAsia" w:ascii="宋体" w:hAnsi="宋体" w:eastAsia="宋体" w:cs="宋体"/>
                <w:b/>
                <w:bCs/>
                <w:i w:val="0"/>
                <w:iCs w:val="0"/>
                <w:color w:val="auto"/>
                <w:sz w:val="21"/>
                <w:szCs w:val="21"/>
                <w:highlight w:val="none"/>
                <w:lang w:val="en-US" w:eastAsia="zh-CN"/>
              </w:rPr>
              <w:t>：</w:t>
            </w:r>
            <w:r>
              <w:rPr>
                <w:rFonts w:hint="eastAsia" w:ascii="宋体" w:hAnsi="宋体" w:eastAsia="宋体" w:cs="宋体"/>
                <w:b w:val="0"/>
                <w:bCs w:val="0"/>
                <w:i w:val="0"/>
                <w:iCs w:val="0"/>
                <w:color w:val="auto"/>
                <w:sz w:val="21"/>
                <w:szCs w:val="21"/>
                <w:highlight w:val="none"/>
                <w:lang w:val="en-US" w:eastAsia="zh-CN"/>
              </w:rPr>
              <w:t>满足招标文件最低要求</w:t>
            </w:r>
            <w:r>
              <w:rPr>
                <w:rFonts w:hint="eastAsia" w:ascii="宋体" w:hAnsi="宋体" w:cs="宋体"/>
                <w:b w:val="0"/>
                <w:bCs w:val="0"/>
                <w:i w:val="0"/>
                <w:iCs w:val="0"/>
                <w:color w:val="auto"/>
                <w:sz w:val="21"/>
                <w:szCs w:val="21"/>
                <w:highlight w:val="none"/>
                <w:lang w:val="en-US" w:eastAsia="zh-CN"/>
              </w:rPr>
              <w:t>主机寿命</w:t>
            </w:r>
            <w:r>
              <w:rPr>
                <w:rFonts w:hint="eastAsia" w:ascii="宋体" w:hAnsi="宋体" w:eastAsia="宋体" w:cs="宋体"/>
                <w:b w:val="0"/>
                <w:bCs w:val="0"/>
                <w:i w:val="0"/>
                <w:iCs w:val="0"/>
                <w:color w:val="auto"/>
                <w:sz w:val="21"/>
                <w:szCs w:val="21"/>
                <w:highlight w:val="none"/>
                <w:lang w:val="en-US" w:eastAsia="zh-CN"/>
              </w:rPr>
              <w:t>的不得分；每增加一年</w:t>
            </w:r>
            <w:r>
              <w:rPr>
                <w:rFonts w:hint="eastAsia" w:ascii="宋体" w:hAnsi="宋体" w:cs="宋体"/>
                <w:b w:val="0"/>
                <w:bCs w:val="0"/>
                <w:i w:val="0"/>
                <w:iCs w:val="0"/>
                <w:color w:val="auto"/>
                <w:sz w:val="21"/>
                <w:szCs w:val="21"/>
                <w:highlight w:val="none"/>
                <w:lang w:val="en-US" w:eastAsia="zh-CN"/>
              </w:rPr>
              <w:t>使用寿命</w:t>
            </w:r>
            <w:r>
              <w:rPr>
                <w:rFonts w:hint="eastAsia" w:ascii="宋体" w:hAnsi="宋体" w:eastAsia="宋体" w:cs="宋体"/>
                <w:b w:val="0"/>
                <w:bCs w:val="0"/>
                <w:i w:val="0"/>
                <w:iCs w:val="0"/>
                <w:color w:val="auto"/>
                <w:sz w:val="21"/>
                <w:szCs w:val="21"/>
                <w:highlight w:val="none"/>
                <w:lang w:val="en-US" w:eastAsia="zh-CN"/>
              </w:rPr>
              <w:t>加</w:t>
            </w:r>
            <w:r>
              <w:rPr>
                <w:rFonts w:hint="eastAsia" w:ascii="宋体" w:hAnsi="宋体" w:cs="宋体"/>
                <w:b w:val="0"/>
                <w:bCs w:val="0"/>
                <w:i w:val="0"/>
                <w:iCs w:val="0"/>
                <w:color w:val="auto"/>
                <w:sz w:val="21"/>
                <w:szCs w:val="21"/>
                <w:highlight w:val="none"/>
                <w:lang w:val="en-US" w:eastAsia="zh-CN"/>
              </w:rPr>
              <w:t>0.6</w:t>
            </w:r>
            <w:r>
              <w:rPr>
                <w:rFonts w:hint="eastAsia" w:ascii="宋体" w:hAnsi="宋体" w:eastAsia="宋体" w:cs="宋体"/>
                <w:b w:val="0"/>
                <w:bCs w:val="0"/>
                <w:i w:val="0"/>
                <w:iCs w:val="0"/>
                <w:color w:val="auto"/>
                <w:sz w:val="21"/>
                <w:szCs w:val="21"/>
                <w:highlight w:val="none"/>
                <w:lang w:val="en-US" w:eastAsia="zh-CN"/>
              </w:rPr>
              <w:t>分</w:t>
            </w:r>
            <w:r>
              <w:rPr>
                <w:rFonts w:hint="eastAsia" w:ascii="宋体" w:hAnsi="宋体" w:cs="宋体"/>
                <w:b w:val="0"/>
                <w:bCs w:val="0"/>
                <w:i w:val="0"/>
                <w:iCs w:val="0"/>
                <w:color w:val="auto"/>
                <w:sz w:val="21"/>
                <w:szCs w:val="21"/>
                <w:highlight w:val="none"/>
                <w:lang w:val="en-US" w:eastAsia="zh-CN"/>
              </w:rPr>
              <w:t>，最多的3分</w:t>
            </w:r>
            <w:r>
              <w:rPr>
                <w:rFonts w:hint="eastAsia" w:ascii="宋体" w:hAnsi="宋体" w:eastAsia="宋体" w:cs="宋体"/>
                <w:b w:val="0"/>
                <w:bCs w:val="0"/>
                <w:i w:val="0"/>
                <w:iCs w:val="0"/>
                <w:color w:val="auto"/>
                <w:sz w:val="21"/>
                <w:szCs w:val="21"/>
                <w:highlight w:val="none"/>
                <w:lang w:val="en-US" w:eastAsia="zh-CN"/>
              </w:rPr>
              <w:t>。</w:t>
            </w:r>
            <w:r>
              <w:rPr>
                <w:rFonts w:hint="eastAsia" w:ascii="宋体" w:hAnsi="宋体" w:cs="宋体"/>
                <w:b w:val="0"/>
                <w:bCs w:val="0"/>
                <w:i w:val="0"/>
                <w:iCs w:val="0"/>
                <w:color w:val="auto"/>
                <w:sz w:val="21"/>
                <w:szCs w:val="21"/>
                <w:highlight w:val="none"/>
                <w:lang w:val="en-US" w:eastAsia="zh-CN"/>
              </w:rPr>
              <w:t>投标文件中</w:t>
            </w:r>
            <w:r>
              <w:rPr>
                <w:rFonts w:hint="eastAsia" w:ascii="宋体" w:hAnsi="宋体" w:cs="宋体"/>
                <w:b/>
                <w:bCs/>
                <w:color w:val="auto"/>
                <w:highlight w:val="none"/>
              </w:rPr>
              <w:t>提供</w:t>
            </w:r>
            <w:r>
              <w:rPr>
                <w:rFonts w:hint="eastAsia" w:ascii="宋体" w:hAnsi="宋体" w:cs="宋体"/>
                <w:b/>
                <w:bCs/>
                <w:color w:val="auto"/>
                <w:highlight w:val="none"/>
                <w:lang w:val="en-US" w:eastAsia="zh-CN"/>
              </w:rPr>
              <w:t>铭牌和原厂说明书并加盖公章</w:t>
            </w:r>
            <w:r>
              <w:rPr>
                <w:rFonts w:hint="eastAsia" w:ascii="宋体" w:hAnsi="宋体" w:cs="宋体"/>
                <w:b/>
                <w:bCs/>
                <w:color w:val="auto"/>
                <w:highlight w:val="none"/>
              </w:rPr>
              <w:t>，否则不得分。本项最高得</w:t>
            </w:r>
            <w:r>
              <w:rPr>
                <w:rFonts w:hint="eastAsia" w:ascii="宋体" w:hAnsi="宋体" w:cs="宋体"/>
                <w:b/>
                <w:bCs/>
                <w:color w:val="auto"/>
                <w:highlight w:val="none"/>
                <w:lang w:val="en-US" w:eastAsia="zh-CN"/>
              </w:rPr>
              <w:t>3</w:t>
            </w:r>
            <w:r>
              <w:rPr>
                <w:rFonts w:hint="eastAsia" w:ascii="宋体" w:hAnsi="宋体" w:cs="宋体"/>
                <w:b/>
                <w:bCs/>
                <w:color w:val="auto"/>
                <w:highlight w:val="none"/>
              </w:rPr>
              <w:t>分。</w:t>
            </w:r>
          </w:p>
        </w:tc>
        <w:tc>
          <w:tcPr>
            <w:tcW w:w="1185" w:type="dxa"/>
            <w:vAlign w:val="center"/>
          </w:tcPr>
          <w:p>
            <w:pPr>
              <w:spacing w:before="120" w:beforeLines="50" w:after="120" w:afterLines="5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b/>
                <w:bCs/>
                <w:color w:val="auto"/>
                <w:highlight w:val="none"/>
                <w:lang w:eastAsia="zh-CN"/>
              </w:rPr>
            </w:pPr>
            <w:r>
              <w:rPr>
                <w:rFonts w:hint="eastAsia" w:ascii="宋体" w:hAnsi="宋体" w:cs="宋体"/>
                <w:color w:val="auto"/>
                <w:highlight w:val="none"/>
                <w:lang w:val="en-US" w:eastAsia="zh-CN"/>
              </w:rPr>
              <w:t>9</w:t>
            </w:r>
          </w:p>
        </w:tc>
        <w:tc>
          <w:tcPr>
            <w:tcW w:w="6573" w:type="dxa"/>
          </w:tcPr>
          <w:p>
            <w:pPr>
              <w:spacing w:line="360" w:lineRule="auto"/>
              <w:ind w:right="-21" w:rightChars="-10"/>
              <w:rPr>
                <w:rFonts w:ascii="宋体" w:hAnsi="宋体" w:cs="宋体"/>
                <w:b/>
                <w:bCs/>
                <w:color w:val="auto"/>
                <w:highlight w:val="none"/>
              </w:rPr>
            </w:pPr>
            <w:r>
              <w:rPr>
                <w:rFonts w:hint="eastAsia" w:ascii="宋体" w:hAnsi="宋体" w:cs="宋体"/>
                <w:b/>
                <w:bCs/>
                <w:color w:val="auto"/>
                <w:highlight w:val="none"/>
              </w:rPr>
              <w:t>政府采购政策（2分）：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2分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50" w:type="dxa"/>
            <w:vMerge w:val="restart"/>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b/>
                <w:color w:val="auto"/>
                <w:highlight w:val="none"/>
              </w:rPr>
              <w:t>（二）</w:t>
            </w:r>
          </w:p>
        </w:tc>
        <w:tc>
          <w:tcPr>
            <w:tcW w:w="6573" w:type="dxa"/>
          </w:tcPr>
          <w:p>
            <w:pPr>
              <w:spacing w:before="120" w:beforeLines="50" w:after="120" w:afterLines="50" w:line="360" w:lineRule="auto"/>
              <w:rPr>
                <w:rFonts w:ascii="宋体" w:hAnsi="宋体" w:cs="宋体"/>
                <w:b/>
                <w:bCs/>
                <w:color w:val="auto"/>
                <w:highlight w:val="none"/>
              </w:rPr>
            </w:pPr>
            <w:r>
              <w:rPr>
                <w:rFonts w:hint="eastAsia" w:ascii="宋体" w:hAnsi="宋体" w:cs="宋体"/>
                <w:b/>
                <w:bCs/>
                <w:color w:val="auto"/>
                <w:highlight w:val="none"/>
              </w:rPr>
              <w:t>价格部分</w:t>
            </w:r>
          </w:p>
          <w:p>
            <w:pPr>
              <w:spacing w:before="120" w:beforeLines="50" w:after="120" w:afterLines="50" w:line="360" w:lineRule="auto"/>
              <w:rPr>
                <w:rFonts w:ascii="宋体" w:hAnsi="宋体" w:cs="宋体"/>
                <w:bCs/>
                <w:color w:val="auto"/>
                <w:spacing w:val="-4"/>
                <w:highlight w:val="none"/>
              </w:rPr>
            </w:pPr>
            <w:r>
              <w:rPr>
                <w:rFonts w:hint="eastAsia" w:ascii="宋体" w:hAnsi="宋体" w:cs="宋体"/>
                <w:bCs/>
                <w:color w:val="auto"/>
                <w:spacing w:val="-4"/>
                <w:highlight w:val="none"/>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rPr>
                <w:rFonts w:ascii="宋体" w:hAnsi="宋体" w:cs="宋体"/>
                <w:b/>
                <w:bCs/>
                <w:color w:val="auto"/>
                <w:highlight w:val="none"/>
              </w:rPr>
            </w:pPr>
            <w:r>
              <w:rPr>
                <w:rFonts w:hint="eastAsia" w:ascii="宋体" w:hAnsi="宋体" w:cs="宋体"/>
                <w:color w:val="auto"/>
                <w:highlight w:val="none"/>
              </w:rPr>
              <w:t>价格分=（评标基准价/投标报价）×</w:t>
            </w:r>
            <w:r>
              <w:rPr>
                <w:rFonts w:hint="eastAsia" w:ascii="宋体" w:hAnsi="宋体" w:cs="宋体"/>
                <w:color w:val="auto"/>
                <w:highlight w:val="none"/>
                <w:u w:val="single"/>
              </w:rPr>
              <w:t>30</w:t>
            </w:r>
            <w:r>
              <w:rPr>
                <w:rFonts w:hint="eastAsia" w:ascii="宋体" w:hAnsi="宋体" w:cs="宋体"/>
                <w:color w:val="auto"/>
                <w:highlight w:val="none"/>
              </w:rPr>
              <w:t>%×100</w:t>
            </w:r>
          </w:p>
        </w:tc>
        <w:tc>
          <w:tcPr>
            <w:tcW w:w="1185" w:type="dxa"/>
            <w:vMerge w:val="restart"/>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50" w:type="dxa"/>
            <w:vMerge w:val="continue"/>
            <w:vAlign w:val="center"/>
          </w:tcPr>
          <w:p>
            <w:pPr>
              <w:spacing w:before="120" w:beforeLines="50" w:after="120" w:afterLines="50" w:line="360" w:lineRule="auto"/>
              <w:jc w:val="center"/>
              <w:rPr>
                <w:rFonts w:ascii="宋体" w:hAnsi="宋体" w:cs="宋体"/>
                <w:b/>
                <w:color w:val="auto"/>
                <w:highlight w:val="none"/>
              </w:rPr>
            </w:pPr>
          </w:p>
        </w:tc>
        <w:tc>
          <w:tcPr>
            <w:tcW w:w="6573" w:type="dxa"/>
          </w:tcPr>
          <w:p>
            <w:pPr>
              <w:spacing w:before="120" w:beforeLines="50" w:after="120" w:afterLines="50" w:line="360" w:lineRule="auto"/>
              <w:rPr>
                <w:rFonts w:ascii="宋体" w:hAnsi="宋体" w:cs="宋体"/>
                <w:color w:val="auto"/>
                <w:highlight w:val="none"/>
              </w:rPr>
            </w:pPr>
            <w:r>
              <w:rPr>
                <w:rFonts w:hint="eastAsia" w:ascii="宋体" w:hAnsi="宋体" w:cs="宋体"/>
                <w:bCs/>
                <w:color w:val="auto"/>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spacing w:before="120" w:beforeLines="50" w:after="120" w:afterLines="50" w:line="360" w:lineRule="auto"/>
              <w:jc w:val="center"/>
              <w:rPr>
                <w:rFonts w:ascii="宋体" w:hAnsi="宋体" w:cs="宋体"/>
                <w:b/>
                <w:bCs/>
                <w:color w:val="auto"/>
                <w:highlight w:val="none"/>
                <w:u w:val="single"/>
              </w:rPr>
            </w:pPr>
          </w:p>
        </w:tc>
      </w:tr>
    </w:tbl>
    <w:p>
      <w:pPr>
        <w:pStyle w:val="5"/>
        <w:jc w:val="left"/>
        <w:rPr>
          <w:rFonts w:hint="default" w:ascii="宋体" w:hAnsi="宋体" w:eastAsia="宋体" w:cs="宋体"/>
          <w:b w:val="0"/>
          <w:bCs w:val="0"/>
          <w:color w:val="auto"/>
          <w:kern w:val="2"/>
          <w:sz w:val="21"/>
          <w:szCs w:val="21"/>
          <w:highlight w:val="none"/>
          <w:lang w:val="en-US" w:eastAsia="zh-CN" w:bidi="ar-SA"/>
        </w:rPr>
      </w:pPr>
      <w:bookmarkStart w:id="232" w:name="_Toc4606"/>
      <w:r>
        <w:rPr>
          <w:rFonts w:hint="eastAsia" w:ascii="宋体" w:hAnsi="宋体" w:eastAsia="宋体" w:cs="宋体"/>
          <w:b w:val="0"/>
          <w:bCs w:val="0"/>
          <w:color w:val="auto"/>
          <w:kern w:val="2"/>
          <w:sz w:val="21"/>
          <w:szCs w:val="21"/>
          <w:highlight w:val="none"/>
          <w:lang w:val="en-US" w:eastAsia="zh-CN" w:bidi="ar-SA"/>
        </w:rPr>
        <w:t>标项</w:t>
      </w:r>
      <w:r>
        <w:rPr>
          <w:rFonts w:hint="eastAsia" w:ascii="宋体" w:cs="宋体"/>
          <w:b w:val="0"/>
          <w:bCs w:val="0"/>
          <w:color w:val="auto"/>
          <w:kern w:val="2"/>
          <w:sz w:val="21"/>
          <w:szCs w:val="21"/>
          <w:highlight w:val="none"/>
          <w:lang w:val="en-US" w:eastAsia="zh-CN" w:bidi="ar-SA"/>
        </w:rPr>
        <w:t>二</w:t>
      </w:r>
      <w:r>
        <w:rPr>
          <w:rFonts w:hint="eastAsia" w:ascii="宋体" w:hAnsi="宋体" w:eastAsia="宋体" w:cs="宋体"/>
          <w:b w:val="0"/>
          <w:bCs w:val="0"/>
          <w:color w:val="auto"/>
          <w:kern w:val="2"/>
          <w:sz w:val="21"/>
          <w:szCs w:val="21"/>
          <w:highlight w:val="none"/>
          <w:lang w:val="en-US" w:eastAsia="zh-CN" w:bidi="ar-SA"/>
        </w:rPr>
        <w:t>：</w:t>
      </w:r>
      <w:bookmarkEnd w:id="232"/>
    </w:p>
    <w:tbl>
      <w:tblPr>
        <w:tblStyle w:val="48"/>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序号</w:t>
            </w:r>
          </w:p>
        </w:tc>
        <w:tc>
          <w:tcPr>
            <w:tcW w:w="6573" w:type="dxa"/>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（一）</w:t>
            </w:r>
          </w:p>
        </w:tc>
        <w:tc>
          <w:tcPr>
            <w:tcW w:w="6573" w:type="dxa"/>
          </w:tcPr>
          <w:p>
            <w:pPr>
              <w:spacing w:before="120" w:beforeLines="50" w:after="120" w:afterLines="50" w:line="240" w:lineRule="auto"/>
              <w:rPr>
                <w:rFonts w:ascii="宋体" w:hAnsi="宋体" w:cs="宋体"/>
                <w:b/>
                <w:bCs/>
                <w:color w:val="auto"/>
                <w:highlight w:val="none"/>
              </w:rPr>
            </w:pPr>
            <w:r>
              <w:rPr>
                <w:rFonts w:hint="eastAsia" w:ascii="宋体" w:hAnsi="宋体" w:cs="宋体"/>
                <w:b/>
                <w:bCs/>
                <w:color w:val="auto"/>
                <w:highlight w:val="none"/>
              </w:rPr>
              <w:t>商务技术部分部分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color w:val="auto"/>
                <w:highlight w:val="none"/>
                <w:u w:val="single"/>
              </w:rPr>
              <w:t>70</w:t>
            </w:r>
            <w:r>
              <w:rPr>
                <w:rFonts w:hint="eastAsia" w:ascii="宋体" w:hAnsi="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1</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对招标文件的技术需求（</w:t>
            </w:r>
            <w:r>
              <w:rPr>
                <w:rFonts w:hint="eastAsia" w:ascii="宋体" w:hAnsi="宋体" w:cs="宋体"/>
                <w:b/>
                <w:bCs/>
                <w:color w:val="auto"/>
                <w:highlight w:val="none"/>
                <w:lang w:val="en-US" w:eastAsia="zh-CN"/>
              </w:rPr>
              <w:t>29</w:t>
            </w:r>
            <w:r>
              <w:rPr>
                <w:rFonts w:hint="eastAsia" w:ascii="宋体" w:hAnsi="宋体" w:cs="宋体"/>
                <w:b/>
                <w:bCs/>
                <w:color w:val="auto"/>
                <w:highlight w:val="none"/>
              </w:rPr>
              <w:t>分）：</w:t>
            </w:r>
          </w:p>
          <w:p>
            <w:pPr>
              <w:numPr>
                <w:ilvl w:val="0"/>
                <w:numId w:val="0"/>
              </w:numPr>
              <w:spacing w:line="360" w:lineRule="auto"/>
              <w:jc w:val="left"/>
              <w:rPr>
                <w:rFonts w:hint="default" w:ascii="宋体" w:hAnsi="宋体" w:eastAsia="宋体" w:cs="宋体"/>
                <w:b/>
                <w:bCs/>
                <w:color w:val="auto"/>
                <w:highlight w:val="none"/>
                <w:lang w:val="en-US" w:eastAsia="zh-CN"/>
              </w:rPr>
            </w:pPr>
            <w:r>
              <w:rPr>
                <w:rFonts w:hint="eastAsia" w:ascii="宋体" w:hAnsi="宋体" w:cs="宋体"/>
                <w:b/>
                <w:bCs/>
                <w:color w:val="auto"/>
                <w:highlight w:val="none"/>
              </w:rPr>
              <w:t>本项目共有</w:t>
            </w:r>
            <w:r>
              <w:rPr>
                <w:rFonts w:hint="eastAsia" w:ascii="宋体" w:hAnsi="宋体" w:cs="宋体"/>
                <w:b/>
                <w:bCs/>
                <w:color w:val="auto"/>
                <w:highlight w:val="none"/>
                <w:lang w:val="en-US" w:eastAsia="zh-CN"/>
              </w:rPr>
              <w:t>22</w:t>
            </w:r>
            <w:r>
              <w:rPr>
                <w:rFonts w:hint="eastAsia" w:ascii="宋体" w:hAnsi="宋体" w:cs="宋体"/>
                <w:b/>
                <w:bCs/>
                <w:color w:val="auto"/>
                <w:highlight w:val="none"/>
              </w:rPr>
              <w:t>项技术条款：标注“★”号的技术条款为实质性技术条款共</w:t>
            </w:r>
            <w:r>
              <w:rPr>
                <w:rFonts w:hint="eastAsia" w:ascii="宋体" w:hAnsi="宋体" w:cs="宋体"/>
                <w:b/>
                <w:bCs/>
                <w:color w:val="auto"/>
                <w:highlight w:val="none"/>
                <w:lang w:val="en-US" w:eastAsia="zh-CN"/>
              </w:rPr>
              <w:t>3</w:t>
            </w:r>
            <w:r>
              <w:rPr>
                <w:rFonts w:hint="eastAsia" w:ascii="宋体" w:hAnsi="宋体" w:cs="宋体"/>
                <w:b/>
                <w:bCs/>
                <w:color w:val="auto"/>
                <w:highlight w:val="none"/>
              </w:rPr>
              <w:t>项。标注“▲”号的技术条款为重要技术条款共</w:t>
            </w:r>
            <w:r>
              <w:rPr>
                <w:rFonts w:hint="eastAsia" w:ascii="宋体" w:hAnsi="宋体" w:cs="宋体"/>
                <w:b/>
                <w:bCs/>
                <w:color w:val="auto"/>
                <w:highlight w:val="none"/>
                <w:lang w:val="en-US" w:eastAsia="zh-CN"/>
              </w:rPr>
              <w:t>1</w:t>
            </w:r>
            <w:r>
              <w:rPr>
                <w:rFonts w:hint="eastAsia" w:ascii="宋体" w:hAnsi="宋体" w:cs="宋体"/>
                <w:b/>
                <w:bCs/>
                <w:color w:val="auto"/>
                <w:highlight w:val="none"/>
              </w:rPr>
              <w:t>项</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每满足1条得2分，</w:t>
            </w:r>
            <w:r>
              <w:rPr>
                <w:rFonts w:hint="eastAsia" w:ascii="宋体" w:hAnsi="宋体" w:cs="宋体"/>
                <w:b/>
                <w:bCs/>
                <w:color w:val="auto"/>
                <w:highlight w:val="none"/>
              </w:rPr>
              <w:t>其他技术条款为普通技术条款共</w:t>
            </w:r>
            <w:r>
              <w:rPr>
                <w:rFonts w:hint="eastAsia" w:ascii="宋体" w:hAnsi="宋体" w:cs="宋体"/>
                <w:b/>
                <w:bCs/>
                <w:color w:val="auto"/>
                <w:highlight w:val="none"/>
                <w:lang w:val="en-US" w:eastAsia="zh-CN"/>
              </w:rPr>
              <w:t>18</w:t>
            </w:r>
            <w:r>
              <w:rPr>
                <w:rFonts w:hint="eastAsia" w:ascii="宋体" w:hAnsi="宋体" w:cs="宋体"/>
                <w:b/>
                <w:bCs/>
                <w:color w:val="auto"/>
                <w:highlight w:val="none"/>
              </w:rPr>
              <w:t>项</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没满足1条得1.5分，共29分。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lang w:val="en-US" w:eastAsia="zh-CN"/>
              </w:rPr>
              <w:t>29</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
                <w:color w:val="auto"/>
                <w:highlight w:val="none"/>
                <w:u w:val="singl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bCs/>
                <w:color w:val="auto"/>
                <w:highlight w:val="none"/>
              </w:rPr>
              <w:t>安装与验收方案（5分）：</w:t>
            </w:r>
            <w:r>
              <w:rPr>
                <w:rFonts w:hint="eastAsia" w:ascii="宋体" w:hAnsi="宋体" w:cs="宋体"/>
                <w:b w:val="0"/>
                <w:bCs w:val="0"/>
                <w:color w:val="auto"/>
                <w:highlight w:val="none"/>
                <w:lang w:val="en-US" w:eastAsia="zh-CN"/>
              </w:rPr>
              <w:t>根据</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rPr>
            </w:pPr>
          </w:p>
        </w:tc>
        <w:tc>
          <w:tcPr>
            <w:tcW w:w="6573" w:type="dxa"/>
            <w:vAlign w:val="center"/>
          </w:tcPr>
          <w:p>
            <w:pPr>
              <w:spacing w:line="360" w:lineRule="auto"/>
              <w:rPr>
                <w:rFonts w:hint="default"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restart"/>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suppressLineNumbers w:val="0"/>
              <w:adjustRightInd/>
              <w:spacing w:before="0" w:beforeAutospacing="0" w:after="0" w:afterAutospacing="0" w:line="360" w:lineRule="auto"/>
              <w:ind w:left="0" w:right="0"/>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6</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w:t>
            </w:r>
            <w:r>
              <w:rPr>
                <w:rFonts w:hint="eastAsia" w:ascii="宋体" w:hAnsi="宋体" w:cs="宋体"/>
                <w:b w:val="0"/>
                <w:bCs w:val="0"/>
                <w:i w:val="0"/>
                <w:iCs w:val="0"/>
                <w:color w:val="auto"/>
                <w:sz w:val="21"/>
                <w:szCs w:val="21"/>
                <w:highlight w:val="none"/>
                <w:lang w:val="en-US" w:eastAsia="zh-CN"/>
              </w:rPr>
              <w:t>；④维修质量的保障，</w:t>
            </w:r>
            <w:r>
              <w:rPr>
                <w:rFonts w:hint="eastAsia" w:ascii="宋体" w:hAnsi="宋体" w:eastAsia="宋体" w:cs="宋体"/>
                <w:b w:val="0"/>
                <w:bCs w:val="0"/>
                <w:i w:val="0"/>
                <w:iCs w:val="0"/>
                <w:color w:val="auto"/>
                <w:sz w:val="21"/>
                <w:szCs w:val="21"/>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hint="eastAsia"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7</w:t>
            </w:r>
          </w:p>
        </w:tc>
        <w:tc>
          <w:tcPr>
            <w:tcW w:w="6573" w:type="dxa"/>
            <w:vAlign w:val="center"/>
          </w:tcPr>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质保期</w:t>
            </w:r>
            <w:r>
              <w:rPr>
                <w:rFonts w:hint="eastAsia" w:ascii="宋体" w:hAnsi="宋体" w:cs="宋体"/>
                <w:b/>
                <w:bCs/>
                <w:i w:val="0"/>
                <w:iCs w:val="0"/>
                <w:color w:val="auto"/>
                <w:sz w:val="21"/>
                <w:szCs w:val="21"/>
                <w:highlight w:val="none"/>
                <w:lang w:val="en-US" w:eastAsia="zh-CN"/>
              </w:rPr>
              <w:t>承诺</w:t>
            </w:r>
            <w:r>
              <w:rPr>
                <w:rFonts w:hint="eastAsia" w:ascii="宋体" w:hAnsi="宋体" w:eastAsia="宋体" w:cs="宋体"/>
                <w:b/>
                <w:bCs/>
                <w:i w:val="0"/>
                <w:iCs w:val="0"/>
                <w:color w:val="auto"/>
                <w:sz w:val="21"/>
                <w:szCs w:val="21"/>
                <w:highlight w:val="none"/>
                <w:lang w:val="en-US" w:eastAsia="zh-CN"/>
              </w:rPr>
              <w:t>：</w:t>
            </w:r>
            <w:r>
              <w:rPr>
                <w:rFonts w:hint="eastAsia" w:ascii="宋体" w:hAnsi="宋体" w:eastAsia="宋体" w:cs="宋体"/>
                <w:b w:val="0"/>
                <w:bCs w:val="0"/>
                <w:i w:val="0"/>
                <w:iCs w:val="0"/>
                <w:color w:val="auto"/>
                <w:sz w:val="21"/>
                <w:szCs w:val="21"/>
                <w:highlight w:val="none"/>
                <w:lang w:val="en-US" w:eastAsia="zh-CN"/>
              </w:rPr>
              <w:t>满足招标文件最低要求</w:t>
            </w:r>
            <w:r>
              <w:rPr>
                <w:rFonts w:hint="eastAsia" w:ascii="宋体" w:hAnsi="宋体" w:cs="宋体"/>
                <w:b w:val="0"/>
                <w:bCs w:val="0"/>
                <w:i w:val="0"/>
                <w:iCs w:val="0"/>
                <w:color w:val="auto"/>
                <w:sz w:val="21"/>
                <w:szCs w:val="21"/>
                <w:highlight w:val="none"/>
                <w:lang w:val="en-US" w:eastAsia="zh-CN"/>
              </w:rPr>
              <w:t>质保期限</w:t>
            </w:r>
            <w:r>
              <w:rPr>
                <w:rFonts w:hint="eastAsia" w:ascii="宋体" w:hAnsi="宋体" w:eastAsia="宋体" w:cs="宋体"/>
                <w:b w:val="0"/>
                <w:bCs w:val="0"/>
                <w:i w:val="0"/>
                <w:iCs w:val="0"/>
                <w:color w:val="auto"/>
                <w:sz w:val="21"/>
                <w:szCs w:val="21"/>
                <w:highlight w:val="none"/>
                <w:lang w:val="en-US" w:eastAsia="zh-CN"/>
              </w:rPr>
              <w:t>的不得分；每增加一年质保期加</w:t>
            </w:r>
            <w:r>
              <w:rPr>
                <w:rFonts w:hint="eastAsia" w:ascii="宋体" w:hAnsi="宋体" w:cs="宋体"/>
                <w:b w:val="0"/>
                <w:bCs w:val="0"/>
                <w:i w:val="0"/>
                <w:iCs w:val="0"/>
                <w:color w:val="auto"/>
                <w:sz w:val="21"/>
                <w:szCs w:val="21"/>
                <w:highlight w:val="none"/>
                <w:lang w:val="en-US" w:eastAsia="zh-CN"/>
              </w:rPr>
              <w:t>1</w:t>
            </w:r>
            <w:r>
              <w:rPr>
                <w:rFonts w:hint="eastAsia" w:ascii="宋体" w:hAnsi="宋体" w:eastAsia="宋体" w:cs="宋体"/>
                <w:b w:val="0"/>
                <w:bCs w:val="0"/>
                <w:i w:val="0"/>
                <w:iCs w:val="0"/>
                <w:color w:val="auto"/>
                <w:sz w:val="21"/>
                <w:szCs w:val="21"/>
                <w:highlight w:val="none"/>
                <w:lang w:val="en-US" w:eastAsia="zh-CN"/>
              </w:rPr>
              <w:t>分。</w:t>
            </w:r>
            <w:r>
              <w:rPr>
                <w:rFonts w:hint="eastAsia" w:ascii="宋体" w:hAnsi="宋体" w:cs="宋体"/>
                <w:b/>
                <w:bCs/>
                <w:color w:val="auto"/>
                <w:highlight w:val="none"/>
              </w:rPr>
              <w:t>提供</w:t>
            </w:r>
            <w:r>
              <w:rPr>
                <w:rFonts w:hint="eastAsia" w:ascii="宋体" w:hAnsi="宋体" w:cs="宋体"/>
                <w:b/>
                <w:bCs/>
                <w:color w:val="auto"/>
                <w:highlight w:val="none"/>
                <w:lang w:val="en-US" w:eastAsia="zh-CN"/>
              </w:rPr>
              <w:t>承诺函扫描件并加盖公章</w:t>
            </w:r>
            <w:r>
              <w:rPr>
                <w:rFonts w:hint="eastAsia" w:ascii="宋体" w:hAnsi="宋体" w:cs="宋体"/>
                <w:b/>
                <w:bCs/>
                <w:color w:val="auto"/>
                <w:highlight w:val="none"/>
              </w:rPr>
              <w:t>，否则不得分。本项最高得</w:t>
            </w:r>
            <w:r>
              <w:rPr>
                <w:rFonts w:hint="eastAsia" w:ascii="宋体" w:hAnsi="宋体" w:cs="宋体"/>
                <w:b/>
                <w:bCs/>
                <w:color w:val="auto"/>
                <w:highlight w:val="none"/>
                <w:lang w:val="en-US" w:eastAsia="zh-CN"/>
              </w:rPr>
              <w:t>5</w:t>
            </w:r>
            <w:r>
              <w:rPr>
                <w:rFonts w:hint="eastAsia" w:ascii="宋体" w:hAnsi="宋体" w:cs="宋体"/>
                <w:b/>
                <w:bCs/>
                <w:color w:val="auto"/>
                <w:highlight w:val="none"/>
              </w:rPr>
              <w:t>分。</w:t>
            </w:r>
          </w:p>
        </w:tc>
        <w:tc>
          <w:tcPr>
            <w:tcW w:w="1185" w:type="dxa"/>
            <w:vAlign w:val="center"/>
          </w:tcPr>
          <w:p>
            <w:pPr>
              <w:spacing w:before="120" w:beforeLines="50" w:after="120" w:afterLines="50"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b/>
                <w:bCs/>
                <w:color w:val="auto"/>
                <w:highlight w:val="none"/>
                <w:lang w:eastAsia="zh-CN"/>
              </w:rPr>
            </w:pPr>
            <w:r>
              <w:rPr>
                <w:rFonts w:hint="eastAsia" w:ascii="宋体" w:hAnsi="宋体" w:cs="宋体"/>
                <w:color w:val="auto"/>
                <w:highlight w:val="none"/>
                <w:lang w:val="en-US" w:eastAsia="zh-CN"/>
              </w:rPr>
              <w:t>8</w:t>
            </w:r>
          </w:p>
        </w:tc>
        <w:tc>
          <w:tcPr>
            <w:tcW w:w="6573" w:type="dxa"/>
          </w:tcPr>
          <w:p>
            <w:pPr>
              <w:spacing w:line="360" w:lineRule="auto"/>
              <w:ind w:right="-21" w:rightChars="-10"/>
              <w:rPr>
                <w:rFonts w:ascii="宋体" w:hAnsi="宋体" w:cs="宋体"/>
                <w:b/>
                <w:bCs/>
                <w:color w:val="auto"/>
                <w:highlight w:val="none"/>
              </w:rPr>
            </w:pPr>
            <w:r>
              <w:rPr>
                <w:rFonts w:hint="eastAsia" w:ascii="宋体" w:hAnsi="宋体" w:cs="宋体"/>
                <w:b/>
                <w:bCs/>
                <w:color w:val="auto"/>
                <w:highlight w:val="none"/>
              </w:rPr>
              <w:t>政府采购政策（</w:t>
            </w:r>
            <w:r>
              <w:rPr>
                <w:rFonts w:hint="eastAsia" w:ascii="宋体" w:hAnsi="宋体" w:cs="宋体"/>
                <w:b/>
                <w:bCs/>
                <w:color w:val="auto"/>
                <w:highlight w:val="none"/>
                <w:lang w:val="en-US" w:eastAsia="zh-CN"/>
              </w:rPr>
              <w:t>1</w:t>
            </w:r>
            <w:r>
              <w:rPr>
                <w:rFonts w:hint="eastAsia" w:ascii="宋体" w:hAnsi="宋体" w:cs="宋体"/>
                <w:b/>
                <w:bCs/>
                <w:color w:val="auto"/>
                <w:highlight w:val="none"/>
              </w:rPr>
              <w:t>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w:t>
            </w:r>
            <w:r>
              <w:rPr>
                <w:rFonts w:hint="eastAsia" w:ascii="宋体" w:hAnsi="宋体" w:cs="宋体"/>
                <w:color w:val="auto"/>
                <w:highlight w:val="none"/>
                <w:lang w:val="en-US" w:eastAsia="zh-CN"/>
              </w:rPr>
              <w:t>0.5</w:t>
            </w:r>
            <w:r>
              <w:rPr>
                <w:rFonts w:hint="eastAsia" w:ascii="宋体" w:hAnsi="宋体" w:cs="宋体"/>
                <w:color w:val="auto"/>
                <w:highlight w:val="none"/>
              </w:rPr>
              <w:t>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ascii="宋体" w:hAnsi="宋体" w:cs="宋体"/>
                <w:color w:val="auto"/>
                <w:highlight w:val="none"/>
                <w:lang w:val="en-US" w:eastAsia="zh-CN"/>
              </w:rPr>
              <w:t>0.5</w:t>
            </w:r>
            <w:r>
              <w:rPr>
                <w:rFonts w:hint="eastAsia" w:ascii="宋体" w:hAnsi="宋体" w:cs="宋体"/>
                <w:color w:val="auto"/>
                <w:highlight w:val="none"/>
              </w:rPr>
              <w:t>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lang w:val="en-US" w:eastAsia="zh-CN"/>
              </w:rPr>
              <w:t>1</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50" w:type="dxa"/>
            <w:vMerge w:val="restart"/>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b/>
                <w:color w:val="auto"/>
                <w:highlight w:val="none"/>
              </w:rPr>
              <w:t>（二）</w:t>
            </w:r>
          </w:p>
        </w:tc>
        <w:tc>
          <w:tcPr>
            <w:tcW w:w="6573" w:type="dxa"/>
          </w:tcPr>
          <w:p>
            <w:pPr>
              <w:spacing w:before="120" w:beforeLines="50" w:after="120" w:afterLines="50" w:line="360" w:lineRule="auto"/>
              <w:rPr>
                <w:rFonts w:ascii="宋体" w:hAnsi="宋体" w:cs="宋体"/>
                <w:b/>
                <w:bCs/>
                <w:color w:val="auto"/>
                <w:highlight w:val="none"/>
              </w:rPr>
            </w:pPr>
            <w:r>
              <w:rPr>
                <w:rFonts w:hint="eastAsia" w:ascii="宋体" w:hAnsi="宋体" w:cs="宋体"/>
                <w:b/>
                <w:bCs/>
                <w:color w:val="auto"/>
                <w:highlight w:val="none"/>
              </w:rPr>
              <w:t>价格部分</w:t>
            </w:r>
          </w:p>
          <w:p>
            <w:pPr>
              <w:spacing w:before="120" w:beforeLines="50" w:after="120" w:afterLines="50" w:line="360" w:lineRule="auto"/>
              <w:rPr>
                <w:rFonts w:ascii="宋体" w:hAnsi="宋体" w:cs="宋体"/>
                <w:bCs/>
                <w:color w:val="auto"/>
                <w:spacing w:val="-4"/>
                <w:highlight w:val="none"/>
              </w:rPr>
            </w:pPr>
            <w:r>
              <w:rPr>
                <w:rFonts w:hint="eastAsia" w:ascii="宋体" w:hAnsi="宋体" w:cs="宋体"/>
                <w:bCs/>
                <w:color w:val="auto"/>
                <w:spacing w:val="-4"/>
                <w:highlight w:val="none"/>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rPr>
                <w:rFonts w:ascii="宋体" w:hAnsi="宋体" w:cs="宋体"/>
                <w:b/>
                <w:bCs/>
                <w:color w:val="auto"/>
                <w:highlight w:val="none"/>
              </w:rPr>
            </w:pPr>
            <w:r>
              <w:rPr>
                <w:rFonts w:hint="eastAsia" w:ascii="宋体" w:hAnsi="宋体" w:cs="宋体"/>
                <w:color w:val="auto"/>
                <w:highlight w:val="none"/>
              </w:rPr>
              <w:t>价格分=（评标基准价/投标报价）×</w:t>
            </w:r>
            <w:r>
              <w:rPr>
                <w:rFonts w:hint="eastAsia" w:ascii="宋体" w:hAnsi="宋体" w:cs="宋体"/>
                <w:color w:val="auto"/>
                <w:highlight w:val="none"/>
                <w:u w:val="single"/>
              </w:rPr>
              <w:t>30</w:t>
            </w:r>
            <w:r>
              <w:rPr>
                <w:rFonts w:hint="eastAsia" w:ascii="宋体" w:hAnsi="宋体" w:cs="宋体"/>
                <w:color w:val="auto"/>
                <w:highlight w:val="none"/>
              </w:rPr>
              <w:t>%×100</w:t>
            </w:r>
          </w:p>
        </w:tc>
        <w:tc>
          <w:tcPr>
            <w:tcW w:w="1185" w:type="dxa"/>
            <w:vMerge w:val="restart"/>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50" w:type="dxa"/>
            <w:vMerge w:val="continue"/>
            <w:vAlign w:val="center"/>
          </w:tcPr>
          <w:p>
            <w:pPr>
              <w:spacing w:before="120" w:beforeLines="50" w:after="120" w:afterLines="50" w:line="360" w:lineRule="auto"/>
              <w:jc w:val="center"/>
              <w:rPr>
                <w:rFonts w:ascii="宋体" w:hAnsi="宋体" w:cs="宋体"/>
                <w:b/>
                <w:color w:val="auto"/>
                <w:highlight w:val="none"/>
              </w:rPr>
            </w:pPr>
          </w:p>
        </w:tc>
        <w:tc>
          <w:tcPr>
            <w:tcW w:w="6573" w:type="dxa"/>
          </w:tcPr>
          <w:p>
            <w:pPr>
              <w:spacing w:before="120" w:beforeLines="50" w:after="120" w:afterLines="50" w:line="360" w:lineRule="auto"/>
              <w:rPr>
                <w:rFonts w:ascii="宋体" w:hAnsi="宋体" w:cs="宋体"/>
                <w:color w:val="auto"/>
                <w:highlight w:val="none"/>
              </w:rPr>
            </w:pPr>
            <w:r>
              <w:rPr>
                <w:rFonts w:hint="eastAsia" w:ascii="宋体" w:hAnsi="宋体" w:cs="宋体"/>
                <w:bCs/>
                <w:color w:val="auto"/>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spacing w:before="120" w:beforeLines="50" w:after="120" w:afterLines="50" w:line="360" w:lineRule="auto"/>
              <w:jc w:val="center"/>
              <w:rPr>
                <w:rFonts w:ascii="宋体" w:hAnsi="宋体" w:cs="宋体"/>
                <w:b/>
                <w:bCs/>
                <w:color w:val="auto"/>
                <w:highlight w:val="none"/>
                <w:u w:val="single"/>
              </w:rPr>
            </w:pPr>
          </w:p>
        </w:tc>
      </w:tr>
    </w:tbl>
    <w:p>
      <w:pPr>
        <w:pStyle w:val="5"/>
        <w:jc w:val="left"/>
        <w:rPr>
          <w:rFonts w:hint="default" w:ascii="宋体" w:hAnsi="宋体" w:eastAsia="宋体" w:cs="宋体"/>
          <w:b w:val="0"/>
          <w:bCs w:val="0"/>
          <w:color w:val="auto"/>
          <w:kern w:val="2"/>
          <w:sz w:val="21"/>
          <w:szCs w:val="21"/>
          <w:highlight w:val="none"/>
          <w:lang w:val="en-US" w:eastAsia="zh-CN" w:bidi="ar-SA"/>
        </w:rPr>
      </w:pPr>
      <w:bookmarkStart w:id="233" w:name="_Toc9474"/>
      <w:r>
        <w:rPr>
          <w:rFonts w:hint="eastAsia" w:ascii="宋体" w:hAnsi="宋体" w:eastAsia="宋体" w:cs="宋体"/>
          <w:b w:val="0"/>
          <w:bCs w:val="0"/>
          <w:color w:val="auto"/>
          <w:kern w:val="2"/>
          <w:sz w:val="21"/>
          <w:szCs w:val="21"/>
          <w:highlight w:val="none"/>
          <w:lang w:val="en-US" w:eastAsia="zh-CN" w:bidi="ar-SA"/>
        </w:rPr>
        <w:t>标项</w:t>
      </w:r>
      <w:r>
        <w:rPr>
          <w:rFonts w:hint="eastAsia" w:ascii="宋体" w:cs="宋体"/>
          <w:b w:val="0"/>
          <w:bCs w:val="0"/>
          <w:color w:val="auto"/>
          <w:kern w:val="2"/>
          <w:sz w:val="21"/>
          <w:szCs w:val="21"/>
          <w:highlight w:val="none"/>
          <w:lang w:val="en-US" w:eastAsia="zh-CN" w:bidi="ar-SA"/>
        </w:rPr>
        <w:t>三</w:t>
      </w:r>
      <w:r>
        <w:rPr>
          <w:rFonts w:hint="eastAsia" w:ascii="宋体" w:hAnsi="宋体" w:eastAsia="宋体" w:cs="宋体"/>
          <w:b w:val="0"/>
          <w:bCs w:val="0"/>
          <w:color w:val="auto"/>
          <w:kern w:val="2"/>
          <w:sz w:val="21"/>
          <w:szCs w:val="21"/>
          <w:highlight w:val="none"/>
          <w:lang w:val="en-US" w:eastAsia="zh-CN" w:bidi="ar-SA"/>
        </w:rPr>
        <w:t>：</w:t>
      </w:r>
      <w:bookmarkEnd w:id="233"/>
    </w:p>
    <w:tbl>
      <w:tblPr>
        <w:tblStyle w:val="48"/>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序号</w:t>
            </w:r>
          </w:p>
        </w:tc>
        <w:tc>
          <w:tcPr>
            <w:tcW w:w="6573" w:type="dxa"/>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bCs/>
                <w:color w:val="auto"/>
                <w:highlight w:val="none"/>
              </w:rPr>
              <w:t>（一）</w:t>
            </w:r>
          </w:p>
        </w:tc>
        <w:tc>
          <w:tcPr>
            <w:tcW w:w="6573" w:type="dxa"/>
          </w:tcPr>
          <w:p>
            <w:pPr>
              <w:spacing w:before="120" w:beforeLines="50" w:after="120" w:afterLines="50" w:line="240" w:lineRule="auto"/>
              <w:rPr>
                <w:rFonts w:ascii="宋体" w:hAnsi="宋体" w:cs="宋体"/>
                <w:b/>
                <w:bCs/>
                <w:color w:val="auto"/>
                <w:highlight w:val="none"/>
              </w:rPr>
            </w:pPr>
            <w:r>
              <w:rPr>
                <w:rFonts w:hint="eastAsia" w:ascii="宋体" w:hAnsi="宋体" w:cs="宋体"/>
                <w:b/>
                <w:bCs/>
                <w:color w:val="auto"/>
                <w:highlight w:val="none"/>
              </w:rPr>
              <w:t>商务技术部分部分</w:t>
            </w:r>
          </w:p>
        </w:tc>
        <w:tc>
          <w:tcPr>
            <w:tcW w:w="1185" w:type="dxa"/>
            <w:vAlign w:val="center"/>
          </w:tcPr>
          <w:p>
            <w:pPr>
              <w:spacing w:before="120" w:beforeLines="50" w:after="120" w:afterLines="50" w:line="240" w:lineRule="auto"/>
              <w:jc w:val="center"/>
              <w:rPr>
                <w:rFonts w:ascii="宋体" w:hAnsi="宋体" w:cs="宋体"/>
                <w:b/>
                <w:bCs/>
                <w:color w:val="auto"/>
                <w:highlight w:val="none"/>
              </w:rPr>
            </w:pPr>
            <w:r>
              <w:rPr>
                <w:rFonts w:hint="eastAsia" w:ascii="宋体" w:hAnsi="宋体" w:cs="宋体"/>
                <w:b/>
                <w:color w:val="auto"/>
                <w:highlight w:val="none"/>
                <w:u w:val="single"/>
              </w:rPr>
              <w:t>70</w:t>
            </w:r>
            <w:r>
              <w:rPr>
                <w:rFonts w:hint="eastAsia" w:ascii="宋体" w:hAnsi="宋体" w:cs="宋体"/>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1</w:t>
            </w:r>
          </w:p>
        </w:tc>
        <w:tc>
          <w:tcPr>
            <w:tcW w:w="6573" w:type="dxa"/>
            <w:vAlign w:val="center"/>
          </w:tcPr>
          <w:p>
            <w:pPr>
              <w:numPr>
                <w:ilvl w:val="0"/>
                <w:numId w:val="0"/>
              </w:numPr>
              <w:spacing w:line="360" w:lineRule="auto"/>
              <w:jc w:val="left"/>
              <w:rPr>
                <w:rFonts w:hint="default" w:ascii="宋体" w:hAnsi="宋体" w:eastAsia="宋体" w:cs="宋体"/>
                <w:b/>
                <w:bCs/>
                <w:color w:val="auto"/>
                <w:highlight w:val="none"/>
                <w:lang w:val="en-US" w:eastAsia="zh-CN"/>
              </w:rPr>
            </w:pPr>
            <w:r>
              <w:rPr>
                <w:rFonts w:hint="eastAsia" w:ascii="宋体" w:hAnsi="宋体" w:cs="宋体"/>
                <w:b/>
                <w:bCs/>
                <w:color w:val="auto"/>
                <w:highlight w:val="none"/>
              </w:rPr>
              <w:t>对招标文件的技术需求（</w:t>
            </w:r>
            <w:r>
              <w:rPr>
                <w:rFonts w:hint="eastAsia" w:ascii="宋体" w:hAnsi="宋体" w:cs="宋体"/>
                <w:b/>
                <w:bCs/>
                <w:color w:val="auto"/>
                <w:highlight w:val="none"/>
                <w:lang w:val="en-US" w:eastAsia="zh-CN"/>
              </w:rPr>
              <w:t>30</w:t>
            </w:r>
            <w:r>
              <w:rPr>
                <w:rFonts w:hint="eastAsia" w:ascii="宋体" w:hAnsi="宋体" w:cs="宋体"/>
                <w:b/>
                <w:bCs/>
                <w:color w:val="auto"/>
                <w:highlight w:val="none"/>
              </w:rPr>
              <w:t>分）：</w:t>
            </w:r>
          </w:p>
          <w:p>
            <w:pPr>
              <w:numPr>
                <w:ilvl w:val="0"/>
                <w:numId w:val="0"/>
              </w:num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本项目共有</w:t>
            </w:r>
            <w:r>
              <w:rPr>
                <w:rFonts w:hint="eastAsia" w:ascii="宋体" w:hAnsi="宋体" w:cs="宋体"/>
                <w:b/>
                <w:bCs/>
                <w:color w:val="auto"/>
                <w:highlight w:val="none"/>
                <w:lang w:val="en-US" w:eastAsia="zh-CN"/>
              </w:rPr>
              <w:t>83</w:t>
            </w:r>
            <w:r>
              <w:rPr>
                <w:rFonts w:hint="eastAsia" w:ascii="宋体" w:hAnsi="宋体" w:cs="宋体"/>
                <w:b/>
                <w:bCs/>
                <w:color w:val="auto"/>
                <w:highlight w:val="none"/>
              </w:rPr>
              <w:t>项技术条款：标注“★”号的技术条款为实质性技术条款共</w:t>
            </w:r>
            <w:r>
              <w:rPr>
                <w:rFonts w:hint="eastAsia" w:ascii="宋体" w:hAnsi="宋体" w:cs="宋体"/>
                <w:b/>
                <w:bCs/>
                <w:color w:val="auto"/>
                <w:highlight w:val="none"/>
                <w:lang w:val="en-US" w:eastAsia="zh-CN"/>
              </w:rPr>
              <w:t>2</w:t>
            </w:r>
            <w:r>
              <w:rPr>
                <w:rFonts w:hint="eastAsia" w:ascii="宋体" w:hAnsi="宋体" w:cs="宋体"/>
                <w:b/>
                <w:bCs/>
                <w:color w:val="auto"/>
                <w:highlight w:val="none"/>
              </w:rPr>
              <w:t>项。其他技术条款为普通技术条款共</w:t>
            </w:r>
            <w:r>
              <w:rPr>
                <w:rFonts w:hint="eastAsia" w:ascii="宋体" w:hAnsi="宋体" w:cs="宋体"/>
                <w:b/>
                <w:bCs/>
                <w:color w:val="auto"/>
                <w:highlight w:val="none"/>
                <w:lang w:val="en-US" w:eastAsia="zh-CN"/>
              </w:rPr>
              <w:t>81</w:t>
            </w:r>
            <w:r>
              <w:rPr>
                <w:rFonts w:hint="eastAsia" w:ascii="宋体" w:hAnsi="宋体" w:cs="宋体"/>
                <w:b/>
                <w:bCs/>
                <w:color w:val="auto"/>
                <w:highlight w:val="none"/>
              </w:rPr>
              <w:t>项。</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3.1</w:t>
            </w:r>
            <w:r>
              <w:rPr>
                <w:rFonts w:hint="eastAsia" w:ascii="宋体" w:hAnsi="宋体" w:cs="宋体"/>
                <w:color w:val="auto"/>
                <w:highlight w:val="none"/>
              </w:rPr>
              <w:t>技术响应的偏离按以下进行：</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3.1.1</w:t>
            </w:r>
            <w:r>
              <w:rPr>
                <w:rFonts w:hint="eastAsia" w:ascii="宋体" w:hAnsi="宋体" w:cs="宋体"/>
                <w:color w:val="auto"/>
                <w:highlight w:val="none"/>
              </w:rPr>
              <w:t>无负偏离得满分30分；</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3.1.2</w:t>
            </w:r>
            <w:r>
              <w:rPr>
                <w:rFonts w:hint="eastAsia" w:ascii="宋体" w:hAnsi="宋体" w:cs="宋体"/>
                <w:color w:val="auto"/>
                <w:highlight w:val="none"/>
              </w:rPr>
              <w:t xml:space="preserve"> </w:t>
            </w:r>
            <w:r>
              <w:rPr>
                <w:rFonts w:hint="eastAsia" w:ascii="宋体" w:hAnsi="宋体" w:cs="宋体"/>
                <w:color w:val="auto"/>
                <w:highlight w:val="none"/>
                <w:lang w:val="en-US" w:eastAsia="zh-CN"/>
              </w:rPr>
              <w:t>一</w:t>
            </w:r>
            <w:r>
              <w:rPr>
                <w:rFonts w:hint="eastAsia" w:ascii="宋体" w:hAnsi="宋体" w:cs="宋体"/>
                <w:color w:val="auto"/>
                <w:highlight w:val="none"/>
              </w:rPr>
              <w:t>条及以上实质性技术条款负偏离的，作无效标处理;</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3.1.3</w:t>
            </w:r>
            <w:r>
              <w:rPr>
                <w:rFonts w:hint="eastAsia" w:ascii="宋体" w:hAnsi="宋体" w:cs="宋体"/>
                <w:color w:val="auto"/>
                <w:highlight w:val="none"/>
              </w:rPr>
              <w:t>普通技术条款负偏离≤</w:t>
            </w:r>
            <w:r>
              <w:rPr>
                <w:rFonts w:hint="eastAsia" w:ascii="宋体" w:hAnsi="宋体" w:cs="宋体"/>
                <w:color w:val="auto"/>
                <w:highlight w:val="none"/>
                <w:lang w:val="en-US" w:eastAsia="zh-CN"/>
              </w:rPr>
              <w:t>20</w:t>
            </w:r>
            <w:r>
              <w:rPr>
                <w:rFonts w:hint="eastAsia" w:ascii="宋体" w:hAnsi="宋体" w:cs="宋体"/>
                <w:color w:val="auto"/>
                <w:highlight w:val="none"/>
              </w:rPr>
              <w:t>条的按以下原则评审：普通技术条款每负偏离</w:t>
            </w:r>
            <w:r>
              <w:rPr>
                <w:rFonts w:hint="eastAsia" w:ascii="宋体" w:hAnsi="宋体" w:cs="宋体"/>
                <w:color w:val="auto"/>
                <w:highlight w:val="none"/>
                <w:lang w:val="en-US" w:eastAsia="zh-CN"/>
              </w:rPr>
              <w:t>一</w:t>
            </w:r>
            <w:r>
              <w:rPr>
                <w:rFonts w:hint="eastAsia" w:ascii="宋体" w:hAnsi="宋体" w:cs="宋体"/>
                <w:color w:val="auto"/>
                <w:highlight w:val="none"/>
              </w:rPr>
              <w:t>条，扣1分。</w:t>
            </w:r>
          </w:p>
          <w:p>
            <w:pPr>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3.1.4</w:t>
            </w:r>
            <w:r>
              <w:rPr>
                <w:rFonts w:hint="eastAsia" w:ascii="宋体" w:hAnsi="宋体" w:cs="宋体"/>
                <w:color w:val="auto"/>
                <w:highlight w:val="none"/>
              </w:rPr>
              <w:t>普通技术条款负偏离＞</w:t>
            </w:r>
            <w:r>
              <w:rPr>
                <w:rFonts w:hint="eastAsia" w:ascii="宋体" w:hAnsi="宋体" w:cs="宋体"/>
                <w:color w:val="auto"/>
                <w:highlight w:val="none"/>
                <w:lang w:val="en-US" w:eastAsia="zh-CN"/>
              </w:rPr>
              <w:t>20</w:t>
            </w:r>
            <w:r>
              <w:rPr>
                <w:rFonts w:hint="eastAsia" w:ascii="宋体" w:hAnsi="宋体" w:cs="宋体"/>
                <w:color w:val="auto"/>
                <w:highlight w:val="none"/>
              </w:rPr>
              <w:t>条的按以下原则评审：</w:t>
            </w:r>
          </w:p>
          <w:p>
            <w:pPr>
              <w:spacing w:line="360" w:lineRule="auto"/>
              <w:jc w:val="left"/>
              <w:rPr>
                <w:rFonts w:hint="default" w:ascii="宋体" w:hAnsi="宋体" w:eastAsia="宋体" w:cs="宋体"/>
                <w:b/>
                <w:bCs/>
                <w:color w:val="auto"/>
                <w:highlight w:val="none"/>
                <w:lang w:val="en-US" w:eastAsia="zh-CN"/>
              </w:rPr>
            </w:pPr>
            <w:r>
              <w:rPr>
                <w:rFonts w:hint="eastAsia" w:ascii="宋体" w:hAnsi="宋体" w:cs="宋体"/>
                <w:color w:val="auto"/>
                <w:highlight w:val="none"/>
              </w:rPr>
              <w:t>投标人得分=</w:t>
            </w:r>
            <w:r>
              <w:rPr>
                <w:rFonts w:hint="eastAsia" w:ascii="宋体" w:hAnsi="宋体" w:cs="宋体"/>
                <w:color w:val="auto"/>
                <w:highlight w:val="none"/>
                <w:lang w:val="en-US" w:eastAsia="zh-CN"/>
              </w:rPr>
              <w:t>10</w:t>
            </w:r>
            <w:r>
              <w:rPr>
                <w:rFonts w:hint="eastAsia" w:ascii="宋体" w:hAnsi="宋体" w:cs="宋体"/>
                <w:color w:val="auto"/>
                <w:highlight w:val="none"/>
              </w:rPr>
              <w:t>-（负偏离条数-</w:t>
            </w:r>
            <w:r>
              <w:rPr>
                <w:rFonts w:hint="eastAsia" w:ascii="宋体" w:hAnsi="宋体" w:cs="宋体"/>
                <w:color w:val="auto"/>
                <w:highlight w:val="none"/>
                <w:lang w:val="en-US" w:eastAsia="zh-CN"/>
              </w:rPr>
              <w:t>20</w:t>
            </w:r>
            <w:r>
              <w:rPr>
                <w:rFonts w:hint="eastAsia" w:ascii="宋体" w:hAnsi="宋体" w:cs="宋体"/>
                <w:color w:val="auto"/>
                <w:highlight w:val="none"/>
              </w:rPr>
              <w:t>）*</w:t>
            </w:r>
            <w:r>
              <w:rPr>
                <w:rFonts w:hint="eastAsia" w:ascii="宋体" w:hAnsi="宋体" w:cs="宋体"/>
                <w:color w:val="auto"/>
                <w:highlight w:val="none"/>
                <w:lang w:val="en-US" w:eastAsia="zh-CN"/>
              </w:rPr>
              <w:t>0.16</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lang w:val="en-US" w:eastAsia="zh-CN"/>
              </w:rPr>
              <w:t>30</w:t>
            </w:r>
            <w:r>
              <w:rPr>
                <w:rFonts w:hint="eastAsia" w:ascii="宋体" w:hAnsi="宋体" w:cs="宋体"/>
                <w:bCs/>
                <w:color w:val="auto"/>
                <w:highlight w:val="none"/>
              </w:rPr>
              <w:t>分</w:t>
            </w:r>
          </w:p>
          <w:p>
            <w:pPr>
              <w:spacing w:before="120" w:beforeLines="50" w:after="120" w:afterLines="50" w:line="360" w:lineRule="auto"/>
              <w:jc w:val="center"/>
              <w:rPr>
                <w:rFonts w:ascii="宋体" w:hAnsi="宋体" w:cs="宋体"/>
                <w:b/>
                <w:color w:val="auto"/>
                <w:highlight w:val="none"/>
                <w:u w:val="singl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6573" w:type="dxa"/>
            <w:vAlign w:val="center"/>
          </w:tcPr>
          <w:p>
            <w:pPr>
              <w:spacing w:line="360" w:lineRule="auto"/>
              <w:jc w:val="left"/>
              <w:rPr>
                <w:rFonts w:hint="eastAsia" w:ascii="宋体" w:hAnsi="宋体" w:cs="宋体"/>
                <w:b/>
                <w:bCs/>
                <w:color w:val="auto"/>
                <w:highlight w:val="none"/>
              </w:rPr>
            </w:pPr>
            <w:r>
              <w:rPr>
                <w:rFonts w:hint="eastAsia" w:ascii="宋体" w:hAnsi="宋体" w:cs="宋体"/>
                <w:b/>
                <w:bCs/>
                <w:color w:val="auto"/>
                <w:highlight w:val="none"/>
              </w:rPr>
              <w:t>销售业绩（3分）：</w:t>
            </w:r>
            <w:r>
              <w:rPr>
                <w:rFonts w:hint="eastAsia" w:ascii="宋体" w:hAnsi="宋体" w:cs="宋体"/>
                <w:b w:val="0"/>
                <w:bCs w:val="0"/>
                <w:color w:val="auto"/>
                <w:highlight w:val="none"/>
              </w:rPr>
              <w:t>投标品牌在2021年以来于销售同一型号产品，合同签订时间自2021年1月1日以来的，与最终用户签订的销售业绩，每提供一例业绩得1分。</w:t>
            </w:r>
            <w:r>
              <w:rPr>
                <w:rFonts w:hint="eastAsia" w:ascii="宋体" w:hAnsi="宋体" w:cs="宋体"/>
                <w:b/>
                <w:bCs/>
                <w:color w:val="auto"/>
                <w:highlight w:val="none"/>
              </w:rPr>
              <w:t>提供完整的合同</w:t>
            </w:r>
            <w:r>
              <w:rPr>
                <w:rFonts w:hint="eastAsia" w:ascii="宋体" w:hAnsi="宋体" w:cs="宋体"/>
                <w:b/>
                <w:bCs/>
                <w:color w:val="auto"/>
                <w:highlight w:val="none"/>
                <w:lang w:val="en-US" w:eastAsia="zh-CN"/>
              </w:rPr>
              <w:t>扫描件并加盖公章</w:t>
            </w:r>
            <w:r>
              <w:rPr>
                <w:rFonts w:hint="eastAsia" w:ascii="宋体" w:hAnsi="宋体" w:cs="宋体"/>
                <w:b/>
                <w:bCs/>
                <w:color w:val="auto"/>
                <w:highlight w:val="none"/>
              </w:rPr>
              <w:t>，</w:t>
            </w:r>
            <w:r>
              <w:rPr>
                <w:rFonts w:hint="eastAsia" w:ascii="宋体" w:hAnsi="宋体" w:cs="宋体"/>
                <w:b/>
                <w:bCs/>
                <w:color w:val="auto"/>
                <w:highlight w:val="none"/>
                <w:lang w:val="en-US" w:eastAsia="zh-CN"/>
              </w:rPr>
              <w:t>扫描件</w:t>
            </w:r>
            <w:r>
              <w:rPr>
                <w:rFonts w:hint="eastAsia" w:ascii="宋体" w:hAnsi="宋体" w:cs="宋体"/>
                <w:b/>
                <w:bCs/>
                <w:color w:val="auto"/>
                <w:highlight w:val="none"/>
              </w:rPr>
              <w:t>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lang w:val="en-US" w:eastAsia="zh-CN"/>
              </w:rPr>
              <w:t>3</w:t>
            </w:r>
            <w:r>
              <w:rPr>
                <w:rFonts w:hint="eastAsia" w:ascii="宋体" w:hAnsi="宋体" w:cs="宋体"/>
                <w:bCs/>
                <w:color w:val="auto"/>
                <w:highlight w:val="none"/>
              </w:rPr>
              <w:t>分</w:t>
            </w:r>
          </w:p>
          <w:p>
            <w:pPr>
              <w:spacing w:before="120" w:beforeLines="50" w:after="120" w:afterLines="50" w:line="360" w:lineRule="auto"/>
              <w:jc w:val="center"/>
              <w:rPr>
                <w:rFonts w:hint="eastAsia"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3</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50"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4</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bCs/>
                <w:color w:val="auto"/>
                <w:highlight w:val="none"/>
              </w:rPr>
              <w:t>安装与验收方案（5分）：</w:t>
            </w:r>
            <w:r>
              <w:rPr>
                <w:rFonts w:hint="eastAsia" w:ascii="宋体" w:hAnsi="宋体" w:cs="宋体"/>
                <w:b w:val="0"/>
                <w:bCs w:val="0"/>
                <w:color w:val="auto"/>
                <w:highlight w:val="none"/>
                <w:lang w:val="en-US" w:eastAsia="zh-CN"/>
              </w:rPr>
              <w:t>根据</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Align w:val="center"/>
          </w:tcPr>
          <w:p>
            <w:pPr>
              <w:spacing w:before="120" w:beforeLines="50" w:after="120" w:afterLines="50" w:line="360" w:lineRule="auto"/>
              <w:jc w:val="center"/>
              <w:rPr>
                <w:rFonts w:hint="eastAsia" w:ascii="宋体" w:hAnsi="宋体" w:cs="宋体"/>
                <w:color w:val="auto"/>
                <w:highlight w:val="none"/>
              </w:rPr>
            </w:pPr>
          </w:p>
        </w:tc>
        <w:tc>
          <w:tcPr>
            <w:tcW w:w="6573" w:type="dxa"/>
            <w:vAlign w:val="center"/>
          </w:tcPr>
          <w:p>
            <w:pPr>
              <w:spacing w:line="360" w:lineRule="auto"/>
              <w:rPr>
                <w:rFonts w:hint="default"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restart"/>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w:t>
            </w: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hint="eastAsia" w:ascii="宋体" w:hAnsi="宋体" w:cs="宋体"/>
                <w:color w:val="auto"/>
                <w:highlight w:val="none"/>
              </w:rPr>
            </w:pP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Merge w:val="continue"/>
            <w:vAlign w:val="center"/>
          </w:tcPr>
          <w:p>
            <w:pPr>
              <w:spacing w:before="120" w:beforeLines="50" w:after="120" w:afterLines="50" w:line="360" w:lineRule="auto"/>
              <w:jc w:val="center"/>
              <w:rPr>
                <w:rFonts w:ascii="宋体" w:hAnsi="宋体" w:cs="宋体"/>
                <w:color w:val="auto"/>
                <w:highlight w:val="none"/>
              </w:rPr>
            </w:pPr>
          </w:p>
        </w:tc>
        <w:tc>
          <w:tcPr>
            <w:tcW w:w="6573" w:type="dxa"/>
            <w:vAlign w:val="center"/>
          </w:tcPr>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suppressLineNumbers w:val="0"/>
              <w:adjustRightInd/>
              <w:spacing w:before="0" w:beforeAutospacing="0" w:after="0" w:afterAutospacing="0" w:line="360" w:lineRule="auto"/>
              <w:ind w:left="0" w:right="0"/>
              <w:rPr>
                <w:rFonts w:ascii="宋体" w:hAnsi="宋体" w:cs="宋体"/>
                <w:color w:val="auto"/>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spacing w:line="360" w:lineRule="auto"/>
              <w:rPr>
                <w:rFonts w:ascii="宋体" w:hAnsi="宋体" w:cs="宋体"/>
                <w:color w:val="auto"/>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50" w:type="dxa"/>
            <w:vAlign w:val="center"/>
          </w:tcPr>
          <w:p>
            <w:pPr>
              <w:spacing w:before="120" w:beforeLines="50" w:after="120" w:afterLines="50"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7</w:t>
            </w:r>
          </w:p>
        </w:tc>
        <w:tc>
          <w:tcPr>
            <w:tcW w:w="6573" w:type="dxa"/>
            <w:vAlign w:val="center"/>
          </w:tcPr>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w:t>
            </w:r>
            <w:r>
              <w:rPr>
                <w:rFonts w:hint="eastAsia" w:ascii="宋体" w:hAnsi="宋体" w:cs="宋体"/>
                <w:b w:val="0"/>
                <w:bCs w:val="0"/>
                <w:i w:val="0"/>
                <w:iCs w:val="0"/>
                <w:color w:val="auto"/>
                <w:sz w:val="21"/>
                <w:szCs w:val="21"/>
                <w:highlight w:val="none"/>
                <w:lang w:val="en-US" w:eastAsia="zh-CN"/>
              </w:rPr>
              <w:t>；④维修质量的保障，</w:t>
            </w:r>
            <w:r>
              <w:rPr>
                <w:rFonts w:hint="eastAsia" w:ascii="宋体" w:hAnsi="宋体" w:eastAsia="宋体" w:cs="宋体"/>
                <w:b w:val="0"/>
                <w:bCs w:val="0"/>
                <w:i w:val="0"/>
                <w:iCs w:val="0"/>
                <w:color w:val="auto"/>
                <w:sz w:val="21"/>
                <w:szCs w:val="21"/>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60" w:lineRule="auto"/>
              <w:ind w:left="0" w:right="0"/>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spacing w:line="360" w:lineRule="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spacing w:before="120" w:beforeLines="50" w:after="120" w:afterLines="50" w:line="360" w:lineRule="auto"/>
              <w:jc w:val="center"/>
              <w:rPr>
                <w:rFonts w:ascii="宋体" w:hAnsi="宋体" w:cs="宋体"/>
                <w:color w:val="auto"/>
                <w:highlight w:val="none"/>
              </w:rPr>
            </w:pPr>
            <w:r>
              <w:rPr>
                <w:rFonts w:hint="eastAsia" w:ascii="宋体" w:hAnsi="宋体" w:cs="宋体"/>
                <w:color w:val="auto"/>
                <w:highlight w:val="none"/>
              </w:rPr>
              <w:t>5分</w:t>
            </w:r>
          </w:p>
          <w:p>
            <w:pPr>
              <w:spacing w:before="120" w:beforeLines="50" w:after="120" w:afterLines="50" w:line="360" w:lineRule="auto"/>
              <w:jc w:val="center"/>
              <w:rPr>
                <w:rFonts w:hint="eastAsia"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before="120" w:beforeLines="50" w:after="120" w:afterLines="50" w:line="360" w:lineRule="auto"/>
              <w:jc w:val="center"/>
              <w:rPr>
                <w:rFonts w:hint="eastAsia" w:ascii="宋体" w:hAnsi="宋体" w:eastAsia="宋体" w:cs="宋体"/>
                <w:b/>
                <w:bCs/>
                <w:color w:val="auto"/>
                <w:highlight w:val="none"/>
                <w:lang w:eastAsia="zh-CN"/>
              </w:rPr>
            </w:pPr>
            <w:r>
              <w:rPr>
                <w:rFonts w:hint="eastAsia" w:ascii="宋体" w:hAnsi="宋体" w:cs="宋体"/>
                <w:color w:val="auto"/>
                <w:highlight w:val="none"/>
                <w:lang w:val="en-US" w:eastAsia="zh-CN"/>
              </w:rPr>
              <w:t>8</w:t>
            </w:r>
          </w:p>
        </w:tc>
        <w:tc>
          <w:tcPr>
            <w:tcW w:w="6573" w:type="dxa"/>
          </w:tcPr>
          <w:p>
            <w:pPr>
              <w:spacing w:line="360" w:lineRule="auto"/>
              <w:ind w:right="-21" w:rightChars="-10"/>
              <w:rPr>
                <w:rFonts w:ascii="宋体" w:hAnsi="宋体" w:cs="宋体"/>
                <w:b/>
                <w:bCs/>
                <w:color w:val="auto"/>
                <w:highlight w:val="none"/>
              </w:rPr>
            </w:pPr>
            <w:r>
              <w:rPr>
                <w:rFonts w:hint="eastAsia" w:ascii="宋体" w:hAnsi="宋体" w:cs="宋体"/>
                <w:b/>
                <w:bCs/>
                <w:color w:val="auto"/>
                <w:highlight w:val="none"/>
              </w:rPr>
              <w:t>政府采购政策（2分）：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napToGrid w:val="0"/>
              <w:spacing w:line="360" w:lineRule="auto"/>
              <w:ind w:firstLine="350" w:firstLineChars="167"/>
              <w:rPr>
                <w:rFonts w:ascii="宋体" w:hAnsi="宋体" w:cs="宋体"/>
                <w:color w:val="auto"/>
                <w:highlight w:val="none"/>
              </w:rPr>
            </w:pPr>
            <w:r>
              <w:rPr>
                <w:rFonts w:hint="eastAsia" w:ascii="宋体" w:hAnsi="宋体" w:cs="宋体"/>
                <w:color w:val="auto"/>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2分</w:t>
            </w:r>
          </w:p>
          <w:p>
            <w:pPr>
              <w:spacing w:before="120" w:beforeLines="50" w:after="120" w:afterLines="50" w:line="360" w:lineRule="auto"/>
              <w:jc w:val="center"/>
              <w:rPr>
                <w:rFonts w:ascii="宋体" w:hAnsi="宋体" w:cs="宋体"/>
                <w:bCs/>
                <w:color w:val="auto"/>
                <w:highlight w:val="none"/>
              </w:rPr>
            </w:pPr>
            <w:r>
              <w:rPr>
                <w:rFonts w:hint="eastAsia" w:ascii="宋体" w:hAnsi="宋体" w:cs="宋体"/>
                <w:bCs/>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50" w:type="dxa"/>
            <w:vMerge w:val="restart"/>
            <w:vAlign w:val="center"/>
          </w:tcPr>
          <w:p>
            <w:pPr>
              <w:spacing w:before="120" w:beforeLines="50" w:after="120" w:afterLines="50" w:line="360" w:lineRule="auto"/>
              <w:jc w:val="center"/>
              <w:rPr>
                <w:rFonts w:ascii="宋体" w:hAnsi="宋体" w:cs="宋体"/>
                <w:b/>
                <w:bCs/>
                <w:color w:val="auto"/>
                <w:highlight w:val="none"/>
              </w:rPr>
            </w:pPr>
            <w:r>
              <w:rPr>
                <w:rFonts w:hint="eastAsia" w:ascii="宋体" w:hAnsi="宋体" w:cs="宋体"/>
                <w:b/>
                <w:color w:val="auto"/>
                <w:highlight w:val="none"/>
              </w:rPr>
              <w:t>（二）</w:t>
            </w:r>
          </w:p>
        </w:tc>
        <w:tc>
          <w:tcPr>
            <w:tcW w:w="6573" w:type="dxa"/>
          </w:tcPr>
          <w:p>
            <w:pPr>
              <w:spacing w:before="120" w:beforeLines="50" w:after="120" w:afterLines="50" w:line="360" w:lineRule="auto"/>
              <w:rPr>
                <w:rFonts w:ascii="宋体" w:hAnsi="宋体" w:cs="宋体"/>
                <w:b/>
                <w:bCs/>
                <w:color w:val="auto"/>
                <w:highlight w:val="none"/>
              </w:rPr>
            </w:pPr>
            <w:r>
              <w:rPr>
                <w:rFonts w:hint="eastAsia" w:ascii="宋体" w:hAnsi="宋体" w:cs="宋体"/>
                <w:b/>
                <w:bCs/>
                <w:color w:val="auto"/>
                <w:highlight w:val="none"/>
              </w:rPr>
              <w:t>价格部分</w:t>
            </w:r>
          </w:p>
          <w:p>
            <w:pPr>
              <w:spacing w:before="120" w:beforeLines="50" w:after="120" w:afterLines="50" w:line="360" w:lineRule="auto"/>
              <w:rPr>
                <w:rFonts w:ascii="宋体" w:hAnsi="宋体" w:cs="宋体"/>
                <w:bCs/>
                <w:color w:val="auto"/>
                <w:spacing w:val="-4"/>
                <w:highlight w:val="none"/>
              </w:rPr>
            </w:pPr>
            <w:r>
              <w:rPr>
                <w:rFonts w:hint="eastAsia" w:ascii="宋体" w:hAnsi="宋体" w:cs="宋体"/>
                <w:bCs/>
                <w:color w:val="auto"/>
                <w:spacing w:val="-4"/>
                <w:highlight w:val="none"/>
              </w:rPr>
              <w:t>价格分采用低价优先法计算，即满足招标文件要求且投标价格最低的投标报价为评标基准价，其价格分为满分。其他投标人的价格分按照下列公式计算：</w:t>
            </w:r>
          </w:p>
          <w:p>
            <w:pPr>
              <w:spacing w:before="120" w:beforeLines="50" w:after="120" w:afterLines="50" w:line="360" w:lineRule="auto"/>
              <w:rPr>
                <w:rFonts w:ascii="宋体" w:hAnsi="宋体" w:cs="宋体"/>
                <w:b/>
                <w:bCs/>
                <w:color w:val="auto"/>
                <w:highlight w:val="none"/>
              </w:rPr>
            </w:pPr>
            <w:r>
              <w:rPr>
                <w:rFonts w:hint="eastAsia" w:ascii="宋体" w:hAnsi="宋体" w:cs="宋体"/>
                <w:color w:val="auto"/>
                <w:highlight w:val="none"/>
              </w:rPr>
              <w:t>价格分=（评标基准价/投标报价）×</w:t>
            </w:r>
            <w:r>
              <w:rPr>
                <w:rFonts w:hint="eastAsia" w:ascii="宋体" w:hAnsi="宋体" w:cs="宋体"/>
                <w:color w:val="auto"/>
                <w:highlight w:val="none"/>
                <w:u w:val="single"/>
              </w:rPr>
              <w:t>30</w:t>
            </w:r>
            <w:r>
              <w:rPr>
                <w:rFonts w:hint="eastAsia" w:ascii="宋体" w:hAnsi="宋体" w:cs="宋体"/>
                <w:color w:val="auto"/>
                <w:highlight w:val="none"/>
              </w:rPr>
              <w:t>%×100</w:t>
            </w:r>
          </w:p>
        </w:tc>
        <w:tc>
          <w:tcPr>
            <w:tcW w:w="1185" w:type="dxa"/>
            <w:vMerge w:val="restart"/>
            <w:vAlign w:val="center"/>
          </w:tcPr>
          <w:p>
            <w:pPr>
              <w:spacing w:before="120" w:beforeLines="50" w:after="120" w:afterLines="50" w:line="360" w:lineRule="auto"/>
              <w:jc w:val="center"/>
              <w:rPr>
                <w:rFonts w:ascii="宋体" w:hAnsi="宋体" w:cs="宋体"/>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50" w:type="dxa"/>
            <w:vMerge w:val="continue"/>
            <w:vAlign w:val="center"/>
          </w:tcPr>
          <w:p>
            <w:pPr>
              <w:spacing w:before="120" w:beforeLines="50" w:after="120" w:afterLines="50" w:line="360" w:lineRule="auto"/>
              <w:jc w:val="center"/>
              <w:rPr>
                <w:rFonts w:ascii="宋体" w:hAnsi="宋体" w:cs="宋体"/>
                <w:b/>
                <w:color w:val="auto"/>
                <w:highlight w:val="none"/>
              </w:rPr>
            </w:pPr>
          </w:p>
        </w:tc>
        <w:tc>
          <w:tcPr>
            <w:tcW w:w="6573" w:type="dxa"/>
          </w:tcPr>
          <w:p>
            <w:pPr>
              <w:spacing w:before="120" w:beforeLines="50" w:after="120" w:afterLines="50" w:line="360" w:lineRule="auto"/>
              <w:rPr>
                <w:rFonts w:ascii="宋体" w:hAnsi="宋体" w:cs="宋体"/>
                <w:color w:val="auto"/>
                <w:highlight w:val="none"/>
              </w:rPr>
            </w:pPr>
            <w:r>
              <w:rPr>
                <w:rFonts w:hint="eastAsia" w:ascii="宋体" w:hAnsi="宋体" w:cs="宋体"/>
                <w:bCs/>
                <w:color w:val="auto"/>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spacing w:before="120" w:beforeLines="50" w:after="120" w:afterLines="50" w:line="360" w:lineRule="auto"/>
              <w:jc w:val="center"/>
              <w:rPr>
                <w:rFonts w:ascii="宋体" w:hAnsi="宋体" w:cs="宋体"/>
                <w:b/>
                <w:bCs/>
                <w:color w:val="auto"/>
                <w:highlight w:val="none"/>
                <w:u w:val="single"/>
              </w:rPr>
            </w:pPr>
          </w:p>
        </w:tc>
      </w:tr>
    </w:tbl>
    <w:p>
      <w:pPr>
        <w:spacing w:before="120" w:beforeLines="50" w:after="120" w:afterLines="50" w:line="360" w:lineRule="auto"/>
        <w:rPr>
          <w:rFonts w:ascii="宋体" w:hAnsi="宋体" w:cs="宋体"/>
          <w:b/>
          <w:color w:val="auto"/>
          <w:highlight w:val="none"/>
        </w:rPr>
      </w:pPr>
      <w:r>
        <w:rPr>
          <w:rFonts w:hint="eastAsia" w:ascii="宋体" w:hAnsi="宋体" w:cs="宋体"/>
          <w:b/>
          <w:color w:val="auto"/>
          <w:highlight w:val="none"/>
        </w:rPr>
        <w:t>六、定标</w:t>
      </w:r>
      <w:bookmarkEnd w:id="229"/>
    </w:p>
    <w:p>
      <w:pPr>
        <w:spacing w:before="120" w:beforeLines="50" w:after="120" w:afterLines="50" w:line="360" w:lineRule="auto"/>
        <w:ind w:firstLine="413" w:firstLineChars="196"/>
        <w:rPr>
          <w:rFonts w:ascii="宋体" w:hAnsi="宋体" w:cs="宋体"/>
          <w:b/>
          <w:bCs/>
          <w:color w:val="auto"/>
          <w:highlight w:val="none"/>
        </w:rPr>
      </w:pPr>
      <w:r>
        <w:rPr>
          <w:rFonts w:hint="eastAsia" w:ascii="宋体" w:hAnsi="宋体" w:cs="宋体"/>
          <w:b/>
          <w:bCs/>
          <w:color w:val="auto"/>
          <w:highlight w:val="none"/>
        </w:rPr>
        <w:t>（一）确定中标供应商。本项目由采购人（或采购人事先授权评标委员会）确定中标供应商。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1.采购代理机构在评标结束后将评标报告交采购人确认。</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2.供应商对评标结果无异议的，采购人应在收到评标报告后5个工作日内对评标结果进行确认，按评标报告推荐的顺序确定排名第一的中标候选人为中标人。</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3.采购人依法确定中标供应商后2个工作日内，采购代理机构以书面形式发出《中标通知书》,并同时在相关网站上发布中标公告。</w:t>
      </w:r>
    </w:p>
    <w:p>
      <w:pPr>
        <w:spacing w:line="360" w:lineRule="auto"/>
        <w:ind w:firstLine="420" w:firstLineChars="200"/>
        <w:rPr>
          <w:rFonts w:ascii="宋体" w:hAnsi="宋体" w:cs="宋体"/>
          <w:color w:val="auto"/>
          <w:highlight w:val="none"/>
          <w:lang w:bidi="ar"/>
        </w:rPr>
      </w:pPr>
      <w:r>
        <w:rPr>
          <w:rFonts w:hint="eastAsia" w:ascii="宋体" w:hAnsi="宋体" w:cs="宋体"/>
          <w:color w:val="auto"/>
          <w:highlight w:val="none"/>
        </w:rPr>
        <w:t>4.</w:t>
      </w:r>
      <w:r>
        <w:rPr>
          <w:rFonts w:hint="eastAsia" w:ascii="宋体" w:hAnsi="宋体" w:cs="宋体"/>
          <w:color w:val="auto"/>
          <w:highlight w:val="none"/>
          <w:lang w:bidi="ar"/>
        </w:rPr>
        <w:t>若中标供应商放弃中标，或因不可抗力提出不能履行合同，或不按采购文件规定提交履约担保，或其它原因被依法撤销中标资格，则采购人可确定排名次之的中标候选人为中标人或重新组织招标。</w:t>
      </w:r>
    </w:p>
    <w:p>
      <w:pPr>
        <w:spacing w:line="360" w:lineRule="auto"/>
        <w:ind w:firstLine="422" w:firstLineChars="200"/>
        <w:rPr>
          <w:rFonts w:ascii="宋体" w:hAnsi="宋体" w:cs="宋体"/>
          <w:b/>
          <w:bCs/>
          <w:color w:val="auto"/>
          <w:highlight w:val="none"/>
          <w:lang w:bidi="ar"/>
        </w:rPr>
      </w:pPr>
      <w:r>
        <w:rPr>
          <w:rFonts w:hint="eastAsia" w:ascii="宋体" w:hAnsi="宋体" w:cs="宋体"/>
          <w:b/>
          <w:bCs/>
          <w:color w:val="auto"/>
          <w:highlight w:val="none"/>
          <w:lang w:bidi="ar"/>
        </w:rPr>
        <w:t>七、评标过程的监控与保密</w:t>
      </w:r>
    </w:p>
    <w:p>
      <w:pPr>
        <w:spacing w:line="360" w:lineRule="auto"/>
        <w:ind w:firstLine="420" w:firstLineChars="200"/>
        <w:rPr>
          <w:rFonts w:ascii="宋体" w:hAnsi="宋体" w:cs="宋体"/>
          <w:color w:val="auto"/>
          <w:highlight w:val="none"/>
          <w:lang w:bidi="ar"/>
        </w:rPr>
      </w:pPr>
      <w:r>
        <w:rPr>
          <w:rFonts w:hint="eastAsia" w:ascii="宋体" w:hAnsi="宋体" w:cs="宋体"/>
          <w:color w:val="auto"/>
          <w:highlight w:val="none"/>
          <w:lang w:bidi="ar"/>
        </w:rPr>
        <w:t>1、本项目评标过程实行全程录音、录像监控，供应商在评标过程中所进行的试图影响评标结果的不公正活动，可能导致其投标被拒绝。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cs="宋体"/>
          <w:color w:val="auto"/>
          <w:highlight w:val="none"/>
          <w:lang w:bidi="ar"/>
        </w:rPr>
      </w:pPr>
      <w:r>
        <w:rPr>
          <w:rFonts w:hint="eastAsia" w:ascii="宋体" w:hAnsi="宋体" w:cs="宋体"/>
          <w:color w:val="auto"/>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ind w:firstLine="413" w:firstLineChars="196"/>
        <w:rPr>
          <w:rFonts w:ascii="宋体" w:hAnsi="宋体" w:cs="宋体"/>
          <w:b/>
          <w:bCs/>
          <w:color w:val="auto"/>
          <w:highlight w:val="none"/>
        </w:rPr>
      </w:pPr>
      <w:bookmarkStart w:id="234" w:name="_Toc17747"/>
      <w:r>
        <w:rPr>
          <w:rFonts w:hint="eastAsia" w:ascii="宋体" w:hAnsi="宋体" w:cs="宋体"/>
          <w:b/>
          <w:color w:val="auto"/>
          <w:highlight w:val="none"/>
        </w:rPr>
        <w:t>八、合同授予</w:t>
      </w:r>
      <w:bookmarkEnd w:id="234"/>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采购人不得向中标人提出任何不合理的要求作为签订合同的条件。</w:t>
      </w:r>
    </w:p>
    <w:p>
      <w:pPr>
        <w:spacing w:before="120" w:beforeLines="50" w:after="120" w:afterLines="50" w:line="360" w:lineRule="auto"/>
        <w:ind w:firstLine="411" w:firstLineChars="196"/>
        <w:rPr>
          <w:rFonts w:ascii="宋体" w:hAnsi="宋体" w:cs="宋体"/>
          <w:bCs/>
          <w:color w:val="auto"/>
          <w:highlight w:val="none"/>
        </w:rPr>
      </w:pPr>
      <w:r>
        <w:rPr>
          <w:rFonts w:hint="eastAsia" w:ascii="宋体" w:hAnsi="宋体" w:cs="宋体"/>
          <w:bCs/>
          <w:color w:val="auto"/>
          <w:highlight w:val="none"/>
        </w:rPr>
        <w:t>2</w:t>
      </w:r>
      <w:r>
        <w:rPr>
          <w:rFonts w:hint="eastAsia" w:ascii="宋体" w:hAnsi="宋体" w:cs="宋体"/>
          <w:color w:val="auto"/>
          <w:highlight w:val="none"/>
        </w:rPr>
        <w:t>.</w:t>
      </w:r>
      <w:r>
        <w:rPr>
          <w:rFonts w:hint="eastAsia" w:ascii="宋体" w:hAnsi="宋体" w:cs="宋体"/>
          <w:bCs/>
          <w:color w:val="auto"/>
          <w:highlight w:val="none"/>
        </w:rPr>
        <w:t>采购人在签订合同时，在合同金额变更范围内，如需审批的办理相关审批手续。有权变更采购项目的数量和服务内容，但不能对单价或其他条款和条件</w:t>
      </w:r>
      <w:bookmarkStart w:id="253" w:name="_GoBack"/>
      <w:bookmarkEnd w:id="253"/>
      <w:r>
        <w:rPr>
          <w:rFonts w:hint="eastAsia" w:ascii="宋体" w:hAnsi="宋体" w:cs="宋体"/>
          <w:bCs/>
          <w:color w:val="auto"/>
          <w:highlight w:val="none"/>
        </w:rPr>
        <w:t>作任何改变。</w:t>
      </w:r>
    </w:p>
    <w:p>
      <w:pPr>
        <w:spacing w:before="120" w:beforeLines="50" w:after="120" w:afterLines="50" w:line="360" w:lineRule="auto"/>
        <w:ind w:firstLine="411" w:firstLineChars="196"/>
        <w:rPr>
          <w:rFonts w:ascii="宋体" w:hAnsi="宋体" w:cs="宋体"/>
          <w:bCs/>
          <w:color w:val="auto"/>
          <w:highlight w:val="none"/>
        </w:rPr>
      </w:pPr>
      <w:r>
        <w:rPr>
          <w:rFonts w:hint="eastAsia" w:ascii="宋体" w:hAnsi="宋体" w:cs="宋体"/>
          <w:bCs/>
          <w:color w:val="auto"/>
          <w:highlight w:val="none"/>
        </w:rPr>
        <w:t>3</w:t>
      </w:r>
      <w:r>
        <w:rPr>
          <w:rFonts w:hint="eastAsia" w:ascii="宋体" w:hAnsi="宋体" w:cs="宋体"/>
          <w:color w:val="auto"/>
          <w:highlight w:val="none"/>
        </w:rPr>
        <w:t>.</w:t>
      </w:r>
      <w:r>
        <w:rPr>
          <w:rFonts w:hint="eastAsia" w:ascii="宋体" w:hAnsi="宋体" w:cs="宋体"/>
          <w:bCs/>
          <w:color w:val="auto"/>
          <w:highlight w:val="none"/>
        </w:rPr>
        <w:t>采购文件、中标供应商的投标文件及评标过程中有关的澄清文件均应作为合同签订的附件。</w:t>
      </w:r>
    </w:p>
    <w:p>
      <w:pPr>
        <w:spacing w:before="120" w:beforeLines="50" w:after="120" w:afterLines="50" w:line="360" w:lineRule="auto"/>
        <w:ind w:firstLine="411" w:firstLineChars="196"/>
        <w:rPr>
          <w:rFonts w:ascii="宋体" w:hAnsi="宋体" w:cs="宋体"/>
          <w:bCs/>
          <w:color w:val="auto"/>
          <w:highlight w:val="none"/>
        </w:rPr>
      </w:pPr>
      <w:r>
        <w:rPr>
          <w:rFonts w:hint="eastAsia" w:ascii="宋体" w:hAnsi="宋体" w:cs="宋体"/>
          <w:bCs/>
          <w:color w:val="auto"/>
          <w:highlight w:val="none"/>
        </w:rPr>
        <w:t>4.中标或者成交供应商拒绝与采购人签订合同的，采购人应重新招标。</w:t>
      </w:r>
    </w:p>
    <w:p>
      <w:pPr>
        <w:spacing w:line="360" w:lineRule="auto"/>
        <w:ind w:firstLine="413" w:firstLineChars="196"/>
        <w:rPr>
          <w:rFonts w:ascii="宋体" w:hAnsi="宋体" w:cs="宋体"/>
          <w:b/>
          <w:color w:val="auto"/>
          <w:highlight w:val="none"/>
        </w:rPr>
      </w:pPr>
      <w:r>
        <w:rPr>
          <w:rFonts w:hint="eastAsia" w:ascii="宋体" w:hAnsi="宋体" w:cs="宋体"/>
          <w:b/>
          <w:color w:val="auto"/>
          <w:highlight w:val="none"/>
        </w:rPr>
        <w:t>九、履约验收</w:t>
      </w:r>
    </w:p>
    <w:p>
      <w:pPr>
        <w:spacing w:before="120" w:beforeLines="50" w:after="120" w:afterLines="50" w:line="360" w:lineRule="auto"/>
        <w:ind w:firstLine="411" w:firstLineChars="196"/>
        <w:rPr>
          <w:rFonts w:ascii="宋体" w:hAnsi="宋体" w:cs="宋体"/>
          <w:color w:val="auto"/>
          <w:highlight w:val="none"/>
        </w:rPr>
      </w:pPr>
      <w:r>
        <w:rPr>
          <w:rFonts w:hint="eastAsia" w:ascii="宋体" w:hAnsi="宋体" w:cs="宋体"/>
          <w:bCs/>
          <w:color w:val="auto"/>
          <w:highlight w:val="none"/>
        </w:rPr>
        <w:t>采购人负责对中标供应商的履约行为进行验收。政府向社会公众提供的公共服务项目，验收时应当邀请服务对象参与并出具意见，验收结果应当向社会公告。</w:t>
      </w:r>
    </w:p>
    <w:p>
      <w:pPr>
        <w:pStyle w:val="5"/>
        <w:rPr>
          <w:rFonts w:ascii="宋体" w:cs="宋体"/>
          <w:color w:val="auto"/>
          <w:highlight w:val="none"/>
        </w:rPr>
        <w:sectPr>
          <w:pgSz w:w="11906" w:h="16838"/>
          <w:pgMar w:top="1474" w:right="1797" w:bottom="1247" w:left="1797" w:header="851" w:footer="851" w:gutter="0"/>
          <w:cols w:space="720" w:num="1"/>
          <w:titlePg/>
          <w:docGrid w:linePitch="312" w:charSpace="0"/>
        </w:sectPr>
      </w:pPr>
    </w:p>
    <w:bookmarkEnd w:id="230"/>
    <w:bookmarkEnd w:id="231"/>
    <w:p>
      <w:pPr>
        <w:pStyle w:val="5"/>
        <w:rPr>
          <w:rFonts w:ascii="宋体" w:cs="宋体"/>
          <w:color w:val="auto"/>
          <w:highlight w:val="none"/>
        </w:rPr>
      </w:pPr>
      <w:bookmarkStart w:id="235" w:name="_Toc15863"/>
      <w:r>
        <w:rPr>
          <w:rFonts w:hint="eastAsia" w:ascii="宋体" w:cs="宋体"/>
          <w:color w:val="auto"/>
          <w:highlight w:val="none"/>
        </w:rPr>
        <w:t>第五章  合同主要条款</w:t>
      </w:r>
      <w:bookmarkEnd w:id="235"/>
    </w:p>
    <w:p>
      <w:pPr>
        <w:rPr>
          <w:rFonts w:ascii="宋体" w:hAnsi="宋体" w:cs="宋体"/>
          <w:b/>
          <w:bCs/>
          <w:color w:val="auto"/>
          <w:sz w:val="32"/>
          <w:szCs w:val="32"/>
          <w:highlight w:val="none"/>
        </w:rPr>
      </w:pPr>
      <w:r>
        <w:rPr>
          <w:rFonts w:hint="eastAsia" w:ascii="宋体" w:hAnsi="宋体" w:cs="宋体"/>
          <w:b/>
          <w:bCs/>
          <w:color w:val="auto"/>
          <w:highlight w:val="none"/>
        </w:rPr>
        <w:t xml:space="preserve">合同编号： </w:t>
      </w:r>
      <w:r>
        <w:rPr>
          <w:rFonts w:hint="eastAsia" w:ascii="宋体" w:hAnsi="宋体" w:cs="宋体"/>
          <w:b/>
          <w:bCs/>
          <w:color w:val="auto"/>
          <w:sz w:val="32"/>
          <w:szCs w:val="32"/>
          <w:highlight w:val="none"/>
        </w:rPr>
        <w:t xml:space="preserve">                         </w:t>
      </w:r>
      <w:r>
        <w:rPr>
          <w:rFonts w:hint="eastAsia" w:ascii="宋体" w:hAnsi="宋体" w:cs="宋体"/>
          <w:b/>
          <w:bCs/>
          <w:color w:val="auto"/>
          <w:highlight w:val="none"/>
        </w:rPr>
        <w:t>签约地  ：</w:t>
      </w:r>
      <w:r>
        <w:rPr>
          <w:rFonts w:hint="eastAsia" w:ascii="宋体" w:hAnsi="宋体" w:cs="宋体"/>
          <w:b/>
          <w:bCs/>
          <w:color w:val="auto"/>
          <w:sz w:val="24"/>
          <w:szCs w:val="24"/>
          <w:highlight w:val="none"/>
        </w:rPr>
        <w:t xml:space="preserve">                                 </w:t>
      </w:r>
    </w:p>
    <w:p>
      <w:pPr>
        <w:spacing w:line="340" w:lineRule="exact"/>
        <w:rPr>
          <w:rFonts w:ascii="宋体" w:hAnsi="宋体" w:cs="宋体"/>
          <w:b/>
          <w:bCs/>
          <w:color w:val="auto"/>
          <w:highlight w:val="none"/>
        </w:rPr>
      </w:pPr>
      <w:r>
        <w:rPr>
          <w:rFonts w:hint="eastAsia" w:ascii="宋体" w:hAnsi="宋体" w:cs="宋体"/>
          <w:b/>
          <w:bCs/>
          <w:color w:val="auto"/>
          <w:highlight w:val="none"/>
        </w:rPr>
        <w:t xml:space="preserve">甲方（买方）：                     </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rPr>
        <w:t>乙方（卖方）：</w:t>
      </w:r>
    </w:p>
    <w:p>
      <w:pPr>
        <w:pStyle w:val="21"/>
        <w:spacing w:line="340" w:lineRule="exact"/>
        <w:ind w:firstLine="0"/>
        <w:rPr>
          <w:rFonts w:hAnsi="宋体"/>
          <w:color w:val="auto"/>
          <w:sz w:val="21"/>
          <w:szCs w:val="21"/>
          <w:highlight w:val="none"/>
        </w:rPr>
      </w:pPr>
      <w:r>
        <w:rPr>
          <w:rFonts w:hint="eastAsia" w:hAnsi="宋体"/>
          <w:b/>
          <w:bCs/>
          <w:color w:val="auto"/>
          <w:sz w:val="21"/>
          <w:szCs w:val="21"/>
          <w:highlight w:val="none"/>
        </w:rPr>
        <w:t>1.</w:t>
      </w:r>
      <w:r>
        <w:rPr>
          <w:rFonts w:hint="eastAsia" w:hAnsi="宋体"/>
          <w:color w:val="auto"/>
          <w:sz w:val="21"/>
          <w:szCs w:val="21"/>
          <w:highlight w:val="none"/>
        </w:rPr>
        <w:t>甲乙双方根据《中华人民共和国民典法》，在平等互利、协商一致的基础上，买方同意向卖方</w:t>
      </w:r>
    </w:p>
    <w:p>
      <w:pPr>
        <w:pStyle w:val="21"/>
        <w:spacing w:line="340" w:lineRule="exact"/>
        <w:ind w:left="329" w:leftChars="-228" w:hanging="808" w:hangingChars="400"/>
        <w:rPr>
          <w:rFonts w:hAnsi="宋体"/>
          <w:b/>
          <w:bCs/>
          <w:color w:val="auto"/>
          <w:sz w:val="21"/>
          <w:szCs w:val="21"/>
          <w:highlight w:val="none"/>
        </w:rPr>
      </w:pPr>
      <w:r>
        <w:rPr>
          <w:rFonts w:hint="eastAsia" w:hAnsi="宋体"/>
          <w:color w:val="auto"/>
          <w:sz w:val="21"/>
          <w:szCs w:val="21"/>
          <w:highlight w:val="none"/>
        </w:rPr>
        <w:t xml:space="preserve">        购买同时卖方同意授予买方以下设备（</w:t>
      </w:r>
      <w:r>
        <w:rPr>
          <w:rFonts w:hint="eastAsia" w:hAnsi="宋体"/>
          <w:b/>
          <w:bCs/>
          <w:color w:val="auto"/>
          <w:sz w:val="21"/>
          <w:szCs w:val="21"/>
          <w:highlight w:val="none"/>
        </w:rPr>
        <w:t>以下设备器械均简称设备，设备名称、规格型号、品牌等必须按注册证上的名称填写</w:t>
      </w:r>
      <w:r>
        <w:rPr>
          <w:rFonts w:hint="eastAsia" w:hAnsi="宋体"/>
          <w:color w:val="auto"/>
          <w:sz w:val="21"/>
          <w:szCs w:val="21"/>
          <w:highlight w:val="none"/>
        </w:rPr>
        <w:t>）：</w:t>
      </w:r>
    </w:p>
    <w:tbl>
      <w:tblPr>
        <w:tblStyle w:val="48"/>
        <w:tblW w:w="88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16"/>
        <w:gridCol w:w="937"/>
        <w:gridCol w:w="727"/>
        <w:gridCol w:w="720"/>
        <w:gridCol w:w="72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设备名称</w:t>
            </w:r>
          </w:p>
        </w:tc>
        <w:tc>
          <w:tcPr>
            <w:tcW w:w="1216"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规格型号</w:t>
            </w:r>
          </w:p>
        </w:tc>
        <w:tc>
          <w:tcPr>
            <w:tcW w:w="937"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品牌</w:t>
            </w:r>
          </w:p>
        </w:tc>
        <w:tc>
          <w:tcPr>
            <w:tcW w:w="727"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产地</w:t>
            </w:r>
          </w:p>
        </w:tc>
        <w:tc>
          <w:tcPr>
            <w:tcW w:w="720"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数量</w:t>
            </w:r>
          </w:p>
        </w:tc>
        <w:tc>
          <w:tcPr>
            <w:tcW w:w="720"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单位</w:t>
            </w:r>
          </w:p>
        </w:tc>
        <w:tc>
          <w:tcPr>
            <w:tcW w:w="1260"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单价（元）</w:t>
            </w:r>
          </w:p>
        </w:tc>
        <w:tc>
          <w:tcPr>
            <w:tcW w:w="1800" w:type="dxa"/>
            <w:vAlign w:val="center"/>
          </w:tcPr>
          <w:p>
            <w:pPr>
              <w:spacing w:line="340" w:lineRule="exact"/>
              <w:jc w:val="center"/>
              <w:rPr>
                <w:rFonts w:ascii="宋体" w:hAnsi="宋体" w:cs="宋体"/>
                <w:b/>
                <w:bCs/>
                <w:color w:val="auto"/>
                <w:highlight w:val="none"/>
              </w:rPr>
            </w:pPr>
            <w:r>
              <w:rPr>
                <w:rFonts w:hint="eastAsia" w:ascii="宋体" w:hAnsi="宋体" w:cs="宋体"/>
                <w:b/>
                <w:bCs/>
                <w:color w:val="auto"/>
                <w:highlight w:val="none"/>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rFonts w:ascii="宋体" w:hAnsi="宋体" w:cs="宋体"/>
                <w:color w:val="auto"/>
                <w:highlight w:val="none"/>
              </w:rPr>
            </w:pPr>
            <w:r>
              <w:rPr>
                <w:rFonts w:hint="eastAsia" w:ascii="宋体" w:hAnsi="宋体" w:cs="宋体"/>
                <w:b/>
                <w:bCs/>
                <w:color w:val="auto"/>
                <w:highlight w:val="none"/>
              </w:rPr>
              <w:t>（注册证上的名称）</w:t>
            </w:r>
          </w:p>
        </w:tc>
        <w:tc>
          <w:tcPr>
            <w:tcW w:w="1216" w:type="dxa"/>
            <w:vAlign w:val="center"/>
          </w:tcPr>
          <w:p>
            <w:pPr>
              <w:spacing w:line="340" w:lineRule="exact"/>
              <w:jc w:val="center"/>
              <w:rPr>
                <w:rFonts w:ascii="宋体" w:hAnsi="宋体" w:cs="宋体"/>
                <w:color w:val="auto"/>
                <w:highlight w:val="none"/>
              </w:rPr>
            </w:pPr>
          </w:p>
        </w:tc>
        <w:tc>
          <w:tcPr>
            <w:tcW w:w="937" w:type="dxa"/>
            <w:vAlign w:val="center"/>
          </w:tcPr>
          <w:p>
            <w:pPr>
              <w:spacing w:line="340" w:lineRule="exact"/>
              <w:jc w:val="center"/>
              <w:rPr>
                <w:rFonts w:ascii="宋体" w:hAnsi="宋体" w:cs="宋体"/>
                <w:color w:val="auto"/>
                <w:highlight w:val="none"/>
              </w:rPr>
            </w:pPr>
          </w:p>
        </w:tc>
        <w:tc>
          <w:tcPr>
            <w:tcW w:w="727" w:type="dxa"/>
            <w:vAlign w:val="center"/>
          </w:tcPr>
          <w:p>
            <w:pPr>
              <w:spacing w:line="340" w:lineRule="exact"/>
              <w:jc w:val="center"/>
              <w:rPr>
                <w:rFonts w:ascii="宋体" w:hAnsi="宋体" w:cs="宋体"/>
                <w:color w:val="auto"/>
                <w:highlight w:val="none"/>
              </w:rPr>
            </w:pPr>
          </w:p>
        </w:tc>
        <w:tc>
          <w:tcPr>
            <w:tcW w:w="720" w:type="dxa"/>
            <w:vAlign w:val="center"/>
          </w:tcPr>
          <w:p>
            <w:pPr>
              <w:spacing w:line="340" w:lineRule="exact"/>
              <w:jc w:val="center"/>
              <w:rPr>
                <w:rFonts w:ascii="宋体" w:hAnsi="宋体" w:cs="宋体"/>
                <w:color w:val="auto"/>
                <w:highlight w:val="none"/>
              </w:rPr>
            </w:pPr>
          </w:p>
        </w:tc>
        <w:tc>
          <w:tcPr>
            <w:tcW w:w="720" w:type="dxa"/>
            <w:vAlign w:val="center"/>
          </w:tcPr>
          <w:p>
            <w:pPr>
              <w:spacing w:line="340" w:lineRule="exact"/>
              <w:jc w:val="center"/>
              <w:rPr>
                <w:rFonts w:ascii="宋体" w:hAnsi="宋体" w:cs="宋体"/>
                <w:color w:val="auto"/>
                <w:highlight w:val="none"/>
              </w:rPr>
            </w:pPr>
          </w:p>
        </w:tc>
        <w:tc>
          <w:tcPr>
            <w:tcW w:w="1260" w:type="dxa"/>
            <w:vAlign w:val="center"/>
          </w:tcPr>
          <w:p>
            <w:pPr>
              <w:spacing w:line="340" w:lineRule="exact"/>
              <w:jc w:val="center"/>
              <w:rPr>
                <w:rFonts w:ascii="宋体" w:hAnsi="宋体" w:cs="宋体"/>
                <w:color w:val="auto"/>
                <w:highlight w:val="none"/>
              </w:rPr>
            </w:pPr>
          </w:p>
        </w:tc>
        <w:tc>
          <w:tcPr>
            <w:tcW w:w="1800" w:type="dxa"/>
            <w:vAlign w:val="center"/>
          </w:tcPr>
          <w:p>
            <w:pPr>
              <w:spacing w:line="340" w:lineRule="exact"/>
              <w:jc w:val="center"/>
              <w:rPr>
                <w:rFonts w:ascii="宋体" w:hAnsi="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820" w:type="dxa"/>
            <w:gridSpan w:val="8"/>
            <w:vAlign w:val="center"/>
          </w:tcPr>
          <w:p>
            <w:pPr>
              <w:spacing w:line="340" w:lineRule="exact"/>
              <w:rPr>
                <w:rFonts w:ascii="宋体" w:hAnsi="宋体" w:cs="宋体"/>
                <w:b/>
                <w:bCs/>
                <w:color w:val="auto"/>
                <w:highlight w:val="none"/>
              </w:rPr>
            </w:pPr>
            <w:r>
              <w:rPr>
                <w:rFonts w:hint="eastAsia" w:ascii="宋体" w:hAnsi="宋体" w:cs="宋体"/>
                <w:b/>
                <w:bCs/>
                <w:color w:val="auto"/>
                <w:highlight w:val="none"/>
              </w:rPr>
              <w:t>合计成交金额（大写）：  整(RMB)</w:t>
            </w:r>
          </w:p>
        </w:tc>
      </w:tr>
    </w:tbl>
    <w:p>
      <w:pPr>
        <w:spacing w:line="340" w:lineRule="exact"/>
        <w:ind w:firstLine="420" w:firstLineChars="200"/>
        <w:rPr>
          <w:rFonts w:ascii="宋体" w:hAnsi="宋体" w:cs="宋体"/>
          <w:color w:val="auto"/>
          <w:highlight w:val="none"/>
        </w:rPr>
      </w:pPr>
      <w:r>
        <w:rPr>
          <w:rFonts w:hint="eastAsia" w:ascii="宋体" w:hAnsi="宋体" w:cs="宋体"/>
          <w:color w:val="auto"/>
          <w:highlight w:val="none"/>
        </w:rPr>
        <w:t>本合同若有详细的双方签字的配置清单，请详见附件。</w:t>
      </w:r>
    </w:p>
    <w:p>
      <w:pPr>
        <w:spacing w:line="340" w:lineRule="exact"/>
        <w:ind w:firstLine="210" w:firstLineChars="100"/>
        <w:rPr>
          <w:rFonts w:ascii="宋体" w:hAnsi="宋体" w:cs="宋体"/>
          <w:color w:val="auto"/>
          <w:highlight w:val="none"/>
        </w:rPr>
      </w:pPr>
      <w:r>
        <w:rPr>
          <w:rFonts w:hint="eastAsia" w:ascii="宋体" w:hAnsi="宋体" w:cs="宋体"/>
          <w:color w:val="auto"/>
          <w:highlight w:val="none"/>
        </w:rPr>
        <w:t>（医疗器械产品注册证号：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注册证有效期：</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40" w:lineRule="exact"/>
        <w:ind w:left="358" w:hanging="358" w:hangingChars="170"/>
        <w:rPr>
          <w:rFonts w:ascii="宋体" w:hAnsi="宋体" w:cs="宋体"/>
          <w:b/>
          <w:bCs/>
          <w:color w:val="auto"/>
          <w:highlight w:val="none"/>
        </w:rPr>
      </w:pPr>
      <w:r>
        <w:rPr>
          <w:rFonts w:hint="eastAsia" w:ascii="宋体" w:hAnsi="宋体" w:cs="宋体"/>
          <w:b/>
          <w:bCs/>
          <w:color w:val="auto"/>
          <w:highlight w:val="none"/>
        </w:rPr>
        <w:t xml:space="preserve">2. 设备的交付期 </w:t>
      </w:r>
      <w:r>
        <w:rPr>
          <w:rFonts w:hint="eastAsia" w:ascii="宋体" w:hAnsi="宋体" w:cs="宋体"/>
          <w:color w:val="auto"/>
          <w:highlight w:val="none"/>
        </w:rPr>
        <w:t>乙方在合同生效的</w:t>
      </w:r>
      <w:r>
        <w:rPr>
          <w:rFonts w:hint="eastAsia" w:ascii="宋体" w:hAnsi="宋体" w:cs="宋体"/>
          <w:color w:val="auto"/>
          <w:highlight w:val="none"/>
          <w:u w:val="single"/>
        </w:rPr>
        <w:t xml:space="preserve">   </w:t>
      </w:r>
      <w:r>
        <w:rPr>
          <w:rFonts w:hint="eastAsia" w:ascii="宋体" w:hAnsi="宋体" w:cs="宋体"/>
          <w:color w:val="auto"/>
          <w:highlight w:val="none"/>
        </w:rPr>
        <w:t>天内送货至甲方指定地点向甲方交付上述设备，逾期将按照第7条规定执行。</w:t>
      </w:r>
    </w:p>
    <w:p>
      <w:pPr>
        <w:spacing w:line="340" w:lineRule="exact"/>
        <w:rPr>
          <w:rFonts w:ascii="宋体" w:hAnsi="宋体" w:cs="宋体"/>
          <w:b/>
          <w:bCs/>
          <w:color w:val="auto"/>
          <w:highlight w:val="none"/>
        </w:rPr>
      </w:pPr>
      <w:r>
        <w:rPr>
          <w:rFonts w:hint="eastAsia" w:ascii="宋体" w:hAnsi="宋体" w:cs="宋体"/>
          <w:b/>
          <w:bCs/>
          <w:color w:val="auto"/>
          <w:highlight w:val="none"/>
        </w:rPr>
        <w:t>3. 设备运输、安装和验收</w:t>
      </w:r>
    </w:p>
    <w:p>
      <w:pPr>
        <w:spacing w:line="340" w:lineRule="exact"/>
        <w:ind w:left="359" w:leftChars="171"/>
        <w:rPr>
          <w:rFonts w:ascii="宋体" w:hAnsi="宋体" w:cs="宋体"/>
          <w:color w:val="auto"/>
          <w:highlight w:val="none"/>
        </w:rPr>
      </w:pPr>
      <w:r>
        <w:rPr>
          <w:rFonts w:hint="eastAsia" w:ascii="宋体" w:hAnsi="宋体" w:cs="宋体"/>
          <w:color w:val="auto"/>
          <w:highlight w:val="none"/>
        </w:rPr>
        <w:t xml:space="preserve">3.1乙方确保设备安全无损地运抵甲方指定现场,并承担设备的运费、保险费等费用，装卸费由乙方承担。  </w:t>
      </w:r>
    </w:p>
    <w:p>
      <w:pPr>
        <w:spacing w:line="340" w:lineRule="exact"/>
        <w:ind w:left="359" w:leftChars="171"/>
        <w:rPr>
          <w:rFonts w:ascii="宋体" w:hAnsi="宋体" w:cs="宋体"/>
          <w:color w:val="auto"/>
          <w:highlight w:val="none"/>
        </w:rPr>
      </w:pPr>
      <w:r>
        <w:rPr>
          <w:rFonts w:hint="eastAsia" w:ascii="宋体" w:hAnsi="宋体" w:cs="宋体"/>
          <w:color w:val="auto"/>
          <w:highlight w:val="none"/>
        </w:rPr>
        <w:t>3.2甲乙双方对设备进行开箱清点检查验收，如果发现数量不足、品牌规格不符或有质量、技术等问题，乙方应在</w:t>
      </w:r>
      <w:r>
        <w:rPr>
          <w:rFonts w:hint="eastAsia" w:ascii="宋体" w:hAnsi="宋体" w:cs="宋体"/>
          <w:color w:val="auto"/>
          <w:highlight w:val="none"/>
          <w:u w:val="single"/>
        </w:rPr>
        <w:t xml:space="preserve">   </w:t>
      </w:r>
      <w:r>
        <w:rPr>
          <w:rFonts w:hint="eastAsia" w:ascii="宋体" w:hAnsi="宋体" w:cs="宋体"/>
          <w:color w:val="auto"/>
          <w:highlight w:val="none"/>
        </w:rPr>
        <w:t>天内，按照甲方的要求，采取补足、更换或退货等处理措施，并承担由此发生的一切损失和费用。</w:t>
      </w:r>
    </w:p>
    <w:p>
      <w:pPr>
        <w:spacing w:line="340" w:lineRule="exact"/>
        <w:ind w:left="359" w:leftChars="171"/>
        <w:rPr>
          <w:rFonts w:ascii="宋体" w:hAnsi="宋体" w:cs="宋体"/>
          <w:color w:val="auto"/>
          <w:highlight w:val="none"/>
        </w:rPr>
      </w:pPr>
      <w:r>
        <w:rPr>
          <w:rFonts w:hint="eastAsia" w:ascii="宋体" w:hAnsi="宋体" w:cs="宋体"/>
          <w:color w:val="auto"/>
          <w:highlight w:val="none"/>
        </w:rPr>
        <w:t>3.3设备到货后，乙方应在接到甲方通知后</w:t>
      </w:r>
      <w:r>
        <w:rPr>
          <w:rFonts w:hint="eastAsia" w:ascii="宋体" w:hAnsi="宋体" w:cs="宋体"/>
          <w:color w:val="auto"/>
          <w:highlight w:val="none"/>
          <w:u w:val="single"/>
        </w:rPr>
        <w:t>3</w:t>
      </w:r>
      <w:r>
        <w:rPr>
          <w:rFonts w:hint="eastAsia" w:ascii="宋体" w:hAnsi="宋体" w:cs="宋体"/>
          <w:color w:val="auto"/>
          <w:highlight w:val="none"/>
        </w:rPr>
        <w:t>天内安装调试完成。</w:t>
      </w:r>
    </w:p>
    <w:p>
      <w:pPr>
        <w:spacing w:line="340" w:lineRule="exact"/>
        <w:ind w:left="359" w:leftChars="171"/>
        <w:rPr>
          <w:rFonts w:ascii="宋体" w:hAnsi="宋体" w:cs="宋体"/>
          <w:color w:val="auto"/>
          <w:highlight w:val="none"/>
        </w:rPr>
      </w:pPr>
      <w:r>
        <w:rPr>
          <w:rFonts w:hint="eastAsia" w:ascii="宋体" w:hAnsi="宋体" w:cs="宋体"/>
          <w:color w:val="auto"/>
          <w:highlight w:val="none"/>
        </w:rPr>
        <w:t>3.4甲、乙双方在符合国家相关技术标准的基础上，根据招标要求的技术标准进行技术验收，验收合格后，双方在甲方《</w:t>
      </w:r>
      <w:r>
        <w:rPr>
          <w:rFonts w:hint="eastAsia" w:ascii="宋体" w:hAnsi="宋体" w:cs="宋体"/>
          <w:color w:val="auto"/>
          <w:highlight w:val="none"/>
          <w:lang w:val="en-US" w:eastAsia="zh-CN"/>
        </w:rPr>
        <w:t>缙云县人民医院</w:t>
      </w:r>
      <w:r>
        <w:rPr>
          <w:rFonts w:hint="eastAsia" w:ascii="宋体" w:hAnsi="宋体" w:cs="宋体"/>
          <w:color w:val="auto"/>
          <w:highlight w:val="none"/>
        </w:rPr>
        <w:t>医疗设备到货验收报告》上签字确认。</w:t>
      </w:r>
    </w:p>
    <w:p>
      <w:pPr>
        <w:spacing w:line="340" w:lineRule="exact"/>
        <w:ind w:left="359" w:leftChars="171"/>
        <w:rPr>
          <w:rFonts w:ascii="宋体" w:hAnsi="宋体" w:cs="宋体"/>
          <w:color w:val="auto"/>
          <w:highlight w:val="none"/>
        </w:rPr>
      </w:pPr>
      <w:r>
        <w:rPr>
          <w:rFonts w:hint="eastAsia" w:ascii="宋体" w:hAnsi="宋体" w:cs="宋体"/>
          <w:color w:val="auto"/>
          <w:highlight w:val="none"/>
        </w:rPr>
        <w:t>3.5若属强检计量设备，需提供有效的计量合格证书。</w:t>
      </w:r>
    </w:p>
    <w:p>
      <w:pPr>
        <w:spacing w:line="340" w:lineRule="exact"/>
        <w:rPr>
          <w:rFonts w:ascii="宋体" w:hAnsi="宋体" w:cs="宋体"/>
          <w:b/>
          <w:bCs/>
          <w:color w:val="auto"/>
          <w:highlight w:val="none"/>
        </w:rPr>
      </w:pPr>
      <w:r>
        <w:rPr>
          <w:rFonts w:hint="eastAsia" w:ascii="宋体" w:hAnsi="宋体" w:cs="宋体"/>
          <w:b/>
          <w:bCs/>
          <w:color w:val="auto"/>
          <w:highlight w:val="none"/>
        </w:rPr>
        <w:t>4</w:t>
      </w:r>
      <w:r>
        <w:rPr>
          <w:rFonts w:hint="eastAsia" w:ascii="宋体" w:hAnsi="宋体" w:cs="宋体"/>
          <w:color w:val="auto"/>
          <w:highlight w:val="none"/>
        </w:rPr>
        <w:t>.</w:t>
      </w:r>
      <w:r>
        <w:rPr>
          <w:rFonts w:hint="eastAsia" w:ascii="宋体" w:hAnsi="宋体" w:cs="宋体"/>
          <w:b/>
          <w:bCs/>
          <w:color w:val="auto"/>
          <w:highlight w:val="none"/>
        </w:rPr>
        <w:t>付款方式</w:t>
      </w:r>
    </w:p>
    <w:p>
      <w:pPr>
        <w:spacing w:line="360" w:lineRule="auto"/>
        <w:rPr>
          <w:rFonts w:ascii="宋体" w:hAnsi="宋体" w:cs="宋体"/>
          <w:color w:val="auto"/>
          <w:highlight w:val="none"/>
        </w:rPr>
      </w:pPr>
      <w:r>
        <w:rPr>
          <w:rFonts w:hint="eastAsia" w:ascii="宋体" w:hAnsi="宋体" w:cs="宋体"/>
          <w:color w:val="auto"/>
          <w:highlight w:val="none"/>
        </w:rPr>
        <w:t>4.1合同签订生效后7日内支付合同额的40%作为预付款</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乙方</w:t>
      </w:r>
      <w:r>
        <w:rPr>
          <w:rFonts w:hint="eastAsia" w:ascii="宋体" w:hAnsi="宋体" w:cs="宋体"/>
          <w:color w:val="auto"/>
          <w:highlight w:val="none"/>
        </w:rPr>
        <w:t>应提交银行、保险公司等金融机构出具同等金额的预付款保函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乙方</w:t>
      </w:r>
      <w:r>
        <w:rPr>
          <w:rFonts w:hint="eastAsia" w:ascii="宋体" w:hAnsi="宋体" w:cs="宋体"/>
          <w:color w:val="auto"/>
          <w:highlight w:val="none"/>
        </w:rPr>
        <w:t>为《政府采购促进中小企业发展管理办法》（财库﹝2020﹞46号）第四条认定的大型企业无预付款，不适用该条款）；</w:t>
      </w:r>
    </w:p>
    <w:p>
      <w:pPr>
        <w:spacing w:line="360" w:lineRule="auto"/>
        <w:rPr>
          <w:rFonts w:ascii="宋体" w:hAnsi="宋体" w:cs="宋体"/>
          <w:color w:val="auto"/>
          <w:highlight w:val="none"/>
        </w:rPr>
      </w:pPr>
      <w:r>
        <w:rPr>
          <w:rFonts w:hint="eastAsia" w:ascii="宋体" w:hAnsi="宋体" w:cs="宋体"/>
          <w:color w:val="auto"/>
          <w:highlight w:val="none"/>
        </w:rPr>
        <w:t>4.2项目验收合格并收到</w:t>
      </w:r>
      <w:r>
        <w:rPr>
          <w:rFonts w:hint="eastAsia" w:ascii="宋体" w:hAnsi="宋体" w:cs="宋体"/>
          <w:color w:val="auto"/>
          <w:highlight w:val="none"/>
          <w:lang w:val="en-US" w:eastAsia="zh-CN"/>
        </w:rPr>
        <w:t>乙方</w:t>
      </w:r>
      <w:r>
        <w:rPr>
          <w:rFonts w:hint="eastAsia" w:ascii="宋体" w:hAnsi="宋体" w:cs="宋体"/>
          <w:color w:val="auto"/>
          <w:highlight w:val="none"/>
        </w:rPr>
        <w:t>正式发票之日起7个工作日内一次性付清合同款。</w:t>
      </w:r>
    </w:p>
    <w:p>
      <w:pPr>
        <w:spacing w:line="360" w:lineRule="auto"/>
        <w:rPr>
          <w:rFonts w:ascii="宋体" w:hAnsi="宋体" w:cs="宋体"/>
          <w:color w:val="auto"/>
          <w:highlight w:val="none"/>
        </w:rPr>
      </w:pPr>
      <w:r>
        <w:rPr>
          <w:rFonts w:hint="eastAsia" w:ascii="宋体" w:hAnsi="宋体" w:cs="宋体"/>
          <w:color w:val="auto"/>
          <w:highlight w:val="none"/>
        </w:rPr>
        <w:t>乙方应在甲方验收完成时向甲方提供合同总价的增值税发票，逾期开具，甲方付款时间顺延。</w:t>
      </w:r>
    </w:p>
    <w:p>
      <w:pPr>
        <w:ind w:left="420" w:leftChars="200"/>
        <w:rPr>
          <w:rFonts w:hint="eastAsia" w:ascii="宋体" w:hAnsi="宋体" w:cs="宋体"/>
          <w:color w:val="auto"/>
          <w:highlight w:val="none"/>
        </w:rPr>
      </w:pPr>
      <w:r>
        <w:rPr>
          <w:rFonts w:hint="eastAsia" w:ascii="宋体" w:hAnsi="宋体" w:cs="宋体"/>
          <w:b/>
          <w:bCs/>
          <w:color w:val="auto"/>
          <w:highlight w:val="none"/>
          <w:lang w:val="en-US" w:eastAsia="zh-CN"/>
        </w:rPr>
        <w:t>4.3本项目不收取履约保证金</w:t>
      </w:r>
      <w:r>
        <w:rPr>
          <w:rFonts w:hint="eastAsia" w:ascii="宋体" w:hAnsi="宋体" w:cs="宋体"/>
          <w:color w:val="auto"/>
          <w:highlight w:val="none"/>
        </w:rPr>
        <w:t xml:space="preserve"> </w:t>
      </w:r>
    </w:p>
    <w:p>
      <w:pPr>
        <w:ind w:left="420" w:leftChars="200"/>
        <w:rPr>
          <w:rFonts w:ascii="宋体" w:hAnsi="宋体" w:cs="宋体"/>
          <w:color w:val="auto"/>
          <w:highlight w:val="none"/>
        </w:rPr>
      </w:pPr>
      <w:r>
        <w:rPr>
          <w:rFonts w:hint="eastAsia" w:ascii="宋体" w:hAnsi="宋体" w:cs="宋体"/>
          <w:color w:val="auto"/>
          <w:highlight w:val="none"/>
        </w:rPr>
        <w:t>乙方帐户：</w:t>
      </w:r>
      <w:r>
        <w:rPr>
          <w:rFonts w:hint="eastAsia" w:ascii="宋体" w:hAnsi="宋体" w:cs="宋体"/>
          <w:color w:val="auto"/>
          <w:highlight w:val="none"/>
        </w:rPr>
        <w:tab/>
      </w:r>
    </w:p>
    <w:p>
      <w:pPr>
        <w:tabs>
          <w:tab w:val="left" w:pos="90"/>
          <w:tab w:val="left" w:pos="340"/>
        </w:tabs>
        <w:autoSpaceDE w:val="0"/>
        <w:autoSpaceDN w:val="0"/>
        <w:adjustRightInd w:val="0"/>
        <w:snapToGrid w:val="0"/>
        <w:ind w:left="420" w:leftChars="200"/>
        <w:jc w:val="left"/>
        <w:rPr>
          <w:rFonts w:ascii="宋体" w:hAnsi="宋体" w:cs="宋体"/>
          <w:color w:val="auto"/>
          <w:highlight w:val="none"/>
        </w:rPr>
      </w:pPr>
      <w:r>
        <w:rPr>
          <w:rFonts w:hint="eastAsia" w:ascii="宋体" w:hAnsi="宋体" w:cs="宋体"/>
          <w:color w:val="auto"/>
          <w:highlight w:val="none"/>
        </w:rPr>
        <w:t xml:space="preserve">单位全称：                  </w:t>
      </w:r>
    </w:p>
    <w:p>
      <w:pPr>
        <w:tabs>
          <w:tab w:val="left" w:pos="90"/>
          <w:tab w:val="left" w:pos="340"/>
          <w:tab w:val="left" w:pos="2551"/>
        </w:tabs>
        <w:autoSpaceDE w:val="0"/>
        <w:autoSpaceDN w:val="0"/>
        <w:adjustRightInd w:val="0"/>
        <w:snapToGrid w:val="0"/>
        <w:ind w:left="420" w:leftChars="200"/>
        <w:jc w:val="left"/>
        <w:rPr>
          <w:rFonts w:ascii="宋体" w:hAnsi="宋体" w:cs="宋体"/>
          <w:color w:val="auto"/>
          <w:highlight w:val="none"/>
        </w:rPr>
      </w:pPr>
      <w:r>
        <w:rPr>
          <w:rFonts w:hint="eastAsia" w:ascii="宋体" w:hAnsi="宋体" w:cs="宋体"/>
          <w:color w:val="auto"/>
          <w:highlight w:val="none"/>
        </w:rPr>
        <w:t xml:space="preserve">开 户 行：                  </w:t>
      </w:r>
    </w:p>
    <w:p>
      <w:pPr>
        <w:spacing w:line="340" w:lineRule="exact"/>
        <w:ind w:firstLine="420" w:firstLineChars="200"/>
        <w:rPr>
          <w:rFonts w:ascii="宋体" w:hAnsi="宋体" w:cs="宋体"/>
          <w:color w:val="auto"/>
          <w:highlight w:val="none"/>
        </w:rPr>
      </w:pPr>
      <w:r>
        <w:rPr>
          <w:rFonts w:hint="eastAsia" w:ascii="宋体" w:hAnsi="宋体" w:cs="宋体"/>
          <w:color w:val="auto"/>
          <w:highlight w:val="none"/>
        </w:rPr>
        <w:t xml:space="preserve">银行帐号：               </w:t>
      </w:r>
    </w:p>
    <w:p>
      <w:pPr>
        <w:spacing w:line="340" w:lineRule="exact"/>
        <w:rPr>
          <w:rFonts w:ascii="宋体" w:hAnsi="宋体" w:cs="宋体"/>
          <w:b/>
          <w:bCs/>
          <w:color w:val="auto"/>
          <w:highlight w:val="none"/>
        </w:rPr>
      </w:pPr>
      <w:r>
        <w:rPr>
          <w:rFonts w:hint="eastAsia" w:ascii="宋体" w:hAnsi="宋体" w:cs="宋体"/>
          <w:b/>
          <w:bCs/>
          <w:color w:val="auto"/>
          <w:highlight w:val="none"/>
        </w:rPr>
        <w:t>5.伴随服务</w:t>
      </w:r>
    </w:p>
    <w:p>
      <w:pPr>
        <w:spacing w:line="340" w:lineRule="exact"/>
        <w:ind w:left="428" w:leftChars="172" w:hanging="67" w:hangingChars="32"/>
        <w:rPr>
          <w:rFonts w:ascii="宋体" w:hAnsi="宋体" w:cs="宋体"/>
          <w:b/>
          <w:bCs/>
          <w:color w:val="auto"/>
          <w:highlight w:val="none"/>
        </w:rPr>
      </w:pPr>
      <w:r>
        <w:rPr>
          <w:rFonts w:hint="eastAsia" w:ascii="宋体" w:hAnsi="宋体" w:cs="宋体"/>
          <w:color w:val="auto"/>
          <w:highlight w:val="none"/>
        </w:rPr>
        <w:t>5.1乙方应提供设备的技术文件，包括</w:t>
      </w:r>
      <w:r>
        <w:rPr>
          <w:rFonts w:hint="eastAsia" w:ascii="宋体" w:hAnsi="宋体" w:cs="宋体"/>
          <w:color w:val="auto"/>
          <w:kern w:val="0"/>
          <w:highlight w:val="none"/>
        </w:rPr>
        <w:t>合格证明文件、</w:t>
      </w:r>
      <w:r>
        <w:rPr>
          <w:rFonts w:hint="eastAsia" w:ascii="宋体" w:hAnsi="宋体" w:cs="宋体"/>
          <w:color w:val="auto"/>
          <w:highlight w:val="none"/>
        </w:rPr>
        <w:t>中文说明书（纸质两份）、中文说明书（电子版）、符合监管要求的中文标签</w:t>
      </w:r>
      <w:r>
        <w:rPr>
          <w:rFonts w:hint="eastAsia" w:ascii="宋体" w:hAnsi="宋体" w:cs="宋体"/>
          <w:color w:val="auto"/>
          <w:kern w:val="0"/>
          <w:highlight w:val="none"/>
        </w:rPr>
        <w:t>、</w:t>
      </w:r>
      <w:r>
        <w:rPr>
          <w:rFonts w:hint="eastAsia" w:ascii="宋体" w:hAnsi="宋体" w:cs="宋体"/>
          <w:color w:val="auto"/>
          <w:highlight w:val="none"/>
        </w:rPr>
        <w:t>维护手册、维修手册、故障代码表、软件备份、备件清单、零部件等维护维修必需的材料和信息。</w:t>
      </w:r>
    </w:p>
    <w:p>
      <w:pPr>
        <w:spacing w:line="340" w:lineRule="exact"/>
        <w:ind w:firstLine="359" w:firstLineChars="171"/>
        <w:rPr>
          <w:rFonts w:ascii="宋体" w:hAnsi="宋体" w:cs="宋体"/>
          <w:color w:val="auto"/>
          <w:highlight w:val="none"/>
        </w:rPr>
      </w:pPr>
      <w:r>
        <w:rPr>
          <w:rFonts w:hint="eastAsia" w:ascii="宋体" w:hAnsi="宋体" w:cs="宋体"/>
          <w:color w:val="auto"/>
          <w:highlight w:val="none"/>
        </w:rPr>
        <w:t>5.2乙方还应免费提供下列服务：</w:t>
      </w:r>
    </w:p>
    <w:p>
      <w:pPr>
        <w:numPr>
          <w:ilvl w:val="0"/>
          <w:numId w:val="7"/>
        </w:numPr>
        <w:tabs>
          <w:tab w:val="left" w:pos="1152"/>
        </w:tabs>
        <w:spacing w:line="340" w:lineRule="exact"/>
        <w:ind w:left="1152" w:hanging="720"/>
        <w:rPr>
          <w:rFonts w:ascii="宋体" w:hAnsi="宋体" w:cs="宋体"/>
          <w:color w:val="auto"/>
          <w:highlight w:val="none"/>
        </w:rPr>
      </w:pPr>
      <w:r>
        <w:rPr>
          <w:rFonts w:hint="eastAsia" w:ascii="宋体" w:hAnsi="宋体" w:cs="宋体"/>
          <w:color w:val="auto"/>
          <w:highlight w:val="none"/>
        </w:rPr>
        <w:t>设备的现场安装和调试；</w:t>
      </w:r>
    </w:p>
    <w:p>
      <w:pPr>
        <w:numPr>
          <w:ilvl w:val="0"/>
          <w:numId w:val="7"/>
        </w:numPr>
        <w:tabs>
          <w:tab w:val="left" w:pos="1152"/>
        </w:tabs>
        <w:spacing w:line="340" w:lineRule="exact"/>
        <w:ind w:left="1152" w:hanging="720"/>
        <w:rPr>
          <w:rFonts w:ascii="宋体" w:hAnsi="宋体" w:cs="宋体"/>
          <w:color w:val="auto"/>
          <w:highlight w:val="none"/>
        </w:rPr>
      </w:pPr>
      <w:r>
        <w:rPr>
          <w:rFonts w:hint="eastAsia" w:ascii="宋体" w:hAnsi="宋体" w:cs="宋体"/>
          <w:color w:val="auto"/>
          <w:highlight w:val="none"/>
        </w:rPr>
        <w:t>提供设备安装和维修所需的专用工具和辅助材料；</w:t>
      </w:r>
    </w:p>
    <w:p>
      <w:pPr>
        <w:numPr>
          <w:ilvl w:val="0"/>
          <w:numId w:val="7"/>
        </w:numPr>
        <w:tabs>
          <w:tab w:val="left" w:pos="1152"/>
        </w:tabs>
        <w:spacing w:line="340" w:lineRule="exact"/>
        <w:ind w:left="1152" w:hanging="720"/>
        <w:rPr>
          <w:rFonts w:ascii="宋体" w:hAnsi="宋体" w:cs="宋体"/>
          <w:color w:val="auto"/>
          <w:highlight w:val="none"/>
        </w:rPr>
      </w:pPr>
      <w:r>
        <w:rPr>
          <w:rFonts w:hint="eastAsia" w:ascii="宋体" w:hAnsi="宋体" w:cs="宋体"/>
          <w:color w:val="auto"/>
          <w:highlight w:val="none"/>
        </w:rPr>
        <w:t>乙方应派专业技术人员在项目现场对甲方使用人员和和维修人员进行免费培训及考核，提供培训资料，在使用一段时间后可根据甲方的要求另行安排免费培训计划。</w:t>
      </w:r>
    </w:p>
    <w:p>
      <w:pPr>
        <w:spacing w:line="340" w:lineRule="exact"/>
        <w:rPr>
          <w:rFonts w:ascii="宋体" w:hAnsi="宋体" w:cs="宋体"/>
          <w:color w:val="auto"/>
          <w:highlight w:val="none"/>
        </w:rPr>
      </w:pPr>
      <w:r>
        <w:rPr>
          <w:rFonts w:hint="eastAsia" w:ascii="宋体" w:hAnsi="宋体" w:cs="宋体"/>
          <w:b/>
          <w:bCs/>
          <w:color w:val="auto"/>
          <w:highlight w:val="none"/>
        </w:rPr>
        <w:t>6.质量保证及售后服务</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6.1乙方应保证所供设备是在</w:t>
      </w:r>
      <w:r>
        <w:rPr>
          <w:rFonts w:hint="eastAsia" w:ascii="宋体" w:hAnsi="宋体" w:cs="宋体"/>
          <w:color w:val="auto"/>
          <w:highlight w:val="none"/>
          <w:u w:val="single"/>
        </w:rPr>
        <w:t xml:space="preserve">   </w:t>
      </w:r>
      <w:r>
        <w:rPr>
          <w:rFonts w:hint="eastAsia" w:ascii="宋体" w:hAnsi="宋体" w:cs="宋体"/>
          <w:color w:val="auto"/>
          <w:highlight w:val="none"/>
        </w:rPr>
        <w:t>（年月）后生产的全新的、未使用过的，并符合国家有关标准、制造厂标准及合同技术标准要求。设备使用期限为：      年（设备铭牌或者说明书上标明的使用期限）。如果设备的型号、产地、数量、质量及生产日期(出厂日与到货期间隔不超过一年)等不符，或证实设备是有缺陷的，包括潜在的缺陷或使用不符合要求的材料等，乙方应在接到甲方通知后7天内负责采用符合合同规定的规格、质量和性能等要求的新零件、部件或设备来更换有缺陷的部分或修补缺陷部分，其费用由乙方负担。同时，乙方应按本合同规定，相应延长修补或更换件的质量保证期。</w:t>
      </w:r>
    </w:p>
    <w:p>
      <w:pPr>
        <w:spacing w:line="340" w:lineRule="exact"/>
        <w:ind w:left="357" w:leftChars="170"/>
        <w:rPr>
          <w:rFonts w:ascii="宋体" w:hAnsi="宋体" w:cs="宋体"/>
          <w:color w:val="auto"/>
          <w:highlight w:val="none"/>
        </w:rPr>
      </w:pPr>
      <w:r>
        <w:rPr>
          <w:rFonts w:hint="eastAsia" w:ascii="宋体" w:hAnsi="宋体" w:cs="宋体"/>
          <w:color w:val="auto"/>
          <w:highlight w:val="none"/>
        </w:rPr>
        <w:t>6.2乙方应提供保修期</w:t>
      </w:r>
      <w:r>
        <w:rPr>
          <w:rFonts w:hint="eastAsia" w:ascii="宋体" w:hAnsi="宋体" w:cs="宋体"/>
          <w:color w:val="auto"/>
          <w:highlight w:val="none"/>
          <w:u w:val="single"/>
        </w:rPr>
        <w:t xml:space="preserve">    </w:t>
      </w:r>
      <w:r>
        <w:rPr>
          <w:rFonts w:hint="eastAsia" w:ascii="宋体" w:hAnsi="宋体" w:cs="宋体"/>
          <w:color w:val="auto"/>
          <w:highlight w:val="none"/>
        </w:rPr>
        <w:t>个月（保修截止期按照院方的验收报告确定），保修期的期限应以甲乙双方的验收合格之日起计算，保修期内零配件更换及人工等费用由乙方承担，甲方不承担任何费用，相应的检查、维护保养等由乙方按说明书的要求进行，年度定期预防性维护保养次数不少于</w:t>
      </w:r>
      <w:r>
        <w:rPr>
          <w:rFonts w:hint="eastAsia" w:ascii="宋体" w:hAnsi="宋体" w:cs="宋体"/>
          <w:color w:val="auto"/>
          <w:highlight w:val="none"/>
          <w:u w:val="single"/>
        </w:rPr>
        <w:t xml:space="preserve">   </w:t>
      </w:r>
      <w:r>
        <w:rPr>
          <w:rFonts w:hint="eastAsia" w:ascii="宋体" w:hAnsi="宋体" w:cs="宋体"/>
          <w:color w:val="auto"/>
          <w:highlight w:val="none"/>
        </w:rPr>
        <w:t>次，乙方应及时提供详细的维修维护报告，维修维护后的设备性能状态应达到相关的质量标准及使用安全标准，乙方在保修期内故障天数不得超过12个工作日／年，如开机率达不到要求，每超过1个工作日保修期相应延长5个工作日。保质期内因设备本身缺陷造成各种故障应由卖方免费技术服务和维修。</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6.3报修响应时间</w:t>
      </w:r>
      <w:r>
        <w:rPr>
          <w:rFonts w:hint="eastAsia" w:ascii="宋体" w:hAnsi="宋体" w:cs="宋体"/>
          <w:color w:val="auto"/>
          <w:highlight w:val="none"/>
          <w:u w:val="single"/>
        </w:rPr>
        <w:t xml:space="preserve">  </w:t>
      </w:r>
      <w:r>
        <w:rPr>
          <w:rFonts w:hint="eastAsia" w:ascii="宋体" w:hAnsi="宋体" w:cs="宋体"/>
          <w:color w:val="auto"/>
          <w:highlight w:val="none"/>
        </w:rPr>
        <w:t>小时，到场时间</w:t>
      </w:r>
      <w:r>
        <w:rPr>
          <w:rFonts w:hint="eastAsia" w:ascii="宋体" w:hAnsi="宋体" w:cs="宋体"/>
          <w:color w:val="auto"/>
          <w:highlight w:val="none"/>
          <w:u w:val="single"/>
        </w:rPr>
        <w:t xml:space="preserve">   </w:t>
      </w:r>
      <w:r>
        <w:rPr>
          <w:rFonts w:hint="eastAsia" w:ascii="宋体" w:hAnsi="宋体" w:cs="宋体"/>
          <w:color w:val="auto"/>
          <w:highlight w:val="none"/>
        </w:rPr>
        <w:t>小时（不可抗因素除外）</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6.4保修期满后的服务：</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6.4.1乙方负责设备的终身维修并应继续提供优质的服务，储备足够的零配件备库。保修期满后，以不高于</w:t>
      </w:r>
      <w:r>
        <w:rPr>
          <w:rFonts w:hint="eastAsia" w:ascii="宋体" w:hAnsi="宋体" w:cs="宋体"/>
          <w:color w:val="auto"/>
          <w:highlight w:val="none"/>
          <w:u w:val="single"/>
        </w:rPr>
        <w:t xml:space="preserve">  %</w:t>
      </w:r>
      <w:r>
        <w:rPr>
          <w:rFonts w:hint="eastAsia" w:ascii="宋体" w:hAnsi="宋体" w:cs="宋体"/>
          <w:color w:val="auto"/>
          <w:highlight w:val="none"/>
        </w:rPr>
        <w:t>的优惠价供应维修零配件，消耗品的供应应由双方另设协议确定。</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6.4.2保修期满后人工费方案：</w:t>
      </w:r>
    </w:p>
    <w:p>
      <w:pPr>
        <w:spacing w:line="340" w:lineRule="exact"/>
        <w:ind w:firstLine="480" w:firstLineChars="200"/>
        <w:rPr>
          <w:rFonts w:ascii="宋体" w:hAnsi="宋体" w:cs="宋体"/>
          <w:color w:val="auto"/>
          <w:highlight w:val="none"/>
        </w:rPr>
      </w:pPr>
      <w:r>
        <w:rPr>
          <w:rFonts w:hint="eastAsia" w:ascii="宋体" w:hAnsi="宋体" w:cs="宋体"/>
          <w:color w:val="auto"/>
          <w:kern w:val="0"/>
          <w:sz w:val="24"/>
          <w:szCs w:val="24"/>
          <w:highlight w:val="none"/>
        </w:rPr>
        <w:t>□</w:t>
      </w:r>
      <w:r>
        <w:rPr>
          <w:rFonts w:hint="eastAsia" w:ascii="宋体" w:hAnsi="宋体" w:cs="宋体"/>
          <w:color w:val="auto"/>
          <w:highlight w:val="none"/>
        </w:rPr>
        <w:t xml:space="preserve">1、免人工费及差旅住宿费等，仅收取零配件费。 </w:t>
      </w:r>
    </w:p>
    <w:p>
      <w:pPr>
        <w:spacing w:line="340" w:lineRule="exact"/>
        <w:ind w:firstLine="480" w:firstLineChars="200"/>
        <w:rPr>
          <w:rFonts w:ascii="宋体" w:hAnsi="宋体" w:cs="宋体"/>
          <w:color w:val="auto"/>
          <w:highlight w:val="none"/>
        </w:rPr>
      </w:pPr>
      <w:r>
        <w:rPr>
          <w:rFonts w:hint="eastAsia" w:ascii="宋体" w:hAnsi="宋体" w:cs="宋体"/>
          <w:color w:val="auto"/>
          <w:kern w:val="0"/>
          <w:sz w:val="24"/>
          <w:szCs w:val="24"/>
          <w:highlight w:val="none"/>
        </w:rPr>
        <w:t>□</w:t>
      </w:r>
      <w:r>
        <w:rPr>
          <w:rFonts w:hint="eastAsia" w:ascii="宋体" w:hAnsi="宋体" w:cs="宋体"/>
          <w:color w:val="auto"/>
          <w:highlight w:val="none"/>
        </w:rPr>
        <w:t>2、人工费为单次故障不高于</w:t>
      </w:r>
      <w:r>
        <w:rPr>
          <w:rFonts w:hint="eastAsia" w:ascii="宋体" w:hAnsi="宋体" w:cs="宋体"/>
          <w:color w:val="auto"/>
          <w:highlight w:val="none"/>
          <w:u w:val="single"/>
        </w:rPr>
        <w:t xml:space="preserve">  </w:t>
      </w:r>
      <w:r>
        <w:rPr>
          <w:rFonts w:hint="eastAsia" w:ascii="宋体" w:hAnsi="宋体" w:cs="宋体"/>
          <w:color w:val="auto"/>
          <w:highlight w:val="none"/>
        </w:rPr>
        <w:t>元。</w:t>
      </w:r>
    </w:p>
    <w:p>
      <w:pPr>
        <w:spacing w:line="340" w:lineRule="exact"/>
        <w:ind w:firstLine="420" w:firstLineChars="200"/>
        <w:rPr>
          <w:rFonts w:ascii="宋体" w:hAnsi="宋体" w:cs="宋体"/>
          <w:color w:val="auto"/>
          <w:highlight w:val="none"/>
        </w:rPr>
      </w:pPr>
      <w:r>
        <w:rPr>
          <w:rFonts w:hint="eastAsia" w:ascii="宋体" w:hAnsi="宋体" w:cs="宋体"/>
          <w:color w:val="auto"/>
          <w:highlight w:val="none"/>
        </w:rPr>
        <w:t>6.4..3所有费用采用先维修后付款方式。</w:t>
      </w:r>
    </w:p>
    <w:p>
      <w:pPr>
        <w:spacing w:line="340" w:lineRule="exact"/>
        <w:ind w:left="359" w:leftChars="171" w:firstLine="1"/>
        <w:rPr>
          <w:rFonts w:ascii="宋体" w:hAnsi="宋体" w:cs="宋体"/>
          <w:color w:val="auto"/>
          <w:highlight w:val="none"/>
        </w:rPr>
      </w:pPr>
      <w:r>
        <w:rPr>
          <w:rFonts w:hint="eastAsia" w:ascii="宋体" w:hAnsi="宋体" w:cs="宋体"/>
          <w:color w:val="auto"/>
          <w:kern w:val="0"/>
          <w:highlight w:val="none"/>
        </w:rPr>
        <w:t>6.5 乙方保证系统、设备安全，乙方实施人员按规范进行系统实施、维护。若因操作不当、设备安全防护不到位，进而导致院内其他系统感染病毒，由此产生的损失及消除影响产生的费用，均由乙方全部承担。</w:t>
      </w:r>
    </w:p>
    <w:p>
      <w:pPr>
        <w:spacing w:line="340" w:lineRule="exact"/>
        <w:ind w:firstLine="420" w:firstLineChars="200"/>
        <w:rPr>
          <w:rFonts w:ascii="宋体" w:hAnsi="宋体" w:cs="宋体"/>
          <w:color w:val="auto"/>
          <w:highlight w:val="none"/>
        </w:rPr>
      </w:pPr>
      <w:r>
        <w:rPr>
          <w:rFonts w:hint="eastAsia" w:ascii="宋体" w:hAnsi="宋体" w:cs="宋体"/>
          <w:color w:val="auto"/>
          <w:highlight w:val="none"/>
        </w:rPr>
        <w:t>7.索赔条款</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7.1 如确认货物不符合本合同约定，甲方有权选择下列方式之一要求卖方进行补救：</w:t>
      </w:r>
    </w:p>
    <w:p>
      <w:pPr>
        <w:spacing w:line="340" w:lineRule="exact"/>
        <w:ind w:left="428" w:leftChars="172" w:hanging="67" w:hangingChars="32"/>
        <w:rPr>
          <w:rFonts w:ascii="宋体" w:hAnsi="宋体" w:cs="宋体"/>
          <w:color w:val="auto"/>
          <w:highlight w:val="none"/>
        </w:rPr>
      </w:pPr>
      <w:r>
        <w:rPr>
          <w:rFonts w:hint="eastAsia" w:ascii="宋体" w:hAnsi="宋体" w:cs="宋体"/>
          <w:color w:val="auto"/>
          <w:highlight w:val="none"/>
        </w:rPr>
        <w:t>7.1.1甲方退货，乙方将全额货款偿还甲方，并负担因退货而发生的一切直接损失和费用。</w:t>
      </w:r>
    </w:p>
    <w:p>
      <w:pPr>
        <w:spacing w:line="340" w:lineRule="exact"/>
        <w:ind w:left="428" w:leftChars="172" w:hanging="67" w:hangingChars="32"/>
        <w:rPr>
          <w:rFonts w:ascii="宋体" w:hAnsi="宋体" w:cs="宋体"/>
          <w:color w:val="auto"/>
          <w:highlight w:val="none"/>
        </w:rPr>
      </w:pPr>
      <w:r>
        <w:rPr>
          <w:rFonts w:hint="eastAsia" w:ascii="宋体" w:hAnsi="宋体" w:cs="宋体"/>
          <w:color w:val="auto"/>
          <w:highlight w:val="none"/>
        </w:rPr>
        <w:t>7.1.2按照货物的疵劣程度、损坏的范围和甲方所遭受的损失，将货物贬值。</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7.1.3调换有瑕疵的货物，换货必须全新并符合本合同规定的规格，质量和性能，乙方并负责因此而产生的一切费用和甲方的一切直接损失。</w:t>
      </w:r>
    </w:p>
    <w:p>
      <w:pPr>
        <w:spacing w:line="340" w:lineRule="exact"/>
        <w:ind w:left="357" w:leftChars="170" w:firstLine="1"/>
        <w:rPr>
          <w:rFonts w:ascii="宋体" w:hAnsi="宋体" w:cs="宋体"/>
          <w:color w:val="auto"/>
          <w:highlight w:val="none"/>
        </w:rPr>
      </w:pPr>
      <w:r>
        <w:rPr>
          <w:rFonts w:hint="eastAsia" w:ascii="宋体" w:hAnsi="宋体" w:cs="宋体"/>
          <w:color w:val="auto"/>
          <w:highlight w:val="none"/>
        </w:rPr>
        <w:t>7.2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最高限额不超过合同价的百分之五（5％）。一周按7天计算，不足7天按一周计算。逾期超过10日，甲方有权解除合同，乙方按合同总价的20%向甲方支付违约金。</w:t>
      </w:r>
    </w:p>
    <w:p>
      <w:pPr>
        <w:spacing w:line="340" w:lineRule="exact"/>
        <w:ind w:left="420" w:leftChars="200"/>
        <w:rPr>
          <w:rFonts w:ascii="宋体" w:hAnsi="宋体" w:cs="宋体"/>
          <w:color w:val="auto"/>
          <w:highlight w:val="none"/>
        </w:rPr>
      </w:pPr>
      <w:r>
        <w:rPr>
          <w:rFonts w:hint="eastAsia" w:ascii="宋体" w:hAnsi="宋体" w:cs="宋体"/>
          <w:color w:val="auto"/>
          <w:highlight w:val="none"/>
        </w:rPr>
        <w:t>7.3乙方应保证甲方和使用单位在使用该设备或其任何一部分时免受第三方提出侵犯其专利权、商标权或工业产权的起诉。</w:t>
      </w:r>
    </w:p>
    <w:p>
      <w:pPr>
        <w:spacing w:line="340" w:lineRule="exact"/>
        <w:rPr>
          <w:rFonts w:ascii="宋体" w:hAnsi="宋体" w:cs="宋体"/>
          <w:b/>
          <w:bCs/>
          <w:color w:val="auto"/>
          <w:highlight w:val="none"/>
        </w:rPr>
      </w:pPr>
      <w:r>
        <w:rPr>
          <w:rFonts w:hint="eastAsia" w:ascii="宋体" w:hAnsi="宋体" w:cs="宋体"/>
          <w:b/>
          <w:bCs/>
          <w:color w:val="auto"/>
          <w:highlight w:val="none"/>
        </w:rPr>
        <w:t>8.争端的解决</w:t>
      </w:r>
    </w:p>
    <w:p>
      <w:pPr>
        <w:spacing w:line="340" w:lineRule="exact"/>
        <w:ind w:left="357" w:leftChars="170" w:right="-216" w:rightChars="-103" w:firstLine="1"/>
        <w:rPr>
          <w:rFonts w:ascii="宋体" w:hAnsi="宋体" w:cs="宋体"/>
          <w:color w:val="auto"/>
          <w:highlight w:val="none"/>
        </w:rPr>
      </w:pPr>
      <w:r>
        <w:rPr>
          <w:rFonts w:hint="eastAsia" w:ascii="宋体" w:hAnsi="宋体" w:cs="宋体"/>
          <w:color w:val="auto"/>
          <w:highlight w:val="none"/>
        </w:rPr>
        <w:t>双方如在履行合同中发生纠纷，首先应友好协商，协商不成，提交丽水仲裁委员会仲裁解决。</w:t>
      </w:r>
    </w:p>
    <w:p>
      <w:pPr>
        <w:spacing w:line="340" w:lineRule="exact"/>
        <w:rPr>
          <w:rFonts w:ascii="宋体" w:hAnsi="宋体" w:cs="宋体"/>
          <w:b/>
          <w:bCs/>
          <w:color w:val="auto"/>
          <w:highlight w:val="none"/>
        </w:rPr>
      </w:pPr>
      <w:r>
        <w:rPr>
          <w:rFonts w:hint="eastAsia" w:ascii="宋体" w:hAnsi="宋体" w:cs="宋体"/>
          <w:b/>
          <w:bCs/>
          <w:color w:val="auto"/>
          <w:highlight w:val="none"/>
        </w:rPr>
        <w:t>9.合同生效</w:t>
      </w:r>
    </w:p>
    <w:p>
      <w:pPr>
        <w:spacing w:line="340" w:lineRule="exact"/>
        <w:ind w:left="419" w:leftChars="172" w:hanging="58" w:hangingChars="28"/>
        <w:rPr>
          <w:rFonts w:ascii="宋体" w:hAnsi="宋体" w:cs="宋体"/>
          <w:color w:val="auto"/>
          <w:highlight w:val="none"/>
        </w:rPr>
      </w:pPr>
      <w:r>
        <w:rPr>
          <w:rFonts w:hint="eastAsia" w:ascii="宋体" w:hAnsi="宋体" w:cs="宋体"/>
          <w:color w:val="auto"/>
          <w:highlight w:val="none"/>
        </w:rPr>
        <w:t>9.1 本合同在甲、乙双方签字盖章后生效。</w:t>
      </w:r>
    </w:p>
    <w:p>
      <w:pPr>
        <w:spacing w:line="340" w:lineRule="exact"/>
        <w:ind w:left="419" w:leftChars="172" w:hanging="58" w:hangingChars="28"/>
        <w:rPr>
          <w:rFonts w:ascii="宋体" w:hAnsi="宋体" w:cs="宋体"/>
          <w:color w:val="auto"/>
          <w:highlight w:val="none"/>
        </w:rPr>
      </w:pPr>
      <w:r>
        <w:rPr>
          <w:rFonts w:hint="eastAsia" w:ascii="宋体" w:hAnsi="宋体" w:cs="宋体"/>
          <w:color w:val="auto"/>
          <w:highlight w:val="none"/>
        </w:rPr>
        <w:t>9.2 本合同一式</w:t>
      </w:r>
      <w:r>
        <w:rPr>
          <w:rFonts w:hint="eastAsia" w:ascii="宋体" w:hAnsi="宋体" w:cs="宋体"/>
          <w:color w:val="auto"/>
          <w:highlight w:val="none"/>
          <w:u w:val="single"/>
        </w:rPr>
        <w:t>两</w:t>
      </w:r>
      <w:r>
        <w:rPr>
          <w:rFonts w:hint="eastAsia" w:ascii="宋体" w:hAnsi="宋体" w:cs="宋体"/>
          <w:color w:val="auto"/>
          <w:highlight w:val="none"/>
        </w:rPr>
        <w:t>份，以中文书就，签约双方各执一份，具有相同的法律效力。</w:t>
      </w:r>
    </w:p>
    <w:p>
      <w:pPr>
        <w:spacing w:line="340" w:lineRule="exact"/>
        <w:rPr>
          <w:rFonts w:ascii="宋体" w:hAnsi="宋体" w:cs="宋体"/>
          <w:color w:val="auto"/>
          <w:highlight w:val="none"/>
        </w:rPr>
      </w:pPr>
      <w:r>
        <w:rPr>
          <w:rFonts w:hint="eastAsia" w:ascii="宋体" w:hAnsi="宋体" w:cs="宋体"/>
          <w:b/>
          <w:bCs/>
          <w:color w:val="auto"/>
          <w:highlight w:val="none"/>
        </w:rPr>
        <w:t xml:space="preserve">10.合同附件 </w:t>
      </w:r>
      <w:r>
        <w:rPr>
          <w:rFonts w:hint="eastAsia" w:ascii="宋体" w:hAnsi="宋体" w:cs="宋体"/>
          <w:color w:val="auto"/>
          <w:highlight w:val="none"/>
        </w:rPr>
        <w:t>合同附件是合同的不可分割的组成部分，与合同具有同等法律效力。</w:t>
      </w:r>
    </w:p>
    <w:p>
      <w:pPr>
        <w:spacing w:line="340" w:lineRule="exact"/>
        <w:ind w:left="419" w:leftChars="172" w:hanging="58" w:hangingChars="28"/>
        <w:rPr>
          <w:rFonts w:ascii="宋体" w:hAnsi="宋体" w:cs="宋体"/>
          <w:color w:val="auto"/>
          <w:highlight w:val="none"/>
        </w:rPr>
      </w:pPr>
      <w:r>
        <w:rPr>
          <w:rFonts w:hint="eastAsia" w:ascii="宋体" w:hAnsi="宋体" w:cs="宋体"/>
          <w:color w:val="auto"/>
          <w:highlight w:val="none"/>
        </w:rPr>
        <w:t>10.1配置清单      □设备的配置清单</w:t>
      </w:r>
    </w:p>
    <w:p>
      <w:pPr>
        <w:spacing w:line="340" w:lineRule="exact"/>
        <w:ind w:left="419" w:leftChars="172" w:hanging="58" w:hangingChars="28"/>
        <w:rPr>
          <w:rFonts w:ascii="宋体" w:hAnsi="宋体" w:cs="宋体"/>
          <w:color w:val="auto"/>
          <w:highlight w:val="none"/>
        </w:rPr>
      </w:pPr>
      <w:r>
        <w:rPr>
          <w:rFonts w:hint="eastAsia" w:ascii="宋体" w:hAnsi="宋体" w:cs="宋体"/>
          <w:color w:val="auto"/>
          <w:highlight w:val="none"/>
        </w:rPr>
        <w:t>10.2技术标准      □投标文件的技术响应   □设备技术说明　</w:t>
      </w:r>
    </w:p>
    <w:p>
      <w:pPr>
        <w:spacing w:line="340" w:lineRule="exact"/>
        <w:ind w:left="419" w:leftChars="172" w:hanging="58" w:hangingChars="28"/>
        <w:rPr>
          <w:rFonts w:ascii="宋体" w:hAnsi="宋体" w:cs="宋体"/>
          <w:color w:val="auto"/>
          <w:highlight w:val="none"/>
        </w:rPr>
      </w:pPr>
      <w:r>
        <w:rPr>
          <w:rFonts w:hint="eastAsia" w:ascii="宋体" w:hAnsi="宋体" w:cs="宋体"/>
          <w:color w:val="auto"/>
          <w:highlight w:val="none"/>
        </w:rPr>
        <w:t xml:space="preserve">10.3其他          □承诺书或补充协议等    </w:t>
      </w:r>
    </w:p>
    <w:p>
      <w:pPr>
        <w:numPr>
          <w:ilvl w:val="0"/>
          <w:numId w:val="19"/>
        </w:numPr>
        <w:spacing w:line="340" w:lineRule="exact"/>
        <w:rPr>
          <w:rFonts w:ascii="宋体" w:hAnsi="宋体" w:cs="宋体"/>
          <w:b/>
          <w:bCs/>
          <w:color w:val="auto"/>
          <w:highlight w:val="none"/>
          <w:u w:val="single"/>
        </w:rPr>
      </w:pPr>
      <w:r>
        <w:rPr>
          <w:rFonts w:hint="eastAsia" w:ascii="宋体" w:hAnsi="宋体" w:cs="宋体"/>
          <w:b/>
          <w:bCs/>
          <w:color w:val="auto"/>
          <w:highlight w:val="none"/>
        </w:rPr>
        <w:t>特别约定：</w:t>
      </w:r>
      <w:r>
        <w:rPr>
          <w:rFonts w:hint="eastAsia" w:ascii="宋体" w:hAnsi="宋体" w:cs="宋体"/>
          <w:b/>
          <w:bCs/>
          <w:color w:val="auto"/>
          <w:highlight w:val="none"/>
          <w:u w:val="single"/>
        </w:rPr>
        <w:t>中标人的投标响应及承诺作为合同的附件。</w:t>
      </w:r>
    </w:p>
    <w:p>
      <w:pPr>
        <w:numPr>
          <w:ilvl w:val="0"/>
          <w:numId w:val="19"/>
        </w:numPr>
        <w:spacing w:line="340" w:lineRule="exact"/>
        <w:rPr>
          <w:rFonts w:ascii="宋体" w:hAnsi="宋体" w:cs="宋体"/>
          <w:b/>
          <w:bCs/>
          <w:color w:val="auto"/>
          <w:highlight w:val="none"/>
          <w:u w:val="single"/>
        </w:rPr>
      </w:pPr>
      <w:r>
        <w:rPr>
          <w:rFonts w:hint="eastAsia" w:ascii="宋体" w:hAnsi="宋体" w:cs="宋体"/>
          <w:b/>
          <w:bCs/>
          <w:color w:val="auto"/>
          <w:highlight w:val="none"/>
        </w:rPr>
        <w:t>其他说明：投标商、开票公司以及合同签订人必须为同家公司</w:t>
      </w:r>
    </w:p>
    <w:p>
      <w:pPr>
        <w:spacing w:line="340" w:lineRule="exact"/>
        <w:ind w:firstLine="422" w:firstLineChars="200"/>
        <w:rPr>
          <w:rFonts w:ascii="宋体" w:hAnsi="宋体" w:cs="宋体"/>
          <w:b/>
          <w:bCs/>
          <w:color w:val="auto"/>
          <w:highlight w:val="none"/>
        </w:rPr>
      </w:pPr>
      <w:r>
        <w:rPr>
          <w:rFonts w:hint="eastAsia" w:ascii="宋体" w:hAnsi="宋体" w:cs="宋体"/>
          <w:b/>
          <w:bCs/>
          <w:color w:val="auto"/>
          <w:highlight w:val="none"/>
        </w:rPr>
        <w:t>甲方：</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rPr>
        <w:t xml:space="preserve">                             乙方： </w:t>
      </w:r>
    </w:p>
    <w:p>
      <w:pPr>
        <w:spacing w:line="340" w:lineRule="exact"/>
        <w:ind w:firstLine="310" w:firstLineChars="147"/>
        <w:rPr>
          <w:rFonts w:ascii="宋体" w:hAnsi="宋体" w:cs="宋体"/>
          <w:b/>
          <w:bCs/>
          <w:color w:val="auto"/>
          <w:highlight w:val="none"/>
        </w:rPr>
      </w:pPr>
      <w:r>
        <w:rPr>
          <w:rFonts w:hint="eastAsia" w:ascii="宋体" w:hAnsi="宋体" w:cs="宋体"/>
          <w:b/>
          <w:bCs/>
          <w:color w:val="auto"/>
          <w:highlight w:val="none"/>
        </w:rPr>
        <w:t>（盖章）                                          （盖章）</w:t>
      </w:r>
    </w:p>
    <w:p>
      <w:pPr>
        <w:spacing w:line="340" w:lineRule="exact"/>
        <w:rPr>
          <w:rFonts w:ascii="宋体" w:hAnsi="宋体" w:cs="宋体"/>
          <w:b/>
          <w:bCs/>
          <w:color w:val="auto"/>
          <w:highlight w:val="none"/>
        </w:rPr>
      </w:pPr>
      <w:r>
        <w:rPr>
          <w:rFonts w:hint="eastAsia" w:ascii="宋体" w:hAnsi="宋体" w:cs="宋体"/>
          <w:b/>
          <w:bCs/>
          <w:color w:val="auto"/>
          <w:highlight w:val="none"/>
        </w:rPr>
        <w:t>甲方法定代表人或授权委托人                        乙方法定代表人或授权委托人</w:t>
      </w:r>
    </w:p>
    <w:p>
      <w:pPr>
        <w:spacing w:line="340" w:lineRule="exact"/>
        <w:rPr>
          <w:rFonts w:ascii="宋体" w:hAnsi="宋体" w:cs="宋体"/>
          <w:b/>
          <w:bCs/>
          <w:color w:val="auto"/>
          <w:highlight w:val="none"/>
        </w:rPr>
      </w:pPr>
      <w:r>
        <w:rPr>
          <w:rFonts w:hint="eastAsia" w:ascii="宋体" w:hAnsi="宋体" w:cs="宋体"/>
          <w:b/>
          <w:bCs/>
          <w:color w:val="auto"/>
          <w:highlight w:val="none"/>
        </w:rPr>
        <w:t>__________________________                         __________________________</w:t>
      </w:r>
    </w:p>
    <w:p>
      <w:pPr>
        <w:spacing w:line="340" w:lineRule="exact"/>
        <w:rPr>
          <w:rFonts w:ascii="宋体" w:hAnsi="宋体" w:cs="宋体"/>
          <w:b/>
          <w:bCs/>
          <w:color w:val="auto"/>
          <w:highlight w:val="none"/>
        </w:rPr>
      </w:pPr>
      <w:r>
        <w:rPr>
          <w:rFonts w:hint="eastAsia" w:ascii="宋体" w:hAnsi="宋体" w:cs="宋体"/>
          <w:b/>
          <w:bCs/>
          <w:color w:val="auto"/>
          <w:highlight w:val="none"/>
        </w:rPr>
        <w:t>日期：____________________                        日期：____________________</w:t>
      </w:r>
    </w:p>
    <w:p>
      <w:pPr>
        <w:spacing w:line="340" w:lineRule="exact"/>
        <w:rPr>
          <w:rFonts w:ascii="宋体" w:hAnsi="宋体" w:cs="宋体"/>
          <w:color w:val="auto"/>
          <w:highlight w:val="none"/>
        </w:rPr>
      </w:pPr>
    </w:p>
    <w:p>
      <w:pPr>
        <w:spacing w:line="340" w:lineRule="exact"/>
        <w:ind w:firstLine="413" w:firstLineChars="196"/>
        <w:rPr>
          <w:rFonts w:ascii="宋体" w:hAnsi="宋体" w:cs="宋体"/>
          <w:b/>
          <w:bCs/>
          <w:color w:val="auto"/>
          <w:highlight w:val="none"/>
        </w:rPr>
      </w:pPr>
      <w:r>
        <w:rPr>
          <w:rFonts w:hint="eastAsia" w:ascii="宋体" w:hAnsi="宋体" w:cs="宋体"/>
          <w:b/>
          <w:bCs/>
          <w:color w:val="auto"/>
          <w:highlight w:val="none"/>
        </w:rPr>
        <w:t>联系地址：                                          联系地址：</w:t>
      </w:r>
    </w:p>
    <w:p>
      <w:pPr>
        <w:spacing w:line="340" w:lineRule="exact"/>
        <w:rPr>
          <w:rFonts w:ascii="宋体" w:hAnsi="宋体" w:cs="宋体"/>
          <w:b/>
          <w:bCs/>
          <w:color w:val="auto"/>
          <w:highlight w:val="none"/>
        </w:rPr>
      </w:pPr>
      <w:r>
        <w:rPr>
          <w:rFonts w:hint="eastAsia" w:ascii="宋体" w:hAnsi="宋体" w:cs="宋体"/>
          <w:b/>
          <w:bCs/>
          <w:color w:val="auto"/>
          <w:highlight w:val="none"/>
        </w:rPr>
        <w:t xml:space="preserve">    固定电话：                                        固定电话：</w:t>
      </w:r>
    </w:p>
    <w:p>
      <w:pPr>
        <w:spacing w:line="340" w:lineRule="exact"/>
        <w:rPr>
          <w:rFonts w:ascii="宋体" w:hAnsi="宋体" w:cs="宋体"/>
          <w:b/>
          <w:bCs/>
          <w:color w:val="auto"/>
          <w:highlight w:val="none"/>
        </w:rPr>
      </w:pPr>
      <w:r>
        <w:rPr>
          <w:rFonts w:hint="eastAsia" w:ascii="宋体" w:hAnsi="宋体" w:cs="宋体"/>
          <w:b/>
          <w:bCs/>
          <w:color w:val="auto"/>
          <w:sz w:val="24"/>
          <w:szCs w:val="24"/>
          <w:highlight w:val="none"/>
        </w:rPr>
        <w:t xml:space="preserve">   </w:t>
      </w:r>
      <w:r>
        <w:rPr>
          <w:rFonts w:hint="eastAsia" w:ascii="宋体" w:hAnsi="宋体" w:cs="宋体"/>
          <w:b/>
          <w:bCs/>
          <w:color w:val="auto"/>
          <w:highlight w:val="none"/>
        </w:rPr>
        <w:t>采购员联系电话：                                   销售员联系电话：</w:t>
      </w:r>
    </w:p>
    <w:p>
      <w:pPr>
        <w:spacing w:line="340" w:lineRule="exact"/>
        <w:rPr>
          <w:rFonts w:ascii="宋体" w:hAnsi="宋体" w:cs="宋体"/>
          <w:b/>
          <w:bCs/>
          <w:color w:val="auto"/>
          <w:sz w:val="24"/>
          <w:szCs w:val="24"/>
          <w:highlight w:val="none"/>
        </w:rPr>
      </w:pPr>
      <w:r>
        <w:rPr>
          <w:rFonts w:hint="eastAsia" w:ascii="宋体" w:hAnsi="宋体" w:cs="宋体"/>
          <w:b/>
          <w:bCs/>
          <w:color w:val="auto"/>
          <w:highlight w:val="none"/>
        </w:rPr>
        <w:t xml:space="preserve">   工程师联系电话：                                   工程师联系电话：</w:t>
      </w:r>
    </w:p>
    <w:p>
      <w:pP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 xml:space="preserve">                                           </w:t>
      </w: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ascii="宋体" w:hAnsi="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附件一</w:t>
      </w: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医疗设备配置清单</w:t>
      </w:r>
    </w:p>
    <w:tbl>
      <w:tblPr>
        <w:tblStyle w:val="48"/>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21"/>
        <w:gridCol w:w="2716"/>
        <w:gridCol w:w="1630"/>
        <w:gridCol w:w="969"/>
        <w:gridCol w:w="968"/>
        <w:gridCol w:w="1009"/>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44" w:type="dxa"/>
            <w:vMerge w:val="restart"/>
            <w:textDirection w:val="tbRlV"/>
          </w:tcPr>
          <w:p>
            <w:pPr>
              <w:ind w:left="113" w:right="113"/>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已   选   配   置</w:t>
            </w:r>
          </w:p>
        </w:tc>
        <w:tc>
          <w:tcPr>
            <w:tcW w:w="721"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编号</w:t>
            </w:r>
          </w:p>
        </w:tc>
        <w:tc>
          <w:tcPr>
            <w:tcW w:w="2716"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部件名称</w:t>
            </w:r>
          </w:p>
        </w:tc>
        <w:tc>
          <w:tcPr>
            <w:tcW w:w="1630"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规格型号</w:t>
            </w:r>
          </w:p>
        </w:tc>
        <w:tc>
          <w:tcPr>
            <w:tcW w:w="969"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产地</w:t>
            </w:r>
          </w:p>
        </w:tc>
        <w:tc>
          <w:tcPr>
            <w:tcW w:w="968"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009"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价格</w:t>
            </w:r>
          </w:p>
        </w:tc>
        <w:tc>
          <w:tcPr>
            <w:tcW w:w="824"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44" w:type="dxa"/>
            <w:vMerge w:val="continue"/>
          </w:tcPr>
          <w:p>
            <w:pPr>
              <w:rPr>
                <w:rFonts w:hint="eastAsia" w:ascii="宋体" w:hAnsi="宋体" w:eastAsia="宋体" w:cs="宋体"/>
                <w:b/>
                <w:bCs/>
                <w:color w:val="auto"/>
                <w:sz w:val="24"/>
                <w:szCs w:val="24"/>
                <w:highlight w:val="none"/>
              </w:rPr>
            </w:pPr>
          </w:p>
        </w:tc>
        <w:tc>
          <w:tcPr>
            <w:tcW w:w="7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w:t>
            </w:r>
          </w:p>
        </w:tc>
        <w:tc>
          <w:tcPr>
            <w:tcW w:w="2716" w:type="dxa"/>
          </w:tcPr>
          <w:p>
            <w:pPr>
              <w:rPr>
                <w:rFonts w:hint="eastAsia" w:ascii="宋体" w:hAnsi="宋体" w:eastAsia="宋体" w:cs="宋体"/>
                <w:b/>
                <w:bCs/>
                <w:color w:val="auto"/>
                <w:sz w:val="24"/>
                <w:szCs w:val="24"/>
                <w:highlight w:val="none"/>
              </w:rPr>
            </w:pPr>
          </w:p>
        </w:tc>
        <w:tc>
          <w:tcPr>
            <w:tcW w:w="1630" w:type="dxa"/>
          </w:tcPr>
          <w:p>
            <w:pPr>
              <w:rPr>
                <w:rFonts w:hint="eastAsia" w:ascii="宋体" w:hAnsi="宋体" w:eastAsia="宋体" w:cs="宋体"/>
                <w:b/>
                <w:bCs/>
                <w:color w:val="auto"/>
                <w:sz w:val="24"/>
                <w:szCs w:val="24"/>
                <w:highlight w:val="none"/>
              </w:rPr>
            </w:pPr>
          </w:p>
        </w:tc>
        <w:tc>
          <w:tcPr>
            <w:tcW w:w="969" w:type="dxa"/>
          </w:tcPr>
          <w:p>
            <w:pPr>
              <w:rPr>
                <w:rFonts w:hint="eastAsia" w:ascii="宋体" w:hAnsi="宋体" w:eastAsia="宋体" w:cs="宋体"/>
                <w:b/>
                <w:bCs/>
                <w:color w:val="auto"/>
                <w:sz w:val="24"/>
                <w:szCs w:val="24"/>
                <w:highlight w:val="none"/>
              </w:rPr>
            </w:pPr>
          </w:p>
        </w:tc>
        <w:tc>
          <w:tcPr>
            <w:tcW w:w="968" w:type="dxa"/>
          </w:tcPr>
          <w:p>
            <w:pPr>
              <w:rPr>
                <w:rFonts w:hint="eastAsia" w:ascii="宋体" w:hAnsi="宋体" w:eastAsia="宋体" w:cs="宋体"/>
                <w:b/>
                <w:bCs/>
                <w:color w:val="auto"/>
                <w:sz w:val="24"/>
                <w:szCs w:val="24"/>
                <w:highlight w:val="none"/>
              </w:rPr>
            </w:pPr>
          </w:p>
        </w:tc>
        <w:tc>
          <w:tcPr>
            <w:tcW w:w="1009" w:type="dxa"/>
          </w:tcPr>
          <w:p>
            <w:pPr>
              <w:rPr>
                <w:rFonts w:hint="eastAsia" w:ascii="宋体" w:hAnsi="宋体" w:eastAsia="宋体" w:cs="宋体"/>
                <w:b/>
                <w:bCs/>
                <w:color w:val="auto"/>
                <w:sz w:val="24"/>
                <w:szCs w:val="24"/>
                <w:highlight w:val="none"/>
              </w:rPr>
            </w:pPr>
          </w:p>
        </w:tc>
        <w:tc>
          <w:tcPr>
            <w:tcW w:w="824" w:type="dxa"/>
          </w:tcPr>
          <w:p>
            <w:pPr>
              <w:rPr>
                <w:rFonts w:hint="eastAsia" w:ascii="宋体" w:hAnsi="宋体" w:eastAsia="宋体" w:cs="宋体"/>
                <w:b/>
                <w:bCs/>
                <w:color w:val="auto"/>
                <w:sz w:val="24"/>
                <w:szCs w:val="24"/>
                <w:highlight w:val="none"/>
              </w:rPr>
            </w:pPr>
          </w:p>
        </w:tc>
      </w:tr>
    </w:tbl>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需方: (签字)                              供方:(签字)   </w:t>
      </w: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附件二</w:t>
      </w: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医疗设备配件及耗材的价格清单</w:t>
      </w:r>
    </w:p>
    <w:tbl>
      <w:tblPr>
        <w:tblStyle w:val="4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26"/>
        <w:gridCol w:w="1514"/>
        <w:gridCol w:w="1678"/>
        <w:gridCol w:w="118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编号</w:t>
            </w:r>
          </w:p>
        </w:tc>
        <w:tc>
          <w:tcPr>
            <w:tcW w:w="2226"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配件或耗材名称</w:t>
            </w:r>
          </w:p>
        </w:tc>
        <w:tc>
          <w:tcPr>
            <w:tcW w:w="1514"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规格型号</w:t>
            </w:r>
          </w:p>
        </w:tc>
        <w:tc>
          <w:tcPr>
            <w:tcW w:w="1678"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生产厂商</w:t>
            </w:r>
          </w:p>
        </w:tc>
        <w:tc>
          <w:tcPr>
            <w:tcW w:w="1187"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521" w:type="dxa"/>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2226" w:type="dxa"/>
            <w:vAlign w:val="bottom"/>
          </w:tcPr>
          <w:p>
            <w:pPr>
              <w:rPr>
                <w:rFonts w:hint="eastAsia" w:ascii="宋体" w:hAnsi="宋体" w:eastAsia="宋体" w:cs="宋体"/>
                <w:b/>
                <w:bCs/>
                <w:color w:val="auto"/>
                <w:sz w:val="24"/>
                <w:szCs w:val="24"/>
                <w:highlight w:val="none"/>
              </w:rPr>
            </w:pPr>
          </w:p>
        </w:tc>
        <w:tc>
          <w:tcPr>
            <w:tcW w:w="1514" w:type="dxa"/>
            <w:vAlign w:val="bottom"/>
          </w:tcPr>
          <w:p>
            <w:pPr>
              <w:rPr>
                <w:rFonts w:hint="eastAsia" w:ascii="宋体" w:hAnsi="宋体" w:eastAsia="宋体" w:cs="宋体"/>
                <w:b/>
                <w:bCs/>
                <w:color w:val="auto"/>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2226" w:type="dxa"/>
          </w:tcPr>
          <w:p>
            <w:pPr>
              <w:rPr>
                <w:rFonts w:hint="eastAsia" w:ascii="宋体" w:hAnsi="宋体" w:eastAsia="宋体" w:cs="宋体"/>
                <w:b/>
                <w:bCs/>
                <w:color w:val="auto"/>
                <w:sz w:val="24"/>
                <w:szCs w:val="24"/>
                <w:highlight w:val="none"/>
              </w:rPr>
            </w:pPr>
          </w:p>
        </w:tc>
        <w:tc>
          <w:tcPr>
            <w:tcW w:w="1514" w:type="dxa"/>
            <w:vAlign w:val="bottom"/>
          </w:tcPr>
          <w:p>
            <w:pPr>
              <w:rPr>
                <w:rFonts w:hint="eastAsia" w:ascii="宋体" w:hAnsi="宋体" w:eastAsia="宋体" w:cs="宋体"/>
                <w:b/>
                <w:bCs/>
                <w:color w:val="auto"/>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p>
        </w:tc>
        <w:tc>
          <w:tcPr>
            <w:tcW w:w="2226" w:type="dxa"/>
          </w:tcPr>
          <w:p>
            <w:pPr>
              <w:rPr>
                <w:rFonts w:hint="eastAsia" w:ascii="宋体" w:hAnsi="宋体" w:eastAsia="宋体" w:cs="宋体"/>
                <w:b/>
                <w:bCs/>
                <w:color w:val="auto"/>
                <w:sz w:val="24"/>
                <w:szCs w:val="24"/>
                <w:highlight w:val="none"/>
              </w:rPr>
            </w:pPr>
          </w:p>
        </w:tc>
        <w:tc>
          <w:tcPr>
            <w:tcW w:w="1514" w:type="dxa"/>
            <w:vAlign w:val="bottom"/>
          </w:tcPr>
          <w:p>
            <w:pPr>
              <w:rPr>
                <w:rFonts w:hint="eastAsia" w:ascii="宋体" w:hAnsi="宋体" w:eastAsia="宋体" w:cs="宋体"/>
                <w:b/>
                <w:bCs/>
                <w:color w:val="auto"/>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w:t>
            </w:r>
          </w:p>
        </w:tc>
        <w:tc>
          <w:tcPr>
            <w:tcW w:w="2226" w:type="dxa"/>
            <w:vAlign w:val="bottom"/>
          </w:tcPr>
          <w:p>
            <w:pPr>
              <w:rPr>
                <w:rFonts w:hint="eastAsia" w:ascii="宋体" w:hAnsi="宋体" w:eastAsia="宋体" w:cs="宋体"/>
                <w:b/>
                <w:bCs/>
                <w:color w:val="auto"/>
                <w:sz w:val="24"/>
                <w:szCs w:val="24"/>
                <w:highlight w:val="none"/>
              </w:rPr>
            </w:pPr>
          </w:p>
        </w:tc>
        <w:tc>
          <w:tcPr>
            <w:tcW w:w="1514" w:type="dxa"/>
            <w:vAlign w:val="center"/>
          </w:tcPr>
          <w:p>
            <w:pPr>
              <w:rPr>
                <w:rFonts w:hint="eastAsia" w:ascii="宋体" w:hAnsi="宋体" w:eastAsia="宋体" w:cs="宋体"/>
                <w:b/>
                <w:bCs/>
                <w:color w:val="auto"/>
                <w:spacing w:val="20"/>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w:t>
            </w:r>
          </w:p>
        </w:tc>
        <w:tc>
          <w:tcPr>
            <w:tcW w:w="2226" w:type="dxa"/>
            <w:vAlign w:val="center"/>
          </w:tcPr>
          <w:p>
            <w:pPr>
              <w:rPr>
                <w:rFonts w:hint="eastAsia" w:ascii="宋体" w:hAnsi="宋体" w:eastAsia="宋体" w:cs="宋体"/>
                <w:b/>
                <w:bCs/>
                <w:color w:val="auto"/>
                <w:spacing w:val="20"/>
                <w:sz w:val="24"/>
                <w:szCs w:val="24"/>
                <w:highlight w:val="none"/>
              </w:rPr>
            </w:pPr>
          </w:p>
        </w:tc>
        <w:tc>
          <w:tcPr>
            <w:tcW w:w="1514" w:type="dxa"/>
            <w:vAlign w:val="center"/>
          </w:tcPr>
          <w:p>
            <w:pPr>
              <w:rPr>
                <w:rFonts w:hint="eastAsia" w:ascii="宋体" w:hAnsi="宋体" w:eastAsia="宋体" w:cs="宋体"/>
                <w:b/>
                <w:bCs/>
                <w:color w:val="auto"/>
                <w:spacing w:val="20"/>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p>
        </w:tc>
        <w:tc>
          <w:tcPr>
            <w:tcW w:w="2226" w:type="dxa"/>
            <w:vAlign w:val="center"/>
          </w:tcPr>
          <w:p>
            <w:pPr>
              <w:rPr>
                <w:rFonts w:hint="eastAsia" w:ascii="宋体" w:hAnsi="宋体" w:eastAsia="宋体" w:cs="宋体"/>
                <w:b/>
                <w:bCs/>
                <w:color w:val="auto"/>
                <w:spacing w:val="20"/>
                <w:sz w:val="24"/>
                <w:szCs w:val="24"/>
                <w:highlight w:val="none"/>
              </w:rPr>
            </w:pPr>
          </w:p>
        </w:tc>
        <w:tc>
          <w:tcPr>
            <w:tcW w:w="1514" w:type="dxa"/>
            <w:vAlign w:val="center"/>
          </w:tcPr>
          <w:p>
            <w:pPr>
              <w:rPr>
                <w:rFonts w:hint="eastAsia" w:ascii="宋体" w:hAnsi="宋体" w:eastAsia="宋体" w:cs="宋体"/>
                <w:b/>
                <w:bCs/>
                <w:color w:val="auto"/>
                <w:spacing w:val="20"/>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p>
        </w:tc>
        <w:tc>
          <w:tcPr>
            <w:tcW w:w="2226" w:type="dxa"/>
            <w:vAlign w:val="center"/>
          </w:tcPr>
          <w:p>
            <w:pPr>
              <w:rPr>
                <w:rFonts w:hint="eastAsia" w:ascii="宋体" w:hAnsi="宋体" w:eastAsia="宋体" w:cs="宋体"/>
                <w:b/>
                <w:bCs/>
                <w:color w:val="auto"/>
                <w:spacing w:val="20"/>
                <w:sz w:val="24"/>
                <w:szCs w:val="24"/>
                <w:highlight w:val="none"/>
              </w:rPr>
            </w:pPr>
          </w:p>
        </w:tc>
        <w:tc>
          <w:tcPr>
            <w:tcW w:w="1514" w:type="dxa"/>
            <w:vAlign w:val="center"/>
          </w:tcPr>
          <w:p>
            <w:pPr>
              <w:rPr>
                <w:rFonts w:hint="eastAsia" w:ascii="宋体" w:hAnsi="宋体" w:eastAsia="宋体" w:cs="宋体"/>
                <w:b/>
                <w:bCs/>
                <w:color w:val="auto"/>
                <w:spacing w:val="20"/>
                <w:sz w:val="24"/>
                <w:szCs w:val="24"/>
                <w:highlight w:val="none"/>
              </w:rPr>
            </w:pPr>
          </w:p>
        </w:tc>
        <w:tc>
          <w:tcPr>
            <w:tcW w:w="1678" w:type="dxa"/>
          </w:tcPr>
          <w:p>
            <w:pPr>
              <w:rPr>
                <w:rFonts w:hint="eastAsia" w:ascii="宋体" w:hAnsi="宋体" w:eastAsia="宋体" w:cs="宋体"/>
                <w:b/>
                <w:bCs/>
                <w:color w:val="auto"/>
                <w:sz w:val="24"/>
                <w:szCs w:val="24"/>
                <w:highlight w:val="none"/>
              </w:rPr>
            </w:pPr>
          </w:p>
        </w:tc>
        <w:tc>
          <w:tcPr>
            <w:tcW w:w="1187" w:type="dxa"/>
            <w:vAlign w:val="center"/>
          </w:tcPr>
          <w:p>
            <w:pPr>
              <w:jc w:val="center"/>
              <w:rPr>
                <w:rFonts w:hint="eastAsia" w:ascii="宋体" w:hAnsi="宋体" w:eastAsia="宋体" w:cs="宋体"/>
                <w:b/>
                <w:bCs/>
                <w:color w:val="auto"/>
                <w:sz w:val="24"/>
                <w:szCs w:val="24"/>
                <w:highlight w:val="none"/>
              </w:rPr>
            </w:pPr>
          </w:p>
        </w:tc>
        <w:tc>
          <w:tcPr>
            <w:tcW w:w="1521" w:type="dxa"/>
            <w:vAlign w:val="center"/>
          </w:tcPr>
          <w:p>
            <w:pPr>
              <w:jc w:val="center"/>
              <w:rPr>
                <w:rFonts w:hint="eastAsia" w:ascii="宋体" w:hAnsi="宋体" w:eastAsia="宋体" w:cs="宋体"/>
                <w:b/>
                <w:bCs/>
                <w:color w:val="auto"/>
                <w:sz w:val="24"/>
                <w:szCs w:val="24"/>
                <w:highlight w:val="none"/>
              </w:rPr>
            </w:pPr>
          </w:p>
        </w:tc>
      </w:tr>
    </w:tbl>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供方保证在合同签定</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年内以不高于上述价格供应设备相应配件及耗品</w:t>
      </w:r>
    </w:p>
    <w:p>
      <w:pPr>
        <w:rPr>
          <w:rFonts w:hint="eastAsia" w:ascii="宋体" w:hAnsi="宋体" w:eastAsia="宋体" w:cs="宋体"/>
          <w:b/>
          <w:bCs/>
          <w:color w:val="auto"/>
          <w:sz w:val="24"/>
          <w:szCs w:val="24"/>
          <w:highlight w:val="none"/>
        </w:rPr>
      </w:pPr>
    </w:p>
    <w:p>
      <w:pPr>
        <w:ind w:firstLine="723" w:firstLineChars="3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需方: (签字)                            供方:(签字)</w:t>
      </w:r>
    </w:p>
    <w:p>
      <w:pPr>
        <w:pStyle w:val="3"/>
        <w:rPr>
          <w:rFonts w:ascii="宋体" w:hAnsi="宋体" w:cs="宋体"/>
          <w:b/>
          <w:bCs/>
          <w:color w:val="auto"/>
          <w:sz w:val="24"/>
          <w:szCs w:val="24"/>
          <w:highlight w:val="none"/>
        </w:rPr>
      </w:pPr>
    </w:p>
    <w:p>
      <w:pPr>
        <w:pStyle w:val="5"/>
        <w:jc w:val="both"/>
        <w:rPr>
          <w:rFonts w:ascii="宋体" w:cs="宋体"/>
          <w:color w:val="auto"/>
          <w:highlight w:val="none"/>
        </w:rPr>
        <w:sectPr>
          <w:pgSz w:w="11906" w:h="16838"/>
          <w:pgMar w:top="1474" w:right="1797" w:bottom="1247" w:left="1797" w:header="851" w:footer="851" w:gutter="0"/>
          <w:cols w:space="720" w:num="1"/>
          <w:titlePg/>
          <w:docGrid w:linePitch="312" w:charSpace="0"/>
        </w:sectPr>
      </w:pPr>
      <w:bookmarkStart w:id="236" w:name="_Toc13023"/>
      <w:bookmarkStart w:id="237" w:name="_Toc317116872"/>
    </w:p>
    <w:p>
      <w:pPr>
        <w:pStyle w:val="5"/>
        <w:jc w:val="center"/>
        <w:rPr>
          <w:rFonts w:ascii="宋体" w:cs="宋体"/>
          <w:color w:val="auto"/>
          <w:highlight w:val="none"/>
        </w:rPr>
      </w:pPr>
      <w:bookmarkStart w:id="238" w:name="_Toc32670"/>
      <w:r>
        <w:rPr>
          <w:rFonts w:hint="eastAsia" w:ascii="宋体" w:cs="宋体"/>
          <w:color w:val="auto"/>
          <w:highlight w:val="none"/>
        </w:rPr>
        <w:t>第六章  投标文件格式</w:t>
      </w:r>
      <w:bookmarkEnd w:id="236"/>
      <w:bookmarkEnd w:id="237"/>
      <w:bookmarkEnd w:id="238"/>
    </w:p>
    <w:p>
      <w:pPr>
        <w:snapToGrid w:val="0"/>
        <w:spacing w:before="120" w:beforeLines="50" w:after="50" w:line="360" w:lineRule="auto"/>
        <w:rPr>
          <w:rFonts w:ascii="宋体" w:hAnsi="宋体" w:cs="宋体"/>
          <w:b/>
          <w:bCs/>
          <w:color w:val="auto"/>
          <w:highlight w:val="none"/>
        </w:rPr>
      </w:pPr>
      <w:r>
        <w:rPr>
          <w:rFonts w:hint="eastAsia" w:ascii="宋体" w:hAnsi="宋体" w:cs="宋体"/>
          <w:b/>
          <w:bCs/>
          <w:color w:val="auto"/>
          <w:highlight w:val="none"/>
        </w:rPr>
        <w:t>1.封面格式：</w:t>
      </w:r>
    </w:p>
    <w:p>
      <w:pPr>
        <w:snapToGrid w:val="0"/>
        <w:spacing w:before="120" w:beforeLines="50" w:after="50" w:line="360" w:lineRule="auto"/>
        <w:ind w:firstLine="207" w:firstLineChars="98"/>
        <w:rPr>
          <w:rFonts w:ascii="宋体" w:hAnsi="宋体" w:cs="宋体"/>
          <w:b/>
          <w:bCs/>
          <w:color w:val="auto"/>
          <w:highlight w:val="none"/>
        </w:rPr>
      </w:pPr>
    </w:p>
    <w:p>
      <w:pPr>
        <w:snapToGrid w:val="0"/>
        <w:spacing w:before="120" w:beforeLines="50" w:after="50" w:line="360" w:lineRule="auto"/>
        <w:jc w:val="center"/>
        <w:rPr>
          <w:rFonts w:ascii="宋体" w:hAnsi="宋体" w:cs="宋体"/>
          <w:color w:val="auto"/>
          <w:highlight w:val="none"/>
        </w:rPr>
      </w:pPr>
      <w:r>
        <w:rPr>
          <w:rFonts w:hint="eastAsia" w:ascii="宋体" w:hAnsi="宋体" w:cs="宋体"/>
          <w:b/>
          <w:bCs/>
          <w:color w:val="auto"/>
          <w:highlight w:val="none"/>
        </w:rPr>
        <w:t xml:space="preserve">                                            正本/或副本</w:t>
      </w:r>
    </w:p>
    <w:p>
      <w:pPr>
        <w:snapToGrid w:val="0"/>
        <w:spacing w:before="120" w:beforeLines="50" w:after="50" w:line="360" w:lineRule="auto"/>
        <w:jc w:val="center"/>
        <w:rPr>
          <w:rFonts w:ascii="宋体" w:hAnsi="宋体" w:cs="宋体"/>
          <w:color w:val="auto"/>
          <w:highlight w:val="none"/>
        </w:rPr>
      </w:pPr>
      <w:r>
        <w:rPr>
          <w:rFonts w:hint="eastAsia" w:ascii="宋体" w:hAnsi="宋体" w:cs="宋体"/>
          <w:color w:val="auto"/>
          <w:highlight w:val="none"/>
        </w:rPr>
        <w:t>投 标 文 件（商务技术文件/报价文件）</w:t>
      </w:r>
    </w:p>
    <w:p>
      <w:pPr>
        <w:snapToGrid w:val="0"/>
        <w:spacing w:before="120" w:beforeLines="50" w:after="50" w:line="360" w:lineRule="auto"/>
        <w:ind w:firstLine="6054" w:firstLineChars="2883"/>
        <w:rPr>
          <w:rFonts w:ascii="宋体" w:hAnsi="宋体" w:cs="宋体"/>
          <w:color w:val="auto"/>
          <w:highlight w:val="none"/>
        </w:rPr>
      </w:pPr>
    </w:p>
    <w:p>
      <w:pPr>
        <w:snapToGrid w:val="0"/>
        <w:spacing w:before="120" w:beforeLines="50" w:after="50" w:line="360" w:lineRule="auto"/>
        <w:ind w:firstLine="945" w:firstLineChars="450"/>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缙云县人民医院手术腔镜系统（3D）、甲醛灭菌器及高清电子内窥镜系统采购项目</w:t>
      </w:r>
    </w:p>
    <w:p>
      <w:pPr>
        <w:snapToGrid w:val="0"/>
        <w:spacing w:before="120" w:beforeLines="50" w:after="50"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 xml:space="preserve">     项目编号：</w:t>
      </w:r>
      <w:r>
        <w:rPr>
          <w:rFonts w:hint="eastAsia" w:ascii="宋体" w:hAnsi="宋体" w:cs="宋体"/>
          <w:color w:val="auto"/>
          <w:highlight w:val="none"/>
          <w:lang w:eastAsia="zh-CN"/>
        </w:rPr>
        <w:t>JY分散公开2023-30</w:t>
      </w:r>
    </w:p>
    <w:p>
      <w:pPr>
        <w:snapToGrid w:val="0"/>
        <w:spacing w:before="120" w:beforeLines="50" w:after="50" w:line="360" w:lineRule="auto"/>
        <w:ind w:firstLine="945" w:firstLineChars="450"/>
        <w:rPr>
          <w:rFonts w:ascii="宋体" w:hAnsi="宋体" w:cs="宋体"/>
          <w:color w:val="auto"/>
          <w:highlight w:val="none"/>
        </w:rPr>
      </w:pPr>
      <w:r>
        <w:rPr>
          <w:rFonts w:hint="eastAsia" w:ascii="宋体" w:hAnsi="宋体" w:cs="宋体"/>
          <w:color w:val="auto"/>
          <w:highlight w:val="none"/>
        </w:rPr>
        <w:t>投标人名称（加盖公章）：</w:t>
      </w:r>
    </w:p>
    <w:p>
      <w:pPr>
        <w:snapToGrid w:val="0"/>
        <w:spacing w:before="120" w:beforeLines="50" w:after="50" w:line="360" w:lineRule="auto"/>
        <w:ind w:firstLine="945" w:firstLineChars="450"/>
        <w:rPr>
          <w:rFonts w:ascii="宋体" w:hAnsi="宋体" w:cs="宋体"/>
          <w:color w:val="auto"/>
          <w:highlight w:val="none"/>
        </w:rPr>
      </w:pPr>
      <w:r>
        <w:rPr>
          <w:rFonts w:hint="eastAsia" w:ascii="宋体" w:hAnsi="宋体" w:cs="宋体"/>
          <w:color w:val="auto"/>
          <w:highlight w:val="none"/>
        </w:rPr>
        <w:t>投标人地址：</w:t>
      </w:r>
    </w:p>
    <w:p>
      <w:pPr>
        <w:snapToGrid w:val="0"/>
        <w:spacing w:before="50" w:after="50" w:line="360" w:lineRule="auto"/>
        <w:outlineLvl w:val="1"/>
        <w:rPr>
          <w:rFonts w:ascii="宋体" w:hAnsi="宋体" w:cs="宋体"/>
          <w:color w:val="auto"/>
          <w:highlight w:val="none"/>
        </w:rPr>
      </w:pPr>
      <w:r>
        <w:rPr>
          <w:rFonts w:hint="eastAsia" w:ascii="宋体" w:hAnsi="宋体" w:cs="宋体"/>
          <w:color w:val="auto"/>
          <w:highlight w:val="none"/>
        </w:rPr>
        <w:t xml:space="preserve">                                                 </w:t>
      </w:r>
      <w:bookmarkStart w:id="239" w:name="_Toc447886361"/>
      <w:bookmarkStart w:id="240" w:name="_Toc47388387"/>
      <w:bookmarkStart w:id="241" w:name="_Toc23227"/>
      <w:bookmarkStart w:id="242" w:name="_Toc447886499"/>
      <w:bookmarkStart w:id="243" w:name="_Toc20211"/>
      <w:r>
        <w:rPr>
          <w:rFonts w:hint="eastAsia" w:ascii="宋体" w:hAnsi="宋体" w:cs="宋体"/>
          <w:color w:val="auto"/>
          <w:highlight w:val="none"/>
        </w:rPr>
        <w:t>年  月  日</w:t>
      </w:r>
      <w:bookmarkEnd w:id="239"/>
      <w:bookmarkEnd w:id="240"/>
      <w:bookmarkEnd w:id="241"/>
      <w:bookmarkEnd w:id="242"/>
      <w:bookmarkEnd w:id="243"/>
    </w:p>
    <w:p>
      <w:pPr>
        <w:snapToGrid w:val="0"/>
        <w:spacing w:before="120" w:beforeLines="50" w:after="50"/>
        <w:rPr>
          <w:rFonts w:ascii="宋体" w:hAnsi="宋体" w:cs="宋体"/>
          <w:color w:val="auto"/>
          <w:highlight w:val="none"/>
        </w:rPr>
      </w:pPr>
    </w:p>
    <w:p>
      <w:pPr>
        <w:snapToGrid w:val="0"/>
        <w:spacing w:before="120" w:beforeLines="50" w:after="50"/>
        <w:jc w:val="center"/>
        <w:rPr>
          <w:rFonts w:ascii="宋体" w:hAnsi="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b/>
          <w:color w:val="auto"/>
          <w:highlight w:val="none"/>
        </w:rPr>
        <w:t>注：联合体投标的，可只由联合体牵头人盖章。</w:t>
      </w:r>
    </w:p>
    <w:p>
      <w:pPr>
        <w:snapToGrid w:val="0"/>
        <w:spacing w:before="120" w:beforeLines="50" w:after="50"/>
        <w:rPr>
          <w:rFonts w:ascii="宋体" w:hAnsi="宋体" w:cs="宋体"/>
          <w:b/>
          <w:bCs/>
          <w:color w:val="auto"/>
          <w:highlight w:val="none"/>
        </w:rPr>
      </w:pPr>
      <w:r>
        <w:rPr>
          <w:rFonts w:hint="eastAsia" w:ascii="宋体" w:hAnsi="宋体" w:cs="宋体"/>
          <w:b/>
          <w:bCs/>
          <w:color w:val="auto"/>
          <w:highlight w:val="none"/>
        </w:rPr>
        <w:t>一、报价文件</w:t>
      </w:r>
    </w:p>
    <w:p>
      <w:pPr>
        <w:snapToGrid w:val="0"/>
        <w:spacing w:before="120" w:beforeLines="50" w:after="50"/>
        <w:rPr>
          <w:rFonts w:ascii="宋体" w:hAnsi="宋体" w:cs="宋体"/>
          <w:color w:val="auto"/>
          <w:highlight w:val="none"/>
        </w:rPr>
      </w:pPr>
      <w:r>
        <w:rPr>
          <w:rFonts w:hint="eastAsia" w:ascii="宋体" w:hAnsi="宋体" w:cs="宋体"/>
          <w:color w:val="auto"/>
          <w:highlight w:val="none"/>
        </w:rPr>
        <w:t>（1）投标函</w:t>
      </w:r>
    </w:p>
    <w:p>
      <w:pPr>
        <w:pStyle w:val="21"/>
        <w:widowControl/>
        <w:spacing w:line="360" w:lineRule="auto"/>
        <w:ind w:firstLine="0"/>
        <w:jc w:val="center"/>
        <w:rPr>
          <w:rFonts w:hAnsi="宋体"/>
          <w:b/>
          <w:bCs/>
          <w:color w:val="auto"/>
          <w:sz w:val="24"/>
          <w:szCs w:val="24"/>
          <w:highlight w:val="none"/>
        </w:rPr>
      </w:pPr>
      <w:r>
        <w:rPr>
          <w:rFonts w:hint="eastAsia" w:hAnsi="宋体"/>
          <w:b/>
          <w:bCs/>
          <w:color w:val="auto"/>
          <w:sz w:val="24"/>
          <w:szCs w:val="24"/>
          <w:highlight w:val="none"/>
        </w:rPr>
        <w:t>投标函</w:t>
      </w:r>
    </w:p>
    <w:p>
      <w:pPr>
        <w:pStyle w:val="21"/>
        <w:widowControl/>
        <w:spacing w:line="360" w:lineRule="auto"/>
        <w:ind w:firstLine="0"/>
        <w:jc w:val="center"/>
        <w:rPr>
          <w:rFonts w:hAnsi="宋体"/>
          <w:b/>
          <w:bCs/>
          <w:color w:val="auto"/>
          <w:sz w:val="24"/>
          <w:szCs w:val="24"/>
          <w:highlight w:val="none"/>
        </w:rPr>
      </w:pP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u w:val="single"/>
        </w:rPr>
        <w:t>致（采购代理机构）</w:t>
      </w:r>
      <w:r>
        <w:rPr>
          <w:rFonts w:hint="eastAsia" w:hAnsi="宋体"/>
          <w:color w:val="auto"/>
          <w:sz w:val="21"/>
          <w:szCs w:val="21"/>
          <w:highlight w:val="none"/>
        </w:rPr>
        <w:t>：</w:t>
      </w:r>
    </w:p>
    <w:p>
      <w:pPr>
        <w:pStyle w:val="21"/>
        <w:widowControl/>
        <w:spacing w:line="360" w:lineRule="auto"/>
        <w:jc w:val="left"/>
        <w:rPr>
          <w:rFonts w:hAnsi="宋体"/>
          <w:color w:val="auto"/>
          <w:sz w:val="21"/>
          <w:szCs w:val="21"/>
          <w:highlight w:val="none"/>
        </w:rPr>
      </w:pPr>
      <w:r>
        <w:rPr>
          <w:rFonts w:hint="eastAsia" w:hAnsi="宋体"/>
          <w:color w:val="auto"/>
          <w:sz w:val="21"/>
          <w:szCs w:val="21"/>
          <w:highlight w:val="none"/>
        </w:rPr>
        <w:t xml:space="preserve">   </w:t>
      </w:r>
      <w:r>
        <w:rPr>
          <w:rFonts w:hint="eastAsia" w:hAnsi="宋体"/>
          <w:color w:val="auto"/>
          <w:sz w:val="21"/>
          <w:szCs w:val="21"/>
          <w:highlight w:val="none"/>
          <w:u w:val="single"/>
        </w:rPr>
        <w:t>（投标人全称）</w:t>
      </w:r>
      <w:r>
        <w:rPr>
          <w:rFonts w:hint="eastAsia" w:hAnsi="宋体"/>
          <w:color w:val="auto"/>
          <w:sz w:val="21"/>
          <w:szCs w:val="21"/>
          <w:highlight w:val="none"/>
        </w:rPr>
        <w:t>授权</w:t>
      </w:r>
      <w:r>
        <w:rPr>
          <w:rFonts w:hint="eastAsia" w:hAnsi="宋体"/>
          <w:color w:val="auto"/>
          <w:sz w:val="21"/>
          <w:szCs w:val="21"/>
          <w:highlight w:val="none"/>
          <w:u w:val="single"/>
        </w:rPr>
        <w:t xml:space="preserve">（授权代表姓名、职务） </w:t>
      </w:r>
      <w:r>
        <w:rPr>
          <w:rFonts w:hint="eastAsia" w:hAnsi="宋体"/>
          <w:color w:val="auto"/>
          <w:sz w:val="21"/>
          <w:szCs w:val="21"/>
          <w:highlight w:val="none"/>
        </w:rPr>
        <w:t>为本公司（单位）合法代理人，参加贵方组织的</w:t>
      </w:r>
      <w:r>
        <w:rPr>
          <w:rFonts w:hint="eastAsia" w:hAnsi="宋体"/>
          <w:color w:val="auto"/>
          <w:sz w:val="21"/>
          <w:szCs w:val="21"/>
          <w:highlight w:val="none"/>
          <w:u w:val="single"/>
        </w:rPr>
        <w:t xml:space="preserve">（项目编号、项目名称） </w:t>
      </w:r>
      <w:r>
        <w:rPr>
          <w:rFonts w:hint="eastAsia" w:hAnsi="宋体"/>
          <w:color w:val="auto"/>
          <w:sz w:val="21"/>
          <w:szCs w:val="21"/>
          <w:highlight w:val="none"/>
        </w:rPr>
        <w:t>招投标活动，代表本公司（单位）处理招投标活动中的一切事宜，为对</w:t>
      </w:r>
      <w:r>
        <w:rPr>
          <w:rFonts w:hint="eastAsia" w:hAnsi="宋体"/>
          <w:color w:val="auto"/>
          <w:sz w:val="21"/>
          <w:szCs w:val="21"/>
          <w:highlight w:val="none"/>
          <w:u w:val="single"/>
        </w:rPr>
        <w:t>（货物名称）</w:t>
      </w:r>
      <w:r>
        <w:rPr>
          <w:rFonts w:hint="eastAsia" w:hAnsi="宋体"/>
          <w:color w:val="auto"/>
          <w:sz w:val="21"/>
          <w:szCs w:val="21"/>
          <w:highlight w:val="none"/>
        </w:rPr>
        <w:t>进行投标，在此：</w:t>
      </w: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1、提供招标文件中“投标须知”规定的全部投标文件：报价文件、资格证明文件及商务技术文件；</w:t>
      </w:r>
    </w:p>
    <w:p>
      <w:pPr>
        <w:pStyle w:val="21"/>
        <w:widowControl/>
        <w:numPr>
          <w:ilvl w:val="0"/>
          <w:numId w:val="20"/>
        </w:numPr>
        <w:spacing w:line="360" w:lineRule="auto"/>
        <w:ind w:firstLine="0"/>
        <w:jc w:val="left"/>
        <w:rPr>
          <w:rFonts w:hAnsi="宋体"/>
          <w:color w:val="auto"/>
          <w:sz w:val="21"/>
          <w:szCs w:val="21"/>
          <w:highlight w:val="none"/>
        </w:rPr>
      </w:pPr>
      <w:r>
        <w:rPr>
          <w:rFonts w:hint="eastAsia" w:hAnsi="宋体"/>
          <w:color w:val="auto"/>
          <w:sz w:val="21"/>
          <w:szCs w:val="21"/>
          <w:highlight w:val="none"/>
        </w:rPr>
        <w:t>据此函，签字代表宣布并承诺如下：</w:t>
      </w: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 xml:space="preserve">    （1）本报价已经包含了所供货物应纳的税金及招标文件规定的报价方式应包含的其它费用。本报价在投标有效期内固定不变，并在合同有效期内不受利率波动的影响。</w:t>
      </w:r>
    </w:p>
    <w:p>
      <w:pPr>
        <w:pStyle w:val="21"/>
        <w:widowControl/>
        <w:numPr>
          <w:ilvl w:val="0"/>
          <w:numId w:val="21"/>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本投标自开标之日起</w:t>
      </w:r>
      <w:r>
        <w:rPr>
          <w:rFonts w:hint="eastAsia" w:hAnsi="宋体"/>
          <w:color w:val="auto"/>
          <w:sz w:val="21"/>
          <w:szCs w:val="21"/>
          <w:highlight w:val="none"/>
          <w:u w:val="single"/>
        </w:rPr>
        <w:t>90</w:t>
      </w:r>
      <w:r>
        <w:rPr>
          <w:rFonts w:hint="eastAsia" w:hAnsi="宋体"/>
          <w:color w:val="auto"/>
          <w:sz w:val="21"/>
          <w:szCs w:val="21"/>
          <w:highlight w:val="none"/>
        </w:rPr>
        <w:t>天内有效。</w:t>
      </w:r>
    </w:p>
    <w:p>
      <w:pPr>
        <w:pStyle w:val="21"/>
        <w:widowControl/>
        <w:numPr>
          <w:ilvl w:val="0"/>
          <w:numId w:val="21"/>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我们已详细审查全部招标文件及有关的澄清/修改文件(若有的话)，我们完全理解并同意放弃对这方面提出任何异议的权利。保证遵守招标文件有关条款规定。</w:t>
      </w:r>
    </w:p>
    <w:p>
      <w:pPr>
        <w:pStyle w:val="21"/>
        <w:widowControl/>
        <w:numPr>
          <w:ilvl w:val="0"/>
          <w:numId w:val="21"/>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保证在中标后忠实地执行与采购人所签署的合同，并承担合同规定的责任义务。保证在中标后按照招标文件的规定支付招标服务费。</w:t>
      </w:r>
    </w:p>
    <w:p>
      <w:pPr>
        <w:pStyle w:val="21"/>
        <w:widowControl/>
        <w:numPr>
          <w:ilvl w:val="0"/>
          <w:numId w:val="21"/>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承诺应贵方要求提供任何与该项目投标有关的数据、情况和技术资料。</w:t>
      </w:r>
    </w:p>
    <w:p>
      <w:pPr>
        <w:pStyle w:val="21"/>
        <w:widowControl/>
        <w:numPr>
          <w:ilvl w:val="0"/>
          <w:numId w:val="21"/>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我们承诺，与为采购人采购本次招标的货物进行设计、编制规范和其他文件所委托的咨询公司或其附属机构无任何直接或间接的关联。</w:t>
      </w:r>
    </w:p>
    <w:p>
      <w:pPr>
        <w:pStyle w:val="21"/>
        <w:widowControl/>
        <w:numPr>
          <w:ilvl w:val="0"/>
          <w:numId w:val="21"/>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投标人已详细审查并理解全部招标文件，已完全明确招标文件中的全部内容。如有违反，愿意接受监管机构相应的处理。</w:t>
      </w:r>
    </w:p>
    <w:p>
      <w:pPr>
        <w:pStyle w:val="21"/>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4、与本投标有关的一切往来通讯请寄：</w:t>
      </w:r>
    </w:p>
    <w:p>
      <w:pPr>
        <w:pStyle w:val="21"/>
        <w:widowControl/>
        <w:spacing w:line="360" w:lineRule="auto"/>
        <w:jc w:val="left"/>
        <w:rPr>
          <w:rFonts w:hAnsi="宋体"/>
          <w:color w:val="auto"/>
          <w:sz w:val="21"/>
          <w:szCs w:val="21"/>
          <w:highlight w:val="none"/>
        </w:rPr>
      </w:pPr>
      <w:r>
        <w:rPr>
          <w:rFonts w:hint="eastAsia" w:hAnsi="宋体"/>
          <w:color w:val="auto"/>
          <w:sz w:val="21"/>
          <w:szCs w:val="21"/>
          <w:highlight w:val="none"/>
        </w:rPr>
        <w:t>地址：</w:t>
      </w:r>
      <w:r>
        <w:rPr>
          <w:rFonts w:hint="eastAsia" w:hAnsi="宋体"/>
          <w:color w:val="auto"/>
          <w:sz w:val="21"/>
          <w:szCs w:val="21"/>
          <w:highlight w:val="none"/>
          <w:u w:val="single"/>
        </w:rPr>
        <w:t xml:space="preserve">                                                   </w:t>
      </w:r>
    </w:p>
    <w:p>
      <w:pPr>
        <w:pStyle w:val="21"/>
        <w:widowControl/>
        <w:spacing w:line="360" w:lineRule="auto"/>
        <w:jc w:val="left"/>
        <w:rPr>
          <w:rFonts w:hAnsi="宋体"/>
          <w:color w:val="auto"/>
          <w:sz w:val="21"/>
          <w:szCs w:val="21"/>
          <w:highlight w:val="none"/>
          <w:u w:val="single"/>
        </w:rPr>
      </w:pPr>
      <w:r>
        <w:rPr>
          <w:rFonts w:hint="eastAsia" w:hAnsi="宋体"/>
          <w:color w:val="auto"/>
          <w:sz w:val="21"/>
          <w:szCs w:val="21"/>
          <w:highlight w:val="none"/>
        </w:rPr>
        <w:t>邮编：</w:t>
      </w:r>
      <w:r>
        <w:rPr>
          <w:rFonts w:hint="eastAsia" w:hAnsi="宋体"/>
          <w:color w:val="auto"/>
          <w:sz w:val="21"/>
          <w:szCs w:val="21"/>
          <w:highlight w:val="none"/>
          <w:u w:val="single"/>
        </w:rPr>
        <w:t xml:space="preserve">            </w:t>
      </w:r>
      <w:r>
        <w:rPr>
          <w:rFonts w:hint="eastAsia" w:hAnsi="宋体"/>
          <w:color w:val="auto"/>
          <w:sz w:val="21"/>
          <w:szCs w:val="21"/>
          <w:highlight w:val="none"/>
        </w:rPr>
        <w:t>电话：</w:t>
      </w:r>
      <w:r>
        <w:rPr>
          <w:rFonts w:hint="eastAsia" w:hAnsi="宋体"/>
          <w:color w:val="auto"/>
          <w:sz w:val="21"/>
          <w:szCs w:val="21"/>
          <w:highlight w:val="none"/>
          <w:u w:val="single"/>
        </w:rPr>
        <w:t xml:space="preserve">              </w:t>
      </w:r>
      <w:r>
        <w:rPr>
          <w:rFonts w:hint="eastAsia" w:hAnsi="宋体"/>
          <w:color w:val="auto"/>
          <w:sz w:val="21"/>
          <w:szCs w:val="21"/>
          <w:highlight w:val="none"/>
        </w:rPr>
        <w:t>传真：</w:t>
      </w:r>
      <w:r>
        <w:rPr>
          <w:rFonts w:hint="eastAsia" w:hAnsi="宋体"/>
          <w:color w:val="auto"/>
          <w:sz w:val="21"/>
          <w:szCs w:val="21"/>
          <w:highlight w:val="none"/>
          <w:u w:val="single"/>
        </w:rPr>
        <w:t xml:space="preserve">             </w:t>
      </w:r>
    </w:p>
    <w:p>
      <w:pPr>
        <w:pStyle w:val="21"/>
        <w:widowControl/>
        <w:spacing w:line="360" w:lineRule="auto"/>
        <w:jc w:val="left"/>
        <w:rPr>
          <w:rFonts w:hAnsi="宋体"/>
          <w:color w:val="auto"/>
          <w:sz w:val="21"/>
          <w:szCs w:val="21"/>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120" w:beforeLines="50" w:after="50"/>
        <w:rPr>
          <w:rFonts w:ascii="宋体" w:hAnsi="宋体" w:cs="宋体"/>
          <w:color w:val="auto"/>
          <w:highlight w:val="none"/>
        </w:rPr>
      </w:pPr>
      <w:r>
        <w:rPr>
          <w:rFonts w:hint="eastAsia" w:ascii="宋体" w:hAnsi="宋体" w:cs="宋体"/>
          <w:b/>
          <w:color w:val="auto"/>
          <w:highlight w:val="none"/>
        </w:rPr>
        <w:t>注：联合体投标的，可只由联合体牵头人盖章。</w:t>
      </w:r>
    </w:p>
    <w:p>
      <w:pPr>
        <w:snapToGrid w:val="0"/>
        <w:spacing w:before="50" w:after="50"/>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（2）开标一览表</w:t>
      </w:r>
    </w:p>
    <w:p>
      <w:pPr>
        <w:snapToGrid w:val="0"/>
        <w:spacing w:before="50" w:after="50" w:line="360" w:lineRule="auto"/>
        <w:jc w:val="center"/>
        <w:rPr>
          <w:rFonts w:ascii="宋体" w:hAnsi="宋体" w:cs="宋体"/>
          <w:b/>
          <w:bCs/>
          <w:color w:val="auto"/>
          <w:highlight w:val="none"/>
        </w:rPr>
      </w:pPr>
      <w:r>
        <w:rPr>
          <w:rFonts w:hint="eastAsia" w:ascii="宋体" w:hAnsi="宋体" w:cs="宋体"/>
          <w:b/>
          <w:bCs/>
          <w:color w:val="auto"/>
          <w:highlight w:val="none"/>
        </w:rPr>
        <w:t>开标一览表</w:t>
      </w:r>
    </w:p>
    <w:p>
      <w:pPr>
        <w:snapToGrid w:val="0"/>
        <w:spacing w:before="50" w:after="50" w:line="360" w:lineRule="auto"/>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投标人名称：</w:t>
      </w:r>
      <w:r>
        <w:rPr>
          <w:rFonts w:hint="eastAsia" w:ascii="宋体" w:hAnsi="宋体" w:cs="宋体"/>
          <w:color w:val="auto"/>
          <w:highlight w:val="none"/>
          <w:u w:val="single"/>
        </w:rPr>
        <w:t xml:space="preserve">                    </w:t>
      </w:r>
    </w:p>
    <w:tbl>
      <w:tblPr>
        <w:tblStyle w:val="4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702"/>
        <w:gridCol w:w="4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748" w:type="pct"/>
            <w:vAlign w:val="center"/>
          </w:tcPr>
          <w:p>
            <w:pPr>
              <w:spacing w:line="40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标项号</w:t>
            </w:r>
          </w:p>
        </w:tc>
        <w:tc>
          <w:tcPr>
            <w:tcW w:w="1584" w:type="pc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采购标的名称</w:t>
            </w:r>
          </w:p>
        </w:tc>
        <w:tc>
          <w:tcPr>
            <w:tcW w:w="2668" w:type="pc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48" w:type="pct"/>
            <w:vAlign w:val="center"/>
          </w:tcPr>
          <w:p>
            <w:pPr>
              <w:spacing w:line="400" w:lineRule="exact"/>
              <w:jc w:val="center"/>
              <w:rPr>
                <w:rFonts w:ascii="宋体" w:hAnsi="宋体" w:cs="宋体"/>
                <w:color w:val="auto"/>
                <w:highlight w:val="none"/>
              </w:rPr>
            </w:pPr>
          </w:p>
        </w:tc>
        <w:tc>
          <w:tcPr>
            <w:tcW w:w="1584" w:type="pct"/>
            <w:vAlign w:val="center"/>
          </w:tcPr>
          <w:p>
            <w:pPr>
              <w:spacing w:line="400" w:lineRule="exact"/>
              <w:jc w:val="center"/>
              <w:rPr>
                <w:rFonts w:ascii="宋体" w:hAnsi="宋体" w:cs="宋体"/>
                <w:color w:val="auto"/>
                <w:highlight w:val="none"/>
              </w:rPr>
            </w:pPr>
          </w:p>
        </w:tc>
        <w:tc>
          <w:tcPr>
            <w:tcW w:w="2668" w:type="pct"/>
            <w:vAlign w:val="center"/>
          </w:tcPr>
          <w:p>
            <w:pPr>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332" w:type="pct"/>
            <w:gridSpan w:val="2"/>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投标总价</w:t>
            </w:r>
          </w:p>
        </w:tc>
        <w:tc>
          <w:tcPr>
            <w:tcW w:w="2668" w:type="pc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大写：</w:t>
            </w:r>
          </w:p>
          <w:p>
            <w:pPr>
              <w:pStyle w:val="3"/>
              <w:jc w:val="center"/>
              <w:rPr>
                <w:rFonts w:ascii="宋体" w:hAnsi="宋体" w:cs="宋体"/>
                <w:color w:val="auto"/>
                <w:highlight w:val="none"/>
              </w:rPr>
            </w:pPr>
            <w:r>
              <w:rPr>
                <w:rFonts w:hint="eastAsia" w:ascii="宋体" w:hAnsi="宋体" w:cs="宋体"/>
                <w:color w:val="auto"/>
                <w:sz w:val="21"/>
                <w:szCs w:val="21"/>
                <w:highlight w:val="none"/>
              </w:rPr>
              <w:t>小写：</w:t>
            </w:r>
          </w:p>
        </w:tc>
      </w:tr>
    </w:tbl>
    <w:p>
      <w:pPr>
        <w:snapToGrid w:val="0"/>
        <w:spacing w:before="50" w:after="50" w:line="360" w:lineRule="auto"/>
        <w:rPr>
          <w:rFonts w:ascii="宋体" w:hAnsi="宋体" w:cs="宋体"/>
          <w:color w:val="auto"/>
          <w:highlight w:val="none"/>
        </w:rPr>
      </w:pPr>
    </w:p>
    <w:p>
      <w:pPr>
        <w:snapToGrid w:val="0"/>
        <w:spacing w:before="50" w:after="50" w:line="360" w:lineRule="auto"/>
        <w:rPr>
          <w:rFonts w:ascii="宋体" w:hAnsi="宋体" w:cs="宋体"/>
          <w:color w:val="auto"/>
          <w:highlight w:val="none"/>
        </w:rPr>
      </w:pPr>
      <w:r>
        <w:rPr>
          <w:rFonts w:hint="eastAsia" w:ascii="宋体" w:hAnsi="宋体" w:cs="宋体"/>
          <w:color w:val="auto"/>
          <w:highlight w:val="none"/>
        </w:rPr>
        <w:t xml:space="preserve">                    </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注: 1、报价一经涂改，应在涂改处加盖单位公章或者由法定代表人或授权委托人签字或盖章，否则其投标作无效标处理。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ascii="宋体" w:hAnsi="宋体" w:cs="宋体"/>
          <w:color w:val="auto"/>
          <w:highlight w:val="none"/>
        </w:rPr>
      </w:pPr>
    </w:p>
    <w:p>
      <w:pPr>
        <w:snapToGrid w:val="0"/>
        <w:spacing w:line="360" w:lineRule="auto"/>
        <w:ind w:left="-21" w:leftChars="-72" w:right="-817" w:rightChars="-389" w:hanging="130" w:hangingChars="62"/>
        <w:rPr>
          <w:rFonts w:ascii="宋体" w:hAnsi="宋体" w:cs="宋体"/>
          <w:color w:val="auto"/>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pStyle w:val="26"/>
        <w:tabs>
          <w:tab w:val="left" w:pos="2472"/>
        </w:tabs>
        <w:snapToGrid w:val="0"/>
        <w:spacing w:beforeLines="0" w:afterLines="0" w:line="360" w:lineRule="auto"/>
        <w:jc w:val="left"/>
        <w:rPr>
          <w:rFonts w:hAnsi="宋体"/>
          <w:color w:val="auto"/>
          <w:highlight w:val="none"/>
        </w:rPr>
      </w:pPr>
      <w:r>
        <w:rPr>
          <w:rFonts w:hint="eastAsia" w:hAnsi="宋体"/>
          <w:color w:val="auto"/>
          <w:sz w:val="21"/>
          <w:szCs w:val="21"/>
          <w:highlight w:val="none"/>
        </w:rPr>
        <w:t>日期:_____年___月___日</w:t>
      </w:r>
    </w:p>
    <w:p>
      <w:pPr>
        <w:pStyle w:val="3"/>
        <w:rPr>
          <w:rFonts w:ascii="宋体" w:hAnsi="宋体" w:cs="宋体"/>
          <w:color w:val="auto"/>
          <w:highlight w:val="none"/>
        </w:rPr>
      </w:pPr>
    </w:p>
    <w:p>
      <w:pPr>
        <w:snapToGrid w:val="0"/>
        <w:spacing w:before="120" w:beforeLines="50" w:after="50"/>
        <w:rPr>
          <w:rFonts w:ascii="宋体" w:hAnsi="宋体" w:cs="宋体"/>
          <w:color w:val="auto"/>
          <w:highlight w:val="none"/>
        </w:rPr>
      </w:pPr>
      <w:r>
        <w:rPr>
          <w:rFonts w:hint="eastAsia" w:ascii="宋体" w:hAnsi="宋体" w:cs="宋体"/>
          <w:b/>
          <w:color w:val="auto"/>
          <w:highlight w:val="none"/>
        </w:rPr>
        <w:t>注：联合体投标的，可只由联合体牵头人盖章。</w:t>
      </w:r>
    </w:p>
    <w:p>
      <w:pPr>
        <w:pStyle w:val="26"/>
        <w:snapToGrid w:val="0"/>
        <w:spacing w:beforeLines="0" w:afterLines="0" w:line="240" w:lineRule="auto"/>
        <w:rPr>
          <w:rFonts w:hAnsi="宋体"/>
          <w:color w:val="auto"/>
          <w:sz w:val="21"/>
          <w:szCs w:val="21"/>
          <w:highlight w:val="none"/>
        </w:rPr>
      </w:pPr>
      <w:r>
        <w:rPr>
          <w:rFonts w:hint="eastAsia" w:hAnsi="宋体"/>
          <w:color w:val="auto"/>
          <w:sz w:val="21"/>
          <w:szCs w:val="21"/>
          <w:highlight w:val="none"/>
        </w:rPr>
        <w:br w:type="page"/>
      </w:r>
      <w:r>
        <w:rPr>
          <w:rFonts w:hint="eastAsia" w:hAnsi="宋体"/>
          <w:color w:val="auto"/>
          <w:sz w:val="21"/>
          <w:szCs w:val="21"/>
          <w:highlight w:val="none"/>
        </w:rPr>
        <w:t xml:space="preserve">（3）投标报价明细表       </w:t>
      </w:r>
    </w:p>
    <w:p>
      <w:pPr>
        <w:pStyle w:val="26"/>
        <w:snapToGrid w:val="0"/>
        <w:spacing w:beforeLines="0" w:afterLines="0" w:line="240" w:lineRule="auto"/>
        <w:jc w:val="center"/>
        <w:rPr>
          <w:rFonts w:hAnsi="宋体"/>
          <w:color w:val="auto"/>
          <w:sz w:val="21"/>
          <w:szCs w:val="21"/>
          <w:highlight w:val="none"/>
        </w:rPr>
      </w:pPr>
      <w:r>
        <w:rPr>
          <w:rFonts w:hint="eastAsia" w:hAnsi="宋体"/>
          <w:b/>
          <w:bCs/>
          <w:color w:val="auto"/>
          <w:sz w:val="21"/>
          <w:szCs w:val="21"/>
          <w:highlight w:val="none"/>
        </w:rPr>
        <w:t>设备报价明细表</w:t>
      </w:r>
    </w:p>
    <w:p>
      <w:pPr>
        <w:pStyle w:val="26"/>
        <w:snapToGrid w:val="0"/>
        <w:spacing w:beforeLines="0" w:afterLines="0"/>
        <w:jc w:val="left"/>
        <w:rPr>
          <w:rFonts w:hint="eastAsia" w:hAnsi="宋体"/>
          <w:color w:val="auto"/>
          <w:sz w:val="21"/>
          <w:szCs w:val="21"/>
          <w:highlight w:val="none"/>
        </w:rPr>
      </w:pPr>
    </w:p>
    <w:p>
      <w:pPr>
        <w:pStyle w:val="26"/>
        <w:snapToGrid w:val="0"/>
        <w:spacing w:beforeLines="0" w:afterLines="0"/>
        <w:jc w:val="left"/>
        <w:rPr>
          <w:rFonts w:hAnsi="宋体"/>
          <w:color w:val="auto"/>
          <w:sz w:val="21"/>
          <w:szCs w:val="21"/>
          <w:highlight w:val="none"/>
        </w:rPr>
      </w:pPr>
      <w:r>
        <w:rPr>
          <w:rFonts w:hint="eastAsia" w:hAnsi="宋体"/>
          <w:color w:val="auto"/>
          <w:sz w:val="21"/>
          <w:szCs w:val="21"/>
          <w:highlight w:val="none"/>
        </w:rPr>
        <w:t>项目编号：</w:t>
      </w:r>
      <w:r>
        <w:rPr>
          <w:rFonts w:hint="eastAsia" w:hAnsi="宋体"/>
          <w:color w:val="auto"/>
          <w:sz w:val="21"/>
          <w:szCs w:val="21"/>
          <w:highlight w:val="none"/>
          <w:u w:val="single"/>
        </w:rPr>
        <w:t xml:space="preserve">                 </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项目名称：</w:t>
      </w:r>
      <w:r>
        <w:rPr>
          <w:rFonts w:hint="eastAsia" w:hAnsi="宋体"/>
          <w:color w:val="auto"/>
          <w:sz w:val="21"/>
          <w:szCs w:val="21"/>
          <w:highlight w:val="none"/>
          <w:u w:val="single"/>
        </w:rPr>
        <w:t xml:space="preserve">               </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金额单位：人民币（元）</w:t>
      </w:r>
    </w:p>
    <w:tbl>
      <w:tblPr>
        <w:tblStyle w:val="48"/>
        <w:tblW w:w="8528" w:type="dxa"/>
        <w:tblInd w:w="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3"/>
        <w:gridCol w:w="1535"/>
        <w:gridCol w:w="1023"/>
        <w:gridCol w:w="1364"/>
        <w:gridCol w:w="1535"/>
        <w:gridCol w:w="1194"/>
        <w:gridCol w:w="136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序号</w:t>
            </w:r>
          </w:p>
        </w:tc>
        <w:tc>
          <w:tcPr>
            <w:tcW w:w="1535"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设备名称</w:t>
            </w:r>
          </w:p>
        </w:tc>
        <w:tc>
          <w:tcPr>
            <w:tcW w:w="1023" w:type="dxa"/>
            <w:tcBorders>
              <w:tl2br w:val="nil"/>
              <w:tr2bl w:val="nil"/>
            </w:tcBorders>
            <w:vAlign w:val="center"/>
          </w:tcPr>
          <w:p>
            <w:pPr>
              <w:pStyle w:val="252"/>
              <w:snapToGrid w:val="0"/>
              <w:spacing w:before="50" w:after="50" w:line="40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产地品牌</w:t>
            </w:r>
          </w:p>
        </w:tc>
        <w:tc>
          <w:tcPr>
            <w:tcW w:w="1364"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规格型号</w:t>
            </w:r>
          </w:p>
        </w:tc>
        <w:tc>
          <w:tcPr>
            <w:tcW w:w="1535"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单位及数量</w:t>
            </w:r>
          </w:p>
        </w:tc>
        <w:tc>
          <w:tcPr>
            <w:tcW w:w="1194"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单价（元）</w:t>
            </w:r>
          </w:p>
        </w:tc>
        <w:tc>
          <w:tcPr>
            <w:tcW w:w="1364" w:type="dxa"/>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highlight w:val="none"/>
              </w:rPr>
              <w:t>金额（元）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69" w:hRule="atLeast"/>
        </w:trPr>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51" w:hRule="atLeast"/>
        </w:trPr>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spacing w:val="20"/>
                <w:highlight w:val="none"/>
              </w:rPr>
              <w:t>……</w:t>
            </w: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vMerge w:val="restart"/>
            <w:tcBorders>
              <w:tl2br w:val="nil"/>
              <w:tr2bl w:val="nil"/>
            </w:tcBorders>
            <w:vAlign w:val="center"/>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b/>
                <w:bCs/>
                <w:color w:val="auto"/>
                <w:spacing w:val="20"/>
                <w:highlight w:val="none"/>
              </w:rPr>
              <w:t>专用耗材</w:t>
            </w: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51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vMerge w:val="continue"/>
            <w:tcBorders>
              <w:tl2br w:val="nil"/>
              <w:tr2bl w:val="nil"/>
            </w:tcBorders>
          </w:tcPr>
          <w:p>
            <w:pPr>
              <w:tabs>
                <w:tab w:val="left" w:pos="1418"/>
              </w:tabs>
              <w:snapToGrid w:val="0"/>
              <w:spacing w:before="50" w:after="50" w:line="400" w:lineRule="exact"/>
              <w:jc w:val="center"/>
              <w:rPr>
                <w:rFonts w:ascii="宋体" w:hAnsi="宋体" w:cs="宋体"/>
                <w:b/>
                <w:bCs/>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164" w:type="dxa"/>
            <w:gridSpan w:val="6"/>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r>
              <w:rPr>
                <w:rFonts w:hint="eastAsia" w:ascii="宋体" w:hAnsi="宋体" w:cs="宋体"/>
                <w:color w:val="auto"/>
                <w:spacing w:val="20"/>
                <w:highlight w:val="none"/>
              </w:rPr>
              <w:t>设备报价合计</w:t>
            </w:r>
            <w:r>
              <w:rPr>
                <w:rFonts w:hint="eastAsia" w:ascii="宋体" w:hAnsi="宋体" w:cs="宋体"/>
                <w:color w:val="auto"/>
                <w:highlight w:val="none"/>
              </w:rPr>
              <w:t>（元）</w:t>
            </w:r>
          </w:p>
        </w:tc>
        <w:tc>
          <w:tcPr>
            <w:tcW w:w="1364" w:type="dxa"/>
            <w:tcBorders>
              <w:tl2br w:val="nil"/>
              <w:tr2bl w:val="nil"/>
            </w:tcBorders>
          </w:tcPr>
          <w:p>
            <w:pPr>
              <w:tabs>
                <w:tab w:val="left" w:pos="1418"/>
              </w:tabs>
              <w:snapToGrid w:val="0"/>
              <w:spacing w:before="50" w:after="50" w:line="400" w:lineRule="exact"/>
              <w:jc w:val="center"/>
              <w:rPr>
                <w:rFonts w:ascii="宋体" w:hAnsi="宋体" w:cs="宋体"/>
                <w:color w:val="auto"/>
                <w:spacing w:val="20"/>
                <w:highlight w:val="none"/>
              </w:rPr>
            </w:pPr>
          </w:p>
        </w:tc>
      </w:tr>
    </w:tbl>
    <w:p>
      <w:pPr>
        <w:snapToGrid w:val="0"/>
        <w:spacing w:line="360" w:lineRule="auto"/>
        <w:ind w:firstLine="420" w:firstLineChars="200"/>
        <w:jc w:val="left"/>
        <w:rPr>
          <w:rFonts w:ascii="宋体" w:hAnsi="宋体" w:cs="宋体"/>
          <w:color w:val="auto"/>
          <w:highlight w:val="none"/>
        </w:rPr>
      </w:pP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分别报出每台设备的金额。</w:t>
      </w:r>
    </w:p>
    <w:p>
      <w:pPr>
        <w:tabs>
          <w:tab w:val="left" w:pos="1418"/>
        </w:tabs>
        <w:snapToGrid w:val="0"/>
        <w:spacing w:before="50" w:after="50"/>
        <w:ind w:left="1418" w:hanging="567"/>
        <w:jc w:val="center"/>
        <w:rPr>
          <w:rFonts w:ascii="宋体" w:hAnsi="宋体" w:cs="宋体"/>
          <w:color w:val="auto"/>
          <w:spacing w:val="20"/>
          <w:highlight w:val="none"/>
          <w:u w:val="singl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50" w:after="50"/>
        <w:rPr>
          <w:rFonts w:ascii="宋体" w:hAnsi="宋体" w:cs="宋体"/>
          <w:color w:val="auto"/>
          <w:spacing w:val="20"/>
          <w:highlight w:val="none"/>
          <w:u w:val="single"/>
        </w:rPr>
      </w:pPr>
      <w:r>
        <w:rPr>
          <w:rFonts w:hint="eastAsia" w:ascii="宋体" w:hAnsi="宋体" w:cs="宋体"/>
          <w:color w:val="auto"/>
          <w:highlight w:val="none"/>
        </w:rPr>
        <w:t>日期:_____年___月___日</w:t>
      </w:r>
    </w:p>
    <w:p>
      <w:pPr>
        <w:pStyle w:val="26"/>
        <w:snapToGrid w:val="0"/>
        <w:spacing w:beforeLines="0" w:afterLines="0" w:line="240" w:lineRule="auto"/>
        <w:rPr>
          <w:rFonts w:hAnsi="宋体"/>
          <w:color w:val="auto"/>
          <w:sz w:val="21"/>
          <w:szCs w:val="21"/>
          <w:highlight w:val="none"/>
        </w:rPr>
      </w:pPr>
    </w:p>
    <w:p>
      <w:pPr>
        <w:pStyle w:val="21"/>
        <w:spacing w:line="520" w:lineRule="exact"/>
        <w:ind w:firstLine="0"/>
        <w:jc w:val="left"/>
        <w:rPr>
          <w:rFonts w:hAnsi="宋体"/>
          <w:b/>
          <w:color w:val="auto"/>
          <w:sz w:val="21"/>
          <w:szCs w:val="21"/>
          <w:highlight w:val="none"/>
        </w:rPr>
      </w:pPr>
      <w:r>
        <w:rPr>
          <w:rFonts w:hint="eastAsia" w:hAnsi="宋体"/>
          <w:b/>
          <w:color w:val="auto"/>
          <w:sz w:val="21"/>
          <w:szCs w:val="21"/>
          <w:highlight w:val="none"/>
        </w:rPr>
        <w:t>注：联合体投标的，可只由联合体牵头人盖章。</w:t>
      </w:r>
    </w:p>
    <w:p>
      <w:pPr>
        <w:rPr>
          <w:rFonts w:ascii="宋体" w:hAnsi="宋体" w:cs="宋体"/>
          <w:b/>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p>
    <w:p>
      <w:pPr>
        <w:spacing w:line="360" w:lineRule="auto"/>
        <w:jc w:val="left"/>
        <w:outlineLvl w:val="0"/>
        <w:rPr>
          <w:rFonts w:ascii="宋体" w:hAnsi="宋体" w:cs="宋体"/>
          <w:color w:val="auto"/>
          <w:highlight w:val="none"/>
        </w:rPr>
      </w:pPr>
      <w:bookmarkStart w:id="244" w:name="_Toc24837"/>
      <w:r>
        <w:rPr>
          <w:rFonts w:hint="eastAsia" w:ascii="宋体" w:hAnsi="宋体" w:cs="宋体"/>
          <w:color w:val="auto"/>
          <w:highlight w:val="none"/>
        </w:rPr>
        <w:t>（4）中小企业声明函</w:t>
      </w:r>
      <w:bookmarkEnd w:id="244"/>
    </w:p>
    <w:p>
      <w:pPr>
        <w:pStyle w:val="21"/>
        <w:spacing w:line="520" w:lineRule="exact"/>
        <w:ind w:firstLine="0"/>
        <w:rPr>
          <w:rFonts w:hAnsi="宋体"/>
          <w:b/>
          <w:bCs/>
          <w:color w:val="auto"/>
          <w:sz w:val="24"/>
          <w:szCs w:val="24"/>
          <w:highlight w:val="none"/>
        </w:rPr>
      </w:pPr>
    </w:p>
    <w:p>
      <w:pPr>
        <w:snapToGrid w:val="0"/>
        <w:spacing w:after="120" w:afterLines="50" w:line="360" w:lineRule="auto"/>
        <w:jc w:val="center"/>
        <w:rPr>
          <w:rFonts w:ascii="宋体" w:hAnsi="宋体" w:cs="宋体"/>
          <w:b/>
          <w:bCs/>
          <w:color w:val="auto"/>
          <w:highlight w:val="none"/>
        </w:rPr>
      </w:pPr>
      <w:r>
        <w:rPr>
          <w:rFonts w:hint="eastAsia" w:ascii="宋体" w:hAnsi="宋体" w:cs="宋体"/>
          <w:b/>
          <w:bCs/>
          <w:color w:val="auto"/>
          <w:highlight w:val="none"/>
        </w:rPr>
        <w:t>中小企业声明函</w:t>
      </w:r>
    </w:p>
    <w:p>
      <w:pPr>
        <w:spacing w:line="360" w:lineRule="auto"/>
        <w:rPr>
          <w:rFonts w:ascii="宋体" w:hAnsi="宋体" w:cs="宋体"/>
          <w:b/>
          <w:bCs/>
          <w:color w:val="auto"/>
          <w:spacing w:val="6"/>
          <w:highlight w:val="none"/>
        </w:rPr>
      </w:pP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本公司（联合体）郑重声明，根据《政府采购促进中小企业发展管理办法》（财库﹝2020﹞46 号）的规定，本公司（联合体）参加</w:t>
      </w:r>
      <w:r>
        <w:rPr>
          <w:rFonts w:hint="eastAsia" w:ascii="宋体" w:hAnsi="宋体" w:cs="宋体"/>
          <w:color w:val="auto"/>
          <w:spacing w:val="6"/>
          <w:highlight w:val="none"/>
          <w:u w:val="single"/>
        </w:rPr>
        <w:t>（单位名称）</w:t>
      </w:r>
      <w:r>
        <w:rPr>
          <w:rFonts w:hint="eastAsia" w:ascii="宋体" w:hAnsi="宋体" w:cs="宋体"/>
          <w:color w:val="auto"/>
          <w:spacing w:val="6"/>
          <w:highlight w:val="none"/>
        </w:rPr>
        <w:t>的</w:t>
      </w:r>
      <w:r>
        <w:rPr>
          <w:rFonts w:hint="eastAsia" w:ascii="宋体" w:hAnsi="宋体" w:cs="宋体"/>
          <w:color w:val="auto"/>
          <w:spacing w:val="6"/>
          <w:highlight w:val="none"/>
          <w:u w:val="single"/>
        </w:rPr>
        <w:t>（项目名称）</w:t>
      </w:r>
      <w:r>
        <w:rPr>
          <w:rFonts w:hint="eastAsia" w:ascii="宋体" w:hAnsi="宋体" w:cs="宋体"/>
          <w:color w:val="auto"/>
          <w:spacing w:val="6"/>
          <w:highlight w:val="none"/>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1. </w:t>
      </w:r>
      <w:r>
        <w:rPr>
          <w:rFonts w:hint="eastAsia" w:ascii="宋体" w:hAnsi="宋体" w:cs="宋体"/>
          <w:color w:val="auto"/>
          <w:spacing w:val="6"/>
          <w:highlight w:val="none"/>
          <w:u w:val="single"/>
        </w:rPr>
        <w:t xml:space="preserve">（标的名称） </w:t>
      </w:r>
      <w:r>
        <w:rPr>
          <w:rFonts w:hint="eastAsia" w:ascii="宋体" w:hAnsi="宋体" w:cs="宋体"/>
          <w:color w:val="auto"/>
          <w:spacing w:val="6"/>
          <w:highlight w:val="none"/>
        </w:rPr>
        <w:t>，属于</w:t>
      </w:r>
      <w:r>
        <w:rPr>
          <w:rFonts w:hint="eastAsia" w:ascii="宋体" w:hAnsi="宋体" w:cs="宋体"/>
          <w:color w:val="auto"/>
          <w:spacing w:val="6"/>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人，营业收入为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w:t>
      </w:r>
      <w:r>
        <w:rPr>
          <w:rFonts w:hint="eastAsia" w:ascii="宋体" w:hAnsi="宋体" w:cs="宋体"/>
          <w:color w:val="auto"/>
          <w:highlight w:val="none"/>
          <w:vertAlign w:val="superscript"/>
        </w:rPr>
        <w:t>1</w:t>
      </w:r>
      <w:r>
        <w:rPr>
          <w:rFonts w:hint="eastAsia" w:ascii="宋体" w:hAnsi="宋体" w:cs="宋体"/>
          <w:color w:val="auto"/>
          <w:spacing w:val="6"/>
          <w:highlight w:val="none"/>
        </w:rPr>
        <w:t>，资产总额为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2.</w:t>
      </w:r>
      <w:r>
        <w:rPr>
          <w:rFonts w:hint="eastAsia" w:ascii="宋体" w:hAnsi="宋体" w:cs="宋体"/>
          <w:color w:val="auto"/>
          <w:spacing w:val="6"/>
          <w:highlight w:val="none"/>
          <w:u w:val="single"/>
        </w:rPr>
        <w:t xml:space="preserve"> （标的名称） </w:t>
      </w:r>
      <w:r>
        <w:rPr>
          <w:rFonts w:hint="eastAsia" w:ascii="宋体" w:hAnsi="宋体" w:cs="宋体"/>
          <w:color w:val="auto"/>
          <w:spacing w:val="6"/>
          <w:highlight w:val="none"/>
        </w:rPr>
        <w:t>，属于</w:t>
      </w:r>
      <w:r>
        <w:rPr>
          <w:rFonts w:hint="eastAsia" w:ascii="宋体" w:hAnsi="宋体" w:cs="宋体"/>
          <w:color w:val="auto"/>
          <w:spacing w:val="6"/>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人，营业收入为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万元，资产总额为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以上企业，不属于大企业的分支机构，不存在控股股东为大企业的情形，也不存在与大企业的负责人为同一人的情形。</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本企业对上述声明内容的真实性负责。如有虚假，将依法承担相应责任。</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                        </w:t>
      </w:r>
    </w:p>
    <w:p>
      <w:pPr>
        <w:spacing w:line="360" w:lineRule="auto"/>
        <w:ind w:firstLine="3330" w:firstLineChars="1500"/>
        <w:rPr>
          <w:rFonts w:ascii="宋体" w:hAnsi="宋体" w:cs="宋体"/>
          <w:color w:val="auto"/>
          <w:spacing w:val="6"/>
          <w:highlight w:val="none"/>
        </w:rPr>
      </w:pPr>
      <w:r>
        <w:rPr>
          <w:rFonts w:hint="eastAsia" w:ascii="宋体" w:hAnsi="宋体" w:cs="宋体"/>
          <w:color w:val="auto"/>
          <w:spacing w:val="6"/>
          <w:highlight w:val="none"/>
        </w:rPr>
        <w:t>企业名称（盖章）：</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                         日期：</w:t>
      </w:r>
    </w:p>
    <w:p>
      <w:pPr>
        <w:widowControl/>
        <w:tabs>
          <w:tab w:val="left" w:pos="606"/>
        </w:tabs>
        <w:spacing w:line="360" w:lineRule="auto"/>
        <w:jc w:val="left"/>
        <w:rPr>
          <w:rFonts w:ascii="宋体" w:hAnsi="宋体" w:cs="宋体"/>
          <w:color w:val="auto"/>
          <w:kern w:val="0"/>
          <w:highlight w:val="none"/>
        </w:rPr>
      </w:pPr>
      <w:r>
        <w:rPr>
          <w:rFonts w:hint="eastAsia" w:ascii="宋体" w:hAnsi="宋体" w:cs="宋体"/>
          <w:color w:val="auto"/>
          <w:spacing w:val="-6"/>
          <w:kern w:val="0"/>
          <w:highlight w:val="none"/>
        </w:rPr>
        <w:t>1</w:t>
      </w:r>
      <w:r>
        <w:rPr>
          <w:rFonts w:hint="eastAsia" w:ascii="宋体" w:hAnsi="宋体" w:cs="宋体"/>
          <w:color w:val="auto"/>
          <w:kern w:val="0"/>
          <w:highlight w:val="none"/>
        </w:rPr>
        <w:t>、从业人员、营业收入、资产总额填报上一年度数据，无上一年度数据的新成立企业可不填报。</w:t>
      </w:r>
    </w:p>
    <w:p>
      <w:pPr>
        <w:widowControl/>
        <w:tabs>
          <w:tab w:val="left" w:pos="606"/>
        </w:tabs>
        <w:spacing w:line="360" w:lineRule="auto"/>
        <w:jc w:val="left"/>
        <w:rPr>
          <w:rFonts w:ascii="宋体" w:hAnsi="宋体" w:cs="宋体"/>
          <w:color w:val="auto"/>
          <w:kern w:val="0"/>
          <w:highlight w:val="none"/>
        </w:rPr>
      </w:pPr>
      <w:r>
        <w:rPr>
          <w:rFonts w:hint="eastAsia" w:ascii="宋体" w:hAnsi="宋体" w:cs="宋体"/>
          <w:color w:val="auto"/>
          <w:kern w:val="0"/>
          <w:highlight w:val="none"/>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60" w:lineRule="auto"/>
        <w:jc w:val="center"/>
        <w:rPr>
          <w:rFonts w:ascii="宋体" w:hAnsi="宋体" w:cs="宋体"/>
          <w:b/>
          <w:bCs/>
          <w:color w:val="auto"/>
          <w:kern w:val="0"/>
          <w:highlight w:val="none"/>
        </w:rPr>
      </w:pPr>
    </w:p>
    <w:p>
      <w:pPr>
        <w:snapToGrid w:val="0"/>
        <w:spacing w:line="360" w:lineRule="auto"/>
        <w:jc w:val="left"/>
        <w:rPr>
          <w:rFonts w:ascii="宋体" w:hAnsi="宋体" w:cs="宋体"/>
          <w:color w:val="auto"/>
          <w:highlight w:val="none"/>
        </w:rPr>
      </w:pPr>
      <w:r>
        <w:rPr>
          <w:rFonts w:hint="eastAsia" w:ascii="宋体" w:hAnsi="宋体" w:cs="宋体"/>
          <w:b/>
          <w:bCs/>
          <w:color w:val="auto"/>
          <w:kern w:val="0"/>
          <w:highlight w:val="none"/>
        </w:rPr>
        <w:t>注：适用小微企业政策的请提供，未提供的不享受小微企业政策</w:t>
      </w:r>
      <w:r>
        <w:rPr>
          <w:rFonts w:hint="eastAsia" w:ascii="宋体" w:hAnsi="宋体" w:cs="宋体"/>
          <w:b/>
          <w:bCs/>
          <w:color w:val="auto"/>
          <w:highlight w:val="none"/>
        </w:rPr>
        <w:t>。</w:t>
      </w:r>
    </w:p>
    <w:p>
      <w:pPr>
        <w:adjustRightInd w:val="0"/>
        <w:snapToGrid w:val="0"/>
        <w:spacing w:line="360" w:lineRule="auto"/>
        <w:jc w:val="left"/>
        <w:rPr>
          <w:rFonts w:ascii="宋体" w:hAnsi="宋体" w:cs="宋体"/>
          <w:color w:val="auto"/>
          <w:highlight w:val="none"/>
        </w:rPr>
      </w:pPr>
    </w:p>
    <w:p>
      <w:pPr>
        <w:pStyle w:val="21"/>
        <w:spacing w:line="520" w:lineRule="exact"/>
        <w:ind w:firstLine="0"/>
        <w:jc w:val="left"/>
        <w:rPr>
          <w:rFonts w:hAnsi="宋体"/>
          <w:color w:val="auto"/>
          <w:sz w:val="21"/>
          <w:szCs w:val="21"/>
          <w:highlight w:val="none"/>
        </w:rPr>
        <w:sectPr>
          <w:pgSz w:w="11906" w:h="16838"/>
          <w:pgMar w:top="1474" w:right="1797" w:bottom="1247" w:left="1797" w:header="851" w:footer="851" w:gutter="0"/>
          <w:cols w:space="720" w:num="1"/>
          <w:titlePg/>
          <w:docGrid w:linePitch="312" w:charSpace="0"/>
        </w:sectPr>
      </w:pPr>
    </w:p>
    <w:p>
      <w:pPr>
        <w:numPr>
          <w:ilvl w:val="0"/>
          <w:numId w:val="0"/>
        </w:numPr>
        <w:spacing w:line="360" w:lineRule="auto"/>
        <w:jc w:val="left"/>
        <w:outlineLvl w:val="0"/>
        <w:rPr>
          <w:rFonts w:hint="eastAsia" w:ascii="宋体" w:hAnsi="宋体" w:cs="宋体"/>
          <w:color w:val="auto"/>
          <w:highlight w:val="none"/>
        </w:rPr>
      </w:pPr>
      <w:bookmarkStart w:id="245" w:name="_Toc13261"/>
      <w:r>
        <w:rPr>
          <w:rFonts w:hint="eastAsia" w:ascii="宋体" w:hAnsi="宋体" w:cs="宋体"/>
          <w:color w:val="auto"/>
          <w:highlight w:val="none"/>
        </w:rPr>
        <w:t>（5）供应商为监狱企业的证明文件：省级以上监狱管理局、戒毒管理局（含新疆生产建设兵团）出具（如是请提供）；</w:t>
      </w:r>
      <w:bookmarkEnd w:id="245"/>
    </w:p>
    <w:p>
      <w:pPr>
        <w:spacing w:line="360" w:lineRule="auto"/>
        <w:jc w:val="left"/>
        <w:outlineLvl w:val="0"/>
        <w:rPr>
          <w:rFonts w:hint="eastAsia" w:ascii="宋体" w:hAnsi="宋体" w:cs="宋体"/>
          <w:color w:val="auto"/>
          <w:highlight w:val="none"/>
        </w:rPr>
      </w:pPr>
    </w:p>
    <w:p>
      <w:pPr>
        <w:spacing w:line="360" w:lineRule="auto"/>
        <w:jc w:val="left"/>
        <w:outlineLvl w:val="0"/>
        <w:rPr>
          <w:rFonts w:hint="eastAsia" w:ascii="宋体" w:hAnsi="宋体" w:cs="宋体"/>
          <w:color w:val="auto"/>
          <w:highlight w:val="none"/>
        </w:rPr>
      </w:pPr>
    </w:p>
    <w:p>
      <w:pPr>
        <w:spacing w:line="360" w:lineRule="auto"/>
        <w:jc w:val="left"/>
        <w:outlineLvl w:val="0"/>
        <w:rPr>
          <w:rFonts w:hint="eastAsia" w:ascii="宋体" w:hAnsi="宋体" w:cs="宋体"/>
          <w:color w:val="auto"/>
          <w:highlight w:val="none"/>
          <w:lang w:eastAsia="zh-CN"/>
        </w:rPr>
      </w:pPr>
    </w:p>
    <w:p>
      <w:pPr>
        <w:spacing w:line="360" w:lineRule="auto"/>
        <w:jc w:val="left"/>
        <w:outlineLvl w:val="0"/>
        <w:rPr>
          <w:rFonts w:hAnsi="宋体"/>
          <w:color w:val="auto"/>
          <w:highlight w:val="none"/>
        </w:rPr>
      </w:pPr>
      <w:bookmarkStart w:id="246" w:name="_Toc17642"/>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cs="宋体"/>
          <w:color w:val="auto"/>
          <w:highlight w:val="none"/>
        </w:rPr>
        <w:t>残疾人福利性单位声明函</w:t>
      </w:r>
      <w:bookmarkEnd w:id="246"/>
    </w:p>
    <w:p>
      <w:pPr>
        <w:jc w:val="center"/>
        <w:rPr>
          <w:rFonts w:ascii="宋体" w:hAnsi="宋体" w:cs="宋体"/>
          <w:b/>
          <w:color w:val="auto"/>
          <w:kern w:val="0"/>
          <w:highlight w:val="none"/>
        </w:rPr>
      </w:pPr>
    </w:p>
    <w:p>
      <w:pPr>
        <w:spacing w:line="588" w:lineRule="exact"/>
        <w:jc w:val="center"/>
        <w:rPr>
          <w:rFonts w:ascii="宋体" w:hAnsi="宋体" w:cs="宋体"/>
          <w:b/>
          <w:bCs/>
          <w:color w:val="auto"/>
          <w:spacing w:val="6"/>
          <w:highlight w:val="none"/>
        </w:rPr>
      </w:pPr>
      <w:bookmarkStart w:id="247" w:name="OLE_LINK14"/>
      <w:bookmarkStart w:id="248" w:name="OLE_LINK13"/>
      <w:r>
        <w:rPr>
          <w:rFonts w:hint="eastAsia" w:ascii="宋体" w:hAnsi="宋体" w:cs="宋体"/>
          <w:b/>
          <w:bCs/>
          <w:color w:val="auto"/>
          <w:spacing w:val="6"/>
          <w:highlight w:val="none"/>
        </w:rPr>
        <w:t>残疾人福利性单位声明函</w:t>
      </w:r>
    </w:p>
    <w:bookmarkEnd w:id="247"/>
    <w:bookmarkEnd w:id="248"/>
    <w:p>
      <w:pPr>
        <w:spacing w:line="588" w:lineRule="exact"/>
        <w:rPr>
          <w:rFonts w:ascii="宋体" w:hAnsi="宋体" w:cs="宋体"/>
          <w:b/>
          <w:bCs/>
          <w:color w:val="auto"/>
          <w:spacing w:val="6"/>
          <w:highlight w:val="none"/>
        </w:rPr>
      </w:pPr>
    </w:p>
    <w:p>
      <w:pPr>
        <w:spacing w:line="588" w:lineRule="exact"/>
        <w:ind w:firstLine="44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w:t>
      </w:r>
      <w:r>
        <w:rPr>
          <w:rFonts w:hint="eastAsia" w:ascii="宋体" w:hAnsi="宋体" w:cs="宋体"/>
          <w:color w:val="auto"/>
          <w:highlight w:val="none"/>
        </w:rPr>
        <w:t>〔2017〕 141</w:t>
      </w:r>
      <w:r>
        <w:rPr>
          <w:rFonts w:hint="eastAsia" w:ascii="宋体" w:hAnsi="宋体" w:cs="宋体"/>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588" w:lineRule="exact"/>
        <w:ind w:firstLine="444" w:firstLineChars="200"/>
        <w:rPr>
          <w:rFonts w:ascii="宋体" w:hAnsi="宋体" w:cs="宋体"/>
          <w:color w:val="auto"/>
          <w:spacing w:val="6"/>
          <w:highlight w:val="none"/>
        </w:rPr>
      </w:pPr>
    </w:p>
    <w:p>
      <w:pPr>
        <w:spacing w:line="588" w:lineRule="exact"/>
        <w:ind w:firstLine="444" w:firstLineChars="200"/>
        <w:rPr>
          <w:rFonts w:ascii="宋体" w:hAnsi="宋体" w:cs="宋体"/>
          <w:color w:val="auto"/>
          <w:spacing w:val="6"/>
          <w:highlight w:val="none"/>
        </w:rPr>
      </w:pP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 xml:space="preserve">               单位名称（盖章）：</w:t>
      </w: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 xml:space="preserve">      日  期：</w:t>
      </w:r>
    </w:p>
    <w:p>
      <w:pPr>
        <w:spacing w:line="360" w:lineRule="auto"/>
        <w:rPr>
          <w:rFonts w:ascii="宋体" w:hAnsi="宋体" w:cs="宋体"/>
          <w:b/>
          <w:bCs/>
          <w:color w:val="auto"/>
          <w:highlight w:val="none"/>
        </w:rPr>
      </w:pPr>
    </w:p>
    <w:p>
      <w:pPr>
        <w:spacing w:line="360" w:lineRule="auto"/>
        <w:rPr>
          <w:rFonts w:ascii="宋体" w:hAnsi="宋体" w:cs="宋体"/>
          <w:b/>
          <w:bCs/>
          <w:color w:val="auto"/>
          <w:highlight w:val="none"/>
        </w:rPr>
      </w:pPr>
    </w:p>
    <w:p>
      <w:pPr>
        <w:rPr>
          <w:rFonts w:ascii="宋体" w:hAnsi="宋体" w:cs="宋体"/>
          <w:b/>
          <w:color w:val="auto"/>
          <w:highlight w:val="none"/>
        </w:rPr>
      </w:pPr>
    </w:p>
    <w:p>
      <w:pPr>
        <w:pStyle w:val="47"/>
        <w:ind w:firstLine="422"/>
        <w:rPr>
          <w:rFonts w:ascii="宋体" w:hAnsi="宋体" w:cs="宋体"/>
          <w:b/>
          <w:color w:val="auto"/>
          <w:highlight w:val="none"/>
        </w:rPr>
      </w:pPr>
    </w:p>
    <w:p>
      <w:pPr>
        <w:rPr>
          <w:rFonts w:ascii="宋体" w:hAnsi="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color w:val="auto"/>
          <w:highlight w:val="none"/>
        </w:rPr>
        <w:t>（</w:t>
      </w:r>
      <w:r>
        <w:rPr>
          <w:rFonts w:hint="eastAsia" w:ascii="宋体" w:hAnsi="宋体" w:cs="宋体"/>
          <w:color w:val="auto"/>
          <w:highlight w:val="none"/>
          <w:lang w:val="en-US" w:eastAsia="zh-CN"/>
        </w:rPr>
        <w:t>7</w:t>
      </w:r>
      <w:r>
        <w:rPr>
          <w:rFonts w:hint="eastAsia" w:ascii="宋体" w:hAnsi="宋体" w:cs="宋体"/>
          <w:color w:val="auto"/>
          <w:highlight w:val="none"/>
        </w:rPr>
        <w:t>）投标人针对报价需要说明的其他文件和说明。</w:t>
      </w:r>
    </w:p>
    <w:p>
      <w:pPr>
        <w:spacing w:line="360" w:lineRule="auto"/>
        <w:rPr>
          <w:rFonts w:ascii="宋体" w:hAnsi="宋体" w:cs="宋体"/>
          <w:b/>
          <w:bCs/>
          <w:color w:val="auto"/>
          <w:highlight w:val="none"/>
        </w:rPr>
      </w:pPr>
      <w:r>
        <w:rPr>
          <w:rFonts w:hint="eastAsia" w:ascii="宋体" w:hAnsi="宋体" w:cs="宋体"/>
          <w:b/>
          <w:bCs/>
          <w:color w:val="auto"/>
          <w:highlight w:val="none"/>
        </w:rPr>
        <w:t>二、资格证明文件</w:t>
      </w:r>
    </w:p>
    <w:p>
      <w:pPr>
        <w:outlineLvl w:val="2"/>
        <w:rPr>
          <w:rFonts w:ascii="宋体" w:hAnsi="宋体" w:cs="宋体"/>
          <w:b/>
          <w:bCs/>
          <w:color w:val="auto"/>
          <w:highlight w:val="none"/>
        </w:rPr>
      </w:pPr>
      <w:bookmarkStart w:id="249" w:name="_Toc18405"/>
      <w:bookmarkStart w:id="250" w:name="_Toc275865606"/>
      <w:r>
        <w:rPr>
          <w:rFonts w:hint="eastAsia" w:ascii="宋体" w:hAnsi="宋体" w:cs="宋体"/>
          <w:b/>
          <w:bCs/>
          <w:color w:val="auto"/>
          <w:highlight w:val="none"/>
        </w:rPr>
        <w:t>（1）投标人的营业执照副本复印件</w:t>
      </w:r>
      <w:bookmarkEnd w:id="249"/>
    </w:p>
    <w:p>
      <w:pPr>
        <w:outlineLvl w:val="2"/>
        <w:rPr>
          <w:rFonts w:ascii="宋体" w:hAnsi="宋体" w:cs="宋体"/>
          <w:b/>
          <w:bCs/>
          <w:color w:val="auto"/>
          <w:highlight w:val="none"/>
        </w:rPr>
      </w:pPr>
    </w:p>
    <w:p>
      <w:pPr>
        <w:outlineLvl w:val="2"/>
        <w:rPr>
          <w:rFonts w:ascii="宋体" w:hAnsi="宋体" w:cs="宋体"/>
          <w:b/>
          <w:bCs/>
          <w:color w:val="auto"/>
          <w:highlight w:val="none"/>
        </w:rPr>
      </w:pPr>
    </w:p>
    <w:p>
      <w:pPr>
        <w:outlineLvl w:val="2"/>
        <w:rPr>
          <w:rFonts w:ascii="宋体" w:hAnsi="宋体" w:cs="宋体"/>
          <w:b/>
          <w:bCs/>
          <w:color w:val="auto"/>
          <w:highlight w:val="none"/>
        </w:rPr>
      </w:pPr>
      <w:bookmarkStart w:id="251" w:name="_Toc25583"/>
      <w:r>
        <w:rPr>
          <w:rFonts w:hint="eastAsia" w:ascii="宋体" w:hAnsi="宋体" w:cs="宋体"/>
          <w:b/>
          <w:bCs/>
          <w:color w:val="auto"/>
          <w:highlight w:val="none"/>
        </w:rPr>
        <w:t>（2）投标人资格声明函</w:t>
      </w:r>
      <w:bookmarkEnd w:id="251"/>
    </w:p>
    <w:p>
      <w:pPr>
        <w:jc w:val="center"/>
        <w:outlineLvl w:val="2"/>
        <w:rPr>
          <w:rFonts w:ascii="宋体" w:hAnsi="宋体" w:cs="宋体"/>
          <w:b/>
          <w:bCs/>
          <w:color w:val="auto"/>
          <w:highlight w:val="none"/>
        </w:rPr>
      </w:pPr>
      <w:bookmarkStart w:id="252" w:name="_Toc2318"/>
      <w:r>
        <w:rPr>
          <w:rFonts w:hint="eastAsia" w:ascii="宋体" w:hAnsi="宋体" w:cs="宋体"/>
          <w:b/>
          <w:bCs/>
          <w:color w:val="auto"/>
          <w:highlight w:val="none"/>
        </w:rPr>
        <w:t>投标人资格声明函</w:t>
      </w:r>
      <w:bookmarkEnd w:id="250"/>
      <w:bookmarkEnd w:id="252"/>
    </w:p>
    <w:p>
      <w:pPr>
        <w:rPr>
          <w:rFonts w:ascii="宋体" w:hAnsi="宋体" w:cs="宋体"/>
          <w:b/>
          <w:bCs/>
          <w:color w:val="auto"/>
          <w:highlight w:val="none"/>
        </w:rPr>
      </w:pPr>
    </w:p>
    <w:p>
      <w:pPr>
        <w:spacing w:line="360" w:lineRule="auto"/>
        <w:rPr>
          <w:rFonts w:ascii="宋体" w:hAnsi="宋体" w:cs="宋体"/>
          <w:b/>
          <w:bCs/>
          <w:color w:val="auto"/>
          <w:highlight w:val="none"/>
        </w:rPr>
      </w:pPr>
      <w:r>
        <w:rPr>
          <w:rFonts w:hint="eastAsia" w:ascii="宋体" w:hAnsi="宋体" w:cs="宋体"/>
          <w:b/>
          <w:bCs/>
          <w:color w:val="auto"/>
          <w:highlight w:val="none"/>
        </w:rPr>
        <w:t>宁波中基国际招标有限公司：</w:t>
      </w:r>
    </w:p>
    <w:p>
      <w:pPr>
        <w:numPr>
          <w:ilvl w:val="0"/>
          <w:numId w:val="22"/>
        </w:num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我方具备《中华人民共和国政府采购法》第二十二条规定资格条件：</w:t>
      </w:r>
    </w:p>
    <w:p>
      <w:pPr>
        <w:snapToGrid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3、我方不是本采购项目提供整体设计、规范编制或者项目管理、监理、检测等服务的供应商。</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4、我方未被“信用中国”（www.creditchina.gov.cn)、中国政府采购网（www.ccgp.gov.cn）列入失信被执行人、重大税收违法案件当事人名单、政府采购严重违法失信行为记录名单。</w:t>
      </w:r>
    </w:p>
    <w:p>
      <w:pPr>
        <w:spacing w:line="360" w:lineRule="auto"/>
        <w:ind w:firstLine="420"/>
        <w:rPr>
          <w:rFonts w:ascii="宋体" w:hAnsi="宋体" w:cs="宋体"/>
          <w:b/>
          <w:bCs/>
          <w:color w:val="auto"/>
          <w:highlight w:val="none"/>
        </w:rPr>
      </w:pPr>
      <w:r>
        <w:rPr>
          <w:rFonts w:hint="eastAsia" w:ascii="宋体" w:hAnsi="宋体" w:cs="宋体"/>
          <w:color w:val="auto"/>
          <w:highlight w:val="none"/>
        </w:rPr>
        <w:t>我方对上述声明的真实性负责。本次招标采购活动中，如有违法、违规、弄虚作假行为，所造成的损失、不良后果及法律责任，一律由我我方承担</w:t>
      </w:r>
    </w:p>
    <w:p>
      <w:pPr>
        <w:spacing w:line="360" w:lineRule="auto"/>
        <w:rPr>
          <w:rFonts w:ascii="宋体" w:hAnsi="宋体" w:cs="宋体"/>
          <w:b/>
          <w:bCs/>
          <w:color w:val="auto"/>
          <w:highlight w:val="none"/>
        </w:rPr>
      </w:pPr>
    </w:p>
    <w:p>
      <w:pPr>
        <w:spacing w:line="360" w:lineRule="auto"/>
        <w:ind w:firstLine="420"/>
        <w:rPr>
          <w:rFonts w:ascii="宋体" w:hAnsi="宋体" w:cs="宋体"/>
          <w:b/>
          <w:bCs/>
          <w:color w:val="auto"/>
          <w:highlight w:val="none"/>
        </w:rPr>
      </w:pPr>
      <w:r>
        <w:rPr>
          <w:rFonts w:hint="eastAsia" w:ascii="宋体" w:hAnsi="宋体" w:cs="宋体"/>
          <w:b/>
          <w:bCs/>
          <w:color w:val="auto"/>
          <w:highlight w:val="none"/>
        </w:rPr>
        <w:t>特此声明！</w:t>
      </w:r>
    </w:p>
    <w:p>
      <w:pPr>
        <w:adjustRightInd w:val="0"/>
        <w:snapToGrid w:val="0"/>
        <w:spacing w:line="360" w:lineRule="auto"/>
        <w:ind w:left="425"/>
        <w:rPr>
          <w:rFonts w:ascii="宋体" w:hAnsi="宋体" w:cs="宋体"/>
          <w:color w:val="auto"/>
          <w:spacing w:val="4"/>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投标人（盖章）：</w:t>
      </w:r>
    </w:p>
    <w:p>
      <w:pPr>
        <w:spacing w:line="360" w:lineRule="auto"/>
        <w:rPr>
          <w:rFonts w:ascii="宋体" w:hAnsi="宋体" w:cs="宋体"/>
          <w:color w:val="auto"/>
          <w:highlight w:val="none"/>
        </w:rPr>
      </w:pPr>
      <w:r>
        <w:rPr>
          <w:rFonts w:hint="eastAsia" w:ascii="宋体" w:hAnsi="宋体" w:cs="宋体"/>
          <w:color w:val="auto"/>
          <w:highlight w:val="none"/>
        </w:rPr>
        <w:t xml:space="preserve">                                    日    期：</w:t>
      </w:r>
    </w:p>
    <w:p>
      <w:pPr>
        <w:spacing w:line="360" w:lineRule="auto"/>
        <w:rPr>
          <w:rFonts w:ascii="宋体" w:hAnsi="宋体" w:cs="宋体"/>
          <w:color w:val="auto"/>
          <w:highlight w:val="none"/>
        </w:rPr>
      </w:pPr>
    </w:p>
    <w:p>
      <w:pPr>
        <w:pStyle w:val="3"/>
        <w:rPr>
          <w:rFonts w:ascii="宋体" w:hAnsi="宋体" w:cs="宋体"/>
          <w:color w:val="auto"/>
          <w:sz w:val="21"/>
          <w:szCs w:val="21"/>
          <w:highlight w:val="none"/>
        </w:rPr>
      </w:pPr>
      <w:r>
        <w:rPr>
          <w:rFonts w:hint="eastAsia" w:ascii="宋体" w:hAnsi="宋体" w:cs="宋体"/>
          <w:color w:val="auto"/>
          <w:sz w:val="21"/>
          <w:szCs w:val="21"/>
          <w:highlight w:val="none"/>
        </w:rPr>
        <w:t>注：联合体投标的，可只由联合体牵头人盖章。</w:t>
      </w:r>
    </w:p>
    <w:p>
      <w:pPr>
        <w:spacing w:line="300" w:lineRule="auto"/>
        <w:rPr>
          <w:rFonts w:ascii="宋体" w:hAnsi="宋体" w:cs="宋体"/>
          <w:b/>
          <w:bCs/>
          <w:color w:val="auto"/>
          <w:highlight w:val="none"/>
        </w:rPr>
      </w:pPr>
    </w:p>
    <w:p>
      <w:pPr>
        <w:spacing w:line="360" w:lineRule="auto"/>
        <w:rPr>
          <w:rFonts w:ascii="宋体" w:hAnsi="宋体" w:cs="宋体"/>
          <w:color w:val="auto"/>
          <w:kern w:val="0"/>
          <w:highlight w:val="none"/>
        </w:rPr>
      </w:pPr>
      <w:r>
        <w:rPr>
          <w:rFonts w:hint="eastAsia" w:ascii="宋体" w:hAnsi="宋体" w:cs="宋体"/>
          <w:b/>
          <w:bCs/>
          <w:color w:val="auto"/>
          <w:highlight w:val="none"/>
        </w:rPr>
        <w:t>（3）投标人的特定条件的证明文件：</w:t>
      </w:r>
      <w:r>
        <w:rPr>
          <w:rFonts w:hint="eastAsia" w:ascii="宋体" w:hAnsi="宋体" w:cs="宋体"/>
          <w:color w:val="auto"/>
          <w:kern w:val="0"/>
          <w:highlight w:val="none"/>
        </w:rPr>
        <w:t xml:space="preserve">第二类、第三类医疗器械生产企业提供《医疗器械生产许可证》复印件、第一类医疗器械生产企业提供第一类医疗器械生产备案凭证复印件。 </w:t>
      </w:r>
    </w:p>
    <w:p>
      <w:pPr>
        <w:spacing w:line="360" w:lineRule="auto"/>
        <w:rPr>
          <w:rFonts w:ascii="宋体" w:hAnsi="宋体" w:cs="宋体"/>
          <w:color w:val="auto"/>
          <w:kern w:val="0"/>
          <w:highlight w:val="none"/>
        </w:rPr>
      </w:pPr>
      <w:r>
        <w:rPr>
          <w:rFonts w:hint="eastAsia" w:ascii="宋体" w:hAnsi="宋体" w:cs="宋体"/>
          <w:color w:val="auto"/>
          <w:kern w:val="0"/>
          <w:highlight w:val="none"/>
        </w:rPr>
        <w:t>投标人为医疗器械经营企业的：第三类医疗器械经营企业提供《医疗器械经营许可证》复印件、第二类医疗器械经营企业提供第二类医疗器械经营备案凭证复印件。</w:t>
      </w:r>
    </w:p>
    <w:p>
      <w:pPr>
        <w:rPr>
          <w:rFonts w:ascii="宋体" w:hAnsi="宋体" w:cs="宋体"/>
          <w:b/>
          <w:bCs/>
          <w:color w:val="auto"/>
          <w:highlight w:val="none"/>
        </w:rPr>
      </w:pPr>
    </w:p>
    <w:p>
      <w:pPr>
        <w:rPr>
          <w:rFonts w:ascii="宋体" w:hAnsi="宋体" w:cs="宋体"/>
          <w:b/>
          <w:bCs/>
          <w:color w:val="auto"/>
          <w:kern w:val="0"/>
          <w:highlight w:val="none"/>
        </w:rPr>
      </w:pPr>
      <w:r>
        <w:rPr>
          <w:rFonts w:hint="eastAsia" w:ascii="宋体" w:hAnsi="宋体" w:cs="宋体"/>
          <w:b/>
          <w:bCs/>
          <w:color w:val="auto"/>
          <w:highlight w:val="none"/>
        </w:rPr>
        <w:t>（4）</w:t>
      </w:r>
      <w:r>
        <w:rPr>
          <w:rFonts w:hint="eastAsia" w:ascii="宋体" w:hAnsi="宋体" w:cs="宋体"/>
          <w:b/>
          <w:bCs/>
          <w:color w:val="auto"/>
          <w:kern w:val="0"/>
          <w:highlight w:val="none"/>
        </w:rPr>
        <w:t>联合投标协议书</w:t>
      </w:r>
    </w:p>
    <w:p>
      <w:pPr>
        <w:widowControl/>
        <w:adjustRightInd w:val="0"/>
        <w:spacing w:line="360" w:lineRule="auto"/>
        <w:jc w:val="left"/>
        <w:rPr>
          <w:rFonts w:ascii="宋体" w:hAnsi="宋体" w:cs="宋体"/>
          <w:color w:val="auto"/>
          <w:spacing w:val="4"/>
          <w:highlight w:val="none"/>
        </w:rPr>
      </w:pPr>
    </w:p>
    <w:p>
      <w:pPr>
        <w:jc w:val="center"/>
        <w:rPr>
          <w:rFonts w:ascii="宋体" w:hAnsi="宋体" w:cs="宋体"/>
          <w:b/>
          <w:color w:val="auto"/>
          <w:kern w:val="0"/>
          <w:highlight w:val="none"/>
        </w:rPr>
      </w:pPr>
      <w:r>
        <w:rPr>
          <w:rFonts w:hint="eastAsia" w:ascii="宋体" w:hAnsi="宋体" w:cs="宋体"/>
          <w:b/>
          <w:color w:val="auto"/>
          <w:kern w:val="0"/>
          <w:highlight w:val="none"/>
        </w:rPr>
        <w:t>联合投标协议书</w:t>
      </w:r>
    </w:p>
    <w:p>
      <w:pPr>
        <w:jc w:val="center"/>
        <w:rPr>
          <w:rFonts w:ascii="宋体" w:hAnsi="宋体" w:cs="宋体"/>
          <w:b/>
          <w:color w:val="auto"/>
          <w:kern w:val="0"/>
          <w:highlight w:val="none"/>
        </w:rPr>
      </w:pPr>
      <w:r>
        <w:rPr>
          <w:rFonts w:hint="eastAsia" w:ascii="宋体" w:hAnsi="宋体" w:cs="宋体"/>
          <w:color w:val="auto"/>
          <w:highlight w:val="none"/>
        </w:rPr>
        <w:t>（联合体投标须提供）</w:t>
      </w:r>
    </w:p>
    <w:p>
      <w:pPr>
        <w:pStyle w:val="21"/>
        <w:overflowPunct w:val="0"/>
        <w:spacing w:before="31" w:beforeLines="10" w:line="500" w:lineRule="exact"/>
        <w:ind w:left="842" w:hanging="422"/>
        <w:rPr>
          <w:rFonts w:hAnsi="宋体"/>
          <w:b/>
          <w:color w:val="auto"/>
          <w:sz w:val="21"/>
          <w:szCs w:val="21"/>
          <w:highlight w:val="none"/>
        </w:rPr>
      </w:pPr>
      <w:r>
        <w:rPr>
          <w:rFonts w:hint="eastAsia" w:hAnsi="宋体"/>
          <w:b/>
          <w:color w:val="auto"/>
          <w:sz w:val="21"/>
          <w:szCs w:val="21"/>
          <w:highlight w:val="none"/>
        </w:rPr>
        <w:t>甲方：</w:t>
      </w:r>
    </w:p>
    <w:p>
      <w:pPr>
        <w:pStyle w:val="21"/>
        <w:overflowPunct w:val="0"/>
        <w:spacing w:before="31" w:beforeLines="10" w:line="500" w:lineRule="exact"/>
        <w:ind w:left="842" w:hanging="422"/>
        <w:rPr>
          <w:rFonts w:hAnsi="宋体"/>
          <w:b/>
          <w:color w:val="auto"/>
          <w:sz w:val="21"/>
          <w:szCs w:val="21"/>
          <w:highlight w:val="none"/>
        </w:rPr>
      </w:pPr>
      <w:r>
        <w:rPr>
          <w:rFonts w:hint="eastAsia" w:hAnsi="宋体"/>
          <w:b/>
          <w:color w:val="auto"/>
          <w:sz w:val="21"/>
          <w:szCs w:val="21"/>
          <w:highlight w:val="none"/>
        </w:rPr>
        <w:t>乙方：</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各方经协商，就响应</w:t>
      </w:r>
      <w:r>
        <w:rPr>
          <w:rFonts w:hint="eastAsia" w:hAnsi="宋体"/>
          <w:color w:val="auto"/>
          <w:sz w:val="21"/>
          <w:szCs w:val="21"/>
          <w:highlight w:val="none"/>
          <w:u w:val="single"/>
        </w:rPr>
        <w:t xml:space="preserve">       </w:t>
      </w:r>
      <w:r>
        <w:rPr>
          <w:rFonts w:hint="eastAsia" w:hAnsi="宋体"/>
          <w:color w:val="auto"/>
          <w:sz w:val="21"/>
          <w:szCs w:val="21"/>
          <w:highlight w:val="none"/>
        </w:rPr>
        <w:t>（招标方）组织实施的</w:t>
      </w:r>
      <w:r>
        <w:rPr>
          <w:rFonts w:hint="eastAsia" w:hAnsi="宋体"/>
          <w:color w:val="auto"/>
          <w:sz w:val="21"/>
          <w:szCs w:val="21"/>
          <w:highlight w:val="none"/>
          <w:u w:val="single"/>
        </w:rPr>
        <w:t xml:space="preserve">    </w:t>
      </w:r>
      <w:r>
        <w:rPr>
          <w:rFonts w:hint="eastAsia" w:hAnsi="宋体"/>
          <w:color w:val="auto"/>
          <w:sz w:val="21"/>
          <w:szCs w:val="21"/>
          <w:highlight w:val="none"/>
        </w:rPr>
        <w:t>项目（采购编号：</w:t>
      </w:r>
      <w:r>
        <w:rPr>
          <w:rFonts w:hint="eastAsia" w:hAnsi="宋体"/>
          <w:color w:val="auto"/>
          <w:sz w:val="21"/>
          <w:szCs w:val="21"/>
          <w:highlight w:val="none"/>
          <w:u w:val="single"/>
        </w:rPr>
        <w:t xml:space="preserve">                </w:t>
      </w:r>
      <w:r>
        <w:rPr>
          <w:rFonts w:hint="eastAsia" w:hAnsi="宋体"/>
          <w:color w:val="auto"/>
          <w:sz w:val="21"/>
          <w:szCs w:val="21"/>
          <w:highlight w:val="none"/>
        </w:rPr>
        <w:t>招标活动联合进行投标之事宜，达成如下协议：</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一、各方一致决定，以</w:t>
      </w:r>
      <w:r>
        <w:rPr>
          <w:rFonts w:hint="eastAsia" w:hAnsi="宋体"/>
          <w:color w:val="auto"/>
          <w:sz w:val="21"/>
          <w:szCs w:val="21"/>
          <w:highlight w:val="none"/>
          <w:u w:val="single"/>
        </w:rPr>
        <w:t xml:space="preserve">                        </w:t>
      </w:r>
      <w:r>
        <w:rPr>
          <w:rFonts w:hint="eastAsia" w:hAnsi="宋体"/>
          <w:color w:val="auto"/>
          <w:sz w:val="21"/>
          <w:szCs w:val="21"/>
          <w:highlight w:val="none"/>
        </w:rPr>
        <w:t>为联合体牵头人，</w:t>
      </w:r>
      <w:r>
        <w:rPr>
          <w:rFonts w:hint="eastAsia" w:hAnsi="宋体"/>
          <w:color w:val="auto"/>
          <w:sz w:val="21"/>
          <w:szCs w:val="21"/>
          <w:highlight w:val="none"/>
          <w:u w:val="single"/>
        </w:rPr>
        <w:t xml:space="preserve">                 </w:t>
      </w:r>
      <w:r>
        <w:rPr>
          <w:rFonts w:hint="eastAsia" w:hAnsi="宋体"/>
          <w:color w:val="auto"/>
          <w:sz w:val="21"/>
          <w:szCs w:val="21"/>
          <w:highlight w:val="none"/>
        </w:rPr>
        <w:t>为联合体成员，共同进行投标，并按照招标文件的规定分别提交资格文件。</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二、在本次投标过程中，联合体牵头人的法定代表人或其委托代理人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三、联合投标其余各方保证对联合体牵头人为响应本次招标而提供的产品和服务提供全部质量保证及售后服务支持。</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四、本次联合投标中，甲方承担的工作和义务为：</w:t>
      </w:r>
      <w:r>
        <w:rPr>
          <w:rFonts w:hint="eastAsia" w:hAnsi="宋体"/>
          <w:color w:val="auto"/>
          <w:sz w:val="21"/>
          <w:szCs w:val="21"/>
          <w:highlight w:val="none"/>
          <w:u w:val="single"/>
        </w:rPr>
        <w:t xml:space="preserve">                          </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 xml:space="preserve">                    甲方承担本项目的工作和义务占合同总金额的</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 xml:space="preserve">                    乙方承担的工作和义务为：</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 xml:space="preserve">                    乙方承担本项目的工作和义务占合同总金额的</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五、有关本次联合投标的其他事宜：</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六、本协议提交采购人后，联合投标各方不得以任何形式对上述实质内容进行修改或撤销。</w:t>
      </w:r>
    </w:p>
    <w:p>
      <w:pPr>
        <w:pStyle w:val="21"/>
        <w:spacing w:line="500" w:lineRule="exact"/>
        <w:ind w:left="313" w:leftChars="-51" w:hanging="420"/>
        <w:rPr>
          <w:rFonts w:hAnsi="宋体"/>
          <w:color w:val="auto"/>
          <w:sz w:val="21"/>
          <w:szCs w:val="21"/>
          <w:highlight w:val="none"/>
        </w:rPr>
      </w:pPr>
      <w:r>
        <w:rPr>
          <w:rFonts w:hint="eastAsia" w:hAnsi="宋体"/>
          <w:color w:val="auto"/>
          <w:sz w:val="21"/>
          <w:szCs w:val="21"/>
          <w:highlight w:val="none"/>
        </w:rPr>
        <w:t>七、本协议一式二份，签约各方各持一份。</w:t>
      </w:r>
    </w:p>
    <w:p>
      <w:pPr>
        <w:pStyle w:val="21"/>
        <w:spacing w:line="500" w:lineRule="exact"/>
        <w:ind w:left="840" w:hanging="420"/>
        <w:rPr>
          <w:rFonts w:hAnsi="宋体"/>
          <w:color w:val="auto"/>
          <w:sz w:val="21"/>
          <w:szCs w:val="21"/>
          <w:highlight w:val="none"/>
        </w:rPr>
      </w:pPr>
    </w:p>
    <w:p>
      <w:pPr>
        <w:pStyle w:val="21"/>
        <w:spacing w:line="360" w:lineRule="auto"/>
        <w:ind w:left="840" w:hanging="420"/>
        <w:rPr>
          <w:rFonts w:hAnsi="宋体"/>
          <w:color w:val="auto"/>
          <w:sz w:val="21"/>
          <w:szCs w:val="21"/>
          <w:highlight w:val="none"/>
        </w:rPr>
      </w:pPr>
      <w:r>
        <w:rPr>
          <w:rFonts w:hint="eastAsia" w:hAnsi="宋体"/>
          <w:color w:val="auto"/>
          <w:sz w:val="21"/>
          <w:szCs w:val="21"/>
          <w:highlight w:val="none"/>
        </w:rPr>
        <w:t xml:space="preserve">甲方单位（盖章）：                             乙方单位（盖章）：           </w:t>
      </w:r>
    </w:p>
    <w:p>
      <w:pPr>
        <w:pStyle w:val="21"/>
        <w:spacing w:line="360" w:lineRule="auto"/>
        <w:ind w:left="840" w:hanging="420"/>
        <w:rPr>
          <w:rFonts w:hAnsi="宋体"/>
          <w:color w:val="auto"/>
          <w:sz w:val="21"/>
          <w:szCs w:val="21"/>
          <w:highlight w:val="none"/>
        </w:rPr>
      </w:pPr>
    </w:p>
    <w:p>
      <w:pPr>
        <w:pStyle w:val="21"/>
        <w:spacing w:line="360" w:lineRule="auto"/>
        <w:ind w:left="840" w:hanging="420"/>
        <w:rPr>
          <w:rFonts w:hAnsi="宋体"/>
          <w:color w:val="auto"/>
          <w:sz w:val="21"/>
          <w:szCs w:val="21"/>
          <w:highlight w:val="none"/>
        </w:rPr>
      </w:pPr>
      <w:r>
        <w:rPr>
          <w:rFonts w:hint="eastAsia" w:hAnsi="宋体"/>
          <w:color w:val="auto"/>
          <w:sz w:val="21"/>
          <w:szCs w:val="21"/>
          <w:highlight w:val="none"/>
        </w:rPr>
        <w:t>法定代表人或其委托代理人（签字或盖章）：      法定代表人或其委托代理人（签字或盖章）：</w:t>
      </w:r>
    </w:p>
    <w:p>
      <w:pPr>
        <w:snapToGrid w:val="0"/>
        <w:spacing w:line="360" w:lineRule="auto"/>
        <w:rPr>
          <w:rFonts w:ascii="宋体" w:hAnsi="宋体" w:cs="宋体"/>
          <w:color w:val="auto"/>
          <w:highlight w:val="none"/>
        </w:rPr>
      </w:pPr>
    </w:p>
    <w:p>
      <w:pPr>
        <w:snapToGrid w:val="0"/>
        <w:spacing w:line="360" w:lineRule="auto"/>
        <w:ind w:firstLine="420" w:firstLineChars="200"/>
        <w:rPr>
          <w:rFonts w:ascii="宋体" w:hAnsi="宋体" w:cs="宋体"/>
          <w:color w:val="auto"/>
          <w:spacing w:val="4"/>
          <w:highlight w:val="none"/>
        </w:rPr>
      </w:pPr>
      <w:r>
        <w:rPr>
          <w:rFonts w:hint="eastAsia" w:ascii="宋体" w:hAnsi="宋体" w:cs="宋体"/>
          <w:color w:val="auto"/>
          <w:highlight w:val="none"/>
        </w:rPr>
        <w:t>日期：2023年  月   日                       日期：2023年  月   日</w:t>
      </w:r>
      <w:r>
        <w:rPr>
          <w:rFonts w:hint="eastAsia" w:ascii="宋体" w:hAnsi="宋体" w:cs="宋体"/>
          <w:color w:val="auto"/>
          <w:spacing w:val="4"/>
          <w:highlight w:val="none"/>
        </w:rPr>
        <w:br w:type="page"/>
      </w:r>
    </w:p>
    <w:p>
      <w:pPr>
        <w:rPr>
          <w:rFonts w:ascii="宋体" w:hAnsi="宋体" w:cs="宋体"/>
          <w:b/>
          <w:bCs/>
          <w:color w:val="auto"/>
          <w:highlight w:val="none"/>
        </w:rPr>
      </w:pPr>
      <w:r>
        <w:rPr>
          <w:rFonts w:hint="eastAsia" w:ascii="宋体" w:hAnsi="宋体" w:cs="宋体"/>
          <w:b/>
          <w:bCs/>
          <w:color w:val="auto"/>
          <w:spacing w:val="4"/>
          <w:highlight w:val="none"/>
        </w:rPr>
        <w:t>三、</w:t>
      </w:r>
      <w:r>
        <w:rPr>
          <w:rFonts w:hint="eastAsia" w:ascii="宋体" w:hAnsi="宋体" w:cs="宋体"/>
          <w:b/>
          <w:bCs/>
          <w:color w:val="auto"/>
          <w:highlight w:val="none"/>
        </w:rPr>
        <w:t>商务技术文件</w:t>
      </w:r>
    </w:p>
    <w:p>
      <w:pPr>
        <w:snapToGrid w:val="0"/>
        <w:spacing w:before="156" w:beforeLines="50" w:after="50"/>
        <w:jc w:val="left"/>
        <w:rPr>
          <w:rFonts w:ascii="宋体" w:hAnsi="宋体" w:cs="宋体"/>
          <w:color w:val="auto"/>
          <w:highlight w:val="none"/>
        </w:rPr>
      </w:pPr>
      <w:r>
        <w:rPr>
          <w:rFonts w:hint="eastAsia" w:ascii="宋体" w:hAnsi="宋体" w:cs="宋体"/>
          <w:color w:val="auto"/>
          <w:highlight w:val="none"/>
        </w:rPr>
        <w:t>（1）符合性自查表</w:t>
      </w:r>
    </w:p>
    <w:p>
      <w:pPr>
        <w:snapToGrid w:val="0"/>
        <w:spacing w:before="156" w:beforeLines="50" w:after="50"/>
        <w:jc w:val="center"/>
        <w:rPr>
          <w:rFonts w:ascii="宋体" w:hAnsi="宋体" w:cs="宋体"/>
          <w:b/>
          <w:color w:val="auto"/>
          <w:kern w:val="0"/>
          <w:highlight w:val="none"/>
        </w:rPr>
      </w:pPr>
      <w:r>
        <w:rPr>
          <w:rFonts w:hint="eastAsia" w:ascii="宋体" w:hAnsi="宋体" w:cs="宋体"/>
          <w:b/>
          <w:color w:val="auto"/>
          <w:highlight w:val="none"/>
        </w:rPr>
        <w:t>符合性自查表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0"/>
                <w:highlight w:val="none"/>
              </w:rPr>
            </w:pPr>
            <w:r>
              <w:rPr>
                <w:rFonts w:hint="eastAsia" w:ascii="宋体" w:hAnsi="宋体" w:cs="宋体"/>
                <w:color w:val="auto"/>
                <w:highlight w:val="none"/>
              </w:rPr>
              <w:t>评审内容</w:t>
            </w:r>
          </w:p>
        </w:tc>
        <w:tc>
          <w:tcPr>
            <w:tcW w:w="4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采购文件要求</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自查结论</w:t>
            </w:r>
          </w:p>
        </w:tc>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符合性审</w:t>
            </w:r>
          </w:p>
          <w:p>
            <w:pPr>
              <w:rPr>
                <w:rFonts w:ascii="宋体" w:hAnsi="宋体" w:cs="宋体"/>
                <w:color w:val="auto"/>
                <w:highlight w:val="none"/>
              </w:rPr>
            </w:pPr>
            <w:r>
              <w:rPr>
                <w:rFonts w:hint="eastAsia" w:ascii="宋体" w:hAnsi="宋体" w:cs="宋体"/>
                <w:color w:val="auto"/>
                <w:highlight w:val="none"/>
              </w:rPr>
              <w:t>查（商务技术文件）</w:t>
            </w: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（一）按照采购文件规定要求签署或盖章；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（二）投标文件有法定代表人签署本人姓名（或印盖本人姓名章），或签署人提供有效的法定代表人授权委托书且授权委托书填写项目齐全的；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（三）投标文件标明的响应或偏离与事实相符且无虚假投标的；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（四）投标文件的实质性内容使用中文表述且意思表述明确，前后无矛盾且使用计量单位符合采购文件要求的；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（五）带“★”的条款满足采购文件要求、已实质性响应采购文件要求且投标文件无采购人不能接受的附加条件的；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（六）投标技术方案明确，不存在一个或一个以上备选（替代）投标方案的；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（七）不存在法律、法规和采购文件规定的其他无效情形；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（八）不存在投标文件的有效期不满足采购文件要求情形；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bl>
    <w:p>
      <w:pPr>
        <w:snapToGrid w:val="0"/>
        <w:spacing w:before="156" w:beforeLines="50" w:after="50"/>
        <w:rPr>
          <w:rFonts w:ascii="宋体" w:hAnsi="宋体" w:cs="宋体"/>
          <w:color w:val="auto"/>
          <w:highlight w:val="none"/>
        </w:rPr>
      </w:pPr>
      <w:r>
        <w:rPr>
          <w:rFonts w:hint="eastAsia" w:ascii="宋体" w:hAnsi="宋体" w:cs="宋体"/>
          <w:b/>
          <w:color w:val="auto"/>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adjustRightInd w:val="0"/>
        <w:spacing w:line="360" w:lineRule="auto"/>
        <w:jc w:val="left"/>
        <w:rPr>
          <w:rFonts w:ascii="宋体" w:hAnsi="宋体" w:cs="宋体"/>
          <w:color w:val="auto"/>
          <w:spacing w:val="4"/>
          <w:highlight w:val="none"/>
        </w:rPr>
      </w:pPr>
      <w:r>
        <w:rPr>
          <w:rFonts w:hint="eastAsia" w:ascii="宋体" w:hAnsi="宋体" w:cs="宋体"/>
          <w:color w:val="auto"/>
          <w:spacing w:val="4"/>
          <w:highlight w:val="none"/>
        </w:rPr>
        <w:br w:type="page"/>
      </w:r>
    </w:p>
    <w:p>
      <w:pPr>
        <w:widowControl/>
        <w:adjustRightInd w:val="0"/>
        <w:spacing w:line="360" w:lineRule="auto"/>
        <w:jc w:val="left"/>
        <w:rPr>
          <w:rFonts w:ascii="宋体" w:hAnsi="宋体" w:cs="宋体"/>
          <w:color w:val="auto"/>
          <w:spacing w:val="4"/>
          <w:highlight w:val="none"/>
        </w:rPr>
      </w:pPr>
      <w:r>
        <w:rPr>
          <w:rFonts w:hint="eastAsia" w:ascii="宋体" w:hAnsi="宋体" w:cs="宋体"/>
          <w:color w:val="auto"/>
          <w:spacing w:val="4"/>
          <w:highlight w:val="none"/>
        </w:rPr>
        <w:t>（2）法定代表人身份证明</w:t>
      </w:r>
    </w:p>
    <w:p>
      <w:pPr>
        <w:snapToGrid w:val="0"/>
        <w:spacing w:before="156" w:beforeLines="50" w:after="50"/>
        <w:rPr>
          <w:rFonts w:ascii="宋体" w:hAnsi="宋体" w:cs="宋体"/>
          <w:color w:val="auto"/>
          <w:highlight w:val="none"/>
        </w:rPr>
      </w:pPr>
    </w:p>
    <w:p>
      <w:pPr>
        <w:widowControl/>
        <w:spacing w:line="360" w:lineRule="auto"/>
        <w:jc w:val="center"/>
        <w:rPr>
          <w:rFonts w:ascii="宋体" w:hAnsi="宋体" w:cs="宋体"/>
          <w:b/>
          <w:bCs/>
          <w:color w:val="auto"/>
          <w:highlight w:val="none"/>
        </w:rPr>
      </w:pPr>
      <w:r>
        <w:rPr>
          <w:rFonts w:hint="eastAsia" w:ascii="宋体" w:hAnsi="宋体" w:cs="宋体"/>
          <w:b/>
          <w:bCs/>
          <w:color w:val="auto"/>
          <w:highlight w:val="none"/>
        </w:rPr>
        <w:t>法定代表人身份证明</w:t>
      </w:r>
    </w:p>
    <w:p>
      <w:pPr>
        <w:widowControl/>
        <w:adjustRightInd w:val="0"/>
        <w:spacing w:line="360" w:lineRule="auto"/>
        <w:jc w:val="left"/>
        <w:rPr>
          <w:rFonts w:ascii="宋体" w:hAnsi="宋体" w:cs="宋体"/>
          <w:b/>
          <w:bCs/>
          <w:color w:val="auto"/>
          <w:highlight w:val="none"/>
        </w:rPr>
      </w:pPr>
    </w:p>
    <w:p>
      <w:pPr>
        <w:widowControl/>
        <w:spacing w:line="360" w:lineRule="auto"/>
        <w:rPr>
          <w:rFonts w:ascii="宋体" w:hAnsi="宋体" w:cs="宋体"/>
          <w:color w:val="auto"/>
          <w:highlight w:val="none"/>
        </w:rPr>
      </w:pPr>
      <w:r>
        <w:rPr>
          <w:rFonts w:hint="eastAsia" w:ascii="宋体" w:hAnsi="宋体" w:cs="宋体"/>
          <w:color w:val="auto"/>
          <w:highlight w:val="none"/>
        </w:rPr>
        <w:t>单位名称：</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性    别：</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u w:val="single"/>
        </w:rPr>
      </w:pPr>
      <w:r>
        <w:rPr>
          <w:rFonts w:hint="eastAsia" w:ascii="宋体" w:hAnsi="宋体" w:cs="宋体"/>
          <w:color w:val="auto"/>
          <w:highlight w:val="none"/>
        </w:rPr>
        <w:t>年    龄：</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    务：</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u w:val="single"/>
        </w:rPr>
      </w:pPr>
      <w:r>
        <w:rPr>
          <w:rFonts w:hint="eastAsia" w:ascii="宋体" w:hAnsi="宋体" w:cs="宋体"/>
          <w:color w:val="auto"/>
          <w:highlight w:val="none"/>
        </w:rPr>
        <w:t>身份证号码：</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系</w:t>
      </w:r>
      <w:r>
        <w:rPr>
          <w:rFonts w:hint="eastAsia" w:ascii="宋体" w:hAnsi="宋体" w:cs="宋体"/>
          <w:color w:val="auto"/>
          <w:highlight w:val="none"/>
          <w:u w:val="single"/>
        </w:rPr>
        <w:t xml:space="preserve">         （投标人名称）      </w:t>
      </w:r>
      <w:r>
        <w:rPr>
          <w:rFonts w:hint="eastAsia" w:ascii="宋体" w:hAnsi="宋体" w:cs="宋体"/>
          <w:color w:val="auto"/>
          <w:highlight w:val="none"/>
        </w:rPr>
        <w:t>的法定代表人，为</w:t>
      </w:r>
      <w:r>
        <w:rPr>
          <w:rFonts w:hint="eastAsia" w:ascii="宋体" w:hAnsi="宋体" w:cs="宋体"/>
          <w:color w:val="auto"/>
          <w:highlight w:val="none"/>
          <w:u w:val="single"/>
        </w:rPr>
        <w:t xml:space="preserve">     （招标编号、项目名称）   </w:t>
      </w:r>
      <w:r>
        <w:rPr>
          <w:rFonts w:hint="eastAsia" w:ascii="宋体" w:hAnsi="宋体" w:cs="宋体"/>
          <w:color w:val="auto"/>
          <w:highlight w:val="none"/>
        </w:rPr>
        <w:t>项目，签署上述项目的投标文件，进行合同谈判、签署合同和处理与之有关的一切事宜。</w:t>
      </w:r>
    </w:p>
    <w:p>
      <w:pPr>
        <w:widowControl/>
        <w:spacing w:line="360" w:lineRule="auto"/>
        <w:rPr>
          <w:rFonts w:ascii="宋体" w:hAnsi="宋体" w:cs="宋体"/>
          <w:color w:val="auto"/>
          <w:highlight w:val="none"/>
        </w:rPr>
      </w:pPr>
      <w:r>
        <w:rPr>
          <w:rFonts w:hint="eastAsia" w:ascii="宋体" w:hAnsi="宋体" w:cs="宋体"/>
          <w:color w:val="auto"/>
          <w:highlight w:val="none"/>
        </w:rPr>
        <w:t xml:space="preserve">    特此证明。</w:t>
      </w: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r>
        <w:rPr>
          <w:rFonts w:hint="eastAsia" w:ascii="宋体" w:hAnsi="宋体" w:cs="宋体"/>
          <w:color w:val="auto"/>
          <w:highlight w:val="none"/>
        </w:rPr>
        <w:t>后附法定代表人身份证正反面复印件，加盖公章。</w:t>
      </w: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156" w:beforeLines="50" w:after="50"/>
        <w:rPr>
          <w:rFonts w:ascii="宋体" w:hAnsi="宋体" w:cs="宋体"/>
          <w:color w:val="auto"/>
          <w:highlight w:val="none"/>
        </w:rPr>
      </w:pPr>
      <w:r>
        <w:rPr>
          <w:rFonts w:hint="eastAsia" w:ascii="宋体" w:hAnsi="宋体" w:cs="宋体"/>
          <w:color w:val="auto"/>
          <w:highlight w:val="none"/>
        </w:rPr>
        <w:t>日期:_____年___月___日</w:t>
      </w: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before="50" w:after="156" w:afterLines="50"/>
        <w:jc w:val="left"/>
        <w:rPr>
          <w:rFonts w:ascii="宋体" w:hAnsi="宋体" w:cs="宋体"/>
          <w:b/>
          <w:bCs/>
          <w:color w:val="auto"/>
          <w:highlight w:val="none"/>
        </w:rPr>
      </w:pPr>
      <w:r>
        <w:rPr>
          <w:rFonts w:hint="eastAsia" w:ascii="宋体" w:hAnsi="宋体" w:cs="宋体"/>
          <w:b/>
          <w:bCs/>
          <w:color w:val="auto"/>
          <w:highlight w:val="none"/>
        </w:rPr>
        <w:t>附：法定代表人身份证正反面复印件。</w:t>
      </w:r>
    </w:p>
    <w:p>
      <w:pPr>
        <w:snapToGrid w:val="0"/>
        <w:spacing w:before="50" w:after="156" w:afterLines="50"/>
        <w:jc w:val="left"/>
        <w:rPr>
          <w:rFonts w:ascii="宋体" w:hAnsi="宋体" w:cs="宋体"/>
          <w:b/>
          <w:bCs/>
          <w:color w:val="auto"/>
          <w:highlight w:val="none"/>
        </w:rPr>
      </w:pPr>
      <w:r>
        <w:rPr>
          <w:rFonts w:hint="eastAsia" w:ascii="宋体" w:hAnsi="宋体" w:cs="宋体"/>
          <w:b/>
          <w:bCs/>
          <w:color w:val="auto"/>
          <w:highlight w:val="none"/>
        </w:rPr>
        <w:t>注：联合体投标的，可只由联合体牵头人盖章。</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br w:type="page"/>
      </w:r>
    </w:p>
    <w:p>
      <w:pPr>
        <w:snapToGrid w:val="0"/>
        <w:spacing w:line="360" w:lineRule="auto"/>
        <w:jc w:val="center"/>
        <w:rPr>
          <w:rFonts w:ascii="宋体" w:hAnsi="宋体" w:cs="宋体"/>
          <w:b/>
          <w:bCs/>
          <w:color w:val="auto"/>
          <w:highlight w:val="none"/>
        </w:rPr>
      </w:pPr>
      <w:r>
        <w:rPr>
          <w:rFonts w:hint="eastAsia" w:ascii="宋体" w:hAnsi="宋体" w:cs="宋体"/>
          <w:b/>
          <w:bCs/>
          <w:color w:val="auto"/>
          <w:highlight w:val="none"/>
        </w:rPr>
        <w:t>法定代表人授权委托书</w:t>
      </w:r>
    </w:p>
    <w:p>
      <w:pPr>
        <w:snapToGrid w:val="0"/>
        <w:spacing w:line="360" w:lineRule="auto"/>
        <w:jc w:val="center"/>
        <w:rPr>
          <w:rFonts w:ascii="宋体" w:hAnsi="宋体" w:cs="宋体"/>
          <w:b/>
          <w:bCs/>
          <w:color w:val="auto"/>
          <w:highlight w:val="none"/>
        </w:rPr>
      </w:pPr>
      <w:r>
        <w:rPr>
          <w:rFonts w:hint="eastAsia" w:ascii="宋体" w:hAnsi="宋体" w:cs="宋体"/>
          <w:b/>
          <w:bCs/>
          <w:color w:val="auto"/>
          <w:highlight w:val="none"/>
        </w:rPr>
        <w:t>（非联合体投标人适用）</w:t>
      </w:r>
    </w:p>
    <w:p>
      <w:pPr>
        <w:snapToGrid w:val="0"/>
        <w:spacing w:line="360" w:lineRule="auto"/>
        <w:rPr>
          <w:rFonts w:ascii="宋体" w:hAnsi="宋体" w:cs="宋体"/>
          <w:color w:val="auto"/>
          <w:highlight w:val="none"/>
        </w:rPr>
      </w:pPr>
    </w:p>
    <w:p>
      <w:pPr>
        <w:snapToGrid w:val="0"/>
        <w:spacing w:line="360" w:lineRule="auto"/>
        <w:rPr>
          <w:rFonts w:ascii="宋体" w:hAnsi="宋体" w:cs="宋体"/>
          <w:b/>
          <w:bCs/>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w:t>
      </w:r>
      <w:r>
        <w:rPr>
          <w:rFonts w:hint="eastAsia" w:ascii="宋体" w:hAnsi="宋体" w:cs="宋体"/>
          <w:color w:val="auto"/>
          <w:highlight w:val="none"/>
        </w:rPr>
        <w:t>（采购人名称）</w:t>
      </w:r>
      <w:r>
        <w:rPr>
          <w:rFonts w:hint="eastAsia" w:ascii="宋体" w:hAnsi="宋体" w:cs="宋体"/>
          <w:b/>
          <w:bCs/>
          <w:color w:val="auto"/>
          <w:highlight w:val="none"/>
        </w:rPr>
        <w:t xml:space="preserve"> </w:t>
      </w:r>
      <w:r>
        <w:rPr>
          <w:rFonts w:hint="eastAsia" w:ascii="宋体" w:hAnsi="宋体" w:cs="宋体"/>
          <w:color w:val="auto"/>
          <w:highlight w:val="none"/>
        </w:rPr>
        <w:t>：</w:t>
      </w:r>
    </w:p>
    <w:p>
      <w:pPr>
        <w:snapToGrid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xml:space="preserve">　　              </w:t>
      </w:r>
      <w:r>
        <w:rPr>
          <w:rFonts w:hint="eastAsia" w:ascii="宋体" w:hAnsi="宋体" w:cs="宋体"/>
          <w:color w:val="auto"/>
          <w:highlight w:val="none"/>
        </w:rPr>
        <w:t>（姓名）系</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（投标人名称）的法定代表人，现授权委托本单位在职职工 </w:t>
      </w:r>
      <w:r>
        <w:rPr>
          <w:rFonts w:hint="eastAsia" w:ascii="宋体" w:hAnsi="宋体" w:cs="宋体"/>
          <w:color w:val="auto"/>
          <w:highlight w:val="none"/>
          <w:u w:val="single"/>
        </w:rPr>
        <w:t xml:space="preserve">              </w:t>
      </w:r>
      <w:r>
        <w:rPr>
          <w:rFonts w:hint="eastAsia" w:ascii="宋体" w:hAnsi="宋体" w:cs="宋体"/>
          <w:color w:val="auto"/>
          <w:highlight w:val="none"/>
        </w:rPr>
        <w:t>（姓名）以我方的名义参加</w:t>
      </w:r>
      <w:r>
        <w:rPr>
          <w:rFonts w:hint="eastAsia" w:ascii="宋体" w:hAnsi="宋体" w:cs="宋体"/>
          <w:color w:val="auto"/>
          <w:highlight w:val="none"/>
          <w:u w:val="single"/>
        </w:rPr>
        <w:t xml:space="preserve">            </w:t>
      </w:r>
      <w:r>
        <w:rPr>
          <w:rFonts w:hint="eastAsia" w:ascii="宋体" w:hAnsi="宋体" w:cs="宋体"/>
          <w:color w:val="auto"/>
          <w:highlight w:val="none"/>
        </w:rPr>
        <w:t>项目的投标活动，并代表我方全权办理针对上述项目的投标、开标、评标、签约等具体事务和签署相关文件。</w:t>
      </w:r>
    </w:p>
    <w:p>
      <w:pPr>
        <w:snapToGrid w:val="0"/>
        <w:spacing w:line="360" w:lineRule="auto"/>
        <w:rPr>
          <w:rFonts w:ascii="宋体" w:hAnsi="宋体" w:cs="宋体"/>
          <w:color w:val="auto"/>
          <w:highlight w:val="none"/>
        </w:rPr>
      </w:pPr>
      <w:r>
        <w:rPr>
          <w:rFonts w:hint="eastAsia" w:ascii="宋体" w:hAnsi="宋体" w:cs="宋体"/>
          <w:color w:val="auto"/>
          <w:highlight w:val="none"/>
        </w:rPr>
        <w:t xml:space="preserve">    我方对被授权人的签名事项负全部责任。</w:t>
      </w:r>
    </w:p>
    <w:p>
      <w:pPr>
        <w:snapToGrid w:val="0"/>
        <w:spacing w:line="360" w:lineRule="auto"/>
        <w:ind w:firstLine="480"/>
        <w:rPr>
          <w:rFonts w:ascii="宋体" w:hAnsi="宋体" w:cs="宋体"/>
          <w:color w:val="auto"/>
          <w:highlight w:val="none"/>
        </w:rPr>
      </w:pPr>
      <w:r>
        <w:rPr>
          <w:rFonts w:hint="eastAsia" w:ascii="宋体" w:hAnsi="宋体" w:cs="宋体"/>
          <w:color w:val="auto"/>
          <w:highlight w:val="none"/>
          <w:u w:val="single"/>
        </w:rPr>
        <w:t>在撤销授权的书面通知以前，本授权书一直有效。</w:t>
      </w:r>
      <w:r>
        <w:rPr>
          <w:rFonts w:hint="eastAsia" w:ascii="宋体" w:hAnsi="宋体" w:cs="宋体"/>
          <w:color w:val="auto"/>
          <w:highlight w:val="none"/>
        </w:rPr>
        <w:t>被授权人在授权书有效期内签署的所有文件不因授权的撤销而失效。</w:t>
      </w:r>
    </w:p>
    <w:p>
      <w:pPr>
        <w:snapToGrid w:val="0"/>
        <w:spacing w:line="360" w:lineRule="auto"/>
        <w:ind w:firstLine="480"/>
        <w:rPr>
          <w:rFonts w:ascii="宋体" w:hAnsi="宋体" w:cs="宋体"/>
          <w:color w:val="auto"/>
          <w:highlight w:val="none"/>
        </w:rPr>
      </w:pPr>
      <w:r>
        <w:rPr>
          <w:rFonts w:hint="eastAsia" w:ascii="宋体" w:hAnsi="宋体" w:cs="宋体"/>
          <w:color w:val="auto"/>
          <w:highlight w:val="none"/>
        </w:rPr>
        <w:t>被授权人无转委托权，特此委托。</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u w:val="single"/>
        </w:rPr>
      </w:pPr>
      <w:r>
        <w:rPr>
          <w:rFonts w:hint="eastAsia" w:ascii="宋体" w:hAnsi="宋体" w:cs="宋体"/>
          <w:color w:val="auto"/>
          <w:highlight w:val="none"/>
        </w:rPr>
        <w:t>被授权人签名或盖章：</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法定代表人签名或盖章：</w:t>
      </w:r>
      <w:r>
        <w:rPr>
          <w:rFonts w:hint="eastAsia" w:ascii="宋体" w:hAnsi="宋体" w:cs="宋体"/>
          <w:color w:val="auto"/>
          <w:highlight w:val="none"/>
          <w:u w:val="single"/>
        </w:rPr>
        <w:t xml:space="preserve">          </w:t>
      </w:r>
    </w:p>
    <w:p>
      <w:pPr>
        <w:snapToGrid w:val="0"/>
        <w:spacing w:line="360" w:lineRule="auto"/>
        <w:ind w:firstLine="840" w:firstLineChars="400"/>
        <w:rPr>
          <w:rFonts w:ascii="宋体" w:hAnsi="宋体" w:cs="宋体"/>
          <w:color w:val="auto"/>
          <w:highlight w:val="none"/>
        </w:rPr>
      </w:pPr>
      <w:r>
        <w:rPr>
          <w:rFonts w:hint="eastAsia" w:ascii="宋体" w:hAnsi="宋体" w:cs="宋体"/>
          <w:color w:val="auto"/>
          <w:highlight w:val="none"/>
        </w:rPr>
        <w:t>职务：</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职务：</w:t>
      </w:r>
      <w:r>
        <w:rPr>
          <w:rFonts w:hint="eastAsia" w:ascii="宋体" w:hAnsi="宋体" w:cs="宋体"/>
          <w:color w:val="auto"/>
          <w:highlight w:val="none"/>
          <w:u w:val="single"/>
        </w:rPr>
        <w:t xml:space="preserve">           </w:t>
      </w:r>
    </w:p>
    <w:p>
      <w:pPr>
        <w:snapToGrid w:val="0"/>
        <w:spacing w:line="360" w:lineRule="auto"/>
        <w:rPr>
          <w:rFonts w:ascii="宋体" w:hAnsi="宋体" w:cs="宋体"/>
          <w:color w:val="auto"/>
          <w:highlight w:val="none"/>
        </w:rPr>
      </w:pPr>
      <w:r>
        <w:rPr>
          <w:rFonts w:hint="eastAsia" w:ascii="宋体" w:hAnsi="宋体" w:cs="宋体"/>
          <w:color w:val="auto"/>
          <w:highlight w:val="none"/>
        </w:rPr>
        <w:t>被授权人身份证号码：</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napToGrid w:val="0"/>
        <w:spacing w:line="360" w:lineRule="auto"/>
        <w:rPr>
          <w:rFonts w:ascii="宋体" w:hAnsi="宋体" w:cs="宋体"/>
          <w:color w:val="auto"/>
          <w:highlight w:val="none"/>
        </w:rPr>
      </w:pPr>
      <w:r>
        <w:rPr>
          <w:rFonts w:hint="eastAsia" w:ascii="宋体" w:hAnsi="宋体" w:cs="宋体"/>
          <w:color w:val="auto"/>
          <w:highlight w:val="none"/>
        </w:rPr>
        <w:t>法定代表人身份证号码：</w:t>
      </w:r>
      <w:r>
        <w:rPr>
          <w:rFonts w:hint="eastAsia" w:ascii="宋体" w:hAnsi="宋体" w:cs="宋体"/>
          <w:color w:val="auto"/>
          <w:highlight w:val="none"/>
          <w:u w:val="single"/>
        </w:rPr>
        <w:t xml:space="preserve">                           </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pStyle w:val="26"/>
        <w:tabs>
          <w:tab w:val="left" w:pos="2472"/>
        </w:tabs>
        <w:snapToGrid w:val="0"/>
        <w:spacing w:beforeLines="0" w:afterLines="0" w:line="360" w:lineRule="auto"/>
        <w:ind w:firstLine="474"/>
        <w:jc w:val="left"/>
        <w:rPr>
          <w:rFonts w:hAnsi="宋体"/>
          <w:color w:val="auto"/>
          <w:sz w:val="21"/>
          <w:szCs w:val="21"/>
          <w:highlight w:val="none"/>
        </w:rPr>
      </w:pPr>
      <w:r>
        <w:rPr>
          <w:rFonts w:hint="eastAsia" w:hAnsi="宋体"/>
          <w:color w:val="auto"/>
          <w:sz w:val="21"/>
          <w:szCs w:val="21"/>
          <w:highlight w:val="none"/>
        </w:rPr>
        <w:t>投标人名称(公章):___________________</w:t>
      </w:r>
    </w:p>
    <w:p>
      <w:pPr>
        <w:snapToGrid w:val="0"/>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napToGrid w:val="0"/>
        <w:spacing w:line="360" w:lineRule="auto"/>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pStyle w:val="3"/>
        <w:rPr>
          <w:rFonts w:ascii="宋体" w:hAnsi="宋体" w:cs="宋体"/>
          <w:color w:val="auto"/>
          <w:highlight w:val="none"/>
        </w:rPr>
      </w:pPr>
      <w:r>
        <w:rPr>
          <w:rFonts w:hint="eastAsia" w:ascii="宋体" w:hAnsi="宋体" w:cs="宋体"/>
          <w:color w:val="auto"/>
          <w:highlight w:val="none"/>
        </w:rPr>
        <w:br w:type="page"/>
      </w:r>
    </w:p>
    <w:p>
      <w:pPr>
        <w:pStyle w:val="26"/>
        <w:spacing w:before="156" w:after="156" w:line="240" w:lineRule="auto"/>
        <w:jc w:val="center"/>
        <w:rPr>
          <w:rFonts w:hAnsi="宋体"/>
          <w:b/>
          <w:color w:val="auto"/>
          <w:sz w:val="22"/>
          <w:szCs w:val="22"/>
          <w:highlight w:val="none"/>
        </w:rPr>
      </w:pPr>
      <w:r>
        <w:rPr>
          <w:rFonts w:hint="eastAsia" w:hAnsi="宋体"/>
          <w:b/>
          <w:color w:val="auto"/>
          <w:sz w:val="22"/>
          <w:szCs w:val="22"/>
          <w:highlight w:val="none"/>
        </w:rPr>
        <w:t>联合投标授权委托书</w:t>
      </w:r>
    </w:p>
    <w:p>
      <w:pPr>
        <w:pStyle w:val="21"/>
        <w:spacing w:line="240" w:lineRule="auto"/>
        <w:ind w:left="840" w:leftChars="400" w:firstLine="2222" w:firstLineChars="1100"/>
        <w:rPr>
          <w:rFonts w:hAnsi="宋体"/>
          <w:color w:val="auto"/>
          <w:sz w:val="21"/>
          <w:szCs w:val="21"/>
          <w:highlight w:val="none"/>
        </w:rPr>
      </w:pPr>
      <w:r>
        <w:rPr>
          <w:rFonts w:hint="eastAsia" w:hAnsi="宋体"/>
          <w:color w:val="auto"/>
          <w:sz w:val="21"/>
          <w:szCs w:val="21"/>
          <w:highlight w:val="none"/>
        </w:rPr>
        <w:t>（联合体投标须提供）</w:t>
      </w:r>
    </w:p>
    <w:p>
      <w:pPr>
        <w:pStyle w:val="21"/>
        <w:spacing w:line="480" w:lineRule="auto"/>
        <w:ind w:left="-107" w:leftChars="-51" w:firstLine="404" w:firstLineChars="200"/>
        <w:rPr>
          <w:rFonts w:hAnsi="宋体"/>
          <w:color w:val="auto"/>
          <w:sz w:val="21"/>
          <w:szCs w:val="21"/>
          <w:highlight w:val="none"/>
        </w:rPr>
      </w:pP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本授权委托书声明：根据</w:t>
      </w:r>
      <w:r>
        <w:rPr>
          <w:rFonts w:hint="eastAsia" w:hAnsi="宋体"/>
          <w:color w:val="auto"/>
          <w:sz w:val="21"/>
          <w:szCs w:val="21"/>
          <w:highlight w:val="none"/>
          <w:u w:val="single"/>
        </w:rPr>
        <w:t xml:space="preserve">             </w:t>
      </w:r>
      <w:r>
        <w:rPr>
          <w:rFonts w:hint="eastAsia" w:hAnsi="宋体"/>
          <w:color w:val="auto"/>
          <w:sz w:val="21"/>
          <w:szCs w:val="21"/>
          <w:highlight w:val="none"/>
        </w:rPr>
        <w:t>与</w:t>
      </w:r>
      <w:r>
        <w:rPr>
          <w:rFonts w:hint="eastAsia" w:hAnsi="宋体"/>
          <w:color w:val="auto"/>
          <w:sz w:val="21"/>
          <w:szCs w:val="21"/>
          <w:highlight w:val="none"/>
          <w:u w:val="single"/>
        </w:rPr>
        <w:t xml:space="preserve">             </w:t>
      </w:r>
      <w:r>
        <w:rPr>
          <w:rFonts w:hint="eastAsia" w:hAnsi="宋体"/>
          <w:color w:val="auto"/>
          <w:sz w:val="21"/>
          <w:szCs w:val="21"/>
          <w:highlight w:val="none"/>
        </w:rPr>
        <w:t>签订的《联合投标协议书》的内容，联合体牵头人</w:t>
      </w:r>
      <w:r>
        <w:rPr>
          <w:rFonts w:hint="eastAsia" w:hAnsi="宋体"/>
          <w:color w:val="auto"/>
          <w:sz w:val="21"/>
          <w:szCs w:val="21"/>
          <w:highlight w:val="none"/>
          <w:u w:val="single"/>
        </w:rPr>
        <w:t xml:space="preserve">            </w:t>
      </w:r>
      <w:r>
        <w:rPr>
          <w:rFonts w:hint="eastAsia" w:hAnsi="宋体"/>
          <w:color w:val="auto"/>
          <w:sz w:val="21"/>
          <w:szCs w:val="21"/>
          <w:highlight w:val="none"/>
        </w:rPr>
        <w:t>的法定代表人</w:t>
      </w:r>
      <w:r>
        <w:rPr>
          <w:rFonts w:hint="eastAsia" w:hAnsi="宋体"/>
          <w:color w:val="auto"/>
          <w:sz w:val="21"/>
          <w:szCs w:val="21"/>
          <w:highlight w:val="none"/>
          <w:u w:val="single"/>
        </w:rPr>
        <w:t xml:space="preserve">            </w:t>
      </w:r>
      <w:r>
        <w:rPr>
          <w:rFonts w:hint="eastAsia" w:hAnsi="宋体"/>
          <w:color w:val="auto"/>
          <w:sz w:val="21"/>
          <w:szCs w:val="21"/>
          <w:highlight w:val="none"/>
        </w:rPr>
        <w:t>现授权</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为联合投标委托代理人，委托代理人在投标、开标、评标、合同谈判过程中所签署的一切文件和处理与这有关的一切事务，联合投标各方均予以认可并遵守。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特此委托。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投标人（盖章）：</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法定代表人（签字或盖章）：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日期：2023年  月  日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 </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委托代理人（签字或盖章）；</w:t>
      </w:r>
    </w:p>
    <w:p>
      <w:pPr>
        <w:pStyle w:val="21"/>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日期：2023年  月  日</w:t>
      </w:r>
    </w:p>
    <w:p>
      <w:pPr>
        <w:pStyle w:val="21"/>
        <w:spacing w:line="480" w:lineRule="auto"/>
        <w:ind w:left="840" w:hanging="420"/>
        <w:rPr>
          <w:rFonts w:hAnsi="宋体"/>
          <w:color w:val="auto"/>
          <w:sz w:val="21"/>
          <w:szCs w:val="21"/>
          <w:highlight w:val="none"/>
        </w:rPr>
      </w:pPr>
    </w:p>
    <w:p>
      <w:pPr>
        <w:pStyle w:val="21"/>
        <w:spacing w:line="480" w:lineRule="auto"/>
        <w:ind w:firstLine="0"/>
        <w:rPr>
          <w:rFonts w:hAnsi="宋体"/>
          <w:b/>
          <w:bCs/>
          <w:color w:val="auto"/>
          <w:sz w:val="21"/>
          <w:szCs w:val="21"/>
          <w:highlight w:val="none"/>
        </w:rPr>
      </w:pPr>
      <w:r>
        <w:rPr>
          <w:rFonts w:hint="eastAsia" w:hAnsi="宋体"/>
          <w:b/>
          <w:bCs/>
          <w:color w:val="auto"/>
          <w:sz w:val="21"/>
          <w:szCs w:val="21"/>
          <w:highlight w:val="none"/>
        </w:rPr>
        <w:t>注：联合体投标的，此委托书由联合体牵头人的法定代表人签署，并加盖联合体牵头人单位章。</w:t>
      </w: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after="156" w:afterLines="50"/>
        <w:jc w:val="left"/>
        <w:rPr>
          <w:rFonts w:ascii="宋体" w:hAnsi="宋体" w:cs="宋体"/>
          <w:b/>
          <w:bCs/>
          <w:color w:val="auto"/>
          <w:highlight w:val="none"/>
        </w:rPr>
      </w:pPr>
    </w:p>
    <w:p>
      <w:pPr>
        <w:snapToGrid w:val="0"/>
        <w:spacing w:before="50" w:line="360" w:lineRule="auto"/>
        <w:jc w:val="left"/>
        <w:rPr>
          <w:rFonts w:ascii="宋体" w:hAnsi="宋体" w:cs="宋体"/>
          <w:color w:val="auto"/>
          <w:highlight w:val="none"/>
        </w:rPr>
      </w:pPr>
      <w:r>
        <w:rPr>
          <w:rFonts w:hint="eastAsia" w:ascii="宋体" w:hAnsi="宋体" w:cs="宋体"/>
          <w:b/>
          <w:bCs/>
          <w:color w:val="auto"/>
          <w:highlight w:val="none"/>
        </w:rPr>
        <w:br w:type="page"/>
      </w:r>
      <w:r>
        <w:rPr>
          <w:rFonts w:hint="eastAsia" w:ascii="宋体" w:hAnsi="宋体" w:cs="宋体"/>
          <w:color w:val="auto"/>
          <w:highlight w:val="none"/>
        </w:rPr>
        <w:t>（3）商务条款响应（偏离）表</w:t>
      </w:r>
    </w:p>
    <w:p>
      <w:pPr>
        <w:snapToGrid w:val="0"/>
        <w:spacing w:before="50" w:line="360" w:lineRule="auto"/>
        <w:jc w:val="left"/>
        <w:rPr>
          <w:rFonts w:ascii="宋体" w:hAnsi="宋体" w:cs="宋体"/>
          <w:color w:val="auto"/>
          <w:highlight w:val="none"/>
        </w:rPr>
      </w:pPr>
    </w:p>
    <w:p>
      <w:pPr>
        <w:snapToGrid w:val="0"/>
        <w:spacing w:before="50" w:line="360" w:lineRule="auto"/>
        <w:jc w:val="center"/>
        <w:rPr>
          <w:highlight w:val="none"/>
        </w:rPr>
      </w:pPr>
      <w:r>
        <w:rPr>
          <w:rFonts w:hint="eastAsia" w:ascii="宋体" w:hAnsi="宋体" w:cs="宋体"/>
          <w:b/>
          <w:bCs/>
          <w:color w:val="auto"/>
          <w:highlight w:val="none"/>
        </w:rPr>
        <w:t>商务条款响应（偏离）表</w:t>
      </w:r>
    </w:p>
    <w:p>
      <w:pPr>
        <w:snapToGrid w:val="0"/>
        <w:spacing w:before="50" w:line="360" w:lineRule="auto"/>
        <w:jc w:val="left"/>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标项号：</w:t>
      </w:r>
      <w:r>
        <w:rPr>
          <w:rFonts w:hint="eastAsia" w:ascii="宋体" w:hAnsi="宋体" w:cs="宋体"/>
          <w:color w:val="auto"/>
          <w:highlight w:val="none"/>
          <w:u w:val="single"/>
        </w:rPr>
        <w:t xml:space="preserve">                </w:t>
      </w:r>
    </w:p>
    <w:tbl>
      <w:tblPr>
        <w:tblStyle w:val="48"/>
        <w:tblW w:w="829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6"/>
        <w:gridCol w:w="2627"/>
        <w:gridCol w:w="1226"/>
        <w:gridCol w:w="2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名称</w:t>
            </w: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是否响应</w:t>
            </w:r>
          </w:p>
        </w:tc>
        <w:tc>
          <w:tcPr>
            <w:tcW w:w="2939" w:type="dxa"/>
            <w:tcBorders>
              <w:top w:val="single" w:color="auto" w:sz="4" w:space="0"/>
              <w:left w:val="single" w:color="auto" w:sz="4" w:space="0"/>
              <w:bottom w:val="single" w:color="auto" w:sz="4" w:space="0"/>
            </w:tcBorders>
          </w:tcPr>
          <w:p>
            <w:pPr>
              <w:snapToGrid w:val="0"/>
              <w:spacing w:before="156" w:beforeLines="50" w:line="400" w:lineRule="exact"/>
              <w:jc w:val="center"/>
              <w:rPr>
                <w:rFonts w:ascii="宋体" w:hAnsi="宋体" w:cs="宋体"/>
                <w:color w:val="auto"/>
                <w:highlight w:val="none"/>
              </w:rPr>
            </w:pPr>
            <w:r>
              <w:rPr>
                <w:rFonts w:hint="eastAsia" w:ascii="宋体" w:hAnsi="宋体" w:cs="宋体"/>
                <w:color w:val="auto"/>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1506"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627"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1226"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color w:val="auto"/>
                <w:highlight w:val="none"/>
              </w:rPr>
            </w:pPr>
          </w:p>
        </w:tc>
        <w:tc>
          <w:tcPr>
            <w:tcW w:w="2939"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color w:val="auto"/>
                <w:highlight w:val="none"/>
              </w:rPr>
            </w:pPr>
          </w:p>
        </w:tc>
      </w:tr>
    </w:tbl>
    <w:p>
      <w:pPr>
        <w:snapToGrid w:val="0"/>
        <w:spacing w:before="50"/>
        <w:rPr>
          <w:rFonts w:ascii="宋体" w:hAnsi="宋体" w:cs="宋体"/>
          <w:color w:val="auto"/>
          <w:kern w:val="0"/>
          <w:highlight w:val="none"/>
        </w:rPr>
      </w:pPr>
      <w:r>
        <w:rPr>
          <w:rFonts w:hint="eastAsia" w:ascii="宋体" w:hAnsi="宋体" w:cs="宋体"/>
          <w:color w:val="auto"/>
          <w:highlight w:val="none"/>
        </w:rPr>
        <w:t>注:投标人须按第二章 招标需求</w:t>
      </w:r>
      <w:r>
        <w:rPr>
          <w:rFonts w:hint="eastAsia" w:ascii="宋体" w:hAnsi="宋体" w:cs="宋体"/>
          <w:b/>
          <w:bCs/>
          <w:color w:val="auto"/>
          <w:highlight w:val="none"/>
        </w:rPr>
        <w:t>一、商务要求中</w:t>
      </w:r>
      <w:r>
        <w:rPr>
          <w:rFonts w:hint="eastAsia" w:ascii="宋体" w:hAnsi="宋体" w:cs="宋体"/>
          <w:color w:val="auto"/>
          <w:highlight w:val="none"/>
        </w:rPr>
        <w:t>逐条填写，在说明栏如实填写“正偏离”、“无偏离”或“负偏离”。</w:t>
      </w:r>
    </w:p>
    <w:p>
      <w:pPr>
        <w:snapToGrid w:val="0"/>
        <w:spacing w:before="50"/>
        <w:jc w:val="left"/>
        <w:rPr>
          <w:rFonts w:ascii="宋体" w:hAnsi="宋体" w:cs="宋体"/>
          <w:color w:val="auto"/>
          <w:highlight w:val="none"/>
        </w:rPr>
      </w:pPr>
    </w:p>
    <w:p>
      <w:pPr>
        <w:snapToGrid w:val="0"/>
        <w:spacing w:before="50"/>
        <w:jc w:val="left"/>
        <w:rPr>
          <w:rFonts w:ascii="宋体" w:hAnsi="宋体" w:cs="宋体"/>
          <w:color w:val="auto"/>
          <w:highlight w:val="none"/>
        </w:rPr>
      </w:pPr>
    </w:p>
    <w:p>
      <w:pPr>
        <w:snapToGrid w:val="0"/>
        <w:spacing w:before="50"/>
        <w:jc w:val="left"/>
        <w:rPr>
          <w:rFonts w:ascii="宋体" w:hAnsi="宋体" w:cs="宋体"/>
          <w:color w:val="auto"/>
          <w:highlight w:val="none"/>
        </w:rPr>
      </w:pPr>
    </w:p>
    <w:p>
      <w:pPr>
        <w:pStyle w:val="26"/>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50" w:after="156" w:afterLines="50"/>
        <w:jc w:val="left"/>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50" w:after="156" w:afterLines="50"/>
        <w:jc w:val="left"/>
        <w:rPr>
          <w:rFonts w:ascii="宋体" w:hAnsi="宋体" w:cs="宋体"/>
          <w:color w:val="auto"/>
          <w:highlight w:val="none"/>
        </w:rPr>
      </w:pPr>
    </w:p>
    <w:p>
      <w:pPr>
        <w:snapToGrid w:val="0"/>
        <w:spacing w:before="50" w:after="156" w:afterLines="50"/>
        <w:jc w:val="left"/>
        <w:rPr>
          <w:rFonts w:ascii="宋体" w:hAnsi="宋体" w:cs="宋体"/>
          <w:color w:val="auto"/>
          <w:highlight w:val="none"/>
        </w:rPr>
      </w:pPr>
      <w:r>
        <w:rPr>
          <w:rFonts w:hint="eastAsia" w:ascii="宋体" w:hAnsi="宋体" w:cs="宋体"/>
          <w:b/>
          <w:bCs/>
          <w:color w:val="auto"/>
          <w:highlight w:val="none"/>
        </w:rPr>
        <w:t>注：联合体投标的，可只由联合体牵头人盖章。</w:t>
      </w:r>
    </w:p>
    <w:p>
      <w:pPr>
        <w:snapToGrid w:val="0"/>
        <w:spacing w:before="50" w:after="156" w:afterLines="50"/>
        <w:jc w:val="left"/>
        <w:rPr>
          <w:rFonts w:ascii="宋体" w:hAnsi="宋体" w:cs="宋体"/>
          <w:color w:val="auto"/>
          <w:highlight w:val="none"/>
        </w:rPr>
      </w:pPr>
    </w:p>
    <w:p>
      <w:pPr>
        <w:snapToGrid w:val="0"/>
        <w:spacing w:before="50" w:line="360" w:lineRule="auto"/>
        <w:jc w:val="left"/>
        <w:rPr>
          <w:rFonts w:hint="eastAsia" w:ascii="宋体" w:hAnsi="宋体" w:cs="宋体"/>
          <w:color w:val="auto"/>
          <w:highlight w:val="none"/>
        </w:rPr>
      </w:pPr>
    </w:p>
    <w:p>
      <w:pPr>
        <w:snapToGrid w:val="0"/>
        <w:spacing w:before="50" w:line="360" w:lineRule="auto"/>
        <w:jc w:val="left"/>
        <w:rPr>
          <w:rFonts w:ascii="宋体" w:hAnsi="宋体" w:cs="宋体"/>
          <w:color w:val="auto"/>
          <w:highlight w:val="none"/>
        </w:rPr>
      </w:pPr>
      <w:r>
        <w:rPr>
          <w:rFonts w:hint="eastAsia" w:ascii="宋体" w:hAnsi="宋体" w:cs="宋体"/>
          <w:color w:val="auto"/>
          <w:highlight w:val="none"/>
        </w:rPr>
        <w:t>（4）技术条款响应（偏离）表</w:t>
      </w:r>
    </w:p>
    <w:p>
      <w:pPr>
        <w:spacing w:line="360" w:lineRule="auto"/>
        <w:jc w:val="center"/>
        <w:rPr>
          <w:rFonts w:hint="eastAsia" w:ascii="宋体" w:hAnsi="宋体" w:cs="宋体"/>
          <w:b/>
          <w:bCs/>
          <w:color w:val="auto"/>
          <w:highlight w:val="none"/>
        </w:rPr>
      </w:pPr>
    </w:p>
    <w:p>
      <w:pPr>
        <w:spacing w:line="360" w:lineRule="auto"/>
        <w:jc w:val="center"/>
        <w:rPr>
          <w:rFonts w:hint="eastAsia" w:ascii="宋体" w:hAnsi="宋体" w:cs="宋体"/>
          <w:color w:val="auto"/>
          <w:highlight w:val="none"/>
        </w:rPr>
      </w:pPr>
      <w:r>
        <w:rPr>
          <w:rFonts w:hint="eastAsia" w:ascii="宋体" w:hAnsi="宋体" w:cs="宋体"/>
          <w:b/>
          <w:bCs/>
          <w:color w:val="auto"/>
          <w:highlight w:val="none"/>
        </w:rPr>
        <w:t>技术条款响应（偏离）表</w:t>
      </w:r>
    </w:p>
    <w:p>
      <w:pPr>
        <w:snapToGrid w:val="0"/>
        <w:spacing w:before="50" w:line="360" w:lineRule="auto"/>
        <w:jc w:val="left"/>
        <w:rPr>
          <w:rFonts w:ascii="宋体" w:hAnsi="宋体" w:cs="宋体"/>
          <w:color w:val="auto"/>
          <w:highlight w:val="none"/>
          <w:u w:val="single"/>
        </w:rPr>
      </w:pP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标项号：</w:t>
      </w:r>
      <w:r>
        <w:rPr>
          <w:rFonts w:hint="eastAsia" w:ascii="宋体" w:hAnsi="宋体" w:cs="宋体"/>
          <w:color w:val="auto"/>
          <w:highlight w:val="none"/>
          <w:u w:val="singl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序号</w:t>
            </w:r>
          </w:p>
        </w:tc>
        <w:tc>
          <w:tcPr>
            <w:tcW w:w="336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招标文件</w:t>
            </w:r>
          </w:p>
          <w:p>
            <w:pPr>
              <w:spacing w:line="400" w:lineRule="exact"/>
              <w:jc w:val="center"/>
              <w:rPr>
                <w:rFonts w:ascii="宋体" w:hAnsi="宋体" w:cs="宋体"/>
                <w:color w:val="auto"/>
                <w:highlight w:val="none"/>
              </w:rPr>
            </w:pPr>
            <w:r>
              <w:rPr>
                <w:rFonts w:hint="eastAsia" w:ascii="宋体" w:hAnsi="宋体" w:cs="宋体"/>
                <w:color w:val="auto"/>
                <w:highlight w:val="none"/>
              </w:rPr>
              <w:t>技术规格、要求</w:t>
            </w:r>
          </w:p>
        </w:tc>
        <w:tc>
          <w:tcPr>
            <w:tcW w:w="2908"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投标文件</w:t>
            </w:r>
          </w:p>
          <w:p>
            <w:pPr>
              <w:spacing w:line="400" w:lineRule="exact"/>
              <w:jc w:val="center"/>
              <w:rPr>
                <w:rFonts w:ascii="宋体" w:hAnsi="宋体" w:cs="宋体"/>
                <w:color w:val="auto"/>
                <w:highlight w:val="none"/>
              </w:rPr>
            </w:pPr>
            <w:r>
              <w:rPr>
                <w:rFonts w:hint="eastAsia" w:ascii="宋体" w:hAnsi="宋体" w:cs="宋体"/>
                <w:color w:val="auto"/>
                <w:highlight w:val="none"/>
              </w:rPr>
              <w:t>对应规格</w:t>
            </w:r>
          </w:p>
        </w:tc>
        <w:tc>
          <w:tcPr>
            <w:tcW w:w="1578"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bl>
    <w:p>
      <w:pPr>
        <w:snapToGrid w:val="0"/>
        <w:spacing w:before="50"/>
        <w:rPr>
          <w:rFonts w:ascii="宋体" w:hAnsi="宋体" w:cs="宋体"/>
          <w:color w:val="auto"/>
          <w:kern w:val="0"/>
          <w:highlight w:val="none"/>
        </w:rPr>
      </w:pPr>
      <w:r>
        <w:rPr>
          <w:rFonts w:hint="eastAsia" w:ascii="宋体" w:hAnsi="宋体" w:cs="宋体"/>
          <w:color w:val="auto"/>
          <w:highlight w:val="none"/>
        </w:rPr>
        <w:t>注：注:投标人须按第二章 招标需求</w:t>
      </w:r>
      <w:r>
        <w:rPr>
          <w:rFonts w:hint="eastAsia" w:ascii="宋体" w:hAnsi="宋体" w:cs="宋体"/>
          <w:b/>
          <w:bCs/>
          <w:color w:val="auto"/>
          <w:highlight w:val="none"/>
        </w:rPr>
        <w:t>二、技术需求</w:t>
      </w:r>
      <w:r>
        <w:rPr>
          <w:rFonts w:hint="eastAsia" w:ascii="宋体" w:hAnsi="宋体" w:cs="宋体"/>
          <w:color w:val="auto"/>
          <w:highlight w:val="none"/>
        </w:rPr>
        <w:t>逐条填写，在说明栏如实填写“正偏离”、“无偏离”或“负偏离”。</w:t>
      </w:r>
    </w:p>
    <w:p>
      <w:pPr>
        <w:spacing w:line="400" w:lineRule="exact"/>
        <w:rPr>
          <w:rFonts w:ascii="宋体" w:hAnsi="宋体" w:cs="宋体"/>
          <w:color w:val="auto"/>
          <w:highlight w:val="none"/>
        </w:rPr>
      </w:pPr>
      <w:r>
        <w:rPr>
          <w:rFonts w:hint="eastAsia" w:ascii="宋体" w:hAnsi="宋体" w:cs="宋体"/>
          <w:color w:val="auto"/>
          <w:highlight w:val="none"/>
        </w:rPr>
        <w:t>投标人（盖章）：</w:t>
      </w:r>
    </w:p>
    <w:p>
      <w:pPr>
        <w:pStyle w:val="21"/>
        <w:spacing w:line="360" w:lineRule="exact"/>
        <w:ind w:firstLine="0"/>
        <w:jc w:val="left"/>
        <w:rPr>
          <w:rFonts w:hAnsi="宋体"/>
          <w:color w:val="auto"/>
          <w:spacing w:val="6"/>
          <w:sz w:val="21"/>
          <w:szCs w:val="21"/>
          <w:highlight w:val="none"/>
        </w:rPr>
      </w:pPr>
      <w:r>
        <w:rPr>
          <w:rFonts w:hint="eastAsia" w:hAnsi="宋体"/>
          <w:color w:val="auto"/>
          <w:sz w:val="21"/>
          <w:szCs w:val="21"/>
          <w:highlight w:val="none"/>
        </w:rPr>
        <w:t>日  期：</w:t>
      </w:r>
    </w:p>
    <w:p>
      <w:pPr>
        <w:snapToGrid w:val="0"/>
        <w:spacing w:before="50" w:after="156" w:afterLines="50"/>
        <w:jc w:val="left"/>
        <w:rPr>
          <w:rFonts w:ascii="宋体" w:hAnsi="宋体" w:cs="宋体"/>
          <w:color w:val="auto"/>
          <w:highlight w:val="none"/>
        </w:rPr>
      </w:pPr>
    </w:p>
    <w:p>
      <w:pPr>
        <w:spacing w:line="360" w:lineRule="auto"/>
        <w:rPr>
          <w:rFonts w:ascii="宋体" w:hAnsi="宋体" w:cs="宋体"/>
          <w:b/>
          <w:bCs/>
          <w:color w:val="auto"/>
          <w:highlight w:val="none"/>
        </w:rPr>
      </w:pPr>
      <w:r>
        <w:rPr>
          <w:rFonts w:hint="eastAsia" w:ascii="宋体" w:hAnsi="宋体" w:cs="宋体"/>
          <w:b/>
          <w:bCs/>
          <w:color w:val="auto"/>
          <w:highlight w:val="none"/>
        </w:rPr>
        <w:t>注：联合体投标的，可只由联合体牵头人盖章。</w:t>
      </w:r>
    </w:p>
    <w:p>
      <w:pPr>
        <w:pStyle w:val="57"/>
        <w:rPr>
          <w:rFonts w:cs="宋体"/>
          <w:b/>
          <w:bCs/>
          <w:color w:val="auto"/>
          <w:highlight w:val="none"/>
        </w:rPr>
      </w:pPr>
    </w:p>
    <w:p>
      <w:pPr>
        <w:pStyle w:val="57"/>
        <w:rPr>
          <w:rFonts w:cs="宋体"/>
          <w:b/>
          <w:bCs/>
          <w:color w:val="auto"/>
          <w:highlight w:val="none"/>
        </w:rPr>
      </w:pPr>
    </w:p>
    <w:p>
      <w:pPr>
        <w:pStyle w:val="57"/>
        <w:ind w:firstLine="0"/>
        <w:rPr>
          <w:rFonts w:cs="宋体"/>
          <w:b/>
          <w:bCs/>
          <w:color w:val="auto"/>
          <w:highlight w:val="none"/>
        </w:rPr>
      </w:pP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rPr>
        <w:t>(5)技术需求中要求提供的证明资料（加盖公章）；</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rPr>
        <w:t>(6)供货方案；</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rPr>
        <w:t>(7)安装与验收方案；</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rPr>
        <w:t>(8)售后服务；</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rPr>
        <w:t>(9)培训方案；</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rPr>
        <w:t>(10)维修成本方案；</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11</w:t>
      </w:r>
      <w:r>
        <w:rPr>
          <w:rFonts w:hint="eastAsia" w:ascii="宋体" w:hAnsi="宋体" w:cs="宋体"/>
          <w:color w:val="auto"/>
          <w:highlight w:val="none"/>
          <w:lang w:eastAsia="zh-CN"/>
        </w:rPr>
        <w:t>）</w:t>
      </w:r>
      <w:r>
        <w:rPr>
          <w:rFonts w:hint="eastAsia" w:ascii="宋体" w:hAnsi="宋体" w:cs="宋体"/>
          <w:color w:val="auto"/>
          <w:highlight w:val="none"/>
          <w:lang w:val="en-US" w:eastAsia="zh-CN"/>
        </w:rPr>
        <w:t>质保期承诺</w:t>
      </w:r>
      <w:r>
        <w:rPr>
          <w:rFonts w:hint="eastAsia" w:ascii="宋体" w:hAnsi="宋体" w:cs="宋体"/>
          <w:color w:val="auto"/>
          <w:highlight w:val="none"/>
        </w:rPr>
        <w:t>（加盖公章）；</w:t>
      </w:r>
    </w:p>
    <w:p>
      <w:pPr>
        <w:snapToGrid w:val="0"/>
        <w:spacing w:after="156" w:afterLines="50" w:line="360" w:lineRule="auto"/>
        <w:jc w:val="left"/>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12</w:t>
      </w:r>
      <w:r>
        <w:rPr>
          <w:rFonts w:hint="eastAsia" w:ascii="宋体" w:hAnsi="宋体" w:cs="宋体"/>
          <w:color w:val="auto"/>
          <w:highlight w:val="none"/>
          <w:lang w:eastAsia="zh-CN"/>
        </w:rPr>
        <w:t>）</w:t>
      </w:r>
      <w:r>
        <w:rPr>
          <w:rFonts w:hint="eastAsia" w:ascii="宋体" w:hAnsi="宋体" w:cs="宋体"/>
          <w:color w:val="auto"/>
          <w:highlight w:val="none"/>
        </w:rPr>
        <w:t>投标人所投产品的节能环保产品认证证书复印件及所投产品属于“节能产品政府采购清单”中所列产品的相关证明资料或截图（如有请提供，加盖公章）；</w:t>
      </w:r>
    </w:p>
    <w:p>
      <w:pPr>
        <w:snapToGrid w:val="0"/>
        <w:spacing w:after="156" w:afterLines="50" w:line="360" w:lineRule="auto"/>
        <w:jc w:val="left"/>
        <w:rPr>
          <w:rFonts w:ascii="宋体" w:hAnsi="宋体" w:cs="宋体"/>
          <w:b/>
          <w:bCs/>
          <w:color w:val="auto"/>
          <w:highlight w:val="none"/>
        </w:rPr>
        <w:sectPr>
          <w:headerReference r:id="rId7" w:type="default"/>
          <w:footerReference r:id="rId8" w:type="default"/>
          <w:pgSz w:w="11906" w:h="16838"/>
          <w:pgMar w:top="1474" w:right="1797" w:bottom="1247" w:left="1797" w:header="851" w:footer="851" w:gutter="0"/>
          <w:cols w:space="720" w:num="1"/>
          <w:docGrid w:type="lines" w:linePitch="312" w:charSpace="0"/>
        </w:sectPr>
      </w:pPr>
    </w:p>
    <w:p>
      <w:pPr>
        <w:snapToGrid w:val="0"/>
        <w:spacing w:after="156" w:afterLines="50" w:line="360" w:lineRule="auto"/>
        <w:jc w:val="left"/>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3</w:t>
      </w:r>
      <w:r>
        <w:rPr>
          <w:rFonts w:hint="eastAsia" w:ascii="宋体" w:hAnsi="宋体" w:cs="宋体"/>
          <w:color w:val="auto"/>
          <w:highlight w:val="none"/>
        </w:rPr>
        <w:t>）业绩一览表</w:t>
      </w:r>
    </w:p>
    <w:p>
      <w:pPr>
        <w:snapToGrid w:val="0"/>
        <w:spacing w:after="156" w:afterLines="50" w:line="360" w:lineRule="auto"/>
        <w:jc w:val="center"/>
        <w:rPr>
          <w:rFonts w:ascii="宋体" w:hAnsi="宋体" w:cs="宋体"/>
          <w:b/>
          <w:bCs/>
          <w:color w:val="auto"/>
          <w:highlight w:val="none"/>
        </w:rPr>
      </w:pPr>
      <w:r>
        <w:rPr>
          <w:rFonts w:hint="eastAsia" w:ascii="宋体" w:hAnsi="宋体" w:cs="宋体"/>
          <w:b/>
          <w:bCs/>
          <w:color w:val="auto"/>
          <w:highlight w:val="none"/>
        </w:rPr>
        <w:t>业绩一览表</w:t>
      </w:r>
    </w:p>
    <w:p>
      <w:pPr>
        <w:pStyle w:val="38"/>
        <w:snapToGrid w:val="0"/>
        <w:spacing w:line="360" w:lineRule="auto"/>
        <w:ind w:left="420" w:hanging="420"/>
        <w:rPr>
          <w:rFonts w:ascii="宋体" w:hAnsi="宋体" w:cs="宋体"/>
          <w:color w:val="auto"/>
          <w:sz w:val="21"/>
          <w:highlight w:val="none"/>
        </w:rPr>
      </w:pPr>
      <w:r>
        <w:rPr>
          <w:rFonts w:hint="eastAsia" w:ascii="宋体" w:hAnsi="宋体" w:cs="宋体"/>
          <w:color w:val="auto"/>
          <w:sz w:val="21"/>
          <w:highlight w:val="none"/>
        </w:rPr>
        <w:t>（投标人同类项目合同复印件）</w:t>
      </w:r>
    </w:p>
    <w:tbl>
      <w:tblPr>
        <w:tblStyle w:val="48"/>
        <w:tblW w:w="146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2160"/>
        <w:gridCol w:w="2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采购人名称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数量（套）</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合同</w:t>
            </w:r>
          </w:p>
          <w:p>
            <w:pPr>
              <w:snapToGrid w:val="0"/>
              <w:spacing w:line="400" w:lineRule="exact"/>
              <w:jc w:val="center"/>
              <w:rPr>
                <w:rFonts w:ascii="宋体" w:hAnsi="宋体" w:cs="宋体"/>
                <w:color w:val="auto"/>
                <w:highlight w:val="none"/>
              </w:rPr>
            </w:pPr>
            <w:r>
              <w:rPr>
                <w:rFonts w:hint="eastAsia" w:ascii="宋体" w:hAnsi="宋体" w:cs="宋体"/>
                <w:color w:val="auto"/>
                <w:highlight w:val="none"/>
              </w:rPr>
              <w:t>金额</w:t>
            </w:r>
          </w:p>
          <w:p>
            <w:pPr>
              <w:snapToGrid w:val="0"/>
              <w:spacing w:line="400" w:lineRule="exact"/>
              <w:jc w:val="center"/>
              <w:rPr>
                <w:rFonts w:ascii="宋体" w:hAnsi="宋体" w:cs="宋体"/>
                <w:color w:val="auto"/>
                <w:highlight w:val="none"/>
              </w:rPr>
            </w:pPr>
            <w:r>
              <w:rPr>
                <w:rFonts w:hint="eastAsia" w:ascii="宋体" w:hAnsi="宋体" w:cs="宋体"/>
                <w:color w:val="auto"/>
                <w:highlight w:val="none"/>
              </w:rPr>
              <w:t>（万元）</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附件页码</w:t>
            </w:r>
          </w:p>
        </w:tc>
        <w:tc>
          <w:tcPr>
            <w:tcW w:w="280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采购人联系人及</w:t>
            </w:r>
          </w:p>
          <w:p>
            <w:pPr>
              <w:snapToGrid w:val="0"/>
              <w:spacing w:line="400" w:lineRule="exact"/>
              <w:jc w:val="center"/>
              <w:rPr>
                <w:rFonts w:ascii="宋体" w:hAnsi="宋体" w:cs="宋体"/>
                <w:color w:val="auto"/>
                <w:highlight w:val="none"/>
              </w:rPr>
            </w:pPr>
            <w:r>
              <w:rPr>
                <w:rFonts w:hint="eastAsia" w:ascii="宋体" w:hAnsi="宋体" w:cs="宋体"/>
                <w:color w:val="auto"/>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color w:val="auto"/>
                <w:highlight w:val="none"/>
              </w:rPr>
              <w:t>合同</w:t>
            </w:r>
          </w:p>
        </w:tc>
        <w:tc>
          <w:tcPr>
            <w:tcW w:w="28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80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80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80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80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bl>
    <w:p>
      <w:pPr>
        <w:pStyle w:val="17"/>
        <w:snapToGrid w:val="0"/>
        <w:rPr>
          <w:rFonts w:ascii="宋体" w:hAnsi="宋体" w:eastAsia="宋体" w:cs="宋体"/>
          <w:color w:val="auto"/>
          <w:sz w:val="21"/>
          <w:szCs w:val="21"/>
          <w:highlight w:val="none"/>
        </w:rPr>
      </w:pPr>
    </w:p>
    <w:p>
      <w:pPr>
        <w:pStyle w:val="26"/>
        <w:tabs>
          <w:tab w:val="left" w:pos="2472"/>
        </w:tabs>
        <w:snapToGrid w:val="0"/>
        <w:spacing w:beforeLines="0" w:afterLines="0" w:line="360" w:lineRule="auto"/>
        <w:jc w:val="left"/>
        <w:rPr>
          <w:rFonts w:hAnsi="宋体"/>
          <w:color w:val="auto"/>
          <w:sz w:val="21"/>
          <w:highlight w:val="none"/>
        </w:rPr>
      </w:pPr>
      <w:r>
        <w:rPr>
          <w:rFonts w:hint="eastAsia" w:hAnsi="宋体"/>
          <w:color w:val="auto"/>
          <w:sz w:val="21"/>
          <w:highlight w:val="none"/>
        </w:rPr>
        <w:t xml:space="preserve">投标人名称(公章):___________________           </w:t>
      </w:r>
    </w:p>
    <w:p>
      <w:pPr>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pacing w:line="360" w:lineRule="auto"/>
        <w:rPr>
          <w:rFonts w:ascii="宋体" w:hAnsi="宋体" w:cs="宋体"/>
          <w:color w:val="auto"/>
          <w:highlight w:val="none"/>
        </w:rPr>
      </w:pPr>
    </w:p>
    <w:p>
      <w:pPr>
        <w:tabs>
          <w:tab w:val="left" w:pos="420"/>
        </w:tabs>
        <w:spacing w:line="360" w:lineRule="auto"/>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4</w:t>
      </w:r>
      <w:r>
        <w:rPr>
          <w:rFonts w:hint="eastAsia" w:ascii="宋体" w:hAnsi="宋体" w:cs="宋体"/>
          <w:color w:val="auto"/>
          <w:highlight w:val="none"/>
        </w:rPr>
        <w:t>)其他采购需求或评分标准所需资料。</w:t>
      </w:r>
    </w:p>
    <w:p>
      <w:pPr>
        <w:snapToGrid w:val="0"/>
        <w:spacing w:before="50" w:line="360" w:lineRule="auto"/>
        <w:jc w:val="left"/>
        <w:rPr>
          <w:rFonts w:ascii="宋体" w:hAnsi="宋体" w:cs="宋体"/>
          <w:color w:val="auto"/>
          <w:highlight w:val="none"/>
        </w:rPr>
      </w:pPr>
    </w:p>
    <w:sectPr>
      <w:pgSz w:w="16838" w:h="11906" w:orient="landscape"/>
      <w:pgMar w:top="1797" w:right="1474" w:bottom="1797" w:left="124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Thorndale">
    <w:altName w:val="Segoe Print"/>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32"/>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I1tk5TTAQAApAMAAA4AAAAAAAAAAQAgAAAAHwEA&#10;AGRycy9lMm9Eb2MueG1sUEsFBgAAAAAGAAYAWQEAAGQFAAAAAA==&#10;">
              <v:fill on="f" focussize="0,0"/>
              <v:stroke on="f"/>
              <v:imagedata o:title=""/>
              <o:lock v:ext="edit" aspectratio="f"/>
              <v:textbox inset="0mm,0mm,0mm,0mm" style="mso-fit-shape-to-text:t;">
                <w:txbxContent>
                  <w:p>
                    <w:pPr>
                      <w:pStyle w:val="32"/>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3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892576"/>
    </w:sdtPr>
    <w:sdtContent>
      <w:p>
        <w:pPr>
          <w:pStyle w:val="32"/>
          <w:jc w:val="center"/>
        </w:pPr>
        <w:r>
          <w:fldChar w:fldCharType="begin"/>
        </w:r>
        <w:r>
          <w:instrText xml:space="preserve">PAGE   \* MERGEFORMAT</w:instrText>
        </w:r>
        <w:r>
          <w:fldChar w:fldCharType="separate"/>
        </w:r>
        <w:r>
          <w:rPr>
            <w:lang w:val="zh-CN"/>
          </w:rPr>
          <w:t>47</w:t>
        </w:r>
        <w:r>
          <w:rPr>
            <w:lang w:val="zh-CN"/>
          </w:rPr>
          <w:fldChar w:fldCharType="end"/>
        </w:r>
      </w:p>
    </w:sdtContent>
  </w:sdt>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a:noFill/>
                      </a:ln>
                      <a:effectLst/>
                    </wps:spPr>
                    <wps:txbx>
                      <w:txbxContent>
                        <w:p>
                          <w:pPr>
                            <w:snapToGrid w:val="0"/>
                            <w:rPr>
                              <w:sz w:val="18"/>
                              <w:szCs w:val="18"/>
                            </w:rPr>
                          </w:pPr>
                          <w:r>
                            <w:fldChar w:fldCharType="begin"/>
                          </w:r>
                          <w:r>
                            <w:instrText xml:space="preserve"> PAGE  \* MERGEFORMAT </w:instrText>
                          </w:r>
                          <w:r>
                            <w:fldChar w:fldCharType="separate"/>
                          </w:r>
                          <w:r>
                            <w:rPr>
                              <w:sz w:val="18"/>
                              <w:szCs w:val="18"/>
                            </w:rPr>
                            <w:t>46</w:t>
                          </w:r>
                          <w:r>
                            <w:rPr>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top:-13.4pt;height:23.75pt;width:16.55pt;mso-position-horizontal:center;mso-position-horizontal-relative:margin;z-index:251660288;mso-width-relative:page;mso-height-relative:page;" filled="f" stroked="f" coordsize="21600,21600" o:gfxdata="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X01C1gAAAAYBAAAPAAAAAAAAAAEAIAAAACIAAABkcnMvZG93bnJldi54bWxQSwEC&#10;FAAUAAAACACHTuJANTcWu70BAAB/AwAADgAAAAAAAAABACAAAAAlAQAAZHJzL2Uyb0RvYy54bWxQ&#10;SwUGAAAAAAYABgBZAQAAVAU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46</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32"/>
                            <w:rPr>
                              <w:rStyle w:val="52"/>
                              <w:rFonts w:cs="Times New Roman"/>
                            </w:rPr>
                          </w:pPr>
                          <w:r>
                            <w:rPr>
                              <w:rStyle w:val="52"/>
                            </w:rPr>
                            <w:fldChar w:fldCharType="begin"/>
                          </w:r>
                          <w:r>
                            <w:rPr>
                              <w:rStyle w:val="52"/>
                            </w:rPr>
                            <w:instrText xml:space="preserve">PAGE  </w:instrText>
                          </w:r>
                          <w:r>
                            <w:rPr>
                              <w:rStyle w:val="52"/>
                            </w:rPr>
                            <w:fldChar w:fldCharType="separate"/>
                          </w:r>
                          <w:r>
                            <w:rPr>
                              <w:rStyle w:val="52"/>
                            </w:rPr>
                            <w:t>57</w:t>
                          </w:r>
                          <w:r>
                            <w:rPr>
                              <w:rStyle w:val="5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GSup9DTAQAApQMAAA4AAAAAAAAAAQAgAAAAHwEA&#10;AGRycy9lMm9Eb2MueG1sUEsFBgAAAAAGAAYAWQEAAGQFAAAAAA==&#10;">
              <v:fill on="f" focussize="0,0"/>
              <v:stroke on="f"/>
              <v:imagedata o:title=""/>
              <o:lock v:ext="edit" aspectratio="f"/>
              <v:textbox inset="0mm,0mm,0mm,0mm" style="mso-fit-shape-to-text:t;">
                <w:txbxContent>
                  <w:p>
                    <w:pPr>
                      <w:pStyle w:val="32"/>
                      <w:rPr>
                        <w:rStyle w:val="52"/>
                        <w:rFonts w:cs="Times New Roman"/>
                      </w:rPr>
                    </w:pPr>
                    <w:r>
                      <w:rPr>
                        <w:rStyle w:val="52"/>
                      </w:rPr>
                      <w:fldChar w:fldCharType="begin"/>
                    </w:r>
                    <w:r>
                      <w:rPr>
                        <w:rStyle w:val="52"/>
                      </w:rPr>
                      <w:instrText xml:space="preserve">PAGE  </w:instrText>
                    </w:r>
                    <w:r>
                      <w:rPr>
                        <w:rStyle w:val="52"/>
                      </w:rPr>
                      <w:fldChar w:fldCharType="separate"/>
                    </w:r>
                    <w:r>
                      <w:rPr>
                        <w:rStyle w:val="52"/>
                      </w:rPr>
                      <w:t>57</w:t>
                    </w:r>
                    <w:r>
                      <w:rPr>
                        <w:rStyle w:val="5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D94C6"/>
    <w:multiLevelType w:val="singleLevel"/>
    <w:tmpl w:val="9A8D94C6"/>
    <w:lvl w:ilvl="0" w:tentative="0">
      <w:start w:val="1"/>
      <w:numFmt w:val="decimal"/>
      <w:lvlText w:val="(%1)"/>
      <w:lvlJc w:val="left"/>
      <w:pPr>
        <w:tabs>
          <w:tab w:val="left" w:pos="840"/>
        </w:tabs>
        <w:ind w:left="845" w:hanging="425"/>
      </w:pPr>
      <w:rPr>
        <w:rFonts w:hint="default"/>
      </w:rPr>
    </w:lvl>
  </w:abstractNum>
  <w:abstractNum w:abstractNumId="1">
    <w:nsid w:val="9B433D0B"/>
    <w:multiLevelType w:val="singleLevel"/>
    <w:tmpl w:val="9B433D0B"/>
    <w:lvl w:ilvl="0" w:tentative="0">
      <w:start w:val="4"/>
      <w:numFmt w:val="decimal"/>
      <w:lvlText w:val="(%1)"/>
      <w:lvlJc w:val="left"/>
      <w:pPr>
        <w:tabs>
          <w:tab w:val="left" w:pos="0"/>
        </w:tabs>
        <w:ind w:left="5" w:hanging="425"/>
      </w:pPr>
      <w:rPr>
        <w:rFonts w:hint="default"/>
      </w:rPr>
    </w:lvl>
  </w:abstractNum>
  <w:abstractNum w:abstractNumId="2">
    <w:nsid w:val="A0400E02"/>
    <w:multiLevelType w:val="singleLevel"/>
    <w:tmpl w:val="A0400E02"/>
    <w:lvl w:ilvl="0" w:tentative="0">
      <w:start w:val="3"/>
      <w:numFmt w:val="decimal"/>
      <w:lvlText w:val="(%1)"/>
      <w:lvlJc w:val="left"/>
      <w:pPr>
        <w:tabs>
          <w:tab w:val="left" w:pos="840"/>
        </w:tabs>
        <w:ind w:left="845" w:hanging="425"/>
      </w:pPr>
      <w:rPr>
        <w:rFonts w:hint="default"/>
      </w:rPr>
    </w:lvl>
  </w:abstractNum>
  <w:abstractNum w:abstractNumId="3">
    <w:nsid w:val="A3E5DC1E"/>
    <w:multiLevelType w:val="singleLevel"/>
    <w:tmpl w:val="A3E5DC1E"/>
    <w:lvl w:ilvl="0" w:tentative="0">
      <w:start w:val="1"/>
      <w:numFmt w:val="chineseCounting"/>
      <w:suff w:val="nothing"/>
      <w:lvlText w:val="%1、"/>
      <w:lvlJc w:val="left"/>
      <w:rPr>
        <w:rFonts w:hint="eastAsia" w:ascii="宋体" w:hAnsi="宋体" w:eastAsia="宋体" w:cs="宋体"/>
        <w:b/>
        <w:bCs/>
      </w:rPr>
    </w:lvl>
  </w:abstractNum>
  <w:abstractNum w:abstractNumId="4">
    <w:nsid w:val="D06125BE"/>
    <w:multiLevelType w:val="singleLevel"/>
    <w:tmpl w:val="D06125BE"/>
    <w:lvl w:ilvl="0" w:tentative="0">
      <w:start w:val="1"/>
      <w:numFmt w:val="decimal"/>
      <w:lvlText w:val="(%1)"/>
      <w:lvlJc w:val="left"/>
      <w:pPr>
        <w:ind w:left="851" w:hanging="425"/>
      </w:pPr>
      <w:rPr>
        <w:rFonts w:hint="default"/>
      </w:rPr>
    </w:lvl>
  </w:abstractNum>
  <w:abstractNum w:abstractNumId="5">
    <w:nsid w:val="FFFFFF7E"/>
    <w:multiLevelType w:val="singleLevel"/>
    <w:tmpl w:val="FFFFFF7E"/>
    <w:lvl w:ilvl="0" w:tentative="0">
      <w:start w:val="1"/>
      <w:numFmt w:val="decimal"/>
      <w:lvlText w:val="%1."/>
      <w:lvlJc w:val="left"/>
      <w:pPr>
        <w:tabs>
          <w:tab w:val="left" w:pos="1200"/>
        </w:tabs>
        <w:ind w:left="1200" w:hanging="360"/>
      </w:pPr>
    </w:lvl>
  </w:abstractNum>
  <w:abstractNum w:abstractNumId="6">
    <w:nsid w:val="00000003"/>
    <w:multiLevelType w:val="multilevel"/>
    <w:tmpl w:val="00000003"/>
    <w:lvl w:ilvl="0" w:tentative="0">
      <w:start w:val="2"/>
      <w:numFmt w:val="decimal"/>
      <w:suff w:val="nothing"/>
      <w:lvlText w:val="（%1）"/>
      <w:lvlJc w:val="left"/>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7">
    <w:nsid w:val="00000005"/>
    <w:multiLevelType w:val="multilevel"/>
    <w:tmpl w:val="00000005"/>
    <w:lvl w:ilvl="0" w:tentative="0">
      <w:start w:val="1"/>
      <w:numFmt w:val="japaneseCounting"/>
      <w:pStyle w:val="58"/>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9"/>
      <w:lvlText w:val="%5)"/>
      <w:lvlJc w:val="left"/>
      <w:pPr>
        <w:tabs>
          <w:tab w:val="left" w:pos="2100"/>
        </w:tabs>
        <w:ind w:left="2100" w:hanging="420"/>
      </w:pPr>
    </w:lvl>
    <w:lvl w:ilvl="5" w:tentative="0">
      <w:start w:val="1"/>
      <w:numFmt w:val="lowerRoman"/>
      <w:pStyle w:val="11"/>
      <w:lvlText w:val="%6."/>
      <w:lvlJc w:val="right"/>
      <w:pPr>
        <w:tabs>
          <w:tab w:val="left" w:pos="2520"/>
        </w:tabs>
        <w:ind w:left="2520" w:hanging="420"/>
      </w:pPr>
    </w:lvl>
    <w:lvl w:ilvl="6" w:tentative="0">
      <w:start w:val="1"/>
      <w:numFmt w:val="decimal"/>
      <w:pStyle w:val="12"/>
      <w:lvlText w:val="%7."/>
      <w:lvlJc w:val="left"/>
      <w:pPr>
        <w:tabs>
          <w:tab w:val="left" w:pos="2940"/>
        </w:tabs>
        <w:ind w:left="2940" w:hanging="420"/>
      </w:pPr>
    </w:lvl>
    <w:lvl w:ilvl="7" w:tentative="0">
      <w:start w:val="1"/>
      <w:numFmt w:val="lowerLetter"/>
      <w:pStyle w:val="13"/>
      <w:lvlText w:val="%8)"/>
      <w:lvlJc w:val="left"/>
      <w:pPr>
        <w:tabs>
          <w:tab w:val="left" w:pos="3360"/>
        </w:tabs>
        <w:ind w:left="3360" w:hanging="420"/>
      </w:pPr>
    </w:lvl>
    <w:lvl w:ilvl="8" w:tentative="0">
      <w:start w:val="1"/>
      <w:numFmt w:val="lowerRoman"/>
      <w:pStyle w:val="14"/>
      <w:lvlText w:val="%9."/>
      <w:lvlJc w:val="right"/>
      <w:pPr>
        <w:tabs>
          <w:tab w:val="left" w:pos="3780"/>
        </w:tabs>
        <w:ind w:left="3780" w:hanging="420"/>
      </w:pPr>
    </w:lvl>
  </w:abstractNum>
  <w:abstractNum w:abstractNumId="8">
    <w:nsid w:val="00000007"/>
    <w:multiLevelType w:val="singleLevel"/>
    <w:tmpl w:val="00000007"/>
    <w:lvl w:ilvl="0" w:tentative="0">
      <w:start w:val="1"/>
      <w:numFmt w:val="chineseCounting"/>
      <w:pStyle w:val="326"/>
      <w:suff w:val="nothing"/>
      <w:lvlText w:val="%1、"/>
      <w:lvlJc w:val="left"/>
    </w:lvl>
  </w:abstractNum>
  <w:abstractNum w:abstractNumId="9">
    <w:nsid w:val="0000000C"/>
    <w:multiLevelType w:val="singleLevel"/>
    <w:tmpl w:val="0000000C"/>
    <w:lvl w:ilvl="0" w:tentative="0">
      <w:start w:val="11"/>
      <w:numFmt w:val="decimal"/>
      <w:suff w:val="nothing"/>
      <w:lvlText w:val="%1."/>
      <w:lvlJc w:val="left"/>
    </w:lvl>
  </w:abstractNum>
  <w:abstractNum w:abstractNumId="10">
    <w:nsid w:val="0000000D"/>
    <w:multiLevelType w:val="singleLevel"/>
    <w:tmpl w:val="0000000D"/>
    <w:lvl w:ilvl="0" w:tentative="0">
      <w:start w:val="1"/>
      <w:numFmt w:val="decimal"/>
      <w:lvlText w:val="%1."/>
      <w:lvlJc w:val="left"/>
      <w:pPr>
        <w:tabs>
          <w:tab w:val="left" w:pos="1200"/>
        </w:tabs>
        <w:ind w:left="1200" w:hanging="360"/>
      </w:pPr>
    </w:lvl>
  </w:abstractNum>
  <w:abstractNum w:abstractNumId="11">
    <w:nsid w:val="00000015"/>
    <w:multiLevelType w:val="singleLevel"/>
    <w:tmpl w:val="00000015"/>
    <w:lvl w:ilvl="0" w:tentative="0">
      <w:start w:val="2"/>
      <w:numFmt w:val="decimal"/>
      <w:suff w:val="nothing"/>
      <w:lvlText w:val="%1、"/>
      <w:lvlJc w:val="left"/>
    </w:lvl>
  </w:abstractNum>
  <w:abstractNum w:abstractNumId="12">
    <w:nsid w:val="0000001F"/>
    <w:multiLevelType w:val="multilevel"/>
    <w:tmpl w:val="0000001F"/>
    <w:lvl w:ilvl="0" w:tentative="0">
      <w:start w:val="1"/>
      <w:numFmt w:val="decimal"/>
      <w:pStyle w:val="155"/>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485011F"/>
    <w:multiLevelType w:val="singleLevel"/>
    <w:tmpl w:val="0485011F"/>
    <w:lvl w:ilvl="0" w:tentative="0">
      <w:start w:val="1"/>
      <w:numFmt w:val="decimal"/>
      <w:lvlText w:val="(%1)"/>
      <w:lvlJc w:val="left"/>
      <w:pPr>
        <w:ind w:left="851" w:hanging="425"/>
      </w:pPr>
      <w:rPr>
        <w:rFonts w:hint="default"/>
      </w:rPr>
    </w:lvl>
  </w:abstractNum>
  <w:abstractNum w:abstractNumId="14">
    <w:nsid w:val="0BAE18B7"/>
    <w:multiLevelType w:val="singleLevel"/>
    <w:tmpl w:val="0BAE18B7"/>
    <w:lvl w:ilvl="0" w:tentative="0">
      <w:start w:val="1"/>
      <w:numFmt w:val="decimal"/>
      <w:lvlText w:val="%1."/>
      <w:lvlJc w:val="left"/>
      <w:pPr>
        <w:tabs>
          <w:tab w:val="left" w:pos="312"/>
        </w:tabs>
      </w:pPr>
    </w:lvl>
  </w:abstractNum>
  <w:abstractNum w:abstractNumId="15">
    <w:nsid w:val="0E5A4BA2"/>
    <w:multiLevelType w:val="multilevel"/>
    <w:tmpl w:val="0E5A4BA2"/>
    <w:lvl w:ilvl="0" w:tentative="0">
      <w:start w:val="1"/>
      <w:numFmt w:val="chineseCountingThousand"/>
      <w:pStyle w:val="149"/>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56"/>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6">
    <w:nsid w:val="113ACB04"/>
    <w:multiLevelType w:val="singleLevel"/>
    <w:tmpl w:val="113ACB04"/>
    <w:lvl w:ilvl="0" w:tentative="0">
      <w:start w:val="3"/>
      <w:numFmt w:val="chineseCounting"/>
      <w:suff w:val="space"/>
      <w:lvlText w:val="第%1章"/>
      <w:lvlJc w:val="left"/>
      <w:rPr>
        <w:rFonts w:hint="eastAsia"/>
      </w:rPr>
    </w:lvl>
  </w:abstractNum>
  <w:abstractNum w:abstractNumId="17">
    <w:nsid w:val="22926F30"/>
    <w:multiLevelType w:val="multilevel"/>
    <w:tmpl w:val="22926F30"/>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9D120CC"/>
    <w:multiLevelType w:val="singleLevel"/>
    <w:tmpl w:val="29D120CC"/>
    <w:lvl w:ilvl="0" w:tentative="0">
      <w:start w:val="1"/>
      <w:numFmt w:val="decimal"/>
      <w:suff w:val="nothing"/>
      <w:lvlText w:val="（%1）"/>
      <w:lvlJc w:val="left"/>
    </w:lvl>
  </w:abstractNum>
  <w:abstractNum w:abstractNumId="19">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237"/>
      <w:lvlText w:val=""/>
      <w:lvlJc w:val="left"/>
      <w:pPr>
        <w:tabs>
          <w:tab w:val="left" w:pos="760"/>
        </w:tabs>
        <w:ind w:left="1264" w:hanging="413"/>
      </w:pPr>
      <w:rPr>
        <w:rFonts w:hint="default" w:ascii="Symbol" w:hAnsi="Symbol" w:cs="Symbol"/>
        <w:color w:val="auto"/>
      </w:rPr>
    </w:lvl>
    <w:lvl w:ilvl="2" w:tentative="0">
      <w:start w:val="1"/>
      <w:numFmt w:val="bullet"/>
      <w:pStyle w:val="212"/>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0">
    <w:nsid w:val="49D5323B"/>
    <w:multiLevelType w:val="multilevel"/>
    <w:tmpl w:val="49D5323B"/>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67CFDD7"/>
    <w:multiLevelType w:val="singleLevel"/>
    <w:tmpl w:val="567CFDD7"/>
    <w:lvl w:ilvl="0" w:tentative="0">
      <w:start w:val="1"/>
      <w:numFmt w:val="decimal"/>
      <w:suff w:val="nothing"/>
      <w:lvlText w:val="%1、"/>
      <w:lvlJc w:val="left"/>
    </w:lvl>
  </w:abstractNum>
  <w:num w:numId="1">
    <w:abstractNumId w:val="7"/>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0"/>
  </w:num>
  <w:num w:numId="7">
    <w:abstractNumId w:val="8"/>
  </w:num>
  <w:num w:numId="8">
    <w:abstractNumId w:val="3"/>
  </w:num>
  <w:num w:numId="9">
    <w:abstractNumId w:val="16"/>
  </w:num>
  <w:num w:numId="10">
    <w:abstractNumId w:val="4"/>
  </w:num>
  <w:num w:numId="11">
    <w:abstractNumId w:val="13"/>
  </w:num>
  <w:num w:numId="12">
    <w:abstractNumId w:val="2"/>
  </w:num>
  <w:num w:numId="13">
    <w:abstractNumId w:val="1"/>
  </w:num>
  <w:num w:numId="14">
    <w:abstractNumId w:val="0"/>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1"/>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ì?????????¡ì?¡ì?"/>
    <w:docVar w:name="commondata" w:val="eyJoZGlkIjoiMTVhMWZiNDQyNjcyYjIyMjUwYzQ4YjMyNWVhODhmZTUifQ=="/>
    <w:docVar w:name="CurUserName" w:val="??¡ì??? ???¡ì??? 1???????¡ì?????¡ì????¡ì???H1h1Level 1 Topic HeadingH11H12H111H13H1... Char"/>
    <w:docVar w:name="DeleteMarces" w:val="?¡ì?????????¡ì?¡ì???~????b ?~??????¡§????"/>
    <w:docVar w:name="DocName" w:val="w:rsidR"/>
    <w:docVar w:name="OldInfo" w:val="??????"/>
  </w:docVars>
  <w:rsids>
    <w:rsidRoot w:val="00172A27"/>
    <w:rsid w:val="000049CD"/>
    <w:rsid w:val="00005E47"/>
    <w:rsid w:val="00010A2C"/>
    <w:rsid w:val="000112D8"/>
    <w:rsid w:val="00015B7B"/>
    <w:rsid w:val="00021FF7"/>
    <w:rsid w:val="000327A3"/>
    <w:rsid w:val="00033472"/>
    <w:rsid w:val="00033B44"/>
    <w:rsid w:val="000345C2"/>
    <w:rsid w:val="00035679"/>
    <w:rsid w:val="00035824"/>
    <w:rsid w:val="00036646"/>
    <w:rsid w:val="00037FFA"/>
    <w:rsid w:val="00041FDA"/>
    <w:rsid w:val="00042A8E"/>
    <w:rsid w:val="0004424B"/>
    <w:rsid w:val="00044EF2"/>
    <w:rsid w:val="000503C2"/>
    <w:rsid w:val="00053B09"/>
    <w:rsid w:val="00054378"/>
    <w:rsid w:val="0005668C"/>
    <w:rsid w:val="0006051B"/>
    <w:rsid w:val="0006108D"/>
    <w:rsid w:val="00062050"/>
    <w:rsid w:val="000621A1"/>
    <w:rsid w:val="00062805"/>
    <w:rsid w:val="00063BF3"/>
    <w:rsid w:val="00064033"/>
    <w:rsid w:val="00064120"/>
    <w:rsid w:val="00070469"/>
    <w:rsid w:val="0007142A"/>
    <w:rsid w:val="00071A95"/>
    <w:rsid w:val="00073020"/>
    <w:rsid w:val="000738F4"/>
    <w:rsid w:val="00073E34"/>
    <w:rsid w:val="00074256"/>
    <w:rsid w:val="000803DB"/>
    <w:rsid w:val="0008192E"/>
    <w:rsid w:val="0008431C"/>
    <w:rsid w:val="00090C82"/>
    <w:rsid w:val="00090EC1"/>
    <w:rsid w:val="00091F00"/>
    <w:rsid w:val="00093C91"/>
    <w:rsid w:val="00093EC1"/>
    <w:rsid w:val="0009525C"/>
    <w:rsid w:val="00097AD4"/>
    <w:rsid w:val="00097FF8"/>
    <w:rsid w:val="000A2C88"/>
    <w:rsid w:val="000A3785"/>
    <w:rsid w:val="000A555E"/>
    <w:rsid w:val="000A6393"/>
    <w:rsid w:val="000B00A3"/>
    <w:rsid w:val="000B08DA"/>
    <w:rsid w:val="000B23DC"/>
    <w:rsid w:val="000B26C8"/>
    <w:rsid w:val="000B3673"/>
    <w:rsid w:val="000B3C9B"/>
    <w:rsid w:val="000B4307"/>
    <w:rsid w:val="000B5AE1"/>
    <w:rsid w:val="000B6EA7"/>
    <w:rsid w:val="000C1383"/>
    <w:rsid w:val="000C1EE4"/>
    <w:rsid w:val="000C4B41"/>
    <w:rsid w:val="000C4FDD"/>
    <w:rsid w:val="000C516F"/>
    <w:rsid w:val="000C766B"/>
    <w:rsid w:val="000D018A"/>
    <w:rsid w:val="000D0500"/>
    <w:rsid w:val="000D0F41"/>
    <w:rsid w:val="000D1351"/>
    <w:rsid w:val="000D21D7"/>
    <w:rsid w:val="000D2B5A"/>
    <w:rsid w:val="000D5400"/>
    <w:rsid w:val="000D701E"/>
    <w:rsid w:val="000D796C"/>
    <w:rsid w:val="000E12B4"/>
    <w:rsid w:val="000E14B2"/>
    <w:rsid w:val="000E3059"/>
    <w:rsid w:val="000E3D93"/>
    <w:rsid w:val="000E677F"/>
    <w:rsid w:val="000E7418"/>
    <w:rsid w:val="000F2188"/>
    <w:rsid w:val="000F2D65"/>
    <w:rsid w:val="000F3F73"/>
    <w:rsid w:val="000F5421"/>
    <w:rsid w:val="000F5648"/>
    <w:rsid w:val="000F598A"/>
    <w:rsid w:val="000F7912"/>
    <w:rsid w:val="00100F91"/>
    <w:rsid w:val="001010CE"/>
    <w:rsid w:val="00101AE9"/>
    <w:rsid w:val="00102782"/>
    <w:rsid w:val="00103334"/>
    <w:rsid w:val="001055CA"/>
    <w:rsid w:val="001104E3"/>
    <w:rsid w:val="00112436"/>
    <w:rsid w:val="001136FC"/>
    <w:rsid w:val="001174E0"/>
    <w:rsid w:val="00120E07"/>
    <w:rsid w:val="00121864"/>
    <w:rsid w:val="001224BE"/>
    <w:rsid w:val="00130D10"/>
    <w:rsid w:val="00131C44"/>
    <w:rsid w:val="001341A1"/>
    <w:rsid w:val="0013519F"/>
    <w:rsid w:val="00135942"/>
    <w:rsid w:val="001360B5"/>
    <w:rsid w:val="00142C92"/>
    <w:rsid w:val="00144B53"/>
    <w:rsid w:val="00154D49"/>
    <w:rsid w:val="00154DD7"/>
    <w:rsid w:val="00155930"/>
    <w:rsid w:val="00155E94"/>
    <w:rsid w:val="00162296"/>
    <w:rsid w:val="00162B94"/>
    <w:rsid w:val="00162D88"/>
    <w:rsid w:val="0016378D"/>
    <w:rsid w:val="001642A1"/>
    <w:rsid w:val="0016583C"/>
    <w:rsid w:val="00166CD6"/>
    <w:rsid w:val="00167E56"/>
    <w:rsid w:val="0017073C"/>
    <w:rsid w:val="00170CAE"/>
    <w:rsid w:val="00171834"/>
    <w:rsid w:val="00172A27"/>
    <w:rsid w:val="00173BC1"/>
    <w:rsid w:val="00174294"/>
    <w:rsid w:val="0018099E"/>
    <w:rsid w:val="00182035"/>
    <w:rsid w:val="001830B3"/>
    <w:rsid w:val="001836DD"/>
    <w:rsid w:val="00183887"/>
    <w:rsid w:val="0018481A"/>
    <w:rsid w:val="00185343"/>
    <w:rsid w:val="0018621B"/>
    <w:rsid w:val="00187EC3"/>
    <w:rsid w:val="001921C8"/>
    <w:rsid w:val="0019386F"/>
    <w:rsid w:val="00197508"/>
    <w:rsid w:val="001A0A83"/>
    <w:rsid w:val="001A2A45"/>
    <w:rsid w:val="001A2B1C"/>
    <w:rsid w:val="001A5E8D"/>
    <w:rsid w:val="001A6884"/>
    <w:rsid w:val="001A7EA7"/>
    <w:rsid w:val="001B4BC4"/>
    <w:rsid w:val="001B619E"/>
    <w:rsid w:val="001B6B2C"/>
    <w:rsid w:val="001B6E44"/>
    <w:rsid w:val="001B794C"/>
    <w:rsid w:val="001B7A8D"/>
    <w:rsid w:val="001B7B8F"/>
    <w:rsid w:val="001C01BE"/>
    <w:rsid w:val="001C15EF"/>
    <w:rsid w:val="001C37C0"/>
    <w:rsid w:val="001C3834"/>
    <w:rsid w:val="001C4529"/>
    <w:rsid w:val="001C4D5A"/>
    <w:rsid w:val="001D135E"/>
    <w:rsid w:val="001D288E"/>
    <w:rsid w:val="001D3324"/>
    <w:rsid w:val="001D53BC"/>
    <w:rsid w:val="001D5C37"/>
    <w:rsid w:val="001D5E95"/>
    <w:rsid w:val="001D7D62"/>
    <w:rsid w:val="001E17C4"/>
    <w:rsid w:val="001E48B4"/>
    <w:rsid w:val="001E50D3"/>
    <w:rsid w:val="001E5FE6"/>
    <w:rsid w:val="001F2B28"/>
    <w:rsid w:val="001F3DBE"/>
    <w:rsid w:val="001F4201"/>
    <w:rsid w:val="001F6CB8"/>
    <w:rsid w:val="001F7F7E"/>
    <w:rsid w:val="0020163F"/>
    <w:rsid w:val="002031F7"/>
    <w:rsid w:val="00204FEE"/>
    <w:rsid w:val="002065DC"/>
    <w:rsid w:val="0020670E"/>
    <w:rsid w:val="00210618"/>
    <w:rsid w:val="00210718"/>
    <w:rsid w:val="00211417"/>
    <w:rsid w:val="00212D2D"/>
    <w:rsid w:val="0021304A"/>
    <w:rsid w:val="00213DD0"/>
    <w:rsid w:val="00215274"/>
    <w:rsid w:val="00215FB9"/>
    <w:rsid w:val="002200D7"/>
    <w:rsid w:val="0022194B"/>
    <w:rsid w:val="00222AD3"/>
    <w:rsid w:val="00224FDC"/>
    <w:rsid w:val="002253D6"/>
    <w:rsid w:val="00227059"/>
    <w:rsid w:val="00227649"/>
    <w:rsid w:val="00227C3B"/>
    <w:rsid w:val="002306E9"/>
    <w:rsid w:val="00231FCA"/>
    <w:rsid w:val="002328B4"/>
    <w:rsid w:val="00232C22"/>
    <w:rsid w:val="00233A62"/>
    <w:rsid w:val="00234C40"/>
    <w:rsid w:val="00240115"/>
    <w:rsid w:val="0024015A"/>
    <w:rsid w:val="00241BD1"/>
    <w:rsid w:val="00244384"/>
    <w:rsid w:val="00245CF3"/>
    <w:rsid w:val="002471B3"/>
    <w:rsid w:val="00250CBF"/>
    <w:rsid w:val="00251145"/>
    <w:rsid w:val="00261BDD"/>
    <w:rsid w:val="00262DCF"/>
    <w:rsid w:val="00262F39"/>
    <w:rsid w:val="00265F1F"/>
    <w:rsid w:val="00267A10"/>
    <w:rsid w:val="0027124A"/>
    <w:rsid w:val="00271804"/>
    <w:rsid w:val="0027610A"/>
    <w:rsid w:val="00280DE3"/>
    <w:rsid w:val="00281821"/>
    <w:rsid w:val="00282E0B"/>
    <w:rsid w:val="0028661E"/>
    <w:rsid w:val="00287653"/>
    <w:rsid w:val="00287F91"/>
    <w:rsid w:val="00290D16"/>
    <w:rsid w:val="0029114C"/>
    <w:rsid w:val="00292882"/>
    <w:rsid w:val="00293FF2"/>
    <w:rsid w:val="00294A12"/>
    <w:rsid w:val="00295B44"/>
    <w:rsid w:val="00297ED1"/>
    <w:rsid w:val="002A0823"/>
    <w:rsid w:val="002A154C"/>
    <w:rsid w:val="002A3F8E"/>
    <w:rsid w:val="002A56AF"/>
    <w:rsid w:val="002A636E"/>
    <w:rsid w:val="002B0CBD"/>
    <w:rsid w:val="002B2510"/>
    <w:rsid w:val="002B312E"/>
    <w:rsid w:val="002B4090"/>
    <w:rsid w:val="002B40ED"/>
    <w:rsid w:val="002B468D"/>
    <w:rsid w:val="002B6ED3"/>
    <w:rsid w:val="002C0D58"/>
    <w:rsid w:val="002C2F3E"/>
    <w:rsid w:val="002C303E"/>
    <w:rsid w:val="002C36B3"/>
    <w:rsid w:val="002C5FEB"/>
    <w:rsid w:val="002C78B6"/>
    <w:rsid w:val="002D0748"/>
    <w:rsid w:val="002D2B7C"/>
    <w:rsid w:val="002D7216"/>
    <w:rsid w:val="002D748D"/>
    <w:rsid w:val="002E104E"/>
    <w:rsid w:val="002E2061"/>
    <w:rsid w:val="002E254A"/>
    <w:rsid w:val="002E34E8"/>
    <w:rsid w:val="002E35A6"/>
    <w:rsid w:val="002E38EA"/>
    <w:rsid w:val="002E39B6"/>
    <w:rsid w:val="002F0249"/>
    <w:rsid w:val="002F0DE5"/>
    <w:rsid w:val="002F63AA"/>
    <w:rsid w:val="002F7F5F"/>
    <w:rsid w:val="00302676"/>
    <w:rsid w:val="0030365B"/>
    <w:rsid w:val="00303F39"/>
    <w:rsid w:val="00305438"/>
    <w:rsid w:val="0031042E"/>
    <w:rsid w:val="00311A5F"/>
    <w:rsid w:val="003152A5"/>
    <w:rsid w:val="00317C07"/>
    <w:rsid w:val="00323149"/>
    <w:rsid w:val="003271C6"/>
    <w:rsid w:val="00327B34"/>
    <w:rsid w:val="00327CFC"/>
    <w:rsid w:val="0033278E"/>
    <w:rsid w:val="003327E1"/>
    <w:rsid w:val="00333EC5"/>
    <w:rsid w:val="00334227"/>
    <w:rsid w:val="00340AA7"/>
    <w:rsid w:val="003424C4"/>
    <w:rsid w:val="00343D20"/>
    <w:rsid w:val="00345DC8"/>
    <w:rsid w:val="00346ED0"/>
    <w:rsid w:val="00346F6A"/>
    <w:rsid w:val="003471D1"/>
    <w:rsid w:val="0035047D"/>
    <w:rsid w:val="00350876"/>
    <w:rsid w:val="003521FA"/>
    <w:rsid w:val="0035337F"/>
    <w:rsid w:val="003541B4"/>
    <w:rsid w:val="003561AC"/>
    <w:rsid w:val="00357848"/>
    <w:rsid w:val="00357E25"/>
    <w:rsid w:val="003616A0"/>
    <w:rsid w:val="00362B7D"/>
    <w:rsid w:val="00362E1D"/>
    <w:rsid w:val="00363E3D"/>
    <w:rsid w:val="00366942"/>
    <w:rsid w:val="00370C44"/>
    <w:rsid w:val="00370C71"/>
    <w:rsid w:val="00373232"/>
    <w:rsid w:val="00373FB2"/>
    <w:rsid w:val="0037516C"/>
    <w:rsid w:val="0037723A"/>
    <w:rsid w:val="00380634"/>
    <w:rsid w:val="003816EE"/>
    <w:rsid w:val="0038208E"/>
    <w:rsid w:val="00385A22"/>
    <w:rsid w:val="003870C7"/>
    <w:rsid w:val="00392830"/>
    <w:rsid w:val="003950CB"/>
    <w:rsid w:val="00395D8E"/>
    <w:rsid w:val="00396D0C"/>
    <w:rsid w:val="003A1EBA"/>
    <w:rsid w:val="003A2A39"/>
    <w:rsid w:val="003A2C49"/>
    <w:rsid w:val="003A58B3"/>
    <w:rsid w:val="003A679A"/>
    <w:rsid w:val="003B1086"/>
    <w:rsid w:val="003B12C9"/>
    <w:rsid w:val="003B351D"/>
    <w:rsid w:val="003B50B9"/>
    <w:rsid w:val="003B62B2"/>
    <w:rsid w:val="003B70A7"/>
    <w:rsid w:val="003B7110"/>
    <w:rsid w:val="003B71DD"/>
    <w:rsid w:val="003C1A3A"/>
    <w:rsid w:val="003C28DE"/>
    <w:rsid w:val="003C2BB3"/>
    <w:rsid w:val="003C2D4A"/>
    <w:rsid w:val="003C3673"/>
    <w:rsid w:val="003D528C"/>
    <w:rsid w:val="003D7B39"/>
    <w:rsid w:val="003E05CB"/>
    <w:rsid w:val="003E1A91"/>
    <w:rsid w:val="003E32D8"/>
    <w:rsid w:val="003E40E5"/>
    <w:rsid w:val="003E4B56"/>
    <w:rsid w:val="003E7967"/>
    <w:rsid w:val="003F0520"/>
    <w:rsid w:val="003F1BBE"/>
    <w:rsid w:val="003F1EEC"/>
    <w:rsid w:val="003F22A7"/>
    <w:rsid w:val="003F53C0"/>
    <w:rsid w:val="003F6C47"/>
    <w:rsid w:val="0040027F"/>
    <w:rsid w:val="00401340"/>
    <w:rsid w:val="00403306"/>
    <w:rsid w:val="004035A2"/>
    <w:rsid w:val="00406297"/>
    <w:rsid w:val="004077F8"/>
    <w:rsid w:val="0041279A"/>
    <w:rsid w:val="0041294C"/>
    <w:rsid w:val="004139B9"/>
    <w:rsid w:val="0041687A"/>
    <w:rsid w:val="004208B5"/>
    <w:rsid w:val="0042154B"/>
    <w:rsid w:val="0042160A"/>
    <w:rsid w:val="00423EA6"/>
    <w:rsid w:val="00424540"/>
    <w:rsid w:val="00425785"/>
    <w:rsid w:val="004258E1"/>
    <w:rsid w:val="00427D09"/>
    <w:rsid w:val="00435A7F"/>
    <w:rsid w:val="00435BE5"/>
    <w:rsid w:val="00436197"/>
    <w:rsid w:val="00436E97"/>
    <w:rsid w:val="00437095"/>
    <w:rsid w:val="00440B7F"/>
    <w:rsid w:val="00440ED2"/>
    <w:rsid w:val="004413D3"/>
    <w:rsid w:val="0044147E"/>
    <w:rsid w:val="00442895"/>
    <w:rsid w:val="00443CED"/>
    <w:rsid w:val="004445F3"/>
    <w:rsid w:val="00444F94"/>
    <w:rsid w:val="004502D9"/>
    <w:rsid w:val="004522E9"/>
    <w:rsid w:val="004551DA"/>
    <w:rsid w:val="00455863"/>
    <w:rsid w:val="00457AE2"/>
    <w:rsid w:val="00461481"/>
    <w:rsid w:val="00462285"/>
    <w:rsid w:val="00462550"/>
    <w:rsid w:val="004636EC"/>
    <w:rsid w:val="004661B9"/>
    <w:rsid w:val="00466AAA"/>
    <w:rsid w:val="0047442F"/>
    <w:rsid w:val="0047495F"/>
    <w:rsid w:val="00477D19"/>
    <w:rsid w:val="004809E5"/>
    <w:rsid w:val="00486554"/>
    <w:rsid w:val="0048771D"/>
    <w:rsid w:val="004905DD"/>
    <w:rsid w:val="00490B57"/>
    <w:rsid w:val="00490D43"/>
    <w:rsid w:val="00491088"/>
    <w:rsid w:val="00494BF7"/>
    <w:rsid w:val="00495676"/>
    <w:rsid w:val="004962A4"/>
    <w:rsid w:val="004A0028"/>
    <w:rsid w:val="004A62DF"/>
    <w:rsid w:val="004A77CB"/>
    <w:rsid w:val="004A7CCC"/>
    <w:rsid w:val="004B0927"/>
    <w:rsid w:val="004B1F7B"/>
    <w:rsid w:val="004B24D8"/>
    <w:rsid w:val="004B2B02"/>
    <w:rsid w:val="004B34E5"/>
    <w:rsid w:val="004B3EEA"/>
    <w:rsid w:val="004B54B3"/>
    <w:rsid w:val="004C459C"/>
    <w:rsid w:val="004C49BE"/>
    <w:rsid w:val="004C5CD3"/>
    <w:rsid w:val="004C608E"/>
    <w:rsid w:val="004D0B92"/>
    <w:rsid w:val="004D6573"/>
    <w:rsid w:val="004E28FB"/>
    <w:rsid w:val="004E4B22"/>
    <w:rsid w:val="004E65EA"/>
    <w:rsid w:val="004F2C1F"/>
    <w:rsid w:val="004F35ED"/>
    <w:rsid w:val="004F54EE"/>
    <w:rsid w:val="004F60AB"/>
    <w:rsid w:val="004F6BCD"/>
    <w:rsid w:val="004F7116"/>
    <w:rsid w:val="0050178D"/>
    <w:rsid w:val="00501EE6"/>
    <w:rsid w:val="00501F4A"/>
    <w:rsid w:val="00502312"/>
    <w:rsid w:val="0051211E"/>
    <w:rsid w:val="00513884"/>
    <w:rsid w:val="00514E69"/>
    <w:rsid w:val="00514EA8"/>
    <w:rsid w:val="00515C5E"/>
    <w:rsid w:val="00521A76"/>
    <w:rsid w:val="00522AFB"/>
    <w:rsid w:val="00523EB0"/>
    <w:rsid w:val="00524984"/>
    <w:rsid w:val="00524BFE"/>
    <w:rsid w:val="00526FFA"/>
    <w:rsid w:val="005319D6"/>
    <w:rsid w:val="00531EAC"/>
    <w:rsid w:val="00532C24"/>
    <w:rsid w:val="00532D32"/>
    <w:rsid w:val="00533DB4"/>
    <w:rsid w:val="005352C8"/>
    <w:rsid w:val="005401BB"/>
    <w:rsid w:val="0054028B"/>
    <w:rsid w:val="00540988"/>
    <w:rsid w:val="0054197C"/>
    <w:rsid w:val="00542D7A"/>
    <w:rsid w:val="0054570C"/>
    <w:rsid w:val="0054648E"/>
    <w:rsid w:val="00546539"/>
    <w:rsid w:val="00553F5D"/>
    <w:rsid w:val="00554C69"/>
    <w:rsid w:val="00556C4F"/>
    <w:rsid w:val="005571E2"/>
    <w:rsid w:val="0056035A"/>
    <w:rsid w:val="00560FE1"/>
    <w:rsid w:val="00561D09"/>
    <w:rsid w:val="00562337"/>
    <w:rsid w:val="00563421"/>
    <w:rsid w:val="005642A5"/>
    <w:rsid w:val="005650BD"/>
    <w:rsid w:val="0056547C"/>
    <w:rsid w:val="005674B8"/>
    <w:rsid w:val="00567A61"/>
    <w:rsid w:val="005714C6"/>
    <w:rsid w:val="00571F65"/>
    <w:rsid w:val="00576B6F"/>
    <w:rsid w:val="005827D4"/>
    <w:rsid w:val="00584321"/>
    <w:rsid w:val="005847B5"/>
    <w:rsid w:val="0059160B"/>
    <w:rsid w:val="00592DC3"/>
    <w:rsid w:val="005939CE"/>
    <w:rsid w:val="00594015"/>
    <w:rsid w:val="005940DD"/>
    <w:rsid w:val="0059504E"/>
    <w:rsid w:val="00596D40"/>
    <w:rsid w:val="005A766E"/>
    <w:rsid w:val="005A7FAB"/>
    <w:rsid w:val="005B106A"/>
    <w:rsid w:val="005B2699"/>
    <w:rsid w:val="005B2916"/>
    <w:rsid w:val="005B3820"/>
    <w:rsid w:val="005B52FA"/>
    <w:rsid w:val="005B684A"/>
    <w:rsid w:val="005D1127"/>
    <w:rsid w:val="005D3490"/>
    <w:rsid w:val="005D4230"/>
    <w:rsid w:val="005E239D"/>
    <w:rsid w:val="005E599E"/>
    <w:rsid w:val="005F0DAA"/>
    <w:rsid w:val="005F1B69"/>
    <w:rsid w:val="005F4991"/>
    <w:rsid w:val="00601652"/>
    <w:rsid w:val="00602BC9"/>
    <w:rsid w:val="00602CDC"/>
    <w:rsid w:val="0060375E"/>
    <w:rsid w:val="00603A96"/>
    <w:rsid w:val="006058A7"/>
    <w:rsid w:val="006060E2"/>
    <w:rsid w:val="00607036"/>
    <w:rsid w:val="0061249A"/>
    <w:rsid w:val="0061390C"/>
    <w:rsid w:val="006143C0"/>
    <w:rsid w:val="00616750"/>
    <w:rsid w:val="00617400"/>
    <w:rsid w:val="00620E3B"/>
    <w:rsid w:val="006228DD"/>
    <w:rsid w:val="0062353A"/>
    <w:rsid w:val="00623FD6"/>
    <w:rsid w:val="0062432F"/>
    <w:rsid w:val="00626F6F"/>
    <w:rsid w:val="006319C7"/>
    <w:rsid w:val="00634E05"/>
    <w:rsid w:val="006352D5"/>
    <w:rsid w:val="00643F5A"/>
    <w:rsid w:val="006444EA"/>
    <w:rsid w:val="00646114"/>
    <w:rsid w:val="006465FE"/>
    <w:rsid w:val="006541D7"/>
    <w:rsid w:val="00654D43"/>
    <w:rsid w:val="00661315"/>
    <w:rsid w:val="00662AFA"/>
    <w:rsid w:val="00665E1F"/>
    <w:rsid w:val="0066703F"/>
    <w:rsid w:val="0067095C"/>
    <w:rsid w:val="00673B27"/>
    <w:rsid w:val="00675C56"/>
    <w:rsid w:val="0067722F"/>
    <w:rsid w:val="00684DD4"/>
    <w:rsid w:val="00685D97"/>
    <w:rsid w:val="00691BA9"/>
    <w:rsid w:val="00693B4A"/>
    <w:rsid w:val="0069442A"/>
    <w:rsid w:val="006952FD"/>
    <w:rsid w:val="006A0711"/>
    <w:rsid w:val="006A219C"/>
    <w:rsid w:val="006A573B"/>
    <w:rsid w:val="006A6F2A"/>
    <w:rsid w:val="006B0474"/>
    <w:rsid w:val="006B075F"/>
    <w:rsid w:val="006B4255"/>
    <w:rsid w:val="006B44E1"/>
    <w:rsid w:val="006B4EB6"/>
    <w:rsid w:val="006C3388"/>
    <w:rsid w:val="006C3420"/>
    <w:rsid w:val="006C3E04"/>
    <w:rsid w:val="006D157E"/>
    <w:rsid w:val="006D23F3"/>
    <w:rsid w:val="006D34F5"/>
    <w:rsid w:val="006D367C"/>
    <w:rsid w:val="006D5B61"/>
    <w:rsid w:val="006D7BB3"/>
    <w:rsid w:val="006D7CCA"/>
    <w:rsid w:val="006E0AC6"/>
    <w:rsid w:val="006E2754"/>
    <w:rsid w:val="006E2839"/>
    <w:rsid w:val="006E3ADA"/>
    <w:rsid w:val="006E4AEF"/>
    <w:rsid w:val="006E6C95"/>
    <w:rsid w:val="006F036C"/>
    <w:rsid w:val="006F2D4E"/>
    <w:rsid w:val="006F4088"/>
    <w:rsid w:val="006F41D9"/>
    <w:rsid w:val="006F52DC"/>
    <w:rsid w:val="006F6CB0"/>
    <w:rsid w:val="0070020C"/>
    <w:rsid w:val="00700396"/>
    <w:rsid w:val="00703367"/>
    <w:rsid w:val="007057EF"/>
    <w:rsid w:val="0071043E"/>
    <w:rsid w:val="00710C1A"/>
    <w:rsid w:val="007119ED"/>
    <w:rsid w:val="00712118"/>
    <w:rsid w:val="00712282"/>
    <w:rsid w:val="00715468"/>
    <w:rsid w:val="00716DC3"/>
    <w:rsid w:val="00717ECD"/>
    <w:rsid w:val="007209FB"/>
    <w:rsid w:val="00721AC0"/>
    <w:rsid w:val="00721B0C"/>
    <w:rsid w:val="00723BD9"/>
    <w:rsid w:val="007254C9"/>
    <w:rsid w:val="007265A9"/>
    <w:rsid w:val="0073012C"/>
    <w:rsid w:val="007333C0"/>
    <w:rsid w:val="00733B25"/>
    <w:rsid w:val="00734CB6"/>
    <w:rsid w:val="00735C00"/>
    <w:rsid w:val="00737487"/>
    <w:rsid w:val="007411EC"/>
    <w:rsid w:val="00741CFA"/>
    <w:rsid w:val="00744C4B"/>
    <w:rsid w:val="00744C7C"/>
    <w:rsid w:val="00744FBE"/>
    <w:rsid w:val="0075011A"/>
    <w:rsid w:val="0075236A"/>
    <w:rsid w:val="00752915"/>
    <w:rsid w:val="00754AA6"/>
    <w:rsid w:val="00757C9B"/>
    <w:rsid w:val="0076223C"/>
    <w:rsid w:val="00764A29"/>
    <w:rsid w:val="00767265"/>
    <w:rsid w:val="00767DBB"/>
    <w:rsid w:val="007722F2"/>
    <w:rsid w:val="00773232"/>
    <w:rsid w:val="007735B6"/>
    <w:rsid w:val="0077451F"/>
    <w:rsid w:val="00776DB9"/>
    <w:rsid w:val="00780AFB"/>
    <w:rsid w:val="0078513E"/>
    <w:rsid w:val="00785739"/>
    <w:rsid w:val="0078653A"/>
    <w:rsid w:val="00786631"/>
    <w:rsid w:val="00786D33"/>
    <w:rsid w:val="007908DD"/>
    <w:rsid w:val="007942B9"/>
    <w:rsid w:val="007961D5"/>
    <w:rsid w:val="007A1507"/>
    <w:rsid w:val="007A2065"/>
    <w:rsid w:val="007A3FC3"/>
    <w:rsid w:val="007A40EF"/>
    <w:rsid w:val="007A5D19"/>
    <w:rsid w:val="007A6268"/>
    <w:rsid w:val="007A641D"/>
    <w:rsid w:val="007A6977"/>
    <w:rsid w:val="007B0A59"/>
    <w:rsid w:val="007B25EC"/>
    <w:rsid w:val="007B304D"/>
    <w:rsid w:val="007B5289"/>
    <w:rsid w:val="007B533A"/>
    <w:rsid w:val="007B707F"/>
    <w:rsid w:val="007C137C"/>
    <w:rsid w:val="007C4CA4"/>
    <w:rsid w:val="007C5A0B"/>
    <w:rsid w:val="007D0422"/>
    <w:rsid w:val="007D255C"/>
    <w:rsid w:val="007D27AB"/>
    <w:rsid w:val="007D3B05"/>
    <w:rsid w:val="007D5A45"/>
    <w:rsid w:val="007D6024"/>
    <w:rsid w:val="007D7FC1"/>
    <w:rsid w:val="007E104B"/>
    <w:rsid w:val="007E1EFD"/>
    <w:rsid w:val="007E2E82"/>
    <w:rsid w:val="007E4B2B"/>
    <w:rsid w:val="007E4E7A"/>
    <w:rsid w:val="007E58D2"/>
    <w:rsid w:val="007E6978"/>
    <w:rsid w:val="007E6CA3"/>
    <w:rsid w:val="007E7413"/>
    <w:rsid w:val="007F5B8E"/>
    <w:rsid w:val="007F6240"/>
    <w:rsid w:val="007F71BE"/>
    <w:rsid w:val="0080141A"/>
    <w:rsid w:val="008019F1"/>
    <w:rsid w:val="0080239E"/>
    <w:rsid w:val="00802B71"/>
    <w:rsid w:val="008033AB"/>
    <w:rsid w:val="00803CEB"/>
    <w:rsid w:val="00804163"/>
    <w:rsid w:val="008041AB"/>
    <w:rsid w:val="00805878"/>
    <w:rsid w:val="00807B04"/>
    <w:rsid w:val="008102F1"/>
    <w:rsid w:val="00811461"/>
    <w:rsid w:val="00815A72"/>
    <w:rsid w:val="008163CB"/>
    <w:rsid w:val="00816A8B"/>
    <w:rsid w:val="008176F5"/>
    <w:rsid w:val="008244DD"/>
    <w:rsid w:val="00831FEA"/>
    <w:rsid w:val="0083397E"/>
    <w:rsid w:val="008350D7"/>
    <w:rsid w:val="00836588"/>
    <w:rsid w:val="00837832"/>
    <w:rsid w:val="0084036C"/>
    <w:rsid w:val="008409A3"/>
    <w:rsid w:val="00840B81"/>
    <w:rsid w:val="00844985"/>
    <w:rsid w:val="00846663"/>
    <w:rsid w:val="00850251"/>
    <w:rsid w:val="008507F9"/>
    <w:rsid w:val="008509C0"/>
    <w:rsid w:val="00850CA9"/>
    <w:rsid w:val="0085311B"/>
    <w:rsid w:val="00857C85"/>
    <w:rsid w:val="00861E94"/>
    <w:rsid w:val="00863AE8"/>
    <w:rsid w:val="008643C1"/>
    <w:rsid w:val="00864C0B"/>
    <w:rsid w:val="0086628D"/>
    <w:rsid w:val="008665A8"/>
    <w:rsid w:val="00871043"/>
    <w:rsid w:val="0087191A"/>
    <w:rsid w:val="00871B11"/>
    <w:rsid w:val="00874338"/>
    <w:rsid w:val="00874697"/>
    <w:rsid w:val="00884779"/>
    <w:rsid w:val="00886CB3"/>
    <w:rsid w:val="0089142B"/>
    <w:rsid w:val="00891451"/>
    <w:rsid w:val="008915FB"/>
    <w:rsid w:val="00891CBA"/>
    <w:rsid w:val="00891DE5"/>
    <w:rsid w:val="00892629"/>
    <w:rsid w:val="00893649"/>
    <w:rsid w:val="00893905"/>
    <w:rsid w:val="00895A4F"/>
    <w:rsid w:val="008A12C6"/>
    <w:rsid w:val="008A1755"/>
    <w:rsid w:val="008A30D8"/>
    <w:rsid w:val="008A40B4"/>
    <w:rsid w:val="008A517F"/>
    <w:rsid w:val="008A7415"/>
    <w:rsid w:val="008B0BC9"/>
    <w:rsid w:val="008B1454"/>
    <w:rsid w:val="008B3568"/>
    <w:rsid w:val="008B46A0"/>
    <w:rsid w:val="008B5055"/>
    <w:rsid w:val="008B5401"/>
    <w:rsid w:val="008C09E6"/>
    <w:rsid w:val="008C1D52"/>
    <w:rsid w:val="008C1DEC"/>
    <w:rsid w:val="008C1EB6"/>
    <w:rsid w:val="008C272F"/>
    <w:rsid w:val="008C4165"/>
    <w:rsid w:val="008C73C6"/>
    <w:rsid w:val="008C7C24"/>
    <w:rsid w:val="008D0BFD"/>
    <w:rsid w:val="008D1A96"/>
    <w:rsid w:val="008D39FF"/>
    <w:rsid w:val="008D7D9F"/>
    <w:rsid w:val="008E0F28"/>
    <w:rsid w:val="008E26D5"/>
    <w:rsid w:val="008E31AF"/>
    <w:rsid w:val="008E7B87"/>
    <w:rsid w:val="00900515"/>
    <w:rsid w:val="009012F6"/>
    <w:rsid w:val="009042F3"/>
    <w:rsid w:val="00906CEC"/>
    <w:rsid w:val="009077FD"/>
    <w:rsid w:val="00911BCA"/>
    <w:rsid w:val="0091394E"/>
    <w:rsid w:val="00920D99"/>
    <w:rsid w:val="009218E5"/>
    <w:rsid w:val="009224FE"/>
    <w:rsid w:val="0092266F"/>
    <w:rsid w:val="009236A2"/>
    <w:rsid w:val="00923721"/>
    <w:rsid w:val="00924E25"/>
    <w:rsid w:val="00930A6F"/>
    <w:rsid w:val="009314F8"/>
    <w:rsid w:val="00933A1D"/>
    <w:rsid w:val="0093432E"/>
    <w:rsid w:val="009349B4"/>
    <w:rsid w:val="00935477"/>
    <w:rsid w:val="0093552B"/>
    <w:rsid w:val="00936A2E"/>
    <w:rsid w:val="009402DA"/>
    <w:rsid w:val="009406A0"/>
    <w:rsid w:val="00940E05"/>
    <w:rsid w:val="00940FF4"/>
    <w:rsid w:val="00941307"/>
    <w:rsid w:val="009462DB"/>
    <w:rsid w:val="00947918"/>
    <w:rsid w:val="00947DED"/>
    <w:rsid w:val="00951148"/>
    <w:rsid w:val="0095225A"/>
    <w:rsid w:val="00953404"/>
    <w:rsid w:val="009554B4"/>
    <w:rsid w:val="00957791"/>
    <w:rsid w:val="0095783B"/>
    <w:rsid w:val="009641F4"/>
    <w:rsid w:val="0096565A"/>
    <w:rsid w:val="00966C37"/>
    <w:rsid w:val="00966EE5"/>
    <w:rsid w:val="009670AC"/>
    <w:rsid w:val="009673F7"/>
    <w:rsid w:val="009674C4"/>
    <w:rsid w:val="00967B6F"/>
    <w:rsid w:val="00967E7F"/>
    <w:rsid w:val="00970C1A"/>
    <w:rsid w:val="00974596"/>
    <w:rsid w:val="00974E25"/>
    <w:rsid w:val="009801C8"/>
    <w:rsid w:val="009838EC"/>
    <w:rsid w:val="00984837"/>
    <w:rsid w:val="0098633E"/>
    <w:rsid w:val="00990014"/>
    <w:rsid w:val="00990D10"/>
    <w:rsid w:val="00992927"/>
    <w:rsid w:val="00996D01"/>
    <w:rsid w:val="009A1C10"/>
    <w:rsid w:val="009A2C46"/>
    <w:rsid w:val="009A2EA7"/>
    <w:rsid w:val="009A356C"/>
    <w:rsid w:val="009A3DA5"/>
    <w:rsid w:val="009A7F20"/>
    <w:rsid w:val="009B0FC7"/>
    <w:rsid w:val="009B5659"/>
    <w:rsid w:val="009C1D4C"/>
    <w:rsid w:val="009C2527"/>
    <w:rsid w:val="009C35FF"/>
    <w:rsid w:val="009C36A9"/>
    <w:rsid w:val="009C4476"/>
    <w:rsid w:val="009D380B"/>
    <w:rsid w:val="009D66D8"/>
    <w:rsid w:val="009D68B6"/>
    <w:rsid w:val="009D71A9"/>
    <w:rsid w:val="009D76AE"/>
    <w:rsid w:val="009D7F44"/>
    <w:rsid w:val="009E10FD"/>
    <w:rsid w:val="009E1D76"/>
    <w:rsid w:val="009E3155"/>
    <w:rsid w:val="009E4B58"/>
    <w:rsid w:val="009F0CB0"/>
    <w:rsid w:val="009F588F"/>
    <w:rsid w:val="009F6C9F"/>
    <w:rsid w:val="00A01D1B"/>
    <w:rsid w:val="00A02197"/>
    <w:rsid w:val="00A02A49"/>
    <w:rsid w:val="00A0364A"/>
    <w:rsid w:val="00A05943"/>
    <w:rsid w:val="00A062D0"/>
    <w:rsid w:val="00A17C60"/>
    <w:rsid w:val="00A225F3"/>
    <w:rsid w:val="00A22A5E"/>
    <w:rsid w:val="00A22CC6"/>
    <w:rsid w:val="00A246B5"/>
    <w:rsid w:val="00A260F4"/>
    <w:rsid w:val="00A26EB6"/>
    <w:rsid w:val="00A274AC"/>
    <w:rsid w:val="00A27B08"/>
    <w:rsid w:val="00A32DBF"/>
    <w:rsid w:val="00A34640"/>
    <w:rsid w:val="00A42F3F"/>
    <w:rsid w:val="00A5038C"/>
    <w:rsid w:val="00A51C1C"/>
    <w:rsid w:val="00A51F4B"/>
    <w:rsid w:val="00A526A3"/>
    <w:rsid w:val="00A5293E"/>
    <w:rsid w:val="00A535B3"/>
    <w:rsid w:val="00A6135B"/>
    <w:rsid w:val="00A637B2"/>
    <w:rsid w:val="00A63D08"/>
    <w:rsid w:val="00A64CAB"/>
    <w:rsid w:val="00A6552A"/>
    <w:rsid w:val="00A67931"/>
    <w:rsid w:val="00A702D7"/>
    <w:rsid w:val="00A70E22"/>
    <w:rsid w:val="00A7192B"/>
    <w:rsid w:val="00A7475B"/>
    <w:rsid w:val="00A7499F"/>
    <w:rsid w:val="00A74E9A"/>
    <w:rsid w:val="00A76B86"/>
    <w:rsid w:val="00A77C6B"/>
    <w:rsid w:val="00A81520"/>
    <w:rsid w:val="00A82AC0"/>
    <w:rsid w:val="00A84270"/>
    <w:rsid w:val="00A9149B"/>
    <w:rsid w:val="00A91866"/>
    <w:rsid w:val="00A9234B"/>
    <w:rsid w:val="00A950BE"/>
    <w:rsid w:val="00A969B1"/>
    <w:rsid w:val="00AA0013"/>
    <w:rsid w:val="00AA0923"/>
    <w:rsid w:val="00AA3781"/>
    <w:rsid w:val="00AA40FB"/>
    <w:rsid w:val="00AA5405"/>
    <w:rsid w:val="00AA589B"/>
    <w:rsid w:val="00AA6F57"/>
    <w:rsid w:val="00AA7544"/>
    <w:rsid w:val="00AB1B5E"/>
    <w:rsid w:val="00AB5573"/>
    <w:rsid w:val="00AB6191"/>
    <w:rsid w:val="00AB6C79"/>
    <w:rsid w:val="00AB783D"/>
    <w:rsid w:val="00AB7E6A"/>
    <w:rsid w:val="00AC0280"/>
    <w:rsid w:val="00AC3A39"/>
    <w:rsid w:val="00AC4D13"/>
    <w:rsid w:val="00AC5649"/>
    <w:rsid w:val="00AC7415"/>
    <w:rsid w:val="00AD07A2"/>
    <w:rsid w:val="00AD08E8"/>
    <w:rsid w:val="00AD2579"/>
    <w:rsid w:val="00AD30BE"/>
    <w:rsid w:val="00AD65D0"/>
    <w:rsid w:val="00AE0CF6"/>
    <w:rsid w:val="00AE1AC6"/>
    <w:rsid w:val="00AE1C41"/>
    <w:rsid w:val="00AE5213"/>
    <w:rsid w:val="00AE772A"/>
    <w:rsid w:val="00AF160B"/>
    <w:rsid w:val="00AF1648"/>
    <w:rsid w:val="00AF6E64"/>
    <w:rsid w:val="00B0324A"/>
    <w:rsid w:val="00B04931"/>
    <w:rsid w:val="00B058BB"/>
    <w:rsid w:val="00B07354"/>
    <w:rsid w:val="00B07D9D"/>
    <w:rsid w:val="00B1140F"/>
    <w:rsid w:val="00B11634"/>
    <w:rsid w:val="00B11AEC"/>
    <w:rsid w:val="00B1427E"/>
    <w:rsid w:val="00B16A83"/>
    <w:rsid w:val="00B17F39"/>
    <w:rsid w:val="00B209D6"/>
    <w:rsid w:val="00B21EDE"/>
    <w:rsid w:val="00B27FB2"/>
    <w:rsid w:val="00B31213"/>
    <w:rsid w:val="00B31D06"/>
    <w:rsid w:val="00B34682"/>
    <w:rsid w:val="00B37F26"/>
    <w:rsid w:val="00B37F82"/>
    <w:rsid w:val="00B400F7"/>
    <w:rsid w:val="00B41259"/>
    <w:rsid w:val="00B4300D"/>
    <w:rsid w:val="00B44135"/>
    <w:rsid w:val="00B44725"/>
    <w:rsid w:val="00B45231"/>
    <w:rsid w:val="00B5006C"/>
    <w:rsid w:val="00B5058C"/>
    <w:rsid w:val="00B513FF"/>
    <w:rsid w:val="00B55F1C"/>
    <w:rsid w:val="00B56012"/>
    <w:rsid w:val="00B5621E"/>
    <w:rsid w:val="00B619EA"/>
    <w:rsid w:val="00B61BBF"/>
    <w:rsid w:val="00B647C7"/>
    <w:rsid w:val="00B6586E"/>
    <w:rsid w:val="00B65C3E"/>
    <w:rsid w:val="00B710D4"/>
    <w:rsid w:val="00B71F65"/>
    <w:rsid w:val="00B72A92"/>
    <w:rsid w:val="00B7389E"/>
    <w:rsid w:val="00B76B9F"/>
    <w:rsid w:val="00B817BA"/>
    <w:rsid w:val="00B81E5F"/>
    <w:rsid w:val="00B87467"/>
    <w:rsid w:val="00B91C53"/>
    <w:rsid w:val="00B93043"/>
    <w:rsid w:val="00B93899"/>
    <w:rsid w:val="00B96FAF"/>
    <w:rsid w:val="00BA184C"/>
    <w:rsid w:val="00BA3574"/>
    <w:rsid w:val="00BA46FE"/>
    <w:rsid w:val="00BA5EF8"/>
    <w:rsid w:val="00BA7450"/>
    <w:rsid w:val="00BA7BBA"/>
    <w:rsid w:val="00BB0E3A"/>
    <w:rsid w:val="00BB292D"/>
    <w:rsid w:val="00BC29E1"/>
    <w:rsid w:val="00BC50CF"/>
    <w:rsid w:val="00BC534B"/>
    <w:rsid w:val="00BC5CE2"/>
    <w:rsid w:val="00BC5D5D"/>
    <w:rsid w:val="00BC6AFA"/>
    <w:rsid w:val="00BC6E9F"/>
    <w:rsid w:val="00BD0972"/>
    <w:rsid w:val="00BD2133"/>
    <w:rsid w:val="00BD2F11"/>
    <w:rsid w:val="00BD2FDE"/>
    <w:rsid w:val="00BD4A72"/>
    <w:rsid w:val="00BE0B08"/>
    <w:rsid w:val="00BE0C47"/>
    <w:rsid w:val="00BE1DFB"/>
    <w:rsid w:val="00BE1E6E"/>
    <w:rsid w:val="00BE24F6"/>
    <w:rsid w:val="00BE4133"/>
    <w:rsid w:val="00BE5D2E"/>
    <w:rsid w:val="00BE60D3"/>
    <w:rsid w:val="00BF12A1"/>
    <w:rsid w:val="00BF2C17"/>
    <w:rsid w:val="00BF316E"/>
    <w:rsid w:val="00BF5698"/>
    <w:rsid w:val="00BF6F1B"/>
    <w:rsid w:val="00BF725C"/>
    <w:rsid w:val="00C030DE"/>
    <w:rsid w:val="00C04144"/>
    <w:rsid w:val="00C0620E"/>
    <w:rsid w:val="00C11321"/>
    <w:rsid w:val="00C1265D"/>
    <w:rsid w:val="00C133E6"/>
    <w:rsid w:val="00C141F1"/>
    <w:rsid w:val="00C1516C"/>
    <w:rsid w:val="00C236A5"/>
    <w:rsid w:val="00C23798"/>
    <w:rsid w:val="00C30909"/>
    <w:rsid w:val="00C3145A"/>
    <w:rsid w:val="00C31EC3"/>
    <w:rsid w:val="00C33F2B"/>
    <w:rsid w:val="00C355A8"/>
    <w:rsid w:val="00C36F66"/>
    <w:rsid w:val="00C37FA9"/>
    <w:rsid w:val="00C40288"/>
    <w:rsid w:val="00C4091F"/>
    <w:rsid w:val="00C42443"/>
    <w:rsid w:val="00C51DCC"/>
    <w:rsid w:val="00C540C6"/>
    <w:rsid w:val="00C54170"/>
    <w:rsid w:val="00C56CB5"/>
    <w:rsid w:val="00C60483"/>
    <w:rsid w:val="00C6144A"/>
    <w:rsid w:val="00C61B9A"/>
    <w:rsid w:val="00C63046"/>
    <w:rsid w:val="00C637AB"/>
    <w:rsid w:val="00C67485"/>
    <w:rsid w:val="00C67C50"/>
    <w:rsid w:val="00C7386D"/>
    <w:rsid w:val="00C7455A"/>
    <w:rsid w:val="00C74E1F"/>
    <w:rsid w:val="00C76B0A"/>
    <w:rsid w:val="00C77AE6"/>
    <w:rsid w:val="00C80A13"/>
    <w:rsid w:val="00C82240"/>
    <w:rsid w:val="00C822A6"/>
    <w:rsid w:val="00C82AFE"/>
    <w:rsid w:val="00C84172"/>
    <w:rsid w:val="00C849CB"/>
    <w:rsid w:val="00C854F7"/>
    <w:rsid w:val="00C90CDF"/>
    <w:rsid w:val="00C91C98"/>
    <w:rsid w:val="00C92F3F"/>
    <w:rsid w:val="00C9593A"/>
    <w:rsid w:val="00C962D5"/>
    <w:rsid w:val="00CA03CE"/>
    <w:rsid w:val="00CA3B06"/>
    <w:rsid w:val="00CA3B70"/>
    <w:rsid w:val="00CA6646"/>
    <w:rsid w:val="00CA7746"/>
    <w:rsid w:val="00CB0C4F"/>
    <w:rsid w:val="00CB228C"/>
    <w:rsid w:val="00CB2BE6"/>
    <w:rsid w:val="00CB5D63"/>
    <w:rsid w:val="00CB5E4F"/>
    <w:rsid w:val="00CB67A5"/>
    <w:rsid w:val="00CB7AA1"/>
    <w:rsid w:val="00CC1AF1"/>
    <w:rsid w:val="00CC1E8E"/>
    <w:rsid w:val="00CC1EE2"/>
    <w:rsid w:val="00CC2F1B"/>
    <w:rsid w:val="00CC424C"/>
    <w:rsid w:val="00CC43BC"/>
    <w:rsid w:val="00CC4746"/>
    <w:rsid w:val="00CC5FBE"/>
    <w:rsid w:val="00CC60E4"/>
    <w:rsid w:val="00CC768C"/>
    <w:rsid w:val="00CD1B38"/>
    <w:rsid w:val="00CD4EF1"/>
    <w:rsid w:val="00CD5252"/>
    <w:rsid w:val="00CD5A51"/>
    <w:rsid w:val="00CE045D"/>
    <w:rsid w:val="00CE0D56"/>
    <w:rsid w:val="00CE428D"/>
    <w:rsid w:val="00CE72AE"/>
    <w:rsid w:val="00CF02BE"/>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B2F"/>
    <w:rsid w:val="00D202A0"/>
    <w:rsid w:val="00D2136F"/>
    <w:rsid w:val="00D21699"/>
    <w:rsid w:val="00D2329B"/>
    <w:rsid w:val="00D25916"/>
    <w:rsid w:val="00D265A4"/>
    <w:rsid w:val="00D3178A"/>
    <w:rsid w:val="00D31A80"/>
    <w:rsid w:val="00D3486C"/>
    <w:rsid w:val="00D34F26"/>
    <w:rsid w:val="00D36723"/>
    <w:rsid w:val="00D379FE"/>
    <w:rsid w:val="00D37F77"/>
    <w:rsid w:val="00D40C8F"/>
    <w:rsid w:val="00D42D23"/>
    <w:rsid w:val="00D4317B"/>
    <w:rsid w:val="00D441A9"/>
    <w:rsid w:val="00D44BA1"/>
    <w:rsid w:val="00D46202"/>
    <w:rsid w:val="00D4701D"/>
    <w:rsid w:val="00D47F2A"/>
    <w:rsid w:val="00D5121D"/>
    <w:rsid w:val="00D52D1C"/>
    <w:rsid w:val="00D554CA"/>
    <w:rsid w:val="00D55B94"/>
    <w:rsid w:val="00D565A3"/>
    <w:rsid w:val="00D623DE"/>
    <w:rsid w:val="00D62D26"/>
    <w:rsid w:val="00D63F97"/>
    <w:rsid w:val="00D67896"/>
    <w:rsid w:val="00D67C58"/>
    <w:rsid w:val="00D70435"/>
    <w:rsid w:val="00D7089E"/>
    <w:rsid w:val="00D71A67"/>
    <w:rsid w:val="00D71B90"/>
    <w:rsid w:val="00D720BF"/>
    <w:rsid w:val="00D73E36"/>
    <w:rsid w:val="00D743B5"/>
    <w:rsid w:val="00D83F82"/>
    <w:rsid w:val="00D844F9"/>
    <w:rsid w:val="00D8481B"/>
    <w:rsid w:val="00D84FE6"/>
    <w:rsid w:val="00D85DAD"/>
    <w:rsid w:val="00D86C88"/>
    <w:rsid w:val="00D87014"/>
    <w:rsid w:val="00D8711F"/>
    <w:rsid w:val="00D874F4"/>
    <w:rsid w:val="00D87E66"/>
    <w:rsid w:val="00D912C9"/>
    <w:rsid w:val="00DA004C"/>
    <w:rsid w:val="00DA0200"/>
    <w:rsid w:val="00DA24E7"/>
    <w:rsid w:val="00DA3EA5"/>
    <w:rsid w:val="00DA4A05"/>
    <w:rsid w:val="00DA4E30"/>
    <w:rsid w:val="00DA5B48"/>
    <w:rsid w:val="00DA615B"/>
    <w:rsid w:val="00DA653F"/>
    <w:rsid w:val="00DB03BB"/>
    <w:rsid w:val="00DB108C"/>
    <w:rsid w:val="00DB1338"/>
    <w:rsid w:val="00DB3245"/>
    <w:rsid w:val="00DB64E9"/>
    <w:rsid w:val="00DB766D"/>
    <w:rsid w:val="00DC00A5"/>
    <w:rsid w:val="00DC4179"/>
    <w:rsid w:val="00DC48E6"/>
    <w:rsid w:val="00DC7E57"/>
    <w:rsid w:val="00DD0F2F"/>
    <w:rsid w:val="00DD13C3"/>
    <w:rsid w:val="00DD145D"/>
    <w:rsid w:val="00DD2314"/>
    <w:rsid w:val="00DD3203"/>
    <w:rsid w:val="00DD3844"/>
    <w:rsid w:val="00DD70AC"/>
    <w:rsid w:val="00DE1ECA"/>
    <w:rsid w:val="00DE3B01"/>
    <w:rsid w:val="00DE3D80"/>
    <w:rsid w:val="00DE3FBC"/>
    <w:rsid w:val="00DF007B"/>
    <w:rsid w:val="00DF183B"/>
    <w:rsid w:val="00DF3350"/>
    <w:rsid w:val="00DF3592"/>
    <w:rsid w:val="00DF4B1D"/>
    <w:rsid w:val="00DF7436"/>
    <w:rsid w:val="00DF77E8"/>
    <w:rsid w:val="00E00E8F"/>
    <w:rsid w:val="00E01CB1"/>
    <w:rsid w:val="00E039B6"/>
    <w:rsid w:val="00E0475C"/>
    <w:rsid w:val="00E077E4"/>
    <w:rsid w:val="00E07EB0"/>
    <w:rsid w:val="00E10EA2"/>
    <w:rsid w:val="00E13486"/>
    <w:rsid w:val="00E13D52"/>
    <w:rsid w:val="00E143B3"/>
    <w:rsid w:val="00E151FA"/>
    <w:rsid w:val="00E171F8"/>
    <w:rsid w:val="00E21A2C"/>
    <w:rsid w:val="00E21AD0"/>
    <w:rsid w:val="00E22CC6"/>
    <w:rsid w:val="00E24AFE"/>
    <w:rsid w:val="00E26F18"/>
    <w:rsid w:val="00E30F8A"/>
    <w:rsid w:val="00E30FAC"/>
    <w:rsid w:val="00E310DF"/>
    <w:rsid w:val="00E31D17"/>
    <w:rsid w:val="00E31E6F"/>
    <w:rsid w:val="00E3360C"/>
    <w:rsid w:val="00E33674"/>
    <w:rsid w:val="00E353D4"/>
    <w:rsid w:val="00E35B47"/>
    <w:rsid w:val="00E434E3"/>
    <w:rsid w:val="00E452A4"/>
    <w:rsid w:val="00E5153E"/>
    <w:rsid w:val="00E524D1"/>
    <w:rsid w:val="00E535CE"/>
    <w:rsid w:val="00E543DC"/>
    <w:rsid w:val="00E61730"/>
    <w:rsid w:val="00E654D5"/>
    <w:rsid w:val="00E65995"/>
    <w:rsid w:val="00E664FD"/>
    <w:rsid w:val="00E703AB"/>
    <w:rsid w:val="00E705EC"/>
    <w:rsid w:val="00E70874"/>
    <w:rsid w:val="00E73368"/>
    <w:rsid w:val="00E746B4"/>
    <w:rsid w:val="00E74A3C"/>
    <w:rsid w:val="00E777A2"/>
    <w:rsid w:val="00E81B07"/>
    <w:rsid w:val="00E84968"/>
    <w:rsid w:val="00E90C0E"/>
    <w:rsid w:val="00E90C30"/>
    <w:rsid w:val="00E91676"/>
    <w:rsid w:val="00E9555E"/>
    <w:rsid w:val="00E9709A"/>
    <w:rsid w:val="00E97EE7"/>
    <w:rsid w:val="00EA0F97"/>
    <w:rsid w:val="00EA1872"/>
    <w:rsid w:val="00EA27E1"/>
    <w:rsid w:val="00EA391C"/>
    <w:rsid w:val="00EA4EF7"/>
    <w:rsid w:val="00EA7261"/>
    <w:rsid w:val="00EB175A"/>
    <w:rsid w:val="00EB4E76"/>
    <w:rsid w:val="00EB6BF1"/>
    <w:rsid w:val="00EB76CD"/>
    <w:rsid w:val="00EC0BCA"/>
    <w:rsid w:val="00EC29E3"/>
    <w:rsid w:val="00EC535B"/>
    <w:rsid w:val="00ED08E2"/>
    <w:rsid w:val="00ED14E4"/>
    <w:rsid w:val="00ED1597"/>
    <w:rsid w:val="00ED2573"/>
    <w:rsid w:val="00ED2CD2"/>
    <w:rsid w:val="00ED3DF2"/>
    <w:rsid w:val="00ED58B0"/>
    <w:rsid w:val="00ED70A6"/>
    <w:rsid w:val="00ED7661"/>
    <w:rsid w:val="00ED7A90"/>
    <w:rsid w:val="00EE0D21"/>
    <w:rsid w:val="00EE101B"/>
    <w:rsid w:val="00EE1981"/>
    <w:rsid w:val="00EE1E69"/>
    <w:rsid w:val="00EE1E92"/>
    <w:rsid w:val="00EE3389"/>
    <w:rsid w:val="00EE42B0"/>
    <w:rsid w:val="00EE69F5"/>
    <w:rsid w:val="00EE7F63"/>
    <w:rsid w:val="00EF06B7"/>
    <w:rsid w:val="00EF1125"/>
    <w:rsid w:val="00EF1550"/>
    <w:rsid w:val="00EF2476"/>
    <w:rsid w:val="00EF28D8"/>
    <w:rsid w:val="00EF3E87"/>
    <w:rsid w:val="00EF3E92"/>
    <w:rsid w:val="00EF4B80"/>
    <w:rsid w:val="00EF5AC6"/>
    <w:rsid w:val="00F020E9"/>
    <w:rsid w:val="00F03DA5"/>
    <w:rsid w:val="00F04918"/>
    <w:rsid w:val="00F06544"/>
    <w:rsid w:val="00F075F0"/>
    <w:rsid w:val="00F079B6"/>
    <w:rsid w:val="00F11360"/>
    <w:rsid w:val="00F113F4"/>
    <w:rsid w:val="00F13A10"/>
    <w:rsid w:val="00F17091"/>
    <w:rsid w:val="00F21961"/>
    <w:rsid w:val="00F21A4F"/>
    <w:rsid w:val="00F23699"/>
    <w:rsid w:val="00F24F02"/>
    <w:rsid w:val="00F263DB"/>
    <w:rsid w:val="00F263E1"/>
    <w:rsid w:val="00F3005D"/>
    <w:rsid w:val="00F37359"/>
    <w:rsid w:val="00F40774"/>
    <w:rsid w:val="00F426E3"/>
    <w:rsid w:val="00F456D9"/>
    <w:rsid w:val="00F4618C"/>
    <w:rsid w:val="00F46A4B"/>
    <w:rsid w:val="00F5260D"/>
    <w:rsid w:val="00F560E9"/>
    <w:rsid w:val="00F56A1C"/>
    <w:rsid w:val="00F56EC6"/>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E4D"/>
    <w:rsid w:val="00F951BF"/>
    <w:rsid w:val="00F9526B"/>
    <w:rsid w:val="00F95403"/>
    <w:rsid w:val="00F96651"/>
    <w:rsid w:val="00FA051B"/>
    <w:rsid w:val="00FA0B1B"/>
    <w:rsid w:val="00FA4232"/>
    <w:rsid w:val="00FA4A60"/>
    <w:rsid w:val="00FA56FB"/>
    <w:rsid w:val="00FB09FC"/>
    <w:rsid w:val="00FB1289"/>
    <w:rsid w:val="00FB1C39"/>
    <w:rsid w:val="00FB2254"/>
    <w:rsid w:val="00FB477F"/>
    <w:rsid w:val="00FC3B3D"/>
    <w:rsid w:val="00FC5B16"/>
    <w:rsid w:val="00FD185E"/>
    <w:rsid w:val="00FD1A37"/>
    <w:rsid w:val="00FD22B2"/>
    <w:rsid w:val="00FD37FF"/>
    <w:rsid w:val="00FD621C"/>
    <w:rsid w:val="00FD7A59"/>
    <w:rsid w:val="00FE0D61"/>
    <w:rsid w:val="00FE0DCB"/>
    <w:rsid w:val="00FE2153"/>
    <w:rsid w:val="00FE7F73"/>
    <w:rsid w:val="00FF41FB"/>
    <w:rsid w:val="00FF4F3C"/>
    <w:rsid w:val="00FF6365"/>
    <w:rsid w:val="010D7DD7"/>
    <w:rsid w:val="011078C7"/>
    <w:rsid w:val="011A24F4"/>
    <w:rsid w:val="011E1FE4"/>
    <w:rsid w:val="01395070"/>
    <w:rsid w:val="013B4944"/>
    <w:rsid w:val="01422176"/>
    <w:rsid w:val="01456A08"/>
    <w:rsid w:val="014D0B1B"/>
    <w:rsid w:val="014D4677"/>
    <w:rsid w:val="015123B9"/>
    <w:rsid w:val="01541EA9"/>
    <w:rsid w:val="0167398B"/>
    <w:rsid w:val="01722330"/>
    <w:rsid w:val="01763BCE"/>
    <w:rsid w:val="01791910"/>
    <w:rsid w:val="017F049C"/>
    <w:rsid w:val="01877B89"/>
    <w:rsid w:val="018A58CB"/>
    <w:rsid w:val="019B53E2"/>
    <w:rsid w:val="019D55FE"/>
    <w:rsid w:val="01A31ABB"/>
    <w:rsid w:val="01A544B3"/>
    <w:rsid w:val="01A8043A"/>
    <w:rsid w:val="01AA1AC9"/>
    <w:rsid w:val="01B14C06"/>
    <w:rsid w:val="01B34E22"/>
    <w:rsid w:val="01B51D18"/>
    <w:rsid w:val="01B841E6"/>
    <w:rsid w:val="01BD7A4F"/>
    <w:rsid w:val="01C73FAA"/>
    <w:rsid w:val="01CD7566"/>
    <w:rsid w:val="01E943A0"/>
    <w:rsid w:val="01EA0118"/>
    <w:rsid w:val="01F01BD2"/>
    <w:rsid w:val="01F1594A"/>
    <w:rsid w:val="020F4392"/>
    <w:rsid w:val="021358C1"/>
    <w:rsid w:val="021A09FD"/>
    <w:rsid w:val="02223D56"/>
    <w:rsid w:val="0224362A"/>
    <w:rsid w:val="02291994"/>
    <w:rsid w:val="022950E4"/>
    <w:rsid w:val="025C1016"/>
    <w:rsid w:val="025F0B06"/>
    <w:rsid w:val="02661E94"/>
    <w:rsid w:val="02685C0C"/>
    <w:rsid w:val="02693733"/>
    <w:rsid w:val="026B74AB"/>
    <w:rsid w:val="026E2AF7"/>
    <w:rsid w:val="026E6F9B"/>
    <w:rsid w:val="02753E85"/>
    <w:rsid w:val="028C2486"/>
    <w:rsid w:val="028E13EB"/>
    <w:rsid w:val="02933D80"/>
    <w:rsid w:val="029702A0"/>
    <w:rsid w:val="029E2E94"/>
    <w:rsid w:val="029F0F02"/>
    <w:rsid w:val="02AD1871"/>
    <w:rsid w:val="02B01361"/>
    <w:rsid w:val="02B20C36"/>
    <w:rsid w:val="02C1356F"/>
    <w:rsid w:val="02C941D1"/>
    <w:rsid w:val="02D908B8"/>
    <w:rsid w:val="02E64D83"/>
    <w:rsid w:val="02E84657"/>
    <w:rsid w:val="02F46D17"/>
    <w:rsid w:val="02FE031F"/>
    <w:rsid w:val="02FE20CD"/>
    <w:rsid w:val="0301396B"/>
    <w:rsid w:val="0328539C"/>
    <w:rsid w:val="03402295"/>
    <w:rsid w:val="03465822"/>
    <w:rsid w:val="034C108A"/>
    <w:rsid w:val="034F2928"/>
    <w:rsid w:val="036D1000"/>
    <w:rsid w:val="0370464D"/>
    <w:rsid w:val="0374238F"/>
    <w:rsid w:val="03764359"/>
    <w:rsid w:val="03767EB5"/>
    <w:rsid w:val="037B196F"/>
    <w:rsid w:val="0381685A"/>
    <w:rsid w:val="03863E70"/>
    <w:rsid w:val="038F541B"/>
    <w:rsid w:val="039D18E6"/>
    <w:rsid w:val="039E1AF5"/>
    <w:rsid w:val="03A7145C"/>
    <w:rsid w:val="03AF1619"/>
    <w:rsid w:val="03B409DD"/>
    <w:rsid w:val="03B44E81"/>
    <w:rsid w:val="03B51601"/>
    <w:rsid w:val="03BB1D6C"/>
    <w:rsid w:val="03C055D4"/>
    <w:rsid w:val="03C07382"/>
    <w:rsid w:val="03C350C4"/>
    <w:rsid w:val="03C76963"/>
    <w:rsid w:val="03F11C32"/>
    <w:rsid w:val="03F86B1C"/>
    <w:rsid w:val="04071455"/>
    <w:rsid w:val="041C69A4"/>
    <w:rsid w:val="04275653"/>
    <w:rsid w:val="042F4508"/>
    <w:rsid w:val="04374C5C"/>
    <w:rsid w:val="043D6C25"/>
    <w:rsid w:val="04402271"/>
    <w:rsid w:val="044206BF"/>
    <w:rsid w:val="044E0E32"/>
    <w:rsid w:val="0462668B"/>
    <w:rsid w:val="0466617C"/>
    <w:rsid w:val="04695C6C"/>
    <w:rsid w:val="04697A1A"/>
    <w:rsid w:val="04806B11"/>
    <w:rsid w:val="0482228F"/>
    <w:rsid w:val="048C3708"/>
    <w:rsid w:val="0495080F"/>
    <w:rsid w:val="049C6264"/>
    <w:rsid w:val="049D76C3"/>
    <w:rsid w:val="04A647CA"/>
    <w:rsid w:val="04B35139"/>
    <w:rsid w:val="04C56194"/>
    <w:rsid w:val="04C603B1"/>
    <w:rsid w:val="04CA58BB"/>
    <w:rsid w:val="04D01847"/>
    <w:rsid w:val="04D05CEB"/>
    <w:rsid w:val="04D23811"/>
    <w:rsid w:val="04DF1A8A"/>
    <w:rsid w:val="04EE0073"/>
    <w:rsid w:val="04EF43C3"/>
    <w:rsid w:val="04F01EE9"/>
    <w:rsid w:val="050046C8"/>
    <w:rsid w:val="05014F82"/>
    <w:rsid w:val="050339CA"/>
    <w:rsid w:val="05077C3B"/>
    <w:rsid w:val="050966AB"/>
    <w:rsid w:val="050D4849"/>
    <w:rsid w:val="050E236F"/>
    <w:rsid w:val="050F6813"/>
    <w:rsid w:val="05123C0E"/>
    <w:rsid w:val="052E47BF"/>
    <w:rsid w:val="05465FAD"/>
    <w:rsid w:val="05495D59"/>
    <w:rsid w:val="055E32F7"/>
    <w:rsid w:val="055F6573"/>
    <w:rsid w:val="056106F1"/>
    <w:rsid w:val="056326BB"/>
    <w:rsid w:val="05720B50"/>
    <w:rsid w:val="057E5747"/>
    <w:rsid w:val="05972365"/>
    <w:rsid w:val="059960DD"/>
    <w:rsid w:val="059E7B97"/>
    <w:rsid w:val="05BD6A04"/>
    <w:rsid w:val="05CC0260"/>
    <w:rsid w:val="05D11D1B"/>
    <w:rsid w:val="05DB66F5"/>
    <w:rsid w:val="0600615C"/>
    <w:rsid w:val="0607573C"/>
    <w:rsid w:val="06233BF8"/>
    <w:rsid w:val="0624009C"/>
    <w:rsid w:val="06287461"/>
    <w:rsid w:val="062A5DF7"/>
    <w:rsid w:val="062C51A3"/>
    <w:rsid w:val="0633208D"/>
    <w:rsid w:val="063E0A32"/>
    <w:rsid w:val="064047AA"/>
    <w:rsid w:val="064C314F"/>
    <w:rsid w:val="065A1D10"/>
    <w:rsid w:val="066C261F"/>
    <w:rsid w:val="067508F8"/>
    <w:rsid w:val="06813F91"/>
    <w:rsid w:val="068E5516"/>
    <w:rsid w:val="069074E0"/>
    <w:rsid w:val="069114AA"/>
    <w:rsid w:val="069845E6"/>
    <w:rsid w:val="06AC1E40"/>
    <w:rsid w:val="06C07699"/>
    <w:rsid w:val="07027CB2"/>
    <w:rsid w:val="07035F04"/>
    <w:rsid w:val="070C28DE"/>
    <w:rsid w:val="07300CC3"/>
    <w:rsid w:val="07320597"/>
    <w:rsid w:val="073360BD"/>
    <w:rsid w:val="07350087"/>
    <w:rsid w:val="073836D3"/>
    <w:rsid w:val="073863F0"/>
    <w:rsid w:val="073D0CEA"/>
    <w:rsid w:val="074B78AB"/>
    <w:rsid w:val="07521BCF"/>
    <w:rsid w:val="07550A75"/>
    <w:rsid w:val="075F5E39"/>
    <w:rsid w:val="076D7821"/>
    <w:rsid w:val="07702E6D"/>
    <w:rsid w:val="0773573F"/>
    <w:rsid w:val="077645A8"/>
    <w:rsid w:val="077961C6"/>
    <w:rsid w:val="077B0190"/>
    <w:rsid w:val="0781507A"/>
    <w:rsid w:val="07837045"/>
    <w:rsid w:val="079500F6"/>
    <w:rsid w:val="07971AAB"/>
    <w:rsid w:val="07971F69"/>
    <w:rsid w:val="07990616"/>
    <w:rsid w:val="07A36FBB"/>
    <w:rsid w:val="07A47A72"/>
    <w:rsid w:val="07AC659B"/>
    <w:rsid w:val="07AF3996"/>
    <w:rsid w:val="07B62F76"/>
    <w:rsid w:val="07BB67DE"/>
    <w:rsid w:val="07D10E55"/>
    <w:rsid w:val="07F910B5"/>
    <w:rsid w:val="0802440D"/>
    <w:rsid w:val="080C0DE8"/>
    <w:rsid w:val="0811757F"/>
    <w:rsid w:val="081E6D6D"/>
    <w:rsid w:val="082243E1"/>
    <w:rsid w:val="082C154D"/>
    <w:rsid w:val="082C4FE6"/>
    <w:rsid w:val="0831084F"/>
    <w:rsid w:val="08397703"/>
    <w:rsid w:val="083B4644"/>
    <w:rsid w:val="083B4DC8"/>
    <w:rsid w:val="083C7EB4"/>
    <w:rsid w:val="084C38DA"/>
    <w:rsid w:val="085333A0"/>
    <w:rsid w:val="085D1644"/>
    <w:rsid w:val="085E5A6E"/>
    <w:rsid w:val="08670714"/>
    <w:rsid w:val="086E4482"/>
    <w:rsid w:val="086E55FF"/>
    <w:rsid w:val="08752E31"/>
    <w:rsid w:val="087D5842"/>
    <w:rsid w:val="087F5A5E"/>
    <w:rsid w:val="088C3CD7"/>
    <w:rsid w:val="088F5575"/>
    <w:rsid w:val="08907C6B"/>
    <w:rsid w:val="08913342"/>
    <w:rsid w:val="089F7EAE"/>
    <w:rsid w:val="08A52FEB"/>
    <w:rsid w:val="08A70B11"/>
    <w:rsid w:val="08A74FB5"/>
    <w:rsid w:val="08A90D2D"/>
    <w:rsid w:val="08A91BD9"/>
    <w:rsid w:val="08AC25CB"/>
    <w:rsid w:val="08B51480"/>
    <w:rsid w:val="08B5322E"/>
    <w:rsid w:val="08B6248C"/>
    <w:rsid w:val="08C90A87"/>
    <w:rsid w:val="08D062B9"/>
    <w:rsid w:val="08E0221F"/>
    <w:rsid w:val="08F655F4"/>
    <w:rsid w:val="090146C5"/>
    <w:rsid w:val="090569B5"/>
    <w:rsid w:val="090D12BC"/>
    <w:rsid w:val="091268D2"/>
    <w:rsid w:val="091A5787"/>
    <w:rsid w:val="091A7535"/>
    <w:rsid w:val="091F4B4B"/>
    <w:rsid w:val="092B50CE"/>
    <w:rsid w:val="093525C0"/>
    <w:rsid w:val="093700E7"/>
    <w:rsid w:val="09441CCD"/>
    <w:rsid w:val="094A4572"/>
    <w:rsid w:val="094B3B92"/>
    <w:rsid w:val="094C3466"/>
    <w:rsid w:val="09526CCE"/>
    <w:rsid w:val="095742E5"/>
    <w:rsid w:val="0958005D"/>
    <w:rsid w:val="095D5673"/>
    <w:rsid w:val="095F763D"/>
    <w:rsid w:val="096D58B6"/>
    <w:rsid w:val="096E162E"/>
    <w:rsid w:val="0970184A"/>
    <w:rsid w:val="097735FF"/>
    <w:rsid w:val="097924AD"/>
    <w:rsid w:val="097E7AC3"/>
    <w:rsid w:val="098350DA"/>
    <w:rsid w:val="09905A49"/>
    <w:rsid w:val="09954128"/>
    <w:rsid w:val="099948FD"/>
    <w:rsid w:val="099B68C7"/>
    <w:rsid w:val="09AA6B0A"/>
    <w:rsid w:val="09AD2157"/>
    <w:rsid w:val="09B554AF"/>
    <w:rsid w:val="09C63218"/>
    <w:rsid w:val="09CB6A81"/>
    <w:rsid w:val="09D973F0"/>
    <w:rsid w:val="09E33DCA"/>
    <w:rsid w:val="09FC6C3A"/>
    <w:rsid w:val="0A073F5D"/>
    <w:rsid w:val="0A0A30D1"/>
    <w:rsid w:val="0A110938"/>
    <w:rsid w:val="0A173A74"/>
    <w:rsid w:val="0A252635"/>
    <w:rsid w:val="0A261F09"/>
    <w:rsid w:val="0A304CFB"/>
    <w:rsid w:val="0A312D88"/>
    <w:rsid w:val="0A4F76B2"/>
    <w:rsid w:val="0A5627EE"/>
    <w:rsid w:val="0A595E3B"/>
    <w:rsid w:val="0A6D18E6"/>
    <w:rsid w:val="0A717024"/>
    <w:rsid w:val="0A740EC6"/>
    <w:rsid w:val="0A79472F"/>
    <w:rsid w:val="0A7B2255"/>
    <w:rsid w:val="0A8A693C"/>
    <w:rsid w:val="0A9B28F7"/>
    <w:rsid w:val="0A9D21CB"/>
    <w:rsid w:val="0AB3379D"/>
    <w:rsid w:val="0AC7268D"/>
    <w:rsid w:val="0ACB4F8A"/>
    <w:rsid w:val="0ACC485F"/>
    <w:rsid w:val="0AD33E3F"/>
    <w:rsid w:val="0ADD2F10"/>
    <w:rsid w:val="0AE778EA"/>
    <w:rsid w:val="0AEA0264"/>
    <w:rsid w:val="0AEA1189"/>
    <w:rsid w:val="0AF3003D"/>
    <w:rsid w:val="0B044101"/>
    <w:rsid w:val="0B163D2C"/>
    <w:rsid w:val="0B1B7594"/>
    <w:rsid w:val="0B226B74"/>
    <w:rsid w:val="0B260413"/>
    <w:rsid w:val="0B30303F"/>
    <w:rsid w:val="0B3643CE"/>
    <w:rsid w:val="0B380146"/>
    <w:rsid w:val="0B4C599F"/>
    <w:rsid w:val="0B554854"/>
    <w:rsid w:val="0B5C5BE2"/>
    <w:rsid w:val="0B6947A3"/>
    <w:rsid w:val="0B6E0D48"/>
    <w:rsid w:val="0B705B32"/>
    <w:rsid w:val="0B835865"/>
    <w:rsid w:val="0B896BF3"/>
    <w:rsid w:val="0B8E7D66"/>
    <w:rsid w:val="0B923CFA"/>
    <w:rsid w:val="0B941820"/>
    <w:rsid w:val="0B957346"/>
    <w:rsid w:val="0B9A5A90"/>
    <w:rsid w:val="0BA31A63"/>
    <w:rsid w:val="0BAE6842"/>
    <w:rsid w:val="0BB35A1E"/>
    <w:rsid w:val="0BBC2B25"/>
    <w:rsid w:val="0BBC48D3"/>
    <w:rsid w:val="0BBE4AEF"/>
    <w:rsid w:val="0BBE689D"/>
    <w:rsid w:val="0BC96FF0"/>
    <w:rsid w:val="0BD31C1D"/>
    <w:rsid w:val="0BD51E39"/>
    <w:rsid w:val="0BD55995"/>
    <w:rsid w:val="0BE1258C"/>
    <w:rsid w:val="0BF027CF"/>
    <w:rsid w:val="0BF4406D"/>
    <w:rsid w:val="0BFE4EEC"/>
    <w:rsid w:val="0C006EB6"/>
    <w:rsid w:val="0C063B21"/>
    <w:rsid w:val="0C0A1AE2"/>
    <w:rsid w:val="0C0A3890"/>
    <w:rsid w:val="0C0C2939"/>
    <w:rsid w:val="0C210BDA"/>
    <w:rsid w:val="0C272694"/>
    <w:rsid w:val="0C300E1D"/>
    <w:rsid w:val="0C3338D5"/>
    <w:rsid w:val="0C3703FE"/>
    <w:rsid w:val="0C405504"/>
    <w:rsid w:val="0C436DA2"/>
    <w:rsid w:val="0C48085D"/>
    <w:rsid w:val="0C525237"/>
    <w:rsid w:val="0C5C7E64"/>
    <w:rsid w:val="0C656D19"/>
    <w:rsid w:val="0C782EF0"/>
    <w:rsid w:val="0C796C68"/>
    <w:rsid w:val="0C7C43F5"/>
    <w:rsid w:val="0C8C0749"/>
    <w:rsid w:val="0C945E53"/>
    <w:rsid w:val="0C9C64B3"/>
    <w:rsid w:val="0CA21D1B"/>
    <w:rsid w:val="0CA904A4"/>
    <w:rsid w:val="0CAC2B9A"/>
    <w:rsid w:val="0CB657C6"/>
    <w:rsid w:val="0CB97065"/>
    <w:rsid w:val="0CBD0903"/>
    <w:rsid w:val="0CCC0564"/>
    <w:rsid w:val="0CCF6888"/>
    <w:rsid w:val="0CD01D3C"/>
    <w:rsid w:val="0CDD71F7"/>
    <w:rsid w:val="0CE42333"/>
    <w:rsid w:val="0CEE4F60"/>
    <w:rsid w:val="0CF32576"/>
    <w:rsid w:val="0D002EE5"/>
    <w:rsid w:val="0D076022"/>
    <w:rsid w:val="0D077DD0"/>
    <w:rsid w:val="0D1129FD"/>
    <w:rsid w:val="0D1515D0"/>
    <w:rsid w:val="0D166265"/>
    <w:rsid w:val="0D215336"/>
    <w:rsid w:val="0D2766C4"/>
    <w:rsid w:val="0D380E95"/>
    <w:rsid w:val="0D411534"/>
    <w:rsid w:val="0D432A8C"/>
    <w:rsid w:val="0D441024"/>
    <w:rsid w:val="0D464D9C"/>
    <w:rsid w:val="0D4A5F0F"/>
    <w:rsid w:val="0D501777"/>
    <w:rsid w:val="0D5374B9"/>
    <w:rsid w:val="0D5648B3"/>
    <w:rsid w:val="0D5F19BA"/>
    <w:rsid w:val="0D645222"/>
    <w:rsid w:val="0D786F20"/>
    <w:rsid w:val="0D991370"/>
    <w:rsid w:val="0DAB4BFF"/>
    <w:rsid w:val="0DC65EDD"/>
    <w:rsid w:val="0DD04666"/>
    <w:rsid w:val="0DD24882"/>
    <w:rsid w:val="0DD34156"/>
    <w:rsid w:val="0DD71E98"/>
    <w:rsid w:val="0DE402D0"/>
    <w:rsid w:val="0DE63E89"/>
    <w:rsid w:val="0DFE7425"/>
    <w:rsid w:val="0E097B78"/>
    <w:rsid w:val="0E1721A6"/>
    <w:rsid w:val="0E26072A"/>
    <w:rsid w:val="0E325320"/>
    <w:rsid w:val="0E3270CE"/>
    <w:rsid w:val="0E35096D"/>
    <w:rsid w:val="0E372937"/>
    <w:rsid w:val="0E484B44"/>
    <w:rsid w:val="0E4A08BC"/>
    <w:rsid w:val="0E4B19A7"/>
    <w:rsid w:val="0E6A2D0C"/>
    <w:rsid w:val="0E7616B1"/>
    <w:rsid w:val="0E8611C8"/>
    <w:rsid w:val="0E8D69FB"/>
    <w:rsid w:val="0E927B6D"/>
    <w:rsid w:val="0E941B37"/>
    <w:rsid w:val="0E98648A"/>
    <w:rsid w:val="0EAA135B"/>
    <w:rsid w:val="0EAF6971"/>
    <w:rsid w:val="0EB761E3"/>
    <w:rsid w:val="0EC0292C"/>
    <w:rsid w:val="0ECA37AB"/>
    <w:rsid w:val="0ED66D86"/>
    <w:rsid w:val="0ED924DE"/>
    <w:rsid w:val="0EDD40F8"/>
    <w:rsid w:val="0EDE2DB2"/>
    <w:rsid w:val="0EE43615"/>
    <w:rsid w:val="0EEA1757"/>
    <w:rsid w:val="0EF10D38"/>
    <w:rsid w:val="0EF166CA"/>
    <w:rsid w:val="0EFB1BB6"/>
    <w:rsid w:val="0F152C78"/>
    <w:rsid w:val="0F227143"/>
    <w:rsid w:val="0F256C33"/>
    <w:rsid w:val="0F2F1860"/>
    <w:rsid w:val="0F474DFC"/>
    <w:rsid w:val="0F4C0664"/>
    <w:rsid w:val="0F557518"/>
    <w:rsid w:val="0F5A4B2F"/>
    <w:rsid w:val="0F672DA8"/>
    <w:rsid w:val="0F707EAE"/>
    <w:rsid w:val="0F7F1D48"/>
    <w:rsid w:val="0F851480"/>
    <w:rsid w:val="0F931DEF"/>
    <w:rsid w:val="0F987405"/>
    <w:rsid w:val="0F9C5147"/>
    <w:rsid w:val="0F9D4A1B"/>
    <w:rsid w:val="0FA4224E"/>
    <w:rsid w:val="0FA97A45"/>
    <w:rsid w:val="0FAE4E7B"/>
    <w:rsid w:val="0FB25B2C"/>
    <w:rsid w:val="0FC93A62"/>
    <w:rsid w:val="0FD3668F"/>
    <w:rsid w:val="0FE64614"/>
    <w:rsid w:val="0FF22FB9"/>
    <w:rsid w:val="0FF7412C"/>
    <w:rsid w:val="0FFD3FC3"/>
    <w:rsid w:val="10046849"/>
    <w:rsid w:val="100D7DF3"/>
    <w:rsid w:val="10152804"/>
    <w:rsid w:val="10196798"/>
    <w:rsid w:val="10240C99"/>
    <w:rsid w:val="102D3FF1"/>
    <w:rsid w:val="103F5AD3"/>
    <w:rsid w:val="104355C3"/>
    <w:rsid w:val="1045758D"/>
    <w:rsid w:val="10563548"/>
    <w:rsid w:val="105B0B5E"/>
    <w:rsid w:val="105D6CBF"/>
    <w:rsid w:val="1065378B"/>
    <w:rsid w:val="1068327B"/>
    <w:rsid w:val="10685029"/>
    <w:rsid w:val="106A2B50"/>
    <w:rsid w:val="1074577C"/>
    <w:rsid w:val="107514F4"/>
    <w:rsid w:val="10757746"/>
    <w:rsid w:val="1089622E"/>
    <w:rsid w:val="108A1444"/>
    <w:rsid w:val="108C6F6A"/>
    <w:rsid w:val="109220A6"/>
    <w:rsid w:val="109C4CD3"/>
    <w:rsid w:val="10A1053B"/>
    <w:rsid w:val="10A36062"/>
    <w:rsid w:val="10A51DDA"/>
    <w:rsid w:val="10AA5642"/>
    <w:rsid w:val="10AF662E"/>
    <w:rsid w:val="10B1077E"/>
    <w:rsid w:val="10B169D0"/>
    <w:rsid w:val="10C06C14"/>
    <w:rsid w:val="10C761F4"/>
    <w:rsid w:val="10C77FA2"/>
    <w:rsid w:val="10DB1C9F"/>
    <w:rsid w:val="10FB40F0"/>
    <w:rsid w:val="11020FDA"/>
    <w:rsid w:val="1102722C"/>
    <w:rsid w:val="11032FA4"/>
    <w:rsid w:val="110F1949"/>
    <w:rsid w:val="110F36F7"/>
    <w:rsid w:val="111D7D2A"/>
    <w:rsid w:val="11274EE5"/>
    <w:rsid w:val="113413B0"/>
    <w:rsid w:val="11401B02"/>
    <w:rsid w:val="11496C09"/>
    <w:rsid w:val="11511F61"/>
    <w:rsid w:val="11555572"/>
    <w:rsid w:val="115832F0"/>
    <w:rsid w:val="115B4B8E"/>
    <w:rsid w:val="118440E5"/>
    <w:rsid w:val="11847C41"/>
    <w:rsid w:val="118C11EC"/>
    <w:rsid w:val="11936342"/>
    <w:rsid w:val="1198193E"/>
    <w:rsid w:val="11A93B4C"/>
    <w:rsid w:val="11BD13A5"/>
    <w:rsid w:val="11C10E95"/>
    <w:rsid w:val="11C75D80"/>
    <w:rsid w:val="11D02E86"/>
    <w:rsid w:val="11D0652D"/>
    <w:rsid w:val="11DD37F5"/>
    <w:rsid w:val="11E23F66"/>
    <w:rsid w:val="11F272A1"/>
    <w:rsid w:val="11F37536"/>
    <w:rsid w:val="11F72B09"/>
    <w:rsid w:val="11FD79F3"/>
    <w:rsid w:val="11FF3031"/>
    <w:rsid w:val="12011292"/>
    <w:rsid w:val="122136E2"/>
    <w:rsid w:val="1235718D"/>
    <w:rsid w:val="123A29F6"/>
    <w:rsid w:val="123F1DBA"/>
    <w:rsid w:val="12415B32"/>
    <w:rsid w:val="12505D75"/>
    <w:rsid w:val="12647A72"/>
    <w:rsid w:val="126E6D2B"/>
    <w:rsid w:val="12706417"/>
    <w:rsid w:val="127203E1"/>
    <w:rsid w:val="12744159"/>
    <w:rsid w:val="127E6D86"/>
    <w:rsid w:val="128819B3"/>
    <w:rsid w:val="128D7801"/>
    <w:rsid w:val="12A6008B"/>
    <w:rsid w:val="12B502CE"/>
    <w:rsid w:val="12B75DF4"/>
    <w:rsid w:val="12BA7692"/>
    <w:rsid w:val="12C81DAF"/>
    <w:rsid w:val="12D40754"/>
    <w:rsid w:val="12D746E8"/>
    <w:rsid w:val="12DB7D35"/>
    <w:rsid w:val="12DE15D3"/>
    <w:rsid w:val="12E806A4"/>
    <w:rsid w:val="12EA12C6"/>
    <w:rsid w:val="12ED3C46"/>
    <w:rsid w:val="12F928B1"/>
    <w:rsid w:val="13092230"/>
    <w:rsid w:val="130B7EEE"/>
    <w:rsid w:val="130D010A"/>
    <w:rsid w:val="13143247"/>
    <w:rsid w:val="1319260B"/>
    <w:rsid w:val="131E658C"/>
    <w:rsid w:val="13231601"/>
    <w:rsid w:val="1324792E"/>
    <w:rsid w:val="132A2A6A"/>
    <w:rsid w:val="132A4818"/>
    <w:rsid w:val="132C233E"/>
    <w:rsid w:val="133236CD"/>
    <w:rsid w:val="133B4C77"/>
    <w:rsid w:val="133E6515"/>
    <w:rsid w:val="1340228E"/>
    <w:rsid w:val="1347448C"/>
    <w:rsid w:val="137141F5"/>
    <w:rsid w:val="137D2B9A"/>
    <w:rsid w:val="13985D29"/>
    <w:rsid w:val="13AC7923"/>
    <w:rsid w:val="13AF4D1D"/>
    <w:rsid w:val="13C34C54"/>
    <w:rsid w:val="13C46A1B"/>
    <w:rsid w:val="13CD5C93"/>
    <w:rsid w:val="13D1434E"/>
    <w:rsid w:val="13DD7ADC"/>
    <w:rsid w:val="13E06DE0"/>
    <w:rsid w:val="13E470BD"/>
    <w:rsid w:val="13F55BF3"/>
    <w:rsid w:val="14060DE1"/>
    <w:rsid w:val="140E57F5"/>
    <w:rsid w:val="143A4F2F"/>
    <w:rsid w:val="143F42F3"/>
    <w:rsid w:val="14506500"/>
    <w:rsid w:val="145E31A6"/>
    <w:rsid w:val="145F6743"/>
    <w:rsid w:val="146E3766"/>
    <w:rsid w:val="14733869"/>
    <w:rsid w:val="148443FC"/>
    <w:rsid w:val="148D1503"/>
    <w:rsid w:val="149C1746"/>
    <w:rsid w:val="149E726C"/>
    <w:rsid w:val="14A979BF"/>
    <w:rsid w:val="14BB6070"/>
    <w:rsid w:val="14BE790E"/>
    <w:rsid w:val="14C173FE"/>
    <w:rsid w:val="14D56A06"/>
    <w:rsid w:val="14D56B3C"/>
    <w:rsid w:val="14D964F6"/>
    <w:rsid w:val="14E05AD6"/>
    <w:rsid w:val="14E60C13"/>
    <w:rsid w:val="14F21366"/>
    <w:rsid w:val="14F275B8"/>
    <w:rsid w:val="14F90946"/>
    <w:rsid w:val="14F96B98"/>
    <w:rsid w:val="15090375"/>
    <w:rsid w:val="15113EE2"/>
    <w:rsid w:val="152F25BA"/>
    <w:rsid w:val="15347E88"/>
    <w:rsid w:val="15393438"/>
    <w:rsid w:val="153C6A85"/>
    <w:rsid w:val="154D47EE"/>
    <w:rsid w:val="155142DE"/>
    <w:rsid w:val="155F086C"/>
    <w:rsid w:val="156009C5"/>
    <w:rsid w:val="156264EB"/>
    <w:rsid w:val="15671D54"/>
    <w:rsid w:val="15681628"/>
    <w:rsid w:val="1568787A"/>
    <w:rsid w:val="158346B4"/>
    <w:rsid w:val="15883A78"/>
    <w:rsid w:val="158E72E0"/>
    <w:rsid w:val="15A12860"/>
    <w:rsid w:val="15A24B3A"/>
    <w:rsid w:val="15B34F99"/>
    <w:rsid w:val="15B70F3E"/>
    <w:rsid w:val="15BD7BC5"/>
    <w:rsid w:val="15C90318"/>
    <w:rsid w:val="15C947BC"/>
    <w:rsid w:val="15DB629E"/>
    <w:rsid w:val="15E52C78"/>
    <w:rsid w:val="15FC6940"/>
    <w:rsid w:val="1606156C"/>
    <w:rsid w:val="16105F47"/>
    <w:rsid w:val="162072CD"/>
    <w:rsid w:val="16270A1F"/>
    <w:rsid w:val="16273291"/>
    <w:rsid w:val="16297009"/>
    <w:rsid w:val="162E0AC3"/>
    <w:rsid w:val="163065E9"/>
    <w:rsid w:val="16355A10"/>
    <w:rsid w:val="1638549E"/>
    <w:rsid w:val="163F05DA"/>
    <w:rsid w:val="1653052A"/>
    <w:rsid w:val="165322D8"/>
    <w:rsid w:val="1675224E"/>
    <w:rsid w:val="16775FC6"/>
    <w:rsid w:val="16781D3E"/>
    <w:rsid w:val="16832BBD"/>
    <w:rsid w:val="16893F4C"/>
    <w:rsid w:val="16A668AC"/>
    <w:rsid w:val="16A67991"/>
    <w:rsid w:val="16A843D2"/>
    <w:rsid w:val="16AD3796"/>
    <w:rsid w:val="16B71ED0"/>
    <w:rsid w:val="16B74615"/>
    <w:rsid w:val="16BC7E7D"/>
    <w:rsid w:val="16C136E5"/>
    <w:rsid w:val="16C64858"/>
    <w:rsid w:val="16DE7DF3"/>
    <w:rsid w:val="16E41182"/>
    <w:rsid w:val="16E86EC4"/>
    <w:rsid w:val="16E96798"/>
    <w:rsid w:val="16F07B27"/>
    <w:rsid w:val="16F2389F"/>
    <w:rsid w:val="16FE0496"/>
    <w:rsid w:val="16FE3FF2"/>
    <w:rsid w:val="170535D2"/>
    <w:rsid w:val="1706559C"/>
    <w:rsid w:val="17092996"/>
    <w:rsid w:val="171C6B6E"/>
    <w:rsid w:val="172D0D7B"/>
    <w:rsid w:val="173858C9"/>
    <w:rsid w:val="17485BB5"/>
    <w:rsid w:val="1752258F"/>
    <w:rsid w:val="17544559"/>
    <w:rsid w:val="17686555"/>
    <w:rsid w:val="176D3091"/>
    <w:rsid w:val="1783099B"/>
    <w:rsid w:val="179130B8"/>
    <w:rsid w:val="17991F6C"/>
    <w:rsid w:val="179B7A92"/>
    <w:rsid w:val="17A50911"/>
    <w:rsid w:val="17AA4179"/>
    <w:rsid w:val="17B60D70"/>
    <w:rsid w:val="17C13728"/>
    <w:rsid w:val="17C74D2B"/>
    <w:rsid w:val="17CC40F0"/>
    <w:rsid w:val="17D631C0"/>
    <w:rsid w:val="17DD00AB"/>
    <w:rsid w:val="17EE050A"/>
    <w:rsid w:val="17F36D78"/>
    <w:rsid w:val="17F43647"/>
    <w:rsid w:val="17FA5823"/>
    <w:rsid w:val="17FD699F"/>
    <w:rsid w:val="17FD6AF1"/>
    <w:rsid w:val="180A4567"/>
    <w:rsid w:val="181F06C4"/>
    <w:rsid w:val="182E6B59"/>
    <w:rsid w:val="183A54FD"/>
    <w:rsid w:val="183D6D9C"/>
    <w:rsid w:val="184719C8"/>
    <w:rsid w:val="18475E6C"/>
    <w:rsid w:val="18477C1A"/>
    <w:rsid w:val="184C6FDF"/>
    <w:rsid w:val="1853036D"/>
    <w:rsid w:val="1853659B"/>
    <w:rsid w:val="18581E27"/>
    <w:rsid w:val="186407CC"/>
    <w:rsid w:val="18716A45"/>
    <w:rsid w:val="18787DD4"/>
    <w:rsid w:val="187C5B16"/>
    <w:rsid w:val="18860743"/>
    <w:rsid w:val="1888270D"/>
    <w:rsid w:val="18954E2A"/>
    <w:rsid w:val="18982224"/>
    <w:rsid w:val="189B7D05"/>
    <w:rsid w:val="189C7F66"/>
    <w:rsid w:val="189E6E29"/>
    <w:rsid w:val="18A84B5D"/>
    <w:rsid w:val="18BC5F12"/>
    <w:rsid w:val="18BF1EA7"/>
    <w:rsid w:val="18C96881"/>
    <w:rsid w:val="18CC3E8C"/>
    <w:rsid w:val="18DD40DB"/>
    <w:rsid w:val="18E90CD1"/>
    <w:rsid w:val="18F03E0E"/>
    <w:rsid w:val="18F2402A"/>
    <w:rsid w:val="19102702"/>
    <w:rsid w:val="19183D6F"/>
    <w:rsid w:val="19232435"/>
    <w:rsid w:val="192341E3"/>
    <w:rsid w:val="194A5C14"/>
    <w:rsid w:val="1954439D"/>
    <w:rsid w:val="195C14A3"/>
    <w:rsid w:val="195F2D42"/>
    <w:rsid w:val="19622F5E"/>
    <w:rsid w:val="196A3C88"/>
    <w:rsid w:val="196B7938"/>
    <w:rsid w:val="19704142"/>
    <w:rsid w:val="19707D4F"/>
    <w:rsid w:val="19744A3F"/>
    <w:rsid w:val="19766A09"/>
    <w:rsid w:val="19792055"/>
    <w:rsid w:val="199450E1"/>
    <w:rsid w:val="199C5D44"/>
    <w:rsid w:val="199C7AF2"/>
    <w:rsid w:val="19B60BB4"/>
    <w:rsid w:val="19BD25AA"/>
    <w:rsid w:val="19C21C4E"/>
    <w:rsid w:val="19C239FC"/>
    <w:rsid w:val="19C332D1"/>
    <w:rsid w:val="19C57049"/>
    <w:rsid w:val="19C86B39"/>
    <w:rsid w:val="19D76D7C"/>
    <w:rsid w:val="19D9027E"/>
    <w:rsid w:val="19E576EB"/>
    <w:rsid w:val="19F01E5D"/>
    <w:rsid w:val="1A116732"/>
    <w:rsid w:val="1A1324AA"/>
    <w:rsid w:val="1A2226ED"/>
    <w:rsid w:val="1A231FC1"/>
    <w:rsid w:val="1A2521DD"/>
    <w:rsid w:val="1A2975D8"/>
    <w:rsid w:val="1A330456"/>
    <w:rsid w:val="1A345F7C"/>
    <w:rsid w:val="1A385085"/>
    <w:rsid w:val="1A407D3A"/>
    <w:rsid w:val="1A444411"/>
    <w:rsid w:val="1A4A39F2"/>
    <w:rsid w:val="1A4E5290"/>
    <w:rsid w:val="1A4F2DB6"/>
    <w:rsid w:val="1A5D1977"/>
    <w:rsid w:val="1A5D54D3"/>
    <w:rsid w:val="1A6B4094"/>
    <w:rsid w:val="1A846F04"/>
    <w:rsid w:val="1A86686D"/>
    <w:rsid w:val="1A887069"/>
    <w:rsid w:val="1A911621"/>
    <w:rsid w:val="1A9703C8"/>
    <w:rsid w:val="1A98475D"/>
    <w:rsid w:val="1AA50C28"/>
    <w:rsid w:val="1AA938E9"/>
    <w:rsid w:val="1AB175CD"/>
    <w:rsid w:val="1AB53561"/>
    <w:rsid w:val="1ACD2659"/>
    <w:rsid w:val="1ADA521A"/>
    <w:rsid w:val="1AE259D8"/>
    <w:rsid w:val="1AF35E37"/>
    <w:rsid w:val="1AF8344E"/>
    <w:rsid w:val="1AF851FC"/>
    <w:rsid w:val="1B055785"/>
    <w:rsid w:val="1B067919"/>
    <w:rsid w:val="1B2304CB"/>
    <w:rsid w:val="1B297880"/>
    <w:rsid w:val="1B542D7A"/>
    <w:rsid w:val="1B5508A0"/>
    <w:rsid w:val="1B5543FC"/>
    <w:rsid w:val="1B632FBD"/>
    <w:rsid w:val="1B634D6B"/>
    <w:rsid w:val="1B770817"/>
    <w:rsid w:val="1B7927E1"/>
    <w:rsid w:val="1B7F1479"/>
    <w:rsid w:val="1B8076CB"/>
    <w:rsid w:val="1B8C2514"/>
    <w:rsid w:val="1B943177"/>
    <w:rsid w:val="1B99078D"/>
    <w:rsid w:val="1BA333BA"/>
    <w:rsid w:val="1BA64C58"/>
    <w:rsid w:val="1BB6133F"/>
    <w:rsid w:val="1BBB0703"/>
    <w:rsid w:val="1BBB36B4"/>
    <w:rsid w:val="1BEC6B0F"/>
    <w:rsid w:val="1BF260EF"/>
    <w:rsid w:val="1C1222ED"/>
    <w:rsid w:val="1C1E0C92"/>
    <w:rsid w:val="1C2344FA"/>
    <w:rsid w:val="1C262320"/>
    <w:rsid w:val="1C35495A"/>
    <w:rsid w:val="1C393D1E"/>
    <w:rsid w:val="1C4050AC"/>
    <w:rsid w:val="1C4526C3"/>
    <w:rsid w:val="1C4F709D"/>
    <w:rsid w:val="1C5D5C5E"/>
    <w:rsid w:val="1C662D65"/>
    <w:rsid w:val="1C6963B1"/>
    <w:rsid w:val="1C6B037B"/>
    <w:rsid w:val="1C7E25A5"/>
    <w:rsid w:val="1C8E7BC6"/>
    <w:rsid w:val="1C960037"/>
    <w:rsid w:val="1CA4563B"/>
    <w:rsid w:val="1CC030A6"/>
    <w:rsid w:val="1CC25AC1"/>
    <w:rsid w:val="1CD6156D"/>
    <w:rsid w:val="1CE1063D"/>
    <w:rsid w:val="1CE75528"/>
    <w:rsid w:val="1D043DE3"/>
    <w:rsid w:val="1D097B94"/>
    <w:rsid w:val="1D13631D"/>
    <w:rsid w:val="1D24481A"/>
    <w:rsid w:val="1D2642A2"/>
    <w:rsid w:val="1D273504"/>
    <w:rsid w:val="1D295B40"/>
    <w:rsid w:val="1D2F75FB"/>
    <w:rsid w:val="1D3E783E"/>
    <w:rsid w:val="1D3F5364"/>
    <w:rsid w:val="1D440BCC"/>
    <w:rsid w:val="1D50131F"/>
    <w:rsid w:val="1D556936"/>
    <w:rsid w:val="1D596426"/>
    <w:rsid w:val="1D5A03F0"/>
    <w:rsid w:val="1D5C1A72"/>
    <w:rsid w:val="1D7414B2"/>
    <w:rsid w:val="1D7940CD"/>
    <w:rsid w:val="1D7E6AF0"/>
    <w:rsid w:val="1D9B6A3E"/>
    <w:rsid w:val="1DAD49C3"/>
    <w:rsid w:val="1DB7139E"/>
    <w:rsid w:val="1DB73B41"/>
    <w:rsid w:val="1DBC4C07"/>
    <w:rsid w:val="1DBE097F"/>
    <w:rsid w:val="1DCF0496"/>
    <w:rsid w:val="1DCF493A"/>
    <w:rsid w:val="1DF0665E"/>
    <w:rsid w:val="1DF4614E"/>
    <w:rsid w:val="1DF81251"/>
    <w:rsid w:val="1E026ABD"/>
    <w:rsid w:val="1E0839A8"/>
    <w:rsid w:val="1E0C16EA"/>
    <w:rsid w:val="1E116D00"/>
    <w:rsid w:val="1E124827"/>
    <w:rsid w:val="1E1249C9"/>
    <w:rsid w:val="1E2F53D8"/>
    <w:rsid w:val="1E37603B"/>
    <w:rsid w:val="1E4F7829"/>
    <w:rsid w:val="1E635082"/>
    <w:rsid w:val="1E652BA8"/>
    <w:rsid w:val="1E686C52"/>
    <w:rsid w:val="1E6A01BF"/>
    <w:rsid w:val="1E6E4153"/>
    <w:rsid w:val="1E796654"/>
    <w:rsid w:val="1E876FC3"/>
    <w:rsid w:val="1E8F40C9"/>
    <w:rsid w:val="1E984D2C"/>
    <w:rsid w:val="1E9E60BA"/>
    <w:rsid w:val="1EA25BAA"/>
    <w:rsid w:val="1EA5569B"/>
    <w:rsid w:val="1EA731C1"/>
    <w:rsid w:val="1EAA4A5F"/>
    <w:rsid w:val="1EB3656C"/>
    <w:rsid w:val="1ECC5340"/>
    <w:rsid w:val="1ECD2E93"/>
    <w:rsid w:val="1ED8781E"/>
    <w:rsid w:val="1EDA17E8"/>
    <w:rsid w:val="1EDB10BC"/>
    <w:rsid w:val="1EDF0BAD"/>
    <w:rsid w:val="1EF108E0"/>
    <w:rsid w:val="1F09486E"/>
    <w:rsid w:val="1F106FB8"/>
    <w:rsid w:val="1F1F544D"/>
    <w:rsid w:val="1F1F71FB"/>
    <w:rsid w:val="1F2C1918"/>
    <w:rsid w:val="1F2C36C6"/>
    <w:rsid w:val="1F374545"/>
    <w:rsid w:val="1F4B4494"/>
    <w:rsid w:val="1F6E1F30"/>
    <w:rsid w:val="1F8976D3"/>
    <w:rsid w:val="1F8B2AE2"/>
    <w:rsid w:val="1F8C4524"/>
    <w:rsid w:val="1F8E4729"/>
    <w:rsid w:val="1F941997"/>
    <w:rsid w:val="1F9E45C4"/>
    <w:rsid w:val="1FA6791C"/>
    <w:rsid w:val="1FB21E1D"/>
    <w:rsid w:val="1FB913FE"/>
    <w:rsid w:val="1FC64EF1"/>
    <w:rsid w:val="1FD36F7E"/>
    <w:rsid w:val="1FD55B0C"/>
    <w:rsid w:val="1FD75D28"/>
    <w:rsid w:val="1FEC17D3"/>
    <w:rsid w:val="1FED10A7"/>
    <w:rsid w:val="1FF00B97"/>
    <w:rsid w:val="1FF02946"/>
    <w:rsid w:val="2000702C"/>
    <w:rsid w:val="200308CB"/>
    <w:rsid w:val="200563F1"/>
    <w:rsid w:val="200D34F7"/>
    <w:rsid w:val="20315438"/>
    <w:rsid w:val="20360CA0"/>
    <w:rsid w:val="203C5B8B"/>
    <w:rsid w:val="204038CD"/>
    <w:rsid w:val="204809D3"/>
    <w:rsid w:val="205253AE"/>
    <w:rsid w:val="20531852"/>
    <w:rsid w:val="20564E9E"/>
    <w:rsid w:val="20577DFF"/>
    <w:rsid w:val="206A26F8"/>
    <w:rsid w:val="207812B9"/>
    <w:rsid w:val="207F2A26"/>
    <w:rsid w:val="20AC4ABE"/>
    <w:rsid w:val="20AE4CDA"/>
    <w:rsid w:val="20B3409F"/>
    <w:rsid w:val="20B63B8F"/>
    <w:rsid w:val="20BA367F"/>
    <w:rsid w:val="20C37337"/>
    <w:rsid w:val="20C91B14"/>
    <w:rsid w:val="20CA763A"/>
    <w:rsid w:val="20D64231"/>
    <w:rsid w:val="20D81349"/>
    <w:rsid w:val="20D9162C"/>
    <w:rsid w:val="20E06E5E"/>
    <w:rsid w:val="20F12E19"/>
    <w:rsid w:val="210112AE"/>
    <w:rsid w:val="21154D5A"/>
    <w:rsid w:val="212C5BFF"/>
    <w:rsid w:val="213A031C"/>
    <w:rsid w:val="214116AB"/>
    <w:rsid w:val="21466CC1"/>
    <w:rsid w:val="214E2429"/>
    <w:rsid w:val="214E5B76"/>
    <w:rsid w:val="21514EF5"/>
    <w:rsid w:val="21515666"/>
    <w:rsid w:val="215552ED"/>
    <w:rsid w:val="215A6C10"/>
    <w:rsid w:val="21645399"/>
    <w:rsid w:val="21690C01"/>
    <w:rsid w:val="216B6728"/>
    <w:rsid w:val="21717AB6"/>
    <w:rsid w:val="217D46AD"/>
    <w:rsid w:val="2181181C"/>
    <w:rsid w:val="21837F15"/>
    <w:rsid w:val="21871088"/>
    <w:rsid w:val="218872DA"/>
    <w:rsid w:val="21891265"/>
    <w:rsid w:val="218E68BA"/>
    <w:rsid w:val="219263AA"/>
    <w:rsid w:val="21A525BC"/>
    <w:rsid w:val="21B75E11"/>
    <w:rsid w:val="21B76AE0"/>
    <w:rsid w:val="21CA5B44"/>
    <w:rsid w:val="21CD6779"/>
    <w:rsid w:val="21D73DBD"/>
    <w:rsid w:val="21E14C3C"/>
    <w:rsid w:val="21EC32C9"/>
    <w:rsid w:val="21F20BF7"/>
    <w:rsid w:val="21F506E7"/>
    <w:rsid w:val="21F52495"/>
    <w:rsid w:val="21FC7CC7"/>
    <w:rsid w:val="220152DE"/>
    <w:rsid w:val="2201708C"/>
    <w:rsid w:val="2208666C"/>
    <w:rsid w:val="220A5F40"/>
    <w:rsid w:val="220B7F0B"/>
    <w:rsid w:val="220D77DF"/>
    <w:rsid w:val="221B014E"/>
    <w:rsid w:val="221C3EC6"/>
    <w:rsid w:val="222B4109"/>
    <w:rsid w:val="222B5EB7"/>
    <w:rsid w:val="222C7388"/>
    <w:rsid w:val="22317971"/>
    <w:rsid w:val="22356D36"/>
    <w:rsid w:val="22394A78"/>
    <w:rsid w:val="22396826"/>
    <w:rsid w:val="22405E06"/>
    <w:rsid w:val="22482F0D"/>
    <w:rsid w:val="224A458F"/>
    <w:rsid w:val="22543660"/>
    <w:rsid w:val="22576CAC"/>
    <w:rsid w:val="225C2514"/>
    <w:rsid w:val="226E2973"/>
    <w:rsid w:val="228201CD"/>
    <w:rsid w:val="22835CF3"/>
    <w:rsid w:val="228C2DF9"/>
    <w:rsid w:val="22963C78"/>
    <w:rsid w:val="229B128E"/>
    <w:rsid w:val="22A04AF7"/>
    <w:rsid w:val="22A16179"/>
    <w:rsid w:val="22A46395"/>
    <w:rsid w:val="22AA14D2"/>
    <w:rsid w:val="22BA5BB9"/>
    <w:rsid w:val="22C146E6"/>
    <w:rsid w:val="22C205C9"/>
    <w:rsid w:val="22C63C28"/>
    <w:rsid w:val="22C97BAA"/>
    <w:rsid w:val="22D12F02"/>
    <w:rsid w:val="22D447A0"/>
    <w:rsid w:val="22D622C7"/>
    <w:rsid w:val="22D81D21"/>
    <w:rsid w:val="22D95913"/>
    <w:rsid w:val="22DD18A7"/>
    <w:rsid w:val="22E22A19"/>
    <w:rsid w:val="22E449E3"/>
    <w:rsid w:val="22E52653"/>
    <w:rsid w:val="23007343"/>
    <w:rsid w:val="2305495A"/>
    <w:rsid w:val="230A1F70"/>
    <w:rsid w:val="231B23CF"/>
    <w:rsid w:val="23201794"/>
    <w:rsid w:val="2322550C"/>
    <w:rsid w:val="23254986"/>
    <w:rsid w:val="23264FFC"/>
    <w:rsid w:val="233652EC"/>
    <w:rsid w:val="233A2855"/>
    <w:rsid w:val="23403BE4"/>
    <w:rsid w:val="23405858"/>
    <w:rsid w:val="23405992"/>
    <w:rsid w:val="234611FA"/>
    <w:rsid w:val="2346744C"/>
    <w:rsid w:val="23515DF1"/>
    <w:rsid w:val="23594841"/>
    <w:rsid w:val="236773C3"/>
    <w:rsid w:val="23694EE9"/>
    <w:rsid w:val="236B2A0F"/>
    <w:rsid w:val="237D11EE"/>
    <w:rsid w:val="23863CED"/>
    <w:rsid w:val="238735C1"/>
    <w:rsid w:val="238B4E5F"/>
    <w:rsid w:val="23A1249F"/>
    <w:rsid w:val="23A21A79"/>
    <w:rsid w:val="23A44173"/>
    <w:rsid w:val="23AE4FF1"/>
    <w:rsid w:val="23B5012E"/>
    <w:rsid w:val="23C10881"/>
    <w:rsid w:val="23C579E4"/>
    <w:rsid w:val="23CD5478"/>
    <w:rsid w:val="23D74548"/>
    <w:rsid w:val="23E822B1"/>
    <w:rsid w:val="23FF584D"/>
    <w:rsid w:val="24003A9F"/>
    <w:rsid w:val="2403533D"/>
    <w:rsid w:val="241A2687"/>
    <w:rsid w:val="241A4435"/>
    <w:rsid w:val="241C63FF"/>
    <w:rsid w:val="241F37F9"/>
    <w:rsid w:val="24213A15"/>
    <w:rsid w:val="24280900"/>
    <w:rsid w:val="242B4894"/>
    <w:rsid w:val="2432177F"/>
    <w:rsid w:val="24376D95"/>
    <w:rsid w:val="24386EC6"/>
    <w:rsid w:val="243E0123"/>
    <w:rsid w:val="245060A9"/>
    <w:rsid w:val="245B0CD5"/>
    <w:rsid w:val="246851A0"/>
    <w:rsid w:val="24741D97"/>
    <w:rsid w:val="24751037"/>
    <w:rsid w:val="247973AD"/>
    <w:rsid w:val="248C5333"/>
    <w:rsid w:val="249B3CCC"/>
    <w:rsid w:val="24CF521F"/>
    <w:rsid w:val="24DE1906"/>
    <w:rsid w:val="24E862E1"/>
    <w:rsid w:val="24F668CE"/>
    <w:rsid w:val="24FD3B3B"/>
    <w:rsid w:val="24FE5B05"/>
    <w:rsid w:val="250A6257"/>
    <w:rsid w:val="253634F0"/>
    <w:rsid w:val="253D03DB"/>
    <w:rsid w:val="253F23A5"/>
    <w:rsid w:val="25445C0D"/>
    <w:rsid w:val="254A2AF8"/>
    <w:rsid w:val="254B6F9C"/>
    <w:rsid w:val="256911D0"/>
    <w:rsid w:val="25714529"/>
    <w:rsid w:val="2572277A"/>
    <w:rsid w:val="25754019"/>
    <w:rsid w:val="25757B75"/>
    <w:rsid w:val="257A162F"/>
    <w:rsid w:val="257C53A7"/>
    <w:rsid w:val="258204E4"/>
    <w:rsid w:val="25853522"/>
    <w:rsid w:val="258B7398"/>
    <w:rsid w:val="25924AD2"/>
    <w:rsid w:val="259C77F7"/>
    <w:rsid w:val="25A8619C"/>
    <w:rsid w:val="25BA1A2C"/>
    <w:rsid w:val="25D24FC7"/>
    <w:rsid w:val="25D6438C"/>
    <w:rsid w:val="25DC4098"/>
    <w:rsid w:val="25DC7BF4"/>
    <w:rsid w:val="25DD5432"/>
    <w:rsid w:val="25E32DD5"/>
    <w:rsid w:val="25E42F4C"/>
    <w:rsid w:val="25E76599"/>
    <w:rsid w:val="25E92311"/>
    <w:rsid w:val="25FA2770"/>
    <w:rsid w:val="260158AC"/>
    <w:rsid w:val="260809E9"/>
    <w:rsid w:val="2609650F"/>
    <w:rsid w:val="261451ED"/>
    <w:rsid w:val="261B31D1"/>
    <w:rsid w:val="261D1FBA"/>
    <w:rsid w:val="26355556"/>
    <w:rsid w:val="263E440B"/>
    <w:rsid w:val="264439EB"/>
    <w:rsid w:val="264A1001"/>
    <w:rsid w:val="265005E2"/>
    <w:rsid w:val="2652435A"/>
    <w:rsid w:val="265956E8"/>
    <w:rsid w:val="26597496"/>
    <w:rsid w:val="26600825"/>
    <w:rsid w:val="26606A77"/>
    <w:rsid w:val="266F6CBA"/>
    <w:rsid w:val="267225B5"/>
    <w:rsid w:val="26753BA5"/>
    <w:rsid w:val="267A11BB"/>
    <w:rsid w:val="26834513"/>
    <w:rsid w:val="26936BE5"/>
    <w:rsid w:val="2694227D"/>
    <w:rsid w:val="26964247"/>
    <w:rsid w:val="269F0C21"/>
    <w:rsid w:val="26AB75C6"/>
    <w:rsid w:val="26AC3A6A"/>
    <w:rsid w:val="26AF355A"/>
    <w:rsid w:val="26B66697"/>
    <w:rsid w:val="26B91CE3"/>
    <w:rsid w:val="26D62895"/>
    <w:rsid w:val="26D7660D"/>
    <w:rsid w:val="26DE174A"/>
    <w:rsid w:val="26EF3957"/>
    <w:rsid w:val="26F92A28"/>
    <w:rsid w:val="27003DB6"/>
    <w:rsid w:val="270D1AB7"/>
    <w:rsid w:val="271909D4"/>
    <w:rsid w:val="27221F7E"/>
    <w:rsid w:val="272337D0"/>
    <w:rsid w:val="27271343"/>
    <w:rsid w:val="27281650"/>
    <w:rsid w:val="272F6449"/>
    <w:rsid w:val="273852FE"/>
    <w:rsid w:val="27475541"/>
    <w:rsid w:val="275163C0"/>
    <w:rsid w:val="27533EE6"/>
    <w:rsid w:val="275639D6"/>
    <w:rsid w:val="27565784"/>
    <w:rsid w:val="27606603"/>
    <w:rsid w:val="2767173F"/>
    <w:rsid w:val="27734588"/>
    <w:rsid w:val="27800A53"/>
    <w:rsid w:val="278B5528"/>
    <w:rsid w:val="27914A0E"/>
    <w:rsid w:val="27983FEE"/>
    <w:rsid w:val="27A504B9"/>
    <w:rsid w:val="27AE3812"/>
    <w:rsid w:val="27B64475"/>
    <w:rsid w:val="27BF157B"/>
    <w:rsid w:val="27C748D4"/>
    <w:rsid w:val="27D326C2"/>
    <w:rsid w:val="27D8263D"/>
    <w:rsid w:val="27DF5779"/>
    <w:rsid w:val="27EC60E8"/>
    <w:rsid w:val="27F60D15"/>
    <w:rsid w:val="27FC457D"/>
    <w:rsid w:val="280B2A12"/>
    <w:rsid w:val="280D12AA"/>
    <w:rsid w:val="2810627B"/>
    <w:rsid w:val="282633A8"/>
    <w:rsid w:val="282E6701"/>
    <w:rsid w:val="28327F9F"/>
    <w:rsid w:val="283A32F8"/>
    <w:rsid w:val="283C7070"/>
    <w:rsid w:val="283F090E"/>
    <w:rsid w:val="283F26BC"/>
    <w:rsid w:val="28481571"/>
    <w:rsid w:val="284D6B87"/>
    <w:rsid w:val="2852419D"/>
    <w:rsid w:val="2859377E"/>
    <w:rsid w:val="286345FC"/>
    <w:rsid w:val="287A1946"/>
    <w:rsid w:val="287C746C"/>
    <w:rsid w:val="288307FB"/>
    <w:rsid w:val="28846321"/>
    <w:rsid w:val="288B76AF"/>
    <w:rsid w:val="28920A3E"/>
    <w:rsid w:val="28996270"/>
    <w:rsid w:val="289C18BC"/>
    <w:rsid w:val="28A95D87"/>
    <w:rsid w:val="28CC03F4"/>
    <w:rsid w:val="28DE1ED5"/>
    <w:rsid w:val="28DE3C83"/>
    <w:rsid w:val="28E16B4E"/>
    <w:rsid w:val="28FE2577"/>
    <w:rsid w:val="290851A4"/>
    <w:rsid w:val="291B0A33"/>
    <w:rsid w:val="292559B5"/>
    <w:rsid w:val="294361DC"/>
    <w:rsid w:val="29491A44"/>
    <w:rsid w:val="294A3612"/>
    <w:rsid w:val="294C32E2"/>
    <w:rsid w:val="294C6E3F"/>
    <w:rsid w:val="294F4B81"/>
    <w:rsid w:val="295D104C"/>
    <w:rsid w:val="29634188"/>
    <w:rsid w:val="296543A4"/>
    <w:rsid w:val="29656152"/>
    <w:rsid w:val="29657F00"/>
    <w:rsid w:val="2973086F"/>
    <w:rsid w:val="297A7E50"/>
    <w:rsid w:val="297D349C"/>
    <w:rsid w:val="297E0FC2"/>
    <w:rsid w:val="2987256D"/>
    <w:rsid w:val="298A3E0B"/>
    <w:rsid w:val="29AA1DB7"/>
    <w:rsid w:val="29BB2216"/>
    <w:rsid w:val="29BC3991"/>
    <w:rsid w:val="29CC7F7F"/>
    <w:rsid w:val="29CF181E"/>
    <w:rsid w:val="29E057D9"/>
    <w:rsid w:val="29EC23D0"/>
    <w:rsid w:val="29EE6148"/>
    <w:rsid w:val="2A034D83"/>
    <w:rsid w:val="2A092F82"/>
    <w:rsid w:val="2A17569E"/>
    <w:rsid w:val="2A385615"/>
    <w:rsid w:val="2A3C5105"/>
    <w:rsid w:val="2A490E0C"/>
    <w:rsid w:val="2A5561C7"/>
    <w:rsid w:val="2A662182"/>
    <w:rsid w:val="2A703001"/>
    <w:rsid w:val="2A7228D5"/>
    <w:rsid w:val="2A746057"/>
    <w:rsid w:val="2A756869"/>
    <w:rsid w:val="2A88034A"/>
    <w:rsid w:val="2A8A5D4D"/>
    <w:rsid w:val="2A992557"/>
    <w:rsid w:val="2A9D36CA"/>
    <w:rsid w:val="2AA44A58"/>
    <w:rsid w:val="2AAB4039"/>
    <w:rsid w:val="2AAF1D7B"/>
    <w:rsid w:val="2ABE3D6C"/>
    <w:rsid w:val="2AD01CF1"/>
    <w:rsid w:val="2AE15CAC"/>
    <w:rsid w:val="2AE8528D"/>
    <w:rsid w:val="2AF027CC"/>
    <w:rsid w:val="2AF4778E"/>
    <w:rsid w:val="2B0100FD"/>
    <w:rsid w:val="2B057BED"/>
    <w:rsid w:val="2B0A0D5F"/>
    <w:rsid w:val="2B0E25E2"/>
    <w:rsid w:val="2B0F45C8"/>
    <w:rsid w:val="2B0F6376"/>
    <w:rsid w:val="2B1F1409"/>
    <w:rsid w:val="2B255B99"/>
    <w:rsid w:val="2B287437"/>
    <w:rsid w:val="2B30453E"/>
    <w:rsid w:val="2B3109E2"/>
    <w:rsid w:val="2B420D1D"/>
    <w:rsid w:val="2B457FE9"/>
    <w:rsid w:val="2B473D61"/>
    <w:rsid w:val="2B485D2C"/>
    <w:rsid w:val="2B4D50F0"/>
    <w:rsid w:val="2B606BD1"/>
    <w:rsid w:val="2B6A3EF4"/>
    <w:rsid w:val="2B6A7A50"/>
    <w:rsid w:val="2B6F32B8"/>
    <w:rsid w:val="2B797C93"/>
    <w:rsid w:val="2B8C5C18"/>
    <w:rsid w:val="2B940F71"/>
    <w:rsid w:val="2BAC0068"/>
    <w:rsid w:val="2BBB64FD"/>
    <w:rsid w:val="2BC81576"/>
    <w:rsid w:val="2BCE6231"/>
    <w:rsid w:val="2BCF6AFB"/>
    <w:rsid w:val="2BEA0B91"/>
    <w:rsid w:val="2BEE0681"/>
    <w:rsid w:val="2BEE68D3"/>
    <w:rsid w:val="2BEF7F55"/>
    <w:rsid w:val="2BF0264B"/>
    <w:rsid w:val="2BF10171"/>
    <w:rsid w:val="2C0003B4"/>
    <w:rsid w:val="2C02237E"/>
    <w:rsid w:val="2C027C88"/>
    <w:rsid w:val="2C034B3B"/>
    <w:rsid w:val="2C091017"/>
    <w:rsid w:val="2C1125C1"/>
    <w:rsid w:val="2C131E96"/>
    <w:rsid w:val="2C1C3440"/>
    <w:rsid w:val="2C1F4CDE"/>
    <w:rsid w:val="2C273B93"/>
    <w:rsid w:val="2C2B5431"/>
    <w:rsid w:val="2C464019"/>
    <w:rsid w:val="2C4E2ECE"/>
    <w:rsid w:val="2C4E7372"/>
    <w:rsid w:val="2C4F7F8C"/>
    <w:rsid w:val="2C5612F4"/>
    <w:rsid w:val="2C614B13"/>
    <w:rsid w:val="2C723060"/>
    <w:rsid w:val="2C752B50"/>
    <w:rsid w:val="2C772424"/>
    <w:rsid w:val="2C792640"/>
    <w:rsid w:val="2C923702"/>
    <w:rsid w:val="2C9D688B"/>
    <w:rsid w:val="2CB67C7C"/>
    <w:rsid w:val="2CBC077F"/>
    <w:rsid w:val="2CBC42DB"/>
    <w:rsid w:val="2CCA2E9C"/>
    <w:rsid w:val="2CCB2770"/>
    <w:rsid w:val="2CD0422B"/>
    <w:rsid w:val="2CE43832"/>
    <w:rsid w:val="2CEA52EC"/>
    <w:rsid w:val="2CEB2E12"/>
    <w:rsid w:val="2CF47F19"/>
    <w:rsid w:val="2CFB12A7"/>
    <w:rsid w:val="2D0637A8"/>
    <w:rsid w:val="2D0D2D89"/>
    <w:rsid w:val="2D200D0E"/>
    <w:rsid w:val="2D265BF9"/>
    <w:rsid w:val="2D3B5B48"/>
    <w:rsid w:val="2D4B38B1"/>
    <w:rsid w:val="2D4B565F"/>
    <w:rsid w:val="2D4F514F"/>
    <w:rsid w:val="2D633CAF"/>
    <w:rsid w:val="2D684463"/>
    <w:rsid w:val="2D713318"/>
    <w:rsid w:val="2D960FD0"/>
    <w:rsid w:val="2DAD00C8"/>
    <w:rsid w:val="2DB8624C"/>
    <w:rsid w:val="2DBF0527"/>
    <w:rsid w:val="2DC25921"/>
    <w:rsid w:val="2DC7118A"/>
    <w:rsid w:val="2DD218DC"/>
    <w:rsid w:val="2DD37B2E"/>
    <w:rsid w:val="2DD45655"/>
    <w:rsid w:val="2DDB3F6C"/>
    <w:rsid w:val="2DE57862"/>
    <w:rsid w:val="2DEE4968"/>
    <w:rsid w:val="2DF33D2D"/>
    <w:rsid w:val="2DF61A6F"/>
    <w:rsid w:val="2E132621"/>
    <w:rsid w:val="2E262354"/>
    <w:rsid w:val="2E2C36E3"/>
    <w:rsid w:val="2E3A195C"/>
    <w:rsid w:val="2E3A5DFF"/>
    <w:rsid w:val="2E3D769E"/>
    <w:rsid w:val="2E3F51C4"/>
    <w:rsid w:val="2E41718E"/>
    <w:rsid w:val="2E422F06"/>
    <w:rsid w:val="2E536EC1"/>
    <w:rsid w:val="2E556795"/>
    <w:rsid w:val="2E6030FC"/>
    <w:rsid w:val="2E662DF3"/>
    <w:rsid w:val="2E913546"/>
    <w:rsid w:val="2E9372BE"/>
    <w:rsid w:val="2E980D78"/>
    <w:rsid w:val="2EB931C8"/>
    <w:rsid w:val="2EBA1EDB"/>
    <w:rsid w:val="2ECB4CA9"/>
    <w:rsid w:val="2ED578D6"/>
    <w:rsid w:val="2EDC0C65"/>
    <w:rsid w:val="2EE30245"/>
    <w:rsid w:val="2EE63891"/>
    <w:rsid w:val="2EE6563F"/>
    <w:rsid w:val="2EEB6188"/>
    <w:rsid w:val="2EED2E72"/>
    <w:rsid w:val="2EF51D26"/>
    <w:rsid w:val="2EF85217"/>
    <w:rsid w:val="2F0D0E1E"/>
    <w:rsid w:val="2F124686"/>
    <w:rsid w:val="2F1877C3"/>
    <w:rsid w:val="2F195A15"/>
    <w:rsid w:val="2F1E74CF"/>
    <w:rsid w:val="2F25260C"/>
    <w:rsid w:val="2F340AA1"/>
    <w:rsid w:val="2F4D3910"/>
    <w:rsid w:val="2F633134"/>
    <w:rsid w:val="2F7C3537"/>
    <w:rsid w:val="2F832EF4"/>
    <w:rsid w:val="2F880DEC"/>
    <w:rsid w:val="2F8A6913"/>
    <w:rsid w:val="2F8C4439"/>
    <w:rsid w:val="2F8F5CD7"/>
    <w:rsid w:val="2F9A4B34"/>
    <w:rsid w:val="2F9B28CE"/>
    <w:rsid w:val="2FB120F1"/>
    <w:rsid w:val="2FB971F8"/>
    <w:rsid w:val="2FBB4D1E"/>
    <w:rsid w:val="2FC516F9"/>
    <w:rsid w:val="2FCA6D0F"/>
    <w:rsid w:val="2FD22068"/>
    <w:rsid w:val="2FD933F6"/>
    <w:rsid w:val="2FDE0A0C"/>
    <w:rsid w:val="2FE75B13"/>
    <w:rsid w:val="2FF26266"/>
    <w:rsid w:val="30121DFF"/>
    <w:rsid w:val="30142680"/>
    <w:rsid w:val="301601A6"/>
    <w:rsid w:val="30182170"/>
    <w:rsid w:val="30183F1E"/>
    <w:rsid w:val="301B0871"/>
    <w:rsid w:val="301B756B"/>
    <w:rsid w:val="30234671"/>
    <w:rsid w:val="302D729E"/>
    <w:rsid w:val="30442F65"/>
    <w:rsid w:val="304C3BC8"/>
    <w:rsid w:val="304F22A9"/>
    <w:rsid w:val="306058C5"/>
    <w:rsid w:val="30670A02"/>
    <w:rsid w:val="306A22A0"/>
    <w:rsid w:val="3071362F"/>
    <w:rsid w:val="30755674"/>
    <w:rsid w:val="308710A4"/>
    <w:rsid w:val="309F3091"/>
    <w:rsid w:val="30AA4FAA"/>
    <w:rsid w:val="30CC6AB7"/>
    <w:rsid w:val="30CE282F"/>
    <w:rsid w:val="30D8545C"/>
    <w:rsid w:val="30DF2C8E"/>
    <w:rsid w:val="30E42053"/>
    <w:rsid w:val="30E67B79"/>
    <w:rsid w:val="30F027A5"/>
    <w:rsid w:val="30F06C49"/>
    <w:rsid w:val="30F93D50"/>
    <w:rsid w:val="3106646D"/>
    <w:rsid w:val="310F4C68"/>
    <w:rsid w:val="311C359A"/>
    <w:rsid w:val="311D7312"/>
    <w:rsid w:val="311F15F9"/>
    <w:rsid w:val="31224929"/>
    <w:rsid w:val="313A6116"/>
    <w:rsid w:val="3152520E"/>
    <w:rsid w:val="31615451"/>
    <w:rsid w:val="31741628"/>
    <w:rsid w:val="31810686"/>
    <w:rsid w:val="318135CB"/>
    <w:rsid w:val="318D4498"/>
    <w:rsid w:val="318F1FBE"/>
    <w:rsid w:val="31994BEB"/>
    <w:rsid w:val="319E48F7"/>
    <w:rsid w:val="31A812D2"/>
    <w:rsid w:val="31A87524"/>
    <w:rsid w:val="31AA329C"/>
    <w:rsid w:val="31B5579D"/>
    <w:rsid w:val="31D67BED"/>
    <w:rsid w:val="31D9148B"/>
    <w:rsid w:val="31E00A6C"/>
    <w:rsid w:val="31E247E4"/>
    <w:rsid w:val="31E50C02"/>
    <w:rsid w:val="31E85B72"/>
    <w:rsid w:val="3203475A"/>
    <w:rsid w:val="32087FC3"/>
    <w:rsid w:val="3212499D"/>
    <w:rsid w:val="322070BA"/>
    <w:rsid w:val="322546D1"/>
    <w:rsid w:val="322946C9"/>
    <w:rsid w:val="322C1F03"/>
    <w:rsid w:val="32326DEE"/>
    <w:rsid w:val="32342B66"/>
    <w:rsid w:val="32396127"/>
    <w:rsid w:val="323B04A4"/>
    <w:rsid w:val="323D1A1A"/>
    <w:rsid w:val="323F1C36"/>
    <w:rsid w:val="32505B7F"/>
    <w:rsid w:val="325E7BE3"/>
    <w:rsid w:val="326A47D9"/>
    <w:rsid w:val="326F71AB"/>
    <w:rsid w:val="328F5FEE"/>
    <w:rsid w:val="32AA2E28"/>
    <w:rsid w:val="32AE2918"/>
    <w:rsid w:val="32AF737A"/>
    <w:rsid w:val="32B51EF8"/>
    <w:rsid w:val="32BD6C42"/>
    <w:rsid w:val="32C043F9"/>
    <w:rsid w:val="32CB5278"/>
    <w:rsid w:val="32CC0FF0"/>
    <w:rsid w:val="32D83E39"/>
    <w:rsid w:val="32DB1233"/>
    <w:rsid w:val="32E14A9C"/>
    <w:rsid w:val="32E20814"/>
    <w:rsid w:val="33154745"/>
    <w:rsid w:val="3328091C"/>
    <w:rsid w:val="333A7FDD"/>
    <w:rsid w:val="334212B2"/>
    <w:rsid w:val="3344502A"/>
    <w:rsid w:val="33525999"/>
    <w:rsid w:val="33550FE6"/>
    <w:rsid w:val="335C4122"/>
    <w:rsid w:val="33680D19"/>
    <w:rsid w:val="3381627F"/>
    <w:rsid w:val="33941B0E"/>
    <w:rsid w:val="33A61841"/>
    <w:rsid w:val="33C00B55"/>
    <w:rsid w:val="33C06DA7"/>
    <w:rsid w:val="33D463AE"/>
    <w:rsid w:val="33D740F0"/>
    <w:rsid w:val="33DF6B01"/>
    <w:rsid w:val="33E365F1"/>
    <w:rsid w:val="33E81E5A"/>
    <w:rsid w:val="33EA5BD2"/>
    <w:rsid w:val="33F407FF"/>
    <w:rsid w:val="3409025B"/>
    <w:rsid w:val="340A6274"/>
    <w:rsid w:val="34266ACB"/>
    <w:rsid w:val="34272982"/>
    <w:rsid w:val="342804A8"/>
    <w:rsid w:val="34337579"/>
    <w:rsid w:val="34367069"/>
    <w:rsid w:val="34390907"/>
    <w:rsid w:val="343E1A7A"/>
    <w:rsid w:val="344277BC"/>
    <w:rsid w:val="34441786"/>
    <w:rsid w:val="345474EF"/>
    <w:rsid w:val="345B6AD0"/>
    <w:rsid w:val="34655258"/>
    <w:rsid w:val="347656B7"/>
    <w:rsid w:val="34790D04"/>
    <w:rsid w:val="348002E4"/>
    <w:rsid w:val="348A1163"/>
    <w:rsid w:val="34A246FE"/>
    <w:rsid w:val="34AB35B3"/>
    <w:rsid w:val="34AE30A3"/>
    <w:rsid w:val="34B166F0"/>
    <w:rsid w:val="34B21B0F"/>
    <w:rsid w:val="34B85CD0"/>
    <w:rsid w:val="34BB131C"/>
    <w:rsid w:val="34BF705E"/>
    <w:rsid w:val="34C826ED"/>
    <w:rsid w:val="34D83C7C"/>
    <w:rsid w:val="34DA3E98"/>
    <w:rsid w:val="34DA79F4"/>
    <w:rsid w:val="34FC3E0F"/>
    <w:rsid w:val="35103416"/>
    <w:rsid w:val="35154ED0"/>
    <w:rsid w:val="3518676F"/>
    <w:rsid w:val="351A4295"/>
    <w:rsid w:val="352073D1"/>
    <w:rsid w:val="35227EF9"/>
    <w:rsid w:val="35245113"/>
    <w:rsid w:val="35284C04"/>
    <w:rsid w:val="353438FB"/>
    <w:rsid w:val="353C420B"/>
    <w:rsid w:val="354B08F2"/>
    <w:rsid w:val="355754E9"/>
    <w:rsid w:val="355A0B35"/>
    <w:rsid w:val="356419B4"/>
    <w:rsid w:val="357339A5"/>
    <w:rsid w:val="35777939"/>
    <w:rsid w:val="357C6CFE"/>
    <w:rsid w:val="35873781"/>
    <w:rsid w:val="358A08C4"/>
    <w:rsid w:val="35942299"/>
    <w:rsid w:val="359C114E"/>
    <w:rsid w:val="35A26038"/>
    <w:rsid w:val="35BA7826"/>
    <w:rsid w:val="35C00759"/>
    <w:rsid w:val="35C10BB4"/>
    <w:rsid w:val="35C366DA"/>
    <w:rsid w:val="35D02BA5"/>
    <w:rsid w:val="35D54660"/>
    <w:rsid w:val="35FC7E3E"/>
    <w:rsid w:val="36080591"/>
    <w:rsid w:val="360D3DFA"/>
    <w:rsid w:val="36174C78"/>
    <w:rsid w:val="36176A26"/>
    <w:rsid w:val="3628478F"/>
    <w:rsid w:val="362F3D70"/>
    <w:rsid w:val="363B44C3"/>
    <w:rsid w:val="36592B9B"/>
    <w:rsid w:val="365B4B65"/>
    <w:rsid w:val="365B6913"/>
    <w:rsid w:val="365C268B"/>
    <w:rsid w:val="36626903"/>
    <w:rsid w:val="3668693C"/>
    <w:rsid w:val="366E2AEA"/>
    <w:rsid w:val="369D33CF"/>
    <w:rsid w:val="369E4A52"/>
    <w:rsid w:val="36AF6C5F"/>
    <w:rsid w:val="36B349A1"/>
    <w:rsid w:val="36BE50F4"/>
    <w:rsid w:val="36C26992"/>
    <w:rsid w:val="36C546D4"/>
    <w:rsid w:val="36C97D20"/>
    <w:rsid w:val="36CA3A99"/>
    <w:rsid w:val="36F079A3"/>
    <w:rsid w:val="36F31241"/>
    <w:rsid w:val="36F673EE"/>
    <w:rsid w:val="36FC6348"/>
    <w:rsid w:val="37046FAB"/>
    <w:rsid w:val="371F3DE4"/>
    <w:rsid w:val="37307DA0"/>
    <w:rsid w:val="37392328"/>
    <w:rsid w:val="374B6987"/>
    <w:rsid w:val="37506F8C"/>
    <w:rsid w:val="3757357E"/>
    <w:rsid w:val="376B527C"/>
    <w:rsid w:val="376E2676"/>
    <w:rsid w:val="3771317E"/>
    <w:rsid w:val="377203B8"/>
    <w:rsid w:val="37735EDE"/>
    <w:rsid w:val="377A54BF"/>
    <w:rsid w:val="377B744B"/>
    <w:rsid w:val="378123A9"/>
    <w:rsid w:val="378B76CC"/>
    <w:rsid w:val="37904CE2"/>
    <w:rsid w:val="379C4C58"/>
    <w:rsid w:val="37A27B7C"/>
    <w:rsid w:val="37A661A0"/>
    <w:rsid w:val="37A66786"/>
    <w:rsid w:val="37AB1B1C"/>
    <w:rsid w:val="37BA1D5F"/>
    <w:rsid w:val="37BC5AD7"/>
    <w:rsid w:val="37C4673A"/>
    <w:rsid w:val="37C52BDE"/>
    <w:rsid w:val="37C8447C"/>
    <w:rsid w:val="37CE1367"/>
    <w:rsid w:val="37DC3A83"/>
    <w:rsid w:val="37EF7C5B"/>
    <w:rsid w:val="37FF5047"/>
    <w:rsid w:val="38003C16"/>
    <w:rsid w:val="38080D1C"/>
    <w:rsid w:val="381C47C8"/>
    <w:rsid w:val="381E409C"/>
    <w:rsid w:val="381E5E4A"/>
    <w:rsid w:val="38237904"/>
    <w:rsid w:val="382471D8"/>
    <w:rsid w:val="3830058E"/>
    <w:rsid w:val="38325D99"/>
    <w:rsid w:val="38334452"/>
    <w:rsid w:val="383C4522"/>
    <w:rsid w:val="384B29B7"/>
    <w:rsid w:val="384C6E5B"/>
    <w:rsid w:val="385C4BC4"/>
    <w:rsid w:val="385C6972"/>
    <w:rsid w:val="385E6B8E"/>
    <w:rsid w:val="386121DB"/>
    <w:rsid w:val="38637D01"/>
    <w:rsid w:val="386817BB"/>
    <w:rsid w:val="387463B2"/>
    <w:rsid w:val="387737AC"/>
    <w:rsid w:val="38803573"/>
    <w:rsid w:val="388E7474"/>
    <w:rsid w:val="3894435E"/>
    <w:rsid w:val="38983E4E"/>
    <w:rsid w:val="389C3213"/>
    <w:rsid w:val="38AD5420"/>
    <w:rsid w:val="38AE3672"/>
    <w:rsid w:val="38B92017"/>
    <w:rsid w:val="38D26C34"/>
    <w:rsid w:val="38D37F4B"/>
    <w:rsid w:val="38DD7AB3"/>
    <w:rsid w:val="38DF7CCF"/>
    <w:rsid w:val="38EA21D0"/>
    <w:rsid w:val="38EC419A"/>
    <w:rsid w:val="38F35529"/>
    <w:rsid w:val="390A4620"/>
    <w:rsid w:val="390B1759"/>
    <w:rsid w:val="390B2A81"/>
    <w:rsid w:val="390E5784"/>
    <w:rsid w:val="391A2AB5"/>
    <w:rsid w:val="392C4597"/>
    <w:rsid w:val="39332945"/>
    <w:rsid w:val="393D49F6"/>
    <w:rsid w:val="3947398A"/>
    <w:rsid w:val="395B4E7C"/>
    <w:rsid w:val="39616936"/>
    <w:rsid w:val="39761CB6"/>
    <w:rsid w:val="397877DC"/>
    <w:rsid w:val="397A3554"/>
    <w:rsid w:val="397F0B6A"/>
    <w:rsid w:val="398402F3"/>
    <w:rsid w:val="39A24859"/>
    <w:rsid w:val="39A763EE"/>
    <w:rsid w:val="39A84565"/>
    <w:rsid w:val="39A93E39"/>
    <w:rsid w:val="39BA6046"/>
    <w:rsid w:val="39BD78E5"/>
    <w:rsid w:val="39C26CA9"/>
    <w:rsid w:val="39C40C73"/>
    <w:rsid w:val="39C46EC5"/>
    <w:rsid w:val="39C80763"/>
    <w:rsid w:val="39CD3FCC"/>
    <w:rsid w:val="39D92970"/>
    <w:rsid w:val="39DC5FBD"/>
    <w:rsid w:val="39E135D3"/>
    <w:rsid w:val="39F50E2C"/>
    <w:rsid w:val="39FA28E7"/>
    <w:rsid w:val="39FC21BB"/>
    <w:rsid w:val="3A0472C2"/>
    <w:rsid w:val="3A06128C"/>
    <w:rsid w:val="3A086314"/>
    <w:rsid w:val="3A105C66"/>
    <w:rsid w:val="3A125E82"/>
    <w:rsid w:val="3A145757"/>
    <w:rsid w:val="3A1514CF"/>
    <w:rsid w:val="3A1A4D37"/>
    <w:rsid w:val="3A231E3E"/>
    <w:rsid w:val="3A2D4A6A"/>
    <w:rsid w:val="3A347BA7"/>
    <w:rsid w:val="3A377697"/>
    <w:rsid w:val="3A3C6A5B"/>
    <w:rsid w:val="3A445910"/>
    <w:rsid w:val="3A4A1178"/>
    <w:rsid w:val="3A4B6C9E"/>
    <w:rsid w:val="3A570AD9"/>
    <w:rsid w:val="3A5B15D7"/>
    <w:rsid w:val="3A5F276E"/>
    <w:rsid w:val="3A685AA2"/>
    <w:rsid w:val="3A8723CC"/>
    <w:rsid w:val="3A8A5A19"/>
    <w:rsid w:val="3A916ECC"/>
    <w:rsid w:val="3A9E7716"/>
    <w:rsid w:val="3AA31A28"/>
    <w:rsid w:val="3AA80595"/>
    <w:rsid w:val="3AC56A51"/>
    <w:rsid w:val="3AD6236B"/>
    <w:rsid w:val="3AD84480"/>
    <w:rsid w:val="3ADE3FB6"/>
    <w:rsid w:val="3AE85519"/>
    <w:rsid w:val="3AEE41FA"/>
    <w:rsid w:val="3AF47336"/>
    <w:rsid w:val="3AF70469"/>
    <w:rsid w:val="3B023801"/>
    <w:rsid w:val="3B0774FE"/>
    <w:rsid w:val="3B0A4DAB"/>
    <w:rsid w:val="3B1672AC"/>
    <w:rsid w:val="3B181276"/>
    <w:rsid w:val="3B1874C8"/>
    <w:rsid w:val="3B1B48C3"/>
    <w:rsid w:val="3B1D063B"/>
    <w:rsid w:val="3B245E6D"/>
    <w:rsid w:val="3B2F036E"/>
    <w:rsid w:val="3B392F9B"/>
    <w:rsid w:val="3B40257B"/>
    <w:rsid w:val="3B404329"/>
    <w:rsid w:val="3B540F72"/>
    <w:rsid w:val="3B563B4D"/>
    <w:rsid w:val="3B5E2A01"/>
    <w:rsid w:val="3B714E2B"/>
    <w:rsid w:val="3B7566C9"/>
    <w:rsid w:val="3B824942"/>
    <w:rsid w:val="3B8406BA"/>
    <w:rsid w:val="3B8C3A12"/>
    <w:rsid w:val="3B8E1539"/>
    <w:rsid w:val="3B9308FD"/>
    <w:rsid w:val="3BA1126C"/>
    <w:rsid w:val="3BA448B8"/>
    <w:rsid w:val="3BA50630"/>
    <w:rsid w:val="3BA64AD4"/>
    <w:rsid w:val="3BB014AF"/>
    <w:rsid w:val="3BB32D4D"/>
    <w:rsid w:val="3BBA0580"/>
    <w:rsid w:val="3BBD597A"/>
    <w:rsid w:val="3BC625F4"/>
    <w:rsid w:val="3BD056AD"/>
    <w:rsid w:val="3BD66A3C"/>
    <w:rsid w:val="3BE41159"/>
    <w:rsid w:val="3BE82DC5"/>
    <w:rsid w:val="3BEE0229"/>
    <w:rsid w:val="3BF3370C"/>
    <w:rsid w:val="3BF70E8C"/>
    <w:rsid w:val="3BF910A8"/>
    <w:rsid w:val="3C1A101E"/>
    <w:rsid w:val="3C2B6D87"/>
    <w:rsid w:val="3C2E0626"/>
    <w:rsid w:val="3C357C06"/>
    <w:rsid w:val="3C3A6FCB"/>
    <w:rsid w:val="3C3C0F95"/>
    <w:rsid w:val="3C3D6ABB"/>
    <w:rsid w:val="3C3E4D0D"/>
    <w:rsid w:val="3C4340D1"/>
    <w:rsid w:val="3C4758CA"/>
    <w:rsid w:val="3C4816E7"/>
    <w:rsid w:val="3C502C92"/>
    <w:rsid w:val="3C577B7C"/>
    <w:rsid w:val="3C591B47"/>
    <w:rsid w:val="3C5E715D"/>
    <w:rsid w:val="3C6978B0"/>
    <w:rsid w:val="3C6F136A"/>
    <w:rsid w:val="3C706E90"/>
    <w:rsid w:val="3C7626F9"/>
    <w:rsid w:val="3C793F97"/>
    <w:rsid w:val="3C81109D"/>
    <w:rsid w:val="3C8666B4"/>
    <w:rsid w:val="3C875E4E"/>
    <w:rsid w:val="3CA31014"/>
    <w:rsid w:val="3CA803D8"/>
    <w:rsid w:val="3CAB1C76"/>
    <w:rsid w:val="3CAC611A"/>
    <w:rsid w:val="3CC66AB0"/>
    <w:rsid w:val="3CD613E9"/>
    <w:rsid w:val="3CD7220A"/>
    <w:rsid w:val="3CD76F0F"/>
    <w:rsid w:val="3CDD4FE7"/>
    <w:rsid w:val="3CE27D8E"/>
    <w:rsid w:val="3CE82ECA"/>
    <w:rsid w:val="3CF25AF7"/>
    <w:rsid w:val="3CF67395"/>
    <w:rsid w:val="3CFB4FDE"/>
    <w:rsid w:val="3D000214"/>
    <w:rsid w:val="3D0221DE"/>
    <w:rsid w:val="3D073351"/>
    <w:rsid w:val="3D09356D"/>
    <w:rsid w:val="3D0A2E41"/>
    <w:rsid w:val="3D0D2931"/>
    <w:rsid w:val="3D101791"/>
    <w:rsid w:val="3D145A6E"/>
    <w:rsid w:val="3D2263DC"/>
    <w:rsid w:val="3D290A1D"/>
    <w:rsid w:val="3D3D3216"/>
    <w:rsid w:val="3D483FA5"/>
    <w:rsid w:val="3D4A76E1"/>
    <w:rsid w:val="3D4D1558"/>
    <w:rsid w:val="3D566086"/>
    <w:rsid w:val="3D583BAC"/>
    <w:rsid w:val="3D5B369C"/>
    <w:rsid w:val="3D6F7148"/>
    <w:rsid w:val="3D736C38"/>
    <w:rsid w:val="3D820C29"/>
    <w:rsid w:val="3D8E75CE"/>
    <w:rsid w:val="3D8F4E37"/>
    <w:rsid w:val="3D913562"/>
    <w:rsid w:val="3D956BAE"/>
    <w:rsid w:val="3D9A41C5"/>
    <w:rsid w:val="3DA768E2"/>
    <w:rsid w:val="3DB159B2"/>
    <w:rsid w:val="3DBF1E7D"/>
    <w:rsid w:val="3DC2538F"/>
    <w:rsid w:val="3DDA6CB7"/>
    <w:rsid w:val="3DDC2A2F"/>
    <w:rsid w:val="3DE9514C"/>
    <w:rsid w:val="3DF71617"/>
    <w:rsid w:val="3E014244"/>
    <w:rsid w:val="3E0C52B0"/>
    <w:rsid w:val="3E0E6961"/>
    <w:rsid w:val="3E1622ED"/>
    <w:rsid w:val="3E18333B"/>
    <w:rsid w:val="3E1A70B4"/>
    <w:rsid w:val="3E1C1B38"/>
    <w:rsid w:val="3E2241BA"/>
    <w:rsid w:val="3E2B12C1"/>
    <w:rsid w:val="3E38578C"/>
    <w:rsid w:val="3E43589F"/>
    <w:rsid w:val="3E546A69"/>
    <w:rsid w:val="3E55633E"/>
    <w:rsid w:val="3E6A7C8A"/>
    <w:rsid w:val="3E6D18D9"/>
    <w:rsid w:val="3E6E11AD"/>
    <w:rsid w:val="3E703A7C"/>
    <w:rsid w:val="3E7762B4"/>
    <w:rsid w:val="3E8135D7"/>
    <w:rsid w:val="3E9055C8"/>
    <w:rsid w:val="3E927592"/>
    <w:rsid w:val="3E9E1A93"/>
    <w:rsid w:val="3EA42E21"/>
    <w:rsid w:val="3EA572C5"/>
    <w:rsid w:val="3EAB0654"/>
    <w:rsid w:val="3EAD617A"/>
    <w:rsid w:val="3EB412B6"/>
    <w:rsid w:val="3EB94B1E"/>
    <w:rsid w:val="3EBC3B56"/>
    <w:rsid w:val="3EC7548D"/>
    <w:rsid w:val="3ECA0ADA"/>
    <w:rsid w:val="3ED951C1"/>
    <w:rsid w:val="3EED6576"/>
    <w:rsid w:val="3EF47905"/>
    <w:rsid w:val="3F0062A9"/>
    <w:rsid w:val="3F045412"/>
    <w:rsid w:val="3F073ADC"/>
    <w:rsid w:val="3F0C10F2"/>
    <w:rsid w:val="3F12422F"/>
    <w:rsid w:val="3F281CA4"/>
    <w:rsid w:val="3F2A1578"/>
    <w:rsid w:val="3F2D2E17"/>
    <w:rsid w:val="3F310B59"/>
    <w:rsid w:val="3F3643C1"/>
    <w:rsid w:val="3F36616F"/>
    <w:rsid w:val="3F373C95"/>
    <w:rsid w:val="3F4723DB"/>
    <w:rsid w:val="3F474FAC"/>
    <w:rsid w:val="3F4B392D"/>
    <w:rsid w:val="3F4E1470"/>
    <w:rsid w:val="3F4F7231"/>
    <w:rsid w:val="3F5B3E28"/>
    <w:rsid w:val="3F6031EC"/>
    <w:rsid w:val="3F746C97"/>
    <w:rsid w:val="3F8073EA"/>
    <w:rsid w:val="3F823162"/>
    <w:rsid w:val="3F8A0269"/>
    <w:rsid w:val="3F8A2017"/>
    <w:rsid w:val="3F9D1D4A"/>
    <w:rsid w:val="3FA255B3"/>
    <w:rsid w:val="3FAE21A9"/>
    <w:rsid w:val="3FB672B0"/>
    <w:rsid w:val="3FBA6DA0"/>
    <w:rsid w:val="3FBD063E"/>
    <w:rsid w:val="3FC30E51"/>
    <w:rsid w:val="3FC45529"/>
    <w:rsid w:val="3FC65745"/>
    <w:rsid w:val="3FD06369"/>
    <w:rsid w:val="3FD6050A"/>
    <w:rsid w:val="3FDC31A6"/>
    <w:rsid w:val="3FE060DB"/>
    <w:rsid w:val="3FEA0D08"/>
    <w:rsid w:val="3FFA719D"/>
    <w:rsid w:val="3FFD0A3B"/>
    <w:rsid w:val="400B3158"/>
    <w:rsid w:val="401069C0"/>
    <w:rsid w:val="402661E4"/>
    <w:rsid w:val="40273D0A"/>
    <w:rsid w:val="403A3A3D"/>
    <w:rsid w:val="40464190"/>
    <w:rsid w:val="40477F08"/>
    <w:rsid w:val="406228F9"/>
    <w:rsid w:val="406330B9"/>
    <w:rsid w:val="406D5BC1"/>
    <w:rsid w:val="4070745F"/>
    <w:rsid w:val="4070746C"/>
    <w:rsid w:val="40714F85"/>
    <w:rsid w:val="407249CF"/>
    <w:rsid w:val="40752CC7"/>
    <w:rsid w:val="407F3B46"/>
    <w:rsid w:val="408F1FDB"/>
    <w:rsid w:val="40953369"/>
    <w:rsid w:val="40955117"/>
    <w:rsid w:val="40980764"/>
    <w:rsid w:val="409A272E"/>
    <w:rsid w:val="409E221E"/>
    <w:rsid w:val="409E3FCC"/>
    <w:rsid w:val="40A4535A"/>
    <w:rsid w:val="40A86BF9"/>
    <w:rsid w:val="40A92971"/>
    <w:rsid w:val="40BA4B7E"/>
    <w:rsid w:val="40BF2194"/>
    <w:rsid w:val="40C94DC1"/>
    <w:rsid w:val="40CE4185"/>
    <w:rsid w:val="40D95004"/>
    <w:rsid w:val="40DC1869"/>
    <w:rsid w:val="40E83499"/>
    <w:rsid w:val="40F7192E"/>
    <w:rsid w:val="41040A5E"/>
    <w:rsid w:val="41126768"/>
    <w:rsid w:val="41197AF6"/>
    <w:rsid w:val="411A73CB"/>
    <w:rsid w:val="411E510D"/>
    <w:rsid w:val="41306BEE"/>
    <w:rsid w:val="41354204"/>
    <w:rsid w:val="414A7CB0"/>
    <w:rsid w:val="415D5C35"/>
    <w:rsid w:val="4162149D"/>
    <w:rsid w:val="4168282C"/>
    <w:rsid w:val="41686388"/>
    <w:rsid w:val="4177481D"/>
    <w:rsid w:val="41790595"/>
    <w:rsid w:val="41792C41"/>
    <w:rsid w:val="418103E9"/>
    <w:rsid w:val="4182569C"/>
    <w:rsid w:val="4182744A"/>
    <w:rsid w:val="41895373"/>
    <w:rsid w:val="41913B31"/>
    <w:rsid w:val="419256D7"/>
    <w:rsid w:val="41984EBF"/>
    <w:rsid w:val="419D24D5"/>
    <w:rsid w:val="419D5C78"/>
    <w:rsid w:val="41A27AEC"/>
    <w:rsid w:val="41AF2209"/>
    <w:rsid w:val="41B25855"/>
    <w:rsid w:val="41BC157F"/>
    <w:rsid w:val="41BD66D4"/>
    <w:rsid w:val="41BF069E"/>
    <w:rsid w:val="41C23CEA"/>
    <w:rsid w:val="41C537DA"/>
    <w:rsid w:val="41CA2B9F"/>
    <w:rsid w:val="41D57EC1"/>
    <w:rsid w:val="41E023C2"/>
    <w:rsid w:val="41E41EB2"/>
    <w:rsid w:val="41E9571B"/>
    <w:rsid w:val="41EA1493"/>
    <w:rsid w:val="41EC6FB9"/>
    <w:rsid w:val="41FF4F3E"/>
    <w:rsid w:val="420460B1"/>
    <w:rsid w:val="420F4A55"/>
    <w:rsid w:val="42140B1B"/>
    <w:rsid w:val="42276243"/>
    <w:rsid w:val="4230334A"/>
    <w:rsid w:val="424010B3"/>
    <w:rsid w:val="42440BA3"/>
    <w:rsid w:val="42533248"/>
    <w:rsid w:val="4269685C"/>
    <w:rsid w:val="42723962"/>
    <w:rsid w:val="427B20EB"/>
    <w:rsid w:val="428A1FC5"/>
    <w:rsid w:val="429A4C67"/>
    <w:rsid w:val="42B45D29"/>
    <w:rsid w:val="42B705DC"/>
    <w:rsid w:val="42BA2C13"/>
    <w:rsid w:val="42BF022A"/>
    <w:rsid w:val="42C121F4"/>
    <w:rsid w:val="42C817D4"/>
    <w:rsid w:val="42CE22CA"/>
    <w:rsid w:val="42D55C9F"/>
    <w:rsid w:val="42D71A17"/>
    <w:rsid w:val="42DF267A"/>
    <w:rsid w:val="42DF6B1E"/>
    <w:rsid w:val="42ED123B"/>
    <w:rsid w:val="42F41450"/>
    <w:rsid w:val="42FE6FA4"/>
    <w:rsid w:val="430640AA"/>
    <w:rsid w:val="430D71E7"/>
    <w:rsid w:val="43192030"/>
    <w:rsid w:val="43221D35"/>
    <w:rsid w:val="43324E9F"/>
    <w:rsid w:val="43370708"/>
    <w:rsid w:val="43374264"/>
    <w:rsid w:val="434370AD"/>
    <w:rsid w:val="4348021F"/>
    <w:rsid w:val="43487189"/>
    <w:rsid w:val="4352109E"/>
    <w:rsid w:val="43560B8E"/>
    <w:rsid w:val="43607C5E"/>
    <w:rsid w:val="43615785"/>
    <w:rsid w:val="436239D7"/>
    <w:rsid w:val="43642539"/>
    <w:rsid w:val="4364538A"/>
    <w:rsid w:val="43657023"/>
    <w:rsid w:val="43805C0B"/>
    <w:rsid w:val="439416B6"/>
    <w:rsid w:val="43943464"/>
    <w:rsid w:val="43A85162"/>
    <w:rsid w:val="43B65AD0"/>
    <w:rsid w:val="43B81849"/>
    <w:rsid w:val="43BB4E95"/>
    <w:rsid w:val="43C04259"/>
    <w:rsid w:val="43C401ED"/>
    <w:rsid w:val="43D30430"/>
    <w:rsid w:val="43D9531B"/>
    <w:rsid w:val="43E4263E"/>
    <w:rsid w:val="43E51F12"/>
    <w:rsid w:val="43E53CC0"/>
    <w:rsid w:val="43EA577A"/>
    <w:rsid w:val="43EF0FE2"/>
    <w:rsid w:val="43F62371"/>
    <w:rsid w:val="44134CD1"/>
    <w:rsid w:val="44240FD0"/>
    <w:rsid w:val="442A3DC9"/>
    <w:rsid w:val="443D1D4E"/>
    <w:rsid w:val="44496945"/>
    <w:rsid w:val="444B0F20"/>
    <w:rsid w:val="44507864"/>
    <w:rsid w:val="44564BBE"/>
    <w:rsid w:val="44613C8E"/>
    <w:rsid w:val="44617EC6"/>
    <w:rsid w:val="446217B4"/>
    <w:rsid w:val="44625310"/>
    <w:rsid w:val="44632243"/>
    <w:rsid w:val="446E1F07"/>
    <w:rsid w:val="44727C49"/>
    <w:rsid w:val="44775260"/>
    <w:rsid w:val="447B0A98"/>
    <w:rsid w:val="447F5EC2"/>
    <w:rsid w:val="44823C05"/>
    <w:rsid w:val="44857BE4"/>
    <w:rsid w:val="449776B0"/>
    <w:rsid w:val="44986F84"/>
    <w:rsid w:val="44D52979"/>
    <w:rsid w:val="44D53D34"/>
    <w:rsid w:val="44DD5933"/>
    <w:rsid w:val="44F3065E"/>
    <w:rsid w:val="44F85C75"/>
    <w:rsid w:val="44FF64F9"/>
    <w:rsid w:val="45294080"/>
    <w:rsid w:val="452B604A"/>
    <w:rsid w:val="453018B3"/>
    <w:rsid w:val="45350C77"/>
    <w:rsid w:val="45392515"/>
    <w:rsid w:val="453C0257"/>
    <w:rsid w:val="4541761C"/>
    <w:rsid w:val="454669E0"/>
    <w:rsid w:val="454A4722"/>
    <w:rsid w:val="45521167"/>
    <w:rsid w:val="45594965"/>
    <w:rsid w:val="456A6B72"/>
    <w:rsid w:val="456D6663"/>
    <w:rsid w:val="45766F3D"/>
    <w:rsid w:val="457A48DC"/>
    <w:rsid w:val="458F65D9"/>
    <w:rsid w:val="459E681C"/>
    <w:rsid w:val="45A5353D"/>
    <w:rsid w:val="45B7168C"/>
    <w:rsid w:val="45B9327F"/>
    <w:rsid w:val="45B95404"/>
    <w:rsid w:val="45CF4C28"/>
    <w:rsid w:val="45D1274E"/>
    <w:rsid w:val="45D73ADC"/>
    <w:rsid w:val="45D93CF8"/>
    <w:rsid w:val="45D95AA6"/>
    <w:rsid w:val="45DB181E"/>
    <w:rsid w:val="45E2495B"/>
    <w:rsid w:val="45E561F9"/>
    <w:rsid w:val="45EC3A2B"/>
    <w:rsid w:val="45F4468E"/>
    <w:rsid w:val="45F97EF6"/>
    <w:rsid w:val="45FF375F"/>
    <w:rsid w:val="461E170B"/>
    <w:rsid w:val="462F3918"/>
    <w:rsid w:val="46362EF9"/>
    <w:rsid w:val="46456C98"/>
    <w:rsid w:val="464C0026"/>
    <w:rsid w:val="46541B0B"/>
    <w:rsid w:val="465869CB"/>
    <w:rsid w:val="465D66D7"/>
    <w:rsid w:val="46641814"/>
    <w:rsid w:val="46753A21"/>
    <w:rsid w:val="46756273"/>
    <w:rsid w:val="467D0B27"/>
    <w:rsid w:val="467F03FC"/>
    <w:rsid w:val="468C48C7"/>
    <w:rsid w:val="46902629"/>
    <w:rsid w:val="46957C1F"/>
    <w:rsid w:val="46A96A93"/>
    <w:rsid w:val="46B06807"/>
    <w:rsid w:val="46B34549"/>
    <w:rsid w:val="46BA58D8"/>
    <w:rsid w:val="46BD2CD2"/>
    <w:rsid w:val="46C6602A"/>
    <w:rsid w:val="46C978C9"/>
    <w:rsid w:val="46D06EA9"/>
    <w:rsid w:val="46D324F5"/>
    <w:rsid w:val="46D87B0C"/>
    <w:rsid w:val="46E91D19"/>
    <w:rsid w:val="46FC37FA"/>
    <w:rsid w:val="47017063"/>
    <w:rsid w:val="471D19C3"/>
    <w:rsid w:val="471F573B"/>
    <w:rsid w:val="473B07C3"/>
    <w:rsid w:val="473C453F"/>
    <w:rsid w:val="473F7B8B"/>
    <w:rsid w:val="474433F3"/>
    <w:rsid w:val="474E2445"/>
    <w:rsid w:val="47501D98"/>
    <w:rsid w:val="47590C4D"/>
    <w:rsid w:val="475C073D"/>
    <w:rsid w:val="475F1429"/>
    <w:rsid w:val="475F1FDB"/>
    <w:rsid w:val="47633879"/>
    <w:rsid w:val="47646C1E"/>
    <w:rsid w:val="4766336A"/>
    <w:rsid w:val="476A2E5A"/>
    <w:rsid w:val="47745A86"/>
    <w:rsid w:val="47797541"/>
    <w:rsid w:val="47841A42"/>
    <w:rsid w:val="47846F53"/>
    <w:rsid w:val="478A7058"/>
    <w:rsid w:val="47975C19"/>
    <w:rsid w:val="479779C7"/>
    <w:rsid w:val="479C04F0"/>
    <w:rsid w:val="479C4FDD"/>
    <w:rsid w:val="47A508CD"/>
    <w:rsid w:val="47A83982"/>
    <w:rsid w:val="47AD2D46"/>
    <w:rsid w:val="47B02834"/>
    <w:rsid w:val="47B16CDB"/>
    <w:rsid w:val="47B40579"/>
    <w:rsid w:val="47B9793D"/>
    <w:rsid w:val="47BC11DC"/>
    <w:rsid w:val="47BC742D"/>
    <w:rsid w:val="47C6205A"/>
    <w:rsid w:val="47CD5197"/>
    <w:rsid w:val="47D44777"/>
    <w:rsid w:val="47D604EF"/>
    <w:rsid w:val="47D77DC3"/>
    <w:rsid w:val="47DE2186"/>
    <w:rsid w:val="47EA5D49"/>
    <w:rsid w:val="47F163FC"/>
    <w:rsid w:val="47FB1D04"/>
    <w:rsid w:val="47FD7147"/>
    <w:rsid w:val="480F57AF"/>
    <w:rsid w:val="4812704D"/>
    <w:rsid w:val="481E5F6E"/>
    <w:rsid w:val="482F5E51"/>
    <w:rsid w:val="48425B85"/>
    <w:rsid w:val="485D29BF"/>
    <w:rsid w:val="48627FD5"/>
    <w:rsid w:val="486755EB"/>
    <w:rsid w:val="486E697A"/>
    <w:rsid w:val="486F624E"/>
    <w:rsid w:val="48873598"/>
    <w:rsid w:val="48896395"/>
    <w:rsid w:val="489F6B33"/>
    <w:rsid w:val="48A57EC2"/>
    <w:rsid w:val="48A979B2"/>
    <w:rsid w:val="48B40105"/>
    <w:rsid w:val="48C742DC"/>
    <w:rsid w:val="48C91E02"/>
    <w:rsid w:val="48C93BB0"/>
    <w:rsid w:val="48D12A65"/>
    <w:rsid w:val="48DA400F"/>
    <w:rsid w:val="48DE45C1"/>
    <w:rsid w:val="48EA3B26"/>
    <w:rsid w:val="48EC3D42"/>
    <w:rsid w:val="48F826E7"/>
    <w:rsid w:val="48FC3F85"/>
    <w:rsid w:val="48FD385A"/>
    <w:rsid w:val="48FF75D2"/>
    <w:rsid w:val="490C7F41"/>
    <w:rsid w:val="49153299"/>
    <w:rsid w:val="491A08B0"/>
    <w:rsid w:val="491D214E"/>
    <w:rsid w:val="491F1A22"/>
    <w:rsid w:val="491F7C74"/>
    <w:rsid w:val="492C413F"/>
    <w:rsid w:val="492E7EB7"/>
    <w:rsid w:val="493E459E"/>
    <w:rsid w:val="49553696"/>
    <w:rsid w:val="49555444"/>
    <w:rsid w:val="495C278F"/>
    <w:rsid w:val="49686565"/>
    <w:rsid w:val="4972249A"/>
    <w:rsid w:val="49746212"/>
    <w:rsid w:val="49865F45"/>
    <w:rsid w:val="498B355B"/>
    <w:rsid w:val="49900B72"/>
    <w:rsid w:val="49997A26"/>
    <w:rsid w:val="499E503D"/>
    <w:rsid w:val="49AD1724"/>
    <w:rsid w:val="49AE06D5"/>
    <w:rsid w:val="49AE2DA6"/>
    <w:rsid w:val="49BA174B"/>
    <w:rsid w:val="49BE56DF"/>
    <w:rsid w:val="49C10D2B"/>
    <w:rsid w:val="49C90530"/>
    <w:rsid w:val="49CA4084"/>
    <w:rsid w:val="49CF64B8"/>
    <w:rsid w:val="49DE7B2F"/>
    <w:rsid w:val="49E36EF3"/>
    <w:rsid w:val="49ED7D72"/>
    <w:rsid w:val="4A130577"/>
    <w:rsid w:val="4A13463B"/>
    <w:rsid w:val="4A193364"/>
    <w:rsid w:val="4A1B043B"/>
    <w:rsid w:val="4A245030"/>
    <w:rsid w:val="4A266DE0"/>
    <w:rsid w:val="4A295514"/>
    <w:rsid w:val="4A2D63C1"/>
    <w:rsid w:val="4A315EB1"/>
    <w:rsid w:val="4A404346"/>
    <w:rsid w:val="4A5751EC"/>
    <w:rsid w:val="4A59324F"/>
    <w:rsid w:val="4A5B1180"/>
    <w:rsid w:val="4A65222A"/>
    <w:rsid w:val="4A6A4F1F"/>
    <w:rsid w:val="4A730277"/>
    <w:rsid w:val="4A7364C9"/>
    <w:rsid w:val="4A8C30E7"/>
    <w:rsid w:val="4A8F4985"/>
    <w:rsid w:val="4A9455FE"/>
    <w:rsid w:val="4AA2290B"/>
    <w:rsid w:val="4AA5064D"/>
    <w:rsid w:val="4AC62A9D"/>
    <w:rsid w:val="4ADF76BB"/>
    <w:rsid w:val="4AE90539"/>
    <w:rsid w:val="4AFB026D"/>
    <w:rsid w:val="4B0C247A"/>
    <w:rsid w:val="4B142DF8"/>
    <w:rsid w:val="4B182AFF"/>
    <w:rsid w:val="4B1A76AD"/>
    <w:rsid w:val="4B26353C"/>
    <w:rsid w:val="4B271062"/>
    <w:rsid w:val="4B306168"/>
    <w:rsid w:val="4B35552D"/>
    <w:rsid w:val="4B386DCB"/>
    <w:rsid w:val="4B481704"/>
    <w:rsid w:val="4B4B19D3"/>
    <w:rsid w:val="4B4E65EF"/>
    <w:rsid w:val="4B4E6EB7"/>
    <w:rsid w:val="4B517E8D"/>
    <w:rsid w:val="4B58121B"/>
    <w:rsid w:val="4B6127C6"/>
    <w:rsid w:val="4B6B71A0"/>
    <w:rsid w:val="4B7A73E4"/>
    <w:rsid w:val="4B9A1834"/>
    <w:rsid w:val="4BA206E8"/>
    <w:rsid w:val="4BA803F5"/>
    <w:rsid w:val="4BAD77B9"/>
    <w:rsid w:val="4BB0572F"/>
    <w:rsid w:val="4BB548C0"/>
    <w:rsid w:val="4BB87F0C"/>
    <w:rsid w:val="4BBA3C84"/>
    <w:rsid w:val="4BCE14DD"/>
    <w:rsid w:val="4BDE5BC4"/>
    <w:rsid w:val="4BE56F53"/>
    <w:rsid w:val="4BEA4569"/>
    <w:rsid w:val="4BEE392E"/>
    <w:rsid w:val="4BF165EF"/>
    <w:rsid w:val="4C022E22"/>
    <w:rsid w:val="4C0269A3"/>
    <w:rsid w:val="4C261319"/>
    <w:rsid w:val="4C2A0E0A"/>
    <w:rsid w:val="4C2A705C"/>
    <w:rsid w:val="4C2D4456"/>
    <w:rsid w:val="4C382E4C"/>
    <w:rsid w:val="4C3954F1"/>
    <w:rsid w:val="4C3B4DC5"/>
    <w:rsid w:val="4C465518"/>
    <w:rsid w:val="4C481290"/>
    <w:rsid w:val="4C4874E2"/>
    <w:rsid w:val="4C4B0D80"/>
    <w:rsid w:val="4C4F0870"/>
    <w:rsid w:val="4C561BFF"/>
    <w:rsid w:val="4C5C2F8D"/>
    <w:rsid w:val="4C6065D9"/>
    <w:rsid w:val="4C6205A3"/>
    <w:rsid w:val="4C7402D7"/>
    <w:rsid w:val="4C793B3F"/>
    <w:rsid w:val="4C800A2A"/>
    <w:rsid w:val="4C8A7AFA"/>
    <w:rsid w:val="4C8C3872"/>
    <w:rsid w:val="4C8C73CE"/>
    <w:rsid w:val="4C912C37"/>
    <w:rsid w:val="4C935C0E"/>
    <w:rsid w:val="4C9444D5"/>
    <w:rsid w:val="4C983FC5"/>
    <w:rsid w:val="4CA566E2"/>
    <w:rsid w:val="4CAA0A32"/>
    <w:rsid w:val="4CAA3CF8"/>
    <w:rsid w:val="4CB30DFF"/>
    <w:rsid w:val="4CC748AA"/>
    <w:rsid w:val="4CCC0113"/>
    <w:rsid w:val="4CE87C0B"/>
    <w:rsid w:val="4CFB69E7"/>
    <w:rsid w:val="4D074D86"/>
    <w:rsid w:val="4D0A4797"/>
    <w:rsid w:val="4D124428"/>
    <w:rsid w:val="4D135D42"/>
    <w:rsid w:val="4D1D44CA"/>
    <w:rsid w:val="4D206C65"/>
    <w:rsid w:val="4D2C4DA5"/>
    <w:rsid w:val="4D2D7740"/>
    <w:rsid w:val="4D2E492A"/>
    <w:rsid w:val="4D33015A"/>
    <w:rsid w:val="4D333CEE"/>
    <w:rsid w:val="4D4330E2"/>
    <w:rsid w:val="4D453A21"/>
    <w:rsid w:val="4D4B54DB"/>
    <w:rsid w:val="4D52686A"/>
    <w:rsid w:val="4D5D520F"/>
    <w:rsid w:val="4D7F33D7"/>
    <w:rsid w:val="4D8207D1"/>
    <w:rsid w:val="4D853821"/>
    <w:rsid w:val="4D986247"/>
    <w:rsid w:val="4D9C7AE5"/>
    <w:rsid w:val="4DA44BEC"/>
    <w:rsid w:val="4DAB1AD6"/>
    <w:rsid w:val="4DAB41CC"/>
    <w:rsid w:val="4DB841F3"/>
    <w:rsid w:val="4DBE3EFF"/>
    <w:rsid w:val="4DC63969"/>
    <w:rsid w:val="4DD21759"/>
    <w:rsid w:val="4DD74FC1"/>
    <w:rsid w:val="4DD92AE7"/>
    <w:rsid w:val="4DE60D60"/>
    <w:rsid w:val="4DE66FB2"/>
    <w:rsid w:val="4DE84AD8"/>
    <w:rsid w:val="4DEB3FAD"/>
    <w:rsid w:val="4E01203E"/>
    <w:rsid w:val="4E105DDD"/>
    <w:rsid w:val="4E127DA7"/>
    <w:rsid w:val="4E1458CD"/>
    <w:rsid w:val="4E165AE9"/>
    <w:rsid w:val="4E191136"/>
    <w:rsid w:val="4E1E20FF"/>
    <w:rsid w:val="4E263853"/>
    <w:rsid w:val="4E2A01A5"/>
    <w:rsid w:val="4E2A3343"/>
    <w:rsid w:val="4E2D496A"/>
    <w:rsid w:val="4E2D4BE1"/>
    <w:rsid w:val="4E2E44B5"/>
    <w:rsid w:val="4E331A89"/>
    <w:rsid w:val="4E3B72FE"/>
    <w:rsid w:val="4E4168DE"/>
    <w:rsid w:val="4E5B79A0"/>
    <w:rsid w:val="4E601F7A"/>
    <w:rsid w:val="4E630603"/>
    <w:rsid w:val="4E76148B"/>
    <w:rsid w:val="4E875D44"/>
    <w:rsid w:val="4E8D38D2"/>
    <w:rsid w:val="4E93713A"/>
    <w:rsid w:val="4E9E788D"/>
    <w:rsid w:val="4E9F63D1"/>
    <w:rsid w:val="4EAC01FC"/>
    <w:rsid w:val="4EAD211D"/>
    <w:rsid w:val="4EC2357B"/>
    <w:rsid w:val="4EC310A1"/>
    <w:rsid w:val="4ECC61A8"/>
    <w:rsid w:val="4ECF5C98"/>
    <w:rsid w:val="4EDE5EDB"/>
    <w:rsid w:val="4EE155E6"/>
    <w:rsid w:val="4EE47996"/>
    <w:rsid w:val="4EE72FE2"/>
    <w:rsid w:val="4EEC23A6"/>
    <w:rsid w:val="4EF24070"/>
    <w:rsid w:val="4EF676C9"/>
    <w:rsid w:val="4EFA0F67"/>
    <w:rsid w:val="4F0040A4"/>
    <w:rsid w:val="4F0E4A13"/>
    <w:rsid w:val="4F155FCE"/>
    <w:rsid w:val="4F1B712F"/>
    <w:rsid w:val="4F31425D"/>
    <w:rsid w:val="4F334479"/>
    <w:rsid w:val="4F361873"/>
    <w:rsid w:val="4F3A75B6"/>
    <w:rsid w:val="4F3E697A"/>
    <w:rsid w:val="4F4026F2"/>
    <w:rsid w:val="4F4C72E9"/>
    <w:rsid w:val="4F4E7ABA"/>
    <w:rsid w:val="4F5A1A06"/>
    <w:rsid w:val="4F675ED1"/>
    <w:rsid w:val="4F7800DE"/>
    <w:rsid w:val="4F7A5B51"/>
    <w:rsid w:val="4F7D74A2"/>
    <w:rsid w:val="4F912F4E"/>
    <w:rsid w:val="4F943D47"/>
    <w:rsid w:val="4F974A08"/>
    <w:rsid w:val="4F975D19"/>
    <w:rsid w:val="4F9C1546"/>
    <w:rsid w:val="4FAB2261"/>
    <w:rsid w:val="4FAC7D88"/>
    <w:rsid w:val="4FB70C06"/>
    <w:rsid w:val="4FBC621D"/>
    <w:rsid w:val="4FBF5D0D"/>
    <w:rsid w:val="4FC7696F"/>
    <w:rsid w:val="4FD712A8"/>
    <w:rsid w:val="4FF37764"/>
    <w:rsid w:val="4FF43C08"/>
    <w:rsid w:val="50055E16"/>
    <w:rsid w:val="50086BD8"/>
    <w:rsid w:val="501047BA"/>
    <w:rsid w:val="50152BF0"/>
    <w:rsid w:val="50191308"/>
    <w:rsid w:val="50266110"/>
    <w:rsid w:val="50302767"/>
    <w:rsid w:val="50357D7D"/>
    <w:rsid w:val="503C735D"/>
    <w:rsid w:val="504415DE"/>
    <w:rsid w:val="504601DC"/>
    <w:rsid w:val="504D156B"/>
    <w:rsid w:val="504D50C7"/>
    <w:rsid w:val="505446A7"/>
    <w:rsid w:val="50546455"/>
    <w:rsid w:val="5060304C"/>
    <w:rsid w:val="506D5769"/>
    <w:rsid w:val="50792360"/>
    <w:rsid w:val="507C1E50"/>
    <w:rsid w:val="507C59AC"/>
    <w:rsid w:val="507E7976"/>
    <w:rsid w:val="50854860"/>
    <w:rsid w:val="5086682B"/>
    <w:rsid w:val="509B4084"/>
    <w:rsid w:val="50A373DC"/>
    <w:rsid w:val="50AA42C7"/>
    <w:rsid w:val="50AD025B"/>
    <w:rsid w:val="50B909AE"/>
    <w:rsid w:val="50CF3D2E"/>
    <w:rsid w:val="50D61560"/>
    <w:rsid w:val="50D70E34"/>
    <w:rsid w:val="50F419E6"/>
    <w:rsid w:val="510A120A"/>
    <w:rsid w:val="51145BE4"/>
    <w:rsid w:val="5139564B"/>
    <w:rsid w:val="513B5867"/>
    <w:rsid w:val="51404C2B"/>
    <w:rsid w:val="514566E6"/>
    <w:rsid w:val="51542485"/>
    <w:rsid w:val="51581F75"/>
    <w:rsid w:val="51595086"/>
    <w:rsid w:val="51597A9B"/>
    <w:rsid w:val="515F1555"/>
    <w:rsid w:val="51624BA2"/>
    <w:rsid w:val="516927BD"/>
    <w:rsid w:val="516E79EA"/>
    <w:rsid w:val="51750D79"/>
    <w:rsid w:val="51782617"/>
    <w:rsid w:val="51856AE2"/>
    <w:rsid w:val="51897E16"/>
    <w:rsid w:val="518D05C9"/>
    <w:rsid w:val="518E1E3B"/>
    <w:rsid w:val="518E7DF8"/>
    <w:rsid w:val="51935AB4"/>
    <w:rsid w:val="519D207E"/>
    <w:rsid w:val="519F4057"/>
    <w:rsid w:val="51A27694"/>
    <w:rsid w:val="51A90A23"/>
    <w:rsid w:val="51A946CE"/>
    <w:rsid w:val="51AC0513"/>
    <w:rsid w:val="51CE66DB"/>
    <w:rsid w:val="51DF2696"/>
    <w:rsid w:val="51F06651"/>
    <w:rsid w:val="51F779E0"/>
    <w:rsid w:val="52081BED"/>
    <w:rsid w:val="52132340"/>
    <w:rsid w:val="52173BDE"/>
    <w:rsid w:val="521E31BF"/>
    <w:rsid w:val="521F2A93"/>
    <w:rsid w:val="522462FB"/>
    <w:rsid w:val="523E560F"/>
    <w:rsid w:val="5244074B"/>
    <w:rsid w:val="524D19FA"/>
    <w:rsid w:val="524D5852"/>
    <w:rsid w:val="525745C2"/>
    <w:rsid w:val="525E180D"/>
    <w:rsid w:val="526C33DE"/>
    <w:rsid w:val="52866DEB"/>
    <w:rsid w:val="528F4686"/>
    <w:rsid w:val="52914064"/>
    <w:rsid w:val="529F5982"/>
    <w:rsid w:val="52A31916"/>
    <w:rsid w:val="52A42F98"/>
    <w:rsid w:val="52A77A34"/>
    <w:rsid w:val="52AA4A52"/>
    <w:rsid w:val="52AB4326"/>
    <w:rsid w:val="52B33145"/>
    <w:rsid w:val="52BC6534"/>
    <w:rsid w:val="52CF270B"/>
    <w:rsid w:val="52CF44B9"/>
    <w:rsid w:val="52DC238A"/>
    <w:rsid w:val="52DC2732"/>
    <w:rsid w:val="52E31D12"/>
    <w:rsid w:val="52F17136"/>
    <w:rsid w:val="52F7756C"/>
    <w:rsid w:val="52F932E4"/>
    <w:rsid w:val="530F6FAB"/>
    <w:rsid w:val="532C5467"/>
    <w:rsid w:val="532C74A3"/>
    <w:rsid w:val="5334256E"/>
    <w:rsid w:val="53397B84"/>
    <w:rsid w:val="534C5B09"/>
    <w:rsid w:val="53514ECE"/>
    <w:rsid w:val="535844AE"/>
    <w:rsid w:val="535968FA"/>
    <w:rsid w:val="535D7D17"/>
    <w:rsid w:val="53605111"/>
    <w:rsid w:val="53677230"/>
    <w:rsid w:val="53843A63"/>
    <w:rsid w:val="538C05FC"/>
    <w:rsid w:val="538F59F6"/>
    <w:rsid w:val="53937294"/>
    <w:rsid w:val="53963229"/>
    <w:rsid w:val="539F20DD"/>
    <w:rsid w:val="53A019B1"/>
    <w:rsid w:val="53A96AB8"/>
    <w:rsid w:val="53B4545D"/>
    <w:rsid w:val="53C47D96"/>
    <w:rsid w:val="53CE4770"/>
    <w:rsid w:val="53F341D7"/>
    <w:rsid w:val="53FD48A4"/>
    <w:rsid w:val="540168F4"/>
    <w:rsid w:val="540B1521"/>
    <w:rsid w:val="541303D5"/>
    <w:rsid w:val="54210D44"/>
    <w:rsid w:val="54273E81"/>
    <w:rsid w:val="5428733F"/>
    <w:rsid w:val="542B3971"/>
    <w:rsid w:val="542D76E9"/>
    <w:rsid w:val="543A1E06"/>
    <w:rsid w:val="543D5452"/>
    <w:rsid w:val="54414F42"/>
    <w:rsid w:val="5445003E"/>
    <w:rsid w:val="54484523"/>
    <w:rsid w:val="54492049"/>
    <w:rsid w:val="54532EC8"/>
    <w:rsid w:val="545509EE"/>
    <w:rsid w:val="545F186C"/>
    <w:rsid w:val="546450D5"/>
    <w:rsid w:val="54714874"/>
    <w:rsid w:val="54776BB6"/>
    <w:rsid w:val="548337AD"/>
    <w:rsid w:val="54837309"/>
    <w:rsid w:val="548412D3"/>
    <w:rsid w:val="548B2661"/>
    <w:rsid w:val="54977258"/>
    <w:rsid w:val="54A84FC1"/>
    <w:rsid w:val="54AB2D04"/>
    <w:rsid w:val="54AF6350"/>
    <w:rsid w:val="54B97065"/>
    <w:rsid w:val="54C067AF"/>
    <w:rsid w:val="54C618EB"/>
    <w:rsid w:val="54CD67D6"/>
    <w:rsid w:val="54D1276A"/>
    <w:rsid w:val="54DA5359"/>
    <w:rsid w:val="54E26CD8"/>
    <w:rsid w:val="54E56DB8"/>
    <w:rsid w:val="54FC70BB"/>
    <w:rsid w:val="54FE2A13"/>
    <w:rsid w:val="550B72FE"/>
    <w:rsid w:val="550D12C8"/>
    <w:rsid w:val="550F3292"/>
    <w:rsid w:val="55164621"/>
    <w:rsid w:val="55173EF5"/>
    <w:rsid w:val="55197C6D"/>
    <w:rsid w:val="551B5793"/>
    <w:rsid w:val="551E34D6"/>
    <w:rsid w:val="551E5284"/>
    <w:rsid w:val="55286102"/>
    <w:rsid w:val="554A7E27"/>
    <w:rsid w:val="5552317F"/>
    <w:rsid w:val="555851BD"/>
    <w:rsid w:val="555B2034"/>
    <w:rsid w:val="555B64D8"/>
    <w:rsid w:val="555E420D"/>
    <w:rsid w:val="55674B95"/>
    <w:rsid w:val="556C4241"/>
    <w:rsid w:val="55794BB0"/>
    <w:rsid w:val="557B0928"/>
    <w:rsid w:val="558C48E3"/>
    <w:rsid w:val="558D41B7"/>
    <w:rsid w:val="55943798"/>
    <w:rsid w:val="55967510"/>
    <w:rsid w:val="55AA2FBB"/>
    <w:rsid w:val="55AC6AAE"/>
    <w:rsid w:val="55BB6F76"/>
    <w:rsid w:val="55C0458D"/>
    <w:rsid w:val="55C5424A"/>
    <w:rsid w:val="55CC1183"/>
    <w:rsid w:val="55E4027B"/>
    <w:rsid w:val="55E93AE3"/>
    <w:rsid w:val="55EF09CE"/>
    <w:rsid w:val="55F06C20"/>
    <w:rsid w:val="55F14746"/>
    <w:rsid w:val="55F27CF7"/>
    <w:rsid w:val="56073F6A"/>
    <w:rsid w:val="56091A90"/>
    <w:rsid w:val="561A1EEF"/>
    <w:rsid w:val="561A3C9D"/>
    <w:rsid w:val="5629004A"/>
    <w:rsid w:val="562A71CE"/>
    <w:rsid w:val="564E7DEA"/>
    <w:rsid w:val="56554CD5"/>
    <w:rsid w:val="565847C5"/>
    <w:rsid w:val="56680EAC"/>
    <w:rsid w:val="56690780"/>
    <w:rsid w:val="566B62A7"/>
    <w:rsid w:val="566E3FE9"/>
    <w:rsid w:val="567C5B8B"/>
    <w:rsid w:val="567C6706"/>
    <w:rsid w:val="568A7C35"/>
    <w:rsid w:val="569E667C"/>
    <w:rsid w:val="56A4475D"/>
    <w:rsid w:val="56C43C09"/>
    <w:rsid w:val="56CB31E9"/>
    <w:rsid w:val="56D57BC4"/>
    <w:rsid w:val="56D95906"/>
    <w:rsid w:val="56D976B4"/>
    <w:rsid w:val="56DD7C0E"/>
    <w:rsid w:val="56E83D9B"/>
    <w:rsid w:val="56EC7A9B"/>
    <w:rsid w:val="56F270DD"/>
    <w:rsid w:val="56F47B21"/>
    <w:rsid w:val="570606C5"/>
    <w:rsid w:val="571701DC"/>
    <w:rsid w:val="571C3A45"/>
    <w:rsid w:val="57212E09"/>
    <w:rsid w:val="57376AD1"/>
    <w:rsid w:val="57392849"/>
    <w:rsid w:val="57454D4A"/>
    <w:rsid w:val="57511940"/>
    <w:rsid w:val="575136EE"/>
    <w:rsid w:val="57650F48"/>
    <w:rsid w:val="57686C8A"/>
    <w:rsid w:val="57805D82"/>
    <w:rsid w:val="578735B4"/>
    <w:rsid w:val="57877110"/>
    <w:rsid w:val="57882E88"/>
    <w:rsid w:val="578C2978"/>
    <w:rsid w:val="579139FB"/>
    <w:rsid w:val="57A06424"/>
    <w:rsid w:val="57A37CC2"/>
    <w:rsid w:val="57A44166"/>
    <w:rsid w:val="57AA1051"/>
    <w:rsid w:val="57B661A9"/>
    <w:rsid w:val="57BC2B32"/>
    <w:rsid w:val="57C2639A"/>
    <w:rsid w:val="57D936E4"/>
    <w:rsid w:val="57D95558"/>
    <w:rsid w:val="57DD31D4"/>
    <w:rsid w:val="57FA3D86"/>
    <w:rsid w:val="580544D9"/>
    <w:rsid w:val="58161499"/>
    <w:rsid w:val="581806B0"/>
    <w:rsid w:val="58296419"/>
    <w:rsid w:val="583152CE"/>
    <w:rsid w:val="58380D08"/>
    <w:rsid w:val="583E189B"/>
    <w:rsid w:val="58417C07"/>
    <w:rsid w:val="584C2108"/>
    <w:rsid w:val="584F7E8A"/>
    <w:rsid w:val="585A2A77"/>
    <w:rsid w:val="586C4558"/>
    <w:rsid w:val="588C69A8"/>
    <w:rsid w:val="58920462"/>
    <w:rsid w:val="58A41F44"/>
    <w:rsid w:val="58A837E2"/>
    <w:rsid w:val="58AB1524"/>
    <w:rsid w:val="58B101BD"/>
    <w:rsid w:val="58B425AE"/>
    <w:rsid w:val="58BA31BA"/>
    <w:rsid w:val="58BF0B2C"/>
    <w:rsid w:val="58C223CA"/>
    <w:rsid w:val="58C3686E"/>
    <w:rsid w:val="58C46142"/>
    <w:rsid w:val="58D2260D"/>
    <w:rsid w:val="58D345D7"/>
    <w:rsid w:val="58E6153D"/>
    <w:rsid w:val="58E862D4"/>
    <w:rsid w:val="590824D3"/>
    <w:rsid w:val="5915074C"/>
    <w:rsid w:val="59205A6E"/>
    <w:rsid w:val="592F0511"/>
    <w:rsid w:val="59376914"/>
    <w:rsid w:val="59401C6C"/>
    <w:rsid w:val="59562159"/>
    <w:rsid w:val="59637709"/>
    <w:rsid w:val="596A0A97"/>
    <w:rsid w:val="597A4F3F"/>
    <w:rsid w:val="5980650D"/>
    <w:rsid w:val="59993261"/>
    <w:rsid w:val="599975CF"/>
    <w:rsid w:val="59A23698"/>
    <w:rsid w:val="59AF6DF2"/>
    <w:rsid w:val="59B66275"/>
    <w:rsid w:val="59BD150F"/>
    <w:rsid w:val="59C363FA"/>
    <w:rsid w:val="59C83A10"/>
    <w:rsid w:val="59DB1995"/>
    <w:rsid w:val="59E940B2"/>
    <w:rsid w:val="59EC0A05"/>
    <w:rsid w:val="5A056A12"/>
    <w:rsid w:val="5A13112F"/>
    <w:rsid w:val="5A1629CD"/>
    <w:rsid w:val="5A2055FA"/>
    <w:rsid w:val="5A2A1C42"/>
    <w:rsid w:val="5A2C0443"/>
    <w:rsid w:val="5A3410A5"/>
    <w:rsid w:val="5A3B2434"/>
    <w:rsid w:val="5A3D43FE"/>
    <w:rsid w:val="5A582FE6"/>
    <w:rsid w:val="5A584D94"/>
    <w:rsid w:val="5A5D684E"/>
    <w:rsid w:val="5A7871E4"/>
    <w:rsid w:val="5A7D2A4C"/>
    <w:rsid w:val="5A981634"/>
    <w:rsid w:val="5A9C6C38"/>
    <w:rsid w:val="5AA4447D"/>
    <w:rsid w:val="5AA61FA3"/>
    <w:rsid w:val="5AA71877"/>
    <w:rsid w:val="5AA862C7"/>
    <w:rsid w:val="5AB04BD0"/>
    <w:rsid w:val="5ADE798F"/>
    <w:rsid w:val="5AE605F2"/>
    <w:rsid w:val="5AF1280C"/>
    <w:rsid w:val="5B01367D"/>
    <w:rsid w:val="5B0F5D9A"/>
    <w:rsid w:val="5B1038C0"/>
    <w:rsid w:val="5B136F0D"/>
    <w:rsid w:val="5B1433B1"/>
    <w:rsid w:val="5B2829B8"/>
    <w:rsid w:val="5B3F5F54"/>
    <w:rsid w:val="5B4067A6"/>
    <w:rsid w:val="5B465534"/>
    <w:rsid w:val="5B500161"/>
    <w:rsid w:val="5B5419FF"/>
    <w:rsid w:val="5B555777"/>
    <w:rsid w:val="5B5E63DA"/>
    <w:rsid w:val="5B61236E"/>
    <w:rsid w:val="5B61411C"/>
    <w:rsid w:val="5B791466"/>
    <w:rsid w:val="5B800A46"/>
    <w:rsid w:val="5B8147BE"/>
    <w:rsid w:val="5B85605C"/>
    <w:rsid w:val="5B8A71CF"/>
    <w:rsid w:val="5B8B2F47"/>
    <w:rsid w:val="5B90055D"/>
    <w:rsid w:val="5B975D90"/>
    <w:rsid w:val="5B977B3E"/>
    <w:rsid w:val="5BA83AF9"/>
    <w:rsid w:val="5BB701E0"/>
    <w:rsid w:val="5BBB382C"/>
    <w:rsid w:val="5BC546AB"/>
    <w:rsid w:val="5BC76675"/>
    <w:rsid w:val="5BCA1CC1"/>
    <w:rsid w:val="5BDB5C7C"/>
    <w:rsid w:val="5BDE576D"/>
    <w:rsid w:val="5BDE5B94"/>
    <w:rsid w:val="5BE2525D"/>
    <w:rsid w:val="5BE56AFB"/>
    <w:rsid w:val="5BF64864"/>
    <w:rsid w:val="5BF979BC"/>
    <w:rsid w:val="5BFE7BBD"/>
    <w:rsid w:val="5C07081F"/>
    <w:rsid w:val="5C0C22DA"/>
    <w:rsid w:val="5C0F1DCA"/>
    <w:rsid w:val="5C2515ED"/>
    <w:rsid w:val="5C276E1A"/>
    <w:rsid w:val="5C292E8C"/>
    <w:rsid w:val="5C2D3FFE"/>
    <w:rsid w:val="5C427AAA"/>
    <w:rsid w:val="5C433822"/>
    <w:rsid w:val="5C471564"/>
    <w:rsid w:val="5C473312"/>
    <w:rsid w:val="5C4C0928"/>
    <w:rsid w:val="5C583771"/>
    <w:rsid w:val="5C6043D4"/>
    <w:rsid w:val="5C6519EA"/>
    <w:rsid w:val="5C6F18FC"/>
    <w:rsid w:val="5C8F6A67"/>
    <w:rsid w:val="5C93440A"/>
    <w:rsid w:val="5C9B540C"/>
    <w:rsid w:val="5CB00EB7"/>
    <w:rsid w:val="5CB0535B"/>
    <w:rsid w:val="5CB63FF4"/>
    <w:rsid w:val="5CBA7F88"/>
    <w:rsid w:val="5CC26E3C"/>
    <w:rsid w:val="5CC901CB"/>
    <w:rsid w:val="5CCB7A9F"/>
    <w:rsid w:val="5CCC3817"/>
    <w:rsid w:val="5CD66444"/>
    <w:rsid w:val="5CDC7EFE"/>
    <w:rsid w:val="5CE2128D"/>
    <w:rsid w:val="5CFE60C6"/>
    <w:rsid w:val="5D013E49"/>
    <w:rsid w:val="5D1706B9"/>
    <w:rsid w:val="5D172CE4"/>
    <w:rsid w:val="5D1F428F"/>
    <w:rsid w:val="5D1F603D"/>
    <w:rsid w:val="5D276C9F"/>
    <w:rsid w:val="5D333896"/>
    <w:rsid w:val="5D3513BC"/>
    <w:rsid w:val="5D364BA9"/>
    <w:rsid w:val="5D3F66DF"/>
    <w:rsid w:val="5D447851"/>
    <w:rsid w:val="5D5977A1"/>
    <w:rsid w:val="5D616655"/>
    <w:rsid w:val="5D645056"/>
    <w:rsid w:val="5D656AC5"/>
    <w:rsid w:val="5D683540"/>
    <w:rsid w:val="5D7E0546"/>
    <w:rsid w:val="5D9229BB"/>
    <w:rsid w:val="5D9A3915"/>
    <w:rsid w:val="5DB46785"/>
    <w:rsid w:val="5DB9023F"/>
    <w:rsid w:val="5DBE26B8"/>
    <w:rsid w:val="5DC10EA2"/>
    <w:rsid w:val="5DC25383"/>
    <w:rsid w:val="5DC32E6C"/>
    <w:rsid w:val="5DCD5A99"/>
    <w:rsid w:val="5DD9443E"/>
    <w:rsid w:val="5DE10FFA"/>
    <w:rsid w:val="5DED1C97"/>
    <w:rsid w:val="5DF50B4C"/>
    <w:rsid w:val="5DF748C4"/>
    <w:rsid w:val="5E0B036F"/>
    <w:rsid w:val="5E0E058B"/>
    <w:rsid w:val="5E1B2CA8"/>
    <w:rsid w:val="5E1B74C0"/>
    <w:rsid w:val="5E224037"/>
    <w:rsid w:val="5E2D4789"/>
    <w:rsid w:val="5E2F22B0"/>
    <w:rsid w:val="5E323B4E"/>
    <w:rsid w:val="5E355E51"/>
    <w:rsid w:val="5E3C677A"/>
    <w:rsid w:val="5E3E0745"/>
    <w:rsid w:val="5E4D2736"/>
    <w:rsid w:val="5E7B72A3"/>
    <w:rsid w:val="5E7F76D7"/>
    <w:rsid w:val="5E8545C5"/>
    <w:rsid w:val="5E8F2D4E"/>
    <w:rsid w:val="5E912F6A"/>
    <w:rsid w:val="5E993BCD"/>
    <w:rsid w:val="5EA44A4C"/>
    <w:rsid w:val="5EA7453C"/>
    <w:rsid w:val="5EB34C8F"/>
    <w:rsid w:val="5EB56C59"/>
    <w:rsid w:val="5EB7471A"/>
    <w:rsid w:val="5EB804F7"/>
    <w:rsid w:val="5EC40C4A"/>
    <w:rsid w:val="5ED05841"/>
    <w:rsid w:val="5EEE5CC7"/>
    <w:rsid w:val="5EFA35C2"/>
    <w:rsid w:val="5EFC6636"/>
    <w:rsid w:val="5F04373C"/>
    <w:rsid w:val="5F0454EA"/>
    <w:rsid w:val="5F053010"/>
    <w:rsid w:val="5F131BD1"/>
    <w:rsid w:val="5F1D086A"/>
    <w:rsid w:val="5F227E41"/>
    <w:rsid w:val="5F261904"/>
    <w:rsid w:val="5F3A715E"/>
    <w:rsid w:val="5F48187B"/>
    <w:rsid w:val="5F4E6765"/>
    <w:rsid w:val="5F710D42"/>
    <w:rsid w:val="5F8D3732"/>
    <w:rsid w:val="5F920D48"/>
    <w:rsid w:val="5F9F32F8"/>
    <w:rsid w:val="5FA12D39"/>
    <w:rsid w:val="5FA85000"/>
    <w:rsid w:val="5FB23198"/>
    <w:rsid w:val="5FC5111D"/>
    <w:rsid w:val="5FCD1D80"/>
    <w:rsid w:val="5FD02094"/>
    <w:rsid w:val="5FD70E51"/>
    <w:rsid w:val="5FE1582B"/>
    <w:rsid w:val="5FE175D9"/>
    <w:rsid w:val="5FE84E0C"/>
    <w:rsid w:val="5FEA2932"/>
    <w:rsid w:val="5FFB4B3F"/>
    <w:rsid w:val="5FFE1F39"/>
    <w:rsid w:val="600B4656"/>
    <w:rsid w:val="60114363"/>
    <w:rsid w:val="601259E5"/>
    <w:rsid w:val="602045A6"/>
    <w:rsid w:val="6037544B"/>
    <w:rsid w:val="60377A83"/>
    <w:rsid w:val="60432042"/>
    <w:rsid w:val="60457B68"/>
    <w:rsid w:val="604A1623"/>
    <w:rsid w:val="60563B24"/>
    <w:rsid w:val="60673F83"/>
    <w:rsid w:val="60687CFB"/>
    <w:rsid w:val="6071095D"/>
    <w:rsid w:val="607448F1"/>
    <w:rsid w:val="607B17DC"/>
    <w:rsid w:val="60806DF2"/>
    <w:rsid w:val="60830691"/>
    <w:rsid w:val="6089214B"/>
    <w:rsid w:val="60916947"/>
    <w:rsid w:val="60940AF0"/>
    <w:rsid w:val="60A24FBB"/>
    <w:rsid w:val="60A52CFD"/>
    <w:rsid w:val="60A704F0"/>
    <w:rsid w:val="60B62814"/>
    <w:rsid w:val="60BA0556"/>
    <w:rsid w:val="60BE791B"/>
    <w:rsid w:val="60C34F31"/>
    <w:rsid w:val="60CA4511"/>
    <w:rsid w:val="60DD4245"/>
    <w:rsid w:val="60DE5F0E"/>
    <w:rsid w:val="60F021CA"/>
    <w:rsid w:val="60F43F81"/>
    <w:rsid w:val="60F811C1"/>
    <w:rsid w:val="60FB0B6F"/>
    <w:rsid w:val="6105554A"/>
    <w:rsid w:val="61131A15"/>
    <w:rsid w:val="61137C66"/>
    <w:rsid w:val="611D6709"/>
    <w:rsid w:val="61227EAA"/>
    <w:rsid w:val="612956DC"/>
    <w:rsid w:val="612C2AD6"/>
    <w:rsid w:val="61477910"/>
    <w:rsid w:val="6155027F"/>
    <w:rsid w:val="615A5587"/>
    <w:rsid w:val="615D7134"/>
    <w:rsid w:val="61602B05"/>
    <w:rsid w:val="61700C15"/>
    <w:rsid w:val="61897F29"/>
    <w:rsid w:val="618B5A4F"/>
    <w:rsid w:val="618E3791"/>
    <w:rsid w:val="61A62889"/>
    <w:rsid w:val="61B01959"/>
    <w:rsid w:val="61B50D1E"/>
    <w:rsid w:val="61BA4586"/>
    <w:rsid w:val="61BC3E5A"/>
    <w:rsid w:val="61BF394A"/>
    <w:rsid w:val="61C3168D"/>
    <w:rsid w:val="61D27B22"/>
    <w:rsid w:val="620B6B90"/>
    <w:rsid w:val="6211064A"/>
    <w:rsid w:val="62144DEA"/>
    <w:rsid w:val="62373E29"/>
    <w:rsid w:val="6239194F"/>
    <w:rsid w:val="62481B02"/>
    <w:rsid w:val="62540537"/>
    <w:rsid w:val="62562501"/>
    <w:rsid w:val="625B18C5"/>
    <w:rsid w:val="625C563D"/>
    <w:rsid w:val="625E7607"/>
    <w:rsid w:val="626A1B08"/>
    <w:rsid w:val="62796BC4"/>
    <w:rsid w:val="627F209D"/>
    <w:rsid w:val="628506F0"/>
    <w:rsid w:val="62864468"/>
    <w:rsid w:val="62946B85"/>
    <w:rsid w:val="62966DA1"/>
    <w:rsid w:val="629B7F14"/>
    <w:rsid w:val="62B20DAE"/>
    <w:rsid w:val="62B66AFB"/>
    <w:rsid w:val="62B912F6"/>
    <w:rsid w:val="62CF7BBD"/>
    <w:rsid w:val="62D52568"/>
    <w:rsid w:val="62D96C8E"/>
    <w:rsid w:val="62E0001C"/>
    <w:rsid w:val="62E93375"/>
    <w:rsid w:val="62EB31E4"/>
    <w:rsid w:val="62EE098B"/>
    <w:rsid w:val="630B32EB"/>
    <w:rsid w:val="63163A3E"/>
    <w:rsid w:val="631A67C1"/>
    <w:rsid w:val="631D301E"/>
    <w:rsid w:val="632748F0"/>
    <w:rsid w:val="632779F9"/>
    <w:rsid w:val="63312626"/>
    <w:rsid w:val="6333639E"/>
    <w:rsid w:val="63471E49"/>
    <w:rsid w:val="63555685"/>
    <w:rsid w:val="635A7DCF"/>
    <w:rsid w:val="63612F0B"/>
    <w:rsid w:val="637075F2"/>
    <w:rsid w:val="63732C3E"/>
    <w:rsid w:val="63754C08"/>
    <w:rsid w:val="637846F9"/>
    <w:rsid w:val="637A3FCD"/>
    <w:rsid w:val="637E06AE"/>
    <w:rsid w:val="63827325"/>
    <w:rsid w:val="638B7F88"/>
    <w:rsid w:val="63966935"/>
    <w:rsid w:val="63A76588"/>
    <w:rsid w:val="63AE011A"/>
    <w:rsid w:val="63BA086D"/>
    <w:rsid w:val="63BC6393"/>
    <w:rsid w:val="63E458EA"/>
    <w:rsid w:val="63E47698"/>
    <w:rsid w:val="63E61662"/>
    <w:rsid w:val="63E91153"/>
    <w:rsid w:val="63F21DB5"/>
    <w:rsid w:val="63F83144"/>
    <w:rsid w:val="63FA510E"/>
    <w:rsid w:val="64030466"/>
    <w:rsid w:val="64055F8C"/>
    <w:rsid w:val="64061D04"/>
    <w:rsid w:val="64283A29"/>
    <w:rsid w:val="642B176B"/>
    <w:rsid w:val="6441132E"/>
    <w:rsid w:val="64485E79"/>
    <w:rsid w:val="644A7E43"/>
    <w:rsid w:val="644B5969"/>
    <w:rsid w:val="6457430E"/>
    <w:rsid w:val="646C600B"/>
    <w:rsid w:val="646F1658"/>
    <w:rsid w:val="64713622"/>
    <w:rsid w:val="647C3D75"/>
    <w:rsid w:val="647C5B23"/>
    <w:rsid w:val="648570CD"/>
    <w:rsid w:val="648D7D30"/>
    <w:rsid w:val="648E6B9C"/>
    <w:rsid w:val="64923598"/>
    <w:rsid w:val="6497295D"/>
    <w:rsid w:val="64B702F7"/>
    <w:rsid w:val="64B928D3"/>
    <w:rsid w:val="64B96D77"/>
    <w:rsid w:val="64C179D9"/>
    <w:rsid w:val="64C80D68"/>
    <w:rsid w:val="64CA2D32"/>
    <w:rsid w:val="64CE2822"/>
    <w:rsid w:val="64CF0348"/>
    <w:rsid w:val="64D67CCE"/>
    <w:rsid w:val="64D92F75"/>
    <w:rsid w:val="64DD4813"/>
    <w:rsid w:val="64EB7C27"/>
    <w:rsid w:val="64F14763"/>
    <w:rsid w:val="64F319F0"/>
    <w:rsid w:val="64F658D5"/>
    <w:rsid w:val="6502071E"/>
    <w:rsid w:val="6505464C"/>
    <w:rsid w:val="650E7A25"/>
    <w:rsid w:val="65150451"/>
    <w:rsid w:val="651E6BDA"/>
    <w:rsid w:val="65290E15"/>
    <w:rsid w:val="65293EFC"/>
    <w:rsid w:val="65295CAB"/>
    <w:rsid w:val="653463FD"/>
    <w:rsid w:val="653528A1"/>
    <w:rsid w:val="65424FBE"/>
    <w:rsid w:val="654900FB"/>
    <w:rsid w:val="654B3E73"/>
    <w:rsid w:val="654F3237"/>
    <w:rsid w:val="65532D27"/>
    <w:rsid w:val="655D5954"/>
    <w:rsid w:val="655F791E"/>
    <w:rsid w:val="65635506"/>
    <w:rsid w:val="656960A7"/>
    <w:rsid w:val="65736F26"/>
    <w:rsid w:val="658630FD"/>
    <w:rsid w:val="65962C14"/>
    <w:rsid w:val="659B022A"/>
    <w:rsid w:val="659F41BF"/>
    <w:rsid w:val="65A17F37"/>
    <w:rsid w:val="65D025CA"/>
    <w:rsid w:val="65D379C4"/>
    <w:rsid w:val="65DC0F6F"/>
    <w:rsid w:val="65DF280D"/>
    <w:rsid w:val="65E63B9C"/>
    <w:rsid w:val="65E676F8"/>
    <w:rsid w:val="660A5ADC"/>
    <w:rsid w:val="66263F98"/>
    <w:rsid w:val="66320B8F"/>
    <w:rsid w:val="66415276"/>
    <w:rsid w:val="6646463A"/>
    <w:rsid w:val="664803B2"/>
    <w:rsid w:val="664C2D08"/>
    <w:rsid w:val="66554089"/>
    <w:rsid w:val="6660394E"/>
    <w:rsid w:val="666176C6"/>
    <w:rsid w:val="66624557"/>
    <w:rsid w:val="668B64F1"/>
    <w:rsid w:val="668D04BB"/>
    <w:rsid w:val="66903B07"/>
    <w:rsid w:val="66A3383B"/>
    <w:rsid w:val="66AB26EF"/>
    <w:rsid w:val="66B94E0C"/>
    <w:rsid w:val="66BE0674"/>
    <w:rsid w:val="66C11F13"/>
    <w:rsid w:val="66CA0E88"/>
    <w:rsid w:val="66CF63DE"/>
    <w:rsid w:val="66DE0D17"/>
    <w:rsid w:val="66E55E08"/>
    <w:rsid w:val="66F10A4A"/>
    <w:rsid w:val="66F127F8"/>
    <w:rsid w:val="66F67E0E"/>
    <w:rsid w:val="66F75934"/>
    <w:rsid w:val="66F81DD8"/>
    <w:rsid w:val="670562A3"/>
    <w:rsid w:val="67184229"/>
    <w:rsid w:val="67286252"/>
    <w:rsid w:val="672A3F5C"/>
    <w:rsid w:val="672C6851"/>
    <w:rsid w:val="67340937"/>
    <w:rsid w:val="673E3563"/>
    <w:rsid w:val="674072DB"/>
    <w:rsid w:val="674212A6"/>
    <w:rsid w:val="674342E3"/>
    <w:rsid w:val="6747066A"/>
    <w:rsid w:val="67472418"/>
    <w:rsid w:val="674F751F"/>
    <w:rsid w:val="6764746E"/>
    <w:rsid w:val="676C3B8F"/>
    <w:rsid w:val="676D68B5"/>
    <w:rsid w:val="67705E13"/>
    <w:rsid w:val="677A0A3F"/>
    <w:rsid w:val="677D408C"/>
    <w:rsid w:val="67835311"/>
    <w:rsid w:val="678A67A9"/>
    <w:rsid w:val="67901FF6"/>
    <w:rsid w:val="6790696E"/>
    <w:rsid w:val="67A07D7A"/>
    <w:rsid w:val="67A27F96"/>
    <w:rsid w:val="67AC671F"/>
    <w:rsid w:val="67B51A77"/>
    <w:rsid w:val="67BA52E0"/>
    <w:rsid w:val="67BB4BB4"/>
    <w:rsid w:val="67C717AB"/>
    <w:rsid w:val="67D0240D"/>
    <w:rsid w:val="67D16185"/>
    <w:rsid w:val="67DA7730"/>
    <w:rsid w:val="67DF0EB0"/>
    <w:rsid w:val="67E1461B"/>
    <w:rsid w:val="67E67E83"/>
    <w:rsid w:val="67F02AB0"/>
    <w:rsid w:val="67F56318"/>
    <w:rsid w:val="68071BA7"/>
    <w:rsid w:val="681349F0"/>
    <w:rsid w:val="68224C33"/>
    <w:rsid w:val="682269E1"/>
    <w:rsid w:val="68330BEE"/>
    <w:rsid w:val="68355788"/>
    <w:rsid w:val="6844104D"/>
    <w:rsid w:val="6850354E"/>
    <w:rsid w:val="68534DEC"/>
    <w:rsid w:val="68576637"/>
    <w:rsid w:val="685A261F"/>
    <w:rsid w:val="685E3EBD"/>
    <w:rsid w:val="686E384F"/>
    <w:rsid w:val="686F0ED6"/>
    <w:rsid w:val="68752FB5"/>
    <w:rsid w:val="68792AA5"/>
    <w:rsid w:val="687E455F"/>
    <w:rsid w:val="68815DFE"/>
    <w:rsid w:val="688651C2"/>
    <w:rsid w:val="68880F3A"/>
    <w:rsid w:val="688E4077"/>
    <w:rsid w:val="689773CF"/>
    <w:rsid w:val="68996CA3"/>
    <w:rsid w:val="689A0C6D"/>
    <w:rsid w:val="689E69AF"/>
    <w:rsid w:val="68A8338A"/>
    <w:rsid w:val="68A85138"/>
    <w:rsid w:val="68B735CD"/>
    <w:rsid w:val="68C1269E"/>
    <w:rsid w:val="68C61A62"/>
    <w:rsid w:val="68CB0E27"/>
    <w:rsid w:val="68CE7E74"/>
    <w:rsid w:val="68CF25AA"/>
    <w:rsid w:val="68D45F2D"/>
    <w:rsid w:val="68DB3760"/>
    <w:rsid w:val="68E00D76"/>
    <w:rsid w:val="68E25001"/>
    <w:rsid w:val="68E87C2B"/>
    <w:rsid w:val="68EC14C9"/>
    <w:rsid w:val="691E2803"/>
    <w:rsid w:val="69280027"/>
    <w:rsid w:val="69382960"/>
    <w:rsid w:val="693B7D5A"/>
    <w:rsid w:val="693D7F76"/>
    <w:rsid w:val="694110E9"/>
    <w:rsid w:val="69600B28"/>
    <w:rsid w:val="69747710"/>
    <w:rsid w:val="698E07D2"/>
    <w:rsid w:val="699224B1"/>
    <w:rsid w:val="69A920BB"/>
    <w:rsid w:val="69B55D5F"/>
    <w:rsid w:val="69BB70ED"/>
    <w:rsid w:val="69C73CE4"/>
    <w:rsid w:val="69CA10DE"/>
    <w:rsid w:val="69D00DEB"/>
    <w:rsid w:val="69D02B99"/>
    <w:rsid w:val="69D65CD5"/>
    <w:rsid w:val="69D94559"/>
    <w:rsid w:val="69F47280"/>
    <w:rsid w:val="69F60125"/>
    <w:rsid w:val="69F745C9"/>
    <w:rsid w:val="69FA7C16"/>
    <w:rsid w:val="69FC1BE0"/>
    <w:rsid w:val="6A10568B"/>
    <w:rsid w:val="6A107439"/>
    <w:rsid w:val="6A18009C"/>
    <w:rsid w:val="6A1A02B8"/>
    <w:rsid w:val="6A2627B9"/>
    <w:rsid w:val="6A2D7FEB"/>
    <w:rsid w:val="6A333127"/>
    <w:rsid w:val="6A3A656D"/>
    <w:rsid w:val="6A440E91"/>
    <w:rsid w:val="6A4E7F61"/>
    <w:rsid w:val="6A5437CA"/>
    <w:rsid w:val="6A55309E"/>
    <w:rsid w:val="6A58493C"/>
    <w:rsid w:val="6A5D1F52"/>
    <w:rsid w:val="6A5F5CCB"/>
    <w:rsid w:val="6A687275"/>
    <w:rsid w:val="6A8120E5"/>
    <w:rsid w:val="6A8D0A8A"/>
    <w:rsid w:val="6A955B90"/>
    <w:rsid w:val="6A9F07BD"/>
    <w:rsid w:val="6AA10091"/>
    <w:rsid w:val="6AA302AD"/>
    <w:rsid w:val="6AD95A7D"/>
    <w:rsid w:val="6ADF6E0B"/>
    <w:rsid w:val="6AF208ED"/>
    <w:rsid w:val="6AF87C73"/>
    <w:rsid w:val="6B144D07"/>
    <w:rsid w:val="6B1E5B86"/>
    <w:rsid w:val="6B3E7DF1"/>
    <w:rsid w:val="6B482C03"/>
    <w:rsid w:val="6B4F21E3"/>
    <w:rsid w:val="6B5275DD"/>
    <w:rsid w:val="6B5C220A"/>
    <w:rsid w:val="6B7632CC"/>
    <w:rsid w:val="6B785296"/>
    <w:rsid w:val="6B9B3981"/>
    <w:rsid w:val="6BB87D88"/>
    <w:rsid w:val="6BBB33D4"/>
    <w:rsid w:val="6BBE4C73"/>
    <w:rsid w:val="6BC02799"/>
    <w:rsid w:val="6BD6020E"/>
    <w:rsid w:val="6BD61FBC"/>
    <w:rsid w:val="6BE741CA"/>
    <w:rsid w:val="6BE96194"/>
    <w:rsid w:val="6BEC5C84"/>
    <w:rsid w:val="6BF16DF6"/>
    <w:rsid w:val="6BF568E6"/>
    <w:rsid w:val="6BFB5EC7"/>
    <w:rsid w:val="6C042FCD"/>
    <w:rsid w:val="6C103720"/>
    <w:rsid w:val="6C122F13"/>
    <w:rsid w:val="6C157B27"/>
    <w:rsid w:val="6C1B3E73"/>
    <w:rsid w:val="6C1C0317"/>
    <w:rsid w:val="6C246A1B"/>
    <w:rsid w:val="6C2E6B80"/>
    <w:rsid w:val="6C30791F"/>
    <w:rsid w:val="6C33740F"/>
    <w:rsid w:val="6C3A69EF"/>
    <w:rsid w:val="6C445178"/>
    <w:rsid w:val="6C4F7438"/>
    <w:rsid w:val="6C5740F9"/>
    <w:rsid w:val="6C5A499B"/>
    <w:rsid w:val="6C5B5F14"/>
    <w:rsid w:val="6C83461C"/>
    <w:rsid w:val="6C89702F"/>
    <w:rsid w:val="6C8D2FC3"/>
    <w:rsid w:val="6C9A748E"/>
    <w:rsid w:val="6C9D2ADA"/>
    <w:rsid w:val="6CA259B8"/>
    <w:rsid w:val="6CAE6A95"/>
    <w:rsid w:val="6CB02EE8"/>
    <w:rsid w:val="6CB95B66"/>
    <w:rsid w:val="6CC22541"/>
    <w:rsid w:val="6CC4275D"/>
    <w:rsid w:val="6CCE7137"/>
    <w:rsid w:val="6CD81D64"/>
    <w:rsid w:val="6CDE737B"/>
    <w:rsid w:val="6CEB7CE9"/>
    <w:rsid w:val="6CF070AE"/>
    <w:rsid w:val="6CF3094C"/>
    <w:rsid w:val="6CFE17CB"/>
    <w:rsid w:val="6CFE36B4"/>
    <w:rsid w:val="6D062D75"/>
    <w:rsid w:val="6D08089B"/>
    <w:rsid w:val="6D0C7C9A"/>
    <w:rsid w:val="6D184E6C"/>
    <w:rsid w:val="6D1F1741"/>
    <w:rsid w:val="6D1F7993"/>
    <w:rsid w:val="6D323B6A"/>
    <w:rsid w:val="6D394EF9"/>
    <w:rsid w:val="6D401DE3"/>
    <w:rsid w:val="6D57712D"/>
    <w:rsid w:val="6D583572"/>
    <w:rsid w:val="6D594C53"/>
    <w:rsid w:val="6D68758C"/>
    <w:rsid w:val="6D6D6950"/>
    <w:rsid w:val="6D6F4477"/>
    <w:rsid w:val="6D723F67"/>
    <w:rsid w:val="6D7C6B93"/>
    <w:rsid w:val="6D877A12"/>
    <w:rsid w:val="6D8F2D6B"/>
    <w:rsid w:val="6D940381"/>
    <w:rsid w:val="6D943EDD"/>
    <w:rsid w:val="6DA87988"/>
    <w:rsid w:val="6DAD31F1"/>
    <w:rsid w:val="6DB14177"/>
    <w:rsid w:val="6DBB76BC"/>
    <w:rsid w:val="6DC01176"/>
    <w:rsid w:val="6DC36570"/>
    <w:rsid w:val="6DCA6045"/>
    <w:rsid w:val="6DDB5FB0"/>
    <w:rsid w:val="6DDD15C6"/>
    <w:rsid w:val="6DE07122"/>
    <w:rsid w:val="6DE704B1"/>
    <w:rsid w:val="6DEA1D4F"/>
    <w:rsid w:val="6DEE7A91"/>
    <w:rsid w:val="6DF1132F"/>
    <w:rsid w:val="6DF332FA"/>
    <w:rsid w:val="6DF42BCE"/>
    <w:rsid w:val="6DF606F4"/>
    <w:rsid w:val="6E005A16"/>
    <w:rsid w:val="6E0077C5"/>
    <w:rsid w:val="6E0252EB"/>
    <w:rsid w:val="6E26547D"/>
    <w:rsid w:val="6E3D1D91"/>
    <w:rsid w:val="6E405E13"/>
    <w:rsid w:val="6E443B55"/>
    <w:rsid w:val="6E4678CD"/>
    <w:rsid w:val="6E4C0C5C"/>
    <w:rsid w:val="6E58315D"/>
    <w:rsid w:val="6E587601"/>
    <w:rsid w:val="6E680B4E"/>
    <w:rsid w:val="6E6C09B6"/>
    <w:rsid w:val="6E7820E9"/>
    <w:rsid w:val="6E7855AD"/>
    <w:rsid w:val="6E7F2DDF"/>
    <w:rsid w:val="6E8757F0"/>
    <w:rsid w:val="6E8B52E0"/>
    <w:rsid w:val="6E8E6B7E"/>
    <w:rsid w:val="6E9028F6"/>
    <w:rsid w:val="6E934195"/>
    <w:rsid w:val="6E9543B1"/>
    <w:rsid w:val="6EAB66A1"/>
    <w:rsid w:val="6EAE5472"/>
    <w:rsid w:val="6EB74327"/>
    <w:rsid w:val="6EBC36EB"/>
    <w:rsid w:val="6EC30F1E"/>
    <w:rsid w:val="6EC801D0"/>
    <w:rsid w:val="6ED053E9"/>
    <w:rsid w:val="6ED35967"/>
    <w:rsid w:val="6EDA0016"/>
    <w:rsid w:val="6EDF562C"/>
    <w:rsid w:val="6EE13152"/>
    <w:rsid w:val="6EE175F6"/>
    <w:rsid w:val="6EE669BA"/>
    <w:rsid w:val="6EE80984"/>
    <w:rsid w:val="6EF2535F"/>
    <w:rsid w:val="6EF94940"/>
    <w:rsid w:val="6EF966EE"/>
    <w:rsid w:val="6EFC4430"/>
    <w:rsid w:val="6F0926A9"/>
    <w:rsid w:val="6F0D03EB"/>
    <w:rsid w:val="6F0F5F11"/>
    <w:rsid w:val="6F1B2B08"/>
    <w:rsid w:val="6F2F65B3"/>
    <w:rsid w:val="6F321C00"/>
    <w:rsid w:val="6F40431D"/>
    <w:rsid w:val="6F4E54A4"/>
    <w:rsid w:val="6F5778B8"/>
    <w:rsid w:val="6F5C4ECE"/>
    <w:rsid w:val="6F651FD5"/>
    <w:rsid w:val="6F7D6FD7"/>
    <w:rsid w:val="6F814935"/>
    <w:rsid w:val="6F9603E0"/>
    <w:rsid w:val="6F96218E"/>
    <w:rsid w:val="6F9B77A5"/>
    <w:rsid w:val="6FB30EF7"/>
    <w:rsid w:val="6FB676E1"/>
    <w:rsid w:val="6FCC795E"/>
    <w:rsid w:val="6FCF38F2"/>
    <w:rsid w:val="6FCF56A0"/>
    <w:rsid w:val="6FD61C0D"/>
    <w:rsid w:val="6FDB5DF3"/>
    <w:rsid w:val="6FE50A20"/>
    <w:rsid w:val="700F0F78"/>
    <w:rsid w:val="70131A31"/>
    <w:rsid w:val="702A28D7"/>
    <w:rsid w:val="7036127C"/>
    <w:rsid w:val="70473489"/>
    <w:rsid w:val="704C7C5C"/>
    <w:rsid w:val="70766FB9"/>
    <w:rsid w:val="7080699B"/>
    <w:rsid w:val="70814BED"/>
    <w:rsid w:val="70822713"/>
    <w:rsid w:val="70874311"/>
    <w:rsid w:val="709D579F"/>
    <w:rsid w:val="709D5D2D"/>
    <w:rsid w:val="70AC7790"/>
    <w:rsid w:val="70B76860"/>
    <w:rsid w:val="70B84386"/>
    <w:rsid w:val="70BA1EAD"/>
    <w:rsid w:val="70BD7BEF"/>
    <w:rsid w:val="70BF3967"/>
    <w:rsid w:val="70C44AD9"/>
    <w:rsid w:val="70CD6084"/>
    <w:rsid w:val="70D016D0"/>
    <w:rsid w:val="70FA04FB"/>
    <w:rsid w:val="70FC24C5"/>
    <w:rsid w:val="70FF3D63"/>
    <w:rsid w:val="7101188A"/>
    <w:rsid w:val="710D477B"/>
    <w:rsid w:val="71107D1F"/>
    <w:rsid w:val="71125845"/>
    <w:rsid w:val="711F61B4"/>
    <w:rsid w:val="712E4649"/>
    <w:rsid w:val="713003C1"/>
    <w:rsid w:val="714A1482"/>
    <w:rsid w:val="714B6FA9"/>
    <w:rsid w:val="71607830"/>
    <w:rsid w:val="7177183D"/>
    <w:rsid w:val="717E112C"/>
    <w:rsid w:val="717E2EDA"/>
    <w:rsid w:val="718350B3"/>
    <w:rsid w:val="718E34F8"/>
    <w:rsid w:val="7194566A"/>
    <w:rsid w:val="719679BC"/>
    <w:rsid w:val="719E17CE"/>
    <w:rsid w:val="71A072F4"/>
    <w:rsid w:val="71AF12E6"/>
    <w:rsid w:val="71B0505E"/>
    <w:rsid w:val="71B2527A"/>
    <w:rsid w:val="71B40FF2"/>
    <w:rsid w:val="71B66B18"/>
    <w:rsid w:val="71BE59CD"/>
    <w:rsid w:val="71D13952"/>
    <w:rsid w:val="71D23226"/>
    <w:rsid w:val="71D90A58"/>
    <w:rsid w:val="71E03B95"/>
    <w:rsid w:val="71E60A7F"/>
    <w:rsid w:val="71F17B50"/>
    <w:rsid w:val="72007D93"/>
    <w:rsid w:val="72181581"/>
    <w:rsid w:val="722F68CA"/>
    <w:rsid w:val="72405F20"/>
    <w:rsid w:val="72572EF3"/>
    <w:rsid w:val="725A3947"/>
    <w:rsid w:val="72620A4E"/>
    <w:rsid w:val="726245AA"/>
    <w:rsid w:val="726A16B0"/>
    <w:rsid w:val="727051DB"/>
    <w:rsid w:val="72897D89"/>
    <w:rsid w:val="72A44BC2"/>
    <w:rsid w:val="72A526E9"/>
    <w:rsid w:val="72A9667D"/>
    <w:rsid w:val="72B312A9"/>
    <w:rsid w:val="72B91FED"/>
    <w:rsid w:val="72BD7A32"/>
    <w:rsid w:val="72C708B1"/>
    <w:rsid w:val="72CA5114"/>
    <w:rsid w:val="72CC4119"/>
    <w:rsid w:val="72CE7E91"/>
    <w:rsid w:val="72DA4A88"/>
    <w:rsid w:val="72DB435C"/>
    <w:rsid w:val="72E17BC5"/>
    <w:rsid w:val="72E651DB"/>
    <w:rsid w:val="72F1592E"/>
    <w:rsid w:val="72FD0776"/>
    <w:rsid w:val="73137F9A"/>
    <w:rsid w:val="731A4E85"/>
    <w:rsid w:val="731F249B"/>
    <w:rsid w:val="73243F55"/>
    <w:rsid w:val="732E26DE"/>
    <w:rsid w:val="73320420"/>
    <w:rsid w:val="733A1083"/>
    <w:rsid w:val="733C129F"/>
    <w:rsid w:val="733C4DFB"/>
    <w:rsid w:val="73440153"/>
    <w:rsid w:val="73487C44"/>
    <w:rsid w:val="734C0DB6"/>
    <w:rsid w:val="73552361"/>
    <w:rsid w:val="73726A6F"/>
    <w:rsid w:val="73905147"/>
    <w:rsid w:val="73970283"/>
    <w:rsid w:val="73A11255"/>
    <w:rsid w:val="73A62BBC"/>
    <w:rsid w:val="73A806E2"/>
    <w:rsid w:val="73B9644B"/>
    <w:rsid w:val="73BB0416"/>
    <w:rsid w:val="73CB43D1"/>
    <w:rsid w:val="73E159A2"/>
    <w:rsid w:val="73ED6265"/>
    <w:rsid w:val="73F13E37"/>
    <w:rsid w:val="73FB2F08"/>
    <w:rsid w:val="73FC27DC"/>
    <w:rsid w:val="740C6EC3"/>
    <w:rsid w:val="740D49E9"/>
    <w:rsid w:val="74161F6C"/>
    <w:rsid w:val="741E6BF6"/>
    <w:rsid w:val="7420471D"/>
    <w:rsid w:val="742324ED"/>
    <w:rsid w:val="743C3497"/>
    <w:rsid w:val="7440091B"/>
    <w:rsid w:val="744D3038"/>
    <w:rsid w:val="74550902"/>
    <w:rsid w:val="74690259"/>
    <w:rsid w:val="746F1200"/>
    <w:rsid w:val="747800B5"/>
    <w:rsid w:val="74827185"/>
    <w:rsid w:val="748E78D8"/>
    <w:rsid w:val="749E5641"/>
    <w:rsid w:val="74A25132"/>
    <w:rsid w:val="74AA048A"/>
    <w:rsid w:val="74AF5AA0"/>
    <w:rsid w:val="74B17A6A"/>
    <w:rsid w:val="74B9247B"/>
    <w:rsid w:val="74B96C79"/>
    <w:rsid w:val="74C07CAE"/>
    <w:rsid w:val="74C652C4"/>
    <w:rsid w:val="74CA4688"/>
    <w:rsid w:val="74CC0400"/>
    <w:rsid w:val="74D3353D"/>
    <w:rsid w:val="74D55507"/>
    <w:rsid w:val="74DD0860"/>
    <w:rsid w:val="74E41BEE"/>
    <w:rsid w:val="74F17E67"/>
    <w:rsid w:val="74F6547D"/>
    <w:rsid w:val="74F82FA3"/>
    <w:rsid w:val="74FA304A"/>
    <w:rsid w:val="75091655"/>
    <w:rsid w:val="750E7F6F"/>
    <w:rsid w:val="75114065"/>
    <w:rsid w:val="751B4EE4"/>
    <w:rsid w:val="7521074C"/>
    <w:rsid w:val="75226B23"/>
    <w:rsid w:val="75265D63"/>
    <w:rsid w:val="75324707"/>
    <w:rsid w:val="7535244A"/>
    <w:rsid w:val="753D12FE"/>
    <w:rsid w:val="753F1341"/>
    <w:rsid w:val="754A743D"/>
    <w:rsid w:val="755503F6"/>
    <w:rsid w:val="75644ADD"/>
    <w:rsid w:val="756B5E6B"/>
    <w:rsid w:val="757545F4"/>
    <w:rsid w:val="75826D11"/>
    <w:rsid w:val="758331B5"/>
    <w:rsid w:val="75840CDB"/>
    <w:rsid w:val="75882579"/>
    <w:rsid w:val="75AD3D8E"/>
    <w:rsid w:val="75C14E11"/>
    <w:rsid w:val="75C37A55"/>
    <w:rsid w:val="75CE1F56"/>
    <w:rsid w:val="75D67789"/>
    <w:rsid w:val="75E17EDC"/>
    <w:rsid w:val="75EA4FE2"/>
    <w:rsid w:val="75EA6D90"/>
    <w:rsid w:val="75EB2B08"/>
    <w:rsid w:val="75EF25F8"/>
    <w:rsid w:val="760140DA"/>
    <w:rsid w:val="760D2A7F"/>
    <w:rsid w:val="76157B85"/>
    <w:rsid w:val="761B33ED"/>
    <w:rsid w:val="763149BF"/>
    <w:rsid w:val="76326989"/>
    <w:rsid w:val="763B75EC"/>
    <w:rsid w:val="76432944"/>
    <w:rsid w:val="76472434"/>
    <w:rsid w:val="76515EBE"/>
    <w:rsid w:val="76522B87"/>
    <w:rsid w:val="76524935"/>
    <w:rsid w:val="76593F16"/>
    <w:rsid w:val="766234D3"/>
    <w:rsid w:val="76740D50"/>
    <w:rsid w:val="76777C07"/>
    <w:rsid w:val="76830F93"/>
    <w:rsid w:val="768F7938"/>
    <w:rsid w:val="76911902"/>
    <w:rsid w:val="7694670B"/>
    <w:rsid w:val="76A038F3"/>
    <w:rsid w:val="76A21419"/>
    <w:rsid w:val="76A64435"/>
    <w:rsid w:val="76B01A68"/>
    <w:rsid w:val="76B13D52"/>
    <w:rsid w:val="76B15B00"/>
    <w:rsid w:val="76BE528D"/>
    <w:rsid w:val="76BF021D"/>
    <w:rsid w:val="76CC46E8"/>
    <w:rsid w:val="76CF5F86"/>
    <w:rsid w:val="76D637B8"/>
    <w:rsid w:val="76E934EC"/>
    <w:rsid w:val="76FB4FCD"/>
    <w:rsid w:val="76FF28E3"/>
    <w:rsid w:val="77071BC4"/>
    <w:rsid w:val="771147F0"/>
    <w:rsid w:val="77132317"/>
    <w:rsid w:val="77163BB5"/>
    <w:rsid w:val="771C566F"/>
    <w:rsid w:val="772269FE"/>
    <w:rsid w:val="772E7150"/>
    <w:rsid w:val="77334767"/>
    <w:rsid w:val="773C186D"/>
    <w:rsid w:val="77400C32"/>
    <w:rsid w:val="77470212"/>
    <w:rsid w:val="774921DC"/>
    <w:rsid w:val="774B103F"/>
    <w:rsid w:val="7755292F"/>
    <w:rsid w:val="775D17E4"/>
    <w:rsid w:val="77613082"/>
    <w:rsid w:val="776668EA"/>
    <w:rsid w:val="77737259"/>
    <w:rsid w:val="77752FD1"/>
    <w:rsid w:val="77754D7F"/>
    <w:rsid w:val="7778661E"/>
    <w:rsid w:val="777C7EBC"/>
    <w:rsid w:val="77876861"/>
    <w:rsid w:val="778D168F"/>
    <w:rsid w:val="779276DF"/>
    <w:rsid w:val="77996CC0"/>
    <w:rsid w:val="77A2369A"/>
    <w:rsid w:val="77A613DD"/>
    <w:rsid w:val="77A8314D"/>
    <w:rsid w:val="77B5517C"/>
    <w:rsid w:val="77BF249E"/>
    <w:rsid w:val="77BF5FFA"/>
    <w:rsid w:val="77C655DB"/>
    <w:rsid w:val="77E141C3"/>
    <w:rsid w:val="77E45A61"/>
    <w:rsid w:val="77E51F05"/>
    <w:rsid w:val="77E837A3"/>
    <w:rsid w:val="77F43EF6"/>
    <w:rsid w:val="77FC724F"/>
    <w:rsid w:val="780659D7"/>
    <w:rsid w:val="78085BF3"/>
    <w:rsid w:val="780D320A"/>
    <w:rsid w:val="780F6F82"/>
    <w:rsid w:val="78146346"/>
    <w:rsid w:val="781833E4"/>
    <w:rsid w:val="781E0F73"/>
    <w:rsid w:val="7826607A"/>
    <w:rsid w:val="783B1B25"/>
    <w:rsid w:val="7859644F"/>
    <w:rsid w:val="786C2FE5"/>
    <w:rsid w:val="787212BF"/>
    <w:rsid w:val="787C365F"/>
    <w:rsid w:val="787E1A12"/>
    <w:rsid w:val="7880578A"/>
    <w:rsid w:val="788D7EA7"/>
    <w:rsid w:val="78941235"/>
    <w:rsid w:val="789B25C4"/>
    <w:rsid w:val="78B74F24"/>
    <w:rsid w:val="78BD77CE"/>
    <w:rsid w:val="78C66C41"/>
    <w:rsid w:val="78CE71F9"/>
    <w:rsid w:val="78D855C6"/>
    <w:rsid w:val="78E026CC"/>
    <w:rsid w:val="78E81581"/>
    <w:rsid w:val="78F341AE"/>
    <w:rsid w:val="78FD327E"/>
    <w:rsid w:val="78FE6B6E"/>
    <w:rsid w:val="79022643"/>
    <w:rsid w:val="79077C59"/>
    <w:rsid w:val="790E0E19"/>
    <w:rsid w:val="790F4D60"/>
    <w:rsid w:val="79112886"/>
    <w:rsid w:val="79164340"/>
    <w:rsid w:val="791F1447"/>
    <w:rsid w:val="79224A93"/>
    <w:rsid w:val="792812D1"/>
    <w:rsid w:val="79287C02"/>
    <w:rsid w:val="792A3948"/>
    <w:rsid w:val="792B5F58"/>
    <w:rsid w:val="792E3438"/>
    <w:rsid w:val="793622EC"/>
    <w:rsid w:val="793B3DA7"/>
    <w:rsid w:val="793D18CD"/>
    <w:rsid w:val="7943641D"/>
    <w:rsid w:val="7947274B"/>
    <w:rsid w:val="794964C4"/>
    <w:rsid w:val="794E7636"/>
    <w:rsid w:val="79537342"/>
    <w:rsid w:val="795D1F6F"/>
    <w:rsid w:val="79605479"/>
    <w:rsid w:val="79690914"/>
    <w:rsid w:val="798219D5"/>
    <w:rsid w:val="79872B48"/>
    <w:rsid w:val="79892D64"/>
    <w:rsid w:val="798968C0"/>
    <w:rsid w:val="79960FDD"/>
    <w:rsid w:val="799A0ACD"/>
    <w:rsid w:val="79BA462A"/>
    <w:rsid w:val="79BE0C60"/>
    <w:rsid w:val="79C124FE"/>
    <w:rsid w:val="79CB0C87"/>
    <w:rsid w:val="79CD2C51"/>
    <w:rsid w:val="79D12015"/>
    <w:rsid w:val="79D40FAF"/>
    <w:rsid w:val="79DC10E6"/>
    <w:rsid w:val="79DF4732"/>
    <w:rsid w:val="79E65AC0"/>
    <w:rsid w:val="79EB30D7"/>
    <w:rsid w:val="79ED50A1"/>
    <w:rsid w:val="79F24465"/>
    <w:rsid w:val="7A0D5743"/>
    <w:rsid w:val="7A100D8F"/>
    <w:rsid w:val="7A195E96"/>
    <w:rsid w:val="7A1A511A"/>
    <w:rsid w:val="7A1F0FD2"/>
    <w:rsid w:val="7A205476"/>
    <w:rsid w:val="7A2D7B93"/>
    <w:rsid w:val="7A410F49"/>
    <w:rsid w:val="7A441A53"/>
    <w:rsid w:val="7A5275FA"/>
    <w:rsid w:val="7A543372"/>
    <w:rsid w:val="7A5E7D4D"/>
    <w:rsid w:val="7A644C9E"/>
    <w:rsid w:val="7A652E89"/>
    <w:rsid w:val="7A7C6425"/>
    <w:rsid w:val="7A8F139B"/>
    <w:rsid w:val="7A923E9A"/>
    <w:rsid w:val="7A992B33"/>
    <w:rsid w:val="7A996FD7"/>
    <w:rsid w:val="7A9B68AB"/>
    <w:rsid w:val="7A9D6AC7"/>
    <w:rsid w:val="7AA8546C"/>
    <w:rsid w:val="7AB21E46"/>
    <w:rsid w:val="7AB756AF"/>
    <w:rsid w:val="7AB94608"/>
    <w:rsid w:val="7ABA4357"/>
    <w:rsid w:val="7AC202DC"/>
    <w:rsid w:val="7AD149C3"/>
    <w:rsid w:val="7ADA57DA"/>
    <w:rsid w:val="7ADB139D"/>
    <w:rsid w:val="7ADE49EA"/>
    <w:rsid w:val="7AE20296"/>
    <w:rsid w:val="7B0056BD"/>
    <w:rsid w:val="7B007056"/>
    <w:rsid w:val="7B0408F4"/>
    <w:rsid w:val="7B0703E4"/>
    <w:rsid w:val="7B0D52CF"/>
    <w:rsid w:val="7B1B79EC"/>
    <w:rsid w:val="7B2014A6"/>
    <w:rsid w:val="7B203254"/>
    <w:rsid w:val="7B226FCC"/>
    <w:rsid w:val="7B2C39A7"/>
    <w:rsid w:val="7B2E2FBA"/>
    <w:rsid w:val="7B2F3497"/>
    <w:rsid w:val="7B51340D"/>
    <w:rsid w:val="7B5408DA"/>
    <w:rsid w:val="7B542EFE"/>
    <w:rsid w:val="7B570210"/>
    <w:rsid w:val="7B65510B"/>
    <w:rsid w:val="7B6B0973"/>
    <w:rsid w:val="7B6C46EB"/>
    <w:rsid w:val="7B811F45"/>
    <w:rsid w:val="7B8207C7"/>
    <w:rsid w:val="7B8A691F"/>
    <w:rsid w:val="7B9A4DB4"/>
    <w:rsid w:val="7B9D6653"/>
    <w:rsid w:val="7BA45C33"/>
    <w:rsid w:val="7BA63759"/>
    <w:rsid w:val="7BA93249"/>
    <w:rsid w:val="7BAB6FC2"/>
    <w:rsid w:val="7BBF2A6D"/>
    <w:rsid w:val="7BCE2CB0"/>
    <w:rsid w:val="7BCE4A5E"/>
    <w:rsid w:val="7BD04C7A"/>
    <w:rsid w:val="7BD55DED"/>
    <w:rsid w:val="7BDA5A10"/>
    <w:rsid w:val="7BEF5047"/>
    <w:rsid w:val="7BF924E4"/>
    <w:rsid w:val="7BFC781D"/>
    <w:rsid w:val="7BFF2E69"/>
    <w:rsid w:val="7C09515A"/>
    <w:rsid w:val="7C1E3C37"/>
    <w:rsid w:val="7C2366FD"/>
    <w:rsid w:val="7C296138"/>
    <w:rsid w:val="7C2F48EF"/>
    <w:rsid w:val="7C3D2D46"/>
    <w:rsid w:val="7C5F7DAC"/>
    <w:rsid w:val="7C653614"/>
    <w:rsid w:val="7C7E46D6"/>
    <w:rsid w:val="7C8021FC"/>
    <w:rsid w:val="7C86358B"/>
    <w:rsid w:val="7C8D2B6B"/>
    <w:rsid w:val="7C8E41ED"/>
    <w:rsid w:val="7C9573B2"/>
    <w:rsid w:val="7CA53A11"/>
    <w:rsid w:val="7CB2612E"/>
    <w:rsid w:val="7CC540B3"/>
    <w:rsid w:val="7CCA3477"/>
    <w:rsid w:val="7CCA791B"/>
    <w:rsid w:val="7CCF4F32"/>
    <w:rsid w:val="7CD2057E"/>
    <w:rsid w:val="7CD442F6"/>
    <w:rsid w:val="7CD51E1C"/>
    <w:rsid w:val="7CDC13FD"/>
    <w:rsid w:val="7CE55A51"/>
    <w:rsid w:val="7D0746CC"/>
    <w:rsid w:val="7D0C1CE2"/>
    <w:rsid w:val="7D1110A6"/>
    <w:rsid w:val="7D16490F"/>
    <w:rsid w:val="7D1B3CD3"/>
    <w:rsid w:val="7D1F7C67"/>
    <w:rsid w:val="7D292894"/>
    <w:rsid w:val="7D360B0D"/>
    <w:rsid w:val="7D376633"/>
    <w:rsid w:val="7D3D00ED"/>
    <w:rsid w:val="7D470F6C"/>
    <w:rsid w:val="7D584F27"/>
    <w:rsid w:val="7D666DDE"/>
    <w:rsid w:val="7D747887"/>
    <w:rsid w:val="7D7D79ED"/>
    <w:rsid w:val="7D913F95"/>
    <w:rsid w:val="7D9615AC"/>
    <w:rsid w:val="7D99109C"/>
    <w:rsid w:val="7D9D6D6F"/>
    <w:rsid w:val="7DA939D5"/>
    <w:rsid w:val="7DAE0FEB"/>
    <w:rsid w:val="7DB36601"/>
    <w:rsid w:val="7DB61C4E"/>
    <w:rsid w:val="7DBA173E"/>
    <w:rsid w:val="7DBC3708"/>
    <w:rsid w:val="7DC205F3"/>
    <w:rsid w:val="7DC600E3"/>
    <w:rsid w:val="7DC91981"/>
    <w:rsid w:val="7DCF4ABD"/>
    <w:rsid w:val="7DD83452"/>
    <w:rsid w:val="7DD86068"/>
    <w:rsid w:val="7DDF6300"/>
    <w:rsid w:val="7E0724A9"/>
    <w:rsid w:val="7E130E4E"/>
    <w:rsid w:val="7E1A042F"/>
    <w:rsid w:val="7E251164"/>
    <w:rsid w:val="7E260B81"/>
    <w:rsid w:val="7E282B4B"/>
    <w:rsid w:val="7E2B6198"/>
    <w:rsid w:val="7E3D748B"/>
    <w:rsid w:val="7E41734E"/>
    <w:rsid w:val="7E490D14"/>
    <w:rsid w:val="7E4D25B2"/>
    <w:rsid w:val="7E527BC8"/>
    <w:rsid w:val="7E7062A0"/>
    <w:rsid w:val="7E7F0292"/>
    <w:rsid w:val="7E857F9E"/>
    <w:rsid w:val="7E8F2BCB"/>
    <w:rsid w:val="7E9C7095"/>
    <w:rsid w:val="7EA36676"/>
    <w:rsid w:val="7EAA17B2"/>
    <w:rsid w:val="7EC108AA"/>
    <w:rsid w:val="7EC64112"/>
    <w:rsid w:val="7EC65EC0"/>
    <w:rsid w:val="7EC81C39"/>
    <w:rsid w:val="7ED06D3F"/>
    <w:rsid w:val="7ED44A81"/>
    <w:rsid w:val="7ED625A7"/>
    <w:rsid w:val="7EDF4DEE"/>
    <w:rsid w:val="7EE10F4C"/>
    <w:rsid w:val="7EE277E1"/>
    <w:rsid w:val="7EE84089"/>
    <w:rsid w:val="7EED169F"/>
    <w:rsid w:val="7EF02F3D"/>
    <w:rsid w:val="7F0C421B"/>
    <w:rsid w:val="7F111831"/>
    <w:rsid w:val="7F1B620C"/>
    <w:rsid w:val="7F3948E4"/>
    <w:rsid w:val="7F3E014D"/>
    <w:rsid w:val="7F596D35"/>
    <w:rsid w:val="7F5C0499"/>
    <w:rsid w:val="7F610C44"/>
    <w:rsid w:val="7F741DC0"/>
    <w:rsid w:val="7F743B6E"/>
    <w:rsid w:val="7F8244DD"/>
    <w:rsid w:val="7F8D0ACE"/>
    <w:rsid w:val="7F952435"/>
    <w:rsid w:val="7F9D4E73"/>
    <w:rsid w:val="7FA501CC"/>
    <w:rsid w:val="7FAC3308"/>
    <w:rsid w:val="7FBB179D"/>
    <w:rsid w:val="7FD10FC1"/>
    <w:rsid w:val="7FDC1E3F"/>
    <w:rsid w:val="7FDE37F0"/>
    <w:rsid w:val="7FFB7DEC"/>
    <w:rsid w:val="7FFD1DB6"/>
    <w:rsid w:val="7FFF5B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59"/>
    <w:qFormat/>
    <w:uiPriority w:val="99"/>
    <w:pPr>
      <w:snapToGrid w:val="0"/>
      <w:spacing w:before="120" w:after="120" w:line="360" w:lineRule="auto"/>
      <w:jc w:val="center"/>
      <w:outlineLvl w:val="0"/>
    </w:pPr>
    <w:rPr>
      <w:rFonts w:ascii="Calibri" w:hAnsi="宋体" w:cs="Calibri"/>
      <w:b/>
      <w:bCs/>
      <w:color w:val="000000"/>
      <w:sz w:val="30"/>
      <w:szCs w:val="30"/>
    </w:rPr>
  </w:style>
  <w:style w:type="paragraph" w:styleId="6">
    <w:name w:val="heading 2"/>
    <w:basedOn w:val="1"/>
    <w:next w:val="1"/>
    <w:link w:val="60"/>
    <w:qFormat/>
    <w:uiPriority w:val="99"/>
    <w:pPr>
      <w:keepNext/>
      <w:keepLines/>
      <w:spacing w:before="260" w:after="260" w:line="413" w:lineRule="auto"/>
      <w:outlineLvl w:val="1"/>
    </w:pPr>
    <w:rPr>
      <w:rFonts w:ascii="Arial" w:hAnsi="Arial" w:eastAsia="黑体" w:cs="Arial"/>
      <w:b/>
      <w:bCs/>
      <w:sz w:val="32"/>
      <w:szCs w:val="32"/>
    </w:rPr>
  </w:style>
  <w:style w:type="paragraph" w:styleId="7">
    <w:name w:val="heading 3"/>
    <w:basedOn w:val="1"/>
    <w:next w:val="1"/>
    <w:link w:val="61"/>
    <w:qFormat/>
    <w:uiPriority w:val="99"/>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8">
    <w:name w:val="heading 4"/>
    <w:basedOn w:val="1"/>
    <w:next w:val="1"/>
    <w:link w:val="62"/>
    <w:qFormat/>
    <w:uiPriority w:val="99"/>
    <w:pPr>
      <w:keepNext/>
      <w:keepLines/>
      <w:spacing w:before="280" w:after="290" w:line="372" w:lineRule="auto"/>
      <w:outlineLvl w:val="3"/>
    </w:pPr>
    <w:rPr>
      <w:rFonts w:ascii="Arial" w:hAnsi="Arial" w:eastAsia="黑体" w:cs="Arial"/>
      <w:b/>
      <w:bCs/>
      <w:sz w:val="28"/>
      <w:szCs w:val="28"/>
    </w:rPr>
  </w:style>
  <w:style w:type="paragraph" w:styleId="9">
    <w:name w:val="heading 5"/>
    <w:basedOn w:val="1"/>
    <w:next w:val="10"/>
    <w:link w:val="63"/>
    <w:qFormat/>
    <w:uiPriority w:val="99"/>
    <w:pPr>
      <w:keepNext/>
      <w:keepLines/>
      <w:numPr>
        <w:ilvl w:val="4"/>
        <w:numId w:val="1"/>
      </w:numPr>
      <w:spacing w:before="280" w:after="290" w:line="372" w:lineRule="auto"/>
      <w:outlineLvl w:val="4"/>
    </w:pPr>
    <w:rPr>
      <w:rFonts w:ascii="Calibri" w:hAnsi="Calibri" w:cs="Calibri"/>
      <w:b/>
      <w:bCs/>
      <w:sz w:val="28"/>
      <w:szCs w:val="28"/>
    </w:rPr>
  </w:style>
  <w:style w:type="paragraph" w:styleId="11">
    <w:name w:val="heading 6"/>
    <w:basedOn w:val="1"/>
    <w:next w:val="10"/>
    <w:link w:val="64"/>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12">
    <w:name w:val="heading 7"/>
    <w:basedOn w:val="1"/>
    <w:next w:val="10"/>
    <w:link w:val="65"/>
    <w:qFormat/>
    <w:uiPriority w:val="99"/>
    <w:pPr>
      <w:keepNext/>
      <w:keepLines/>
      <w:numPr>
        <w:ilvl w:val="6"/>
        <w:numId w:val="1"/>
      </w:numPr>
      <w:spacing w:before="240" w:after="64" w:line="317" w:lineRule="auto"/>
      <w:outlineLvl w:val="6"/>
    </w:pPr>
    <w:rPr>
      <w:rFonts w:ascii="Calibri" w:hAnsi="Calibri" w:cs="Calibri"/>
      <w:b/>
      <w:bCs/>
      <w:sz w:val="24"/>
      <w:szCs w:val="24"/>
    </w:rPr>
  </w:style>
  <w:style w:type="paragraph" w:styleId="13">
    <w:name w:val="heading 8"/>
    <w:basedOn w:val="1"/>
    <w:next w:val="10"/>
    <w:link w:val="66"/>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4">
    <w:name w:val="heading 9"/>
    <w:basedOn w:val="1"/>
    <w:next w:val="10"/>
    <w:link w:val="67"/>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6"/>
    <w:qFormat/>
    <w:uiPriority w:val="99"/>
    <w:pPr>
      <w:ind w:firstLine="420" w:firstLineChars="100"/>
    </w:pPr>
    <w:rPr>
      <w:sz w:val="21"/>
      <w:szCs w:val="21"/>
    </w:rPr>
  </w:style>
  <w:style w:type="paragraph" w:styleId="3">
    <w:name w:val="Body Text"/>
    <w:basedOn w:val="1"/>
    <w:next w:val="2"/>
    <w:link w:val="72"/>
    <w:qFormat/>
    <w:uiPriority w:val="99"/>
    <w:pPr>
      <w:spacing w:after="120"/>
    </w:pPr>
    <w:rPr>
      <w:rFonts w:ascii="Calibri" w:hAnsi="Calibri" w:cs="Calibri"/>
      <w:sz w:val="28"/>
      <w:szCs w:val="28"/>
    </w:rPr>
  </w:style>
  <w:style w:type="paragraph" w:styleId="4">
    <w:name w:val="toc 6"/>
    <w:basedOn w:val="1"/>
    <w:next w:val="1"/>
    <w:semiHidden/>
    <w:qFormat/>
    <w:uiPriority w:val="99"/>
    <w:pPr>
      <w:ind w:left="1050"/>
      <w:jc w:val="left"/>
    </w:pPr>
    <w:rPr>
      <w:sz w:val="18"/>
      <w:szCs w:val="18"/>
    </w:rPr>
  </w:style>
  <w:style w:type="paragraph" w:styleId="10">
    <w:name w:val="Normal Indent"/>
    <w:basedOn w:val="1"/>
    <w:link w:val="131"/>
    <w:qFormat/>
    <w:uiPriority w:val="99"/>
    <w:pPr>
      <w:ind w:firstLine="420"/>
    </w:pPr>
  </w:style>
  <w:style w:type="paragraph" w:styleId="15">
    <w:name w:val="toc 7"/>
    <w:basedOn w:val="1"/>
    <w:next w:val="1"/>
    <w:semiHidden/>
    <w:qFormat/>
    <w:uiPriority w:val="99"/>
    <w:pPr>
      <w:ind w:left="1260"/>
      <w:jc w:val="left"/>
    </w:pPr>
    <w:rPr>
      <w:sz w:val="18"/>
      <w:szCs w:val="18"/>
    </w:rPr>
  </w:style>
  <w:style w:type="paragraph" w:styleId="16">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7">
    <w:name w:val="caption"/>
    <w:basedOn w:val="1"/>
    <w:next w:val="1"/>
    <w:qFormat/>
    <w:uiPriority w:val="99"/>
    <w:pPr>
      <w:spacing w:before="152" w:after="160"/>
    </w:pPr>
    <w:rPr>
      <w:rFonts w:ascii="Arial" w:hAnsi="Arial" w:eastAsia="黑体" w:cs="Arial"/>
      <w:sz w:val="20"/>
      <w:szCs w:val="20"/>
    </w:rPr>
  </w:style>
  <w:style w:type="paragraph" w:styleId="18">
    <w:name w:val="Document Map"/>
    <w:basedOn w:val="1"/>
    <w:link w:val="69"/>
    <w:semiHidden/>
    <w:qFormat/>
    <w:uiPriority w:val="99"/>
    <w:pPr>
      <w:shd w:val="clear" w:color="auto" w:fill="000080"/>
    </w:pPr>
    <w:rPr>
      <w:rFonts w:ascii="Calibri" w:hAnsi="Calibri" w:cs="Calibri"/>
      <w:shd w:val="clear" w:color="auto" w:fill="000080"/>
    </w:rPr>
  </w:style>
  <w:style w:type="paragraph" w:styleId="19">
    <w:name w:val="annotation text"/>
    <w:basedOn w:val="1"/>
    <w:link w:val="70"/>
    <w:semiHidden/>
    <w:qFormat/>
    <w:uiPriority w:val="99"/>
    <w:pPr>
      <w:jc w:val="left"/>
    </w:pPr>
    <w:rPr>
      <w:rFonts w:ascii="Calibri" w:hAnsi="Calibri" w:cs="Calibri"/>
    </w:rPr>
  </w:style>
  <w:style w:type="paragraph" w:styleId="20">
    <w:name w:val="Body Text 3"/>
    <w:basedOn w:val="1"/>
    <w:link w:val="71"/>
    <w:qFormat/>
    <w:uiPriority w:val="99"/>
    <w:pPr>
      <w:snapToGrid w:val="0"/>
      <w:spacing w:before="50" w:after="50"/>
    </w:pPr>
    <w:rPr>
      <w:rFonts w:ascii="Calibri" w:hAnsi="宋体" w:eastAsia="仿宋_GB2312" w:cs="Calibri"/>
      <w:b/>
      <w:bCs/>
      <w:sz w:val="24"/>
      <w:szCs w:val="24"/>
    </w:rPr>
  </w:style>
  <w:style w:type="paragraph" w:styleId="21">
    <w:name w:val="Body Text Indent"/>
    <w:basedOn w:val="1"/>
    <w:next w:val="1"/>
    <w:link w:val="73"/>
    <w:qFormat/>
    <w:uiPriority w:val="99"/>
    <w:pPr>
      <w:spacing w:line="200" w:lineRule="exact"/>
      <w:ind w:firstLine="301"/>
    </w:pPr>
    <w:rPr>
      <w:rFonts w:ascii="宋体" w:hAnsi="Courier New" w:cs="宋体"/>
      <w:spacing w:val="-4"/>
      <w:sz w:val="18"/>
      <w:szCs w:val="18"/>
    </w:rPr>
  </w:style>
  <w:style w:type="paragraph" w:styleId="22">
    <w:name w:val="List Number 3"/>
    <w:basedOn w:val="1"/>
    <w:qFormat/>
    <w:uiPriority w:val="99"/>
    <w:pPr>
      <w:tabs>
        <w:tab w:val="left" w:pos="1200"/>
      </w:tabs>
      <w:ind w:left="1200" w:hanging="360"/>
    </w:pPr>
  </w:style>
  <w:style w:type="paragraph" w:styleId="23">
    <w:name w:val="List 2"/>
    <w:basedOn w:val="1"/>
    <w:qFormat/>
    <w:uiPriority w:val="99"/>
    <w:pPr>
      <w:ind w:left="100" w:leftChars="200" w:hanging="200" w:hangingChars="200"/>
    </w:pPr>
    <w:rPr>
      <w:sz w:val="28"/>
      <w:szCs w:val="28"/>
    </w:rPr>
  </w:style>
  <w:style w:type="paragraph" w:styleId="24">
    <w:name w:val="toc 5"/>
    <w:basedOn w:val="1"/>
    <w:next w:val="1"/>
    <w:semiHidden/>
    <w:qFormat/>
    <w:uiPriority w:val="99"/>
    <w:pPr>
      <w:ind w:left="840"/>
      <w:jc w:val="left"/>
    </w:pPr>
    <w:rPr>
      <w:sz w:val="18"/>
      <w:szCs w:val="18"/>
    </w:rPr>
  </w:style>
  <w:style w:type="paragraph" w:styleId="25">
    <w:name w:val="toc 3"/>
    <w:basedOn w:val="1"/>
    <w:next w:val="1"/>
    <w:semiHidden/>
    <w:qFormat/>
    <w:uiPriority w:val="99"/>
    <w:pPr>
      <w:ind w:left="420"/>
      <w:jc w:val="left"/>
    </w:pPr>
    <w:rPr>
      <w:i/>
      <w:iCs/>
      <w:sz w:val="20"/>
      <w:szCs w:val="20"/>
    </w:rPr>
  </w:style>
  <w:style w:type="paragraph" w:styleId="26">
    <w:name w:val="Plain Text"/>
    <w:basedOn w:val="1"/>
    <w:link w:val="116"/>
    <w:qFormat/>
    <w:uiPriority w:val="99"/>
    <w:pPr>
      <w:spacing w:beforeLines="50" w:afterLines="50" w:line="400" w:lineRule="exact"/>
    </w:pPr>
    <w:rPr>
      <w:rFonts w:ascii="宋体" w:hAnsi="Courier New" w:cs="宋体"/>
      <w:sz w:val="24"/>
      <w:szCs w:val="24"/>
    </w:rPr>
  </w:style>
  <w:style w:type="paragraph" w:styleId="27">
    <w:name w:val="toc 8"/>
    <w:basedOn w:val="1"/>
    <w:next w:val="1"/>
    <w:semiHidden/>
    <w:qFormat/>
    <w:uiPriority w:val="99"/>
    <w:pPr>
      <w:ind w:left="1470"/>
      <w:jc w:val="left"/>
    </w:pPr>
    <w:rPr>
      <w:sz w:val="18"/>
      <w:szCs w:val="18"/>
    </w:rPr>
  </w:style>
  <w:style w:type="paragraph" w:styleId="28">
    <w:name w:val="Date"/>
    <w:basedOn w:val="1"/>
    <w:next w:val="1"/>
    <w:link w:val="74"/>
    <w:qFormat/>
    <w:uiPriority w:val="99"/>
    <w:pPr>
      <w:ind w:left="2500" w:leftChars="2500"/>
    </w:pPr>
    <w:rPr>
      <w:rFonts w:ascii="Calibri" w:hAnsi="Calibri" w:eastAsia="楷体_GB2312" w:cs="Calibri"/>
      <w:sz w:val="32"/>
      <w:szCs w:val="32"/>
    </w:rPr>
  </w:style>
  <w:style w:type="paragraph" w:styleId="29">
    <w:name w:val="Body Text Indent 2"/>
    <w:basedOn w:val="1"/>
    <w:link w:val="75"/>
    <w:qFormat/>
    <w:uiPriority w:val="99"/>
    <w:pPr>
      <w:snapToGrid w:val="0"/>
      <w:ind w:firstLine="542" w:firstLineChars="225"/>
    </w:pPr>
    <w:rPr>
      <w:rFonts w:ascii="仿宋_GB2312" w:hAnsi="宋体" w:cs="仿宋_GB2312"/>
      <w:b/>
      <w:bCs/>
      <w:color w:val="000000"/>
      <w:sz w:val="24"/>
      <w:szCs w:val="24"/>
    </w:rPr>
  </w:style>
  <w:style w:type="paragraph" w:styleId="30">
    <w:name w:val="endnote text"/>
    <w:basedOn w:val="1"/>
    <w:link w:val="76"/>
    <w:semiHidden/>
    <w:qFormat/>
    <w:uiPriority w:val="99"/>
    <w:pPr>
      <w:snapToGrid w:val="0"/>
      <w:jc w:val="left"/>
    </w:pPr>
    <w:rPr>
      <w:rFonts w:ascii="Calibri" w:hAnsi="Calibri" w:cs="Calibri"/>
    </w:rPr>
  </w:style>
  <w:style w:type="paragraph" w:styleId="31">
    <w:name w:val="Balloon Text"/>
    <w:basedOn w:val="1"/>
    <w:link w:val="77"/>
    <w:semiHidden/>
    <w:qFormat/>
    <w:uiPriority w:val="99"/>
    <w:rPr>
      <w:rFonts w:ascii="Calibri" w:hAnsi="Calibri" w:cs="Calibri"/>
      <w:sz w:val="18"/>
      <w:szCs w:val="18"/>
    </w:rPr>
  </w:style>
  <w:style w:type="paragraph" w:styleId="32">
    <w:name w:val="footer"/>
    <w:basedOn w:val="1"/>
    <w:link w:val="78"/>
    <w:qFormat/>
    <w:uiPriority w:val="99"/>
    <w:pPr>
      <w:tabs>
        <w:tab w:val="center" w:pos="4153"/>
        <w:tab w:val="right" w:pos="8306"/>
      </w:tabs>
      <w:snapToGrid w:val="0"/>
      <w:jc w:val="left"/>
    </w:pPr>
    <w:rPr>
      <w:rFonts w:ascii="Calibri" w:hAnsi="Calibri" w:eastAsia="黑体" w:cs="Calibri"/>
      <w:kern w:val="0"/>
      <w:sz w:val="18"/>
      <w:szCs w:val="18"/>
    </w:rPr>
  </w:style>
  <w:style w:type="paragraph" w:styleId="33">
    <w:name w:val="envelope return"/>
    <w:basedOn w:val="1"/>
    <w:unhideWhenUsed/>
    <w:qFormat/>
    <w:locked/>
    <w:uiPriority w:val="99"/>
    <w:pPr>
      <w:snapToGrid w:val="0"/>
    </w:pPr>
    <w:rPr>
      <w:rFonts w:asciiTheme="majorHAnsi" w:hAnsiTheme="majorHAnsi" w:eastAsiaTheme="majorEastAsia" w:cstheme="majorBidi"/>
    </w:rPr>
  </w:style>
  <w:style w:type="paragraph" w:styleId="34">
    <w:name w:val="header"/>
    <w:basedOn w:val="1"/>
    <w:link w:val="79"/>
    <w:qFormat/>
    <w:uiPriority w:val="99"/>
    <w:pPr>
      <w:pBdr>
        <w:bottom w:val="single" w:color="auto" w:sz="6" w:space="1"/>
      </w:pBdr>
      <w:tabs>
        <w:tab w:val="center" w:pos="4153"/>
        <w:tab w:val="right" w:pos="8306"/>
      </w:tabs>
      <w:snapToGrid w:val="0"/>
      <w:jc w:val="center"/>
    </w:pPr>
    <w:rPr>
      <w:rFonts w:ascii="Calibri" w:hAnsi="Calibri" w:eastAsia="仿宋_GB2312" w:cs="Calibri"/>
      <w:sz w:val="18"/>
      <w:szCs w:val="18"/>
    </w:rPr>
  </w:style>
  <w:style w:type="paragraph" w:styleId="35">
    <w:name w:val="toc 1"/>
    <w:basedOn w:val="1"/>
    <w:next w:val="1"/>
    <w:semiHidden/>
    <w:qFormat/>
    <w:uiPriority w:val="99"/>
  </w:style>
  <w:style w:type="paragraph" w:styleId="36">
    <w:name w:val="toc 4"/>
    <w:basedOn w:val="1"/>
    <w:next w:val="1"/>
    <w:semiHidden/>
    <w:qFormat/>
    <w:uiPriority w:val="99"/>
    <w:pPr>
      <w:ind w:left="630"/>
      <w:jc w:val="left"/>
    </w:pPr>
    <w:rPr>
      <w:sz w:val="18"/>
      <w:szCs w:val="18"/>
    </w:rPr>
  </w:style>
  <w:style w:type="paragraph" w:styleId="37">
    <w:name w:val="Subtitle"/>
    <w:basedOn w:val="1"/>
    <w:next w:val="1"/>
    <w:link w:val="80"/>
    <w:qFormat/>
    <w:uiPriority w:val="99"/>
    <w:pPr>
      <w:spacing w:before="240" w:after="60" w:line="312" w:lineRule="auto"/>
      <w:jc w:val="center"/>
      <w:outlineLvl w:val="1"/>
    </w:pPr>
    <w:rPr>
      <w:rFonts w:ascii="Cambria" w:hAnsi="Cambria" w:cs="Cambria"/>
      <w:b/>
      <w:bCs/>
      <w:kern w:val="28"/>
      <w:sz w:val="32"/>
      <w:szCs w:val="32"/>
    </w:rPr>
  </w:style>
  <w:style w:type="paragraph" w:styleId="38">
    <w:name w:val="List"/>
    <w:basedOn w:val="1"/>
    <w:qFormat/>
    <w:uiPriority w:val="99"/>
    <w:pPr>
      <w:ind w:left="200" w:hanging="200" w:hangingChars="200"/>
    </w:pPr>
    <w:rPr>
      <w:sz w:val="28"/>
      <w:szCs w:val="28"/>
    </w:rPr>
  </w:style>
  <w:style w:type="paragraph" w:styleId="39">
    <w:name w:val="footnote text"/>
    <w:basedOn w:val="1"/>
    <w:link w:val="81"/>
    <w:semiHidden/>
    <w:qFormat/>
    <w:uiPriority w:val="99"/>
    <w:pPr>
      <w:snapToGrid w:val="0"/>
      <w:jc w:val="left"/>
    </w:pPr>
    <w:rPr>
      <w:rFonts w:ascii="Calibri" w:hAnsi="Calibri" w:cs="Calibri"/>
      <w:sz w:val="18"/>
      <w:szCs w:val="18"/>
    </w:rPr>
  </w:style>
  <w:style w:type="paragraph" w:styleId="40">
    <w:name w:val="Body Text Indent 3"/>
    <w:basedOn w:val="1"/>
    <w:link w:val="82"/>
    <w:qFormat/>
    <w:uiPriority w:val="99"/>
    <w:pPr>
      <w:snapToGrid w:val="0"/>
      <w:ind w:firstLine="480" w:firstLineChars="200"/>
      <w:jc w:val="left"/>
    </w:pPr>
    <w:rPr>
      <w:rFonts w:ascii="仿宋_GB2312" w:hAnsi="宋体" w:eastAsia="仿宋_GB2312" w:cs="仿宋_GB2312"/>
      <w:color w:val="000000"/>
      <w:sz w:val="24"/>
      <w:szCs w:val="24"/>
    </w:rPr>
  </w:style>
  <w:style w:type="paragraph" w:styleId="41">
    <w:name w:val="toc 2"/>
    <w:basedOn w:val="1"/>
    <w:next w:val="1"/>
    <w:semiHidden/>
    <w:qFormat/>
    <w:uiPriority w:val="99"/>
    <w:pPr>
      <w:ind w:left="210"/>
      <w:jc w:val="left"/>
    </w:pPr>
    <w:rPr>
      <w:smallCaps/>
      <w:sz w:val="20"/>
      <w:szCs w:val="20"/>
    </w:rPr>
  </w:style>
  <w:style w:type="paragraph" w:styleId="42">
    <w:name w:val="toc 9"/>
    <w:basedOn w:val="1"/>
    <w:next w:val="1"/>
    <w:semiHidden/>
    <w:qFormat/>
    <w:uiPriority w:val="99"/>
    <w:pPr>
      <w:ind w:left="1680"/>
      <w:jc w:val="left"/>
    </w:pPr>
    <w:rPr>
      <w:sz w:val="18"/>
      <w:szCs w:val="18"/>
    </w:rPr>
  </w:style>
  <w:style w:type="paragraph" w:styleId="43">
    <w:name w:val="Body Text 2"/>
    <w:basedOn w:val="1"/>
    <w:link w:val="83"/>
    <w:qFormat/>
    <w:uiPriority w:val="99"/>
    <w:pPr>
      <w:widowControl/>
      <w:snapToGrid w:val="0"/>
      <w:spacing w:before="50" w:afterLines="50" w:line="400" w:lineRule="exact"/>
      <w:jc w:val="left"/>
    </w:pPr>
    <w:rPr>
      <w:rFonts w:ascii="宋体" w:hAnsi="宋体" w:cs="宋体"/>
      <w:color w:val="000000"/>
      <w:sz w:val="24"/>
      <w:szCs w:val="24"/>
    </w:rPr>
  </w:style>
  <w:style w:type="paragraph" w:styleId="44">
    <w:name w:val="Normal (Web)"/>
    <w:basedOn w:val="1"/>
    <w:qFormat/>
    <w:uiPriority w:val="99"/>
    <w:pPr>
      <w:widowControl/>
      <w:spacing w:before="100" w:beforeAutospacing="1" w:after="100" w:afterAutospacing="1"/>
      <w:jc w:val="left"/>
    </w:pPr>
    <w:rPr>
      <w:kern w:val="0"/>
      <w:sz w:val="24"/>
      <w:szCs w:val="24"/>
    </w:rPr>
  </w:style>
  <w:style w:type="paragraph" w:styleId="45">
    <w:name w:val="Title"/>
    <w:basedOn w:val="1"/>
    <w:next w:val="1"/>
    <w:link w:val="84"/>
    <w:qFormat/>
    <w:uiPriority w:val="10"/>
    <w:pPr>
      <w:spacing w:before="240" w:after="60"/>
      <w:jc w:val="center"/>
      <w:outlineLvl w:val="0"/>
    </w:pPr>
    <w:rPr>
      <w:rFonts w:ascii="Cambria" w:hAnsi="Cambria" w:cs="Cambria"/>
      <w:b/>
      <w:bCs/>
      <w:sz w:val="32"/>
      <w:szCs w:val="32"/>
    </w:rPr>
  </w:style>
  <w:style w:type="paragraph" w:styleId="46">
    <w:name w:val="annotation subject"/>
    <w:basedOn w:val="19"/>
    <w:next w:val="19"/>
    <w:link w:val="85"/>
    <w:semiHidden/>
    <w:qFormat/>
    <w:uiPriority w:val="99"/>
    <w:rPr>
      <w:b/>
      <w:bCs/>
    </w:rPr>
  </w:style>
  <w:style w:type="paragraph" w:styleId="47">
    <w:name w:val="Body Text First Indent 2"/>
    <w:basedOn w:val="21"/>
    <w:next w:val="1"/>
    <w:link w:val="87"/>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99"/>
    <w:rPr>
      <w:b/>
      <w:bCs/>
    </w:rPr>
  </w:style>
  <w:style w:type="character" w:styleId="52">
    <w:name w:val="page number"/>
    <w:basedOn w:val="50"/>
    <w:qFormat/>
    <w:uiPriority w:val="99"/>
  </w:style>
  <w:style w:type="character" w:styleId="53">
    <w:name w:val="FollowedHyperlink"/>
    <w:basedOn w:val="50"/>
    <w:qFormat/>
    <w:uiPriority w:val="99"/>
    <w:rPr>
      <w:color w:val="800080"/>
      <w:u w:val="single"/>
    </w:rPr>
  </w:style>
  <w:style w:type="character" w:styleId="54">
    <w:name w:val="Emphasis"/>
    <w:basedOn w:val="50"/>
    <w:qFormat/>
    <w:uiPriority w:val="99"/>
    <w:rPr>
      <w:i/>
      <w:iCs/>
    </w:rPr>
  </w:style>
  <w:style w:type="character" w:styleId="55">
    <w:name w:val="Hyperlink"/>
    <w:basedOn w:val="50"/>
    <w:qFormat/>
    <w:uiPriority w:val="99"/>
    <w:rPr>
      <w:color w:val="0000FF"/>
      <w:u w:val="single"/>
    </w:rPr>
  </w:style>
  <w:style w:type="character" w:styleId="56">
    <w:name w:val="annotation reference"/>
    <w:basedOn w:val="50"/>
    <w:semiHidden/>
    <w:qFormat/>
    <w:uiPriority w:val="99"/>
    <w:rPr>
      <w:sz w:val="21"/>
      <w:szCs w:val="21"/>
    </w:rPr>
  </w:style>
  <w:style w:type="paragraph" w:customStyle="1" w:styleId="57">
    <w:name w:val="UserStyle_0"/>
    <w:basedOn w:val="1"/>
    <w:qFormat/>
    <w:uiPriority w:val="0"/>
    <w:pPr>
      <w:spacing w:line="360" w:lineRule="auto"/>
      <w:ind w:firstLine="361"/>
    </w:pPr>
    <w:rPr>
      <w:rFonts w:ascii="宋体" w:hAnsi="宋体"/>
    </w:rPr>
  </w:style>
  <w:style w:type="paragraph" w:customStyle="1" w:styleId="58">
    <w:name w:val="样式3"/>
    <w:basedOn w:val="26"/>
    <w:qFormat/>
    <w:uiPriority w:val="99"/>
    <w:pPr>
      <w:numPr>
        <w:ilvl w:val="0"/>
        <w:numId w:val="1"/>
      </w:numPr>
      <w:tabs>
        <w:tab w:val="left" w:pos="420"/>
      </w:tabs>
      <w:spacing w:line="360" w:lineRule="auto"/>
      <w:ind w:left="0" w:firstLine="883" w:firstLineChars="200"/>
      <w:jc w:val="left"/>
    </w:pPr>
    <w:rPr>
      <w:sz w:val="28"/>
      <w:szCs w:val="28"/>
    </w:rPr>
  </w:style>
  <w:style w:type="character" w:customStyle="1" w:styleId="59">
    <w:name w:val="标题 1 Char"/>
    <w:basedOn w:val="50"/>
    <w:link w:val="5"/>
    <w:qFormat/>
    <w:locked/>
    <w:uiPriority w:val="99"/>
    <w:rPr>
      <w:rFonts w:hAnsi="宋体"/>
      <w:b/>
      <w:bCs/>
      <w:color w:val="000000"/>
      <w:kern w:val="2"/>
      <w:sz w:val="30"/>
      <w:szCs w:val="30"/>
    </w:rPr>
  </w:style>
  <w:style w:type="character" w:customStyle="1" w:styleId="60">
    <w:name w:val="标题 2 Char"/>
    <w:basedOn w:val="50"/>
    <w:link w:val="6"/>
    <w:qFormat/>
    <w:locked/>
    <w:uiPriority w:val="99"/>
    <w:rPr>
      <w:rFonts w:ascii="Arial" w:hAnsi="Arial" w:eastAsia="黑体" w:cs="Arial"/>
      <w:b/>
      <w:bCs/>
      <w:kern w:val="2"/>
      <w:sz w:val="32"/>
      <w:szCs w:val="32"/>
    </w:rPr>
  </w:style>
  <w:style w:type="character" w:customStyle="1" w:styleId="61">
    <w:name w:val="标题 3 Char"/>
    <w:basedOn w:val="50"/>
    <w:link w:val="7"/>
    <w:qFormat/>
    <w:locked/>
    <w:uiPriority w:val="99"/>
    <w:rPr>
      <w:b/>
      <w:bCs/>
      <w:sz w:val="32"/>
      <w:szCs w:val="32"/>
    </w:rPr>
  </w:style>
  <w:style w:type="character" w:customStyle="1" w:styleId="62">
    <w:name w:val="标题 4 Char"/>
    <w:basedOn w:val="50"/>
    <w:link w:val="8"/>
    <w:qFormat/>
    <w:locked/>
    <w:uiPriority w:val="99"/>
    <w:rPr>
      <w:rFonts w:ascii="Arial" w:hAnsi="Arial" w:eastAsia="黑体" w:cs="Arial"/>
      <w:b/>
      <w:bCs/>
      <w:kern w:val="2"/>
      <w:sz w:val="28"/>
      <w:szCs w:val="28"/>
    </w:rPr>
  </w:style>
  <w:style w:type="character" w:customStyle="1" w:styleId="63">
    <w:name w:val="标题 5 Char"/>
    <w:basedOn w:val="50"/>
    <w:link w:val="9"/>
    <w:qFormat/>
    <w:locked/>
    <w:uiPriority w:val="99"/>
    <w:rPr>
      <w:rFonts w:ascii="Calibri" w:hAnsi="Calibri" w:cs="Calibri"/>
      <w:b/>
      <w:bCs/>
      <w:sz w:val="28"/>
      <w:szCs w:val="28"/>
    </w:rPr>
  </w:style>
  <w:style w:type="character" w:customStyle="1" w:styleId="64">
    <w:name w:val="标题 6 Char"/>
    <w:basedOn w:val="50"/>
    <w:link w:val="11"/>
    <w:qFormat/>
    <w:locked/>
    <w:uiPriority w:val="99"/>
    <w:rPr>
      <w:rFonts w:ascii="Arial" w:hAnsi="Arial" w:eastAsia="黑体" w:cs="Arial"/>
      <w:b/>
      <w:bCs/>
      <w:sz w:val="24"/>
      <w:szCs w:val="24"/>
    </w:rPr>
  </w:style>
  <w:style w:type="character" w:customStyle="1" w:styleId="65">
    <w:name w:val="标题 7 Char"/>
    <w:basedOn w:val="50"/>
    <w:link w:val="12"/>
    <w:qFormat/>
    <w:locked/>
    <w:uiPriority w:val="99"/>
    <w:rPr>
      <w:rFonts w:ascii="Calibri" w:hAnsi="Calibri" w:cs="Calibri"/>
      <w:b/>
      <w:bCs/>
      <w:sz w:val="24"/>
      <w:szCs w:val="24"/>
    </w:rPr>
  </w:style>
  <w:style w:type="character" w:customStyle="1" w:styleId="66">
    <w:name w:val="标题 8 Char"/>
    <w:basedOn w:val="50"/>
    <w:link w:val="13"/>
    <w:qFormat/>
    <w:locked/>
    <w:uiPriority w:val="99"/>
    <w:rPr>
      <w:rFonts w:ascii="Arial" w:hAnsi="Arial" w:eastAsia="黑体" w:cs="Arial"/>
      <w:sz w:val="24"/>
      <w:szCs w:val="24"/>
    </w:rPr>
  </w:style>
  <w:style w:type="character" w:customStyle="1" w:styleId="67">
    <w:name w:val="标题 9 Char"/>
    <w:basedOn w:val="50"/>
    <w:link w:val="14"/>
    <w:qFormat/>
    <w:locked/>
    <w:uiPriority w:val="99"/>
    <w:rPr>
      <w:rFonts w:ascii="Arial" w:hAnsi="Arial" w:eastAsia="黑体" w:cs="Arial"/>
      <w:szCs w:val="21"/>
    </w:rPr>
  </w:style>
  <w:style w:type="character" w:customStyle="1" w:styleId="68">
    <w:name w:val="Plain Text Char"/>
    <w:basedOn w:val="50"/>
    <w:qFormat/>
    <w:locked/>
    <w:uiPriority w:val="99"/>
    <w:rPr>
      <w:rFonts w:ascii="宋体" w:hAnsi="Courier New" w:eastAsia="宋体" w:cs="宋体"/>
      <w:sz w:val="21"/>
      <w:szCs w:val="21"/>
    </w:rPr>
  </w:style>
  <w:style w:type="character" w:customStyle="1" w:styleId="69">
    <w:name w:val="文档结构图 Char"/>
    <w:basedOn w:val="50"/>
    <w:link w:val="18"/>
    <w:qFormat/>
    <w:locked/>
    <w:uiPriority w:val="99"/>
    <w:rPr>
      <w:kern w:val="2"/>
      <w:sz w:val="24"/>
      <w:szCs w:val="24"/>
      <w:shd w:val="clear" w:color="auto" w:fill="000080"/>
    </w:rPr>
  </w:style>
  <w:style w:type="character" w:customStyle="1" w:styleId="70">
    <w:name w:val="批注文字 Char"/>
    <w:basedOn w:val="50"/>
    <w:link w:val="19"/>
    <w:qFormat/>
    <w:locked/>
    <w:uiPriority w:val="99"/>
    <w:rPr>
      <w:kern w:val="2"/>
      <w:sz w:val="24"/>
      <w:szCs w:val="24"/>
    </w:rPr>
  </w:style>
  <w:style w:type="character" w:customStyle="1" w:styleId="71">
    <w:name w:val="正文文本 3 Char"/>
    <w:basedOn w:val="50"/>
    <w:link w:val="20"/>
    <w:qFormat/>
    <w:locked/>
    <w:uiPriority w:val="99"/>
    <w:rPr>
      <w:rFonts w:hAnsi="宋体" w:eastAsia="仿宋_GB2312"/>
      <w:b/>
      <w:bCs/>
      <w:kern w:val="2"/>
      <w:sz w:val="24"/>
      <w:szCs w:val="24"/>
    </w:rPr>
  </w:style>
  <w:style w:type="character" w:customStyle="1" w:styleId="72">
    <w:name w:val="正文文本 Char1"/>
    <w:basedOn w:val="50"/>
    <w:link w:val="3"/>
    <w:qFormat/>
    <w:locked/>
    <w:uiPriority w:val="99"/>
    <w:rPr>
      <w:kern w:val="2"/>
      <w:sz w:val="24"/>
      <w:szCs w:val="24"/>
    </w:rPr>
  </w:style>
  <w:style w:type="character" w:customStyle="1" w:styleId="73">
    <w:name w:val="正文文本缩进 Char"/>
    <w:basedOn w:val="50"/>
    <w:link w:val="21"/>
    <w:qFormat/>
    <w:locked/>
    <w:uiPriority w:val="99"/>
    <w:rPr>
      <w:rFonts w:ascii="宋体" w:hAnsi="Courier New" w:cs="宋体"/>
      <w:spacing w:val="-4"/>
      <w:kern w:val="2"/>
      <w:sz w:val="18"/>
      <w:szCs w:val="18"/>
    </w:rPr>
  </w:style>
  <w:style w:type="character" w:customStyle="1" w:styleId="74">
    <w:name w:val="日期 Char"/>
    <w:basedOn w:val="50"/>
    <w:link w:val="28"/>
    <w:qFormat/>
    <w:locked/>
    <w:uiPriority w:val="99"/>
    <w:rPr>
      <w:rFonts w:eastAsia="楷体_GB2312"/>
      <w:kern w:val="2"/>
      <w:sz w:val="32"/>
      <w:szCs w:val="32"/>
    </w:rPr>
  </w:style>
  <w:style w:type="character" w:customStyle="1" w:styleId="75">
    <w:name w:val="正文文本缩进 2 Char"/>
    <w:basedOn w:val="50"/>
    <w:link w:val="29"/>
    <w:qFormat/>
    <w:locked/>
    <w:uiPriority w:val="99"/>
    <w:rPr>
      <w:rFonts w:ascii="仿宋_GB2312" w:hAnsi="宋体" w:cs="仿宋_GB2312"/>
      <w:b/>
      <w:bCs/>
      <w:color w:val="000000"/>
      <w:kern w:val="2"/>
      <w:sz w:val="24"/>
      <w:szCs w:val="24"/>
    </w:rPr>
  </w:style>
  <w:style w:type="character" w:customStyle="1" w:styleId="76">
    <w:name w:val="尾注文本 Char"/>
    <w:basedOn w:val="50"/>
    <w:link w:val="30"/>
    <w:qFormat/>
    <w:locked/>
    <w:uiPriority w:val="99"/>
    <w:rPr>
      <w:kern w:val="2"/>
      <w:sz w:val="24"/>
      <w:szCs w:val="24"/>
    </w:rPr>
  </w:style>
  <w:style w:type="character" w:customStyle="1" w:styleId="77">
    <w:name w:val="批注框文本 Char"/>
    <w:basedOn w:val="50"/>
    <w:link w:val="31"/>
    <w:qFormat/>
    <w:locked/>
    <w:uiPriority w:val="99"/>
    <w:rPr>
      <w:kern w:val="2"/>
      <w:sz w:val="18"/>
      <w:szCs w:val="18"/>
    </w:rPr>
  </w:style>
  <w:style w:type="character" w:customStyle="1" w:styleId="78">
    <w:name w:val="页脚 Char"/>
    <w:basedOn w:val="50"/>
    <w:link w:val="32"/>
    <w:qFormat/>
    <w:locked/>
    <w:uiPriority w:val="99"/>
    <w:rPr>
      <w:rFonts w:eastAsia="黑体"/>
      <w:snapToGrid w:val="0"/>
      <w:sz w:val="18"/>
      <w:szCs w:val="18"/>
      <w:lang w:val="en-US" w:eastAsia="zh-CN"/>
    </w:rPr>
  </w:style>
  <w:style w:type="character" w:customStyle="1" w:styleId="79">
    <w:name w:val="页眉 Char"/>
    <w:basedOn w:val="50"/>
    <w:link w:val="34"/>
    <w:qFormat/>
    <w:locked/>
    <w:uiPriority w:val="99"/>
    <w:rPr>
      <w:rFonts w:eastAsia="仿宋_GB2312"/>
      <w:kern w:val="2"/>
      <w:sz w:val="18"/>
      <w:szCs w:val="18"/>
    </w:rPr>
  </w:style>
  <w:style w:type="character" w:customStyle="1" w:styleId="80">
    <w:name w:val="副标题 Char"/>
    <w:basedOn w:val="50"/>
    <w:link w:val="37"/>
    <w:qFormat/>
    <w:locked/>
    <w:uiPriority w:val="99"/>
    <w:rPr>
      <w:rFonts w:ascii="Cambria" w:hAnsi="Cambria" w:cs="Cambria"/>
      <w:b/>
      <w:bCs/>
      <w:kern w:val="28"/>
      <w:sz w:val="32"/>
      <w:szCs w:val="32"/>
    </w:rPr>
  </w:style>
  <w:style w:type="character" w:customStyle="1" w:styleId="81">
    <w:name w:val="脚注文本 Char"/>
    <w:basedOn w:val="50"/>
    <w:link w:val="39"/>
    <w:qFormat/>
    <w:locked/>
    <w:uiPriority w:val="99"/>
    <w:rPr>
      <w:kern w:val="2"/>
      <w:sz w:val="18"/>
      <w:szCs w:val="18"/>
    </w:rPr>
  </w:style>
  <w:style w:type="character" w:customStyle="1" w:styleId="82">
    <w:name w:val="正文文本缩进 3 Char"/>
    <w:basedOn w:val="50"/>
    <w:link w:val="40"/>
    <w:qFormat/>
    <w:locked/>
    <w:uiPriority w:val="99"/>
    <w:rPr>
      <w:rFonts w:ascii="仿宋_GB2312" w:hAnsi="宋体" w:eastAsia="仿宋_GB2312" w:cs="仿宋_GB2312"/>
      <w:color w:val="000000"/>
      <w:kern w:val="2"/>
      <w:sz w:val="24"/>
      <w:szCs w:val="24"/>
    </w:rPr>
  </w:style>
  <w:style w:type="character" w:customStyle="1" w:styleId="83">
    <w:name w:val="正文文本 2 Char"/>
    <w:basedOn w:val="50"/>
    <w:link w:val="43"/>
    <w:qFormat/>
    <w:locked/>
    <w:uiPriority w:val="99"/>
    <w:rPr>
      <w:rFonts w:ascii="宋体" w:eastAsia="宋体" w:cs="宋体"/>
      <w:color w:val="000000"/>
      <w:kern w:val="2"/>
      <w:sz w:val="24"/>
      <w:szCs w:val="24"/>
    </w:rPr>
  </w:style>
  <w:style w:type="character" w:customStyle="1" w:styleId="84">
    <w:name w:val="标题 Char"/>
    <w:basedOn w:val="50"/>
    <w:link w:val="45"/>
    <w:qFormat/>
    <w:locked/>
    <w:uiPriority w:val="10"/>
    <w:rPr>
      <w:rFonts w:ascii="Cambria" w:hAnsi="Cambria" w:cs="Cambria"/>
      <w:b/>
      <w:bCs/>
      <w:kern w:val="2"/>
      <w:sz w:val="32"/>
      <w:szCs w:val="32"/>
    </w:rPr>
  </w:style>
  <w:style w:type="character" w:customStyle="1" w:styleId="85">
    <w:name w:val="批注主题 Char"/>
    <w:basedOn w:val="70"/>
    <w:link w:val="46"/>
    <w:qFormat/>
    <w:locked/>
    <w:uiPriority w:val="99"/>
    <w:rPr>
      <w:b/>
      <w:bCs/>
      <w:kern w:val="2"/>
      <w:sz w:val="24"/>
      <w:szCs w:val="24"/>
    </w:rPr>
  </w:style>
  <w:style w:type="character" w:customStyle="1" w:styleId="86">
    <w:name w:val="正文首行缩进 Char1"/>
    <w:basedOn w:val="72"/>
    <w:link w:val="2"/>
    <w:qFormat/>
    <w:locked/>
    <w:uiPriority w:val="99"/>
    <w:rPr>
      <w:kern w:val="2"/>
      <w:sz w:val="24"/>
      <w:szCs w:val="24"/>
    </w:rPr>
  </w:style>
  <w:style w:type="character" w:customStyle="1" w:styleId="87">
    <w:name w:val="正文首行缩进 2 Char"/>
    <w:basedOn w:val="73"/>
    <w:link w:val="47"/>
    <w:qFormat/>
    <w:locked/>
    <w:uiPriority w:val="99"/>
    <w:rPr>
      <w:rFonts w:ascii="宋体" w:hAnsi="Courier New" w:cs="宋体"/>
      <w:spacing w:val="-4"/>
      <w:kern w:val="2"/>
      <w:sz w:val="21"/>
      <w:szCs w:val="21"/>
    </w:rPr>
  </w:style>
  <w:style w:type="character" w:customStyle="1" w:styleId="88">
    <w:name w:val="纯文本 字符"/>
    <w:qFormat/>
    <w:locked/>
    <w:uiPriority w:val="99"/>
    <w:rPr>
      <w:rFonts w:ascii="宋体" w:hAnsi="Courier New" w:cs="宋体"/>
      <w:kern w:val="2"/>
    </w:rPr>
  </w:style>
  <w:style w:type="character" w:customStyle="1" w:styleId="89">
    <w:name w:val="标题 字符"/>
    <w:qFormat/>
    <w:uiPriority w:val="99"/>
    <w:rPr>
      <w:rFonts w:ascii="等线 Light" w:eastAsia="等线 Light" w:cs="等线 Light"/>
      <w:b/>
      <w:bCs/>
      <w:kern w:val="2"/>
      <w:sz w:val="32"/>
      <w:szCs w:val="32"/>
    </w:rPr>
  </w:style>
  <w:style w:type="character" w:customStyle="1" w:styleId="90">
    <w:name w:val="font14zd"/>
    <w:basedOn w:val="50"/>
    <w:qFormat/>
    <w:uiPriority w:val="99"/>
  </w:style>
  <w:style w:type="character" w:customStyle="1" w:styleId="91">
    <w:name w:val="批注文字 Char1"/>
    <w:qFormat/>
    <w:locked/>
    <w:uiPriority w:val="99"/>
    <w:rPr>
      <w:rFonts w:ascii="Times New Roman" w:hAnsi="Times New Roman" w:eastAsia="宋体" w:cs="Times New Roman"/>
      <w:sz w:val="20"/>
      <w:szCs w:val="20"/>
    </w:rPr>
  </w:style>
  <w:style w:type="character" w:customStyle="1" w:styleId="92">
    <w:name w:val="尾注文本 Char1"/>
    <w:qFormat/>
    <w:uiPriority w:val="99"/>
    <w:rPr>
      <w:kern w:val="2"/>
      <w:sz w:val="24"/>
      <w:szCs w:val="24"/>
    </w:rPr>
  </w:style>
  <w:style w:type="character" w:customStyle="1" w:styleId="93">
    <w:name w:val="列出段落 Char1"/>
    <w:link w:val="94"/>
    <w:qFormat/>
    <w:locked/>
    <w:uiPriority w:val="99"/>
    <w:rPr>
      <w:rFonts w:ascii="Calibri" w:hAnsi="Calibri" w:cs="Calibri"/>
      <w:kern w:val="2"/>
      <w:sz w:val="22"/>
      <w:szCs w:val="22"/>
    </w:rPr>
  </w:style>
  <w:style w:type="paragraph" w:customStyle="1" w:styleId="94">
    <w:name w:val="列出段落11"/>
    <w:basedOn w:val="1"/>
    <w:link w:val="93"/>
    <w:qFormat/>
    <w:uiPriority w:val="99"/>
    <w:pPr>
      <w:ind w:firstLine="420" w:firstLineChars="200"/>
    </w:pPr>
    <w:rPr>
      <w:rFonts w:ascii="Calibri" w:hAnsi="Calibri" w:cs="Calibri"/>
      <w:sz w:val="22"/>
      <w:szCs w:val="22"/>
    </w:rPr>
  </w:style>
  <w:style w:type="character" w:customStyle="1" w:styleId="95">
    <w:name w:val="页码1"/>
    <w:qFormat/>
    <w:uiPriority w:val="99"/>
  </w:style>
  <w:style w:type="character" w:customStyle="1" w:styleId="96">
    <w:name w:val="样式 标题 1合同标题卷标题H1h1Level 1 Topic HeadingH11H12H111H13H1... Char Char"/>
    <w:qFormat/>
    <w:uiPriority w:val="99"/>
    <w:rPr>
      <w:rFonts w:ascii="宋体" w:hAnsi="宋体" w:eastAsia="宋体" w:cs="宋体"/>
      <w:b/>
      <w:bCs/>
      <w:kern w:val="44"/>
      <w:sz w:val="44"/>
      <w:szCs w:val="44"/>
      <w:lang w:val="en-US" w:eastAsia="zh-CN"/>
    </w:rPr>
  </w:style>
  <w:style w:type="character" w:customStyle="1" w:styleId="97">
    <w:name w:val="样式 正文缩进 + 首行缩进:  2 字符 Char"/>
    <w:link w:val="98"/>
    <w:qFormat/>
    <w:locked/>
    <w:uiPriority w:val="99"/>
    <w:rPr>
      <w:sz w:val="24"/>
      <w:szCs w:val="24"/>
    </w:rPr>
  </w:style>
  <w:style w:type="paragraph" w:customStyle="1" w:styleId="98">
    <w:name w:val="样式 正文缩进 + 首行缩进:  2 字符"/>
    <w:basedOn w:val="10"/>
    <w:link w:val="97"/>
    <w:qFormat/>
    <w:uiPriority w:val="99"/>
    <w:pPr>
      <w:spacing w:after="80" w:line="360" w:lineRule="auto"/>
      <w:ind w:firstLine="480" w:firstLineChars="200"/>
    </w:pPr>
    <w:rPr>
      <w:kern w:val="0"/>
      <w:sz w:val="24"/>
      <w:szCs w:val="24"/>
    </w:rPr>
  </w:style>
  <w:style w:type="character" w:customStyle="1" w:styleId="99">
    <w:name w:val="样式 标题 1合同标题卷标题H1h1Level 1 Topic HeadingH11H12H111H13H1... Char"/>
    <w:qFormat/>
    <w:uiPriority w:val="99"/>
    <w:rPr>
      <w:rFonts w:ascii="宋体" w:hAnsi="宋体" w:eastAsia="宋体" w:cs="宋体"/>
      <w:b/>
      <w:bCs/>
      <w:kern w:val="44"/>
      <w:sz w:val="44"/>
      <w:szCs w:val="44"/>
      <w:lang w:val="en-US" w:eastAsia="zh-CN"/>
    </w:rPr>
  </w:style>
  <w:style w:type="character" w:customStyle="1" w:styleId="100">
    <w:name w:val="文档正文 Char"/>
    <w:link w:val="101"/>
    <w:qFormat/>
    <w:locked/>
    <w:uiPriority w:val="99"/>
    <w:rPr>
      <w:rFonts w:ascii="Arial" w:hAnsi="Arial" w:cs="Arial"/>
      <w:sz w:val="24"/>
      <w:szCs w:val="24"/>
    </w:rPr>
  </w:style>
  <w:style w:type="paragraph" w:customStyle="1" w:styleId="101">
    <w:name w:val="文档正文"/>
    <w:basedOn w:val="1"/>
    <w:link w:val="100"/>
    <w:qFormat/>
    <w:uiPriority w:val="99"/>
    <w:rPr>
      <w:rFonts w:ascii="Arial" w:hAnsi="Arial" w:cs="Arial"/>
      <w:kern w:val="0"/>
      <w:sz w:val="24"/>
      <w:szCs w:val="24"/>
    </w:rPr>
  </w:style>
  <w:style w:type="character" w:customStyle="1" w:styleId="102">
    <w:name w:val="页脚 字符"/>
    <w:qFormat/>
    <w:uiPriority w:val="99"/>
    <w:rPr>
      <w:rFonts w:ascii="Tahoma" w:hAnsi="Tahoma" w:eastAsia="微软雅黑" w:cs="Tahoma"/>
      <w:sz w:val="18"/>
      <w:szCs w:val="18"/>
    </w:rPr>
  </w:style>
  <w:style w:type="character" w:customStyle="1" w:styleId="103">
    <w:name w:val="font21"/>
    <w:basedOn w:val="50"/>
    <w:qFormat/>
    <w:uiPriority w:val="99"/>
    <w:rPr>
      <w:rFonts w:ascii="微软雅黑" w:hAnsi="微软雅黑" w:eastAsia="微软雅黑" w:cs="微软雅黑"/>
      <w:color w:val="auto"/>
      <w:sz w:val="18"/>
      <w:szCs w:val="18"/>
      <w:u w:val="none"/>
    </w:rPr>
  </w:style>
  <w:style w:type="character" w:customStyle="1" w:styleId="104">
    <w:name w:val="04-正文 Char Char"/>
    <w:link w:val="105"/>
    <w:qFormat/>
    <w:locked/>
    <w:uiPriority w:val="99"/>
    <w:rPr>
      <w:sz w:val="24"/>
      <w:szCs w:val="24"/>
    </w:rPr>
  </w:style>
  <w:style w:type="paragraph" w:customStyle="1" w:styleId="105">
    <w:name w:val="04-正文"/>
    <w:basedOn w:val="1"/>
    <w:link w:val="104"/>
    <w:qFormat/>
    <w:uiPriority w:val="99"/>
    <w:pPr>
      <w:spacing w:line="360" w:lineRule="exact"/>
      <w:ind w:firstLine="420"/>
    </w:pPr>
    <w:rPr>
      <w:kern w:val="0"/>
      <w:sz w:val="24"/>
      <w:szCs w:val="24"/>
    </w:rPr>
  </w:style>
  <w:style w:type="character" w:customStyle="1" w:styleId="106">
    <w:name w:val="未处理的提及1"/>
    <w:qFormat/>
    <w:uiPriority w:val="99"/>
    <w:rPr>
      <w:color w:val="auto"/>
      <w:shd w:val="clear" w:color="auto" w:fill="auto"/>
    </w:rPr>
  </w:style>
  <w:style w:type="character" w:customStyle="1" w:styleId="107">
    <w:name w:val="text1"/>
    <w:qFormat/>
    <w:uiPriority w:val="99"/>
    <w:rPr>
      <w:color w:val="000000"/>
      <w:sz w:val="24"/>
      <w:szCs w:val="24"/>
    </w:rPr>
  </w:style>
  <w:style w:type="character" w:customStyle="1" w:styleId="108">
    <w:name w:val="段 Char"/>
    <w:link w:val="109"/>
    <w:qFormat/>
    <w:locked/>
    <w:uiPriority w:val="99"/>
    <w:rPr>
      <w:rFonts w:ascii="宋体" w:cs="宋体"/>
      <w:sz w:val="21"/>
      <w:szCs w:val="21"/>
      <w:lang w:val="en-US" w:eastAsia="zh-CN"/>
    </w:rPr>
  </w:style>
  <w:style w:type="paragraph" w:customStyle="1" w:styleId="109">
    <w:name w:val="段"/>
    <w:link w:val="108"/>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110">
    <w:name w:val="title_emph1"/>
    <w:qFormat/>
    <w:uiPriority w:val="99"/>
    <w:rPr>
      <w:rFonts w:ascii="Arial" w:hAnsi="Arial" w:cs="Arial"/>
      <w:b/>
      <w:bCs/>
      <w:sz w:val="18"/>
      <w:szCs w:val="18"/>
    </w:rPr>
  </w:style>
  <w:style w:type="character" w:customStyle="1" w:styleId="111">
    <w:name w:val="标题 41"/>
    <w:qFormat/>
    <w:uiPriority w:val="99"/>
  </w:style>
  <w:style w:type="character" w:customStyle="1" w:styleId="112">
    <w:name w:val="apple-style-span"/>
    <w:qFormat/>
    <w:uiPriority w:val="99"/>
  </w:style>
  <w:style w:type="character" w:customStyle="1" w:styleId="113">
    <w:name w:val="04-正文 Char"/>
    <w:qFormat/>
    <w:uiPriority w:val="99"/>
    <w:rPr>
      <w:rFonts w:eastAsia="仿宋"/>
      <w:kern w:val="2"/>
      <w:sz w:val="24"/>
      <w:szCs w:val="24"/>
    </w:rPr>
  </w:style>
  <w:style w:type="character" w:customStyle="1" w:styleId="114">
    <w:name w:val="纯文本 Char1"/>
    <w:qFormat/>
    <w:uiPriority w:val="99"/>
    <w:rPr>
      <w:rFonts w:ascii="宋体" w:hAnsi="Courier New" w:eastAsia="宋体" w:cs="宋体"/>
      <w:kern w:val="2"/>
      <w:sz w:val="21"/>
      <w:szCs w:val="21"/>
    </w:rPr>
  </w:style>
  <w:style w:type="character" w:customStyle="1" w:styleId="115">
    <w:name w:val="m_171"/>
    <w:qFormat/>
    <w:uiPriority w:val="99"/>
  </w:style>
  <w:style w:type="character" w:customStyle="1" w:styleId="116">
    <w:name w:val="纯文本 Char"/>
    <w:link w:val="26"/>
    <w:qFormat/>
    <w:locked/>
    <w:uiPriority w:val="99"/>
    <w:rPr>
      <w:rFonts w:ascii="宋体" w:hAnsi="Courier New" w:eastAsia="宋体" w:cs="宋体"/>
      <w:kern w:val="2"/>
      <w:sz w:val="24"/>
      <w:szCs w:val="24"/>
      <w:lang w:val="en-US" w:eastAsia="zh-CN"/>
    </w:rPr>
  </w:style>
  <w:style w:type="character" w:customStyle="1" w:styleId="117">
    <w:name w:val="aa1"/>
    <w:basedOn w:val="50"/>
    <w:qFormat/>
    <w:uiPriority w:val="99"/>
  </w:style>
  <w:style w:type="character" w:customStyle="1" w:styleId="118">
    <w:name w:val="www序号1) Char"/>
    <w:link w:val="119"/>
    <w:qFormat/>
    <w:locked/>
    <w:uiPriority w:val="99"/>
    <w:rPr>
      <w:sz w:val="24"/>
      <w:szCs w:val="24"/>
    </w:rPr>
  </w:style>
  <w:style w:type="paragraph" w:customStyle="1" w:styleId="119">
    <w:name w:val="www序号1)"/>
    <w:basedOn w:val="1"/>
    <w:link w:val="118"/>
    <w:qFormat/>
    <w:uiPriority w:val="99"/>
    <w:pPr>
      <w:tabs>
        <w:tab w:val="left" w:pos="2160"/>
      </w:tabs>
      <w:ind w:left="2160" w:hanging="420"/>
    </w:pPr>
    <w:rPr>
      <w:kern w:val="0"/>
      <w:sz w:val="24"/>
      <w:szCs w:val="24"/>
    </w:rPr>
  </w:style>
  <w:style w:type="character" w:customStyle="1" w:styleId="120">
    <w:name w:val="JD1-正文 Char"/>
    <w:link w:val="121"/>
    <w:qFormat/>
    <w:locked/>
    <w:uiPriority w:val="99"/>
    <w:rPr>
      <w:rFonts w:ascii="宋体" w:hAnsi="宋体" w:eastAsia="仿宋_GB2312" w:cs="宋体"/>
      <w:kern w:val="2"/>
      <w:sz w:val="24"/>
      <w:szCs w:val="24"/>
      <w:lang w:val="zh-CN"/>
    </w:rPr>
  </w:style>
  <w:style w:type="paragraph" w:customStyle="1" w:styleId="121">
    <w:name w:val="JD1-正文"/>
    <w:basedOn w:val="1"/>
    <w:link w:val="120"/>
    <w:qFormat/>
    <w:uiPriority w:val="99"/>
    <w:pPr>
      <w:spacing w:line="360" w:lineRule="auto"/>
      <w:ind w:firstLine="480"/>
      <w:jc w:val="left"/>
    </w:pPr>
    <w:rPr>
      <w:rFonts w:ascii="宋体" w:hAnsi="宋体" w:eastAsia="仿宋_GB2312" w:cs="宋体"/>
      <w:sz w:val="24"/>
      <w:szCs w:val="24"/>
      <w:lang w:val="zh-CN"/>
    </w:rPr>
  </w:style>
  <w:style w:type="character" w:customStyle="1" w:styleId="122">
    <w:name w:val="apple-converted-space"/>
    <w:basedOn w:val="50"/>
    <w:qFormat/>
    <w:uiPriority w:val="99"/>
  </w:style>
  <w:style w:type="character" w:customStyle="1" w:styleId="123">
    <w:name w:val="en"/>
    <w:basedOn w:val="50"/>
    <w:qFormat/>
    <w:uiPriority w:val="99"/>
  </w:style>
  <w:style w:type="character" w:customStyle="1" w:styleId="124">
    <w:name w:val="H4"/>
    <w:qFormat/>
    <w:uiPriority w:val="99"/>
  </w:style>
  <w:style w:type="character" w:customStyle="1" w:styleId="125">
    <w:name w:val="正文缩进 Char"/>
    <w:qFormat/>
    <w:locked/>
    <w:uiPriority w:val="99"/>
    <w:rPr>
      <w:kern w:val="2"/>
      <w:sz w:val="21"/>
      <w:szCs w:val="21"/>
    </w:rPr>
  </w:style>
  <w:style w:type="character" w:customStyle="1" w:styleId="126">
    <w:name w:val="Table Text Char Char Char Char"/>
    <w:qFormat/>
    <w:uiPriority w:val="99"/>
    <w:rPr>
      <w:rFonts w:ascii="Arial" w:hAnsi="Arial" w:eastAsia="宋体" w:cs="Arial"/>
      <w:kern w:val="2"/>
      <w:sz w:val="18"/>
      <w:szCs w:val="18"/>
      <w:lang w:val="en-US" w:eastAsia="zh-CN"/>
    </w:rPr>
  </w:style>
  <w:style w:type="character" w:customStyle="1" w:styleId="127">
    <w:name w:val="批注框文本 字符"/>
    <w:qFormat/>
    <w:uiPriority w:val="99"/>
    <w:rPr>
      <w:rFonts w:ascii="Tahoma" w:hAnsi="Tahoma" w:eastAsia="微软雅黑" w:cs="Tahoma"/>
      <w:sz w:val="18"/>
      <w:szCs w:val="18"/>
    </w:rPr>
  </w:style>
  <w:style w:type="character" w:customStyle="1" w:styleId="128">
    <w:name w:val="_正文段落 Char"/>
    <w:link w:val="129"/>
    <w:qFormat/>
    <w:locked/>
    <w:uiPriority w:val="99"/>
    <w:rPr>
      <w:rFonts w:ascii="宋体" w:hAnsi="宋体" w:eastAsia="仿宋_GB2312" w:cs="宋体"/>
      <w:sz w:val="24"/>
      <w:szCs w:val="24"/>
    </w:rPr>
  </w:style>
  <w:style w:type="paragraph" w:customStyle="1" w:styleId="129">
    <w:name w:val="_正文段落"/>
    <w:basedOn w:val="1"/>
    <w:link w:val="128"/>
    <w:qFormat/>
    <w:uiPriority w:val="99"/>
    <w:pPr>
      <w:spacing w:beforeLines="15" w:afterLines="15" w:line="360" w:lineRule="auto"/>
      <w:ind w:firstLine="480" w:firstLineChars="200"/>
    </w:pPr>
    <w:rPr>
      <w:rFonts w:ascii="宋体" w:hAnsi="宋体" w:eastAsia="仿宋_GB2312" w:cs="宋体"/>
      <w:kern w:val="0"/>
      <w:sz w:val="24"/>
      <w:szCs w:val="24"/>
    </w:rPr>
  </w:style>
  <w:style w:type="character" w:customStyle="1" w:styleId="130">
    <w:name w:val="列出段落 Char"/>
    <w:qFormat/>
    <w:uiPriority w:val="99"/>
    <w:rPr>
      <w:rFonts w:ascii="Calibri" w:hAnsi="Calibri" w:eastAsia="宋体" w:cs="Calibri"/>
    </w:rPr>
  </w:style>
  <w:style w:type="character" w:customStyle="1" w:styleId="131">
    <w:name w:val="正文缩进 Char1"/>
    <w:link w:val="10"/>
    <w:qFormat/>
    <w:locked/>
    <w:uiPriority w:val="99"/>
    <w:rPr>
      <w:kern w:val="2"/>
      <w:sz w:val="21"/>
      <w:szCs w:val="21"/>
    </w:rPr>
  </w:style>
  <w:style w:type="character" w:customStyle="1" w:styleId="132">
    <w:name w:val="m_491"/>
    <w:qFormat/>
    <w:uiPriority w:val="99"/>
  </w:style>
  <w:style w:type="character" w:customStyle="1" w:styleId="133">
    <w:name w:val="m_391"/>
    <w:qFormat/>
    <w:uiPriority w:val="99"/>
  </w:style>
  <w:style w:type="character" w:customStyle="1" w:styleId="134">
    <w:name w:val="副标题 Char1"/>
    <w:qFormat/>
    <w:uiPriority w:val="99"/>
    <w:rPr>
      <w:rFonts w:ascii="Cambria" w:hAnsi="Cambria" w:cs="Cambria"/>
      <w:b/>
      <w:bCs/>
      <w:kern w:val="28"/>
      <w:sz w:val="32"/>
      <w:szCs w:val="32"/>
    </w:rPr>
  </w:style>
  <w:style w:type="character" w:customStyle="1" w:styleId="135">
    <w:name w:val="页眉 字符"/>
    <w:qFormat/>
    <w:uiPriority w:val="99"/>
    <w:rPr>
      <w:rFonts w:ascii="Tahoma" w:hAnsi="Tahoma" w:eastAsia="微软雅黑" w:cs="Tahoma"/>
      <w:sz w:val="18"/>
      <w:szCs w:val="18"/>
    </w:rPr>
  </w:style>
  <w:style w:type="character" w:customStyle="1" w:styleId="136">
    <w:name w:val="正文首行缩进 Char"/>
    <w:qFormat/>
    <w:uiPriority w:val="99"/>
    <w:rPr>
      <w:kern w:val="2"/>
      <w:sz w:val="24"/>
      <w:szCs w:val="24"/>
    </w:rPr>
  </w:style>
  <w:style w:type="character" w:customStyle="1" w:styleId="137">
    <w:name w:val="m_01"/>
    <w:qFormat/>
    <w:uiPriority w:val="99"/>
  </w:style>
  <w:style w:type="character" w:customStyle="1" w:styleId="138">
    <w:name w:val="m_461"/>
    <w:qFormat/>
    <w:uiPriority w:val="99"/>
  </w:style>
  <w:style w:type="character" w:customStyle="1" w:styleId="139">
    <w:name w:val="脚注文本 Char1"/>
    <w:qFormat/>
    <w:uiPriority w:val="99"/>
    <w:rPr>
      <w:kern w:val="2"/>
      <w:sz w:val="18"/>
      <w:szCs w:val="18"/>
    </w:rPr>
  </w:style>
  <w:style w:type="character" w:customStyle="1" w:styleId="140">
    <w:name w:val="正文文本 Char"/>
    <w:qFormat/>
    <w:uiPriority w:val="99"/>
    <w:rPr>
      <w:kern w:val="2"/>
      <w:sz w:val="24"/>
      <w:szCs w:val="24"/>
    </w:rPr>
  </w:style>
  <w:style w:type="character" w:customStyle="1" w:styleId="141">
    <w:name w:val="文档结构图 Char1"/>
    <w:qFormat/>
    <w:uiPriority w:val="99"/>
    <w:rPr>
      <w:rFonts w:ascii="宋体" w:cs="宋体"/>
      <w:kern w:val="2"/>
      <w:sz w:val="18"/>
      <w:szCs w:val="18"/>
    </w:rPr>
  </w:style>
  <w:style w:type="character" w:customStyle="1" w:styleId="142">
    <w:name w:val="二级标题 Char"/>
    <w:link w:val="143"/>
    <w:qFormat/>
    <w:locked/>
    <w:uiPriority w:val="99"/>
    <w:rPr>
      <w:rFonts w:ascii="宋体" w:eastAsia="宋体" w:cs="宋体"/>
      <w:b/>
      <w:bCs/>
      <w:sz w:val="30"/>
      <w:szCs w:val="30"/>
      <w:lang w:val="zh-CN"/>
    </w:rPr>
  </w:style>
  <w:style w:type="paragraph" w:customStyle="1" w:styleId="143">
    <w:name w:val="二级标题"/>
    <w:basedOn w:val="6"/>
    <w:link w:val="142"/>
    <w:qFormat/>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character" w:customStyle="1" w:styleId="144">
    <w:name w:val="标题 1 Char Char"/>
    <w:basedOn w:val="50"/>
    <w:qFormat/>
    <w:uiPriority w:val="99"/>
    <w:rPr>
      <w:rFonts w:eastAsia="宋体"/>
      <w:b/>
      <w:bCs/>
      <w:spacing w:val="-2"/>
      <w:sz w:val="24"/>
      <w:szCs w:val="24"/>
      <w:lang w:val="en-US" w:eastAsia="zh-CN"/>
    </w:rPr>
  </w:style>
  <w:style w:type="character" w:customStyle="1" w:styleId="145">
    <w:name w:val="m_51"/>
    <w:qFormat/>
    <w:uiPriority w:val="99"/>
  </w:style>
  <w:style w:type="character" w:customStyle="1" w:styleId="146">
    <w:name w:val="z21"/>
    <w:qFormat/>
    <w:uiPriority w:val="99"/>
    <w:rPr>
      <w:color w:val="000000"/>
      <w:sz w:val="18"/>
      <w:szCs w:val="18"/>
    </w:rPr>
  </w:style>
  <w:style w:type="character" w:customStyle="1" w:styleId="147">
    <w:name w:val="a41"/>
    <w:qFormat/>
    <w:uiPriority w:val="99"/>
    <w:rPr>
      <w:color w:val="auto"/>
      <w:sz w:val="26"/>
      <w:szCs w:val="26"/>
    </w:rPr>
  </w:style>
  <w:style w:type="character" w:customStyle="1" w:styleId="148">
    <w:name w:val="2.1样式 Char"/>
    <w:link w:val="149"/>
    <w:qFormat/>
    <w:locked/>
    <w:uiPriority w:val="99"/>
    <w:rPr>
      <w:rFonts w:ascii="Arial" w:hAnsi="Arial" w:eastAsia="黑体" w:cs="Arial"/>
      <w:b/>
      <w:bCs/>
      <w:kern w:val="0"/>
      <w:sz w:val="32"/>
      <w:szCs w:val="32"/>
    </w:rPr>
  </w:style>
  <w:style w:type="paragraph" w:customStyle="1" w:styleId="149">
    <w:name w:val="2.1样式"/>
    <w:basedOn w:val="6"/>
    <w:link w:val="148"/>
    <w:qFormat/>
    <w:uiPriority w:val="99"/>
    <w:pPr>
      <w:numPr>
        <w:ilvl w:val="0"/>
        <w:numId w:val="2"/>
      </w:numPr>
      <w:spacing w:line="416" w:lineRule="auto"/>
    </w:pPr>
    <w:rPr>
      <w:kern w:val="0"/>
    </w:rPr>
  </w:style>
  <w:style w:type="character" w:customStyle="1" w:styleId="150">
    <w:name w:val="bookmark-item"/>
    <w:qFormat/>
    <w:uiPriority w:val="99"/>
  </w:style>
  <w:style w:type="paragraph" w:customStyle="1" w:styleId="151">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2">
    <w:name w:val="Char Char Char Char Char Char"/>
    <w:basedOn w:val="1"/>
    <w:qFormat/>
    <w:uiPriority w:val="99"/>
    <w:pPr>
      <w:ind w:firstLine="200" w:firstLineChars="200"/>
    </w:pPr>
    <w:rPr>
      <w:rFonts w:ascii="Tahoma" w:hAnsi="Tahoma" w:cs="Tahoma"/>
      <w:sz w:val="24"/>
      <w:szCs w:val="24"/>
    </w:rPr>
  </w:style>
  <w:style w:type="paragraph" w:customStyle="1" w:styleId="153">
    <w:name w:val="Note Level 1"/>
    <w:basedOn w:val="1"/>
    <w:qFormat/>
    <w:uiPriority w:val="99"/>
    <w:pPr>
      <w:keepNext/>
      <w:tabs>
        <w:tab w:val="left" w:pos="1200"/>
      </w:tabs>
      <w:ind w:left="450" w:hanging="450"/>
      <w:outlineLvl w:val="0"/>
    </w:pPr>
    <w:rPr>
      <w:rFonts w:ascii="宋体" w:hAnsi="Cambria" w:cs="宋体"/>
      <w:sz w:val="24"/>
      <w:szCs w:val="24"/>
    </w:rPr>
  </w:style>
  <w:style w:type="paragraph" w:customStyle="1" w:styleId="154">
    <w:name w:val="Normal New New New New New New New New New New New New New New New New New New New New New New New New New New New New New New New New New New New New New New New New New New New New New New New New New New New New New New New New New New New New New N"/>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155">
    <w:name w:val="33-1级列表编号-1"/>
    <w:basedOn w:val="1"/>
    <w:next w:val="1"/>
    <w:qFormat/>
    <w:uiPriority w:val="99"/>
    <w:pPr>
      <w:numPr>
        <w:ilvl w:val="0"/>
        <w:numId w:val="3"/>
      </w:numPr>
      <w:adjustRightInd w:val="0"/>
      <w:spacing w:line="360" w:lineRule="exact"/>
    </w:pPr>
  </w:style>
  <w:style w:type="paragraph" w:customStyle="1" w:styleId="156">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7">
    <w:name w:val="正文空2格  1."/>
    <w:basedOn w:val="1"/>
    <w:qFormat/>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158">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59">
    <w:name w:val="Char Char Char Char Char Char1"/>
    <w:basedOn w:val="1"/>
    <w:qFormat/>
    <w:uiPriority w:val="99"/>
    <w:pPr>
      <w:ind w:firstLine="200" w:firstLineChars="200"/>
    </w:pPr>
    <w:rPr>
      <w:rFonts w:ascii="Tahoma" w:hAnsi="Tahoma" w:cs="Tahoma"/>
      <w:sz w:val="24"/>
      <w:szCs w:val="24"/>
    </w:rPr>
  </w:style>
  <w:style w:type="paragraph" w:customStyle="1" w:styleId="160">
    <w:name w:val="para"/>
    <w:basedOn w:val="1"/>
    <w:qFormat/>
    <w:uiPriority w:val="99"/>
    <w:pPr>
      <w:widowControl/>
      <w:adjustRightInd w:val="0"/>
      <w:spacing w:before="160" w:line="360" w:lineRule="auto"/>
      <w:ind w:firstLine="425"/>
      <w:textAlignment w:val="baseline"/>
    </w:pPr>
    <w:rPr>
      <w:kern w:val="0"/>
      <w:sz w:val="24"/>
      <w:szCs w:val="24"/>
      <w:lang w:eastAsia="en-US"/>
    </w:rPr>
  </w:style>
  <w:style w:type="paragraph" w:customStyle="1" w:styleId="161">
    <w:name w:val="Note Level 9"/>
    <w:basedOn w:val="1"/>
    <w:qFormat/>
    <w:uiPriority w:val="99"/>
    <w:pPr>
      <w:keepNext/>
      <w:numPr>
        <w:ilvl w:val="8"/>
        <w:numId w:val="4"/>
      </w:numPr>
      <w:tabs>
        <w:tab w:val="left" w:pos="1200"/>
      </w:tabs>
      <w:ind w:left="3780" w:hanging="420"/>
      <w:outlineLvl w:val="8"/>
    </w:pPr>
    <w:rPr>
      <w:rFonts w:ascii="宋体" w:hAnsi="Cambria" w:cs="宋体"/>
      <w:sz w:val="24"/>
      <w:szCs w:val="24"/>
    </w:rPr>
  </w:style>
  <w:style w:type="paragraph" w:customStyle="1" w:styleId="162">
    <w:name w:val="xl25"/>
    <w:basedOn w:val="1"/>
    <w:qFormat/>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63">
    <w:name w:val="Note Level 7"/>
    <w:basedOn w:val="1"/>
    <w:qFormat/>
    <w:uiPriority w:val="99"/>
    <w:pPr>
      <w:keepNext/>
      <w:numPr>
        <w:ilvl w:val="6"/>
        <w:numId w:val="4"/>
      </w:numPr>
      <w:tabs>
        <w:tab w:val="left" w:pos="1200"/>
      </w:tabs>
      <w:ind w:left="2940" w:hanging="420"/>
      <w:outlineLvl w:val="6"/>
    </w:pPr>
    <w:rPr>
      <w:rFonts w:ascii="宋体" w:hAnsi="Cambria" w:cs="宋体"/>
      <w:sz w:val="24"/>
      <w:szCs w:val="24"/>
    </w:rPr>
  </w:style>
  <w:style w:type="paragraph" w:customStyle="1" w:styleId="164">
    <w:name w:val="xl62"/>
    <w:basedOn w:val="1"/>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5">
    <w:name w:val="xl9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6">
    <w:name w:val="Char"/>
    <w:basedOn w:val="1"/>
    <w:qFormat/>
    <w:uiPriority w:val="99"/>
    <w:pPr>
      <w:ind w:firstLine="200" w:firstLineChars="200"/>
    </w:pPr>
    <w:rPr>
      <w:rFonts w:ascii="Tahoma" w:hAnsi="Tahoma" w:cs="Tahoma"/>
      <w:sz w:val="24"/>
      <w:szCs w:val="24"/>
    </w:rPr>
  </w:style>
  <w:style w:type="paragraph" w:customStyle="1" w:styleId="167">
    <w:name w:val="xl24"/>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68">
    <w:name w:val="xl81"/>
    <w:basedOn w:val="1"/>
    <w:qFormat/>
    <w:uiPriority w:val="99"/>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9">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0">
    <w:name w:val="标准小三"/>
    <w:basedOn w:val="1"/>
    <w:qFormat/>
    <w:uiPriority w:val="99"/>
    <w:pPr>
      <w:spacing w:line="700" w:lineRule="exact"/>
      <w:ind w:firstLine="200" w:firstLineChars="200"/>
    </w:pPr>
    <w:rPr>
      <w:rFonts w:ascii="宋体" w:hAnsi="Arial" w:eastAsia="仿宋_GB2312" w:cs="宋体"/>
      <w:kern w:val="0"/>
      <w:sz w:val="30"/>
      <w:szCs w:val="30"/>
    </w:rPr>
  </w:style>
  <w:style w:type="paragraph" w:customStyle="1" w:styleId="171">
    <w:name w:val="正文－恩普"/>
    <w:basedOn w:val="10"/>
    <w:qFormat/>
    <w:uiPriority w:val="99"/>
    <w:pPr>
      <w:widowControl/>
      <w:spacing w:afterLines="50" w:line="360" w:lineRule="auto"/>
      <w:ind w:firstLine="480" w:firstLineChars="200"/>
      <w:jc w:val="left"/>
    </w:pPr>
    <w:rPr>
      <w:kern w:val="0"/>
      <w:sz w:val="24"/>
      <w:szCs w:val="24"/>
    </w:rPr>
  </w:style>
  <w:style w:type="paragraph" w:customStyle="1" w:styleId="172">
    <w:name w:val="_Style 116"/>
    <w:basedOn w:val="1"/>
    <w:next w:val="1"/>
    <w:qFormat/>
    <w:uiPriority w:val="99"/>
    <w:pPr>
      <w:spacing w:line="360" w:lineRule="auto"/>
      <w:ind w:firstLine="600"/>
    </w:pPr>
    <w:rPr>
      <w:sz w:val="24"/>
      <w:szCs w:val="24"/>
    </w:rPr>
  </w:style>
  <w:style w:type="paragraph" w:customStyle="1" w:styleId="173">
    <w:name w:val="样式 标题 1合同标题卷标题H1h1Level 1 Topic HeadingH11H12H111H13H1..."/>
    <w:qFormat/>
    <w:uiPriority w:val="99"/>
    <w:rPr>
      <w:rFonts w:ascii="宋体" w:hAnsi="宋体" w:eastAsia="宋体" w:cs="宋体"/>
      <w:b/>
      <w:bCs/>
      <w:kern w:val="44"/>
      <w:sz w:val="24"/>
      <w:szCs w:val="24"/>
      <w:lang w:val="en-US" w:eastAsia="zh-CN" w:bidi="ar-SA"/>
    </w:rPr>
  </w:style>
  <w:style w:type="paragraph" w:customStyle="1" w:styleId="174">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75">
    <w:name w:val="No Spacing"/>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176">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7">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78">
    <w:name w:val="列出段落1"/>
    <w:basedOn w:val="1"/>
    <w:qFormat/>
    <w:uiPriority w:val="99"/>
    <w:pPr>
      <w:ind w:firstLine="420" w:firstLineChars="200"/>
    </w:pPr>
  </w:style>
  <w:style w:type="paragraph" w:customStyle="1" w:styleId="179">
    <w:name w:val="xl8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80">
    <w:name w:val="p19"/>
    <w:basedOn w:val="1"/>
    <w:qFormat/>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81">
    <w:name w:val="Char2"/>
    <w:basedOn w:val="1"/>
    <w:qFormat/>
    <w:uiPriority w:val="99"/>
    <w:rPr>
      <w:rFonts w:ascii="仿宋_GB2312" w:eastAsia="仿宋_GB2312" w:cs="仿宋_GB2312"/>
      <w:b/>
      <w:bCs/>
      <w:sz w:val="32"/>
      <w:szCs w:val="32"/>
    </w:rPr>
  </w:style>
  <w:style w:type="paragraph" w:customStyle="1" w:styleId="182">
    <w:name w:val="font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3">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4">
    <w:name w:val="font9"/>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85">
    <w:name w:val="样式 标题 3 + 左侧:  0 厘米 首行缩进:  0 厘米"/>
    <w:basedOn w:val="7"/>
    <w:qFormat/>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186">
    <w:name w:val="样式 标题 1 + 两端对齐"/>
    <w:basedOn w:val="6"/>
    <w:next w:val="6"/>
    <w:qFormat/>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187">
    <w:name w:val="修订1"/>
    <w:qFormat/>
    <w:uiPriority w:val="99"/>
    <w:rPr>
      <w:rFonts w:ascii="Times New Roman" w:hAnsi="Times New Roman" w:eastAsia="宋体" w:cs="Times New Roman"/>
      <w:kern w:val="2"/>
      <w:sz w:val="21"/>
      <w:szCs w:val="21"/>
      <w:lang w:val="en-US" w:eastAsia="zh-CN" w:bidi="ar-SA"/>
    </w:rPr>
  </w:style>
  <w:style w:type="paragraph" w:customStyle="1" w:styleId="188">
    <w:name w:val="样式 标题 3 +"/>
    <w:basedOn w:val="7"/>
    <w:qFormat/>
    <w:uiPriority w:val="99"/>
    <w:pPr>
      <w:adjustRightInd/>
      <w:spacing w:line="416" w:lineRule="auto"/>
      <w:jc w:val="center"/>
      <w:textAlignment w:val="auto"/>
    </w:pPr>
    <w:rPr>
      <w:sz w:val="28"/>
      <w:szCs w:val="28"/>
    </w:rPr>
  </w:style>
  <w:style w:type="paragraph" w:customStyle="1" w:styleId="189">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90">
    <w:name w:val="样式 样式 样式 标题 2 + 左  1 字符 + 左侧:  1 字符 + 左  0 字符"/>
    <w:basedOn w:val="1"/>
    <w:qFormat/>
    <w:uiPriority w:val="99"/>
    <w:pPr>
      <w:keepNext/>
      <w:keepLines/>
      <w:spacing w:before="120" w:after="120" w:line="520" w:lineRule="atLeast"/>
      <w:outlineLvl w:val="1"/>
    </w:pPr>
    <w:rPr>
      <w:b/>
      <w:bCs/>
      <w:sz w:val="24"/>
      <w:szCs w:val="24"/>
    </w:rPr>
  </w:style>
  <w:style w:type="paragraph" w:customStyle="1" w:styleId="191">
    <w:name w:val="正文文字缩进4字符"/>
    <w:basedOn w:val="1"/>
    <w:next w:val="10"/>
    <w:qFormat/>
    <w:uiPriority w:val="99"/>
    <w:pPr>
      <w:ind w:firstLine="420" w:firstLineChars="200"/>
    </w:pPr>
  </w:style>
  <w:style w:type="paragraph" w:customStyle="1" w:styleId="192">
    <w:name w:val="Char1"/>
    <w:basedOn w:val="1"/>
    <w:qFormat/>
    <w:uiPriority w:val="99"/>
    <w:rPr>
      <w:rFonts w:ascii="Tahoma" w:hAnsi="Tahoma" w:cs="Tahoma"/>
      <w:sz w:val="24"/>
      <w:szCs w:val="24"/>
    </w:rPr>
  </w:style>
  <w:style w:type="paragraph" w:customStyle="1" w:styleId="193">
    <w:name w:val="List Paragraph1"/>
    <w:basedOn w:val="1"/>
    <w:qFormat/>
    <w:uiPriority w:val="99"/>
    <w:pPr>
      <w:ind w:firstLine="420" w:firstLineChars="200"/>
    </w:pPr>
    <w:rPr>
      <w:rFonts w:ascii="Calibri" w:hAnsi="Calibri" w:cs="Calibri"/>
    </w:rPr>
  </w:style>
  <w:style w:type="paragraph" w:customStyle="1" w:styleId="194">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95">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6">
    <w:name w:val="xl9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7">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8">
    <w:name w:val="40-表格首行"/>
    <w:basedOn w:val="1"/>
    <w:next w:val="1"/>
    <w:qFormat/>
    <w:uiPriority w:val="99"/>
    <w:pPr>
      <w:spacing w:line="200" w:lineRule="exact"/>
      <w:jc w:val="center"/>
    </w:pPr>
    <w:rPr>
      <w:rFonts w:eastAsia="微软雅黑"/>
      <w:b/>
      <w:bCs/>
      <w:color w:val="000000"/>
      <w:kern w:val="0"/>
      <w:sz w:val="18"/>
      <w:szCs w:val="18"/>
    </w:rPr>
  </w:style>
  <w:style w:type="paragraph" w:customStyle="1" w:styleId="199">
    <w:name w:val="xl5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00">
    <w:name w:val="Char11"/>
    <w:basedOn w:val="1"/>
    <w:qFormat/>
    <w:uiPriority w:val="99"/>
    <w:rPr>
      <w:rFonts w:ascii="Tahoma" w:hAnsi="Tahoma" w:cs="Tahoma"/>
      <w:sz w:val="24"/>
      <w:szCs w:val="24"/>
    </w:rPr>
  </w:style>
  <w:style w:type="paragraph" w:customStyle="1" w:styleId="201">
    <w:name w:val="正文-列出段落"/>
    <w:basedOn w:val="1"/>
    <w:next w:val="1"/>
    <w:qFormat/>
    <w:uiPriority w:val="99"/>
    <w:pPr>
      <w:spacing w:line="360" w:lineRule="auto"/>
    </w:pPr>
    <w:rPr>
      <w:rFonts w:ascii="微软雅黑" w:hAnsi="微软雅黑" w:eastAsia="微软雅黑" w:cs="微软雅黑"/>
      <w:b/>
      <w:bCs/>
      <w:sz w:val="24"/>
      <w:szCs w:val="24"/>
    </w:rPr>
  </w:style>
  <w:style w:type="paragraph" w:customStyle="1" w:styleId="202">
    <w:name w:val="TOC 标题1"/>
    <w:basedOn w:val="5"/>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03">
    <w:name w:val="xl92"/>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4">
    <w:name w:val="xl6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205">
    <w:name w:val="列表段落1"/>
    <w:basedOn w:val="1"/>
    <w:qFormat/>
    <w:uiPriority w:val="99"/>
    <w:pPr>
      <w:ind w:firstLine="420" w:firstLineChars="200"/>
    </w:pPr>
  </w:style>
  <w:style w:type="paragraph" w:customStyle="1" w:styleId="206">
    <w:name w:val="xl77"/>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07">
    <w:name w:val="xl68"/>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08">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09">
    <w:name w:val="Normal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10">
    <w:name w:val="正文段"/>
    <w:basedOn w:val="1"/>
    <w:qFormat/>
    <w:uiPriority w:val="99"/>
    <w:pPr>
      <w:widowControl/>
      <w:snapToGrid w:val="0"/>
      <w:spacing w:afterLines="50"/>
      <w:ind w:firstLine="200" w:firstLineChars="200"/>
    </w:pPr>
    <w:rPr>
      <w:kern w:val="0"/>
      <w:sz w:val="24"/>
      <w:szCs w:val="24"/>
    </w:rPr>
  </w:style>
  <w:style w:type="paragraph" w:customStyle="1" w:styleId="211">
    <w:name w:val="四号正文"/>
    <w:basedOn w:val="1"/>
    <w:qFormat/>
    <w:uiPriority w:val="99"/>
    <w:pPr>
      <w:spacing w:line="360" w:lineRule="auto"/>
      <w:ind w:firstLine="560" w:firstLineChars="200"/>
    </w:pPr>
    <w:rPr>
      <w:sz w:val="28"/>
      <w:szCs w:val="28"/>
    </w:rPr>
  </w:style>
  <w:style w:type="paragraph" w:customStyle="1" w:styleId="212">
    <w:name w:val="列项◆（三级）"/>
    <w:basedOn w:val="1"/>
    <w:qFormat/>
    <w:uiPriority w:val="99"/>
    <w:pPr>
      <w:numPr>
        <w:ilvl w:val="2"/>
        <w:numId w:val="5"/>
      </w:numPr>
      <w:ind w:firstLine="0"/>
    </w:pPr>
    <w:rPr>
      <w:rFonts w:ascii="宋体" w:cs="宋体"/>
    </w:rPr>
  </w:style>
  <w:style w:type="paragraph" w:customStyle="1" w:styleId="213">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14">
    <w:name w:val="Note Level 8"/>
    <w:basedOn w:val="1"/>
    <w:qFormat/>
    <w:uiPriority w:val="99"/>
    <w:pPr>
      <w:keepNext/>
      <w:numPr>
        <w:ilvl w:val="7"/>
        <w:numId w:val="4"/>
      </w:numPr>
      <w:tabs>
        <w:tab w:val="left" w:pos="1200"/>
      </w:tabs>
      <w:ind w:left="3360" w:hanging="420"/>
      <w:outlineLvl w:val="7"/>
    </w:pPr>
    <w:rPr>
      <w:rFonts w:ascii="宋体" w:hAnsi="Cambria" w:cs="宋体"/>
      <w:sz w:val="24"/>
      <w:szCs w:val="24"/>
    </w:rPr>
  </w:style>
  <w:style w:type="paragraph" w:customStyle="1" w:styleId="215">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16">
    <w:name w:val="列出段落1111"/>
    <w:basedOn w:val="1"/>
    <w:qFormat/>
    <w:uiPriority w:val="99"/>
    <w:pPr>
      <w:ind w:firstLine="420" w:firstLineChars="200"/>
    </w:pPr>
    <w:rPr>
      <w:rFonts w:ascii="Calibri" w:hAnsi="Calibri" w:cs="Calibri"/>
    </w:rPr>
  </w:style>
  <w:style w:type="paragraph" w:customStyle="1" w:styleId="217">
    <w:name w:val="xl54"/>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18">
    <w:name w:val="xl7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9">
    <w:name w:val="Note Level 4"/>
    <w:basedOn w:val="1"/>
    <w:qFormat/>
    <w:uiPriority w:val="99"/>
    <w:pPr>
      <w:keepNext/>
      <w:numPr>
        <w:ilvl w:val="3"/>
        <w:numId w:val="4"/>
      </w:numPr>
      <w:tabs>
        <w:tab w:val="left" w:pos="1200"/>
      </w:tabs>
      <w:ind w:left="1680" w:hanging="420"/>
      <w:outlineLvl w:val="3"/>
    </w:pPr>
    <w:rPr>
      <w:rFonts w:ascii="宋体" w:hAnsi="Cambria" w:cs="宋体"/>
      <w:sz w:val="24"/>
      <w:szCs w:val="24"/>
    </w:rPr>
  </w:style>
  <w:style w:type="paragraph" w:customStyle="1" w:styleId="220">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1">
    <w:name w:val="样式1"/>
    <w:basedOn w:val="8"/>
    <w:qFormat/>
    <w:uiPriority w:val="99"/>
  </w:style>
  <w:style w:type="paragraph" w:customStyle="1" w:styleId="222">
    <w:name w:val="TOC 标题2"/>
    <w:basedOn w:val="5"/>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23">
    <w:name w:val="Char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24">
    <w:name w:val="xl6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5">
    <w:name w:val="xl52"/>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6">
    <w:name w:val="bi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7">
    <w:name w:val="无间隔1"/>
    <w:qFormat/>
    <w:uiPriority w:val="0"/>
    <w:pPr>
      <w:widowControl w:val="0"/>
      <w:spacing w:line="360" w:lineRule="auto"/>
      <w:jc w:val="both"/>
    </w:pPr>
    <w:rPr>
      <w:rFonts w:ascii="宋体" w:hAnsi="Calibri" w:eastAsia="宋体" w:cs="宋体"/>
      <w:kern w:val="2"/>
      <w:sz w:val="24"/>
      <w:szCs w:val="24"/>
      <w:lang w:val="en-US" w:eastAsia="zh-CN" w:bidi="ar-SA"/>
    </w:rPr>
  </w:style>
  <w:style w:type="paragraph" w:customStyle="1" w:styleId="228">
    <w:name w:val="Note Level 2"/>
    <w:basedOn w:val="1"/>
    <w:qFormat/>
    <w:uiPriority w:val="99"/>
    <w:pPr>
      <w:keepNext/>
      <w:numPr>
        <w:ilvl w:val="1"/>
        <w:numId w:val="4"/>
      </w:numPr>
      <w:tabs>
        <w:tab w:val="left" w:pos="1200"/>
      </w:tabs>
      <w:ind w:left="840" w:hanging="420"/>
      <w:outlineLvl w:val="1"/>
    </w:pPr>
    <w:rPr>
      <w:rFonts w:ascii="宋体" w:hAnsi="Cambria" w:cs="宋体"/>
      <w:sz w:val="24"/>
      <w:szCs w:val="24"/>
    </w:rPr>
  </w:style>
  <w:style w:type="paragraph" w:customStyle="1" w:styleId="229">
    <w:name w:val="此正文"/>
    <w:basedOn w:val="1"/>
    <w:qFormat/>
    <w:uiPriority w:val="99"/>
    <w:pPr>
      <w:spacing w:line="360" w:lineRule="auto"/>
      <w:ind w:firstLine="200" w:firstLineChars="200"/>
    </w:pPr>
    <w:rPr>
      <w:sz w:val="24"/>
      <w:szCs w:val="24"/>
    </w:rPr>
  </w:style>
  <w:style w:type="paragraph" w:customStyle="1" w:styleId="230">
    <w:name w:val="Note Level 6"/>
    <w:basedOn w:val="1"/>
    <w:qFormat/>
    <w:uiPriority w:val="99"/>
    <w:pPr>
      <w:keepNext/>
      <w:numPr>
        <w:ilvl w:val="5"/>
        <w:numId w:val="4"/>
      </w:numPr>
      <w:tabs>
        <w:tab w:val="left" w:pos="1200"/>
      </w:tabs>
      <w:ind w:left="2520" w:hanging="420"/>
      <w:outlineLvl w:val="5"/>
    </w:pPr>
    <w:rPr>
      <w:rFonts w:ascii="宋体" w:hAnsi="Cambria" w:cs="宋体"/>
      <w:sz w:val="24"/>
      <w:szCs w:val="24"/>
    </w:rPr>
  </w:style>
  <w:style w:type="paragraph" w:customStyle="1" w:styleId="231">
    <w:name w:val="xl73"/>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2">
    <w:name w:val="xl93"/>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3">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34">
    <w:name w:val="xl78"/>
    <w:basedOn w:val="1"/>
    <w:qFormat/>
    <w:uiPriority w:val="99"/>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35">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6">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37">
    <w:name w:val="列项●（二级）"/>
    <w:qFormat/>
    <w:uiPriority w:val="99"/>
    <w:pPr>
      <w:numPr>
        <w:ilvl w:val="1"/>
        <w:numId w:val="5"/>
      </w:numPr>
      <w:tabs>
        <w:tab w:val="left" w:pos="840"/>
      </w:tabs>
      <w:jc w:val="both"/>
    </w:pPr>
    <w:rPr>
      <w:rFonts w:ascii="宋体" w:hAnsi="Times New Roman" w:eastAsia="宋体" w:cs="宋体"/>
      <w:sz w:val="21"/>
      <w:szCs w:val="21"/>
      <w:lang w:val="en-US" w:eastAsia="zh-CN" w:bidi="ar-SA"/>
    </w:rPr>
  </w:style>
  <w:style w:type="paragraph" w:customStyle="1" w:styleId="238">
    <w:name w:val="证文"/>
    <w:basedOn w:val="1"/>
    <w:qFormat/>
    <w:uiPriority w:val="99"/>
    <w:pPr>
      <w:spacing w:line="360" w:lineRule="auto"/>
    </w:pPr>
    <w:rPr>
      <w:sz w:val="24"/>
      <w:szCs w:val="24"/>
    </w:rPr>
  </w:style>
  <w:style w:type="paragraph" w:customStyle="1" w:styleId="239">
    <w:name w:val="标准正文"/>
    <w:basedOn w:val="1"/>
    <w:qFormat/>
    <w:uiPriority w:val="99"/>
    <w:pPr>
      <w:spacing w:line="240" w:lineRule="atLeast"/>
      <w:ind w:firstLine="200" w:firstLineChars="200"/>
    </w:pPr>
  </w:style>
  <w:style w:type="paragraph" w:customStyle="1" w:styleId="240">
    <w:name w:val="Normal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41">
    <w:name w:val="xl72"/>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2">
    <w:name w:val="xl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3">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4">
    <w:name w:val="文字"/>
    <w:basedOn w:val="1"/>
    <w:qFormat/>
    <w:uiPriority w:val="99"/>
    <w:pPr>
      <w:tabs>
        <w:tab w:val="left" w:pos="8520"/>
      </w:tabs>
      <w:spacing w:line="312" w:lineRule="auto"/>
      <w:ind w:right="-210" w:firstLine="556"/>
    </w:pPr>
    <w:rPr>
      <w:rFonts w:ascii="宋体" w:cs="宋体"/>
      <w:sz w:val="28"/>
      <w:szCs w:val="28"/>
    </w:rPr>
  </w:style>
  <w:style w:type="paragraph" w:customStyle="1" w:styleId="245">
    <w:name w:val="_Style 2"/>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246">
    <w:name w:val="正文文本缩进1"/>
    <w:basedOn w:val="1"/>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47">
    <w:name w:val="42-表格数字"/>
    <w:next w:val="1"/>
    <w:qFormat/>
    <w:uiPriority w:val="99"/>
    <w:pPr>
      <w:jc w:val="center"/>
      <w:textAlignment w:val="center"/>
    </w:pPr>
    <w:rPr>
      <w:rFonts w:ascii="Times New Roman" w:hAnsi="Times New Roman" w:eastAsia="微软雅黑" w:cs="Times New Roman"/>
      <w:color w:val="000000"/>
      <w:sz w:val="18"/>
      <w:szCs w:val="18"/>
      <w:lang w:val="en-US" w:eastAsia="zh-CN" w:bidi="ar-SA"/>
    </w:rPr>
  </w:style>
  <w:style w:type="paragraph" w:customStyle="1" w:styleId="248">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9">
    <w:name w:val="ZJ正文"/>
    <w:basedOn w:val="1"/>
    <w:qFormat/>
    <w:uiPriority w:val="99"/>
    <w:pPr>
      <w:spacing w:line="360" w:lineRule="auto"/>
      <w:ind w:firstLine="480" w:firstLineChars="200"/>
    </w:pPr>
    <w:rPr>
      <w:sz w:val="24"/>
      <w:szCs w:val="24"/>
    </w:rPr>
  </w:style>
  <w:style w:type="paragraph" w:customStyle="1" w:styleId="250">
    <w:name w:val="Char1 Char Char Char"/>
    <w:basedOn w:val="1"/>
    <w:qFormat/>
    <w:uiPriority w:val="99"/>
    <w:pPr>
      <w:tabs>
        <w:tab w:val="left" w:pos="420"/>
      </w:tabs>
      <w:ind w:left="420" w:hanging="420"/>
    </w:pPr>
    <w:rPr>
      <w:rFonts w:ascii="Tahoma" w:hAnsi="Tahoma" w:cs="Tahoma"/>
      <w:sz w:val="24"/>
      <w:szCs w:val="24"/>
    </w:rPr>
  </w:style>
  <w:style w:type="paragraph" w:customStyle="1" w:styleId="251">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2">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3">
    <w:name w:val="列出段落111"/>
    <w:basedOn w:val="1"/>
    <w:qFormat/>
    <w:uiPriority w:val="99"/>
    <w:pPr>
      <w:spacing w:line="360" w:lineRule="auto"/>
      <w:ind w:firstLine="420" w:firstLineChars="200"/>
    </w:pPr>
    <w:rPr>
      <w:rFonts w:ascii="Calibri" w:hAnsi="Calibri" w:cs="Calibri"/>
    </w:rPr>
  </w:style>
  <w:style w:type="paragraph" w:customStyle="1" w:styleId="254">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55">
    <w:name w:val="标准正文缩进"/>
    <w:basedOn w:val="1"/>
    <w:qFormat/>
    <w:uiPriority w:val="99"/>
    <w:pPr>
      <w:spacing w:line="300" w:lineRule="auto"/>
      <w:ind w:firstLine="200" w:firstLineChars="200"/>
      <w:jc w:val="left"/>
    </w:pPr>
    <w:rPr>
      <w:rFonts w:eastAsia="PMingLiUfalt"/>
      <w:sz w:val="24"/>
      <w:szCs w:val="24"/>
    </w:rPr>
  </w:style>
  <w:style w:type="paragraph" w:customStyle="1" w:styleId="256">
    <w:name w:val="Note Level 5"/>
    <w:basedOn w:val="1"/>
    <w:qFormat/>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57">
    <w:name w:val="font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8">
    <w:name w:val="WPSOffice手动目录 1"/>
    <w:qFormat/>
    <w:uiPriority w:val="99"/>
    <w:rPr>
      <w:rFonts w:ascii="Calibri" w:hAnsi="Calibri" w:eastAsia="宋体" w:cs="Calibri"/>
      <w:lang w:val="en-US" w:eastAsia="zh-CN" w:bidi="ar-SA"/>
    </w:rPr>
  </w:style>
  <w:style w:type="paragraph" w:customStyle="1" w:styleId="259">
    <w:name w:val="font7"/>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60">
    <w:name w:val="xl29"/>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61">
    <w:name w:val="列出段落111111"/>
    <w:basedOn w:val="1"/>
    <w:qFormat/>
    <w:uiPriority w:val="99"/>
    <w:pPr>
      <w:spacing w:line="360" w:lineRule="auto"/>
      <w:ind w:firstLine="420" w:firstLineChars="200"/>
    </w:pPr>
    <w:rPr>
      <w:rFonts w:ascii="Calibri" w:hAnsi="Calibri" w:cs="Calibri"/>
    </w:rPr>
  </w:style>
  <w:style w:type="paragraph" w:customStyle="1" w:styleId="262">
    <w:name w:val="p18"/>
    <w:basedOn w:val="1"/>
    <w:qFormat/>
    <w:uiPriority w:val="99"/>
    <w:pPr>
      <w:widowControl/>
    </w:pPr>
    <w:rPr>
      <w:kern w:val="0"/>
      <w:sz w:val="24"/>
      <w:szCs w:val="24"/>
    </w:rPr>
  </w:style>
  <w:style w:type="paragraph" w:customStyle="1" w:styleId="263">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264">
    <w:name w:val="样式 标题 3 +1"/>
    <w:basedOn w:val="7"/>
    <w:qFormat/>
    <w:uiPriority w:val="99"/>
    <w:pPr>
      <w:adjustRightInd/>
      <w:spacing w:line="416" w:lineRule="auto"/>
      <w:jc w:val="center"/>
      <w:textAlignment w:val="auto"/>
    </w:pPr>
    <w:rPr>
      <w:sz w:val="28"/>
      <w:szCs w:val="28"/>
    </w:rPr>
  </w:style>
  <w:style w:type="paragraph" w:customStyle="1" w:styleId="265">
    <w:name w:val="xl63"/>
    <w:basedOn w:val="1"/>
    <w:qFormat/>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66">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67">
    <w:name w:val="xl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68">
    <w:name w:val="Note Level 3"/>
    <w:basedOn w:val="1"/>
    <w:qFormat/>
    <w:uiPriority w:val="99"/>
    <w:pPr>
      <w:keepNext/>
      <w:numPr>
        <w:ilvl w:val="2"/>
        <w:numId w:val="6"/>
      </w:numPr>
      <w:tabs>
        <w:tab w:val="left" w:pos="1200"/>
      </w:tabs>
      <w:ind w:left="1260" w:hanging="420"/>
      <w:outlineLvl w:val="2"/>
    </w:pPr>
    <w:rPr>
      <w:rFonts w:ascii="宋体" w:hAnsi="Cambria" w:cs="宋体"/>
      <w:sz w:val="24"/>
      <w:szCs w:val="24"/>
    </w:rPr>
  </w:style>
  <w:style w:type="paragraph" w:customStyle="1" w:styleId="269">
    <w:name w:val="xl7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70">
    <w:name w:val="43-表格正文"/>
    <w:basedOn w:val="1"/>
    <w:next w:val="1"/>
    <w:qFormat/>
    <w:uiPriority w:val="99"/>
    <w:pPr>
      <w:jc w:val="left"/>
    </w:pPr>
    <w:rPr>
      <w:rFonts w:eastAsia="微软雅黑"/>
      <w:sz w:val="18"/>
      <w:szCs w:val="18"/>
    </w:rPr>
  </w:style>
  <w:style w:type="paragraph" w:customStyle="1" w:styleId="271">
    <w:name w:val="5"/>
    <w:basedOn w:val="1"/>
    <w:next w:val="1"/>
    <w:qFormat/>
    <w:uiPriority w:val="99"/>
  </w:style>
  <w:style w:type="paragraph" w:customStyle="1" w:styleId="272">
    <w:name w:val="xl6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3">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4">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75">
    <w:name w:val="xl6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6">
    <w:name w:val="Char1 Char Char Char Char Char"/>
    <w:basedOn w:val="1"/>
    <w:qFormat/>
    <w:uiPriority w:val="99"/>
    <w:rPr>
      <w:rFonts w:ascii="仿宋_GB2312" w:eastAsia="仿宋_GB2312" w:cs="仿宋_GB2312"/>
      <w:sz w:val="24"/>
      <w:szCs w:val="24"/>
    </w:rPr>
  </w:style>
  <w:style w:type="paragraph" w:customStyle="1" w:styleId="277">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8">
    <w:name w:val="TOC 标题3"/>
    <w:basedOn w:val="5"/>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79">
    <w:name w:val="正文 New New New New"/>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280">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81">
    <w:name w:val="标准小四"/>
    <w:basedOn w:val="1"/>
    <w:qFormat/>
    <w:uiPriority w:val="99"/>
    <w:pPr>
      <w:spacing w:line="360" w:lineRule="auto"/>
      <w:ind w:firstLine="480" w:firstLineChars="200"/>
    </w:pPr>
    <w:rPr>
      <w:rFonts w:ascii="Arial" w:hAnsi="Arial" w:cs="Arial"/>
      <w:sz w:val="24"/>
      <w:szCs w:val="24"/>
    </w:rPr>
  </w:style>
  <w:style w:type="paragraph" w:customStyle="1" w:styleId="282">
    <w:name w:val="font13"/>
    <w:basedOn w:val="1"/>
    <w:qFormat/>
    <w:uiPriority w:val="99"/>
    <w:pPr>
      <w:widowControl/>
      <w:spacing w:before="100" w:beforeAutospacing="1" w:after="100" w:afterAutospacing="1"/>
      <w:jc w:val="left"/>
    </w:pPr>
    <w:rPr>
      <w:b/>
      <w:bCs/>
      <w:kern w:val="0"/>
      <w:sz w:val="24"/>
      <w:szCs w:val="24"/>
    </w:rPr>
  </w:style>
  <w:style w:type="paragraph" w:customStyle="1" w:styleId="283">
    <w:name w:val="Char Char Char Char Char Char Char Char Char Char Char Char1 Char"/>
    <w:basedOn w:val="18"/>
    <w:qFormat/>
    <w:uiPriority w:val="99"/>
    <w:rPr>
      <w:rFonts w:ascii="Tahoma" w:hAnsi="Tahoma" w:cs="Tahoma"/>
      <w:sz w:val="24"/>
      <w:szCs w:val="24"/>
    </w:rPr>
  </w:style>
  <w:style w:type="paragraph" w:customStyle="1" w:styleId="284">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285">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286">
    <w:name w:val="Normal Char"/>
    <w:basedOn w:val="1"/>
    <w:qFormat/>
    <w:uiPriority w:val="99"/>
    <w:pPr>
      <w:suppressAutoHyphens/>
      <w:autoSpaceDE w:val="0"/>
      <w:jc w:val="left"/>
    </w:pPr>
    <w:rPr>
      <w:rFonts w:ascii="Thorndale" w:hAnsi="Thorndale" w:cs="Thorndale"/>
      <w:color w:val="000000"/>
      <w:kern w:val="0"/>
      <w:sz w:val="20"/>
      <w:szCs w:val="20"/>
      <w:lang w:val="hu-HU"/>
    </w:rPr>
  </w:style>
  <w:style w:type="paragraph" w:customStyle="1" w:styleId="287">
    <w:name w:val="font1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8">
    <w:name w:val="xl51"/>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9">
    <w:name w:val="xl95"/>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290">
    <w:name w:val="xl74"/>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1">
    <w:name w:val="ZJGIS-五级标题"/>
    <w:basedOn w:val="9"/>
    <w:qFormat/>
    <w:uiPriority w:val="99"/>
    <w:pPr>
      <w:tabs>
        <w:tab w:val="left" w:pos="992"/>
        <w:tab w:val="clear" w:pos="2100"/>
      </w:tabs>
      <w:spacing w:before="120" w:after="120" w:line="240" w:lineRule="auto"/>
      <w:ind w:left="0" w:firstLine="0"/>
    </w:pPr>
  </w:style>
  <w:style w:type="paragraph" w:customStyle="1" w:styleId="292">
    <w:name w:val="xl56"/>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93">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94">
    <w:name w:val="xl34"/>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95">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296">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297">
    <w:name w:val="自由格式 A"/>
    <w:qFormat/>
    <w:uiPriority w:val="99"/>
    <w:rPr>
      <w:rFonts w:ascii="Helvetica" w:hAnsi="Helvetica" w:eastAsia="宋体" w:cs="Helvetica"/>
      <w:color w:val="000000"/>
      <w:sz w:val="24"/>
      <w:szCs w:val="24"/>
      <w:lang w:val="en-US" w:eastAsia="zh-CN" w:bidi="ar-SA"/>
    </w:rPr>
  </w:style>
  <w:style w:type="paragraph" w:customStyle="1" w:styleId="298">
    <w:name w:val="纯文本1"/>
    <w:basedOn w:val="1"/>
    <w:qFormat/>
    <w:uiPriority w:val="99"/>
    <w:pPr>
      <w:spacing w:beforeLines="50" w:afterLines="50" w:line="400" w:lineRule="exact"/>
    </w:pPr>
    <w:rPr>
      <w:rFonts w:ascii="宋体" w:hAnsi="Courier New" w:cs="宋体"/>
      <w:sz w:val="24"/>
      <w:szCs w:val="24"/>
    </w:rPr>
  </w:style>
  <w:style w:type="paragraph" w:customStyle="1" w:styleId="299">
    <w:name w:val="默认段落字体 Para Char Char Char Char Char Char Char Char Char1 Char Char Char Char"/>
    <w:basedOn w:val="1"/>
    <w:qFormat/>
    <w:uiPriority w:val="99"/>
    <w:rPr>
      <w:rFonts w:ascii="Tahoma" w:hAnsi="Tahoma" w:cs="Tahoma"/>
      <w:sz w:val="24"/>
      <w:szCs w:val="24"/>
    </w:rPr>
  </w:style>
  <w:style w:type="paragraph" w:customStyle="1" w:styleId="300">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1">
    <w:name w:val="Char1 Char"/>
    <w:basedOn w:val="1"/>
    <w:qFormat/>
    <w:uiPriority w:val="99"/>
    <w:pPr>
      <w:tabs>
        <w:tab w:val="left" w:pos="360"/>
      </w:tabs>
      <w:spacing w:line="360" w:lineRule="auto"/>
    </w:pPr>
    <w:rPr>
      <w:sz w:val="24"/>
      <w:szCs w:val="24"/>
    </w:rPr>
  </w:style>
  <w:style w:type="paragraph" w:customStyle="1" w:styleId="302">
    <w:name w:val="列表段落2"/>
    <w:basedOn w:val="1"/>
    <w:qFormat/>
    <w:uiPriority w:val="99"/>
    <w:pPr>
      <w:ind w:firstLine="420" w:firstLineChars="200"/>
    </w:pPr>
    <w:rPr>
      <w:rFonts w:ascii="Calibri" w:hAnsi="Calibri" w:cs="Calibri"/>
    </w:rPr>
  </w:style>
  <w:style w:type="paragraph" w:customStyle="1" w:styleId="303">
    <w:name w:val="xl57"/>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4">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5">
    <w:name w:val="正文1"/>
    <w:qFormat/>
    <w:uiPriority w:val="99"/>
    <w:pPr>
      <w:jc w:val="both"/>
    </w:pPr>
    <w:rPr>
      <w:rFonts w:ascii="等线" w:hAnsi="等线" w:eastAsia="宋体" w:cs="等线"/>
      <w:kern w:val="2"/>
      <w:sz w:val="21"/>
      <w:szCs w:val="21"/>
      <w:lang w:val="en-US" w:eastAsia="zh-CN" w:bidi="ar-SA"/>
    </w:rPr>
  </w:style>
  <w:style w:type="paragraph" w:customStyle="1" w:styleId="306">
    <w:name w:val="xl67"/>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07">
    <w:name w:val="xl71"/>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08">
    <w:name w:val="列表段落21"/>
    <w:basedOn w:val="1"/>
    <w:qFormat/>
    <w:uiPriority w:val="99"/>
    <w:pPr>
      <w:widowControl/>
      <w:spacing w:after="160" w:line="259" w:lineRule="auto"/>
      <w:ind w:left="720"/>
      <w:jc w:val="left"/>
    </w:pPr>
    <w:rPr>
      <w:kern w:val="0"/>
      <w:sz w:val="22"/>
      <w:szCs w:val="22"/>
    </w:rPr>
  </w:style>
  <w:style w:type="paragraph" w:customStyle="1" w:styleId="309">
    <w:name w:val="_Style 222"/>
    <w:basedOn w:val="1"/>
    <w:next w:val="302"/>
    <w:qFormat/>
    <w:uiPriority w:val="99"/>
    <w:pPr>
      <w:ind w:firstLine="420" w:firstLineChars="200"/>
    </w:pPr>
    <w:rPr>
      <w:rFonts w:ascii="Calibri" w:hAnsi="Calibri" w:cs="Calibri"/>
    </w:rPr>
  </w:style>
  <w:style w:type="paragraph" w:customStyle="1" w:styleId="310">
    <w:name w:val="xl6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311">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13">
    <w:name w:val="xl53"/>
    <w:basedOn w:val="1"/>
    <w:qFormat/>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4">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5">
    <w:name w:val="xl6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16">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7">
    <w:name w:val="WPSOffice手动目录 2"/>
    <w:qFormat/>
    <w:uiPriority w:val="99"/>
    <w:pPr>
      <w:ind w:left="200" w:leftChars="200"/>
    </w:pPr>
    <w:rPr>
      <w:rFonts w:ascii="Calibri" w:hAnsi="Calibri" w:eastAsia="宋体" w:cs="Calibri"/>
      <w:lang w:val="en-US" w:eastAsia="zh-CN" w:bidi="ar-SA"/>
    </w:rPr>
  </w:style>
  <w:style w:type="paragraph" w:customStyle="1" w:styleId="318">
    <w:name w:val="font11"/>
    <w:basedOn w:val="1"/>
    <w:qFormat/>
    <w:uiPriority w:val="99"/>
    <w:pPr>
      <w:widowControl/>
      <w:spacing w:before="100" w:beforeAutospacing="1" w:after="100" w:afterAutospacing="1"/>
      <w:jc w:val="left"/>
    </w:pPr>
    <w:rPr>
      <w:kern w:val="0"/>
      <w:sz w:val="24"/>
      <w:szCs w:val="24"/>
    </w:rPr>
  </w:style>
  <w:style w:type="paragraph" w:customStyle="1" w:styleId="319">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20">
    <w:name w:val="ZJGIS-四级标题"/>
    <w:basedOn w:val="8"/>
    <w:qFormat/>
    <w:uiPriority w:val="99"/>
    <w:pPr>
      <w:spacing w:before="120" w:after="120" w:line="240" w:lineRule="auto"/>
    </w:pPr>
    <w:rPr>
      <w:rFonts w:eastAsia="仿宋_GB2312"/>
    </w:rPr>
  </w:style>
  <w:style w:type="paragraph" w:customStyle="1" w:styleId="321">
    <w:name w:val="_Style 1"/>
    <w:basedOn w:val="1"/>
    <w:qFormat/>
    <w:uiPriority w:val="99"/>
    <w:pPr>
      <w:ind w:firstLine="420" w:firstLineChars="200"/>
    </w:pPr>
    <w:rPr>
      <w:rFonts w:ascii="Calibri" w:hAnsi="Calibri" w:cs="Calibri"/>
    </w:rPr>
  </w:style>
  <w:style w:type="paragraph" w:customStyle="1" w:styleId="322">
    <w:name w:val="xl76"/>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3">
    <w:name w:val="xl84"/>
    <w:basedOn w:val="1"/>
    <w:qFormat/>
    <w:uiPriority w:val="99"/>
    <w:pPr>
      <w:widowControl/>
      <w:shd w:val="clear" w:color="auto" w:fill="FFFFFF"/>
      <w:spacing w:before="100" w:beforeAutospacing="1" w:after="100" w:afterAutospacing="1"/>
      <w:jc w:val="left"/>
      <w:textAlignment w:val="center"/>
    </w:pPr>
    <w:rPr>
      <w:kern w:val="0"/>
      <w:sz w:val="24"/>
      <w:szCs w:val="24"/>
    </w:rPr>
  </w:style>
  <w:style w:type="paragraph" w:customStyle="1" w:styleId="324">
    <w:name w:val="列项——（一级）"/>
    <w:qFormat/>
    <w:uiPriority w:val="99"/>
    <w:pPr>
      <w:widowControl w:val="0"/>
      <w:ind w:left="1118" w:hanging="408"/>
      <w:jc w:val="both"/>
    </w:pPr>
    <w:rPr>
      <w:rFonts w:ascii="宋体" w:hAnsi="Times New Roman" w:eastAsia="宋体" w:cs="宋体"/>
      <w:sz w:val="21"/>
      <w:szCs w:val="21"/>
      <w:lang w:val="en-US" w:eastAsia="zh-CN" w:bidi="ar-SA"/>
    </w:rPr>
  </w:style>
  <w:style w:type="paragraph" w:customStyle="1" w:styleId="325">
    <w:name w:val="地址内"/>
    <w:basedOn w:val="1"/>
    <w:qFormat/>
    <w:uiPriority w:val="99"/>
  </w:style>
  <w:style w:type="paragraph" w:customStyle="1" w:styleId="326">
    <w:name w:val="Item List in Table"/>
    <w:qFormat/>
    <w:uiPriority w:val="99"/>
    <w:pPr>
      <w:numPr>
        <w:ilvl w:val="0"/>
        <w:numId w:val="7"/>
      </w:numPr>
      <w:tabs>
        <w:tab w:val="left" w:pos="1260"/>
      </w:tabs>
      <w:spacing w:before="40" w:after="40"/>
      <w:jc w:val="both"/>
    </w:pPr>
    <w:rPr>
      <w:rFonts w:ascii="Arial" w:hAnsi="Arial" w:eastAsia="宋体" w:cs="Arial"/>
      <w:sz w:val="18"/>
      <w:szCs w:val="18"/>
      <w:lang w:val="en-US" w:eastAsia="zh-CN" w:bidi="ar-SA"/>
    </w:rPr>
  </w:style>
  <w:style w:type="paragraph" w:customStyle="1" w:styleId="327">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328">
    <w:name w:val="xl94"/>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29">
    <w:name w:val="p0"/>
    <w:basedOn w:val="1"/>
    <w:qFormat/>
    <w:uiPriority w:val="99"/>
    <w:pPr>
      <w:widowControl/>
      <w:snapToGrid w:val="0"/>
      <w:spacing w:line="312" w:lineRule="atLeast"/>
    </w:pPr>
    <w:rPr>
      <w:kern w:val="0"/>
    </w:rPr>
  </w:style>
  <w:style w:type="paragraph" w:customStyle="1" w:styleId="330">
    <w:name w:val="列出段落2"/>
    <w:basedOn w:val="1"/>
    <w:qFormat/>
    <w:uiPriority w:val="99"/>
    <w:pPr>
      <w:spacing w:line="360" w:lineRule="auto"/>
      <w:ind w:firstLine="420" w:firstLineChars="200"/>
    </w:pPr>
    <w:rPr>
      <w:sz w:val="24"/>
      <w:szCs w:val="24"/>
    </w:rPr>
  </w:style>
  <w:style w:type="paragraph" w:styleId="331">
    <w:name w:val="List Paragraph"/>
    <w:basedOn w:val="1"/>
    <w:qFormat/>
    <w:uiPriority w:val="34"/>
    <w:pPr>
      <w:ind w:firstLine="420" w:firstLineChars="200"/>
    </w:pPr>
  </w:style>
  <w:style w:type="paragraph" w:customStyle="1" w:styleId="332">
    <w:name w:val="修订2"/>
    <w:hidden/>
    <w:qFormat/>
    <w:uiPriority w:val="99"/>
    <w:rPr>
      <w:rFonts w:ascii="Times New Roman" w:hAnsi="Times New Roman" w:eastAsia="宋体" w:cs="Times New Roman"/>
      <w:kern w:val="2"/>
      <w:sz w:val="21"/>
      <w:szCs w:val="21"/>
      <w:lang w:val="en-US" w:eastAsia="zh-CN" w:bidi="ar-SA"/>
    </w:rPr>
  </w:style>
  <w:style w:type="character" w:customStyle="1" w:styleId="333">
    <w:name w:val="NormalCharacter"/>
    <w:semiHidden/>
    <w:qFormat/>
    <w:uiPriority w:val="99"/>
  </w:style>
  <w:style w:type="paragraph" w:customStyle="1" w:styleId="334">
    <w:name w:val="Char5"/>
    <w:basedOn w:val="1"/>
    <w:qFormat/>
    <w:uiPriority w:val="99"/>
    <w:pPr>
      <w:tabs>
        <w:tab w:val="left" w:pos="840"/>
      </w:tabs>
      <w:ind w:left="840" w:hanging="420"/>
    </w:pPr>
    <w:rPr>
      <w:kern w:val="0"/>
      <w:sz w:val="24"/>
      <w:szCs w:val="24"/>
    </w:rPr>
  </w:style>
  <w:style w:type="paragraph" w:customStyle="1" w:styleId="335">
    <w:name w:val="Char4"/>
    <w:basedOn w:val="1"/>
    <w:qFormat/>
    <w:uiPriority w:val="99"/>
    <w:pPr>
      <w:tabs>
        <w:tab w:val="left" w:pos="840"/>
      </w:tabs>
      <w:ind w:left="840" w:hanging="420"/>
    </w:pPr>
    <w:rPr>
      <w:kern w:val="0"/>
      <w:sz w:val="24"/>
      <w:szCs w:val="24"/>
    </w:rPr>
  </w:style>
  <w:style w:type="character" w:customStyle="1" w:styleId="336">
    <w:name w:val="未处理的提及2"/>
    <w:basedOn w:val="50"/>
    <w:semiHidden/>
    <w:unhideWhenUsed/>
    <w:qFormat/>
    <w:uiPriority w:val="99"/>
    <w:rPr>
      <w:color w:val="605E5C"/>
      <w:shd w:val="clear" w:color="auto" w:fill="E1DFDD"/>
    </w:rPr>
  </w:style>
  <w:style w:type="paragraph" w:customStyle="1" w:styleId="337">
    <w:name w:val="修订3"/>
    <w:hidden/>
    <w:unhideWhenUsed/>
    <w:qFormat/>
    <w:uiPriority w:val="99"/>
    <w:rPr>
      <w:rFonts w:ascii="Times New Roman" w:hAnsi="Times New Roman" w:eastAsia="宋体" w:cs="Times New Roman"/>
      <w:kern w:val="2"/>
      <w:sz w:val="21"/>
      <w:szCs w:val="21"/>
      <w:lang w:val="en-US" w:eastAsia="zh-CN" w:bidi="ar-SA"/>
    </w:rPr>
  </w:style>
  <w:style w:type="paragraph" w:customStyle="1" w:styleId="33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39">
    <w:name w:val="179"/>
    <w:basedOn w:val="1"/>
    <w:qFormat/>
    <w:uiPriority w:val="0"/>
    <w:pPr>
      <w:ind w:firstLine="420" w:firstLineChars="200"/>
    </w:pPr>
    <w:rPr>
      <w:szCs w:val="22"/>
    </w:rPr>
  </w:style>
  <w:style w:type="character" w:customStyle="1" w:styleId="340">
    <w:name w:val="font51"/>
    <w:basedOn w:val="50"/>
    <w:qFormat/>
    <w:uiPriority w:val="0"/>
    <w:rPr>
      <w:rFonts w:hint="eastAsia" w:ascii="宋体" w:hAnsi="宋体" w:eastAsia="宋体" w:cs="宋体"/>
      <w:color w:val="000000"/>
      <w:sz w:val="24"/>
      <w:szCs w:val="24"/>
      <w:u w:val="none"/>
    </w:rPr>
  </w:style>
  <w:style w:type="character" w:customStyle="1" w:styleId="341">
    <w:name w:val="font31"/>
    <w:basedOn w:val="50"/>
    <w:qFormat/>
    <w:uiPriority w:val="0"/>
    <w:rPr>
      <w:rFonts w:hint="default" w:ascii="Times New Roman" w:hAnsi="Times New Roman" w:cs="Times New Roman"/>
      <w:color w:val="000000"/>
      <w:sz w:val="24"/>
      <w:szCs w:val="24"/>
      <w:u w:val="none"/>
    </w:rPr>
  </w:style>
  <w:style w:type="character" w:customStyle="1" w:styleId="342">
    <w:name w:val="font41"/>
    <w:basedOn w:val="5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239D1-7669-48FA-93D1-D80443B000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30987</Words>
  <Characters>33357</Characters>
  <Lines>67</Lines>
  <Paragraphs>76</Paragraphs>
  <TotalTime>3</TotalTime>
  <ScaleCrop>false</ScaleCrop>
  <LinksUpToDate>false</LinksUpToDate>
  <CharactersWithSpaces>36286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cqhac</dc:creator>
  <cp:lastModifiedBy>三三</cp:lastModifiedBy>
  <cp:lastPrinted>2022-06-09T00:47:00Z</cp:lastPrinted>
  <dcterms:modified xsi:type="dcterms:W3CDTF">2023-09-19T01:55:38Z</dcterms:modified>
  <dc:title>丽水市人民医院采购全自动特定蛋白分析系统及配套和便携彩超项目</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B67D503AD2EE462BA38D0F3EEE36BF7E</vt:lpwstr>
  </property>
</Properties>
</file>