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beforeLines="50" w:line="360" w:lineRule="auto"/>
        <w:jc w:val="center"/>
        <w:rPr>
          <w:rFonts w:ascii="宋体" w:hAnsi="宋体" w:cs="宋体"/>
          <w:b/>
          <w:bCs/>
          <w:sz w:val="52"/>
          <w:szCs w:val="52"/>
          <w:highlight w:val="none"/>
        </w:rPr>
      </w:pPr>
      <w:r>
        <w:rPr>
          <w:rFonts w:hint="eastAsia" w:ascii="宋体" w:hAnsi="宋体" w:cs="宋体"/>
          <w:b/>
          <w:bCs/>
          <w:sz w:val="52"/>
          <w:szCs w:val="52"/>
          <w:highlight w:val="none"/>
          <w:lang w:eastAsia="zh-CN"/>
        </w:rPr>
        <w:t>丽水市莲都区人民医院血液透析中心设备、彩色多普勒超声诊断仪及全自动快速发药机采购项目</w:t>
      </w:r>
      <w:r>
        <w:rPr>
          <w:rFonts w:hint="eastAsia" w:ascii="宋体" w:hAnsi="宋体" w:cs="宋体"/>
          <w:b/>
          <w:bCs/>
          <w:sz w:val="52"/>
          <w:szCs w:val="52"/>
          <w:highlight w:val="none"/>
        </w:rPr>
        <w:t>公开招标文件</w:t>
      </w:r>
    </w:p>
    <w:p>
      <w:pPr>
        <w:snapToGrid w:val="0"/>
        <w:spacing w:before="120" w:beforeLines="50" w:line="360" w:lineRule="auto"/>
        <w:rPr>
          <w:rFonts w:ascii="宋体" w:hAnsi="宋体" w:cs="宋体"/>
          <w:sz w:val="30"/>
          <w:szCs w:val="30"/>
          <w:highlight w:val="none"/>
        </w:rPr>
      </w:pPr>
    </w:p>
    <w:p>
      <w:pPr>
        <w:snapToGrid w:val="0"/>
        <w:spacing w:before="120" w:beforeLines="50" w:line="360" w:lineRule="auto"/>
        <w:rPr>
          <w:rFonts w:ascii="宋体" w:hAnsi="宋体" w:cs="宋体"/>
          <w:sz w:val="30"/>
          <w:szCs w:val="30"/>
          <w:highlight w:val="none"/>
        </w:rPr>
      </w:pPr>
    </w:p>
    <w:p>
      <w:pPr>
        <w:snapToGrid w:val="0"/>
        <w:spacing w:before="120" w:beforeLines="50" w:line="360" w:lineRule="auto"/>
        <w:rPr>
          <w:rFonts w:ascii="宋体" w:hAnsi="宋体" w:cs="宋体"/>
          <w:sz w:val="32"/>
          <w:szCs w:val="32"/>
          <w:highlight w:val="none"/>
        </w:rPr>
      </w:pPr>
      <w:r>
        <w:rPr>
          <w:rFonts w:hint="eastAsia" w:ascii="宋体" w:hAnsi="宋体" w:cs="宋体"/>
          <w:sz w:val="32"/>
          <w:szCs w:val="32"/>
          <w:highlight w:val="none"/>
        </w:rPr>
        <w:t xml:space="preserve"> </w:t>
      </w:r>
    </w:p>
    <w:p>
      <w:pPr>
        <w:pStyle w:val="26"/>
        <w:snapToGrid w:val="0"/>
        <w:spacing w:beforeLines="0" w:afterLines="0" w:line="360" w:lineRule="auto"/>
        <w:rPr>
          <w:rFonts w:hAnsi="宋体"/>
          <w:b/>
          <w:bCs/>
          <w:sz w:val="32"/>
          <w:szCs w:val="32"/>
          <w:highlight w:val="none"/>
        </w:rPr>
      </w:pPr>
      <w:r>
        <w:rPr>
          <w:rFonts w:hint="eastAsia" w:hAnsi="宋体"/>
          <w:b/>
          <w:bCs/>
          <w:sz w:val="32"/>
          <w:szCs w:val="32"/>
          <w:highlight w:val="none"/>
        </w:rPr>
        <w:t>项目编号：CBNB-20235522GLS</w:t>
      </w:r>
    </w:p>
    <w:p>
      <w:pPr>
        <w:pStyle w:val="26"/>
        <w:snapToGrid w:val="0"/>
        <w:spacing w:beforeLines="0" w:afterLines="0" w:line="360" w:lineRule="auto"/>
        <w:ind w:left="1606" w:hanging="1606" w:hangingChars="500"/>
        <w:rPr>
          <w:rFonts w:hAnsi="宋体"/>
          <w:b/>
          <w:bCs/>
          <w:sz w:val="32"/>
          <w:szCs w:val="32"/>
          <w:highlight w:val="none"/>
        </w:rPr>
      </w:pPr>
      <w:r>
        <w:rPr>
          <w:rFonts w:hint="eastAsia" w:hAnsi="宋体"/>
          <w:b/>
          <w:bCs/>
          <w:sz w:val="32"/>
          <w:szCs w:val="32"/>
          <w:highlight w:val="none"/>
        </w:rPr>
        <w:t>项目名称：丽水市莲都区人民医院血液透析中心设备、彩色多普勒超声诊断仪及全自动快速发药机采购项目</w:t>
      </w:r>
    </w:p>
    <w:p>
      <w:pPr>
        <w:pStyle w:val="26"/>
        <w:snapToGrid w:val="0"/>
        <w:spacing w:beforeLines="0" w:afterLines="0" w:line="360" w:lineRule="auto"/>
        <w:rPr>
          <w:rFonts w:hint="eastAsia" w:hAnsi="宋体" w:eastAsia="宋体"/>
          <w:b/>
          <w:bCs/>
          <w:sz w:val="32"/>
          <w:szCs w:val="32"/>
          <w:highlight w:val="none"/>
          <w:lang w:eastAsia="zh-CN"/>
        </w:rPr>
      </w:pPr>
      <w:r>
        <w:rPr>
          <w:rFonts w:hint="eastAsia" w:hAnsi="宋体"/>
          <w:b/>
          <w:bCs/>
          <w:sz w:val="32"/>
          <w:szCs w:val="32"/>
          <w:highlight w:val="none"/>
        </w:rPr>
        <w:t>采购单位：</w:t>
      </w:r>
      <w:r>
        <w:rPr>
          <w:rFonts w:hint="eastAsia" w:hAnsi="宋体"/>
          <w:b/>
          <w:bCs/>
          <w:sz w:val="32"/>
          <w:szCs w:val="32"/>
          <w:highlight w:val="none"/>
          <w:lang w:eastAsia="zh-CN"/>
        </w:rPr>
        <w:t>丽水市莲都区人民医院</w:t>
      </w:r>
    </w:p>
    <w:p>
      <w:pPr>
        <w:pStyle w:val="26"/>
        <w:snapToGrid w:val="0"/>
        <w:spacing w:beforeLines="0" w:afterLines="0" w:line="360" w:lineRule="auto"/>
        <w:rPr>
          <w:rFonts w:hAnsi="宋体"/>
          <w:b/>
          <w:bCs/>
          <w:sz w:val="32"/>
          <w:szCs w:val="32"/>
          <w:highlight w:val="none"/>
        </w:rPr>
      </w:pPr>
      <w:r>
        <w:rPr>
          <w:rFonts w:hint="eastAsia" w:hAnsi="宋体"/>
          <w:b/>
          <w:bCs/>
          <w:sz w:val="32"/>
          <w:szCs w:val="32"/>
          <w:highlight w:val="none"/>
        </w:rPr>
        <w:t>代理机构：宁波中基国际招标有限公司</w:t>
      </w:r>
    </w:p>
    <w:p>
      <w:pPr>
        <w:snapToGrid w:val="0"/>
        <w:spacing w:before="120" w:beforeLines="50" w:line="360" w:lineRule="auto"/>
        <w:jc w:val="center"/>
        <w:rPr>
          <w:rFonts w:ascii="宋体" w:hAnsi="宋体" w:cs="宋体"/>
          <w:b/>
          <w:bCs/>
          <w:w w:val="95"/>
          <w:sz w:val="30"/>
          <w:szCs w:val="30"/>
          <w:highlight w:val="none"/>
        </w:rPr>
      </w:pPr>
    </w:p>
    <w:p>
      <w:pPr>
        <w:snapToGrid w:val="0"/>
        <w:spacing w:before="120" w:beforeLines="50" w:line="360" w:lineRule="auto"/>
        <w:jc w:val="center"/>
        <w:rPr>
          <w:rFonts w:ascii="宋体" w:hAnsi="宋体" w:cs="宋体"/>
          <w:b/>
          <w:bCs/>
          <w:w w:val="95"/>
          <w:sz w:val="30"/>
          <w:szCs w:val="30"/>
          <w:highlight w:val="none"/>
        </w:rPr>
      </w:pPr>
    </w:p>
    <w:p>
      <w:pPr>
        <w:snapToGrid w:val="0"/>
        <w:spacing w:before="120" w:beforeLines="50" w:line="360" w:lineRule="auto"/>
        <w:jc w:val="both"/>
        <w:rPr>
          <w:rFonts w:ascii="宋体" w:hAnsi="宋体" w:cs="宋体"/>
          <w:b/>
          <w:bCs/>
          <w:w w:val="95"/>
          <w:sz w:val="30"/>
          <w:szCs w:val="30"/>
          <w:highlight w:val="none"/>
        </w:rPr>
      </w:pPr>
    </w:p>
    <w:p>
      <w:pPr>
        <w:snapToGrid w:val="0"/>
        <w:spacing w:before="120" w:beforeLines="50" w:line="360" w:lineRule="auto"/>
        <w:jc w:val="center"/>
        <w:rPr>
          <w:rFonts w:ascii="宋体" w:hAnsi="宋体" w:cs="宋体"/>
          <w:b/>
          <w:bCs/>
          <w:sz w:val="36"/>
          <w:szCs w:val="36"/>
          <w:highlight w:val="none"/>
        </w:rPr>
      </w:pPr>
      <w:r>
        <w:rPr>
          <w:rFonts w:hint="eastAsia" w:ascii="宋体" w:hAnsi="宋体" w:cs="宋体"/>
          <w:b/>
          <w:bCs/>
          <w:w w:val="95"/>
          <w:sz w:val="32"/>
          <w:szCs w:val="32"/>
          <w:highlight w:val="none"/>
        </w:rPr>
        <w:t>202</w:t>
      </w:r>
      <w:r>
        <w:rPr>
          <w:rFonts w:hint="eastAsia" w:ascii="宋体" w:hAnsi="宋体" w:cs="宋体"/>
          <w:b/>
          <w:bCs/>
          <w:w w:val="95"/>
          <w:sz w:val="32"/>
          <w:szCs w:val="32"/>
          <w:highlight w:val="none"/>
          <w:lang w:val="en-US" w:eastAsia="zh-CN"/>
        </w:rPr>
        <w:t>3</w:t>
      </w:r>
      <w:r>
        <w:rPr>
          <w:rFonts w:hint="eastAsia" w:ascii="宋体" w:hAnsi="宋体" w:cs="宋体"/>
          <w:b/>
          <w:bCs/>
          <w:w w:val="95"/>
          <w:sz w:val="32"/>
          <w:szCs w:val="32"/>
          <w:highlight w:val="none"/>
        </w:rPr>
        <w:t xml:space="preserve"> 年</w:t>
      </w:r>
      <w:r>
        <w:rPr>
          <w:rFonts w:hint="eastAsia" w:ascii="宋体" w:hAnsi="宋体" w:cs="宋体"/>
          <w:b/>
          <w:bCs/>
          <w:w w:val="95"/>
          <w:sz w:val="32"/>
          <w:szCs w:val="32"/>
          <w:highlight w:val="none"/>
          <w:lang w:val="en-US" w:eastAsia="zh-CN"/>
        </w:rPr>
        <w:t>11</w:t>
      </w:r>
      <w:r>
        <w:rPr>
          <w:rFonts w:hint="eastAsia" w:ascii="宋体" w:hAnsi="宋体" w:cs="宋体"/>
          <w:b/>
          <w:bCs/>
          <w:w w:val="95"/>
          <w:sz w:val="32"/>
          <w:szCs w:val="32"/>
          <w:highlight w:val="none"/>
        </w:rPr>
        <w:t>月</w:t>
      </w:r>
    </w:p>
    <w:p>
      <w:pPr>
        <w:rPr>
          <w:rFonts w:hint="eastAsia" w:ascii="宋体" w:hAnsi="宋体" w:cs="宋体"/>
          <w:b/>
          <w:bCs/>
          <w:sz w:val="36"/>
          <w:szCs w:val="36"/>
          <w:highlight w:val="none"/>
        </w:rPr>
      </w:pPr>
      <w:r>
        <w:rPr>
          <w:rFonts w:hint="eastAsia" w:ascii="宋体" w:hAnsi="宋体" w:cs="宋体"/>
          <w:b/>
          <w:bCs/>
          <w:sz w:val="36"/>
          <w:szCs w:val="36"/>
          <w:highlight w:val="none"/>
        </w:rPr>
        <w:br w:type="page"/>
      </w:r>
    </w:p>
    <w:p>
      <w:pPr>
        <w:spacing w:line="480" w:lineRule="auto"/>
        <w:jc w:val="center"/>
        <w:rPr>
          <w:rFonts w:ascii="宋体" w:hAnsi="宋体" w:cs="宋体"/>
          <w:b/>
          <w:bCs/>
          <w:sz w:val="36"/>
          <w:szCs w:val="36"/>
          <w:highlight w:val="none"/>
        </w:rPr>
      </w:pPr>
      <w:r>
        <w:rPr>
          <w:rFonts w:hint="eastAsia" w:ascii="宋体" w:hAnsi="宋体" w:cs="宋体"/>
          <w:b/>
          <w:bCs/>
          <w:sz w:val="36"/>
          <w:szCs w:val="36"/>
          <w:highlight w:val="none"/>
        </w:rPr>
        <w:t>目    录</w:t>
      </w:r>
    </w:p>
    <w:p>
      <w:pPr>
        <w:pStyle w:val="34"/>
        <w:tabs>
          <w:tab w:val="right" w:leader="dot" w:pos="8297"/>
        </w:tabs>
        <w:spacing w:line="480" w:lineRule="auto"/>
        <w:rPr>
          <w:rFonts w:ascii="宋体" w:hAnsi="宋体" w:cs="宋体"/>
          <w:b/>
          <w:bCs/>
          <w:sz w:val="30"/>
          <w:szCs w:val="30"/>
          <w:highlight w:val="none"/>
        </w:rPr>
      </w:pPr>
      <w:r>
        <w:rPr>
          <w:rFonts w:hint="eastAsia" w:ascii="宋体" w:hAnsi="宋体" w:cs="宋体"/>
          <w:b/>
          <w:bCs/>
          <w:sz w:val="32"/>
          <w:szCs w:val="32"/>
          <w:highlight w:val="none"/>
        </w:rPr>
        <w:fldChar w:fldCharType="begin"/>
      </w:r>
      <w:r>
        <w:rPr>
          <w:rFonts w:hint="eastAsia" w:ascii="宋体" w:hAnsi="宋体" w:cs="宋体"/>
          <w:b/>
          <w:bCs/>
          <w:sz w:val="32"/>
          <w:szCs w:val="32"/>
          <w:highlight w:val="none"/>
        </w:rPr>
        <w:instrText xml:space="preserve"> TOC \o "1-3" \h \z \u </w:instrText>
      </w:r>
      <w:r>
        <w:rPr>
          <w:rFonts w:hint="eastAsia" w:ascii="宋体" w:hAnsi="宋体" w:cs="宋体"/>
          <w:b/>
          <w:bCs/>
          <w:sz w:val="32"/>
          <w:szCs w:val="32"/>
          <w:highlight w:val="none"/>
        </w:rPr>
        <w:fldChar w:fldCharType="separate"/>
      </w:r>
      <w:r>
        <w:rPr>
          <w:highlight w:val="none"/>
        </w:rPr>
        <w:fldChar w:fldCharType="begin"/>
      </w:r>
      <w:r>
        <w:rPr>
          <w:highlight w:val="none"/>
        </w:rPr>
        <w:instrText xml:space="preserve"> HYPERLINK \l "_Toc115344236" </w:instrText>
      </w:r>
      <w:r>
        <w:rPr>
          <w:highlight w:val="none"/>
        </w:rPr>
        <w:fldChar w:fldCharType="separate"/>
      </w:r>
      <w:r>
        <w:rPr>
          <w:rStyle w:val="56"/>
          <w:rFonts w:hint="eastAsia" w:ascii="宋体" w:hAnsi="宋体" w:cs="宋体"/>
          <w:b/>
          <w:bCs/>
          <w:color w:val="auto"/>
          <w:sz w:val="30"/>
          <w:szCs w:val="30"/>
          <w:highlight w:val="none"/>
        </w:rPr>
        <w:t>第一章 公开招标采购公告</w:t>
      </w:r>
      <w:r>
        <w:rPr>
          <w:rFonts w:hint="eastAsia" w:ascii="宋体" w:hAnsi="宋体" w:cs="宋体"/>
          <w:b/>
          <w:bCs/>
          <w:sz w:val="30"/>
          <w:szCs w:val="30"/>
          <w:highlight w:val="none"/>
        </w:rPr>
        <w:tab/>
      </w:r>
      <w:r>
        <w:rPr>
          <w:rFonts w:hint="eastAsia" w:ascii="宋体" w:hAnsi="宋体" w:cs="宋体"/>
          <w:b/>
          <w:bCs/>
          <w:sz w:val="30"/>
          <w:szCs w:val="30"/>
          <w:highlight w:val="none"/>
        </w:rPr>
        <w:fldChar w:fldCharType="begin"/>
      </w:r>
      <w:r>
        <w:rPr>
          <w:rFonts w:hint="eastAsia" w:ascii="宋体" w:hAnsi="宋体" w:cs="宋体"/>
          <w:b/>
          <w:bCs/>
          <w:sz w:val="30"/>
          <w:szCs w:val="30"/>
          <w:highlight w:val="none"/>
        </w:rPr>
        <w:instrText xml:space="preserve"> PAGEREF _Toc115344236 \h </w:instrText>
      </w:r>
      <w:r>
        <w:rPr>
          <w:rFonts w:hint="eastAsia" w:ascii="宋体" w:hAnsi="宋体" w:cs="宋体"/>
          <w:b/>
          <w:bCs/>
          <w:sz w:val="30"/>
          <w:szCs w:val="30"/>
          <w:highlight w:val="none"/>
        </w:rPr>
        <w:fldChar w:fldCharType="separate"/>
      </w:r>
      <w:r>
        <w:rPr>
          <w:rFonts w:hint="eastAsia" w:ascii="宋体" w:hAnsi="宋体" w:cs="宋体"/>
          <w:b/>
          <w:bCs/>
          <w:sz w:val="30"/>
          <w:szCs w:val="30"/>
          <w:highlight w:val="none"/>
        </w:rPr>
        <w:t>3</w:t>
      </w:r>
      <w:r>
        <w:rPr>
          <w:rFonts w:hint="eastAsia" w:ascii="宋体" w:hAnsi="宋体" w:cs="宋体"/>
          <w:b/>
          <w:bCs/>
          <w:sz w:val="30"/>
          <w:szCs w:val="30"/>
          <w:highlight w:val="none"/>
        </w:rPr>
        <w:fldChar w:fldCharType="end"/>
      </w:r>
      <w:r>
        <w:rPr>
          <w:rFonts w:hint="eastAsia" w:ascii="宋体" w:hAnsi="宋体" w:cs="宋体"/>
          <w:b/>
          <w:bCs/>
          <w:sz w:val="30"/>
          <w:szCs w:val="30"/>
          <w:highlight w:val="none"/>
        </w:rPr>
        <w:fldChar w:fldCharType="end"/>
      </w:r>
    </w:p>
    <w:p>
      <w:pPr>
        <w:pStyle w:val="34"/>
        <w:tabs>
          <w:tab w:val="right" w:leader="dot" w:pos="8297"/>
        </w:tabs>
        <w:spacing w:line="480" w:lineRule="auto"/>
        <w:rPr>
          <w:rFonts w:ascii="宋体" w:hAnsi="宋体" w:cs="宋体"/>
          <w:b/>
          <w:bCs/>
          <w:sz w:val="30"/>
          <w:szCs w:val="30"/>
          <w:highlight w:val="none"/>
        </w:rPr>
      </w:pPr>
      <w:r>
        <w:rPr>
          <w:highlight w:val="none"/>
        </w:rPr>
        <w:fldChar w:fldCharType="begin"/>
      </w:r>
      <w:r>
        <w:rPr>
          <w:highlight w:val="none"/>
        </w:rPr>
        <w:instrText xml:space="preserve"> HYPERLINK \l "_Toc115344238" </w:instrText>
      </w:r>
      <w:r>
        <w:rPr>
          <w:highlight w:val="none"/>
        </w:rPr>
        <w:fldChar w:fldCharType="separate"/>
      </w:r>
      <w:r>
        <w:rPr>
          <w:rStyle w:val="56"/>
          <w:rFonts w:hint="eastAsia" w:ascii="宋体" w:hAnsi="宋体" w:cs="宋体"/>
          <w:b/>
          <w:bCs/>
          <w:color w:val="auto"/>
          <w:sz w:val="30"/>
          <w:szCs w:val="30"/>
          <w:highlight w:val="none"/>
        </w:rPr>
        <w:t>第二章  投标人须知</w:t>
      </w:r>
      <w:r>
        <w:rPr>
          <w:rFonts w:hint="eastAsia" w:ascii="宋体" w:hAnsi="宋体" w:cs="宋体"/>
          <w:b/>
          <w:bCs/>
          <w:sz w:val="30"/>
          <w:szCs w:val="30"/>
          <w:highlight w:val="none"/>
        </w:rPr>
        <w:tab/>
      </w:r>
      <w:r>
        <w:rPr>
          <w:rFonts w:hint="eastAsia" w:ascii="宋体" w:hAnsi="宋体" w:cs="宋体"/>
          <w:b/>
          <w:bCs/>
          <w:sz w:val="30"/>
          <w:szCs w:val="30"/>
          <w:highlight w:val="none"/>
        </w:rPr>
        <w:fldChar w:fldCharType="begin"/>
      </w:r>
      <w:r>
        <w:rPr>
          <w:rFonts w:hint="eastAsia" w:ascii="宋体" w:hAnsi="宋体" w:cs="宋体"/>
          <w:b/>
          <w:bCs/>
          <w:sz w:val="30"/>
          <w:szCs w:val="30"/>
          <w:highlight w:val="none"/>
        </w:rPr>
        <w:instrText xml:space="preserve"> PAGEREF _Toc115344238 \h </w:instrText>
      </w:r>
      <w:r>
        <w:rPr>
          <w:rFonts w:hint="eastAsia" w:ascii="宋体" w:hAnsi="宋体" w:cs="宋体"/>
          <w:b/>
          <w:bCs/>
          <w:sz w:val="30"/>
          <w:szCs w:val="30"/>
          <w:highlight w:val="none"/>
        </w:rPr>
        <w:fldChar w:fldCharType="separate"/>
      </w:r>
      <w:r>
        <w:rPr>
          <w:rFonts w:hint="eastAsia" w:ascii="宋体" w:hAnsi="宋体" w:cs="宋体"/>
          <w:b/>
          <w:bCs/>
          <w:sz w:val="30"/>
          <w:szCs w:val="30"/>
          <w:highlight w:val="none"/>
        </w:rPr>
        <w:t>8</w:t>
      </w:r>
      <w:r>
        <w:rPr>
          <w:rFonts w:hint="eastAsia" w:ascii="宋体" w:hAnsi="宋体" w:cs="宋体"/>
          <w:b/>
          <w:bCs/>
          <w:sz w:val="30"/>
          <w:szCs w:val="30"/>
          <w:highlight w:val="none"/>
        </w:rPr>
        <w:fldChar w:fldCharType="end"/>
      </w:r>
      <w:r>
        <w:rPr>
          <w:rFonts w:hint="eastAsia" w:ascii="宋体" w:hAnsi="宋体" w:cs="宋体"/>
          <w:b/>
          <w:bCs/>
          <w:sz w:val="30"/>
          <w:szCs w:val="30"/>
          <w:highlight w:val="none"/>
        </w:rPr>
        <w:fldChar w:fldCharType="end"/>
      </w:r>
    </w:p>
    <w:p>
      <w:pPr>
        <w:pStyle w:val="34"/>
        <w:tabs>
          <w:tab w:val="right" w:leader="dot" w:pos="8297"/>
        </w:tabs>
        <w:spacing w:line="480" w:lineRule="auto"/>
        <w:rPr>
          <w:rFonts w:hint="eastAsia" w:ascii="宋体" w:hAnsi="宋体" w:eastAsia="宋体" w:cs="宋体"/>
          <w:b/>
          <w:bCs/>
          <w:sz w:val="30"/>
          <w:szCs w:val="30"/>
          <w:highlight w:val="none"/>
          <w:lang w:eastAsia="zh-CN"/>
        </w:rPr>
      </w:pPr>
      <w:r>
        <w:rPr>
          <w:highlight w:val="none"/>
        </w:rPr>
        <w:fldChar w:fldCharType="begin"/>
      </w:r>
      <w:r>
        <w:rPr>
          <w:highlight w:val="none"/>
        </w:rPr>
        <w:instrText xml:space="preserve"> HYPERLINK \l "_Toc115344240" </w:instrText>
      </w:r>
      <w:r>
        <w:rPr>
          <w:highlight w:val="none"/>
        </w:rPr>
        <w:fldChar w:fldCharType="separate"/>
      </w:r>
      <w:r>
        <w:rPr>
          <w:rStyle w:val="56"/>
          <w:rFonts w:hint="eastAsia" w:ascii="宋体" w:hAnsi="宋体" w:cs="宋体"/>
          <w:b/>
          <w:bCs/>
          <w:color w:val="auto"/>
          <w:sz w:val="30"/>
          <w:szCs w:val="30"/>
          <w:highlight w:val="none"/>
        </w:rPr>
        <w:t>第三章  合同主要条款</w:t>
      </w:r>
      <w:r>
        <w:rPr>
          <w:rFonts w:hint="eastAsia" w:ascii="宋体" w:hAnsi="宋体" w:cs="宋体"/>
          <w:b/>
          <w:bCs/>
          <w:sz w:val="30"/>
          <w:szCs w:val="30"/>
          <w:highlight w:val="none"/>
        </w:rPr>
        <w:tab/>
      </w:r>
      <w:r>
        <w:rPr>
          <w:rFonts w:hint="eastAsia" w:ascii="宋体" w:hAnsi="宋体" w:cs="宋体"/>
          <w:b/>
          <w:bCs/>
          <w:sz w:val="30"/>
          <w:szCs w:val="30"/>
          <w:highlight w:val="none"/>
        </w:rPr>
        <w:t>1</w:t>
      </w:r>
      <w:r>
        <w:rPr>
          <w:rFonts w:hint="eastAsia" w:ascii="宋体" w:hAnsi="宋体" w:cs="宋体"/>
          <w:b/>
          <w:bCs/>
          <w:sz w:val="30"/>
          <w:szCs w:val="30"/>
          <w:highlight w:val="none"/>
        </w:rPr>
        <w:fldChar w:fldCharType="end"/>
      </w:r>
      <w:r>
        <w:rPr>
          <w:rFonts w:hint="eastAsia" w:ascii="宋体" w:hAnsi="宋体" w:cs="宋体"/>
          <w:b/>
          <w:bCs/>
          <w:sz w:val="30"/>
          <w:szCs w:val="30"/>
          <w:highlight w:val="none"/>
          <w:lang w:val="en-US" w:eastAsia="zh-CN"/>
        </w:rPr>
        <w:t>8</w:t>
      </w:r>
    </w:p>
    <w:p>
      <w:pPr>
        <w:pStyle w:val="34"/>
        <w:tabs>
          <w:tab w:val="right" w:leader="dot" w:pos="8297"/>
        </w:tabs>
        <w:spacing w:line="480" w:lineRule="auto"/>
        <w:rPr>
          <w:rFonts w:hint="eastAsia" w:ascii="宋体" w:hAnsi="宋体" w:eastAsia="宋体" w:cs="宋体"/>
          <w:b/>
          <w:bCs/>
          <w:sz w:val="30"/>
          <w:szCs w:val="30"/>
          <w:highlight w:val="none"/>
          <w:lang w:eastAsia="zh-CN"/>
        </w:rPr>
      </w:pPr>
      <w:r>
        <w:rPr>
          <w:highlight w:val="none"/>
        </w:rPr>
        <w:fldChar w:fldCharType="begin"/>
      </w:r>
      <w:r>
        <w:rPr>
          <w:highlight w:val="none"/>
        </w:rPr>
        <w:instrText xml:space="preserve"> HYPERLINK \l "_Toc115344280" </w:instrText>
      </w:r>
      <w:r>
        <w:rPr>
          <w:highlight w:val="none"/>
        </w:rPr>
        <w:fldChar w:fldCharType="separate"/>
      </w:r>
      <w:r>
        <w:rPr>
          <w:rStyle w:val="56"/>
          <w:rFonts w:hint="eastAsia" w:ascii="宋体" w:hAnsi="宋体" w:cs="宋体"/>
          <w:b/>
          <w:bCs/>
          <w:color w:val="auto"/>
          <w:sz w:val="30"/>
          <w:szCs w:val="30"/>
          <w:highlight w:val="none"/>
        </w:rPr>
        <w:t>第四章  招标需求</w:t>
      </w:r>
      <w:r>
        <w:rPr>
          <w:rFonts w:hint="eastAsia" w:ascii="宋体" w:hAnsi="宋体" w:cs="宋体"/>
          <w:b/>
          <w:bCs/>
          <w:sz w:val="30"/>
          <w:szCs w:val="30"/>
          <w:highlight w:val="none"/>
        </w:rPr>
        <w:tab/>
      </w:r>
      <w:r>
        <w:rPr>
          <w:rFonts w:hint="eastAsia" w:ascii="宋体" w:hAnsi="宋体" w:cs="宋体"/>
          <w:b/>
          <w:bCs/>
          <w:sz w:val="30"/>
          <w:szCs w:val="30"/>
          <w:highlight w:val="none"/>
        </w:rPr>
        <w:t>2</w:t>
      </w:r>
      <w:r>
        <w:rPr>
          <w:rFonts w:hint="eastAsia" w:ascii="宋体" w:hAnsi="宋体" w:cs="宋体"/>
          <w:b/>
          <w:bCs/>
          <w:sz w:val="30"/>
          <w:szCs w:val="30"/>
          <w:highlight w:val="none"/>
        </w:rPr>
        <w:fldChar w:fldCharType="end"/>
      </w:r>
      <w:r>
        <w:rPr>
          <w:rFonts w:hint="eastAsia" w:ascii="宋体" w:hAnsi="宋体" w:cs="宋体"/>
          <w:b/>
          <w:bCs/>
          <w:sz w:val="30"/>
          <w:szCs w:val="30"/>
          <w:highlight w:val="none"/>
          <w:lang w:val="en-US" w:eastAsia="zh-CN"/>
        </w:rPr>
        <w:t>2</w:t>
      </w:r>
    </w:p>
    <w:p>
      <w:pPr>
        <w:pStyle w:val="34"/>
        <w:tabs>
          <w:tab w:val="right" w:leader="dot" w:pos="8297"/>
        </w:tabs>
        <w:spacing w:line="480" w:lineRule="auto"/>
        <w:rPr>
          <w:rFonts w:hint="eastAsia" w:ascii="宋体" w:hAnsi="宋体" w:eastAsia="宋体" w:cs="宋体"/>
          <w:b/>
          <w:bCs/>
          <w:sz w:val="30"/>
          <w:szCs w:val="30"/>
          <w:highlight w:val="none"/>
          <w:lang w:eastAsia="zh-CN"/>
        </w:rPr>
      </w:pPr>
      <w:r>
        <w:rPr>
          <w:highlight w:val="none"/>
        </w:rPr>
        <w:fldChar w:fldCharType="begin"/>
      </w:r>
      <w:r>
        <w:rPr>
          <w:highlight w:val="none"/>
        </w:rPr>
        <w:instrText xml:space="preserve"> HYPERLINK \l "_Toc115344281" </w:instrText>
      </w:r>
      <w:r>
        <w:rPr>
          <w:highlight w:val="none"/>
        </w:rPr>
        <w:fldChar w:fldCharType="separate"/>
      </w:r>
      <w:r>
        <w:rPr>
          <w:rStyle w:val="56"/>
          <w:rFonts w:hint="eastAsia" w:ascii="宋体" w:hAnsi="宋体" w:cs="宋体"/>
          <w:b/>
          <w:bCs/>
          <w:color w:val="auto"/>
          <w:sz w:val="30"/>
          <w:szCs w:val="30"/>
          <w:highlight w:val="none"/>
        </w:rPr>
        <w:t>第五章  评标办法及评分标准</w:t>
      </w:r>
      <w:r>
        <w:rPr>
          <w:rFonts w:hint="eastAsia" w:ascii="宋体" w:hAnsi="宋体" w:cs="宋体"/>
          <w:b/>
          <w:bCs/>
          <w:sz w:val="30"/>
          <w:szCs w:val="30"/>
          <w:highlight w:val="none"/>
        </w:rPr>
        <w:tab/>
      </w:r>
      <w:r>
        <w:rPr>
          <w:rFonts w:hint="eastAsia" w:ascii="宋体" w:hAnsi="宋体" w:cs="宋体"/>
          <w:b/>
          <w:bCs/>
          <w:sz w:val="30"/>
          <w:szCs w:val="30"/>
          <w:highlight w:val="none"/>
          <w:lang w:val="en-US" w:eastAsia="zh-CN"/>
        </w:rPr>
        <w:t>3</w:t>
      </w:r>
      <w:r>
        <w:rPr>
          <w:rFonts w:hint="eastAsia" w:ascii="宋体" w:hAnsi="宋体" w:cs="宋体"/>
          <w:b/>
          <w:bCs/>
          <w:sz w:val="30"/>
          <w:szCs w:val="30"/>
          <w:highlight w:val="none"/>
        </w:rPr>
        <w:fldChar w:fldCharType="end"/>
      </w:r>
      <w:r>
        <w:rPr>
          <w:rFonts w:hint="eastAsia" w:ascii="宋体" w:hAnsi="宋体" w:cs="宋体"/>
          <w:b/>
          <w:bCs/>
          <w:sz w:val="30"/>
          <w:szCs w:val="30"/>
          <w:highlight w:val="none"/>
          <w:lang w:val="en-US" w:eastAsia="zh-CN"/>
        </w:rPr>
        <w:t>6</w:t>
      </w:r>
    </w:p>
    <w:p>
      <w:pPr>
        <w:pStyle w:val="34"/>
        <w:tabs>
          <w:tab w:val="right" w:leader="dot" w:pos="8297"/>
        </w:tabs>
        <w:spacing w:line="480" w:lineRule="auto"/>
        <w:rPr>
          <w:rFonts w:hint="eastAsia" w:ascii="宋体" w:hAnsi="宋体" w:eastAsia="宋体" w:cs="宋体"/>
          <w:b/>
          <w:bCs/>
          <w:sz w:val="30"/>
          <w:szCs w:val="30"/>
          <w:highlight w:val="none"/>
          <w:lang w:val="en-US" w:eastAsia="zh-CN"/>
        </w:rPr>
      </w:pPr>
      <w:r>
        <w:rPr>
          <w:highlight w:val="none"/>
        </w:rPr>
        <w:fldChar w:fldCharType="begin"/>
      </w:r>
      <w:r>
        <w:rPr>
          <w:highlight w:val="none"/>
        </w:rPr>
        <w:instrText xml:space="preserve"> HYPERLINK \l "_Toc115344282" </w:instrText>
      </w:r>
      <w:r>
        <w:rPr>
          <w:highlight w:val="none"/>
        </w:rPr>
        <w:fldChar w:fldCharType="separate"/>
      </w:r>
      <w:r>
        <w:rPr>
          <w:rStyle w:val="56"/>
          <w:rFonts w:hint="eastAsia" w:ascii="宋体" w:hAnsi="宋体" w:cs="宋体"/>
          <w:b/>
          <w:bCs/>
          <w:color w:val="auto"/>
          <w:sz w:val="30"/>
          <w:szCs w:val="30"/>
          <w:highlight w:val="none"/>
        </w:rPr>
        <w:t>第六章  投标文件格式</w:t>
      </w:r>
      <w:r>
        <w:rPr>
          <w:rFonts w:hint="eastAsia" w:ascii="宋体" w:hAnsi="宋体" w:cs="宋体"/>
          <w:b/>
          <w:bCs/>
          <w:sz w:val="30"/>
          <w:szCs w:val="30"/>
          <w:highlight w:val="none"/>
        </w:rPr>
        <w:tab/>
      </w:r>
      <w:r>
        <w:rPr>
          <w:rFonts w:hint="eastAsia" w:ascii="宋体" w:hAnsi="宋体" w:cs="宋体"/>
          <w:b/>
          <w:bCs/>
          <w:sz w:val="30"/>
          <w:szCs w:val="30"/>
          <w:highlight w:val="none"/>
          <w:lang w:val="en-US" w:eastAsia="zh-CN"/>
        </w:rPr>
        <w:t>5</w:t>
      </w:r>
      <w:r>
        <w:rPr>
          <w:rFonts w:hint="eastAsia" w:ascii="宋体" w:hAnsi="宋体" w:cs="宋体"/>
          <w:b/>
          <w:bCs/>
          <w:sz w:val="30"/>
          <w:szCs w:val="30"/>
          <w:highlight w:val="none"/>
        </w:rPr>
        <w:fldChar w:fldCharType="end"/>
      </w:r>
      <w:r>
        <w:rPr>
          <w:rFonts w:hint="eastAsia" w:ascii="宋体" w:hAnsi="宋体" w:cs="宋体"/>
          <w:b/>
          <w:bCs/>
          <w:sz w:val="30"/>
          <w:szCs w:val="30"/>
          <w:highlight w:val="none"/>
          <w:lang w:val="en-US" w:eastAsia="zh-CN"/>
        </w:rPr>
        <w:t>4</w:t>
      </w:r>
    </w:p>
    <w:p>
      <w:pPr>
        <w:pStyle w:val="25"/>
        <w:tabs>
          <w:tab w:val="right" w:leader="dot" w:pos="8297"/>
        </w:tabs>
        <w:spacing w:line="480" w:lineRule="auto"/>
        <w:rPr>
          <w:rFonts w:ascii="宋体" w:hAnsi="宋体" w:cs="宋体"/>
          <w:b/>
          <w:bCs/>
          <w:i w:val="0"/>
          <w:iCs w:val="0"/>
          <w:sz w:val="22"/>
          <w:szCs w:val="24"/>
          <w:highlight w:val="none"/>
        </w:rPr>
      </w:pPr>
    </w:p>
    <w:p>
      <w:pPr>
        <w:spacing w:line="480" w:lineRule="auto"/>
        <w:rPr>
          <w:rFonts w:ascii="宋体" w:hAnsi="宋体" w:cs="宋体"/>
          <w:sz w:val="30"/>
          <w:szCs w:val="30"/>
          <w:highlight w:val="none"/>
        </w:rPr>
      </w:pPr>
      <w:r>
        <w:rPr>
          <w:rFonts w:hint="eastAsia" w:ascii="宋体" w:hAnsi="宋体" w:cs="宋体"/>
          <w:b/>
          <w:bCs/>
          <w:sz w:val="22"/>
          <w:szCs w:val="32"/>
          <w:highlight w:val="none"/>
        </w:rPr>
        <w:fldChar w:fldCharType="end"/>
      </w:r>
    </w:p>
    <w:p>
      <w:pPr>
        <w:tabs>
          <w:tab w:val="left" w:pos="855"/>
        </w:tabs>
        <w:spacing w:line="360" w:lineRule="auto"/>
        <w:rPr>
          <w:rFonts w:ascii="宋体" w:hAnsi="宋体" w:cs="宋体"/>
          <w:sz w:val="28"/>
          <w:szCs w:val="28"/>
          <w:highlight w:val="none"/>
        </w:rPr>
      </w:pPr>
    </w:p>
    <w:p>
      <w:pPr>
        <w:spacing w:line="360" w:lineRule="auto"/>
        <w:rPr>
          <w:rFonts w:ascii="宋体" w:hAnsi="宋体" w:cs="宋体"/>
          <w:b/>
          <w:bCs/>
          <w:sz w:val="28"/>
          <w:szCs w:val="28"/>
          <w:highlight w:val="none"/>
        </w:rPr>
      </w:pPr>
      <w:r>
        <w:rPr>
          <w:rFonts w:hint="eastAsia" w:ascii="宋体" w:hAnsi="宋体" w:cs="宋体"/>
          <w:sz w:val="28"/>
          <w:szCs w:val="28"/>
          <w:highlight w:val="none"/>
        </w:rPr>
        <w:t xml:space="preserve"> </w:t>
      </w:r>
    </w:p>
    <w:p>
      <w:pPr>
        <w:pStyle w:val="26"/>
        <w:spacing w:beforeLines="0" w:afterLines="0" w:line="360" w:lineRule="auto"/>
        <w:rPr>
          <w:rFonts w:hAnsi="宋体"/>
          <w:b/>
          <w:bCs/>
          <w:sz w:val="30"/>
          <w:szCs w:val="30"/>
          <w:highlight w:val="none"/>
        </w:rPr>
      </w:pPr>
    </w:p>
    <w:p>
      <w:pPr>
        <w:pStyle w:val="26"/>
        <w:spacing w:beforeLines="0" w:afterLines="0" w:line="360" w:lineRule="auto"/>
        <w:jc w:val="center"/>
        <w:rPr>
          <w:rFonts w:hAnsi="宋体"/>
          <w:b/>
          <w:bCs/>
          <w:sz w:val="30"/>
          <w:szCs w:val="30"/>
          <w:highlight w:val="none"/>
        </w:rPr>
      </w:pPr>
    </w:p>
    <w:p>
      <w:pPr>
        <w:pStyle w:val="26"/>
        <w:spacing w:beforeLines="0" w:afterLines="0" w:line="360" w:lineRule="auto"/>
        <w:jc w:val="center"/>
        <w:rPr>
          <w:rFonts w:hAnsi="宋体"/>
          <w:b/>
          <w:bCs/>
          <w:sz w:val="30"/>
          <w:szCs w:val="30"/>
          <w:highlight w:val="none"/>
        </w:rPr>
      </w:pPr>
    </w:p>
    <w:p>
      <w:pPr>
        <w:pStyle w:val="26"/>
        <w:spacing w:beforeLines="0" w:afterLines="0" w:line="360" w:lineRule="auto"/>
        <w:jc w:val="center"/>
        <w:rPr>
          <w:rFonts w:hAnsi="宋体"/>
          <w:b/>
          <w:bCs/>
          <w:sz w:val="30"/>
          <w:szCs w:val="30"/>
          <w:highlight w:val="none"/>
        </w:rPr>
        <w:sectPr>
          <w:footerReference r:id="rId4" w:type="first"/>
          <w:footerReference r:id="rId3" w:type="default"/>
          <w:pgSz w:w="11907" w:h="16840"/>
          <w:pgMar w:top="1440" w:right="1800" w:bottom="1440" w:left="1800" w:header="720" w:footer="720" w:gutter="0"/>
          <w:cols w:space="720" w:num="1"/>
          <w:docGrid w:linePitch="286" w:charSpace="0"/>
        </w:sectPr>
      </w:pPr>
    </w:p>
    <w:p>
      <w:pPr>
        <w:pStyle w:val="26"/>
        <w:spacing w:beforeLines="0" w:afterLines="0" w:line="360" w:lineRule="auto"/>
        <w:jc w:val="center"/>
        <w:rPr>
          <w:rFonts w:hAnsi="宋体"/>
          <w:b/>
          <w:bCs/>
          <w:sz w:val="30"/>
          <w:szCs w:val="30"/>
          <w:highlight w:val="none"/>
        </w:rPr>
      </w:pPr>
    </w:p>
    <w:p>
      <w:pPr>
        <w:pStyle w:val="45"/>
        <w:rPr>
          <w:rFonts w:ascii="宋体" w:hAnsi="宋体" w:cs="宋体"/>
          <w:highlight w:val="none"/>
        </w:rPr>
      </w:pPr>
      <w:r>
        <w:rPr>
          <w:rFonts w:hint="eastAsia" w:ascii="宋体" w:hAnsi="宋体" w:cs="宋体"/>
          <w:highlight w:val="none"/>
        </w:rPr>
        <w:t xml:space="preserve">  </w:t>
      </w:r>
      <w:bookmarkStart w:id="0" w:name="_Toc11614"/>
      <w:bookmarkStart w:id="1" w:name="_Toc397325809"/>
      <w:bookmarkStart w:id="2" w:name="_Toc115344236"/>
      <w:r>
        <w:rPr>
          <w:rFonts w:hint="eastAsia" w:ascii="宋体" w:hAnsi="宋体" w:cs="宋体"/>
          <w:highlight w:val="none"/>
        </w:rPr>
        <w:t>第一章 公开招标采购公告</w:t>
      </w:r>
      <w:bookmarkEnd w:id="0"/>
      <w:bookmarkEnd w:id="1"/>
      <w:bookmarkEnd w:id="2"/>
    </w:p>
    <w:p>
      <w:pPr>
        <w:pStyle w:val="210"/>
        <w:widowControl w:val="0"/>
        <w:snapToGrid/>
        <w:spacing w:afterLines="0" w:line="360" w:lineRule="auto"/>
        <w:ind w:firstLine="0" w:firstLineChars="0"/>
        <w:rPr>
          <w:rFonts w:ascii="宋体" w:hAnsi="宋体" w:cs="宋体"/>
          <w:sz w:val="21"/>
          <w:szCs w:val="21"/>
          <w:highlight w:val="none"/>
        </w:rPr>
      </w:pPr>
      <w:r>
        <w:rPr>
          <w:rFonts w:hint="eastAsia" w:ascii="宋体" w:hAnsi="宋体" w:cs="宋体"/>
          <w:b/>
          <w:bCs/>
          <w:sz w:val="21"/>
          <w:szCs w:val="21"/>
          <w:highlight w:val="none"/>
        </w:rPr>
        <w:t>项目概况：</w:t>
      </w:r>
    </w:p>
    <w:p>
      <w:pPr>
        <w:pStyle w:val="210"/>
        <w:widowControl w:val="0"/>
        <w:snapToGrid/>
        <w:spacing w:afterLines="0" w:line="360" w:lineRule="auto"/>
        <w:ind w:firstLine="420"/>
        <w:rPr>
          <w:rFonts w:ascii="宋体" w:hAnsi="宋体" w:cs="宋体"/>
          <w:sz w:val="21"/>
          <w:szCs w:val="21"/>
          <w:highlight w:val="none"/>
        </w:rPr>
      </w:pPr>
      <w:r>
        <w:rPr>
          <w:rFonts w:hint="eastAsia" w:ascii="宋体" w:hAnsi="宋体" w:cs="宋体"/>
          <w:sz w:val="21"/>
          <w:szCs w:val="21"/>
          <w:highlight w:val="none"/>
          <w:lang w:eastAsia="zh-CN"/>
        </w:rPr>
        <w:t>丽水市莲都区人民医院血液透析中心设备、彩色多普勒超声诊断仪及全自动快速发药机采购项目</w:t>
      </w:r>
      <w:r>
        <w:rPr>
          <w:rFonts w:hint="eastAsia" w:ascii="宋体" w:hAnsi="宋体" w:cs="宋体"/>
          <w:sz w:val="21"/>
          <w:szCs w:val="21"/>
          <w:highlight w:val="none"/>
        </w:rPr>
        <w:t>的潜在投标人应在政府采购云平台（</w:t>
      </w:r>
      <w:r>
        <w:rPr>
          <w:highlight w:val="none"/>
        </w:rPr>
        <w:fldChar w:fldCharType="begin"/>
      </w:r>
      <w:r>
        <w:rPr>
          <w:highlight w:val="none"/>
        </w:rPr>
        <w:instrText xml:space="preserve"> HYPERLINK "http://www.zcygov.cn）获取（下载）招标文件，并于2022年" </w:instrText>
      </w:r>
      <w:r>
        <w:rPr>
          <w:highlight w:val="none"/>
        </w:rPr>
        <w:fldChar w:fldCharType="separate"/>
      </w:r>
      <w:r>
        <w:rPr>
          <w:rStyle w:val="56"/>
          <w:rFonts w:hint="eastAsia" w:ascii="宋体" w:hAnsi="宋体" w:cs="宋体"/>
          <w:color w:val="auto"/>
          <w:sz w:val="21"/>
          <w:szCs w:val="21"/>
          <w:highlight w:val="none"/>
        </w:rPr>
        <w:t>www.zcygov.cn）获取（下载）招标文件，并于202</w:t>
      </w:r>
      <w:r>
        <w:rPr>
          <w:rStyle w:val="56"/>
          <w:rFonts w:hint="eastAsia" w:ascii="宋体" w:hAnsi="宋体" w:cs="宋体"/>
          <w:color w:val="auto"/>
          <w:sz w:val="21"/>
          <w:szCs w:val="21"/>
          <w:highlight w:val="none"/>
          <w:lang w:val="en-US" w:eastAsia="zh-CN"/>
        </w:rPr>
        <w:t>3</w:t>
      </w:r>
      <w:r>
        <w:rPr>
          <w:rStyle w:val="56"/>
          <w:rFonts w:hint="eastAsia" w:ascii="宋体" w:hAnsi="宋体" w:cs="宋体"/>
          <w:color w:val="auto"/>
          <w:sz w:val="21"/>
          <w:szCs w:val="21"/>
          <w:highlight w:val="none"/>
        </w:rPr>
        <w:t>年</w:t>
      </w:r>
      <w:r>
        <w:rPr>
          <w:rStyle w:val="56"/>
          <w:rFonts w:hint="eastAsia" w:ascii="宋体" w:hAnsi="宋体" w:cs="宋体"/>
          <w:color w:val="auto"/>
          <w:sz w:val="21"/>
          <w:szCs w:val="21"/>
          <w:highlight w:val="none"/>
        </w:rPr>
        <w:fldChar w:fldCharType="end"/>
      </w:r>
      <w:r>
        <w:rPr>
          <w:rStyle w:val="56"/>
          <w:rFonts w:hint="eastAsia" w:ascii="宋体" w:hAnsi="宋体" w:cs="宋体"/>
          <w:color w:val="auto"/>
          <w:sz w:val="21"/>
          <w:szCs w:val="21"/>
          <w:highlight w:val="none"/>
          <w:lang w:val="en-US" w:eastAsia="zh-CN"/>
        </w:rPr>
        <w:t>12</w:t>
      </w:r>
      <w:r>
        <w:rPr>
          <w:rFonts w:hint="eastAsia" w:ascii="宋体" w:hAnsi="宋体" w:cs="宋体"/>
          <w:sz w:val="21"/>
          <w:szCs w:val="21"/>
          <w:highlight w:val="none"/>
        </w:rPr>
        <w:t>月</w:t>
      </w:r>
      <w:r>
        <w:rPr>
          <w:rFonts w:hint="eastAsia" w:ascii="宋体" w:hAnsi="宋体" w:cs="宋体"/>
          <w:sz w:val="21"/>
          <w:szCs w:val="21"/>
          <w:highlight w:val="none"/>
          <w:lang w:val="en-US" w:eastAsia="zh-CN"/>
        </w:rPr>
        <w:t>20</w:t>
      </w:r>
      <w:r>
        <w:rPr>
          <w:rFonts w:hint="eastAsia" w:ascii="宋体" w:hAnsi="宋体" w:cs="宋体"/>
          <w:sz w:val="21"/>
          <w:szCs w:val="21"/>
          <w:highlight w:val="none"/>
        </w:rPr>
        <w:t>日</w:t>
      </w:r>
      <w:r>
        <w:rPr>
          <w:rFonts w:hint="eastAsia" w:ascii="宋体" w:hAnsi="宋体" w:cs="宋体"/>
          <w:sz w:val="21"/>
          <w:szCs w:val="21"/>
          <w:highlight w:val="none"/>
          <w:lang w:val="en-US" w:eastAsia="zh-CN"/>
        </w:rPr>
        <w:t>14</w:t>
      </w:r>
      <w:r>
        <w:rPr>
          <w:rFonts w:hint="eastAsia" w:ascii="宋体" w:hAnsi="宋体" w:cs="宋体"/>
          <w:sz w:val="21"/>
          <w:szCs w:val="21"/>
          <w:highlight w:val="none"/>
        </w:rPr>
        <w:t>:00（北京时间）前递交（上传）投标文件。 </w:t>
      </w:r>
    </w:p>
    <w:p>
      <w:pPr>
        <w:pStyle w:val="210"/>
        <w:widowControl w:val="0"/>
        <w:snapToGrid/>
        <w:spacing w:afterLines="0" w:line="360" w:lineRule="auto"/>
        <w:ind w:firstLine="0" w:firstLineChars="0"/>
        <w:rPr>
          <w:rFonts w:ascii="宋体" w:hAnsi="宋体" w:cs="宋体"/>
          <w:sz w:val="21"/>
          <w:szCs w:val="21"/>
          <w:highlight w:val="none"/>
        </w:rPr>
      </w:pPr>
      <w:r>
        <w:rPr>
          <w:rFonts w:hint="eastAsia" w:ascii="宋体" w:hAnsi="宋体" w:cs="宋体"/>
          <w:b/>
          <w:bCs/>
          <w:sz w:val="21"/>
          <w:szCs w:val="21"/>
          <w:highlight w:val="none"/>
        </w:rPr>
        <w:t>一、项目基本情况</w:t>
      </w:r>
      <w:r>
        <w:rPr>
          <w:rFonts w:hint="eastAsia" w:ascii="宋体" w:hAnsi="宋体" w:cs="宋体"/>
          <w:sz w:val="21"/>
          <w:szCs w:val="21"/>
          <w:highlight w:val="none"/>
        </w:rPr>
        <w:t xml:space="preserve">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项目编号：CBNB-20235522GLS</w:t>
      </w:r>
    </w:p>
    <w:p>
      <w:pPr>
        <w:widowControl/>
        <w:spacing w:line="360" w:lineRule="auto"/>
        <w:ind w:firstLine="420" w:firstLineChars="200"/>
        <w:rPr>
          <w:rFonts w:hint="eastAsia" w:ascii="宋体" w:hAnsi="宋体" w:cs="宋体"/>
          <w:highlight w:val="none"/>
          <w:lang w:eastAsia="zh-CN"/>
        </w:rPr>
      </w:pPr>
      <w:r>
        <w:rPr>
          <w:rFonts w:hint="eastAsia" w:ascii="宋体" w:hAnsi="宋体" w:cs="宋体"/>
          <w:kern w:val="0"/>
          <w:highlight w:val="none"/>
        </w:rPr>
        <w:t>项目名称：</w:t>
      </w:r>
      <w:r>
        <w:rPr>
          <w:rFonts w:hint="eastAsia" w:ascii="宋体" w:hAnsi="宋体" w:cs="宋体"/>
          <w:highlight w:val="none"/>
          <w:lang w:eastAsia="zh-CN"/>
        </w:rPr>
        <w:t>丽水市莲都区人民医院血液透析中心设备、彩色多普勒超声诊断仪及全自动快速发药机采购项目</w:t>
      </w:r>
    </w:p>
    <w:p>
      <w:pPr>
        <w:widowControl/>
        <w:spacing w:line="360" w:lineRule="auto"/>
        <w:ind w:firstLine="420" w:firstLineChars="200"/>
        <w:rPr>
          <w:rFonts w:hint="eastAsia" w:ascii="宋体" w:hAnsi="宋体" w:eastAsia="宋体" w:cs="宋体"/>
          <w:kern w:val="0"/>
          <w:highlight w:val="none"/>
          <w:lang w:eastAsia="zh-CN"/>
        </w:rPr>
      </w:pPr>
      <w:r>
        <w:rPr>
          <w:rFonts w:hint="eastAsia" w:ascii="宋体" w:hAnsi="宋体" w:cs="宋体"/>
          <w:kern w:val="0"/>
          <w:highlight w:val="none"/>
        </w:rPr>
        <w:t>预算金额（元）：</w:t>
      </w:r>
      <w:r>
        <w:rPr>
          <w:rFonts w:hint="eastAsia" w:ascii="宋体" w:hAnsi="宋体" w:cs="宋体"/>
          <w:kern w:val="0"/>
          <w:highlight w:val="none"/>
          <w:lang w:val="en-US" w:eastAsia="zh-CN"/>
        </w:rPr>
        <w:t>5</w:t>
      </w:r>
      <w:r>
        <w:rPr>
          <w:rFonts w:hint="eastAsia" w:ascii="宋体" w:hAnsi="宋体" w:cs="宋体"/>
          <w:kern w:val="0"/>
          <w:highlight w:val="none"/>
        </w:rPr>
        <w:t>,</w:t>
      </w:r>
      <w:r>
        <w:rPr>
          <w:rFonts w:hint="eastAsia" w:ascii="宋体" w:hAnsi="宋体" w:cs="宋体"/>
          <w:kern w:val="0"/>
          <w:highlight w:val="none"/>
          <w:lang w:val="en-US" w:eastAsia="zh-CN"/>
        </w:rPr>
        <w:t>65</w:t>
      </w:r>
      <w:r>
        <w:rPr>
          <w:rFonts w:hint="eastAsia" w:ascii="宋体" w:hAnsi="宋体" w:cs="宋体"/>
          <w:kern w:val="0"/>
          <w:highlight w:val="none"/>
        </w:rPr>
        <w:t>0,000.00</w:t>
      </w:r>
      <w:r>
        <w:rPr>
          <w:rFonts w:hint="eastAsia" w:ascii="宋体" w:hAnsi="宋体" w:cs="宋体"/>
          <w:kern w:val="0"/>
          <w:highlight w:val="none"/>
          <w:lang w:eastAsia="zh-CN"/>
        </w:rPr>
        <w:t>（</w:t>
      </w:r>
      <w:r>
        <w:rPr>
          <w:rFonts w:hint="eastAsia" w:ascii="宋体" w:hAnsi="宋体" w:cs="宋体"/>
          <w:kern w:val="0"/>
          <w:highlight w:val="none"/>
          <w:lang w:val="en-US" w:eastAsia="zh-CN"/>
        </w:rPr>
        <w:t>标项一：1,250,000.00；标项二：1,400,000.00；标项三：3,000,000.00</w:t>
      </w:r>
      <w:r>
        <w:rPr>
          <w:rFonts w:hint="eastAsia" w:ascii="宋体" w:hAnsi="宋体" w:cs="宋体"/>
          <w:kern w:val="0"/>
          <w:highlight w:val="none"/>
          <w:lang w:eastAsia="zh-CN"/>
        </w:rPr>
        <w:t>）</w:t>
      </w:r>
    </w:p>
    <w:p>
      <w:pPr>
        <w:widowControl/>
        <w:spacing w:line="360" w:lineRule="auto"/>
        <w:ind w:firstLine="420" w:firstLineChars="200"/>
        <w:rPr>
          <w:rFonts w:hint="eastAsia" w:ascii="宋体" w:hAnsi="宋体" w:eastAsia="宋体" w:cs="宋体"/>
          <w:kern w:val="0"/>
          <w:highlight w:val="none"/>
          <w:lang w:eastAsia="zh-CN"/>
        </w:rPr>
      </w:pPr>
      <w:r>
        <w:rPr>
          <w:rFonts w:hint="eastAsia" w:ascii="宋体" w:hAnsi="宋体" w:cs="宋体"/>
          <w:kern w:val="0"/>
          <w:highlight w:val="none"/>
        </w:rPr>
        <w:t>最高限价（元）：</w:t>
      </w:r>
      <w:r>
        <w:rPr>
          <w:rFonts w:hint="eastAsia" w:ascii="宋体" w:hAnsi="宋体" w:cs="宋体"/>
          <w:kern w:val="0"/>
          <w:highlight w:val="none"/>
          <w:lang w:val="en-US" w:eastAsia="zh-CN"/>
        </w:rPr>
        <w:t>5</w:t>
      </w:r>
      <w:r>
        <w:rPr>
          <w:rFonts w:hint="eastAsia" w:ascii="宋体" w:hAnsi="宋体" w:cs="宋体"/>
          <w:kern w:val="0"/>
          <w:highlight w:val="none"/>
        </w:rPr>
        <w:t>,</w:t>
      </w:r>
      <w:r>
        <w:rPr>
          <w:rFonts w:hint="eastAsia" w:ascii="宋体" w:hAnsi="宋体" w:cs="宋体"/>
          <w:kern w:val="0"/>
          <w:highlight w:val="none"/>
          <w:lang w:val="en-US" w:eastAsia="zh-CN"/>
        </w:rPr>
        <w:t>65</w:t>
      </w:r>
      <w:r>
        <w:rPr>
          <w:rFonts w:hint="eastAsia" w:ascii="宋体" w:hAnsi="宋体" w:cs="宋体"/>
          <w:kern w:val="0"/>
          <w:highlight w:val="none"/>
        </w:rPr>
        <w:t>0,000.00</w:t>
      </w:r>
      <w:r>
        <w:rPr>
          <w:rFonts w:hint="eastAsia" w:ascii="宋体" w:hAnsi="宋体" w:cs="宋体"/>
          <w:kern w:val="0"/>
          <w:highlight w:val="none"/>
          <w:lang w:eastAsia="zh-CN"/>
        </w:rPr>
        <w:t>（</w:t>
      </w:r>
      <w:r>
        <w:rPr>
          <w:rFonts w:hint="eastAsia" w:ascii="宋体" w:hAnsi="宋体" w:cs="宋体"/>
          <w:kern w:val="0"/>
          <w:highlight w:val="none"/>
          <w:lang w:val="en-US" w:eastAsia="zh-CN"/>
        </w:rPr>
        <w:t>标项一：1,250,000.00；标项二：1,400,000.00；标项三：3,000,000.00</w:t>
      </w:r>
      <w:r>
        <w:rPr>
          <w:rFonts w:hint="eastAsia" w:ascii="宋体" w:hAnsi="宋体" w:cs="宋体"/>
          <w:kern w:val="0"/>
          <w:highlight w:val="none"/>
          <w:lang w:eastAsia="zh-CN"/>
        </w:rPr>
        <w:t>）</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采购需求：</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标项一：</w:t>
      </w:r>
    </w:p>
    <w:p>
      <w:pPr>
        <w:widowControl/>
        <w:spacing w:line="360" w:lineRule="auto"/>
        <w:ind w:left="420" w:leftChars="200"/>
        <w:rPr>
          <w:rFonts w:hint="eastAsia" w:ascii="宋体" w:hAnsi="宋体" w:eastAsia="宋体" w:cs="宋体"/>
          <w:highlight w:val="none"/>
          <w:lang w:eastAsia="zh-CN"/>
        </w:rPr>
      </w:pPr>
      <w:r>
        <w:rPr>
          <w:rFonts w:hint="eastAsia" w:ascii="宋体" w:hAnsi="宋体" w:cs="宋体"/>
          <w:kern w:val="0"/>
          <w:highlight w:val="none"/>
        </w:rPr>
        <w:t>标项名称：</w:t>
      </w:r>
      <w:r>
        <w:rPr>
          <w:rFonts w:hint="eastAsia" w:ascii="宋体" w:hAnsi="宋体" w:cs="宋体"/>
          <w:highlight w:val="none"/>
          <w:lang w:eastAsia="zh-CN"/>
        </w:rPr>
        <w:t>血液透析中心设备</w:t>
      </w:r>
    </w:p>
    <w:p>
      <w:pPr>
        <w:widowControl/>
        <w:spacing w:line="360" w:lineRule="auto"/>
        <w:ind w:left="420" w:leftChars="200"/>
        <w:rPr>
          <w:rFonts w:hint="eastAsia" w:ascii="宋体" w:hAnsi="宋体" w:eastAsia="宋体" w:cs="宋体"/>
          <w:kern w:val="0"/>
          <w:highlight w:val="none"/>
          <w:lang w:eastAsia="zh-CN"/>
        </w:rPr>
      </w:pPr>
      <w:r>
        <w:rPr>
          <w:rFonts w:hint="eastAsia" w:ascii="宋体" w:hAnsi="宋体" w:cs="宋体"/>
          <w:kern w:val="0"/>
          <w:highlight w:val="none"/>
        </w:rPr>
        <w:t>数量：</w:t>
      </w:r>
      <w:r>
        <w:rPr>
          <w:rFonts w:hint="eastAsia" w:ascii="宋体" w:hAnsi="宋体" w:cs="宋体"/>
          <w:kern w:val="0"/>
          <w:highlight w:val="none"/>
          <w:lang w:val="en-US" w:eastAsia="zh-CN"/>
        </w:rPr>
        <w:t>1批</w:t>
      </w:r>
      <w:r>
        <w:rPr>
          <w:rFonts w:hint="eastAsia" w:ascii="宋体" w:hAnsi="宋体" w:cs="宋体"/>
          <w:kern w:val="0"/>
          <w:highlight w:val="none"/>
        </w:rPr>
        <w:t>  </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预算金额（元）：</w:t>
      </w:r>
      <w:r>
        <w:rPr>
          <w:rFonts w:hint="eastAsia" w:ascii="宋体" w:hAnsi="宋体" w:cs="宋体"/>
          <w:kern w:val="0"/>
          <w:highlight w:val="none"/>
          <w:lang w:val="en-US" w:eastAsia="zh-CN"/>
        </w:rPr>
        <w:t>1,250,000.00</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简要规格描述或项目基本概况介绍、用途：</w:t>
      </w:r>
      <w:r>
        <w:rPr>
          <w:rFonts w:hint="eastAsia" w:ascii="宋体" w:hAnsi="宋体" w:cs="宋体"/>
          <w:highlight w:val="none"/>
        </w:rPr>
        <w:t>详见第四章招标需求</w:t>
      </w:r>
      <w:r>
        <w:rPr>
          <w:rFonts w:hint="eastAsia" w:ascii="宋体" w:hAnsi="宋体" w:cs="宋体"/>
          <w:kern w:val="0"/>
          <w:highlight w:val="none"/>
        </w:rPr>
        <w:t>。</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备注：本项目允许采购进口产品</w:t>
      </w:r>
      <w:r>
        <w:rPr>
          <w:rFonts w:hint="eastAsia" w:ascii="宋体" w:hAnsi="宋体" w:cs="宋体"/>
          <w:kern w:val="0"/>
          <w:highlight w:val="none"/>
          <w:lang w:eastAsia="zh-CN"/>
        </w:rPr>
        <w:t>（</w:t>
      </w:r>
      <w:r>
        <w:rPr>
          <w:rFonts w:hint="eastAsia" w:ascii="宋体" w:hAnsi="宋体" w:cs="宋体"/>
          <w:kern w:val="0"/>
          <w:highlight w:val="none"/>
          <w:lang w:val="en-US" w:eastAsia="zh-CN"/>
        </w:rPr>
        <w:t>欢迎国产产品投标</w:t>
      </w:r>
      <w:r>
        <w:rPr>
          <w:rFonts w:hint="eastAsia" w:ascii="宋体" w:hAnsi="宋体" w:cs="宋体"/>
          <w:kern w:val="0"/>
          <w:highlight w:val="none"/>
          <w:lang w:eastAsia="zh-CN"/>
        </w:rPr>
        <w:t>）</w:t>
      </w:r>
      <w:r>
        <w:rPr>
          <w:rFonts w:hint="eastAsia" w:ascii="宋体" w:hAnsi="宋体" w:cs="宋体"/>
          <w:kern w:val="0"/>
          <w:highlight w:val="none"/>
        </w:rPr>
        <w:t xml:space="preserve">。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合同履约期限：自合同签订生效后开始至双方合同义务完全履行后截止。</w:t>
      </w:r>
    </w:p>
    <w:p>
      <w:pPr>
        <w:widowControl/>
        <w:spacing w:line="360" w:lineRule="auto"/>
        <w:ind w:left="420" w:leftChars="200"/>
        <w:rPr>
          <w:rFonts w:hint="eastAsia" w:ascii="宋体" w:hAnsi="宋体" w:cs="宋体"/>
          <w:kern w:val="0"/>
          <w:highlight w:val="none"/>
        </w:rPr>
      </w:pPr>
      <w:r>
        <w:rPr>
          <w:rFonts w:hint="eastAsia" w:ascii="宋体" w:hAnsi="宋体" w:cs="宋体"/>
          <w:kern w:val="0"/>
          <w:highlight w:val="none"/>
        </w:rPr>
        <w:t>本项目（是）接受联合体投标。</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标项</w:t>
      </w:r>
      <w:r>
        <w:rPr>
          <w:rFonts w:hint="eastAsia" w:ascii="宋体" w:hAnsi="宋体" w:cs="宋体"/>
          <w:kern w:val="0"/>
          <w:highlight w:val="none"/>
          <w:lang w:val="en-US" w:eastAsia="zh-CN"/>
        </w:rPr>
        <w:t>二</w:t>
      </w:r>
      <w:r>
        <w:rPr>
          <w:rFonts w:hint="eastAsia" w:ascii="宋体" w:hAnsi="宋体" w:cs="宋体"/>
          <w:kern w:val="0"/>
          <w:highlight w:val="none"/>
        </w:rPr>
        <w:t>：</w:t>
      </w:r>
    </w:p>
    <w:p>
      <w:pPr>
        <w:widowControl/>
        <w:spacing w:line="360" w:lineRule="auto"/>
        <w:ind w:left="420" w:leftChars="200"/>
        <w:rPr>
          <w:rFonts w:hint="eastAsia" w:ascii="宋体" w:hAnsi="宋体" w:eastAsia="宋体" w:cs="宋体"/>
          <w:highlight w:val="none"/>
          <w:lang w:eastAsia="zh-CN"/>
        </w:rPr>
      </w:pPr>
      <w:r>
        <w:rPr>
          <w:rFonts w:hint="eastAsia" w:ascii="宋体" w:hAnsi="宋体" w:cs="宋体"/>
          <w:kern w:val="0"/>
          <w:highlight w:val="none"/>
        </w:rPr>
        <w:t>标项名称：</w:t>
      </w:r>
      <w:r>
        <w:rPr>
          <w:rFonts w:hint="eastAsia" w:ascii="宋体" w:hAnsi="宋体" w:cs="宋体"/>
          <w:highlight w:val="none"/>
          <w:lang w:eastAsia="zh-CN"/>
        </w:rPr>
        <w:t>彩色多普勒超声诊断仪</w:t>
      </w:r>
    </w:p>
    <w:p>
      <w:pPr>
        <w:widowControl/>
        <w:spacing w:line="360" w:lineRule="auto"/>
        <w:ind w:left="420" w:leftChars="200"/>
        <w:rPr>
          <w:rFonts w:hint="eastAsia" w:ascii="宋体" w:hAnsi="宋体" w:eastAsia="宋体" w:cs="宋体"/>
          <w:kern w:val="0"/>
          <w:highlight w:val="none"/>
          <w:lang w:eastAsia="zh-CN"/>
        </w:rPr>
      </w:pPr>
      <w:r>
        <w:rPr>
          <w:rFonts w:hint="eastAsia" w:ascii="宋体" w:hAnsi="宋体" w:cs="宋体"/>
          <w:kern w:val="0"/>
          <w:highlight w:val="none"/>
        </w:rPr>
        <w:t>数量：</w:t>
      </w:r>
      <w:r>
        <w:rPr>
          <w:rFonts w:hint="eastAsia" w:ascii="宋体" w:hAnsi="宋体" w:cs="宋体"/>
          <w:kern w:val="0"/>
          <w:highlight w:val="none"/>
          <w:lang w:val="en-US" w:eastAsia="zh-CN"/>
        </w:rPr>
        <w:t>1套</w:t>
      </w:r>
      <w:r>
        <w:rPr>
          <w:rFonts w:hint="eastAsia" w:ascii="宋体" w:hAnsi="宋体" w:cs="宋体"/>
          <w:kern w:val="0"/>
          <w:highlight w:val="none"/>
        </w:rPr>
        <w:t>  </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预算金额（元）：</w:t>
      </w:r>
      <w:r>
        <w:rPr>
          <w:rFonts w:hint="eastAsia" w:ascii="宋体" w:hAnsi="宋体" w:cs="宋体"/>
          <w:kern w:val="0"/>
          <w:highlight w:val="none"/>
          <w:lang w:val="en-US" w:eastAsia="zh-CN"/>
        </w:rPr>
        <w:t>1,400,000.00</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简要规格描述或项目基本概况介绍、用途：</w:t>
      </w:r>
      <w:r>
        <w:rPr>
          <w:rFonts w:hint="eastAsia" w:ascii="宋体" w:hAnsi="宋体" w:cs="宋体"/>
          <w:highlight w:val="none"/>
        </w:rPr>
        <w:t>详见第四章招标需求</w:t>
      </w:r>
      <w:r>
        <w:rPr>
          <w:rFonts w:hint="eastAsia" w:ascii="宋体" w:hAnsi="宋体" w:cs="宋体"/>
          <w:kern w:val="0"/>
          <w:highlight w:val="none"/>
        </w:rPr>
        <w:t>。</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备注：本项目不允许采购进口产品。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合同履约期限：自合同签订生效后开始至双方合同义务完全履行后截止。</w:t>
      </w:r>
    </w:p>
    <w:p>
      <w:pPr>
        <w:widowControl/>
        <w:spacing w:line="360" w:lineRule="auto"/>
        <w:ind w:left="420" w:leftChars="200"/>
        <w:rPr>
          <w:rFonts w:hint="eastAsia" w:ascii="宋体" w:hAnsi="宋体" w:cs="宋体"/>
          <w:kern w:val="0"/>
          <w:highlight w:val="none"/>
        </w:rPr>
      </w:pPr>
      <w:r>
        <w:rPr>
          <w:rFonts w:hint="eastAsia" w:ascii="宋体" w:hAnsi="宋体" w:cs="宋体"/>
          <w:kern w:val="0"/>
          <w:highlight w:val="none"/>
        </w:rPr>
        <w:t>本项目（是）接受联合体投标。</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标项</w:t>
      </w:r>
      <w:r>
        <w:rPr>
          <w:rFonts w:hint="eastAsia" w:ascii="宋体" w:hAnsi="宋体" w:cs="宋体"/>
          <w:kern w:val="0"/>
          <w:highlight w:val="none"/>
          <w:lang w:val="en-US" w:eastAsia="zh-CN"/>
        </w:rPr>
        <w:t>三</w:t>
      </w:r>
      <w:r>
        <w:rPr>
          <w:rFonts w:hint="eastAsia" w:ascii="宋体" w:hAnsi="宋体" w:cs="宋体"/>
          <w:kern w:val="0"/>
          <w:highlight w:val="none"/>
        </w:rPr>
        <w:t>：</w:t>
      </w:r>
    </w:p>
    <w:p>
      <w:pPr>
        <w:widowControl/>
        <w:spacing w:line="360" w:lineRule="auto"/>
        <w:ind w:left="420" w:leftChars="200"/>
        <w:rPr>
          <w:rFonts w:hint="eastAsia" w:ascii="宋体" w:hAnsi="宋体" w:eastAsia="宋体" w:cs="宋体"/>
          <w:highlight w:val="none"/>
          <w:lang w:eastAsia="zh-CN"/>
        </w:rPr>
      </w:pPr>
      <w:r>
        <w:rPr>
          <w:rFonts w:hint="eastAsia" w:ascii="宋体" w:hAnsi="宋体" w:cs="宋体"/>
          <w:kern w:val="0"/>
          <w:highlight w:val="none"/>
        </w:rPr>
        <w:t>标项名称：</w:t>
      </w:r>
      <w:r>
        <w:rPr>
          <w:rFonts w:hint="eastAsia" w:ascii="宋体" w:hAnsi="宋体" w:cs="宋体"/>
          <w:highlight w:val="none"/>
          <w:lang w:eastAsia="zh-CN"/>
        </w:rPr>
        <w:t>全自动快速发药机</w:t>
      </w:r>
    </w:p>
    <w:p>
      <w:pPr>
        <w:widowControl/>
        <w:spacing w:line="360" w:lineRule="auto"/>
        <w:ind w:left="420" w:leftChars="200"/>
        <w:rPr>
          <w:rFonts w:hint="eastAsia" w:ascii="宋体" w:hAnsi="宋体" w:eastAsia="宋体" w:cs="宋体"/>
          <w:kern w:val="0"/>
          <w:highlight w:val="none"/>
          <w:lang w:eastAsia="zh-CN"/>
        </w:rPr>
      </w:pPr>
      <w:r>
        <w:rPr>
          <w:rFonts w:hint="eastAsia" w:ascii="宋体" w:hAnsi="宋体" w:cs="宋体"/>
          <w:kern w:val="0"/>
          <w:highlight w:val="none"/>
        </w:rPr>
        <w:t>数量：</w:t>
      </w:r>
      <w:r>
        <w:rPr>
          <w:rFonts w:hint="eastAsia" w:ascii="宋体" w:hAnsi="宋体" w:cs="宋体"/>
          <w:kern w:val="0"/>
          <w:highlight w:val="none"/>
          <w:lang w:val="en-US" w:eastAsia="zh-CN"/>
        </w:rPr>
        <w:t>1套</w:t>
      </w:r>
      <w:r>
        <w:rPr>
          <w:rFonts w:hint="eastAsia" w:ascii="宋体" w:hAnsi="宋体" w:cs="宋体"/>
          <w:kern w:val="0"/>
          <w:highlight w:val="none"/>
        </w:rPr>
        <w:t>  </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预算金额（元）：</w:t>
      </w:r>
      <w:r>
        <w:rPr>
          <w:rFonts w:hint="eastAsia" w:ascii="宋体" w:hAnsi="宋体" w:cs="宋体"/>
          <w:kern w:val="0"/>
          <w:highlight w:val="none"/>
          <w:lang w:val="en-US" w:eastAsia="zh-CN"/>
        </w:rPr>
        <w:t>3,000,000.00</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简要规格描述或项目基本概况介绍、用途：</w:t>
      </w:r>
      <w:r>
        <w:rPr>
          <w:rFonts w:hint="eastAsia" w:ascii="宋体" w:hAnsi="宋体" w:cs="宋体"/>
          <w:highlight w:val="none"/>
        </w:rPr>
        <w:t>详见第四章招标需求</w:t>
      </w:r>
      <w:r>
        <w:rPr>
          <w:rFonts w:hint="eastAsia" w:ascii="宋体" w:hAnsi="宋体" w:cs="宋体"/>
          <w:kern w:val="0"/>
          <w:highlight w:val="none"/>
        </w:rPr>
        <w:t>。</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备注：本项目不允许采购进口产品。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合同履约期限：自合同签订生效后开始至双方合同义务完全履行后截止。</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本项目（是）接受联合体投标。</w:t>
      </w:r>
    </w:p>
    <w:p>
      <w:pPr>
        <w:widowControl/>
        <w:spacing w:line="360" w:lineRule="auto"/>
        <w:rPr>
          <w:rFonts w:ascii="宋体" w:hAnsi="宋体" w:cs="宋体"/>
          <w:b/>
          <w:bCs/>
          <w:kern w:val="0"/>
          <w:highlight w:val="none"/>
        </w:rPr>
      </w:pPr>
      <w:r>
        <w:rPr>
          <w:rFonts w:hint="eastAsia" w:ascii="宋体" w:hAnsi="宋体" w:cs="宋体"/>
          <w:b/>
          <w:bCs/>
          <w:kern w:val="0"/>
          <w:highlight w:val="none"/>
        </w:rPr>
        <w:t>二、申请人的资格要求</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2.落实政府采购政策需满足的资格要求：无。</w:t>
      </w:r>
    </w:p>
    <w:p>
      <w:pPr>
        <w:spacing w:line="360" w:lineRule="auto"/>
        <w:ind w:firstLine="420" w:firstLineChars="200"/>
        <w:rPr>
          <w:rFonts w:ascii="宋体" w:hAnsi="宋体" w:cs="宋体"/>
          <w:kern w:val="0"/>
          <w:highlight w:val="none"/>
        </w:rPr>
      </w:pPr>
      <w:r>
        <w:rPr>
          <w:rFonts w:hint="eastAsia" w:ascii="宋体" w:hAnsi="宋体" w:cs="宋体"/>
          <w:kern w:val="0"/>
          <w:highlight w:val="none"/>
        </w:rPr>
        <w:t>3.本项目的特定资格要求：</w:t>
      </w:r>
    </w:p>
    <w:p>
      <w:pPr>
        <w:spacing w:line="360" w:lineRule="auto"/>
        <w:ind w:firstLine="420" w:firstLineChars="200"/>
        <w:rPr>
          <w:rFonts w:ascii="宋体" w:hAnsi="宋体" w:cs="宋体"/>
          <w:kern w:val="0"/>
          <w:highlight w:val="none"/>
        </w:rPr>
      </w:pPr>
      <w:r>
        <w:rPr>
          <w:rFonts w:hint="eastAsia" w:ascii="宋体" w:hAnsi="宋体" w:cs="宋体"/>
          <w:kern w:val="0"/>
          <w:highlight w:val="none"/>
          <w:lang w:val="en-US" w:eastAsia="zh-CN"/>
        </w:rPr>
        <w:t>标项一：</w:t>
      </w:r>
      <w:r>
        <w:rPr>
          <w:rFonts w:hint="eastAsia" w:ascii="宋体" w:hAnsi="宋体" w:cs="宋体"/>
          <w:kern w:val="0"/>
          <w:highlight w:val="none"/>
        </w:rPr>
        <w:t>3.</w:t>
      </w:r>
      <w:r>
        <w:rPr>
          <w:rFonts w:hint="eastAsia" w:ascii="宋体" w:hAnsi="宋体" w:cs="宋体"/>
          <w:highlight w:val="none"/>
        </w:rPr>
        <w:t>1</w:t>
      </w:r>
      <w:r>
        <w:rPr>
          <w:rFonts w:hint="eastAsia" w:ascii="宋体" w:hAnsi="宋体" w:cs="宋体"/>
          <w:kern w:val="0"/>
          <w:highlight w:val="none"/>
        </w:rPr>
        <w:t xml:space="preserve">投标人为医疗器械生产企业的：第三类医疗器械生产企业提供《医疗器械生产许可证》复印件。 </w:t>
      </w:r>
    </w:p>
    <w:p>
      <w:pPr>
        <w:spacing w:line="360" w:lineRule="auto"/>
        <w:ind w:firstLine="420" w:firstLineChars="200"/>
        <w:rPr>
          <w:rFonts w:hint="eastAsia" w:ascii="宋体" w:hAnsi="宋体" w:cs="宋体"/>
          <w:kern w:val="0"/>
          <w:highlight w:val="none"/>
        </w:rPr>
      </w:pPr>
      <w:r>
        <w:rPr>
          <w:rFonts w:hint="eastAsia" w:ascii="宋体" w:hAnsi="宋体" w:cs="宋体"/>
          <w:kern w:val="0"/>
          <w:highlight w:val="none"/>
        </w:rPr>
        <w:t>3.2投标人为医疗器械经营企业的：第三类医疗器械经营企业提供《医疗器械经营许可证》复印件。</w:t>
      </w:r>
    </w:p>
    <w:p>
      <w:pPr>
        <w:spacing w:line="360" w:lineRule="auto"/>
        <w:ind w:firstLine="420" w:firstLineChars="200"/>
        <w:rPr>
          <w:rFonts w:ascii="宋体" w:hAnsi="宋体" w:cs="宋体"/>
          <w:kern w:val="0"/>
          <w:highlight w:val="none"/>
        </w:rPr>
      </w:pPr>
      <w:r>
        <w:rPr>
          <w:rFonts w:hint="eastAsia" w:ascii="宋体" w:hAnsi="宋体" w:cs="宋体"/>
          <w:kern w:val="0"/>
          <w:highlight w:val="none"/>
          <w:lang w:val="en-US" w:eastAsia="zh-CN"/>
        </w:rPr>
        <w:t>标项二：</w:t>
      </w:r>
      <w:r>
        <w:rPr>
          <w:rFonts w:hint="eastAsia" w:ascii="宋体" w:hAnsi="宋体" w:cs="宋体"/>
          <w:kern w:val="0"/>
          <w:highlight w:val="none"/>
        </w:rPr>
        <w:t>3.</w:t>
      </w:r>
      <w:r>
        <w:rPr>
          <w:rFonts w:hint="eastAsia" w:ascii="宋体" w:hAnsi="宋体" w:cs="宋体"/>
          <w:highlight w:val="none"/>
        </w:rPr>
        <w:t>1</w:t>
      </w:r>
      <w:r>
        <w:rPr>
          <w:rFonts w:hint="eastAsia" w:ascii="宋体" w:hAnsi="宋体" w:cs="宋体"/>
          <w:kern w:val="0"/>
          <w:highlight w:val="none"/>
        </w:rPr>
        <w:t xml:space="preserve">投标人为医疗器械生产企业的：第二类医疗器械生产企业提供《医疗器械生产许可证》复印件。 </w:t>
      </w:r>
    </w:p>
    <w:p>
      <w:pPr>
        <w:spacing w:line="360" w:lineRule="auto"/>
        <w:ind w:firstLine="420" w:firstLineChars="200"/>
        <w:rPr>
          <w:rFonts w:hint="eastAsia" w:ascii="宋体" w:hAnsi="宋体" w:cs="宋体"/>
          <w:kern w:val="0"/>
          <w:highlight w:val="none"/>
        </w:rPr>
      </w:pPr>
      <w:r>
        <w:rPr>
          <w:rFonts w:hint="eastAsia" w:ascii="宋体" w:hAnsi="宋体" w:cs="宋体"/>
          <w:kern w:val="0"/>
          <w:highlight w:val="none"/>
        </w:rPr>
        <w:t>3.2投标人为医疗器械经营企业的：提供第二类医疗器械经营备案凭证复印件。</w:t>
      </w:r>
    </w:p>
    <w:p>
      <w:pPr>
        <w:spacing w:line="360" w:lineRule="auto"/>
        <w:ind w:firstLine="420" w:firstLineChars="200"/>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标项三：无</w:t>
      </w:r>
    </w:p>
    <w:p>
      <w:pPr>
        <w:widowControl/>
        <w:spacing w:line="360" w:lineRule="auto"/>
        <w:rPr>
          <w:rFonts w:ascii="宋体" w:hAnsi="宋体" w:cs="宋体"/>
          <w:b/>
          <w:bCs/>
          <w:kern w:val="0"/>
          <w:highlight w:val="none"/>
        </w:rPr>
      </w:pPr>
      <w:r>
        <w:rPr>
          <w:rFonts w:hint="eastAsia" w:ascii="宋体" w:hAnsi="宋体" w:cs="宋体"/>
          <w:b/>
          <w:bCs/>
          <w:kern w:val="0"/>
          <w:highlight w:val="none"/>
        </w:rPr>
        <w:t>三、获取招标文件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时间：/至202</w:t>
      </w:r>
      <w:r>
        <w:rPr>
          <w:rFonts w:hint="eastAsia" w:ascii="宋体" w:hAnsi="宋体" w:cs="宋体"/>
          <w:kern w:val="0"/>
          <w:highlight w:val="none"/>
          <w:lang w:val="en-US" w:eastAsia="zh-CN"/>
        </w:rPr>
        <w:t>3</w:t>
      </w:r>
      <w:r>
        <w:rPr>
          <w:rFonts w:hint="eastAsia" w:ascii="宋体" w:hAnsi="宋体" w:cs="宋体"/>
          <w:kern w:val="0"/>
          <w:highlight w:val="none"/>
        </w:rPr>
        <w:t>年</w:t>
      </w:r>
      <w:r>
        <w:rPr>
          <w:rFonts w:hint="eastAsia" w:ascii="宋体" w:hAnsi="宋体" w:cs="宋体"/>
          <w:kern w:val="0"/>
          <w:highlight w:val="none"/>
          <w:lang w:val="en-US" w:eastAsia="zh-CN"/>
        </w:rPr>
        <w:t>12</w:t>
      </w:r>
      <w:r>
        <w:rPr>
          <w:rFonts w:hint="eastAsia" w:ascii="宋体" w:hAnsi="宋体" w:cs="宋体"/>
          <w:kern w:val="0"/>
          <w:highlight w:val="none"/>
        </w:rPr>
        <w:t>月</w:t>
      </w:r>
      <w:r>
        <w:rPr>
          <w:rFonts w:hint="eastAsia" w:ascii="宋体" w:hAnsi="宋体" w:cs="宋体"/>
          <w:kern w:val="0"/>
          <w:highlight w:val="none"/>
          <w:lang w:val="en-US" w:eastAsia="zh-CN"/>
        </w:rPr>
        <w:t>20</w:t>
      </w:r>
      <w:r>
        <w:rPr>
          <w:rFonts w:hint="eastAsia" w:ascii="宋体" w:hAnsi="宋体" w:cs="宋体"/>
          <w:kern w:val="0"/>
          <w:highlight w:val="none"/>
        </w:rPr>
        <w:t>日</w:t>
      </w:r>
      <w:r>
        <w:rPr>
          <w:rFonts w:hint="eastAsia" w:ascii="宋体" w:hAnsi="宋体" w:cs="宋体"/>
          <w:kern w:val="0"/>
          <w:highlight w:val="none"/>
          <w:lang w:eastAsia="zh-CN"/>
        </w:rPr>
        <w:t>，</w:t>
      </w:r>
      <w:r>
        <w:rPr>
          <w:rFonts w:hint="eastAsia" w:ascii="宋体" w:hAnsi="宋体" w:cs="宋体"/>
          <w:kern w:val="0"/>
          <w:highlight w:val="none"/>
        </w:rPr>
        <w:t>每天上午00:00至12:00</w:t>
      </w:r>
      <w:r>
        <w:rPr>
          <w:rFonts w:hint="eastAsia" w:ascii="宋体" w:hAnsi="宋体" w:cs="宋体"/>
          <w:kern w:val="0"/>
          <w:highlight w:val="none"/>
          <w:lang w:eastAsia="zh-CN"/>
        </w:rPr>
        <w:t>，</w:t>
      </w:r>
      <w:r>
        <w:rPr>
          <w:rFonts w:hint="eastAsia" w:ascii="宋体" w:hAnsi="宋体" w:cs="宋体"/>
          <w:kern w:val="0"/>
          <w:highlight w:val="none"/>
        </w:rPr>
        <w:t>下午12:00至23:59（北京时间，线上获取法定节假日均可，线下获取文件法定节假日除外）</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地点（网址）：政府采购云平台（www.zcygov.cn）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方式：（1）线上获取（登录政府采购云平台 → 项目采购 → 获取采购文件 → 申请，审核通过后可下载招标文件）。本次招标不提供纸质版招标文件。（2）供应商获取招标文件前应注册成为政府采购云平台正式供应商。（3）招标公告所附招标文件仅供阅览使用，供应商只有在“政府采购云平台”完成获取招标文件申请并下载了招标文件后才被视为合法获取了招标文件，否则其投标将被拒绝。</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售价（元）：0 </w:t>
      </w:r>
    </w:p>
    <w:p>
      <w:pPr>
        <w:widowControl/>
        <w:spacing w:line="360" w:lineRule="auto"/>
        <w:rPr>
          <w:rFonts w:ascii="宋体" w:hAnsi="宋体" w:cs="宋体"/>
          <w:b/>
          <w:bCs/>
          <w:kern w:val="0"/>
          <w:highlight w:val="none"/>
        </w:rPr>
      </w:pPr>
      <w:r>
        <w:rPr>
          <w:rFonts w:hint="eastAsia" w:ascii="宋体" w:hAnsi="宋体" w:cs="宋体"/>
          <w:b/>
          <w:bCs/>
          <w:kern w:val="0"/>
          <w:highlight w:val="none"/>
        </w:rPr>
        <w:t>四、提交投标文件截止时间、开标时间和地点</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提交投标文件截止时间：202</w:t>
      </w:r>
      <w:r>
        <w:rPr>
          <w:rFonts w:hint="eastAsia" w:ascii="宋体" w:hAnsi="宋体" w:cs="宋体"/>
          <w:kern w:val="0"/>
          <w:highlight w:val="none"/>
          <w:lang w:val="en-US" w:eastAsia="zh-CN"/>
        </w:rPr>
        <w:t>3</w:t>
      </w:r>
      <w:r>
        <w:rPr>
          <w:rFonts w:hint="eastAsia" w:ascii="宋体" w:hAnsi="宋体" w:cs="宋体"/>
          <w:kern w:val="0"/>
          <w:highlight w:val="none"/>
        </w:rPr>
        <w:t>年</w:t>
      </w:r>
      <w:r>
        <w:rPr>
          <w:rFonts w:hint="eastAsia" w:ascii="宋体" w:hAnsi="宋体" w:cs="宋体"/>
          <w:kern w:val="0"/>
          <w:highlight w:val="none"/>
          <w:lang w:val="en-US" w:eastAsia="zh-CN"/>
        </w:rPr>
        <w:t>12</w:t>
      </w:r>
      <w:r>
        <w:rPr>
          <w:rFonts w:hint="eastAsia" w:ascii="宋体" w:hAnsi="宋体" w:cs="宋体"/>
          <w:kern w:val="0"/>
          <w:highlight w:val="none"/>
        </w:rPr>
        <w:t>月</w:t>
      </w:r>
      <w:r>
        <w:rPr>
          <w:rFonts w:hint="eastAsia" w:ascii="宋体" w:hAnsi="宋体" w:cs="宋体"/>
          <w:kern w:val="0"/>
          <w:highlight w:val="none"/>
          <w:lang w:val="en-US" w:eastAsia="zh-CN"/>
        </w:rPr>
        <w:t>20</w:t>
      </w:r>
      <w:r>
        <w:rPr>
          <w:rFonts w:hint="eastAsia" w:ascii="宋体" w:hAnsi="宋体" w:cs="宋体"/>
          <w:kern w:val="0"/>
          <w:highlight w:val="none"/>
        </w:rPr>
        <w:t>日</w:t>
      </w:r>
      <w:r>
        <w:rPr>
          <w:rFonts w:hint="eastAsia" w:ascii="宋体" w:hAnsi="宋体" w:cs="宋体"/>
          <w:kern w:val="0"/>
          <w:highlight w:val="none"/>
          <w:lang w:val="en-US" w:eastAsia="zh-CN"/>
        </w:rPr>
        <w:t>14</w:t>
      </w:r>
      <w:r>
        <w:rPr>
          <w:rFonts w:hint="eastAsia" w:ascii="宋体" w:hAnsi="宋体" w:cs="宋体"/>
          <w:kern w:val="0"/>
          <w:highlight w:val="none"/>
        </w:rPr>
        <w:t>:00（北京时间）</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投标地点（网址）：政府采购云平台（www.zcygov.cn）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开标时间：202</w:t>
      </w:r>
      <w:r>
        <w:rPr>
          <w:rFonts w:hint="eastAsia" w:ascii="宋体" w:hAnsi="宋体" w:cs="宋体"/>
          <w:kern w:val="0"/>
          <w:highlight w:val="none"/>
          <w:lang w:val="en-US" w:eastAsia="zh-CN"/>
        </w:rPr>
        <w:t>3</w:t>
      </w:r>
      <w:r>
        <w:rPr>
          <w:rFonts w:hint="eastAsia" w:ascii="宋体" w:hAnsi="宋体" w:cs="宋体"/>
          <w:kern w:val="0"/>
          <w:highlight w:val="none"/>
        </w:rPr>
        <w:t>年</w:t>
      </w:r>
      <w:r>
        <w:rPr>
          <w:rFonts w:hint="eastAsia" w:ascii="宋体" w:hAnsi="宋体" w:cs="宋体"/>
          <w:kern w:val="0"/>
          <w:highlight w:val="none"/>
          <w:lang w:val="en-US" w:eastAsia="zh-CN"/>
        </w:rPr>
        <w:t>12</w:t>
      </w:r>
      <w:r>
        <w:rPr>
          <w:rFonts w:hint="eastAsia" w:ascii="宋体" w:hAnsi="宋体" w:cs="宋体"/>
          <w:kern w:val="0"/>
          <w:highlight w:val="none"/>
        </w:rPr>
        <w:t>月</w:t>
      </w:r>
      <w:r>
        <w:rPr>
          <w:rFonts w:hint="eastAsia" w:ascii="宋体" w:hAnsi="宋体" w:cs="宋体"/>
          <w:kern w:val="0"/>
          <w:highlight w:val="none"/>
          <w:lang w:val="en-US" w:eastAsia="zh-CN"/>
        </w:rPr>
        <w:t>20</w:t>
      </w:r>
      <w:r>
        <w:rPr>
          <w:rFonts w:hint="eastAsia" w:ascii="宋体" w:hAnsi="宋体" w:cs="宋体"/>
          <w:kern w:val="0"/>
          <w:highlight w:val="none"/>
        </w:rPr>
        <w:t>日</w:t>
      </w:r>
      <w:r>
        <w:rPr>
          <w:rFonts w:hint="eastAsia" w:ascii="宋体" w:hAnsi="宋体" w:cs="宋体"/>
          <w:kern w:val="0"/>
          <w:highlight w:val="none"/>
          <w:lang w:val="en-US" w:eastAsia="zh-CN"/>
        </w:rPr>
        <w:t>14</w:t>
      </w:r>
      <w:r>
        <w:rPr>
          <w:rFonts w:hint="eastAsia" w:ascii="宋体" w:hAnsi="宋体" w:cs="宋体"/>
          <w:kern w:val="0"/>
          <w:highlight w:val="none"/>
        </w:rPr>
        <w:t>:00 </w:t>
      </w:r>
    </w:p>
    <w:p>
      <w:pPr>
        <w:widowControl/>
        <w:spacing w:line="360" w:lineRule="auto"/>
        <w:rPr>
          <w:rFonts w:ascii="宋体" w:hAnsi="宋体" w:cs="宋体"/>
          <w:kern w:val="0"/>
          <w:highlight w:val="none"/>
        </w:rPr>
      </w:pPr>
      <w:r>
        <w:rPr>
          <w:rFonts w:hint="eastAsia" w:ascii="宋体" w:hAnsi="宋体" w:cs="宋体"/>
          <w:kern w:val="0"/>
          <w:highlight w:val="none"/>
        </w:rPr>
        <w:t>开标地点（网址）：政府采购云平台（www.zcygov.cn）和莲都区招投标中心（浙江省丽水市莲都区莲都区人民路649丽人木业大楼4楼405开标室  ）。</w:t>
      </w:r>
    </w:p>
    <w:p>
      <w:pPr>
        <w:widowControl/>
        <w:spacing w:line="360" w:lineRule="auto"/>
        <w:rPr>
          <w:rFonts w:ascii="宋体" w:hAnsi="宋体" w:cs="宋体"/>
          <w:b/>
          <w:bCs/>
          <w:kern w:val="0"/>
          <w:highlight w:val="none"/>
        </w:rPr>
      </w:pPr>
      <w:r>
        <w:rPr>
          <w:rFonts w:hint="eastAsia" w:ascii="宋体" w:hAnsi="宋体" w:cs="宋体"/>
          <w:b/>
          <w:bCs/>
          <w:kern w:val="0"/>
          <w:highlight w:val="none"/>
        </w:rPr>
        <w:t>五、公告期限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自本公告发布之日起5个工作日。</w:t>
      </w:r>
    </w:p>
    <w:p>
      <w:pPr>
        <w:widowControl/>
        <w:spacing w:line="360" w:lineRule="auto"/>
        <w:rPr>
          <w:rFonts w:ascii="宋体" w:hAnsi="宋体" w:cs="宋体"/>
          <w:b/>
          <w:bCs/>
          <w:kern w:val="0"/>
          <w:highlight w:val="none"/>
        </w:rPr>
      </w:pPr>
      <w:r>
        <w:rPr>
          <w:rFonts w:hint="eastAsia" w:ascii="宋体" w:hAnsi="宋体" w:cs="宋体"/>
          <w:b/>
          <w:bCs/>
          <w:kern w:val="0"/>
          <w:highlight w:val="none"/>
        </w:rPr>
        <w:t>六、其他补充事宜</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4.其他事项：</w:t>
      </w:r>
    </w:p>
    <w:p>
      <w:pPr>
        <w:widowControl/>
        <w:spacing w:line="360" w:lineRule="auto"/>
        <w:ind w:firstLine="420" w:firstLineChars="200"/>
        <w:rPr>
          <w:rFonts w:ascii="宋体" w:hAnsi="宋体" w:cs="宋体"/>
          <w:highlight w:val="none"/>
        </w:rPr>
      </w:pPr>
      <w:r>
        <w:rPr>
          <w:rFonts w:hint="eastAsia" w:ascii="宋体" w:hAnsi="宋体" w:cs="宋体"/>
          <w:kern w:val="0"/>
          <w:highlight w:val="none"/>
        </w:rPr>
        <w:t>4.1</w:t>
      </w:r>
      <w:r>
        <w:rPr>
          <w:rFonts w:hint="eastAsia" w:ascii="宋体" w:hAnsi="宋体" w:cs="宋体"/>
          <w:highlight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本项目投标。</w:t>
      </w:r>
    </w:p>
    <w:p>
      <w:pPr>
        <w:widowControl/>
        <w:spacing w:line="360" w:lineRule="auto"/>
        <w:ind w:firstLine="420" w:firstLineChars="200"/>
        <w:rPr>
          <w:rFonts w:ascii="宋体" w:hAnsi="宋体" w:cs="宋体"/>
          <w:highlight w:val="none"/>
        </w:rPr>
      </w:pPr>
      <w:r>
        <w:rPr>
          <w:rFonts w:hint="eastAsia" w:ascii="宋体" w:hAnsi="宋体" w:cs="宋体"/>
          <w:highlight w:val="none"/>
        </w:rPr>
        <w:t>4.2落实的政策：《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对省级以上主管部门认定的首台套产品，自纳入《省推广应用指导目录》起三年内参加政府采购活动，视同已具备相应销售业绩，业绩分为满分，投标文件中提供相应的证明材料。</w:t>
      </w:r>
    </w:p>
    <w:p>
      <w:pPr>
        <w:widowControl/>
        <w:spacing w:line="360" w:lineRule="auto"/>
        <w:ind w:firstLine="420" w:firstLineChars="200"/>
        <w:rPr>
          <w:rFonts w:ascii="宋体" w:hAnsi="宋体" w:cs="宋体"/>
          <w:b/>
          <w:bCs/>
          <w:kern w:val="0"/>
          <w:highlight w:val="none"/>
        </w:rPr>
      </w:pPr>
      <w:r>
        <w:rPr>
          <w:rFonts w:hint="eastAsia" w:ascii="宋体" w:hAnsi="宋体" w:cs="宋体"/>
          <w:highlight w:val="none"/>
        </w:rPr>
        <w:t>4.3本招标公告中二、申请人的资格要求：第1条中的“重大税收违法案件当事人名单”即为“重大税收违法失信主体”。</w:t>
      </w:r>
    </w:p>
    <w:p>
      <w:pPr>
        <w:widowControl/>
        <w:spacing w:line="360" w:lineRule="auto"/>
        <w:rPr>
          <w:rFonts w:ascii="宋体" w:hAnsi="宋体" w:cs="宋体"/>
          <w:b/>
          <w:bCs/>
          <w:kern w:val="0"/>
          <w:highlight w:val="none"/>
        </w:rPr>
      </w:pPr>
      <w:r>
        <w:rPr>
          <w:rFonts w:hint="eastAsia" w:ascii="宋体" w:hAnsi="宋体" w:cs="宋体"/>
          <w:b/>
          <w:bCs/>
          <w:kern w:val="0"/>
          <w:highlight w:val="none"/>
        </w:rPr>
        <w:t>七、对本次采购提出询问、质疑、投诉，请按以下方式联系</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1.采购人信息 </w:t>
      </w:r>
    </w:p>
    <w:p>
      <w:pPr>
        <w:widowControl/>
        <w:spacing w:line="360" w:lineRule="auto"/>
        <w:ind w:left="420" w:leftChars="200"/>
        <w:rPr>
          <w:rFonts w:hint="eastAsia" w:ascii="宋体" w:hAnsi="宋体" w:eastAsia="宋体" w:cs="宋体"/>
          <w:kern w:val="0"/>
          <w:highlight w:val="none"/>
          <w:lang w:eastAsia="zh-CN"/>
        </w:rPr>
      </w:pPr>
      <w:r>
        <w:rPr>
          <w:rFonts w:hint="eastAsia" w:ascii="宋体" w:hAnsi="宋体" w:cs="宋体"/>
          <w:kern w:val="0"/>
          <w:highlight w:val="none"/>
        </w:rPr>
        <w:t>名称：丽水市</w:t>
      </w:r>
      <w:r>
        <w:rPr>
          <w:rFonts w:hint="eastAsia" w:ascii="宋体" w:hAnsi="宋体" w:cs="宋体"/>
          <w:kern w:val="0"/>
          <w:highlight w:val="none"/>
          <w:lang w:eastAsia="zh-CN"/>
        </w:rPr>
        <w:t>丽水市莲都区人民医院</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 xml:space="preserve">地址：丽水市莲都区碧湖镇大众街16号 </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 xml:space="preserve">传真：/  </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 xml:space="preserve">项目联系人（询问）：陈垚磊  </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项目联系方式（询问）：0578-2056226</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 xml:space="preserve">质疑联系人：高洪波    </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质疑联系方式：0578-2056226</w:t>
      </w:r>
    </w:p>
    <w:p>
      <w:pPr>
        <w:widowControl/>
        <w:spacing w:line="360" w:lineRule="auto"/>
        <w:ind w:left="420" w:leftChars="200"/>
        <w:rPr>
          <w:rFonts w:hint="eastAsia" w:ascii="宋体" w:hAnsi="宋体" w:eastAsia="宋体" w:cs="宋体"/>
          <w:kern w:val="0"/>
          <w:highlight w:val="none"/>
          <w:lang w:eastAsia="zh-CN"/>
        </w:rPr>
      </w:pPr>
      <w:r>
        <w:rPr>
          <w:rFonts w:hint="eastAsia" w:ascii="宋体" w:hAnsi="宋体" w:cs="宋体"/>
          <w:kern w:val="0"/>
          <w:highlight w:val="none"/>
        </w:rPr>
        <w:t xml:space="preserve">    </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2.采购代理机构信息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名称：宁波中基国际招标有限公司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地址：宁波市鄞州区天童南路666号中基大厦19楼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传真：0574-87425386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项目联系人（询问）：任翔、殷悦、单琛耘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项目联系方式（询问）：0578-2381667、0574-88090150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质疑联系人：杨未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质疑联系方式：0574-87425382 　　　　　　　     </w:t>
      </w:r>
    </w:p>
    <w:p>
      <w:pPr>
        <w:widowControl/>
        <w:spacing w:line="360" w:lineRule="auto"/>
        <w:rPr>
          <w:rFonts w:hint="eastAsia" w:ascii="宋体" w:hAnsi="宋体" w:cs="宋体"/>
          <w:kern w:val="0"/>
          <w:highlight w:val="none"/>
        </w:rPr>
      </w:pPr>
    </w:p>
    <w:p>
      <w:pPr>
        <w:widowControl/>
        <w:spacing w:line="360" w:lineRule="auto"/>
        <w:ind w:leftChars="200"/>
        <w:rPr>
          <w:rFonts w:hint="eastAsia" w:ascii="宋体" w:hAnsi="宋体" w:cs="宋体"/>
          <w:kern w:val="0"/>
          <w:highlight w:val="none"/>
        </w:rPr>
      </w:pPr>
      <w:r>
        <w:rPr>
          <w:rFonts w:hint="eastAsia" w:ascii="宋体" w:hAnsi="宋体" w:cs="宋体"/>
          <w:kern w:val="0"/>
          <w:highlight w:val="none"/>
        </w:rPr>
        <w:t xml:space="preserve">3.同级政府采购监督管理部门            </w:t>
      </w:r>
    </w:p>
    <w:p>
      <w:pPr>
        <w:widowControl/>
        <w:spacing w:line="360" w:lineRule="auto"/>
        <w:ind w:leftChars="200"/>
        <w:rPr>
          <w:rFonts w:hint="eastAsia" w:ascii="宋体" w:hAnsi="宋体" w:cs="宋体"/>
          <w:kern w:val="0"/>
          <w:highlight w:val="none"/>
        </w:rPr>
      </w:pPr>
      <w:r>
        <w:rPr>
          <w:rFonts w:hint="eastAsia" w:ascii="宋体" w:hAnsi="宋体" w:cs="宋体"/>
          <w:kern w:val="0"/>
          <w:highlight w:val="none"/>
        </w:rPr>
        <w:t xml:space="preserve">名    称：丽水市莲都区财政局政府采购监管处             </w:t>
      </w:r>
    </w:p>
    <w:p>
      <w:pPr>
        <w:widowControl/>
        <w:spacing w:line="360" w:lineRule="auto"/>
        <w:ind w:leftChars="200"/>
        <w:rPr>
          <w:rFonts w:hint="eastAsia" w:ascii="宋体" w:hAnsi="宋体" w:cs="宋体"/>
          <w:kern w:val="0"/>
          <w:highlight w:val="none"/>
        </w:rPr>
      </w:pPr>
      <w:r>
        <w:rPr>
          <w:rFonts w:hint="eastAsia" w:ascii="宋体" w:hAnsi="宋体" w:cs="宋体"/>
          <w:kern w:val="0"/>
          <w:highlight w:val="none"/>
        </w:rPr>
        <w:t xml:space="preserve">地    址：丽水市解放街71号            </w:t>
      </w:r>
    </w:p>
    <w:p>
      <w:pPr>
        <w:widowControl/>
        <w:spacing w:line="360" w:lineRule="auto"/>
        <w:ind w:leftChars="200"/>
        <w:rPr>
          <w:rFonts w:hint="eastAsia" w:ascii="宋体" w:hAnsi="宋体" w:cs="宋体"/>
          <w:kern w:val="0"/>
          <w:highlight w:val="none"/>
        </w:rPr>
      </w:pPr>
      <w:r>
        <w:rPr>
          <w:rFonts w:hint="eastAsia" w:ascii="宋体" w:hAnsi="宋体" w:cs="宋体"/>
          <w:kern w:val="0"/>
          <w:highlight w:val="none"/>
        </w:rPr>
        <w:t xml:space="preserve">传    真：0578-2131236             </w:t>
      </w:r>
    </w:p>
    <w:p>
      <w:pPr>
        <w:widowControl/>
        <w:spacing w:line="360" w:lineRule="auto"/>
        <w:ind w:leftChars="200"/>
        <w:rPr>
          <w:rFonts w:hint="eastAsia" w:ascii="宋体" w:hAnsi="宋体" w:cs="宋体"/>
          <w:kern w:val="0"/>
          <w:highlight w:val="none"/>
        </w:rPr>
      </w:pPr>
      <w:r>
        <w:rPr>
          <w:rFonts w:hint="eastAsia" w:ascii="宋体" w:hAnsi="宋体" w:cs="宋体"/>
          <w:kern w:val="0"/>
          <w:highlight w:val="none"/>
        </w:rPr>
        <w:t xml:space="preserve">联系人 ：张 鹏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监督投诉电话：0578-2131236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w:t>
      </w:r>
    </w:p>
    <w:p>
      <w:pPr>
        <w:widowControl/>
        <w:spacing w:line="360" w:lineRule="auto"/>
        <w:ind w:firstLine="422" w:firstLineChars="200"/>
        <w:rPr>
          <w:rFonts w:ascii="宋体" w:hAnsi="宋体" w:cs="宋体"/>
          <w:b/>
          <w:bCs/>
          <w:highlight w:val="none"/>
        </w:rPr>
      </w:pPr>
      <w:r>
        <w:rPr>
          <w:rFonts w:hint="eastAsia" w:ascii="宋体" w:hAnsi="宋体" w:cs="宋体"/>
          <w:b/>
          <w:bCs/>
          <w:kern w:val="0"/>
          <w:highlight w:val="none"/>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pStyle w:val="2"/>
        <w:rPr>
          <w:rFonts w:ascii="宋体" w:cs="宋体"/>
          <w:color w:val="auto"/>
          <w:highlight w:val="none"/>
        </w:rPr>
        <w:sectPr>
          <w:pgSz w:w="11906" w:h="16838"/>
          <w:pgMar w:top="1474" w:right="1797" w:bottom="1247" w:left="1797" w:header="851" w:footer="851" w:gutter="0"/>
          <w:cols w:space="720" w:num="1"/>
          <w:docGrid w:type="lines" w:linePitch="312" w:charSpace="0"/>
        </w:sectPr>
      </w:pPr>
    </w:p>
    <w:p>
      <w:pPr>
        <w:pStyle w:val="2"/>
        <w:rPr>
          <w:rFonts w:ascii="宋体" w:cs="宋体"/>
          <w:color w:val="auto"/>
          <w:highlight w:val="none"/>
        </w:rPr>
      </w:pPr>
      <w:bookmarkStart w:id="3" w:name="_Toc115344240"/>
      <w:bookmarkStart w:id="4" w:name="_Toc28324"/>
      <w:bookmarkStart w:id="5" w:name="_Toc115344238"/>
      <w:r>
        <w:rPr>
          <w:rFonts w:hint="eastAsia" w:ascii="宋体" w:cs="宋体"/>
          <w:color w:val="auto"/>
          <w:highlight w:val="none"/>
        </w:rPr>
        <w:t>第二章  投标人须知</w:t>
      </w:r>
      <w:bookmarkEnd w:id="3"/>
    </w:p>
    <w:p>
      <w:pPr>
        <w:snapToGrid w:val="0"/>
        <w:spacing w:before="156" w:beforeLines="50" w:after="156" w:afterLines="50" w:line="360" w:lineRule="auto"/>
        <w:ind w:left="238"/>
        <w:jc w:val="center"/>
        <w:outlineLvl w:val="1"/>
        <w:rPr>
          <w:rFonts w:ascii="宋体" w:hAnsi="宋体" w:cs="宋体"/>
          <w:sz w:val="22"/>
          <w:szCs w:val="22"/>
          <w:highlight w:val="none"/>
        </w:rPr>
      </w:pPr>
      <w:bookmarkStart w:id="6" w:name="_Toc417922226"/>
      <w:bookmarkStart w:id="7" w:name="_Toc115344241"/>
      <w:bookmarkStart w:id="8" w:name="_Toc105619112"/>
      <w:bookmarkStart w:id="9" w:name="_Toc4833"/>
      <w:bookmarkStart w:id="10" w:name="_Toc47388318"/>
      <w:bookmarkStart w:id="11" w:name="_Toc1465"/>
      <w:r>
        <w:rPr>
          <w:rFonts w:hint="eastAsia" w:ascii="宋体" w:hAnsi="宋体" w:cs="宋体"/>
          <w:sz w:val="22"/>
          <w:szCs w:val="22"/>
          <w:highlight w:val="none"/>
        </w:rPr>
        <w:t>前附表</w:t>
      </w:r>
      <w:bookmarkEnd w:id="6"/>
      <w:bookmarkEnd w:id="7"/>
      <w:bookmarkEnd w:id="8"/>
      <w:bookmarkEnd w:id="9"/>
      <w:bookmarkEnd w:id="10"/>
      <w:bookmarkEnd w:id="11"/>
    </w:p>
    <w:tbl>
      <w:tblPr>
        <w:tblStyle w:val="48"/>
        <w:tblW w:w="924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序号</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highlight w:val="none"/>
              </w:rPr>
            </w:pPr>
            <w:r>
              <w:rPr>
                <w:rFonts w:hint="eastAsia" w:ascii="宋体" w:hAnsi="宋体" w:eastAsia="宋体" w:cs="宋体"/>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1</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highlight w:val="none"/>
              </w:rPr>
            </w:pPr>
            <w:r>
              <w:rPr>
                <w:rFonts w:hint="eastAsia" w:ascii="宋体" w:hAnsi="宋体" w:eastAsia="宋体" w:cs="宋体"/>
                <w:highlight w:val="none"/>
              </w:rPr>
              <w:t>项目名称：</w:t>
            </w:r>
            <w:r>
              <w:rPr>
                <w:rFonts w:hint="eastAsia" w:ascii="宋体" w:hAnsi="宋体" w:cs="宋体"/>
                <w:highlight w:val="none"/>
                <w:lang w:eastAsia="zh-CN"/>
              </w:rPr>
              <w:t>丽水市莲都区人民医院血液透析中心设备、彩色多普勒超声诊断仪及全自动快速发药机采购项目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★2</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b/>
                <w:bCs/>
                <w:sz w:val="21"/>
                <w:szCs w:val="21"/>
                <w:highlight w:val="none"/>
              </w:rPr>
            </w:pPr>
            <w:r>
              <w:rPr>
                <w:rFonts w:hint="eastAsia" w:ascii="宋体" w:hAnsi="宋体" w:eastAsia="宋体" w:cs="宋体"/>
                <w:b/>
                <w:bCs/>
                <w:highlight w:val="none"/>
              </w:rPr>
              <w:t>投</w:t>
            </w:r>
            <w:r>
              <w:rPr>
                <w:rFonts w:hint="eastAsia" w:ascii="宋体" w:hAnsi="宋体" w:eastAsia="宋体" w:cs="宋体"/>
                <w:b/>
                <w:bCs/>
                <w:sz w:val="21"/>
                <w:szCs w:val="21"/>
                <w:highlight w:val="none"/>
              </w:rPr>
              <w:t>标报价及费用：</w:t>
            </w:r>
          </w:p>
          <w:p>
            <w:pPr>
              <w:overflowPunct w:val="0"/>
              <w:spacing w:line="360" w:lineRule="auto"/>
              <w:ind w:left="63" w:leftChars="1" w:hanging="61" w:hangingChars="2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1、投标报价是履行合同的最终价格，应包括设备价、安装调试、系统集成、货物运至项目现场的运输费、保险费、培训费、售后服务、利润、税金等一切与本次采购相关的费用。</w:t>
            </w:r>
          </w:p>
          <w:p>
            <w:pPr>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本项目预算金额/最高限价：详见第一章公开招标采购公告</w:t>
            </w:r>
            <w:r>
              <w:rPr>
                <w:rFonts w:hint="eastAsia" w:ascii="宋体" w:hAnsi="宋体" w:cs="宋体"/>
                <w:b/>
                <w:bCs/>
                <w:sz w:val="21"/>
                <w:szCs w:val="21"/>
                <w:highlight w:val="none"/>
                <w:lang w:val="en-US" w:eastAsia="zh-CN"/>
              </w:rPr>
              <w:t>及第四章招标需求一、技术需求中</w:t>
            </w:r>
            <w:r>
              <w:rPr>
                <w:rFonts w:hint="eastAsia" w:ascii="宋体" w:hAnsi="宋体" w:eastAsia="宋体" w:cs="宋体"/>
                <w:b/>
                <w:bCs/>
                <w:sz w:val="21"/>
                <w:szCs w:val="21"/>
                <w:highlight w:val="none"/>
                <w:lang w:val="en-US" w:eastAsia="zh-CN"/>
              </w:rPr>
              <w:t>血液透析中心设备清单</w:t>
            </w:r>
            <w:r>
              <w:rPr>
                <w:rFonts w:hint="eastAsia" w:ascii="宋体" w:hAnsi="宋体" w:eastAsia="宋体" w:cs="宋体"/>
                <w:b/>
                <w:bCs/>
                <w:sz w:val="21"/>
                <w:szCs w:val="21"/>
                <w:highlight w:val="none"/>
              </w:rPr>
              <w:t>。投标报价超过预算金额或最高限价的作无效标处理。</w:t>
            </w:r>
          </w:p>
          <w:p>
            <w:pPr>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2、不论投标结果如何，投标人均应自行承担所有与投标有关的全部费用；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★、中标服务费的收取标准：</w:t>
            </w:r>
          </w:p>
          <w:p>
            <w:pPr>
              <w:pStyle w:val="21"/>
              <w:spacing w:line="360" w:lineRule="auto"/>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参照下表中的货物收费标准，采用差额定率累进法按照中标通知书确定的中标总金额，向中标人收取招标服务费。</w:t>
            </w:r>
          </w:p>
          <w:p>
            <w:pPr>
              <w:rPr>
                <w:rFonts w:hint="eastAsia" w:ascii="宋体" w:hAnsi="宋体" w:eastAsia="宋体" w:cs="宋体"/>
                <w:highlight w:val="none"/>
              </w:rPr>
            </w:pPr>
            <w:r>
              <w:rPr>
                <w:rFonts w:hint="eastAsia" w:ascii="宋体" w:hAnsi="宋体" w:eastAsia="宋体" w:cs="宋体"/>
                <w:color w:val="auto"/>
                <w:highlight w:val="none"/>
              </w:rPr>
              <w:drawing>
                <wp:inline distT="0" distB="0" distL="0" distR="0">
                  <wp:extent cx="4050665" cy="2076450"/>
                  <wp:effectExtent l="0" t="0" r="6985" b="0"/>
                  <wp:docPr id="5" name="图片 5" descr="C:\Users\ADMINI~1\AppData\Local\Temp\ksohtml2228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22284\wp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051113" cy="2076450"/>
                          </a:xfrm>
                          <a:prstGeom prst="rect">
                            <a:avLst/>
                          </a:prstGeom>
                          <a:noFill/>
                          <a:ln>
                            <a:noFill/>
                          </a:ln>
                        </pic:spPr>
                      </pic:pic>
                    </a:graphicData>
                  </a:graphic>
                </wp:inline>
              </w:drawing>
            </w:r>
          </w:p>
          <w:p>
            <w:pPr>
              <w:spacing w:line="360" w:lineRule="auto"/>
              <w:rPr>
                <w:rFonts w:hint="eastAsia" w:ascii="宋体" w:hAnsi="宋体" w:eastAsia="宋体" w:cs="宋体"/>
                <w:highlight w:val="none"/>
              </w:rPr>
            </w:pPr>
            <w:r>
              <w:rPr>
                <w:rFonts w:hint="eastAsia" w:ascii="宋体" w:hAnsi="宋体" w:eastAsia="宋体" w:cs="宋体"/>
                <w:highlight w:val="none"/>
              </w:rPr>
              <w:t>（2）中标人接到本公司通知后5个工作日内向本招标公司支付中标服务费。</w:t>
            </w:r>
          </w:p>
          <w:p>
            <w:pPr>
              <w:spacing w:line="360" w:lineRule="auto"/>
              <w:rPr>
                <w:rFonts w:hint="eastAsia" w:ascii="宋体" w:hAnsi="宋体" w:eastAsia="宋体" w:cs="宋体"/>
                <w:highlight w:val="none"/>
              </w:rPr>
            </w:pPr>
            <w:r>
              <w:rPr>
                <w:rFonts w:hint="eastAsia" w:ascii="宋体" w:hAnsi="宋体" w:eastAsia="宋体" w:cs="宋体"/>
                <w:highlight w:val="none"/>
              </w:rPr>
              <w:t>（3）中标服务费只收现金、银行票汇款、电汇款。</w:t>
            </w:r>
          </w:p>
          <w:p>
            <w:pPr>
              <w:spacing w:line="360" w:lineRule="auto"/>
              <w:rPr>
                <w:rFonts w:hint="eastAsia" w:ascii="宋体" w:hAnsi="宋体" w:eastAsia="宋体" w:cs="宋体"/>
                <w:highlight w:val="none"/>
              </w:rPr>
            </w:pPr>
            <w:r>
              <w:rPr>
                <w:rFonts w:hint="eastAsia" w:ascii="宋体" w:hAnsi="宋体" w:eastAsia="宋体" w:cs="宋体"/>
                <w:highlight w:val="none"/>
              </w:rPr>
              <w:t>（4）中标服务费均汇入以下账户：</w:t>
            </w:r>
          </w:p>
          <w:p>
            <w:pPr>
              <w:spacing w:line="360" w:lineRule="auto"/>
              <w:rPr>
                <w:rFonts w:hint="eastAsia" w:ascii="宋体" w:hAnsi="宋体" w:eastAsia="宋体" w:cs="宋体"/>
                <w:highlight w:val="none"/>
              </w:rPr>
            </w:pPr>
            <w:r>
              <w:rPr>
                <w:rFonts w:hint="eastAsia" w:ascii="宋体" w:hAnsi="宋体" w:eastAsia="宋体" w:cs="宋体"/>
                <w:highlight w:val="none"/>
              </w:rPr>
              <w:t>开户银行：宁波银行丽水分行</w:t>
            </w:r>
          </w:p>
          <w:p>
            <w:pPr>
              <w:spacing w:line="360" w:lineRule="auto"/>
              <w:rPr>
                <w:rFonts w:hint="eastAsia" w:ascii="宋体" w:hAnsi="宋体" w:eastAsia="宋体" w:cs="宋体"/>
                <w:highlight w:val="none"/>
              </w:rPr>
            </w:pPr>
            <w:r>
              <w:rPr>
                <w:rFonts w:hint="eastAsia" w:ascii="宋体" w:hAnsi="宋体" w:eastAsia="宋体" w:cs="宋体"/>
                <w:highlight w:val="none"/>
              </w:rPr>
              <w:t>帐号：90010122000220378</w:t>
            </w:r>
          </w:p>
          <w:p>
            <w:pPr>
              <w:spacing w:line="360" w:lineRule="auto"/>
              <w:rPr>
                <w:rFonts w:hint="eastAsia" w:ascii="宋体" w:hAnsi="宋体" w:eastAsia="宋体" w:cs="宋体"/>
                <w:highlight w:val="none"/>
              </w:rPr>
            </w:pPr>
            <w:r>
              <w:rPr>
                <w:rFonts w:hint="eastAsia" w:ascii="宋体" w:hAnsi="宋体" w:eastAsia="宋体" w:cs="宋体"/>
                <w:highlight w:val="none"/>
              </w:rPr>
              <w:t>户名：宁波中基国际招标有限公司丽水分公司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★3</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b/>
                <w:bCs/>
                <w:highlight w:val="none"/>
                <w:lang w:eastAsia="zh-CN"/>
              </w:rPr>
            </w:pPr>
            <w:r>
              <w:rPr>
                <w:rFonts w:hint="eastAsia" w:ascii="宋体" w:hAnsi="宋体" w:eastAsia="宋体" w:cs="宋体"/>
                <w:highlight w:val="none"/>
              </w:rPr>
              <w:t>投标保证金：无</w:t>
            </w:r>
            <w:r>
              <w:rPr>
                <w:rFonts w:hint="eastAsia" w:ascii="宋体" w:hAnsi="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4</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highlight w:val="none"/>
              </w:rPr>
            </w:pPr>
            <w:r>
              <w:rPr>
                <w:rFonts w:hint="eastAsia" w:ascii="宋体" w:hAnsi="宋体" w:eastAsia="宋体" w:cs="宋体"/>
                <w:highlight w:val="none"/>
              </w:rPr>
              <w:t>现场踏勘：本项目不组织统一踏勘，投标人可自行前往现场踏勘，费用自理。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5</w:t>
            </w:r>
          </w:p>
        </w:tc>
        <w:tc>
          <w:tcPr>
            <w:tcW w:w="8371" w:type="dxa"/>
            <w:tcBorders>
              <w:top w:val="single" w:color="auto" w:sz="4" w:space="0"/>
              <w:left w:val="single" w:color="auto" w:sz="4" w:space="0"/>
              <w:bottom w:val="single" w:color="auto" w:sz="4" w:space="0"/>
            </w:tcBorders>
            <w:vAlign w:val="center"/>
          </w:tcPr>
          <w:p>
            <w:pPr>
              <w:snapToGrid w:val="0"/>
              <w:spacing w:line="360" w:lineRule="auto"/>
              <w:rPr>
                <w:rFonts w:hint="eastAsia" w:ascii="宋体" w:hAnsi="宋体" w:eastAsia="宋体" w:cs="宋体"/>
                <w:highlight w:val="none"/>
              </w:rPr>
            </w:pPr>
            <w:r>
              <w:rPr>
                <w:rFonts w:hint="eastAsia" w:ascii="宋体" w:hAnsi="宋体" w:eastAsia="宋体" w:cs="宋体"/>
                <w:highlight w:val="none"/>
              </w:rPr>
              <w:t>投标文件组成：本项目实行网上投标，供应商应准备以下投标文件：</w:t>
            </w:r>
          </w:p>
          <w:p>
            <w:pPr>
              <w:snapToGrid w:val="0"/>
              <w:spacing w:line="360" w:lineRule="auto"/>
              <w:rPr>
                <w:rFonts w:hint="eastAsia" w:ascii="宋体" w:hAnsi="宋体" w:eastAsia="宋体" w:cs="宋体"/>
                <w:highlight w:val="none"/>
              </w:rPr>
            </w:pPr>
            <w:r>
              <w:rPr>
                <w:rFonts w:hint="eastAsia" w:ascii="宋体" w:hAnsi="宋体" w:eastAsia="宋体" w:cs="宋体"/>
                <w:highlight w:val="none"/>
              </w:rPr>
              <w:t>（1）供应商于“政采云”上提供电子投标文件。</w:t>
            </w:r>
          </w:p>
          <w:p>
            <w:pPr>
              <w:snapToGrid w:val="0"/>
              <w:spacing w:line="360" w:lineRule="auto"/>
              <w:rPr>
                <w:rFonts w:hint="eastAsia" w:ascii="宋体" w:hAnsi="宋体" w:eastAsia="宋体" w:cs="宋体"/>
                <w:highlight w:val="none"/>
              </w:rPr>
            </w:pPr>
            <w:r>
              <w:rPr>
                <w:rFonts w:hint="eastAsia" w:ascii="宋体" w:hAnsi="宋体" w:eastAsia="宋体" w:cs="宋体"/>
                <w:highlight w:val="none"/>
              </w:rPr>
              <w:t>（2）以电子邮件提供的备份电子投标文件数量1份。（自行决定，非必须要求）</w:t>
            </w:r>
          </w:p>
          <w:p>
            <w:pPr>
              <w:snapToGrid w:val="0"/>
              <w:spacing w:line="360" w:lineRule="auto"/>
              <w:rPr>
                <w:rFonts w:hint="eastAsia" w:ascii="宋体" w:hAnsi="宋体" w:eastAsia="宋体" w:cs="宋体"/>
                <w:highlight w:val="none"/>
              </w:rPr>
            </w:pPr>
            <w:r>
              <w:rPr>
                <w:rFonts w:hint="eastAsia" w:ascii="宋体" w:hAnsi="宋体" w:eastAsia="宋体" w:cs="宋体"/>
                <w:highlight w:val="none"/>
              </w:rPr>
              <w:t>备份投标文件是否提交由投标人自行决定，如不提交的，当电子投标文件无法解密时，将导致无备份投标文件而失去投标资格。如提交备份投标文件的，应在投标截止时间前将最后生成的具有电子签章的备份投标文件通过电子邮件方式传送至代理机构邮箱（4893224@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6</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highlight w:val="none"/>
                <w:lang w:eastAsia="zh-CN"/>
              </w:rPr>
            </w:pPr>
            <w:r>
              <w:rPr>
                <w:rFonts w:hint="eastAsia" w:ascii="宋体" w:hAnsi="宋体" w:eastAsia="宋体" w:cs="宋体"/>
                <w:highlight w:val="none"/>
              </w:rPr>
              <w:t>投标截止时间及地点：详见第一章</w:t>
            </w:r>
            <w:r>
              <w:rPr>
                <w:rFonts w:hint="eastAsia" w:ascii="宋体" w:hAnsi="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7</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highlight w:val="none"/>
                <w:lang w:eastAsia="zh-CN"/>
              </w:rPr>
            </w:pPr>
            <w:r>
              <w:rPr>
                <w:rFonts w:hint="eastAsia" w:ascii="宋体" w:hAnsi="宋体" w:eastAsia="宋体" w:cs="宋体"/>
                <w:highlight w:val="none"/>
              </w:rPr>
              <w:t>开标时间及地点：详见第一章</w:t>
            </w:r>
            <w:r>
              <w:rPr>
                <w:rFonts w:hint="eastAsia" w:ascii="宋体" w:hAnsi="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8</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highlight w:val="none"/>
                <w:lang w:eastAsia="zh-CN"/>
              </w:rPr>
            </w:pPr>
            <w:r>
              <w:rPr>
                <w:rFonts w:hint="eastAsia" w:ascii="宋体" w:hAnsi="宋体" w:eastAsia="宋体" w:cs="宋体"/>
                <w:highlight w:val="none"/>
              </w:rPr>
              <w:t>评标办法及评分标准：详见第五章</w:t>
            </w:r>
            <w:r>
              <w:rPr>
                <w:rFonts w:hint="eastAsia" w:ascii="宋体" w:hAnsi="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9</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highlight w:val="none"/>
                <w:lang w:eastAsia="zh-CN"/>
              </w:rPr>
            </w:pPr>
            <w:r>
              <w:rPr>
                <w:rFonts w:hint="eastAsia" w:ascii="宋体" w:hAnsi="宋体" w:eastAsia="宋体" w:cs="宋体"/>
                <w:highlight w:val="none"/>
              </w:rPr>
              <w:t>评标结果公示：评标结束后，评标结果公示于浙江省政府采购网，宁波中基国际招标有限公司网站</w:t>
            </w:r>
            <w:r>
              <w:rPr>
                <w:rFonts w:hint="eastAsia" w:ascii="宋体" w:hAnsi="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10</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highlight w:val="none"/>
                <w:lang w:eastAsia="zh-CN"/>
              </w:rPr>
            </w:pPr>
            <w:r>
              <w:rPr>
                <w:rFonts w:hint="eastAsia" w:ascii="宋体" w:hAnsi="宋体" w:eastAsia="宋体" w:cs="宋体"/>
                <w:highlight w:val="none"/>
              </w:rPr>
              <w:t>签订合同时间：中标通知书发出后30日内</w:t>
            </w:r>
            <w:r>
              <w:rPr>
                <w:rFonts w:hint="eastAsia" w:ascii="宋体" w:hAnsi="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11</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highlight w:val="none"/>
                <w:lang w:eastAsia="zh-CN"/>
              </w:rPr>
            </w:pPr>
            <w:r>
              <w:rPr>
                <w:rFonts w:hint="eastAsia" w:ascii="宋体" w:hAnsi="宋体" w:eastAsia="宋体" w:cs="宋体"/>
                <w:highlight w:val="none"/>
              </w:rPr>
              <w:t>履约保证金金额：不适用</w:t>
            </w:r>
            <w:r>
              <w:rPr>
                <w:rFonts w:hint="eastAsia" w:ascii="宋体" w:hAnsi="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★12</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highlight w:val="none"/>
              </w:rPr>
            </w:pPr>
            <w:r>
              <w:rPr>
                <w:rFonts w:hint="eastAsia" w:ascii="宋体" w:hAnsi="宋体" w:eastAsia="宋体" w:cs="宋体"/>
                <w:highlight w:val="none"/>
              </w:rPr>
              <w:t>投标文件有效期：自投标截止日起90天。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13</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highlight w:val="none"/>
              </w:rPr>
            </w:pPr>
            <w:r>
              <w:rPr>
                <w:rFonts w:hint="eastAsia" w:ascii="宋体" w:hAnsi="宋体" w:eastAsia="宋体" w:cs="宋体"/>
                <w:highlight w:val="none"/>
              </w:rPr>
              <w:t>解释：本招标文件的解释权属于招标采购单位。</w:t>
            </w:r>
          </w:p>
        </w:tc>
      </w:tr>
    </w:tbl>
    <w:p>
      <w:pPr>
        <w:pStyle w:val="26"/>
        <w:snapToGrid w:val="0"/>
        <w:spacing w:beforeLines="0" w:afterLines="0" w:line="360" w:lineRule="auto"/>
        <w:rPr>
          <w:rFonts w:hAnsi="宋体"/>
          <w:b/>
          <w:bCs/>
          <w:sz w:val="21"/>
          <w:szCs w:val="21"/>
          <w:highlight w:val="none"/>
        </w:rPr>
      </w:pPr>
      <w:r>
        <w:rPr>
          <w:rFonts w:hint="eastAsia" w:hAnsi="宋体"/>
          <w:highlight w:val="none"/>
        </w:rPr>
        <w:br w:type="page"/>
      </w:r>
      <w:r>
        <w:rPr>
          <w:rFonts w:hint="eastAsia" w:hAnsi="宋体"/>
          <w:b/>
          <w:bCs/>
          <w:sz w:val="21"/>
          <w:szCs w:val="21"/>
          <w:highlight w:val="none"/>
        </w:rPr>
        <w:t>一   总  则</w:t>
      </w:r>
    </w:p>
    <w:p>
      <w:pPr>
        <w:snapToGrid w:val="0"/>
        <w:spacing w:line="360" w:lineRule="auto"/>
        <w:ind w:firstLine="413" w:firstLineChars="196"/>
        <w:jc w:val="left"/>
        <w:outlineLvl w:val="1"/>
        <w:rPr>
          <w:rFonts w:ascii="宋体" w:hAnsi="宋体" w:cs="宋体"/>
          <w:b/>
          <w:bCs/>
          <w:highlight w:val="none"/>
        </w:rPr>
      </w:pPr>
      <w:bookmarkStart w:id="12" w:name="_Toc47388319"/>
      <w:bookmarkStart w:id="13" w:name="_Toc609"/>
      <w:bookmarkStart w:id="14" w:name="_Toc105619113"/>
      <w:bookmarkStart w:id="15" w:name="_Toc417922227"/>
      <w:bookmarkStart w:id="16" w:name="_Toc1812"/>
      <w:bookmarkStart w:id="17" w:name="_Toc115344243"/>
      <w:r>
        <w:rPr>
          <w:rFonts w:hint="eastAsia" w:ascii="宋体" w:hAnsi="宋体" w:cs="宋体"/>
          <w:b/>
          <w:bCs/>
          <w:highlight w:val="none"/>
        </w:rPr>
        <w:t>（一） 适用范围</w:t>
      </w:r>
      <w:bookmarkEnd w:id="12"/>
      <w:bookmarkEnd w:id="13"/>
      <w:bookmarkEnd w:id="14"/>
      <w:bookmarkEnd w:id="15"/>
      <w:bookmarkEnd w:id="16"/>
      <w:bookmarkEnd w:id="17"/>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本招标文件适用于</w:t>
      </w:r>
      <w:r>
        <w:rPr>
          <w:rFonts w:hint="eastAsia" w:ascii="宋体" w:hAnsi="宋体" w:cs="宋体"/>
          <w:highlight w:val="none"/>
          <w:lang w:eastAsia="zh-CN"/>
        </w:rPr>
        <w:t>丽水市莲都区人民医院血液透析中心设备、彩色多普勒超声诊断仪及全自动快速发药机采购项目</w:t>
      </w:r>
      <w:r>
        <w:rPr>
          <w:rFonts w:hint="eastAsia" w:ascii="宋体" w:hAnsi="宋体" w:cs="宋体"/>
          <w:highlight w:val="none"/>
        </w:rPr>
        <w:t>的招标、投标、评标、定标、验收、合同履约、付款等行为（法律、法规另有规定的，从其规定）。</w:t>
      </w:r>
    </w:p>
    <w:p>
      <w:pPr>
        <w:snapToGrid w:val="0"/>
        <w:spacing w:before="156" w:beforeLines="50" w:line="360" w:lineRule="auto"/>
        <w:ind w:firstLine="310" w:firstLineChars="147"/>
        <w:jc w:val="left"/>
        <w:outlineLvl w:val="1"/>
        <w:rPr>
          <w:rFonts w:ascii="宋体" w:hAnsi="宋体" w:cs="宋体"/>
          <w:b/>
          <w:bCs/>
          <w:highlight w:val="none"/>
        </w:rPr>
      </w:pPr>
      <w:bookmarkStart w:id="18" w:name="_Toc47388320"/>
      <w:bookmarkStart w:id="19" w:name="_Toc24971"/>
      <w:bookmarkStart w:id="20" w:name="_Toc20785"/>
      <w:bookmarkStart w:id="21" w:name="_Toc417922228"/>
      <w:bookmarkStart w:id="22" w:name="_Toc105619114"/>
      <w:bookmarkStart w:id="23" w:name="_Toc115344244"/>
      <w:r>
        <w:rPr>
          <w:rFonts w:hint="eastAsia" w:ascii="宋体" w:hAnsi="宋体" w:cs="宋体"/>
          <w:b/>
          <w:bCs/>
          <w:highlight w:val="none"/>
        </w:rPr>
        <w:t>（二）定义</w:t>
      </w:r>
      <w:bookmarkEnd w:id="18"/>
      <w:bookmarkEnd w:id="19"/>
      <w:bookmarkEnd w:id="20"/>
      <w:bookmarkEnd w:id="21"/>
      <w:bookmarkEnd w:id="22"/>
      <w:bookmarkEnd w:id="23"/>
    </w:p>
    <w:p>
      <w:pPr>
        <w:snapToGrid w:val="0"/>
        <w:spacing w:before="156" w:beforeLines="50" w:line="360" w:lineRule="auto"/>
        <w:ind w:firstLine="411" w:firstLineChars="196"/>
        <w:jc w:val="left"/>
        <w:outlineLvl w:val="1"/>
        <w:rPr>
          <w:rFonts w:ascii="宋体" w:hAnsi="宋体" w:cs="宋体"/>
          <w:highlight w:val="none"/>
        </w:rPr>
      </w:pPr>
      <w:bookmarkStart w:id="24" w:name="_Toc31362"/>
      <w:bookmarkStart w:id="25" w:name="_Toc20896"/>
      <w:bookmarkStart w:id="26" w:name="_Toc105619115"/>
      <w:bookmarkStart w:id="27" w:name="_Toc47388321"/>
      <w:bookmarkStart w:id="28" w:name="_Toc115344245"/>
      <w:bookmarkStart w:id="29" w:name="_Toc417922229"/>
      <w:r>
        <w:rPr>
          <w:rFonts w:hint="eastAsia" w:ascii="宋体" w:hAnsi="宋体" w:cs="宋体"/>
          <w:highlight w:val="none"/>
        </w:rPr>
        <w:t>1. 招标采购单位系指组织本次招标的代理机构和采购单位。</w:t>
      </w:r>
      <w:bookmarkEnd w:id="24"/>
      <w:bookmarkEnd w:id="25"/>
      <w:bookmarkEnd w:id="26"/>
      <w:bookmarkEnd w:id="27"/>
      <w:bookmarkEnd w:id="28"/>
    </w:p>
    <w:p>
      <w:pPr>
        <w:snapToGrid w:val="0"/>
        <w:spacing w:before="156" w:beforeLines="50" w:line="360" w:lineRule="auto"/>
        <w:ind w:firstLine="411" w:firstLineChars="196"/>
        <w:jc w:val="left"/>
        <w:outlineLvl w:val="1"/>
        <w:rPr>
          <w:rFonts w:ascii="宋体" w:hAnsi="宋体" w:cs="宋体"/>
          <w:highlight w:val="none"/>
        </w:rPr>
      </w:pPr>
      <w:bookmarkStart w:id="30" w:name="_Toc115344246"/>
      <w:bookmarkStart w:id="31" w:name="_Toc30830"/>
      <w:bookmarkStart w:id="32" w:name="_Toc3566"/>
      <w:bookmarkStart w:id="33" w:name="_Toc47388322"/>
      <w:bookmarkStart w:id="34" w:name="_Toc105619116"/>
      <w:r>
        <w:rPr>
          <w:rFonts w:hint="eastAsia" w:ascii="宋体" w:hAnsi="宋体" w:cs="宋体"/>
          <w:highlight w:val="none"/>
        </w:rPr>
        <w:t>2.“投标人”系指向招标方提交投标文件的单位。</w:t>
      </w:r>
      <w:bookmarkEnd w:id="30"/>
      <w:bookmarkEnd w:id="31"/>
      <w:bookmarkEnd w:id="32"/>
      <w:bookmarkEnd w:id="33"/>
      <w:bookmarkEnd w:id="34"/>
    </w:p>
    <w:p>
      <w:pPr>
        <w:snapToGrid w:val="0"/>
        <w:spacing w:before="156" w:beforeLines="50" w:line="360" w:lineRule="auto"/>
        <w:ind w:firstLine="411" w:firstLineChars="196"/>
        <w:jc w:val="left"/>
        <w:outlineLvl w:val="1"/>
        <w:rPr>
          <w:rFonts w:ascii="宋体" w:hAnsi="宋体" w:cs="宋体"/>
          <w:highlight w:val="none"/>
        </w:rPr>
      </w:pPr>
      <w:bookmarkStart w:id="35" w:name="_Toc47388323"/>
      <w:bookmarkStart w:id="36" w:name="_Toc29602"/>
      <w:bookmarkStart w:id="37" w:name="_Toc32350"/>
      <w:bookmarkStart w:id="38" w:name="_Toc115344247"/>
      <w:bookmarkStart w:id="39" w:name="_Toc105619117"/>
      <w:r>
        <w:rPr>
          <w:rFonts w:hint="eastAsia" w:ascii="宋体" w:hAnsi="宋体" w:cs="宋体"/>
          <w:highlight w:val="none"/>
        </w:rPr>
        <w:t>3.“服务”系指招标文件规定投标人须承担的服务。</w:t>
      </w:r>
      <w:bookmarkEnd w:id="35"/>
      <w:bookmarkEnd w:id="36"/>
      <w:bookmarkEnd w:id="37"/>
      <w:bookmarkEnd w:id="38"/>
      <w:bookmarkEnd w:id="39"/>
    </w:p>
    <w:p>
      <w:pPr>
        <w:snapToGrid w:val="0"/>
        <w:spacing w:before="156" w:beforeLines="50" w:line="360" w:lineRule="auto"/>
        <w:ind w:firstLine="411" w:firstLineChars="196"/>
        <w:jc w:val="left"/>
        <w:outlineLvl w:val="1"/>
        <w:rPr>
          <w:rFonts w:ascii="宋体" w:hAnsi="宋体" w:cs="宋体"/>
          <w:highlight w:val="none"/>
        </w:rPr>
      </w:pPr>
      <w:bookmarkStart w:id="40" w:name="_Toc47388324"/>
      <w:bookmarkStart w:id="41" w:name="_Toc115344248"/>
      <w:bookmarkStart w:id="42" w:name="_Toc29129"/>
      <w:bookmarkStart w:id="43" w:name="_Toc105619118"/>
      <w:bookmarkStart w:id="44" w:name="_Toc25972"/>
      <w:r>
        <w:rPr>
          <w:rFonts w:hint="eastAsia" w:ascii="宋体" w:hAnsi="宋体" w:cs="宋体"/>
          <w:highlight w:val="none"/>
        </w:rPr>
        <w:t>4.“项目”系指投标人按招标文件规定向采购人提供的</w:t>
      </w:r>
      <w:r>
        <w:rPr>
          <w:rFonts w:hint="eastAsia" w:ascii="宋体" w:hAnsi="宋体" w:cs="宋体"/>
          <w:highlight w:val="none"/>
          <w:lang w:val="en-US" w:eastAsia="zh-CN"/>
        </w:rPr>
        <w:t>货物和</w:t>
      </w:r>
      <w:r>
        <w:rPr>
          <w:rFonts w:hint="eastAsia" w:ascii="宋体" w:hAnsi="宋体" w:cs="宋体"/>
          <w:highlight w:val="none"/>
        </w:rPr>
        <w:t>服务。</w:t>
      </w:r>
      <w:bookmarkEnd w:id="40"/>
      <w:bookmarkEnd w:id="41"/>
      <w:bookmarkEnd w:id="42"/>
      <w:bookmarkEnd w:id="43"/>
      <w:bookmarkEnd w:id="44"/>
    </w:p>
    <w:p>
      <w:pPr>
        <w:snapToGrid w:val="0"/>
        <w:spacing w:before="156" w:beforeLines="50" w:line="360" w:lineRule="auto"/>
        <w:ind w:firstLine="411" w:firstLineChars="196"/>
        <w:jc w:val="left"/>
        <w:outlineLvl w:val="1"/>
        <w:rPr>
          <w:rFonts w:ascii="宋体" w:hAnsi="宋体" w:cs="宋体"/>
          <w:highlight w:val="none"/>
        </w:rPr>
      </w:pPr>
      <w:bookmarkStart w:id="45" w:name="_Toc31744"/>
      <w:bookmarkStart w:id="46" w:name="_Toc47388325"/>
      <w:bookmarkStart w:id="47" w:name="_Toc105619119"/>
      <w:bookmarkStart w:id="48" w:name="_Toc19893"/>
      <w:bookmarkStart w:id="49" w:name="_Toc115344249"/>
      <w:r>
        <w:rPr>
          <w:rFonts w:hint="eastAsia" w:ascii="宋体" w:hAnsi="宋体" w:cs="宋体"/>
          <w:highlight w:val="none"/>
        </w:rPr>
        <w:t>5.“书面形式”包括信函、传真、电报等。</w:t>
      </w:r>
      <w:bookmarkEnd w:id="45"/>
      <w:bookmarkEnd w:id="46"/>
      <w:bookmarkEnd w:id="47"/>
      <w:bookmarkEnd w:id="48"/>
      <w:bookmarkEnd w:id="49"/>
    </w:p>
    <w:p>
      <w:pPr>
        <w:snapToGrid w:val="0"/>
        <w:spacing w:before="156" w:beforeLines="50" w:line="360" w:lineRule="auto"/>
        <w:ind w:firstLine="411" w:firstLineChars="196"/>
        <w:jc w:val="left"/>
        <w:outlineLvl w:val="1"/>
        <w:rPr>
          <w:rFonts w:ascii="宋体" w:hAnsi="宋体" w:cs="宋体"/>
          <w:highlight w:val="none"/>
        </w:rPr>
      </w:pPr>
      <w:bookmarkStart w:id="50" w:name="_Toc115344250"/>
      <w:bookmarkStart w:id="51" w:name="_Toc25560"/>
      <w:bookmarkStart w:id="52" w:name="_Toc22539"/>
      <w:bookmarkStart w:id="53" w:name="_Toc105619120"/>
      <w:bookmarkStart w:id="54" w:name="_Toc47388326"/>
      <w:r>
        <w:rPr>
          <w:rFonts w:hint="eastAsia" w:ascii="宋体" w:hAnsi="宋体" w:cs="宋体"/>
          <w:highlight w:val="none"/>
        </w:rPr>
        <w:t>6. “★”系指实质性要求条款。</w:t>
      </w:r>
      <w:bookmarkEnd w:id="50"/>
      <w:bookmarkEnd w:id="51"/>
      <w:bookmarkEnd w:id="52"/>
      <w:bookmarkEnd w:id="53"/>
      <w:bookmarkEnd w:id="54"/>
    </w:p>
    <w:p>
      <w:pPr>
        <w:snapToGrid w:val="0"/>
        <w:spacing w:before="156" w:beforeLines="50" w:line="360" w:lineRule="auto"/>
        <w:ind w:firstLine="413" w:firstLineChars="196"/>
        <w:jc w:val="left"/>
        <w:outlineLvl w:val="1"/>
        <w:rPr>
          <w:rFonts w:ascii="宋体" w:hAnsi="宋体" w:cs="宋体"/>
          <w:b/>
          <w:bCs/>
          <w:highlight w:val="none"/>
        </w:rPr>
      </w:pPr>
      <w:bookmarkStart w:id="55" w:name="_Toc32364"/>
      <w:bookmarkStart w:id="56" w:name="_Toc115344251"/>
      <w:bookmarkStart w:id="57" w:name="_Toc47388327"/>
      <w:bookmarkStart w:id="58" w:name="_Toc31175"/>
      <w:bookmarkStart w:id="59" w:name="_Toc105619121"/>
      <w:r>
        <w:rPr>
          <w:rFonts w:hint="eastAsia" w:ascii="宋体" w:hAnsi="宋体" w:cs="宋体"/>
          <w:b/>
          <w:bCs/>
          <w:highlight w:val="none"/>
        </w:rPr>
        <w:t>（三）招标方式</w:t>
      </w:r>
      <w:bookmarkEnd w:id="29"/>
      <w:bookmarkEnd w:id="55"/>
      <w:bookmarkEnd w:id="56"/>
      <w:bookmarkEnd w:id="57"/>
      <w:bookmarkEnd w:id="58"/>
      <w:bookmarkEnd w:id="59"/>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本次招标采用公开招标方式进行。</w:t>
      </w:r>
    </w:p>
    <w:p>
      <w:pPr>
        <w:snapToGrid w:val="0"/>
        <w:spacing w:before="156" w:beforeLines="50" w:line="360" w:lineRule="auto"/>
        <w:ind w:firstLine="413" w:firstLineChars="196"/>
        <w:jc w:val="left"/>
        <w:outlineLvl w:val="1"/>
        <w:rPr>
          <w:rFonts w:ascii="宋体" w:hAnsi="宋体" w:cs="宋体"/>
          <w:b/>
          <w:bCs/>
          <w:highlight w:val="none"/>
        </w:rPr>
      </w:pPr>
      <w:bookmarkStart w:id="60" w:name="_Toc31404"/>
      <w:bookmarkStart w:id="61" w:name="_Toc417922230"/>
      <w:bookmarkStart w:id="62" w:name="_Toc115344252"/>
      <w:bookmarkStart w:id="63" w:name="_Toc16683"/>
      <w:bookmarkStart w:id="64" w:name="_Toc47388328"/>
      <w:bookmarkStart w:id="65" w:name="_Toc105619122"/>
      <w:r>
        <w:rPr>
          <w:rFonts w:hint="eastAsia" w:ascii="宋体" w:hAnsi="宋体" w:cs="宋体"/>
          <w:b/>
          <w:bCs/>
          <w:highlight w:val="none"/>
        </w:rPr>
        <w:t>（四）投标委托</w:t>
      </w:r>
      <w:bookmarkEnd w:id="60"/>
      <w:bookmarkEnd w:id="61"/>
      <w:bookmarkEnd w:id="62"/>
      <w:bookmarkEnd w:id="63"/>
      <w:bookmarkEnd w:id="64"/>
      <w:bookmarkEnd w:id="65"/>
    </w:p>
    <w:p>
      <w:pPr>
        <w:pStyle w:val="21"/>
        <w:snapToGrid w:val="0"/>
        <w:spacing w:line="360" w:lineRule="auto"/>
        <w:ind w:firstLine="404" w:firstLineChars="200"/>
        <w:jc w:val="left"/>
        <w:rPr>
          <w:rFonts w:hAnsi="宋体"/>
          <w:sz w:val="21"/>
          <w:szCs w:val="21"/>
          <w:highlight w:val="none"/>
        </w:rPr>
      </w:pPr>
      <w:r>
        <w:rPr>
          <w:rFonts w:hint="eastAsia" w:hAnsi="宋体"/>
          <w:sz w:val="21"/>
          <w:szCs w:val="21"/>
          <w:highlight w:val="none"/>
        </w:rPr>
        <w:t>投标人代表须携带有效身份证件。如投标人代表不是法定代表人，须有法定代表人出具的授权委托书（正本用原件，副本可用复印件，格式详见第六章投标文件格式）。</w:t>
      </w:r>
    </w:p>
    <w:p>
      <w:pPr>
        <w:snapToGrid w:val="0"/>
        <w:spacing w:before="156" w:beforeLines="50" w:line="360" w:lineRule="auto"/>
        <w:ind w:firstLine="413" w:firstLineChars="196"/>
        <w:jc w:val="left"/>
        <w:outlineLvl w:val="1"/>
        <w:rPr>
          <w:rFonts w:ascii="宋体" w:hAnsi="宋体" w:cs="宋体"/>
          <w:b/>
          <w:bCs/>
          <w:highlight w:val="none"/>
        </w:rPr>
      </w:pPr>
      <w:bookmarkStart w:id="66" w:name="_Toc105619123"/>
      <w:bookmarkStart w:id="67" w:name="_Toc15019"/>
      <w:bookmarkStart w:id="68" w:name="_Toc47388329"/>
      <w:bookmarkStart w:id="69" w:name="_Toc115344253"/>
      <w:bookmarkStart w:id="70" w:name="_Toc14630"/>
      <w:bookmarkStart w:id="71" w:name="_Toc417922231"/>
      <w:r>
        <w:rPr>
          <w:rFonts w:hint="eastAsia" w:ascii="宋体" w:hAnsi="宋体" w:cs="宋体"/>
          <w:b/>
          <w:bCs/>
          <w:highlight w:val="none"/>
        </w:rPr>
        <w:t>（五）投标费用</w:t>
      </w:r>
      <w:bookmarkEnd w:id="66"/>
      <w:bookmarkEnd w:id="67"/>
      <w:bookmarkEnd w:id="68"/>
      <w:bookmarkEnd w:id="69"/>
      <w:bookmarkEnd w:id="70"/>
      <w:bookmarkEnd w:id="71"/>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不论投标结果如何，投标人均应自行承担所有与投标有关的全部费用（招标文件有相反规定除外）。</w:t>
      </w:r>
    </w:p>
    <w:p>
      <w:pPr>
        <w:snapToGrid w:val="0"/>
        <w:spacing w:before="156" w:beforeLines="50" w:line="360" w:lineRule="auto"/>
        <w:ind w:firstLine="413" w:firstLineChars="196"/>
        <w:jc w:val="left"/>
        <w:rPr>
          <w:rFonts w:ascii="宋体" w:hAnsi="宋体" w:cs="宋体"/>
          <w:b/>
          <w:bCs/>
          <w:highlight w:val="none"/>
        </w:rPr>
      </w:pPr>
      <w:r>
        <w:rPr>
          <w:rFonts w:hint="eastAsia" w:ascii="宋体" w:hAnsi="宋体" w:cs="宋体"/>
          <w:b/>
          <w:bCs/>
          <w:highlight w:val="none"/>
        </w:rPr>
        <w:t>（六）联合体投标</w:t>
      </w:r>
    </w:p>
    <w:p>
      <w:pPr>
        <w:spacing w:line="360" w:lineRule="auto"/>
        <w:ind w:firstLine="420" w:firstLineChars="200"/>
        <w:rPr>
          <w:rFonts w:ascii="宋体" w:hAnsi="宋体" w:cs="宋体"/>
          <w:highlight w:val="none"/>
        </w:rPr>
      </w:pPr>
      <w:r>
        <w:rPr>
          <w:rFonts w:hint="eastAsia" w:ascii="宋体" w:hAnsi="宋体" w:cs="宋体"/>
          <w:highlight w:val="none"/>
        </w:rPr>
        <w:t>1.本项目接受联合体投标（联合体投标的须在投标文件中提供联合体协议书，明确各联合投标单位的责任和义务）。</w:t>
      </w:r>
    </w:p>
    <w:p>
      <w:pPr>
        <w:spacing w:line="360" w:lineRule="auto"/>
        <w:ind w:firstLine="420" w:firstLineChars="200"/>
        <w:rPr>
          <w:rFonts w:ascii="宋体" w:hAnsi="宋体" w:cs="宋体"/>
          <w:highlight w:val="none"/>
        </w:rPr>
      </w:pPr>
      <w:r>
        <w:rPr>
          <w:rFonts w:hint="eastAsia" w:ascii="宋体" w:hAnsi="宋体" w:cs="宋体"/>
          <w:highlight w:val="none"/>
        </w:rPr>
        <w:t>2.招标公告规定接受联合体投标的，除应符合招标公告规定的合格供应商的资格要求外，还应遵守以下规定：</w:t>
      </w:r>
    </w:p>
    <w:p>
      <w:pPr>
        <w:spacing w:line="360" w:lineRule="auto"/>
        <w:ind w:firstLine="420" w:firstLineChars="200"/>
        <w:rPr>
          <w:rFonts w:ascii="宋体" w:hAnsi="宋体" w:cs="宋体"/>
          <w:highlight w:val="none"/>
        </w:rPr>
      </w:pPr>
      <w:r>
        <w:rPr>
          <w:rFonts w:hint="eastAsia" w:ascii="宋体" w:hAnsi="宋体" w:cs="宋体"/>
          <w:highlight w:val="none"/>
        </w:rPr>
        <w:t>（1）联合体各方应按招标文件提供的格式签订联合体协议书，明确联合体牵头人和各方工作内容和义务。</w:t>
      </w:r>
    </w:p>
    <w:p>
      <w:pPr>
        <w:spacing w:line="360" w:lineRule="auto"/>
        <w:ind w:firstLine="420" w:firstLineChars="200"/>
        <w:rPr>
          <w:rFonts w:ascii="宋体" w:hAnsi="宋体" w:cs="宋体"/>
          <w:highlight w:val="none"/>
        </w:rPr>
      </w:pPr>
      <w:r>
        <w:rPr>
          <w:rFonts w:hint="eastAsia" w:ascii="宋体" w:hAnsi="宋体" w:cs="宋体"/>
          <w:highlight w:val="none"/>
        </w:rPr>
        <w:t>（2）联合体中有同类资质的供应商按照联合体分工承担相同工作的，应当按照资质等级较低的供应商确定联合体的资质等级。</w:t>
      </w:r>
    </w:p>
    <w:p>
      <w:pPr>
        <w:spacing w:line="360" w:lineRule="auto"/>
        <w:ind w:firstLine="420" w:firstLineChars="200"/>
        <w:rPr>
          <w:rFonts w:ascii="宋体" w:hAnsi="宋体" w:cs="宋体"/>
          <w:highlight w:val="none"/>
        </w:rPr>
      </w:pPr>
      <w:r>
        <w:rPr>
          <w:rFonts w:hint="eastAsia" w:ascii="宋体" w:hAnsi="宋体" w:cs="宋体"/>
          <w:highlight w:val="none"/>
        </w:rPr>
        <w:t>（3）联合体各方不得再单独参加或者与其他供应商另外组成联合体参加同一合同项下的投标。</w:t>
      </w:r>
    </w:p>
    <w:p>
      <w:pPr>
        <w:spacing w:line="360" w:lineRule="auto"/>
        <w:ind w:firstLine="420" w:firstLineChars="200"/>
        <w:rPr>
          <w:rFonts w:ascii="宋体" w:hAnsi="宋体" w:cs="宋体"/>
          <w:highlight w:val="none"/>
        </w:rPr>
      </w:pPr>
      <w:r>
        <w:rPr>
          <w:rFonts w:hint="eastAsia" w:ascii="宋体" w:hAnsi="宋体" w:cs="宋体"/>
          <w:highlight w:val="none"/>
        </w:rPr>
        <w:t>（4）联合体各方应当共同与招标人签订采购合同，就采购合同约定的事项对招标人承担连带责任。</w:t>
      </w:r>
    </w:p>
    <w:p>
      <w:pPr>
        <w:snapToGrid w:val="0"/>
        <w:spacing w:before="156" w:beforeLines="50" w:line="360" w:lineRule="auto"/>
        <w:ind w:firstLine="413" w:firstLineChars="196"/>
        <w:jc w:val="left"/>
        <w:rPr>
          <w:rFonts w:ascii="宋体" w:hAnsi="宋体" w:cs="宋体"/>
          <w:b/>
          <w:bCs/>
          <w:kern w:val="0"/>
          <w:highlight w:val="none"/>
        </w:rPr>
      </w:pPr>
      <w:r>
        <w:rPr>
          <w:rFonts w:hint="eastAsia" w:ascii="宋体" w:hAnsi="宋体" w:cs="宋体"/>
          <w:b/>
          <w:bCs/>
          <w:highlight w:val="none"/>
        </w:rPr>
        <w:t>（七）</w:t>
      </w:r>
      <w:r>
        <w:rPr>
          <w:rFonts w:hint="eastAsia" w:ascii="宋体" w:hAnsi="宋体" w:cs="宋体"/>
          <w:b/>
          <w:bCs/>
          <w:kern w:val="0"/>
          <w:highlight w:val="none"/>
        </w:rPr>
        <w:t>转包与分包</w:t>
      </w:r>
    </w:p>
    <w:p>
      <w:pPr>
        <w:snapToGrid w:val="0"/>
        <w:spacing w:line="360" w:lineRule="auto"/>
        <w:ind w:firstLine="420" w:firstLineChars="200"/>
        <w:jc w:val="left"/>
        <w:rPr>
          <w:rFonts w:ascii="宋体" w:hAnsi="宋体" w:cs="宋体"/>
          <w:kern w:val="0"/>
          <w:highlight w:val="none"/>
        </w:rPr>
      </w:pPr>
      <w:r>
        <w:rPr>
          <w:rFonts w:hint="eastAsia" w:ascii="宋体" w:hAnsi="宋体" w:cs="宋体"/>
          <w:kern w:val="0"/>
          <w:highlight w:val="none"/>
        </w:rPr>
        <w:t>本项目不允许转包，经采购人同意，允许分包。</w:t>
      </w:r>
    </w:p>
    <w:p>
      <w:pPr>
        <w:spacing w:line="360" w:lineRule="auto"/>
        <w:jc w:val="left"/>
        <w:rPr>
          <w:rFonts w:ascii="宋体" w:hAnsi="宋体" w:cs="宋体"/>
          <w:b/>
          <w:bCs/>
          <w:highlight w:val="none"/>
        </w:rPr>
      </w:pPr>
      <w:bookmarkStart w:id="72" w:name="_Toc417922232"/>
      <w:r>
        <w:rPr>
          <w:rFonts w:hint="eastAsia" w:ascii="宋体" w:hAnsi="宋体" w:cs="宋体"/>
          <w:b/>
          <w:bCs/>
          <w:highlight w:val="none"/>
        </w:rPr>
        <w:t xml:space="preserve">   （八）特别说明：</w:t>
      </w:r>
    </w:p>
    <w:p>
      <w:pPr>
        <w:widowControl/>
        <w:spacing w:line="360" w:lineRule="auto"/>
        <w:ind w:firstLine="422" w:firstLineChars="200"/>
        <w:jc w:val="left"/>
        <w:rPr>
          <w:rFonts w:ascii="宋体" w:hAnsi="宋体" w:cs="宋体"/>
          <w:highlight w:val="none"/>
        </w:rPr>
      </w:pPr>
      <w:r>
        <w:rPr>
          <w:rFonts w:hint="eastAsia" w:ascii="宋体" w:hAnsi="宋体" w:cs="宋体"/>
          <w:b/>
          <w:bCs/>
          <w:highlight w:val="none"/>
        </w:rPr>
        <w:t xml:space="preserve"> </w:t>
      </w:r>
      <w:r>
        <w:rPr>
          <w:rFonts w:hint="eastAsia" w:ascii="宋体" w:hAnsi="宋体" w:cs="宋体"/>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auto"/>
        <w:ind w:firstLine="420" w:firstLineChars="200"/>
        <w:jc w:val="left"/>
        <w:rPr>
          <w:rFonts w:ascii="宋体" w:hAnsi="宋体" w:cs="宋体"/>
          <w:highlight w:val="none"/>
        </w:rPr>
      </w:pPr>
      <w:r>
        <w:rPr>
          <w:rFonts w:hint="eastAsia" w:ascii="宋体" w:hAnsi="宋体" w:cs="宋体"/>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360" w:lineRule="auto"/>
        <w:ind w:firstLine="420" w:firstLineChars="200"/>
        <w:jc w:val="left"/>
        <w:rPr>
          <w:rFonts w:ascii="宋体" w:hAnsi="宋体" w:cs="宋体"/>
          <w:highlight w:val="none"/>
        </w:rPr>
      </w:pPr>
      <w:r>
        <w:rPr>
          <w:rFonts w:hint="eastAsia" w:ascii="宋体" w:hAnsi="宋体" w:cs="宋体"/>
          <w:kern w:val="0"/>
          <w:highlight w:val="none"/>
        </w:rPr>
        <w:t>非单一产品采购项目，多家投标人提供的核心产品品牌相同的，按前款处理。</w:t>
      </w:r>
    </w:p>
    <w:p>
      <w:pPr>
        <w:widowControl/>
        <w:spacing w:line="360" w:lineRule="auto"/>
        <w:ind w:firstLine="420" w:firstLineChars="200"/>
        <w:jc w:val="left"/>
        <w:rPr>
          <w:rFonts w:ascii="宋体" w:hAnsi="宋体" w:cs="宋体"/>
          <w:highlight w:val="none"/>
        </w:rPr>
      </w:pPr>
      <w:r>
        <w:rPr>
          <w:rFonts w:hint="eastAsia" w:ascii="宋体" w:hAnsi="宋体" w:cs="宋体"/>
          <w:highlight w:val="none"/>
        </w:rPr>
        <w:t>★2.投标人应仔细阅读招标文件的所有内容，按照招标文件的要求提交投标文件，并对所提供的全部资料的真实性承担法律责任。</w:t>
      </w:r>
    </w:p>
    <w:p>
      <w:pPr>
        <w:pStyle w:val="26"/>
        <w:spacing w:beforeLines="0" w:afterLines="0" w:line="360" w:lineRule="auto"/>
        <w:ind w:firstLine="420" w:firstLineChars="200"/>
        <w:rPr>
          <w:rFonts w:hAnsi="宋体"/>
          <w:b/>
          <w:bCs/>
          <w:sz w:val="21"/>
          <w:szCs w:val="21"/>
          <w:highlight w:val="none"/>
        </w:rPr>
      </w:pPr>
      <w:r>
        <w:rPr>
          <w:rFonts w:hint="eastAsia" w:hAnsi="宋体"/>
          <w:sz w:val="21"/>
          <w:szCs w:val="21"/>
          <w:highlight w:val="none"/>
        </w:rPr>
        <w:t>★3.投标人在投标活动中提供任何虚假材料，其投标无效，并报监管部门查处；</w:t>
      </w:r>
      <w:r>
        <w:rPr>
          <w:rFonts w:hint="eastAsia" w:hAnsi="宋体"/>
          <w:b/>
          <w:bCs/>
          <w:sz w:val="21"/>
          <w:szCs w:val="21"/>
          <w:highlight w:val="none"/>
        </w:rPr>
        <w:t xml:space="preserve"> </w:t>
      </w:r>
    </w:p>
    <w:p>
      <w:pPr>
        <w:widowControl/>
        <w:spacing w:line="360" w:lineRule="auto"/>
        <w:ind w:firstLine="422" w:firstLineChars="200"/>
        <w:jc w:val="left"/>
        <w:rPr>
          <w:rFonts w:ascii="宋体" w:hAnsi="宋体" w:cs="宋体"/>
          <w:highlight w:val="none"/>
        </w:rPr>
      </w:pPr>
      <w:r>
        <w:rPr>
          <w:rFonts w:hint="eastAsia" w:ascii="宋体" w:hAnsi="宋体" w:cs="宋体"/>
          <w:b/>
          <w:bCs/>
          <w:highlight w:val="none"/>
        </w:rPr>
        <w:t>（九）、关于分公司投标</w:t>
      </w:r>
    </w:p>
    <w:p>
      <w:pPr>
        <w:pStyle w:val="26"/>
        <w:spacing w:beforeLines="0" w:afterLines="0" w:line="360" w:lineRule="auto"/>
        <w:ind w:firstLine="420" w:firstLineChars="200"/>
        <w:rPr>
          <w:rFonts w:hAnsi="宋体"/>
          <w:sz w:val="21"/>
          <w:szCs w:val="21"/>
          <w:highlight w:val="none"/>
        </w:rPr>
      </w:pPr>
      <w:r>
        <w:rPr>
          <w:rFonts w:hint="eastAsia" w:hAnsi="宋体"/>
          <w:sz w:val="21"/>
          <w:szCs w:val="21"/>
          <w:highlight w:val="none"/>
        </w:rPr>
        <w:t>除银行、保险、石油石化、电力、通信等行业外，法人的分支机构不能参加投标。</w:t>
      </w:r>
    </w:p>
    <w:p>
      <w:pPr>
        <w:widowControl/>
        <w:spacing w:line="360" w:lineRule="auto"/>
        <w:ind w:firstLine="422" w:firstLineChars="200"/>
        <w:jc w:val="left"/>
        <w:rPr>
          <w:rFonts w:ascii="宋体" w:hAnsi="宋体" w:cs="宋体"/>
          <w:b/>
          <w:bCs/>
          <w:highlight w:val="none"/>
        </w:rPr>
      </w:pPr>
      <w:r>
        <w:rPr>
          <w:rFonts w:hint="eastAsia" w:ascii="宋体" w:hAnsi="宋体" w:cs="宋体"/>
          <w:b/>
          <w:bCs/>
          <w:highlight w:val="none"/>
        </w:rPr>
        <w:t>（十）、关于知识产权</w:t>
      </w:r>
    </w:p>
    <w:p>
      <w:pPr>
        <w:widowControl/>
        <w:spacing w:line="360" w:lineRule="auto"/>
        <w:ind w:firstLine="420" w:firstLineChars="200"/>
        <w:jc w:val="left"/>
        <w:rPr>
          <w:rFonts w:ascii="宋体" w:hAnsi="宋体" w:cs="宋体"/>
          <w:highlight w:val="none"/>
        </w:rPr>
      </w:pPr>
      <w:r>
        <w:rPr>
          <w:rFonts w:hint="eastAsia" w:ascii="宋体" w:hAnsi="宋体" w:cs="宋体"/>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360" w:lineRule="auto"/>
        <w:ind w:firstLine="420" w:firstLineChars="200"/>
        <w:jc w:val="left"/>
        <w:rPr>
          <w:rFonts w:ascii="宋体" w:hAnsi="宋体" w:cs="宋体"/>
          <w:highlight w:val="none"/>
        </w:rPr>
      </w:pPr>
      <w:r>
        <w:rPr>
          <w:rFonts w:hint="eastAsia" w:ascii="宋体" w:hAnsi="宋体" w:cs="宋体"/>
          <w:highlight w:val="none"/>
        </w:rPr>
        <w:t>2.投标报价应包含所有应向所有权人支付的专利权、商标权或其它知识产权的一切相关费用。</w:t>
      </w:r>
    </w:p>
    <w:p>
      <w:pPr>
        <w:pStyle w:val="26"/>
        <w:spacing w:beforeLines="0" w:afterLines="0" w:line="360" w:lineRule="auto"/>
        <w:ind w:firstLine="420" w:firstLineChars="200"/>
        <w:rPr>
          <w:rFonts w:hAnsi="宋体"/>
          <w:sz w:val="21"/>
          <w:szCs w:val="21"/>
          <w:highlight w:val="none"/>
        </w:rPr>
      </w:pPr>
      <w:r>
        <w:rPr>
          <w:rFonts w:hint="eastAsia" w:hAnsi="宋体"/>
          <w:sz w:val="21"/>
          <w:szCs w:val="21"/>
          <w:highlight w:val="none"/>
        </w:rPr>
        <w:t>3.系统软件、通用软件必须是具有在中国境内的合法使用权或版权的正版软件，涉及到第三方提出侵权或知识产权的起诉及支付版税等费用由投标人承担所有责任及费用。</w:t>
      </w:r>
    </w:p>
    <w:p>
      <w:pPr>
        <w:pStyle w:val="26"/>
        <w:widowControl/>
        <w:spacing w:beforeLines="0" w:afterLines="0" w:line="360" w:lineRule="auto"/>
        <w:ind w:firstLine="422" w:firstLineChars="200"/>
        <w:jc w:val="left"/>
        <w:rPr>
          <w:rFonts w:hAnsi="宋体"/>
          <w:b/>
          <w:bCs/>
          <w:sz w:val="21"/>
          <w:szCs w:val="21"/>
          <w:highlight w:val="none"/>
        </w:rPr>
      </w:pPr>
      <w:r>
        <w:rPr>
          <w:rFonts w:hint="eastAsia" w:hAnsi="宋体"/>
          <w:b/>
          <w:bCs/>
          <w:sz w:val="21"/>
          <w:szCs w:val="21"/>
          <w:highlight w:val="none"/>
        </w:rPr>
        <w:t>（十一）、质疑和投诉</w:t>
      </w:r>
    </w:p>
    <w:p>
      <w:pPr>
        <w:pStyle w:val="26"/>
        <w:spacing w:before="156" w:after="156" w:line="360" w:lineRule="auto"/>
        <w:ind w:firstLine="420" w:firstLineChars="200"/>
        <w:rPr>
          <w:rFonts w:hAnsi="宋体"/>
          <w:sz w:val="21"/>
          <w:szCs w:val="21"/>
          <w:highlight w:val="none"/>
        </w:rPr>
      </w:pPr>
      <w:r>
        <w:rPr>
          <w:rFonts w:hint="eastAsia" w:hAnsi="宋体"/>
          <w:sz w:val="21"/>
          <w:szCs w:val="21"/>
          <w:highlight w:val="none"/>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26"/>
        <w:spacing w:before="156" w:after="156" w:line="360" w:lineRule="auto"/>
        <w:ind w:firstLine="420" w:firstLineChars="200"/>
        <w:rPr>
          <w:rFonts w:hAnsi="宋体"/>
          <w:sz w:val="21"/>
          <w:szCs w:val="21"/>
          <w:highlight w:val="none"/>
        </w:rPr>
      </w:pPr>
      <w:r>
        <w:rPr>
          <w:rFonts w:hint="eastAsia" w:hAnsi="宋体"/>
          <w:sz w:val="21"/>
          <w:szCs w:val="21"/>
          <w:highlight w:val="none"/>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pStyle w:val="26"/>
        <w:spacing w:before="156" w:after="156" w:line="360" w:lineRule="auto"/>
        <w:ind w:firstLine="420" w:firstLineChars="200"/>
        <w:rPr>
          <w:rFonts w:hAnsi="宋体"/>
          <w:sz w:val="21"/>
          <w:szCs w:val="21"/>
          <w:highlight w:val="none"/>
        </w:rPr>
      </w:pPr>
      <w:r>
        <w:rPr>
          <w:rFonts w:hint="eastAsia" w:hAnsi="宋体"/>
          <w:sz w:val="21"/>
          <w:szCs w:val="21"/>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pStyle w:val="26"/>
        <w:spacing w:before="156" w:after="156" w:line="360" w:lineRule="auto"/>
        <w:ind w:firstLine="420" w:firstLineChars="200"/>
        <w:rPr>
          <w:rFonts w:hAnsi="宋体"/>
          <w:sz w:val="21"/>
          <w:szCs w:val="21"/>
          <w:highlight w:val="none"/>
        </w:rPr>
      </w:pPr>
      <w:r>
        <w:rPr>
          <w:rFonts w:hint="eastAsia" w:hAnsi="宋体"/>
          <w:sz w:val="21"/>
          <w:szCs w:val="21"/>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6"/>
        <w:spacing w:beforeLines="0" w:afterLines="0" w:line="360" w:lineRule="auto"/>
        <w:ind w:firstLine="420" w:firstLineChars="200"/>
        <w:rPr>
          <w:rFonts w:hAnsi="宋体"/>
          <w:sz w:val="21"/>
          <w:szCs w:val="21"/>
          <w:highlight w:val="none"/>
        </w:rPr>
      </w:pPr>
      <w:r>
        <w:rPr>
          <w:rFonts w:hint="eastAsia" w:hAnsi="宋体"/>
          <w:sz w:val="21"/>
          <w:szCs w:val="21"/>
          <w:highlight w:val="none"/>
        </w:rPr>
        <w:t>5. 供应商对采购人或采购代理机构的质疑答复不满意或者采购人或采购代理机构未在规定时间内作出答复的，可以在答复期满后十五个工作日内向同级采购监管部门投诉。</w:t>
      </w:r>
      <w:bookmarkEnd w:id="72"/>
      <w:bookmarkStart w:id="73" w:name="_Toc417922237"/>
    </w:p>
    <w:p>
      <w:pPr>
        <w:pStyle w:val="26"/>
        <w:snapToGrid w:val="0"/>
        <w:spacing w:beforeLines="0" w:afterLines="0" w:line="360" w:lineRule="auto"/>
        <w:ind w:firstLine="413" w:firstLineChars="196"/>
        <w:jc w:val="left"/>
        <w:outlineLvl w:val="0"/>
        <w:rPr>
          <w:rFonts w:hAnsi="宋体"/>
          <w:b/>
          <w:bCs/>
          <w:sz w:val="21"/>
          <w:szCs w:val="21"/>
          <w:highlight w:val="none"/>
        </w:rPr>
      </w:pPr>
      <w:bookmarkStart w:id="74" w:name="_Toc47388330"/>
      <w:bookmarkStart w:id="75" w:name="_Toc115344254"/>
      <w:bookmarkStart w:id="76" w:name="_Toc7892"/>
      <w:bookmarkStart w:id="77" w:name="_Toc24180"/>
      <w:bookmarkStart w:id="78" w:name="_Toc105619124"/>
      <w:r>
        <w:rPr>
          <w:rFonts w:hint="eastAsia" w:hAnsi="宋体"/>
          <w:b/>
          <w:bCs/>
          <w:sz w:val="21"/>
          <w:szCs w:val="21"/>
          <w:highlight w:val="none"/>
        </w:rPr>
        <w:t>二  招标文件</w:t>
      </w:r>
      <w:bookmarkEnd w:id="73"/>
      <w:bookmarkEnd w:id="74"/>
      <w:bookmarkEnd w:id="75"/>
      <w:bookmarkEnd w:id="76"/>
      <w:bookmarkEnd w:id="77"/>
      <w:bookmarkEnd w:id="78"/>
    </w:p>
    <w:p>
      <w:pPr>
        <w:snapToGrid w:val="0"/>
        <w:spacing w:line="360" w:lineRule="auto"/>
        <w:ind w:firstLine="413" w:firstLineChars="196"/>
        <w:jc w:val="left"/>
        <w:rPr>
          <w:rFonts w:ascii="宋体" w:hAnsi="宋体" w:cs="宋体"/>
          <w:b/>
          <w:bCs/>
          <w:highlight w:val="none"/>
        </w:rPr>
      </w:pPr>
      <w:r>
        <w:rPr>
          <w:rFonts w:hint="eastAsia" w:ascii="宋体" w:hAnsi="宋体" w:cs="宋体"/>
          <w:b/>
          <w:bCs/>
          <w:highlight w:val="none"/>
        </w:rPr>
        <w:t>（一）招标文件的构成。本招标文件由以下部份组成：</w:t>
      </w:r>
    </w:p>
    <w:p>
      <w:pPr>
        <w:snapToGrid w:val="0"/>
        <w:spacing w:before="156" w:beforeLines="50"/>
        <w:ind w:firstLine="411" w:firstLineChars="196"/>
        <w:jc w:val="left"/>
        <w:rPr>
          <w:rFonts w:ascii="宋体" w:hAnsi="宋体" w:cs="宋体"/>
          <w:highlight w:val="none"/>
        </w:rPr>
      </w:pPr>
      <w:r>
        <w:rPr>
          <w:rFonts w:hint="eastAsia" w:ascii="宋体" w:hAnsi="宋体" w:cs="宋体"/>
          <w:highlight w:val="none"/>
        </w:rPr>
        <w:t>1.招标公告</w:t>
      </w:r>
    </w:p>
    <w:p>
      <w:pPr>
        <w:snapToGrid w:val="0"/>
        <w:spacing w:before="156" w:beforeLines="50"/>
        <w:ind w:firstLine="411" w:firstLineChars="196"/>
        <w:jc w:val="left"/>
        <w:rPr>
          <w:rFonts w:ascii="宋体" w:hAnsi="宋体" w:cs="宋体"/>
          <w:highlight w:val="none"/>
        </w:rPr>
      </w:pPr>
      <w:r>
        <w:rPr>
          <w:rFonts w:hint="eastAsia" w:ascii="宋体" w:hAnsi="宋体" w:cs="宋体"/>
          <w:highlight w:val="none"/>
        </w:rPr>
        <w:t>2.投标人须知</w:t>
      </w:r>
    </w:p>
    <w:p>
      <w:pPr>
        <w:snapToGrid w:val="0"/>
        <w:spacing w:before="156" w:beforeLines="50"/>
        <w:ind w:firstLine="411" w:firstLineChars="196"/>
        <w:jc w:val="left"/>
        <w:rPr>
          <w:rFonts w:ascii="宋体" w:hAnsi="宋体" w:cs="宋体"/>
          <w:highlight w:val="none"/>
        </w:rPr>
      </w:pPr>
      <w:r>
        <w:rPr>
          <w:rFonts w:hint="eastAsia" w:ascii="宋体" w:hAnsi="宋体" w:cs="宋体"/>
          <w:highlight w:val="none"/>
        </w:rPr>
        <w:t>3.合同主要条款</w:t>
      </w:r>
    </w:p>
    <w:p>
      <w:pPr>
        <w:snapToGrid w:val="0"/>
        <w:spacing w:before="156" w:beforeLines="50"/>
        <w:ind w:firstLine="411" w:firstLineChars="196"/>
        <w:jc w:val="left"/>
        <w:rPr>
          <w:rFonts w:ascii="宋体" w:hAnsi="宋体" w:cs="宋体"/>
          <w:highlight w:val="none"/>
        </w:rPr>
      </w:pPr>
      <w:r>
        <w:rPr>
          <w:rFonts w:hint="eastAsia" w:ascii="宋体" w:hAnsi="宋体" w:cs="宋体"/>
          <w:highlight w:val="none"/>
        </w:rPr>
        <w:t>4.招标需求</w:t>
      </w:r>
    </w:p>
    <w:p>
      <w:pPr>
        <w:snapToGrid w:val="0"/>
        <w:spacing w:before="156" w:beforeLines="50"/>
        <w:ind w:firstLine="411" w:firstLineChars="196"/>
        <w:jc w:val="left"/>
        <w:rPr>
          <w:rFonts w:ascii="宋体" w:hAnsi="宋体" w:cs="宋体"/>
          <w:highlight w:val="none"/>
        </w:rPr>
      </w:pPr>
      <w:r>
        <w:rPr>
          <w:rFonts w:hint="eastAsia" w:ascii="宋体" w:hAnsi="宋体" w:cs="宋体"/>
          <w:highlight w:val="none"/>
        </w:rPr>
        <w:t>5.评标办法及标准</w:t>
      </w:r>
    </w:p>
    <w:p>
      <w:pPr>
        <w:snapToGrid w:val="0"/>
        <w:spacing w:before="156" w:beforeLines="50"/>
        <w:ind w:firstLine="411" w:firstLineChars="196"/>
        <w:jc w:val="left"/>
        <w:rPr>
          <w:rFonts w:ascii="宋体" w:hAnsi="宋体" w:cs="宋体"/>
          <w:highlight w:val="none"/>
        </w:rPr>
      </w:pPr>
      <w:r>
        <w:rPr>
          <w:rFonts w:hint="eastAsia" w:ascii="宋体" w:hAnsi="宋体" w:cs="宋体"/>
          <w:highlight w:val="none"/>
        </w:rPr>
        <w:t>6.投标文件格式</w:t>
      </w:r>
    </w:p>
    <w:p>
      <w:pPr>
        <w:snapToGrid w:val="0"/>
        <w:spacing w:before="156" w:beforeLines="50"/>
        <w:ind w:firstLine="411" w:firstLineChars="196"/>
        <w:jc w:val="left"/>
        <w:rPr>
          <w:rFonts w:ascii="宋体" w:hAnsi="宋体" w:cs="宋体"/>
          <w:highlight w:val="none"/>
        </w:rPr>
      </w:pPr>
      <w:r>
        <w:rPr>
          <w:rFonts w:hint="eastAsia" w:ascii="宋体" w:hAnsi="宋体" w:cs="宋体"/>
          <w:highlight w:val="none"/>
        </w:rPr>
        <w:t>7.本项目招标文件的澄清、答复、修改、补充的内容</w:t>
      </w:r>
    </w:p>
    <w:p>
      <w:pPr>
        <w:snapToGrid w:val="0"/>
        <w:spacing w:before="156" w:beforeLines="50" w:line="360" w:lineRule="auto"/>
        <w:ind w:firstLine="413" w:firstLineChars="196"/>
        <w:jc w:val="left"/>
        <w:rPr>
          <w:rFonts w:ascii="宋体" w:hAnsi="宋体" w:cs="宋体"/>
          <w:b/>
          <w:bCs/>
          <w:highlight w:val="none"/>
        </w:rPr>
      </w:pPr>
      <w:r>
        <w:rPr>
          <w:rFonts w:hint="eastAsia" w:ascii="宋体" w:hAnsi="宋体" w:cs="宋体"/>
          <w:b/>
          <w:bCs/>
          <w:highlight w:val="none"/>
        </w:rPr>
        <w:t>（二）投标人的风险</w:t>
      </w:r>
    </w:p>
    <w:p>
      <w:pPr>
        <w:pStyle w:val="39"/>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pStyle w:val="39"/>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2.无论因何种原因导致本次采购活动终止致投标人损失的，相关责任人均不承担任何责任。</w:t>
      </w:r>
    </w:p>
    <w:p>
      <w:pPr>
        <w:pStyle w:val="13"/>
        <w:widowControl w:val="0"/>
        <w:tabs>
          <w:tab w:val="clear" w:pos="454"/>
        </w:tabs>
        <w:snapToGrid w:val="0"/>
        <w:spacing w:before="156" w:beforeLines="50" w:afterLines="0" w:line="360" w:lineRule="auto"/>
        <w:ind w:left="0" w:firstLine="413" w:firstLineChars="196"/>
        <w:rPr>
          <w:rFonts w:ascii="宋体" w:hAnsi="宋体" w:cs="宋体"/>
          <w:b/>
          <w:bCs/>
          <w:sz w:val="21"/>
          <w:szCs w:val="21"/>
          <w:highlight w:val="none"/>
        </w:rPr>
      </w:pPr>
      <w:r>
        <w:rPr>
          <w:rFonts w:hint="eastAsia" w:ascii="宋体" w:hAnsi="宋体" w:cs="宋体"/>
          <w:b/>
          <w:bCs/>
          <w:sz w:val="21"/>
          <w:szCs w:val="21"/>
          <w:highlight w:val="none"/>
        </w:rPr>
        <w:t xml:space="preserve">（三）招标文件的澄清与修改 </w:t>
      </w:r>
    </w:p>
    <w:p>
      <w:pPr>
        <w:pStyle w:val="39"/>
        <w:widowControl/>
        <w:snapToGrid/>
        <w:spacing w:line="360" w:lineRule="auto"/>
        <w:ind w:firstLine="420"/>
        <w:rPr>
          <w:rFonts w:ascii="宋体" w:eastAsia="宋体" w:cs="宋体"/>
          <w:color w:val="auto"/>
          <w:sz w:val="21"/>
          <w:szCs w:val="21"/>
          <w:highlight w:val="none"/>
        </w:rPr>
      </w:pPr>
      <w:bookmarkStart w:id="79" w:name="_Toc417922238"/>
      <w:r>
        <w:rPr>
          <w:rFonts w:hint="eastAsia" w:ascii="宋体" w:eastAsia="宋体" w:cs="宋体"/>
          <w:color w:val="auto"/>
          <w:sz w:val="21"/>
          <w:szCs w:val="21"/>
          <w:highlight w:val="none"/>
        </w:rPr>
        <w:t>1.采购人对招标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39"/>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2.更正公告为招标文件的组成部分，一经在网站发布，视同已通知所有招标文件的收受人，不再采用其它方式传达相关信息，若因未能及时了解到上述网站上发布的相关信息而导致的一切后果自行承担。</w:t>
      </w:r>
    </w:p>
    <w:p>
      <w:pPr>
        <w:pStyle w:val="39"/>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3.如更正公告有重新发布电子招标文件的，投标人应下载最新发布的电子招标文件制作投标文件。</w:t>
      </w:r>
    </w:p>
    <w:p>
      <w:pPr>
        <w:pStyle w:val="26"/>
        <w:spacing w:beforeLines="0" w:afterLines="0" w:line="360" w:lineRule="auto"/>
        <w:ind w:firstLine="420" w:firstLineChars="200"/>
        <w:rPr>
          <w:rFonts w:hAnsi="宋体"/>
          <w:sz w:val="21"/>
          <w:szCs w:val="21"/>
          <w:highlight w:val="none"/>
        </w:rPr>
      </w:pPr>
      <w:r>
        <w:rPr>
          <w:rFonts w:hint="eastAsia" w:hAnsi="宋体"/>
          <w:sz w:val="21"/>
          <w:szCs w:val="21"/>
          <w:highlight w:val="none"/>
        </w:rPr>
        <w:t>4.投标人在规定的时间内未对招标文件提出疑问、质疑或要求澄清的，将视其为无异议。对招标文件中描述有歧义或前后不一致的地方，评标委员会有权进行评判，但对同一条款的评判应适用于每个投标人。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26"/>
        <w:snapToGrid w:val="0"/>
        <w:spacing w:beforeLines="0" w:afterLines="0" w:line="360" w:lineRule="auto"/>
        <w:ind w:firstLine="413" w:firstLineChars="196"/>
        <w:jc w:val="left"/>
        <w:outlineLvl w:val="1"/>
        <w:rPr>
          <w:rFonts w:hAnsi="宋体"/>
          <w:b/>
          <w:bCs/>
          <w:sz w:val="21"/>
          <w:szCs w:val="21"/>
          <w:highlight w:val="none"/>
        </w:rPr>
      </w:pPr>
      <w:bookmarkStart w:id="80" w:name="_Toc115344255"/>
      <w:bookmarkStart w:id="81" w:name="_Toc327"/>
      <w:bookmarkStart w:id="82" w:name="_Toc47388331"/>
      <w:bookmarkStart w:id="83" w:name="_Toc105619125"/>
      <w:bookmarkStart w:id="84" w:name="_Toc7430"/>
      <w:r>
        <w:rPr>
          <w:rFonts w:hint="eastAsia" w:hAnsi="宋体"/>
          <w:b/>
          <w:bCs/>
          <w:sz w:val="21"/>
          <w:szCs w:val="21"/>
          <w:highlight w:val="none"/>
        </w:rPr>
        <w:t>三、投标文件的编制</w:t>
      </w:r>
      <w:bookmarkEnd w:id="79"/>
      <w:bookmarkEnd w:id="80"/>
      <w:bookmarkEnd w:id="81"/>
      <w:bookmarkEnd w:id="82"/>
      <w:bookmarkEnd w:id="83"/>
      <w:bookmarkEnd w:id="84"/>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（一）投标文件的组成</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ab/>
      </w:r>
      <w:r>
        <w:rPr>
          <w:rFonts w:hint="eastAsia" w:ascii="宋体" w:hAnsi="宋体" w:cs="宋体"/>
          <w:highlight w:val="none"/>
        </w:rPr>
        <w:t>投标文件至少包含以下部分：</w:t>
      </w:r>
    </w:p>
    <w:p>
      <w:pPr>
        <w:snapToGrid w:val="0"/>
        <w:spacing w:line="360" w:lineRule="auto"/>
        <w:jc w:val="left"/>
        <w:rPr>
          <w:rFonts w:ascii="宋体" w:hAnsi="宋体" w:cs="宋体"/>
          <w:b/>
          <w:bCs/>
          <w:highlight w:val="none"/>
        </w:rPr>
      </w:pPr>
      <w:bookmarkStart w:id="85" w:name="_Toc417922239"/>
      <w:bookmarkStart w:id="86" w:name="_Toc105619126"/>
      <w:bookmarkStart w:id="87" w:name="_Toc21913"/>
      <w:bookmarkStart w:id="88" w:name="_Toc47388342"/>
      <w:r>
        <w:rPr>
          <w:rFonts w:hint="eastAsia" w:ascii="宋体" w:hAnsi="宋体" w:cs="宋体"/>
          <w:b/>
          <w:bCs/>
          <w:highlight w:val="none"/>
        </w:rPr>
        <w:t>1.报价文件：</w:t>
      </w:r>
    </w:p>
    <w:p>
      <w:pPr>
        <w:numPr>
          <w:ilvl w:val="0"/>
          <w:numId w:val="8"/>
        </w:numPr>
        <w:tabs>
          <w:tab w:val="left" w:pos="518"/>
          <w:tab w:val="left" w:pos="840"/>
          <w:tab w:val="clear" w:pos="420"/>
        </w:tabs>
        <w:spacing w:line="360" w:lineRule="auto"/>
        <w:ind w:left="845" w:leftChars="0"/>
        <w:rPr>
          <w:rFonts w:ascii="宋体" w:hAnsi="宋体" w:cs="宋体"/>
          <w:color w:val="auto"/>
          <w:highlight w:val="none"/>
        </w:rPr>
      </w:pPr>
      <w:r>
        <w:rPr>
          <w:rFonts w:hint="eastAsia" w:ascii="宋体" w:hAnsi="宋体" w:cs="宋体"/>
          <w:color w:val="auto"/>
          <w:highlight w:val="none"/>
        </w:rPr>
        <w:t xml:space="preserve">投标函（格式详见第六章投标文件格式）； </w:t>
      </w:r>
    </w:p>
    <w:p>
      <w:pPr>
        <w:numPr>
          <w:ilvl w:val="0"/>
          <w:numId w:val="8"/>
        </w:numPr>
        <w:tabs>
          <w:tab w:val="left" w:pos="518"/>
          <w:tab w:val="left" w:pos="840"/>
          <w:tab w:val="clear" w:pos="420"/>
        </w:tabs>
        <w:spacing w:line="360" w:lineRule="auto"/>
        <w:ind w:left="845" w:leftChars="0"/>
        <w:rPr>
          <w:rFonts w:ascii="宋体" w:hAnsi="宋体" w:cs="宋体"/>
          <w:color w:val="auto"/>
          <w:highlight w:val="none"/>
        </w:rPr>
      </w:pPr>
      <w:r>
        <w:rPr>
          <w:rFonts w:hint="eastAsia" w:ascii="宋体" w:hAnsi="宋体" w:cs="宋体"/>
          <w:color w:val="auto"/>
          <w:highlight w:val="none"/>
        </w:rPr>
        <w:t>开标一览表（格式详见第六章投标文件格式）；</w:t>
      </w:r>
    </w:p>
    <w:p>
      <w:pPr>
        <w:numPr>
          <w:ilvl w:val="0"/>
          <w:numId w:val="8"/>
        </w:numPr>
        <w:tabs>
          <w:tab w:val="left" w:pos="518"/>
          <w:tab w:val="left" w:pos="840"/>
          <w:tab w:val="clear" w:pos="420"/>
        </w:tabs>
        <w:spacing w:line="360" w:lineRule="auto"/>
        <w:ind w:left="845" w:leftChars="0"/>
        <w:rPr>
          <w:rFonts w:hint="eastAsia" w:ascii="宋体" w:hAnsi="宋体" w:cs="宋体"/>
          <w:highlight w:val="none"/>
        </w:rPr>
      </w:pPr>
      <w:r>
        <w:rPr>
          <w:rFonts w:hint="eastAsia" w:ascii="宋体" w:hAnsi="宋体" w:cs="宋体"/>
          <w:color w:val="auto"/>
          <w:highlight w:val="none"/>
        </w:rPr>
        <w:t>投标报价明细表（格式详见第六章投标文件格式）；</w:t>
      </w:r>
    </w:p>
    <w:p>
      <w:pPr>
        <w:numPr>
          <w:ilvl w:val="0"/>
          <w:numId w:val="8"/>
        </w:numPr>
        <w:tabs>
          <w:tab w:val="left" w:pos="518"/>
          <w:tab w:val="left" w:pos="840"/>
          <w:tab w:val="clear" w:pos="420"/>
        </w:tabs>
        <w:spacing w:line="360" w:lineRule="auto"/>
        <w:ind w:left="845" w:leftChars="0"/>
        <w:rPr>
          <w:rFonts w:ascii="宋体" w:hAnsi="宋体" w:cs="宋体"/>
          <w:color w:val="auto"/>
          <w:highlight w:val="none"/>
        </w:rPr>
      </w:pPr>
      <w:r>
        <w:rPr>
          <w:rFonts w:hint="eastAsia" w:ascii="宋体" w:hAnsi="宋体" w:cs="宋体"/>
          <w:color w:val="auto"/>
          <w:highlight w:val="none"/>
        </w:rPr>
        <w:t>中小企业声明函（格式详见第六章投标文件格式，如是请提供）；</w:t>
      </w:r>
    </w:p>
    <w:p>
      <w:pPr>
        <w:numPr>
          <w:ilvl w:val="0"/>
          <w:numId w:val="8"/>
        </w:numPr>
        <w:tabs>
          <w:tab w:val="left" w:pos="518"/>
          <w:tab w:val="left" w:pos="840"/>
          <w:tab w:val="clear" w:pos="420"/>
        </w:tabs>
        <w:spacing w:line="360" w:lineRule="auto"/>
        <w:ind w:left="845" w:leftChars="0"/>
        <w:rPr>
          <w:rFonts w:ascii="宋体" w:hAnsi="宋体" w:cs="宋体"/>
          <w:color w:val="auto"/>
          <w:highlight w:val="none"/>
        </w:rPr>
      </w:pPr>
      <w:r>
        <w:rPr>
          <w:rFonts w:hint="eastAsia" w:ascii="宋体" w:hAnsi="宋体" w:cs="宋体"/>
          <w:highlight w:val="none"/>
        </w:rPr>
        <w:t>供应商为监狱企业的证明文件：省级以上监狱管理局、戒毒管理局（含新疆生产建设兵团）出具</w:t>
      </w:r>
      <w:r>
        <w:rPr>
          <w:rFonts w:hint="eastAsia" w:ascii="宋体" w:hAnsi="宋体" w:cs="宋体"/>
          <w:highlight w:val="none"/>
          <w:lang w:eastAsia="zh-CN"/>
        </w:rPr>
        <w:t>（</w:t>
      </w:r>
      <w:r>
        <w:rPr>
          <w:rFonts w:hint="eastAsia" w:ascii="宋体" w:hAnsi="宋体" w:cs="宋体"/>
          <w:highlight w:val="none"/>
        </w:rPr>
        <w:t>如</w:t>
      </w:r>
      <w:r>
        <w:rPr>
          <w:rFonts w:hint="eastAsia" w:ascii="宋体" w:hAnsi="宋体" w:cs="宋体"/>
          <w:highlight w:val="none"/>
          <w:lang w:val="en-US" w:eastAsia="zh-CN"/>
        </w:rPr>
        <w:t>是</w:t>
      </w:r>
      <w:r>
        <w:rPr>
          <w:rFonts w:hint="eastAsia" w:ascii="宋体" w:hAnsi="宋体" w:cs="宋体"/>
          <w:highlight w:val="none"/>
        </w:rPr>
        <w:t>请提供</w:t>
      </w:r>
      <w:r>
        <w:rPr>
          <w:rFonts w:hint="eastAsia" w:ascii="宋体" w:hAnsi="宋体" w:cs="宋体"/>
          <w:highlight w:val="none"/>
          <w:lang w:eastAsia="zh-CN"/>
        </w:rPr>
        <w:t>）；</w:t>
      </w:r>
    </w:p>
    <w:p>
      <w:pPr>
        <w:numPr>
          <w:ilvl w:val="0"/>
          <w:numId w:val="8"/>
        </w:numPr>
        <w:tabs>
          <w:tab w:val="left" w:pos="518"/>
          <w:tab w:val="left" w:pos="840"/>
          <w:tab w:val="clear" w:pos="420"/>
        </w:tabs>
        <w:spacing w:line="360" w:lineRule="auto"/>
        <w:ind w:left="845" w:leftChars="0"/>
        <w:rPr>
          <w:rFonts w:ascii="宋体" w:hAnsi="宋体" w:cs="宋体"/>
          <w:color w:val="auto"/>
          <w:highlight w:val="none"/>
        </w:rPr>
      </w:pPr>
      <w:r>
        <w:rPr>
          <w:rFonts w:hint="eastAsia" w:ascii="宋体" w:hAnsi="宋体" w:cs="宋体"/>
          <w:color w:val="auto"/>
          <w:highlight w:val="none"/>
        </w:rPr>
        <w:t>残疾人福利性单位声明函（格式详见第六章投标文件格式，如是请提供）；</w:t>
      </w:r>
    </w:p>
    <w:p>
      <w:pPr>
        <w:numPr>
          <w:ilvl w:val="0"/>
          <w:numId w:val="8"/>
        </w:numPr>
        <w:tabs>
          <w:tab w:val="left" w:pos="518"/>
          <w:tab w:val="left" w:pos="840"/>
          <w:tab w:val="clear" w:pos="420"/>
        </w:tabs>
        <w:spacing w:line="360" w:lineRule="auto"/>
        <w:ind w:left="845" w:leftChars="0"/>
        <w:rPr>
          <w:rFonts w:ascii="宋体" w:hAnsi="宋体" w:cs="宋体"/>
          <w:color w:val="auto"/>
          <w:highlight w:val="none"/>
        </w:rPr>
      </w:pPr>
      <w:r>
        <w:rPr>
          <w:rFonts w:hint="eastAsia" w:ascii="宋体" w:hAnsi="宋体" w:cs="宋体"/>
          <w:color w:val="auto"/>
          <w:highlight w:val="none"/>
        </w:rPr>
        <w:t>投标人针对报价需要说明的其他文件和说明。</w:t>
      </w:r>
    </w:p>
    <w:p>
      <w:pPr>
        <w:tabs>
          <w:tab w:val="left" w:pos="518"/>
        </w:tabs>
        <w:spacing w:line="360" w:lineRule="auto"/>
        <w:rPr>
          <w:rFonts w:ascii="宋体" w:hAnsi="宋体" w:cs="宋体"/>
          <w:b/>
          <w:bCs/>
          <w:highlight w:val="none"/>
        </w:rPr>
      </w:pPr>
      <w:r>
        <w:rPr>
          <w:rFonts w:hint="eastAsia" w:ascii="宋体" w:hAnsi="宋体" w:cs="宋体"/>
          <w:b/>
          <w:bCs/>
          <w:highlight w:val="none"/>
        </w:rPr>
        <w:t>2.资格证明文件：</w:t>
      </w:r>
    </w:p>
    <w:p>
      <w:pPr>
        <w:numPr>
          <w:ilvl w:val="0"/>
          <w:numId w:val="9"/>
        </w:numPr>
        <w:tabs>
          <w:tab w:val="left" w:pos="518"/>
          <w:tab w:val="left" w:pos="840"/>
        </w:tabs>
        <w:spacing w:line="360" w:lineRule="auto"/>
        <w:rPr>
          <w:rFonts w:ascii="宋体" w:hAnsi="宋体" w:cs="宋体"/>
          <w:color w:val="auto"/>
          <w:highlight w:val="none"/>
        </w:rPr>
      </w:pPr>
      <w:bookmarkStart w:id="89" w:name="_Toc47388334"/>
      <w:bookmarkStart w:id="90" w:name="_Toc27222"/>
      <w:r>
        <w:rPr>
          <w:rFonts w:hint="eastAsia" w:ascii="宋体" w:hAnsi="宋体" w:cs="宋体"/>
          <w:color w:val="auto"/>
          <w:highlight w:val="none"/>
        </w:rPr>
        <w:t>投标人的营业执照副本复印件（格式详见第六章投标文件格式）联合体投标的，联合体双方须分别提供</w:t>
      </w:r>
      <w:bookmarkEnd w:id="89"/>
      <w:bookmarkEnd w:id="90"/>
      <w:r>
        <w:rPr>
          <w:rFonts w:hint="eastAsia" w:ascii="宋体" w:hAnsi="宋体" w:cs="宋体"/>
          <w:color w:val="auto"/>
          <w:highlight w:val="none"/>
        </w:rPr>
        <w:t>；</w:t>
      </w:r>
    </w:p>
    <w:p>
      <w:pPr>
        <w:numPr>
          <w:ilvl w:val="0"/>
          <w:numId w:val="9"/>
        </w:numPr>
        <w:tabs>
          <w:tab w:val="left" w:pos="518"/>
          <w:tab w:val="left" w:pos="840"/>
        </w:tabs>
        <w:spacing w:line="360" w:lineRule="auto"/>
        <w:ind w:left="0" w:firstLine="420" w:firstLineChars="200"/>
        <w:rPr>
          <w:rFonts w:ascii="宋体" w:hAnsi="宋体" w:cs="宋体"/>
          <w:color w:val="auto"/>
          <w:highlight w:val="none"/>
        </w:rPr>
      </w:pPr>
      <w:bookmarkStart w:id="91" w:name="_Toc47388340"/>
      <w:bookmarkStart w:id="92" w:name="_Toc1635"/>
      <w:r>
        <w:rPr>
          <w:rFonts w:hint="eastAsia" w:ascii="宋体" w:hAnsi="宋体" w:cs="宋体"/>
          <w:color w:val="auto"/>
          <w:highlight w:val="none"/>
        </w:rPr>
        <w:t>投标人资格声明函（格式详见第六章投标文件格式）</w:t>
      </w:r>
      <w:bookmarkEnd w:id="91"/>
      <w:bookmarkEnd w:id="92"/>
      <w:r>
        <w:rPr>
          <w:rFonts w:hint="eastAsia" w:ascii="宋体" w:hAnsi="宋体" w:cs="宋体"/>
          <w:color w:val="auto"/>
          <w:highlight w:val="none"/>
        </w:rPr>
        <w:t>联合体投标的，联合体双方须分别提供；</w:t>
      </w:r>
    </w:p>
    <w:p>
      <w:pPr>
        <w:numPr>
          <w:ilvl w:val="0"/>
          <w:numId w:val="10"/>
        </w:numPr>
        <w:tabs>
          <w:tab w:val="left" w:pos="420"/>
          <w:tab w:val="clear" w:pos="840"/>
        </w:tabs>
        <w:spacing w:line="360" w:lineRule="auto"/>
        <w:rPr>
          <w:rFonts w:ascii="宋体" w:hAnsi="宋体" w:cs="宋体"/>
          <w:color w:val="auto"/>
          <w:highlight w:val="none"/>
        </w:rPr>
      </w:pPr>
      <w:bookmarkStart w:id="93" w:name="_Toc21309"/>
      <w:bookmarkStart w:id="94" w:name="_Toc47388341"/>
      <w:r>
        <w:rPr>
          <w:rFonts w:hint="eastAsia" w:ascii="宋体" w:hAnsi="宋体" w:cs="宋体"/>
          <w:color w:val="auto"/>
          <w:highlight w:val="none"/>
        </w:rPr>
        <w:t>投标人的特定条件的证明文件：</w:t>
      </w:r>
      <w:bookmarkEnd w:id="93"/>
      <w:bookmarkEnd w:id="94"/>
    </w:p>
    <w:p>
      <w:pPr>
        <w:spacing w:line="360" w:lineRule="auto"/>
        <w:ind w:firstLine="420" w:firstLineChars="200"/>
        <w:rPr>
          <w:rFonts w:ascii="宋体" w:hAnsi="宋体" w:cs="宋体"/>
          <w:kern w:val="0"/>
          <w:highlight w:val="none"/>
        </w:rPr>
      </w:pPr>
      <w:r>
        <w:rPr>
          <w:rFonts w:hint="eastAsia" w:ascii="宋体" w:hAnsi="宋体" w:cs="宋体"/>
          <w:kern w:val="0"/>
          <w:highlight w:val="none"/>
          <w:lang w:val="en-US" w:eastAsia="zh-CN"/>
        </w:rPr>
        <w:t>标项一：</w:t>
      </w:r>
      <w:r>
        <w:rPr>
          <w:rFonts w:hint="eastAsia" w:ascii="宋体" w:hAnsi="宋体" w:cs="宋体"/>
          <w:kern w:val="0"/>
          <w:highlight w:val="none"/>
        </w:rPr>
        <w:t>3.</w:t>
      </w:r>
      <w:r>
        <w:rPr>
          <w:rFonts w:hint="eastAsia" w:ascii="宋体" w:hAnsi="宋体" w:cs="宋体"/>
          <w:highlight w:val="none"/>
        </w:rPr>
        <w:t>1</w:t>
      </w:r>
      <w:r>
        <w:rPr>
          <w:rFonts w:hint="eastAsia" w:ascii="宋体" w:hAnsi="宋体" w:cs="宋体"/>
          <w:kern w:val="0"/>
          <w:highlight w:val="none"/>
        </w:rPr>
        <w:t xml:space="preserve">投标人为医疗器械生产企业的：第三类医疗器械生产企业提供《医疗器械生产许可证》复印件。 </w:t>
      </w:r>
    </w:p>
    <w:p>
      <w:pPr>
        <w:spacing w:line="360" w:lineRule="auto"/>
        <w:ind w:firstLine="420" w:firstLineChars="200"/>
        <w:rPr>
          <w:rFonts w:hint="eastAsia" w:ascii="宋体" w:hAnsi="宋体" w:cs="宋体"/>
          <w:kern w:val="0"/>
          <w:highlight w:val="none"/>
        </w:rPr>
      </w:pPr>
      <w:r>
        <w:rPr>
          <w:rFonts w:hint="eastAsia" w:ascii="宋体" w:hAnsi="宋体" w:cs="宋体"/>
          <w:kern w:val="0"/>
          <w:highlight w:val="none"/>
        </w:rPr>
        <w:t>3.2投标人为医疗器械经营企业的：第三类医疗器械经营企业提供《医疗器械经营许可证》复印件。</w:t>
      </w:r>
    </w:p>
    <w:p>
      <w:pPr>
        <w:spacing w:line="360" w:lineRule="auto"/>
        <w:ind w:firstLine="420" w:firstLineChars="200"/>
        <w:rPr>
          <w:rFonts w:ascii="宋体" w:hAnsi="宋体" w:cs="宋体"/>
          <w:kern w:val="0"/>
          <w:highlight w:val="none"/>
        </w:rPr>
      </w:pPr>
      <w:r>
        <w:rPr>
          <w:rFonts w:hint="eastAsia" w:ascii="宋体" w:hAnsi="宋体" w:cs="宋体"/>
          <w:kern w:val="0"/>
          <w:highlight w:val="none"/>
          <w:lang w:val="en-US" w:eastAsia="zh-CN"/>
        </w:rPr>
        <w:t>标项二：</w:t>
      </w:r>
      <w:r>
        <w:rPr>
          <w:rFonts w:hint="eastAsia" w:ascii="宋体" w:hAnsi="宋体" w:cs="宋体"/>
          <w:kern w:val="0"/>
          <w:highlight w:val="none"/>
        </w:rPr>
        <w:t>3.</w:t>
      </w:r>
      <w:r>
        <w:rPr>
          <w:rFonts w:hint="eastAsia" w:ascii="宋体" w:hAnsi="宋体" w:cs="宋体"/>
          <w:highlight w:val="none"/>
        </w:rPr>
        <w:t>1</w:t>
      </w:r>
      <w:r>
        <w:rPr>
          <w:rFonts w:hint="eastAsia" w:ascii="宋体" w:hAnsi="宋体" w:cs="宋体"/>
          <w:kern w:val="0"/>
          <w:highlight w:val="none"/>
        </w:rPr>
        <w:t xml:space="preserve">投标人为医疗器械生产企业的：第二类医疗器械生产企业提供《医疗器械生产许可证》复印件。 </w:t>
      </w:r>
    </w:p>
    <w:p>
      <w:pPr>
        <w:spacing w:line="360" w:lineRule="auto"/>
        <w:ind w:firstLine="420" w:firstLineChars="200"/>
        <w:rPr>
          <w:rFonts w:hint="eastAsia" w:ascii="宋体" w:hAnsi="宋体" w:cs="宋体"/>
          <w:kern w:val="0"/>
          <w:highlight w:val="none"/>
        </w:rPr>
      </w:pPr>
      <w:r>
        <w:rPr>
          <w:rFonts w:hint="eastAsia" w:ascii="宋体" w:hAnsi="宋体" w:cs="宋体"/>
          <w:kern w:val="0"/>
          <w:highlight w:val="none"/>
        </w:rPr>
        <w:t>3.2投标人为医疗器械经营企业的：提供第二类医疗器械经营备案凭证复印件。</w:t>
      </w:r>
    </w:p>
    <w:p>
      <w:pPr>
        <w:spacing w:line="360" w:lineRule="auto"/>
        <w:ind w:firstLine="420" w:firstLineChars="200"/>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标项三：无</w:t>
      </w:r>
    </w:p>
    <w:p>
      <w:pPr>
        <w:pStyle w:val="331"/>
        <w:widowControl/>
        <w:numPr>
          <w:ilvl w:val="0"/>
          <w:numId w:val="11"/>
        </w:numPr>
        <w:tabs>
          <w:tab w:val="left" w:pos="420"/>
          <w:tab w:val="clear" w:pos="0"/>
        </w:tabs>
        <w:spacing w:line="360" w:lineRule="auto"/>
        <w:ind w:firstLine="420"/>
        <w:rPr>
          <w:rFonts w:ascii="宋体" w:hAnsi="宋体" w:cs="宋体"/>
          <w:color w:val="auto"/>
          <w:highlight w:val="none"/>
        </w:rPr>
      </w:pPr>
      <w:r>
        <w:rPr>
          <w:rFonts w:hint="eastAsia" w:ascii="宋体" w:hAnsi="宋体" w:cs="宋体"/>
          <w:color w:val="auto"/>
          <w:highlight w:val="none"/>
        </w:rPr>
        <w:t>联合体投标协议书（格式详见第六章投标文件格式，联合体投标的须提供）。</w:t>
      </w:r>
    </w:p>
    <w:p>
      <w:pPr>
        <w:tabs>
          <w:tab w:val="left" w:pos="518"/>
        </w:tabs>
        <w:spacing w:line="360" w:lineRule="auto"/>
        <w:rPr>
          <w:rFonts w:ascii="宋体" w:hAnsi="宋体" w:cs="宋体"/>
          <w:b/>
          <w:bCs/>
          <w:highlight w:val="none"/>
        </w:rPr>
      </w:pPr>
      <w:r>
        <w:rPr>
          <w:rFonts w:hint="eastAsia" w:ascii="宋体" w:hAnsi="宋体" w:cs="宋体"/>
          <w:b/>
          <w:bCs/>
          <w:highlight w:val="none"/>
        </w:rPr>
        <w:t>3.商务技术文件：</w:t>
      </w:r>
    </w:p>
    <w:p>
      <w:pPr>
        <w:numPr>
          <w:ilvl w:val="0"/>
          <w:numId w:val="12"/>
        </w:numPr>
        <w:tabs>
          <w:tab w:val="left" w:pos="420"/>
        </w:tabs>
        <w:spacing w:line="360" w:lineRule="auto"/>
        <w:rPr>
          <w:rFonts w:ascii="宋体" w:hAnsi="宋体" w:cs="宋体"/>
          <w:color w:val="auto"/>
          <w:highlight w:val="none"/>
        </w:rPr>
      </w:pPr>
      <w:r>
        <w:rPr>
          <w:rFonts w:hint="eastAsia" w:ascii="宋体" w:hAnsi="宋体" w:cs="宋体"/>
          <w:color w:val="auto"/>
          <w:highlight w:val="none"/>
        </w:rPr>
        <w:t>投标人自查表②符合性自查表（格式详见第六章投标文件格式）；</w:t>
      </w:r>
    </w:p>
    <w:p>
      <w:pPr>
        <w:numPr>
          <w:ilvl w:val="0"/>
          <w:numId w:val="12"/>
        </w:numPr>
        <w:tabs>
          <w:tab w:val="left" w:pos="420"/>
        </w:tabs>
        <w:spacing w:line="360" w:lineRule="auto"/>
        <w:rPr>
          <w:rFonts w:ascii="宋体" w:hAnsi="宋体" w:cs="宋体"/>
          <w:color w:val="auto"/>
          <w:highlight w:val="none"/>
        </w:rPr>
      </w:pPr>
      <w:r>
        <w:rPr>
          <w:rFonts w:hint="eastAsia" w:ascii="宋体" w:hAnsi="宋体" w:cs="宋体"/>
          <w:color w:val="auto"/>
          <w:highlight w:val="none"/>
        </w:rPr>
        <w:t>法定代表人身份证明、法定代表人授权委托书（或联合投标授权委托书）（格式    详见第六章投标文件格式）；</w:t>
      </w:r>
    </w:p>
    <w:p>
      <w:pPr>
        <w:numPr>
          <w:ilvl w:val="0"/>
          <w:numId w:val="12"/>
        </w:numPr>
        <w:tabs>
          <w:tab w:val="left" w:pos="420"/>
        </w:tabs>
        <w:spacing w:line="360" w:lineRule="auto"/>
        <w:rPr>
          <w:rFonts w:ascii="宋体" w:hAnsi="宋体" w:cs="宋体"/>
          <w:color w:val="auto"/>
          <w:highlight w:val="none"/>
        </w:rPr>
      </w:pPr>
      <w:r>
        <w:rPr>
          <w:rFonts w:hint="eastAsia" w:ascii="宋体" w:hAnsi="宋体" w:cs="宋体"/>
          <w:color w:val="auto"/>
          <w:highlight w:val="none"/>
        </w:rPr>
        <w:t>商务条款响应（偏离）表（格式详见第六章投标文件格式）；</w:t>
      </w:r>
    </w:p>
    <w:p>
      <w:pPr>
        <w:numPr>
          <w:ilvl w:val="0"/>
          <w:numId w:val="12"/>
        </w:numPr>
        <w:tabs>
          <w:tab w:val="left" w:pos="420"/>
        </w:tabs>
        <w:spacing w:line="360" w:lineRule="auto"/>
        <w:rPr>
          <w:rFonts w:ascii="宋体" w:hAnsi="宋体" w:cs="宋体"/>
          <w:color w:val="auto"/>
          <w:highlight w:val="none"/>
        </w:rPr>
      </w:pPr>
      <w:r>
        <w:rPr>
          <w:rFonts w:hint="eastAsia" w:ascii="宋体" w:hAnsi="宋体" w:cs="宋体"/>
          <w:color w:val="auto"/>
          <w:highlight w:val="none"/>
        </w:rPr>
        <w:t>技术条款响应（偏离）表（格式详见第六章投标文件格式）；</w:t>
      </w:r>
    </w:p>
    <w:p>
      <w:pPr>
        <w:numPr>
          <w:ilvl w:val="0"/>
          <w:numId w:val="12"/>
        </w:numPr>
        <w:tabs>
          <w:tab w:val="left" w:pos="420"/>
        </w:tabs>
        <w:spacing w:line="360" w:lineRule="auto"/>
        <w:rPr>
          <w:rFonts w:ascii="宋体" w:hAnsi="宋体" w:cs="宋体"/>
          <w:color w:val="auto"/>
          <w:highlight w:val="none"/>
        </w:rPr>
      </w:pPr>
      <w:r>
        <w:rPr>
          <w:rFonts w:hint="eastAsia" w:ascii="宋体" w:hAnsi="宋体" w:cs="宋体"/>
          <w:color w:val="auto"/>
          <w:highlight w:val="none"/>
        </w:rPr>
        <w:t>技术需求中要求提供的证明资料（加盖公章）；</w:t>
      </w:r>
    </w:p>
    <w:p>
      <w:pPr>
        <w:numPr>
          <w:ilvl w:val="0"/>
          <w:numId w:val="12"/>
        </w:numPr>
        <w:tabs>
          <w:tab w:val="left" w:pos="420"/>
        </w:tabs>
        <w:spacing w:line="360" w:lineRule="auto"/>
        <w:rPr>
          <w:rFonts w:hint="eastAsia" w:ascii="宋体" w:hAnsi="宋体" w:cs="宋体"/>
          <w:color w:val="auto"/>
          <w:highlight w:val="none"/>
        </w:rPr>
      </w:pPr>
      <w:r>
        <w:rPr>
          <w:rFonts w:hint="eastAsia" w:ascii="宋体" w:hAnsi="宋体" w:cs="宋体"/>
          <w:color w:val="auto"/>
          <w:highlight w:val="none"/>
        </w:rPr>
        <w:t>供货方案</w:t>
      </w:r>
      <w:r>
        <w:rPr>
          <w:rFonts w:hint="eastAsia" w:ascii="宋体" w:hAnsi="宋体" w:cs="宋体"/>
          <w:color w:val="auto"/>
          <w:highlight w:val="none"/>
          <w:lang w:eastAsia="zh-CN"/>
        </w:rPr>
        <w:t>；</w:t>
      </w:r>
    </w:p>
    <w:p>
      <w:pPr>
        <w:numPr>
          <w:ilvl w:val="0"/>
          <w:numId w:val="12"/>
        </w:numPr>
        <w:tabs>
          <w:tab w:val="left" w:pos="420"/>
        </w:tabs>
        <w:spacing w:line="360" w:lineRule="auto"/>
        <w:rPr>
          <w:rFonts w:hint="eastAsia" w:ascii="宋体" w:hAnsi="宋体" w:cs="宋体"/>
          <w:color w:val="auto"/>
          <w:highlight w:val="none"/>
        </w:rPr>
      </w:pPr>
      <w:r>
        <w:rPr>
          <w:rFonts w:hint="eastAsia" w:ascii="宋体" w:hAnsi="宋体" w:cs="宋体"/>
          <w:color w:val="auto"/>
          <w:highlight w:val="none"/>
        </w:rPr>
        <w:t>安装与验收方案</w:t>
      </w:r>
      <w:r>
        <w:rPr>
          <w:rFonts w:hint="eastAsia" w:ascii="宋体" w:hAnsi="宋体" w:cs="宋体"/>
          <w:color w:val="auto"/>
          <w:highlight w:val="none"/>
          <w:lang w:eastAsia="zh-CN"/>
        </w:rPr>
        <w:t>；</w:t>
      </w:r>
    </w:p>
    <w:p>
      <w:pPr>
        <w:numPr>
          <w:ilvl w:val="0"/>
          <w:numId w:val="12"/>
        </w:numPr>
        <w:tabs>
          <w:tab w:val="left" w:pos="420"/>
        </w:tabs>
        <w:spacing w:line="360" w:lineRule="auto"/>
        <w:rPr>
          <w:rFonts w:hint="eastAsia" w:ascii="宋体" w:hAnsi="宋体" w:cs="宋体"/>
          <w:color w:val="auto"/>
          <w:highlight w:val="none"/>
        </w:rPr>
      </w:pPr>
      <w:r>
        <w:rPr>
          <w:rFonts w:hint="eastAsia" w:ascii="宋体" w:hAnsi="宋体" w:cs="宋体"/>
          <w:color w:val="auto"/>
          <w:highlight w:val="none"/>
        </w:rPr>
        <w:t>售后服务</w:t>
      </w:r>
      <w:r>
        <w:rPr>
          <w:rFonts w:hint="eastAsia" w:ascii="宋体" w:hAnsi="宋体" w:cs="宋体"/>
          <w:color w:val="auto"/>
          <w:highlight w:val="none"/>
          <w:lang w:eastAsia="zh-CN"/>
        </w:rPr>
        <w:t>；</w:t>
      </w:r>
    </w:p>
    <w:p>
      <w:pPr>
        <w:numPr>
          <w:ilvl w:val="0"/>
          <w:numId w:val="12"/>
        </w:numPr>
        <w:tabs>
          <w:tab w:val="left" w:pos="420"/>
        </w:tabs>
        <w:spacing w:line="360" w:lineRule="auto"/>
        <w:rPr>
          <w:rFonts w:hint="eastAsia" w:ascii="宋体" w:hAnsi="宋体" w:cs="宋体"/>
          <w:color w:val="auto"/>
          <w:highlight w:val="none"/>
        </w:rPr>
      </w:pPr>
      <w:r>
        <w:rPr>
          <w:rFonts w:hint="eastAsia" w:ascii="宋体" w:hAnsi="宋体" w:cs="宋体"/>
          <w:color w:val="auto"/>
          <w:highlight w:val="none"/>
        </w:rPr>
        <w:t>培训方案</w:t>
      </w:r>
      <w:r>
        <w:rPr>
          <w:rFonts w:hint="eastAsia" w:ascii="宋体" w:hAnsi="宋体" w:cs="宋体"/>
          <w:color w:val="auto"/>
          <w:highlight w:val="none"/>
          <w:lang w:eastAsia="zh-CN"/>
        </w:rPr>
        <w:t>；</w:t>
      </w:r>
    </w:p>
    <w:p>
      <w:pPr>
        <w:numPr>
          <w:ilvl w:val="0"/>
          <w:numId w:val="12"/>
        </w:numPr>
        <w:tabs>
          <w:tab w:val="left" w:pos="420"/>
        </w:tabs>
        <w:spacing w:line="360" w:lineRule="auto"/>
        <w:rPr>
          <w:rFonts w:ascii="宋体" w:hAnsi="宋体" w:cs="宋体"/>
          <w:color w:val="auto"/>
          <w:highlight w:val="none"/>
        </w:rPr>
      </w:pPr>
      <w:r>
        <w:rPr>
          <w:rFonts w:hint="eastAsia" w:ascii="宋体" w:hAnsi="宋体" w:cs="宋体"/>
          <w:color w:val="auto"/>
          <w:highlight w:val="none"/>
        </w:rPr>
        <w:t>维修成本方案</w:t>
      </w:r>
      <w:r>
        <w:rPr>
          <w:rFonts w:hint="eastAsia" w:ascii="宋体" w:hAnsi="宋体" w:cs="宋体"/>
          <w:color w:val="auto"/>
          <w:highlight w:val="none"/>
          <w:lang w:eastAsia="zh-CN"/>
        </w:rPr>
        <w:t>；</w:t>
      </w:r>
    </w:p>
    <w:p>
      <w:pPr>
        <w:numPr>
          <w:ilvl w:val="0"/>
          <w:numId w:val="12"/>
        </w:numPr>
        <w:tabs>
          <w:tab w:val="left" w:pos="420"/>
        </w:tabs>
        <w:spacing w:line="360" w:lineRule="auto"/>
        <w:rPr>
          <w:rFonts w:ascii="宋体" w:hAnsi="宋体" w:cs="宋体"/>
          <w:color w:val="auto"/>
          <w:highlight w:val="none"/>
        </w:rPr>
      </w:pPr>
      <w:r>
        <w:rPr>
          <w:rFonts w:hint="eastAsia" w:ascii="宋体" w:hAnsi="宋体" w:cs="宋体"/>
          <w:color w:val="auto"/>
          <w:highlight w:val="none"/>
        </w:rPr>
        <w:t>投标人所投产品的节能环保产品认证证书复印件及所投产品</w:t>
      </w:r>
      <w:r>
        <w:rPr>
          <w:rFonts w:hint="eastAsia" w:ascii="宋体" w:hAnsi="宋体" w:cs="宋体"/>
          <w:color w:val="auto"/>
          <w:highlight w:val="none"/>
          <w:lang w:val="zh-CN"/>
        </w:rPr>
        <w:t>属于“节能产品政府采购清单”</w:t>
      </w:r>
      <w:r>
        <w:rPr>
          <w:rFonts w:hint="eastAsia" w:ascii="宋体" w:hAnsi="宋体" w:cs="宋体"/>
          <w:color w:val="auto"/>
          <w:highlight w:val="none"/>
        </w:rPr>
        <w:t>中所列产品的</w:t>
      </w:r>
      <w:r>
        <w:rPr>
          <w:rFonts w:hint="eastAsia" w:ascii="宋体" w:hAnsi="宋体" w:cs="宋体"/>
          <w:color w:val="auto"/>
          <w:highlight w:val="none"/>
          <w:lang w:val="zh-CN"/>
        </w:rPr>
        <w:t>相关证明资料或截图</w:t>
      </w:r>
      <w:r>
        <w:rPr>
          <w:rFonts w:hint="eastAsia" w:ascii="宋体" w:hAnsi="宋体" w:cs="宋体"/>
          <w:color w:val="auto"/>
          <w:highlight w:val="none"/>
        </w:rPr>
        <w:t>（如有请提供，加盖公章）；</w:t>
      </w:r>
    </w:p>
    <w:p>
      <w:pPr>
        <w:numPr>
          <w:ilvl w:val="0"/>
          <w:numId w:val="0"/>
        </w:numPr>
        <w:tabs>
          <w:tab w:val="left" w:pos="420"/>
        </w:tabs>
        <w:spacing w:line="360" w:lineRule="auto"/>
        <w:ind w:firstLine="420" w:firstLineChars="200"/>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12</w:t>
      </w:r>
      <w:r>
        <w:rPr>
          <w:rFonts w:hint="eastAsia" w:ascii="宋体" w:hAnsi="宋体" w:cs="宋体"/>
          <w:color w:val="auto"/>
          <w:highlight w:val="none"/>
          <w:lang w:eastAsia="zh-CN"/>
        </w:rPr>
        <w:t>）</w:t>
      </w:r>
      <w:r>
        <w:rPr>
          <w:rFonts w:hint="eastAsia" w:ascii="宋体" w:hAnsi="宋体" w:cs="宋体"/>
          <w:color w:val="auto"/>
          <w:highlight w:val="none"/>
        </w:rPr>
        <w:t>其他采购需求或评分标准所需资料。</w:t>
      </w:r>
    </w:p>
    <w:p>
      <w:pPr>
        <w:snapToGrid w:val="0"/>
        <w:spacing w:line="360" w:lineRule="auto"/>
        <w:ind w:firstLine="411" w:firstLineChars="196"/>
        <w:jc w:val="left"/>
        <w:outlineLvl w:val="0"/>
        <w:rPr>
          <w:rFonts w:ascii="宋体" w:hAnsi="宋体" w:cs="宋体"/>
          <w:highlight w:val="none"/>
        </w:rPr>
      </w:pPr>
      <w:bookmarkStart w:id="95" w:name="_Toc9167"/>
      <w:bookmarkStart w:id="96" w:name="_Toc115344264"/>
      <w:r>
        <w:rPr>
          <w:rFonts w:hint="eastAsia" w:ascii="宋体" w:hAnsi="宋体" w:cs="宋体"/>
          <w:highlight w:val="none"/>
        </w:rPr>
        <w:t>（二）投标文件的语言及计量</w:t>
      </w:r>
      <w:bookmarkEnd w:id="85"/>
      <w:bookmarkEnd w:id="86"/>
      <w:bookmarkEnd w:id="87"/>
      <w:bookmarkEnd w:id="88"/>
      <w:bookmarkEnd w:id="95"/>
      <w:bookmarkEnd w:id="96"/>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★2投标计量单位，招标文件已有明确规定的，使用招标文件规定的计量单位；招标文件没有规定的，应采用中华人民共和国法定计量单位（例如货币单位：人民币元），否则视同未响应。</w:t>
      </w:r>
    </w:p>
    <w:p>
      <w:pPr>
        <w:snapToGrid w:val="0"/>
        <w:spacing w:before="156" w:beforeLines="50" w:line="360" w:lineRule="auto"/>
        <w:ind w:firstLine="413" w:firstLineChars="196"/>
        <w:jc w:val="left"/>
        <w:outlineLvl w:val="0"/>
        <w:rPr>
          <w:rFonts w:ascii="宋体" w:hAnsi="宋体" w:cs="宋体"/>
          <w:b/>
          <w:bCs/>
          <w:highlight w:val="none"/>
        </w:rPr>
      </w:pPr>
      <w:r>
        <w:rPr>
          <w:rFonts w:hint="eastAsia" w:ascii="宋体" w:hAnsi="宋体" w:cs="宋体"/>
          <w:b/>
          <w:bCs/>
          <w:highlight w:val="none"/>
        </w:rPr>
        <w:tab/>
      </w:r>
      <w:bookmarkStart w:id="97" w:name="_Toc115344265"/>
      <w:bookmarkStart w:id="98" w:name="_Toc417922240"/>
      <w:bookmarkStart w:id="99" w:name="_Toc105619127"/>
      <w:bookmarkStart w:id="100" w:name="_Toc47388343"/>
      <w:bookmarkStart w:id="101" w:name="_Toc7716"/>
      <w:bookmarkStart w:id="102" w:name="_Toc28665"/>
      <w:r>
        <w:rPr>
          <w:rFonts w:hint="eastAsia" w:ascii="宋体" w:hAnsi="宋体" w:cs="宋体"/>
          <w:b/>
          <w:bCs/>
          <w:highlight w:val="none"/>
        </w:rPr>
        <w:t>（三）投标报价</w:t>
      </w:r>
      <w:bookmarkEnd w:id="97"/>
      <w:bookmarkEnd w:id="98"/>
      <w:bookmarkEnd w:id="99"/>
      <w:bookmarkEnd w:id="100"/>
      <w:bookmarkEnd w:id="101"/>
      <w:bookmarkEnd w:id="102"/>
    </w:p>
    <w:p>
      <w:pPr>
        <w:snapToGrid w:val="0"/>
        <w:spacing w:before="156" w:beforeLines="50" w:line="360" w:lineRule="auto"/>
        <w:ind w:firstLine="413" w:firstLineChars="196"/>
        <w:jc w:val="left"/>
        <w:outlineLvl w:val="0"/>
        <w:rPr>
          <w:rFonts w:ascii="宋体" w:hAnsi="宋体" w:cs="宋体"/>
          <w:b/>
          <w:bCs/>
          <w:highlight w:val="none"/>
        </w:rPr>
      </w:pPr>
      <w:r>
        <w:rPr>
          <w:rFonts w:hint="eastAsia" w:ascii="宋体" w:hAnsi="宋体" w:cs="宋体"/>
          <w:b/>
          <w:bCs/>
          <w:highlight w:val="none"/>
        </w:rPr>
        <w:tab/>
      </w:r>
      <w:bookmarkStart w:id="103" w:name="_Toc47388344"/>
      <w:bookmarkStart w:id="104" w:name="_Toc417922241"/>
      <w:bookmarkStart w:id="105" w:name="_Toc16517"/>
      <w:bookmarkStart w:id="106" w:name="_Toc26606"/>
      <w:bookmarkStart w:id="107" w:name="_Toc115344266"/>
      <w:bookmarkStart w:id="108" w:name="_Toc105619128"/>
      <w:r>
        <w:rPr>
          <w:rFonts w:hint="eastAsia" w:ascii="宋体" w:hAnsi="宋体" w:cs="宋体"/>
          <w:b/>
          <w:bCs/>
          <w:highlight w:val="none"/>
        </w:rPr>
        <w:t>1.投标报价应按招标文件中相关附表格式填写。</w:t>
      </w:r>
      <w:bookmarkEnd w:id="103"/>
      <w:bookmarkEnd w:id="104"/>
      <w:bookmarkEnd w:id="105"/>
      <w:bookmarkEnd w:id="106"/>
      <w:bookmarkEnd w:id="107"/>
      <w:bookmarkEnd w:id="108"/>
    </w:p>
    <w:p>
      <w:pPr>
        <w:overflowPunct w:val="0"/>
        <w:spacing w:line="360" w:lineRule="auto"/>
        <w:ind w:left="63" w:leftChars="30" w:firstLine="103" w:firstLineChars="49"/>
        <w:rPr>
          <w:rFonts w:ascii="宋体" w:hAnsi="宋体" w:cs="宋体"/>
          <w:b/>
          <w:bCs/>
          <w:highlight w:val="none"/>
        </w:rPr>
      </w:pPr>
      <w:r>
        <w:rPr>
          <w:rFonts w:hint="eastAsia" w:ascii="宋体" w:hAnsi="宋体" w:cs="宋体"/>
          <w:b/>
          <w:bCs/>
          <w:highlight w:val="none"/>
        </w:rPr>
        <w:tab/>
      </w:r>
      <w:bookmarkStart w:id="109" w:name="_Toc417922242"/>
      <w:r>
        <w:rPr>
          <w:rFonts w:hint="eastAsia" w:ascii="宋体" w:hAnsi="宋体" w:cs="宋体"/>
          <w:highlight w:val="none"/>
        </w:rPr>
        <w:t>★</w:t>
      </w:r>
      <w:r>
        <w:rPr>
          <w:rFonts w:hint="eastAsia" w:ascii="宋体" w:hAnsi="宋体" w:cs="宋体"/>
          <w:b/>
          <w:bCs/>
          <w:highlight w:val="none"/>
        </w:rPr>
        <w:t>2.</w:t>
      </w:r>
      <w:bookmarkEnd w:id="109"/>
      <w:r>
        <w:rPr>
          <w:rFonts w:hint="eastAsia" w:ascii="宋体" w:hAnsi="宋体" w:cs="宋体"/>
          <w:b/>
          <w:bCs/>
          <w:highlight w:val="none"/>
        </w:rPr>
        <w:t xml:space="preserve"> 投标报价是详见第二章前附表2。</w:t>
      </w:r>
    </w:p>
    <w:p>
      <w:pPr>
        <w:snapToGrid w:val="0"/>
        <w:spacing w:before="156" w:beforeLines="50" w:line="360" w:lineRule="auto"/>
        <w:ind w:firstLine="413" w:firstLineChars="196"/>
        <w:jc w:val="left"/>
        <w:outlineLvl w:val="0"/>
        <w:rPr>
          <w:rFonts w:ascii="宋体" w:hAnsi="宋体" w:cs="宋体"/>
          <w:b/>
          <w:bCs/>
          <w:highlight w:val="none"/>
        </w:rPr>
      </w:pPr>
      <w:r>
        <w:rPr>
          <w:rFonts w:hint="eastAsia" w:ascii="宋体" w:hAnsi="宋体" w:cs="宋体"/>
          <w:b/>
          <w:bCs/>
          <w:highlight w:val="none"/>
        </w:rPr>
        <w:tab/>
      </w:r>
      <w:bookmarkStart w:id="110" w:name="_Toc47388345"/>
      <w:bookmarkStart w:id="111" w:name="_Toc115344267"/>
      <w:bookmarkStart w:id="112" w:name="_Toc11512"/>
      <w:bookmarkStart w:id="113" w:name="_Toc105619129"/>
      <w:bookmarkStart w:id="114" w:name="_Toc417922243"/>
      <w:bookmarkStart w:id="115" w:name="_Toc26755"/>
      <w:r>
        <w:rPr>
          <w:rFonts w:hint="eastAsia" w:ascii="宋体" w:hAnsi="宋体" w:cs="宋体"/>
          <w:highlight w:val="none"/>
        </w:rPr>
        <w:t>★</w:t>
      </w:r>
      <w:r>
        <w:rPr>
          <w:rFonts w:hint="eastAsia" w:ascii="宋体" w:hAnsi="宋体" w:cs="宋体"/>
          <w:b/>
          <w:bCs/>
          <w:highlight w:val="none"/>
        </w:rPr>
        <w:t>3.投标文针对同一内容只允许有一个报价，有选择的或有条件的报价将不予接受。</w:t>
      </w:r>
      <w:bookmarkEnd w:id="110"/>
      <w:bookmarkEnd w:id="111"/>
      <w:bookmarkEnd w:id="112"/>
      <w:bookmarkEnd w:id="113"/>
      <w:bookmarkEnd w:id="114"/>
      <w:bookmarkEnd w:id="115"/>
    </w:p>
    <w:p>
      <w:pPr>
        <w:snapToGrid w:val="0"/>
        <w:spacing w:before="156" w:beforeLines="50" w:line="360" w:lineRule="auto"/>
        <w:ind w:firstLine="413" w:firstLineChars="196"/>
        <w:jc w:val="left"/>
        <w:outlineLvl w:val="0"/>
        <w:rPr>
          <w:rFonts w:ascii="宋体" w:hAnsi="宋体" w:cs="宋体"/>
          <w:b/>
          <w:bCs/>
          <w:highlight w:val="none"/>
        </w:rPr>
      </w:pPr>
      <w:bookmarkStart w:id="116" w:name="_Toc417922244"/>
      <w:bookmarkStart w:id="117" w:name="_Toc5580"/>
      <w:bookmarkStart w:id="118" w:name="_Toc13397"/>
      <w:bookmarkStart w:id="119" w:name="_Toc115344268"/>
      <w:bookmarkStart w:id="120" w:name="_Toc47388346"/>
      <w:bookmarkStart w:id="121" w:name="_Toc105619130"/>
      <w:r>
        <w:rPr>
          <w:rFonts w:hint="eastAsia" w:ascii="宋体" w:hAnsi="宋体" w:cs="宋体"/>
          <w:b/>
          <w:bCs/>
          <w:highlight w:val="none"/>
        </w:rPr>
        <w:t>（四）投标文件的有效期</w:t>
      </w:r>
      <w:bookmarkEnd w:id="116"/>
      <w:bookmarkEnd w:id="117"/>
      <w:bookmarkEnd w:id="118"/>
      <w:bookmarkEnd w:id="119"/>
      <w:bookmarkEnd w:id="120"/>
      <w:bookmarkEnd w:id="121"/>
    </w:p>
    <w:p>
      <w:pPr>
        <w:pStyle w:val="13"/>
        <w:widowControl w:val="0"/>
        <w:tabs>
          <w:tab w:val="clear" w:pos="454"/>
        </w:tabs>
        <w:snapToGrid w:val="0"/>
        <w:spacing w:afterLines="0" w:line="360" w:lineRule="auto"/>
        <w:ind w:left="0" w:firstLine="420" w:firstLineChars="200"/>
        <w:rPr>
          <w:rFonts w:ascii="宋体" w:hAnsi="宋体" w:cs="宋体"/>
          <w:b/>
          <w:bCs/>
          <w:sz w:val="21"/>
          <w:szCs w:val="21"/>
          <w:highlight w:val="none"/>
        </w:rPr>
      </w:pPr>
      <w:r>
        <w:rPr>
          <w:rFonts w:hint="eastAsia" w:ascii="宋体" w:hAnsi="宋体" w:cs="宋体"/>
          <w:sz w:val="21"/>
          <w:szCs w:val="21"/>
          <w:highlight w:val="none"/>
        </w:rPr>
        <w:t>★</w:t>
      </w:r>
      <w:r>
        <w:rPr>
          <w:rFonts w:hint="eastAsia" w:ascii="宋体" w:hAnsi="宋体" w:cs="宋体"/>
          <w:b/>
          <w:bCs/>
          <w:sz w:val="21"/>
          <w:szCs w:val="21"/>
          <w:highlight w:val="none"/>
        </w:rPr>
        <w:t>1.自投标截止日起</w:t>
      </w:r>
      <w:r>
        <w:rPr>
          <w:rFonts w:hint="eastAsia" w:ascii="宋体" w:hAnsi="宋体" w:cs="宋体"/>
          <w:b/>
          <w:bCs/>
          <w:sz w:val="21"/>
          <w:szCs w:val="21"/>
          <w:highlight w:val="none"/>
          <w:u w:val="single"/>
        </w:rPr>
        <w:t xml:space="preserve">90 </w:t>
      </w:r>
      <w:r>
        <w:rPr>
          <w:rFonts w:hint="eastAsia" w:ascii="宋体" w:hAnsi="宋体" w:cs="宋体"/>
          <w:b/>
          <w:bCs/>
          <w:sz w:val="21"/>
          <w:szCs w:val="21"/>
          <w:highlight w:val="none"/>
        </w:rPr>
        <w:t>天投标文件应保持有效。有效期不足的投标文件将被拒绝。</w:t>
      </w:r>
    </w:p>
    <w:p>
      <w:pPr>
        <w:pStyle w:val="13"/>
        <w:widowControl w:val="0"/>
        <w:tabs>
          <w:tab w:val="clear" w:pos="454"/>
        </w:tabs>
        <w:snapToGrid w:val="0"/>
        <w:spacing w:afterLines="0" w:line="360" w:lineRule="auto"/>
        <w:ind w:left="0" w:firstLine="420" w:firstLineChars="200"/>
        <w:rPr>
          <w:rFonts w:ascii="宋体" w:hAnsi="宋体" w:cs="宋体"/>
          <w:sz w:val="21"/>
          <w:szCs w:val="21"/>
          <w:highlight w:val="none"/>
        </w:rPr>
      </w:pPr>
      <w:r>
        <w:rPr>
          <w:rFonts w:hint="eastAsia" w:ascii="宋体" w:hAnsi="宋体" w:cs="宋体"/>
          <w:sz w:val="21"/>
          <w:szCs w:val="21"/>
          <w:highlight w:val="none"/>
        </w:rPr>
        <w:t>2.在特殊情况下，招标人可与投标人协商延长投标书的有效期，这种要求和答复均以书面形式进行。</w:t>
      </w:r>
    </w:p>
    <w:p>
      <w:pPr>
        <w:snapToGrid w:val="0"/>
        <w:spacing w:line="360" w:lineRule="auto"/>
        <w:ind w:firstLine="420" w:firstLineChars="200"/>
        <w:jc w:val="left"/>
        <w:outlineLvl w:val="0"/>
        <w:rPr>
          <w:rFonts w:ascii="宋体" w:hAnsi="宋体" w:cs="宋体"/>
          <w:b/>
          <w:bCs/>
          <w:highlight w:val="none"/>
        </w:rPr>
      </w:pPr>
      <w:bookmarkStart w:id="122" w:name="_Toc4957"/>
      <w:bookmarkStart w:id="123" w:name="_Toc47388347"/>
      <w:bookmarkStart w:id="124" w:name="_Toc5617"/>
      <w:bookmarkStart w:id="125" w:name="_Toc417922245"/>
      <w:bookmarkStart w:id="126" w:name="_Toc115344269"/>
      <w:bookmarkStart w:id="127" w:name="_Toc105619131"/>
      <w:r>
        <w:rPr>
          <w:rFonts w:hint="eastAsia" w:ascii="宋体" w:hAnsi="宋体" w:cs="宋体"/>
          <w:highlight w:val="none"/>
        </w:rPr>
        <w:t>3.投标人可拒绝接受延期要求而不会导致投标保证金被没收。同意延长有效期的投标人需要相应延长投标保证金的有效期，但不能修改投标文件。</w:t>
      </w:r>
      <w:bookmarkEnd w:id="122"/>
      <w:bookmarkEnd w:id="123"/>
      <w:bookmarkEnd w:id="124"/>
      <w:bookmarkEnd w:id="125"/>
      <w:bookmarkEnd w:id="126"/>
      <w:bookmarkEnd w:id="127"/>
      <w:r>
        <w:rPr>
          <w:rFonts w:hint="eastAsia" w:ascii="宋体" w:hAnsi="宋体" w:cs="宋体"/>
          <w:b/>
          <w:bCs/>
          <w:highlight w:val="none"/>
        </w:rPr>
        <w:t xml:space="preserve"> </w:t>
      </w:r>
    </w:p>
    <w:p>
      <w:pPr>
        <w:snapToGrid w:val="0"/>
        <w:spacing w:line="360" w:lineRule="auto"/>
        <w:ind w:firstLine="420" w:firstLineChars="200"/>
        <w:jc w:val="left"/>
        <w:outlineLvl w:val="0"/>
        <w:rPr>
          <w:rFonts w:ascii="宋体" w:hAnsi="宋体" w:cs="宋体"/>
          <w:b/>
          <w:bCs/>
          <w:highlight w:val="none"/>
        </w:rPr>
      </w:pPr>
      <w:bookmarkStart w:id="128" w:name="_Toc105619132"/>
      <w:bookmarkStart w:id="129" w:name="_Toc417922246"/>
      <w:bookmarkStart w:id="130" w:name="_Toc22030"/>
      <w:bookmarkStart w:id="131" w:name="_Toc27965"/>
      <w:bookmarkStart w:id="132" w:name="_Toc47388348"/>
      <w:bookmarkStart w:id="133" w:name="_Toc115344270"/>
      <w:r>
        <w:rPr>
          <w:rFonts w:hint="eastAsia" w:ascii="宋体" w:hAnsi="宋体" w:cs="宋体"/>
          <w:highlight w:val="none"/>
        </w:rPr>
        <w:t>4.中标人的投标文件自开标之日起至合同履行完毕止均应保持有效。</w:t>
      </w:r>
      <w:bookmarkEnd w:id="128"/>
      <w:bookmarkEnd w:id="129"/>
      <w:bookmarkEnd w:id="130"/>
      <w:bookmarkEnd w:id="131"/>
      <w:bookmarkEnd w:id="132"/>
      <w:bookmarkEnd w:id="133"/>
    </w:p>
    <w:p>
      <w:pPr>
        <w:snapToGrid w:val="0"/>
        <w:spacing w:before="156" w:beforeLines="50" w:line="360" w:lineRule="auto"/>
        <w:ind w:firstLine="413" w:firstLineChars="196"/>
        <w:jc w:val="left"/>
        <w:outlineLvl w:val="0"/>
        <w:rPr>
          <w:rFonts w:ascii="宋体" w:hAnsi="宋体" w:cs="宋体"/>
          <w:b/>
          <w:bCs/>
          <w:highlight w:val="none"/>
        </w:rPr>
      </w:pPr>
      <w:bookmarkStart w:id="134" w:name="_Toc8457"/>
      <w:bookmarkStart w:id="135" w:name="_Toc17092"/>
      <w:bookmarkStart w:id="136" w:name="_Toc447886351"/>
      <w:bookmarkStart w:id="137" w:name="_Toc105619133"/>
      <w:bookmarkStart w:id="138" w:name="_Toc115344271"/>
      <w:bookmarkStart w:id="139" w:name="_Toc47388363"/>
      <w:bookmarkStart w:id="140" w:name="_Toc447886489"/>
      <w:r>
        <w:rPr>
          <w:rFonts w:hint="eastAsia" w:ascii="宋体" w:hAnsi="宋体" w:cs="宋体"/>
          <w:b/>
          <w:bCs/>
          <w:highlight w:val="none"/>
        </w:rPr>
        <w:t>（五）投标文件的签署和份数</w:t>
      </w:r>
      <w:bookmarkEnd w:id="134"/>
      <w:bookmarkEnd w:id="135"/>
      <w:bookmarkEnd w:id="136"/>
      <w:bookmarkEnd w:id="137"/>
      <w:bookmarkEnd w:id="138"/>
      <w:bookmarkEnd w:id="139"/>
      <w:bookmarkEnd w:id="140"/>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w:t>
      </w:r>
      <w:r>
        <w:rPr>
          <w:rFonts w:hint="eastAsia" w:ascii="宋体" w:hAnsi="宋体" w:cs="宋体"/>
          <w:b/>
          <w:bCs/>
          <w:highlight w:val="none"/>
        </w:rPr>
        <w:t>2.投标人应提供电子投标文件。电子投标文件中所须加盖公章（联合体的，只需盖联合体牵头人CA章）。</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3.投标文件须由投标人在规定位置盖章并由法定代表人或法定代表人的授权委托人签署，投标人应写全称。</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4.投标文件不得涂改，若有修改错漏处，须加盖单位公章或者法定代表人或授权委托人签字或盖章。投标文件因字迹潦草或表达不清所引起的后果由投标人负责。</w:t>
      </w:r>
    </w:p>
    <w:p>
      <w:pPr>
        <w:snapToGrid w:val="0"/>
        <w:spacing w:before="156" w:beforeLines="50" w:line="360" w:lineRule="auto"/>
        <w:ind w:firstLine="310" w:firstLineChars="147"/>
        <w:jc w:val="left"/>
        <w:rPr>
          <w:rFonts w:ascii="宋体" w:hAnsi="宋体" w:cs="宋体"/>
          <w:b/>
          <w:bCs/>
          <w:highlight w:val="none"/>
        </w:rPr>
      </w:pPr>
      <w:r>
        <w:rPr>
          <w:rFonts w:hint="eastAsia" w:ascii="宋体" w:hAnsi="宋体" w:cs="宋体"/>
          <w:b/>
          <w:bCs/>
          <w:highlight w:val="none"/>
        </w:rPr>
        <w:t>（六）投标文件的上传递交、修改和撤回</w:t>
      </w:r>
    </w:p>
    <w:p>
      <w:pPr>
        <w:snapToGrid w:val="0"/>
        <w:spacing w:before="156" w:beforeLines="50" w:line="360" w:lineRule="auto"/>
        <w:ind w:firstLine="411" w:firstLineChars="196"/>
        <w:jc w:val="left"/>
        <w:outlineLvl w:val="2"/>
        <w:rPr>
          <w:rFonts w:ascii="宋体" w:hAnsi="宋体" w:cs="宋体"/>
          <w:highlight w:val="none"/>
        </w:rPr>
      </w:pPr>
      <w:bookmarkStart w:id="141" w:name="_Toc11204"/>
      <w:bookmarkStart w:id="142" w:name="_Toc105619134"/>
      <w:bookmarkStart w:id="143" w:name="_Toc47388364"/>
      <w:bookmarkStart w:id="144" w:name="_Toc26991"/>
      <w:bookmarkStart w:id="145" w:name="_Toc115344272"/>
      <w:bookmarkStart w:id="146" w:name="_Toc447886352"/>
      <w:bookmarkStart w:id="147" w:name="_Toc447886490"/>
      <w:r>
        <w:rPr>
          <w:rFonts w:hint="eastAsia" w:ascii="宋体" w:hAnsi="宋体" w:cs="宋体"/>
          <w:highlight w:val="none"/>
        </w:rPr>
        <w:t>1.投标文件的上传递交：</w:t>
      </w:r>
      <w:bookmarkEnd w:id="141"/>
      <w:bookmarkEnd w:id="142"/>
      <w:bookmarkEnd w:id="143"/>
      <w:bookmarkEnd w:id="144"/>
      <w:bookmarkEnd w:id="145"/>
    </w:p>
    <w:p>
      <w:pPr>
        <w:snapToGrid w:val="0"/>
        <w:spacing w:before="156" w:beforeLines="50" w:line="360" w:lineRule="auto"/>
        <w:ind w:firstLine="411" w:firstLineChars="196"/>
        <w:jc w:val="left"/>
        <w:outlineLvl w:val="2"/>
        <w:rPr>
          <w:rFonts w:ascii="宋体" w:hAnsi="宋体" w:cs="宋体"/>
          <w:highlight w:val="none"/>
        </w:rPr>
      </w:pPr>
      <w:bookmarkStart w:id="148" w:name="_Toc115344273"/>
      <w:bookmarkStart w:id="149" w:name="_Toc105619135"/>
      <w:bookmarkStart w:id="150" w:name="_Toc18986"/>
      <w:bookmarkStart w:id="151" w:name="_Toc47388365"/>
      <w:bookmarkStart w:id="152" w:name="_Toc4923"/>
      <w:r>
        <w:rPr>
          <w:rFonts w:hint="eastAsia" w:ascii="宋体" w:hAnsi="宋体" w:cs="宋体"/>
          <w:highlight w:val="none"/>
        </w:rPr>
        <w:t>（1）电子加密投标文件的上传递交：</w:t>
      </w:r>
      <w:bookmarkEnd w:id="148"/>
      <w:bookmarkEnd w:id="149"/>
      <w:bookmarkEnd w:id="150"/>
      <w:bookmarkEnd w:id="151"/>
      <w:bookmarkEnd w:id="152"/>
    </w:p>
    <w:p>
      <w:pPr>
        <w:snapToGrid w:val="0"/>
        <w:spacing w:before="156" w:beforeLines="50" w:line="360" w:lineRule="auto"/>
        <w:ind w:firstLine="411" w:firstLineChars="196"/>
        <w:jc w:val="left"/>
        <w:outlineLvl w:val="2"/>
        <w:rPr>
          <w:rFonts w:ascii="宋体" w:hAnsi="宋体" w:cs="宋体"/>
          <w:highlight w:val="none"/>
        </w:rPr>
      </w:pPr>
      <w:bookmarkStart w:id="153" w:name="_Toc20446"/>
      <w:bookmarkStart w:id="154" w:name="_Toc115344274"/>
      <w:bookmarkStart w:id="155" w:name="_Toc105619136"/>
      <w:bookmarkStart w:id="156" w:name="_Toc47388366"/>
      <w:bookmarkStart w:id="157" w:name="_Toc28964"/>
      <w:r>
        <w:rPr>
          <w:rFonts w:hint="eastAsia" w:ascii="宋体" w:hAnsi="宋体" w:cs="宋体"/>
          <w:highlight w:val="none"/>
        </w:rPr>
        <w:t>★a.投标人应在投标截止时间前将电子加密投标文件成功上传递交至政府采购云平台，否则投标无效；</w:t>
      </w:r>
      <w:bookmarkEnd w:id="153"/>
      <w:bookmarkEnd w:id="154"/>
      <w:bookmarkEnd w:id="155"/>
      <w:bookmarkEnd w:id="156"/>
      <w:bookmarkEnd w:id="157"/>
    </w:p>
    <w:p>
      <w:pPr>
        <w:snapToGrid w:val="0"/>
        <w:spacing w:before="156" w:beforeLines="50" w:line="360" w:lineRule="auto"/>
        <w:ind w:firstLine="411" w:firstLineChars="196"/>
        <w:jc w:val="left"/>
        <w:outlineLvl w:val="2"/>
        <w:rPr>
          <w:rFonts w:ascii="宋体" w:hAnsi="宋体" w:cs="宋体"/>
          <w:highlight w:val="none"/>
        </w:rPr>
      </w:pPr>
      <w:bookmarkStart w:id="158" w:name="_Toc115344275"/>
      <w:bookmarkStart w:id="159" w:name="_Toc47388367"/>
      <w:bookmarkStart w:id="160" w:name="_Toc31716"/>
      <w:bookmarkStart w:id="161" w:name="_Toc29076"/>
      <w:bookmarkStart w:id="162" w:name="_Toc105619137"/>
      <w:r>
        <w:rPr>
          <w:rFonts w:hint="eastAsia" w:ascii="宋体" w:hAnsi="宋体" w:cs="宋体"/>
          <w:highlight w:val="none"/>
        </w:rPr>
        <w:t>b.电子加密投标文件成功上传递交后，投标人可自行打印投标文件接收回执。</w:t>
      </w:r>
      <w:bookmarkEnd w:id="158"/>
      <w:bookmarkEnd w:id="159"/>
      <w:bookmarkEnd w:id="160"/>
      <w:bookmarkEnd w:id="161"/>
      <w:bookmarkEnd w:id="162"/>
    </w:p>
    <w:p>
      <w:pPr>
        <w:snapToGrid w:val="0"/>
        <w:spacing w:before="156" w:beforeLines="50" w:line="360" w:lineRule="auto"/>
        <w:ind w:firstLine="411" w:firstLineChars="196"/>
        <w:jc w:val="left"/>
        <w:outlineLvl w:val="2"/>
        <w:rPr>
          <w:rFonts w:ascii="宋体" w:hAnsi="宋体" w:cs="宋体"/>
          <w:highlight w:val="none"/>
        </w:rPr>
      </w:pPr>
      <w:bookmarkStart w:id="163" w:name="_Toc13445"/>
      <w:bookmarkStart w:id="164" w:name="_Toc115344276"/>
      <w:bookmarkStart w:id="165" w:name="_Toc47388368"/>
      <w:bookmarkStart w:id="166" w:name="_Toc105619138"/>
      <w:bookmarkStart w:id="167" w:name="_Toc2573"/>
      <w:r>
        <w:rPr>
          <w:rFonts w:hint="eastAsia" w:ascii="宋体" w:hAnsi="宋体" w:cs="宋体"/>
          <w:highlight w:val="none"/>
        </w:rPr>
        <w:t>（2）备份投标文件的密封包装、递交：</w:t>
      </w:r>
      <w:bookmarkEnd w:id="163"/>
      <w:bookmarkEnd w:id="164"/>
      <w:bookmarkEnd w:id="165"/>
      <w:bookmarkEnd w:id="166"/>
      <w:bookmarkEnd w:id="167"/>
    </w:p>
    <w:p>
      <w:pPr>
        <w:snapToGrid w:val="0"/>
        <w:spacing w:before="156" w:beforeLines="50" w:line="360" w:lineRule="auto"/>
        <w:ind w:firstLine="411" w:firstLineChars="196"/>
        <w:jc w:val="left"/>
        <w:outlineLvl w:val="2"/>
        <w:rPr>
          <w:rFonts w:ascii="宋体" w:hAnsi="宋体" w:cs="宋体"/>
          <w:highlight w:val="none"/>
        </w:rPr>
      </w:pPr>
      <w:bookmarkStart w:id="168" w:name="_Toc3075"/>
      <w:bookmarkStart w:id="169" w:name="_Toc115344277"/>
      <w:bookmarkStart w:id="170" w:name="_Toc105619139"/>
      <w:bookmarkStart w:id="171" w:name="_Toc9896"/>
      <w:bookmarkStart w:id="172" w:name="_Toc47388369"/>
      <w:r>
        <w:rPr>
          <w:rFonts w:hint="eastAsia" w:ascii="宋体" w:hAnsi="宋体" w:cs="宋体"/>
          <w:highlight w:val="none"/>
        </w:rPr>
        <w:t>a.投标人在政府采购云平台完成电子加密投标文件的上传递交后，还可以通过电子邮件在投标截止时间前递交备份投标文件；</w:t>
      </w:r>
      <w:bookmarkEnd w:id="168"/>
      <w:bookmarkEnd w:id="169"/>
      <w:bookmarkEnd w:id="170"/>
      <w:bookmarkEnd w:id="171"/>
      <w:bookmarkEnd w:id="172"/>
    </w:p>
    <w:p>
      <w:pPr>
        <w:snapToGrid w:val="0"/>
        <w:spacing w:before="156" w:beforeLines="50" w:line="360" w:lineRule="auto"/>
        <w:ind w:firstLine="411" w:firstLineChars="196"/>
        <w:jc w:val="left"/>
        <w:outlineLvl w:val="2"/>
        <w:rPr>
          <w:rFonts w:ascii="宋体" w:hAnsi="宋体" w:cs="宋体"/>
          <w:highlight w:val="none"/>
        </w:rPr>
      </w:pPr>
      <w:bookmarkStart w:id="173" w:name="_Toc105619140"/>
      <w:bookmarkStart w:id="174" w:name="_Toc17866"/>
      <w:bookmarkStart w:id="175" w:name="_Toc115344278"/>
      <w:bookmarkStart w:id="176" w:name="_Toc47388370"/>
      <w:bookmarkStart w:id="177" w:name="_Toc6588"/>
      <w:r>
        <w:rPr>
          <w:rFonts w:hint="eastAsia" w:ascii="宋体" w:hAnsi="宋体" w:cs="宋体"/>
          <w:highlight w:val="none"/>
        </w:rPr>
        <w:t>★b.通过政府采购云平台成功上传递交的电子加密投标文件已按时解密的，备份投标文件自动失效。投标截止时间前，投标人仅递交备份投标文件而未将电子加密投标文件成功上传递交至政府采购云平台的，投标无效。</w:t>
      </w:r>
      <w:bookmarkEnd w:id="173"/>
      <w:bookmarkEnd w:id="174"/>
      <w:bookmarkEnd w:id="175"/>
      <w:bookmarkEnd w:id="176"/>
      <w:bookmarkEnd w:id="177"/>
    </w:p>
    <w:p>
      <w:pPr>
        <w:snapToGrid w:val="0"/>
        <w:spacing w:before="156" w:beforeLines="50" w:line="360" w:lineRule="auto"/>
        <w:ind w:firstLine="411" w:firstLineChars="196"/>
        <w:jc w:val="left"/>
        <w:outlineLvl w:val="2"/>
        <w:rPr>
          <w:rFonts w:ascii="宋体" w:hAnsi="宋体" w:cs="宋体"/>
          <w:highlight w:val="none"/>
        </w:rPr>
      </w:pPr>
      <w:bookmarkStart w:id="178" w:name="_Toc47388371"/>
      <w:bookmarkStart w:id="179" w:name="_Toc10991"/>
      <w:bookmarkStart w:id="180" w:name="_Toc105619141"/>
      <w:bookmarkStart w:id="181" w:name="_Toc115344279"/>
      <w:bookmarkStart w:id="182" w:name="_Toc21618"/>
      <w:r>
        <w:rPr>
          <w:rFonts w:hint="eastAsia" w:ascii="宋体" w:hAnsi="宋体" w:cs="宋体"/>
          <w:highlight w:val="none"/>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将予以拒收。</w:t>
      </w:r>
      <w:bookmarkEnd w:id="178"/>
      <w:bookmarkEnd w:id="179"/>
      <w:bookmarkEnd w:id="180"/>
      <w:bookmarkEnd w:id="181"/>
      <w:bookmarkEnd w:id="182"/>
    </w:p>
    <w:bookmarkEnd w:id="146"/>
    <w:bookmarkEnd w:id="147"/>
    <w:p>
      <w:pPr>
        <w:snapToGrid w:val="0"/>
        <w:spacing w:line="360" w:lineRule="auto"/>
        <w:jc w:val="left"/>
        <w:rPr>
          <w:rFonts w:ascii="宋体" w:hAnsi="宋体" w:cs="宋体"/>
          <w:b/>
          <w:bCs/>
          <w:highlight w:val="none"/>
        </w:rPr>
      </w:pPr>
      <w:r>
        <w:rPr>
          <w:rFonts w:hint="eastAsia" w:ascii="宋体" w:hAnsi="宋体" w:cs="宋体"/>
          <w:b/>
          <w:bCs/>
          <w:highlight w:val="none"/>
        </w:rPr>
        <w:t>四、特别说明</w:t>
      </w:r>
    </w:p>
    <w:p>
      <w:pPr>
        <w:pStyle w:val="21"/>
        <w:snapToGrid w:val="0"/>
        <w:spacing w:line="360" w:lineRule="auto"/>
        <w:ind w:firstLine="404" w:firstLineChars="200"/>
        <w:rPr>
          <w:rFonts w:hAnsi="宋体"/>
          <w:color w:val="auto"/>
          <w:sz w:val="21"/>
          <w:szCs w:val="21"/>
          <w:highlight w:val="none"/>
        </w:rPr>
      </w:pPr>
      <w:r>
        <w:rPr>
          <w:rFonts w:hint="eastAsia" w:hAnsi="宋体"/>
          <w:color w:val="auto"/>
          <w:sz w:val="21"/>
          <w:szCs w:val="21"/>
          <w:highlight w:val="none"/>
        </w:rPr>
        <w:t>1.进口产品采购需符合“财政部关于印发《政府采购进口产品管理办法》的通知（财库[2007]119号）”第四、八、九、十、十一条的规定。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2.本项目</w:t>
      </w:r>
      <w:r>
        <w:rPr>
          <w:rFonts w:hint="eastAsia" w:ascii="宋体" w:hAnsi="宋体" w:cs="宋体"/>
          <w:color w:val="auto"/>
          <w:highlight w:val="none"/>
          <w:u w:val="single"/>
        </w:rPr>
        <w:t xml:space="preserve"> 非 </w:t>
      </w:r>
      <w:r>
        <w:rPr>
          <w:rFonts w:hint="eastAsia" w:ascii="宋体" w:hAnsi="宋体" w:cs="宋体"/>
          <w:color w:val="auto"/>
          <w:highlight w:val="none"/>
        </w:rPr>
        <w:t>专门面向中小企业采购。</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3.本项目对应的中小企业划分标准所属行业:</w:t>
      </w:r>
      <w:r>
        <w:rPr>
          <w:rFonts w:hint="eastAsia" w:ascii="宋体" w:hAnsi="宋体" w:cs="宋体"/>
          <w:color w:val="auto"/>
          <w:highlight w:val="none"/>
          <w:u w:val="single"/>
        </w:rPr>
        <w:t xml:space="preserve"> 工业。</w:t>
      </w:r>
      <w:r>
        <w:rPr>
          <w:rFonts w:hint="eastAsia" w:ascii="宋体" w:hAnsi="宋体" w:cs="宋体"/>
          <w:color w:val="auto"/>
          <w:highlight w:val="none"/>
        </w:rPr>
        <w:t xml:space="preserve"> </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4.小微企业是指中华人民共和国境内依法设立，依据国务院批准的中小企业划分标准确定的小型企业和微型企业，但与大企业的负责人为同一人，或者与大企业存在直接控股、管理关系的除外。</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符合中小企业划分标准的个体工商户，在政府采购活动中视同中小企业。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国务院批准的中小企业划分标准：具体见工信部联企业[2011]300号。</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5.在政府采购活动中，供应商提供的货物、工程或者服务符合下列情形的，可享受小型、微型企业（以下简称小微企业）的价格扣除：</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（1）在货物采购项目中，货物由小微企业制造，即货物由小微企业生产且使用该小微企业商号或者注册商标；</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（2）在工程采购项目中，工程由小微企业承建，即工程施工单位为小微企业；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（3）在服务采购项目中，服务由小微企业承接，即提供服务的人员为小微企业依照《中华人民共和国劳动合同法》订立劳动合同的从业人员。</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以联合体形式参加政府采购活动，联合体各方均为小微企业的，联合体视同小微企业。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6.在货物采购项目中，供应商提供的货物既有中小企业制造货物，也有大型企业制造货物的，不享受的小微企业价格扣除。</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7.本项目对符合《政府采购促进中小企业发展管理办法》（财库﹝2020﹞46号）和《财政部关于进一步加大政府采购支持中小企业力度的通知》（财库〔2022〕19号）规定的小微企业报价给予10%（工程项目为5%）的扣除，用扣除后的价格参加评审。</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8.小微企业应按照招标文件格式要求提供《中小企业声明函》。</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9.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10.根据《关于促进残疾人就业政府采购政策的通知》（财库[2017]141号）规定，在政府采购活动中，残疾人福利性单位视同小型、微型企业。残疾人福利性单位参加政府采购活动时，提供《残疾人福利性单位声明函》。</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11.按规定享受扶持政策获得政府采购合同的，小微企业不得将合同分包给大中型企业，中型企业不得将合同分包给大型企业。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12.供应商按照《政府采购促进中小企业发展管理办法》（财库﹝2020﹞46号）规定提供声明函内容不实的，属于提供虚假材料谋取中标、成交，依照《中华人民共和国政府采购法》等国家有关规定追究相应责任。</w:t>
      </w:r>
    </w:p>
    <w:p>
      <w:pPr>
        <w:pStyle w:val="2"/>
        <w:rPr>
          <w:rFonts w:ascii="宋体" w:cs="宋体"/>
          <w:color w:val="auto"/>
          <w:sz w:val="21"/>
          <w:szCs w:val="21"/>
          <w:highlight w:val="none"/>
        </w:rPr>
      </w:pPr>
    </w:p>
    <w:p>
      <w:pPr>
        <w:pStyle w:val="2"/>
        <w:rPr>
          <w:rFonts w:ascii="宋体" w:cs="宋体"/>
          <w:color w:val="auto"/>
          <w:highlight w:val="none"/>
        </w:rPr>
      </w:pPr>
    </w:p>
    <w:p>
      <w:pPr>
        <w:pStyle w:val="2"/>
        <w:rPr>
          <w:rFonts w:ascii="宋体" w:cs="宋体"/>
          <w:color w:val="auto"/>
          <w:highlight w:val="none"/>
        </w:rPr>
      </w:pPr>
    </w:p>
    <w:p>
      <w:pPr>
        <w:pStyle w:val="2"/>
        <w:rPr>
          <w:rFonts w:ascii="宋体" w:cs="宋体"/>
          <w:color w:val="auto"/>
          <w:highlight w:val="none"/>
        </w:rPr>
      </w:pPr>
    </w:p>
    <w:p>
      <w:pPr>
        <w:pStyle w:val="2"/>
        <w:rPr>
          <w:rFonts w:ascii="宋体" w:cs="宋体"/>
          <w:color w:val="auto"/>
          <w:highlight w:val="none"/>
        </w:rPr>
      </w:pPr>
    </w:p>
    <w:p>
      <w:pPr>
        <w:pStyle w:val="2"/>
        <w:rPr>
          <w:rFonts w:ascii="宋体" w:cs="宋体"/>
          <w:color w:val="auto"/>
          <w:highlight w:val="none"/>
        </w:rPr>
      </w:pPr>
    </w:p>
    <w:p>
      <w:pPr>
        <w:pStyle w:val="2"/>
        <w:rPr>
          <w:rFonts w:ascii="宋体" w:cs="宋体"/>
          <w:color w:val="auto"/>
          <w:highlight w:val="none"/>
        </w:rPr>
      </w:pPr>
    </w:p>
    <w:p>
      <w:pPr>
        <w:pStyle w:val="2"/>
        <w:rPr>
          <w:rFonts w:ascii="宋体" w:cs="宋体"/>
          <w:color w:val="auto"/>
          <w:highlight w:val="none"/>
        </w:rPr>
      </w:pPr>
    </w:p>
    <w:p>
      <w:pPr>
        <w:pStyle w:val="2"/>
        <w:rPr>
          <w:rFonts w:ascii="宋体" w:cs="宋体"/>
          <w:color w:val="auto"/>
          <w:highlight w:val="none"/>
        </w:rPr>
      </w:pPr>
    </w:p>
    <w:p>
      <w:pPr>
        <w:pStyle w:val="2"/>
        <w:jc w:val="both"/>
        <w:rPr>
          <w:rFonts w:ascii="宋体" w:cs="宋体"/>
          <w:color w:val="auto"/>
          <w:highlight w:val="none"/>
        </w:rPr>
        <w:sectPr>
          <w:headerReference r:id="rId5" w:type="default"/>
          <w:footerReference r:id="rId6" w:type="default"/>
          <w:pgSz w:w="11906" w:h="16838"/>
          <w:pgMar w:top="1474" w:right="1797" w:bottom="1247" w:left="1797" w:header="851" w:footer="851" w:gutter="0"/>
          <w:cols w:space="720" w:num="1"/>
          <w:docGrid w:type="lines" w:linePitch="312" w:charSpace="0"/>
        </w:sectPr>
      </w:pPr>
      <w:bookmarkStart w:id="183" w:name="_Toc115344281"/>
      <w:bookmarkStart w:id="184" w:name="_Toc104473137"/>
      <w:bookmarkStart w:id="185" w:name="_Toc15274"/>
    </w:p>
    <w:p>
      <w:pPr>
        <w:pStyle w:val="2"/>
        <w:jc w:val="center"/>
        <w:rPr>
          <w:rFonts w:ascii="宋体" w:cs="宋体"/>
          <w:color w:val="auto"/>
          <w:highlight w:val="none"/>
        </w:rPr>
      </w:pPr>
      <w:r>
        <w:rPr>
          <w:rFonts w:hint="eastAsia" w:ascii="宋体" w:cs="宋体"/>
          <w:color w:val="auto"/>
          <w:highlight w:val="none"/>
        </w:rPr>
        <w:t>第三章  合同主要条款</w:t>
      </w:r>
      <w:bookmarkEnd w:id="183"/>
      <w:bookmarkEnd w:id="184"/>
      <w:bookmarkEnd w:id="185"/>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甲方：（买方）</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乙方：（卖方）</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 xml:space="preserve">   </w:t>
      </w:r>
      <w:r>
        <w:rPr>
          <w:rFonts w:hint="eastAsia" w:hAnsi="宋体"/>
          <w:sz w:val="21"/>
          <w:szCs w:val="21"/>
          <w:highlight w:val="none"/>
        </w:rPr>
        <w:t>甲、乙双方根据</w:t>
      </w:r>
      <w:r>
        <w:rPr>
          <w:rFonts w:hint="eastAsia" w:hAnsi="宋体"/>
          <w:sz w:val="21"/>
          <w:szCs w:val="21"/>
          <w:highlight w:val="none"/>
          <w:u w:val="single"/>
        </w:rPr>
        <w:t xml:space="preserve">                </w:t>
      </w:r>
      <w:r>
        <w:rPr>
          <w:rFonts w:hint="eastAsia" w:hAnsi="宋体"/>
          <w:sz w:val="21"/>
          <w:szCs w:val="21"/>
          <w:highlight w:val="none"/>
        </w:rPr>
        <w:t>项目</w:t>
      </w:r>
      <w:r>
        <w:rPr>
          <w:rFonts w:hint="eastAsia" w:hAnsi="宋体"/>
          <w:sz w:val="21"/>
          <w:szCs w:val="21"/>
          <w:highlight w:val="none"/>
          <w:u w:val="single"/>
        </w:rPr>
        <w:t>（招标编号：       ）的</w:t>
      </w:r>
      <w:r>
        <w:rPr>
          <w:rFonts w:hint="eastAsia" w:hAnsi="宋体"/>
          <w:sz w:val="21"/>
          <w:szCs w:val="21"/>
          <w:highlight w:val="none"/>
        </w:rPr>
        <w:t>招标结果，签署本合同。</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一、货物内容</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1.1 货物名称：</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1.2 型号规格：</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1.3 技术参数：</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1.4 数量（单位）：</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二、合同金额</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9" w:hanging="359" w:hangingChars="171"/>
        <w:textAlignment w:val="auto"/>
        <w:rPr>
          <w:rFonts w:hAnsi="宋体"/>
          <w:sz w:val="21"/>
          <w:szCs w:val="21"/>
          <w:highlight w:val="none"/>
        </w:rPr>
      </w:pPr>
      <w:r>
        <w:rPr>
          <w:rFonts w:hint="eastAsia" w:hAnsi="宋体"/>
          <w:sz w:val="21"/>
          <w:szCs w:val="21"/>
          <w:highlight w:val="none"/>
        </w:rPr>
        <w:t>2.1 本合同金额为（大写）：___________元（￥_______________元）人民币。</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三、技术资料</w:t>
      </w:r>
    </w:p>
    <w:p>
      <w:pPr>
        <w:keepNext w:val="0"/>
        <w:keepLines w:val="0"/>
        <w:pageBreakBefore w:val="0"/>
        <w:widowControl w:val="0"/>
        <w:kinsoku/>
        <w:wordWrap/>
        <w:overflowPunct/>
        <w:topLinePunct w:val="0"/>
        <w:autoSpaceDE/>
        <w:autoSpaceDN/>
        <w:bidi w:val="0"/>
        <w:adjustRightInd/>
        <w:spacing w:line="356" w:lineRule="auto"/>
        <w:ind w:left="420" w:hanging="420" w:hangingChars="200"/>
        <w:textAlignment w:val="auto"/>
        <w:rPr>
          <w:rFonts w:ascii="宋体" w:hAnsi="宋体" w:cs="宋体"/>
          <w:highlight w:val="none"/>
        </w:rPr>
      </w:pPr>
      <w:r>
        <w:rPr>
          <w:rFonts w:hint="eastAsia" w:ascii="宋体" w:hAnsi="宋体" w:cs="宋体"/>
          <w:highlight w:val="none"/>
        </w:rPr>
        <w:t>3.1乙方应按要求在规定的时间组织施工，向甲方提供使用货物的有关技术资料，做好各项质量检查及记录，通过竣工验收，移交竣工图纸。</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9" w:hanging="359" w:hangingChars="171"/>
        <w:textAlignment w:val="auto"/>
        <w:rPr>
          <w:rFonts w:hAnsi="宋体"/>
          <w:sz w:val="21"/>
          <w:szCs w:val="21"/>
          <w:highlight w:val="none"/>
        </w:rPr>
      </w:pPr>
      <w:r>
        <w:rPr>
          <w:rFonts w:hint="eastAsia" w:hAnsi="宋体"/>
          <w:sz w:val="21"/>
          <w:szCs w:val="21"/>
          <w:highlight w:val="none"/>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60" w:hanging="361" w:hangingChars="171"/>
        <w:textAlignment w:val="auto"/>
        <w:rPr>
          <w:rFonts w:hAnsi="宋体"/>
          <w:b/>
          <w:sz w:val="21"/>
          <w:szCs w:val="21"/>
          <w:highlight w:val="none"/>
        </w:rPr>
      </w:pPr>
      <w:r>
        <w:rPr>
          <w:rFonts w:hint="eastAsia" w:hAnsi="宋体"/>
          <w:b/>
          <w:sz w:val="21"/>
          <w:szCs w:val="21"/>
          <w:highlight w:val="none"/>
        </w:rPr>
        <w:t>四、安全生产</w:t>
      </w:r>
    </w:p>
    <w:p>
      <w:pPr>
        <w:keepNext w:val="0"/>
        <w:keepLines w:val="0"/>
        <w:pageBreakBefore w:val="0"/>
        <w:widowControl w:val="0"/>
        <w:kinsoku/>
        <w:wordWrap/>
        <w:overflowPunct/>
        <w:topLinePunct w:val="0"/>
        <w:autoSpaceDE/>
        <w:autoSpaceDN/>
        <w:bidi w:val="0"/>
        <w:adjustRightInd/>
        <w:spacing w:line="356" w:lineRule="auto"/>
        <w:ind w:left="315" w:hanging="315" w:hangingChars="150"/>
        <w:textAlignment w:val="auto"/>
        <w:rPr>
          <w:rFonts w:ascii="宋体" w:hAnsi="宋体" w:cs="宋体"/>
          <w:highlight w:val="none"/>
        </w:rPr>
      </w:pPr>
      <w:r>
        <w:rPr>
          <w:rFonts w:hint="eastAsia" w:ascii="宋体" w:hAnsi="宋体" w:cs="宋体"/>
          <w:highlight w:val="none"/>
        </w:rPr>
        <w:t>4.1 乙方必须落实施工中的安全生产、文明施工和消防、治安等事宜，若发生以上责任事件，一切责任和后果由乙方负责。</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60" w:hanging="361" w:hangingChars="171"/>
        <w:textAlignment w:val="auto"/>
        <w:rPr>
          <w:rFonts w:hAnsi="宋体"/>
          <w:b/>
          <w:sz w:val="21"/>
          <w:szCs w:val="21"/>
          <w:highlight w:val="none"/>
        </w:rPr>
      </w:pPr>
      <w:r>
        <w:rPr>
          <w:rFonts w:hint="eastAsia" w:hAnsi="宋体"/>
          <w:b/>
          <w:sz w:val="21"/>
          <w:szCs w:val="21"/>
          <w:highlight w:val="none"/>
        </w:rPr>
        <w:t>五、知识产权及产权担保</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9" w:hanging="359" w:hangingChars="171"/>
        <w:textAlignment w:val="auto"/>
        <w:rPr>
          <w:rFonts w:hAnsi="宋体"/>
          <w:bCs/>
          <w:sz w:val="21"/>
          <w:szCs w:val="21"/>
          <w:highlight w:val="none"/>
        </w:rPr>
      </w:pPr>
      <w:r>
        <w:rPr>
          <w:rFonts w:hint="eastAsia" w:hAnsi="宋体"/>
          <w:sz w:val="21"/>
          <w:szCs w:val="21"/>
          <w:highlight w:val="none"/>
        </w:rPr>
        <w:t>5.1 乙方应保证所提供的货物或其任何一部分均不会侵犯任何第三方的知识产权</w:t>
      </w:r>
      <w:r>
        <w:rPr>
          <w:rFonts w:hint="eastAsia" w:hAnsi="宋体"/>
          <w:bCs/>
          <w:sz w:val="21"/>
          <w:szCs w:val="21"/>
          <w:highlight w:val="none"/>
        </w:rPr>
        <w:t>。</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7" w:hanging="357" w:hangingChars="170"/>
        <w:textAlignment w:val="auto"/>
        <w:rPr>
          <w:rFonts w:hAnsi="宋体"/>
          <w:sz w:val="21"/>
          <w:szCs w:val="21"/>
          <w:highlight w:val="none"/>
          <w:u w:val="single"/>
        </w:rPr>
      </w:pPr>
      <w:r>
        <w:rPr>
          <w:rFonts w:hint="eastAsia" w:hAnsi="宋体"/>
          <w:sz w:val="21"/>
          <w:szCs w:val="21"/>
          <w:highlight w:val="none"/>
        </w:rPr>
        <w:t>5.2乙方保证所交付的货物的所有权完全属于乙方且无任何抵押、查封等产权瑕疵。</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8" w:hanging="358" w:hangingChars="170"/>
        <w:textAlignment w:val="auto"/>
        <w:rPr>
          <w:rFonts w:hAnsi="宋体"/>
          <w:b/>
          <w:sz w:val="21"/>
          <w:szCs w:val="21"/>
          <w:highlight w:val="none"/>
        </w:rPr>
      </w:pPr>
      <w:r>
        <w:rPr>
          <w:rFonts w:hint="eastAsia" w:hAnsi="宋体"/>
          <w:b/>
          <w:sz w:val="21"/>
          <w:szCs w:val="21"/>
          <w:highlight w:val="none"/>
        </w:rPr>
        <w:t>六、履约保证金（如有）</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7" w:hanging="357" w:hangingChars="170"/>
        <w:textAlignment w:val="auto"/>
        <w:rPr>
          <w:rFonts w:hAnsi="宋体"/>
          <w:sz w:val="21"/>
          <w:szCs w:val="21"/>
          <w:highlight w:val="none"/>
        </w:rPr>
      </w:pPr>
      <w:r>
        <w:rPr>
          <w:rFonts w:hint="eastAsia" w:hAnsi="宋体"/>
          <w:sz w:val="21"/>
          <w:szCs w:val="21"/>
          <w:highlight w:val="none"/>
        </w:rPr>
        <w:t>6.1 乙方交纳人民币</w:t>
      </w:r>
      <w:r>
        <w:rPr>
          <w:rFonts w:hint="eastAsia" w:hAnsi="宋体"/>
          <w:b/>
          <w:sz w:val="21"/>
          <w:szCs w:val="21"/>
          <w:highlight w:val="none"/>
          <w:u w:val="single"/>
        </w:rPr>
        <w:t xml:space="preserve">    </w:t>
      </w:r>
      <w:r>
        <w:rPr>
          <w:rFonts w:hint="eastAsia" w:hAnsi="宋体"/>
          <w:sz w:val="21"/>
          <w:szCs w:val="21"/>
          <w:highlight w:val="none"/>
        </w:rPr>
        <w:t>元作为本合同的履约保证金。</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7" w:hanging="357" w:hangingChars="170"/>
        <w:textAlignment w:val="auto"/>
        <w:rPr>
          <w:rFonts w:hAnsi="宋体"/>
          <w:sz w:val="21"/>
          <w:szCs w:val="21"/>
          <w:highlight w:val="none"/>
        </w:rPr>
      </w:pPr>
      <w:r>
        <w:rPr>
          <w:rFonts w:hint="eastAsia" w:hAnsi="宋体"/>
          <w:sz w:val="21"/>
          <w:szCs w:val="21"/>
          <w:highlight w:val="none"/>
        </w:rPr>
        <w:t>6.2履约保证金形式：支票、汇票、本票或者银行保函等非现金形式提交</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6.3在签订合同之后3个工作日内提交履约保证金。履约保证金在乙方完成合同履约后7个工作日无息退还（但如乙方未能履行合同规定的任何义务，甲方有权从履约保证金中得到补偿）。</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七、转包或分包</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56" w:lineRule="auto"/>
        <w:textAlignment w:val="auto"/>
        <w:rPr>
          <w:rFonts w:ascii="宋体" w:hAnsi="宋体" w:cs="宋体"/>
          <w:highlight w:val="none"/>
        </w:rPr>
      </w:pPr>
      <w:r>
        <w:rPr>
          <w:rFonts w:hint="eastAsia" w:ascii="宋体" w:hAnsi="宋体" w:cs="宋体"/>
          <w:highlight w:val="none"/>
        </w:rPr>
        <w:t>7.1本合同范围的货物，应由供方直接供应，不得转让他人供应；</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56" w:lineRule="auto"/>
        <w:textAlignment w:val="auto"/>
        <w:rPr>
          <w:rFonts w:ascii="宋体" w:hAnsi="宋体" w:cs="宋体"/>
          <w:highlight w:val="none"/>
        </w:rPr>
      </w:pPr>
      <w:r>
        <w:rPr>
          <w:rFonts w:hint="eastAsia" w:ascii="宋体" w:hAnsi="宋体" w:cs="宋体"/>
          <w:highlight w:val="none"/>
        </w:rPr>
        <w:t>7.2 除非得到需方的书面同意，供方不得部分分包给他人供应。</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56" w:lineRule="auto"/>
        <w:textAlignment w:val="auto"/>
        <w:rPr>
          <w:rFonts w:ascii="宋体" w:hAnsi="宋体" w:cs="宋体"/>
          <w:highlight w:val="none"/>
        </w:rPr>
      </w:pPr>
      <w:r>
        <w:rPr>
          <w:rFonts w:hint="eastAsia" w:ascii="宋体" w:hAnsi="宋体" w:cs="宋体"/>
          <w:highlight w:val="none"/>
        </w:rPr>
        <w:t>7.3如有转让和未经需方同意的分包行为，需方有权给予终止合同。</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b/>
          <w:sz w:val="21"/>
          <w:szCs w:val="21"/>
          <w:highlight w:val="none"/>
        </w:rPr>
        <w:t>八、质保期</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9" w:hanging="359" w:hangingChars="171"/>
        <w:textAlignment w:val="auto"/>
        <w:rPr>
          <w:rFonts w:hAnsi="宋体"/>
          <w:sz w:val="21"/>
          <w:szCs w:val="21"/>
          <w:highlight w:val="none"/>
        </w:rPr>
      </w:pPr>
      <w:r>
        <w:rPr>
          <w:rFonts w:hint="eastAsia" w:hAnsi="宋体"/>
          <w:sz w:val="21"/>
          <w:szCs w:val="21"/>
          <w:highlight w:val="none"/>
        </w:rPr>
        <w:t>8.1 质保期</w:t>
      </w:r>
      <w:r>
        <w:rPr>
          <w:rFonts w:hint="eastAsia" w:hAnsi="宋体"/>
          <w:sz w:val="21"/>
          <w:szCs w:val="21"/>
          <w:highlight w:val="none"/>
          <w:u w:val="single"/>
        </w:rPr>
        <w:t xml:space="preserve">      </w:t>
      </w:r>
      <w:r>
        <w:rPr>
          <w:rFonts w:hint="eastAsia" w:hAnsi="宋体"/>
          <w:sz w:val="21"/>
          <w:szCs w:val="21"/>
          <w:highlight w:val="none"/>
        </w:rPr>
        <w:t>年。（自交货验收合格之日起计）</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九、交货期、交货方式及交货地点</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Cs/>
          <w:sz w:val="21"/>
          <w:szCs w:val="21"/>
          <w:highlight w:val="none"/>
        </w:rPr>
      </w:pPr>
      <w:r>
        <w:rPr>
          <w:rFonts w:hint="eastAsia" w:hAnsi="宋体"/>
          <w:bCs/>
          <w:sz w:val="21"/>
          <w:szCs w:val="21"/>
          <w:highlight w:val="none"/>
        </w:rPr>
        <w:t>9.1 交货期：</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Cs/>
          <w:sz w:val="21"/>
          <w:szCs w:val="21"/>
          <w:highlight w:val="none"/>
        </w:rPr>
      </w:pPr>
      <w:r>
        <w:rPr>
          <w:rFonts w:hint="eastAsia" w:hAnsi="宋体"/>
          <w:bCs/>
          <w:sz w:val="21"/>
          <w:szCs w:val="21"/>
          <w:highlight w:val="none"/>
        </w:rPr>
        <w:t>9.2 交货方式：</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Cs/>
          <w:sz w:val="21"/>
          <w:szCs w:val="21"/>
          <w:highlight w:val="none"/>
        </w:rPr>
        <w:t>9.3 交货地点：</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ascii="宋体" w:hAnsi="宋体" w:cs="宋体"/>
          <w:sz w:val="21"/>
          <w:szCs w:val="21"/>
          <w:highlight w:val="none"/>
        </w:rPr>
      </w:pPr>
      <w:r>
        <w:rPr>
          <w:rFonts w:hint="eastAsia" w:hAnsi="宋体"/>
          <w:b/>
          <w:bCs/>
          <w:sz w:val="21"/>
          <w:szCs w:val="21"/>
          <w:highlight w:val="none"/>
        </w:rPr>
        <w:t>十、货款支付</w:t>
      </w:r>
      <w:r>
        <w:rPr>
          <w:rFonts w:hint="eastAsia" w:hAnsi="宋体"/>
          <w:b/>
          <w:bCs/>
          <w:sz w:val="21"/>
          <w:szCs w:val="21"/>
          <w:highlight w:val="none"/>
          <w:lang w:eastAsia="zh-CN"/>
        </w:rPr>
        <w:t>：</w:t>
      </w:r>
      <w:r>
        <w:rPr>
          <w:rFonts w:hint="eastAsia" w:ascii="宋体" w:hAnsi="宋体" w:cs="宋体"/>
          <w:sz w:val="21"/>
          <w:szCs w:val="21"/>
          <w:highlight w:val="none"/>
        </w:rPr>
        <w:t xml:space="preserve"> 合同生效并具备实施条件后7个工作日内支付合同金额的40%作为预付款，（供应商为《政府采购促进中小企业发展管理办法》（财库﹝2020﹞46号）第四条认定的大型企业无预付款，不适用该条款）</w:t>
      </w:r>
      <w:r>
        <w:rPr>
          <w:rFonts w:hint="eastAsia" w:ascii="宋体" w:hAnsi="宋体" w:cs="宋体"/>
          <w:sz w:val="21"/>
          <w:szCs w:val="21"/>
          <w:highlight w:val="none"/>
          <w:lang w:eastAsia="zh-CN"/>
        </w:rPr>
        <w:t>；</w:t>
      </w:r>
      <w:r>
        <w:rPr>
          <w:rFonts w:hint="eastAsia" w:ascii="宋体" w:hAnsi="宋体" w:cs="宋体"/>
          <w:sz w:val="21"/>
          <w:szCs w:val="21"/>
          <w:highlight w:val="none"/>
        </w:rPr>
        <w:t>项目验收合格并收到中标人正式发票之日起7个工作日内付清合同款。</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56" w:lineRule="auto"/>
        <w:textAlignment w:val="auto"/>
        <w:rPr>
          <w:rFonts w:ascii="宋体" w:hAnsi="宋体" w:cs="宋体"/>
          <w:b/>
          <w:highlight w:val="none"/>
        </w:rPr>
      </w:pPr>
      <w:r>
        <w:rPr>
          <w:rFonts w:hint="eastAsia" w:ascii="宋体" w:hAnsi="宋体" w:cs="宋体"/>
          <w:b/>
          <w:highlight w:val="none"/>
        </w:rPr>
        <w:t>十一、税</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56" w:lineRule="auto"/>
        <w:textAlignment w:val="auto"/>
        <w:rPr>
          <w:rFonts w:ascii="宋体" w:hAnsi="宋体" w:cs="宋体"/>
          <w:highlight w:val="none"/>
        </w:rPr>
      </w:pPr>
      <w:r>
        <w:rPr>
          <w:rFonts w:hint="eastAsia" w:ascii="宋体" w:hAnsi="宋体" w:cs="宋体"/>
          <w:highlight w:val="none"/>
        </w:rPr>
        <w:t>11.1本合同执行中相关的一切税费均由供方负担。</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60" w:hanging="361" w:hangingChars="171"/>
        <w:textAlignment w:val="auto"/>
        <w:rPr>
          <w:rFonts w:hAnsi="宋体"/>
          <w:sz w:val="21"/>
          <w:szCs w:val="21"/>
          <w:highlight w:val="none"/>
        </w:rPr>
      </w:pPr>
      <w:r>
        <w:rPr>
          <w:rFonts w:hint="eastAsia" w:hAnsi="宋体"/>
          <w:b/>
          <w:sz w:val="21"/>
          <w:szCs w:val="21"/>
          <w:highlight w:val="none"/>
        </w:rPr>
        <w:t>十二、质量保证及售后服务</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9" w:hanging="359" w:hangingChars="171"/>
        <w:textAlignment w:val="auto"/>
        <w:rPr>
          <w:rFonts w:hAnsi="宋体"/>
          <w:sz w:val="21"/>
          <w:szCs w:val="21"/>
          <w:highlight w:val="none"/>
        </w:rPr>
      </w:pPr>
      <w:r>
        <w:rPr>
          <w:rFonts w:hint="eastAsia" w:hAnsi="宋体"/>
          <w:sz w:val="21"/>
          <w:szCs w:val="21"/>
          <w:highlight w:val="none"/>
        </w:rPr>
        <w:t>12.1 乙方应按招标文件规定的货物性能、技术要求、质量标准向甲方提供未经使用的全新产品。</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12.2 乙方提供的货物在质量保证期内因货物本身的质量问题发生故障，乙方应负责免费更换。对达不到技术要求者，根据实际情况，经双方协商，可按以下办法处理：</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firstLine="420"/>
        <w:textAlignment w:val="auto"/>
        <w:rPr>
          <w:rFonts w:hAnsi="宋体"/>
          <w:sz w:val="21"/>
          <w:szCs w:val="21"/>
          <w:highlight w:val="none"/>
        </w:rPr>
      </w:pPr>
      <w:r>
        <w:rPr>
          <w:rFonts w:hint="eastAsia" w:hAnsi="宋体"/>
          <w:sz w:val="21"/>
          <w:szCs w:val="21"/>
          <w:highlight w:val="none"/>
        </w:rPr>
        <w:t>⑴更换：由乙方承担所发生的全部费用。</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firstLine="420"/>
        <w:textAlignment w:val="auto"/>
        <w:rPr>
          <w:rFonts w:hAnsi="宋体"/>
          <w:sz w:val="21"/>
          <w:szCs w:val="21"/>
          <w:highlight w:val="none"/>
        </w:rPr>
      </w:pPr>
      <w:r>
        <w:rPr>
          <w:rFonts w:hint="eastAsia" w:hAnsi="宋体"/>
          <w:sz w:val="21"/>
          <w:szCs w:val="21"/>
          <w:highlight w:val="none"/>
        </w:rPr>
        <w:t>⑵贬值处理：由甲乙双方合议定价。</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leftChars="200"/>
        <w:textAlignment w:val="auto"/>
        <w:rPr>
          <w:rFonts w:hAnsi="宋体"/>
          <w:sz w:val="21"/>
          <w:szCs w:val="21"/>
          <w:highlight w:val="none"/>
        </w:rPr>
      </w:pPr>
      <w:r>
        <w:rPr>
          <w:rFonts w:hint="eastAsia" w:hAnsi="宋体"/>
          <w:sz w:val="21"/>
          <w:szCs w:val="21"/>
          <w:highlight w:val="none"/>
        </w:rPr>
        <w:t>⑶退货处理：乙方应退还甲方支付的合同款，同时应承担该货物的直接费用（运输、保险、检验、货款利息及银行手续费等）。</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12.3 如在使用过程中发生质量问题，乙方在接到甲方通知后在</w:t>
      </w:r>
      <w:r>
        <w:rPr>
          <w:rFonts w:hint="eastAsia" w:hAnsi="宋体"/>
          <w:sz w:val="21"/>
          <w:szCs w:val="21"/>
          <w:highlight w:val="none"/>
          <w:u w:val="single"/>
        </w:rPr>
        <w:t xml:space="preserve"> 24 </w:t>
      </w:r>
      <w:r>
        <w:rPr>
          <w:rFonts w:hint="eastAsia" w:hAnsi="宋体"/>
          <w:sz w:val="21"/>
          <w:szCs w:val="21"/>
          <w:highlight w:val="none"/>
        </w:rPr>
        <w:t>小时内到达甲方现场。</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12.4 在质保期内，乙方应对货物出现的质量及安全问题负责处理解决并承担一切费用。</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12.5上述的货物免费保修期为</w:t>
      </w:r>
      <w:r>
        <w:rPr>
          <w:rFonts w:hint="eastAsia" w:hAnsi="宋体"/>
          <w:sz w:val="21"/>
          <w:szCs w:val="21"/>
          <w:highlight w:val="none"/>
          <w:u w:val="single"/>
        </w:rPr>
        <w:t xml:space="preserve">     </w:t>
      </w:r>
      <w:r>
        <w:rPr>
          <w:rFonts w:hint="eastAsia" w:hAnsi="宋体"/>
          <w:sz w:val="21"/>
          <w:szCs w:val="21"/>
          <w:highlight w:val="none"/>
        </w:rPr>
        <w:t>年，因人为因素出现的故障不在免费保修范围内。超过保修期的机器设备，终生维修，维修时只收部件成本费。</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十三、调试和验收</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13.1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13.2 乙方交货前应对产品作出全面检查和对验收文件进行整理，并列出清单，作为甲方收货验收和使用的技术条件依据，检验的结果应随货物交甲方。</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u w:val="single"/>
        </w:rPr>
      </w:pPr>
      <w:r>
        <w:rPr>
          <w:rFonts w:hint="eastAsia" w:hAnsi="宋体"/>
          <w:sz w:val="21"/>
          <w:szCs w:val="21"/>
          <w:highlight w:val="none"/>
        </w:rPr>
        <w:t>13.3 甲方对乙方提供的货物在使用前进行调试时，乙方需负责安装并培训甲方的使用操作人员，并协助甲方一起调试，直到符合技术要求，甲方才做最终验收。</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13.4 对技术复杂的货物，甲方应请国家认可的专业检测机构参与初步验收及最终验收，并由其出具质量检测报告。</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13.5 验收时乙方必须在现场，验收完毕后作出验收结果报告；验收费用由乙方负责。</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十四、货物包装、发运及运输</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14.1 乙方应在货物发运前对其进行满足运输距离、防潮、防震、防锈和防破损装卸等要求包装，以保证货物安全运达甲方指定地点。</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14.2 使用说明书、质量检验证明书、随配附件和工具以及清单一并附于货物内。</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14.3 乙方在货物发运手续办理完毕后24小时内或货到甲方48小时前通知甲方，以准备接货。</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14.4 货物在交付甲方前发生的风险均由乙方负责。</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right="26" w:hanging="420" w:hangingChars="200"/>
        <w:textAlignment w:val="auto"/>
        <w:rPr>
          <w:rFonts w:hAnsi="宋体"/>
          <w:sz w:val="21"/>
          <w:szCs w:val="21"/>
          <w:highlight w:val="none"/>
        </w:rPr>
      </w:pPr>
      <w:r>
        <w:rPr>
          <w:rFonts w:hint="eastAsia" w:hAnsi="宋体"/>
          <w:sz w:val="21"/>
          <w:szCs w:val="21"/>
          <w:highlight w:val="none"/>
        </w:rPr>
        <w:t>14.5 货物在规定的交付期限内由乙方送达甲方指定的地点视为交付，乙方同时需通知甲方货物已送达。</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十五、违约责任</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9" w:hanging="359" w:hangingChars="171"/>
        <w:textAlignment w:val="auto"/>
        <w:rPr>
          <w:rFonts w:hAnsi="宋体"/>
          <w:sz w:val="21"/>
          <w:szCs w:val="21"/>
          <w:highlight w:val="none"/>
        </w:rPr>
      </w:pPr>
      <w:r>
        <w:rPr>
          <w:rFonts w:hint="eastAsia" w:hAnsi="宋体"/>
          <w:sz w:val="21"/>
          <w:szCs w:val="21"/>
          <w:highlight w:val="none"/>
        </w:rPr>
        <w:t>15.1 甲方无正当理由拒收货物的，甲方向乙方偿付拒收货款总值的百分之五违约金。</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9" w:hanging="359" w:hangingChars="171"/>
        <w:textAlignment w:val="auto"/>
        <w:rPr>
          <w:rFonts w:hAnsi="宋体"/>
          <w:sz w:val="21"/>
          <w:szCs w:val="21"/>
          <w:highlight w:val="none"/>
        </w:rPr>
      </w:pPr>
      <w:r>
        <w:rPr>
          <w:rFonts w:hint="eastAsia" w:hAnsi="宋体"/>
          <w:sz w:val="21"/>
          <w:szCs w:val="21"/>
          <w:highlight w:val="none"/>
        </w:rPr>
        <w:t>15.2 甲方无故逾期验收和办理货款支付手续的,甲方应按逾期付款总额每日万分之五向乙方支付违约金。</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9" w:hanging="359" w:hangingChars="171"/>
        <w:textAlignment w:val="auto"/>
        <w:rPr>
          <w:rFonts w:hAnsi="宋体"/>
          <w:sz w:val="21"/>
          <w:szCs w:val="21"/>
          <w:highlight w:val="none"/>
        </w:rPr>
      </w:pPr>
      <w:r>
        <w:rPr>
          <w:rFonts w:hint="eastAsia" w:hAnsi="宋体"/>
          <w:sz w:val="21"/>
          <w:szCs w:val="21"/>
          <w:highlight w:val="none"/>
        </w:rPr>
        <w:t xml:space="preserve">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359" w:hanging="359" w:hangingChars="171"/>
        <w:textAlignment w:val="auto"/>
        <w:rPr>
          <w:rFonts w:hAnsi="宋体"/>
          <w:sz w:val="21"/>
          <w:szCs w:val="21"/>
          <w:highlight w:val="none"/>
        </w:rPr>
      </w:pPr>
      <w:r>
        <w:rPr>
          <w:rFonts w:hint="eastAsia" w:hAnsi="宋体"/>
          <w:sz w:val="21"/>
          <w:szCs w:val="21"/>
          <w:highlight w:val="none"/>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十六、不可抗力事件处理</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16.1 在合同有效期内，任何一方因不可抗力事件导致不能履行合同，则合同履行期可延长，其延长期与不可抗力影响期相同。</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16.2 不可抗力事件发生后，应立即通知对方，并寄送有关权威机构出具的证明。</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16.3 不可抗力事件延续120天以上，双方应通过友好协商，确定是否继续履行合同。</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十七、争议解决</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17.1 双方在执行合同中所发生的一切争议，应通过协商解决。如协商不成，可向丽水仲裁委员会提出仲裁。</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b/>
          <w:sz w:val="21"/>
          <w:szCs w:val="21"/>
          <w:highlight w:val="none"/>
        </w:rPr>
      </w:pPr>
      <w:r>
        <w:rPr>
          <w:rFonts w:hint="eastAsia" w:hAnsi="宋体"/>
          <w:b/>
          <w:sz w:val="21"/>
          <w:szCs w:val="21"/>
          <w:highlight w:val="none"/>
        </w:rPr>
        <w:t>十八、合同生效及其它</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18.1 合同经双方法定代表人或授权委托代理人签字并加盖单位公章后生效。</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18.2合同执行中涉及采购资金和采购内容修改或补充的，须经甲方审批，并签书面补充协议并报相关部门备案，方可作为主合同不可分割的一部分。</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18.3 招标书和乙方的应标文件、及应标承诺等作为本次合同不可分割的一部分，乙方必须严格遵守执行。</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18.4本合同未尽事宜，遵照《中华人民共和国民法典》有关条文执行。</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18.5 本合同正本一式两份，具有同等法律效力，甲乙双方各执一份；副本</w:t>
      </w:r>
      <w:r>
        <w:rPr>
          <w:rFonts w:hint="eastAsia" w:hAnsi="宋体"/>
          <w:b/>
          <w:sz w:val="21"/>
          <w:szCs w:val="21"/>
          <w:highlight w:val="none"/>
        </w:rPr>
        <w:t xml:space="preserve"> </w:t>
      </w:r>
      <w:r>
        <w:rPr>
          <w:rFonts w:hint="eastAsia" w:hAnsi="宋体"/>
          <w:b/>
          <w:sz w:val="21"/>
          <w:szCs w:val="21"/>
          <w:highlight w:val="none"/>
          <w:u w:val="single"/>
        </w:rPr>
        <w:t xml:space="preserve">    </w:t>
      </w:r>
      <w:r>
        <w:rPr>
          <w:rFonts w:hint="eastAsia" w:hAnsi="宋体"/>
          <w:sz w:val="21"/>
          <w:szCs w:val="21"/>
          <w:highlight w:val="none"/>
        </w:rPr>
        <w:t>份，(用途)。</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ind w:left="420" w:hanging="420" w:hangingChars="200"/>
        <w:textAlignment w:val="auto"/>
        <w:rPr>
          <w:rFonts w:hAnsi="宋体"/>
          <w:sz w:val="21"/>
          <w:szCs w:val="21"/>
          <w:highlight w:val="none"/>
        </w:rPr>
      </w:pPr>
      <w:r>
        <w:rPr>
          <w:rFonts w:hint="eastAsia" w:hAnsi="宋体"/>
          <w:sz w:val="21"/>
          <w:szCs w:val="21"/>
          <w:highlight w:val="none"/>
        </w:rPr>
        <w:t xml:space="preserve">  甲方：                                   乙方： </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 xml:space="preserve">  地址：                                   地址： </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sz w:val="21"/>
          <w:szCs w:val="21"/>
          <w:highlight w:val="none"/>
        </w:rPr>
      </w:pPr>
      <w:r>
        <w:rPr>
          <w:rFonts w:hint="eastAsia" w:hAnsi="宋体"/>
          <w:sz w:val="21"/>
          <w:szCs w:val="21"/>
          <w:highlight w:val="none"/>
        </w:rPr>
        <w:t xml:space="preserve">  法定代表人：                             法定代表人：</w:t>
      </w:r>
    </w:p>
    <w:p>
      <w:pPr>
        <w:pStyle w:val="26"/>
        <w:keepNext w:val="0"/>
        <w:keepLines w:val="0"/>
        <w:pageBreakBefore w:val="0"/>
        <w:widowControl w:val="0"/>
        <w:kinsoku/>
        <w:wordWrap/>
        <w:overflowPunct/>
        <w:topLinePunct w:val="0"/>
        <w:autoSpaceDE/>
        <w:autoSpaceDN/>
        <w:bidi w:val="0"/>
        <w:adjustRightInd/>
        <w:snapToGrid w:val="0"/>
        <w:spacing w:before="156" w:after="156" w:line="356" w:lineRule="auto"/>
        <w:textAlignment w:val="auto"/>
        <w:rPr>
          <w:rFonts w:hAnsi="宋体"/>
          <w:highlight w:val="none"/>
        </w:rPr>
      </w:pPr>
      <w:r>
        <w:rPr>
          <w:rFonts w:hint="eastAsia" w:hAnsi="宋体"/>
          <w:sz w:val="21"/>
          <w:szCs w:val="21"/>
          <w:highlight w:val="none"/>
        </w:rPr>
        <w:t xml:space="preserve">  签订地点：                               签订日期：      年  月  日</w:t>
      </w:r>
    </w:p>
    <w:p>
      <w:pPr>
        <w:pStyle w:val="2"/>
        <w:jc w:val="center"/>
        <w:rPr>
          <w:rFonts w:hint="eastAsia" w:ascii="宋体" w:cs="宋体"/>
          <w:color w:val="auto"/>
          <w:highlight w:val="none"/>
        </w:rPr>
      </w:pPr>
    </w:p>
    <w:p>
      <w:pPr>
        <w:pStyle w:val="2"/>
        <w:jc w:val="center"/>
        <w:rPr>
          <w:rFonts w:hint="eastAsia" w:ascii="宋体" w:cs="宋体"/>
          <w:color w:val="auto"/>
          <w:highlight w:val="none"/>
        </w:rPr>
      </w:pPr>
    </w:p>
    <w:p>
      <w:pPr>
        <w:pStyle w:val="2"/>
        <w:jc w:val="center"/>
        <w:rPr>
          <w:rFonts w:hint="eastAsia" w:ascii="宋体" w:cs="宋体"/>
          <w:color w:val="auto"/>
          <w:highlight w:val="none"/>
        </w:rPr>
      </w:pPr>
    </w:p>
    <w:p>
      <w:pPr>
        <w:pStyle w:val="2"/>
        <w:jc w:val="center"/>
        <w:rPr>
          <w:rFonts w:hint="eastAsia" w:ascii="宋体" w:cs="宋体"/>
          <w:color w:val="auto"/>
          <w:highlight w:val="none"/>
        </w:rPr>
      </w:pPr>
    </w:p>
    <w:p>
      <w:pPr>
        <w:pStyle w:val="2"/>
        <w:jc w:val="center"/>
        <w:rPr>
          <w:rFonts w:ascii="宋体" w:cs="宋体"/>
          <w:color w:val="auto"/>
          <w:highlight w:val="none"/>
        </w:rPr>
      </w:pPr>
      <w:r>
        <w:rPr>
          <w:rFonts w:hint="eastAsia" w:ascii="宋体" w:cs="宋体"/>
          <w:color w:val="auto"/>
          <w:highlight w:val="none"/>
        </w:rPr>
        <w:t>第四章  招标需求</w:t>
      </w:r>
      <w:bookmarkEnd w:id="4"/>
      <w:bookmarkEnd w:id="5"/>
    </w:p>
    <w:p>
      <w:pPr>
        <w:pStyle w:val="9"/>
        <w:spacing w:line="360" w:lineRule="auto"/>
        <w:ind w:firstLine="0"/>
        <w:rPr>
          <w:rFonts w:hint="eastAsia" w:ascii="宋体" w:hAnsi="宋体" w:cs="宋体"/>
          <w:b/>
          <w:highlight w:val="none"/>
        </w:rPr>
      </w:pPr>
      <w:bookmarkStart w:id="186" w:name="_Toc1077"/>
      <w:r>
        <w:rPr>
          <w:rFonts w:hint="eastAsia" w:ascii="宋体" w:hAnsi="宋体" w:cs="宋体"/>
          <w:b/>
          <w:highlight w:val="none"/>
        </w:rPr>
        <w:t>一、技术需求</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2482"/>
        <w:gridCol w:w="1350"/>
        <w:gridCol w:w="2645"/>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5"/>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lang w:val="en-US" w:eastAsia="zh-CN"/>
              </w:rPr>
              <w:t>血液透析中心设备清单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序号</w:t>
            </w:r>
          </w:p>
        </w:tc>
        <w:tc>
          <w:tcPr>
            <w:tcW w:w="2482"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名称</w:t>
            </w:r>
          </w:p>
        </w:tc>
        <w:tc>
          <w:tcPr>
            <w:tcW w:w="1350"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数量</w:t>
            </w:r>
          </w:p>
        </w:tc>
        <w:tc>
          <w:tcPr>
            <w:tcW w:w="2645"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预算金额/最高限价</w:t>
            </w:r>
          </w:p>
        </w:tc>
        <w:tc>
          <w:tcPr>
            <w:tcW w:w="1033"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1</w:t>
            </w:r>
          </w:p>
        </w:tc>
        <w:tc>
          <w:tcPr>
            <w:tcW w:w="2482"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rPr>
              <w:t>单泵血液透析设备</w:t>
            </w:r>
          </w:p>
        </w:tc>
        <w:tc>
          <w:tcPr>
            <w:tcW w:w="1350"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5套</w:t>
            </w:r>
          </w:p>
        </w:tc>
        <w:tc>
          <w:tcPr>
            <w:tcW w:w="2645"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100万元</w:t>
            </w:r>
          </w:p>
        </w:tc>
        <w:tc>
          <w:tcPr>
            <w:tcW w:w="1033"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2</w:t>
            </w:r>
          </w:p>
        </w:tc>
        <w:tc>
          <w:tcPr>
            <w:tcW w:w="2482"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lang w:val="en-US" w:eastAsia="zh-CN"/>
              </w:rPr>
              <w:t>双</w:t>
            </w:r>
            <w:r>
              <w:rPr>
                <w:rFonts w:hint="eastAsia" w:ascii="宋体" w:hAnsi="宋体" w:eastAsia="宋体" w:cs="宋体"/>
                <w:b/>
                <w:bCs/>
                <w:sz w:val="21"/>
                <w:szCs w:val="21"/>
                <w:highlight w:val="none"/>
              </w:rPr>
              <w:t>泵血液透析设备</w:t>
            </w:r>
          </w:p>
        </w:tc>
        <w:tc>
          <w:tcPr>
            <w:tcW w:w="1350"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1套</w:t>
            </w:r>
          </w:p>
        </w:tc>
        <w:tc>
          <w:tcPr>
            <w:tcW w:w="2645"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25万元</w:t>
            </w:r>
          </w:p>
        </w:tc>
        <w:tc>
          <w:tcPr>
            <w:tcW w:w="1033" w:type="dxa"/>
          </w:tcPr>
          <w:p>
            <w:pPr>
              <w:spacing w:line="360" w:lineRule="auto"/>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w:t>
            </w:r>
          </w:p>
        </w:tc>
      </w:tr>
    </w:tbl>
    <w:p>
      <w:pPr>
        <w:spacing w:line="360" w:lineRule="auto"/>
        <w:rPr>
          <w:rFonts w:hint="eastAsia"/>
          <w:b/>
          <w:bCs/>
          <w:highlight w:val="none"/>
          <w:lang w:val="en-US" w:eastAsia="zh-CN"/>
        </w:rPr>
      </w:pPr>
    </w:p>
    <w:p>
      <w:pPr>
        <w:spacing w:line="360" w:lineRule="auto"/>
        <w:rPr>
          <w:rFonts w:hint="eastAsia"/>
          <w:b/>
          <w:bCs/>
          <w:highlight w:val="none"/>
          <w:lang w:val="en-US" w:eastAsia="zh-CN"/>
        </w:rPr>
      </w:pPr>
    </w:p>
    <w:p>
      <w:pPr>
        <w:spacing w:line="360" w:lineRule="auto"/>
        <w:rPr>
          <w:rFonts w:hint="default" w:eastAsia="宋体"/>
          <w:b/>
          <w:bCs/>
          <w:highlight w:val="none"/>
          <w:lang w:val="en-US" w:eastAsia="zh-CN"/>
        </w:rPr>
      </w:pPr>
      <w:r>
        <w:rPr>
          <w:rFonts w:hint="eastAsia"/>
          <w:b/>
          <w:bCs/>
          <w:highlight w:val="none"/>
          <w:lang w:val="en-US" w:eastAsia="zh-CN"/>
        </w:rPr>
        <w:t>标项一：</w:t>
      </w:r>
      <w:r>
        <w:rPr>
          <w:rFonts w:hint="eastAsia" w:ascii="宋体" w:hAnsi="宋体" w:eastAsia="宋体" w:cs="宋体"/>
          <w:b/>
          <w:bCs/>
          <w:highlight w:val="none"/>
          <w:lang w:val="en-US" w:eastAsia="zh-CN"/>
        </w:rPr>
        <w:t>血液透析中心设备</w:t>
      </w:r>
      <w:r>
        <w:rPr>
          <w:rFonts w:hint="eastAsia" w:ascii="宋体" w:hAnsi="宋体" w:cs="宋体"/>
          <w:b/>
          <w:bCs/>
          <w:highlight w:val="none"/>
          <w:lang w:val="en-US" w:eastAsia="zh-CN"/>
        </w:rPr>
        <w:t xml:space="preserve">                                             数量：1批</w:t>
      </w:r>
    </w:p>
    <w:tbl>
      <w:tblPr>
        <w:tblStyle w:val="48"/>
        <w:tblpPr w:leftFromText="180" w:rightFromText="180" w:vertAnchor="text" w:horzAnchor="page" w:tblpX="1900" w:tblpY="306"/>
        <w:tblOverlap w:val="never"/>
        <w:tblW w:w="49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10"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Cs/>
                <w:sz w:val="21"/>
                <w:szCs w:val="21"/>
                <w:highlight w:val="none"/>
              </w:rPr>
            </w:pPr>
            <w:r>
              <w:rPr>
                <w:rFonts w:hint="eastAsia" w:ascii="宋体" w:hAnsi="宋体" w:eastAsia="宋体" w:cs="宋体"/>
                <w:b/>
                <w:sz w:val="21"/>
                <w:szCs w:val="21"/>
                <w:highlight w:val="none"/>
              </w:rPr>
              <w:t>序号</w:t>
            </w:r>
          </w:p>
        </w:tc>
        <w:tc>
          <w:tcPr>
            <w:tcW w:w="6060"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参数要求</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一</w:t>
            </w:r>
          </w:p>
        </w:tc>
        <w:tc>
          <w:tcPr>
            <w:tcW w:w="6060" w:type="dxa"/>
            <w:shd w:val="clear" w:color="auto" w:fill="auto"/>
            <w:vAlign w:val="center"/>
          </w:tcPr>
          <w:p>
            <w:pPr>
              <w:jc w:val="left"/>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rPr>
              <w:t>单泵血液透析设备</w:t>
            </w:r>
            <w:r>
              <w:rPr>
                <w:rFonts w:hint="eastAsia" w:ascii="宋体" w:hAnsi="宋体" w:cs="宋体"/>
                <w:b/>
                <w:bCs/>
                <w:sz w:val="21"/>
                <w:szCs w:val="21"/>
                <w:highlight w:val="none"/>
                <w:lang w:val="en-US" w:eastAsia="zh-CN"/>
              </w:rPr>
              <w:t xml:space="preserve">                              </w:t>
            </w:r>
            <w:r>
              <w:rPr>
                <w:rFonts w:hint="eastAsia" w:ascii="宋体" w:hAnsi="宋体" w:eastAsia="宋体" w:cs="宋体"/>
                <w:b/>
                <w:bCs/>
                <w:sz w:val="21"/>
                <w:szCs w:val="21"/>
                <w:highlight w:val="none"/>
              </w:rPr>
              <w:t>数量：</w:t>
            </w:r>
            <w:r>
              <w:rPr>
                <w:rFonts w:hint="eastAsia" w:ascii="宋体" w:hAnsi="宋体" w:cs="宋体"/>
                <w:b/>
                <w:bCs/>
                <w:sz w:val="21"/>
                <w:szCs w:val="21"/>
                <w:highlight w:val="none"/>
                <w:lang w:val="en-US" w:eastAsia="zh-CN"/>
              </w:rPr>
              <w:t>5</w:t>
            </w:r>
            <w:r>
              <w:rPr>
                <w:rFonts w:hint="eastAsia" w:ascii="宋体" w:hAnsi="宋体" w:eastAsia="宋体" w:cs="宋体"/>
                <w:b/>
                <w:bCs/>
                <w:sz w:val="21"/>
                <w:szCs w:val="21"/>
                <w:highlight w:val="none"/>
              </w:rPr>
              <w:t xml:space="preserve">套 </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1.</w:t>
            </w:r>
            <w:r>
              <w:rPr>
                <w:rFonts w:hint="eastAsia" w:ascii="宋体" w:hAnsi="宋体" w:eastAsia="宋体" w:cs="宋体"/>
                <w:b/>
                <w:bCs/>
                <w:sz w:val="21"/>
                <w:szCs w:val="21"/>
                <w:highlight w:val="none"/>
                <w:lang w:val="en-US" w:eastAsia="zh-CN"/>
              </w:rPr>
              <w:t>1</w:t>
            </w:r>
          </w:p>
        </w:tc>
        <w:tc>
          <w:tcPr>
            <w:tcW w:w="6060" w:type="dxa"/>
            <w:shd w:val="clear" w:color="auto" w:fill="auto"/>
            <w:vAlign w:val="center"/>
          </w:tcPr>
          <w:p>
            <w:pPr>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技术功能要求</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
                <w:bCs/>
                <w:sz w:val="21"/>
                <w:szCs w:val="21"/>
                <w:highlight w:val="none"/>
                <w:lang w:val="en-US" w:eastAsia="zh-CN"/>
              </w:rPr>
            </w:pPr>
            <w:r>
              <w:rPr>
                <w:rFonts w:hint="eastAsia" w:ascii="宋体" w:hAnsi="宋体" w:eastAsia="宋体" w:cs="宋体"/>
                <w:b w:val="0"/>
                <w:bCs w:val="0"/>
                <w:sz w:val="21"/>
                <w:szCs w:val="21"/>
                <w:highlight w:val="none"/>
              </w:rPr>
              <w:t>1.1</w:t>
            </w:r>
            <w:r>
              <w:rPr>
                <w:rFonts w:hint="eastAsia" w:ascii="宋体" w:hAnsi="宋体" w:cs="宋体"/>
                <w:b w:val="0"/>
                <w:bCs w:val="0"/>
                <w:sz w:val="21"/>
                <w:szCs w:val="21"/>
                <w:highlight w:val="none"/>
                <w:lang w:val="en-US" w:eastAsia="zh-CN"/>
              </w:rPr>
              <w:t>.1</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适用范围：用于成人与儿童慢性肾衰竭的血液透析治疗</w:t>
            </w:r>
            <w:r>
              <w:rPr>
                <w:rFonts w:hint="eastAsia" w:ascii="宋体" w:hAnsi="宋体" w:cs="宋体"/>
                <w:b w:val="0"/>
                <w:bCs w:val="0"/>
                <w:sz w:val="21"/>
                <w:szCs w:val="21"/>
                <w:highlight w:val="none"/>
                <w:lang w:eastAsia="zh-CN"/>
              </w:rPr>
              <w:t>（</w:t>
            </w:r>
            <w:r>
              <w:rPr>
                <w:rFonts w:hint="eastAsia" w:ascii="宋体" w:hAnsi="宋体" w:eastAsia="宋体" w:cs="宋体"/>
                <w:b w:val="0"/>
                <w:bCs w:val="0"/>
                <w:sz w:val="21"/>
                <w:szCs w:val="21"/>
                <w:highlight w:val="none"/>
              </w:rPr>
              <w:t>如注册证适用范围中仅标明为成人治疗则不符</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eastAsia="zh-CN"/>
              </w:rPr>
            </w:pPr>
            <w:r>
              <w:rPr>
                <w:rFonts w:hint="eastAsia" w:ascii="宋体" w:hAnsi="宋体" w:eastAsia="宋体" w:cs="宋体"/>
                <w:b w:val="0"/>
                <w:bCs w:val="0"/>
                <w:sz w:val="21"/>
                <w:szCs w:val="21"/>
                <w:highlight w:val="none"/>
              </w:rPr>
              <w:t>1.1.2</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具备常规透析和碳酸盐透析功能</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1.1.3</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触控中文≥12寸，中文操作界面</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rPr>
            </w:pP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sz w:val="21"/>
                <w:szCs w:val="21"/>
                <w:highlight w:val="none"/>
              </w:rPr>
              <w:t>1.1.4</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具备双通道电磁容量超滤系统</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1.1.5</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具备实时监测各种主要参数：360º 分级声光报警系统</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1.1.6</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具有治疗结束透析液自动排空功能</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1.1.7</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具备能实时监测血路部分的空气探测和漏血探测</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rPr>
            </w:pP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sz w:val="21"/>
                <w:szCs w:val="21"/>
                <w:highlight w:val="none"/>
              </w:rPr>
              <w:t>1.1.8</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lang w:val="en-US" w:eastAsia="zh-CN"/>
              </w:rPr>
              <w:t>具有漏液监测装置，避免因管路泄露造成超滤过多而引发低血压等不良事件发生</w:t>
            </w:r>
            <w:r>
              <w:rPr>
                <w:rFonts w:hint="eastAsia" w:ascii="宋体" w:hAnsi="宋体" w:cs="宋体"/>
                <w:b w:val="0"/>
                <w:bCs w:val="0"/>
                <w:sz w:val="21"/>
                <w:szCs w:val="21"/>
                <w:highlight w:val="none"/>
                <w:lang w:val="en-US"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1.1.9</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具有多个电导测量模块精确电导度监控功能，确保透析液离子浓度准确</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1.1.10</w:t>
            </w:r>
          </w:p>
        </w:tc>
        <w:tc>
          <w:tcPr>
            <w:tcW w:w="6060" w:type="dxa"/>
            <w:shd w:val="clear" w:color="auto" w:fill="auto"/>
            <w:vAlign w:val="center"/>
          </w:tcPr>
          <w:p>
            <w:pPr>
              <w:widowControl/>
              <w:jc w:val="left"/>
              <w:textAlignment w:val="center"/>
              <w:rPr>
                <w:rFonts w:hint="eastAsia" w:ascii="宋体" w:hAnsi="宋体" w:eastAsia="宋体" w:cs="宋体"/>
                <w:bCs/>
                <w:sz w:val="21"/>
                <w:szCs w:val="21"/>
                <w:highlight w:val="none"/>
                <w:lang w:eastAsia="zh-CN"/>
              </w:rPr>
            </w:pPr>
            <w:r>
              <w:rPr>
                <w:rFonts w:hint="eastAsia" w:ascii="宋体" w:hAnsi="宋体" w:eastAsia="宋体" w:cs="宋体"/>
                <w:b w:val="0"/>
                <w:bCs w:val="0"/>
                <w:kern w:val="0"/>
                <w:sz w:val="21"/>
                <w:szCs w:val="21"/>
                <w:highlight w:val="none"/>
              </w:rPr>
              <w:t>具有BPM内置血压监测模块</w:t>
            </w:r>
            <w:r>
              <w:rPr>
                <w:rFonts w:hint="eastAsia" w:ascii="宋体" w:hAnsi="宋体" w:cs="宋体"/>
                <w:b w:val="0"/>
                <w:bCs w:val="0"/>
                <w:kern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1.1.11</w:t>
            </w:r>
          </w:p>
        </w:tc>
        <w:tc>
          <w:tcPr>
            <w:tcW w:w="6060" w:type="dxa"/>
            <w:shd w:val="clear" w:color="auto" w:fill="auto"/>
            <w:vAlign w:val="center"/>
          </w:tcPr>
          <w:p>
            <w:pPr>
              <w:widowControl/>
              <w:jc w:val="left"/>
              <w:textAlignment w:val="center"/>
              <w:rPr>
                <w:rFonts w:hint="eastAsia" w:ascii="宋体" w:hAnsi="宋体" w:eastAsia="宋体" w:cs="宋体"/>
                <w:bCs/>
                <w:sz w:val="21"/>
                <w:szCs w:val="21"/>
                <w:highlight w:val="none"/>
                <w:lang w:eastAsia="zh-CN"/>
              </w:rPr>
            </w:pPr>
            <w:r>
              <w:rPr>
                <w:rFonts w:hint="eastAsia" w:ascii="宋体" w:hAnsi="宋体" w:eastAsia="宋体" w:cs="宋体"/>
                <w:b w:val="0"/>
                <w:bCs w:val="0"/>
                <w:kern w:val="0"/>
                <w:sz w:val="21"/>
                <w:szCs w:val="21"/>
                <w:highlight w:val="none"/>
              </w:rPr>
              <w:t>具有在线监测Kt/V模块</w:t>
            </w:r>
            <w:r>
              <w:rPr>
                <w:rFonts w:hint="eastAsia" w:ascii="宋体" w:hAnsi="宋体" w:eastAsia="宋体" w:cs="宋体"/>
                <w:b w:val="0"/>
                <w:bCs w:val="0"/>
                <w:kern w:val="0"/>
                <w:sz w:val="21"/>
                <w:szCs w:val="21"/>
                <w:highlight w:val="none"/>
                <w:lang w:eastAsia="zh-CN"/>
              </w:rPr>
              <w:t>，</w:t>
            </w:r>
            <w:r>
              <w:rPr>
                <w:rFonts w:hint="eastAsia" w:ascii="宋体" w:hAnsi="宋体" w:eastAsia="宋体" w:cs="宋体"/>
                <w:b w:val="0"/>
                <w:bCs w:val="0"/>
                <w:sz w:val="21"/>
                <w:szCs w:val="21"/>
                <w:highlight w:val="none"/>
              </w:rPr>
              <w:t>利用电导模块实时测得，非计算式及光学监测，详细说明原理</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1.1.12</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提供可使用多种浓缩液配方，干粉支架接口非专用。</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eastAsia="zh-CN"/>
              </w:rPr>
            </w:pPr>
            <w:r>
              <w:rPr>
                <w:rFonts w:hint="eastAsia" w:ascii="宋体" w:hAnsi="宋体" w:eastAsia="宋体" w:cs="宋体"/>
                <w:b w:val="0"/>
                <w:bCs w:val="0"/>
                <w:sz w:val="21"/>
                <w:szCs w:val="21"/>
                <w:highlight w:val="none"/>
              </w:rPr>
              <w:t>1.1.13</w:t>
            </w:r>
          </w:p>
        </w:tc>
        <w:tc>
          <w:tcPr>
            <w:tcW w:w="6060" w:type="dxa"/>
            <w:shd w:val="clear" w:color="auto" w:fill="auto"/>
            <w:vAlign w:val="center"/>
          </w:tcPr>
          <w:p>
            <w:pPr>
              <w:jc w:val="left"/>
              <w:rPr>
                <w:rFonts w:hint="eastAsia" w:ascii="宋体" w:hAnsi="宋体" w:eastAsia="宋体" w:cs="宋体"/>
                <w:bCs/>
                <w:sz w:val="21"/>
                <w:szCs w:val="21"/>
                <w:highlight w:val="none"/>
              </w:rPr>
            </w:pPr>
            <w:r>
              <w:rPr>
                <w:rFonts w:hint="eastAsia" w:ascii="宋体" w:hAnsi="宋体" w:eastAsia="宋体" w:cs="宋体"/>
                <w:b w:val="0"/>
                <w:bCs w:val="0"/>
                <w:sz w:val="21"/>
                <w:szCs w:val="21"/>
                <w:highlight w:val="none"/>
              </w:rPr>
              <w:t>静脉压监测：-700 mmHg — +700 mmHg；</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eastAsia="zh-CN"/>
              </w:rPr>
            </w:pPr>
            <w:r>
              <w:rPr>
                <w:rFonts w:hint="eastAsia" w:ascii="宋体" w:hAnsi="宋体" w:eastAsia="宋体" w:cs="宋体"/>
                <w:b w:val="0"/>
                <w:bCs w:val="0"/>
                <w:sz w:val="21"/>
                <w:szCs w:val="21"/>
                <w:highlight w:val="none"/>
              </w:rPr>
              <w:t>1.1.14</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动脉压监测：-700 mmHg — +700 mmHg</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1.1.15</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肝素泵注射流速：0 — 10 ml/小时，调节梯度为0.1ml</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1.1.16</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透析液：流速300-</w:t>
            </w:r>
            <w:r>
              <w:rPr>
                <w:rFonts w:hint="eastAsia" w:ascii="宋体" w:hAnsi="宋体" w:eastAsia="宋体" w:cs="宋体"/>
                <w:b w:val="0"/>
                <w:bCs w:val="0"/>
                <w:sz w:val="21"/>
                <w:szCs w:val="21"/>
                <w:highlight w:val="none"/>
                <w:lang w:val="en-US" w:eastAsia="zh-CN"/>
              </w:rPr>
              <w:t>8</w:t>
            </w:r>
            <w:r>
              <w:rPr>
                <w:rFonts w:hint="eastAsia" w:ascii="宋体" w:hAnsi="宋体" w:eastAsia="宋体" w:cs="宋体"/>
                <w:b w:val="0"/>
                <w:bCs w:val="0"/>
                <w:sz w:val="21"/>
                <w:szCs w:val="21"/>
                <w:highlight w:val="none"/>
              </w:rPr>
              <w:t>00ml可调，梯度为1ml/min；温度：33 — 40℃可调</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1.1.17</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电导调节与监测：钠130 — 150 mmol/L，钠离子曲线可调</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1.1.18</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超滤率：0 — 4.0L/小时；超滤精度：≤±1%</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1.1.19</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支持全自动化学消毒、热消毒，热消毒温度≥90℃，具备短时热消毒，时间≤30分钟</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1.1.20</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支持清洗棒环保消毒方式</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1.1.21</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消毒排空率：≥99%</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1.1.22</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rPr>
              <w:t>配置后备电池，断电后可维持15分钟以上的运转</w:t>
            </w:r>
            <w:r>
              <w:rPr>
                <w:rFonts w:hint="eastAsia" w:ascii="宋体" w:hAnsi="宋体" w:cs="宋体"/>
                <w:b w:val="0"/>
                <w:bCs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val="en-US" w:eastAsia="zh-CN"/>
              </w:rPr>
              <w:t>1.23</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kern w:val="0"/>
                <w:sz w:val="21"/>
                <w:szCs w:val="21"/>
                <w:highlight w:val="none"/>
              </w:rPr>
              <w:t>开放数据接口，配置数据采集盒</w:t>
            </w:r>
            <w:r>
              <w:rPr>
                <w:rFonts w:hint="eastAsia" w:ascii="宋体" w:hAnsi="宋体" w:cs="宋体"/>
                <w:b w:val="0"/>
                <w:bCs w:val="0"/>
                <w:kern w:val="0"/>
                <w:sz w:val="21"/>
                <w:szCs w:val="21"/>
                <w:highlight w:val="none"/>
                <w:lang w:eastAsia="zh-CN"/>
              </w:rPr>
              <w:t>，</w:t>
            </w:r>
            <w:r>
              <w:rPr>
                <w:rFonts w:hint="eastAsia" w:ascii="宋体" w:hAnsi="宋体" w:cs="宋体"/>
                <w:b w:val="0"/>
                <w:bCs w:val="0"/>
                <w:kern w:val="0"/>
                <w:sz w:val="21"/>
                <w:szCs w:val="21"/>
                <w:highlight w:val="none"/>
                <w:lang w:val="en-US" w:eastAsia="zh-CN"/>
              </w:rPr>
              <w:t>与血透信息软件实现联机。</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rPr>
            </w:pP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val="en-US" w:eastAsia="zh-CN"/>
              </w:rPr>
              <w:t>1.24</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sz w:val="21"/>
                <w:szCs w:val="21"/>
                <w:highlight w:val="none"/>
                <w:lang w:val="en-US" w:eastAsia="zh-CN"/>
              </w:rPr>
              <w:t>具有透析液细菌过滤装置，超滤器进入浙江省标，标明省标代码及价格</w:t>
            </w:r>
            <w:r>
              <w:rPr>
                <w:rFonts w:hint="eastAsia" w:ascii="宋体" w:hAnsi="宋体" w:cs="宋体"/>
                <w:b w:val="0"/>
                <w:bCs w:val="0"/>
                <w:sz w:val="21"/>
                <w:szCs w:val="21"/>
                <w:highlight w:val="none"/>
                <w:lang w:val="en-US"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rPr>
              <w:t>1.</w:t>
            </w:r>
            <w:r>
              <w:rPr>
                <w:rFonts w:hint="eastAsia" w:ascii="宋体" w:hAnsi="宋体" w:eastAsia="宋体" w:cs="宋体"/>
                <w:b/>
                <w:bCs/>
                <w:sz w:val="21"/>
                <w:szCs w:val="21"/>
                <w:highlight w:val="none"/>
                <w:lang w:val="en-US" w:eastAsia="zh-CN"/>
              </w:rPr>
              <w:t>2</w:t>
            </w:r>
          </w:p>
        </w:tc>
        <w:tc>
          <w:tcPr>
            <w:tcW w:w="6060" w:type="dxa"/>
            <w:shd w:val="clear" w:color="auto" w:fill="auto"/>
            <w:vAlign w:val="center"/>
          </w:tcPr>
          <w:p>
            <w:pPr>
              <w:spacing w:line="320" w:lineRule="exact"/>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配置</w:t>
            </w:r>
            <w:r>
              <w:rPr>
                <w:rFonts w:hint="eastAsia" w:ascii="宋体" w:hAnsi="宋体" w:eastAsia="宋体" w:cs="宋体"/>
                <w:b/>
                <w:bCs/>
                <w:sz w:val="21"/>
                <w:szCs w:val="21"/>
                <w:highlight w:val="none"/>
                <w:lang w:val="en-US" w:eastAsia="zh-CN"/>
              </w:rPr>
              <w:t>要求</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default" w:ascii="宋体" w:hAnsi="宋体" w:eastAsia="宋体" w:cs="宋体"/>
                <w:sz w:val="21"/>
                <w:szCs w:val="21"/>
                <w:highlight w:val="none"/>
                <w:lang w:val="en-US" w:eastAsia="zh-CN"/>
              </w:rPr>
            </w:pPr>
            <w:r>
              <w:rPr>
                <w:rFonts w:hint="eastAsia" w:ascii="宋体" w:hAnsi="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eastAsia="zh-CN"/>
              </w:rPr>
            </w:pPr>
            <w:r>
              <w:rPr>
                <w:rFonts w:hint="eastAsia" w:ascii="宋体" w:hAnsi="宋体" w:eastAsia="宋体" w:cs="宋体"/>
                <w:b w:val="0"/>
                <w:bCs w:val="0"/>
                <w:sz w:val="21"/>
                <w:szCs w:val="21"/>
                <w:highlight w:val="none"/>
              </w:rPr>
              <w:t>1.</w:t>
            </w:r>
            <w:r>
              <w:rPr>
                <w:rFonts w:hint="eastAsia" w:ascii="宋体" w:hAnsi="宋体" w:eastAsia="宋体" w:cs="宋体"/>
                <w:b w:val="0"/>
                <w:bCs w:val="0"/>
                <w:i w:val="0"/>
                <w:iCs w:val="0"/>
                <w:color w:val="000000"/>
                <w:kern w:val="0"/>
                <w:sz w:val="21"/>
                <w:szCs w:val="21"/>
                <w:highlight w:val="none"/>
                <w:u w:val="none"/>
                <w:lang w:val="en-US" w:eastAsia="zh-CN" w:bidi="ar"/>
              </w:rPr>
              <w:t>2.1</w:t>
            </w:r>
          </w:p>
        </w:tc>
        <w:tc>
          <w:tcPr>
            <w:tcW w:w="6060" w:type="dxa"/>
            <w:shd w:val="clear" w:color="auto" w:fill="auto"/>
            <w:vAlign w:val="center"/>
          </w:tcPr>
          <w:p>
            <w:pPr>
              <w:autoSpaceDE w:val="0"/>
              <w:autoSpaceDN w:val="0"/>
              <w:spacing w:line="280" w:lineRule="exact"/>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000000"/>
                <w:sz w:val="21"/>
                <w:szCs w:val="21"/>
                <w:highlight w:val="none"/>
                <w:lang w:val="zh-CN"/>
              </w:rPr>
              <w:t>血液透析装置主机：</w:t>
            </w:r>
            <w:r>
              <w:rPr>
                <w:rFonts w:hint="eastAsia" w:ascii="宋体" w:hAnsi="宋体" w:eastAsia="宋体" w:cs="宋体"/>
                <w:b w:val="0"/>
                <w:bCs w:val="0"/>
                <w:color w:val="000000"/>
                <w:sz w:val="21"/>
                <w:szCs w:val="21"/>
                <w:highlight w:val="none"/>
                <w:lang w:val="en-US" w:eastAsia="zh-CN"/>
              </w:rPr>
              <w:t>5</w:t>
            </w:r>
            <w:r>
              <w:rPr>
                <w:rFonts w:hint="eastAsia" w:ascii="宋体" w:hAnsi="宋体" w:eastAsia="宋体" w:cs="宋体"/>
                <w:b w:val="0"/>
                <w:bCs w:val="0"/>
                <w:color w:val="000000"/>
                <w:sz w:val="21"/>
                <w:szCs w:val="21"/>
                <w:highlight w:val="none"/>
                <w:lang w:val="zh-CN"/>
              </w:rPr>
              <w:t>套</w:t>
            </w:r>
            <w:r>
              <w:rPr>
                <w:rFonts w:hint="eastAsia" w:ascii="宋体" w:hAnsi="宋体" w:cs="宋体"/>
                <w:b w:val="0"/>
                <w:bCs w:val="0"/>
                <w:color w:val="000000"/>
                <w:sz w:val="21"/>
                <w:szCs w:val="21"/>
                <w:highlight w:val="none"/>
                <w:lang w:val="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w:t>
            </w:r>
            <w:r>
              <w:rPr>
                <w:rFonts w:hint="eastAsia" w:ascii="宋体" w:hAnsi="宋体" w:eastAsia="宋体" w:cs="宋体"/>
                <w:b w:val="0"/>
                <w:bCs w:val="0"/>
                <w:i w:val="0"/>
                <w:iCs w:val="0"/>
                <w:color w:val="000000"/>
                <w:kern w:val="0"/>
                <w:sz w:val="21"/>
                <w:szCs w:val="21"/>
                <w:highlight w:val="none"/>
                <w:u w:val="none"/>
                <w:lang w:val="en-US" w:eastAsia="zh-CN" w:bidi="ar"/>
              </w:rPr>
              <w:t>2.2</w:t>
            </w:r>
          </w:p>
        </w:tc>
        <w:tc>
          <w:tcPr>
            <w:tcW w:w="6060" w:type="dxa"/>
            <w:shd w:val="clear" w:color="auto" w:fill="auto"/>
            <w:vAlign w:val="center"/>
          </w:tcPr>
          <w:p>
            <w:pPr>
              <w:autoSpaceDE w:val="0"/>
              <w:autoSpaceDN w:val="0"/>
              <w:spacing w:line="280" w:lineRule="exact"/>
              <w:jc w:val="left"/>
              <w:rPr>
                <w:rFonts w:hint="eastAsia" w:ascii="宋体" w:hAnsi="宋体" w:eastAsia="宋体" w:cs="宋体"/>
                <w:bCs/>
                <w:sz w:val="21"/>
                <w:szCs w:val="21"/>
                <w:highlight w:val="none"/>
              </w:rPr>
            </w:pPr>
            <w:r>
              <w:rPr>
                <w:rFonts w:hint="eastAsia" w:ascii="宋体" w:hAnsi="宋体" w:eastAsia="宋体" w:cs="宋体"/>
                <w:b w:val="0"/>
                <w:bCs w:val="0"/>
                <w:color w:val="000000"/>
                <w:sz w:val="21"/>
                <w:szCs w:val="21"/>
                <w:highlight w:val="none"/>
                <w:lang w:val="zh-CN"/>
              </w:rPr>
              <w:t>超纯净透析过滤装置：</w:t>
            </w:r>
            <w:r>
              <w:rPr>
                <w:rFonts w:hint="eastAsia" w:ascii="宋体" w:hAnsi="宋体" w:eastAsia="宋体" w:cs="宋体"/>
                <w:b w:val="0"/>
                <w:bCs w:val="0"/>
                <w:color w:val="000000"/>
                <w:sz w:val="21"/>
                <w:szCs w:val="21"/>
                <w:highlight w:val="none"/>
                <w:lang w:val="en-US" w:eastAsia="zh-CN"/>
              </w:rPr>
              <w:t>5</w:t>
            </w:r>
            <w:r>
              <w:rPr>
                <w:rFonts w:hint="eastAsia" w:ascii="宋体" w:hAnsi="宋体" w:eastAsia="宋体" w:cs="宋体"/>
                <w:b w:val="0"/>
                <w:bCs w:val="0"/>
                <w:color w:val="000000"/>
                <w:sz w:val="21"/>
                <w:szCs w:val="21"/>
                <w:highlight w:val="none"/>
                <w:lang w:val="zh-CN"/>
              </w:rPr>
              <w:t>套</w:t>
            </w:r>
            <w:r>
              <w:rPr>
                <w:rFonts w:hint="eastAsia" w:ascii="宋体" w:hAnsi="宋体" w:cs="宋体"/>
                <w:b w:val="0"/>
                <w:bCs w:val="0"/>
                <w:color w:val="000000"/>
                <w:sz w:val="21"/>
                <w:szCs w:val="21"/>
                <w:highlight w:val="none"/>
                <w:lang w:val="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w:t>
            </w:r>
            <w:r>
              <w:rPr>
                <w:rFonts w:hint="eastAsia" w:ascii="宋体" w:hAnsi="宋体" w:eastAsia="宋体" w:cs="宋体"/>
                <w:b w:val="0"/>
                <w:bCs w:val="0"/>
                <w:i w:val="0"/>
                <w:iCs w:val="0"/>
                <w:color w:val="000000"/>
                <w:kern w:val="0"/>
                <w:sz w:val="21"/>
                <w:szCs w:val="21"/>
                <w:highlight w:val="none"/>
                <w:u w:val="none"/>
                <w:lang w:val="en-US" w:eastAsia="zh-CN" w:bidi="ar"/>
              </w:rPr>
              <w:t>2.3</w:t>
            </w:r>
          </w:p>
        </w:tc>
        <w:tc>
          <w:tcPr>
            <w:tcW w:w="6060" w:type="dxa"/>
            <w:shd w:val="clear" w:color="auto" w:fill="auto"/>
            <w:vAlign w:val="center"/>
          </w:tcPr>
          <w:p>
            <w:pPr>
              <w:autoSpaceDE w:val="0"/>
              <w:autoSpaceDN w:val="0"/>
              <w:spacing w:line="280" w:lineRule="exact"/>
              <w:jc w:val="left"/>
              <w:rPr>
                <w:rFonts w:hint="eastAsia" w:ascii="宋体" w:hAnsi="宋体" w:eastAsia="宋体" w:cs="宋体"/>
                <w:bCs/>
                <w:sz w:val="21"/>
                <w:szCs w:val="21"/>
                <w:highlight w:val="none"/>
              </w:rPr>
            </w:pPr>
            <w:r>
              <w:rPr>
                <w:rFonts w:hint="eastAsia" w:ascii="宋体" w:hAnsi="宋体" w:eastAsia="宋体" w:cs="宋体"/>
                <w:b w:val="0"/>
                <w:bCs w:val="0"/>
                <w:color w:val="000000"/>
                <w:sz w:val="21"/>
                <w:szCs w:val="21"/>
                <w:highlight w:val="none"/>
                <w:lang w:val="zh-CN"/>
              </w:rPr>
              <w:t>内置血压模块：</w:t>
            </w:r>
            <w:r>
              <w:rPr>
                <w:rFonts w:hint="eastAsia" w:ascii="宋体" w:hAnsi="宋体" w:eastAsia="宋体" w:cs="宋体"/>
                <w:b w:val="0"/>
                <w:bCs w:val="0"/>
                <w:color w:val="000000"/>
                <w:sz w:val="21"/>
                <w:szCs w:val="21"/>
                <w:highlight w:val="none"/>
                <w:lang w:val="en-US" w:eastAsia="zh-CN"/>
              </w:rPr>
              <w:t>5</w:t>
            </w:r>
            <w:r>
              <w:rPr>
                <w:rFonts w:hint="eastAsia" w:ascii="宋体" w:hAnsi="宋体" w:eastAsia="宋体" w:cs="宋体"/>
                <w:b w:val="0"/>
                <w:bCs w:val="0"/>
                <w:color w:val="000000"/>
                <w:sz w:val="21"/>
                <w:szCs w:val="21"/>
                <w:highlight w:val="none"/>
                <w:lang w:val="zh-CN"/>
              </w:rPr>
              <w:t>套</w:t>
            </w:r>
            <w:r>
              <w:rPr>
                <w:rFonts w:hint="eastAsia" w:ascii="宋体" w:hAnsi="宋体" w:cs="宋体"/>
                <w:b w:val="0"/>
                <w:bCs w:val="0"/>
                <w:color w:val="000000"/>
                <w:sz w:val="21"/>
                <w:szCs w:val="21"/>
                <w:highlight w:val="none"/>
                <w:lang w:val="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w:t>
            </w:r>
            <w:r>
              <w:rPr>
                <w:rFonts w:hint="eastAsia" w:ascii="宋体" w:hAnsi="宋体" w:eastAsia="宋体" w:cs="宋体"/>
                <w:b w:val="0"/>
                <w:bCs w:val="0"/>
                <w:i w:val="0"/>
                <w:iCs w:val="0"/>
                <w:color w:val="000000"/>
                <w:kern w:val="0"/>
                <w:sz w:val="21"/>
                <w:szCs w:val="21"/>
                <w:highlight w:val="none"/>
                <w:u w:val="none"/>
                <w:lang w:val="en-US" w:eastAsia="zh-CN" w:bidi="ar"/>
              </w:rPr>
              <w:t>2.4</w:t>
            </w:r>
          </w:p>
        </w:tc>
        <w:tc>
          <w:tcPr>
            <w:tcW w:w="6060" w:type="dxa"/>
            <w:shd w:val="clear" w:color="auto" w:fill="auto"/>
            <w:vAlign w:val="center"/>
          </w:tcPr>
          <w:p>
            <w:pPr>
              <w:autoSpaceDE w:val="0"/>
              <w:autoSpaceDN w:val="0"/>
              <w:spacing w:line="280" w:lineRule="exact"/>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000000"/>
                <w:sz w:val="21"/>
                <w:szCs w:val="21"/>
                <w:highlight w:val="none"/>
                <w:lang w:val="zh-CN"/>
              </w:rPr>
              <w:t>KT/V在线监测模块：</w:t>
            </w:r>
            <w:r>
              <w:rPr>
                <w:rFonts w:hint="eastAsia" w:ascii="宋体" w:hAnsi="宋体" w:eastAsia="宋体" w:cs="宋体"/>
                <w:b w:val="0"/>
                <w:bCs w:val="0"/>
                <w:color w:val="000000"/>
                <w:sz w:val="21"/>
                <w:szCs w:val="21"/>
                <w:highlight w:val="none"/>
                <w:lang w:val="en-US" w:eastAsia="zh-CN"/>
              </w:rPr>
              <w:t>5</w:t>
            </w:r>
            <w:r>
              <w:rPr>
                <w:rFonts w:hint="eastAsia" w:ascii="宋体" w:hAnsi="宋体" w:eastAsia="宋体" w:cs="宋体"/>
                <w:b w:val="0"/>
                <w:bCs w:val="0"/>
                <w:color w:val="000000"/>
                <w:sz w:val="21"/>
                <w:szCs w:val="21"/>
                <w:highlight w:val="none"/>
                <w:lang w:val="zh-CN"/>
              </w:rPr>
              <w:t>套</w:t>
            </w:r>
            <w:r>
              <w:rPr>
                <w:rFonts w:hint="eastAsia" w:ascii="宋体" w:hAnsi="宋体" w:cs="宋体"/>
                <w:b w:val="0"/>
                <w:bCs w:val="0"/>
                <w:color w:val="000000"/>
                <w:sz w:val="21"/>
                <w:szCs w:val="21"/>
                <w:highlight w:val="none"/>
                <w:lang w:val="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eastAsia="宋体" w:cs="宋体"/>
                <w:b w:val="0"/>
                <w:bCs w:val="0"/>
                <w:sz w:val="21"/>
                <w:szCs w:val="21"/>
                <w:highlight w:val="none"/>
              </w:rPr>
              <w:t>1.</w:t>
            </w:r>
            <w:r>
              <w:rPr>
                <w:rFonts w:hint="eastAsia" w:ascii="宋体" w:hAnsi="宋体" w:eastAsia="宋体" w:cs="宋体"/>
                <w:b w:val="0"/>
                <w:bCs w:val="0"/>
                <w:i w:val="0"/>
                <w:iCs w:val="0"/>
                <w:color w:val="000000"/>
                <w:kern w:val="0"/>
                <w:sz w:val="21"/>
                <w:szCs w:val="21"/>
                <w:highlight w:val="none"/>
                <w:u w:val="none"/>
                <w:lang w:val="en-US" w:eastAsia="zh-CN" w:bidi="ar"/>
              </w:rPr>
              <w:t>2.5</w:t>
            </w:r>
          </w:p>
        </w:tc>
        <w:tc>
          <w:tcPr>
            <w:tcW w:w="6060" w:type="dxa"/>
            <w:shd w:val="clear" w:color="auto" w:fill="auto"/>
            <w:vAlign w:val="center"/>
          </w:tcPr>
          <w:p>
            <w:pPr>
              <w:autoSpaceDE w:val="0"/>
              <w:autoSpaceDN w:val="0"/>
              <w:spacing w:line="280" w:lineRule="exact"/>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000000"/>
                <w:sz w:val="21"/>
                <w:szCs w:val="21"/>
                <w:highlight w:val="none"/>
                <w:lang w:val="zh-CN"/>
              </w:rPr>
              <w:t>干粉桶支架：</w:t>
            </w:r>
            <w:r>
              <w:rPr>
                <w:rFonts w:hint="eastAsia" w:ascii="宋体" w:hAnsi="宋体" w:eastAsia="宋体" w:cs="宋体"/>
                <w:b w:val="0"/>
                <w:bCs w:val="0"/>
                <w:color w:val="000000"/>
                <w:sz w:val="21"/>
                <w:szCs w:val="21"/>
                <w:highlight w:val="none"/>
                <w:lang w:val="en-US" w:eastAsia="zh-CN"/>
              </w:rPr>
              <w:t>5</w:t>
            </w:r>
            <w:r>
              <w:rPr>
                <w:rFonts w:hint="eastAsia" w:ascii="宋体" w:hAnsi="宋体" w:eastAsia="宋体" w:cs="宋体"/>
                <w:b w:val="0"/>
                <w:bCs w:val="0"/>
                <w:color w:val="000000"/>
                <w:sz w:val="21"/>
                <w:szCs w:val="21"/>
                <w:highlight w:val="none"/>
                <w:lang w:val="zh-CN"/>
              </w:rPr>
              <w:t>套</w:t>
            </w:r>
            <w:r>
              <w:rPr>
                <w:rFonts w:hint="eastAsia" w:ascii="宋体" w:hAnsi="宋体" w:cs="宋体"/>
                <w:b w:val="0"/>
                <w:bCs w:val="0"/>
                <w:color w:val="000000"/>
                <w:sz w:val="21"/>
                <w:szCs w:val="21"/>
                <w:highlight w:val="none"/>
                <w:lang w:val="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1.</w:t>
            </w:r>
            <w:r>
              <w:rPr>
                <w:rFonts w:hint="eastAsia" w:ascii="宋体" w:hAnsi="宋体" w:eastAsia="宋体" w:cs="宋体"/>
                <w:b w:val="0"/>
                <w:bCs w:val="0"/>
                <w:i w:val="0"/>
                <w:iCs w:val="0"/>
                <w:color w:val="000000"/>
                <w:kern w:val="0"/>
                <w:sz w:val="21"/>
                <w:szCs w:val="21"/>
                <w:highlight w:val="none"/>
                <w:u w:val="none"/>
                <w:lang w:val="en-US" w:eastAsia="zh-CN" w:bidi="ar"/>
              </w:rPr>
              <w:t>2.6</w:t>
            </w:r>
          </w:p>
        </w:tc>
        <w:tc>
          <w:tcPr>
            <w:tcW w:w="6060" w:type="dxa"/>
            <w:shd w:val="clear" w:color="auto" w:fill="auto"/>
            <w:vAlign w:val="center"/>
          </w:tcPr>
          <w:p>
            <w:pPr>
              <w:autoSpaceDE w:val="0"/>
              <w:autoSpaceDN w:val="0"/>
              <w:spacing w:line="280" w:lineRule="exact"/>
              <w:jc w:val="left"/>
              <w:rPr>
                <w:rFonts w:hint="eastAsia" w:ascii="宋体" w:hAnsi="宋体" w:eastAsia="宋体" w:cs="宋体"/>
                <w:bCs/>
                <w:sz w:val="21"/>
                <w:szCs w:val="21"/>
                <w:highlight w:val="none"/>
              </w:rPr>
            </w:pPr>
            <w:r>
              <w:rPr>
                <w:rFonts w:hint="eastAsia" w:ascii="宋体" w:hAnsi="宋体" w:eastAsia="宋体" w:cs="宋体"/>
                <w:b w:val="0"/>
                <w:bCs w:val="0"/>
                <w:color w:val="000000"/>
                <w:sz w:val="21"/>
                <w:szCs w:val="21"/>
                <w:highlight w:val="none"/>
                <w:lang w:val="zh-CN"/>
              </w:rPr>
              <w:t>后备电源：</w:t>
            </w:r>
            <w:r>
              <w:rPr>
                <w:rFonts w:hint="eastAsia" w:ascii="宋体" w:hAnsi="宋体" w:eastAsia="宋体" w:cs="宋体"/>
                <w:b w:val="0"/>
                <w:bCs w:val="0"/>
                <w:color w:val="000000"/>
                <w:sz w:val="21"/>
                <w:szCs w:val="21"/>
                <w:highlight w:val="none"/>
                <w:lang w:val="en-US" w:eastAsia="zh-CN"/>
              </w:rPr>
              <w:t>5</w:t>
            </w:r>
            <w:r>
              <w:rPr>
                <w:rFonts w:hint="eastAsia" w:ascii="宋体" w:hAnsi="宋体" w:eastAsia="宋体" w:cs="宋体"/>
                <w:b w:val="0"/>
                <w:bCs w:val="0"/>
                <w:color w:val="000000"/>
                <w:sz w:val="21"/>
                <w:szCs w:val="21"/>
                <w:highlight w:val="none"/>
                <w:lang w:val="zh-CN"/>
              </w:rPr>
              <w:t>套</w:t>
            </w:r>
            <w:r>
              <w:rPr>
                <w:rFonts w:hint="eastAsia" w:ascii="宋体" w:hAnsi="宋体" w:cs="宋体"/>
                <w:b w:val="0"/>
                <w:bCs w:val="0"/>
                <w:color w:val="000000"/>
                <w:sz w:val="21"/>
                <w:szCs w:val="21"/>
                <w:highlight w:val="none"/>
                <w:lang w:val="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Cs/>
                <w:sz w:val="21"/>
                <w:szCs w:val="21"/>
                <w:highlight w:val="none"/>
                <w:lang w:val="en-US" w:eastAsia="zh-CN"/>
              </w:rPr>
            </w:pPr>
            <w:r>
              <w:rPr>
                <w:rFonts w:hint="eastAsia" w:ascii="宋体" w:hAnsi="宋体" w:cs="宋体"/>
                <w:b w:val="0"/>
                <w:bCs w:val="0"/>
                <w:sz w:val="21"/>
                <w:szCs w:val="21"/>
                <w:highlight w:val="none"/>
                <w:lang w:val="en-US" w:eastAsia="zh-CN"/>
              </w:rPr>
              <w:t>二</w:t>
            </w:r>
          </w:p>
        </w:tc>
        <w:tc>
          <w:tcPr>
            <w:tcW w:w="6060" w:type="dxa"/>
            <w:shd w:val="clear" w:color="auto" w:fill="auto"/>
            <w:vAlign w:val="center"/>
          </w:tcPr>
          <w:p>
            <w:pPr>
              <w:jc w:val="left"/>
              <w:rPr>
                <w:rFonts w:hint="eastAsia" w:ascii="宋体" w:hAnsi="宋体" w:eastAsia="宋体" w:cs="宋体"/>
                <w:bCs/>
                <w:sz w:val="21"/>
                <w:szCs w:val="21"/>
                <w:highlight w:val="none"/>
              </w:rPr>
            </w:pPr>
            <w:r>
              <w:rPr>
                <w:rFonts w:hint="eastAsia" w:ascii="宋体" w:hAnsi="宋体" w:eastAsia="宋体" w:cs="宋体"/>
                <w:b/>
                <w:bCs/>
                <w:sz w:val="21"/>
                <w:szCs w:val="21"/>
                <w:highlight w:val="none"/>
                <w:lang w:val="en-US" w:eastAsia="zh-CN"/>
              </w:rPr>
              <w:t>双</w:t>
            </w:r>
            <w:r>
              <w:rPr>
                <w:rFonts w:hint="eastAsia" w:ascii="宋体" w:hAnsi="宋体" w:eastAsia="宋体" w:cs="宋体"/>
                <w:b/>
                <w:bCs/>
                <w:sz w:val="21"/>
                <w:szCs w:val="21"/>
                <w:highlight w:val="none"/>
              </w:rPr>
              <w:t>泵血液透析设备</w:t>
            </w:r>
            <w:r>
              <w:rPr>
                <w:rFonts w:hint="eastAsia" w:ascii="宋体" w:hAnsi="宋体" w:cs="宋体"/>
                <w:b/>
                <w:bCs/>
                <w:sz w:val="21"/>
                <w:szCs w:val="21"/>
                <w:highlight w:val="none"/>
                <w:lang w:val="en-US" w:eastAsia="zh-CN"/>
              </w:rPr>
              <w:t xml:space="preserve">                              </w:t>
            </w:r>
            <w:r>
              <w:rPr>
                <w:rFonts w:hint="eastAsia" w:ascii="宋体" w:hAnsi="宋体" w:eastAsia="宋体" w:cs="宋体"/>
                <w:b/>
                <w:bCs/>
                <w:sz w:val="21"/>
                <w:szCs w:val="21"/>
                <w:highlight w:val="none"/>
              </w:rPr>
              <w:t>数量：</w:t>
            </w:r>
            <w:r>
              <w:rPr>
                <w:rFonts w:hint="eastAsia" w:ascii="宋体" w:hAnsi="宋体" w:cs="宋体"/>
                <w:b/>
                <w:bCs/>
                <w:sz w:val="21"/>
                <w:szCs w:val="21"/>
                <w:highlight w:val="none"/>
                <w:lang w:val="en-US" w:eastAsia="zh-CN"/>
              </w:rPr>
              <w:t>1</w:t>
            </w:r>
            <w:r>
              <w:rPr>
                <w:rFonts w:hint="eastAsia" w:ascii="宋体" w:hAnsi="宋体" w:eastAsia="宋体" w:cs="宋体"/>
                <w:b/>
                <w:bCs/>
                <w:sz w:val="21"/>
                <w:szCs w:val="21"/>
                <w:highlight w:val="none"/>
              </w:rPr>
              <w:t xml:space="preserve">套 </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2.</w:t>
            </w:r>
            <w:r>
              <w:rPr>
                <w:rFonts w:hint="eastAsia" w:ascii="宋体" w:hAnsi="宋体" w:eastAsia="宋体" w:cs="宋体"/>
                <w:b/>
                <w:bCs/>
                <w:sz w:val="21"/>
                <w:szCs w:val="21"/>
                <w:highlight w:val="none"/>
                <w:lang w:val="en-US" w:eastAsia="zh-CN"/>
              </w:rPr>
              <w:t>1</w:t>
            </w:r>
          </w:p>
        </w:tc>
        <w:tc>
          <w:tcPr>
            <w:tcW w:w="6060" w:type="dxa"/>
            <w:shd w:val="clear" w:color="auto" w:fill="auto"/>
            <w:vAlign w:val="center"/>
          </w:tcPr>
          <w:p>
            <w:pPr>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技术功能要求</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1.1</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适用范围：适用于血液透析中心急、慢性肾功能衰竭的替代治疗，具备血液滤过HF、血液透析滤过HDF以及常规透析和碳酸盐透析功能</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1.2</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触控中文≥15英寸彩屏，保证足够和精确的信息量，具有中文及其他多种操作语言</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1.3</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高精度超滤系统，确保超滤准确，流量连续无死腔，安全无卫生隐患</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1.4</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具有自动预冲功能，一键预约，自动启动，无需手工操作，无需翻转透析器</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1.5</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肝素流速可调，具有肝素追加功能</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1.6</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透析液流速梯度可调节</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1.7</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透析液温度34 — 39.5℃可调</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1.8</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具有预冲液收集排放装置，无需要废液袋</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1.9</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支持全自动化学消毒、热消毒，热消毒温度≥95℃</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1.10</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消毒排空率：≥99%</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1.11</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两班次间自检时间≤10分钟</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1.12</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多个电导测量模块在线反馈式电导调节，确保透析液离子浓度准确，改善患者舒适度与安全性</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
                <w:bCs w:val="0"/>
                <w:sz w:val="21"/>
                <w:szCs w:val="21"/>
                <w:highlight w:val="none"/>
                <w:lang w:val="en-US" w:eastAsia="zh-CN"/>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1.13</w:t>
            </w:r>
          </w:p>
        </w:tc>
        <w:tc>
          <w:tcPr>
            <w:tcW w:w="6060" w:type="dxa"/>
            <w:shd w:val="clear" w:color="auto" w:fill="auto"/>
            <w:vAlign w:val="center"/>
          </w:tcPr>
          <w:p>
            <w:pPr>
              <w:jc w:val="left"/>
              <w:rPr>
                <w:rFonts w:hint="eastAsia" w:ascii="宋体" w:hAnsi="宋体" w:eastAsia="宋体" w:cs="宋体"/>
                <w:b/>
                <w:bCs w:val="0"/>
                <w:sz w:val="21"/>
                <w:szCs w:val="21"/>
                <w:highlight w:val="none"/>
              </w:rPr>
            </w:pPr>
            <w:r>
              <w:rPr>
                <w:rFonts w:hint="eastAsia" w:ascii="宋体" w:hAnsi="宋体" w:eastAsia="宋体" w:cs="宋体"/>
                <w:b w:val="0"/>
                <w:bCs w:val="0"/>
                <w:color w:val="auto"/>
                <w:sz w:val="21"/>
                <w:szCs w:val="21"/>
                <w:highlight w:val="none"/>
              </w:rPr>
              <w:t>主机标准配置后备电池，断电后可维持15分钟以上的血泵运转时间。</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eastAsia="zh-CN"/>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1.14</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具有多重细菌滤过安全保障系统，确保超纯净透析液，置换液彻底无菌、无热源，确保治疗安全</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1.15</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具有漏液监测系统，进一步提高治疗安全性</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1.16</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具有压力控制模式</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1.17</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配置内置血压模块</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1.18</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配置血容量测量装置，不需要额外耗材，治疗中实时监测</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1.19</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可以单独调控钠离子和碳酸氢根离子</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1.20</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配置在线B干粉装置，干粉耗材可以通用</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1.21</w:t>
            </w:r>
          </w:p>
        </w:tc>
        <w:tc>
          <w:tcPr>
            <w:tcW w:w="6060" w:type="dxa"/>
            <w:shd w:val="clear" w:color="auto" w:fill="auto"/>
            <w:vAlign w:val="center"/>
          </w:tcPr>
          <w:p>
            <w:pPr>
              <w:jc w:val="left"/>
              <w:rPr>
                <w:rFonts w:hint="eastAsia" w:ascii="宋体" w:hAnsi="宋体" w:eastAsia="宋体" w:cs="宋体"/>
                <w:color w:val="000000"/>
                <w:sz w:val="21"/>
                <w:szCs w:val="21"/>
                <w:highlight w:val="none"/>
                <w:lang w:val="en-US" w:eastAsia="zh-CN"/>
              </w:rPr>
            </w:pPr>
            <w:r>
              <w:rPr>
                <w:rFonts w:hint="eastAsia" w:ascii="宋体" w:hAnsi="宋体" w:eastAsia="宋体" w:cs="宋体"/>
                <w:b w:val="0"/>
                <w:bCs w:val="0"/>
                <w:color w:val="auto"/>
                <w:sz w:val="21"/>
                <w:szCs w:val="21"/>
                <w:highlight w:val="none"/>
              </w:rPr>
              <w:t>配置在线透析充分性监测模块（Kt/V），利用电导模块实时测得，非计算式及光学监测，详细说明原理上</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eastAsia="zh-CN"/>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1.22</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开放数据接口</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default" w:ascii="宋体" w:hAnsi="宋体" w:eastAsia="宋体" w:cs="宋体"/>
                <w:bCs/>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1.23</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val="0"/>
                <w:bCs w:val="0"/>
                <w:color w:val="auto"/>
                <w:sz w:val="21"/>
                <w:szCs w:val="21"/>
                <w:highlight w:val="none"/>
              </w:rPr>
              <w:t>开放维修权限，医院工程师具有自主维修权限</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default" w:ascii="宋体" w:hAnsi="宋体" w:cs="宋体"/>
                <w:b/>
                <w:bCs/>
                <w:sz w:val="21"/>
                <w:szCs w:val="21"/>
                <w:highlight w:val="none"/>
                <w:lang w:val="en-US" w:eastAsia="zh-CN"/>
              </w:rPr>
            </w:pPr>
            <w:bookmarkStart w:id="187" w:name="_Toc115344239"/>
            <w:r>
              <w:rPr>
                <w:rFonts w:hint="eastAsia" w:ascii="宋体" w:hAnsi="宋体" w:cs="宋体"/>
                <w:b/>
                <w:bCs/>
                <w:i w:val="0"/>
                <w:iCs w:val="0"/>
                <w:color w:val="000000"/>
                <w:kern w:val="0"/>
                <w:sz w:val="21"/>
                <w:szCs w:val="21"/>
                <w:highlight w:val="none"/>
                <w:u w:val="none"/>
                <w:lang w:val="en-US" w:eastAsia="zh-CN" w:bidi="ar"/>
              </w:rPr>
              <w:t>2.</w:t>
            </w:r>
            <w:r>
              <w:rPr>
                <w:rFonts w:hint="eastAsia" w:ascii="宋体" w:hAnsi="宋体" w:eastAsia="宋体" w:cs="宋体"/>
                <w:b/>
                <w:bCs/>
                <w:color w:val="auto"/>
                <w:sz w:val="21"/>
                <w:szCs w:val="21"/>
                <w:highlight w:val="none"/>
                <w:lang w:val="en-US" w:eastAsia="zh-CN"/>
              </w:rPr>
              <w:t>2</w:t>
            </w:r>
          </w:p>
        </w:tc>
        <w:tc>
          <w:tcPr>
            <w:tcW w:w="6060" w:type="dxa"/>
            <w:shd w:val="clear" w:color="auto" w:fill="auto"/>
            <w:vAlign w:val="center"/>
          </w:tcPr>
          <w:p>
            <w:pPr>
              <w:jc w:val="left"/>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auto"/>
                <w:sz w:val="21"/>
                <w:szCs w:val="21"/>
                <w:highlight w:val="none"/>
              </w:rPr>
              <w:t>配置要求</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2.1</w:t>
            </w:r>
          </w:p>
        </w:tc>
        <w:tc>
          <w:tcPr>
            <w:tcW w:w="6060" w:type="dxa"/>
            <w:shd w:val="clear" w:color="auto" w:fill="auto"/>
            <w:vAlign w:val="center"/>
          </w:tcPr>
          <w:p>
            <w:pPr>
              <w:jc w:val="left"/>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标准配置主机</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套</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2.2</w:t>
            </w:r>
          </w:p>
        </w:tc>
        <w:tc>
          <w:tcPr>
            <w:tcW w:w="6060" w:type="dxa"/>
            <w:shd w:val="clear" w:color="auto" w:fill="auto"/>
            <w:vAlign w:val="center"/>
          </w:tcPr>
          <w:p>
            <w:pPr>
              <w:jc w:val="left"/>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干粉筒支架</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套</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2.3</w:t>
            </w:r>
          </w:p>
        </w:tc>
        <w:tc>
          <w:tcPr>
            <w:tcW w:w="6060" w:type="dxa"/>
            <w:shd w:val="clear" w:color="auto" w:fill="auto"/>
            <w:vAlign w:val="center"/>
          </w:tcPr>
          <w:p>
            <w:pPr>
              <w:jc w:val="left"/>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BPM内置血压模块</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套</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2.4</w:t>
            </w:r>
          </w:p>
        </w:tc>
        <w:tc>
          <w:tcPr>
            <w:tcW w:w="6060" w:type="dxa"/>
            <w:shd w:val="clear" w:color="auto" w:fill="auto"/>
            <w:vAlign w:val="center"/>
          </w:tcPr>
          <w:p>
            <w:pPr>
              <w:jc w:val="left"/>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在线监测模块</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套</w:t>
            </w:r>
            <w:r>
              <w:rPr>
                <w:rFonts w:hint="eastAsia" w:ascii="宋体" w:hAnsi="宋体" w:cs="宋体"/>
                <w:b w:val="0"/>
                <w:bCs w:val="0"/>
                <w:color w:val="auto"/>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i w:val="0"/>
                <w:iCs w:val="0"/>
                <w:color w:val="000000"/>
                <w:kern w:val="0"/>
                <w:sz w:val="21"/>
                <w:szCs w:val="21"/>
                <w:highlight w:val="none"/>
                <w:u w:val="none"/>
                <w:lang w:val="en-US" w:eastAsia="zh-CN" w:bidi="ar"/>
              </w:rPr>
              <w:t>2.</w:t>
            </w:r>
            <w:r>
              <w:rPr>
                <w:rFonts w:hint="eastAsia" w:ascii="宋体" w:hAnsi="宋体" w:eastAsia="宋体" w:cs="宋体"/>
                <w:b w:val="0"/>
                <w:bCs w:val="0"/>
                <w:i w:val="0"/>
                <w:iCs w:val="0"/>
                <w:color w:val="000000"/>
                <w:kern w:val="0"/>
                <w:sz w:val="21"/>
                <w:szCs w:val="21"/>
                <w:highlight w:val="none"/>
                <w:u w:val="none"/>
                <w:lang w:val="en-US" w:eastAsia="zh-CN" w:bidi="ar"/>
              </w:rPr>
              <w:t>2.5</w:t>
            </w:r>
          </w:p>
        </w:tc>
        <w:tc>
          <w:tcPr>
            <w:tcW w:w="6060" w:type="dxa"/>
            <w:shd w:val="clear" w:color="auto" w:fill="auto"/>
            <w:vAlign w:val="center"/>
          </w:tcPr>
          <w:p>
            <w:pPr>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血容量测量装置</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套</w:t>
            </w:r>
            <w:r>
              <w:rPr>
                <w:rFonts w:hint="eastAsia" w:ascii="宋体" w:hAnsi="宋体" w:cs="宋体"/>
                <w:b w:val="0"/>
                <w:bCs w:val="0"/>
                <w:color w:val="auto"/>
                <w:sz w:val="21"/>
                <w:szCs w:val="21"/>
                <w:highlight w:val="none"/>
                <w:lang w:val="en-US" w:eastAsia="zh-CN"/>
              </w:rPr>
              <w:t>；</w:t>
            </w:r>
          </w:p>
        </w:tc>
        <w:tc>
          <w:tcPr>
            <w:tcW w:w="1125" w:type="dxa"/>
            <w:shd w:val="clear" w:color="auto" w:fill="auto"/>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p>
        </w:tc>
      </w:tr>
    </w:tbl>
    <w:p>
      <w:pPr>
        <w:spacing w:line="360" w:lineRule="auto"/>
        <w:rPr>
          <w:rFonts w:hint="eastAsia"/>
          <w:b/>
          <w:bCs/>
          <w:highlight w:val="none"/>
          <w:lang w:val="en-US" w:eastAsia="zh-CN"/>
        </w:rPr>
      </w:pPr>
    </w:p>
    <w:p>
      <w:pPr>
        <w:spacing w:line="360" w:lineRule="auto"/>
        <w:rPr>
          <w:rFonts w:hint="eastAsia"/>
          <w:b/>
          <w:bCs/>
          <w:highlight w:val="none"/>
          <w:lang w:val="en-US" w:eastAsia="zh-CN"/>
        </w:rPr>
      </w:pPr>
    </w:p>
    <w:p>
      <w:pPr>
        <w:spacing w:line="360" w:lineRule="auto"/>
        <w:rPr>
          <w:rFonts w:hint="default" w:eastAsia="宋体"/>
          <w:b/>
          <w:bCs/>
          <w:highlight w:val="none"/>
          <w:lang w:val="en-US" w:eastAsia="zh-CN"/>
        </w:rPr>
      </w:pPr>
      <w:r>
        <w:rPr>
          <w:rFonts w:hint="eastAsia"/>
          <w:b/>
          <w:bCs/>
          <w:highlight w:val="none"/>
          <w:lang w:val="en-US" w:eastAsia="zh-CN"/>
        </w:rPr>
        <w:t>标项二：</w:t>
      </w:r>
      <w:r>
        <w:rPr>
          <w:rFonts w:hint="eastAsia" w:ascii="宋体" w:hAnsi="宋体" w:eastAsia="宋体" w:cs="宋体"/>
          <w:b/>
          <w:bCs/>
          <w:highlight w:val="none"/>
          <w:lang w:val="en-US" w:eastAsia="zh-CN"/>
        </w:rPr>
        <w:t>彩色多普勒超声诊断</w:t>
      </w:r>
      <w:r>
        <w:rPr>
          <w:rFonts w:hint="eastAsia" w:ascii="宋体" w:hAnsi="宋体" w:cs="宋体"/>
          <w:b/>
          <w:bCs/>
          <w:highlight w:val="none"/>
          <w:lang w:val="en-US" w:eastAsia="zh-CN"/>
        </w:rPr>
        <w:t xml:space="preserve">                                            数量：1套</w:t>
      </w:r>
    </w:p>
    <w:tbl>
      <w:tblPr>
        <w:tblStyle w:val="48"/>
        <w:tblpPr w:leftFromText="180" w:rightFromText="180" w:vertAnchor="text" w:horzAnchor="page" w:tblpX="1900" w:tblpY="306"/>
        <w:tblOverlap w:val="never"/>
        <w:tblW w:w="49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1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sz w:val="21"/>
                <w:szCs w:val="21"/>
                <w:highlight w:val="none"/>
              </w:rPr>
            </w:pPr>
            <w:r>
              <w:rPr>
                <w:rFonts w:hint="eastAsia" w:ascii="宋体" w:hAnsi="宋体" w:eastAsia="宋体" w:cs="宋体"/>
                <w:b/>
                <w:sz w:val="21"/>
                <w:szCs w:val="21"/>
                <w:highlight w:val="none"/>
              </w:rPr>
              <w:t>序号</w:t>
            </w:r>
          </w:p>
        </w:tc>
        <w:tc>
          <w:tcPr>
            <w:tcW w:w="60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参数要求</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
                <w:bCs/>
                <w:sz w:val="21"/>
                <w:szCs w:val="21"/>
                <w:highlight w:val="none"/>
                <w:lang w:eastAsia="zh-CN"/>
              </w:rPr>
            </w:pPr>
            <w:r>
              <w:rPr>
                <w:rFonts w:hint="eastAsia" w:ascii="宋体" w:hAnsi="宋体" w:eastAsia="宋体" w:cs="宋体"/>
                <w:b/>
                <w:bCs/>
                <w:highlight w:val="none"/>
                <w:lang w:val="en-US" w:eastAsia="zh-CN"/>
              </w:rPr>
              <w:t>一</w:t>
            </w:r>
          </w:p>
        </w:tc>
        <w:tc>
          <w:tcPr>
            <w:tcW w:w="6060" w:type="dxa"/>
            <w:shd w:val="clear" w:color="auto" w:fill="auto"/>
            <w:vAlign w:val="center"/>
          </w:tcPr>
          <w:p>
            <w:pPr>
              <w:snapToGrid w:val="0"/>
              <w:jc w:val="left"/>
              <w:rPr>
                <w:rFonts w:hint="eastAsia" w:ascii="宋体" w:hAnsi="宋体" w:eastAsia="宋体" w:cs="宋体"/>
                <w:b/>
                <w:bCs/>
                <w:sz w:val="21"/>
                <w:szCs w:val="21"/>
                <w:highlight w:val="none"/>
                <w:lang w:val="en-US" w:eastAsia="zh-CN"/>
              </w:rPr>
            </w:pPr>
            <w:r>
              <w:rPr>
                <w:rFonts w:hint="eastAsia" w:ascii="宋体" w:hAnsi="宋体" w:eastAsia="宋体" w:cs="宋体"/>
                <w:b/>
                <w:bCs/>
                <w:highlight w:val="none"/>
              </w:rPr>
              <w:t>全数字高档彩色多普勒超声诊断仪</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
                <w:bCs/>
                <w:sz w:val="21"/>
                <w:szCs w:val="21"/>
                <w:highlight w:val="none"/>
                <w:lang w:val="en-US" w:eastAsia="zh-CN"/>
              </w:rPr>
            </w:pPr>
            <w:r>
              <w:rPr>
                <w:rFonts w:hint="eastAsia" w:ascii="宋体" w:hAnsi="宋体" w:eastAsia="宋体" w:cs="宋体"/>
                <w:highlight w:val="none"/>
              </w:rPr>
              <w:t>1.1</w:t>
            </w:r>
          </w:p>
        </w:tc>
        <w:tc>
          <w:tcPr>
            <w:tcW w:w="6060" w:type="dxa"/>
            <w:shd w:val="clear" w:color="auto" w:fill="auto"/>
            <w:vAlign w:val="center"/>
          </w:tcPr>
          <w:p>
            <w:pPr>
              <w:snapToGrid w:val="0"/>
              <w:rPr>
                <w:rFonts w:hint="eastAsia" w:ascii="宋体" w:hAnsi="宋体" w:eastAsia="宋体" w:cs="宋体"/>
                <w:bCs/>
                <w:sz w:val="21"/>
                <w:szCs w:val="21"/>
                <w:highlight w:val="none"/>
                <w:lang w:eastAsia="zh-CN"/>
              </w:rPr>
            </w:pPr>
            <w:r>
              <w:rPr>
                <w:rFonts w:hint="eastAsia" w:ascii="宋体" w:hAnsi="宋体" w:eastAsia="宋体" w:cs="宋体"/>
                <w:highlight w:val="none"/>
              </w:rPr>
              <w:t>高端全身应用型彩色超声诊断仪:腹部、产科、妇科、心脏、小器官、泌尿、血管、儿科、急诊、麻醉、其它</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
                <w:bCs/>
                <w:sz w:val="21"/>
                <w:szCs w:val="21"/>
                <w:highlight w:val="none"/>
                <w:lang w:val="en-US" w:eastAsia="zh-CN"/>
              </w:rPr>
            </w:pPr>
            <w:r>
              <w:rPr>
                <w:rFonts w:hint="eastAsia" w:ascii="宋体" w:hAnsi="宋体" w:eastAsia="宋体" w:cs="宋体"/>
                <w:b/>
                <w:bCs/>
                <w:highlight w:val="none"/>
                <w:lang w:val="en-US" w:eastAsia="zh-CN"/>
              </w:rPr>
              <w:t>二</w:t>
            </w:r>
          </w:p>
        </w:tc>
        <w:tc>
          <w:tcPr>
            <w:tcW w:w="6060" w:type="dxa"/>
            <w:shd w:val="clear" w:color="auto" w:fill="auto"/>
            <w:vAlign w:val="center"/>
          </w:tcPr>
          <w:p>
            <w:pPr>
              <w:snapToGrid w:val="0"/>
              <w:rPr>
                <w:rFonts w:hint="eastAsia" w:ascii="宋体" w:hAnsi="宋体" w:eastAsia="宋体" w:cs="宋体"/>
                <w:b/>
                <w:bCs/>
                <w:sz w:val="21"/>
                <w:szCs w:val="21"/>
                <w:highlight w:val="none"/>
                <w:lang w:eastAsia="zh-CN"/>
              </w:rPr>
            </w:pPr>
            <w:r>
              <w:rPr>
                <w:rFonts w:hint="eastAsia" w:ascii="宋体" w:hAnsi="宋体" w:eastAsia="宋体" w:cs="宋体"/>
                <w:b/>
                <w:bCs/>
                <w:highlight w:val="none"/>
              </w:rPr>
              <w:t>招标设备要求和配置</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eastAsia="zh-CN"/>
              </w:rPr>
            </w:pPr>
            <w:r>
              <w:rPr>
                <w:rFonts w:hint="eastAsia" w:ascii="宋体" w:hAnsi="宋体" w:eastAsia="宋体" w:cs="宋体"/>
                <w:highlight w:val="none"/>
              </w:rPr>
              <w:t>2.1</w:t>
            </w:r>
          </w:p>
        </w:tc>
        <w:tc>
          <w:tcPr>
            <w:tcW w:w="6060" w:type="dxa"/>
            <w:shd w:val="clear" w:color="auto" w:fill="auto"/>
            <w:vAlign w:val="center"/>
          </w:tcPr>
          <w:p>
            <w:pPr>
              <w:snapToGrid w:val="0"/>
              <w:rPr>
                <w:rFonts w:hint="eastAsia" w:ascii="宋体" w:hAnsi="宋体" w:eastAsia="宋体" w:cs="宋体"/>
                <w:bCs/>
                <w:sz w:val="21"/>
                <w:szCs w:val="21"/>
                <w:highlight w:val="none"/>
                <w:lang w:eastAsia="zh-CN"/>
              </w:rPr>
            </w:pPr>
            <w:r>
              <w:rPr>
                <w:rFonts w:hint="eastAsia" w:ascii="宋体" w:hAnsi="宋体" w:eastAsia="宋体" w:cs="宋体"/>
                <w:highlight w:val="none"/>
              </w:rPr>
              <w:t>主机系统性能概括</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Cs/>
                <w:sz w:val="21"/>
                <w:szCs w:val="21"/>
                <w:highlight w:val="none"/>
                <w:lang w:val="en-US" w:eastAsia="zh-CN"/>
              </w:rPr>
            </w:pPr>
            <w:r>
              <w:rPr>
                <w:rFonts w:hint="eastAsia" w:ascii="宋体" w:hAnsi="宋体" w:eastAsia="宋体" w:cs="宋体"/>
                <w:highlight w:val="none"/>
              </w:rPr>
              <w:t>2.1.1</w:t>
            </w:r>
          </w:p>
        </w:tc>
        <w:tc>
          <w:tcPr>
            <w:tcW w:w="6060" w:type="dxa"/>
            <w:shd w:val="clear" w:color="auto" w:fill="auto"/>
            <w:vAlign w:val="center"/>
          </w:tcPr>
          <w:p>
            <w:pPr>
              <w:snapToGrid w:val="0"/>
              <w:rPr>
                <w:rFonts w:hint="eastAsia" w:ascii="宋体" w:hAnsi="宋体" w:eastAsia="宋体" w:cs="宋体"/>
                <w:bCs/>
                <w:sz w:val="21"/>
                <w:szCs w:val="21"/>
                <w:highlight w:val="none"/>
                <w:lang w:eastAsia="zh-CN"/>
              </w:rPr>
            </w:pPr>
            <w:r>
              <w:rPr>
                <w:rFonts w:hint="eastAsia" w:ascii="宋体" w:hAnsi="宋体" w:eastAsia="宋体" w:cs="宋体"/>
                <w:highlight w:val="none"/>
              </w:rPr>
              <w:t>空间复合成像技术</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2.1.2</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二维灰阶成像模式</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2.1.3</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频谱多普勒显示及分析系统</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2.1.4</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彩色血流成像模式</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2.1.5</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微血流成像模式</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2.1.6</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多普勒能量图</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2.1.7</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组织多普勒技术</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2.1.8</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组织谐波成像技术，支持二次谐波和次谐波成像，对应所有探头</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2.1.9</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全自动多普勒包络和分析系统</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2.1.10</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二维彩色偏转成像功能</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2.1.12</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扩展成像技术(支持凸阵、线阵、容积、心脏探头)</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2.1.13</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动静态声学数字化放大技术</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2.1.14</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自适应增益补偿（AGC）</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2.1.15</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一键自动优化，要求一键快速优化造影图像、二维图像、彩色图像、彩色取样框位置、频谱图像、频谱取样门大小、取样门位置、偏转角度及造影图像</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★2.1.16</w:t>
            </w:r>
          </w:p>
        </w:tc>
        <w:tc>
          <w:tcPr>
            <w:tcW w:w="6060" w:type="dxa"/>
            <w:shd w:val="clear" w:color="auto" w:fill="auto"/>
            <w:vAlign w:val="center"/>
          </w:tcPr>
          <w:p>
            <w:pPr>
              <w:snapToGrid w:val="0"/>
              <w:rPr>
                <w:rFonts w:hint="eastAsia" w:ascii="宋体" w:hAnsi="宋体" w:eastAsia="宋体" w:cs="宋体"/>
                <w:highlight w:val="none"/>
              </w:rPr>
            </w:pPr>
            <w:r>
              <w:rPr>
                <w:rFonts w:hint="eastAsia" w:ascii="宋体" w:hAnsi="宋体" w:eastAsia="宋体" w:cs="宋体"/>
                <w:highlight w:val="none"/>
              </w:rPr>
              <w:t>高帧率造影成像，要求支持腹部探头、浅表探头</w:t>
            </w:r>
          </w:p>
          <w:p>
            <w:pPr>
              <w:snapToGrid w:val="0"/>
              <w:rPr>
                <w:rFonts w:hint="eastAsia" w:ascii="宋体" w:hAnsi="宋体" w:eastAsia="宋体" w:cs="宋体"/>
                <w:highlight w:val="none"/>
              </w:rPr>
            </w:pPr>
            <w:r>
              <w:rPr>
                <w:rFonts w:hint="eastAsia" w:ascii="宋体" w:hAnsi="宋体" w:eastAsia="宋体" w:cs="宋体"/>
                <w:highlight w:val="none"/>
              </w:rPr>
              <w:t>凸阵探头10cm深度，扫描角度45°，帧率可达30帧/秒及以上；</w:t>
            </w:r>
          </w:p>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线阵探头4cm深度，帧率可50帧/秒及以上</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▲2.1.17</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全域动态聚焦技术，即全程发射及全程接收聚焦技术，使得图像近、中、远场保持均匀一致（图像上无焦点显示）</w:t>
            </w:r>
            <w:r>
              <w:rPr>
                <w:rFonts w:hint="eastAsia" w:ascii="宋体" w:hAnsi="宋体" w:eastAsia="宋体" w:cs="宋体"/>
                <w:highlight w:val="none"/>
                <w:lang w:eastAsia="zh-CN"/>
              </w:rPr>
              <w:t>。</w:t>
            </w:r>
            <w:r>
              <w:rPr>
                <w:rFonts w:hint="eastAsia" w:ascii="宋体" w:hAnsi="宋体" w:eastAsia="宋体" w:cs="宋体"/>
                <w:highlight w:val="none"/>
              </w:rPr>
              <w:t xml:space="preserve"> </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2.1.18</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具备原始数据采集、存储、处理技术，可以对存储的原始数据信号进行二次优化处理</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2.1.19</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域扫描成像技术，相对传统波束形成器提高线扫描速度</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▲2.1.20</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支持自动肝肾比测量，自动计算肝脏与肾皮层增益比值，提供HRI</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2.1.21</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图文用户显示操作界面</w:t>
            </w:r>
            <w:r>
              <w:rPr>
                <w:rFonts w:hint="eastAsia" w:ascii="宋体" w:hAnsi="宋体" w:eastAsia="宋体" w:cs="宋体"/>
                <w:highlight w:val="none"/>
                <w:lang w:eastAsia="zh-CN"/>
              </w:rPr>
              <w:t>；</w:t>
            </w:r>
            <w:r>
              <w:rPr>
                <w:rFonts w:hint="eastAsia" w:ascii="宋体" w:hAnsi="宋体" w:eastAsia="宋体" w:cs="宋体"/>
                <w:highlight w:val="none"/>
              </w:rPr>
              <w:t xml:space="preserve">     </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2.1.22</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具有硬盘、CD-RW/DVD+RW/DVD-RAM、USB移动硬盘存储功能</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2.1.23</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系统硬盘≥0.8T</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2.1.24</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有效探头接口4个，全部支持高端机的超大数据传输无针触点探头接口连接技术</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2.1.25</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系统采用高速高性能主机系统，开机启动进入工作状态用时40秒，关机时间15秒。</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2.1.26</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探头配置要求：高频线阵探头1把、凸阵探头1把、心脏探头1把、腔内探头1把</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2.1.27</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具有外周血管诊断功能</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▲2.1.28</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具备二维实时高帧率剪切波定量式弹性成像功能</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▲2.1.29</w:t>
            </w:r>
          </w:p>
        </w:tc>
        <w:tc>
          <w:tcPr>
            <w:tcW w:w="6060" w:type="dxa"/>
            <w:shd w:val="clear" w:color="auto" w:fill="auto"/>
            <w:vAlign w:val="center"/>
          </w:tcPr>
          <w:p>
            <w:pPr>
              <w:snapToGrid w:val="0"/>
              <w:rPr>
                <w:rFonts w:hint="eastAsia" w:ascii="宋体" w:hAnsi="宋体" w:eastAsia="宋体" w:cs="宋体"/>
                <w:highlight w:val="none"/>
              </w:rPr>
            </w:pPr>
            <w:r>
              <w:rPr>
                <w:rFonts w:hint="eastAsia" w:ascii="宋体" w:hAnsi="宋体" w:eastAsia="宋体" w:cs="宋体"/>
                <w:highlight w:val="none"/>
              </w:rPr>
              <w:t>支持线阵探头在前列腺的剪切波弹性成像功能</w:t>
            </w:r>
          </w:p>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支持腔内剪切波弹性成像功能（</w:t>
            </w:r>
            <w:r>
              <w:rPr>
                <w:rFonts w:hint="eastAsia" w:ascii="宋体" w:hAnsi="宋体" w:eastAsia="宋体" w:cs="宋体"/>
                <w:highlight w:val="none"/>
                <w:lang w:val="en-US" w:eastAsia="zh-CN"/>
              </w:rPr>
              <w:t>投标文件中提供相关证明并加盖公章</w:t>
            </w:r>
            <w:r>
              <w:rPr>
                <w:rFonts w:hint="eastAsia" w:ascii="宋体" w:hAnsi="宋体" w:eastAsia="宋体" w:cs="宋体"/>
                <w:highlight w:val="none"/>
              </w:rPr>
              <w:t>）</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★2.1.30</w:t>
            </w:r>
          </w:p>
        </w:tc>
        <w:tc>
          <w:tcPr>
            <w:tcW w:w="6060" w:type="dxa"/>
            <w:shd w:val="clear" w:color="auto" w:fill="auto"/>
            <w:vAlign w:val="center"/>
          </w:tcPr>
          <w:p>
            <w:pPr>
              <w:snapToGrid w:val="0"/>
              <w:rPr>
                <w:rFonts w:hint="eastAsia" w:ascii="宋体" w:hAnsi="宋体" w:eastAsia="宋体" w:cs="宋体"/>
                <w:highlight w:val="none"/>
              </w:rPr>
            </w:pPr>
            <w:r>
              <w:rPr>
                <w:rFonts w:hint="eastAsia" w:ascii="宋体" w:hAnsi="宋体" w:eastAsia="宋体" w:cs="宋体"/>
                <w:highlight w:val="none"/>
              </w:rPr>
              <w:t>弹性成像单元</w:t>
            </w:r>
          </w:p>
          <w:p>
            <w:pPr>
              <w:snapToGrid w:val="0"/>
              <w:rPr>
                <w:rFonts w:hint="eastAsia" w:ascii="宋体" w:hAnsi="宋体" w:eastAsia="宋体" w:cs="宋体"/>
                <w:highlight w:val="none"/>
                <w:lang w:eastAsia="zh-CN"/>
              </w:rPr>
            </w:pPr>
            <w:r>
              <w:rPr>
                <w:rFonts w:hint="eastAsia" w:ascii="宋体" w:hAnsi="宋体" w:eastAsia="宋体" w:cs="宋体"/>
                <w:highlight w:val="none"/>
              </w:rPr>
              <w:t>支持应变弹性成像，组织硬度定量分析软件和压力曲线提示图标，并具备肿块周边组织壳的弹性定量分析功能，既通过对肿块的描迹后可自动计算肿块周边组织壳（肿块周边组织壳范围大小可调）与肿块区域的比值。（</w:t>
            </w:r>
            <w:r>
              <w:rPr>
                <w:rFonts w:hint="eastAsia" w:ascii="宋体" w:hAnsi="宋体" w:eastAsia="宋体" w:cs="宋体"/>
                <w:highlight w:val="none"/>
                <w:lang w:val="en-US" w:eastAsia="zh-CN"/>
              </w:rPr>
              <w:t>投标文件中提供相关证明并加盖公章</w:t>
            </w:r>
            <w:r>
              <w:rPr>
                <w:rFonts w:hint="eastAsia" w:ascii="宋体" w:hAnsi="宋体" w:eastAsia="宋体" w:cs="宋体"/>
                <w:highlight w:val="none"/>
              </w:rPr>
              <w:t>）可支持浅表探头、妇科及前列腺等腔内探头</w:t>
            </w:r>
            <w:r>
              <w:rPr>
                <w:rFonts w:hint="eastAsia" w:ascii="宋体" w:hAnsi="宋体" w:eastAsia="宋体" w:cs="宋体"/>
                <w:highlight w:val="none"/>
                <w:lang w:eastAsia="zh-CN"/>
              </w:rPr>
              <w:t>。</w:t>
            </w:r>
          </w:p>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支持实时二维剪切波弹性成像，具备运动稳定性指数，可信度图双重质控，同时具备肿块周边组织壳的硬度测量，获得硬度值（</w:t>
            </w:r>
            <w:r>
              <w:rPr>
                <w:rFonts w:hint="eastAsia" w:ascii="宋体" w:hAnsi="宋体" w:eastAsia="宋体" w:cs="宋体"/>
                <w:highlight w:val="none"/>
                <w:lang w:val="en-US" w:eastAsia="zh-CN"/>
              </w:rPr>
              <w:t>投标文件中提供相关证明并加盖公章</w:t>
            </w:r>
            <w:r>
              <w:rPr>
                <w:rFonts w:hint="eastAsia" w:ascii="宋体" w:hAnsi="宋体" w:eastAsia="宋体" w:cs="宋体"/>
                <w:highlight w:val="none"/>
              </w:rPr>
              <w:t>）</w:t>
            </w:r>
            <w:r>
              <w:rPr>
                <w:rFonts w:hint="eastAsia" w:ascii="宋体" w:hAnsi="宋体" w:cs="宋体"/>
                <w:highlight w:val="none"/>
                <w:lang w:eastAsia="zh-CN"/>
              </w:rPr>
              <w:t>，</w:t>
            </w:r>
            <w:r>
              <w:rPr>
                <w:rFonts w:hint="eastAsia" w:ascii="宋体" w:hAnsi="宋体" w:eastAsia="宋体" w:cs="宋体"/>
                <w:highlight w:val="none"/>
              </w:rPr>
              <w:t>既通过对肿块描迹后，周边组织壳范围大小可选，并且自动计算肿块周边侵润区域的硬度值 ，可支持腹部，浅表探头</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测量和分析（B型、M型、频谱多普勒、彩色多普勒）</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2.2.1</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一般测量（距离、面积、周长、容积、角度、时间、斜率、心率、流速、压力、流速比等）</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2.2.2</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 xml:space="preserve">多普勒血流测量及分析 </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2.2.3</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心脏功能测量与分析</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2.2.4</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TDI 组织多普勒基本成像单元（包含TVI/TEI/TVM/TVD四种模式）</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2.2.5</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AutoEF左室心功能自动测量软件（支持心室容积随时间变化的容积变化曲线）</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2.2.6</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Auto LV 自动左室收缩功能测量软件（用于Simpson法自动描记心内膜分析左心功能）</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2.2.7</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自由解剖M型（多达3线）</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2.2.8</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TEI 全心功能TEI指数测量软件（用于全心功能心肌指数测量分析）</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2.2.9</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自动、实时多普勒频谱波形分析，在实时或者冻结模式下都可以使用</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2.2.10</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外周血管测量与分析</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2.2.11</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妇产科测量与分析，含胎儿参数、生长发育曲线、胎儿体重估测、预产期等；</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2.2.12</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用户可建立自定义用途测量软件包</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2.3</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图像存储与（电影）回放重现单元</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2.4</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输入/输出信号</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2.4.1</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输入：USB、SVHS、复合视频、RGB彩色视频</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highlight w:val="none"/>
              </w:rPr>
              <w:t>2.4.2</w:t>
            </w:r>
          </w:p>
        </w:tc>
        <w:tc>
          <w:tcPr>
            <w:tcW w:w="6060" w:type="dxa"/>
            <w:shd w:val="clear" w:color="auto" w:fill="auto"/>
            <w:vAlign w:val="center"/>
          </w:tcPr>
          <w:p>
            <w:pPr>
              <w:snapToGrid w:val="0"/>
              <w:rPr>
                <w:rFonts w:hint="eastAsia" w:ascii="宋体" w:hAnsi="宋体" w:eastAsia="宋体" w:cs="宋体"/>
                <w:color w:val="000000"/>
                <w:kern w:val="0"/>
                <w:sz w:val="21"/>
                <w:szCs w:val="21"/>
                <w:highlight w:val="none"/>
                <w:lang w:eastAsia="zh-CN"/>
              </w:rPr>
            </w:pPr>
            <w:r>
              <w:rPr>
                <w:rFonts w:hint="eastAsia" w:ascii="宋体" w:hAnsi="宋体" w:eastAsia="宋体" w:cs="宋体"/>
                <w:highlight w:val="none"/>
              </w:rPr>
              <w:t>输出：复合视频、RGB彩色视频、HDMI/DVI全数字高清输出接口、USB。</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b/>
                <w:bCs/>
                <w:sz w:val="21"/>
                <w:szCs w:val="21"/>
                <w:highlight w:val="none"/>
                <w:lang w:val="en-US" w:eastAsia="zh-CN"/>
              </w:rPr>
            </w:pPr>
            <w:r>
              <w:rPr>
                <w:rFonts w:hint="eastAsia" w:ascii="宋体" w:hAnsi="宋体" w:eastAsia="宋体" w:cs="宋体"/>
                <w:b/>
                <w:bCs/>
                <w:highlight w:val="none"/>
                <w:lang w:val="en-US" w:eastAsia="zh-CN"/>
              </w:rPr>
              <w:t>三</w:t>
            </w:r>
          </w:p>
        </w:tc>
        <w:tc>
          <w:tcPr>
            <w:tcW w:w="6060" w:type="dxa"/>
            <w:shd w:val="clear" w:color="auto" w:fill="auto"/>
            <w:vAlign w:val="center"/>
          </w:tcPr>
          <w:p>
            <w:pPr>
              <w:snapToGrid w:val="0"/>
              <w:rPr>
                <w:rFonts w:hint="eastAsia" w:ascii="宋体" w:hAnsi="宋体" w:eastAsia="宋体" w:cs="宋体"/>
                <w:b/>
                <w:bCs/>
                <w:sz w:val="21"/>
                <w:szCs w:val="21"/>
                <w:highlight w:val="none"/>
              </w:rPr>
            </w:pPr>
            <w:r>
              <w:rPr>
                <w:rFonts w:hint="eastAsia" w:ascii="宋体" w:hAnsi="宋体" w:eastAsia="宋体" w:cs="宋体"/>
                <w:b/>
                <w:bCs/>
                <w:highlight w:val="none"/>
              </w:rPr>
              <w:t>设备技术参数及要求</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w:t>
            </w:r>
          </w:p>
        </w:tc>
        <w:tc>
          <w:tcPr>
            <w:tcW w:w="6060" w:type="dxa"/>
            <w:shd w:val="clear" w:color="auto" w:fill="auto"/>
            <w:vAlign w:val="center"/>
          </w:tcPr>
          <w:p>
            <w:pPr>
              <w:snapToGrid w:val="0"/>
              <w:rPr>
                <w:rFonts w:hint="eastAsia" w:ascii="宋体" w:hAnsi="宋体" w:eastAsia="宋体" w:cs="宋体"/>
                <w:highlight w:val="none"/>
              </w:rPr>
            </w:pPr>
            <w:r>
              <w:rPr>
                <w:rFonts w:hint="eastAsia" w:ascii="宋体" w:hAnsi="宋体" w:eastAsia="宋体" w:cs="宋体"/>
                <w:highlight w:val="none"/>
              </w:rPr>
              <w:t>系统通用功能</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3.1.1</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监视器：≥20”高分辨率彩色纯平超薄液晶监视器，无闪烁，不间断逐行扫描，可折叠、平移、旋转及升降</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3.1.2</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≥11寸高灵敏度防反光彩色触摸屏，支持手势操作，触摸屏角度可调</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3.1.3</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控制面板可独立旋转、升降及平移</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3.1.4</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探头接口选择≥4个，大小一致，采用最高保真无针触点式接口，探头接口可通用</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3.2</w:t>
            </w:r>
          </w:p>
        </w:tc>
        <w:tc>
          <w:tcPr>
            <w:tcW w:w="6060" w:type="dxa"/>
            <w:shd w:val="clear" w:color="auto" w:fill="auto"/>
            <w:vAlign w:val="center"/>
          </w:tcPr>
          <w:p>
            <w:pPr>
              <w:snapToGrid w:val="0"/>
              <w:rPr>
                <w:rFonts w:hint="eastAsia" w:ascii="宋体" w:hAnsi="宋体" w:eastAsia="宋体" w:cs="宋体"/>
                <w:highlight w:val="none"/>
              </w:rPr>
            </w:pPr>
            <w:r>
              <w:rPr>
                <w:rFonts w:hint="eastAsia" w:ascii="宋体" w:hAnsi="宋体" w:eastAsia="宋体" w:cs="宋体"/>
                <w:highlight w:val="none"/>
              </w:rPr>
              <w:t>探头规格</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3.2.1</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二维及多普勒（B/D）兼用：电子凸阵探头B/PW、电子线阵B/PW</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lang w:eastAsia="zh-CN"/>
              </w:rPr>
            </w:pPr>
            <w:r>
              <w:rPr>
                <w:rFonts w:hint="eastAsia" w:ascii="宋体" w:hAnsi="宋体" w:eastAsia="宋体" w:cs="宋体"/>
                <w:highlight w:val="none"/>
              </w:rPr>
              <w:t>3.2.</w:t>
            </w:r>
            <w:r>
              <w:rPr>
                <w:rFonts w:hint="eastAsia" w:ascii="宋体" w:hAnsi="宋体" w:eastAsia="宋体" w:cs="宋体"/>
                <w:highlight w:val="none"/>
                <w:lang w:val="en-US" w:eastAsia="zh-CN"/>
              </w:rPr>
              <w:t>2</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频率：宽频带、变频探头，所有探头及所有模式要有明确的工作频率显示，实现二维、彩色、多普勒频率独立可调，同一探头二维模式中心频率可选择中心频率≥5种，多普勒可选频率≥2种</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lang w:eastAsia="zh-CN"/>
              </w:rPr>
            </w:pPr>
            <w:r>
              <w:rPr>
                <w:rFonts w:hint="eastAsia" w:ascii="宋体" w:hAnsi="宋体" w:eastAsia="宋体" w:cs="宋体"/>
                <w:highlight w:val="none"/>
              </w:rPr>
              <w:t>3.2.</w:t>
            </w:r>
            <w:r>
              <w:rPr>
                <w:rFonts w:hint="eastAsia" w:ascii="宋体" w:hAnsi="宋体" w:eastAsia="宋体" w:cs="宋体"/>
                <w:highlight w:val="none"/>
                <w:lang w:val="en-US" w:eastAsia="zh-CN"/>
              </w:rPr>
              <w:t>3</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所有探头均具备谐波成像功能</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3.3</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扫描方式：域扫描成像</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3.4</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 xml:space="preserve">声束聚焦：全域聚焦 </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3.5</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回放重现：灰阶图像回放≥128幅</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3.6</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预设条件：针对不同的检查脏器，预置最佳化图像的检查条件，减少操作时的调节；及常用所需的外部调节及组合调节</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3.7</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增益调节：D/B/M/CFM可独立调节，STC分段≥8</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3.8</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系统最大扫描深度≥40cm</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3.9</w:t>
            </w:r>
          </w:p>
        </w:tc>
        <w:tc>
          <w:tcPr>
            <w:tcW w:w="6060" w:type="dxa"/>
            <w:shd w:val="clear" w:color="auto" w:fill="auto"/>
            <w:vAlign w:val="center"/>
          </w:tcPr>
          <w:p>
            <w:pPr>
              <w:snapToGrid w:val="0"/>
              <w:rPr>
                <w:rFonts w:hint="eastAsia" w:ascii="宋体" w:hAnsi="宋体" w:eastAsia="宋体" w:cs="宋体"/>
                <w:highlight w:val="none"/>
              </w:rPr>
            </w:pPr>
            <w:r>
              <w:rPr>
                <w:rFonts w:hint="eastAsia" w:ascii="宋体" w:hAnsi="宋体" w:eastAsia="宋体" w:cs="宋体"/>
                <w:highlight w:val="none"/>
              </w:rPr>
              <w:t>频率多普勒</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3.9.1</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方式：脉冲波多普勒：PWD</w:t>
            </w:r>
            <w:r>
              <w:rPr>
                <w:rFonts w:hint="eastAsia" w:ascii="宋体" w:hAnsi="宋体" w:eastAsia="宋体" w:cs="宋体"/>
                <w:highlight w:val="none"/>
                <w:lang w:eastAsia="zh-CN"/>
              </w:rPr>
              <w:t>，</w:t>
            </w:r>
            <w:r>
              <w:rPr>
                <w:rFonts w:hint="eastAsia" w:ascii="宋体" w:hAnsi="宋体" w:eastAsia="宋体" w:cs="宋体"/>
                <w:highlight w:val="none"/>
              </w:rPr>
              <w:t>连续波多普勒(CWD)</w:t>
            </w:r>
            <w:r>
              <w:rPr>
                <w:rFonts w:hint="eastAsia" w:ascii="宋体" w:hAnsi="宋体" w:eastAsia="宋体" w:cs="宋体"/>
                <w:highlight w:val="none"/>
                <w:lang w:eastAsia="zh-CN"/>
              </w:rPr>
              <w:t>，</w:t>
            </w:r>
            <w:r>
              <w:rPr>
                <w:rFonts w:hint="eastAsia" w:ascii="宋体" w:hAnsi="宋体" w:eastAsia="宋体" w:cs="宋体"/>
                <w:highlight w:val="none"/>
              </w:rPr>
              <w:t>高脉冲重复频率(HPRF)</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3.9.2</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多普勒发射频率：2.0-8.3MHz</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3.9.3</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最大测量速度：PWD 血流速度最大≥7.0m/s，CWD 血流速度最大≥14.0m/s</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3.9.4</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最低测量速度1mm/s（非噪声信号）</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3.9.5</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显示方式：B/D，M/D，D，B/CFM/M/D，B/CFM/PW</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3.9.6</w:t>
            </w:r>
          </w:p>
        </w:tc>
        <w:tc>
          <w:tcPr>
            <w:tcW w:w="6060" w:type="dxa"/>
            <w:shd w:val="clear" w:color="auto" w:fill="auto"/>
            <w:vAlign w:val="center"/>
          </w:tcPr>
          <w:p>
            <w:pPr>
              <w:snapToGrid w:val="0"/>
              <w:rPr>
                <w:rFonts w:hint="eastAsia" w:ascii="宋体" w:hAnsi="宋体" w:eastAsia="宋体" w:cs="宋体"/>
                <w:highlight w:val="none"/>
              </w:rPr>
            </w:pPr>
            <w:r>
              <w:rPr>
                <w:rFonts w:hint="eastAsia" w:ascii="宋体" w:hAnsi="宋体" w:eastAsia="宋体" w:cs="宋体"/>
                <w:highlight w:val="none"/>
              </w:rPr>
              <w:t>冻结后多普勒基线可调</w:t>
            </w:r>
            <w:r>
              <w:rPr>
                <w:rFonts w:hint="eastAsia" w:ascii="宋体" w:hAnsi="宋体" w:eastAsia="宋体" w:cs="宋体"/>
                <w:highlight w:val="none"/>
                <w:lang w:eastAsia="zh-CN"/>
              </w:rPr>
              <w:t>；</w:t>
            </w:r>
            <w:r>
              <w:rPr>
                <w:rFonts w:hint="eastAsia" w:ascii="宋体" w:hAnsi="宋体" w:eastAsia="宋体" w:cs="宋体"/>
                <w:highlight w:val="none"/>
              </w:rPr>
              <w:t xml:space="preserve"> </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3.9.7</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多普勒取样容积宽度和范围: 1-10mm，分级可调</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3.10</w:t>
            </w:r>
          </w:p>
        </w:tc>
        <w:tc>
          <w:tcPr>
            <w:tcW w:w="6060" w:type="dxa"/>
            <w:shd w:val="clear" w:color="auto" w:fill="auto"/>
            <w:vAlign w:val="center"/>
          </w:tcPr>
          <w:p>
            <w:pPr>
              <w:snapToGrid w:val="0"/>
              <w:rPr>
                <w:rFonts w:hint="eastAsia" w:ascii="宋体" w:hAnsi="宋体" w:eastAsia="宋体" w:cs="宋体"/>
                <w:highlight w:val="none"/>
              </w:rPr>
            </w:pPr>
            <w:r>
              <w:rPr>
                <w:rFonts w:hint="eastAsia" w:ascii="宋体" w:hAnsi="宋体" w:eastAsia="宋体" w:cs="宋体"/>
                <w:highlight w:val="none"/>
              </w:rPr>
              <w:t>彩色多普勒</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3.10.1</w:t>
            </w:r>
          </w:p>
        </w:tc>
        <w:tc>
          <w:tcPr>
            <w:tcW w:w="6060" w:type="dxa"/>
            <w:shd w:val="clear" w:color="auto" w:fill="auto"/>
            <w:vAlign w:val="center"/>
          </w:tcPr>
          <w:p>
            <w:pPr>
              <w:snapToGrid w:val="0"/>
              <w:rPr>
                <w:rFonts w:hint="eastAsia" w:ascii="宋体" w:hAnsi="宋体" w:eastAsia="宋体" w:cs="宋体"/>
                <w:highlight w:val="none"/>
              </w:rPr>
            </w:pPr>
            <w:r>
              <w:rPr>
                <w:rFonts w:hint="eastAsia" w:ascii="宋体" w:hAnsi="宋体" w:eastAsia="宋体" w:cs="宋体"/>
                <w:highlight w:val="none"/>
              </w:rPr>
              <w:t>显示方式：速度方差显示、能量显示、速度显示；</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3.10.2</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彩色显示帧数：相控阵彩色帧率：最大扫描角度、深度17cm，彩色帧频≥12帧/秒，凸阵彩色帧率：最大扫描角度、18cm深，彩色帧频≥ 10帧/秒</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3.10.3</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显示位置调整</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3.10.4</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彩色增强功能：彩色多普勒能量图</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3.10.5</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显示控制：零位移动分±10级、黑/白与彩色比较、彩色对比</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3.11</w:t>
            </w:r>
          </w:p>
        </w:tc>
        <w:tc>
          <w:tcPr>
            <w:tcW w:w="6060" w:type="dxa"/>
            <w:shd w:val="clear" w:color="auto" w:fill="auto"/>
            <w:vAlign w:val="center"/>
          </w:tcPr>
          <w:p>
            <w:pPr>
              <w:snapToGrid w:val="0"/>
              <w:rPr>
                <w:rFonts w:hint="eastAsia" w:ascii="宋体" w:hAnsi="宋体" w:eastAsia="宋体" w:cs="宋体"/>
                <w:highlight w:val="none"/>
              </w:rPr>
            </w:pPr>
            <w:r>
              <w:rPr>
                <w:rFonts w:hint="eastAsia" w:ascii="宋体" w:hAnsi="宋体" w:eastAsia="宋体" w:cs="宋体"/>
                <w:highlight w:val="none"/>
              </w:rPr>
              <w:t>输入/输出：</w:t>
            </w:r>
          </w:p>
          <w:p>
            <w:pPr>
              <w:snapToGrid w:val="0"/>
              <w:rPr>
                <w:rFonts w:hint="eastAsia" w:ascii="宋体" w:hAnsi="宋体" w:eastAsia="宋体" w:cs="宋体"/>
                <w:highlight w:val="none"/>
                <w:lang w:eastAsia="zh-CN"/>
              </w:rPr>
            </w:pPr>
            <w:r>
              <w:rPr>
                <w:rFonts w:hint="eastAsia" w:ascii="宋体" w:hAnsi="宋体" w:eastAsia="宋体" w:cs="宋体"/>
                <w:highlight w:val="none"/>
              </w:rPr>
              <w:t>输入：USB、RGB彩色视频、DVD</w:t>
            </w:r>
            <w:r>
              <w:rPr>
                <w:rFonts w:hint="eastAsia" w:ascii="宋体" w:hAnsi="宋体" w:eastAsia="宋体" w:cs="宋体"/>
                <w:highlight w:val="none"/>
                <w:lang w:eastAsia="zh-CN"/>
              </w:rPr>
              <w:t>；</w:t>
            </w:r>
          </w:p>
          <w:p>
            <w:pPr>
              <w:snapToGrid w:val="0"/>
              <w:rPr>
                <w:rFonts w:hint="eastAsia" w:ascii="宋体" w:hAnsi="宋体" w:eastAsia="宋体" w:cs="宋体"/>
                <w:highlight w:val="none"/>
              </w:rPr>
            </w:pPr>
            <w:r>
              <w:rPr>
                <w:rFonts w:hint="eastAsia" w:ascii="宋体" w:hAnsi="宋体" w:eastAsia="宋体" w:cs="宋体"/>
                <w:highlight w:val="none"/>
              </w:rPr>
              <w:t>输出：复合视频、RGB彩色 视频/S-视频、USB、DVD及全数字音频、视输出功能的DVI或HDMI接口。采用国际一流高端彩超的DVI或HDMI数字信号的液晶显示器不存在相位差问题，避免像素抖动及几何失真，提高诊断准确率。</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3.12</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超声图像存档与病案管理功能：实时动态静态捕获/存储超声图像，可进行调节动态图像的压缩比, 无需特殊软件即能在普通PC直接观察图像</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jc w:val="center"/>
              <w:rPr>
                <w:rFonts w:hint="eastAsia" w:ascii="宋体" w:hAnsi="宋体" w:eastAsia="宋体" w:cs="宋体"/>
                <w:highlight w:val="none"/>
              </w:rPr>
            </w:pPr>
            <w:r>
              <w:rPr>
                <w:rFonts w:hint="eastAsia" w:ascii="宋体" w:hAnsi="宋体" w:eastAsia="宋体" w:cs="宋体"/>
                <w:highlight w:val="none"/>
              </w:rPr>
              <w:t>3.13</w:t>
            </w:r>
          </w:p>
        </w:tc>
        <w:tc>
          <w:tcPr>
            <w:tcW w:w="6060" w:type="dxa"/>
            <w:shd w:val="clear" w:color="auto" w:fill="auto"/>
            <w:vAlign w:val="center"/>
          </w:tcPr>
          <w:p>
            <w:pPr>
              <w:snapToGrid w:val="0"/>
              <w:rPr>
                <w:rFonts w:hint="eastAsia" w:ascii="宋体" w:hAnsi="宋体" w:eastAsia="宋体" w:cs="宋体"/>
                <w:highlight w:val="none"/>
                <w:lang w:eastAsia="zh-CN"/>
              </w:rPr>
            </w:pPr>
            <w:r>
              <w:rPr>
                <w:rFonts w:hint="eastAsia" w:ascii="宋体" w:hAnsi="宋体" w:eastAsia="宋体" w:cs="宋体"/>
                <w:highlight w:val="none"/>
              </w:rPr>
              <w:t>超声功率输出调节：B/M、PWD、Color Doppler输出功率可调</w:t>
            </w:r>
            <w:r>
              <w:rPr>
                <w:rFonts w:hint="eastAsia" w:ascii="宋体" w:hAnsi="宋体" w:eastAsia="宋体" w:cs="宋体"/>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bl>
    <w:p>
      <w:pPr>
        <w:spacing w:line="360" w:lineRule="auto"/>
        <w:rPr>
          <w:rFonts w:hint="eastAsia"/>
          <w:b/>
          <w:bCs/>
          <w:highlight w:val="none"/>
          <w:lang w:val="en-US" w:eastAsia="zh-CN"/>
        </w:rPr>
      </w:pPr>
    </w:p>
    <w:p>
      <w:pPr>
        <w:spacing w:line="360" w:lineRule="auto"/>
        <w:rPr>
          <w:rFonts w:hint="default" w:eastAsia="宋体"/>
          <w:b/>
          <w:bCs/>
          <w:highlight w:val="none"/>
          <w:lang w:val="en-US" w:eastAsia="zh-CN"/>
        </w:rPr>
      </w:pPr>
      <w:r>
        <w:rPr>
          <w:rFonts w:hint="eastAsia"/>
          <w:b/>
          <w:bCs/>
          <w:highlight w:val="none"/>
          <w:lang w:val="en-US" w:eastAsia="zh-CN"/>
        </w:rPr>
        <w:t>标项三：</w:t>
      </w:r>
      <w:r>
        <w:rPr>
          <w:rFonts w:hint="eastAsia" w:ascii="宋体" w:hAnsi="宋体" w:eastAsia="宋体" w:cs="宋体"/>
          <w:b/>
          <w:bCs/>
          <w:highlight w:val="none"/>
          <w:lang w:val="en-US" w:eastAsia="zh-CN"/>
        </w:rPr>
        <w:t>全自动快速发药机</w:t>
      </w:r>
      <w:r>
        <w:rPr>
          <w:rFonts w:hint="eastAsia" w:ascii="宋体" w:hAnsi="宋体" w:cs="宋体"/>
          <w:b/>
          <w:bCs/>
          <w:highlight w:val="none"/>
          <w:lang w:val="en-US" w:eastAsia="zh-CN"/>
        </w:rPr>
        <w:t xml:space="preserve">                                             数量：1套</w:t>
      </w:r>
    </w:p>
    <w:tbl>
      <w:tblPr>
        <w:tblStyle w:val="48"/>
        <w:tblpPr w:leftFromText="180" w:rightFromText="180" w:vertAnchor="text" w:horzAnchor="page" w:tblpX="1900" w:tblpY="306"/>
        <w:tblOverlap w:val="never"/>
        <w:tblW w:w="49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1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sz w:val="21"/>
                <w:szCs w:val="21"/>
                <w:highlight w:val="none"/>
              </w:rPr>
            </w:pPr>
            <w:r>
              <w:rPr>
                <w:rFonts w:hint="eastAsia" w:ascii="宋体" w:hAnsi="宋体" w:eastAsia="宋体" w:cs="宋体"/>
                <w:b/>
                <w:sz w:val="21"/>
                <w:szCs w:val="21"/>
                <w:highlight w:val="none"/>
              </w:rPr>
              <w:t>序号</w:t>
            </w:r>
          </w:p>
        </w:tc>
        <w:tc>
          <w:tcPr>
            <w:tcW w:w="60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参数要求</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bCs/>
                <w:sz w:val="21"/>
                <w:szCs w:val="21"/>
                <w:highlight w:val="none"/>
                <w:lang w:val="en-US" w:eastAsia="zh-CN"/>
              </w:rPr>
              <w:t>一</w:t>
            </w:r>
          </w:p>
        </w:tc>
        <w:tc>
          <w:tcPr>
            <w:tcW w:w="6060" w:type="dxa"/>
            <w:shd w:val="clear" w:color="auto" w:fill="auto"/>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bCs/>
                <w:sz w:val="21"/>
                <w:szCs w:val="21"/>
                <w:highlight w:val="none"/>
                <w:lang w:val="en-US" w:eastAsia="zh-CN"/>
              </w:rPr>
              <w:t>总体要求：</w:t>
            </w:r>
            <w:r>
              <w:rPr>
                <w:rFonts w:hint="eastAsia" w:ascii="宋体" w:hAnsi="宋体" w:eastAsia="宋体" w:cs="宋体"/>
                <w:b w:val="0"/>
                <w:bCs w:val="0"/>
                <w:sz w:val="21"/>
                <w:szCs w:val="21"/>
                <w:highlight w:val="none"/>
                <w:lang w:val="en-US" w:eastAsia="zh-CN"/>
              </w:rPr>
              <w:t>用于门诊药房智能化管理。采用先进自动化设备与医院HIS系统、药品信息物流系统的完美结合，全面监控管理药品从供应商送货开始直至发放到每个病患手中的整个过程，从而实现门诊药房药品管理智能化，提高工作效率，减少患者取药等待时间，降低药师工作强度，促进合理用药，实现药学部门工作模式的转型。</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二</w:t>
            </w:r>
          </w:p>
        </w:tc>
        <w:tc>
          <w:tcPr>
            <w:tcW w:w="6060" w:type="dxa"/>
            <w:shd w:val="clear" w:color="auto" w:fill="auto"/>
            <w:vAlign w:val="center"/>
          </w:tcPr>
          <w:p>
            <w:pPr>
              <w:numPr>
                <w:ilvl w:val="0"/>
                <w:numId w:val="0"/>
              </w:numPr>
              <w:spacing w:line="360" w:lineRule="auto"/>
              <w:rPr>
                <w:rFonts w:hint="eastAsia" w:ascii="宋体" w:hAnsi="宋体" w:eastAsia="宋体" w:cs="宋体"/>
                <w:b/>
                <w:bCs/>
                <w:sz w:val="21"/>
                <w:szCs w:val="21"/>
                <w:highlight w:val="none"/>
                <w:lang w:val="en-US" w:eastAsia="zh-CN"/>
              </w:rPr>
            </w:pPr>
            <w:r>
              <w:rPr>
                <w:rFonts w:hint="eastAsia" w:ascii="宋体" w:hAnsi="宋体" w:eastAsia="宋体" w:cs="宋体"/>
                <w:b/>
                <w:bCs/>
                <w:kern w:val="0"/>
                <w:sz w:val="21"/>
                <w:szCs w:val="21"/>
                <w:highlight w:val="none"/>
              </w:rPr>
              <w:t>配置要求</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
                <w:bCs/>
                <w:sz w:val="21"/>
                <w:szCs w:val="21"/>
                <w:highlight w:val="none"/>
                <w:lang w:val="en-US" w:eastAsia="zh-CN"/>
              </w:rPr>
            </w:pPr>
            <w:r>
              <w:rPr>
                <w:rFonts w:hint="eastAsia" w:ascii="宋体" w:hAnsi="宋体" w:eastAsia="宋体" w:cs="宋体"/>
                <w:b w:val="0"/>
                <w:bCs w:val="0"/>
                <w:sz w:val="21"/>
                <w:szCs w:val="21"/>
                <w:highlight w:val="none"/>
                <w:lang w:val="en-US" w:eastAsia="zh-CN"/>
              </w:rPr>
              <w:t>2.1</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
                <w:bCs/>
                <w:sz w:val="21"/>
                <w:szCs w:val="21"/>
                <w:highlight w:val="none"/>
                <w:lang w:val="en-US" w:eastAsia="zh-CN"/>
              </w:rPr>
            </w:pPr>
            <w:r>
              <w:rPr>
                <w:rFonts w:hint="eastAsia" w:ascii="宋体" w:hAnsi="宋体" w:eastAsia="宋体" w:cs="宋体"/>
                <w:kern w:val="0"/>
                <w:sz w:val="21"/>
                <w:szCs w:val="21"/>
                <w:highlight w:val="none"/>
              </w:rPr>
              <w:t>全自动快速发药机</w:t>
            </w:r>
            <w:bookmarkStart w:id="188" w:name="_Hlk117073262"/>
            <w:r>
              <w:rPr>
                <w:rFonts w:hint="eastAsia" w:ascii="宋体" w:hAnsi="宋体" w:eastAsia="宋体" w:cs="宋体"/>
                <w:kern w:val="0"/>
                <w:sz w:val="21"/>
                <w:szCs w:val="21"/>
                <w:highlight w:val="none"/>
              </w:rPr>
              <w:t>1台</w:t>
            </w:r>
            <w:bookmarkEnd w:id="188"/>
            <w:r>
              <w:rPr>
                <w:rFonts w:hint="eastAsia" w:ascii="宋体" w:hAnsi="宋体" w:eastAsia="宋体" w:cs="宋体"/>
                <w:kern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
                <w:bCs/>
                <w:sz w:val="21"/>
                <w:szCs w:val="21"/>
                <w:highlight w:val="none"/>
                <w:lang w:val="en-US" w:eastAsia="zh-CN"/>
              </w:rPr>
            </w:pPr>
            <w:r>
              <w:rPr>
                <w:rFonts w:hint="eastAsia" w:ascii="宋体" w:hAnsi="宋体" w:eastAsia="宋体" w:cs="宋体"/>
                <w:b w:val="0"/>
                <w:bCs w:val="0"/>
                <w:sz w:val="21"/>
                <w:szCs w:val="21"/>
                <w:highlight w:val="none"/>
                <w:lang w:val="en-US" w:eastAsia="zh-CN"/>
              </w:rPr>
              <w:t>2.</w:t>
            </w:r>
            <w:r>
              <w:rPr>
                <w:rFonts w:hint="eastAsia" w:ascii="宋体" w:hAnsi="宋体" w:cs="宋体"/>
                <w:b w:val="0"/>
                <w:bCs w:val="0"/>
                <w:sz w:val="21"/>
                <w:szCs w:val="21"/>
                <w:highlight w:val="none"/>
                <w:lang w:val="en-US" w:eastAsia="zh-CN"/>
              </w:rPr>
              <w:t>2</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
                <w:bCs/>
                <w:sz w:val="21"/>
                <w:szCs w:val="21"/>
                <w:highlight w:val="none"/>
                <w:lang w:val="en-US" w:eastAsia="zh-CN"/>
              </w:rPr>
            </w:pPr>
            <w:r>
              <w:rPr>
                <w:rFonts w:hint="eastAsia" w:ascii="宋体" w:hAnsi="宋体" w:eastAsia="宋体" w:cs="宋体"/>
                <w:color w:val="000000"/>
                <w:kern w:val="0"/>
                <w:sz w:val="21"/>
                <w:szCs w:val="21"/>
                <w:highlight w:val="none"/>
              </w:rPr>
              <w:t>全自动补药机</w:t>
            </w:r>
            <w:r>
              <w:rPr>
                <w:rFonts w:hint="eastAsia" w:ascii="宋体" w:hAnsi="宋体" w:eastAsia="宋体" w:cs="宋体"/>
                <w:kern w:val="0"/>
                <w:sz w:val="21"/>
                <w:szCs w:val="21"/>
                <w:highlight w:val="none"/>
              </w:rPr>
              <w:t>1台</w:t>
            </w:r>
            <w:r>
              <w:rPr>
                <w:rFonts w:hint="eastAsia" w:ascii="宋体" w:hAnsi="宋体" w:eastAsia="宋体" w:cs="宋体"/>
                <w:kern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
                <w:bCs/>
                <w:sz w:val="21"/>
                <w:szCs w:val="21"/>
                <w:highlight w:val="none"/>
                <w:lang w:val="en-US" w:eastAsia="zh-CN"/>
              </w:rPr>
            </w:pPr>
            <w:r>
              <w:rPr>
                <w:rFonts w:hint="eastAsia" w:ascii="宋体" w:hAnsi="宋体" w:eastAsia="宋体" w:cs="宋体"/>
                <w:b w:val="0"/>
                <w:bCs w:val="0"/>
                <w:sz w:val="21"/>
                <w:szCs w:val="21"/>
                <w:highlight w:val="none"/>
                <w:lang w:val="en-US" w:eastAsia="zh-CN"/>
              </w:rPr>
              <w:t>2.</w:t>
            </w:r>
            <w:r>
              <w:rPr>
                <w:rFonts w:hint="eastAsia" w:ascii="宋体" w:hAnsi="宋体" w:cs="宋体"/>
                <w:b w:val="0"/>
                <w:bCs w:val="0"/>
                <w:sz w:val="21"/>
                <w:szCs w:val="21"/>
                <w:highlight w:val="none"/>
                <w:lang w:val="en-US" w:eastAsia="zh-CN"/>
              </w:rPr>
              <w:t>3</w:t>
            </w:r>
          </w:p>
        </w:tc>
        <w:tc>
          <w:tcPr>
            <w:tcW w:w="6060" w:type="dxa"/>
            <w:shd w:val="clear" w:color="auto" w:fill="auto"/>
            <w:vAlign w:val="center"/>
          </w:tcPr>
          <w:p>
            <w:pPr>
              <w:pStyle w:val="331"/>
              <w:numPr>
                <w:ilvl w:val="0"/>
                <w:numId w:val="0"/>
              </w:numPr>
              <w:ind w:leftChars="0"/>
              <w:rPr>
                <w:rFonts w:hint="eastAsia" w:ascii="宋体" w:hAnsi="宋体" w:eastAsia="宋体" w:cs="宋体"/>
                <w:b/>
                <w:bCs/>
                <w:sz w:val="21"/>
                <w:szCs w:val="21"/>
                <w:highlight w:val="none"/>
                <w:lang w:val="en-US" w:eastAsia="zh-CN"/>
              </w:rPr>
            </w:pPr>
            <w:r>
              <w:rPr>
                <w:rFonts w:hint="eastAsia" w:ascii="宋体" w:hAnsi="宋体" w:eastAsia="宋体" w:cs="宋体"/>
                <w:kern w:val="0"/>
                <w:sz w:val="21"/>
                <w:szCs w:val="21"/>
                <w:highlight w:val="none"/>
              </w:rPr>
              <w:t>智能预配货架3台</w:t>
            </w:r>
            <w:r>
              <w:rPr>
                <w:rFonts w:hint="eastAsia" w:ascii="宋体" w:hAnsi="宋体" w:eastAsia="宋体" w:cs="宋体"/>
                <w:kern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
                <w:bCs/>
                <w:sz w:val="21"/>
                <w:szCs w:val="21"/>
                <w:highlight w:val="none"/>
                <w:lang w:val="en-US" w:eastAsia="zh-CN"/>
              </w:rPr>
            </w:pPr>
            <w:r>
              <w:rPr>
                <w:rFonts w:hint="eastAsia" w:ascii="宋体" w:hAnsi="宋体" w:eastAsia="宋体" w:cs="宋体"/>
                <w:b w:val="0"/>
                <w:bCs w:val="0"/>
                <w:sz w:val="21"/>
                <w:szCs w:val="21"/>
                <w:highlight w:val="none"/>
                <w:lang w:val="en-US" w:eastAsia="zh-CN"/>
              </w:rPr>
              <w:t>2.</w:t>
            </w:r>
            <w:r>
              <w:rPr>
                <w:rFonts w:hint="eastAsia" w:ascii="宋体" w:hAnsi="宋体" w:cs="宋体"/>
                <w:b w:val="0"/>
                <w:bCs w:val="0"/>
                <w:sz w:val="21"/>
                <w:szCs w:val="21"/>
                <w:highlight w:val="none"/>
                <w:lang w:val="en-US" w:eastAsia="zh-CN"/>
              </w:rPr>
              <w:t>4</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
                <w:bCs/>
                <w:sz w:val="21"/>
                <w:szCs w:val="21"/>
                <w:highlight w:val="none"/>
                <w:lang w:val="en-US" w:eastAsia="zh-CN"/>
              </w:rPr>
            </w:pPr>
            <w:r>
              <w:rPr>
                <w:rFonts w:hint="eastAsia" w:ascii="宋体" w:hAnsi="宋体" w:eastAsia="宋体" w:cs="宋体"/>
                <w:kern w:val="0"/>
                <w:sz w:val="21"/>
                <w:szCs w:val="21"/>
                <w:highlight w:val="none"/>
              </w:rPr>
              <w:t>智能存取系统1台</w:t>
            </w:r>
            <w:r>
              <w:rPr>
                <w:rFonts w:hint="eastAsia" w:ascii="宋体" w:hAnsi="宋体" w:eastAsia="宋体" w:cs="宋体"/>
                <w:kern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
                <w:bCs/>
                <w:sz w:val="21"/>
                <w:szCs w:val="21"/>
                <w:highlight w:val="none"/>
                <w:lang w:val="en-US" w:eastAsia="zh-CN"/>
              </w:rPr>
            </w:pPr>
            <w:r>
              <w:rPr>
                <w:rFonts w:hint="eastAsia" w:ascii="宋体" w:hAnsi="宋体" w:eastAsia="宋体" w:cs="宋体"/>
                <w:b w:val="0"/>
                <w:bCs w:val="0"/>
                <w:sz w:val="21"/>
                <w:szCs w:val="21"/>
                <w:highlight w:val="none"/>
                <w:lang w:val="en-US" w:eastAsia="zh-CN"/>
              </w:rPr>
              <w:t>2.</w:t>
            </w:r>
            <w:r>
              <w:rPr>
                <w:rFonts w:hint="eastAsia" w:ascii="宋体" w:hAnsi="宋体" w:cs="宋体"/>
                <w:b w:val="0"/>
                <w:bCs w:val="0"/>
                <w:sz w:val="21"/>
                <w:szCs w:val="21"/>
                <w:highlight w:val="none"/>
                <w:lang w:val="en-US" w:eastAsia="zh-CN"/>
              </w:rPr>
              <w:t>5</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
                <w:bCs/>
                <w:sz w:val="21"/>
                <w:szCs w:val="21"/>
                <w:highlight w:val="none"/>
                <w:lang w:val="en-US" w:eastAsia="zh-CN"/>
              </w:rPr>
            </w:pPr>
            <w:r>
              <w:rPr>
                <w:rFonts w:hint="eastAsia" w:ascii="宋体" w:hAnsi="宋体" w:eastAsia="宋体" w:cs="宋体"/>
                <w:kern w:val="0"/>
                <w:sz w:val="21"/>
                <w:szCs w:val="21"/>
                <w:highlight w:val="none"/>
              </w:rPr>
              <w:t>自动化药房管理软件1套</w:t>
            </w:r>
            <w:r>
              <w:rPr>
                <w:rFonts w:hint="eastAsia" w:ascii="宋体" w:hAnsi="宋体" w:eastAsia="宋体" w:cs="宋体"/>
                <w:kern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三</w:t>
            </w:r>
          </w:p>
        </w:tc>
        <w:tc>
          <w:tcPr>
            <w:tcW w:w="6060" w:type="dxa"/>
            <w:shd w:val="clear" w:color="auto" w:fill="auto"/>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具体技术参数要求</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3.1</w:t>
            </w:r>
          </w:p>
        </w:tc>
        <w:tc>
          <w:tcPr>
            <w:tcW w:w="6060" w:type="dxa"/>
            <w:shd w:val="clear" w:color="auto" w:fill="auto"/>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基本要求</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3.1.1</w:t>
            </w:r>
          </w:p>
        </w:tc>
        <w:tc>
          <w:tcPr>
            <w:tcW w:w="6060" w:type="dxa"/>
            <w:shd w:val="clear" w:color="auto" w:fill="auto"/>
            <w:vAlign w:val="top"/>
          </w:tcPr>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全自动快速发药机硬件配置：发药主机1台，主机加药机械手1套，批量补药缓存装置1套，发药提升机1台，实时发药传送系统2套，螺旋出药滑道2套。</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3.1.</w:t>
            </w:r>
            <w:r>
              <w:rPr>
                <w:rFonts w:hint="eastAsia" w:ascii="宋体" w:hAnsi="宋体" w:cs="宋体"/>
                <w:bCs/>
                <w:sz w:val="21"/>
                <w:szCs w:val="21"/>
                <w:highlight w:val="none"/>
                <w:lang w:val="en-US" w:eastAsia="zh-CN"/>
              </w:rPr>
              <w:t>2</w:t>
            </w:r>
          </w:p>
        </w:tc>
        <w:tc>
          <w:tcPr>
            <w:tcW w:w="6060" w:type="dxa"/>
            <w:shd w:val="clear" w:color="auto" w:fill="auto"/>
            <w:vAlign w:val="top"/>
          </w:tcPr>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全自动快速发药机药品储存要求：品种数≥960种，储药量≥11000盒。（每盒药以长100mm宽60mm厚20mm进行计算）（</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3.1.</w:t>
            </w:r>
            <w:r>
              <w:rPr>
                <w:rFonts w:hint="eastAsia" w:ascii="宋体" w:hAnsi="宋体" w:cs="宋体"/>
                <w:bCs/>
                <w:sz w:val="21"/>
                <w:szCs w:val="21"/>
                <w:highlight w:val="none"/>
                <w:lang w:val="en-US" w:eastAsia="zh-CN"/>
              </w:rPr>
              <w:t>3</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根据医院发展需求和现场条件，全自动发药机主机的厚度≤2.5米。发药机系统总占地面积≤10平米（含：储药主机系统、加药系统和发药窗口传送系统等）</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3.1.</w:t>
            </w:r>
            <w:r>
              <w:rPr>
                <w:rFonts w:hint="eastAsia" w:ascii="宋体" w:hAnsi="宋体" w:cs="宋体"/>
                <w:bCs/>
                <w:sz w:val="21"/>
                <w:szCs w:val="21"/>
                <w:highlight w:val="none"/>
                <w:lang w:val="en-US" w:eastAsia="zh-CN"/>
              </w:rPr>
              <w:t>4</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全自动发药机的发药系统和补药系统为相对独立的模块，发药同时可以补药，二者互不影响。</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3.1.</w:t>
            </w:r>
            <w:r>
              <w:rPr>
                <w:rFonts w:hint="eastAsia" w:ascii="宋体" w:hAnsi="宋体" w:cs="宋体"/>
                <w:bCs/>
                <w:sz w:val="21"/>
                <w:szCs w:val="21"/>
                <w:highlight w:val="none"/>
                <w:lang w:val="en-US" w:eastAsia="zh-CN"/>
              </w:rPr>
              <w:t>5</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全自动发药机储存的所有药品都可在无人值守、干预的情况下，由设备进行全自动自主补充</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3.1.</w:t>
            </w:r>
            <w:r>
              <w:rPr>
                <w:rFonts w:hint="eastAsia" w:ascii="宋体" w:hAnsi="宋体" w:cs="宋体"/>
                <w:bCs/>
                <w:sz w:val="21"/>
                <w:szCs w:val="21"/>
                <w:highlight w:val="none"/>
                <w:lang w:val="en-US" w:eastAsia="zh-CN"/>
              </w:rPr>
              <w:t>6</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全自动发药机必须具备在故障时，可让药师手工拿到所有机内储存药品进行应急发药的功能</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3.1.</w:t>
            </w:r>
            <w:r>
              <w:rPr>
                <w:rFonts w:hint="eastAsia" w:ascii="宋体" w:hAnsi="宋体" w:cs="宋体"/>
                <w:bCs/>
                <w:sz w:val="21"/>
                <w:szCs w:val="21"/>
                <w:highlight w:val="none"/>
                <w:lang w:val="en-US" w:eastAsia="zh-CN"/>
              </w:rPr>
              <w:t>7</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全自动发药机可与医院HIS系统实现无缝对接。</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3.1.</w:t>
            </w:r>
            <w:r>
              <w:rPr>
                <w:rFonts w:hint="eastAsia" w:ascii="宋体" w:hAnsi="宋体" w:cs="宋体"/>
                <w:bCs/>
                <w:sz w:val="21"/>
                <w:szCs w:val="21"/>
                <w:highlight w:val="none"/>
                <w:lang w:val="en-US" w:eastAsia="zh-CN"/>
              </w:rPr>
              <w:t>8</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设备生产厂家应具备ISO027001信息安全管理体系认证，以保证医院的用药数据安全可靠，不泄密。</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3.1.</w:t>
            </w:r>
            <w:r>
              <w:rPr>
                <w:rFonts w:hint="eastAsia" w:ascii="宋体" w:hAnsi="宋体" w:cs="宋体"/>
                <w:bCs/>
                <w:sz w:val="21"/>
                <w:szCs w:val="21"/>
                <w:highlight w:val="none"/>
                <w:lang w:val="en-US" w:eastAsia="zh-CN"/>
              </w:rPr>
              <w:t>9</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color w:val="auto"/>
                <w:kern w:val="0"/>
                <w:sz w:val="21"/>
                <w:szCs w:val="21"/>
                <w:highlight w:val="none"/>
              </w:rPr>
              <w:t>电源功率：功率为3000W，电源为AC220V±10%、50/60Hz</w:t>
            </w:r>
            <w:r>
              <w:rPr>
                <w:rFonts w:hint="eastAsia" w:ascii="宋体" w:hAnsi="宋体" w:eastAsia="宋体" w:cs="宋体"/>
                <w:color w:val="auto"/>
                <w:kern w:val="0"/>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
                <w:bCs w:val="0"/>
                <w:sz w:val="21"/>
                <w:szCs w:val="21"/>
                <w:highlight w:val="none"/>
                <w:lang w:val="en-US" w:eastAsia="zh-CN"/>
              </w:rPr>
              <w:t>3.2</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b/>
                <w:bCs/>
                <w:kern w:val="0"/>
                <w:sz w:val="21"/>
                <w:szCs w:val="21"/>
                <w:highlight w:val="none"/>
              </w:rPr>
              <w:t>全自动快速发药机技术要求</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bCs/>
                <w:sz w:val="21"/>
                <w:szCs w:val="21"/>
                <w:highlight w:val="none"/>
                <w:lang w:val="en-US" w:eastAsia="zh-CN"/>
              </w:rPr>
              <w:t>3.2.1</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发药机的储药主机单元所有药品的储存模式是：斜槽式存储;采用一种药品对应一条指定储药斜槽的定位储药模式以确保发药准确。每根独立储存药槽均能调节宽度适用各种规格不同大小的药品，长度≤1200mm</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2</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发药机内储存的药品应按照单品种储存在独立的药槽中，为了确保药品放置的稳定性和防止在药品添加时出现卡药故障，要求每种药品必须基于药槽水平放置，放置高度必须为药品的最短边</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3</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发药机发药速度达到每小时≥2500盒，处理处方能力≥每小时500张</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4</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发药机发药方式采用自由重力落药设备底部接药方式，以确保在设备故障时可应急发药（不接受采用药品承接机构在轨道上下运动接药及机械手发药）</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5</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发药机在发药的同时能补充药品，补药不影响发药</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6</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发药机出药口对称分布于设备的两边，每一边3个出药口为一组，出药口为上下分布，两边共计6个出药口，其中最上面的出药口可对接轨道，实现药品实时传输到发药窗口，传输通道高度≥1.9米，以避免影响药师行走。余下出药口与发药窗口绑定</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7</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发药机具备提升系统，位于设备的两端对称分布，根据处方信息将药品智能传送至不同的出药口，传送速度≥2米每秒</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8</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发药机内的处方药品具备通过实时发药传送通道和螺旋出药滑道从空中直接发送到窗口药师手边，避免阻碍药师行走</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9</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主机加药机械手单次运行可同时携带≥3种盒装药品进行自动补药作业，或配置3套主机加药机械手各携带1种药品进行自动补药作业</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10</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主机加药机械手补药速度：≥2000盒/小时。（提供产品宣传彩页或产品技术说明书）</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11</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color w:val="auto"/>
                <w:kern w:val="0"/>
                <w:sz w:val="21"/>
                <w:szCs w:val="21"/>
                <w:highlight w:val="none"/>
              </w:rPr>
              <w:t>发药机主机具备药品集中回收站功能，可集中回收多补或卡药的药品。</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12</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待补药品的确认：通过扫描药品二维码或者快速输入药品名称等方式确认补药品种。</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13</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对相同药品不同规格、形似药品、高危药品自动二次提醒功能，确保药品补充正确性</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14</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主机加药机械手与人员之间通过批量补药缓存通道来实现人机间隔及待补药品的缓存，以提高补药速度、防止人身伤害</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15</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批量补药缓存通道≥3个</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16</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sz w:val="21"/>
                <w:szCs w:val="21"/>
                <w:highlight w:val="none"/>
              </w:rPr>
              <w:t>盒装药待补缓存量：≥10盒。</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17</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sz w:val="21"/>
                <w:szCs w:val="21"/>
                <w:highlight w:val="none"/>
              </w:rPr>
              <w:t>盒</w:t>
            </w:r>
            <w:r>
              <w:rPr>
                <w:rFonts w:hint="eastAsia" w:ascii="宋体" w:hAnsi="宋体" w:eastAsia="宋体" w:cs="宋体"/>
                <w:kern w:val="0"/>
                <w:sz w:val="21"/>
                <w:szCs w:val="21"/>
                <w:highlight w:val="none"/>
              </w:rPr>
              <w:t>装药批量补药缓存装置</w:t>
            </w:r>
            <w:r>
              <w:rPr>
                <w:rFonts w:hint="eastAsia" w:ascii="宋体" w:hAnsi="宋体" w:eastAsia="宋体" w:cs="宋体"/>
                <w:sz w:val="21"/>
                <w:szCs w:val="21"/>
                <w:highlight w:val="none"/>
              </w:rPr>
              <w:t>单次、同时可将≥3个品种的药品输入至主机加药机械手内。</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3.2.</w:t>
            </w:r>
            <w:r>
              <w:rPr>
                <w:rFonts w:hint="eastAsia" w:ascii="宋体" w:hAnsi="宋体" w:cs="宋体"/>
                <w:bCs/>
                <w:sz w:val="21"/>
                <w:szCs w:val="21"/>
                <w:highlight w:val="none"/>
                <w:lang w:val="en-US" w:eastAsia="zh-CN"/>
              </w:rPr>
              <w:t>18</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具备自动、无人干预盘点功能，盘点方式采用激光计数。</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3.3</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val="0"/>
                <w:sz w:val="21"/>
                <w:szCs w:val="21"/>
                <w:highlight w:val="none"/>
                <w:lang w:eastAsia="zh-CN"/>
              </w:rPr>
            </w:pPr>
            <w:r>
              <w:rPr>
                <w:rFonts w:hint="eastAsia" w:ascii="宋体" w:hAnsi="宋体" w:eastAsia="宋体" w:cs="宋体"/>
                <w:b/>
                <w:bCs w:val="0"/>
                <w:color w:val="000000"/>
                <w:kern w:val="0"/>
                <w:sz w:val="21"/>
                <w:szCs w:val="21"/>
                <w:highlight w:val="none"/>
              </w:rPr>
              <w:t>全自动补药机技术要求</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3.3.1</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全自动补药机硬件配置：药品补充缓存装置1套，药品分离装置1套，分拣检测装置1套，六轴关节药品分拣机器人1台，</w:t>
            </w:r>
            <w:r>
              <w:rPr>
                <w:rFonts w:hint="eastAsia" w:ascii="宋体" w:hAnsi="宋体" w:eastAsia="宋体" w:cs="宋体"/>
                <w:sz w:val="21"/>
                <w:szCs w:val="21"/>
                <w:highlight w:val="none"/>
              </w:rPr>
              <w:t>待药控制装置1套。</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2</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全自动补药机操作流程：</w:t>
            </w:r>
            <w:r>
              <w:rPr>
                <w:rFonts w:hint="eastAsia" w:ascii="宋体" w:hAnsi="宋体" w:eastAsia="宋体" w:cs="宋体"/>
                <w:sz w:val="21"/>
                <w:szCs w:val="21"/>
                <w:highlight w:val="none"/>
              </w:rPr>
              <w:t>发药机内一旦缺药，系统会自动提示机内药品缺失的情况。系统会根据目前发药机内的缺药情况和药房库存情况生成补药单，补药人员依据补药单领取药品无序倒入药品补充缓存装置，发药机主机机器人自主进行抓取、识别、补充，全过程无需人员干预。</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3</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全自动补药机可与发药机具备无缝对接。</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4</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全自动补药机的≤2.6m</w:t>
            </w:r>
            <w:r>
              <w:rPr>
                <w:rFonts w:hint="eastAsia" w:ascii="宋体" w:hAnsi="宋体" w:eastAsia="宋体" w:cs="宋体"/>
                <w:kern w:val="0"/>
                <w:sz w:val="21"/>
                <w:szCs w:val="21"/>
                <w:highlight w:val="none"/>
                <w:vertAlign w:val="superscript"/>
              </w:rPr>
              <w:t>2</w:t>
            </w:r>
            <w:r>
              <w:rPr>
                <w:rFonts w:hint="eastAsia" w:ascii="宋体" w:hAnsi="宋体" w:eastAsia="宋体" w:cs="宋体"/>
                <w:kern w:val="0"/>
                <w:sz w:val="21"/>
                <w:szCs w:val="21"/>
                <w:highlight w:val="none"/>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5</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全自动补药机</w:t>
            </w:r>
            <w:r>
              <w:rPr>
                <w:rFonts w:hint="eastAsia" w:ascii="宋体" w:hAnsi="宋体" w:eastAsia="宋体" w:cs="宋体"/>
                <w:sz w:val="21"/>
                <w:szCs w:val="21"/>
                <w:highlight w:val="none"/>
              </w:rPr>
              <w:t>补药预缓存方式：具备双层缓存，药品可无序多品种堆放</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6</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全自动补药机预缓存药量：≥2500盒。</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7</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sz w:val="21"/>
                <w:szCs w:val="21"/>
                <w:highlight w:val="none"/>
              </w:rPr>
              <w:t>补药方式：6轴机器人自动抓取。</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8</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全自动无人干预补药速度≥800盒/小时。</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9</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全自动补药机具备在无人值守和干预情况下自主分拣并向发药机输送药品。</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10</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全自动补药机进行预补药工作不影响发药机加药和发药，三者可同步进行</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11</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具备自动拒绝错误药品进入设备，无需人工干预情况下设备自动进行下一种药品或下一盒药品的添加</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12</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药品分拣机器人具备本体回转运动功能。</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13</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药品分拣机器人具备下臂前后摆动功能。</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14</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药品分拣机器人具备上臂上下摆动功能。</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15</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药品分拣机器人具备下臂回转功能。</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16</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药品分拣机器人具备上臂回转功能。</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17</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药品分拣机器人具备手腕上下摆动功能。</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18</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药品分拣机器人具备手腕回转功能。</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19</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药品品种识别方式：视觉识别。</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20</w:t>
            </w:r>
          </w:p>
        </w:tc>
        <w:tc>
          <w:tcPr>
            <w:tcW w:w="6060" w:type="dxa"/>
            <w:shd w:val="clear" w:color="auto" w:fill="auto"/>
            <w:vAlign w:val="center"/>
          </w:tcPr>
          <w:p>
            <w:pPr>
              <w:keepNext w:val="0"/>
              <w:keepLines w:val="0"/>
              <w:pageBreakBefore w:val="0"/>
              <w:tabs>
                <w:tab w:val="center" w:pos="4153"/>
                <w:tab w:val="right" w:pos="8306"/>
              </w:tabs>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具备破损包装及错误药品自动回收功能</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3.3.</w:t>
            </w:r>
            <w:r>
              <w:rPr>
                <w:rFonts w:hint="eastAsia" w:ascii="宋体" w:hAnsi="宋体" w:cs="宋体"/>
                <w:bCs/>
                <w:sz w:val="21"/>
                <w:szCs w:val="21"/>
                <w:highlight w:val="none"/>
                <w:lang w:val="en-US" w:eastAsia="zh-CN"/>
              </w:rPr>
              <w:t>21</w:t>
            </w:r>
          </w:p>
        </w:tc>
        <w:tc>
          <w:tcPr>
            <w:tcW w:w="6060" w:type="dxa"/>
            <w:shd w:val="clear" w:color="auto" w:fill="auto"/>
            <w:vAlign w:val="center"/>
          </w:tcPr>
          <w:p>
            <w:pPr>
              <w:numPr>
                <w:ilvl w:val="0"/>
                <w:numId w:val="0"/>
              </w:numPr>
              <w:spacing w:line="360" w:lineRule="auto"/>
              <w:ind w:leftChars="0"/>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全自动补药机的自动补药可与发药机人工批量补药进行无缝衔接。</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3.4</w:t>
            </w:r>
          </w:p>
        </w:tc>
        <w:tc>
          <w:tcPr>
            <w:tcW w:w="6060" w:type="dxa"/>
            <w:shd w:val="clear" w:color="auto" w:fill="auto"/>
            <w:vAlign w:val="center"/>
          </w:tcPr>
          <w:p>
            <w:pPr>
              <w:pStyle w:val="331"/>
              <w:numPr>
                <w:ilvl w:val="0"/>
                <w:numId w:val="0"/>
              </w:numPr>
              <w:spacing w:line="360" w:lineRule="auto"/>
              <w:rPr>
                <w:rFonts w:hint="eastAsia" w:ascii="宋体" w:hAnsi="宋体" w:eastAsia="宋体" w:cs="宋体"/>
                <w:b/>
                <w:bCs w:val="0"/>
                <w:sz w:val="21"/>
                <w:szCs w:val="21"/>
                <w:highlight w:val="none"/>
                <w:lang w:eastAsia="zh-CN"/>
              </w:rPr>
            </w:pPr>
            <w:r>
              <w:rPr>
                <w:rFonts w:hint="eastAsia" w:ascii="宋体" w:hAnsi="宋体" w:eastAsia="宋体" w:cs="宋体"/>
                <w:b/>
                <w:bCs w:val="0"/>
                <w:kern w:val="0"/>
                <w:sz w:val="21"/>
                <w:szCs w:val="21"/>
                <w:highlight w:val="none"/>
              </w:rPr>
              <w:t>智能预配货架技术要求</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3.4.1</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设备设计简洁大方，采用优质SPCC钢材。</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3.4.</w:t>
            </w:r>
            <w:r>
              <w:rPr>
                <w:rFonts w:hint="eastAsia" w:ascii="宋体" w:hAnsi="宋体" w:cs="宋体"/>
                <w:bCs/>
                <w:sz w:val="21"/>
                <w:szCs w:val="21"/>
                <w:highlight w:val="none"/>
                <w:lang w:val="en-US" w:eastAsia="zh-CN"/>
              </w:rPr>
              <w:t>2</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设备具备不少</w:t>
            </w:r>
            <w:r>
              <w:rPr>
                <w:rFonts w:hint="eastAsia" w:ascii="宋体" w:hAnsi="宋体" w:eastAsia="宋体" w:cs="宋体"/>
                <w:color w:val="auto"/>
                <w:kern w:val="0"/>
                <w:sz w:val="21"/>
                <w:szCs w:val="21"/>
                <w:highlight w:val="none"/>
                <w:lang w:val="en-US" w:eastAsia="zh-CN"/>
              </w:rPr>
              <w:t>于</w:t>
            </w:r>
            <w:r>
              <w:rPr>
                <w:rFonts w:hint="eastAsia" w:ascii="宋体" w:hAnsi="宋体" w:eastAsia="宋体" w:cs="宋体"/>
                <w:kern w:val="0"/>
                <w:sz w:val="21"/>
                <w:szCs w:val="21"/>
                <w:highlight w:val="none"/>
                <w:lang w:val="en-US" w:eastAsia="zh-CN"/>
              </w:rPr>
              <w:t>24</w:t>
            </w:r>
            <w:r>
              <w:rPr>
                <w:rFonts w:hint="eastAsia" w:ascii="宋体" w:hAnsi="宋体" w:eastAsia="宋体" w:cs="宋体"/>
                <w:kern w:val="0"/>
                <w:sz w:val="21"/>
                <w:szCs w:val="21"/>
                <w:highlight w:val="none"/>
              </w:rPr>
              <w:t>个货位，用于放置配药筐。</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3.4.</w:t>
            </w:r>
            <w:r>
              <w:rPr>
                <w:rFonts w:hint="eastAsia" w:ascii="宋体" w:hAnsi="宋体" w:cs="宋体"/>
                <w:bCs/>
                <w:sz w:val="21"/>
                <w:szCs w:val="21"/>
                <w:highlight w:val="none"/>
                <w:lang w:val="en-US" w:eastAsia="zh-CN"/>
              </w:rPr>
              <w:t>3</w:t>
            </w:r>
          </w:p>
        </w:tc>
        <w:tc>
          <w:tcPr>
            <w:tcW w:w="6060" w:type="dxa"/>
            <w:shd w:val="clear" w:color="auto" w:fill="auto"/>
            <w:vAlign w:val="center"/>
          </w:tcPr>
          <w:p>
            <w:pPr>
              <w:pStyle w:val="19"/>
              <w:ind w:left="0" w:leftChars="0" w:firstLine="0" w:firstLineChars="0"/>
              <w:rPr>
                <w:rFonts w:hint="eastAsia" w:ascii="宋体" w:hAnsi="宋体" w:eastAsia="宋体" w:cs="宋体"/>
                <w:sz w:val="21"/>
                <w:szCs w:val="21"/>
                <w:highlight w:val="none"/>
                <w:lang w:eastAsia="zh-CN"/>
              </w:rPr>
            </w:pPr>
            <w:r>
              <w:rPr>
                <w:rFonts w:hint="eastAsia" w:ascii="宋体" w:hAnsi="宋体" w:eastAsia="宋体" w:cs="宋体"/>
                <w:kern w:val="0"/>
                <w:sz w:val="21"/>
                <w:szCs w:val="21"/>
                <w:highlight w:val="none"/>
              </w:rPr>
              <w:t>设备占地面积小于0.4平方米，上下分5层，高度低于1.5米。</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3.4.</w:t>
            </w:r>
            <w:r>
              <w:rPr>
                <w:rFonts w:hint="eastAsia" w:ascii="宋体" w:hAnsi="宋体" w:cs="宋体"/>
                <w:bCs/>
                <w:sz w:val="21"/>
                <w:szCs w:val="21"/>
                <w:highlight w:val="none"/>
                <w:lang w:val="en-US" w:eastAsia="zh-CN"/>
              </w:rPr>
              <w:t>4</w:t>
            </w:r>
          </w:p>
        </w:tc>
        <w:tc>
          <w:tcPr>
            <w:tcW w:w="6060" w:type="dxa"/>
            <w:shd w:val="clear" w:color="auto" w:fill="auto"/>
            <w:vAlign w:val="center"/>
          </w:tcPr>
          <w:p>
            <w:pPr>
              <w:keepNext w:val="0"/>
              <w:keepLines w:val="0"/>
              <w:pageBreakBefore w:val="0"/>
              <w:tabs>
                <w:tab w:val="center" w:pos="4153"/>
                <w:tab w:val="right" w:pos="8306"/>
              </w:tabs>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设备货位具备LED灯，对称分布于货位的前后，调配时一面亮灯，发药时另一面亮灯。</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3.4.</w:t>
            </w:r>
            <w:r>
              <w:rPr>
                <w:rFonts w:hint="eastAsia" w:ascii="宋体" w:hAnsi="宋体" w:cs="宋体"/>
                <w:bCs/>
                <w:sz w:val="21"/>
                <w:szCs w:val="21"/>
                <w:highlight w:val="none"/>
                <w:lang w:val="en-US" w:eastAsia="zh-CN"/>
              </w:rPr>
              <w:t>5</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设备每个货位具备货位编号，智能绑定调配处方信息，当有处方信息时，调配处方单会显示货位信息，对应的货位LED灯亮起，实现调配处方与货位编号一一绑定，避免错误。</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3.4.</w:t>
            </w:r>
            <w:r>
              <w:rPr>
                <w:rFonts w:hint="eastAsia" w:ascii="宋体" w:hAnsi="宋体" w:cs="宋体"/>
                <w:bCs/>
                <w:sz w:val="21"/>
                <w:szCs w:val="21"/>
                <w:highlight w:val="none"/>
                <w:lang w:val="en-US" w:eastAsia="zh-CN"/>
              </w:rPr>
              <w:t>6</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设备具备RFID识别系统，</w:t>
            </w:r>
            <w:r>
              <w:rPr>
                <w:rFonts w:hint="eastAsia" w:ascii="宋体" w:hAnsi="宋体" w:eastAsia="宋体" w:cs="宋体"/>
                <w:kern w:val="0"/>
                <w:sz w:val="21"/>
                <w:szCs w:val="21"/>
                <w:highlight w:val="none"/>
                <w:lang w:val="en-US" w:eastAsia="zh-CN"/>
              </w:rPr>
              <w:t>通</w:t>
            </w:r>
            <w:r>
              <w:rPr>
                <w:rFonts w:hint="eastAsia" w:ascii="宋体" w:hAnsi="宋体" w:eastAsia="宋体" w:cs="宋体"/>
                <w:color w:val="auto"/>
                <w:kern w:val="0"/>
                <w:sz w:val="21"/>
                <w:szCs w:val="21"/>
                <w:highlight w:val="none"/>
              </w:rPr>
              <w:t>过读卡确定处方调配完成，</w:t>
            </w:r>
            <w:r>
              <w:rPr>
                <w:rFonts w:hint="eastAsia" w:ascii="宋体" w:hAnsi="宋体" w:eastAsia="宋体" w:cs="宋体"/>
                <w:kern w:val="0"/>
                <w:sz w:val="21"/>
                <w:szCs w:val="21"/>
                <w:highlight w:val="none"/>
              </w:rPr>
              <w:t>并可与叫号大屏幕系统实时联动，实现患者姓名上屏。</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3.4.</w:t>
            </w:r>
            <w:r>
              <w:rPr>
                <w:rFonts w:hint="eastAsia" w:ascii="宋体" w:hAnsi="宋体" w:cs="宋体"/>
                <w:bCs/>
                <w:sz w:val="21"/>
                <w:szCs w:val="21"/>
                <w:highlight w:val="none"/>
                <w:lang w:val="en-US" w:eastAsia="zh-CN"/>
              </w:rPr>
              <w:t>7</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患者来取药时，设备的LED亮灯提示药品所在位置，确保发药准确。</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3.4.</w:t>
            </w:r>
            <w:r>
              <w:rPr>
                <w:rFonts w:hint="eastAsia" w:ascii="宋体" w:hAnsi="宋体" w:cs="宋体"/>
                <w:bCs/>
                <w:sz w:val="21"/>
                <w:szCs w:val="21"/>
                <w:highlight w:val="none"/>
                <w:lang w:val="en-US" w:eastAsia="zh-CN"/>
              </w:rPr>
              <w:t>8</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智能分配处方发放窗口，增加药房工作效率。</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3.4.</w:t>
            </w:r>
            <w:r>
              <w:rPr>
                <w:rFonts w:hint="eastAsia" w:ascii="宋体" w:hAnsi="宋体" w:cs="宋体"/>
                <w:bCs/>
                <w:sz w:val="21"/>
                <w:szCs w:val="21"/>
                <w:highlight w:val="none"/>
                <w:lang w:val="en-US" w:eastAsia="zh-CN"/>
              </w:rPr>
              <w:t>9</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设备可与医院HIS系统实现无缝对接。</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cs="宋体"/>
                <w:b/>
                <w:bCs w:val="0"/>
                <w:sz w:val="21"/>
                <w:szCs w:val="21"/>
                <w:highlight w:val="none"/>
                <w:lang w:val="en-US" w:eastAsia="zh-CN"/>
              </w:rPr>
              <w:t>3.5</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b/>
                <w:bCs/>
                <w:kern w:val="0"/>
                <w:sz w:val="21"/>
                <w:szCs w:val="21"/>
                <w:highlight w:val="none"/>
              </w:rPr>
              <w:t>智能存取系统技术要求</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3.5.1</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设备长度≤2700mm，宽度≤1200mm，高度≤2400mm</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2</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电源：AC220V±20%，50~60HZ，设备控制低压24V，提供接地、过流保护、漏电保护功能。</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3</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采用循环运止结构，二组通道模块可独立运作，出药速度480-770次/小时，具有高效率的存取速度</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4</w:t>
            </w:r>
          </w:p>
        </w:tc>
        <w:tc>
          <w:tcPr>
            <w:tcW w:w="6060" w:type="dxa"/>
            <w:shd w:val="clear" w:color="auto" w:fill="auto"/>
            <w:vAlign w:val="center"/>
          </w:tcPr>
          <w:p>
            <w:pPr>
              <w:jc w:val="left"/>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设备支持160位储药位置，储药量≥5000盒常规药品，可储存各种包装形式的药品。（盒装药、针剂、软膏、输液等）</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5</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支持联机、手动双重自由切换，联机采用485通讯，手动直接控制变频器。</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6</w:t>
            </w:r>
          </w:p>
        </w:tc>
        <w:tc>
          <w:tcPr>
            <w:tcW w:w="6060" w:type="dxa"/>
            <w:shd w:val="clear" w:color="auto" w:fill="auto"/>
            <w:vAlign w:val="center"/>
          </w:tcPr>
          <w:p>
            <w:pPr>
              <w:keepNext w:val="0"/>
              <w:keepLines w:val="0"/>
              <w:pageBreakBefore w:val="0"/>
              <w:tabs>
                <w:tab w:val="center" w:pos="4153"/>
                <w:tab w:val="right" w:pos="8306"/>
              </w:tabs>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具备≥12.4寸触摸屏，简体中文，一目了然</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投标文件中相关证明并加盖公章</w:t>
            </w:r>
            <w:r>
              <w:rPr>
                <w:rFonts w:hint="eastAsia" w:ascii="宋体" w:hAnsi="宋体" w:eastAsia="宋体" w:cs="宋体"/>
                <w:bCs/>
                <w:sz w:val="21"/>
                <w:szCs w:val="21"/>
                <w:highlight w:val="none"/>
                <w:lang w:eastAsia="zh-CN"/>
              </w:rPr>
              <w:t>）。</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7</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具备全自动红外光指示，直接显示在目标药盒上。</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8</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采用密集式储存利用率最大化，占地面积小，节约空间，提高药品存储率。</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9</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采用封闭式存储，窗口均有滑门。</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10</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具备红外线光幕保护装置，发生误操作时，设备立刻自动停止，报警系统将自动提示错误原因。</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11</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采用多轨道设计，箱斗运转速度不低于8-10米/分钟，药品更换速度不低于3层36种/秒。</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12</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kern w:val="0"/>
                <w:sz w:val="21"/>
                <w:szCs w:val="21"/>
                <w:highlight w:val="none"/>
              </w:rPr>
              <w:t>就近取药原则，自动设别最优路径。</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3.5.</w:t>
            </w:r>
            <w:r>
              <w:rPr>
                <w:rFonts w:hint="eastAsia" w:ascii="宋体" w:hAnsi="宋体" w:cs="宋体"/>
                <w:bCs/>
                <w:sz w:val="21"/>
                <w:szCs w:val="21"/>
                <w:highlight w:val="none"/>
                <w:lang w:val="en-US" w:eastAsia="zh-CN"/>
              </w:rPr>
              <w:t>13</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人性化储药盒的设计，支持RFID标签。</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
                <w:bCs w:val="0"/>
                <w:sz w:val="21"/>
                <w:szCs w:val="21"/>
                <w:highlight w:val="none"/>
                <w:lang w:val="en-US" w:eastAsia="zh-CN"/>
              </w:rPr>
              <w:t>3.6</w:t>
            </w:r>
          </w:p>
        </w:tc>
        <w:tc>
          <w:tcPr>
            <w:tcW w:w="6060" w:type="dxa"/>
            <w:shd w:val="clear" w:color="auto" w:fill="auto"/>
            <w:vAlign w:val="center"/>
          </w:tcPr>
          <w:p>
            <w:pPr>
              <w:jc w:val="both"/>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智能化药房管理软件系统</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3.6.1</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所有软件控制系统使用TCP及DB双重方式与HIS系统进行数据交换具备数据库服务器RAID备份与防病毒系统让数据存储更安全。</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2</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设备具备网络管理功能，多台设备可以协同工作。</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3</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全中文触摸操作系统，支持一维、二维条码及自制条码的识别系统。</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4</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无偿为医院量身定制与HIS系统的无缝连接，实时接收HIS传过来的处方信息，提供随机免费的接口升级服务。</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5</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设备具备对发药，补药过程的监视功能，一旦出现故障，系统自动停止工作，同时报警和提示故障位置，屏蔽故障药槽，不影响其他药槽工作。</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6</w:t>
            </w:r>
          </w:p>
        </w:tc>
        <w:tc>
          <w:tcPr>
            <w:tcW w:w="6060" w:type="dxa"/>
            <w:shd w:val="clear" w:color="auto" w:fill="auto"/>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具备手动（自动）药品档案，药品尺寸，药品图片，药槽对应等基本信息的调整功能，保证药品信息的准确与药品存储的合理。</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7</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系统能根据发药量自动调整任一种药品占用药槽数量与位置，合理分配高物动量、低物动量库存。</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8</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具备完善的药品批号、效期管理功能，能实现机内药品查询统计功能，即当前库存查询、当前库存批号查询、一定日期内的发药量、已发药药品信息查询统计。</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9</w:t>
            </w:r>
          </w:p>
        </w:tc>
        <w:tc>
          <w:tcPr>
            <w:tcW w:w="6060" w:type="dxa"/>
            <w:shd w:val="clear" w:color="auto" w:fill="auto"/>
            <w:vAlign w:val="center"/>
          </w:tcPr>
          <w:p>
            <w:pPr>
              <w:pStyle w:val="331"/>
              <w:numPr>
                <w:ilvl w:val="0"/>
                <w:numId w:val="0"/>
              </w:numPr>
              <w:ind w:leftChars="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系统具有专用出药口对近效期药品和近期无发药药品进行自动下架功能。</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10</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具备补货智能分析与分配系统，合理分配各发药机补货品种数量功能。</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11</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具备通过识别药品条形码确认补药品种与数量功能。无条码药品可以通过自制条码或屏幕直接选择药品的方式确认补药品种与数量。</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12</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具备药品库存上下限设置功能，当药品库存低于设定下限时，系统会自动提示需要补充的品种和数量。如药品库存大于上限时，系统会自动提示药品卸货品种和数量。具备手动（自动）药品档案，药品尺寸，药品图片，药槽对应等基本信息的调整功能，保证药品信息的准确与药品存储的合理。</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13</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具备发药窗口智能分配系统，可根据窗口开放情况，药品库存，排队情况 分配取药窗口号。</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14</w:t>
            </w:r>
          </w:p>
        </w:tc>
        <w:tc>
          <w:tcPr>
            <w:tcW w:w="6060" w:type="dxa"/>
            <w:shd w:val="clear" w:color="auto" w:fill="auto"/>
            <w:vAlign w:val="center"/>
          </w:tcPr>
          <w:p>
            <w:pPr>
              <w:pStyle w:val="331"/>
              <w:numPr>
                <w:ilvl w:val="0"/>
                <w:numId w:val="0"/>
              </w:numPr>
              <w:ind w:leftChars="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如网络中断，无法从HIS得到处方信息，可以手动输入处方发药。</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0" w:type="dxa"/>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3.6.</w:t>
            </w:r>
            <w:r>
              <w:rPr>
                <w:rFonts w:hint="eastAsia" w:ascii="宋体" w:hAnsi="宋体" w:cs="宋体"/>
                <w:bCs/>
                <w:sz w:val="21"/>
                <w:szCs w:val="21"/>
                <w:highlight w:val="none"/>
                <w:lang w:val="en-US" w:eastAsia="zh-CN"/>
              </w:rPr>
              <w:t>15</w:t>
            </w:r>
          </w:p>
        </w:tc>
        <w:tc>
          <w:tcPr>
            <w:tcW w:w="6060" w:type="dxa"/>
            <w:shd w:val="clear" w:color="auto" w:fill="auto"/>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具有完善的操作日志、设备运行日志记录。</w:t>
            </w:r>
          </w:p>
        </w:tc>
        <w:tc>
          <w:tcPr>
            <w:tcW w:w="11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tc>
      </w:tr>
    </w:tbl>
    <w:p>
      <w:pPr>
        <w:pStyle w:val="2"/>
        <w:jc w:val="left"/>
        <w:rPr>
          <w:rFonts w:ascii="宋体" w:cs="宋体"/>
          <w:color w:val="auto"/>
          <w:sz w:val="21"/>
          <w:szCs w:val="21"/>
          <w:highlight w:val="none"/>
        </w:rPr>
      </w:pPr>
    </w:p>
    <w:p>
      <w:pPr>
        <w:rPr>
          <w:rFonts w:ascii="宋体" w:cs="宋体"/>
          <w:color w:val="auto"/>
          <w:sz w:val="21"/>
          <w:szCs w:val="21"/>
          <w:highlight w:val="none"/>
        </w:rPr>
      </w:pPr>
    </w:p>
    <w:p>
      <w:pPr>
        <w:pStyle w:val="2"/>
        <w:jc w:val="left"/>
        <w:rPr>
          <w:rFonts w:ascii="宋体" w:cs="宋体"/>
          <w:color w:val="auto"/>
          <w:highlight w:val="none"/>
        </w:rPr>
      </w:pPr>
      <w:r>
        <w:rPr>
          <w:rFonts w:hint="eastAsia" w:ascii="宋体" w:cs="宋体"/>
          <w:color w:val="auto"/>
          <w:sz w:val="21"/>
          <w:szCs w:val="21"/>
          <w:highlight w:val="none"/>
          <w:lang w:val="en-US" w:eastAsia="zh-CN"/>
        </w:rPr>
        <w:t>二</w:t>
      </w:r>
      <w:r>
        <w:rPr>
          <w:rFonts w:hint="eastAsia" w:ascii="宋体" w:cs="宋体"/>
          <w:color w:val="auto"/>
          <w:sz w:val="21"/>
          <w:szCs w:val="21"/>
          <w:highlight w:val="none"/>
        </w:rPr>
        <w:t>、商务</w:t>
      </w:r>
      <w:r>
        <w:rPr>
          <w:rFonts w:hint="eastAsia" w:ascii="宋体" w:cs="宋体"/>
          <w:color w:val="auto"/>
          <w:sz w:val="21"/>
          <w:szCs w:val="21"/>
          <w:highlight w:val="none"/>
          <w:lang w:val="en-US" w:eastAsia="zh-CN"/>
        </w:rPr>
        <w:t>要求</w:t>
      </w:r>
      <w:bookmarkEnd w:id="186"/>
      <w:bookmarkEnd w:id="187"/>
    </w:p>
    <w:tbl>
      <w:tblPr>
        <w:tblStyle w:val="48"/>
        <w:tblW w:w="0" w:type="auto"/>
        <w:tblInd w:w="-10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379"/>
        <w:gridCol w:w="7143"/>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blHeader/>
        </w:trPr>
        <w:tc>
          <w:tcPr>
            <w:tcW w:w="1379" w:type="dxa"/>
            <w:tcBorders>
              <w:tl2br w:val="nil"/>
              <w:tr2bl w:val="nil"/>
            </w:tcBorders>
            <w:vAlign w:val="center"/>
          </w:tcPr>
          <w:p>
            <w:pPr>
              <w:spacing w:line="360" w:lineRule="auto"/>
              <w:jc w:val="center"/>
              <w:rPr>
                <w:rFonts w:ascii="宋体" w:hAnsi="宋体" w:cs="宋体"/>
                <w:b/>
                <w:bCs/>
                <w:color w:val="auto"/>
                <w:kern w:val="0"/>
                <w:highlight w:val="none"/>
              </w:rPr>
            </w:pPr>
            <w:r>
              <w:rPr>
                <w:rFonts w:hint="eastAsia" w:ascii="宋体" w:hAnsi="宋体" w:cs="宋体"/>
                <w:b/>
                <w:bCs/>
                <w:color w:val="auto"/>
                <w:kern w:val="0"/>
                <w:highlight w:val="none"/>
              </w:rPr>
              <w:t>序号</w:t>
            </w:r>
          </w:p>
        </w:tc>
        <w:tc>
          <w:tcPr>
            <w:tcW w:w="7143" w:type="dxa"/>
            <w:tcBorders>
              <w:tl2br w:val="nil"/>
              <w:tr2bl w:val="nil"/>
            </w:tcBorders>
            <w:vAlign w:val="center"/>
          </w:tcPr>
          <w:p>
            <w:pPr>
              <w:pStyle w:val="18"/>
              <w:spacing w:after="0" w:line="360"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商务要求</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★一</w:t>
            </w:r>
          </w:p>
        </w:tc>
        <w:tc>
          <w:tcPr>
            <w:tcW w:w="7143" w:type="dxa"/>
            <w:tcBorders>
              <w:tl2br w:val="nil"/>
              <w:tr2bl w:val="nil"/>
            </w:tcBorders>
            <w:vAlign w:val="center"/>
          </w:tcPr>
          <w:p>
            <w:pPr>
              <w:spacing w:line="360" w:lineRule="auto"/>
              <w:rPr>
                <w:rFonts w:ascii="宋体" w:hAnsi="宋体" w:cs="宋体"/>
                <w:b/>
                <w:bCs/>
                <w:color w:val="auto"/>
                <w:highlight w:val="none"/>
              </w:rPr>
            </w:pPr>
            <w:r>
              <w:rPr>
                <w:rFonts w:hint="eastAsia" w:ascii="宋体" w:hAnsi="宋体" w:cs="宋体"/>
                <w:b/>
                <w:bCs/>
                <w:color w:val="auto"/>
                <w:highlight w:val="none"/>
              </w:rPr>
              <w:t>付款方式：</w:t>
            </w:r>
          </w:p>
          <w:p>
            <w:pPr>
              <w:spacing w:line="360" w:lineRule="auto"/>
              <w:jc w:val="left"/>
              <w:rPr>
                <w:rFonts w:ascii="宋体" w:hAnsi="宋体" w:cs="宋体"/>
                <w:color w:val="auto"/>
                <w:highlight w:val="none"/>
              </w:rPr>
            </w:pPr>
            <w:r>
              <w:rPr>
                <w:rFonts w:hint="eastAsia" w:ascii="宋体" w:hAnsi="宋体" w:cs="宋体"/>
                <w:color w:val="auto"/>
                <w:highlight w:val="none"/>
              </w:rPr>
              <w:t>合同生效并具备实施条件后7个工作日内支付合同金额的40%作为预付款，（供应商为《政府采购促进中小企业发展管理办法》（财库﹝2020﹞46号）第四条认定的大型企业无预付款，不适用该条款）；</w:t>
            </w:r>
          </w:p>
          <w:p>
            <w:pPr>
              <w:spacing w:line="360" w:lineRule="auto"/>
              <w:jc w:val="left"/>
              <w:rPr>
                <w:rFonts w:ascii="宋体" w:hAnsi="宋体" w:cs="宋体"/>
                <w:color w:val="auto"/>
                <w:highlight w:val="none"/>
              </w:rPr>
            </w:pPr>
            <w:r>
              <w:rPr>
                <w:rFonts w:hint="eastAsia" w:ascii="宋体" w:hAnsi="宋体" w:cs="宋体"/>
                <w:color w:val="auto"/>
                <w:highlight w:val="none"/>
              </w:rPr>
              <w:t>项目验收合格并收到中标人正式发票之日起7个工作日内付清合同款。</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b/>
                <w:bCs/>
                <w:color w:val="auto"/>
                <w:highlight w:val="none"/>
              </w:rPr>
            </w:pPr>
            <w:r>
              <w:rPr>
                <w:rFonts w:hint="eastAsia" w:ascii="宋体" w:hAnsi="宋体" w:cs="宋体"/>
                <w:b/>
                <w:bCs/>
                <w:color w:val="auto"/>
                <w:highlight w:val="none"/>
              </w:rPr>
              <w:t>二</w:t>
            </w:r>
          </w:p>
        </w:tc>
        <w:tc>
          <w:tcPr>
            <w:tcW w:w="7143" w:type="dxa"/>
            <w:tcBorders>
              <w:tl2br w:val="nil"/>
              <w:tr2bl w:val="nil"/>
            </w:tcBorders>
            <w:vAlign w:val="center"/>
          </w:tcPr>
          <w:p>
            <w:pPr>
              <w:spacing w:line="360" w:lineRule="auto"/>
              <w:rPr>
                <w:rFonts w:ascii="宋体" w:hAnsi="宋体" w:cs="宋体"/>
                <w:b/>
                <w:bCs/>
                <w:color w:val="auto"/>
                <w:highlight w:val="none"/>
              </w:rPr>
            </w:pPr>
            <w:r>
              <w:rPr>
                <w:rFonts w:hint="eastAsia" w:ascii="宋体" w:hAnsi="宋体" w:cs="宋体"/>
                <w:b/>
                <w:bCs/>
                <w:color w:val="auto"/>
                <w:highlight w:val="none"/>
              </w:rPr>
              <w:t>其他：</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2.1</w:t>
            </w:r>
          </w:p>
        </w:tc>
        <w:tc>
          <w:tcPr>
            <w:tcW w:w="7143" w:type="dxa"/>
            <w:tcBorders>
              <w:tl2br w:val="nil"/>
              <w:tr2bl w:val="nil"/>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列出详细的设备配置清单（包括附件及选配件），清单包括：硬件、软件、附件及选配件的规格型号、接口。提供分项价格并提供价格的折扣率，同时提供试剂耗品的清单及供应价（各种包装规格分别报价）。招标文件中未提及的某些属选配的功能、软硬件，供方必须充分告知采购人，以采购人选择为准。若在交付使用后采购人发现其功能或软件未告知采购人的，中标人必须无条件提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2.2</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提供各类必要证件（书），包括但不限于进字号注册证、</w:t>
            </w:r>
            <w:r>
              <w:rPr>
                <w:rFonts w:hint="eastAsia" w:ascii="宋体" w:hAnsi="宋体"/>
                <w:bCs/>
                <w:szCs w:val="21"/>
                <w:highlight w:val="none"/>
              </w:rPr>
              <w:t>医疗器械注册证</w:t>
            </w:r>
            <w:r>
              <w:rPr>
                <w:rFonts w:hint="eastAsia" w:ascii="宋体" w:hAnsi="宋体"/>
                <w:bCs/>
                <w:szCs w:val="21"/>
                <w:highlight w:val="none"/>
                <w:lang w:eastAsia="zh-CN"/>
              </w:rPr>
              <w:t>、</w:t>
            </w:r>
            <w:r>
              <w:rPr>
                <w:rFonts w:hint="eastAsia" w:ascii="宋体" w:hAnsi="宋体"/>
                <w:bCs/>
                <w:szCs w:val="21"/>
                <w:highlight w:val="none"/>
              </w:rPr>
              <w:t>产品注册登记表</w:t>
            </w:r>
            <w:r>
              <w:rPr>
                <w:rFonts w:hint="eastAsia" w:ascii="宋体" w:hAnsi="宋体" w:cs="宋体"/>
                <w:color w:val="auto"/>
                <w:kern w:val="0"/>
                <w:highlight w:val="none"/>
              </w:rPr>
              <w:t>和消毒产品卫生安全评价报告。全套设备必须为全新，未曾使用过的原装产品，软件版本为最新版本（投标文件中须注明设备进入市场时间及软件最新版本号）。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2.3</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招标设备如为法定商检产品或国家强检计量设备，由中标人负责进行商检或计量等，费用包含在投标总价之内。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2.4</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投标人必须以招标人需要的机型进行投标，在投标时如实响应招标文件技术文件并提供完全配置，不得欺骗、隐瞒，投标后对招标文件的响应内容，不得以任何理由加价，招、投标文件为合同的组成部分，具备同等法律效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2.5</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提供纸质和电子版操作手册（包括纸质版两套和电子版一套）、维修手册（包括维修技术资料及线路图）、软件、维修零配件、维修密码等。</w:t>
            </w:r>
            <w:r>
              <w:rPr>
                <w:rFonts w:hint="eastAsia" w:ascii="宋体" w:hAnsi="宋体" w:cs="宋体"/>
                <w:color w:val="auto"/>
                <w:sz w:val="22"/>
                <w:szCs w:val="22"/>
                <w:highlight w:val="none"/>
              </w:rPr>
              <w:t>开放维修权限。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val="en-US" w:eastAsia="zh-CN"/>
              </w:rPr>
              <w:t>6</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如实提供有注册证医疗器械的使用年限或使用期限。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val="en-US" w:eastAsia="zh-CN"/>
              </w:rPr>
              <w:t>7</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提供制造商原厂data sheet，提供符合上述参数和配置要求的详细配置清单及单价，必需的耗材清单，承诺长期供应的优惠价格。应标技术文件参数应与官方网站的数据或原厂data sheet保持一致，并以此验收。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val="en-US" w:eastAsia="zh-CN"/>
              </w:rPr>
              <w:t>8</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highlight w:val="none"/>
              </w:rPr>
              <w:t>若设备有信息系统接口，则全部免费开放。</w:t>
            </w:r>
            <w:r>
              <w:rPr>
                <w:rFonts w:hint="eastAsia" w:ascii="宋体" w:hAnsi="宋体"/>
                <w:bCs/>
                <w:szCs w:val="21"/>
                <w:highlight w:val="none"/>
              </w:rPr>
              <w:t>支持网络连接</w:t>
            </w:r>
            <w:r>
              <w:rPr>
                <w:rFonts w:hint="eastAsia" w:ascii="宋体" w:hAnsi="宋体"/>
                <w:bCs/>
                <w:szCs w:val="21"/>
                <w:highlight w:val="none"/>
                <w:lang w:val="en-US" w:eastAsia="zh-CN"/>
              </w:rPr>
              <w:t>及</w:t>
            </w:r>
            <w:r>
              <w:rPr>
                <w:rFonts w:hint="eastAsia" w:ascii="宋体" w:hAnsi="宋体"/>
                <w:bCs/>
                <w:szCs w:val="21"/>
                <w:highlight w:val="none"/>
              </w:rPr>
              <w:t>D</w:t>
            </w:r>
            <w:r>
              <w:rPr>
                <w:rFonts w:ascii="宋体" w:hAnsi="宋体"/>
                <w:bCs/>
                <w:szCs w:val="21"/>
                <w:highlight w:val="none"/>
              </w:rPr>
              <w:t>ICOM 3.0</w:t>
            </w:r>
            <w:r>
              <w:rPr>
                <w:rFonts w:hint="eastAsia" w:ascii="宋体" w:hAnsi="宋体"/>
                <w:bCs/>
                <w:szCs w:val="21"/>
                <w:highlight w:val="none"/>
              </w:rPr>
              <w:t>（开通）</w:t>
            </w:r>
            <w:r>
              <w:rPr>
                <w:rFonts w:hint="eastAsia" w:ascii="宋体" w:hAnsi="宋体"/>
                <w:bCs/>
                <w:szCs w:val="21"/>
                <w:highlight w:val="none"/>
                <w:lang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cs="宋体"/>
                <w:color w:val="auto"/>
                <w:highlight w:val="none"/>
              </w:rPr>
              <w:t>.</w:t>
            </w:r>
            <w:r>
              <w:rPr>
                <w:rFonts w:hint="eastAsia" w:ascii="宋体" w:hAnsi="宋体" w:cs="宋体"/>
                <w:color w:val="auto"/>
                <w:highlight w:val="none"/>
                <w:lang w:val="en-US" w:eastAsia="zh-CN"/>
              </w:rPr>
              <w:t>9</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lang w:eastAsia="zh-CN"/>
              </w:rPr>
            </w:pPr>
            <w:r>
              <w:rPr>
                <w:rFonts w:hint="eastAsia" w:ascii="宋体" w:hAnsi="宋体" w:cs="宋体"/>
                <w:color w:val="auto"/>
                <w:kern w:val="0"/>
                <w:highlight w:val="none"/>
              </w:rPr>
              <w:t>投标设备使用寿命≥10年</w:t>
            </w:r>
            <w:r>
              <w:rPr>
                <w:rFonts w:hint="eastAsia" w:ascii="宋体" w:hAnsi="宋体" w:cs="宋体"/>
                <w:color w:val="auto"/>
                <w:kern w:val="0"/>
                <w:highlight w:val="none"/>
                <w:lang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cs="宋体"/>
                <w:color w:val="auto"/>
                <w:highlight w:val="none"/>
              </w:rPr>
              <w:t>.1</w:t>
            </w:r>
            <w:r>
              <w:rPr>
                <w:rFonts w:hint="eastAsia" w:ascii="宋体" w:hAnsi="宋体" w:cs="宋体"/>
                <w:color w:val="auto"/>
                <w:highlight w:val="none"/>
                <w:lang w:val="en-US" w:eastAsia="zh-CN"/>
              </w:rPr>
              <w:t>0</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及时提供投标设备新功能信息和临床应用的资料。</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b/>
                <w:bCs/>
                <w:color w:val="auto"/>
                <w:highlight w:val="none"/>
              </w:rPr>
            </w:pPr>
            <w:r>
              <w:rPr>
                <w:rFonts w:hint="eastAsia" w:ascii="宋体" w:hAnsi="宋体" w:cs="宋体"/>
                <w:b/>
                <w:bCs/>
                <w:color w:val="auto"/>
                <w:highlight w:val="none"/>
              </w:rPr>
              <w:t>三</w:t>
            </w:r>
          </w:p>
        </w:tc>
        <w:tc>
          <w:tcPr>
            <w:tcW w:w="7143" w:type="dxa"/>
            <w:tcBorders>
              <w:tl2br w:val="nil"/>
              <w:tr2bl w:val="nil"/>
            </w:tcBorders>
            <w:vAlign w:val="center"/>
          </w:tcPr>
          <w:p>
            <w:pPr>
              <w:spacing w:line="360" w:lineRule="auto"/>
              <w:rPr>
                <w:rFonts w:ascii="宋体" w:hAnsi="宋体" w:cs="宋体"/>
                <w:b/>
                <w:bCs/>
                <w:color w:val="auto"/>
                <w:highlight w:val="none"/>
              </w:rPr>
            </w:pPr>
            <w:r>
              <w:rPr>
                <w:rFonts w:hint="eastAsia" w:ascii="宋体" w:hAnsi="宋体" w:cs="宋体"/>
                <w:b/>
                <w:bCs/>
                <w:color w:val="auto"/>
                <w:highlight w:val="none"/>
              </w:rPr>
              <w:t>售后服务</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★3.1</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b/>
                <w:bCs/>
                <w:color w:val="auto"/>
                <w:kern w:val="0"/>
                <w:highlight w:val="none"/>
              </w:rPr>
              <w:t>设备验收合格后整机及附属设备免费保修</w:t>
            </w:r>
            <w:r>
              <w:rPr>
                <w:rFonts w:hint="eastAsia" w:ascii="宋体" w:hAnsi="宋体" w:cs="宋体"/>
                <w:b/>
                <w:bCs/>
                <w:color w:val="auto"/>
                <w:kern w:val="0"/>
                <w:highlight w:val="none"/>
                <w:lang w:val="en-US" w:eastAsia="zh-CN"/>
              </w:rPr>
              <w:t>期限：</w:t>
            </w:r>
            <w:r>
              <w:rPr>
                <w:rFonts w:hint="eastAsia" w:ascii="宋体" w:hAnsi="宋体" w:cs="宋体"/>
                <w:b/>
                <w:bCs/>
                <w:color w:val="auto"/>
                <w:kern w:val="0"/>
                <w:highlight w:val="none"/>
                <w:u w:val="single"/>
                <w:lang w:val="en-US" w:eastAsia="zh-CN"/>
              </w:rPr>
              <w:t>标项一</w:t>
            </w:r>
            <w:r>
              <w:rPr>
                <w:rFonts w:hint="eastAsia" w:ascii="宋体" w:hAnsi="宋体" w:cs="宋体"/>
                <w:b/>
                <w:bCs/>
                <w:color w:val="auto"/>
                <w:kern w:val="0"/>
                <w:highlight w:val="none"/>
                <w:u w:val="single"/>
              </w:rPr>
              <w:t>≥</w:t>
            </w:r>
            <w:r>
              <w:rPr>
                <w:rFonts w:hint="eastAsia" w:ascii="宋体" w:hAnsi="宋体" w:cs="宋体"/>
                <w:b/>
                <w:bCs/>
                <w:color w:val="auto"/>
                <w:kern w:val="0"/>
                <w:highlight w:val="none"/>
                <w:u w:val="single"/>
                <w:lang w:val="en-US" w:eastAsia="zh-CN"/>
              </w:rPr>
              <w:t>3</w:t>
            </w:r>
            <w:r>
              <w:rPr>
                <w:rFonts w:hint="eastAsia" w:ascii="宋体" w:hAnsi="宋体" w:cs="宋体"/>
                <w:b/>
                <w:bCs/>
                <w:color w:val="auto"/>
                <w:kern w:val="0"/>
                <w:highlight w:val="none"/>
                <w:u w:val="single"/>
              </w:rPr>
              <w:t>年</w:t>
            </w:r>
            <w:r>
              <w:rPr>
                <w:rFonts w:hint="eastAsia" w:ascii="宋体" w:hAnsi="宋体" w:cs="宋体"/>
                <w:b/>
                <w:bCs/>
                <w:color w:val="auto"/>
                <w:kern w:val="0"/>
                <w:highlight w:val="none"/>
                <w:u w:val="single"/>
                <w:lang w:eastAsia="zh-CN"/>
              </w:rPr>
              <w:t>；</w:t>
            </w:r>
            <w:r>
              <w:rPr>
                <w:rFonts w:hint="eastAsia" w:ascii="宋体" w:hAnsi="宋体" w:cs="宋体"/>
                <w:b/>
                <w:bCs/>
                <w:color w:val="auto"/>
                <w:kern w:val="0"/>
                <w:highlight w:val="none"/>
                <w:u w:val="single"/>
                <w:lang w:val="en-US" w:eastAsia="zh-CN"/>
              </w:rPr>
              <w:t>标项二</w:t>
            </w:r>
            <w:r>
              <w:rPr>
                <w:rFonts w:hint="eastAsia" w:ascii="宋体" w:hAnsi="宋体" w:cs="宋体"/>
                <w:b/>
                <w:bCs/>
                <w:color w:val="auto"/>
                <w:kern w:val="0"/>
                <w:highlight w:val="none"/>
                <w:u w:val="single"/>
              </w:rPr>
              <w:t>≥3</w:t>
            </w:r>
            <w:r>
              <w:rPr>
                <w:rFonts w:hint="eastAsia" w:ascii="宋体" w:hAnsi="宋体" w:cs="宋体"/>
                <w:b/>
                <w:bCs/>
                <w:color w:val="auto"/>
                <w:kern w:val="0"/>
                <w:highlight w:val="none"/>
                <w:u w:val="single"/>
                <w:lang w:val="en-US" w:eastAsia="zh-CN"/>
              </w:rPr>
              <w:t>年</w:t>
            </w:r>
            <w:r>
              <w:rPr>
                <w:rFonts w:hint="eastAsia" w:ascii="宋体" w:hAnsi="宋体" w:cs="宋体"/>
                <w:b/>
                <w:bCs/>
                <w:color w:val="auto"/>
                <w:kern w:val="0"/>
                <w:highlight w:val="none"/>
                <w:u w:val="single"/>
                <w:lang w:eastAsia="zh-CN"/>
              </w:rPr>
              <w:t>；</w:t>
            </w:r>
            <w:r>
              <w:rPr>
                <w:rFonts w:hint="eastAsia" w:ascii="宋体" w:hAnsi="宋体" w:cs="宋体"/>
                <w:b/>
                <w:bCs/>
                <w:color w:val="auto"/>
                <w:kern w:val="0"/>
                <w:highlight w:val="none"/>
                <w:u w:val="single"/>
                <w:lang w:val="en-US" w:eastAsia="zh-CN"/>
              </w:rPr>
              <w:t>标项三</w:t>
            </w:r>
            <w:r>
              <w:rPr>
                <w:rFonts w:hint="eastAsia" w:ascii="宋体" w:hAnsi="宋体" w:cs="宋体"/>
                <w:b/>
                <w:bCs/>
                <w:color w:val="auto"/>
                <w:kern w:val="0"/>
                <w:highlight w:val="none"/>
                <w:u w:val="single"/>
              </w:rPr>
              <w:t>≥</w:t>
            </w:r>
            <w:r>
              <w:rPr>
                <w:rFonts w:hint="eastAsia" w:ascii="宋体" w:hAnsi="宋体" w:cs="宋体"/>
                <w:b/>
                <w:bCs/>
                <w:color w:val="auto"/>
                <w:kern w:val="0"/>
                <w:highlight w:val="none"/>
                <w:u w:val="single"/>
                <w:lang w:val="en-US" w:eastAsia="zh-CN"/>
              </w:rPr>
              <w:t>5年）</w:t>
            </w:r>
            <w:r>
              <w:rPr>
                <w:rFonts w:hint="eastAsia" w:ascii="宋体" w:hAnsi="宋体" w:cs="宋体"/>
                <w:b/>
                <w:bCs/>
                <w:color w:val="auto"/>
                <w:kern w:val="0"/>
                <w:highlight w:val="none"/>
              </w:rPr>
              <w:t>。设备停产后仍保证零配件供应8年及以上（保修起始时间以医院验收合格之日为准）。</w:t>
            </w:r>
            <w:r>
              <w:rPr>
                <w:rFonts w:hint="eastAsia" w:ascii="宋体" w:hAnsi="宋体" w:cs="宋体"/>
                <w:color w:val="auto"/>
                <w:kern w:val="0"/>
                <w:highlight w:val="none"/>
              </w:rPr>
              <w:t>投标人需提供保修期后每年整机保修费用，</w:t>
            </w:r>
            <w:r>
              <w:rPr>
                <w:rFonts w:hint="eastAsia" w:ascii="宋体" w:hAnsi="宋体" w:cs="宋体"/>
                <w:color w:val="auto"/>
                <w:highlight w:val="none"/>
              </w:rPr>
              <w:t>单独报价，</w:t>
            </w:r>
            <w:r>
              <w:rPr>
                <w:rFonts w:hint="eastAsia" w:ascii="宋体" w:hAnsi="宋体" w:cs="宋体"/>
                <w:color w:val="auto"/>
                <w:kern w:val="0"/>
                <w:highlight w:val="none"/>
              </w:rPr>
              <w:t>并且保证价格为真实、有效，并作为售后服务的评标依据，保修期后需要保修的，不高于此价格（如技术需求中有相关要求，以技术需求准）。</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3.2</w:t>
            </w:r>
          </w:p>
        </w:tc>
        <w:tc>
          <w:tcPr>
            <w:tcW w:w="7143" w:type="dxa"/>
            <w:tcBorders>
              <w:tl2br w:val="nil"/>
              <w:tr2bl w:val="nil"/>
            </w:tcBorders>
            <w:vAlign w:val="center"/>
          </w:tcPr>
          <w:p>
            <w:pPr>
              <w:spacing w:line="360" w:lineRule="auto"/>
              <w:rPr>
                <w:rFonts w:hint="eastAsia" w:ascii="宋体" w:hAnsi="宋体" w:eastAsia="宋体" w:cs="宋体"/>
                <w:b/>
                <w:bCs/>
                <w:color w:val="auto"/>
                <w:kern w:val="0"/>
                <w:highlight w:val="none"/>
                <w:lang w:eastAsia="zh-CN"/>
              </w:rPr>
            </w:pPr>
            <w:r>
              <w:rPr>
                <w:rFonts w:hint="eastAsia" w:ascii="宋体" w:hAnsi="宋体" w:cs="宋体"/>
                <w:color w:val="auto"/>
                <w:highlight w:val="none"/>
              </w:rPr>
              <w:t>保修范围内设备的故障维修响应时间≤2小时，到达现场时间＜24小时（包括节假日），8个工作小时未修复须提供备品备件</w:t>
            </w:r>
            <w:r>
              <w:rPr>
                <w:rFonts w:hint="eastAsia" w:ascii="宋体" w:hAnsi="宋体" w:cs="宋体"/>
                <w:color w:val="auto"/>
                <w:highlight w:val="none"/>
                <w:lang w:eastAsia="zh-CN"/>
              </w:rPr>
              <w:t>，</w:t>
            </w:r>
            <w:r>
              <w:rPr>
                <w:rFonts w:hint="eastAsia" w:ascii="宋体" w:hAnsi="宋体" w:cs="宋体"/>
                <w:color w:val="auto"/>
                <w:highlight w:val="none"/>
              </w:rPr>
              <w:t>每次现场服务后提供详细的维修报告单。标项三保修期内每年提供第三方探头（两个）检测服务</w:t>
            </w:r>
            <w:r>
              <w:rPr>
                <w:rFonts w:hint="eastAsia" w:ascii="宋体" w:hAnsi="宋体" w:cs="宋体"/>
                <w:color w:val="auto"/>
                <w:highlight w:val="none"/>
                <w:lang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3.3</w:t>
            </w:r>
          </w:p>
        </w:tc>
        <w:tc>
          <w:tcPr>
            <w:tcW w:w="7143" w:type="dxa"/>
            <w:tcBorders>
              <w:tl2br w:val="nil"/>
              <w:tr2bl w:val="nil"/>
            </w:tcBorders>
            <w:vAlign w:val="center"/>
          </w:tcPr>
          <w:p>
            <w:pPr>
              <w:spacing w:line="360" w:lineRule="auto"/>
              <w:rPr>
                <w:rFonts w:ascii="宋体" w:hAnsi="宋体" w:cs="宋体"/>
                <w:b/>
                <w:bCs/>
                <w:color w:val="auto"/>
                <w:kern w:val="0"/>
                <w:highlight w:val="none"/>
              </w:rPr>
            </w:pPr>
            <w:r>
              <w:rPr>
                <w:rFonts w:hint="eastAsia" w:ascii="宋体" w:hAnsi="宋体" w:cs="宋体"/>
                <w:color w:val="auto"/>
                <w:highlight w:val="none"/>
              </w:rPr>
              <w:t>保修期内每年开机率不低于95%（一年按365天计），即停机天数不超过18个自然日/年，如开机率达不到要求，每停机超过1个自然日保修期相应延长10个自然日。单次停机时间不得超过一周，否则投标人需做出相应补偿并承担责任。</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3.4</w:t>
            </w:r>
          </w:p>
        </w:tc>
        <w:tc>
          <w:tcPr>
            <w:tcW w:w="7143" w:type="dxa"/>
            <w:tcBorders>
              <w:tl2br w:val="nil"/>
              <w:tr2bl w:val="nil"/>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按规范进行每年至少2次的维保、检测服务并提供详细的维保及检测报告（提供有关测试证明）等。</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3.5</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保修期内，确保设备通过浙江省卫生厅的质控检查和技术监督局等有关部门的技术检测。如不合格，承担重检费用，直至通过检测。</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3.6</w:t>
            </w:r>
          </w:p>
        </w:tc>
        <w:tc>
          <w:tcPr>
            <w:tcW w:w="7143" w:type="dxa"/>
            <w:tcBorders>
              <w:tl2br w:val="nil"/>
              <w:tr2bl w:val="nil"/>
            </w:tcBorders>
            <w:vAlign w:val="center"/>
          </w:tcPr>
          <w:p>
            <w:pPr>
              <w:spacing w:line="360" w:lineRule="auto"/>
              <w:rPr>
                <w:rFonts w:ascii="宋体" w:hAnsi="宋体" w:cs="宋体"/>
                <w:color w:val="auto"/>
                <w:highlight w:val="none"/>
              </w:rPr>
            </w:pPr>
            <w:r>
              <w:rPr>
                <w:rFonts w:hint="eastAsia" w:ascii="宋体" w:hAnsi="宋体" w:cs="宋体"/>
                <w:color w:val="auto"/>
                <w:kern w:val="0"/>
                <w:highlight w:val="none"/>
              </w:rPr>
              <w:t>在保质期内出现问题，所产生的维修费用（包括零部件费用、运返费用等费用)均由投标人承担；</w:t>
            </w:r>
            <w:r>
              <w:rPr>
                <w:rFonts w:hint="eastAsia" w:ascii="宋体" w:hAnsi="宋体" w:cs="宋体"/>
                <w:color w:val="auto"/>
                <w:highlight w:val="none"/>
              </w:rPr>
              <w:t>保修期后，</w:t>
            </w:r>
            <w:r>
              <w:rPr>
                <w:rFonts w:hint="eastAsia" w:ascii="宋体" w:hAnsi="宋体" w:cs="宋体"/>
                <w:color w:val="auto"/>
                <w:kern w:val="0"/>
                <w:highlight w:val="none"/>
              </w:rPr>
              <w:t>投标人应提供终身维修，</w:t>
            </w:r>
            <w:r>
              <w:rPr>
                <w:rFonts w:hint="eastAsia" w:ascii="宋体" w:hAnsi="宋体" w:cs="宋体"/>
                <w:color w:val="auto"/>
                <w:highlight w:val="none"/>
              </w:rPr>
              <w:t>对设备进行维修免收差旅费、人工费等，仅收损坏更换的零备件费。必须做到先维修后付款。要求原厂或原厂授权维修服务机构进行书面承诺。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3.7</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提供保修期后消耗品和常用零配件的供应价格与折扣，折扣按优惠程度供应（供应价格和折扣，在投标文件中明确）。</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3.8</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操作培训及考核和工程师的维护、维修培训（列出具体的培训方案。如提供院外培训，投标人负责采购人人员培训期间的一切费用(包括会务费、差旅费、食宿费用等），投标人应知晓所有这些费用已包含在合同总价中。</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3.9</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提供售后服务地址、联系人、电话等信息。</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3.10</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提供软件光盘，软件终身免费升级。</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3.11</w:t>
            </w:r>
          </w:p>
        </w:tc>
        <w:tc>
          <w:tcPr>
            <w:tcW w:w="7143" w:type="dxa"/>
            <w:tcBorders>
              <w:tl2br w:val="nil"/>
              <w:tr2bl w:val="nil"/>
            </w:tcBorders>
            <w:vAlign w:val="center"/>
          </w:tcPr>
          <w:p>
            <w:pPr>
              <w:spacing w:line="360" w:lineRule="auto"/>
              <w:rPr>
                <w:rFonts w:hint="eastAsia" w:ascii="宋体" w:hAnsi="宋体" w:eastAsia="宋体" w:cs="宋体"/>
                <w:b/>
                <w:bCs/>
                <w:color w:val="auto"/>
                <w:highlight w:val="none"/>
                <w:lang w:eastAsia="zh-CN"/>
              </w:rPr>
            </w:pPr>
            <w:r>
              <w:rPr>
                <w:rFonts w:hint="eastAsia" w:ascii="宋体" w:hAnsi="宋体" w:cs="宋体"/>
                <w:color w:val="auto"/>
                <w:highlight w:val="none"/>
              </w:rPr>
              <w:t>如属计量器具、放射类设备，则卖方提供经买方认可的且具有资质的检测机构出具的计量、放射防护检测合格报告，检测费用包含在合同总价中。</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b/>
                <w:bCs/>
                <w:color w:val="auto"/>
                <w:highlight w:val="none"/>
              </w:rPr>
            </w:pPr>
            <w:r>
              <w:rPr>
                <w:rFonts w:hint="eastAsia" w:ascii="宋体" w:hAnsi="宋体" w:cs="宋体"/>
                <w:b/>
                <w:bCs/>
                <w:color w:val="auto"/>
                <w:highlight w:val="none"/>
              </w:rPr>
              <w:t>四</w:t>
            </w:r>
          </w:p>
        </w:tc>
        <w:tc>
          <w:tcPr>
            <w:tcW w:w="7143" w:type="dxa"/>
            <w:tcBorders>
              <w:tl2br w:val="nil"/>
              <w:tr2bl w:val="nil"/>
            </w:tcBorders>
            <w:vAlign w:val="center"/>
          </w:tcPr>
          <w:p>
            <w:pPr>
              <w:spacing w:line="360" w:lineRule="auto"/>
              <w:rPr>
                <w:rFonts w:ascii="宋体" w:hAnsi="宋体" w:cs="宋体"/>
                <w:b/>
                <w:bCs/>
                <w:color w:val="auto"/>
                <w:kern w:val="0"/>
                <w:highlight w:val="none"/>
              </w:rPr>
            </w:pPr>
            <w:r>
              <w:rPr>
                <w:rFonts w:hint="eastAsia" w:ascii="宋体" w:hAnsi="宋体" w:cs="宋体"/>
                <w:b/>
                <w:bCs/>
                <w:color w:val="auto"/>
                <w:kern w:val="0"/>
                <w:highlight w:val="none"/>
              </w:rPr>
              <w:t>安装及验收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4.1</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安装地点：医院指定地点。</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4.2</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安装要求：到货后</w:t>
            </w:r>
            <w:r>
              <w:rPr>
                <w:rFonts w:hint="eastAsia" w:ascii="宋体" w:hAnsi="宋体" w:cs="宋体"/>
                <w:color w:val="auto"/>
                <w:highlight w:val="none"/>
              </w:rPr>
              <w:t>接到采购人通知7天内全部安装调试完成。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4.3</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安装、验收前所产生的一切费用及风险（包括运输费、保险费、装卸及搬运费用等）由供方负责提供。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4.4</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安装、验收标准：应与产品技术数据及投标文件技术文件一致，符合我国有关技术规范和技术标准，符合合同要求。</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4.5</w:t>
            </w:r>
          </w:p>
        </w:tc>
        <w:tc>
          <w:tcPr>
            <w:tcW w:w="7143" w:type="dxa"/>
            <w:tcBorders>
              <w:tl2br w:val="nil"/>
              <w:tr2bl w:val="nil"/>
            </w:tcBorders>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验收：符合医院的验收规范。</w:t>
            </w:r>
          </w:p>
          <w:p>
            <w:pPr>
              <w:widowControl/>
              <w:spacing w:line="360" w:lineRule="auto"/>
              <w:rPr>
                <w:rFonts w:ascii="宋体" w:hAnsi="宋体" w:cs="宋体"/>
                <w:color w:val="auto"/>
                <w:kern w:val="0"/>
                <w:highlight w:val="none"/>
              </w:rPr>
            </w:pPr>
            <w:r>
              <w:rPr>
                <w:rFonts w:hint="eastAsia" w:ascii="宋体" w:hAnsi="宋体" w:cs="宋体"/>
                <w:b/>
                <w:bCs/>
                <w:color w:val="auto"/>
                <w:kern w:val="0"/>
                <w:highlight w:val="none"/>
              </w:rPr>
              <w:t>注：1.提供规范的安装验收报告；2.提供电子版和纸质简明操作规程（至少包括使用前检查准备、操作步骤、注意事项、适用范围或禁忌证，日常维护、应急处理方案等）；3.提供厂家标准维保（PM）内容。</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b/>
                <w:bCs/>
                <w:color w:val="auto"/>
                <w:kern w:val="0"/>
                <w:highlight w:val="none"/>
              </w:rPr>
            </w:pPr>
            <w:r>
              <w:rPr>
                <w:rFonts w:hint="eastAsia" w:ascii="宋体" w:hAnsi="宋体" w:cs="宋体"/>
                <w:b/>
                <w:bCs/>
                <w:color w:val="auto"/>
                <w:kern w:val="0"/>
                <w:highlight w:val="none"/>
              </w:rPr>
              <w:t>五</w:t>
            </w:r>
          </w:p>
        </w:tc>
        <w:tc>
          <w:tcPr>
            <w:tcW w:w="7143" w:type="dxa"/>
            <w:tcBorders>
              <w:tl2br w:val="nil"/>
              <w:tr2bl w:val="nil"/>
            </w:tcBorders>
            <w:vAlign w:val="center"/>
          </w:tcPr>
          <w:p>
            <w:pPr>
              <w:spacing w:line="360" w:lineRule="auto"/>
              <w:rPr>
                <w:rFonts w:ascii="宋体" w:hAnsi="宋体" w:cs="宋体"/>
                <w:b/>
                <w:bCs/>
                <w:color w:val="auto"/>
                <w:kern w:val="0"/>
                <w:highlight w:val="none"/>
              </w:rPr>
            </w:pPr>
            <w:r>
              <w:rPr>
                <w:rFonts w:hint="eastAsia" w:ascii="宋体" w:hAnsi="宋体" w:cs="宋体"/>
                <w:b/>
                <w:bCs/>
                <w:color w:val="auto"/>
                <w:kern w:val="0"/>
                <w:highlight w:val="none"/>
              </w:rPr>
              <w:t>交货期：合同签订之日起</w:t>
            </w:r>
            <w:r>
              <w:rPr>
                <w:rFonts w:hint="eastAsia" w:ascii="宋体" w:hAnsi="宋体" w:cs="宋体"/>
                <w:b/>
                <w:bCs/>
                <w:color w:val="auto"/>
                <w:kern w:val="0"/>
                <w:highlight w:val="none"/>
                <w:u w:val="single"/>
              </w:rPr>
              <w:t>30天</w:t>
            </w:r>
            <w:r>
              <w:rPr>
                <w:rFonts w:hint="eastAsia" w:ascii="宋体" w:hAnsi="宋体" w:cs="宋体"/>
                <w:b/>
                <w:bCs/>
                <w:color w:val="auto"/>
                <w:kern w:val="0"/>
                <w:highlight w:val="none"/>
              </w:rPr>
              <w:t>内。</w:t>
            </w:r>
          </w:p>
        </w:tc>
      </w:tr>
    </w:tbl>
    <w:p>
      <w:pPr>
        <w:pStyle w:val="2"/>
        <w:rPr>
          <w:rFonts w:hint="eastAsia" w:ascii="宋体" w:cs="宋体"/>
          <w:color w:val="auto"/>
          <w:highlight w:val="none"/>
        </w:rPr>
      </w:pPr>
      <w:bookmarkStart w:id="189" w:name="_Toc115344280"/>
      <w:bookmarkStart w:id="190" w:name="_Toc28996"/>
    </w:p>
    <w:p>
      <w:pPr>
        <w:pStyle w:val="2"/>
        <w:rPr>
          <w:rFonts w:hint="eastAsia" w:ascii="宋体" w:cs="宋体"/>
          <w:color w:val="auto"/>
          <w:highlight w:val="none"/>
        </w:rPr>
      </w:pPr>
    </w:p>
    <w:p>
      <w:pPr>
        <w:pStyle w:val="2"/>
        <w:rPr>
          <w:rFonts w:hint="eastAsia" w:ascii="宋体" w:cs="宋体"/>
          <w:color w:val="auto"/>
          <w:highlight w:val="none"/>
        </w:rPr>
      </w:pPr>
    </w:p>
    <w:p>
      <w:pPr>
        <w:pStyle w:val="2"/>
        <w:jc w:val="center"/>
        <w:rPr>
          <w:rFonts w:ascii="宋体" w:cs="宋体"/>
          <w:color w:val="auto"/>
          <w:highlight w:val="none"/>
        </w:rPr>
      </w:pPr>
      <w:r>
        <w:rPr>
          <w:rFonts w:hint="eastAsia" w:ascii="宋体" w:cs="宋体"/>
          <w:color w:val="auto"/>
          <w:highlight w:val="none"/>
        </w:rPr>
        <w:t>第五章  评标办法及评分标准</w:t>
      </w:r>
      <w:bookmarkEnd w:id="189"/>
      <w:bookmarkEnd w:id="190"/>
    </w:p>
    <w:p>
      <w:pPr>
        <w:spacing w:line="360" w:lineRule="auto"/>
        <w:ind w:firstLine="422" w:firstLineChars="200"/>
        <w:rPr>
          <w:rFonts w:ascii="宋体" w:hAnsi="宋体" w:cs="宋体"/>
          <w:b/>
          <w:bCs/>
          <w:highlight w:val="none"/>
        </w:rPr>
      </w:pPr>
      <w:r>
        <w:rPr>
          <w:rFonts w:hint="eastAsia" w:ascii="宋体" w:hAnsi="宋体" w:cs="宋体"/>
          <w:b/>
          <w:bCs/>
          <w:highlight w:val="none"/>
        </w:rPr>
        <w:t>本办法严格遵照《中华人民共和国政府采购法》、《政府采购货物和服务招标投标管理办法》，结合项目所在地政府有关政府采购规定和项目的实际情况制定。</w:t>
      </w:r>
    </w:p>
    <w:p>
      <w:pPr>
        <w:spacing w:line="360" w:lineRule="auto"/>
        <w:rPr>
          <w:rFonts w:ascii="宋体" w:hAnsi="宋体" w:cs="宋体"/>
          <w:highlight w:val="none"/>
        </w:rPr>
      </w:pPr>
      <w:r>
        <w:rPr>
          <w:rFonts w:hint="eastAsia" w:ascii="宋体" w:hAnsi="宋体" w:cs="宋体"/>
          <w:b/>
          <w:bCs/>
          <w:highlight w:val="none"/>
        </w:rPr>
        <w:t>一、开标程序：</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1、电子招投标开标程序：</w:t>
      </w:r>
    </w:p>
    <w:p>
      <w:pPr>
        <w:numPr>
          <w:ilvl w:val="0"/>
          <w:numId w:val="13"/>
        </w:numPr>
        <w:tabs>
          <w:tab w:val="left" w:pos="518"/>
        </w:tabs>
        <w:spacing w:line="360" w:lineRule="auto"/>
        <w:ind w:firstLine="420" w:firstLineChars="200"/>
        <w:rPr>
          <w:rFonts w:ascii="宋体" w:hAnsi="宋体" w:cs="宋体"/>
          <w:highlight w:val="none"/>
        </w:rPr>
      </w:pPr>
      <w:r>
        <w:rPr>
          <w:rFonts w:hint="eastAsia" w:ascii="宋体" w:hAnsi="宋体" w:cs="宋体"/>
          <w:highlight w:val="none"/>
        </w:rPr>
        <w:t>投标截止时间后，供应商登录政府采购云平台，用“项目采购-开标评标”功能对电子投标文件进行在线解密，在线解密电子投标文件时间为开标时间后30分钟内。</w:t>
      </w:r>
    </w:p>
    <w:p>
      <w:pPr>
        <w:numPr>
          <w:ilvl w:val="0"/>
          <w:numId w:val="13"/>
        </w:numPr>
        <w:tabs>
          <w:tab w:val="left" w:pos="518"/>
        </w:tabs>
        <w:spacing w:line="360" w:lineRule="auto"/>
        <w:ind w:firstLine="420" w:firstLineChars="200"/>
        <w:rPr>
          <w:rFonts w:ascii="宋体" w:hAnsi="宋体" w:cs="宋体"/>
          <w:highlight w:val="none"/>
        </w:rPr>
      </w:pPr>
      <w:r>
        <w:rPr>
          <w:rFonts w:hint="eastAsia" w:ascii="宋体" w:hAnsi="宋体" w:cs="宋体"/>
          <w:highlight w:val="none"/>
        </w:rPr>
        <w:t>在政府采购云平台开启已解密供应商的“资格证明文件、商务技术文件、报价文件”，并做开标记录；</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（3）在政府采购云平台宣告评审无效供应商名单及理由；</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（4）在政府采购云平台公布评审结果。</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（5）开标会议结束。</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3、特别说明：政府采购云平台如对电子化开标及评审程序有调整的，按调整后的程序操作。</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本项目原则上采用政采云电子招投标开标程序，但有以下情形之一的，按以下情况处理：</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（1）若有供应商在规定时间内无法解密或解密失败，代理机构将开启该供应商递交的以U盘存储的电子备份投标文件，上传至政采云平台项目采购模块，以完成开标，电子投标文件自动失效。</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（2）采购过程中出现以下情形，导致电子交易平台无法正常运行，或者无法保证电子交易的公平、公正和安全时，采购人（或代理机构）可中止电子交易活动：</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 xml:space="preserve">3.1电子交易平台发生故障而无法登录访问的； </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3.2电子交易平台应用或数据库出现错误，不能进行正常操作的；</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3.3电子交易平台发现严重安全漏洞，有潜在泄密危险的；</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 xml:space="preserve">3.4病毒发作导致不能进行正常操作的； </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3.5其他无法保证电子交易的公平、公正和安全的情况。</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（3）未开启的备份投标文件现场予以退还（电子邮件方式除外）。</w:t>
      </w:r>
    </w:p>
    <w:p>
      <w:pPr>
        <w:spacing w:line="360" w:lineRule="auto"/>
        <w:rPr>
          <w:rFonts w:ascii="宋体" w:hAnsi="宋体" w:cs="宋体"/>
          <w:b/>
          <w:bCs/>
          <w:highlight w:val="none"/>
        </w:rPr>
      </w:pPr>
      <w:r>
        <w:rPr>
          <w:rFonts w:hint="eastAsia" w:ascii="宋体" w:hAnsi="宋体" w:cs="宋体"/>
          <w:b/>
          <w:bCs/>
          <w:highlight w:val="none"/>
        </w:rPr>
        <w:t>二、评标委员会</w:t>
      </w:r>
    </w:p>
    <w:p>
      <w:pPr>
        <w:spacing w:line="360" w:lineRule="auto"/>
        <w:ind w:firstLine="420" w:firstLineChars="200"/>
        <w:rPr>
          <w:rFonts w:ascii="宋体" w:hAnsi="宋体" w:cs="宋体"/>
          <w:bCs/>
          <w:highlight w:val="none"/>
        </w:rPr>
      </w:pPr>
      <w:r>
        <w:rPr>
          <w:rFonts w:hint="eastAsia" w:ascii="宋体" w:hAnsi="宋体" w:cs="宋体"/>
          <w:highlight w:val="none"/>
        </w:rPr>
        <w:t>（一）本次招标依法组建评标委员会。</w:t>
      </w:r>
    </w:p>
    <w:p>
      <w:pPr>
        <w:pStyle w:val="29"/>
        <w:spacing w:line="360" w:lineRule="auto"/>
        <w:ind w:firstLine="420" w:firstLineChars="200"/>
        <w:rPr>
          <w:rFonts w:ascii="宋体" w:cs="宋体"/>
          <w:b w:val="0"/>
          <w:color w:val="auto"/>
          <w:sz w:val="21"/>
          <w:szCs w:val="21"/>
          <w:highlight w:val="none"/>
        </w:rPr>
      </w:pPr>
      <w:r>
        <w:rPr>
          <w:rFonts w:hint="eastAsia" w:ascii="宋体" w:cs="宋体"/>
          <w:b w:val="0"/>
          <w:color w:val="auto"/>
          <w:sz w:val="21"/>
          <w:szCs w:val="21"/>
          <w:highlight w:val="none"/>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9"/>
        <w:spacing w:line="360" w:lineRule="auto"/>
        <w:ind w:firstLine="420" w:firstLineChars="200"/>
        <w:rPr>
          <w:rFonts w:ascii="宋体" w:cs="宋体"/>
          <w:b w:val="0"/>
          <w:color w:val="auto"/>
          <w:sz w:val="21"/>
          <w:szCs w:val="21"/>
          <w:highlight w:val="none"/>
        </w:rPr>
      </w:pPr>
      <w:r>
        <w:rPr>
          <w:rFonts w:hint="eastAsia" w:ascii="宋体" w:cs="宋体"/>
          <w:b w:val="0"/>
          <w:color w:val="auto"/>
          <w:sz w:val="21"/>
          <w:szCs w:val="21"/>
          <w:highlight w:val="none"/>
        </w:rPr>
        <w:t>（三）评审专家有下列情形之一的，受到邀请应主动提出回避，采购当事人也可以要求该评审专家回避：</w:t>
      </w:r>
    </w:p>
    <w:p>
      <w:pPr>
        <w:pStyle w:val="29"/>
        <w:spacing w:line="360" w:lineRule="auto"/>
        <w:ind w:firstLine="420" w:firstLineChars="200"/>
        <w:rPr>
          <w:rFonts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 xml:space="preserve">1、参加采购活动前三年内，与投标人存在劳动关系，或者担任过投标人的董事、监事，或者是投标人的控股股东或实际控制人； </w:t>
      </w:r>
    </w:p>
    <w:p>
      <w:pPr>
        <w:pStyle w:val="29"/>
        <w:spacing w:line="360" w:lineRule="auto"/>
        <w:ind w:firstLine="420" w:firstLineChars="200"/>
        <w:rPr>
          <w:rFonts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 xml:space="preserve">2、与投标人的法定代表人或者负责人有夫妻、直系血亲、三代以内旁系血亲或者近姻亲关系； </w:t>
      </w:r>
    </w:p>
    <w:p>
      <w:pPr>
        <w:pStyle w:val="29"/>
        <w:spacing w:line="360" w:lineRule="auto"/>
        <w:ind w:firstLine="420" w:firstLineChars="200"/>
        <w:rPr>
          <w:rFonts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3、与供应商有其他可能影响政府采购活动公平、公正进行的关系。</w:t>
      </w:r>
    </w:p>
    <w:p>
      <w:pPr>
        <w:pStyle w:val="29"/>
        <w:spacing w:line="360" w:lineRule="auto"/>
        <w:ind w:firstLine="420" w:firstLineChars="200"/>
        <w:rPr>
          <w:rFonts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4、曾经参加过该招标项目的进口产品论证服务工作；</w:t>
      </w:r>
    </w:p>
    <w:p>
      <w:pPr>
        <w:pStyle w:val="29"/>
        <w:spacing w:line="360" w:lineRule="auto"/>
        <w:ind w:firstLine="417" w:firstLineChars="199"/>
        <w:rPr>
          <w:rFonts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5、法律、法规、规章规定应当回避以及其他可能影响公正评审的。</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五）评委依法独立评审，并对评审意见承担个人责任。对明显畸高、畸低的评分（评审小组成员个人主观打分偏离所有评审小组成员主观打分平均值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ascii="宋体" w:hAnsi="宋体" w:cs="宋体"/>
          <w:b/>
          <w:bCs/>
          <w:highlight w:val="none"/>
        </w:rPr>
      </w:pPr>
      <w:r>
        <w:rPr>
          <w:rFonts w:hint="eastAsia" w:ascii="宋体" w:hAnsi="宋体" w:cs="宋体"/>
          <w:b/>
          <w:bCs/>
          <w:highlight w:val="none"/>
        </w:rPr>
        <w:t>三、评标方法</w:t>
      </w:r>
    </w:p>
    <w:p>
      <w:pPr>
        <w:spacing w:line="360" w:lineRule="auto"/>
        <w:rPr>
          <w:rFonts w:ascii="宋体" w:hAnsi="宋体" w:cs="宋体"/>
          <w:highlight w:val="none"/>
        </w:rPr>
      </w:pPr>
      <w:r>
        <w:rPr>
          <w:rFonts w:hint="eastAsia" w:ascii="宋体" w:hAnsi="宋体" w:cs="宋体"/>
          <w:highlight w:val="none"/>
        </w:rPr>
        <w:t>（一）本次采购项目的评标方法为：综合评分法。</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采用综合评分法的，评标结果按评审后得分由高到低顺序</w:t>
      </w:r>
      <w:r>
        <w:rPr>
          <w:rFonts w:hint="eastAsia" w:ascii="宋体" w:cs="宋体"/>
          <w:b w:val="0"/>
          <w:bCs w:val="0"/>
          <w:color w:val="auto"/>
          <w:sz w:val="21"/>
          <w:szCs w:val="21"/>
          <w:highlight w:val="none"/>
        </w:rPr>
        <w:t>推荐2名</w:t>
      </w:r>
      <w:r>
        <w:rPr>
          <w:rFonts w:hint="eastAsia" w:ascii="宋体" w:cs="宋体"/>
          <w:b w:val="0"/>
          <w:color w:val="auto"/>
          <w:sz w:val="21"/>
          <w:szCs w:val="21"/>
          <w:highlight w:val="none"/>
        </w:rPr>
        <w:t>中标</w:t>
      </w:r>
      <w:r>
        <w:rPr>
          <w:rFonts w:hint="eastAsia" w:ascii="宋体" w:cs="宋体"/>
          <w:b w:val="0"/>
          <w:bCs w:val="0"/>
          <w:color w:val="auto"/>
          <w:sz w:val="21"/>
          <w:szCs w:val="21"/>
          <w:highlight w:val="none"/>
        </w:rPr>
        <w:t>候选人</w:t>
      </w:r>
      <w:r>
        <w:rPr>
          <w:rFonts w:hint="eastAsia" w:ascii="宋体" w:cs="宋体"/>
          <w:b w:val="0"/>
          <w:color w:val="auto"/>
          <w:sz w:val="21"/>
          <w:szCs w:val="21"/>
          <w:highlight w:val="none"/>
        </w:rPr>
        <w:t>。得分相同的，按投标报价由低到高顺序排列。得分且投标报价相同的并列，则抽签决定。</w:t>
      </w:r>
    </w:p>
    <w:p>
      <w:pPr>
        <w:spacing w:line="360" w:lineRule="auto"/>
        <w:rPr>
          <w:rFonts w:ascii="宋体" w:hAnsi="宋体" w:cs="宋体"/>
          <w:highlight w:val="none"/>
        </w:rPr>
      </w:pPr>
      <w:r>
        <w:rPr>
          <w:rFonts w:hint="eastAsia" w:ascii="宋体" w:hAnsi="宋体" w:cs="宋体"/>
          <w:highlight w:val="none"/>
        </w:rPr>
        <w:t>（二）投标文件的澄清</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1、对于投标文件中含义不明确、同类问题表述不一致或者有明显文字和计算错误的内容，评标委员会应当以书面形式要求供应商作出必要的澄清、说明或者补正。</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line="360" w:lineRule="auto"/>
        <w:rPr>
          <w:rFonts w:ascii="宋体" w:hAnsi="宋体" w:cs="宋体"/>
          <w:highlight w:val="none"/>
        </w:rPr>
      </w:pPr>
      <w:r>
        <w:rPr>
          <w:rFonts w:hint="eastAsia" w:ascii="宋体" w:hAnsi="宋体" w:cs="宋体"/>
          <w:highlight w:val="none"/>
        </w:rPr>
        <w:t>（三）投标文件错误修正原则</w:t>
      </w:r>
    </w:p>
    <w:p>
      <w:pPr>
        <w:spacing w:line="360" w:lineRule="auto"/>
        <w:rPr>
          <w:rFonts w:ascii="宋体" w:hAnsi="宋体" w:cs="宋体"/>
          <w:highlight w:val="none"/>
        </w:rPr>
      </w:pPr>
      <w:r>
        <w:rPr>
          <w:rFonts w:hint="eastAsia" w:ascii="宋体" w:hAnsi="宋体" w:cs="宋体"/>
          <w:highlight w:val="none"/>
        </w:rPr>
        <w:t>投标文件如果出现计算或表达上的错误，修正错误的原则如下：</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1、投标文件中开标一览表（报价表）内容与投标文件中相应内容不一致的，以开标一览表（报价表）为准；</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2、政采云平台填报的开标一览表中的价格与上传的报价文件中开标一览表的报价不一致的，以上传的报价文件为准；</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3、大写金额和小写金额不一致的，以大写金额为准；</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4、单价金额小数点或者百分比有明显错位的，以开标一览表的总价为准，并修改单价；</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5、总价金额与按单价汇总金额不一致的，以单价金额计算结果为准。</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同时出现两种以上不一致的，按照前款规定的顺序修正。修正后的报价按照投标文件澄清第二款的规定经供应商确认后产生约束力，供应商不确认的，其投标无效。</w:t>
      </w:r>
    </w:p>
    <w:p>
      <w:pPr>
        <w:widowControl/>
        <w:spacing w:line="360" w:lineRule="auto"/>
        <w:jc w:val="left"/>
        <w:rPr>
          <w:rFonts w:ascii="宋体" w:hAnsi="宋体" w:cs="宋体"/>
          <w:b/>
          <w:bCs/>
          <w:highlight w:val="none"/>
        </w:rPr>
      </w:pPr>
      <w:r>
        <w:rPr>
          <w:rFonts w:hint="eastAsia" w:ascii="宋体" w:hAnsi="宋体" w:cs="宋体"/>
          <w:b/>
          <w:bCs/>
          <w:highlight w:val="none"/>
        </w:rPr>
        <w:t>四、评标程序</w:t>
      </w:r>
    </w:p>
    <w:p>
      <w:pPr>
        <w:spacing w:line="360" w:lineRule="auto"/>
        <w:ind w:firstLine="422" w:firstLineChars="200"/>
        <w:rPr>
          <w:rFonts w:ascii="宋体" w:hAnsi="宋体" w:cs="宋体"/>
          <w:b/>
          <w:highlight w:val="none"/>
        </w:rPr>
      </w:pPr>
      <w:r>
        <w:rPr>
          <w:rFonts w:hint="eastAsia" w:ascii="宋体" w:hAnsi="宋体" w:cs="宋体"/>
          <w:b/>
          <w:highlight w:val="none"/>
        </w:rPr>
        <w:t>（一）资格条件审查</w:t>
      </w:r>
    </w:p>
    <w:p>
      <w:pPr>
        <w:spacing w:line="360" w:lineRule="auto"/>
        <w:ind w:firstLine="522" w:firstLineChars="249"/>
        <w:rPr>
          <w:rFonts w:ascii="宋体" w:hAnsi="宋体" w:cs="宋体"/>
          <w:highlight w:val="none"/>
        </w:rPr>
      </w:pPr>
      <w:r>
        <w:rPr>
          <w:rFonts w:hint="eastAsia" w:ascii="宋体" w:hAnsi="宋体" w:cs="宋体"/>
          <w:highlight w:val="none"/>
        </w:rPr>
        <w:t>由采购人或采购代理机构对供应商的资格进行审查。</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highlight w:val="none"/>
              </w:rPr>
            </w:pPr>
            <w:r>
              <w:rPr>
                <w:rFonts w:hint="eastAsia" w:ascii="宋体" w:hAnsi="宋体" w:cs="宋体"/>
                <w:b/>
                <w:highlight w:val="none"/>
              </w:rPr>
              <w:t>审查类别</w:t>
            </w:r>
          </w:p>
        </w:tc>
        <w:tc>
          <w:tcPr>
            <w:tcW w:w="67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highlight w:val="none"/>
              </w:rPr>
            </w:pPr>
            <w:r>
              <w:rPr>
                <w:rFonts w:hint="eastAsia" w:ascii="宋体" w:hAnsi="宋体" w:cs="宋体"/>
                <w:b/>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资格条件审查</w:t>
            </w:r>
          </w:p>
        </w:tc>
        <w:tc>
          <w:tcPr>
            <w:tcW w:w="6794" w:type="dxa"/>
            <w:tcBorders>
              <w:top w:val="single" w:color="auto" w:sz="4" w:space="0"/>
              <w:left w:val="single" w:color="auto" w:sz="4" w:space="0"/>
              <w:bottom w:val="single" w:color="auto" w:sz="4" w:space="0"/>
              <w:right w:val="single" w:color="auto" w:sz="4" w:space="0"/>
            </w:tcBorders>
          </w:tcPr>
          <w:p>
            <w:pPr>
              <w:widowControl/>
              <w:numPr>
                <w:ilvl w:val="0"/>
                <w:numId w:val="14"/>
              </w:numPr>
              <w:spacing w:line="360" w:lineRule="auto"/>
              <w:jc w:val="left"/>
              <w:rPr>
                <w:rFonts w:ascii="宋体" w:hAnsi="宋体" w:cs="宋体"/>
                <w:highlight w:val="none"/>
              </w:rPr>
            </w:pPr>
            <w:r>
              <w:rPr>
                <w:rFonts w:hint="eastAsia" w:ascii="宋体" w:hAnsi="宋体" w:cs="宋体"/>
                <w:highlight w:val="none"/>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794" w:type="dxa"/>
            <w:tcBorders>
              <w:top w:val="single" w:color="auto" w:sz="4" w:space="0"/>
              <w:left w:val="single" w:color="auto" w:sz="4" w:space="0"/>
              <w:bottom w:val="single" w:color="auto" w:sz="4" w:space="0"/>
              <w:right w:val="single" w:color="auto" w:sz="4" w:space="0"/>
            </w:tcBorders>
          </w:tcPr>
          <w:p>
            <w:pPr>
              <w:widowControl/>
              <w:numPr>
                <w:ilvl w:val="0"/>
                <w:numId w:val="14"/>
              </w:numPr>
              <w:spacing w:line="360" w:lineRule="auto"/>
              <w:jc w:val="left"/>
              <w:rPr>
                <w:rFonts w:ascii="宋体" w:hAnsi="宋体" w:cs="宋体"/>
                <w:highlight w:val="none"/>
              </w:rPr>
            </w:pPr>
            <w:r>
              <w:rPr>
                <w:rFonts w:hint="eastAsia" w:ascii="宋体" w:hAnsi="宋体" w:cs="宋体"/>
                <w:highlight w:val="none"/>
              </w:rPr>
              <w:t>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highlight w:val="none"/>
                <w:lang w:eastAsia="zh-CN"/>
              </w:rPr>
            </w:pPr>
            <w:r>
              <w:rPr>
                <w:rFonts w:hint="eastAsia" w:ascii="宋体" w:hAnsi="宋体" w:cs="宋体"/>
                <w:highlight w:val="none"/>
              </w:rPr>
              <w:t>（三）落实政府采购政策需满足的资格要求：无</w:t>
            </w:r>
            <w:r>
              <w:rPr>
                <w:rFonts w:hint="eastAsia" w:ascii="宋体" w:hAnsi="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cs="宋体"/>
                <w:kern w:val="0"/>
                <w:highlight w:val="none"/>
              </w:rPr>
            </w:pPr>
            <w:r>
              <w:rPr>
                <w:rFonts w:hint="eastAsia" w:ascii="宋体" w:hAnsi="宋体" w:cs="宋体"/>
                <w:highlight w:val="none"/>
              </w:rPr>
              <w:t>（四）</w:t>
            </w:r>
            <w:r>
              <w:rPr>
                <w:rFonts w:hint="eastAsia" w:ascii="宋体" w:hAnsi="宋体" w:cs="宋体"/>
                <w:kern w:val="0"/>
                <w:highlight w:val="none"/>
                <w:lang w:val="en-US" w:eastAsia="zh-CN"/>
              </w:rPr>
              <w:t>标项一：</w:t>
            </w:r>
            <w:r>
              <w:rPr>
                <w:rFonts w:hint="eastAsia" w:ascii="宋体" w:hAnsi="宋体" w:cs="宋体"/>
                <w:kern w:val="0"/>
                <w:highlight w:val="none"/>
              </w:rPr>
              <w:t>3.</w:t>
            </w:r>
            <w:r>
              <w:rPr>
                <w:rFonts w:hint="eastAsia" w:ascii="宋体" w:hAnsi="宋体" w:cs="宋体"/>
                <w:highlight w:val="none"/>
              </w:rPr>
              <w:t>1</w:t>
            </w:r>
            <w:r>
              <w:rPr>
                <w:rFonts w:hint="eastAsia" w:ascii="宋体" w:hAnsi="宋体" w:cs="宋体"/>
                <w:kern w:val="0"/>
                <w:highlight w:val="none"/>
              </w:rPr>
              <w:t xml:space="preserve">投标人为医疗器械生产企业的：第三类医疗器械生产企业提供《医疗器械生产许可证》复印件。 </w:t>
            </w:r>
          </w:p>
          <w:p>
            <w:pPr>
              <w:spacing w:line="360" w:lineRule="auto"/>
              <w:ind w:firstLine="420" w:firstLineChars="200"/>
              <w:rPr>
                <w:rFonts w:hint="eastAsia" w:ascii="宋体" w:hAnsi="宋体" w:cs="宋体"/>
                <w:kern w:val="0"/>
                <w:highlight w:val="none"/>
              </w:rPr>
            </w:pPr>
            <w:r>
              <w:rPr>
                <w:rFonts w:hint="eastAsia" w:ascii="宋体" w:hAnsi="宋体" w:cs="宋体"/>
                <w:kern w:val="0"/>
                <w:highlight w:val="none"/>
              </w:rPr>
              <w:t>3.2投标人为医疗器械经营企业的：第三类医疗器械经营企业提供《医疗器械经营许可证》复印件。</w:t>
            </w:r>
          </w:p>
          <w:p>
            <w:pPr>
              <w:spacing w:line="360" w:lineRule="auto"/>
              <w:ind w:firstLine="420" w:firstLineChars="200"/>
              <w:rPr>
                <w:rFonts w:ascii="宋体" w:hAnsi="宋体" w:cs="宋体"/>
                <w:kern w:val="0"/>
                <w:highlight w:val="none"/>
              </w:rPr>
            </w:pPr>
            <w:r>
              <w:rPr>
                <w:rFonts w:hint="eastAsia" w:ascii="宋体" w:hAnsi="宋体" w:cs="宋体"/>
                <w:kern w:val="0"/>
                <w:highlight w:val="none"/>
                <w:lang w:val="en-US" w:eastAsia="zh-CN"/>
              </w:rPr>
              <w:t>标项二：</w:t>
            </w:r>
            <w:r>
              <w:rPr>
                <w:rFonts w:hint="eastAsia" w:ascii="宋体" w:hAnsi="宋体" w:cs="宋体"/>
                <w:kern w:val="0"/>
                <w:highlight w:val="none"/>
              </w:rPr>
              <w:t>3.</w:t>
            </w:r>
            <w:r>
              <w:rPr>
                <w:rFonts w:hint="eastAsia" w:ascii="宋体" w:hAnsi="宋体" w:cs="宋体"/>
                <w:highlight w:val="none"/>
              </w:rPr>
              <w:t>1</w:t>
            </w:r>
            <w:r>
              <w:rPr>
                <w:rFonts w:hint="eastAsia" w:ascii="宋体" w:hAnsi="宋体" w:cs="宋体"/>
                <w:kern w:val="0"/>
                <w:highlight w:val="none"/>
              </w:rPr>
              <w:t xml:space="preserve">投标人为医疗器械生产企业的：第二类医疗器械生产企业提供《医疗器械生产许可证》复印件。 </w:t>
            </w:r>
          </w:p>
          <w:p>
            <w:pPr>
              <w:spacing w:line="360" w:lineRule="auto"/>
              <w:ind w:firstLine="420" w:firstLineChars="200"/>
              <w:rPr>
                <w:rFonts w:hint="eastAsia" w:ascii="宋体" w:hAnsi="宋体" w:cs="宋体"/>
                <w:kern w:val="0"/>
                <w:highlight w:val="none"/>
              </w:rPr>
            </w:pPr>
            <w:r>
              <w:rPr>
                <w:rFonts w:hint="eastAsia" w:ascii="宋体" w:hAnsi="宋体" w:cs="宋体"/>
                <w:kern w:val="0"/>
                <w:highlight w:val="none"/>
              </w:rPr>
              <w:t>3.2投标人为医疗器械经营企业的：提供第二类医疗器械经营备案凭证复印件。</w:t>
            </w:r>
          </w:p>
          <w:p>
            <w:pPr>
              <w:spacing w:line="360" w:lineRule="auto"/>
              <w:ind w:firstLine="420" w:firstLineChars="200"/>
              <w:rPr>
                <w:rFonts w:ascii="宋体" w:hAnsi="宋体" w:cs="宋体"/>
                <w:highlight w:val="none"/>
              </w:rPr>
            </w:pPr>
            <w:r>
              <w:rPr>
                <w:rFonts w:hint="eastAsia" w:ascii="宋体" w:hAnsi="宋体" w:cs="宋体"/>
                <w:kern w:val="0"/>
                <w:highlight w:val="none"/>
                <w:lang w:val="en-US" w:eastAsia="zh-CN"/>
              </w:rPr>
              <w:t>标项三：无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highlight w:val="none"/>
              </w:rPr>
            </w:pPr>
            <w:r>
              <w:rPr>
                <w:rFonts w:hint="eastAsia" w:ascii="宋体" w:hAnsi="宋体" w:cs="宋体"/>
                <w:highlight w:val="none"/>
              </w:rPr>
              <w:t>（五）本项目接受联合体投标。</w:t>
            </w:r>
          </w:p>
        </w:tc>
      </w:tr>
    </w:tbl>
    <w:p>
      <w:pPr>
        <w:spacing w:line="360" w:lineRule="auto"/>
        <w:ind w:firstLine="422" w:firstLineChars="200"/>
        <w:rPr>
          <w:rFonts w:ascii="宋体" w:hAnsi="宋体" w:cs="宋体"/>
          <w:b/>
          <w:highlight w:val="none"/>
        </w:rPr>
      </w:pPr>
      <w:r>
        <w:rPr>
          <w:rFonts w:hint="eastAsia" w:ascii="宋体" w:hAnsi="宋体" w:cs="宋体"/>
          <w:b/>
          <w:highlight w:val="none"/>
        </w:rPr>
        <w:t>（二）符合性审查</w:t>
      </w:r>
    </w:p>
    <w:p>
      <w:pPr>
        <w:spacing w:line="360" w:lineRule="auto"/>
        <w:ind w:firstLine="420" w:firstLineChars="200"/>
        <w:rPr>
          <w:rFonts w:ascii="宋体" w:hAnsi="宋体" w:cs="宋体"/>
          <w:highlight w:val="none"/>
        </w:rPr>
      </w:pPr>
      <w:r>
        <w:rPr>
          <w:rFonts w:hint="eastAsia" w:ascii="宋体" w:hAnsi="宋体" w:cs="宋体"/>
          <w:highlight w:val="none"/>
        </w:rPr>
        <w:t>评标委员会应当对符合资格的供应商的投标文件进行符合性审查，以确定其是否满足采购文件的实质性要求。</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
                <w:highlight w:val="none"/>
              </w:rPr>
            </w:pPr>
            <w:r>
              <w:rPr>
                <w:rFonts w:hint="eastAsia" w:asciiTheme="minorEastAsia" w:hAnsiTheme="minorEastAsia" w:eastAsiaTheme="minorEastAsia"/>
                <w:b/>
                <w:highlight w:val="none"/>
              </w:rPr>
              <w:t>审查类别</w:t>
            </w:r>
          </w:p>
        </w:tc>
        <w:tc>
          <w:tcPr>
            <w:tcW w:w="65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
                <w:highlight w:val="none"/>
              </w:rPr>
            </w:pPr>
            <w:r>
              <w:rPr>
                <w:rFonts w:hint="eastAsia" w:asciiTheme="minorEastAsia" w:hAnsiTheme="minorEastAsia" w:eastAsiaTheme="minorEastAsia"/>
                <w:b/>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符合性审查</w:t>
            </w:r>
          </w:p>
          <w:p>
            <w:pPr>
              <w:spacing w:line="36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（商务技术文件）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（二）投标文件有法定代表人签署本人姓名（或印盖本人姓名章），或签署人提供有效的法定代表人授权委托书且授权委托书填写项目齐全的；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三</w:t>
            </w:r>
            <w:r>
              <w:rPr>
                <w:rFonts w:hint="eastAsia" w:asciiTheme="minorEastAsia" w:hAnsiTheme="minorEastAsia" w:eastAsiaTheme="minorEastAsia"/>
                <w:highlight w:val="none"/>
              </w:rPr>
              <w:t>）投标文件标明的响应或偏离与事实相符且无虚假投标的；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四</w:t>
            </w:r>
            <w:r>
              <w:rPr>
                <w:rFonts w:hint="eastAsia" w:asciiTheme="minorEastAsia" w:hAnsiTheme="minorEastAsia" w:eastAsiaTheme="minorEastAsia"/>
                <w:highlight w:val="none"/>
              </w:rPr>
              <w:t>）投标文件的实质性内容使用中文表述且意思表述明确，前后无矛盾且使用计量单位符合采购文件要求的；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五</w:t>
            </w:r>
            <w:r>
              <w:rPr>
                <w:rFonts w:hint="eastAsia" w:asciiTheme="minorEastAsia" w:hAnsiTheme="minorEastAsia" w:eastAsiaTheme="minorEastAsia"/>
                <w:highlight w:val="none"/>
              </w:rPr>
              <w:t>）带“★”的条款满足采购文件要求、已实质性响应采购文件要求且投标文件无采购人不能接受的附加条件的；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六</w:t>
            </w:r>
            <w:r>
              <w:rPr>
                <w:rFonts w:hint="eastAsia" w:asciiTheme="minorEastAsia" w:hAnsiTheme="minorEastAsia" w:eastAsiaTheme="minorEastAsia"/>
                <w:highlight w:val="none"/>
              </w:rPr>
              <w:t>）投标技术方案明确，不存在一个或一个以上备选（替代）投标方案的；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七</w:t>
            </w:r>
            <w:r>
              <w:rPr>
                <w:rFonts w:hint="eastAsia" w:asciiTheme="minorEastAsia" w:hAnsiTheme="minorEastAsia" w:eastAsiaTheme="minorEastAsia"/>
                <w:highlight w:val="none"/>
              </w:rPr>
              <w:t>）不存在法律、法规和采购文件规定的其他无效情形；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八</w:t>
            </w:r>
            <w:r>
              <w:rPr>
                <w:rFonts w:hint="eastAsia" w:asciiTheme="minorEastAsia" w:hAnsiTheme="minorEastAsia" w:eastAsiaTheme="minorEastAsia"/>
                <w:highlight w:val="none"/>
              </w:rPr>
              <w:t>）不存在投标文件的有效期不满足采购文件要求情形；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符合性审查</w:t>
            </w:r>
          </w:p>
          <w:p>
            <w:pPr>
              <w:spacing w:line="360" w:lineRule="auto"/>
              <w:ind w:firstLine="210" w:firstLineChars="100"/>
              <w:jc w:val="center"/>
              <w:rPr>
                <w:rFonts w:asciiTheme="minorEastAsia" w:hAnsiTheme="minorEastAsia" w:eastAsiaTheme="minorEastAsia"/>
                <w:highlight w:val="none"/>
              </w:rPr>
            </w:pPr>
            <w:r>
              <w:rPr>
                <w:rFonts w:hint="eastAsia" w:asciiTheme="minorEastAsia" w:hAnsiTheme="minorEastAsia" w:eastAsiaTheme="minorEastAsia"/>
                <w:highlight w:val="none"/>
              </w:rPr>
              <w:t>（报价文件）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二</w:t>
            </w:r>
            <w:r>
              <w:rPr>
                <w:rFonts w:hint="eastAsia" w:asciiTheme="minorEastAsia" w:hAnsiTheme="minorEastAsia" w:eastAsiaTheme="minorEastAsia"/>
                <w:highlight w:val="none"/>
              </w:rPr>
              <w:t>）采用人民币报价或者按照采购文件标明的币种报价的；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三</w:t>
            </w:r>
            <w:r>
              <w:rPr>
                <w:rFonts w:hint="eastAsia" w:asciiTheme="minorEastAsia" w:hAnsiTheme="minorEastAsia" w:eastAsiaTheme="minorEastAsia"/>
                <w:highlight w:val="none"/>
              </w:rPr>
              <w:t>）不存在报价超出最高限价，或者超出采购预算金额，采购人不能支付的情形。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四</w:t>
            </w:r>
            <w:r>
              <w:rPr>
                <w:rFonts w:hint="eastAsia" w:asciiTheme="minorEastAsia" w:hAnsiTheme="minorEastAsia" w:eastAsiaTheme="minorEastAsia"/>
                <w:highlight w:val="none"/>
              </w:rPr>
              <w:t>）不存在投标报价具有选择性的情形；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五</w:t>
            </w:r>
            <w:r>
              <w:rPr>
                <w:rFonts w:hint="eastAsia" w:asciiTheme="minorEastAsia" w:hAnsiTheme="minorEastAsia" w:eastAsiaTheme="minorEastAsia"/>
                <w:highlight w:val="none"/>
              </w:rPr>
              <w:t>）投标报价中未出现重大缺项、漏项；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六</w:t>
            </w:r>
            <w:r>
              <w:rPr>
                <w:rFonts w:hint="eastAsia" w:asciiTheme="minorEastAsia" w:hAnsiTheme="minorEastAsia" w:eastAsiaTheme="minorEastAsia"/>
                <w:highlight w:val="none"/>
              </w:rPr>
              <w:t>）不存在评标委员会认为供应商的报价明显低于其他通过符合性审查供应商的报价，有可能影响产品质量或者不能诚信履约的且不能在评标现场合理时间内提供相关证明材料说明其报价的合理性的情形；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七</w:t>
            </w:r>
            <w:r>
              <w:rPr>
                <w:rFonts w:hint="eastAsia" w:asciiTheme="minorEastAsia" w:hAnsiTheme="minorEastAsia" w:eastAsiaTheme="minorEastAsia"/>
                <w:highlight w:val="none"/>
              </w:rPr>
              <w:t>）投标文件（报价文件）内容与投标文件（商务技术文件）内容不存在重大差异的；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八</w:t>
            </w:r>
            <w:r>
              <w:rPr>
                <w:rFonts w:hint="eastAsia" w:asciiTheme="minorEastAsia" w:hAnsiTheme="minorEastAsia" w:eastAsiaTheme="minorEastAsia"/>
                <w:highlight w:val="none"/>
              </w:rPr>
              <w:t>）不存在法律、法规和采购文件规定的其他无效情形；</w:t>
            </w:r>
          </w:p>
        </w:tc>
      </w:tr>
    </w:tbl>
    <w:p>
      <w:pPr>
        <w:spacing w:line="360" w:lineRule="auto"/>
        <w:ind w:firstLine="422" w:firstLineChars="200"/>
        <w:rPr>
          <w:rFonts w:ascii="宋体" w:hAnsi="宋体" w:cs="宋体"/>
          <w:b/>
          <w:highlight w:val="none"/>
        </w:rPr>
      </w:pPr>
      <w:r>
        <w:rPr>
          <w:rFonts w:hint="eastAsia" w:ascii="宋体" w:hAnsi="宋体" w:cs="宋体"/>
          <w:b/>
          <w:highlight w:val="none"/>
        </w:rPr>
        <w:t>（三）投标无效的情形</w:t>
      </w:r>
    </w:p>
    <w:p>
      <w:pPr>
        <w:spacing w:line="360" w:lineRule="auto"/>
        <w:ind w:firstLine="420" w:firstLineChars="200"/>
        <w:rPr>
          <w:rFonts w:ascii="宋体" w:hAnsi="宋体" w:cs="宋体"/>
          <w:highlight w:val="none"/>
        </w:rPr>
      </w:pPr>
      <w:r>
        <w:rPr>
          <w:rFonts w:hint="eastAsia" w:ascii="宋体" w:hAnsi="宋体" w:cs="宋体"/>
          <w:highlight w:val="none"/>
        </w:rPr>
        <w:t>没有响应采购文件实质性要求的投标将被视为无效投标。供应商不得通过修正或撤消不合要求的偏离或保留从而使其投标成为实质上响应的投标。</w:t>
      </w:r>
    </w:p>
    <w:p>
      <w:pPr>
        <w:widowControl/>
        <w:numPr>
          <w:ilvl w:val="0"/>
          <w:numId w:val="15"/>
        </w:numPr>
        <w:spacing w:line="360" w:lineRule="auto"/>
        <w:jc w:val="left"/>
        <w:rPr>
          <w:rFonts w:ascii="宋体" w:hAnsi="宋体" w:cs="宋体"/>
          <w:b/>
          <w:bCs/>
          <w:highlight w:val="none"/>
        </w:rPr>
      </w:pPr>
      <w:r>
        <w:rPr>
          <w:rFonts w:hint="eastAsia" w:ascii="宋体" w:hAnsi="宋体" w:cs="宋体"/>
          <w:b/>
          <w:bCs/>
          <w:highlight w:val="none"/>
        </w:rPr>
        <w:t>在资格审查时，如发现下列情形之一的，将被视为无效投标文件：</w:t>
      </w:r>
    </w:p>
    <w:p>
      <w:pPr>
        <w:spacing w:line="360" w:lineRule="auto"/>
        <w:ind w:firstLine="420" w:firstLineChars="200"/>
        <w:rPr>
          <w:rFonts w:ascii="宋体" w:hAnsi="宋体" w:cs="宋体"/>
          <w:highlight w:val="none"/>
        </w:rPr>
      </w:pPr>
      <w:r>
        <w:rPr>
          <w:rFonts w:hint="eastAsia" w:ascii="宋体" w:hAnsi="宋体" w:cs="宋体"/>
          <w:highlight w:val="none"/>
        </w:rPr>
        <w:t>资格证明文件不全的或者不符合采购文件标明的资格要求的或者未按采购文件规定要求签署、盖章；；</w:t>
      </w:r>
    </w:p>
    <w:p>
      <w:pPr>
        <w:spacing w:line="360" w:lineRule="auto"/>
        <w:rPr>
          <w:rFonts w:ascii="宋体" w:hAnsi="宋体" w:cs="宋体"/>
          <w:b/>
          <w:bCs/>
          <w:highlight w:val="none"/>
        </w:rPr>
      </w:pPr>
      <w:r>
        <w:rPr>
          <w:rFonts w:hint="eastAsia" w:ascii="宋体" w:hAnsi="宋体" w:cs="宋体"/>
          <w:b/>
          <w:bCs/>
          <w:highlight w:val="none"/>
        </w:rPr>
        <w:t>B、在符合性审查（商务技术文件）时，如发现下列情形之一的，将被视为无效投标文件：</w:t>
      </w:r>
    </w:p>
    <w:p>
      <w:pPr>
        <w:spacing w:line="360" w:lineRule="auto"/>
        <w:ind w:firstLine="420" w:firstLineChars="200"/>
        <w:rPr>
          <w:rFonts w:ascii="宋体" w:hAnsi="宋体" w:cs="宋体"/>
          <w:highlight w:val="none"/>
        </w:rPr>
      </w:pPr>
      <w:r>
        <w:rPr>
          <w:rFonts w:hint="eastAsia" w:ascii="宋体" w:hAnsi="宋体" w:cs="宋体"/>
          <w:highlight w:val="none"/>
        </w:rPr>
        <w:t>1、未按照采购文件规定要求签署或盖章；</w:t>
      </w:r>
    </w:p>
    <w:p>
      <w:pPr>
        <w:spacing w:line="360" w:lineRule="auto"/>
        <w:ind w:firstLine="420" w:firstLineChars="200"/>
        <w:rPr>
          <w:rFonts w:ascii="宋体" w:hAnsi="宋体" w:cs="宋体"/>
          <w:highlight w:val="none"/>
        </w:rPr>
      </w:pPr>
      <w:r>
        <w:rPr>
          <w:rFonts w:hint="eastAsia" w:ascii="宋体" w:hAnsi="宋体" w:cs="宋体"/>
          <w:highlight w:val="none"/>
        </w:rPr>
        <w:t xml:space="preserve">2、投标文件无法定代表人签署本人姓名（或印盖本人姓名章），或签署人未提供有效的法定代表人授权委托书或授权委托书填写项目不齐全的； </w:t>
      </w:r>
    </w:p>
    <w:p>
      <w:pPr>
        <w:spacing w:line="360" w:lineRule="auto"/>
        <w:ind w:firstLine="420" w:firstLineChars="200"/>
        <w:rPr>
          <w:rFonts w:ascii="宋体" w:hAnsi="宋体" w:cs="宋体"/>
          <w:highlight w:val="none"/>
        </w:rPr>
      </w:pPr>
      <w:r>
        <w:rPr>
          <w:rFonts w:hint="eastAsia" w:ascii="宋体" w:hAnsi="宋体" w:cs="宋体"/>
          <w:highlight w:val="none"/>
          <w:lang w:val="en-US" w:eastAsia="zh-CN"/>
        </w:rPr>
        <w:t>3</w:t>
      </w:r>
      <w:r>
        <w:rPr>
          <w:rFonts w:hint="eastAsia" w:ascii="宋体" w:hAnsi="宋体" w:cs="宋体"/>
          <w:highlight w:val="none"/>
        </w:rPr>
        <w:t>、投标文件标明的响应或偏离与事实不符或虚假投标的；</w:t>
      </w:r>
    </w:p>
    <w:p>
      <w:pPr>
        <w:spacing w:line="360" w:lineRule="auto"/>
        <w:ind w:firstLine="420" w:firstLineChars="200"/>
        <w:rPr>
          <w:rFonts w:ascii="宋体" w:hAnsi="宋体" w:cs="宋体"/>
          <w:highlight w:val="none"/>
        </w:rPr>
      </w:pPr>
      <w:r>
        <w:rPr>
          <w:rFonts w:hint="eastAsia" w:ascii="宋体" w:hAnsi="宋体" w:cs="宋体"/>
          <w:highlight w:val="none"/>
          <w:lang w:val="en-US" w:eastAsia="zh-CN"/>
        </w:rPr>
        <w:t>4</w:t>
      </w:r>
      <w:r>
        <w:rPr>
          <w:rFonts w:hint="eastAsia" w:ascii="宋体" w:hAnsi="宋体" w:cs="宋体"/>
          <w:highlight w:val="none"/>
        </w:rPr>
        <w:t>、投标文件的实质性内容未使用中文表述、意思表述不明确、前后矛盾或者使用计量单位不符合采购文件要求的（经评标委员会认定并允许其当场更正的笔误除外）；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ascii="宋体" w:hAnsi="宋体" w:cs="宋体"/>
          <w:highlight w:val="none"/>
        </w:rPr>
      </w:pPr>
      <w:r>
        <w:rPr>
          <w:rFonts w:hint="eastAsia" w:ascii="宋体" w:hAnsi="宋体" w:cs="宋体"/>
          <w:highlight w:val="none"/>
          <w:lang w:val="en-US" w:eastAsia="zh-CN"/>
        </w:rPr>
        <w:t>5</w:t>
      </w:r>
      <w:r>
        <w:rPr>
          <w:rFonts w:hint="eastAsia" w:ascii="宋体" w:hAnsi="宋体" w:cs="宋体"/>
          <w:highlight w:val="none"/>
        </w:rPr>
        <w:t>、带“★”的条款不能满足采购文件要求、未实质性响应采购文件要求或者投标文件有采购人不能接受的附加条件的；</w:t>
      </w:r>
    </w:p>
    <w:p>
      <w:pPr>
        <w:spacing w:line="360" w:lineRule="auto"/>
        <w:ind w:firstLine="420" w:firstLineChars="200"/>
        <w:rPr>
          <w:rFonts w:ascii="宋体" w:hAnsi="宋体" w:cs="宋体"/>
          <w:highlight w:val="none"/>
        </w:rPr>
      </w:pPr>
      <w:r>
        <w:rPr>
          <w:rFonts w:hint="eastAsia" w:ascii="宋体" w:hAnsi="宋体" w:cs="宋体"/>
          <w:highlight w:val="none"/>
          <w:lang w:val="en-US" w:eastAsia="zh-CN"/>
        </w:rPr>
        <w:t>6</w:t>
      </w:r>
      <w:r>
        <w:rPr>
          <w:rFonts w:hint="eastAsia" w:ascii="宋体" w:hAnsi="宋体" w:cs="宋体"/>
          <w:highlight w:val="none"/>
        </w:rPr>
        <w:t>、投标技术方案不明确，存在一个或一个以上备选（替代）投标方案的；</w:t>
      </w:r>
    </w:p>
    <w:p>
      <w:pPr>
        <w:spacing w:line="360" w:lineRule="auto"/>
        <w:ind w:firstLine="420"/>
        <w:rPr>
          <w:rFonts w:ascii="宋体" w:hAnsi="宋体" w:cs="宋体"/>
          <w:highlight w:val="none"/>
        </w:rPr>
      </w:pPr>
      <w:r>
        <w:rPr>
          <w:rFonts w:hint="eastAsia" w:ascii="宋体" w:hAnsi="宋体" w:cs="宋体"/>
          <w:highlight w:val="none"/>
          <w:lang w:val="en-US" w:eastAsia="zh-CN"/>
        </w:rPr>
        <w:t>7</w:t>
      </w:r>
      <w:r>
        <w:rPr>
          <w:rFonts w:hint="eastAsia" w:ascii="宋体" w:hAnsi="宋体" w:cs="宋体"/>
          <w:highlight w:val="none"/>
        </w:rPr>
        <w:t>、法律、法规和采购文件规定的其他无效情形；</w:t>
      </w:r>
    </w:p>
    <w:p>
      <w:pPr>
        <w:spacing w:line="360" w:lineRule="auto"/>
        <w:ind w:firstLine="420"/>
        <w:rPr>
          <w:rFonts w:ascii="宋体" w:hAnsi="宋体" w:cs="宋体"/>
          <w:highlight w:val="none"/>
        </w:rPr>
      </w:pPr>
      <w:r>
        <w:rPr>
          <w:rFonts w:hint="eastAsia" w:ascii="宋体" w:hAnsi="宋体" w:cs="宋体"/>
          <w:highlight w:val="none"/>
          <w:lang w:val="en-US" w:eastAsia="zh-CN"/>
        </w:rPr>
        <w:t>8</w:t>
      </w:r>
      <w:r>
        <w:rPr>
          <w:rFonts w:hint="eastAsia" w:ascii="宋体" w:hAnsi="宋体" w:cs="宋体"/>
          <w:highlight w:val="none"/>
        </w:rPr>
        <w:t>、投标文件的有效期不满足采购文件要求；</w:t>
      </w:r>
    </w:p>
    <w:p>
      <w:pPr>
        <w:spacing w:line="360" w:lineRule="auto"/>
        <w:rPr>
          <w:rFonts w:ascii="宋体" w:hAnsi="宋体" w:cs="宋体"/>
          <w:b/>
          <w:bCs/>
          <w:kern w:val="0"/>
          <w:highlight w:val="none"/>
        </w:rPr>
      </w:pPr>
      <w:r>
        <w:rPr>
          <w:rFonts w:hint="eastAsia" w:ascii="宋体" w:hAnsi="宋体" w:cs="宋体"/>
          <w:b/>
          <w:bCs/>
          <w:highlight w:val="none"/>
        </w:rPr>
        <w:t>C、在符合性审查（报价文件）时，如发现下列情形之一的，将被视为无效投标文件：</w:t>
      </w:r>
    </w:p>
    <w:p>
      <w:pPr>
        <w:spacing w:line="360" w:lineRule="auto"/>
        <w:ind w:firstLine="420" w:firstLineChars="200"/>
        <w:rPr>
          <w:rFonts w:ascii="宋体" w:hAnsi="宋体" w:cs="宋体"/>
          <w:highlight w:val="none"/>
        </w:rPr>
      </w:pPr>
      <w:r>
        <w:rPr>
          <w:rFonts w:hint="eastAsia" w:ascii="宋体" w:hAnsi="宋体" w:cs="宋体"/>
          <w:highlight w:val="none"/>
        </w:rPr>
        <w:t>1、未按照采购文件规定要求签署或盖章；</w:t>
      </w:r>
    </w:p>
    <w:p>
      <w:pPr>
        <w:spacing w:line="360" w:lineRule="auto"/>
        <w:ind w:firstLine="420" w:firstLineChars="200"/>
        <w:rPr>
          <w:rFonts w:ascii="宋体" w:hAnsi="宋体" w:cs="宋体"/>
          <w:highlight w:val="none"/>
        </w:rPr>
      </w:pPr>
      <w:r>
        <w:rPr>
          <w:rFonts w:hint="eastAsia" w:ascii="宋体" w:hAnsi="宋体" w:cs="宋体"/>
          <w:highlight w:val="none"/>
          <w:lang w:val="en-US" w:eastAsia="zh-CN"/>
        </w:rPr>
        <w:t>2</w:t>
      </w:r>
      <w:r>
        <w:rPr>
          <w:rFonts w:hint="eastAsia" w:ascii="宋体" w:hAnsi="宋体" w:cs="宋体"/>
          <w:highlight w:val="none"/>
        </w:rPr>
        <w:t>、未采用人民币报价或者未按照采购文件标明的币种报价的；</w:t>
      </w:r>
    </w:p>
    <w:p>
      <w:pPr>
        <w:spacing w:line="360" w:lineRule="auto"/>
        <w:ind w:firstLine="420" w:firstLineChars="200"/>
        <w:rPr>
          <w:rFonts w:ascii="宋体" w:hAnsi="宋体" w:cs="宋体"/>
          <w:highlight w:val="none"/>
        </w:rPr>
      </w:pPr>
      <w:r>
        <w:rPr>
          <w:rFonts w:hint="eastAsia" w:ascii="宋体" w:hAnsi="宋体" w:cs="宋体"/>
          <w:highlight w:val="none"/>
          <w:lang w:val="en-US" w:eastAsia="zh-CN"/>
        </w:rPr>
        <w:t>3</w:t>
      </w:r>
      <w:r>
        <w:rPr>
          <w:rFonts w:hint="eastAsia" w:ascii="宋体" w:hAnsi="宋体" w:cs="宋体"/>
          <w:highlight w:val="none"/>
        </w:rPr>
        <w:t>、报价超出最高限价，或者超出采购预算金额，采购人不能支付的；</w:t>
      </w:r>
    </w:p>
    <w:p>
      <w:pPr>
        <w:spacing w:line="360" w:lineRule="auto"/>
        <w:ind w:firstLine="420" w:firstLineChars="200"/>
        <w:rPr>
          <w:rFonts w:ascii="宋体" w:hAnsi="宋体" w:cs="宋体"/>
          <w:highlight w:val="none"/>
        </w:rPr>
      </w:pPr>
      <w:r>
        <w:rPr>
          <w:rFonts w:hint="eastAsia" w:ascii="宋体" w:hAnsi="宋体" w:cs="宋体"/>
          <w:highlight w:val="none"/>
          <w:lang w:val="en-US" w:eastAsia="zh-CN"/>
        </w:rPr>
        <w:t>4</w:t>
      </w:r>
      <w:r>
        <w:rPr>
          <w:rFonts w:hint="eastAsia" w:ascii="宋体" w:hAnsi="宋体" w:cs="宋体"/>
          <w:highlight w:val="none"/>
        </w:rPr>
        <w:t>、投标报价具有选择性的；</w:t>
      </w:r>
    </w:p>
    <w:p>
      <w:pPr>
        <w:spacing w:line="360" w:lineRule="auto"/>
        <w:ind w:firstLine="420" w:firstLineChars="200"/>
        <w:rPr>
          <w:rFonts w:ascii="宋体" w:hAnsi="宋体" w:cs="宋体"/>
          <w:highlight w:val="none"/>
        </w:rPr>
      </w:pPr>
      <w:r>
        <w:rPr>
          <w:rFonts w:hint="eastAsia" w:ascii="宋体" w:hAnsi="宋体" w:cs="宋体"/>
          <w:highlight w:val="none"/>
          <w:lang w:val="en-US" w:eastAsia="zh-CN"/>
        </w:rPr>
        <w:t>5</w:t>
      </w:r>
      <w:r>
        <w:rPr>
          <w:rFonts w:hint="eastAsia" w:ascii="宋体" w:hAnsi="宋体" w:cs="宋体"/>
          <w:highlight w:val="none"/>
        </w:rPr>
        <w:t>、投标报价中出现重大缺项、漏项；</w:t>
      </w:r>
    </w:p>
    <w:p>
      <w:pPr>
        <w:spacing w:line="360" w:lineRule="auto"/>
        <w:ind w:firstLine="420" w:firstLineChars="200"/>
        <w:rPr>
          <w:rFonts w:ascii="宋体" w:hAnsi="宋体" w:cs="宋体"/>
          <w:highlight w:val="none"/>
        </w:rPr>
      </w:pPr>
      <w:r>
        <w:rPr>
          <w:rFonts w:hint="eastAsia" w:ascii="宋体" w:hAnsi="宋体" w:cs="宋体"/>
          <w:highlight w:val="none"/>
          <w:lang w:val="en-US" w:eastAsia="zh-CN"/>
        </w:rPr>
        <w:t>6</w:t>
      </w:r>
      <w:r>
        <w:rPr>
          <w:rFonts w:hint="eastAsia" w:ascii="宋体" w:hAnsi="宋体" w:cs="宋体"/>
          <w:highlight w:val="none"/>
        </w:rPr>
        <w:t>、评标委员会认为供应商的报价明显低于其他通过符合性审查供应商的报价，有可能影响产品质量或者不能诚信履约的，且不能在评标现场合理时间内提供相关证明材料说明其报价的合理性的；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ascii="宋体" w:hAnsi="宋体" w:cs="宋体"/>
          <w:highlight w:val="none"/>
        </w:rPr>
      </w:pPr>
      <w:r>
        <w:rPr>
          <w:rFonts w:hint="eastAsia" w:ascii="宋体" w:hAnsi="宋体" w:cs="宋体"/>
          <w:highlight w:val="none"/>
          <w:lang w:val="en-US" w:eastAsia="zh-CN"/>
        </w:rPr>
        <w:t>7</w:t>
      </w:r>
      <w:r>
        <w:rPr>
          <w:rFonts w:hint="eastAsia" w:ascii="宋体" w:hAnsi="宋体" w:cs="宋体"/>
          <w:highlight w:val="none"/>
        </w:rPr>
        <w:t>、投标文件（报价文件）内容与投标文件（商务技术文件）内容有重大差异的；</w:t>
      </w:r>
    </w:p>
    <w:p>
      <w:pPr>
        <w:spacing w:line="360" w:lineRule="auto"/>
        <w:ind w:firstLine="420" w:firstLineChars="200"/>
        <w:rPr>
          <w:rFonts w:ascii="宋体"/>
          <w:highlight w:val="none"/>
        </w:rPr>
      </w:pPr>
      <w:r>
        <w:rPr>
          <w:rFonts w:hint="eastAsia" w:ascii="宋体" w:hAnsi="宋体" w:cs="宋体"/>
          <w:highlight w:val="none"/>
          <w:lang w:val="en-US" w:eastAsia="zh-CN"/>
        </w:rPr>
        <w:t>8</w:t>
      </w:r>
      <w:r>
        <w:rPr>
          <w:rFonts w:hint="eastAsia" w:ascii="宋体" w:hAnsi="宋体" w:cs="宋体"/>
          <w:highlight w:val="none"/>
        </w:rPr>
        <w:t>、法律、法规和采购文件规定的其他无效情形；</w:t>
      </w:r>
    </w:p>
    <w:p>
      <w:pPr>
        <w:spacing w:line="360" w:lineRule="auto"/>
        <w:rPr>
          <w:rFonts w:hint="eastAsia" w:ascii="宋体" w:hAnsi="宋体"/>
          <w:b/>
          <w:highlight w:val="none"/>
        </w:rPr>
      </w:pPr>
      <w:r>
        <w:rPr>
          <w:rFonts w:hint="eastAsia" w:ascii="宋体" w:hAnsi="宋体"/>
          <w:b/>
          <w:highlight w:val="none"/>
        </w:rPr>
        <w:t>（四）评分标准</w:t>
      </w:r>
    </w:p>
    <w:p>
      <w:pPr>
        <w:spacing w:line="360" w:lineRule="auto"/>
        <w:rPr>
          <w:rFonts w:hint="default" w:eastAsia="宋体"/>
          <w:highlight w:val="none"/>
          <w:lang w:val="en-US" w:eastAsia="zh-CN"/>
        </w:rPr>
      </w:pPr>
      <w:r>
        <w:rPr>
          <w:rFonts w:hint="eastAsia" w:ascii="宋体" w:hAnsi="宋体"/>
          <w:b/>
          <w:highlight w:val="none"/>
          <w:lang w:val="en-US" w:eastAsia="zh-CN"/>
        </w:rPr>
        <w:t>标项一：</w:t>
      </w:r>
    </w:p>
    <w:tbl>
      <w:tblPr>
        <w:tblStyle w:val="48"/>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57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50" w:type="dxa"/>
            <w:vAlign w:val="center"/>
          </w:tcPr>
          <w:p>
            <w:pPr>
              <w:spacing w:before="120" w:beforeLines="50" w:after="120" w:afterLines="50" w:line="240" w:lineRule="auto"/>
              <w:jc w:val="center"/>
              <w:rPr>
                <w:rFonts w:ascii="宋体" w:hAnsi="宋体" w:cs="宋体"/>
                <w:b/>
                <w:bCs/>
                <w:color w:val="auto"/>
                <w:highlight w:val="none"/>
              </w:rPr>
            </w:pPr>
            <w:bookmarkStart w:id="191" w:name="_Toc9029"/>
            <w:bookmarkStart w:id="192" w:name="_Toc26240"/>
            <w:bookmarkStart w:id="193" w:name="_Toc317116871"/>
            <w:r>
              <w:rPr>
                <w:rFonts w:hint="eastAsia" w:ascii="宋体" w:hAnsi="宋体" w:cs="宋体"/>
                <w:b/>
                <w:bCs/>
                <w:color w:val="auto"/>
                <w:highlight w:val="none"/>
              </w:rPr>
              <w:t>序号</w:t>
            </w:r>
          </w:p>
        </w:tc>
        <w:tc>
          <w:tcPr>
            <w:tcW w:w="6573" w:type="dxa"/>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评审内容及标准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（一）</w:t>
            </w:r>
          </w:p>
        </w:tc>
        <w:tc>
          <w:tcPr>
            <w:tcW w:w="6573" w:type="dxa"/>
          </w:tcPr>
          <w:p>
            <w:pPr>
              <w:spacing w:before="120" w:beforeLines="50" w:after="120" w:afterLines="50" w:line="240" w:lineRule="auto"/>
              <w:rPr>
                <w:rFonts w:ascii="宋体" w:hAnsi="宋体" w:cs="宋体"/>
                <w:b/>
                <w:bCs/>
                <w:color w:val="auto"/>
                <w:highlight w:val="none"/>
              </w:rPr>
            </w:pPr>
            <w:r>
              <w:rPr>
                <w:rFonts w:hint="eastAsia" w:ascii="宋体" w:hAnsi="宋体" w:cs="宋体"/>
                <w:b/>
                <w:bCs/>
                <w:color w:val="auto"/>
                <w:highlight w:val="none"/>
              </w:rPr>
              <w:t>商务技术部分部分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color w:val="auto"/>
                <w:highlight w:val="none"/>
                <w:u w:val="single"/>
              </w:rPr>
              <w:t>70</w:t>
            </w:r>
            <w:r>
              <w:rPr>
                <w:rFonts w:hint="eastAsia" w:ascii="宋体" w:hAnsi="宋体" w:cs="宋体"/>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1</w:t>
            </w:r>
          </w:p>
        </w:tc>
        <w:tc>
          <w:tcPr>
            <w:tcW w:w="6573" w:type="dxa"/>
            <w:vAlign w:val="center"/>
          </w:tcPr>
          <w:p>
            <w:pPr>
              <w:spacing w:line="360" w:lineRule="auto"/>
              <w:jc w:val="left"/>
              <w:rPr>
                <w:rFonts w:hint="eastAsia" w:ascii="宋体" w:hAnsi="宋体" w:cs="宋体"/>
                <w:b/>
                <w:bCs/>
                <w:color w:val="auto"/>
                <w:highlight w:val="none"/>
              </w:rPr>
            </w:pPr>
            <w:r>
              <w:rPr>
                <w:rFonts w:hint="eastAsia" w:ascii="宋体" w:hAnsi="宋体" w:cs="宋体"/>
                <w:b/>
                <w:bCs/>
                <w:color w:val="auto"/>
                <w:highlight w:val="none"/>
              </w:rPr>
              <w:t>对招标文件的技术需求（</w:t>
            </w:r>
            <w:r>
              <w:rPr>
                <w:rFonts w:hint="eastAsia" w:ascii="宋体" w:hAnsi="宋体" w:cs="宋体"/>
                <w:b/>
                <w:bCs/>
                <w:color w:val="auto"/>
                <w:highlight w:val="none"/>
                <w:lang w:val="en-US" w:eastAsia="zh-CN"/>
              </w:rPr>
              <w:t>33</w:t>
            </w:r>
            <w:r>
              <w:rPr>
                <w:rFonts w:hint="eastAsia" w:ascii="宋体" w:hAnsi="宋体" w:cs="宋体"/>
                <w:b/>
                <w:bCs/>
                <w:color w:val="auto"/>
                <w:highlight w:val="none"/>
              </w:rPr>
              <w:t>分）：</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1.本项目共有</w:t>
            </w:r>
            <w:r>
              <w:rPr>
                <w:rFonts w:hint="eastAsia" w:ascii="宋体" w:hAnsi="宋体" w:cs="宋体"/>
                <w:b w:val="0"/>
                <w:bCs w:val="0"/>
                <w:color w:val="auto"/>
                <w:highlight w:val="none"/>
                <w:lang w:val="en-US" w:eastAsia="zh-CN"/>
              </w:rPr>
              <w:t>60</w:t>
            </w:r>
            <w:r>
              <w:rPr>
                <w:rFonts w:hint="eastAsia" w:ascii="宋体" w:hAnsi="宋体" w:cs="宋体"/>
                <w:b w:val="0"/>
                <w:bCs w:val="0"/>
                <w:color w:val="auto"/>
                <w:highlight w:val="none"/>
              </w:rPr>
              <w:t>项技术条款：标注“★”号的技术条款为实质性技术条款共</w:t>
            </w:r>
            <w:r>
              <w:rPr>
                <w:rFonts w:hint="eastAsia" w:ascii="宋体" w:hAnsi="宋体" w:cs="宋体"/>
                <w:b w:val="0"/>
                <w:bCs w:val="0"/>
                <w:color w:val="auto"/>
                <w:highlight w:val="none"/>
                <w:lang w:val="en-US" w:eastAsia="zh-CN"/>
              </w:rPr>
              <w:t>5</w:t>
            </w:r>
            <w:r>
              <w:rPr>
                <w:rFonts w:hint="eastAsia" w:ascii="宋体" w:hAnsi="宋体" w:cs="宋体"/>
                <w:b w:val="0"/>
                <w:bCs w:val="0"/>
                <w:color w:val="auto"/>
                <w:highlight w:val="none"/>
              </w:rPr>
              <w:t>项。其他技术条款为普通技术条款共</w:t>
            </w:r>
            <w:r>
              <w:rPr>
                <w:rFonts w:hint="eastAsia" w:ascii="宋体" w:hAnsi="宋体" w:cs="宋体"/>
                <w:b w:val="0"/>
                <w:bCs w:val="0"/>
                <w:color w:val="auto"/>
                <w:highlight w:val="none"/>
                <w:lang w:val="en-US" w:eastAsia="zh-CN"/>
              </w:rPr>
              <w:t>55</w:t>
            </w:r>
            <w:r>
              <w:rPr>
                <w:rFonts w:hint="eastAsia" w:ascii="宋体" w:hAnsi="宋体" w:cs="宋体"/>
                <w:b w:val="0"/>
                <w:bCs w:val="0"/>
                <w:color w:val="auto"/>
                <w:highlight w:val="none"/>
              </w:rPr>
              <w:t>项。</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lang w:val="en-US" w:eastAsia="zh-CN"/>
              </w:rPr>
              <w:t>2</w:t>
            </w:r>
            <w:r>
              <w:rPr>
                <w:rFonts w:hint="eastAsia" w:ascii="宋体" w:hAnsi="宋体" w:cs="宋体"/>
                <w:b w:val="0"/>
                <w:bCs w:val="0"/>
                <w:color w:val="auto"/>
                <w:highlight w:val="none"/>
              </w:rPr>
              <w:t>.技术响应的偏离按以下进行：</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lang w:val="en-US" w:eastAsia="zh-CN"/>
              </w:rPr>
              <w:t>2</w:t>
            </w:r>
            <w:r>
              <w:rPr>
                <w:rFonts w:hint="eastAsia" w:ascii="宋体" w:hAnsi="宋体" w:cs="宋体"/>
                <w:b w:val="0"/>
                <w:bCs w:val="0"/>
                <w:color w:val="auto"/>
                <w:highlight w:val="none"/>
              </w:rPr>
              <w:t>.1无负偏离得满分3</w:t>
            </w:r>
            <w:r>
              <w:rPr>
                <w:rFonts w:hint="eastAsia" w:ascii="宋体" w:hAnsi="宋体" w:cs="宋体"/>
                <w:b w:val="0"/>
                <w:bCs w:val="0"/>
                <w:color w:val="auto"/>
                <w:highlight w:val="none"/>
                <w:lang w:val="en-US" w:eastAsia="zh-CN"/>
              </w:rPr>
              <w:t>3</w:t>
            </w:r>
            <w:r>
              <w:rPr>
                <w:rFonts w:hint="eastAsia" w:ascii="宋体" w:hAnsi="宋体" w:cs="宋体"/>
                <w:b w:val="0"/>
                <w:bCs w:val="0"/>
                <w:color w:val="auto"/>
                <w:highlight w:val="none"/>
              </w:rPr>
              <w:t>分；</w:t>
            </w:r>
          </w:p>
          <w:p>
            <w:pPr>
              <w:spacing w:line="360" w:lineRule="auto"/>
              <w:jc w:val="left"/>
              <w:rPr>
                <w:rFonts w:hint="eastAsia" w:ascii="宋体" w:hAnsi="宋体" w:eastAsia="宋体" w:cs="宋体"/>
                <w:b w:val="0"/>
                <w:bCs w:val="0"/>
                <w:color w:val="auto"/>
                <w:highlight w:val="none"/>
                <w:lang w:eastAsia="zh-CN"/>
              </w:rPr>
            </w:pPr>
            <w:r>
              <w:rPr>
                <w:rFonts w:hint="eastAsia" w:ascii="宋体" w:hAnsi="宋体" w:cs="宋体"/>
                <w:b w:val="0"/>
                <w:bCs w:val="0"/>
                <w:color w:val="auto"/>
                <w:highlight w:val="none"/>
                <w:lang w:val="en-US" w:eastAsia="zh-CN"/>
              </w:rPr>
              <w:t>2</w:t>
            </w:r>
            <w:r>
              <w:rPr>
                <w:rFonts w:hint="eastAsia" w:ascii="宋体" w:hAnsi="宋体" w:cs="宋体"/>
                <w:b w:val="0"/>
                <w:bCs w:val="0"/>
                <w:color w:val="auto"/>
                <w:highlight w:val="none"/>
              </w:rPr>
              <w:t>.2 1条及以上实质性技术条款负偏离的，作无效标处理</w:t>
            </w:r>
            <w:r>
              <w:rPr>
                <w:rFonts w:hint="eastAsia" w:ascii="宋体" w:hAnsi="宋体" w:cs="宋体"/>
                <w:b w:val="0"/>
                <w:bCs w:val="0"/>
                <w:color w:val="auto"/>
                <w:highlight w:val="none"/>
                <w:lang w:eastAsia="zh-CN"/>
              </w:rPr>
              <w:t>；</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lang w:val="en-US" w:eastAsia="zh-CN"/>
              </w:rPr>
              <w:t>2</w:t>
            </w:r>
            <w:r>
              <w:rPr>
                <w:rFonts w:hint="eastAsia" w:ascii="宋体" w:hAnsi="宋体" w:cs="宋体"/>
                <w:b w:val="0"/>
                <w:bCs w:val="0"/>
                <w:color w:val="auto"/>
                <w:highlight w:val="none"/>
              </w:rPr>
              <w:t>.3普通技术条款负偏离≤20条的按以下原则评审：普通技术条款每负偏离1条，扣1分。</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lang w:val="en-US" w:eastAsia="zh-CN"/>
              </w:rPr>
              <w:t>2</w:t>
            </w:r>
            <w:r>
              <w:rPr>
                <w:rFonts w:hint="eastAsia" w:ascii="宋体" w:hAnsi="宋体" w:cs="宋体"/>
                <w:b w:val="0"/>
                <w:bCs w:val="0"/>
                <w:color w:val="auto"/>
                <w:highlight w:val="none"/>
              </w:rPr>
              <w:t>.4普通技术条款负偏离＞20条的按以下原则评审：</w:t>
            </w:r>
          </w:p>
          <w:p>
            <w:pPr>
              <w:spacing w:line="360" w:lineRule="auto"/>
              <w:jc w:val="left"/>
              <w:rPr>
                <w:rFonts w:hint="default" w:ascii="宋体" w:hAnsi="宋体" w:eastAsia="宋体" w:cs="宋体"/>
                <w:b/>
                <w:bCs/>
                <w:color w:val="auto"/>
                <w:highlight w:val="none"/>
                <w:lang w:val="en-US" w:eastAsia="zh-CN"/>
              </w:rPr>
            </w:pPr>
            <w:r>
              <w:rPr>
                <w:rFonts w:hint="eastAsia" w:ascii="宋体" w:hAnsi="宋体" w:cs="宋体"/>
                <w:b w:val="0"/>
                <w:bCs w:val="0"/>
                <w:color w:val="auto"/>
                <w:highlight w:val="none"/>
              </w:rPr>
              <w:t>投标人得分=1</w:t>
            </w:r>
            <w:r>
              <w:rPr>
                <w:rFonts w:hint="eastAsia" w:ascii="宋体" w:hAnsi="宋体" w:cs="宋体"/>
                <w:b w:val="0"/>
                <w:bCs w:val="0"/>
                <w:color w:val="auto"/>
                <w:highlight w:val="none"/>
                <w:lang w:val="en-US" w:eastAsia="zh-CN"/>
              </w:rPr>
              <w:t>3</w:t>
            </w:r>
            <w:r>
              <w:rPr>
                <w:rFonts w:hint="eastAsia" w:ascii="宋体" w:hAnsi="宋体" w:cs="宋体"/>
                <w:b w:val="0"/>
                <w:bCs w:val="0"/>
                <w:color w:val="auto"/>
                <w:highlight w:val="none"/>
              </w:rPr>
              <w:t>-（负偏离条数-20）*</w:t>
            </w:r>
            <w:r>
              <w:rPr>
                <w:rFonts w:hint="eastAsia" w:ascii="宋体" w:hAnsi="宋体" w:cs="宋体"/>
                <w:b w:val="0"/>
                <w:bCs w:val="0"/>
                <w:color w:val="auto"/>
                <w:highlight w:val="none"/>
                <w:lang w:val="en-US" w:eastAsia="zh-CN"/>
              </w:rPr>
              <w:t>0.37</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3</w:t>
            </w:r>
            <w:r>
              <w:rPr>
                <w:rFonts w:hint="eastAsia" w:ascii="宋体" w:hAnsi="宋体" w:cs="宋体"/>
                <w:bCs/>
                <w:color w:val="auto"/>
                <w:highlight w:val="none"/>
                <w:lang w:val="en-US" w:eastAsia="zh-CN"/>
              </w:rPr>
              <w:t>3</w:t>
            </w:r>
            <w:r>
              <w:rPr>
                <w:rFonts w:hint="eastAsia" w:ascii="宋体" w:hAnsi="宋体" w:cs="宋体"/>
                <w:bCs/>
                <w:color w:val="auto"/>
                <w:highlight w:val="none"/>
              </w:rPr>
              <w:t>分</w:t>
            </w:r>
          </w:p>
          <w:p>
            <w:pPr>
              <w:spacing w:before="120" w:beforeLines="50" w:after="120" w:afterLines="50" w:line="360" w:lineRule="auto"/>
              <w:jc w:val="center"/>
              <w:rPr>
                <w:rFonts w:ascii="宋体" w:hAnsi="宋体" w:cs="宋体"/>
                <w:b/>
                <w:color w:val="auto"/>
                <w:highlight w:val="none"/>
                <w:u w:val="singl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750"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3</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50"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4</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bCs/>
                <w:color w:val="auto"/>
                <w:highlight w:val="none"/>
              </w:rPr>
              <w:t>安装与验收方案（5分）：</w:t>
            </w:r>
            <w:r>
              <w:rPr>
                <w:rFonts w:hint="eastAsia" w:ascii="宋体" w:hAnsi="宋体" w:cs="宋体"/>
                <w:b w:val="0"/>
                <w:bCs w:val="0"/>
                <w:color w:val="auto"/>
                <w:highlight w:val="none"/>
                <w:lang w:val="en-US" w:eastAsia="zh-CN"/>
              </w:rPr>
              <w:t>根据</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Align w:val="center"/>
          </w:tcPr>
          <w:p>
            <w:pPr>
              <w:spacing w:before="120" w:beforeLines="50" w:after="120" w:afterLines="50" w:line="360" w:lineRule="auto"/>
              <w:jc w:val="center"/>
              <w:rPr>
                <w:rFonts w:hint="eastAsia" w:ascii="宋体" w:hAnsi="宋体" w:cs="宋体"/>
                <w:color w:val="auto"/>
                <w:highlight w:val="none"/>
              </w:rPr>
            </w:pPr>
          </w:p>
        </w:tc>
        <w:tc>
          <w:tcPr>
            <w:tcW w:w="6573" w:type="dxa"/>
            <w:vAlign w:val="center"/>
          </w:tcPr>
          <w:p>
            <w:pPr>
              <w:spacing w:line="360" w:lineRule="auto"/>
              <w:rPr>
                <w:rFonts w:hint="default"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Merge w:val="restart"/>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suppressLineNumbers w:val="0"/>
              <w:adjustRightInd/>
              <w:spacing w:before="0" w:beforeAutospacing="0" w:after="0" w:afterAutospacing="0" w:line="360" w:lineRule="auto"/>
              <w:ind w:left="0" w:right="0"/>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6</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7</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w:t>
            </w:r>
            <w:r>
              <w:rPr>
                <w:rFonts w:hint="eastAsia" w:ascii="宋体" w:hAnsi="宋体" w:cs="宋体"/>
                <w:b w:val="0"/>
                <w:bCs w:val="0"/>
                <w:i w:val="0"/>
                <w:iCs w:val="0"/>
                <w:color w:val="auto"/>
                <w:sz w:val="21"/>
                <w:szCs w:val="21"/>
                <w:highlight w:val="none"/>
                <w:lang w:val="en-US" w:eastAsia="zh-CN"/>
              </w:rPr>
              <w:t>；④维修质量的保障，</w:t>
            </w:r>
            <w:r>
              <w:rPr>
                <w:rFonts w:hint="eastAsia" w:ascii="宋体" w:hAnsi="宋体" w:eastAsia="宋体" w:cs="宋体"/>
                <w:b w:val="0"/>
                <w:bCs w:val="0"/>
                <w:i w:val="0"/>
                <w:iCs w:val="0"/>
                <w:color w:val="auto"/>
                <w:sz w:val="21"/>
                <w:szCs w:val="21"/>
                <w:highlight w:val="none"/>
                <w:lang w:val="en-US" w:eastAsia="zh-CN"/>
              </w:rPr>
              <w:t>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spacing w:line="360" w:lineRule="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hint="eastAsia"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hint="eastAsia" w:ascii="宋体" w:hAnsi="宋体" w:eastAsia="宋体" w:cs="宋体"/>
                <w:b/>
                <w:bCs/>
                <w:color w:val="auto"/>
                <w:highlight w:val="none"/>
                <w:lang w:eastAsia="zh-CN"/>
              </w:rPr>
            </w:pPr>
            <w:r>
              <w:rPr>
                <w:rFonts w:hint="eastAsia" w:ascii="宋体" w:hAnsi="宋体" w:cs="宋体"/>
                <w:color w:val="auto"/>
                <w:highlight w:val="none"/>
                <w:lang w:val="en-US" w:eastAsia="zh-CN"/>
              </w:rPr>
              <w:t>8</w:t>
            </w:r>
          </w:p>
        </w:tc>
        <w:tc>
          <w:tcPr>
            <w:tcW w:w="6573" w:type="dxa"/>
          </w:tcPr>
          <w:p>
            <w:pPr>
              <w:spacing w:line="360" w:lineRule="auto"/>
              <w:ind w:right="-21" w:rightChars="-10"/>
              <w:rPr>
                <w:rFonts w:ascii="宋体" w:hAnsi="宋体" w:cs="宋体"/>
                <w:b/>
                <w:bCs/>
                <w:color w:val="auto"/>
                <w:highlight w:val="none"/>
              </w:rPr>
            </w:pPr>
            <w:r>
              <w:rPr>
                <w:rFonts w:hint="eastAsia" w:ascii="宋体" w:hAnsi="宋体" w:cs="宋体"/>
                <w:b/>
                <w:bCs/>
                <w:color w:val="auto"/>
                <w:highlight w:val="none"/>
              </w:rPr>
              <w:t>政府采购政策（2分）：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2分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50" w:type="dxa"/>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b/>
                <w:color w:val="auto"/>
                <w:highlight w:val="none"/>
              </w:rPr>
              <w:t>（二）</w:t>
            </w:r>
          </w:p>
        </w:tc>
        <w:tc>
          <w:tcPr>
            <w:tcW w:w="6573" w:type="dxa"/>
          </w:tcPr>
          <w:p>
            <w:pPr>
              <w:spacing w:before="120" w:beforeLines="50" w:after="120" w:afterLines="50" w:line="360" w:lineRule="auto"/>
              <w:rPr>
                <w:rFonts w:ascii="宋体" w:hAnsi="宋体" w:cs="宋体"/>
                <w:b/>
                <w:bCs/>
                <w:color w:val="auto"/>
                <w:highlight w:val="none"/>
              </w:rPr>
            </w:pPr>
            <w:r>
              <w:rPr>
                <w:rFonts w:hint="eastAsia" w:ascii="宋体" w:hAnsi="宋体" w:cs="宋体"/>
                <w:b/>
                <w:bCs/>
                <w:color w:val="auto"/>
                <w:highlight w:val="none"/>
              </w:rPr>
              <w:t>价格部分</w:t>
            </w:r>
          </w:p>
          <w:p>
            <w:pPr>
              <w:spacing w:before="120" w:beforeLines="50" w:after="120" w:afterLines="50" w:line="360" w:lineRule="auto"/>
              <w:rPr>
                <w:rFonts w:ascii="宋体" w:hAnsi="宋体" w:cs="宋体"/>
                <w:bCs/>
                <w:color w:val="auto"/>
                <w:spacing w:val="-4"/>
                <w:highlight w:val="none"/>
              </w:rPr>
            </w:pPr>
            <w:r>
              <w:rPr>
                <w:rFonts w:hint="eastAsia" w:ascii="宋体" w:hAnsi="宋体" w:cs="宋体"/>
                <w:bCs/>
                <w:color w:val="auto"/>
                <w:spacing w:val="-4"/>
                <w:highlight w:val="none"/>
              </w:rPr>
              <w:t>价格分采用低价优先法计算，即满足招标文件要求且投标价格最低的投标报价为评标基准价，其价格分为满分。其他投标人的价格分按照下列公式计算：</w:t>
            </w:r>
          </w:p>
          <w:p>
            <w:pPr>
              <w:spacing w:before="120" w:beforeLines="50" w:after="120" w:afterLines="50" w:line="360" w:lineRule="auto"/>
              <w:rPr>
                <w:rFonts w:ascii="宋体" w:hAnsi="宋体" w:cs="宋体"/>
                <w:b/>
                <w:bCs/>
                <w:color w:val="auto"/>
                <w:highlight w:val="none"/>
              </w:rPr>
            </w:pPr>
            <w:r>
              <w:rPr>
                <w:rFonts w:hint="eastAsia" w:ascii="宋体" w:hAnsi="宋体" w:cs="宋体"/>
                <w:color w:val="auto"/>
                <w:highlight w:val="none"/>
              </w:rPr>
              <w:t>价格分=（评标基准价/投标报价）×</w:t>
            </w:r>
            <w:r>
              <w:rPr>
                <w:rFonts w:hint="eastAsia" w:ascii="宋体" w:hAnsi="宋体" w:cs="宋体"/>
                <w:color w:val="auto"/>
                <w:highlight w:val="none"/>
                <w:u w:val="single"/>
              </w:rPr>
              <w:t>30</w:t>
            </w:r>
            <w:r>
              <w:rPr>
                <w:rFonts w:hint="eastAsia" w:ascii="宋体" w:hAnsi="宋体" w:cs="宋体"/>
                <w:color w:val="auto"/>
                <w:highlight w:val="none"/>
              </w:rPr>
              <w:t>%×100</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
                <w:bCs/>
                <w:color w:val="auto"/>
                <w:highlight w:val="none"/>
                <w:u w:val="single"/>
              </w:rPr>
              <w:t>30</w:t>
            </w:r>
            <w:r>
              <w:rPr>
                <w:rFonts w:hint="eastAsia" w:ascii="宋体" w:hAnsi="宋体" w:cs="宋体"/>
                <w:b/>
                <w:bCs/>
                <w:color w:val="auto"/>
                <w:highlight w:val="none"/>
              </w:rPr>
              <w:t>分</w:t>
            </w:r>
          </w:p>
        </w:tc>
      </w:tr>
    </w:tbl>
    <w:p>
      <w:pPr>
        <w:pStyle w:val="26"/>
        <w:spacing w:before="120" w:after="120" w:line="360" w:lineRule="auto"/>
        <w:rPr>
          <w:rFonts w:hint="eastAsia" w:hAnsi="宋体"/>
          <w:b/>
          <w:sz w:val="21"/>
          <w:szCs w:val="21"/>
          <w:highlight w:val="none"/>
        </w:rPr>
      </w:pPr>
    </w:p>
    <w:p>
      <w:pPr>
        <w:spacing w:line="360" w:lineRule="auto"/>
        <w:rPr>
          <w:rFonts w:hint="default" w:eastAsia="宋体"/>
          <w:highlight w:val="none"/>
          <w:lang w:val="en-US" w:eastAsia="zh-CN"/>
        </w:rPr>
      </w:pPr>
      <w:r>
        <w:rPr>
          <w:rFonts w:hint="eastAsia" w:ascii="宋体" w:hAnsi="宋体"/>
          <w:b/>
          <w:highlight w:val="none"/>
          <w:lang w:val="en-US" w:eastAsia="zh-CN"/>
        </w:rPr>
        <w:t>标项二：</w:t>
      </w:r>
    </w:p>
    <w:tbl>
      <w:tblPr>
        <w:tblStyle w:val="48"/>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57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50"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序号</w:t>
            </w:r>
          </w:p>
        </w:tc>
        <w:tc>
          <w:tcPr>
            <w:tcW w:w="6573" w:type="dxa"/>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评审内容及标准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（一）</w:t>
            </w:r>
          </w:p>
        </w:tc>
        <w:tc>
          <w:tcPr>
            <w:tcW w:w="6573" w:type="dxa"/>
          </w:tcPr>
          <w:p>
            <w:pPr>
              <w:spacing w:before="120" w:beforeLines="50" w:after="120" w:afterLines="50" w:line="240" w:lineRule="auto"/>
              <w:rPr>
                <w:rFonts w:ascii="宋体" w:hAnsi="宋体" w:cs="宋体"/>
                <w:b/>
                <w:bCs/>
                <w:color w:val="auto"/>
                <w:highlight w:val="none"/>
              </w:rPr>
            </w:pPr>
            <w:r>
              <w:rPr>
                <w:rFonts w:hint="eastAsia" w:ascii="宋体" w:hAnsi="宋体" w:cs="宋体"/>
                <w:b/>
                <w:bCs/>
                <w:color w:val="auto"/>
                <w:highlight w:val="none"/>
              </w:rPr>
              <w:t>商务技术部分部分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color w:val="auto"/>
                <w:highlight w:val="none"/>
                <w:u w:val="single"/>
              </w:rPr>
              <w:t>70</w:t>
            </w:r>
            <w:r>
              <w:rPr>
                <w:rFonts w:hint="eastAsia" w:ascii="宋体" w:hAnsi="宋体" w:cs="宋体"/>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1</w:t>
            </w:r>
          </w:p>
        </w:tc>
        <w:tc>
          <w:tcPr>
            <w:tcW w:w="6573" w:type="dxa"/>
            <w:vAlign w:val="center"/>
          </w:tcPr>
          <w:p>
            <w:pPr>
              <w:spacing w:line="360" w:lineRule="auto"/>
              <w:jc w:val="left"/>
              <w:rPr>
                <w:rFonts w:hint="eastAsia" w:ascii="宋体" w:hAnsi="宋体" w:cs="宋体"/>
                <w:b/>
                <w:bCs/>
                <w:color w:val="auto"/>
                <w:highlight w:val="none"/>
              </w:rPr>
            </w:pPr>
            <w:r>
              <w:rPr>
                <w:rFonts w:hint="eastAsia" w:ascii="宋体" w:hAnsi="宋体" w:cs="宋体"/>
                <w:b/>
                <w:bCs/>
                <w:color w:val="auto"/>
                <w:highlight w:val="none"/>
              </w:rPr>
              <w:t>对招标文件的技术需求（3</w:t>
            </w:r>
            <w:r>
              <w:rPr>
                <w:rFonts w:hint="eastAsia" w:ascii="宋体" w:hAnsi="宋体" w:cs="宋体"/>
                <w:b/>
                <w:bCs/>
                <w:color w:val="auto"/>
                <w:highlight w:val="none"/>
                <w:lang w:val="en-US" w:eastAsia="zh-CN"/>
              </w:rPr>
              <w:t>3</w:t>
            </w:r>
            <w:r>
              <w:rPr>
                <w:rFonts w:hint="eastAsia" w:ascii="宋体" w:hAnsi="宋体" w:cs="宋体"/>
                <w:b/>
                <w:bCs/>
                <w:color w:val="auto"/>
                <w:highlight w:val="none"/>
              </w:rPr>
              <w:t>分）：</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1.本项目共有</w:t>
            </w:r>
            <w:r>
              <w:rPr>
                <w:rFonts w:hint="eastAsia" w:ascii="宋体" w:hAnsi="宋体" w:cs="宋体"/>
                <w:b w:val="0"/>
                <w:bCs w:val="0"/>
                <w:color w:val="auto"/>
                <w:highlight w:val="none"/>
                <w:lang w:val="en-US" w:eastAsia="zh-CN"/>
              </w:rPr>
              <w:t>75</w:t>
            </w:r>
            <w:r>
              <w:rPr>
                <w:rFonts w:hint="eastAsia" w:ascii="宋体" w:hAnsi="宋体" w:cs="宋体"/>
                <w:b w:val="0"/>
                <w:bCs w:val="0"/>
                <w:color w:val="auto"/>
                <w:highlight w:val="none"/>
              </w:rPr>
              <w:t>项技术条款：标注“★”号的技术条款为实质性技术条款共</w:t>
            </w:r>
            <w:r>
              <w:rPr>
                <w:rFonts w:hint="eastAsia" w:ascii="宋体" w:hAnsi="宋体" w:cs="宋体"/>
                <w:b w:val="0"/>
                <w:bCs w:val="0"/>
                <w:color w:val="auto"/>
                <w:highlight w:val="none"/>
                <w:lang w:val="en-US" w:eastAsia="zh-CN"/>
              </w:rPr>
              <w:t>2</w:t>
            </w:r>
            <w:r>
              <w:rPr>
                <w:rFonts w:hint="eastAsia" w:ascii="宋体" w:hAnsi="宋体" w:cs="宋体"/>
                <w:b w:val="0"/>
                <w:bCs w:val="0"/>
                <w:color w:val="auto"/>
                <w:highlight w:val="none"/>
              </w:rPr>
              <w:t>项。标注“▲”号的技术条款为重要技术条款共</w:t>
            </w:r>
            <w:r>
              <w:rPr>
                <w:rFonts w:hint="eastAsia" w:ascii="宋体" w:hAnsi="宋体" w:cs="宋体"/>
                <w:b w:val="0"/>
                <w:bCs w:val="0"/>
                <w:color w:val="auto"/>
                <w:highlight w:val="none"/>
                <w:lang w:val="en-US" w:eastAsia="zh-CN"/>
              </w:rPr>
              <w:t>4</w:t>
            </w:r>
            <w:r>
              <w:rPr>
                <w:rFonts w:hint="eastAsia" w:ascii="宋体" w:hAnsi="宋体" w:cs="宋体"/>
                <w:b w:val="0"/>
                <w:bCs w:val="0"/>
                <w:color w:val="auto"/>
                <w:highlight w:val="none"/>
              </w:rPr>
              <w:t>项，其他技术条款为普通技术条款共</w:t>
            </w:r>
            <w:r>
              <w:rPr>
                <w:rFonts w:hint="eastAsia" w:ascii="宋体" w:hAnsi="宋体" w:cs="宋体"/>
                <w:b w:val="0"/>
                <w:bCs w:val="0"/>
                <w:color w:val="auto"/>
                <w:highlight w:val="none"/>
                <w:lang w:val="en-US" w:eastAsia="zh-CN"/>
              </w:rPr>
              <w:t>69</w:t>
            </w:r>
            <w:r>
              <w:rPr>
                <w:rFonts w:hint="eastAsia" w:ascii="宋体" w:hAnsi="宋体" w:cs="宋体"/>
                <w:b w:val="0"/>
                <w:bCs w:val="0"/>
                <w:color w:val="auto"/>
                <w:highlight w:val="none"/>
              </w:rPr>
              <w:t>项。</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2.每1条重要技术条款负偏离的等同2条普通技术条款负偏离。</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3.技术响应的偏离按以下进行：</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3.1无负偏离得满分3</w:t>
            </w:r>
            <w:r>
              <w:rPr>
                <w:rFonts w:hint="eastAsia" w:ascii="宋体" w:hAnsi="宋体" w:cs="宋体"/>
                <w:b w:val="0"/>
                <w:bCs w:val="0"/>
                <w:color w:val="auto"/>
                <w:highlight w:val="none"/>
                <w:lang w:val="en-US" w:eastAsia="zh-CN"/>
              </w:rPr>
              <w:t>3</w:t>
            </w:r>
            <w:r>
              <w:rPr>
                <w:rFonts w:hint="eastAsia" w:ascii="宋体" w:hAnsi="宋体" w:cs="宋体"/>
                <w:b w:val="0"/>
                <w:bCs w:val="0"/>
                <w:color w:val="auto"/>
                <w:highlight w:val="none"/>
              </w:rPr>
              <w:t>分；</w:t>
            </w:r>
          </w:p>
          <w:p>
            <w:pPr>
              <w:spacing w:line="360" w:lineRule="auto"/>
              <w:jc w:val="left"/>
              <w:rPr>
                <w:rFonts w:hint="eastAsia" w:ascii="宋体" w:hAnsi="宋体" w:eastAsia="宋体" w:cs="宋体"/>
                <w:b w:val="0"/>
                <w:bCs w:val="0"/>
                <w:color w:val="auto"/>
                <w:highlight w:val="none"/>
                <w:lang w:eastAsia="zh-CN"/>
              </w:rPr>
            </w:pPr>
            <w:r>
              <w:rPr>
                <w:rFonts w:hint="eastAsia" w:ascii="宋体" w:hAnsi="宋体" w:cs="宋体"/>
                <w:b w:val="0"/>
                <w:bCs w:val="0"/>
                <w:color w:val="auto"/>
                <w:highlight w:val="none"/>
              </w:rPr>
              <w:t>3.2 1条及以上实质性技术条款负偏离的，作无效标处理</w:t>
            </w:r>
            <w:r>
              <w:rPr>
                <w:rFonts w:hint="eastAsia" w:ascii="宋体" w:hAnsi="宋体" w:cs="宋体"/>
                <w:b w:val="0"/>
                <w:bCs w:val="0"/>
                <w:color w:val="auto"/>
                <w:highlight w:val="none"/>
                <w:lang w:eastAsia="zh-CN"/>
              </w:rPr>
              <w:t>；</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3.3普通技术条款负偏离≤20条的按以下原则评审：普通技术条款每负偏离1条，扣1分。</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3.4普通技术条款负偏离＞20条的按以下原则评审：</w:t>
            </w:r>
          </w:p>
          <w:p>
            <w:pPr>
              <w:spacing w:line="360" w:lineRule="auto"/>
              <w:jc w:val="left"/>
              <w:rPr>
                <w:rFonts w:hint="default" w:ascii="宋体" w:hAnsi="宋体" w:eastAsia="宋体" w:cs="宋体"/>
                <w:b/>
                <w:bCs/>
                <w:color w:val="auto"/>
                <w:highlight w:val="none"/>
                <w:lang w:val="en-US" w:eastAsia="zh-CN"/>
              </w:rPr>
            </w:pPr>
            <w:r>
              <w:rPr>
                <w:rFonts w:hint="eastAsia" w:ascii="宋体" w:hAnsi="宋体" w:cs="宋体"/>
                <w:b w:val="0"/>
                <w:bCs w:val="0"/>
                <w:color w:val="auto"/>
                <w:highlight w:val="none"/>
              </w:rPr>
              <w:t>投标人得分=1</w:t>
            </w:r>
            <w:r>
              <w:rPr>
                <w:rFonts w:hint="eastAsia" w:ascii="宋体" w:hAnsi="宋体" w:cs="宋体"/>
                <w:b w:val="0"/>
                <w:bCs w:val="0"/>
                <w:color w:val="auto"/>
                <w:highlight w:val="none"/>
                <w:lang w:val="en-US" w:eastAsia="zh-CN"/>
              </w:rPr>
              <w:t>3</w:t>
            </w:r>
            <w:r>
              <w:rPr>
                <w:rFonts w:hint="eastAsia" w:ascii="宋体" w:hAnsi="宋体" w:cs="宋体"/>
                <w:b w:val="0"/>
                <w:bCs w:val="0"/>
                <w:color w:val="auto"/>
                <w:highlight w:val="none"/>
              </w:rPr>
              <w:t>-（负偏离条数-20）*0.</w:t>
            </w:r>
            <w:r>
              <w:rPr>
                <w:rFonts w:hint="eastAsia" w:ascii="宋体" w:hAnsi="宋体" w:cs="宋体"/>
                <w:b w:val="0"/>
                <w:bCs w:val="0"/>
                <w:color w:val="auto"/>
                <w:highlight w:val="none"/>
                <w:lang w:val="en-US" w:eastAsia="zh-CN"/>
              </w:rPr>
              <w:t>22</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3</w:t>
            </w:r>
            <w:r>
              <w:rPr>
                <w:rFonts w:hint="eastAsia" w:ascii="宋体" w:hAnsi="宋体" w:cs="宋体"/>
                <w:bCs/>
                <w:color w:val="auto"/>
                <w:highlight w:val="none"/>
                <w:lang w:val="en-US" w:eastAsia="zh-CN"/>
              </w:rPr>
              <w:t>3</w:t>
            </w:r>
            <w:r>
              <w:rPr>
                <w:rFonts w:hint="eastAsia" w:ascii="宋体" w:hAnsi="宋体" w:cs="宋体"/>
                <w:bCs/>
                <w:color w:val="auto"/>
                <w:highlight w:val="none"/>
              </w:rPr>
              <w:t>分</w:t>
            </w:r>
          </w:p>
          <w:p>
            <w:pPr>
              <w:spacing w:before="120" w:beforeLines="50" w:after="120" w:afterLines="50" w:line="360" w:lineRule="auto"/>
              <w:jc w:val="center"/>
              <w:rPr>
                <w:rFonts w:ascii="宋体" w:hAnsi="宋体" w:cs="宋体"/>
                <w:b/>
                <w:color w:val="auto"/>
                <w:highlight w:val="none"/>
                <w:u w:val="singl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750"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3</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50"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4</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bCs/>
                <w:color w:val="auto"/>
                <w:highlight w:val="none"/>
              </w:rPr>
              <w:t>安装与验收方案（5分）：</w:t>
            </w:r>
            <w:r>
              <w:rPr>
                <w:rFonts w:hint="eastAsia" w:ascii="宋体" w:hAnsi="宋体" w:cs="宋体"/>
                <w:b w:val="0"/>
                <w:bCs w:val="0"/>
                <w:color w:val="auto"/>
                <w:highlight w:val="none"/>
                <w:lang w:val="en-US" w:eastAsia="zh-CN"/>
              </w:rPr>
              <w:t>根据</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Align w:val="center"/>
          </w:tcPr>
          <w:p>
            <w:pPr>
              <w:spacing w:before="120" w:beforeLines="50" w:after="120" w:afterLines="50" w:line="360" w:lineRule="auto"/>
              <w:jc w:val="center"/>
              <w:rPr>
                <w:rFonts w:hint="eastAsia" w:ascii="宋体" w:hAnsi="宋体" w:cs="宋体"/>
                <w:color w:val="auto"/>
                <w:highlight w:val="none"/>
              </w:rPr>
            </w:pPr>
          </w:p>
        </w:tc>
        <w:tc>
          <w:tcPr>
            <w:tcW w:w="6573" w:type="dxa"/>
            <w:vAlign w:val="center"/>
          </w:tcPr>
          <w:p>
            <w:pPr>
              <w:spacing w:line="360" w:lineRule="auto"/>
              <w:rPr>
                <w:rFonts w:hint="default"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Merge w:val="restart"/>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suppressLineNumbers w:val="0"/>
              <w:adjustRightInd/>
              <w:spacing w:before="0" w:beforeAutospacing="0" w:after="0" w:afterAutospacing="0" w:line="360" w:lineRule="auto"/>
              <w:ind w:left="0" w:right="0"/>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6</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7</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w:t>
            </w:r>
            <w:r>
              <w:rPr>
                <w:rFonts w:hint="eastAsia" w:ascii="宋体" w:hAnsi="宋体" w:cs="宋体"/>
                <w:b w:val="0"/>
                <w:bCs w:val="0"/>
                <w:i w:val="0"/>
                <w:iCs w:val="0"/>
                <w:color w:val="auto"/>
                <w:sz w:val="21"/>
                <w:szCs w:val="21"/>
                <w:highlight w:val="none"/>
                <w:lang w:val="en-US" w:eastAsia="zh-CN"/>
              </w:rPr>
              <w:t>；④维修质量的保障，</w:t>
            </w:r>
            <w:r>
              <w:rPr>
                <w:rFonts w:hint="eastAsia" w:ascii="宋体" w:hAnsi="宋体" w:eastAsia="宋体" w:cs="宋体"/>
                <w:b w:val="0"/>
                <w:bCs w:val="0"/>
                <w:i w:val="0"/>
                <w:iCs w:val="0"/>
                <w:color w:val="auto"/>
                <w:sz w:val="21"/>
                <w:szCs w:val="21"/>
                <w:highlight w:val="none"/>
                <w:lang w:val="en-US" w:eastAsia="zh-CN"/>
              </w:rPr>
              <w:t>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spacing w:line="360" w:lineRule="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hint="eastAsia"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hint="eastAsia" w:ascii="宋体" w:hAnsi="宋体" w:eastAsia="宋体" w:cs="宋体"/>
                <w:b/>
                <w:bCs/>
                <w:color w:val="auto"/>
                <w:highlight w:val="none"/>
                <w:lang w:eastAsia="zh-CN"/>
              </w:rPr>
            </w:pPr>
            <w:r>
              <w:rPr>
                <w:rFonts w:hint="eastAsia" w:ascii="宋体" w:hAnsi="宋体" w:cs="宋体"/>
                <w:color w:val="auto"/>
                <w:highlight w:val="none"/>
                <w:lang w:val="en-US" w:eastAsia="zh-CN"/>
              </w:rPr>
              <w:t>8</w:t>
            </w:r>
          </w:p>
        </w:tc>
        <w:tc>
          <w:tcPr>
            <w:tcW w:w="6573" w:type="dxa"/>
          </w:tcPr>
          <w:p>
            <w:pPr>
              <w:spacing w:line="360" w:lineRule="auto"/>
              <w:ind w:right="-21" w:rightChars="-10"/>
              <w:rPr>
                <w:rFonts w:ascii="宋体" w:hAnsi="宋体" w:cs="宋体"/>
                <w:b/>
                <w:bCs/>
                <w:color w:val="auto"/>
                <w:highlight w:val="none"/>
              </w:rPr>
            </w:pPr>
            <w:r>
              <w:rPr>
                <w:rFonts w:hint="eastAsia" w:ascii="宋体" w:hAnsi="宋体" w:cs="宋体"/>
                <w:b/>
                <w:bCs/>
                <w:color w:val="auto"/>
                <w:highlight w:val="none"/>
              </w:rPr>
              <w:t>政府采购政策（2分）：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2分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50" w:type="dxa"/>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b/>
                <w:color w:val="auto"/>
                <w:highlight w:val="none"/>
              </w:rPr>
              <w:t>（二）</w:t>
            </w:r>
          </w:p>
        </w:tc>
        <w:tc>
          <w:tcPr>
            <w:tcW w:w="6573" w:type="dxa"/>
          </w:tcPr>
          <w:p>
            <w:pPr>
              <w:spacing w:before="120" w:beforeLines="50" w:after="120" w:afterLines="50" w:line="360" w:lineRule="auto"/>
              <w:rPr>
                <w:rFonts w:ascii="宋体" w:hAnsi="宋体" w:cs="宋体"/>
                <w:b/>
                <w:bCs/>
                <w:color w:val="auto"/>
                <w:highlight w:val="none"/>
              </w:rPr>
            </w:pPr>
            <w:r>
              <w:rPr>
                <w:rFonts w:hint="eastAsia" w:ascii="宋体" w:hAnsi="宋体" w:cs="宋体"/>
                <w:b/>
                <w:bCs/>
                <w:color w:val="auto"/>
                <w:highlight w:val="none"/>
              </w:rPr>
              <w:t>价格部分</w:t>
            </w:r>
          </w:p>
          <w:p>
            <w:pPr>
              <w:spacing w:before="120" w:beforeLines="50" w:after="120" w:afterLines="50" w:line="360" w:lineRule="auto"/>
              <w:rPr>
                <w:rFonts w:ascii="宋体" w:hAnsi="宋体" w:cs="宋体"/>
                <w:bCs/>
                <w:color w:val="auto"/>
                <w:spacing w:val="-4"/>
                <w:highlight w:val="none"/>
              </w:rPr>
            </w:pPr>
            <w:r>
              <w:rPr>
                <w:rFonts w:hint="eastAsia" w:ascii="宋体" w:hAnsi="宋体" w:cs="宋体"/>
                <w:bCs/>
                <w:color w:val="auto"/>
                <w:spacing w:val="-4"/>
                <w:highlight w:val="none"/>
              </w:rPr>
              <w:t>价格分采用低价优先法计算，即满足招标文件要求且投标价格最低的投标报价为评标基准价，其价格分为满分。其他投标人的价格分按照下列公式计算：</w:t>
            </w:r>
          </w:p>
          <w:p>
            <w:pPr>
              <w:spacing w:before="120" w:beforeLines="50" w:after="120" w:afterLines="50" w:line="360" w:lineRule="auto"/>
              <w:rPr>
                <w:rFonts w:ascii="宋体" w:hAnsi="宋体" w:cs="宋体"/>
                <w:b/>
                <w:bCs/>
                <w:color w:val="auto"/>
                <w:highlight w:val="none"/>
              </w:rPr>
            </w:pPr>
            <w:r>
              <w:rPr>
                <w:rFonts w:hint="eastAsia" w:ascii="宋体" w:hAnsi="宋体" w:cs="宋体"/>
                <w:color w:val="auto"/>
                <w:highlight w:val="none"/>
              </w:rPr>
              <w:t>价格分=（评标基准价/投标报价）×</w:t>
            </w:r>
            <w:r>
              <w:rPr>
                <w:rFonts w:hint="eastAsia" w:ascii="宋体" w:hAnsi="宋体" w:cs="宋体"/>
                <w:color w:val="auto"/>
                <w:highlight w:val="none"/>
                <w:u w:val="single"/>
              </w:rPr>
              <w:t>30</w:t>
            </w:r>
            <w:r>
              <w:rPr>
                <w:rFonts w:hint="eastAsia" w:ascii="宋体" w:hAnsi="宋体" w:cs="宋体"/>
                <w:color w:val="auto"/>
                <w:highlight w:val="none"/>
              </w:rPr>
              <w:t>%×100</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
                <w:bCs/>
                <w:color w:val="auto"/>
                <w:highlight w:val="none"/>
                <w:u w:val="single"/>
              </w:rPr>
              <w:t>30</w:t>
            </w:r>
            <w:r>
              <w:rPr>
                <w:rFonts w:hint="eastAsia" w:ascii="宋体" w:hAnsi="宋体" w:cs="宋体"/>
                <w:b/>
                <w:bCs/>
                <w:color w:val="auto"/>
                <w:highlight w:val="none"/>
              </w:rPr>
              <w:t>分</w:t>
            </w:r>
          </w:p>
        </w:tc>
      </w:tr>
    </w:tbl>
    <w:p>
      <w:pPr>
        <w:pStyle w:val="26"/>
        <w:spacing w:before="120" w:after="120" w:line="360" w:lineRule="auto"/>
        <w:rPr>
          <w:rFonts w:hint="eastAsia" w:hAnsi="宋体"/>
          <w:b/>
          <w:sz w:val="21"/>
          <w:szCs w:val="21"/>
          <w:highlight w:val="none"/>
        </w:rPr>
      </w:pPr>
    </w:p>
    <w:p>
      <w:pPr>
        <w:pStyle w:val="26"/>
        <w:spacing w:before="120" w:after="120" w:line="360" w:lineRule="auto"/>
        <w:rPr>
          <w:rFonts w:hint="eastAsia" w:hAnsi="宋体"/>
          <w:b/>
          <w:sz w:val="21"/>
          <w:szCs w:val="21"/>
          <w:highlight w:val="none"/>
        </w:rPr>
      </w:pPr>
    </w:p>
    <w:p>
      <w:pPr>
        <w:spacing w:line="360" w:lineRule="auto"/>
        <w:rPr>
          <w:rFonts w:hint="default" w:eastAsia="宋体"/>
          <w:highlight w:val="none"/>
          <w:lang w:val="en-US" w:eastAsia="zh-CN"/>
        </w:rPr>
      </w:pPr>
      <w:r>
        <w:rPr>
          <w:rFonts w:hint="eastAsia" w:ascii="宋体" w:hAnsi="宋体"/>
          <w:b/>
          <w:highlight w:val="none"/>
          <w:lang w:val="en-US" w:eastAsia="zh-CN"/>
        </w:rPr>
        <w:t>标项三：</w:t>
      </w:r>
    </w:p>
    <w:tbl>
      <w:tblPr>
        <w:tblStyle w:val="48"/>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57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50"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序号</w:t>
            </w:r>
          </w:p>
        </w:tc>
        <w:tc>
          <w:tcPr>
            <w:tcW w:w="6573" w:type="dxa"/>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评审内容及标准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（一）</w:t>
            </w:r>
          </w:p>
        </w:tc>
        <w:tc>
          <w:tcPr>
            <w:tcW w:w="6573" w:type="dxa"/>
          </w:tcPr>
          <w:p>
            <w:pPr>
              <w:spacing w:before="120" w:beforeLines="50" w:after="120" w:afterLines="50" w:line="240" w:lineRule="auto"/>
              <w:rPr>
                <w:rFonts w:ascii="宋体" w:hAnsi="宋体" w:cs="宋体"/>
                <w:b/>
                <w:bCs/>
                <w:color w:val="auto"/>
                <w:highlight w:val="none"/>
              </w:rPr>
            </w:pPr>
            <w:r>
              <w:rPr>
                <w:rFonts w:hint="eastAsia" w:ascii="宋体" w:hAnsi="宋体" w:cs="宋体"/>
                <w:b/>
                <w:bCs/>
                <w:color w:val="auto"/>
                <w:highlight w:val="none"/>
              </w:rPr>
              <w:t>商务技术部分部分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color w:val="auto"/>
                <w:highlight w:val="none"/>
                <w:u w:val="single"/>
              </w:rPr>
              <w:t>70</w:t>
            </w:r>
            <w:r>
              <w:rPr>
                <w:rFonts w:hint="eastAsia" w:ascii="宋体" w:hAnsi="宋体" w:cs="宋体"/>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1</w:t>
            </w:r>
          </w:p>
        </w:tc>
        <w:tc>
          <w:tcPr>
            <w:tcW w:w="6573" w:type="dxa"/>
            <w:vAlign w:val="center"/>
          </w:tcPr>
          <w:p>
            <w:pPr>
              <w:spacing w:line="360" w:lineRule="auto"/>
              <w:jc w:val="left"/>
              <w:rPr>
                <w:rFonts w:hint="eastAsia" w:ascii="宋体" w:hAnsi="宋体" w:cs="宋体"/>
                <w:b/>
                <w:bCs/>
                <w:color w:val="auto"/>
                <w:highlight w:val="none"/>
              </w:rPr>
            </w:pPr>
            <w:r>
              <w:rPr>
                <w:rFonts w:hint="eastAsia" w:ascii="宋体" w:hAnsi="宋体" w:cs="宋体"/>
                <w:b/>
                <w:bCs/>
                <w:color w:val="auto"/>
                <w:highlight w:val="none"/>
              </w:rPr>
              <w:t>对招标文件的技术需求（3</w:t>
            </w:r>
            <w:r>
              <w:rPr>
                <w:rFonts w:hint="eastAsia" w:ascii="宋体" w:hAnsi="宋体" w:cs="宋体"/>
                <w:b/>
                <w:bCs/>
                <w:color w:val="auto"/>
                <w:highlight w:val="none"/>
                <w:lang w:val="en-US" w:eastAsia="zh-CN"/>
              </w:rPr>
              <w:t>3</w:t>
            </w:r>
            <w:r>
              <w:rPr>
                <w:rFonts w:hint="eastAsia" w:ascii="宋体" w:hAnsi="宋体" w:cs="宋体"/>
                <w:b/>
                <w:bCs/>
                <w:color w:val="auto"/>
                <w:highlight w:val="none"/>
              </w:rPr>
              <w:t>分）：</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1.本项目共有</w:t>
            </w:r>
            <w:r>
              <w:rPr>
                <w:rFonts w:hint="eastAsia" w:ascii="宋体" w:hAnsi="宋体" w:cs="宋体"/>
                <w:b w:val="0"/>
                <w:bCs w:val="0"/>
                <w:color w:val="auto"/>
                <w:highlight w:val="none"/>
                <w:lang w:val="en-US" w:eastAsia="zh-CN"/>
              </w:rPr>
              <w:t>91</w:t>
            </w:r>
            <w:r>
              <w:rPr>
                <w:rFonts w:hint="eastAsia" w:ascii="宋体" w:hAnsi="宋体" w:cs="宋体"/>
                <w:b w:val="0"/>
                <w:bCs w:val="0"/>
                <w:color w:val="auto"/>
                <w:highlight w:val="none"/>
              </w:rPr>
              <w:t>项技术条款：标注“★”号的技术条款为实质性技术条款共</w:t>
            </w:r>
            <w:r>
              <w:rPr>
                <w:rFonts w:hint="eastAsia" w:ascii="宋体" w:hAnsi="宋体" w:cs="宋体"/>
                <w:b w:val="0"/>
                <w:bCs w:val="0"/>
                <w:color w:val="auto"/>
                <w:highlight w:val="none"/>
                <w:lang w:val="en-US" w:eastAsia="zh-CN"/>
              </w:rPr>
              <w:t>2</w:t>
            </w:r>
            <w:r>
              <w:rPr>
                <w:rFonts w:hint="eastAsia" w:ascii="宋体" w:hAnsi="宋体" w:cs="宋体"/>
                <w:b w:val="0"/>
                <w:bCs w:val="0"/>
                <w:color w:val="auto"/>
                <w:highlight w:val="none"/>
              </w:rPr>
              <w:t>项。标注“▲”号的技术条款为重要技术条款共</w:t>
            </w:r>
            <w:r>
              <w:rPr>
                <w:rFonts w:hint="eastAsia" w:ascii="宋体" w:hAnsi="宋体" w:cs="宋体"/>
                <w:b w:val="0"/>
                <w:bCs w:val="0"/>
                <w:color w:val="auto"/>
                <w:highlight w:val="none"/>
                <w:lang w:val="en-US" w:eastAsia="zh-CN"/>
              </w:rPr>
              <w:t>8</w:t>
            </w:r>
            <w:r>
              <w:rPr>
                <w:rFonts w:hint="eastAsia" w:ascii="宋体" w:hAnsi="宋体" w:cs="宋体"/>
                <w:b w:val="0"/>
                <w:bCs w:val="0"/>
                <w:color w:val="auto"/>
                <w:highlight w:val="none"/>
              </w:rPr>
              <w:t>项，其他技术条款为普通技术条款共</w:t>
            </w:r>
            <w:r>
              <w:rPr>
                <w:rFonts w:hint="eastAsia" w:ascii="宋体" w:hAnsi="宋体" w:cs="宋体"/>
                <w:b w:val="0"/>
                <w:bCs w:val="0"/>
                <w:color w:val="auto"/>
                <w:highlight w:val="none"/>
                <w:lang w:val="en-US" w:eastAsia="zh-CN"/>
              </w:rPr>
              <w:t>81</w:t>
            </w:r>
            <w:r>
              <w:rPr>
                <w:rFonts w:hint="eastAsia" w:ascii="宋体" w:hAnsi="宋体" w:cs="宋体"/>
                <w:b w:val="0"/>
                <w:bCs w:val="0"/>
                <w:color w:val="auto"/>
                <w:highlight w:val="none"/>
              </w:rPr>
              <w:t>项。</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2.每1条重要技术条款负偏离的等同2条普通技术条款负偏离。</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3.技术响应的偏离按以下进行：</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3.1无负偏离得满分3</w:t>
            </w:r>
            <w:r>
              <w:rPr>
                <w:rFonts w:hint="eastAsia" w:ascii="宋体" w:hAnsi="宋体" w:cs="宋体"/>
                <w:b w:val="0"/>
                <w:bCs w:val="0"/>
                <w:color w:val="auto"/>
                <w:highlight w:val="none"/>
                <w:lang w:val="en-US" w:eastAsia="zh-CN"/>
              </w:rPr>
              <w:t>3</w:t>
            </w:r>
            <w:r>
              <w:rPr>
                <w:rFonts w:hint="eastAsia" w:ascii="宋体" w:hAnsi="宋体" w:cs="宋体"/>
                <w:b w:val="0"/>
                <w:bCs w:val="0"/>
                <w:color w:val="auto"/>
                <w:highlight w:val="none"/>
              </w:rPr>
              <w:t>分；</w:t>
            </w:r>
          </w:p>
          <w:p>
            <w:pPr>
              <w:spacing w:line="360" w:lineRule="auto"/>
              <w:jc w:val="left"/>
              <w:rPr>
                <w:rFonts w:hint="eastAsia" w:ascii="宋体" w:hAnsi="宋体" w:eastAsia="宋体" w:cs="宋体"/>
                <w:b w:val="0"/>
                <w:bCs w:val="0"/>
                <w:color w:val="auto"/>
                <w:highlight w:val="none"/>
                <w:lang w:eastAsia="zh-CN"/>
              </w:rPr>
            </w:pPr>
            <w:r>
              <w:rPr>
                <w:rFonts w:hint="eastAsia" w:ascii="宋体" w:hAnsi="宋体" w:cs="宋体"/>
                <w:b w:val="0"/>
                <w:bCs w:val="0"/>
                <w:color w:val="auto"/>
                <w:highlight w:val="none"/>
              </w:rPr>
              <w:t>3.2 1条及以上实质性技术条款负偏离的，作无效标处理</w:t>
            </w:r>
            <w:r>
              <w:rPr>
                <w:rFonts w:hint="eastAsia" w:ascii="宋体" w:hAnsi="宋体" w:cs="宋体"/>
                <w:b w:val="0"/>
                <w:bCs w:val="0"/>
                <w:color w:val="auto"/>
                <w:highlight w:val="none"/>
                <w:lang w:eastAsia="zh-CN"/>
              </w:rPr>
              <w:t>；</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3.3普通技术条款负偏离≤20条的按以下原则评审：普通技术条款每负偏离1条，扣1分。</w:t>
            </w:r>
          </w:p>
          <w:p>
            <w:pPr>
              <w:spacing w:line="360" w:lineRule="auto"/>
              <w:jc w:val="left"/>
              <w:rPr>
                <w:rFonts w:hint="eastAsia" w:ascii="宋体" w:hAnsi="宋体" w:cs="宋体"/>
                <w:b w:val="0"/>
                <w:bCs w:val="0"/>
                <w:color w:val="auto"/>
                <w:highlight w:val="none"/>
              </w:rPr>
            </w:pPr>
            <w:r>
              <w:rPr>
                <w:rFonts w:hint="eastAsia" w:ascii="宋体" w:hAnsi="宋体" w:cs="宋体"/>
                <w:b w:val="0"/>
                <w:bCs w:val="0"/>
                <w:color w:val="auto"/>
                <w:highlight w:val="none"/>
              </w:rPr>
              <w:t>3.4普通技术条款负偏离＞20条的按以下原则评审：</w:t>
            </w:r>
          </w:p>
          <w:p>
            <w:pPr>
              <w:spacing w:line="360" w:lineRule="auto"/>
              <w:jc w:val="left"/>
              <w:rPr>
                <w:rFonts w:hint="default" w:ascii="宋体" w:hAnsi="宋体" w:eastAsia="宋体" w:cs="宋体"/>
                <w:b/>
                <w:bCs/>
                <w:color w:val="auto"/>
                <w:highlight w:val="none"/>
                <w:lang w:val="en-US" w:eastAsia="zh-CN"/>
              </w:rPr>
            </w:pPr>
            <w:r>
              <w:rPr>
                <w:rFonts w:hint="eastAsia" w:ascii="宋体" w:hAnsi="宋体" w:cs="宋体"/>
                <w:b w:val="0"/>
                <w:bCs w:val="0"/>
                <w:color w:val="auto"/>
                <w:highlight w:val="none"/>
              </w:rPr>
              <w:t>投标人得分=1</w:t>
            </w:r>
            <w:r>
              <w:rPr>
                <w:rFonts w:hint="eastAsia" w:ascii="宋体" w:hAnsi="宋体" w:cs="宋体"/>
                <w:b w:val="0"/>
                <w:bCs w:val="0"/>
                <w:color w:val="auto"/>
                <w:highlight w:val="none"/>
                <w:lang w:val="en-US" w:eastAsia="zh-CN"/>
              </w:rPr>
              <w:t>3</w:t>
            </w:r>
            <w:r>
              <w:rPr>
                <w:rFonts w:hint="eastAsia" w:ascii="宋体" w:hAnsi="宋体" w:cs="宋体"/>
                <w:b w:val="0"/>
                <w:bCs w:val="0"/>
                <w:color w:val="auto"/>
                <w:highlight w:val="none"/>
              </w:rPr>
              <w:t>-（负偏离条数-20）*0.</w:t>
            </w:r>
            <w:r>
              <w:rPr>
                <w:rFonts w:hint="eastAsia" w:ascii="宋体" w:hAnsi="宋体" w:cs="宋体"/>
                <w:b w:val="0"/>
                <w:bCs w:val="0"/>
                <w:color w:val="auto"/>
                <w:highlight w:val="none"/>
                <w:lang w:val="en-US" w:eastAsia="zh-CN"/>
              </w:rPr>
              <w:t>16</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3</w:t>
            </w:r>
            <w:r>
              <w:rPr>
                <w:rFonts w:hint="eastAsia" w:ascii="宋体" w:hAnsi="宋体" w:cs="宋体"/>
                <w:bCs/>
                <w:color w:val="auto"/>
                <w:highlight w:val="none"/>
                <w:lang w:val="en-US" w:eastAsia="zh-CN"/>
              </w:rPr>
              <w:t>3</w:t>
            </w:r>
            <w:r>
              <w:rPr>
                <w:rFonts w:hint="eastAsia" w:ascii="宋体" w:hAnsi="宋体" w:cs="宋体"/>
                <w:bCs/>
                <w:color w:val="auto"/>
                <w:highlight w:val="none"/>
              </w:rPr>
              <w:t>分</w:t>
            </w:r>
          </w:p>
          <w:p>
            <w:pPr>
              <w:spacing w:before="120" w:beforeLines="50" w:after="120" w:afterLines="50" w:line="360" w:lineRule="auto"/>
              <w:jc w:val="center"/>
              <w:rPr>
                <w:rFonts w:ascii="宋体" w:hAnsi="宋体" w:cs="宋体"/>
                <w:b/>
                <w:color w:val="auto"/>
                <w:highlight w:val="none"/>
                <w:u w:val="singl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750"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3</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50"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4</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bCs/>
                <w:color w:val="auto"/>
                <w:highlight w:val="none"/>
              </w:rPr>
              <w:t>安装与验收方案（5分）：</w:t>
            </w:r>
            <w:r>
              <w:rPr>
                <w:rFonts w:hint="eastAsia" w:ascii="宋体" w:hAnsi="宋体" w:cs="宋体"/>
                <w:b w:val="0"/>
                <w:bCs w:val="0"/>
                <w:color w:val="auto"/>
                <w:highlight w:val="none"/>
                <w:lang w:val="en-US" w:eastAsia="zh-CN"/>
              </w:rPr>
              <w:t>根据</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Align w:val="center"/>
          </w:tcPr>
          <w:p>
            <w:pPr>
              <w:spacing w:before="120" w:beforeLines="50" w:after="120" w:afterLines="50" w:line="360" w:lineRule="auto"/>
              <w:jc w:val="center"/>
              <w:rPr>
                <w:rFonts w:hint="eastAsia" w:ascii="宋体" w:hAnsi="宋体" w:cs="宋体"/>
                <w:color w:val="auto"/>
                <w:highlight w:val="none"/>
              </w:rPr>
            </w:pPr>
          </w:p>
        </w:tc>
        <w:tc>
          <w:tcPr>
            <w:tcW w:w="6573" w:type="dxa"/>
            <w:vAlign w:val="center"/>
          </w:tcPr>
          <w:p>
            <w:pPr>
              <w:spacing w:line="360" w:lineRule="auto"/>
              <w:rPr>
                <w:rFonts w:hint="default"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Merge w:val="restart"/>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suppressLineNumbers w:val="0"/>
              <w:adjustRightInd/>
              <w:spacing w:before="0" w:beforeAutospacing="0" w:after="0" w:afterAutospacing="0" w:line="360" w:lineRule="auto"/>
              <w:ind w:left="0" w:right="0"/>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6</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7</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w:t>
            </w:r>
            <w:r>
              <w:rPr>
                <w:rFonts w:hint="eastAsia" w:ascii="宋体" w:hAnsi="宋体" w:cs="宋体"/>
                <w:b w:val="0"/>
                <w:bCs w:val="0"/>
                <w:i w:val="0"/>
                <w:iCs w:val="0"/>
                <w:color w:val="auto"/>
                <w:sz w:val="21"/>
                <w:szCs w:val="21"/>
                <w:highlight w:val="none"/>
                <w:lang w:val="en-US" w:eastAsia="zh-CN"/>
              </w:rPr>
              <w:t>；④维修质量的保障，</w:t>
            </w:r>
            <w:r>
              <w:rPr>
                <w:rFonts w:hint="eastAsia" w:ascii="宋体" w:hAnsi="宋体" w:eastAsia="宋体" w:cs="宋体"/>
                <w:b w:val="0"/>
                <w:bCs w:val="0"/>
                <w:i w:val="0"/>
                <w:iCs w:val="0"/>
                <w:color w:val="auto"/>
                <w:sz w:val="21"/>
                <w:szCs w:val="21"/>
                <w:highlight w:val="none"/>
                <w:lang w:val="en-US" w:eastAsia="zh-CN"/>
              </w:rPr>
              <w:t>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spacing w:line="360" w:lineRule="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hint="eastAsia"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hint="eastAsia" w:ascii="宋体" w:hAnsi="宋体" w:eastAsia="宋体" w:cs="宋体"/>
                <w:b/>
                <w:bCs/>
                <w:color w:val="auto"/>
                <w:highlight w:val="none"/>
                <w:lang w:eastAsia="zh-CN"/>
              </w:rPr>
            </w:pPr>
            <w:r>
              <w:rPr>
                <w:rFonts w:hint="eastAsia" w:ascii="宋体" w:hAnsi="宋体" w:cs="宋体"/>
                <w:color w:val="auto"/>
                <w:highlight w:val="none"/>
                <w:lang w:val="en-US" w:eastAsia="zh-CN"/>
              </w:rPr>
              <w:t>8</w:t>
            </w:r>
          </w:p>
        </w:tc>
        <w:tc>
          <w:tcPr>
            <w:tcW w:w="6573" w:type="dxa"/>
          </w:tcPr>
          <w:p>
            <w:pPr>
              <w:spacing w:line="360" w:lineRule="auto"/>
              <w:ind w:right="-21" w:rightChars="-10"/>
              <w:rPr>
                <w:rFonts w:ascii="宋体" w:hAnsi="宋体" w:cs="宋体"/>
                <w:b/>
                <w:bCs/>
                <w:color w:val="auto"/>
                <w:highlight w:val="none"/>
              </w:rPr>
            </w:pPr>
            <w:r>
              <w:rPr>
                <w:rFonts w:hint="eastAsia" w:ascii="宋体" w:hAnsi="宋体" w:cs="宋体"/>
                <w:b/>
                <w:bCs/>
                <w:color w:val="auto"/>
                <w:highlight w:val="none"/>
              </w:rPr>
              <w:t>政府采购政策（2分）：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2分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50" w:type="dxa"/>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b/>
                <w:color w:val="auto"/>
                <w:highlight w:val="none"/>
              </w:rPr>
              <w:t>（二）</w:t>
            </w:r>
          </w:p>
        </w:tc>
        <w:tc>
          <w:tcPr>
            <w:tcW w:w="6573" w:type="dxa"/>
          </w:tcPr>
          <w:p>
            <w:pPr>
              <w:spacing w:before="120" w:beforeLines="50" w:after="120" w:afterLines="50" w:line="360" w:lineRule="auto"/>
              <w:rPr>
                <w:rFonts w:ascii="宋体" w:hAnsi="宋体" w:cs="宋体"/>
                <w:b/>
                <w:bCs/>
                <w:color w:val="auto"/>
                <w:highlight w:val="none"/>
              </w:rPr>
            </w:pPr>
            <w:r>
              <w:rPr>
                <w:rFonts w:hint="eastAsia" w:ascii="宋体" w:hAnsi="宋体" w:cs="宋体"/>
                <w:b/>
                <w:bCs/>
                <w:color w:val="auto"/>
                <w:highlight w:val="none"/>
              </w:rPr>
              <w:t>价格部分</w:t>
            </w:r>
          </w:p>
          <w:p>
            <w:pPr>
              <w:spacing w:before="120" w:beforeLines="50" w:after="120" w:afterLines="50" w:line="360" w:lineRule="auto"/>
              <w:rPr>
                <w:rFonts w:ascii="宋体" w:hAnsi="宋体" w:cs="宋体"/>
                <w:bCs/>
                <w:color w:val="auto"/>
                <w:spacing w:val="-4"/>
                <w:highlight w:val="none"/>
              </w:rPr>
            </w:pPr>
            <w:r>
              <w:rPr>
                <w:rFonts w:hint="eastAsia" w:ascii="宋体" w:hAnsi="宋体" w:cs="宋体"/>
                <w:bCs/>
                <w:color w:val="auto"/>
                <w:spacing w:val="-4"/>
                <w:highlight w:val="none"/>
              </w:rPr>
              <w:t>价格分采用低价优先法计算，即满足招标文件要求且投标价格最低的投标报价为评标基准价，其价格分为满分。其他投标人的价格分按照下列公式计算：</w:t>
            </w:r>
          </w:p>
          <w:p>
            <w:pPr>
              <w:spacing w:before="120" w:beforeLines="50" w:after="120" w:afterLines="50" w:line="360" w:lineRule="auto"/>
              <w:rPr>
                <w:rFonts w:ascii="宋体" w:hAnsi="宋体" w:cs="宋体"/>
                <w:b/>
                <w:bCs/>
                <w:color w:val="auto"/>
                <w:highlight w:val="none"/>
              </w:rPr>
            </w:pPr>
            <w:r>
              <w:rPr>
                <w:rFonts w:hint="eastAsia" w:ascii="宋体" w:hAnsi="宋体" w:cs="宋体"/>
                <w:color w:val="auto"/>
                <w:highlight w:val="none"/>
              </w:rPr>
              <w:t>价格分=（评标基准价/投标报价）×</w:t>
            </w:r>
            <w:r>
              <w:rPr>
                <w:rFonts w:hint="eastAsia" w:ascii="宋体" w:hAnsi="宋体" w:cs="宋体"/>
                <w:color w:val="auto"/>
                <w:highlight w:val="none"/>
                <w:u w:val="single"/>
              </w:rPr>
              <w:t>30</w:t>
            </w:r>
            <w:r>
              <w:rPr>
                <w:rFonts w:hint="eastAsia" w:ascii="宋体" w:hAnsi="宋体" w:cs="宋体"/>
                <w:color w:val="auto"/>
                <w:highlight w:val="none"/>
              </w:rPr>
              <w:t>%×100</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
                <w:bCs/>
                <w:color w:val="auto"/>
                <w:highlight w:val="none"/>
                <w:u w:val="single"/>
              </w:rPr>
              <w:t>30</w:t>
            </w:r>
            <w:r>
              <w:rPr>
                <w:rFonts w:hint="eastAsia" w:ascii="宋体" w:hAnsi="宋体" w:cs="宋体"/>
                <w:b/>
                <w:bCs/>
                <w:color w:val="auto"/>
                <w:highlight w:val="none"/>
              </w:rPr>
              <w:t>分</w:t>
            </w:r>
          </w:p>
        </w:tc>
      </w:tr>
    </w:tbl>
    <w:p>
      <w:pPr>
        <w:pStyle w:val="26"/>
        <w:spacing w:before="120" w:after="120" w:line="360" w:lineRule="auto"/>
        <w:rPr>
          <w:rFonts w:hAnsi="宋体"/>
          <w:b/>
          <w:sz w:val="21"/>
          <w:szCs w:val="21"/>
          <w:highlight w:val="none"/>
        </w:rPr>
      </w:pPr>
      <w:r>
        <w:rPr>
          <w:rFonts w:hint="eastAsia" w:hAnsi="宋体"/>
          <w:b/>
          <w:sz w:val="21"/>
          <w:szCs w:val="21"/>
          <w:highlight w:val="none"/>
        </w:rPr>
        <w:t>六、定标</w:t>
      </w:r>
      <w:bookmarkEnd w:id="191"/>
    </w:p>
    <w:p>
      <w:pPr>
        <w:pStyle w:val="26"/>
        <w:spacing w:before="120" w:after="120" w:line="360" w:lineRule="auto"/>
        <w:ind w:firstLine="413" w:firstLineChars="196"/>
        <w:rPr>
          <w:rFonts w:hAnsi="宋体"/>
          <w:b/>
          <w:bCs/>
          <w:sz w:val="21"/>
          <w:szCs w:val="21"/>
          <w:highlight w:val="none"/>
        </w:rPr>
      </w:pPr>
      <w:r>
        <w:rPr>
          <w:rFonts w:hint="eastAsia" w:hAnsi="宋体"/>
          <w:b/>
          <w:bCs/>
          <w:sz w:val="21"/>
          <w:szCs w:val="21"/>
          <w:highlight w:val="none"/>
        </w:rPr>
        <w:t>（一）确定中标供应商。本项目由采购人（或采购人事先授权评标委员会）确定中标供应商。</w:t>
      </w:r>
    </w:p>
    <w:p>
      <w:pPr>
        <w:spacing w:line="360" w:lineRule="auto"/>
        <w:ind w:firstLine="420" w:firstLineChars="200"/>
        <w:rPr>
          <w:rFonts w:ascii="宋体" w:hAnsi="宋体" w:cs="宋体"/>
          <w:highlight w:val="none"/>
        </w:rPr>
      </w:pPr>
      <w:r>
        <w:rPr>
          <w:rFonts w:hint="eastAsia" w:ascii="宋体" w:hAnsi="宋体" w:cs="宋体"/>
          <w:highlight w:val="none"/>
        </w:rPr>
        <w:t>1.采购代理机构在评标结束后将评标报告交采购人确认。</w:t>
      </w:r>
    </w:p>
    <w:p>
      <w:pPr>
        <w:spacing w:line="360" w:lineRule="auto"/>
        <w:ind w:firstLine="420" w:firstLineChars="200"/>
        <w:rPr>
          <w:rFonts w:hint="eastAsia" w:ascii="宋体" w:hAnsi="宋体" w:cs="宋体"/>
          <w:highlight w:val="none"/>
        </w:rPr>
      </w:pPr>
      <w:r>
        <w:rPr>
          <w:rFonts w:hint="eastAsia" w:ascii="宋体" w:hAnsi="宋体" w:cs="宋体"/>
          <w:highlight w:val="none"/>
        </w:rPr>
        <w:t>2.供应商对评标结果无异议的，采购人应在收到评标报告后5个工作日内对评标结果进行确认，按评标报告推荐的顺序确定排名第一的中标候选人为中标人。</w:t>
      </w:r>
    </w:p>
    <w:p>
      <w:pPr>
        <w:spacing w:line="360" w:lineRule="auto"/>
        <w:ind w:firstLine="420" w:firstLineChars="200"/>
        <w:rPr>
          <w:rFonts w:ascii="宋体" w:hAnsi="宋体" w:cs="宋体"/>
          <w:highlight w:val="none"/>
        </w:rPr>
      </w:pPr>
      <w:r>
        <w:rPr>
          <w:rFonts w:hint="eastAsia" w:ascii="宋体" w:hAnsi="宋体" w:cs="宋体"/>
          <w:highlight w:val="none"/>
        </w:rPr>
        <w:t>3.采购人依法确定中标供应商后2个工作日内，采购代理机构以书面形式发出《中标通知书》,并同时在相关网站上发布中标公告。</w:t>
      </w:r>
    </w:p>
    <w:p>
      <w:pPr>
        <w:spacing w:line="360" w:lineRule="auto"/>
        <w:ind w:firstLine="420" w:firstLineChars="200"/>
        <w:rPr>
          <w:rFonts w:ascii="宋体" w:hAnsi="宋体" w:cs="宋体"/>
          <w:highlight w:val="none"/>
          <w:lang w:bidi="ar"/>
        </w:rPr>
      </w:pPr>
      <w:r>
        <w:rPr>
          <w:rFonts w:hint="eastAsia" w:ascii="宋体" w:hAnsi="宋体" w:cs="宋体"/>
          <w:highlight w:val="none"/>
        </w:rPr>
        <w:t>4.</w:t>
      </w:r>
      <w:r>
        <w:rPr>
          <w:rFonts w:hint="eastAsia" w:ascii="宋体" w:hAnsi="宋体" w:cs="宋体"/>
          <w:highlight w:val="none"/>
          <w:lang w:bidi="ar"/>
        </w:rPr>
        <w:t>若中标供应商放弃中标，或因不可抗力提出不能履行合同，或不按采购文件规定提交履约担保，或其它原因被依法撤销中标资格，则采购人可确定排名次之的中标候选人为中标人或重新组织招标。</w:t>
      </w:r>
    </w:p>
    <w:p>
      <w:pPr>
        <w:spacing w:line="360" w:lineRule="auto"/>
        <w:ind w:firstLine="422" w:firstLineChars="200"/>
        <w:rPr>
          <w:rFonts w:ascii="宋体" w:hAnsi="宋体" w:cs="宋体"/>
          <w:b/>
          <w:bCs/>
          <w:highlight w:val="none"/>
          <w:lang w:bidi="ar"/>
        </w:rPr>
      </w:pPr>
      <w:r>
        <w:rPr>
          <w:rFonts w:hint="eastAsia" w:ascii="宋体" w:hAnsi="宋体" w:cs="宋体"/>
          <w:b/>
          <w:bCs/>
          <w:highlight w:val="none"/>
          <w:lang w:bidi="ar"/>
        </w:rPr>
        <w:t>七、评标过程的监控与保密</w:t>
      </w:r>
    </w:p>
    <w:p>
      <w:pPr>
        <w:spacing w:line="360" w:lineRule="auto"/>
        <w:ind w:firstLine="420" w:firstLineChars="200"/>
        <w:rPr>
          <w:rFonts w:ascii="宋体" w:hAnsi="宋体" w:cs="宋体"/>
          <w:highlight w:val="none"/>
          <w:lang w:bidi="ar"/>
        </w:rPr>
      </w:pPr>
      <w:r>
        <w:rPr>
          <w:rFonts w:hint="eastAsia" w:ascii="宋体" w:hAnsi="宋体" w:cs="宋体"/>
          <w:highlight w:val="none"/>
          <w:lang w:bidi="ar"/>
        </w:rPr>
        <w:t>1、本项目评标过程实行全程录音、录像监控，供应商在评标过程中所进行的试图影响评标结果的不公正活动，可能导致其投标被拒绝。</w:t>
      </w:r>
    </w:p>
    <w:p>
      <w:pPr>
        <w:spacing w:line="360" w:lineRule="auto"/>
        <w:ind w:firstLine="420" w:firstLineChars="200"/>
        <w:rPr>
          <w:rFonts w:ascii="宋体" w:hAnsi="宋体" w:cs="宋体"/>
          <w:highlight w:val="none"/>
          <w:lang w:bidi="ar"/>
        </w:rPr>
      </w:pPr>
      <w:r>
        <w:rPr>
          <w:rFonts w:hint="eastAsia" w:ascii="宋体" w:hAnsi="宋体" w:cs="宋体"/>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spacing w:line="360" w:lineRule="auto"/>
        <w:ind w:firstLine="413" w:firstLineChars="196"/>
        <w:rPr>
          <w:rFonts w:ascii="宋体" w:hAnsi="宋体" w:cs="宋体"/>
          <w:b/>
          <w:bCs/>
          <w:highlight w:val="none"/>
        </w:rPr>
      </w:pPr>
      <w:bookmarkStart w:id="194" w:name="_Toc17747"/>
      <w:r>
        <w:rPr>
          <w:rFonts w:hint="eastAsia" w:ascii="宋体" w:hAnsi="宋体" w:cs="宋体"/>
          <w:b/>
          <w:highlight w:val="none"/>
        </w:rPr>
        <w:t>八、合同授予</w:t>
      </w:r>
      <w:bookmarkEnd w:id="194"/>
    </w:p>
    <w:p>
      <w:pPr>
        <w:spacing w:line="360" w:lineRule="auto"/>
        <w:ind w:firstLine="420" w:firstLineChars="200"/>
        <w:rPr>
          <w:rFonts w:ascii="宋体" w:hAnsi="宋体" w:cs="宋体"/>
          <w:highlight w:val="none"/>
        </w:rPr>
      </w:pPr>
      <w:r>
        <w:rPr>
          <w:rFonts w:hint="eastAsia" w:ascii="宋体" w:hAnsi="宋体" w:cs="宋体"/>
          <w:highlight w:val="none"/>
        </w:rPr>
        <w:t>1.采购人应当自中标通知书发出之日起30日内，按照采购文件和中标人投标文件的规定，与中标人签订书面合同。所签订的合同不得对采购文件确定的事项和中标人投标文件作实质性修改。</w:t>
      </w:r>
    </w:p>
    <w:p>
      <w:pPr>
        <w:spacing w:line="360" w:lineRule="auto"/>
        <w:ind w:firstLine="420" w:firstLineChars="200"/>
        <w:rPr>
          <w:rFonts w:ascii="宋体" w:hAnsi="宋体" w:cs="宋体"/>
          <w:highlight w:val="none"/>
        </w:rPr>
      </w:pPr>
      <w:r>
        <w:rPr>
          <w:rFonts w:hint="eastAsia" w:ascii="宋体" w:hAnsi="宋体" w:cs="宋体"/>
          <w:highlight w:val="none"/>
        </w:rPr>
        <w:t>采购人不得向中标人提出任何不合理的要求作为签订合同的条件。</w:t>
      </w:r>
    </w:p>
    <w:p>
      <w:pPr>
        <w:pStyle w:val="26"/>
        <w:spacing w:before="120" w:after="120" w:line="360" w:lineRule="auto"/>
        <w:ind w:firstLine="411" w:firstLineChars="196"/>
        <w:rPr>
          <w:rFonts w:hAnsi="宋体"/>
          <w:bCs/>
          <w:sz w:val="21"/>
          <w:szCs w:val="21"/>
          <w:highlight w:val="none"/>
        </w:rPr>
      </w:pPr>
      <w:r>
        <w:rPr>
          <w:rFonts w:hint="eastAsia" w:hAnsi="宋体"/>
          <w:bCs/>
          <w:sz w:val="21"/>
          <w:szCs w:val="21"/>
          <w:highlight w:val="none"/>
        </w:rPr>
        <w:t>2</w:t>
      </w:r>
      <w:r>
        <w:rPr>
          <w:rFonts w:hint="eastAsia" w:hAnsi="宋体"/>
          <w:sz w:val="21"/>
          <w:szCs w:val="21"/>
          <w:highlight w:val="none"/>
        </w:rPr>
        <w:t>.</w:t>
      </w:r>
      <w:r>
        <w:rPr>
          <w:rFonts w:hint="eastAsia" w:hAnsi="宋体"/>
          <w:bCs/>
          <w:sz w:val="21"/>
          <w:szCs w:val="21"/>
          <w:highlight w:val="none"/>
        </w:rPr>
        <w:t>采购人在签订合同时，在合同金额变更范围内，如需审批的办理相关审批手续。有权变更采购项目的数量和服务内容，但不能对单价或其他条款和条件作任何改变。</w:t>
      </w:r>
    </w:p>
    <w:p>
      <w:pPr>
        <w:pStyle w:val="26"/>
        <w:spacing w:before="120" w:after="120" w:line="360" w:lineRule="auto"/>
        <w:ind w:firstLine="411" w:firstLineChars="196"/>
        <w:rPr>
          <w:rFonts w:hAnsi="宋体"/>
          <w:bCs/>
          <w:sz w:val="21"/>
          <w:szCs w:val="21"/>
          <w:highlight w:val="none"/>
        </w:rPr>
      </w:pPr>
      <w:r>
        <w:rPr>
          <w:rFonts w:hint="eastAsia" w:hAnsi="宋体"/>
          <w:bCs/>
          <w:sz w:val="21"/>
          <w:szCs w:val="21"/>
          <w:highlight w:val="none"/>
        </w:rPr>
        <w:t>3</w:t>
      </w:r>
      <w:r>
        <w:rPr>
          <w:rFonts w:hint="eastAsia" w:hAnsi="宋体"/>
          <w:sz w:val="21"/>
          <w:szCs w:val="21"/>
          <w:highlight w:val="none"/>
        </w:rPr>
        <w:t>.</w:t>
      </w:r>
      <w:r>
        <w:rPr>
          <w:rFonts w:hint="eastAsia" w:hAnsi="宋体"/>
          <w:bCs/>
          <w:sz w:val="21"/>
          <w:szCs w:val="21"/>
          <w:highlight w:val="none"/>
        </w:rPr>
        <w:t>采购文件、中标供应商的投标文件及评标过程中有关的澄清文件均应作为合同签订的附件。</w:t>
      </w:r>
    </w:p>
    <w:p>
      <w:pPr>
        <w:pStyle w:val="26"/>
        <w:spacing w:before="120" w:after="120" w:line="360" w:lineRule="auto"/>
        <w:ind w:firstLine="411" w:firstLineChars="196"/>
        <w:rPr>
          <w:rFonts w:hAnsi="宋体"/>
          <w:bCs/>
          <w:sz w:val="21"/>
          <w:szCs w:val="21"/>
          <w:highlight w:val="none"/>
        </w:rPr>
      </w:pPr>
      <w:r>
        <w:rPr>
          <w:rFonts w:hint="eastAsia" w:hAnsi="宋体"/>
          <w:bCs/>
          <w:sz w:val="21"/>
          <w:szCs w:val="21"/>
          <w:highlight w:val="none"/>
        </w:rPr>
        <w:t>4.中标或者成交供应商拒绝与采购人签订合同的，采购人应重新招标。</w:t>
      </w:r>
    </w:p>
    <w:p>
      <w:pPr>
        <w:spacing w:line="360" w:lineRule="auto"/>
        <w:ind w:firstLine="413" w:firstLineChars="196"/>
        <w:rPr>
          <w:rFonts w:ascii="宋体" w:hAnsi="宋体" w:cs="宋体"/>
          <w:b/>
          <w:highlight w:val="none"/>
        </w:rPr>
      </w:pPr>
      <w:r>
        <w:rPr>
          <w:rFonts w:hint="eastAsia" w:ascii="宋体" w:hAnsi="宋体" w:cs="宋体"/>
          <w:b/>
          <w:highlight w:val="none"/>
        </w:rPr>
        <w:t>九、履约验收</w:t>
      </w:r>
    </w:p>
    <w:p>
      <w:pPr>
        <w:pStyle w:val="26"/>
        <w:spacing w:before="120" w:after="120" w:line="360" w:lineRule="auto"/>
        <w:ind w:firstLine="411" w:firstLineChars="196"/>
        <w:rPr>
          <w:rFonts w:hAnsi="宋体"/>
          <w:sz w:val="21"/>
          <w:szCs w:val="21"/>
          <w:highlight w:val="none"/>
        </w:rPr>
      </w:pPr>
      <w:r>
        <w:rPr>
          <w:rFonts w:hint="eastAsia" w:hAnsi="宋体"/>
          <w:bCs/>
          <w:sz w:val="21"/>
          <w:szCs w:val="21"/>
          <w:highlight w:val="none"/>
        </w:rPr>
        <w:t>采购人负责对中标供应商的履约行为进行验收。政府向社会公众提供的公共服务项目，验收时应当邀请服务对象参与并出具意见，验收结果应当向社会公告。</w:t>
      </w:r>
    </w:p>
    <w:p>
      <w:pPr>
        <w:pStyle w:val="2"/>
        <w:rPr>
          <w:rFonts w:ascii="宋体" w:cs="宋体"/>
          <w:b w:val="0"/>
          <w:bCs w:val="0"/>
          <w:color w:val="auto"/>
          <w:highlight w:val="none"/>
        </w:rPr>
      </w:pPr>
    </w:p>
    <w:bookmarkEnd w:id="192"/>
    <w:bookmarkEnd w:id="193"/>
    <w:p>
      <w:pPr>
        <w:pStyle w:val="18"/>
        <w:jc w:val="center"/>
        <w:rPr>
          <w:rFonts w:ascii="宋体" w:hAnsi="宋体" w:cs="宋体"/>
          <w:b/>
          <w:bCs/>
          <w:highlight w:val="none"/>
        </w:rPr>
        <w:sectPr>
          <w:pgSz w:w="11906" w:h="16838"/>
          <w:pgMar w:top="1474" w:right="1797" w:bottom="1247" w:left="1797" w:header="851" w:footer="851" w:gutter="0"/>
          <w:cols w:space="720" w:num="1"/>
          <w:titlePg/>
          <w:docGrid w:linePitch="312" w:charSpace="0"/>
        </w:sectPr>
      </w:pPr>
      <w:bookmarkStart w:id="195" w:name="_Toc47388386"/>
      <w:bookmarkStart w:id="196" w:name="_Toc13023"/>
      <w:bookmarkStart w:id="197" w:name="_Toc115344282"/>
      <w:bookmarkStart w:id="198" w:name="_Toc317116872"/>
    </w:p>
    <w:p>
      <w:pPr>
        <w:pStyle w:val="18"/>
        <w:jc w:val="center"/>
        <w:rPr>
          <w:rFonts w:ascii="宋体" w:hAnsi="宋体" w:cs="宋体"/>
          <w:b/>
          <w:bCs/>
          <w:highlight w:val="none"/>
        </w:rPr>
      </w:pPr>
      <w:r>
        <w:rPr>
          <w:rFonts w:hint="eastAsia" w:ascii="宋体" w:hAnsi="宋体" w:cs="宋体"/>
          <w:b/>
          <w:bCs/>
          <w:highlight w:val="none"/>
        </w:rPr>
        <w:t xml:space="preserve">第六章  </w:t>
      </w:r>
      <w:bookmarkStart w:id="199" w:name="_Hlk111475955"/>
      <w:r>
        <w:rPr>
          <w:rFonts w:hint="eastAsia" w:ascii="宋体" w:hAnsi="宋体" w:cs="宋体"/>
          <w:b/>
          <w:bCs/>
          <w:highlight w:val="none"/>
        </w:rPr>
        <w:t>投标文件格式</w:t>
      </w:r>
      <w:bookmarkEnd w:id="195"/>
      <w:bookmarkEnd w:id="196"/>
      <w:bookmarkEnd w:id="197"/>
      <w:bookmarkEnd w:id="198"/>
      <w:bookmarkEnd w:id="199"/>
    </w:p>
    <w:p>
      <w:pPr>
        <w:snapToGrid w:val="0"/>
        <w:spacing w:before="120" w:beforeLines="50" w:after="50" w:line="360" w:lineRule="auto"/>
        <w:rPr>
          <w:rFonts w:ascii="宋体" w:hAnsi="宋体" w:cs="宋体"/>
          <w:b/>
          <w:bCs/>
          <w:highlight w:val="none"/>
        </w:rPr>
      </w:pPr>
      <w:bookmarkStart w:id="200" w:name="_Hlk111475968"/>
      <w:r>
        <w:rPr>
          <w:rFonts w:hint="eastAsia" w:ascii="宋体" w:hAnsi="宋体" w:cs="宋体"/>
          <w:b/>
          <w:bCs/>
          <w:highlight w:val="none"/>
        </w:rPr>
        <w:t>1.封面格式：</w:t>
      </w:r>
    </w:p>
    <w:p>
      <w:pPr>
        <w:snapToGrid w:val="0"/>
        <w:spacing w:before="120" w:beforeLines="50" w:after="50" w:line="360" w:lineRule="auto"/>
        <w:ind w:firstLine="207" w:firstLineChars="98"/>
        <w:rPr>
          <w:rFonts w:ascii="宋体" w:hAnsi="宋体" w:cs="宋体"/>
          <w:b/>
          <w:bCs/>
          <w:highlight w:val="none"/>
        </w:rPr>
      </w:pPr>
    </w:p>
    <w:p>
      <w:pPr>
        <w:snapToGrid w:val="0"/>
        <w:spacing w:before="120" w:beforeLines="50" w:after="50" w:line="360" w:lineRule="auto"/>
        <w:jc w:val="center"/>
        <w:rPr>
          <w:rFonts w:ascii="宋体" w:hAnsi="宋体" w:cs="宋体"/>
          <w:highlight w:val="none"/>
        </w:rPr>
      </w:pPr>
      <w:r>
        <w:rPr>
          <w:rFonts w:hint="eastAsia" w:ascii="宋体" w:hAnsi="宋体" w:cs="宋体"/>
          <w:b/>
          <w:bCs/>
          <w:highlight w:val="none"/>
        </w:rPr>
        <w:t xml:space="preserve">                                            正本/或副本</w:t>
      </w:r>
    </w:p>
    <w:p>
      <w:pPr>
        <w:snapToGrid w:val="0"/>
        <w:spacing w:before="120" w:beforeLines="50" w:after="50" w:line="360" w:lineRule="auto"/>
        <w:jc w:val="center"/>
        <w:rPr>
          <w:rFonts w:ascii="宋体" w:hAnsi="宋体" w:cs="宋体"/>
          <w:highlight w:val="none"/>
        </w:rPr>
      </w:pPr>
      <w:r>
        <w:rPr>
          <w:rFonts w:hint="eastAsia" w:ascii="宋体" w:hAnsi="宋体" w:cs="宋体"/>
          <w:highlight w:val="none"/>
        </w:rPr>
        <w:t>投 标 文 件（商务技术文件/报价文件）</w:t>
      </w:r>
    </w:p>
    <w:p>
      <w:pPr>
        <w:snapToGrid w:val="0"/>
        <w:spacing w:before="120" w:beforeLines="50" w:after="50" w:line="360" w:lineRule="auto"/>
        <w:ind w:firstLine="6054" w:firstLineChars="2883"/>
        <w:rPr>
          <w:rFonts w:ascii="宋体" w:hAnsi="宋体" w:cs="宋体"/>
          <w:highlight w:val="none"/>
        </w:rPr>
      </w:pPr>
    </w:p>
    <w:p>
      <w:pPr>
        <w:snapToGrid w:val="0"/>
        <w:spacing w:before="120" w:beforeLines="50" w:after="50" w:line="360" w:lineRule="auto"/>
        <w:ind w:firstLine="945" w:firstLineChars="450"/>
        <w:rPr>
          <w:rFonts w:ascii="宋体" w:hAnsi="宋体" w:cs="宋体"/>
          <w:highlight w:val="none"/>
        </w:rPr>
      </w:pPr>
      <w:r>
        <w:rPr>
          <w:rFonts w:hint="eastAsia" w:ascii="宋体" w:hAnsi="宋体" w:cs="宋体"/>
          <w:highlight w:val="none"/>
        </w:rPr>
        <w:t>项目编号：CBNB-20235522GLS</w:t>
      </w:r>
    </w:p>
    <w:p>
      <w:pPr>
        <w:snapToGrid w:val="0"/>
        <w:spacing w:before="120" w:beforeLines="50" w:after="50" w:line="360" w:lineRule="auto"/>
        <w:ind w:firstLine="945" w:firstLineChars="450"/>
        <w:rPr>
          <w:rFonts w:ascii="宋体" w:hAnsi="宋体" w:cs="宋体"/>
          <w:highlight w:val="none"/>
        </w:rPr>
      </w:pPr>
      <w:r>
        <w:rPr>
          <w:rFonts w:hint="eastAsia" w:ascii="宋体" w:hAnsi="宋体" w:cs="宋体"/>
          <w:highlight w:val="none"/>
        </w:rPr>
        <w:t>项目名称：</w:t>
      </w:r>
      <w:r>
        <w:rPr>
          <w:rFonts w:hint="eastAsia" w:ascii="宋体" w:hAnsi="宋体" w:cs="宋体"/>
          <w:highlight w:val="none"/>
          <w:lang w:eastAsia="zh-CN"/>
        </w:rPr>
        <w:t>丽水市莲都区人民医院血液透析中心设备、彩色多普勒超声诊断仪及全自动快速发药机采购项目</w:t>
      </w:r>
    </w:p>
    <w:p>
      <w:pPr>
        <w:snapToGrid w:val="0"/>
        <w:spacing w:before="120" w:beforeLines="50" w:after="50" w:line="360" w:lineRule="auto"/>
        <w:ind w:firstLine="945" w:firstLineChars="450"/>
        <w:rPr>
          <w:rFonts w:ascii="宋体" w:hAnsi="宋体" w:cs="宋体"/>
          <w:highlight w:val="none"/>
        </w:rPr>
      </w:pPr>
      <w:r>
        <w:rPr>
          <w:rFonts w:hint="eastAsia" w:ascii="宋体" w:hAnsi="宋体" w:cs="宋体"/>
          <w:highlight w:val="none"/>
        </w:rPr>
        <w:t>投标人名称（加盖公章）：</w:t>
      </w:r>
    </w:p>
    <w:p>
      <w:pPr>
        <w:snapToGrid w:val="0"/>
        <w:spacing w:before="120" w:beforeLines="50" w:after="50" w:line="360" w:lineRule="auto"/>
        <w:ind w:firstLine="945" w:firstLineChars="450"/>
        <w:rPr>
          <w:rFonts w:ascii="宋体" w:hAnsi="宋体" w:cs="宋体"/>
          <w:highlight w:val="none"/>
        </w:rPr>
      </w:pPr>
      <w:r>
        <w:rPr>
          <w:rFonts w:hint="eastAsia" w:ascii="宋体" w:hAnsi="宋体" w:cs="宋体"/>
          <w:highlight w:val="none"/>
        </w:rPr>
        <w:t>投标人地址：</w:t>
      </w:r>
    </w:p>
    <w:p>
      <w:pPr>
        <w:snapToGrid w:val="0"/>
        <w:spacing w:before="50" w:after="50" w:line="360" w:lineRule="auto"/>
        <w:outlineLvl w:val="1"/>
        <w:rPr>
          <w:rFonts w:ascii="宋体" w:hAnsi="宋体" w:cs="宋体"/>
          <w:highlight w:val="none"/>
        </w:rPr>
      </w:pPr>
      <w:r>
        <w:rPr>
          <w:rFonts w:hint="eastAsia" w:ascii="宋体" w:hAnsi="宋体" w:cs="宋体"/>
          <w:highlight w:val="none"/>
        </w:rPr>
        <w:t xml:space="preserve">                                                 </w:t>
      </w:r>
      <w:bookmarkStart w:id="201" w:name="_Toc447886499"/>
      <w:bookmarkStart w:id="202" w:name="_Toc115344283"/>
      <w:bookmarkStart w:id="203" w:name="_Toc47388387"/>
      <w:bookmarkStart w:id="204" w:name="_Toc23227"/>
      <w:bookmarkStart w:id="205" w:name="_Toc447886361"/>
      <w:r>
        <w:rPr>
          <w:rFonts w:hint="eastAsia" w:ascii="宋体" w:hAnsi="宋体" w:cs="宋体"/>
          <w:highlight w:val="none"/>
        </w:rPr>
        <w:t>年  月  日</w:t>
      </w:r>
      <w:bookmarkEnd w:id="201"/>
      <w:bookmarkEnd w:id="202"/>
      <w:bookmarkEnd w:id="203"/>
      <w:bookmarkEnd w:id="204"/>
      <w:bookmarkEnd w:id="205"/>
    </w:p>
    <w:p>
      <w:pPr>
        <w:snapToGrid w:val="0"/>
        <w:spacing w:before="120" w:beforeLines="50" w:after="50"/>
        <w:rPr>
          <w:rFonts w:ascii="宋体" w:hAnsi="宋体" w:cs="宋体"/>
          <w:highlight w:val="none"/>
        </w:rPr>
      </w:pPr>
    </w:p>
    <w:p>
      <w:pPr>
        <w:snapToGrid w:val="0"/>
        <w:spacing w:before="120" w:beforeLines="50" w:after="50"/>
        <w:jc w:val="center"/>
        <w:rPr>
          <w:rFonts w:ascii="宋体" w:hAnsi="宋体" w:cs="宋体"/>
          <w:highlight w:val="none"/>
        </w:rPr>
        <w:sectPr>
          <w:pgSz w:w="11906" w:h="16838"/>
          <w:pgMar w:top="1474" w:right="1797" w:bottom="1247" w:left="1797" w:header="851" w:footer="851" w:gutter="0"/>
          <w:cols w:space="720" w:num="1"/>
          <w:titlePg/>
          <w:docGrid w:linePitch="312" w:charSpace="0"/>
        </w:sectPr>
      </w:pPr>
      <w:r>
        <w:rPr>
          <w:rFonts w:hint="eastAsia" w:ascii="宋体" w:hAnsi="宋体" w:cs="宋体"/>
          <w:b/>
          <w:highlight w:val="none"/>
        </w:rPr>
        <w:t>注：联合体投标的，可只由联合体牵头人盖章。</w:t>
      </w:r>
    </w:p>
    <w:bookmarkEnd w:id="200"/>
    <w:p>
      <w:pPr>
        <w:snapToGrid w:val="0"/>
        <w:spacing w:before="120" w:beforeLines="50" w:after="50"/>
        <w:rPr>
          <w:rFonts w:ascii="宋体" w:hAnsi="宋体" w:cs="宋体"/>
          <w:b/>
          <w:bCs/>
          <w:color w:val="auto"/>
          <w:highlight w:val="none"/>
        </w:rPr>
      </w:pPr>
      <w:r>
        <w:rPr>
          <w:rFonts w:hint="eastAsia" w:ascii="宋体" w:hAnsi="宋体" w:cs="宋体"/>
          <w:b/>
          <w:bCs/>
          <w:color w:val="auto"/>
          <w:highlight w:val="none"/>
        </w:rPr>
        <w:t>一、报价文件</w:t>
      </w:r>
    </w:p>
    <w:p>
      <w:pPr>
        <w:snapToGrid w:val="0"/>
        <w:spacing w:before="120" w:beforeLines="50" w:after="50"/>
        <w:rPr>
          <w:rFonts w:ascii="宋体" w:hAnsi="宋体" w:cs="宋体"/>
          <w:color w:val="auto"/>
          <w:highlight w:val="none"/>
        </w:rPr>
      </w:pPr>
      <w:r>
        <w:rPr>
          <w:rFonts w:hint="eastAsia" w:ascii="宋体" w:hAnsi="宋体" w:cs="宋体"/>
          <w:color w:val="auto"/>
          <w:highlight w:val="none"/>
        </w:rPr>
        <w:t>（1）投标函</w:t>
      </w:r>
    </w:p>
    <w:p>
      <w:pPr>
        <w:pStyle w:val="21"/>
        <w:widowControl/>
        <w:spacing w:line="360" w:lineRule="auto"/>
        <w:ind w:firstLine="0"/>
        <w:jc w:val="center"/>
        <w:rPr>
          <w:rFonts w:hAnsi="宋体"/>
          <w:b/>
          <w:bCs/>
          <w:color w:val="auto"/>
          <w:sz w:val="24"/>
          <w:szCs w:val="24"/>
          <w:highlight w:val="none"/>
        </w:rPr>
      </w:pPr>
      <w:r>
        <w:rPr>
          <w:rFonts w:hint="eastAsia" w:hAnsi="宋体"/>
          <w:b/>
          <w:bCs/>
          <w:color w:val="auto"/>
          <w:sz w:val="24"/>
          <w:szCs w:val="24"/>
          <w:highlight w:val="none"/>
        </w:rPr>
        <w:t>投标函</w:t>
      </w:r>
    </w:p>
    <w:p>
      <w:pPr>
        <w:pStyle w:val="21"/>
        <w:widowControl/>
        <w:spacing w:line="360" w:lineRule="auto"/>
        <w:ind w:firstLine="0"/>
        <w:jc w:val="center"/>
        <w:rPr>
          <w:rFonts w:hAnsi="宋体"/>
          <w:b/>
          <w:bCs/>
          <w:color w:val="auto"/>
          <w:sz w:val="24"/>
          <w:szCs w:val="24"/>
          <w:highlight w:val="none"/>
        </w:rPr>
      </w:pPr>
    </w:p>
    <w:p>
      <w:pPr>
        <w:pStyle w:val="21"/>
        <w:widowControl/>
        <w:spacing w:line="360" w:lineRule="auto"/>
        <w:ind w:firstLine="0"/>
        <w:jc w:val="left"/>
        <w:rPr>
          <w:rFonts w:hAnsi="宋体"/>
          <w:color w:val="auto"/>
          <w:sz w:val="21"/>
          <w:szCs w:val="21"/>
          <w:highlight w:val="none"/>
        </w:rPr>
      </w:pPr>
      <w:r>
        <w:rPr>
          <w:rFonts w:hint="eastAsia" w:hAnsi="宋体"/>
          <w:color w:val="auto"/>
          <w:sz w:val="21"/>
          <w:szCs w:val="21"/>
          <w:highlight w:val="none"/>
          <w:u w:val="single"/>
        </w:rPr>
        <w:t>致（采购代理机构）</w:t>
      </w:r>
      <w:r>
        <w:rPr>
          <w:rFonts w:hint="eastAsia" w:hAnsi="宋体"/>
          <w:color w:val="auto"/>
          <w:sz w:val="21"/>
          <w:szCs w:val="21"/>
          <w:highlight w:val="none"/>
        </w:rPr>
        <w:t>：</w:t>
      </w:r>
    </w:p>
    <w:p>
      <w:pPr>
        <w:pStyle w:val="21"/>
        <w:widowControl/>
        <w:spacing w:line="360" w:lineRule="auto"/>
        <w:jc w:val="left"/>
        <w:rPr>
          <w:rFonts w:hAnsi="宋体"/>
          <w:color w:val="auto"/>
          <w:sz w:val="21"/>
          <w:szCs w:val="21"/>
          <w:highlight w:val="none"/>
        </w:rPr>
      </w:pPr>
      <w:r>
        <w:rPr>
          <w:rFonts w:hint="eastAsia" w:hAnsi="宋体"/>
          <w:color w:val="auto"/>
          <w:sz w:val="21"/>
          <w:szCs w:val="21"/>
          <w:highlight w:val="none"/>
        </w:rPr>
        <w:t xml:space="preserve">   </w:t>
      </w:r>
      <w:r>
        <w:rPr>
          <w:rFonts w:hint="eastAsia" w:hAnsi="宋体"/>
          <w:color w:val="auto"/>
          <w:sz w:val="21"/>
          <w:szCs w:val="21"/>
          <w:highlight w:val="none"/>
          <w:u w:val="single"/>
        </w:rPr>
        <w:t>（投标人全称）</w:t>
      </w:r>
      <w:r>
        <w:rPr>
          <w:rFonts w:hint="eastAsia" w:hAnsi="宋体"/>
          <w:color w:val="auto"/>
          <w:sz w:val="21"/>
          <w:szCs w:val="21"/>
          <w:highlight w:val="none"/>
        </w:rPr>
        <w:t>授权</w:t>
      </w:r>
      <w:r>
        <w:rPr>
          <w:rFonts w:hint="eastAsia" w:hAnsi="宋体"/>
          <w:color w:val="auto"/>
          <w:sz w:val="21"/>
          <w:szCs w:val="21"/>
          <w:highlight w:val="none"/>
          <w:u w:val="single"/>
        </w:rPr>
        <w:t xml:space="preserve">（授权代表姓名、职务） </w:t>
      </w:r>
      <w:r>
        <w:rPr>
          <w:rFonts w:hint="eastAsia" w:hAnsi="宋体"/>
          <w:color w:val="auto"/>
          <w:sz w:val="21"/>
          <w:szCs w:val="21"/>
          <w:highlight w:val="none"/>
        </w:rPr>
        <w:t>为本公司（单位）合法代理人，参加贵方组织的</w:t>
      </w:r>
      <w:r>
        <w:rPr>
          <w:rFonts w:hint="eastAsia" w:hAnsi="宋体"/>
          <w:color w:val="auto"/>
          <w:sz w:val="21"/>
          <w:szCs w:val="21"/>
          <w:highlight w:val="none"/>
          <w:u w:val="single"/>
        </w:rPr>
        <w:t xml:space="preserve">（项目编号、项目名称） </w:t>
      </w:r>
      <w:r>
        <w:rPr>
          <w:rFonts w:hint="eastAsia" w:hAnsi="宋体"/>
          <w:color w:val="auto"/>
          <w:sz w:val="21"/>
          <w:szCs w:val="21"/>
          <w:highlight w:val="none"/>
        </w:rPr>
        <w:t>招投标活动，代表本公司（单位）处理招投标活动中的一切事宜，为对</w:t>
      </w:r>
      <w:r>
        <w:rPr>
          <w:rFonts w:hint="eastAsia" w:hAnsi="宋体"/>
          <w:color w:val="auto"/>
          <w:sz w:val="21"/>
          <w:szCs w:val="21"/>
          <w:highlight w:val="none"/>
          <w:u w:val="single"/>
        </w:rPr>
        <w:t>（货物名称）</w:t>
      </w:r>
      <w:r>
        <w:rPr>
          <w:rFonts w:hint="eastAsia" w:hAnsi="宋体"/>
          <w:color w:val="auto"/>
          <w:sz w:val="21"/>
          <w:szCs w:val="21"/>
          <w:highlight w:val="none"/>
        </w:rPr>
        <w:t>进行投标，在此：</w:t>
      </w:r>
    </w:p>
    <w:p>
      <w:pPr>
        <w:pStyle w:val="21"/>
        <w:widowControl/>
        <w:spacing w:line="360" w:lineRule="auto"/>
        <w:ind w:firstLine="0"/>
        <w:jc w:val="left"/>
        <w:rPr>
          <w:rFonts w:hAnsi="宋体"/>
          <w:color w:val="auto"/>
          <w:sz w:val="21"/>
          <w:szCs w:val="21"/>
          <w:highlight w:val="none"/>
        </w:rPr>
      </w:pPr>
      <w:r>
        <w:rPr>
          <w:rFonts w:hint="eastAsia" w:hAnsi="宋体"/>
          <w:color w:val="auto"/>
          <w:sz w:val="21"/>
          <w:szCs w:val="21"/>
          <w:highlight w:val="none"/>
        </w:rPr>
        <w:t>1、提供招标文件中“投标须知”规定的全部投标文件：报价文件、资格证明文件及商务技术文件；</w:t>
      </w:r>
    </w:p>
    <w:p>
      <w:pPr>
        <w:pStyle w:val="21"/>
        <w:widowControl/>
        <w:numPr>
          <w:ilvl w:val="0"/>
          <w:numId w:val="16"/>
        </w:numPr>
        <w:spacing w:line="360" w:lineRule="auto"/>
        <w:ind w:firstLine="0"/>
        <w:jc w:val="left"/>
        <w:rPr>
          <w:rFonts w:hAnsi="宋体"/>
          <w:color w:val="auto"/>
          <w:sz w:val="21"/>
          <w:szCs w:val="21"/>
          <w:highlight w:val="none"/>
        </w:rPr>
      </w:pPr>
      <w:r>
        <w:rPr>
          <w:rFonts w:hint="eastAsia" w:hAnsi="宋体"/>
          <w:color w:val="auto"/>
          <w:sz w:val="21"/>
          <w:szCs w:val="21"/>
          <w:highlight w:val="none"/>
        </w:rPr>
        <w:t>据此函，签字代表宣布并承诺如下：</w:t>
      </w:r>
    </w:p>
    <w:p>
      <w:pPr>
        <w:pStyle w:val="21"/>
        <w:widowControl/>
        <w:spacing w:line="360" w:lineRule="auto"/>
        <w:ind w:firstLine="0"/>
        <w:jc w:val="left"/>
        <w:rPr>
          <w:rFonts w:hAnsi="宋体"/>
          <w:color w:val="auto"/>
          <w:sz w:val="21"/>
          <w:szCs w:val="21"/>
          <w:highlight w:val="none"/>
        </w:rPr>
      </w:pPr>
      <w:r>
        <w:rPr>
          <w:rFonts w:hint="eastAsia" w:hAnsi="宋体"/>
          <w:color w:val="auto"/>
          <w:sz w:val="21"/>
          <w:szCs w:val="21"/>
          <w:highlight w:val="none"/>
        </w:rPr>
        <w:t xml:space="preserve">    （1）本报价已经包含了所供货物应纳的税金及招标文件规定的报价方式应包含的其它费用。本报价在投标有效期内固定不变，并在合同有效期内不受利率波动的影响。</w:t>
      </w:r>
    </w:p>
    <w:p>
      <w:pPr>
        <w:pStyle w:val="21"/>
        <w:widowControl/>
        <w:numPr>
          <w:ilvl w:val="0"/>
          <w:numId w:val="17"/>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本投标自开标之日起</w:t>
      </w:r>
      <w:r>
        <w:rPr>
          <w:rFonts w:hint="eastAsia" w:hAnsi="宋体"/>
          <w:color w:val="auto"/>
          <w:sz w:val="21"/>
          <w:szCs w:val="21"/>
          <w:highlight w:val="none"/>
          <w:u w:val="single"/>
        </w:rPr>
        <w:t>90</w:t>
      </w:r>
      <w:r>
        <w:rPr>
          <w:rFonts w:hint="eastAsia" w:hAnsi="宋体"/>
          <w:color w:val="auto"/>
          <w:sz w:val="21"/>
          <w:szCs w:val="21"/>
          <w:highlight w:val="none"/>
        </w:rPr>
        <w:t>天内有效。</w:t>
      </w:r>
    </w:p>
    <w:p>
      <w:pPr>
        <w:pStyle w:val="21"/>
        <w:widowControl/>
        <w:numPr>
          <w:ilvl w:val="0"/>
          <w:numId w:val="17"/>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我们已详细审查全部招标文件及有关的澄清/修改文件(若有的话)，我们完全理解并同意放弃对这方面提出任何异议的权利。保证遵守招标文件有关条款规定。</w:t>
      </w:r>
    </w:p>
    <w:p>
      <w:pPr>
        <w:pStyle w:val="21"/>
        <w:widowControl/>
        <w:numPr>
          <w:ilvl w:val="0"/>
          <w:numId w:val="17"/>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保证在中标后忠实地执行与采购人所签署的合同，并承担合同规定的责任义务。保证在中标后按照招标文件的规定支付招标服务费。</w:t>
      </w:r>
    </w:p>
    <w:p>
      <w:pPr>
        <w:pStyle w:val="21"/>
        <w:widowControl/>
        <w:numPr>
          <w:ilvl w:val="0"/>
          <w:numId w:val="17"/>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承诺应贵方要求提供任何与该项目投标有关的数据、情况和技术资料。</w:t>
      </w:r>
    </w:p>
    <w:p>
      <w:pPr>
        <w:pStyle w:val="21"/>
        <w:widowControl/>
        <w:numPr>
          <w:ilvl w:val="0"/>
          <w:numId w:val="17"/>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我们承诺，与为采购人采购本次招标的货物进行设计、编制规范和其他文件所委托的咨询公司或其附属机构无任何直接或间接的关联。</w:t>
      </w:r>
    </w:p>
    <w:p>
      <w:pPr>
        <w:pStyle w:val="21"/>
        <w:widowControl/>
        <w:numPr>
          <w:ilvl w:val="0"/>
          <w:numId w:val="17"/>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投标人已详细审查并理解全部招标文件，已完全明确招标文件中的全部内容。如有违反，愿意接受监管机构相应的处理。</w:t>
      </w:r>
    </w:p>
    <w:p>
      <w:pPr>
        <w:pStyle w:val="21"/>
        <w:widowControl/>
        <w:spacing w:line="360" w:lineRule="auto"/>
        <w:ind w:firstLine="0"/>
        <w:jc w:val="left"/>
        <w:rPr>
          <w:rFonts w:hAnsi="宋体"/>
          <w:color w:val="auto"/>
          <w:sz w:val="21"/>
          <w:szCs w:val="21"/>
          <w:highlight w:val="none"/>
        </w:rPr>
      </w:pPr>
      <w:r>
        <w:rPr>
          <w:rFonts w:hint="eastAsia" w:hAnsi="宋体"/>
          <w:color w:val="auto"/>
          <w:sz w:val="21"/>
          <w:szCs w:val="21"/>
          <w:highlight w:val="none"/>
        </w:rPr>
        <w:t>4、与本投标有关的一切往来通讯请寄：</w:t>
      </w:r>
    </w:p>
    <w:p>
      <w:pPr>
        <w:pStyle w:val="21"/>
        <w:widowControl/>
        <w:spacing w:line="360" w:lineRule="auto"/>
        <w:jc w:val="left"/>
        <w:rPr>
          <w:rFonts w:hAnsi="宋体"/>
          <w:color w:val="auto"/>
          <w:sz w:val="21"/>
          <w:szCs w:val="21"/>
          <w:highlight w:val="none"/>
        </w:rPr>
      </w:pPr>
      <w:r>
        <w:rPr>
          <w:rFonts w:hint="eastAsia" w:hAnsi="宋体"/>
          <w:color w:val="auto"/>
          <w:sz w:val="21"/>
          <w:szCs w:val="21"/>
          <w:highlight w:val="none"/>
        </w:rPr>
        <w:t>地址：</w:t>
      </w:r>
      <w:r>
        <w:rPr>
          <w:rFonts w:hint="eastAsia" w:hAnsi="宋体"/>
          <w:color w:val="auto"/>
          <w:sz w:val="21"/>
          <w:szCs w:val="21"/>
          <w:highlight w:val="none"/>
          <w:u w:val="single"/>
        </w:rPr>
        <w:t xml:space="preserve">                                                   </w:t>
      </w:r>
    </w:p>
    <w:p>
      <w:pPr>
        <w:pStyle w:val="21"/>
        <w:widowControl/>
        <w:spacing w:line="360" w:lineRule="auto"/>
        <w:jc w:val="left"/>
        <w:rPr>
          <w:rFonts w:hAnsi="宋体"/>
          <w:color w:val="auto"/>
          <w:sz w:val="21"/>
          <w:szCs w:val="21"/>
          <w:highlight w:val="none"/>
          <w:u w:val="single"/>
        </w:rPr>
      </w:pPr>
      <w:r>
        <w:rPr>
          <w:rFonts w:hint="eastAsia" w:hAnsi="宋体"/>
          <w:color w:val="auto"/>
          <w:sz w:val="21"/>
          <w:szCs w:val="21"/>
          <w:highlight w:val="none"/>
        </w:rPr>
        <w:t>邮编：</w:t>
      </w:r>
      <w:r>
        <w:rPr>
          <w:rFonts w:hint="eastAsia" w:hAnsi="宋体"/>
          <w:color w:val="auto"/>
          <w:sz w:val="21"/>
          <w:szCs w:val="21"/>
          <w:highlight w:val="none"/>
          <w:u w:val="single"/>
        </w:rPr>
        <w:t xml:space="preserve">            </w:t>
      </w:r>
      <w:r>
        <w:rPr>
          <w:rFonts w:hint="eastAsia" w:hAnsi="宋体"/>
          <w:color w:val="auto"/>
          <w:sz w:val="21"/>
          <w:szCs w:val="21"/>
          <w:highlight w:val="none"/>
        </w:rPr>
        <w:t>电话：</w:t>
      </w:r>
      <w:r>
        <w:rPr>
          <w:rFonts w:hint="eastAsia" w:hAnsi="宋体"/>
          <w:color w:val="auto"/>
          <w:sz w:val="21"/>
          <w:szCs w:val="21"/>
          <w:highlight w:val="none"/>
          <w:u w:val="single"/>
        </w:rPr>
        <w:t xml:space="preserve">              </w:t>
      </w:r>
      <w:r>
        <w:rPr>
          <w:rFonts w:hint="eastAsia" w:hAnsi="宋体"/>
          <w:color w:val="auto"/>
          <w:sz w:val="21"/>
          <w:szCs w:val="21"/>
          <w:highlight w:val="none"/>
        </w:rPr>
        <w:t>传真：</w:t>
      </w:r>
      <w:r>
        <w:rPr>
          <w:rFonts w:hint="eastAsia" w:hAnsi="宋体"/>
          <w:color w:val="auto"/>
          <w:sz w:val="21"/>
          <w:szCs w:val="21"/>
          <w:highlight w:val="none"/>
          <w:u w:val="single"/>
        </w:rPr>
        <w:t xml:space="preserve">             </w:t>
      </w:r>
    </w:p>
    <w:p>
      <w:pPr>
        <w:pStyle w:val="21"/>
        <w:widowControl/>
        <w:spacing w:line="360" w:lineRule="auto"/>
        <w:jc w:val="left"/>
        <w:rPr>
          <w:rFonts w:hAnsi="宋体"/>
          <w:color w:val="auto"/>
          <w:sz w:val="21"/>
          <w:szCs w:val="21"/>
          <w:highlight w:val="none"/>
        </w:rPr>
      </w:pPr>
    </w:p>
    <w:p>
      <w:pPr>
        <w:pStyle w:val="26"/>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line="360" w:lineRule="auto"/>
        <w:rPr>
          <w:rFonts w:ascii="宋体" w:hAnsi="宋体" w:cs="宋体"/>
          <w:color w:val="auto"/>
          <w:highlight w:val="none"/>
        </w:rPr>
      </w:pPr>
      <w:r>
        <w:rPr>
          <w:rFonts w:hint="eastAsia" w:ascii="宋体" w:hAnsi="宋体" w:cs="宋体"/>
          <w:color w:val="auto"/>
          <w:highlight w:val="none"/>
        </w:rPr>
        <w:t>日期:_____年___月___日</w:t>
      </w:r>
    </w:p>
    <w:p>
      <w:pPr>
        <w:snapToGrid w:val="0"/>
        <w:spacing w:before="120" w:beforeLines="50" w:after="50"/>
        <w:rPr>
          <w:rFonts w:ascii="宋体" w:hAnsi="宋体" w:cs="宋体"/>
          <w:color w:val="auto"/>
          <w:highlight w:val="none"/>
        </w:rPr>
      </w:pPr>
      <w:r>
        <w:rPr>
          <w:rFonts w:hint="eastAsia" w:ascii="宋体" w:hAnsi="宋体" w:cs="宋体"/>
          <w:b/>
          <w:color w:val="auto"/>
          <w:highlight w:val="none"/>
        </w:rPr>
        <w:t>注：联合体投标的，可只由联合体牵头人盖章。</w:t>
      </w:r>
    </w:p>
    <w:p>
      <w:pPr>
        <w:snapToGrid w:val="0"/>
        <w:spacing w:before="50" w:after="50"/>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（2）开标一览表</w:t>
      </w:r>
    </w:p>
    <w:p>
      <w:pPr>
        <w:snapToGrid w:val="0"/>
        <w:spacing w:before="50" w:after="50" w:line="360" w:lineRule="auto"/>
        <w:jc w:val="center"/>
        <w:rPr>
          <w:rFonts w:ascii="宋体" w:hAnsi="宋体" w:cs="宋体"/>
          <w:b/>
          <w:bCs/>
          <w:color w:val="auto"/>
          <w:highlight w:val="none"/>
        </w:rPr>
      </w:pPr>
      <w:r>
        <w:rPr>
          <w:rFonts w:hint="eastAsia" w:ascii="宋体" w:hAnsi="宋体" w:cs="宋体"/>
          <w:b/>
          <w:bCs/>
          <w:color w:val="auto"/>
          <w:highlight w:val="none"/>
        </w:rPr>
        <w:t>开标一览表</w:t>
      </w:r>
    </w:p>
    <w:p>
      <w:pPr>
        <w:snapToGrid w:val="0"/>
        <w:spacing w:before="50" w:after="50" w:line="360" w:lineRule="auto"/>
        <w:rPr>
          <w:rFonts w:ascii="宋体" w:hAnsi="宋体" w:cs="宋体"/>
          <w:color w:val="auto"/>
          <w:highlight w:val="none"/>
          <w:u w:val="single"/>
        </w:rPr>
      </w:pP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投标人名称：</w:t>
      </w:r>
      <w:r>
        <w:rPr>
          <w:rFonts w:hint="eastAsia" w:ascii="宋体" w:hAnsi="宋体" w:cs="宋体"/>
          <w:color w:val="auto"/>
          <w:highlight w:val="none"/>
          <w:u w:val="single"/>
        </w:rPr>
        <w:t xml:space="preserve">                    </w:t>
      </w:r>
    </w:p>
    <w:tbl>
      <w:tblPr>
        <w:tblStyle w:val="4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2702"/>
        <w:gridCol w:w="45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748" w:type="pct"/>
            <w:vAlign w:val="center"/>
          </w:tcPr>
          <w:p>
            <w:pPr>
              <w:spacing w:line="400" w:lineRule="exact"/>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标项号</w:t>
            </w:r>
          </w:p>
        </w:tc>
        <w:tc>
          <w:tcPr>
            <w:tcW w:w="1584" w:type="pct"/>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采购标的名称</w:t>
            </w:r>
          </w:p>
        </w:tc>
        <w:tc>
          <w:tcPr>
            <w:tcW w:w="2668" w:type="pct"/>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投标报价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48" w:type="pct"/>
            <w:vAlign w:val="center"/>
          </w:tcPr>
          <w:p>
            <w:pPr>
              <w:spacing w:line="400" w:lineRule="exact"/>
              <w:jc w:val="center"/>
              <w:rPr>
                <w:rFonts w:ascii="宋体" w:hAnsi="宋体" w:cs="宋体"/>
                <w:color w:val="auto"/>
                <w:highlight w:val="none"/>
              </w:rPr>
            </w:pPr>
          </w:p>
        </w:tc>
        <w:tc>
          <w:tcPr>
            <w:tcW w:w="1584" w:type="pct"/>
            <w:vAlign w:val="center"/>
          </w:tcPr>
          <w:p>
            <w:pPr>
              <w:spacing w:line="400" w:lineRule="exact"/>
              <w:jc w:val="center"/>
              <w:rPr>
                <w:rFonts w:ascii="宋体" w:hAnsi="宋体" w:cs="宋体"/>
                <w:color w:val="auto"/>
                <w:highlight w:val="none"/>
              </w:rPr>
            </w:pPr>
          </w:p>
        </w:tc>
        <w:tc>
          <w:tcPr>
            <w:tcW w:w="2668" w:type="pct"/>
            <w:vAlign w:val="center"/>
          </w:tcPr>
          <w:p>
            <w:pPr>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332" w:type="pct"/>
            <w:gridSpan w:val="2"/>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投标总价</w:t>
            </w:r>
          </w:p>
        </w:tc>
        <w:tc>
          <w:tcPr>
            <w:tcW w:w="2668" w:type="pct"/>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大写：</w:t>
            </w:r>
          </w:p>
          <w:p>
            <w:pPr>
              <w:pStyle w:val="18"/>
              <w:jc w:val="center"/>
              <w:rPr>
                <w:rFonts w:ascii="宋体" w:hAnsi="宋体" w:cs="宋体"/>
                <w:color w:val="auto"/>
                <w:highlight w:val="none"/>
              </w:rPr>
            </w:pPr>
            <w:r>
              <w:rPr>
                <w:rFonts w:hint="eastAsia" w:ascii="宋体" w:hAnsi="宋体" w:cs="宋体"/>
                <w:color w:val="auto"/>
                <w:sz w:val="21"/>
                <w:szCs w:val="21"/>
                <w:highlight w:val="none"/>
              </w:rPr>
              <w:t>小写：</w:t>
            </w:r>
          </w:p>
        </w:tc>
      </w:tr>
    </w:tbl>
    <w:p>
      <w:pPr>
        <w:snapToGrid w:val="0"/>
        <w:spacing w:before="50" w:after="50" w:line="360" w:lineRule="auto"/>
        <w:rPr>
          <w:rFonts w:ascii="宋体" w:hAnsi="宋体" w:cs="宋体"/>
          <w:color w:val="auto"/>
          <w:highlight w:val="none"/>
        </w:rPr>
      </w:pPr>
    </w:p>
    <w:p>
      <w:pPr>
        <w:snapToGrid w:val="0"/>
        <w:spacing w:before="50" w:after="50" w:line="360" w:lineRule="auto"/>
        <w:rPr>
          <w:rFonts w:ascii="宋体" w:hAnsi="宋体" w:cs="宋体"/>
          <w:color w:val="auto"/>
          <w:highlight w:val="none"/>
        </w:rPr>
      </w:pPr>
      <w:r>
        <w:rPr>
          <w:rFonts w:hint="eastAsia" w:ascii="宋体" w:hAnsi="宋体" w:cs="宋体"/>
          <w:color w:val="auto"/>
          <w:highlight w:val="none"/>
        </w:rPr>
        <w:t xml:space="preserve">                    </w:t>
      </w:r>
    </w:p>
    <w:p>
      <w:pPr>
        <w:snapToGrid w:val="0"/>
        <w:spacing w:line="360" w:lineRule="auto"/>
        <w:jc w:val="left"/>
        <w:rPr>
          <w:rFonts w:ascii="宋体" w:hAnsi="宋体" w:cs="宋体"/>
          <w:color w:val="auto"/>
          <w:highlight w:val="none"/>
        </w:rPr>
      </w:pPr>
      <w:r>
        <w:rPr>
          <w:rFonts w:hint="eastAsia" w:ascii="宋体" w:hAnsi="宋体" w:cs="宋体"/>
          <w:color w:val="auto"/>
          <w:highlight w:val="none"/>
        </w:rPr>
        <w:t>注: 1、报价一经涂改，应在涂改处加盖单位公章或者由法定代表人或授权委托人签字或盖章，否则其投标作无效标处理。</w:t>
      </w:r>
    </w:p>
    <w:p>
      <w:pPr>
        <w:snapToGrid w:val="0"/>
        <w:spacing w:line="360" w:lineRule="auto"/>
        <w:ind w:left="-21" w:leftChars="-72" w:right="-817" w:rightChars="-389" w:hanging="130" w:hangingChars="62"/>
        <w:rPr>
          <w:rFonts w:ascii="宋体" w:hAnsi="宋体" w:cs="宋体"/>
          <w:color w:val="auto"/>
          <w:highlight w:val="none"/>
        </w:rPr>
      </w:pPr>
    </w:p>
    <w:p>
      <w:pPr>
        <w:snapToGrid w:val="0"/>
        <w:spacing w:line="360" w:lineRule="auto"/>
        <w:ind w:left="-21" w:leftChars="-72" w:right="-817" w:rightChars="-389" w:hanging="130" w:hangingChars="62"/>
        <w:rPr>
          <w:rFonts w:ascii="宋体" w:hAnsi="宋体" w:cs="宋体"/>
          <w:color w:val="auto"/>
          <w:highlight w:val="none"/>
        </w:rPr>
      </w:pPr>
    </w:p>
    <w:p>
      <w:pPr>
        <w:pStyle w:val="26"/>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pStyle w:val="26"/>
        <w:tabs>
          <w:tab w:val="left" w:pos="2472"/>
        </w:tabs>
        <w:snapToGrid w:val="0"/>
        <w:spacing w:beforeLines="0" w:afterLines="0" w:line="360" w:lineRule="auto"/>
        <w:jc w:val="left"/>
        <w:rPr>
          <w:rFonts w:hAnsi="宋体"/>
          <w:color w:val="auto"/>
          <w:highlight w:val="none"/>
        </w:rPr>
      </w:pPr>
      <w:r>
        <w:rPr>
          <w:rFonts w:hint="eastAsia" w:hAnsi="宋体"/>
          <w:color w:val="auto"/>
          <w:sz w:val="21"/>
          <w:szCs w:val="21"/>
          <w:highlight w:val="none"/>
        </w:rPr>
        <w:t>日期:_____年___月___日</w:t>
      </w:r>
    </w:p>
    <w:p>
      <w:pPr>
        <w:pStyle w:val="18"/>
        <w:rPr>
          <w:rFonts w:ascii="宋体" w:hAnsi="宋体" w:cs="宋体"/>
          <w:color w:val="auto"/>
          <w:highlight w:val="none"/>
        </w:rPr>
      </w:pPr>
    </w:p>
    <w:p>
      <w:pPr>
        <w:snapToGrid w:val="0"/>
        <w:spacing w:before="120" w:beforeLines="50" w:after="50"/>
        <w:rPr>
          <w:rFonts w:ascii="宋体" w:hAnsi="宋体" w:cs="宋体"/>
          <w:color w:val="auto"/>
          <w:highlight w:val="none"/>
        </w:rPr>
      </w:pPr>
      <w:r>
        <w:rPr>
          <w:rFonts w:hint="eastAsia" w:ascii="宋体" w:hAnsi="宋体" w:cs="宋体"/>
          <w:b/>
          <w:color w:val="auto"/>
          <w:highlight w:val="none"/>
        </w:rPr>
        <w:t>注：联合体投标的，可只由联合体牵头人盖章。</w:t>
      </w:r>
    </w:p>
    <w:p>
      <w:pPr>
        <w:pStyle w:val="26"/>
        <w:snapToGrid w:val="0"/>
        <w:spacing w:beforeLines="0" w:afterLines="0" w:line="240" w:lineRule="auto"/>
        <w:rPr>
          <w:rFonts w:hint="eastAsia" w:hAnsi="宋体"/>
          <w:color w:val="auto"/>
          <w:sz w:val="21"/>
          <w:szCs w:val="21"/>
          <w:highlight w:val="none"/>
        </w:rPr>
      </w:pPr>
      <w:r>
        <w:rPr>
          <w:rFonts w:hint="eastAsia" w:hAnsi="宋体"/>
          <w:color w:val="auto"/>
          <w:sz w:val="21"/>
          <w:szCs w:val="21"/>
          <w:highlight w:val="none"/>
        </w:rPr>
        <w:br w:type="page"/>
      </w:r>
      <w:r>
        <w:rPr>
          <w:rFonts w:hint="eastAsia" w:hAnsi="宋体"/>
          <w:color w:val="auto"/>
          <w:sz w:val="21"/>
          <w:szCs w:val="21"/>
          <w:highlight w:val="none"/>
        </w:rPr>
        <w:t xml:space="preserve">（3）投标报价明细表       </w:t>
      </w:r>
    </w:p>
    <w:p>
      <w:pPr>
        <w:pStyle w:val="26"/>
        <w:snapToGrid w:val="0"/>
        <w:spacing w:beforeLines="0" w:afterLines="0" w:line="240" w:lineRule="auto"/>
        <w:rPr>
          <w:rFonts w:hint="eastAsia" w:hAnsi="宋体"/>
          <w:color w:val="auto"/>
          <w:sz w:val="21"/>
          <w:szCs w:val="21"/>
          <w:highlight w:val="none"/>
        </w:rPr>
      </w:pPr>
    </w:p>
    <w:p>
      <w:pPr>
        <w:pStyle w:val="26"/>
        <w:snapToGrid w:val="0"/>
        <w:spacing w:beforeLines="0" w:afterLines="0" w:line="240" w:lineRule="auto"/>
        <w:jc w:val="center"/>
        <w:rPr>
          <w:rFonts w:hAnsi="宋体"/>
          <w:color w:val="auto"/>
          <w:sz w:val="21"/>
          <w:szCs w:val="21"/>
          <w:highlight w:val="none"/>
        </w:rPr>
      </w:pPr>
      <w:r>
        <w:rPr>
          <w:rFonts w:hint="eastAsia" w:hAnsi="宋体"/>
          <w:b/>
          <w:bCs/>
          <w:color w:val="auto"/>
          <w:sz w:val="21"/>
          <w:szCs w:val="21"/>
          <w:highlight w:val="none"/>
        </w:rPr>
        <w:t>设备报价明细表</w:t>
      </w:r>
    </w:p>
    <w:p>
      <w:pPr>
        <w:pStyle w:val="26"/>
        <w:snapToGrid w:val="0"/>
        <w:spacing w:beforeLines="0" w:afterLines="0"/>
        <w:jc w:val="left"/>
        <w:rPr>
          <w:rFonts w:hint="eastAsia" w:hAnsi="宋体"/>
          <w:color w:val="auto"/>
          <w:sz w:val="21"/>
          <w:szCs w:val="21"/>
          <w:highlight w:val="none"/>
        </w:rPr>
      </w:pPr>
    </w:p>
    <w:p>
      <w:pPr>
        <w:pStyle w:val="26"/>
        <w:snapToGrid w:val="0"/>
        <w:spacing w:beforeLines="0" w:afterLines="0"/>
        <w:jc w:val="left"/>
        <w:rPr>
          <w:rFonts w:hAnsi="宋体"/>
          <w:color w:val="auto"/>
          <w:sz w:val="21"/>
          <w:szCs w:val="21"/>
          <w:highlight w:val="none"/>
        </w:rPr>
      </w:pPr>
      <w:r>
        <w:rPr>
          <w:rFonts w:hint="eastAsia" w:hAnsi="宋体"/>
          <w:color w:val="auto"/>
          <w:sz w:val="21"/>
          <w:szCs w:val="21"/>
          <w:highlight w:val="none"/>
        </w:rPr>
        <w:t>项目编号：</w:t>
      </w:r>
      <w:r>
        <w:rPr>
          <w:rFonts w:hint="eastAsia" w:hAnsi="宋体"/>
          <w:color w:val="auto"/>
          <w:sz w:val="21"/>
          <w:szCs w:val="21"/>
          <w:highlight w:val="none"/>
          <w:u w:val="single"/>
        </w:rPr>
        <w:t xml:space="preserve">             </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u w:val="single"/>
        </w:rPr>
        <w:t xml:space="preserve">        </w:t>
      </w:r>
      <w:r>
        <w:rPr>
          <w:rFonts w:hint="eastAsia" w:hAnsi="宋体"/>
          <w:color w:val="auto"/>
          <w:sz w:val="21"/>
          <w:szCs w:val="21"/>
          <w:highlight w:val="none"/>
        </w:rPr>
        <w:t>项目名称：</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金额单位：人民币（元）</w:t>
      </w:r>
    </w:p>
    <w:tbl>
      <w:tblPr>
        <w:tblStyle w:val="48"/>
        <w:tblW w:w="8676" w:type="dxa"/>
        <w:tblInd w:w="-146"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61"/>
        <w:gridCol w:w="1535"/>
        <w:gridCol w:w="1023"/>
        <w:gridCol w:w="1364"/>
        <w:gridCol w:w="1535"/>
        <w:gridCol w:w="1194"/>
        <w:gridCol w:w="136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65" w:hRule="atLeast"/>
        </w:trPr>
        <w:tc>
          <w:tcPr>
            <w:tcW w:w="661"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序号</w:t>
            </w:r>
          </w:p>
        </w:tc>
        <w:tc>
          <w:tcPr>
            <w:tcW w:w="1535"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设备名称</w:t>
            </w:r>
          </w:p>
        </w:tc>
        <w:tc>
          <w:tcPr>
            <w:tcW w:w="1023" w:type="dxa"/>
            <w:tcBorders>
              <w:tl2br w:val="nil"/>
              <w:tr2bl w:val="nil"/>
            </w:tcBorders>
            <w:vAlign w:val="center"/>
          </w:tcPr>
          <w:p>
            <w:pPr>
              <w:pStyle w:val="252"/>
              <w:snapToGrid w:val="0"/>
              <w:spacing w:before="50" w:after="50" w:line="40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产地品牌</w:t>
            </w:r>
          </w:p>
        </w:tc>
        <w:tc>
          <w:tcPr>
            <w:tcW w:w="1364"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规格型号</w:t>
            </w:r>
          </w:p>
        </w:tc>
        <w:tc>
          <w:tcPr>
            <w:tcW w:w="1535"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单位及数量</w:t>
            </w:r>
          </w:p>
        </w:tc>
        <w:tc>
          <w:tcPr>
            <w:tcW w:w="1194"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单价（元）</w:t>
            </w:r>
          </w:p>
        </w:tc>
        <w:tc>
          <w:tcPr>
            <w:tcW w:w="1364"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金额（元）</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661"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661"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661"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69" w:hRule="atLeast"/>
        </w:trPr>
        <w:tc>
          <w:tcPr>
            <w:tcW w:w="661"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51" w:hRule="atLeast"/>
        </w:trPr>
        <w:tc>
          <w:tcPr>
            <w:tcW w:w="661"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spacing w:val="20"/>
                <w:highlight w:val="none"/>
              </w:rPr>
              <w:t>……</w:t>
            </w: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75" w:hRule="atLeast"/>
        </w:trPr>
        <w:tc>
          <w:tcPr>
            <w:tcW w:w="661"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vMerge w:val="restart"/>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b/>
                <w:bCs/>
                <w:color w:val="auto"/>
                <w:spacing w:val="20"/>
                <w:highlight w:val="none"/>
              </w:rPr>
              <w:t>专用耗材</w:t>
            </w: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75" w:hRule="atLeast"/>
        </w:trPr>
        <w:tc>
          <w:tcPr>
            <w:tcW w:w="661"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vMerge w:val="continue"/>
            <w:tcBorders>
              <w:tl2br w:val="nil"/>
              <w:tr2bl w:val="nil"/>
            </w:tcBorders>
          </w:tcPr>
          <w:p>
            <w:pPr>
              <w:tabs>
                <w:tab w:val="left" w:pos="1418"/>
              </w:tabs>
              <w:snapToGrid w:val="0"/>
              <w:spacing w:before="50" w:after="50" w:line="400" w:lineRule="exact"/>
              <w:jc w:val="center"/>
              <w:rPr>
                <w:rFonts w:ascii="宋体" w:hAnsi="宋体" w:cs="宋体"/>
                <w:b/>
                <w:bCs/>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312" w:type="dxa"/>
            <w:gridSpan w:val="6"/>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spacing w:val="20"/>
                <w:highlight w:val="none"/>
              </w:rPr>
              <w:t>设备报价合计</w:t>
            </w:r>
            <w:r>
              <w:rPr>
                <w:rFonts w:hint="eastAsia" w:ascii="宋体" w:hAnsi="宋体" w:cs="宋体"/>
                <w:color w:val="auto"/>
                <w:highlight w:val="none"/>
              </w:rPr>
              <w:t>（元）</w:t>
            </w: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bl>
    <w:p>
      <w:pPr>
        <w:snapToGrid w:val="0"/>
        <w:spacing w:line="360" w:lineRule="auto"/>
        <w:ind w:firstLine="420" w:firstLineChars="200"/>
        <w:jc w:val="left"/>
        <w:rPr>
          <w:rFonts w:ascii="宋体" w:hAnsi="宋体" w:cs="宋体"/>
          <w:color w:val="auto"/>
          <w:highlight w:val="none"/>
        </w:rPr>
      </w:pP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分别报出每台设备的金额。</w:t>
      </w:r>
    </w:p>
    <w:p>
      <w:pPr>
        <w:tabs>
          <w:tab w:val="left" w:pos="1418"/>
        </w:tabs>
        <w:snapToGrid w:val="0"/>
        <w:spacing w:before="50" w:after="50"/>
        <w:ind w:left="1418" w:hanging="567"/>
        <w:jc w:val="center"/>
        <w:rPr>
          <w:rFonts w:ascii="宋体" w:hAnsi="宋体" w:cs="宋体"/>
          <w:color w:val="auto"/>
          <w:spacing w:val="20"/>
          <w:highlight w:val="none"/>
          <w:u w:val="single"/>
        </w:rPr>
      </w:pPr>
    </w:p>
    <w:p>
      <w:pPr>
        <w:pStyle w:val="26"/>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before="50" w:after="50"/>
        <w:rPr>
          <w:rFonts w:ascii="宋体" w:hAnsi="宋体" w:cs="宋体"/>
          <w:color w:val="auto"/>
          <w:spacing w:val="20"/>
          <w:highlight w:val="none"/>
          <w:u w:val="single"/>
        </w:rPr>
      </w:pPr>
      <w:r>
        <w:rPr>
          <w:rFonts w:hint="eastAsia" w:ascii="宋体" w:hAnsi="宋体" w:cs="宋体"/>
          <w:color w:val="auto"/>
          <w:highlight w:val="none"/>
        </w:rPr>
        <w:t>日期:_____年___月___日</w:t>
      </w:r>
    </w:p>
    <w:p>
      <w:pPr>
        <w:pStyle w:val="26"/>
        <w:snapToGrid w:val="0"/>
        <w:spacing w:beforeLines="0" w:afterLines="0" w:line="240" w:lineRule="auto"/>
        <w:rPr>
          <w:rFonts w:hAnsi="宋体"/>
          <w:color w:val="auto"/>
          <w:sz w:val="21"/>
          <w:szCs w:val="21"/>
          <w:highlight w:val="none"/>
        </w:rPr>
      </w:pPr>
    </w:p>
    <w:p>
      <w:pPr>
        <w:pStyle w:val="21"/>
        <w:spacing w:line="520" w:lineRule="exact"/>
        <w:ind w:firstLine="0"/>
        <w:jc w:val="left"/>
        <w:rPr>
          <w:rFonts w:hAnsi="宋体"/>
          <w:b/>
          <w:color w:val="auto"/>
          <w:sz w:val="21"/>
          <w:szCs w:val="21"/>
          <w:highlight w:val="none"/>
        </w:rPr>
      </w:pPr>
      <w:r>
        <w:rPr>
          <w:rFonts w:hint="eastAsia" w:hAnsi="宋体"/>
          <w:b/>
          <w:color w:val="auto"/>
          <w:sz w:val="21"/>
          <w:szCs w:val="21"/>
          <w:highlight w:val="none"/>
        </w:rPr>
        <w:t>注：联合体投标的，可只由联合体牵头人盖章。</w:t>
      </w:r>
    </w:p>
    <w:p>
      <w:pPr>
        <w:rPr>
          <w:rFonts w:ascii="宋体" w:hAnsi="宋体" w:cs="宋体"/>
          <w:b/>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r>
        <w:rPr>
          <w:rFonts w:hint="eastAsia" w:ascii="宋体" w:hAnsi="宋体" w:cs="宋体"/>
          <w:color w:val="auto"/>
          <w:highlight w:val="none"/>
        </w:rPr>
        <w:t>（4）中小企业声明函</w:t>
      </w:r>
    </w:p>
    <w:p>
      <w:pPr>
        <w:pStyle w:val="21"/>
        <w:spacing w:line="520" w:lineRule="exact"/>
        <w:ind w:firstLine="0"/>
        <w:rPr>
          <w:rFonts w:hAnsi="宋体"/>
          <w:b/>
          <w:bCs/>
          <w:color w:val="auto"/>
          <w:sz w:val="24"/>
          <w:szCs w:val="24"/>
          <w:highlight w:val="none"/>
        </w:rPr>
      </w:pPr>
    </w:p>
    <w:p>
      <w:pPr>
        <w:snapToGrid w:val="0"/>
        <w:spacing w:after="120" w:afterLines="50" w:line="360" w:lineRule="auto"/>
        <w:jc w:val="center"/>
        <w:rPr>
          <w:rFonts w:ascii="宋体" w:hAnsi="宋体" w:cs="宋体"/>
          <w:b/>
          <w:bCs/>
          <w:color w:val="auto"/>
          <w:highlight w:val="none"/>
        </w:rPr>
      </w:pPr>
      <w:r>
        <w:rPr>
          <w:rFonts w:hint="eastAsia" w:ascii="宋体" w:hAnsi="宋体" w:cs="宋体"/>
          <w:b/>
          <w:bCs/>
          <w:color w:val="auto"/>
          <w:highlight w:val="none"/>
        </w:rPr>
        <w:t>中小企业声明函</w:t>
      </w:r>
    </w:p>
    <w:p>
      <w:pPr>
        <w:spacing w:line="360" w:lineRule="auto"/>
        <w:rPr>
          <w:rFonts w:ascii="宋体" w:hAnsi="宋体" w:cs="宋体"/>
          <w:b/>
          <w:bCs/>
          <w:color w:val="auto"/>
          <w:spacing w:val="6"/>
          <w:highlight w:val="none"/>
        </w:rPr>
      </w:pP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本公司（联合体）郑重声明，根据《政府采购促进中小企业发展管理办法》（财库﹝2020﹞46 号）的规定，本公司（联合体）参加</w:t>
      </w:r>
      <w:r>
        <w:rPr>
          <w:rFonts w:hint="eastAsia" w:ascii="宋体" w:hAnsi="宋体" w:cs="宋体"/>
          <w:color w:val="auto"/>
          <w:spacing w:val="6"/>
          <w:highlight w:val="none"/>
          <w:u w:val="single"/>
        </w:rPr>
        <w:t>（单位名称）</w:t>
      </w:r>
      <w:r>
        <w:rPr>
          <w:rFonts w:hint="eastAsia" w:ascii="宋体" w:hAnsi="宋体" w:cs="宋体"/>
          <w:color w:val="auto"/>
          <w:spacing w:val="6"/>
          <w:highlight w:val="none"/>
        </w:rPr>
        <w:t>的</w:t>
      </w:r>
      <w:r>
        <w:rPr>
          <w:rFonts w:hint="eastAsia" w:ascii="宋体" w:hAnsi="宋体" w:cs="宋体"/>
          <w:color w:val="auto"/>
          <w:spacing w:val="6"/>
          <w:highlight w:val="none"/>
          <w:u w:val="single"/>
        </w:rPr>
        <w:t>（项目名称）</w:t>
      </w:r>
      <w:r>
        <w:rPr>
          <w:rFonts w:hint="eastAsia" w:ascii="宋体" w:hAnsi="宋体" w:cs="宋体"/>
          <w:color w:val="auto"/>
          <w:spacing w:val="6"/>
          <w:highlight w:val="none"/>
        </w:rPr>
        <w:t>采购活动，提供的货物全部由符合政策要求的中小企业制造。相关企业（含联合体中的中小企业、签订分包意向协议的中小企业）的具体情况如下：</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 xml:space="preserve">1. </w:t>
      </w:r>
      <w:r>
        <w:rPr>
          <w:rFonts w:hint="eastAsia" w:ascii="宋体" w:hAnsi="宋体" w:cs="宋体"/>
          <w:color w:val="auto"/>
          <w:spacing w:val="6"/>
          <w:highlight w:val="none"/>
          <w:u w:val="single"/>
        </w:rPr>
        <w:t xml:space="preserve">（标的名称） </w:t>
      </w:r>
      <w:r>
        <w:rPr>
          <w:rFonts w:hint="eastAsia" w:ascii="宋体" w:hAnsi="宋体" w:cs="宋体"/>
          <w:color w:val="auto"/>
          <w:spacing w:val="6"/>
          <w:highlight w:val="none"/>
        </w:rPr>
        <w:t>，属于</w:t>
      </w:r>
      <w:r>
        <w:rPr>
          <w:rFonts w:hint="eastAsia" w:ascii="宋体" w:hAnsi="宋体" w:cs="宋体"/>
          <w:color w:val="auto"/>
          <w:spacing w:val="6"/>
          <w:highlight w:val="none"/>
          <w:u w:val="single"/>
        </w:rPr>
        <w:t>工业</w:t>
      </w:r>
      <w:r>
        <w:rPr>
          <w:rFonts w:hint="eastAsia" w:ascii="宋体" w:hAnsi="宋体" w:cs="宋体"/>
          <w:color w:val="auto"/>
          <w:spacing w:val="6"/>
          <w:highlight w:val="none"/>
        </w:rPr>
        <w:t>行业；制造商为</w:t>
      </w:r>
      <w:r>
        <w:rPr>
          <w:rFonts w:hint="eastAsia" w:ascii="宋体" w:hAnsi="宋体" w:cs="宋体"/>
          <w:color w:val="auto"/>
          <w:spacing w:val="6"/>
          <w:highlight w:val="none"/>
          <w:u w:val="single"/>
        </w:rPr>
        <w:t>（企业名称）</w:t>
      </w:r>
      <w:r>
        <w:rPr>
          <w:rFonts w:hint="eastAsia" w:ascii="宋体" w:hAnsi="宋体" w:cs="宋体"/>
          <w:color w:val="auto"/>
          <w:spacing w:val="6"/>
          <w:highlight w:val="none"/>
        </w:rPr>
        <w:t>，从业人员</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人，营业收入为</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万元</w:t>
      </w:r>
      <w:r>
        <w:rPr>
          <w:rFonts w:hint="eastAsia" w:ascii="宋体" w:hAnsi="宋体" w:cs="宋体"/>
          <w:color w:val="auto"/>
          <w:highlight w:val="none"/>
          <w:vertAlign w:val="superscript"/>
        </w:rPr>
        <w:t>1</w:t>
      </w:r>
      <w:r>
        <w:rPr>
          <w:rFonts w:hint="eastAsia" w:ascii="宋体" w:hAnsi="宋体" w:cs="宋体"/>
          <w:color w:val="auto"/>
          <w:spacing w:val="6"/>
          <w:highlight w:val="none"/>
        </w:rPr>
        <w:t>，资产总额为</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万元，属于</w:t>
      </w:r>
      <w:r>
        <w:rPr>
          <w:rFonts w:hint="eastAsia" w:ascii="宋体" w:hAnsi="宋体" w:cs="宋体"/>
          <w:color w:val="auto"/>
          <w:spacing w:val="6"/>
          <w:highlight w:val="none"/>
          <w:u w:val="single"/>
        </w:rPr>
        <w:t>（中型企业、小型企业、微型企业）</w:t>
      </w:r>
      <w:r>
        <w:rPr>
          <w:rFonts w:hint="eastAsia" w:ascii="宋体" w:hAnsi="宋体" w:cs="宋体"/>
          <w:color w:val="auto"/>
          <w:spacing w:val="6"/>
          <w:highlight w:val="none"/>
        </w:rPr>
        <w:t>；</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2.</w:t>
      </w:r>
      <w:r>
        <w:rPr>
          <w:rFonts w:hint="eastAsia" w:ascii="宋体" w:hAnsi="宋体" w:cs="宋体"/>
          <w:color w:val="auto"/>
          <w:spacing w:val="6"/>
          <w:highlight w:val="none"/>
          <w:u w:val="single"/>
        </w:rPr>
        <w:t xml:space="preserve"> （标的名称） </w:t>
      </w:r>
      <w:r>
        <w:rPr>
          <w:rFonts w:hint="eastAsia" w:ascii="宋体" w:hAnsi="宋体" w:cs="宋体"/>
          <w:color w:val="auto"/>
          <w:spacing w:val="6"/>
          <w:highlight w:val="none"/>
        </w:rPr>
        <w:t>，属于</w:t>
      </w:r>
      <w:r>
        <w:rPr>
          <w:rFonts w:hint="eastAsia" w:ascii="宋体" w:hAnsi="宋体" w:cs="宋体"/>
          <w:color w:val="auto"/>
          <w:spacing w:val="6"/>
          <w:highlight w:val="none"/>
          <w:u w:val="single"/>
        </w:rPr>
        <w:t>工业</w:t>
      </w:r>
      <w:r>
        <w:rPr>
          <w:rFonts w:hint="eastAsia" w:ascii="宋体" w:hAnsi="宋体" w:cs="宋体"/>
          <w:color w:val="auto"/>
          <w:spacing w:val="6"/>
          <w:highlight w:val="none"/>
        </w:rPr>
        <w:t>行业；制造商为</w:t>
      </w:r>
      <w:r>
        <w:rPr>
          <w:rFonts w:hint="eastAsia" w:ascii="宋体" w:hAnsi="宋体" w:cs="宋体"/>
          <w:color w:val="auto"/>
          <w:spacing w:val="6"/>
          <w:highlight w:val="none"/>
          <w:u w:val="single"/>
        </w:rPr>
        <w:t>（企业名称）</w:t>
      </w:r>
      <w:r>
        <w:rPr>
          <w:rFonts w:hint="eastAsia" w:ascii="宋体" w:hAnsi="宋体" w:cs="宋体"/>
          <w:color w:val="auto"/>
          <w:spacing w:val="6"/>
          <w:highlight w:val="none"/>
        </w:rPr>
        <w:t>，从业人员</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人，营业收入为</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万元，资产总额为</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万元，属于</w:t>
      </w:r>
      <w:r>
        <w:rPr>
          <w:rFonts w:hint="eastAsia" w:ascii="宋体" w:hAnsi="宋体" w:cs="宋体"/>
          <w:color w:val="auto"/>
          <w:spacing w:val="6"/>
          <w:highlight w:val="none"/>
          <w:u w:val="single"/>
        </w:rPr>
        <w:t>（中型企业、小型企业、微型企业）</w:t>
      </w:r>
      <w:r>
        <w:rPr>
          <w:rFonts w:hint="eastAsia" w:ascii="宋体" w:hAnsi="宋体" w:cs="宋体"/>
          <w:color w:val="auto"/>
          <w:spacing w:val="6"/>
          <w:highlight w:val="none"/>
        </w:rPr>
        <w:t>；</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以上企业，不属于大企业的分支机构，不存在控股股东为大企业的情形，也不存在与大企业的负责人为同一人的情形。</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本企业对上述声明内容的真实性负责。如有虚假，将依法承担相应责任。</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 xml:space="preserve">                        </w:t>
      </w:r>
    </w:p>
    <w:p>
      <w:pPr>
        <w:spacing w:line="360" w:lineRule="auto"/>
        <w:ind w:firstLine="3330" w:firstLineChars="1500"/>
        <w:rPr>
          <w:rFonts w:hint="eastAsia" w:ascii="宋体" w:hAnsi="宋体" w:cs="宋体"/>
          <w:color w:val="auto"/>
          <w:spacing w:val="6"/>
          <w:highlight w:val="none"/>
        </w:rPr>
      </w:pPr>
    </w:p>
    <w:p>
      <w:pPr>
        <w:spacing w:line="360" w:lineRule="auto"/>
        <w:ind w:firstLine="3330" w:firstLineChars="1500"/>
        <w:rPr>
          <w:rFonts w:ascii="宋体" w:hAnsi="宋体" w:cs="宋体"/>
          <w:color w:val="auto"/>
          <w:spacing w:val="6"/>
          <w:highlight w:val="none"/>
        </w:rPr>
      </w:pPr>
      <w:r>
        <w:rPr>
          <w:rFonts w:hint="eastAsia" w:ascii="宋体" w:hAnsi="宋体" w:cs="宋体"/>
          <w:color w:val="auto"/>
          <w:spacing w:val="6"/>
          <w:highlight w:val="none"/>
        </w:rPr>
        <w:t>企业名称（盖章）：</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 xml:space="preserve">                         日期：</w:t>
      </w:r>
    </w:p>
    <w:p>
      <w:pPr>
        <w:widowControl/>
        <w:tabs>
          <w:tab w:val="left" w:pos="606"/>
        </w:tabs>
        <w:spacing w:line="360" w:lineRule="auto"/>
        <w:jc w:val="left"/>
        <w:rPr>
          <w:rFonts w:hint="eastAsia" w:ascii="宋体" w:hAnsi="宋体" w:cs="宋体"/>
          <w:color w:val="auto"/>
          <w:spacing w:val="-6"/>
          <w:kern w:val="0"/>
          <w:highlight w:val="none"/>
        </w:rPr>
      </w:pPr>
    </w:p>
    <w:p>
      <w:pPr>
        <w:widowControl/>
        <w:tabs>
          <w:tab w:val="left" w:pos="606"/>
        </w:tabs>
        <w:spacing w:line="360" w:lineRule="auto"/>
        <w:jc w:val="left"/>
        <w:rPr>
          <w:rFonts w:hint="eastAsia" w:ascii="宋体" w:hAnsi="宋体" w:cs="宋体"/>
          <w:color w:val="auto"/>
          <w:spacing w:val="-6"/>
          <w:kern w:val="0"/>
          <w:highlight w:val="none"/>
        </w:rPr>
      </w:pPr>
    </w:p>
    <w:p>
      <w:pPr>
        <w:widowControl/>
        <w:tabs>
          <w:tab w:val="left" w:pos="606"/>
        </w:tabs>
        <w:spacing w:line="360" w:lineRule="auto"/>
        <w:jc w:val="left"/>
        <w:rPr>
          <w:rFonts w:ascii="宋体" w:hAnsi="宋体" w:cs="宋体"/>
          <w:color w:val="auto"/>
          <w:kern w:val="0"/>
          <w:highlight w:val="none"/>
        </w:rPr>
      </w:pPr>
      <w:r>
        <w:rPr>
          <w:rFonts w:hint="eastAsia" w:ascii="宋体" w:hAnsi="宋体" w:cs="宋体"/>
          <w:color w:val="auto"/>
          <w:spacing w:val="-6"/>
          <w:kern w:val="0"/>
          <w:highlight w:val="none"/>
        </w:rPr>
        <w:t>1</w:t>
      </w:r>
      <w:r>
        <w:rPr>
          <w:rFonts w:hint="eastAsia" w:ascii="宋体" w:hAnsi="宋体" w:cs="宋体"/>
          <w:color w:val="auto"/>
          <w:kern w:val="0"/>
          <w:highlight w:val="none"/>
        </w:rPr>
        <w:t>、从业人员、营业收入、资产总额填报上一年度数据，无上一年度数据的新成立企业可不填报。</w:t>
      </w:r>
    </w:p>
    <w:p>
      <w:pPr>
        <w:widowControl/>
        <w:tabs>
          <w:tab w:val="left" w:pos="606"/>
        </w:tabs>
        <w:spacing w:line="360" w:lineRule="auto"/>
        <w:jc w:val="left"/>
        <w:rPr>
          <w:rFonts w:ascii="宋体" w:hAnsi="宋体" w:cs="宋体"/>
          <w:color w:val="auto"/>
          <w:kern w:val="0"/>
          <w:highlight w:val="none"/>
        </w:rPr>
      </w:pPr>
      <w:r>
        <w:rPr>
          <w:rFonts w:hint="eastAsia" w:ascii="宋体" w:hAnsi="宋体" w:cs="宋体"/>
          <w:color w:val="auto"/>
          <w:kern w:val="0"/>
          <w:highlight w:val="none"/>
        </w:rPr>
        <w:t>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pacing w:line="360" w:lineRule="auto"/>
        <w:jc w:val="center"/>
        <w:rPr>
          <w:rFonts w:ascii="宋体" w:hAnsi="宋体" w:cs="宋体"/>
          <w:b/>
          <w:bCs/>
          <w:color w:val="auto"/>
          <w:kern w:val="0"/>
          <w:highlight w:val="none"/>
        </w:rPr>
      </w:pPr>
    </w:p>
    <w:p>
      <w:pPr>
        <w:snapToGrid w:val="0"/>
        <w:spacing w:line="360" w:lineRule="auto"/>
        <w:jc w:val="left"/>
        <w:rPr>
          <w:rFonts w:ascii="宋体" w:hAnsi="宋体" w:cs="宋体"/>
          <w:color w:val="auto"/>
          <w:highlight w:val="none"/>
        </w:rPr>
      </w:pPr>
      <w:r>
        <w:rPr>
          <w:rFonts w:hint="eastAsia" w:ascii="宋体" w:hAnsi="宋体" w:cs="宋体"/>
          <w:b/>
          <w:bCs/>
          <w:color w:val="auto"/>
          <w:kern w:val="0"/>
          <w:highlight w:val="none"/>
        </w:rPr>
        <w:t>注：适用小微企业政策的请提供，未提供的不享受小微企业政策</w:t>
      </w:r>
      <w:r>
        <w:rPr>
          <w:rFonts w:hint="eastAsia" w:ascii="宋体" w:hAnsi="宋体" w:cs="宋体"/>
          <w:b/>
          <w:bCs/>
          <w:color w:val="auto"/>
          <w:highlight w:val="none"/>
        </w:rPr>
        <w:t>。</w:t>
      </w:r>
    </w:p>
    <w:p>
      <w:pPr>
        <w:adjustRightInd w:val="0"/>
        <w:snapToGrid w:val="0"/>
        <w:spacing w:line="360" w:lineRule="auto"/>
        <w:jc w:val="left"/>
        <w:rPr>
          <w:rFonts w:ascii="宋体" w:hAnsi="宋体" w:cs="宋体"/>
          <w:color w:val="auto"/>
          <w:highlight w:val="none"/>
        </w:rPr>
      </w:pPr>
    </w:p>
    <w:p>
      <w:pPr>
        <w:pStyle w:val="21"/>
        <w:spacing w:line="520" w:lineRule="exact"/>
        <w:ind w:firstLine="0"/>
        <w:jc w:val="left"/>
        <w:rPr>
          <w:rFonts w:hAnsi="宋体"/>
          <w:color w:val="auto"/>
          <w:sz w:val="21"/>
          <w:szCs w:val="21"/>
          <w:highlight w:val="none"/>
        </w:rPr>
        <w:sectPr>
          <w:pgSz w:w="11906" w:h="16838"/>
          <w:pgMar w:top="1474" w:right="1797" w:bottom="1247" w:left="1797" w:header="851" w:footer="851" w:gutter="0"/>
          <w:cols w:space="720" w:num="1"/>
          <w:titlePg/>
          <w:docGrid w:linePitch="312" w:charSpace="0"/>
        </w:sectPr>
      </w:pPr>
    </w:p>
    <w:p>
      <w:pPr>
        <w:numPr>
          <w:ilvl w:val="0"/>
          <w:numId w:val="0"/>
        </w:numPr>
        <w:spacing w:line="360" w:lineRule="auto"/>
        <w:jc w:val="left"/>
        <w:outlineLvl w:val="0"/>
        <w:rPr>
          <w:rFonts w:hint="eastAsia"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5</w:t>
      </w:r>
      <w:r>
        <w:rPr>
          <w:rFonts w:hint="eastAsia" w:ascii="宋体" w:hAnsi="宋体" w:cs="宋体"/>
          <w:color w:val="auto"/>
          <w:highlight w:val="none"/>
          <w:lang w:eastAsia="zh-CN"/>
        </w:rPr>
        <w:t>）</w:t>
      </w:r>
      <w:r>
        <w:rPr>
          <w:rFonts w:hint="eastAsia" w:ascii="宋体" w:hAnsi="宋体" w:cs="宋体"/>
          <w:color w:val="auto"/>
          <w:highlight w:val="none"/>
        </w:rPr>
        <w:t>供应商为监狱企业的证明文件：省级以上监狱管理局、戒毒管理局（含新疆生产建设兵团）出具（如是请提供）；</w:t>
      </w:r>
    </w:p>
    <w:p>
      <w:pPr>
        <w:pStyle w:val="2"/>
        <w:rPr>
          <w:rFonts w:hint="eastAsia"/>
          <w:highlight w:val="none"/>
        </w:rPr>
      </w:pPr>
    </w:p>
    <w:p>
      <w:pPr>
        <w:numPr>
          <w:ilvl w:val="0"/>
          <w:numId w:val="0"/>
        </w:numPr>
        <w:spacing w:line="360" w:lineRule="auto"/>
        <w:jc w:val="left"/>
        <w:outlineLvl w:val="0"/>
        <w:rPr>
          <w:rFonts w:hAnsi="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6</w:t>
      </w:r>
      <w:r>
        <w:rPr>
          <w:rFonts w:hint="eastAsia" w:ascii="宋体" w:hAnsi="宋体" w:cs="宋体"/>
          <w:color w:val="auto"/>
          <w:highlight w:val="none"/>
          <w:lang w:eastAsia="zh-CN"/>
        </w:rPr>
        <w:t>）</w:t>
      </w:r>
      <w:r>
        <w:rPr>
          <w:rFonts w:hint="eastAsia" w:ascii="宋体" w:hAnsi="宋体" w:cs="宋体"/>
          <w:color w:val="auto"/>
          <w:highlight w:val="none"/>
        </w:rPr>
        <w:t>残疾人福利性单位声明函</w:t>
      </w:r>
    </w:p>
    <w:p>
      <w:pPr>
        <w:jc w:val="center"/>
        <w:rPr>
          <w:rFonts w:ascii="宋体" w:hAnsi="宋体" w:cs="宋体"/>
          <w:b/>
          <w:color w:val="auto"/>
          <w:kern w:val="0"/>
          <w:highlight w:val="none"/>
        </w:rPr>
      </w:pPr>
    </w:p>
    <w:p>
      <w:pPr>
        <w:spacing w:line="588" w:lineRule="exact"/>
        <w:jc w:val="center"/>
        <w:rPr>
          <w:rFonts w:hint="eastAsia" w:ascii="宋体" w:hAnsi="宋体" w:cs="宋体"/>
          <w:b/>
          <w:bCs/>
          <w:color w:val="auto"/>
          <w:spacing w:val="6"/>
          <w:highlight w:val="none"/>
        </w:rPr>
      </w:pPr>
      <w:bookmarkStart w:id="206" w:name="OLE_LINK13"/>
      <w:bookmarkStart w:id="207" w:name="OLE_LINK14"/>
    </w:p>
    <w:p>
      <w:pPr>
        <w:spacing w:line="588" w:lineRule="exact"/>
        <w:jc w:val="center"/>
        <w:rPr>
          <w:rFonts w:ascii="宋体" w:hAnsi="宋体" w:cs="宋体"/>
          <w:b/>
          <w:bCs/>
          <w:color w:val="auto"/>
          <w:spacing w:val="6"/>
          <w:highlight w:val="none"/>
        </w:rPr>
      </w:pPr>
      <w:r>
        <w:rPr>
          <w:rFonts w:hint="eastAsia" w:ascii="宋体" w:hAnsi="宋体" w:cs="宋体"/>
          <w:b/>
          <w:bCs/>
          <w:color w:val="auto"/>
          <w:spacing w:val="6"/>
          <w:highlight w:val="none"/>
        </w:rPr>
        <w:t>残疾人福利性单位声明函</w:t>
      </w:r>
    </w:p>
    <w:bookmarkEnd w:id="206"/>
    <w:bookmarkEnd w:id="207"/>
    <w:p>
      <w:pPr>
        <w:spacing w:line="588" w:lineRule="exact"/>
        <w:rPr>
          <w:rFonts w:ascii="宋体" w:hAnsi="宋体" w:cs="宋体"/>
          <w:b/>
          <w:bCs/>
          <w:color w:val="auto"/>
          <w:spacing w:val="6"/>
          <w:highlight w:val="none"/>
        </w:rPr>
      </w:pPr>
    </w:p>
    <w:p>
      <w:pPr>
        <w:spacing w:line="588" w:lineRule="exact"/>
        <w:ind w:firstLine="44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w:t>
      </w:r>
      <w:r>
        <w:rPr>
          <w:rFonts w:hint="eastAsia" w:ascii="宋体" w:hAnsi="宋体" w:cs="宋体"/>
          <w:color w:val="auto"/>
          <w:highlight w:val="none"/>
        </w:rPr>
        <w:t>〔2017〕 141</w:t>
      </w:r>
      <w:r>
        <w:rPr>
          <w:rFonts w:hint="eastAsia" w:ascii="宋体" w:hAnsi="宋体" w:cs="宋体"/>
          <w:color w:val="auto"/>
          <w:spacing w:val="6"/>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588" w:lineRule="exact"/>
        <w:ind w:firstLine="444" w:firstLineChars="200"/>
        <w:rPr>
          <w:rFonts w:ascii="宋体" w:hAnsi="宋体" w:cs="宋体"/>
          <w:color w:val="auto"/>
          <w:spacing w:val="6"/>
          <w:highlight w:val="none"/>
        </w:rPr>
      </w:pPr>
    </w:p>
    <w:p>
      <w:pPr>
        <w:spacing w:line="588" w:lineRule="exact"/>
        <w:ind w:firstLine="444" w:firstLineChars="200"/>
        <w:rPr>
          <w:rFonts w:ascii="宋体" w:hAnsi="宋体" w:cs="宋体"/>
          <w:color w:val="auto"/>
          <w:spacing w:val="6"/>
          <w:highlight w:val="none"/>
        </w:rPr>
      </w:pPr>
    </w:p>
    <w:p>
      <w:pPr>
        <w:tabs>
          <w:tab w:val="left" w:pos="4860"/>
        </w:tabs>
        <w:spacing w:line="588" w:lineRule="exact"/>
        <w:ind w:right="1560"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 xml:space="preserve">               单位名称（盖章）：</w:t>
      </w:r>
    </w:p>
    <w:p>
      <w:pPr>
        <w:tabs>
          <w:tab w:val="left" w:pos="4860"/>
        </w:tabs>
        <w:spacing w:line="588" w:lineRule="exact"/>
        <w:ind w:right="1560"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 xml:space="preserve">      日  期：</w:t>
      </w:r>
    </w:p>
    <w:p>
      <w:pPr>
        <w:spacing w:line="360" w:lineRule="auto"/>
        <w:rPr>
          <w:rFonts w:ascii="宋体" w:hAnsi="宋体" w:cs="宋体"/>
          <w:b/>
          <w:bCs/>
          <w:color w:val="auto"/>
          <w:highlight w:val="none"/>
        </w:rPr>
      </w:pPr>
    </w:p>
    <w:p>
      <w:pPr>
        <w:spacing w:line="360" w:lineRule="auto"/>
        <w:rPr>
          <w:rFonts w:ascii="宋体" w:hAnsi="宋体" w:cs="宋体"/>
          <w:b/>
          <w:bCs/>
          <w:color w:val="auto"/>
          <w:highlight w:val="none"/>
        </w:rPr>
      </w:pPr>
    </w:p>
    <w:p>
      <w:pPr>
        <w:rPr>
          <w:rFonts w:ascii="宋体" w:hAnsi="宋体" w:cs="宋体"/>
          <w:b/>
          <w:color w:val="auto"/>
          <w:highlight w:val="none"/>
        </w:rPr>
      </w:pPr>
    </w:p>
    <w:p>
      <w:pPr>
        <w:pStyle w:val="47"/>
        <w:ind w:firstLine="422"/>
        <w:rPr>
          <w:rFonts w:ascii="宋体" w:hAnsi="宋体" w:cs="宋体"/>
          <w:b/>
          <w:color w:val="auto"/>
          <w:highlight w:val="none"/>
        </w:rPr>
      </w:pPr>
    </w:p>
    <w:p>
      <w:pPr>
        <w:rPr>
          <w:rFonts w:hint="eastAsia" w:ascii="宋体" w:hAnsi="宋体" w:cs="宋体"/>
          <w:color w:val="auto"/>
          <w:highlight w:val="none"/>
        </w:rPr>
      </w:pPr>
    </w:p>
    <w:p>
      <w:pPr>
        <w:rPr>
          <w:rFonts w:ascii="宋体" w:hAnsi="宋体" w:cs="宋体"/>
          <w:color w:val="auto"/>
          <w:highlight w:val="none"/>
        </w:rPr>
        <w:sectPr>
          <w:pgSz w:w="11906" w:h="16838"/>
          <w:pgMar w:top="1474" w:right="1797" w:bottom="1247" w:left="1797" w:header="851" w:footer="851" w:gutter="0"/>
          <w:cols w:space="720" w:num="1"/>
          <w:titlePg/>
          <w:docGrid w:linePitch="312" w:charSpace="0"/>
        </w:sectPr>
      </w:pPr>
      <w:r>
        <w:rPr>
          <w:rFonts w:hint="eastAsia" w:ascii="宋体" w:hAnsi="宋体" w:cs="宋体"/>
          <w:color w:val="auto"/>
          <w:highlight w:val="none"/>
        </w:rPr>
        <w:t>（</w:t>
      </w:r>
      <w:r>
        <w:rPr>
          <w:rFonts w:hint="eastAsia" w:ascii="宋体" w:hAnsi="宋体" w:cs="宋体"/>
          <w:color w:val="auto"/>
          <w:highlight w:val="none"/>
          <w:lang w:val="en-US" w:eastAsia="zh-CN"/>
        </w:rPr>
        <w:t>7</w:t>
      </w:r>
      <w:r>
        <w:rPr>
          <w:rFonts w:hint="eastAsia" w:ascii="宋体" w:hAnsi="宋体" w:cs="宋体"/>
          <w:color w:val="auto"/>
          <w:highlight w:val="none"/>
        </w:rPr>
        <w:t>）投标人针对报价需要说明的其他文件和说明。</w:t>
      </w:r>
    </w:p>
    <w:p>
      <w:pPr>
        <w:spacing w:line="360" w:lineRule="auto"/>
        <w:rPr>
          <w:rFonts w:ascii="宋体" w:hAnsi="宋体" w:cs="宋体"/>
          <w:b/>
          <w:bCs/>
          <w:color w:val="auto"/>
          <w:highlight w:val="none"/>
        </w:rPr>
      </w:pPr>
      <w:r>
        <w:rPr>
          <w:rFonts w:hint="eastAsia" w:ascii="宋体" w:hAnsi="宋体" w:cs="宋体"/>
          <w:b/>
          <w:bCs/>
          <w:color w:val="auto"/>
          <w:highlight w:val="none"/>
        </w:rPr>
        <w:t>二、资格证明文件</w:t>
      </w:r>
    </w:p>
    <w:p>
      <w:pPr>
        <w:outlineLvl w:val="2"/>
        <w:rPr>
          <w:rFonts w:ascii="宋体" w:hAnsi="宋体" w:cs="宋体"/>
          <w:b/>
          <w:bCs/>
          <w:color w:val="auto"/>
          <w:highlight w:val="none"/>
        </w:rPr>
      </w:pPr>
      <w:bookmarkStart w:id="208" w:name="_Toc275865606"/>
      <w:r>
        <w:rPr>
          <w:rFonts w:hint="eastAsia" w:ascii="宋体" w:hAnsi="宋体" w:cs="宋体"/>
          <w:b/>
          <w:bCs/>
          <w:color w:val="auto"/>
          <w:highlight w:val="none"/>
        </w:rPr>
        <w:t>（1）投标人的营业执照副本复印件</w:t>
      </w:r>
    </w:p>
    <w:p>
      <w:pPr>
        <w:outlineLvl w:val="2"/>
        <w:rPr>
          <w:rFonts w:ascii="宋体" w:hAnsi="宋体" w:cs="宋体"/>
          <w:b/>
          <w:bCs/>
          <w:color w:val="auto"/>
          <w:highlight w:val="none"/>
        </w:rPr>
      </w:pPr>
    </w:p>
    <w:p>
      <w:pPr>
        <w:outlineLvl w:val="2"/>
        <w:rPr>
          <w:rFonts w:ascii="宋体" w:hAnsi="宋体" w:cs="宋体"/>
          <w:b/>
          <w:bCs/>
          <w:color w:val="auto"/>
          <w:highlight w:val="none"/>
        </w:rPr>
      </w:pPr>
    </w:p>
    <w:p>
      <w:pPr>
        <w:outlineLvl w:val="2"/>
        <w:rPr>
          <w:rFonts w:ascii="宋体" w:hAnsi="宋体" w:cs="宋体"/>
          <w:b/>
          <w:bCs/>
          <w:color w:val="auto"/>
          <w:highlight w:val="none"/>
        </w:rPr>
      </w:pPr>
      <w:r>
        <w:rPr>
          <w:rFonts w:hint="eastAsia" w:ascii="宋体" w:hAnsi="宋体" w:cs="宋体"/>
          <w:b/>
          <w:bCs/>
          <w:color w:val="auto"/>
          <w:highlight w:val="none"/>
        </w:rPr>
        <w:t>（2）投标人资格声明函</w:t>
      </w:r>
    </w:p>
    <w:p>
      <w:pPr>
        <w:jc w:val="center"/>
        <w:outlineLvl w:val="2"/>
        <w:rPr>
          <w:rFonts w:ascii="宋体" w:hAnsi="宋体" w:cs="宋体"/>
          <w:b/>
          <w:bCs/>
          <w:color w:val="auto"/>
          <w:highlight w:val="none"/>
        </w:rPr>
      </w:pPr>
      <w:r>
        <w:rPr>
          <w:rFonts w:hint="eastAsia" w:ascii="宋体" w:hAnsi="宋体" w:cs="宋体"/>
          <w:b/>
          <w:bCs/>
          <w:color w:val="auto"/>
          <w:highlight w:val="none"/>
        </w:rPr>
        <w:t>投标人资格声明函</w:t>
      </w:r>
      <w:bookmarkEnd w:id="208"/>
    </w:p>
    <w:p>
      <w:pPr>
        <w:rPr>
          <w:rFonts w:ascii="宋体" w:hAnsi="宋体" w:cs="宋体"/>
          <w:b/>
          <w:bCs/>
          <w:color w:val="auto"/>
          <w:highlight w:val="none"/>
        </w:rPr>
      </w:pPr>
    </w:p>
    <w:p>
      <w:pPr>
        <w:spacing w:line="360" w:lineRule="auto"/>
        <w:rPr>
          <w:rFonts w:ascii="宋体" w:hAnsi="宋体" w:cs="宋体"/>
          <w:b/>
          <w:bCs/>
          <w:color w:val="auto"/>
          <w:highlight w:val="none"/>
        </w:rPr>
      </w:pPr>
      <w:r>
        <w:rPr>
          <w:rFonts w:hint="eastAsia" w:ascii="宋体" w:hAnsi="宋体" w:cs="宋体"/>
          <w:b/>
          <w:bCs/>
          <w:color w:val="auto"/>
          <w:highlight w:val="none"/>
        </w:rPr>
        <w:t>宁波中基国际招标有限公司：</w:t>
      </w:r>
    </w:p>
    <w:p>
      <w:pPr>
        <w:numPr>
          <w:ilvl w:val="0"/>
          <w:numId w:val="18"/>
        </w:num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我方具备《中华人民共和国政府采购法》第二十二条规定资格条件：</w:t>
      </w:r>
    </w:p>
    <w:p>
      <w:pPr>
        <w:snapToGrid w:val="0"/>
        <w:spacing w:line="360" w:lineRule="auto"/>
        <w:ind w:firstLine="630" w:firstLineChars="300"/>
        <w:rPr>
          <w:rFonts w:ascii="宋体" w:hAnsi="宋体" w:cs="宋体"/>
          <w:color w:val="auto"/>
          <w:highlight w:val="none"/>
        </w:rPr>
      </w:pPr>
      <w:r>
        <w:rPr>
          <w:rFonts w:hint="eastAsia" w:ascii="宋体" w:hAnsi="宋体" w:cs="宋体"/>
          <w:color w:val="auto"/>
          <w:highlight w:val="none"/>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2、我方的单位负责人与所参投的本采购项目的其他投标人的单位负责人不为同一人且与其他投标人之间不存在直接控股、管理关系。</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3、我方不是本采购项目提供整体设计、规范编制或者项目管理、监理、检测等服务的供应商。</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4、我方未被“信用中国”（www.creditchina.gov.cn)、中国政府采购网（www.ccgp.gov.cn）列入失信被执行人、重大税收违法案件当事人名单、政府采购严重违法失信行为记录名单。</w:t>
      </w:r>
    </w:p>
    <w:p>
      <w:pPr>
        <w:spacing w:line="360" w:lineRule="auto"/>
        <w:ind w:firstLine="420"/>
        <w:rPr>
          <w:rFonts w:ascii="宋体" w:hAnsi="宋体" w:cs="宋体"/>
          <w:b/>
          <w:bCs/>
          <w:color w:val="auto"/>
          <w:highlight w:val="none"/>
        </w:rPr>
      </w:pPr>
      <w:r>
        <w:rPr>
          <w:rFonts w:hint="eastAsia" w:ascii="宋体" w:hAnsi="宋体" w:cs="宋体"/>
          <w:color w:val="auto"/>
          <w:highlight w:val="none"/>
        </w:rPr>
        <w:t>我方对上述声明的真实性负责。本次招标采购活动中，如有违法、违规、弄虚作假行为，所造成的损失、不良后果及法律责任，一律由我我方承担</w:t>
      </w:r>
    </w:p>
    <w:p>
      <w:pPr>
        <w:spacing w:line="360" w:lineRule="auto"/>
        <w:rPr>
          <w:rFonts w:ascii="宋体" w:hAnsi="宋体" w:cs="宋体"/>
          <w:b/>
          <w:bCs/>
          <w:color w:val="auto"/>
          <w:highlight w:val="none"/>
        </w:rPr>
      </w:pPr>
    </w:p>
    <w:p>
      <w:pPr>
        <w:spacing w:line="360" w:lineRule="auto"/>
        <w:ind w:firstLine="420"/>
        <w:rPr>
          <w:rFonts w:ascii="宋体" w:hAnsi="宋体" w:cs="宋体"/>
          <w:b/>
          <w:bCs/>
          <w:color w:val="auto"/>
          <w:highlight w:val="none"/>
        </w:rPr>
      </w:pPr>
      <w:r>
        <w:rPr>
          <w:rFonts w:hint="eastAsia" w:ascii="宋体" w:hAnsi="宋体" w:cs="宋体"/>
          <w:b/>
          <w:bCs/>
          <w:color w:val="auto"/>
          <w:highlight w:val="none"/>
        </w:rPr>
        <w:t>特此声明！</w:t>
      </w:r>
    </w:p>
    <w:p>
      <w:pPr>
        <w:adjustRightInd w:val="0"/>
        <w:snapToGrid w:val="0"/>
        <w:spacing w:line="360" w:lineRule="auto"/>
        <w:ind w:left="425"/>
        <w:rPr>
          <w:rFonts w:ascii="宋体" w:hAnsi="宋体" w:cs="宋体"/>
          <w:color w:val="auto"/>
          <w:spacing w:val="4"/>
          <w:highlight w:val="none"/>
        </w:rPr>
      </w:pPr>
    </w:p>
    <w:p>
      <w:pPr>
        <w:spacing w:line="360" w:lineRule="auto"/>
        <w:ind w:firstLine="3675" w:firstLineChars="1750"/>
        <w:rPr>
          <w:rFonts w:ascii="宋体" w:hAnsi="宋体" w:cs="宋体"/>
          <w:color w:val="auto"/>
          <w:highlight w:val="none"/>
        </w:rPr>
      </w:pPr>
      <w:r>
        <w:rPr>
          <w:rFonts w:hint="eastAsia" w:ascii="宋体" w:hAnsi="宋体" w:cs="宋体"/>
          <w:color w:val="auto"/>
          <w:highlight w:val="none"/>
        </w:rPr>
        <w:t>投标人（盖章）：</w:t>
      </w:r>
    </w:p>
    <w:p>
      <w:pPr>
        <w:spacing w:line="360" w:lineRule="auto"/>
        <w:rPr>
          <w:rFonts w:ascii="宋体" w:hAnsi="宋体" w:cs="宋体"/>
          <w:color w:val="auto"/>
          <w:highlight w:val="none"/>
        </w:rPr>
      </w:pPr>
      <w:r>
        <w:rPr>
          <w:rFonts w:hint="eastAsia" w:ascii="宋体" w:hAnsi="宋体" w:cs="宋体"/>
          <w:color w:val="auto"/>
          <w:highlight w:val="none"/>
        </w:rPr>
        <w:t xml:space="preserve">                                    日    期：</w:t>
      </w:r>
    </w:p>
    <w:p>
      <w:pPr>
        <w:spacing w:line="360" w:lineRule="auto"/>
        <w:rPr>
          <w:rFonts w:ascii="宋体" w:hAnsi="宋体" w:cs="宋体"/>
          <w:color w:val="auto"/>
          <w:highlight w:val="none"/>
        </w:rPr>
      </w:pPr>
    </w:p>
    <w:p>
      <w:pPr>
        <w:pStyle w:val="18"/>
        <w:rPr>
          <w:rFonts w:ascii="宋体" w:hAnsi="宋体" w:cs="宋体"/>
          <w:color w:val="auto"/>
          <w:sz w:val="21"/>
          <w:szCs w:val="21"/>
          <w:highlight w:val="none"/>
        </w:rPr>
      </w:pPr>
      <w:r>
        <w:rPr>
          <w:rFonts w:hint="eastAsia" w:ascii="宋体" w:hAnsi="宋体" w:cs="宋体"/>
          <w:color w:val="auto"/>
          <w:sz w:val="21"/>
          <w:szCs w:val="21"/>
          <w:highlight w:val="none"/>
        </w:rPr>
        <w:t>注：联合体投标的，可只由联合体牵头人盖章。</w:t>
      </w:r>
    </w:p>
    <w:p>
      <w:pPr>
        <w:spacing w:line="300" w:lineRule="auto"/>
        <w:rPr>
          <w:rFonts w:ascii="宋体" w:hAnsi="宋体" w:cs="宋体"/>
          <w:b/>
          <w:bCs/>
          <w:color w:val="auto"/>
          <w:highlight w:val="none"/>
        </w:rPr>
      </w:pPr>
    </w:p>
    <w:p>
      <w:pPr>
        <w:spacing w:line="360" w:lineRule="auto"/>
        <w:ind w:firstLine="422" w:firstLineChars="200"/>
        <w:rPr>
          <w:rFonts w:ascii="宋体" w:hAnsi="宋体" w:cs="宋体"/>
          <w:kern w:val="0"/>
          <w:highlight w:val="none"/>
        </w:rPr>
      </w:pPr>
      <w:r>
        <w:rPr>
          <w:rFonts w:hint="eastAsia" w:ascii="宋体" w:hAnsi="宋体" w:cs="宋体"/>
          <w:b/>
          <w:bCs/>
          <w:color w:val="auto"/>
          <w:highlight w:val="none"/>
        </w:rPr>
        <w:t>（3）投标人的特定条件的证明文件：</w:t>
      </w:r>
      <w:r>
        <w:rPr>
          <w:rFonts w:hint="eastAsia" w:ascii="宋体" w:hAnsi="宋体" w:cs="宋体"/>
          <w:kern w:val="0"/>
          <w:highlight w:val="none"/>
          <w:lang w:val="en-US" w:eastAsia="zh-CN"/>
        </w:rPr>
        <w:t>标项一：</w:t>
      </w:r>
      <w:r>
        <w:rPr>
          <w:rFonts w:hint="eastAsia" w:ascii="宋体" w:hAnsi="宋体" w:cs="宋体"/>
          <w:kern w:val="0"/>
          <w:highlight w:val="none"/>
        </w:rPr>
        <w:t>3.</w:t>
      </w:r>
      <w:r>
        <w:rPr>
          <w:rFonts w:hint="eastAsia" w:ascii="宋体" w:hAnsi="宋体" w:cs="宋体"/>
          <w:highlight w:val="none"/>
        </w:rPr>
        <w:t>1</w:t>
      </w:r>
      <w:r>
        <w:rPr>
          <w:rFonts w:hint="eastAsia" w:ascii="宋体" w:hAnsi="宋体" w:cs="宋体"/>
          <w:kern w:val="0"/>
          <w:highlight w:val="none"/>
        </w:rPr>
        <w:t xml:space="preserve">投标人为医疗器械生产企业的：第三类医疗器械生产企业提供《医疗器械生产许可证》复印件。 </w:t>
      </w:r>
    </w:p>
    <w:p>
      <w:pPr>
        <w:spacing w:line="360" w:lineRule="auto"/>
        <w:ind w:firstLine="420" w:firstLineChars="200"/>
        <w:rPr>
          <w:rFonts w:hint="eastAsia" w:ascii="宋体" w:hAnsi="宋体" w:cs="宋体"/>
          <w:kern w:val="0"/>
          <w:highlight w:val="none"/>
        </w:rPr>
      </w:pPr>
      <w:r>
        <w:rPr>
          <w:rFonts w:hint="eastAsia" w:ascii="宋体" w:hAnsi="宋体" w:cs="宋体"/>
          <w:kern w:val="0"/>
          <w:highlight w:val="none"/>
        </w:rPr>
        <w:t>3.2投标人为医疗器械经营企业的：第三类医疗器械经营企业提供《医疗器械经营许可证》复印件。</w:t>
      </w:r>
    </w:p>
    <w:p>
      <w:pPr>
        <w:spacing w:line="360" w:lineRule="auto"/>
        <w:ind w:firstLine="420" w:firstLineChars="200"/>
        <w:rPr>
          <w:rFonts w:ascii="宋体" w:hAnsi="宋体" w:cs="宋体"/>
          <w:kern w:val="0"/>
          <w:highlight w:val="none"/>
        </w:rPr>
      </w:pPr>
      <w:r>
        <w:rPr>
          <w:rFonts w:hint="eastAsia" w:ascii="宋体" w:hAnsi="宋体" w:cs="宋体"/>
          <w:kern w:val="0"/>
          <w:highlight w:val="none"/>
          <w:lang w:val="en-US" w:eastAsia="zh-CN"/>
        </w:rPr>
        <w:t>标项二：</w:t>
      </w:r>
      <w:r>
        <w:rPr>
          <w:rFonts w:hint="eastAsia" w:ascii="宋体" w:hAnsi="宋体" w:cs="宋体"/>
          <w:kern w:val="0"/>
          <w:highlight w:val="none"/>
        </w:rPr>
        <w:t>3.</w:t>
      </w:r>
      <w:r>
        <w:rPr>
          <w:rFonts w:hint="eastAsia" w:ascii="宋体" w:hAnsi="宋体" w:cs="宋体"/>
          <w:highlight w:val="none"/>
        </w:rPr>
        <w:t>1</w:t>
      </w:r>
      <w:r>
        <w:rPr>
          <w:rFonts w:hint="eastAsia" w:ascii="宋体" w:hAnsi="宋体" w:cs="宋体"/>
          <w:kern w:val="0"/>
          <w:highlight w:val="none"/>
        </w:rPr>
        <w:t xml:space="preserve">投标人为医疗器械生产企业的：第二类医疗器械生产企业提供《医疗器械生产许可证》复印件。 </w:t>
      </w:r>
    </w:p>
    <w:p>
      <w:pPr>
        <w:spacing w:line="360" w:lineRule="auto"/>
        <w:ind w:firstLine="420" w:firstLineChars="200"/>
        <w:rPr>
          <w:rFonts w:hint="eastAsia" w:ascii="宋体" w:hAnsi="宋体" w:cs="宋体"/>
          <w:kern w:val="0"/>
          <w:highlight w:val="none"/>
        </w:rPr>
      </w:pPr>
      <w:r>
        <w:rPr>
          <w:rFonts w:hint="eastAsia" w:ascii="宋体" w:hAnsi="宋体" w:cs="宋体"/>
          <w:kern w:val="0"/>
          <w:highlight w:val="none"/>
        </w:rPr>
        <w:t>3.2投标人为医疗器械经营企业的：提供第二类医疗器械经营备案凭证复印件。</w:t>
      </w:r>
    </w:p>
    <w:p>
      <w:pPr>
        <w:spacing w:line="360" w:lineRule="auto"/>
        <w:ind w:firstLine="420" w:firstLineChars="200"/>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标项三：无</w:t>
      </w:r>
    </w:p>
    <w:p>
      <w:pPr>
        <w:spacing w:line="360" w:lineRule="auto"/>
        <w:rPr>
          <w:rFonts w:ascii="宋体" w:hAnsi="宋体" w:cs="宋体"/>
          <w:color w:val="auto"/>
          <w:kern w:val="0"/>
          <w:highlight w:val="none"/>
        </w:rPr>
      </w:pPr>
    </w:p>
    <w:p>
      <w:pPr>
        <w:rPr>
          <w:rFonts w:ascii="宋体" w:hAnsi="宋体" w:cs="宋体"/>
          <w:b/>
          <w:bCs/>
          <w:color w:val="auto"/>
          <w:highlight w:val="none"/>
        </w:rPr>
      </w:pPr>
      <w:bookmarkStart w:id="209" w:name="_GoBack"/>
      <w:bookmarkEnd w:id="209"/>
    </w:p>
    <w:p>
      <w:pPr>
        <w:rPr>
          <w:rFonts w:ascii="宋体" w:hAnsi="宋体" w:cs="宋体"/>
          <w:b/>
          <w:bCs/>
          <w:color w:val="auto"/>
          <w:kern w:val="0"/>
          <w:highlight w:val="none"/>
        </w:rPr>
      </w:pPr>
      <w:r>
        <w:rPr>
          <w:rFonts w:hint="eastAsia" w:ascii="宋体" w:hAnsi="宋体" w:cs="宋体"/>
          <w:b/>
          <w:bCs/>
          <w:color w:val="auto"/>
          <w:highlight w:val="none"/>
        </w:rPr>
        <w:t>（4）</w:t>
      </w:r>
      <w:r>
        <w:rPr>
          <w:rFonts w:hint="eastAsia" w:ascii="宋体" w:hAnsi="宋体" w:cs="宋体"/>
          <w:b/>
          <w:bCs/>
          <w:color w:val="auto"/>
          <w:kern w:val="0"/>
          <w:highlight w:val="none"/>
        </w:rPr>
        <w:t>联合投标协议书</w:t>
      </w:r>
    </w:p>
    <w:p>
      <w:pPr>
        <w:widowControl/>
        <w:adjustRightInd w:val="0"/>
        <w:spacing w:line="360" w:lineRule="auto"/>
        <w:jc w:val="left"/>
        <w:rPr>
          <w:rFonts w:ascii="宋体" w:hAnsi="宋体" w:cs="宋体"/>
          <w:color w:val="auto"/>
          <w:spacing w:val="4"/>
          <w:highlight w:val="none"/>
        </w:rPr>
      </w:pPr>
    </w:p>
    <w:p>
      <w:pPr>
        <w:jc w:val="center"/>
        <w:rPr>
          <w:rFonts w:ascii="宋体" w:hAnsi="宋体" w:cs="宋体"/>
          <w:b/>
          <w:color w:val="auto"/>
          <w:kern w:val="0"/>
          <w:highlight w:val="none"/>
        </w:rPr>
      </w:pPr>
      <w:r>
        <w:rPr>
          <w:rFonts w:hint="eastAsia" w:ascii="宋体" w:hAnsi="宋体" w:cs="宋体"/>
          <w:b/>
          <w:color w:val="auto"/>
          <w:kern w:val="0"/>
          <w:highlight w:val="none"/>
        </w:rPr>
        <w:t>联合投标协议书</w:t>
      </w:r>
    </w:p>
    <w:p>
      <w:pPr>
        <w:jc w:val="center"/>
        <w:rPr>
          <w:rFonts w:ascii="宋体" w:hAnsi="宋体" w:cs="宋体"/>
          <w:b/>
          <w:color w:val="auto"/>
          <w:kern w:val="0"/>
          <w:highlight w:val="none"/>
        </w:rPr>
      </w:pPr>
      <w:r>
        <w:rPr>
          <w:rFonts w:hint="eastAsia" w:ascii="宋体" w:hAnsi="宋体" w:cs="宋体"/>
          <w:color w:val="auto"/>
          <w:highlight w:val="none"/>
        </w:rPr>
        <w:t>（联合体投标须提供）</w:t>
      </w:r>
    </w:p>
    <w:p>
      <w:pPr>
        <w:pStyle w:val="21"/>
        <w:overflowPunct w:val="0"/>
        <w:spacing w:before="31" w:beforeLines="10" w:line="500" w:lineRule="exact"/>
        <w:ind w:left="842" w:hanging="422"/>
        <w:rPr>
          <w:rFonts w:hAnsi="宋体"/>
          <w:b/>
          <w:color w:val="auto"/>
          <w:sz w:val="21"/>
          <w:szCs w:val="21"/>
          <w:highlight w:val="none"/>
        </w:rPr>
      </w:pPr>
      <w:r>
        <w:rPr>
          <w:rFonts w:hint="eastAsia" w:hAnsi="宋体"/>
          <w:b/>
          <w:color w:val="auto"/>
          <w:sz w:val="21"/>
          <w:szCs w:val="21"/>
          <w:highlight w:val="none"/>
        </w:rPr>
        <w:t>甲方：</w:t>
      </w:r>
    </w:p>
    <w:p>
      <w:pPr>
        <w:pStyle w:val="21"/>
        <w:overflowPunct w:val="0"/>
        <w:spacing w:before="31" w:beforeLines="10" w:line="500" w:lineRule="exact"/>
        <w:ind w:left="842" w:hanging="422"/>
        <w:rPr>
          <w:rFonts w:hAnsi="宋体"/>
          <w:b/>
          <w:color w:val="auto"/>
          <w:sz w:val="21"/>
          <w:szCs w:val="21"/>
          <w:highlight w:val="none"/>
        </w:rPr>
      </w:pPr>
      <w:r>
        <w:rPr>
          <w:rFonts w:hint="eastAsia" w:hAnsi="宋体"/>
          <w:b/>
          <w:color w:val="auto"/>
          <w:sz w:val="21"/>
          <w:szCs w:val="21"/>
          <w:highlight w:val="none"/>
        </w:rPr>
        <w:t>乙方：</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各方经协商，就响应</w:t>
      </w:r>
      <w:r>
        <w:rPr>
          <w:rFonts w:hint="eastAsia" w:hAnsi="宋体"/>
          <w:color w:val="auto"/>
          <w:sz w:val="21"/>
          <w:szCs w:val="21"/>
          <w:highlight w:val="none"/>
          <w:u w:val="single"/>
        </w:rPr>
        <w:t xml:space="preserve">       </w:t>
      </w:r>
      <w:r>
        <w:rPr>
          <w:rFonts w:hint="eastAsia" w:hAnsi="宋体"/>
          <w:color w:val="auto"/>
          <w:sz w:val="21"/>
          <w:szCs w:val="21"/>
          <w:highlight w:val="none"/>
        </w:rPr>
        <w:t>（招标方）组织实施的</w:t>
      </w:r>
      <w:r>
        <w:rPr>
          <w:rFonts w:hint="eastAsia" w:hAnsi="宋体"/>
          <w:color w:val="auto"/>
          <w:sz w:val="21"/>
          <w:szCs w:val="21"/>
          <w:highlight w:val="none"/>
          <w:u w:val="single"/>
        </w:rPr>
        <w:t xml:space="preserve">    </w:t>
      </w:r>
      <w:r>
        <w:rPr>
          <w:rFonts w:hint="eastAsia" w:hAnsi="宋体"/>
          <w:color w:val="auto"/>
          <w:sz w:val="21"/>
          <w:szCs w:val="21"/>
          <w:highlight w:val="none"/>
        </w:rPr>
        <w:t>项目（采购编号：</w:t>
      </w:r>
      <w:r>
        <w:rPr>
          <w:rFonts w:hint="eastAsia" w:hAnsi="宋体"/>
          <w:color w:val="auto"/>
          <w:sz w:val="21"/>
          <w:szCs w:val="21"/>
          <w:highlight w:val="none"/>
          <w:u w:val="single"/>
        </w:rPr>
        <w:t xml:space="preserve">                </w:t>
      </w:r>
      <w:r>
        <w:rPr>
          <w:rFonts w:hint="eastAsia" w:hAnsi="宋体"/>
          <w:color w:val="auto"/>
          <w:sz w:val="21"/>
          <w:szCs w:val="21"/>
          <w:highlight w:val="none"/>
        </w:rPr>
        <w:t>招标活动联合进行投标之事宜，达成如下协议：</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一、各方一致决定，以</w:t>
      </w:r>
      <w:r>
        <w:rPr>
          <w:rFonts w:hint="eastAsia" w:hAnsi="宋体"/>
          <w:color w:val="auto"/>
          <w:sz w:val="21"/>
          <w:szCs w:val="21"/>
          <w:highlight w:val="none"/>
          <w:u w:val="single"/>
        </w:rPr>
        <w:t xml:space="preserve">                        </w:t>
      </w:r>
      <w:r>
        <w:rPr>
          <w:rFonts w:hint="eastAsia" w:hAnsi="宋体"/>
          <w:color w:val="auto"/>
          <w:sz w:val="21"/>
          <w:szCs w:val="21"/>
          <w:highlight w:val="none"/>
        </w:rPr>
        <w:t>为联合体牵头人，</w:t>
      </w:r>
      <w:r>
        <w:rPr>
          <w:rFonts w:hint="eastAsia" w:hAnsi="宋体"/>
          <w:color w:val="auto"/>
          <w:sz w:val="21"/>
          <w:szCs w:val="21"/>
          <w:highlight w:val="none"/>
          <w:u w:val="single"/>
        </w:rPr>
        <w:t xml:space="preserve">                 </w:t>
      </w:r>
      <w:r>
        <w:rPr>
          <w:rFonts w:hint="eastAsia" w:hAnsi="宋体"/>
          <w:color w:val="auto"/>
          <w:sz w:val="21"/>
          <w:szCs w:val="21"/>
          <w:highlight w:val="none"/>
        </w:rPr>
        <w:t>为联合体成员，共同进行投标，并按照招标文件的规定分别提交资格文件。</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二、在本次投标过程中，联合体牵头人的法定代表人或其委托代理人根据招标文件规定及投标内容而对采购人所作的任何合法承诺，包括书面澄清及响应等均对联合投标各方产生约束力。如果中标并签订合同，则联合投标各方将共同履行对采购人所负有的全部义务并就采购合同约定的事项对采购人承担连带责任。</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三、联合投标其余各方保证对联合体牵头人为响应本次招标而提供的产品和服务提供全部质量保证及售后服务支持。</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四、本次联合投标中，甲方承担的工作和义务为：</w:t>
      </w:r>
      <w:r>
        <w:rPr>
          <w:rFonts w:hint="eastAsia" w:hAnsi="宋体"/>
          <w:color w:val="auto"/>
          <w:sz w:val="21"/>
          <w:szCs w:val="21"/>
          <w:highlight w:val="none"/>
          <w:u w:val="single"/>
        </w:rPr>
        <w:t xml:space="preserve">                          </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 xml:space="preserve">                    甲方承担本项目的工作和义务占合同总金额的</w:t>
      </w:r>
      <w:r>
        <w:rPr>
          <w:rFonts w:hint="eastAsia" w:hAnsi="宋体"/>
          <w:color w:val="auto"/>
          <w:sz w:val="21"/>
          <w:szCs w:val="21"/>
          <w:highlight w:val="none"/>
          <w:u w:val="single"/>
        </w:rPr>
        <w:t xml:space="preserve">    </w:t>
      </w:r>
      <w:r>
        <w:rPr>
          <w:rFonts w:hint="eastAsia" w:hAnsi="宋体"/>
          <w:color w:val="auto"/>
          <w:sz w:val="21"/>
          <w:szCs w:val="21"/>
          <w:highlight w:val="none"/>
        </w:rPr>
        <w:t>%</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 xml:space="preserve">                    乙方承担的工作和义务为：</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 xml:space="preserve">                    乙方承担本项目的工作和义务占合同总金额的</w:t>
      </w:r>
      <w:r>
        <w:rPr>
          <w:rFonts w:hint="eastAsia" w:hAnsi="宋体"/>
          <w:color w:val="auto"/>
          <w:sz w:val="21"/>
          <w:szCs w:val="21"/>
          <w:highlight w:val="none"/>
          <w:u w:val="single"/>
        </w:rPr>
        <w:t xml:space="preserve">    </w:t>
      </w:r>
      <w:r>
        <w:rPr>
          <w:rFonts w:hint="eastAsia" w:hAnsi="宋体"/>
          <w:color w:val="auto"/>
          <w:sz w:val="21"/>
          <w:szCs w:val="21"/>
          <w:highlight w:val="none"/>
        </w:rPr>
        <w:t>%</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五、有关本次联合投标的其他事宜：</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六、本协议提交采购人后，联合投标各方不得以任何形式对上述实质内容进行修改或撤销。</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七、本协议一式二份，签约各方各持一份。</w:t>
      </w:r>
    </w:p>
    <w:p>
      <w:pPr>
        <w:pStyle w:val="21"/>
        <w:spacing w:line="500" w:lineRule="exact"/>
        <w:ind w:left="840" w:hanging="420"/>
        <w:rPr>
          <w:rFonts w:hAnsi="宋体"/>
          <w:color w:val="auto"/>
          <w:sz w:val="21"/>
          <w:szCs w:val="21"/>
          <w:highlight w:val="none"/>
        </w:rPr>
      </w:pPr>
    </w:p>
    <w:p>
      <w:pPr>
        <w:pStyle w:val="21"/>
        <w:spacing w:line="360" w:lineRule="auto"/>
        <w:ind w:left="840" w:hanging="420"/>
        <w:rPr>
          <w:rFonts w:hAnsi="宋体"/>
          <w:color w:val="auto"/>
          <w:sz w:val="21"/>
          <w:szCs w:val="21"/>
          <w:highlight w:val="none"/>
        </w:rPr>
      </w:pPr>
      <w:r>
        <w:rPr>
          <w:rFonts w:hint="eastAsia" w:hAnsi="宋体"/>
          <w:color w:val="auto"/>
          <w:sz w:val="21"/>
          <w:szCs w:val="21"/>
          <w:highlight w:val="none"/>
        </w:rPr>
        <w:t xml:space="preserve">甲方单位（盖章）：                             乙方单位（盖章）：           </w:t>
      </w:r>
    </w:p>
    <w:p>
      <w:pPr>
        <w:pStyle w:val="21"/>
        <w:spacing w:line="360" w:lineRule="auto"/>
        <w:ind w:left="840" w:hanging="420"/>
        <w:rPr>
          <w:rFonts w:hAnsi="宋体"/>
          <w:color w:val="auto"/>
          <w:sz w:val="21"/>
          <w:szCs w:val="21"/>
          <w:highlight w:val="none"/>
        </w:rPr>
      </w:pPr>
    </w:p>
    <w:p>
      <w:pPr>
        <w:pStyle w:val="21"/>
        <w:spacing w:line="360" w:lineRule="auto"/>
        <w:ind w:left="840" w:hanging="420"/>
        <w:rPr>
          <w:rFonts w:hAnsi="宋体"/>
          <w:color w:val="auto"/>
          <w:sz w:val="21"/>
          <w:szCs w:val="21"/>
          <w:highlight w:val="none"/>
        </w:rPr>
      </w:pPr>
      <w:r>
        <w:rPr>
          <w:rFonts w:hint="eastAsia" w:hAnsi="宋体"/>
          <w:color w:val="auto"/>
          <w:sz w:val="21"/>
          <w:szCs w:val="21"/>
          <w:highlight w:val="none"/>
        </w:rPr>
        <w:t>法定代表人或其委托代理人（签字或盖章）：      法定代表人或其委托代理人（签字或盖章）：</w:t>
      </w:r>
    </w:p>
    <w:p>
      <w:pPr>
        <w:snapToGrid w:val="0"/>
        <w:spacing w:line="360" w:lineRule="auto"/>
        <w:rPr>
          <w:rFonts w:ascii="宋体" w:hAnsi="宋体" w:cs="宋体"/>
          <w:color w:val="auto"/>
          <w:highlight w:val="none"/>
        </w:rPr>
      </w:pPr>
    </w:p>
    <w:p>
      <w:pPr>
        <w:snapToGrid w:val="0"/>
        <w:spacing w:line="360" w:lineRule="auto"/>
        <w:ind w:firstLine="420" w:firstLineChars="200"/>
        <w:rPr>
          <w:rFonts w:ascii="宋体" w:hAnsi="宋体" w:cs="宋体"/>
          <w:color w:val="auto"/>
          <w:spacing w:val="4"/>
          <w:highlight w:val="none"/>
        </w:rPr>
      </w:pPr>
      <w:r>
        <w:rPr>
          <w:rFonts w:hint="eastAsia" w:ascii="宋体" w:hAnsi="宋体" w:cs="宋体"/>
          <w:color w:val="auto"/>
          <w:highlight w:val="none"/>
        </w:rPr>
        <w:t>日期：2023年  月   日                       日期：2023年  月   日</w:t>
      </w:r>
      <w:r>
        <w:rPr>
          <w:rFonts w:hint="eastAsia" w:ascii="宋体" w:hAnsi="宋体" w:cs="宋体"/>
          <w:color w:val="auto"/>
          <w:spacing w:val="4"/>
          <w:highlight w:val="none"/>
        </w:rPr>
        <w:br w:type="page"/>
      </w:r>
    </w:p>
    <w:p>
      <w:pPr>
        <w:rPr>
          <w:rFonts w:ascii="宋体" w:hAnsi="宋体" w:cs="宋体"/>
          <w:b/>
          <w:bCs/>
          <w:color w:val="auto"/>
          <w:highlight w:val="none"/>
        </w:rPr>
      </w:pPr>
      <w:r>
        <w:rPr>
          <w:rFonts w:hint="eastAsia" w:ascii="宋体" w:hAnsi="宋体" w:cs="宋体"/>
          <w:b/>
          <w:bCs/>
          <w:color w:val="auto"/>
          <w:spacing w:val="4"/>
          <w:highlight w:val="none"/>
        </w:rPr>
        <w:t>三、</w:t>
      </w:r>
      <w:r>
        <w:rPr>
          <w:rFonts w:hint="eastAsia" w:ascii="宋体" w:hAnsi="宋体" w:cs="宋体"/>
          <w:b/>
          <w:bCs/>
          <w:color w:val="auto"/>
          <w:highlight w:val="none"/>
        </w:rPr>
        <w:t>商务技术文件</w:t>
      </w:r>
    </w:p>
    <w:p>
      <w:pPr>
        <w:snapToGrid w:val="0"/>
        <w:spacing w:before="156" w:beforeLines="50" w:after="50"/>
        <w:jc w:val="left"/>
        <w:rPr>
          <w:rFonts w:ascii="宋体" w:hAnsi="宋体" w:cs="宋体"/>
          <w:color w:val="auto"/>
          <w:highlight w:val="none"/>
        </w:rPr>
      </w:pPr>
      <w:r>
        <w:rPr>
          <w:rFonts w:hint="eastAsia" w:ascii="宋体" w:hAnsi="宋体" w:cs="宋体"/>
          <w:color w:val="auto"/>
          <w:highlight w:val="none"/>
        </w:rPr>
        <w:t>（1）符合性自查表</w:t>
      </w:r>
    </w:p>
    <w:p>
      <w:pPr>
        <w:snapToGrid w:val="0"/>
        <w:spacing w:before="156" w:beforeLines="50" w:after="50"/>
        <w:jc w:val="center"/>
        <w:rPr>
          <w:rFonts w:ascii="宋体" w:hAnsi="宋体" w:cs="宋体"/>
          <w:b/>
          <w:color w:val="auto"/>
          <w:kern w:val="0"/>
          <w:highlight w:val="none"/>
        </w:rPr>
      </w:pPr>
      <w:r>
        <w:rPr>
          <w:rFonts w:hint="eastAsia" w:ascii="宋体" w:hAnsi="宋体" w:cs="宋体"/>
          <w:b/>
          <w:color w:val="auto"/>
          <w:highlight w:val="none"/>
        </w:rPr>
        <w:t>符合性自查表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4313"/>
        <w:gridCol w:w="126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0"/>
                <w:highlight w:val="none"/>
              </w:rPr>
            </w:pPr>
            <w:r>
              <w:rPr>
                <w:rFonts w:hint="eastAsia" w:ascii="宋体" w:hAnsi="宋体" w:cs="宋体"/>
                <w:color w:val="auto"/>
                <w:highlight w:val="none"/>
              </w:rPr>
              <w:t>评审内容</w:t>
            </w:r>
          </w:p>
        </w:tc>
        <w:tc>
          <w:tcPr>
            <w:tcW w:w="43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采购文件要求</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自查结论</w:t>
            </w:r>
          </w:p>
        </w:tc>
        <w:tc>
          <w:tcPr>
            <w:tcW w:w="1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符合性审</w:t>
            </w:r>
          </w:p>
          <w:p>
            <w:pPr>
              <w:rPr>
                <w:rFonts w:ascii="宋体" w:hAnsi="宋体" w:cs="宋体"/>
                <w:color w:val="auto"/>
                <w:highlight w:val="none"/>
              </w:rPr>
            </w:pPr>
            <w:r>
              <w:rPr>
                <w:rFonts w:hint="eastAsia" w:ascii="宋体" w:hAnsi="宋体" w:cs="宋体"/>
                <w:color w:val="auto"/>
                <w:highlight w:val="none"/>
              </w:rPr>
              <w:t>查（商务技术文件）</w:t>
            </w: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（一）按照采购文件规定要求签署或盖章；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（二）投标文件有法定代表人签署本人姓名（或印盖本人姓名章），或签署人提供有效的法定代表人授权委托书且授权委托书填写项目齐全的；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（三）投标文件标明的响应或偏离与事实相符且无虚假投标的；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（四）投标文件的实质性内容使用中文表述且意思表述明确，前后无矛盾且使用计量单位符合采购文件要求的；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（五）带“★”的条款满足采购文件要求、已实质性响应采购文件要求且投标文件无采购人不能接受的附加条件的；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（六）投标技术方案明确，不存在一个或一个以上备选（替代）投标方案的；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szCs w:val="24"/>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4"/>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（七）不存在法律、法规和采购文件规定的其他无效情形；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szCs w:val="24"/>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4"/>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（八）不存在投标文件的有效期不满足采购文件要求情形；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szCs w:val="24"/>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4"/>
                <w:highlight w:val="none"/>
              </w:rPr>
            </w:pPr>
            <w:r>
              <w:rPr>
                <w:rFonts w:hint="eastAsia" w:ascii="宋体" w:hAnsi="宋体" w:cs="宋体"/>
                <w:color w:val="auto"/>
                <w:highlight w:val="none"/>
              </w:rPr>
              <w:t>第（ ）页</w:t>
            </w:r>
          </w:p>
        </w:tc>
      </w:tr>
    </w:tbl>
    <w:p>
      <w:pPr>
        <w:snapToGrid w:val="0"/>
        <w:spacing w:before="156" w:beforeLines="50" w:after="50"/>
        <w:rPr>
          <w:rFonts w:ascii="宋体" w:hAnsi="宋体" w:cs="宋体"/>
          <w:color w:val="auto"/>
          <w:highlight w:val="none"/>
        </w:rPr>
      </w:pPr>
      <w:r>
        <w:rPr>
          <w:rFonts w:hint="eastAsia" w:ascii="宋体" w:hAnsi="宋体" w:cs="宋体"/>
          <w:b/>
          <w:color w:val="auto"/>
          <w:highlight w:val="none"/>
        </w:rPr>
        <w:t>备注：供应商自查表将作为供应商有效性审查的重要内容之一，供应商必须严格按照其内容及序列要求在投标文件中对应如实提供，对符合性证明文件的任何缺漏和不符合项将会直接导致投标无效！</w:t>
      </w:r>
    </w:p>
    <w:p>
      <w:pPr>
        <w:widowControl/>
        <w:adjustRightInd w:val="0"/>
        <w:spacing w:line="360" w:lineRule="auto"/>
        <w:jc w:val="left"/>
        <w:rPr>
          <w:rFonts w:ascii="宋体" w:hAnsi="宋体" w:cs="宋体"/>
          <w:color w:val="auto"/>
          <w:spacing w:val="4"/>
          <w:highlight w:val="none"/>
        </w:rPr>
      </w:pPr>
      <w:r>
        <w:rPr>
          <w:rFonts w:hint="eastAsia" w:ascii="宋体" w:hAnsi="宋体" w:cs="宋体"/>
          <w:color w:val="auto"/>
          <w:spacing w:val="4"/>
          <w:highlight w:val="none"/>
        </w:rPr>
        <w:br w:type="page"/>
      </w:r>
    </w:p>
    <w:p>
      <w:pPr>
        <w:widowControl/>
        <w:adjustRightInd w:val="0"/>
        <w:spacing w:line="360" w:lineRule="auto"/>
        <w:jc w:val="left"/>
        <w:rPr>
          <w:rFonts w:ascii="宋体" w:hAnsi="宋体" w:cs="宋体"/>
          <w:color w:val="auto"/>
          <w:spacing w:val="4"/>
          <w:highlight w:val="none"/>
        </w:rPr>
      </w:pPr>
      <w:r>
        <w:rPr>
          <w:rFonts w:hint="eastAsia" w:ascii="宋体" w:hAnsi="宋体" w:cs="宋体"/>
          <w:color w:val="auto"/>
          <w:spacing w:val="4"/>
          <w:highlight w:val="none"/>
        </w:rPr>
        <w:t>（2）法定代表人身份证明</w:t>
      </w:r>
    </w:p>
    <w:p>
      <w:pPr>
        <w:snapToGrid w:val="0"/>
        <w:spacing w:before="156" w:beforeLines="50" w:after="50"/>
        <w:rPr>
          <w:rFonts w:ascii="宋体" w:hAnsi="宋体" w:cs="宋体"/>
          <w:color w:val="auto"/>
          <w:highlight w:val="none"/>
        </w:rPr>
      </w:pPr>
    </w:p>
    <w:p>
      <w:pPr>
        <w:widowControl/>
        <w:spacing w:line="360" w:lineRule="auto"/>
        <w:jc w:val="center"/>
        <w:rPr>
          <w:rFonts w:ascii="宋体" w:hAnsi="宋体" w:cs="宋体"/>
          <w:b/>
          <w:bCs/>
          <w:color w:val="auto"/>
          <w:highlight w:val="none"/>
        </w:rPr>
      </w:pPr>
      <w:r>
        <w:rPr>
          <w:rFonts w:hint="eastAsia" w:ascii="宋体" w:hAnsi="宋体" w:cs="宋体"/>
          <w:b/>
          <w:bCs/>
          <w:color w:val="auto"/>
          <w:highlight w:val="none"/>
        </w:rPr>
        <w:t>法定代表人身份证明</w:t>
      </w:r>
    </w:p>
    <w:p>
      <w:pPr>
        <w:widowControl/>
        <w:adjustRightInd w:val="0"/>
        <w:spacing w:line="360" w:lineRule="auto"/>
        <w:jc w:val="left"/>
        <w:rPr>
          <w:rFonts w:ascii="宋体" w:hAnsi="宋体" w:cs="宋体"/>
          <w:b/>
          <w:bCs/>
          <w:color w:val="auto"/>
          <w:highlight w:val="none"/>
        </w:rPr>
      </w:pPr>
    </w:p>
    <w:p>
      <w:pPr>
        <w:widowControl/>
        <w:spacing w:line="360" w:lineRule="auto"/>
        <w:rPr>
          <w:rFonts w:ascii="宋体" w:hAnsi="宋体" w:cs="宋体"/>
          <w:color w:val="auto"/>
          <w:highlight w:val="none"/>
        </w:rPr>
      </w:pPr>
      <w:r>
        <w:rPr>
          <w:rFonts w:hint="eastAsia" w:ascii="宋体" w:hAnsi="宋体" w:cs="宋体"/>
          <w:color w:val="auto"/>
          <w:highlight w:val="none"/>
        </w:rPr>
        <w:t>单位名称：</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rPr>
      </w:pPr>
      <w:r>
        <w:rPr>
          <w:rFonts w:hint="eastAsia" w:ascii="宋体" w:hAnsi="宋体" w:cs="宋体"/>
          <w:color w:val="auto"/>
          <w:highlight w:val="none"/>
        </w:rPr>
        <w:t>地    址：</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rPr>
      </w:pPr>
      <w:r>
        <w:rPr>
          <w:rFonts w:hint="eastAsia" w:ascii="宋体" w:hAnsi="宋体" w:cs="宋体"/>
          <w:color w:val="auto"/>
          <w:highlight w:val="none"/>
        </w:rPr>
        <w:t>姓    名：</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性    别：</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u w:val="single"/>
        </w:rPr>
      </w:pPr>
      <w:r>
        <w:rPr>
          <w:rFonts w:hint="eastAsia" w:ascii="宋体" w:hAnsi="宋体" w:cs="宋体"/>
          <w:color w:val="auto"/>
          <w:highlight w:val="none"/>
        </w:rPr>
        <w:t>年    龄：</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职    务：</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u w:val="single"/>
        </w:rPr>
      </w:pPr>
      <w:r>
        <w:rPr>
          <w:rFonts w:hint="eastAsia" w:ascii="宋体" w:hAnsi="宋体" w:cs="宋体"/>
          <w:color w:val="auto"/>
          <w:highlight w:val="none"/>
        </w:rPr>
        <w:t>身份证号码：</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rPr>
      </w:pPr>
      <w:r>
        <w:rPr>
          <w:rFonts w:hint="eastAsia" w:ascii="宋体" w:hAnsi="宋体" w:cs="宋体"/>
          <w:color w:val="auto"/>
          <w:highlight w:val="none"/>
        </w:rPr>
        <w:t>系</w:t>
      </w:r>
      <w:r>
        <w:rPr>
          <w:rFonts w:hint="eastAsia" w:ascii="宋体" w:hAnsi="宋体" w:cs="宋体"/>
          <w:color w:val="auto"/>
          <w:highlight w:val="none"/>
          <w:u w:val="single"/>
        </w:rPr>
        <w:t xml:space="preserve">         （投标人名称）      </w:t>
      </w:r>
      <w:r>
        <w:rPr>
          <w:rFonts w:hint="eastAsia" w:ascii="宋体" w:hAnsi="宋体" w:cs="宋体"/>
          <w:color w:val="auto"/>
          <w:highlight w:val="none"/>
        </w:rPr>
        <w:t>的法定代表人，为</w:t>
      </w:r>
      <w:r>
        <w:rPr>
          <w:rFonts w:hint="eastAsia" w:ascii="宋体" w:hAnsi="宋体" w:cs="宋体"/>
          <w:color w:val="auto"/>
          <w:highlight w:val="none"/>
          <w:u w:val="single"/>
        </w:rPr>
        <w:t xml:space="preserve">     （招标编号、项目名称）   </w:t>
      </w:r>
      <w:r>
        <w:rPr>
          <w:rFonts w:hint="eastAsia" w:ascii="宋体" w:hAnsi="宋体" w:cs="宋体"/>
          <w:color w:val="auto"/>
          <w:highlight w:val="none"/>
        </w:rPr>
        <w:t>项目，签署上述项目的投标文件，进行合同谈判、签署合同和处理与之有关的一切事宜。</w:t>
      </w:r>
    </w:p>
    <w:p>
      <w:pPr>
        <w:widowControl/>
        <w:spacing w:line="360" w:lineRule="auto"/>
        <w:rPr>
          <w:rFonts w:ascii="宋体" w:hAnsi="宋体" w:cs="宋体"/>
          <w:color w:val="auto"/>
          <w:highlight w:val="none"/>
        </w:rPr>
      </w:pPr>
      <w:r>
        <w:rPr>
          <w:rFonts w:hint="eastAsia" w:ascii="宋体" w:hAnsi="宋体" w:cs="宋体"/>
          <w:color w:val="auto"/>
          <w:highlight w:val="none"/>
        </w:rPr>
        <w:t xml:space="preserve">    特此证明。</w:t>
      </w: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r>
        <w:rPr>
          <w:rFonts w:hint="eastAsia" w:ascii="宋体" w:hAnsi="宋体" w:cs="宋体"/>
          <w:color w:val="auto"/>
          <w:highlight w:val="none"/>
        </w:rPr>
        <w:t>后附法定代表人身份证正反面复印件，加盖公章。</w:t>
      </w: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pStyle w:val="26"/>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before="156" w:beforeLines="50" w:after="50"/>
        <w:rPr>
          <w:rFonts w:ascii="宋体" w:hAnsi="宋体" w:cs="宋体"/>
          <w:color w:val="auto"/>
          <w:highlight w:val="none"/>
        </w:rPr>
      </w:pPr>
      <w:r>
        <w:rPr>
          <w:rFonts w:hint="eastAsia" w:ascii="宋体" w:hAnsi="宋体" w:cs="宋体"/>
          <w:color w:val="auto"/>
          <w:highlight w:val="none"/>
        </w:rPr>
        <w:t>日期:_____年___月___日</w:t>
      </w: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before="50" w:after="156" w:afterLines="50"/>
        <w:jc w:val="left"/>
        <w:rPr>
          <w:rFonts w:ascii="宋体" w:hAnsi="宋体" w:cs="宋体"/>
          <w:b/>
          <w:bCs/>
          <w:color w:val="auto"/>
          <w:highlight w:val="none"/>
        </w:rPr>
      </w:pPr>
      <w:r>
        <w:rPr>
          <w:rFonts w:hint="eastAsia" w:ascii="宋体" w:hAnsi="宋体" w:cs="宋体"/>
          <w:b/>
          <w:bCs/>
          <w:color w:val="auto"/>
          <w:highlight w:val="none"/>
        </w:rPr>
        <w:t>附：法定代表人身份证正反面复印件。</w:t>
      </w:r>
    </w:p>
    <w:p>
      <w:pPr>
        <w:snapToGrid w:val="0"/>
        <w:spacing w:before="50" w:after="156" w:afterLines="50"/>
        <w:jc w:val="left"/>
        <w:rPr>
          <w:rFonts w:ascii="宋体" w:hAnsi="宋体" w:cs="宋体"/>
          <w:b/>
          <w:bCs/>
          <w:color w:val="auto"/>
          <w:highlight w:val="none"/>
        </w:rPr>
      </w:pPr>
      <w:r>
        <w:rPr>
          <w:rFonts w:hint="eastAsia" w:ascii="宋体" w:hAnsi="宋体" w:cs="宋体"/>
          <w:b/>
          <w:bCs/>
          <w:color w:val="auto"/>
          <w:highlight w:val="none"/>
        </w:rPr>
        <w:t>注：联合体投标的，可只由联合体牵头人盖章。</w:t>
      </w:r>
    </w:p>
    <w:p>
      <w:pPr>
        <w:snapToGrid w:val="0"/>
        <w:spacing w:line="360" w:lineRule="auto"/>
        <w:jc w:val="left"/>
        <w:rPr>
          <w:rFonts w:ascii="宋体" w:hAnsi="宋体" w:cs="宋体"/>
          <w:color w:val="auto"/>
          <w:highlight w:val="none"/>
        </w:rPr>
      </w:pPr>
      <w:r>
        <w:rPr>
          <w:rFonts w:hint="eastAsia" w:ascii="宋体" w:hAnsi="宋体" w:cs="宋体"/>
          <w:color w:val="auto"/>
          <w:highlight w:val="none"/>
        </w:rPr>
        <w:br w:type="page"/>
      </w:r>
    </w:p>
    <w:p>
      <w:pPr>
        <w:snapToGrid w:val="0"/>
        <w:spacing w:line="360" w:lineRule="auto"/>
        <w:jc w:val="center"/>
        <w:rPr>
          <w:rFonts w:ascii="宋体" w:hAnsi="宋体" w:cs="宋体"/>
          <w:b/>
          <w:bCs/>
          <w:color w:val="auto"/>
          <w:highlight w:val="none"/>
        </w:rPr>
      </w:pPr>
      <w:r>
        <w:rPr>
          <w:rFonts w:hint="eastAsia" w:ascii="宋体" w:hAnsi="宋体" w:cs="宋体"/>
          <w:b/>
          <w:bCs/>
          <w:color w:val="auto"/>
          <w:highlight w:val="none"/>
        </w:rPr>
        <w:t>法定代表人授权委托书</w:t>
      </w:r>
    </w:p>
    <w:p>
      <w:pPr>
        <w:snapToGrid w:val="0"/>
        <w:spacing w:line="360" w:lineRule="auto"/>
        <w:jc w:val="center"/>
        <w:rPr>
          <w:rFonts w:ascii="宋体" w:hAnsi="宋体" w:cs="宋体"/>
          <w:b/>
          <w:bCs/>
          <w:color w:val="auto"/>
          <w:highlight w:val="none"/>
        </w:rPr>
      </w:pPr>
      <w:r>
        <w:rPr>
          <w:rFonts w:hint="eastAsia" w:ascii="宋体" w:hAnsi="宋体" w:cs="宋体"/>
          <w:b/>
          <w:bCs/>
          <w:color w:val="auto"/>
          <w:highlight w:val="none"/>
        </w:rPr>
        <w:t>（非联合体投标人适用）</w:t>
      </w:r>
    </w:p>
    <w:p>
      <w:pPr>
        <w:snapToGrid w:val="0"/>
        <w:spacing w:line="360" w:lineRule="auto"/>
        <w:rPr>
          <w:rFonts w:ascii="宋体" w:hAnsi="宋体" w:cs="宋体"/>
          <w:color w:val="auto"/>
          <w:highlight w:val="none"/>
        </w:rPr>
      </w:pPr>
    </w:p>
    <w:p>
      <w:pPr>
        <w:snapToGrid w:val="0"/>
        <w:spacing w:line="360" w:lineRule="auto"/>
        <w:rPr>
          <w:rFonts w:ascii="宋体" w:hAnsi="宋体" w:cs="宋体"/>
          <w:b/>
          <w:bCs/>
          <w:color w:val="auto"/>
          <w:highlight w:val="none"/>
        </w:rPr>
      </w:pPr>
      <w:r>
        <w:rPr>
          <w:rFonts w:hint="eastAsia" w:ascii="宋体" w:hAnsi="宋体" w:cs="宋体"/>
          <w:color w:val="auto"/>
          <w:highlight w:val="none"/>
        </w:rPr>
        <w:t>致：</w:t>
      </w:r>
      <w:r>
        <w:rPr>
          <w:rFonts w:hint="eastAsia" w:ascii="宋体" w:hAnsi="宋体" w:cs="宋体"/>
          <w:color w:val="auto"/>
          <w:highlight w:val="none"/>
          <w:u w:val="single"/>
        </w:rPr>
        <w:t xml:space="preserve">　　              </w:t>
      </w:r>
      <w:r>
        <w:rPr>
          <w:rFonts w:hint="eastAsia" w:ascii="宋体" w:hAnsi="宋体" w:cs="宋体"/>
          <w:color w:val="auto"/>
          <w:highlight w:val="none"/>
        </w:rPr>
        <w:t>（采购人名称）</w:t>
      </w:r>
      <w:r>
        <w:rPr>
          <w:rFonts w:hint="eastAsia" w:ascii="宋体" w:hAnsi="宋体" w:cs="宋体"/>
          <w:b/>
          <w:bCs/>
          <w:color w:val="auto"/>
          <w:highlight w:val="none"/>
        </w:rPr>
        <w:t xml:space="preserve"> </w:t>
      </w:r>
      <w:r>
        <w:rPr>
          <w:rFonts w:hint="eastAsia" w:ascii="宋体" w:hAnsi="宋体" w:cs="宋体"/>
          <w:color w:val="auto"/>
          <w:highlight w:val="none"/>
        </w:rPr>
        <w:t>：</w:t>
      </w:r>
    </w:p>
    <w:p>
      <w:pPr>
        <w:snapToGrid w:val="0"/>
        <w:spacing w:line="360" w:lineRule="auto"/>
        <w:ind w:firstLine="630" w:firstLineChars="300"/>
        <w:rPr>
          <w:rFonts w:ascii="宋体" w:hAnsi="宋体" w:cs="宋体"/>
          <w:color w:val="auto"/>
          <w:highlight w:val="none"/>
        </w:rPr>
      </w:pPr>
      <w:r>
        <w:rPr>
          <w:rFonts w:hint="eastAsia" w:ascii="宋体" w:hAnsi="宋体" w:cs="宋体"/>
          <w:color w:val="auto"/>
          <w:highlight w:val="none"/>
        </w:rPr>
        <w:t>我</w:t>
      </w:r>
      <w:r>
        <w:rPr>
          <w:rFonts w:hint="eastAsia" w:ascii="宋体" w:hAnsi="宋体" w:cs="宋体"/>
          <w:color w:val="auto"/>
          <w:highlight w:val="none"/>
          <w:u w:val="single"/>
        </w:rPr>
        <w:t xml:space="preserve">　　              </w:t>
      </w:r>
      <w:r>
        <w:rPr>
          <w:rFonts w:hint="eastAsia" w:ascii="宋体" w:hAnsi="宋体" w:cs="宋体"/>
          <w:color w:val="auto"/>
          <w:highlight w:val="none"/>
        </w:rPr>
        <w:t>（姓名）系</w:t>
      </w:r>
      <w:r>
        <w:rPr>
          <w:rFonts w:hint="eastAsia" w:ascii="宋体" w:hAnsi="宋体" w:cs="宋体"/>
          <w:color w:val="auto"/>
          <w:highlight w:val="none"/>
          <w:u w:val="single"/>
        </w:rPr>
        <w:t xml:space="preserve">　　              </w:t>
      </w:r>
      <w:r>
        <w:rPr>
          <w:rFonts w:hint="eastAsia" w:ascii="宋体" w:hAnsi="宋体" w:cs="宋体"/>
          <w:color w:val="auto"/>
          <w:highlight w:val="none"/>
        </w:rPr>
        <w:t xml:space="preserve">（投标人名称）的法定代表人，现授权委托本单位在职职工 </w:t>
      </w:r>
      <w:r>
        <w:rPr>
          <w:rFonts w:hint="eastAsia" w:ascii="宋体" w:hAnsi="宋体" w:cs="宋体"/>
          <w:color w:val="auto"/>
          <w:highlight w:val="none"/>
          <w:u w:val="single"/>
        </w:rPr>
        <w:t xml:space="preserve">              </w:t>
      </w:r>
      <w:r>
        <w:rPr>
          <w:rFonts w:hint="eastAsia" w:ascii="宋体" w:hAnsi="宋体" w:cs="宋体"/>
          <w:color w:val="auto"/>
          <w:highlight w:val="none"/>
        </w:rPr>
        <w:t>（姓名）以我方的名义参加</w:t>
      </w:r>
      <w:r>
        <w:rPr>
          <w:rFonts w:hint="eastAsia" w:ascii="宋体" w:hAnsi="宋体" w:cs="宋体"/>
          <w:color w:val="auto"/>
          <w:highlight w:val="none"/>
          <w:u w:val="single"/>
        </w:rPr>
        <w:t xml:space="preserve">            </w:t>
      </w:r>
      <w:r>
        <w:rPr>
          <w:rFonts w:hint="eastAsia" w:ascii="宋体" w:hAnsi="宋体" w:cs="宋体"/>
          <w:color w:val="auto"/>
          <w:highlight w:val="none"/>
        </w:rPr>
        <w:t>项目的投标活动，并代表我方全权办理针对上述项目的投标、开标、评标、签约等具体事务和签署相关文件。</w:t>
      </w:r>
    </w:p>
    <w:p>
      <w:pPr>
        <w:snapToGrid w:val="0"/>
        <w:spacing w:line="360" w:lineRule="auto"/>
        <w:rPr>
          <w:rFonts w:ascii="宋体" w:hAnsi="宋体" w:cs="宋体"/>
          <w:color w:val="auto"/>
          <w:highlight w:val="none"/>
        </w:rPr>
      </w:pPr>
      <w:r>
        <w:rPr>
          <w:rFonts w:hint="eastAsia" w:ascii="宋体" w:hAnsi="宋体" w:cs="宋体"/>
          <w:color w:val="auto"/>
          <w:highlight w:val="none"/>
        </w:rPr>
        <w:t xml:space="preserve">    我方对被授权人的签名事项负全部责任。</w:t>
      </w:r>
    </w:p>
    <w:p>
      <w:pPr>
        <w:snapToGrid w:val="0"/>
        <w:spacing w:line="360" w:lineRule="auto"/>
        <w:ind w:firstLine="480"/>
        <w:rPr>
          <w:rFonts w:ascii="宋体" w:hAnsi="宋体" w:cs="宋体"/>
          <w:color w:val="auto"/>
          <w:highlight w:val="none"/>
        </w:rPr>
      </w:pPr>
      <w:r>
        <w:rPr>
          <w:rFonts w:hint="eastAsia" w:ascii="宋体" w:hAnsi="宋体" w:cs="宋体"/>
          <w:color w:val="auto"/>
          <w:highlight w:val="none"/>
          <w:u w:val="single"/>
        </w:rPr>
        <w:t>在撤销授权的书面通知以前，本授权书一直有效。</w:t>
      </w:r>
      <w:r>
        <w:rPr>
          <w:rFonts w:hint="eastAsia" w:ascii="宋体" w:hAnsi="宋体" w:cs="宋体"/>
          <w:color w:val="auto"/>
          <w:highlight w:val="none"/>
        </w:rPr>
        <w:t>被授权人在授权书有效期内签署的所有文件不因授权的撤销而失效。</w:t>
      </w:r>
    </w:p>
    <w:p>
      <w:pPr>
        <w:snapToGrid w:val="0"/>
        <w:spacing w:line="360" w:lineRule="auto"/>
        <w:ind w:firstLine="480"/>
        <w:rPr>
          <w:rFonts w:ascii="宋体" w:hAnsi="宋体" w:cs="宋体"/>
          <w:color w:val="auto"/>
          <w:highlight w:val="none"/>
        </w:rPr>
      </w:pPr>
      <w:r>
        <w:rPr>
          <w:rFonts w:hint="eastAsia" w:ascii="宋体" w:hAnsi="宋体" w:cs="宋体"/>
          <w:color w:val="auto"/>
          <w:highlight w:val="none"/>
        </w:rPr>
        <w:t>被授权人无转委托权，特此委托。</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u w:val="single"/>
        </w:rPr>
      </w:pPr>
      <w:r>
        <w:rPr>
          <w:rFonts w:hint="eastAsia" w:ascii="宋体" w:hAnsi="宋体" w:cs="宋体"/>
          <w:color w:val="auto"/>
          <w:highlight w:val="none"/>
        </w:rPr>
        <w:t>被授权人签名或盖章：</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法定代表人签名或盖章：</w:t>
      </w:r>
      <w:r>
        <w:rPr>
          <w:rFonts w:hint="eastAsia" w:ascii="宋体" w:hAnsi="宋体" w:cs="宋体"/>
          <w:color w:val="auto"/>
          <w:highlight w:val="none"/>
          <w:u w:val="single"/>
        </w:rPr>
        <w:t xml:space="preserve">          </w:t>
      </w:r>
    </w:p>
    <w:p>
      <w:pPr>
        <w:snapToGrid w:val="0"/>
        <w:spacing w:line="360" w:lineRule="auto"/>
        <w:ind w:firstLine="840" w:firstLineChars="400"/>
        <w:rPr>
          <w:rFonts w:ascii="宋体" w:hAnsi="宋体" w:cs="宋体"/>
          <w:color w:val="auto"/>
          <w:highlight w:val="none"/>
        </w:rPr>
      </w:pPr>
      <w:r>
        <w:rPr>
          <w:rFonts w:hint="eastAsia" w:ascii="宋体" w:hAnsi="宋体" w:cs="宋体"/>
          <w:color w:val="auto"/>
          <w:highlight w:val="none"/>
        </w:rPr>
        <w:t>职务：</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职务：</w:t>
      </w:r>
      <w:r>
        <w:rPr>
          <w:rFonts w:hint="eastAsia" w:ascii="宋体" w:hAnsi="宋体" w:cs="宋体"/>
          <w:color w:val="auto"/>
          <w:highlight w:val="none"/>
          <w:u w:val="single"/>
        </w:rPr>
        <w:t xml:space="preserve">           </w:t>
      </w:r>
    </w:p>
    <w:p>
      <w:pPr>
        <w:snapToGrid w:val="0"/>
        <w:spacing w:line="360" w:lineRule="auto"/>
        <w:rPr>
          <w:rFonts w:ascii="宋体" w:hAnsi="宋体" w:cs="宋体"/>
          <w:color w:val="auto"/>
          <w:highlight w:val="none"/>
        </w:rPr>
      </w:pPr>
      <w:r>
        <w:rPr>
          <w:rFonts w:hint="eastAsia" w:ascii="宋体" w:hAnsi="宋体" w:cs="宋体"/>
          <w:color w:val="auto"/>
          <w:highlight w:val="none"/>
        </w:rPr>
        <w:t>被授权人身份证号码：</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napToGrid w:val="0"/>
        <w:spacing w:line="360" w:lineRule="auto"/>
        <w:rPr>
          <w:rFonts w:ascii="宋体" w:hAnsi="宋体" w:cs="宋体"/>
          <w:color w:val="auto"/>
          <w:highlight w:val="none"/>
        </w:rPr>
      </w:pPr>
      <w:r>
        <w:rPr>
          <w:rFonts w:hint="eastAsia" w:ascii="宋体" w:hAnsi="宋体" w:cs="宋体"/>
          <w:color w:val="auto"/>
          <w:highlight w:val="none"/>
        </w:rPr>
        <w:t>法定代表人身份证号码：</w:t>
      </w:r>
      <w:r>
        <w:rPr>
          <w:rFonts w:hint="eastAsia" w:ascii="宋体" w:hAnsi="宋体" w:cs="宋体"/>
          <w:color w:val="auto"/>
          <w:highlight w:val="none"/>
          <w:u w:val="single"/>
        </w:rPr>
        <w:t xml:space="preserve">                           </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pStyle w:val="26"/>
        <w:tabs>
          <w:tab w:val="left" w:pos="2472"/>
        </w:tabs>
        <w:snapToGrid w:val="0"/>
        <w:spacing w:beforeLines="0" w:afterLines="0" w:line="360" w:lineRule="auto"/>
        <w:ind w:firstLine="474"/>
        <w:jc w:val="left"/>
        <w:rPr>
          <w:rFonts w:hAnsi="宋体"/>
          <w:color w:val="auto"/>
          <w:sz w:val="21"/>
          <w:szCs w:val="21"/>
          <w:highlight w:val="none"/>
        </w:rPr>
      </w:pPr>
      <w:r>
        <w:rPr>
          <w:rFonts w:hint="eastAsia" w:hAnsi="宋体"/>
          <w:color w:val="auto"/>
          <w:sz w:val="21"/>
          <w:szCs w:val="21"/>
          <w:highlight w:val="none"/>
        </w:rPr>
        <w:t>投标人名称(公章):___________________</w:t>
      </w:r>
    </w:p>
    <w:p>
      <w:pPr>
        <w:snapToGrid w:val="0"/>
        <w:spacing w:line="360" w:lineRule="auto"/>
        <w:rPr>
          <w:rFonts w:ascii="宋体" w:hAnsi="宋体" w:cs="宋体"/>
          <w:color w:val="auto"/>
          <w:highlight w:val="none"/>
        </w:rPr>
      </w:pPr>
      <w:r>
        <w:rPr>
          <w:rFonts w:hint="eastAsia" w:ascii="宋体" w:hAnsi="宋体" w:cs="宋体"/>
          <w:color w:val="auto"/>
          <w:highlight w:val="none"/>
        </w:rPr>
        <w:t>日期:_____年___月___日</w:t>
      </w:r>
    </w:p>
    <w:p>
      <w:pPr>
        <w:snapToGrid w:val="0"/>
        <w:spacing w:line="360" w:lineRule="auto"/>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b/>
          <w:bCs/>
          <w:color w:val="auto"/>
          <w:highlight w:val="none"/>
        </w:rPr>
      </w:pPr>
    </w:p>
    <w:p>
      <w:pPr>
        <w:snapToGrid w:val="0"/>
        <w:spacing w:before="50" w:after="156" w:afterLines="50"/>
        <w:jc w:val="left"/>
        <w:rPr>
          <w:rFonts w:ascii="宋体" w:hAnsi="宋体" w:cs="宋体"/>
          <w:b/>
          <w:bCs/>
          <w:color w:val="auto"/>
          <w:highlight w:val="none"/>
        </w:rPr>
      </w:pPr>
    </w:p>
    <w:p>
      <w:pPr>
        <w:pStyle w:val="18"/>
        <w:rPr>
          <w:rFonts w:ascii="宋体" w:hAnsi="宋体" w:cs="宋体"/>
          <w:color w:val="auto"/>
          <w:highlight w:val="none"/>
        </w:rPr>
      </w:pPr>
      <w:r>
        <w:rPr>
          <w:rFonts w:hint="eastAsia" w:ascii="宋体" w:hAnsi="宋体" w:cs="宋体"/>
          <w:color w:val="auto"/>
          <w:highlight w:val="none"/>
        </w:rPr>
        <w:br w:type="page"/>
      </w:r>
    </w:p>
    <w:p>
      <w:pPr>
        <w:pStyle w:val="26"/>
        <w:spacing w:before="156" w:after="156" w:line="240" w:lineRule="auto"/>
        <w:jc w:val="center"/>
        <w:rPr>
          <w:rFonts w:hAnsi="宋体"/>
          <w:b/>
          <w:color w:val="auto"/>
          <w:sz w:val="22"/>
          <w:szCs w:val="22"/>
          <w:highlight w:val="none"/>
        </w:rPr>
      </w:pPr>
      <w:r>
        <w:rPr>
          <w:rFonts w:hint="eastAsia" w:hAnsi="宋体"/>
          <w:b/>
          <w:color w:val="auto"/>
          <w:sz w:val="22"/>
          <w:szCs w:val="22"/>
          <w:highlight w:val="none"/>
        </w:rPr>
        <w:t>联合投标授权委托书</w:t>
      </w:r>
    </w:p>
    <w:p>
      <w:pPr>
        <w:pStyle w:val="21"/>
        <w:spacing w:line="240" w:lineRule="auto"/>
        <w:ind w:left="840" w:leftChars="400" w:firstLine="2222" w:firstLineChars="1100"/>
        <w:rPr>
          <w:rFonts w:hAnsi="宋体"/>
          <w:color w:val="auto"/>
          <w:sz w:val="21"/>
          <w:szCs w:val="21"/>
          <w:highlight w:val="none"/>
        </w:rPr>
      </w:pPr>
      <w:r>
        <w:rPr>
          <w:rFonts w:hint="eastAsia" w:hAnsi="宋体"/>
          <w:color w:val="auto"/>
          <w:sz w:val="21"/>
          <w:szCs w:val="21"/>
          <w:highlight w:val="none"/>
        </w:rPr>
        <w:t>（联合体投标须提供）</w:t>
      </w:r>
    </w:p>
    <w:p>
      <w:pPr>
        <w:pStyle w:val="21"/>
        <w:spacing w:line="480" w:lineRule="auto"/>
        <w:ind w:left="-107" w:leftChars="-51" w:firstLine="404" w:firstLineChars="200"/>
        <w:rPr>
          <w:rFonts w:hAnsi="宋体"/>
          <w:color w:val="auto"/>
          <w:sz w:val="21"/>
          <w:szCs w:val="21"/>
          <w:highlight w:val="none"/>
        </w:rPr>
      </w:pP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本授权委托书声明：根据</w:t>
      </w:r>
      <w:r>
        <w:rPr>
          <w:rFonts w:hint="eastAsia" w:hAnsi="宋体"/>
          <w:color w:val="auto"/>
          <w:sz w:val="21"/>
          <w:szCs w:val="21"/>
          <w:highlight w:val="none"/>
          <w:u w:val="single"/>
        </w:rPr>
        <w:t xml:space="preserve">             </w:t>
      </w:r>
      <w:r>
        <w:rPr>
          <w:rFonts w:hint="eastAsia" w:hAnsi="宋体"/>
          <w:color w:val="auto"/>
          <w:sz w:val="21"/>
          <w:szCs w:val="21"/>
          <w:highlight w:val="none"/>
        </w:rPr>
        <w:t>与</w:t>
      </w:r>
      <w:r>
        <w:rPr>
          <w:rFonts w:hint="eastAsia" w:hAnsi="宋体"/>
          <w:color w:val="auto"/>
          <w:sz w:val="21"/>
          <w:szCs w:val="21"/>
          <w:highlight w:val="none"/>
          <w:u w:val="single"/>
        </w:rPr>
        <w:t xml:space="preserve">             </w:t>
      </w:r>
      <w:r>
        <w:rPr>
          <w:rFonts w:hint="eastAsia" w:hAnsi="宋体"/>
          <w:color w:val="auto"/>
          <w:sz w:val="21"/>
          <w:szCs w:val="21"/>
          <w:highlight w:val="none"/>
        </w:rPr>
        <w:t>签订的《联合投标协议书》的内容，联合体牵头人</w:t>
      </w:r>
      <w:r>
        <w:rPr>
          <w:rFonts w:hint="eastAsia" w:hAnsi="宋体"/>
          <w:color w:val="auto"/>
          <w:sz w:val="21"/>
          <w:szCs w:val="21"/>
          <w:highlight w:val="none"/>
          <w:u w:val="single"/>
        </w:rPr>
        <w:t xml:space="preserve">            </w:t>
      </w:r>
      <w:r>
        <w:rPr>
          <w:rFonts w:hint="eastAsia" w:hAnsi="宋体"/>
          <w:color w:val="auto"/>
          <w:sz w:val="21"/>
          <w:szCs w:val="21"/>
          <w:highlight w:val="none"/>
        </w:rPr>
        <w:t>的法定代表人</w:t>
      </w:r>
      <w:r>
        <w:rPr>
          <w:rFonts w:hint="eastAsia" w:hAnsi="宋体"/>
          <w:color w:val="auto"/>
          <w:sz w:val="21"/>
          <w:szCs w:val="21"/>
          <w:highlight w:val="none"/>
          <w:u w:val="single"/>
        </w:rPr>
        <w:t xml:space="preserve">            </w:t>
      </w:r>
      <w:r>
        <w:rPr>
          <w:rFonts w:hint="eastAsia" w:hAnsi="宋体"/>
          <w:color w:val="auto"/>
          <w:sz w:val="21"/>
          <w:szCs w:val="21"/>
          <w:highlight w:val="none"/>
        </w:rPr>
        <w:t>现授权</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为联合投标委托代理人，委托代理人在投标、开标、评标、合同谈判过程中所签署的一切文件和处理与这有关的一切事务，联合投标各方均予以认可并遵守。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特此委托。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投标人（盖章）：</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法定代表人（签字或盖章）：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日期：2023年  月  日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委托代理人（签字或盖章）；</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日期：2023年  月  日</w:t>
      </w:r>
    </w:p>
    <w:p>
      <w:pPr>
        <w:pStyle w:val="21"/>
        <w:spacing w:line="480" w:lineRule="auto"/>
        <w:ind w:left="840" w:hanging="420"/>
        <w:rPr>
          <w:rFonts w:hAnsi="宋体"/>
          <w:color w:val="auto"/>
          <w:sz w:val="21"/>
          <w:szCs w:val="21"/>
          <w:highlight w:val="none"/>
        </w:rPr>
      </w:pPr>
    </w:p>
    <w:p>
      <w:pPr>
        <w:pStyle w:val="21"/>
        <w:spacing w:line="480" w:lineRule="auto"/>
        <w:ind w:firstLine="0"/>
        <w:rPr>
          <w:rFonts w:hAnsi="宋体"/>
          <w:b/>
          <w:bCs/>
          <w:color w:val="auto"/>
          <w:sz w:val="21"/>
          <w:szCs w:val="21"/>
          <w:highlight w:val="none"/>
        </w:rPr>
      </w:pPr>
      <w:r>
        <w:rPr>
          <w:rFonts w:hint="eastAsia" w:hAnsi="宋体"/>
          <w:b/>
          <w:bCs/>
          <w:color w:val="auto"/>
          <w:sz w:val="21"/>
          <w:szCs w:val="21"/>
          <w:highlight w:val="none"/>
        </w:rPr>
        <w:t>注：联合体投标的，此委托书由联合体牵头人的法定代表人签署，并加盖联合体牵头人单位章。</w:t>
      </w: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b/>
          <w:bCs/>
          <w:color w:val="auto"/>
          <w:highlight w:val="none"/>
        </w:rPr>
      </w:pPr>
    </w:p>
    <w:p>
      <w:pPr>
        <w:snapToGrid w:val="0"/>
        <w:spacing w:before="50" w:after="156" w:afterLines="50"/>
        <w:jc w:val="left"/>
        <w:rPr>
          <w:rFonts w:ascii="宋体" w:hAnsi="宋体" w:cs="宋体"/>
          <w:b/>
          <w:bCs/>
          <w:color w:val="auto"/>
          <w:highlight w:val="none"/>
        </w:rPr>
      </w:pPr>
    </w:p>
    <w:p>
      <w:pPr>
        <w:snapToGrid w:val="0"/>
        <w:spacing w:before="50" w:after="156" w:afterLines="50"/>
        <w:jc w:val="left"/>
        <w:rPr>
          <w:rFonts w:ascii="宋体" w:hAnsi="宋体" w:cs="宋体"/>
          <w:b/>
          <w:bCs/>
          <w:color w:val="auto"/>
          <w:highlight w:val="none"/>
        </w:rPr>
      </w:pPr>
    </w:p>
    <w:p>
      <w:pPr>
        <w:snapToGrid w:val="0"/>
        <w:spacing w:before="50" w:after="156" w:afterLines="50"/>
        <w:jc w:val="left"/>
        <w:rPr>
          <w:rFonts w:ascii="宋体" w:hAnsi="宋体" w:cs="宋体"/>
          <w:b/>
          <w:bCs/>
          <w:color w:val="auto"/>
          <w:highlight w:val="none"/>
        </w:rPr>
      </w:pPr>
    </w:p>
    <w:p>
      <w:pPr>
        <w:snapToGrid w:val="0"/>
        <w:spacing w:before="50" w:line="360" w:lineRule="auto"/>
        <w:jc w:val="left"/>
        <w:rPr>
          <w:rFonts w:ascii="宋体" w:hAnsi="宋体" w:cs="宋体"/>
          <w:color w:val="auto"/>
          <w:highlight w:val="none"/>
        </w:rPr>
      </w:pPr>
      <w:r>
        <w:rPr>
          <w:rFonts w:hint="eastAsia" w:ascii="宋体" w:hAnsi="宋体" w:cs="宋体"/>
          <w:b/>
          <w:bCs/>
          <w:color w:val="auto"/>
          <w:highlight w:val="none"/>
        </w:rPr>
        <w:br w:type="page"/>
      </w:r>
      <w:r>
        <w:rPr>
          <w:rFonts w:hint="eastAsia" w:ascii="宋体" w:hAnsi="宋体" w:cs="宋体"/>
          <w:color w:val="auto"/>
          <w:highlight w:val="none"/>
        </w:rPr>
        <w:t>（3）商务条款响应（偏离）表</w:t>
      </w:r>
    </w:p>
    <w:p>
      <w:pPr>
        <w:snapToGrid w:val="0"/>
        <w:spacing w:before="50" w:line="360" w:lineRule="auto"/>
        <w:jc w:val="left"/>
        <w:rPr>
          <w:rFonts w:ascii="宋体" w:hAnsi="宋体" w:cs="宋体"/>
          <w:color w:val="auto"/>
          <w:highlight w:val="none"/>
        </w:rPr>
      </w:pPr>
    </w:p>
    <w:p>
      <w:pPr>
        <w:snapToGrid w:val="0"/>
        <w:spacing w:before="50" w:line="360" w:lineRule="auto"/>
        <w:jc w:val="center"/>
        <w:rPr>
          <w:rFonts w:ascii="宋体" w:hAnsi="宋体" w:cs="宋体"/>
          <w:b/>
          <w:bCs/>
          <w:color w:val="auto"/>
          <w:highlight w:val="none"/>
        </w:rPr>
      </w:pPr>
      <w:r>
        <w:rPr>
          <w:rFonts w:hint="eastAsia" w:ascii="宋体" w:hAnsi="宋体" w:cs="宋体"/>
          <w:b/>
          <w:bCs/>
          <w:color w:val="auto"/>
          <w:highlight w:val="none"/>
        </w:rPr>
        <w:t>商务条款响应（偏离）表</w:t>
      </w:r>
    </w:p>
    <w:p>
      <w:pPr>
        <w:snapToGrid w:val="0"/>
        <w:spacing w:before="50" w:line="360" w:lineRule="auto"/>
        <w:jc w:val="center"/>
        <w:rPr>
          <w:rFonts w:ascii="宋体" w:hAnsi="宋体" w:cs="宋体"/>
          <w:color w:val="auto"/>
          <w:highlight w:val="none"/>
        </w:rPr>
      </w:pPr>
    </w:p>
    <w:p>
      <w:pPr>
        <w:snapToGrid w:val="0"/>
        <w:spacing w:before="50" w:line="360" w:lineRule="auto"/>
        <w:jc w:val="left"/>
        <w:rPr>
          <w:rFonts w:ascii="宋体" w:hAnsi="宋体" w:cs="宋体"/>
          <w:color w:val="auto"/>
          <w:highlight w:val="none"/>
          <w:u w:val="single"/>
        </w:rPr>
      </w:pP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标项号：</w:t>
      </w:r>
      <w:r>
        <w:rPr>
          <w:rFonts w:hint="eastAsia" w:ascii="宋体" w:hAnsi="宋体" w:cs="宋体"/>
          <w:color w:val="auto"/>
          <w:highlight w:val="none"/>
          <w:u w:val="single"/>
        </w:rPr>
        <w:t xml:space="preserve">                </w:t>
      </w:r>
    </w:p>
    <w:tbl>
      <w:tblPr>
        <w:tblStyle w:val="48"/>
        <w:tblW w:w="829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6"/>
        <w:gridCol w:w="2627"/>
        <w:gridCol w:w="1226"/>
        <w:gridCol w:w="29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1506" w:type="dxa"/>
            <w:tcBorders>
              <w:top w:val="single" w:color="auto" w:sz="4" w:space="0"/>
              <w:bottom w:val="single" w:color="auto" w:sz="4" w:space="0"/>
              <w:right w:val="single" w:color="auto" w:sz="4" w:space="0"/>
            </w:tcBorders>
          </w:tcPr>
          <w:p>
            <w:pPr>
              <w:snapToGrid w:val="0"/>
              <w:spacing w:before="156" w:beforeLines="50" w:line="400" w:lineRule="exact"/>
              <w:jc w:val="center"/>
              <w:rPr>
                <w:rFonts w:ascii="宋体" w:hAnsi="宋体" w:cs="宋体"/>
                <w:color w:val="auto"/>
                <w:highlight w:val="none"/>
              </w:rPr>
            </w:pPr>
            <w:r>
              <w:rPr>
                <w:rFonts w:hint="eastAsia" w:ascii="宋体" w:hAnsi="宋体" w:cs="宋体"/>
                <w:color w:val="auto"/>
                <w:highlight w:val="none"/>
              </w:rPr>
              <w:t>名称</w:t>
            </w: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jc w:val="center"/>
              <w:rPr>
                <w:rFonts w:ascii="宋体" w:hAnsi="宋体" w:cs="宋体"/>
                <w:color w:val="auto"/>
                <w:highlight w:val="none"/>
              </w:rPr>
            </w:pPr>
            <w:r>
              <w:rPr>
                <w:rFonts w:hint="eastAsia" w:ascii="宋体" w:hAnsi="宋体" w:cs="宋体"/>
                <w:color w:val="auto"/>
                <w:highlight w:val="none"/>
              </w:rPr>
              <w:t>招标文件要求</w:t>
            </w: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jc w:val="center"/>
              <w:rPr>
                <w:rFonts w:ascii="宋体" w:hAnsi="宋体" w:cs="宋体"/>
                <w:color w:val="auto"/>
                <w:highlight w:val="none"/>
              </w:rPr>
            </w:pPr>
            <w:r>
              <w:rPr>
                <w:rFonts w:hint="eastAsia" w:ascii="宋体" w:hAnsi="宋体" w:cs="宋体"/>
                <w:color w:val="auto"/>
                <w:highlight w:val="none"/>
              </w:rPr>
              <w:t>是否响应</w:t>
            </w:r>
          </w:p>
        </w:tc>
        <w:tc>
          <w:tcPr>
            <w:tcW w:w="2939" w:type="dxa"/>
            <w:tcBorders>
              <w:top w:val="single" w:color="auto" w:sz="4" w:space="0"/>
              <w:left w:val="single" w:color="auto" w:sz="4" w:space="0"/>
              <w:bottom w:val="single" w:color="auto" w:sz="4" w:space="0"/>
            </w:tcBorders>
          </w:tcPr>
          <w:p>
            <w:pPr>
              <w:snapToGrid w:val="0"/>
              <w:spacing w:before="156" w:beforeLines="50" w:line="400" w:lineRule="exact"/>
              <w:jc w:val="center"/>
              <w:rPr>
                <w:rFonts w:ascii="宋体" w:hAnsi="宋体" w:cs="宋体"/>
                <w:color w:val="auto"/>
                <w:highlight w:val="none"/>
              </w:rPr>
            </w:pPr>
            <w:r>
              <w:rPr>
                <w:rFonts w:hint="eastAsia" w:ascii="宋体" w:hAnsi="宋体" w:cs="宋体"/>
                <w:color w:val="auto"/>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1506"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bl>
    <w:p>
      <w:pPr>
        <w:snapToGrid w:val="0"/>
        <w:spacing w:before="50"/>
        <w:rPr>
          <w:rFonts w:ascii="宋体" w:hAnsi="宋体" w:cs="宋体"/>
          <w:color w:val="auto"/>
          <w:kern w:val="0"/>
          <w:highlight w:val="none"/>
        </w:rPr>
      </w:pPr>
      <w:r>
        <w:rPr>
          <w:rFonts w:hint="eastAsia" w:ascii="宋体" w:hAnsi="宋体" w:cs="宋体"/>
          <w:color w:val="auto"/>
          <w:highlight w:val="none"/>
        </w:rPr>
        <w:t>注:投标人须按第二章 招标需求</w:t>
      </w:r>
      <w:r>
        <w:rPr>
          <w:rFonts w:hint="eastAsia" w:ascii="宋体" w:hAnsi="宋体" w:cs="宋体"/>
          <w:b/>
          <w:bCs/>
          <w:color w:val="auto"/>
          <w:highlight w:val="none"/>
          <w:lang w:val="en-US" w:eastAsia="zh-CN"/>
        </w:rPr>
        <w:t>二</w:t>
      </w:r>
      <w:r>
        <w:rPr>
          <w:rFonts w:hint="eastAsia" w:ascii="宋体" w:hAnsi="宋体" w:cs="宋体"/>
          <w:b/>
          <w:bCs/>
          <w:color w:val="auto"/>
          <w:highlight w:val="none"/>
        </w:rPr>
        <w:t>、商务要求中</w:t>
      </w:r>
      <w:r>
        <w:rPr>
          <w:rFonts w:hint="eastAsia" w:ascii="宋体" w:hAnsi="宋体" w:cs="宋体"/>
          <w:color w:val="auto"/>
          <w:highlight w:val="none"/>
        </w:rPr>
        <w:t>逐条填写，在说明栏如实填写“正偏离”、“无偏离”或“负偏离”。</w:t>
      </w:r>
    </w:p>
    <w:p>
      <w:pPr>
        <w:snapToGrid w:val="0"/>
        <w:spacing w:before="50"/>
        <w:jc w:val="left"/>
        <w:rPr>
          <w:rFonts w:ascii="宋体" w:hAnsi="宋体" w:cs="宋体"/>
          <w:color w:val="auto"/>
          <w:highlight w:val="none"/>
        </w:rPr>
      </w:pPr>
    </w:p>
    <w:p>
      <w:pPr>
        <w:snapToGrid w:val="0"/>
        <w:spacing w:before="50"/>
        <w:jc w:val="left"/>
        <w:rPr>
          <w:rFonts w:ascii="宋体" w:hAnsi="宋体" w:cs="宋体"/>
          <w:color w:val="auto"/>
          <w:highlight w:val="none"/>
        </w:rPr>
      </w:pPr>
    </w:p>
    <w:p>
      <w:pPr>
        <w:snapToGrid w:val="0"/>
        <w:spacing w:before="50"/>
        <w:jc w:val="left"/>
        <w:rPr>
          <w:rFonts w:ascii="宋体" w:hAnsi="宋体" w:cs="宋体"/>
          <w:color w:val="auto"/>
          <w:highlight w:val="none"/>
        </w:rPr>
      </w:pPr>
    </w:p>
    <w:p>
      <w:pPr>
        <w:pStyle w:val="26"/>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before="50" w:after="156" w:afterLines="50"/>
        <w:jc w:val="left"/>
        <w:rPr>
          <w:rFonts w:ascii="宋体" w:hAnsi="宋体" w:cs="宋体"/>
          <w:color w:val="auto"/>
          <w:highlight w:val="none"/>
        </w:rPr>
      </w:pPr>
      <w:r>
        <w:rPr>
          <w:rFonts w:hint="eastAsia" w:ascii="宋体" w:hAnsi="宋体" w:cs="宋体"/>
          <w:color w:val="auto"/>
          <w:highlight w:val="none"/>
        </w:rPr>
        <w:t>日期:_____年___月___日</w:t>
      </w: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r>
        <w:rPr>
          <w:rFonts w:hint="eastAsia" w:ascii="宋体" w:hAnsi="宋体" w:cs="宋体"/>
          <w:b/>
          <w:bCs/>
          <w:color w:val="auto"/>
          <w:highlight w:val="none"/>
        </w:rPr>
        <w:t>注：联合体投标的，可只由联合体牵头人盖章。</w:t>
      </w:r>
    </w:p>
    <w:p>
      <w:pPr>
        <w:snapToGrid w:val="0"/>
        <w:spacing w:before="50" w:after="156" w:afterLines="50"/>
        <w:jc w:val="left"/>
        <w:rPr>
          <w:rFonts w:ascii="宋体" w:hAnsi="宋体" w:cs="宋体"/>
          <w:color w:val="auto"/>
          <w:highlight w:val="none"/>
        </w:rPr>
      </w:pPr>
    </w:p>
    <w:p>
      <w:pPr>
        <w:snapToGrid w:val="0"/>
        <w:spacing w:before="50" w:line="360" w:lineRule="auto"/>
        <w:jc w:val="left"/>
        <w:rPr>
          <w:rFonts w:ascii="宋体" w:hAnsi="宋体" w:cs="宋体"/>
          <w:color w:val="auto"/>
          <w:highlight w:val="none"/>
        </w:rPr>
      </w:pPr>
      <w:r>
        <w:rPr>
          <w:rFonts w:hint="eastAsia" w:ascii="宋体" w:hAnsi="宋体" w:cs="宋体"/>
          <w:color w:val="auto"/>
          <w:highlight w:val="none"/>
        </w:rPr>
        <w:t>（4）技术条款响应（偏离）表</w:t>
      </w:r>
    </w:p>
    <w:p>
      <w:pPr>
        <w:spacing w:line="400" w:lineRule="exact"/>
        <w:jc w:val="center"/>
        <w:rPr>
          <w:rFonts w:ascii="宋体" w:hAnsi="宋体" w:cs="宋体"/>
          <w:b/>
          <w:bCs/>
          <w:color w:val="auto"/>
          <w:highlight w:val="none"/>
        </w:rPr>
      </w:pPr>
      <w:r>
        <w:rPr>
          <w:rFonts w:hint="eastAsia" w:ascii="宋体" w:hAnsi="宋体" w:cs="宋体"/>
          <w:b/>
          <w:bCs/>
          <w:color w:val="auto"/>
          <w:highlight w:val="none"/>
        </w:rPr>
        <w:t>技术条款响应（偏离）表</w:t>
      </w:r>
    </w:p>
    <w:p>
      <w:pPr>
        <w:snapToGrid w:val="0"/>
        <w:spacing w:before="50" w:line="360" w:lineRule="auto"/>
        <w:jc w:val="left"/>
        <w:rPr>
          <w:rFonts w:ascii="宋体" w:hAnsi="宋体" w:cs="宋体"/>
          <w:color w:val="auto"/>
          <w:highlight w:val="none"/>
          <w:u w:val="single"/>
        </w:rPr>
      </w:pP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标项号：</w:t>
      </w:r>
      <w:r>
        <w:rPr>
          <w:rFonts w:hint="eastAsia" w:ascii="宋体" w:hAnsi="宋体" w:cs="宋体"/>
          <w:color w:val="auto"/>
          <w:highlight w:val="none"/>
          <w:u w:val="single"/>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序号</w:t>
            </w:r>
          </w:p>
        </w:tc>
        <w:tc>
          <w:tcPr>
            <w:tcW w:w="336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招标文件</w:t>
            </w:r>
          </w:p>
          <w:p>
            <w:pPr>
              <w:spacing w:line="400" w:lineRule="exact"/>
              <w:jc w:val="center"/>
              <w:rPr>
                <w:rFonts w:ascii="宋体" w:hAnsi="宋体" w:cs="宋体"/>
                <w:color w:val="auto"/>
                <w:highlight w:val="none"/>
              </w:rPr>
            </w:pPr>
            <w:r>
              <w:rPr>
                <w:rFonts w:hint="eastAsia" w:ascii="宋体" w:hAnsi="宋体" w:cs="宋体"/>
                <w:color w:val="auto"/>
                <w:highlight w:val="none"/>
              </w:rPr>
              <w:t>技术规格、要求</w:t>
            </w:r>
          </w:p>
        </w:tc>
        <w:tc>
          <w:tcPr>
            <w:tcW w:w="2908"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投标文件</w:t>
            </w:r>
          </w:p>
          <w:p>
            <w:pPr>
              <w:spacing w:line="400" w:lineRule="exact"/>
              <w:jc w:val="center"/>
              <w:rPr>
                <w:rFonts w:ascii="宋体" w:hAnsi="宋体" w:cs="宋体"/>
                <w:color w:val="auto"/>
                <w:highlight w:val="none"/>
              </w:rPr>
            </w:pPr>
            <w:r>
              <w:rPr>
                <w:rFonts w:hint="eastAsia" w:ascii="宋体" w:hAnsi="宋体" w:cs="宋体"/>
                <w:color w:val="auto"/>
                <w:highlight w:val="none"/>
              </w:rPr>
              <w:t>对应规格</w:t>
            </w:r>
          </w:p>
        </w:tc>
        <w:tc>
          <w:tcPr>
            <w:tcW w:w="1578"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bl>
    <w:p>
      <w:pPr>
        <w:snapToGrid w:val="0"/>
        <w:spacing w:before="50"/>
        <w:rPr>
          <w:rFonts w:ascii="宋体" w:hAnsi="宋体" w:cs="宋体"/>
          <w:color w:val="auto"/>
          <w:kern w:val="0"/>
          <w:highlight w:val="none"/>
        </w:rPr>
      </w:pPr>
      <w:r>
        <w:rPr>
          <w:rFonts w:hint="eastAsia" w:ascii="宋体" w:hAnsi="宋体" w:cs="宋体"/>
          <w:color w:val="auto"/>
          <w:highlight w:val="none"/>
        </w:rPr>
        <w:t>注：注:投标人须按第二章 招标需求</w:t>
      </w:r>
      <w:r>
        <w:rPr>
          <w:rFonts w:hint="eastAsia" w:ascii="宋体" w:hAnsi="宋体" w:cs="宋体"/>
          <w:b/>
          <w:bCs/>
          <w:color w:val="auto"/>
          <w:highlight w:val="none"/>
          <w:lang w:val="en-US" w:eastAsia="zh-CN"/>
        </w:rPr>
        <w:t>一</w:t>
      </w:r>
      <w:r>
        <w:rPr>
          <w:rFonts w:hint="eastAsia" w:ascii="宋体" w:hAnsi="宋体" w:cs="宋体"/>
          <w:b/>
          <w:bCs/>
          <w:color w:val="auto"/>
          <w:highlight w:val="none"/>
        </w:rPr>
        <w:t>、技术需求</w:t>
      </w:r>
      <w:r>
        <w:rPr>
          <w:rFonts w:hint="eastAsia" w:ascii="宋体" w:hAnsi="宋体" w:cs="宋体"/>
          <w:color w:val="auto"/>
          <w:highlight w:val="none"/>
        </w:rPr>
        <w:t>逐条填写，在说明栏如实填写“正偏离”、“无偏离”或“负偏离”。</w:t>
      </w:r>
    </w:p>
    <w:p>
      <w:pPr>
        <w:spacing w:line="400" w:lineRule="exact"/>
        <w:rPr>
          <w:rFonts w:ascii="宋体" w:hAnsi="宋体" w:cs="宋体"/>
          <w:color w:val="auto"/>
          <w:highlight w:val="none"/>
        </w:rPr>
      </w:pPr>
      <w:r>
        <w:rPr>
          <w:rFonts w:hint="eastAsia" w:ascii="宋体" w:hAnsi="宋体" w:cs="宋体"/>
          <w:color w:val="auto"/>
          <w:highlight w:val="none"/>
        </w:rPr>
        <w:t>投标人（盖章）：</w:t>
      </w:r>
    </w:p>
    <w:p>
      <w:pPr>
        <w:pStyle w:val="21"/>
        <w:spacing w:line="360" w:lineRule="exact"/>
        <w:ind w:firstLine="0"/>
        <w:jc w:val="left"/>
        <w:rPr>
          <w:rFonts w:hAnsi="宋体"/>
          <w:color w:val="auto"/>
          <w:spacing w:val="6"/>
          <w:sz w:val="21"/>
          <w:szCs w:val="21"/>
          <w:highlight w:val="none"/>
        </w:rPr>
      </w:pPr>
      <w:r>
        <w:rPr>
          <w:rFonts w:hint="eastAsia" w:hAnsi="宋体"/>
          <w:color w:val="auto"/>
          <w:sz w:val="21"/>
          <w:szCs w:val="21"/>
          <w:highlight w:val="none"/>
        </w:rPr>
        <w:t>日  期：</w:t>
      </w:r>
    </w:p>
    <w:p>
      <w:pPr>
        <w:snapToGrid w:val="0"/>
        <w:spacing w:before="50" w:after="156" w:afterLines="50"/>
        <w:jc w:val="left"/>
        <w:rPr>
          <w:rFonts w:ascii="宋体" w:hAnsi="宋体" w:cs="宋体"/>
          <w:color w:val="auto"/>
          <w:highlight w:val="none"/>
        </w:rPr>
      </w:pPr>
    </w:p>
    <w:p>
      <w:pPr>
        <w:spacing w:line="360" w:lineRule="auto"/>
        <w:rPr>
          <w:rFonts w:ascii="宋体" w:hAnsi="宋体" w:cs="宋体"/>
          <w:b/>
          <w:bCs/>
          <w:color w:val="auto"/>
          <w:highlight w:val="none"/>
        </w:rPr>
      </w:pPr>
      <w:r>
        <w:rPr>
          <w:rFonts w:hint="eastAsia" w:ascii="宋体" w:hAnsi="宋体" w:cs="宋体"/>
          <w:b/>
          <w:bCs/>
          <w:color w:val="auto"/>
          <w:highlight w:val="none"/>
        </w:rPr>
        <w:t>注：联合体投标的，可只由联合体牵头人盖章。</w:t>
      </w:r>
    </w:p>
    <w:p>
      <w:pPr>
        <w:pStyle w:val="515"/>
        <w:rPr>
          <w:rFonts w:cs="宋体"/>
          <w:b/>
          <w:bCs/>
          <w:color w:val="auto"/>
          <w:highlight w:val="none"/>
        </w:rPr>
      </w:pPr>
    </w:p>
    <w:p>
      <w:pPr>
        <w:pStyle w:val="515"/>
        <w:rPr>
          <w:rFonts w:cs="宋体"/>
          <w:b/>
          <w:bCs/>
          <w:color w:val="auto"/>
          <w:highlight w:val="none"/>
        </w:rPr>
      </w:pPr>
    </w:p>
    <w:p>
      <w:pPr>
        <w:pStyle w:val="515"/>
        <w:rPr>
          <w:rFonts w:cs="宋体"/>
          <w:b/>
          <w:bCs/>
          <w:color w:val="auto"/>
          <w:highlight w:val="none"/>
        </w:rPr>
      </w:pPr>
    </w:p>
    <w:p>
      <w:pPr>
        <w:pStyle w:val="515"/>
        <w:ind w:firstLine="0"/>
        <w:rPr>
          <w:rFonts w:cs="宋体"/>
          <w:b/>
          <w:bCs/>
          <w:color w:val="auto"/>
          <w:highlight w:val="none"/>
        </w:rPr>
      </w:pPr>
    </w:p>
    <w:p>
      <w:pPr>
        <w:numPr>
          <w:ilvl w:val="0"/>
          <w:numId w:val="11"/>
        </w:numPr>
        <w:snapToGrid w:val="0"/>
        <w:spacing w:after="156" w:afterLines="50" w:line="360" w:lineRule="auto"/>
        <w:ind w:left="5" w:leftChars="0" w:firstLine="420" w:firstLineChars="200"/>
        <w:jc w:val="left"/>
        <w:rPr>
          <w:rFonts w:hint="eastAsia" w:ascii="宋体" w:hAnsi="宋体" w:cs="宋体"/>
          <w:b w:val="0"/>
          <w:bCs w:val="0"/>
          <w:color w:val="auto"/>
          <w:highlight w:val="none"/>
        </w:rPr>
      </w:pPr>
      <w:r>
        <w:rPr>
          <w:rFonts w:hint="eastAsia" w:ascii="宋体" w:hAnsi="宋体" w:cs="宋体"/>
          <w:b w:val="0"/>
          <w:bCs w:val="0"/>
          <w:color w:val="auto"/>
          <w:highlight w:val="none"/>
        </w:rPr>
        <w:t>技术需求中要求提供的证明资料（加盖公章）；</w:t>
      </w:r>
    </w:p>
    <w:p>
      <w:pPr>
        <w:numPr>
          <w:ilvl w:val="0"/>
          <w:numId w:val="11"/>
        </w:numPr>
        <w:snapToGrid w:val="0"/>
        <w:spacing w:after="156" w:afterLines="50" w:line="360" w:lineRule="auto"/>
        <w:ind w:left="5" w:leftChars="0" w:firstLine="420" w:firstLineChars="200"/>
        <w:jc w:val="left"/>
        <w:rPr>
          <w:rFonts w:hint="eastAsia" w:ascii="宋体" w:hAnsi="宋体" w:cs="宋体"/>
          <w:b w:val="0"/>
          <w:bCs w:val="0"/>
          <w:color w:val="auto"/>
          <w:highlight w:val="none"/>
        </w:rPr>
      </w:pPr>
      <w:r>
        <w:rPr>
          <w:rFonts w:hint="eastAsia" w:ascii="宋体" w:hAnsi="宋体" w:cs="宋体"/>
          <w:b w:val="0"/>
          <w:bCs w:val="0"/>
          <w:color w:val="auto"/>
          <w:highlight w:val="none"/>
        </w:rPr>
        <w:t>供货方案；</w:t>
      </w:r>
    </w:p>
    <w:p>
      <w:pPr>
        <w:snapToGrid w:val="0"/>
        <w:spacing w:after="156" w:afterLines="50" w:line="360" w:lineRule="auto"/>
        <w:ind w:leftChars="200"/>
        <w:jc w:val="left"/>
        <w:rPr>
          <w:rFonts w:hint="eastAsia" w:ascii="宋体" w:hAnsi="宋体" w:cs="宋体"/>
          <w:b w:val="0"/>
          <w:bCs w:val="0"/>
          <w:color w:val="auto"/>
          <w:highlight w:val="none"/>
        </w:rPr>
      </w:pPr>
      <w:r>
        <w:rPr>
          <w:rFonts w:hint="eastAsia" w:ascii="宋体" w:hAnsi="宋体" w:cs="宋体"/>
          <w:b w:val="0"/>
          <w:bCs w:val="0"/>
          <w:color w:val="auto"/>
          <w:highlight w:val="none"/>
        </w:rPr>
        <w:t>(7)安装与验收方案；</w:t>
      </w:r>
    </w:p>
    <w:p>
      <w:pPr>
        <w:snapToGrid w:val="0"/>
        <w:spacing w:after="156" w:afterLines="50" w:line="360" w:lineRule="auto"/>
        <w:ind w:leftChars="200"/>
        <w:jc w:val="left"/>
        <w:rPr>
          <w:rFonts w:hint="eastAsia" w:ascii="宋体" w:hAnsi="宋体" w:cs="宋体"/>
          <w:b w:val="0"/>
          <w:bCs w:val="0"/>
          <w:color w:val="auto"/>
          <w:highlight w:val="none"/>
        </w:rPr>
      </w:pPr>
      <w:r>
        <w:rPr>
          <w:rFonts w:hint="eastAsia" w:ascii="宋体" w:hAnsi="宋体" w:cs="宋体"/>
          <w:b w:val="0"/>
          <w:bCs w:val="0"/>
          <w:color w:val="auto"/>
          <w:highlight w:val="none"/>
        </w:rPr>
        <w:t>(8)售后服务；</w:t>
      </w:r>
    </w:p>
    <w:p>
      <w:pPr>
        <w:snapToGrid w:val="0"/>
        <w:spacing w:after="156" w:afterLines="50" w:line="360" w:lineRule="auto"/>
        <w:ind w:leftChars="200"/>
        <w:jc w:val="left"/>
        <w:rPr>
          <w:rFonts w:hint="eastAsia" w:ascii="宋体" w:hAnsi="宋体" w:cs="宋体"/>
          <w:b w:val="0"/>
          <w:bCs w:val="0"/>
          <w:color w:val="auto"/>
          <w:highlight w:val="none"/>
        </w:rPr>
      </w:pPr>
      <w:r>
        <w:rPr>
          <w:rFonts w:hint="eastAsia" w:ascii="宋体" w:hAnsi="宋体" w:cs="宋体"/>
          <w:b w:val="0"/>
          <w:bCs w:val="0"/>
          <w:color w:val="auto"/>
          <w:highlight w:val="none"/>
        </w:rPr>
        <w:t>(9)培训方案；</w:t>
      </w:r>
    </w:p>
    <w:p>
      <w:pPr>
        <w:snapToGrid w:val="0"/>
        <w:spacing w:after="156" w:afterLines="50" w:line="360" w:lineRule="auto"/>
        <w:ind w:leftChars="200"/>
        <w:jc w:val="left"/>
        <w:rPr>
          <w:rFonts w:hint="eastAsia" w:ascii="宋体" w:hAnsi="宋体" w:cs="宋体"/>
          <w:b w:val="0"/>
          <w:bCs w:val="0"/>
          <w:color w:val="auto"/>
          <w:highlight w:val="none"/>
        </w:rPr>
      </w:pPr>
      <w:r>
        <w:rPr>
          <w:rFonts w:hint="eastAsia" w:ascii="宋体" w:hAnsi="宋体" w:cs="宋体"/>
          <w:b w:val="0"/>
          <w:bCs w:val="0"/>
          <w:color w:val="auto"/>
          <w:highlight w:val="none"/>
        </w:rPr>
        <w:t>(10)维修成本方案；</w:t>
      </w:r>
    </w:p>
    <w:p>
      <w:pPr>
        <w:tabs>
          <w:tab w:val="left" w:pos="420"/>
        </w:tabs>
        <w:spacing w:line="360" w:lineRule="auto"/>
        <w:ind w:leftChars="200"/>
        <w:rPr>
          <w:rFonts w:hint="eastAsia" w:ascii="宋体" w:hAnsi="宋体" w:cs="宋体"/>
          <w:b w:val="0"/>
          <w:bCs w:val="0"/>
          <w:color w:val="auto"/>
          <w:highlight w:val="none"/>
          <w:lang w:eastAsia="zh-CN"/>
        </w:rPr>
      </w:pPr>
      <w:r>
        <w:rPr>
          <w:rFonts w:hint="eastAsia" w:ascii="宋体" w:hAnsi="宋体" w:cs="宋体"/>
          <w:b w:val="0"/>
          <w:bCs w:val="0"/>
          <w:color w:val="auto"/>
          <w:highlight w:val="none"/>
        </w:rPr>
        <w:t>(11)投标人所投产品的节能环保产品认证证书复印件及所投产品属于“节能产品政府采购清单”中所列产品的相关证明资料或截图（如有请提供，加盖公章</w:t>
      </w:r>
      <w:r>
        <w:rPr>
          <w:rFonts w:hint="eastAsia" w:ascii="宋体" w:hAnsi="宋体" w:cs="宋体"/>
          <w:b w:val="0"/>
          <w:bCs w:val="0"/>
          <w:color w:val="auto"/>
          <w:highlight w:val="none"/>
          <w:lang w:eastAsia="zh-CN"/>
        </w:rPr>
        <w:t>）；</w:t>
      </w:r>
    </w:p>
    <w:p>
      <w:pPr>
        <w:tabs>
          <w:tab w:val="left" w:pos="420"/>
        </w:tabs>
        <w:spacing w:line="360" w:lineRule="auto"/>
        <w:ind w:leftChars="20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2</w:t>
      </w:r>
      <w:r>
        <w:rPr>
          <w:rFonts w:hint="eastAsia" w:ascii="宋体" w:hAnsi="宋体" w:cs="宋体"/>
          <w:color w:val="auto"/>
          <w:highlight w:val="none"/>
        </w:rPr>
        <w:t>)其他采购需求或评分标准所需资料。</w:t>
      </w:r>
    </w:p>
    <w:p>
      <w:pPr>
        <w:snapToGrid w:val="0"/>
        <w:spacing w:after="156" w:afterLines="50" w:line="360" w:lineRule="auto"/>
        <w:ind w:leftChars="200"/>
        <w:jc w:val="left"/>
        <w:rPr>
          <w:rFonts w:hint="default" w:ascii="宋体" w:hAnsi="宋体" w:eastAsia="宋体" w:cs="宋体"/>
          <w:b w:val="0"/>
          <w:bCs w:val="0"/>
          <w:color w:val="auto"/>
          <w:highlight w:val="none"/>
          <w:lang w:val="en-US" w:eastAsia="zh-CN"/>
        </w:rPr>
        <w:sectPr>
          <w:headerReference r:id="rId7" w:type="default"/>
          <w:footerReference r:id="rId8" w:type="default"/>
          <w:pgSz w:w="11906" w:h="16838"/>
          <w:pgMar w:top="1474" w:right="1797" w:bottom="1247" w:left="1797" w:header="851" w:footer="851" w:gutter="0"/>
          <w:cols w:space="720" w:num="1"/>
          <w:docGrid w:type="lines" w:linePitch="312" w:charSpace="0"/>
        </w:sectPr>
      </w:pPr>
    </w:p>
    <w:p>
      <w:pPr>
        <w:spacing w:line="360" w:lineRule="auto"/>
        <w:rPr>
          <w:rFonts w:ascii="宋体" w:hAnsi="宋体" w:cs="宋体"/>
          <w:highlight w:val="none"/>
        </w:rPr>
      </w:pPr>
    </w:p>
    <w:sectPr>
      <w:pgSz w:w="16838" w:h="11906" w:orient="landscape"/>
      <w:pgMar w:top="1797" w:right="1474" w:bottom="1797" w:left="124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汉鼎简细圆">
    <w:altName w:val="宋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Thorndale">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ˎ̥">
    <w:altName w:val="Times New Roman"/>
    <w:panose1 w:val="00000000000000000000"/>
    <w:charset w:val="00"/>
    <w:family w:val="auto"/>
    <w:pitch w:val="default"/>
    <w:sig w:usb0="00000000" w:usb1="00000000" w:usb2="00000000" w:usb3="00000000" w:csb0="00040001" w:csb1="00000000"/>
  </w:font>
  <w:font w:name="Yu Mincho Light">
    <w:altName w:val="MS Gothic"/>
    <w:panose1 w:val="00000000000000000000"/>
    <w:charset w:val="80"/>
    <w:family w:val="roman"/>
    <w:pitch w:val="default"/>
    <w:sig w:usb0="00000000" w:usb1="00000000" w:usb2="00000012" w:usb3="00000000" w:csb0="000200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32"/>
                            <w:jc w:val="center"/>
                            <w:rPr>
                              <w:rFonts w:cs="Times New Roman"/>
                            </w:rPr>
                          </w:pPr>
                          <w:r>
                            <w:fldChar w:fldCharType="begin"/>
                          </w:r>
                          <w:r>
                            <w:instrText xml:space="preserve"> PAGE   \* MERGEFORMAT </w:instrText>
                          </w:r>
                          <w:r>
                            <w:fldChar w:fldCharType="separate"/>
                          </w:r>
                          <w:r>
                            <w:rPr>
                              <w:lang w:val="zh-CN"/>
                            </w:rPr>
                            <w:t>16</w:t>
                          </w:r>
                          <w:r>
                            <w:rPr>
                              <w:lang w:val="zh-CN"/>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I1tk5TTAQAApAMAAA4AAAAAAAAAAQAgAAAAHwEA&#10;AGRycy9lMm9Eb2MueG1sUEsFBgAAAAAGAAYAWQEAAGQFAAAAAA==&#10;">
              <v:fill on="f" focussize="0,0"/>
              <v:stroke on="f"/>
              <v:imagedata o:title=""/>
              <o:lock v:ext="edit" aspectratio="f"/>
              <v:textbox inset="0mm,0mm,0mm,0mm" style="mso-fit-shape-to-text:t;">
                <w:txbxContent>
                  <w:p>
                    <w:pPr>
                      <w:pStyle w:val="32"/>
                      <w:jc w:val="center"/>
                      <w:rPr>
                        <w:rFonts w:cs="Times New Roman"/>
                      </w:rPr>
                    </w:pPr>
                    <w:r>
                      <w:fldChar w:fldCharType="begin"/>
                    </w:r>
                    <w:r>
                      <w:instrText xml:space="preserve"> PAGE   \* MERGEFORMAT </w:instrText>
                    </w:r>
                    <w:r>
                      <w:fldChar w:fldCharType="separate"/>
                    </w:r>
                    <w:r>
                      <w:rPr>
                        <w:lang w:val="zh-CN"/>
                      </w:rPr>
                      <w:t>16</w:t>
                    </w:r>
                    <w:r>
                      <w:rPr>
                        <w:lang w:val="zh-CN"/>
                      </w:rPr>
                      <w:fldChar w:fldCharType="end"/>
                    </w:r>
                  </w:p>
                </w:txbxContent>
              </v:textbox>
            </v:shape>
          </w:pict>
        </mc:Fallback>
      </mc:AlternateContent>
    </w:r>
  </w:p>
  <w:p>
    <w:pPr>
      <w:pStyle w:val="32"/>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892576"/>
    </w:sdtPr>
    <w:sdtContent>
      <w:p>
        <w:pPr>
          <w:pStyle w:val="32"/>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-170180</wp:posOffset>
              </wp:positionV>
              <wp:extent cx="210185" cy="301625"/>
              <wp:effectExtent l="0" t="0" r="0" b="0"/>
              <wp:wrapNone/>
              <wp:docPr id="3" name="文本框 1"/>
              <wp:cNvGraphicFramePr/>
              <a:graphic xmlns:a="http://schemas.openxmlformats.org/drawingml/2006/main">
                <a:graphicData uri="http://schemas.microsoft.com/office/word/2010/wordprocessingShape">
                  <wps:wsp>
                    <wps:cNvSpPr txBox="1"/>
                    <wps:spPr>
                      <a:xfrm>
                        <a:off x="0" y="0"/>
                        <a:ext cx="210185" cy="301625"/>
                      </a:xfrm>
                      <a:prstGeom prst="rect">
                        <a:avLst/>
                      </a:prstGeom>
                      <a:noFill/>
                      <a:ln>
                        <a:noFill/>
                      </a:ln>
                      <a:effectLst/>
                    </wps:spPr>
                    <wps:txbx>
                      <w:txbxContent>
                        <w:p>
                          <w:pPr>
                            <w:snapToGrid w:val="0"/>
                            <w:rPr>
                              <w:sz w:val="18"/>
                              <w:szCs w:val="18"/>
                            </w:rPr>
                          </w:pPr>
                          <w:r>
                            <w:fldChar w:fldCharType="begin"/>
                          </w:r>
                          <w:r>
                            <w:instrText xml:space="preserve"> PAGE  \* MERGEFORMAT </w:instrText>
                          </w:r>
                          <w:r>
                            <w:fldChar w:fldCharType="separate"/>
                          </w:r>
                          <w:r>
                            <w:rPr>
                              <w:sz w:val="18"/>
                              <w:szCs w:val="18"/>
                            </w:rPr>
                            <w:t>35</w:t>
                          </w:r>
                          <w:r>
                            <w:rPr>
                              <w:sz w:val="18"/>
                              <w:szCs w:val="18"/>
                            </w:rPr>
                            <w:fldChar w:fldCharType="end"/>
                          </w:r>
                        </w:p>
                      </w:txbxContent>
                    </wps:txbx>
                    <wps:bodyPr lIns="0" tIns="0" rIns="0" bIns="0" upright="1"/>
                  </wps:wsp>
                </a:graphicData>
              </a:graphic>
            </wp:anchor>
          </w:drawing>
        </mc:Choice>
        <mc:Fallback>
          <w:pict>
            <v:shape id="文本框 1" o:spid="_x0000_s1026" o:spt="202" type="#_x0000_t202" style="position:absolute;left:0pt;margin-top:-13.4pt;height:23.75pt;width:16.55pt;mso-position-horizontal:center;mso-position-horizontal-relative:margin;z-index:251660288;mso-width-relative:page;mso-height-relative:page;" filled="f" stroked="f" coordsize="21600,21600" o:gfxdata="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SX01C1gAAAAYBAAAPAAAAAAAAAAEAIAAAACIAAABkcnMvZG93bnJldi54bWxQSwEC&#10;FAAUAAAACACHTuJANTcWu70BAAB/AwAADgAAAAAAAAABACAAAAAlAQAAZHJzL2Uyb0RvYy54bWxQ&#10;SwUGAAAAAAYABgBZAQAAVAUAAAAA&#10;">
              <v:fill on="f" focussize="0,0"/>
              <v:stroke on="f"/>
              <v:imagedata o:title=""/>
              <o:lock v:ext="edit" aspectratio="f"/>
              <v:textbox inset="0mm,0mm,0mm,0mm">
                <w:txbxContent>
                  <w:p>
                    <w:pPr>
                      <w:snapToGrid w:val="0"/>
                      <w:rPr>
                        <w:sz w:val="18"/>
                        <w:szCs w:val="18"/>
                      </w:rPr>
                    </w:pPr>
                    <w:r>
                      <w:fldChar w:fldCharType="begin"/>
                    </w:r>
                    <w:r>
                      <w:instrText xml:space="preserve"> PAGE  \* MERGEFORMAT </w:instrText>
                    </w:r>
                    <w:r>
                      <w:fldChar w:fldCharType="separate"/>
                    </w:r>
                    <w:r>
                      <w:rPr>
                        <w:sz w:val="18"/>
                        <w:szCs w:val="18"/>
                      </w:rPr>
                      <w:t>35</w:t>
                    </w:r>
                    <w:r>
                      <w:rPr>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firstLine="360"/>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32"/>
                            <w:rPr>
                              <w:rStyle w:val="53"/>
                              <w:rFonts w:cs="Times New Roman"/>
                            </w:rPr>
                          </w:pPr>
                          <w:r>
                            <w:rPr>
                              <w:rStyle w:val="53"/>
                            </w:rPr>
                            <w:fldChar w:fldCharType="begin"/>
                          </w:r>
                          <w:r>
                            <w:rPr>
                              <w:rStyle w:val="53"/>
                            </w:rPr>
                            <w:instrText xml:space="preserve">PAGE  </w:instrText>
                          </w:r>
                          <w:r>
                            <w:rPr>
                              <w:rStyle w:val="53"/>
                            </w:rPr>
                            <w:fldChar w:fldCharType="separate"/>
                          </w:r>
                          <w:r>
                            <w:rPr>
                              <w:rStyle w:val="53"/>
                            </w:rPr>
                            <w:t>55</w:t>
                          </w:r>
                          <w:r>
                            <w:rPr>
                              <w:rStyle w:val="53"/>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PlfknQAAAAAwEAAA8AAAAAAAAAAQAgAAAAIgAAAGRy&#10;cy9kb3ducmV2LnhtbFBLAQIUABQAAAAIAIdO4kBNtvu+1AEAAKUDAAAOAAAAAAAAAAEAIAAAAB8B&#10;AABkcnMvZTJvRG9jLnhtbFBLBQYAAAAABgAGAFkBAABlBQAAAAA=&#10;">
              <v:fill on="f" focussize="0,0"/>
              <v:stroke on="f"/>
              <v:imagedata o:title=""/>
              <o:lock v:ext="edit" aspectratio="f"/>
              <v:textbox inset="0mm,0mm,0mm,0mm" style="mso-fit-shape-to-text:t;">
                <w:txbxContent>
                  <w:p>
                    <w:pPr>
                      <w:pStyle w:val="32"/>
                      <w:rPr>
                        <w:rStyle w:val="53"/>
                        <w:rFonts w:cs="Times New Roman"/>
                      </w:rPr>
                    </w:pPr>
                    <w:r>
                      <w:rPr>
                        <w:rStyle w:val="53"/>
                      </w:rPr>
                      <w:fldChar w:fldCharType="begin"/>
                    </w:r>
                    <w:r>
                      <w:rPr>
                        <w:rStyle w:val="53"/>
                      </w:rPr>
                      <w:instrText xml:space="preserve">PAGE  </w:instrText>
                    </w:r>
                    <w:r>
                      <w:rPr>
                        <w:rStyle w:val="53"/>
                      </w:rPr>
                      <w:fldChar w:fldCharType="separate"/>
                    </w:r>
                    <w:r>
                      <w:rPr>
                        <w:rStyle w:val="53"/>
                      </w:rPr>
                      <w:t>55</w:t>
                    </w:r>
                    <w:r>
                      <w:rPr>
                        <w:rStyle w:val="53"/>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D94C6"/>
    <w:multiLevelType w:val="singleLevel"/>
    <w:tmpl w:val="9A8D94C6"/>
    <w:lvl w:ilvl="0" w:tentative="0">
      <w:start w:val="1"/>
      <w:numFmt w:val="decimal"/>
      <w:lvlText w:val="(%1)"/>
      <w:lvlJc w:val="left"/>
      <w:pPr>
        <w:tabs>
          <w:tab w:val="left" w:pos="840"/>
        </w:tabs>
        <w:ind w:left="845" w:hanging="425"/>
      </w:pPr>
      <w:rPr>
        <w:rFonts w:hint="default"/>
      </w:rPr>
    </w:lvl>
  </w:abstractNum>
  <w:abstractNum w:abstractNumId="1">
    <w:nsid w:val="9B433D0B"/>
    <w:multiLevelType w:val="singleLevel"/>
    <w:tmpl w:val="9B433D0B"/>
    <w:lvl w:ilvl="0" w:tentative="0">
      <w:start w:val="4"/>
      <w:numFmt w:val="decimal"/>
      <w:lvlText w:val="(%1)"/>
      <w:lvlJc w:val="left"/>
      <w:pPr>
        <w:tabs>
          <w:tab w:val="left" w:pos="0"/>
        </w:tabs>
        <w:ind w:left="5" w:hanging="425"/>
      </w:pPr>
      <w:rPr>
        <w:rFonts w:hint="default" w:ascii="宋体" w:hAnsi="宋体" w:eastAsia="宋体" w:cs="宋体"/>
      </w:rPr>
    </w:lvl>
  </w:abstractNum>
  <w:abstractNum w:abstractNumId="2">
    <w:nsid w:val="A0400E02"/>
    <w:multiLevelType w:val="singleLevel"/>
    <w:tmpl w:val="A0400E02"/>
    <w:lvl w:ilvl="0" w:tentative="0">
      <w:start w:val="3"/>
      <w:numFmt w:val="decimal"/>
      <w:lvlText w:val="(%1)"/>
      <w:lvlJc w:val="left"/>
      <w:pPr>
        <w:tabs>
          <w:tab w:val="left" w:pos="840"/>
        </w:tabs>
        <w:ind w:left="845" w:hanging="425"/>
      </w:pPr>
      <w:rPr>
        <w:rFonts w:hint="default"/>
      </w:rPr>
    </w:lvl>
  </w:abstractNum>
  <w:abstractNum w:abstractNumId="3">
    <w:nsid w:val="D06125BE"/>
    <w:multiLevelType w:val="singleLevel"/>
    <w:tmpl w:val="D06125BE"/>
    <w:lvl w:ilvl="0" w:tentative="0">
      <w:start w:val="1"/>
      <w:numFmt w:val="decimal"/>
      <w:lvlText w:val="(%1)"/>
      <w:lvlJc w:val="left"/>
      <w:pPr>
        <w:tabs>
          <w:tab w:val="left" w:pos="420"/>
        </w:tabs>
        <w:ind w:left="845" w:hanging="425"/>
      </w:pPr>
      <w:rPr>
        <w:rFonts w:hint="default" w:ascii="宋体" w:hAnsi="宋体" w:eastAsia="宋体" w:cs="宋体"/>
      </w:rPr>
    </w:lvl>
  </w:abstractNum>
  <w:abstractNum w:abstractNumId="4">
    <w:nsid w:val="00000003"/>
    <w:multiLevelType w:val="multilevel"/>
    <w:tmpl w:val="00000003"/>
    <w:lvl w:ilvl="0" w:tentative="0">
      <w:start w:val="2"/>
      <w:numFmt w:val="decimal"/>
      <w:suff w:val="nothing"/>
      <w:lvlText w:val="（%1）"/>
      <w:lvlJc w:val="left"/>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5">
    <w:nsid w:val="00000005"/>
    <w:multiLevelType w:val="multilevel"/>
    <w:tmpl w:val="00000005"/>
    <w:lvl w:ilvl="0" w:tentative="0">
      <w:start w:val="1"/>
      <w:numFmt w:val="japaneseCounting"/>
      <w:pStyle w:val="58"/>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6"/>
      <w:lvlText w:val="%5)"/>
      <w:lvlJc w:val="left"/>
      <w:pPr>
        <w:tabs>
          <w:tab w:val="left" w:pos="2100"/>
        </w:tabs>
        <w:ind w:left="2100" w:hanging="420"/>
      </w:pPr>
    </w:lvl>
    <w:lvl w:ilvl="5" w:tentative="0">
      <w:start w:val="1"/>
      <w:numFmt w:val="lowerRoman"/>
      <w:pStyle w:val="7"/>
      <w:lvlText w:val="%6."/>
      <w:lvlJc w:val="right"/>
      <w:pPr>
        <w:tabs>
          <w:tab w:val="left" w:pos="2520"/>
        </w:tabs>
        <w:ind w:left="2520" w:hanging="420"/>
      </w:pPr>
    </w:lvl>
    <w:lvl w:ilvl="6" w:tentative="0">
      <w:start w:val="1"/>
      <w:numFmt w:val="decimal"/>
      <w:pStyle w:val="8"/>
      <w:lvlText w:val="%7."/>
      <w:lvlJc w:val="left"/>
      <w:pPr>
        <w:tabs>
          <w:tab w:val="left" w:pos="2940"/>
        </w:tabs>
        <w:ind w:left="2940" w:hanging="420"/>
      </w:pPr>
    </w:lvl>
    <w:lvl w:ilvl="7" w:tentative="0">
      <w:start w:val="1"/>
      <w:numFmt w:val="lowerLetter"/>
      <w:pStyle w:val="10"/>
      <w:lvlText w:val="%8)"/>
      <w:lvlJc w:val="left"/>
      <w:pPr>
        <w:tabs>
          <w:tab w:val="left" w:pos="3360"/>
        </w:tabs>
        <w:ind w:left="3360" w:hanging="420"/>
      </w:pPr>
    </w:lvl>
    <w:lvl w:ilvl="8" w:tentative="0">
      <w:start w:val="1"/>
      <w:numFmt w:val="lowerRoman"/>
      <w:pStyle w:val="11"/>
      <w:lvlText w:val="%9."/>
      <w:lvlJc w:val="right"/>
      <w:pPr>
        <w:tabs>
          <w:tab w:val="left" w:pos="3780"/>
        </w:tabs>
        <w:ind w:left="3780" w:hanging="420"/>
      </w:pPr>
    </w:lvl>
  </w:abstractNum>
  <w:abstractNum w:abstractNumId="6">
    <w:nsid w:val="00000007"/>
    <w:multiLevelType w:val="singleLevel"/>
    <w:tmpl w:val="00000007"/>
    <w:lvl w:ilvl="0" w:tentative="0">
      <w:start w:val="1"/>
      <w:numFmt w:val="chineseCounting"/>
      <w:pStyle w:val="326"/>
      <w:suff w:val="nothing"/>
      <w:lvlText w:val="%1、"/>
      <w:lvlJc w:val="left"/>
    </w:lvl>
  </w:abstractNum>
  <w:abstractNum w:abstractNumId="7">
    <w:nsid w:val="00000015"/>
    <w:multiLevelType w:val="singleLevel"/>
    <w:tmpl w:val="00000015"/>
    <w:lvl w:ilvl="0" w:tentative="0">
      <w:start w:val="2"/>
      <w:numFmt w:val="decimal"/>
      <w:suff w:val="nothing"/>
      <w:lvlText w:val="%1、"/>
      <w:lvlJc w:val="left"/>
    </w:lvl>
  </w:abstractNum>
  <w:abstractNum w:abstractNumId="8">
    <w:nsid w:val="0000001F"/>
    <w:multiLevelType w:val="multilevel"/>
    <w:tmpl w:val="0000001F"/>
    <w:lvl w:ilvl="0" w:tentative="0">
      <w:start w:val="1"/>
      <w:numFmt w:val="decimal"/>
      <w:pStyle w:val="155"/>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485011F"/>
    <w:multiLevelType w:val="singleLevel"/>
    <w:tmpl w:val="0485011F"/>
    <w:lvl w:ilvl="0" w:tentative="0">
      <w:start w:val="1"/>
      <w:numFmt w:val="decimal"/>
      <w:lvlText w:val="(%1)"/>
      <w:lvlJc w:val="left"/>
      <w:pPr>
        <w:ind w:left="851" w:hanging="425"/>
      </w:pPr>
      <w:rPr>
        <w:rFonts w:hint="default"/>
      </w:rPr>
    </w:lvl>
  </w:abstractNum>
  <w:abstractNum w:abstractNumId="10">
    <w:nsid w:val="0E5A4BA2"/>
    <w:multiLevelType w:val="multilevel"/>
    <w:tmpl w:val="0E5A4BA2"/>
    <w:lvl w:ilvl="0" w:tentative="0">
      <w:start w:val="1"/>
      <w:numFmt w:val="chineseCountingThousand"/>
      <w:pStyle w:val="149"/>
      <w:lvlText w:val="第%1章"/>
      <w:lvlJc w:val="left"/>
      <w:pPr>
        <w:ind w:left="425" w:hanging="425"/>
      </w:pPr>
      <w:rPr>
        <w:rFonts w:hint="eastAsia"/>
        <w:sz w:val="36"/>
        <w:szCs w:val="36"/>
      </w:rPr>
    </w:lvl>
    <w:lvl w:ilvl="1" w:tentative="0">
      <w:start w:val="1"/>
      <w:numFmt w:val="decimal"/>
      <w:isLgl/>
      <w:lvlText w:val="%1.%2"/>
      <w:lvlJc w:val="left"/>
      <w:pPr>
        <w:ind w:left="992" w:hanging="567"/>
      </w:pPr>
      <w:rPr>
        <w:rFonts w:hint="eastAsia"/>
      </w:rPr>
    </w:lvl>
    <w:lvl w:ilvl="2" w:tentative="0">
      <w:start w:val="1"/>
      <w:numFmt w:val="decimal"/>
      <w:isLgl/>
      <w:lvlText w:val="%1.%2.%3"/>
      <w:lvlJc w:val="left"/>
      <w:pPr>
        <w:ind w:left="1418" w:hanging="567"/>
      </w:pPr>
      <w:rPr>
        <w:rFonts w:hint="eastAsia"/>
      </w:rPr>
    </w:lvl>
    <w:lvl w:ilvl="3" w:tentative="0">
      <w:start w:val="1"/>
      <w:numFmt w:val="decimal"/>
      <w:isLgl/>
      <w:lvlText w:val="%1.%2.%3.%4"/>
      <w:lvlJc w:val="left"/>
      <w:pPr>
        <w:ind w:left="1984" w:hanging="708"/>
      </w:pPr>
      <w:rPr>
        <w:rFonts w:hint="eastAsia"/>
      </w:rPr>
    </w:lvl>
    <w:lvl w:ilvl="4" w:tentative="0">
      <w:start w:val="1"/>
      <w:numFmt w:val="decimal"/>
      <w:pStyle w:val="256"/>
      <w:isLgl/>
      <w:lvlText w:val="%1.%2.%3.%4.%5"/>
      <w:lvlJc w:val="left"/>
      <w:pPr>
        <w:ind w:left="2551" w:hanging="850"/>
      </w:pPr>
      <w:rPr>
        <w:rFonts w:hint="eastAsia"/>
      </w:rPr>
    </w:lvl>
    <w:lvl w:ilvl="5" w:tentative="0">
      <w:start w:val="1"/>
      <w:numFmt w:val="decimal"/>
      <w:isLgl/>
      <w:lvlText w:val="%1.%2.%3.%4.%5.%6"/>
      <w:lvlJc w:val="left"/>
      <w:pPr>
        <w:ind w:left="3260" w:hanging="1134"/>
      </w:pPr>
      <w:rPr>
        <w:rFonts w:hint="eastAsia"/>
      </w:rPr>
    </w:lvl>
    <w:lvl w:ilvl="6" w:tentative="0">
      <w:start w:val="1"/>
      <w:numFmt w:val="decimal"/>
      <w:isLgl/>
      <w:lvlText w:val="%1.%2.%3.%4.%5.%6.%7"/>
      <w:lvlJc w:val="left"/>
      <w:pPr>
        <w:ind w:left="3827" w:hanging="1276"/>
      </w:pPr>
      <w:rPr>
        <w:rFonts w:hint="eastAsia"/>
      </w:rPr>
    </w:lvl>
    <w:lvl w:ilvl="7" w:tentative="0">
      <w:start w:val="1"/>
      <w:numFmt w:val="decimal"/>
      <w:isLgl/>
      <w:lvlText w:val="%1.%2.%3.%4.%5.%6.%7.%8"/>
      <w:lvlJc w:val="left"/>
      <w:pPr>
        <w:ind w:left="4394" w:hanging="1418"/>
      </w:pPr>
      <w:rPr>
        <w:rFonts w:hint="eastAsia"/>
      </w:rPr>
    </w:lvl>
    <w:lvl w:ilvl="8" w:tentative="0">
      <w:start w:val="1"/>
      <w:numFmt w:val="decimal"/>
      <w:isLgl/>
      <w:lvlText w:val="%1.%2.%3.%4.%5.%6.%7.%8.%9"/>
      <w:lvlJc w:val="left"/>
      <w:pPr>
        <w:ind w:left="5102" w:hanging="1700"/>
      </w:pPr>
      <w:rPr>
        <w:rFonts w:hint="eastAsia"/>
      </w:rPr>
    </w:lvl>
  </w:abstractNum>
  <w:abstractNum w:abstractNumId="11">
    <w:nsid w:val="22926F30"/>
    <w:multiLevelType w:val="multilevel"/>
    <w:tmpl w:val="22926F30"/>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9D120CC"/>
    <w:multiLevelType w:val="singleLevel"/>
    <w:tmpl w:val="29D120CC"/>
    <w:lvl w:ilvl="0" w:tentative="0">
      <w:start w:val="1"/>
      <w:numFmt w:val="decimal"/>
      <w:suff w:val="nothing"/>
      <w:lvlText w:val="（%1）"/>
      <w:lvlJc w:val="left"/>
    </w:lvl>
  </w:abstractNum>
  <w:abstractNum w:abstractNumId="13">
    <w:nsid w:val="2C5917C3"/>
    <w:multiLevelType w:val="multilevel"/>
    <w:tmpl w:val="2C5917C3"/>
    <w:lvl w:ilvl="0" w:tentative="0">
      <w:start w:val="1"/>
      <w:numFmt w:val="none"/>
      <w:suff w:val="nothing"/>
      <w:lvlText w:val="%1——"/>
      <w:lvlJc w:val="left"/>
      <w:pPr>
        <w:ind w:left="2393" w:hanging="408"/>
      </w:pPr>
    </w:lvl>
    <w:lvl w:ilvl="1" w:tentative="0">
      <w:start w:val="1"/>
      <w:numFmt w:val="bullet"/>
      <w:pStyle w:val="237"/>
      <w:lvlText w:val=""/>
      <w:lvlJc w:val="left"/>
      <w:pPr>
        <w:tabs>
          <w:tab w:val="left" w:pos="760"/>
        </w:tabs>
        <w:ind w:left="1264" w:hanging="413"/>
      </w:pPr>
      <w:rPr>
        <w:rFonts w:hint="default" w:ascii="Symbol" w:hAnsi="Symbol" w:cs="Symbol"/>
        <w:color w:val="auto"/>
      </w:rPr>
    </w:lvl>
    <w:lvl w:ilvl="2" w:tentative="0">
      <w:start w:val="1"/>
      <w:numFmt w:val="bullet"/>
      <w:pStyle w:val="212"/>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14">
    <w:nsid w:val="3A5A4495"/>
    <w:multiLevelType w:val="multilevel"/>
    <w:tmpl w:val="3A5A4495"/>
    <w:lvl w:ilvl="0" w:tentative="0">
      <w:start w:val="1"/>
      <w:numFmt w:val="chineseCountingThousand"/>
      <w:suff w:val="space"/>
      <w:lvlText w:val="第%1章"/>
      <w:lvlJc w:val="left"/>
      <w:pPr>
        <w:ind w:left="0" w:firstLine="0"/>
      </w:pPr>
      <w:rPr>
        <w:rFonts w:hint="eastAsia"/>
      </w:rPr>
    </w:lvl>
    <w:lvl w:ilvl="1" w:tentative="0">
      <w:start w:val="1"/>
      <w:numFmt w:val="decimal"/>
      <w:pStyle w:val="367"/>
      <w:isLgl/>
      <w:suff w:val="space"/>
      <w:lvlText w:val="%1.%2"/>
      <w:lvlJc w:val="left"/>
      <w:pPr>
        <w:ind w:left="0" w:firstLine="0"/>
      </w:pPr>
      <w:rPr>
        <w:rFonts w:hint="eastAsia" w:eastAsia="宋体" w:asciiTheme="majorEastAsia" w:hAnsiTheme="majorEastAsia"/>
      </w:rPr>
    </w:lvl>
    <w:lvl w:ilvl="2" w:tentative="0">
      <w:start w:val="1"/>
      <w:numFmt w:val="decimal"/>
      <w:isLgl/>
      <w:suff w:val="space"/>
      <w:lvlText w:val="%1.%2.%3"/>
      <w:lvlJc w:val="left"/>
      <w:pPr>
        <w:ind w:left="0" w:firstLine="0"/>
      </w:pPr>
      <w:rPr>
        <w:rFonts w:hint="eastAsia" w:eastAsia="宋体" w:cs="Times New Roman" w:asciiTheme="minorEastAsia" w:hAnsiTheme="minorEastAsia"/>
        <w:b/>
        <w:bCs w:val="0"/>
        <w:i w:val="0"/>
        <w:iCs w:val="0"/>
        <w:caps w:val="0"/>
        <w:smallCaps w:val="0"/>
        <w:strike w:val="0"/>
        <w:dstrike w:val="0"/>
        <w:vanish w:val="0"/>
        <w:color w:val="000000"/>
        <w:spacing w:val="0"/>
        <w:position w:val="0"/>
        <w:u w:val="none"/>
        <w:vertAlign w:val="baseline"/>
        <w14:ligatures w14:val="none"/>
        <w14:numForm w14:val="default"/>
        <w14:numSpacing w14:val="default"/>
      </w:rPr>
    </w:lvl>
    <w:lvl w:ilvl="3" w:tentative="0">
      <w:start w:val="2"/>
      <w:numFmt w:val="decimal"/>
      <w:isLgl/>
      <w:suff w:val="space"/>
      <w:lvlText w:val="%1.%2.%3.%4"/>
      <w:lvlJc w:val="left"/>
      <w:pPr>
        <w:ind w:left="0" w:firstLine="0"/>
      </w:pPr>
      <w:rPr>
        <w:rFonts w:hint="eastAsia"/>
        <w:b/>
        <w:bCs w:val="0"/>
      </w:rPr>
    </w:lvl>
    <w:lvl w:ilvl="4" w:tentative="0">
      <w:start w:val="1"/>
      <w:numFmt w:val="decimal"/>
      <w:isLgl/>
      <w:suff w:val="space"/>
      <w:lvlText w:val="%1.%2.%3.%4.%5"/>
      <w:lvlJc w:val="left"/>
      <w:pPr>
        <w:ind w:left="0" w:firstLine="0"/>
      </w:pPr>
      <w:rPr>
        <w:rFonts w:hint="eastAsia" w:eastAsia="宋体" w:cs="Times New Roman" w:asciiTheme="majorEastAsia" w:hAnsiTheme="majorEastAsia"/>
        <w:b/>
        <w:bCs w:val="0"/>
        <w:i w:val="0"/>
        <w:iCs w:val="0"/>
        <w:caps w:val="0"/>
        <w:smallCaps w:val="0"/>
        <w:strike w:val="0"/>
        <w:dstrike w:val="0"/>
        <w:vanish w:val="0"/>
        <w:color w:val="000000"/>
        <w:spacing w:val="0"/>
        <w:position w:val="0"/>
        <w:u w:val="none"/>
        <w:vertAlign w:val="baseline"/>
        <w14:ligatures w14:val="none"/>
        <w14:numForm w14:val="default"/>
        <w14:numSpacing w14:val="default"/>
      </w:rPr>
    </w:lvl>
    <w:lvl w:ilvl="5" w:tentative="0">
      <w:start w:val="1"/>
      <w:numFmt w:val="decimal"/>
      <w:isLgl/>
      <w:suff w:val="space"/>
      <w:lvlText w:val="%1.%2.%3.%4.%5.%6"/>
      <w:lvlJc w:val="left"/>
      <w:pPr>
        <w:ind w:left="0" w:firstLine="0"/>
      </w:pPr>
      <w:rPr>
        <w:rFonts w:hint="eastAsia" w:eastAsia="宋体" w:asciiTheme="minorEastAsia" w:hAnsiTheme="minorEastAsia"/>
      </w:rPr>
    </w:lvl>
    <w:lvl w:ilvl="6" w:tentative="0">
      <w:start w:val="1"/>
      <w:numFmt w:val="decimal"/>
      <w:isLgl/>
      <w:suff w:val="nothing"/>
      <w:lvlText w:val="%1.%2.%3.%4.%5.%6.%7"/>
      <w:lvlJc w:val="left"/>
      <w:pPr>
        <w:ind w:left="0" w:firstLine="0"/>
      </w:pPr>
      <w:rPr>
        <w:rFonts w:hint="eastAsia"/>
      </w:rPr>
    </w:lvl>
    <w:lvl w:ilvl="7" w:tentative="0">
      <w:start w:val="1"/>
      <w:numFmt w:val="decimal"/>
      <w:isLgl/>
      <w:suff w:val="nothing"/>
      <w:lvlText w:val="%1.%2.%3.%4.%5.%6.%7.%8"/>
      <w:lvlJc w:val="left"/>
      <w:pPr>
        <w:ind w:left="0" w:firstLine="0"/>
      </w:pPr>
      <w:rPr>
        <w:rFonts w:hint="eastAsia"/>
      </w:rPr>
    </w:lvl>
    <w:lvl w:ilvl="8" w:tentative="0">
      <w:start w:val="1"/>
      <w:numFmt w:val="decimal"/>
      <w:isLgl/>
      <w:suff w:val="nothing"/>
      <w:lvlText w:val="%1.%2.%3.%4.%5.%6.%7.%8.%9"/>
      <w:lvlJc w:val="left"/>
      <w:pPr>
        <w:ind w:left="0" w:firstLine="0"/>
      </w:pPr>
      <w:rPr>
        <w:rFonts w:hint="eastAsia"/>
      </w:rPr>
    </w:lvl>
  </w:abstractNum>
  <w:abstractNum w:abstractNumId="15">
    <w:nsid w:val="43740B8A"/>
    <w:multiLevelType w:val="multilevel"/>
    <w:tmpl w:val="43740B8A"/>
    <w:lvl w:ilvl="0" w:tentative="0">
      <w:start w:val="1"/>
      <w:numFmt w:val="chineseCountingThousand"/>
      <w:lvlText w:val="第%1章"/>
      <w:lvlJc w:val="left"/>
      <w:pPr>
        <w:ind w:left="420" w:hanging="420"/>
      </w:pPr>
      <w:rPr>
        <w:rFonts w:hint="eastAsia" w:ascii="宋体" w:hAnsi="宋体" w:eastAsia="宋体"/>
        <w:b/>
        <w:i w:val="0"/>
        <w:sz w:val="44"/>
      </w:rPr>
    </w:lvl>
    <w:lvl w:ilvl="1" w:tentative="0">
      <w:start w:val="1"/>
      <w:numFmt w:val="decimal"/>
      <w:pStyle w:val="341"/>
      <w:isLgl/>
      <w:suff w:val="space"/>
      <w:lvlText w:val="%1.%2."/>
      <w:lvlJc w:val="left"/>
      <w:pPr>
        <w:ind w:left="0" w:firstLine="0"/>
      </w:pPr>
      <w:rPr>
        <w:rFonts w:hint="default" w:ascii="宋体" w:hAnsi="宋体" w:eastAsia="宋体"/>
        <w:b/>
        <w:i w:val="0"/>
        <w:sz w:val="28"/>
      </w:rPr>
    </w:lvl>
    <w:lvl w:ilvl="2" w:tentative="0">
      <w:start w:val="1"/>
      <w:numFmt w:val="decimal"/>
      <w:isLgl/>
      <w:suff w:val="space"/>
      <w:lvlText w:val="%1.%2.%3."/>
      <w:lvlJc w:val="left"/>
      <w:pPr>
        <w:ind w:left="0" w:firstLine="0"/>
      </w:pPr>
      <w:rPr>
        <w:rFonts w:hint="default" w:ascii="宋体" w:hAnsi="宋体" w:eastAsia="宋体"/>
        <w:b/>
        <w:i w:val="0"/>
        <w:sz w:val="28"/>
      </w:rPr>
    </w:lvl>
    <w:lvl w:ilvl="3" w:tentative="0">
      <w:start w:val="1"/>
      <w:numFmt w:val="decimal"/>
      <w:isLgl/>
      <w:suff w:val="space"/>
      <w:lvlText w:val="%1.%2.%3.%4."/>
      <w:lvlJc w:val="left"/>
      <w:pPr>
        <w:ind w:left="0" w:firstLine="0"/>
      </w:pPr>
      <w:rPr>
        <w:rFonts w:hint="default" w:ascii="Times New Roman" w:hAnsi="Times New Roman" w:eastAsia="宋体"/>
        <w:b/>
        <w:i w:val="0"/>
        <w:sz w:val="24"/>
      </w:rPr>
    </w:lvl>
    <w:lvl w:ilvl="4" w:tentative="0">
      <w:start w:val="1"/>
      <w:numFmt w:val="decimal"/>
      <w:pStyle w:val="347"/>
      <w:isLgl/>
      <w:suff w:val="space"/>
      <w:lvlText w:val="%1.%2.%3.%4.%5."/>
      <w:lvlJc w:val="left"/>
      <w:pPr>
        <w:ind w:left="0" w:firstLine="0"/>
      </w:pPr>
      <w:rPr>
        <w:rFonts w:hint="default" w:ascii="Times New Roman" w:hAnsi="Times New Roman" w:eastAsia="宋体"/>
        <w:b/>
        <w:i w:val="0"/>
        <w:sz w:val="24"/>
      </w:rPr>
    </w:lvl>
    <w:lvl w:ilvl="5" w:tentative="0">
      <w:start w:val="1"/>
      <w:numFmt w:val="decimal"/>
      <w:pStyle w:val="349"/>
      <w:isLgl/>
      <w:suff w:val="space"/>
      <w:lvlText w:val="%1.%2.%3.%4.%5.%6."/>
      <w:lvlJc w:val="left"/>
      <w:pPr>
        <w:ind w:left="0" w:firstLine="0"/>
      </w:pPr>
      <w:rPr>
        <w:rFonts w:hint="default" w:ascii="Times New Roman" w:hAnsi="Times New Roman" w:eastAsia="宋体"/>
        <w:b/>
        <w:i w:val="0"/>
        <w:sz w:val="24"/>
      </w:rPr>
    </w:lvl>
    <w:lvl w:ilvl="6" w:tentative="0">
      <w:start w:val="1"/>
      <w:numFmt w:val="decimal"/>
      <w:pStyle w:val="350"/>
      <w:isLgl/>
      <w:suff w:val="space"/>
      <w:lvlText w:val="%1.%2.%3.%4.%5.%6.%7."/>
      <w:lvlJc w:val="left"/>
      <w:pPr>
        <w:ind w:left="0" w:firstLine="0"/>
      </w:pPr>
      <w:rPr>
        <w:rFonts w:hint="default" w:ascii="Times New Roman" w:hAnsi="Times New Roman" w:eastAsia="宋体"/>
        <w:b/>
        <w:i w:val="0"/>
        <w:sz w:val="24"/>
      </w:rPr>
    </w:lvl>
    <w:lvl w:ilvl="7" w:tentative="0">
      <w:start w:val="1"/>
      <w:numFmt w:val="decimal"/>
      <w:pStyle w:val="351"/>
      <w:isLgl/>
      <w:suff w:val="space"/>
      <w:lvlText w:val="%1.%2.%3.%4.%5.%6.%7.%8."/>
      <w:lvlJc w:val="left"/>
      <w:pPr>
        <w:ind w:left="0" w:firstLine="0"/>
      </w:pPr>
      <w:rPr>
        <w:rFonts w:hint="default" w:ascii="Times New Roman" w:hAnsi="Times New Roman" w:eastAsia="宋体"/>
        <w:b/>
        <w:i w:val="0"/>
        <w:sz w:val="24"/>
      </w:rPr>
    </w:lvl>
    <w:lvl w:ilvl="8" w:tentative="0">
      <w:start w:val="1"/>
      <w:numFmt w:val="decimal"/>
      <w:pStyle w:val="352"/>
      <w:isLgl/>
      <w:suff w:val="space"/>
      <w:lvlText w:val="%1.%2.%3.%4.%5.%6.%7.%8.%9."/>
      <w:lvlJc w:val="left"/>
      <w:pPr>
        <w:ind w:left="0" w:firstLine="0"/>
      </w:pPr>
      <w:rPr>
        <w:rFonts w:hint="default" w:ascii="Times New Roman" w:hAnsi="Times New Roman" w:eastAsia="宋体"/>
        <w:b/>
        <w:i w:val="0"/>
        <w:sz w:val="24"/>
      </w:rPr>
    </w:lvl>
  </w:abstractNum>
  <w:abstractNum w:abstractNumId="16">
    <w:nsid w:val="49D5323B"/>
    <w:multiLevelType w:val="multilevel"/>
    <w:tmpl w:val="49D5323B"/>
    <w:lvl w:ilvl="0" w:tentative="0">
      <w:start w:val="1"/>
      <w:numFmt w:val="upperLetter"/>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567CFDD7"/>
    <w:multiLevelType w:val="singleLevel"/>
    <w:tmpl w:val="567CFDD7"/>
    <w:lvl w:ilvl="0" w:tentative="0">
      <w:start w:val="1"/>
      <w:numFmt w:val="decimal"/>
      <w:suff w:val="nothing"/>
      <w:lvlText w:val="%1、"/>
      <w:lvlJc w:val="left"/>
    </w:lvl>
  </w:abstractNum>
  <w:num w:numId="1">
    <w:abstractNumId w:val="5"/>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15"/>
  </w:num>
  <w:num w:numId="7">
    <w:abstractNumId w:val="14"/>
  </w:num>
  <w:num w:numId="8">
    <w:abstractNumId w:val="3"/>
  </w:num>
  <w:num w:numId="9">
    <w:abstractNumId w:val="9"/>
  </w:num>
  <w:num w:numId="10">
    <w:abstractNumId w:val="2"/>
  </w:num>
  <w:num w:numId="11">
    <w:abstractNumId w:val="1"/>
  </w:num>
  <w:num w:numId="12">
    <w:abstractNumId w:val="0"/>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ì?????????¡ì?¡ì?"/>
    <w:docVar w:name="commondata" w:val="eyJoZGlkIjoiZGNjM2MxZjBjMmU2N2M5NjM5MTkwZDE4YzZmM2Y5MDkifQ=="/>
    <w:docVar w:name="CurUserName" w:val="??¡ì??? ???¡ì??? 1???????¡ì?????¡ì????¡ì???H1h1Level 1 Topic HeadingH11H12H111H13H1... Char"/>
    <w:docVar w:name="DeleteMarces" w:val="?¡ì?????????¡ì?¡ì???~????b ?~??????¡§????"/>
    <w:docVar w:name="DocName" w:val="w:rsidR"/>
    <w:docVar w:name="OldInfo" w:val="??????"/>
  </w:docVars>
  <w:rsids>
    <w:rsidRoot w:val="00172A27"/>
    <w:rsid w:val="000049CD"/>
    <w:rsid w:val="00005E47"/>
    <w:rsid w:val="000072C8"/>
    <w:rsid w:val="00010A2C"/>
    <w:rsid w:val="000112D8"/>
    <w:rsid w:val="00015B7B"/>
    <w:rsid w:val="00021FF7"/>
    <w:rsid w:val="000327A3"/>
    <w:rsid w:val="00033472"/>
    <w:rsid w:val="00033B44"/>
    <w:rsid w:val="000345C2"/>
    <w:rsid w:val="00035679"/>
    <w:rsid w:val="00035824"/>
    <w:rsid w:val="00036646"/>
    <w:rsid w:val="00037FFA"/>
    <w:rsid w:val="00041FDA"/>
    <w:rsid w:val="00042A8E"/>
    <w:rsid w:val="0004424B"/>
    <w:rsid w:val="00044B04"/>
    <w:rsid w:val="00046C72"/>
    <w:rsid w:val="000503C2"/>
    <w:rsid w:val="00053B09"/>
    <w:rsid w:val="00054378"/>
    <w:rsid w:val="0005668C"/>
    <w:rsid w:val="0006051B"/>
    <w:rsid w:val="0006108D"/>
    <w:rsid w:val="00062050"/>
    <w:rsid w:val="000621A1"/>
    <w:rsid w:val="00062805"/>
    <w:rsid w:val="00063BF3"/>
    <w:rsid w:val="00064033"/>
    <w:rsid w:val="00070469"/>
    <w:rsid w:val="0007142A"/>
    <w:rsid w:val="00071A95"/>
    <w:rsid w:val="00072C34"/>
    <w:rsid w:val="000738F4"/>
    <w:rsid w:val="000803DB"/>
    <w:rsid w:val="0008431C"/>
    <w:rsid w:val="00090C82"/>
    <w:rsid w:val="00090EC1"/>
    <w:rsid w:val="00091F00"/>
    <w:rsid w:val="00093C91"/>
    <w:rsid w:val="00093EC1"/>
    <w:rsid w:val="00097AD4"/>
    <w:rsid w:val="00097FF8"/>
    <w:rsid w:val="000A2C88"/>
    <w:rsid w:val="000A555E"/>
    <w:rsid w:val="000A6393"/>
    <w:rsid w:val="000B00A3"/>
    <w:rsid w:val="000B08DA"/>
    <w:rsid w:val="000B1705"/>
    <w:rsid w:val="000B23DC"/>
    <w:rsid w:val="000B26C8"/>
    <w:rsid w:val="000B3673"/>
    <w:rsid w:val="000B3C9B"/>
    <w:rsid w:val="000B4307"/>
    <w:rsid w:val="000B5AE1"/>
    <w:rsid w:val="000B6EA7"/>
    <w:rsid w:val="000C1383"/>
    <w:rsid w:val="000C1EE4"/>
    <w:rsid w:val="000C4B41"/>
    <w:rsid w:val="000C4FDD"/>
    <w:rsid w:val="000C516F"/>
    <w:rsid w:val="000C66CA"/>
    <w:rsid w:val="000C766B"/>
    <w:rsid w:val="000D0500"/>
    <w:rsid w:val="000D0F41"/>
    <w:rsid w:val="000D1351"/>
    <w:rsid w:val="000D21D7"/>
    <w:rsid w:val="000D2B5A"/>
    <w:rsid w:val="000D5400"/>
    <w:rsid w:val="000D701E"/>
    <w:rsid w:val="000D796C"/>
    <w:rsid w:val="000E12B4"/>
    <w:rsid w:val="000E3D93"/>
    <w:rsid w:val="000E677F"/>
    <w:rsid w:val="000E681C"/>
    <w:rsid w:val="000E7418"/>
    <w:rsid w:val="000F2188"/>
    <w:rsid w:val="000F2D65"/>
    <w:rsid w:val="000F3F73"/>
    <w:rsid w:val="000F5421"/>
    <w:rsid w:val="000F5648"/>
    <w:rsid w:val="000F598A"/>
    <w:rsid w:val="000F7912"/>
    <w:rsid w:val="00100F91"/>
    <w:rsid w:val="001010CE"/>
    <w:rsid w:val="00103334"/>
    <w:rsid w:val="001055CA"/>
    <w:rsid w:val="001104E3"/>
    <w:rsid w:val="00112436"/>
    <w:rsid w:val="001136FC"/>
    <w:rsid w:val="001174E0"/>
    <w:rsid w:val="00120E07"/>
    <w:rsid w:val="00121864"/>
    <w:rsid w:val="001224BE"/>
    <w:rsid w:val="00130D10"/>
    <w:rsid w:val="00131C44"/>
    <w:rsid w:val="001341A1"/>
    <w:rsid w:val="00135942"/>
    <w:rsid w:val="001360B5"/>
    <w:rsid w:val="00142C92"/>
    <w:rsid w:val="00144B53"/>
    <w:rsid w:val="00150EAD"/>
    <w:rsid w:val="00154D49"/>
    <w:rsid w:val="00154DD7"/>
    <w:rsid w:val="00155930"/>
    <w:rsid w:val="00155E94"/>
    <w:rsid w:val="00162B94"/>
    <w:rsid w:val="00162D88"/>
    <w:rsid w:val="0016378D"/>
    <w:rsid w:val="001642A1"/>
    <w:rsid w:val="0016583C"/>
    <w:rsid w:val="00166CD6"/>
    <w:rsid w:val="00167E56"/>
    <w:rsid w:val="0017073C"/>
    <w:rsid w:val="00170CAE"/>
    <w:rsid w:val="00171834"/>
    <w:rsid w:val="00172A27"/>
    <w:rsid w:val="00173BC1"/>
    <w:rsid w:val="00174294"/>
    <w:rsid w:val="00182035"/>
    <w:rsid w:val="001830B3"/>
    <w:rsid w:val="001836DD"/>
    <w:rsid w:val="00183887"/>
    <w:rsid w:val="00184085"/>
    <w:rsid w:val="0018481A"/>
    <w:rsid w:val="00185343"/>
    <w:rsid w:val="0018621B"/>
    <w:rsid w:val="00187EC3"/>
    <w:rsid w:val="0019386F"/>
    <w:rsid w:val="00197508"/>
    <w:rsid w:val="001A0A83"/>
    <w:rsid w:val="001A2B1C"/>
    <w:rsid w:val="001A5E8D"/>
    <w:rsid w:val="001A6884"/>
    <w:rsid w:val="001B4BC4"/>
    <w:rsid w:val="001B619E"/>
    <w:rsid w:val="001B6B2C"/>
    <w:rsid w:val="001B6E44"/>
    <w:rsid w:val="001B794C"/>
    <w:rsid w:val="001B7A8D"/>
    <w:rsid w:val="001B7B8F"/>
    <w:rsid w:val="001C01BE"/>
    <w:rsid w:val="001C15EF"/>
    <w:rsid w:val="001C37C0"/>
    <w:rsid w:val="001C3834"/>
    <w:rsid w:val="001C4529"/>
    <w:rsid w:val="001C464C"/>
    <w:rsid w:val="001C4D5A"/>
    <w:rsid w:val="001D135E"/>
    <w:rsid w:val="001D288E"/>
    <w:rsid w:val="001D3324"/>
    <w:rsid w:val="001D53BC"/>
    <w:rsid w:val="001D5E95"/>
    <w:rsid w:val="001E17C4"/>
    <w:rsid w:val="001E50D3"/>
    <w:rsid w:val="001E5FE6"/>
    <w:rsid w:val="001F2B28"/>
    <w:rsid w:val="001F3DBE"/>
    <w:rsid w:val="001F4201"/>
    <w:rsid w:val="001F6CB8"/>
    <w:rsid w:val="0020163F"/>
    <w:rsid w:val="002031F7"/>
    <w:rsid w:val="00203E8A"/>
    <w:rsid w:val="00204FEE"/>
    <w:rsid w:val="002054DF"/>
    <w:rsid w:val="002065DC"/>
    <w:rsid w:val="0020670E"/>
    <w:rsid w:val="00210618"/>
    <w:rsid w:val="00210718"/>
    <w:rsid w:val="00211417"/>
    <w:rsid w:val="0021304A"/>
    <w:rsid w:val="00213DD0"/>
    <w:rsid w:val="00215274"/>
    <w:rsid w:val="00215FB9"/>
    <w:rsid w:val="002200D7"/>
    <w:rsid w:val="0022194B"/>
    <w:rsid w:val="00221B43"/>
    <w:rsid w:val="00222AD3"/>
    <w:rsid w:val="00224FDC"/>
    <w:rsid w:val="002253D6"/>
    <w:rsid w:val="00227059"/>
    <w:rsid w:val="00227649"/>
    <w:rsid w:val="00227C3B"/>
    <w:rsid w:val="002319CF"/>
    <w:rsid w:val="00231FCA"/>
    <w:rsid w:val="002328B4"/>
    <w:rsid w:val="00232C22"/>
    <w:rsid w:val="00233A62"/>
    <w:rsid w:val="00234C40"/>
    <w:rsid w:val="00235605"/>
    <w:rsid w:val="00240115"/>
    <w:rsid w:val="00241BD1"/>
    <w:rsid w:val="002430B3"/>
    <w:rsid w:val="00244384"/>
    <w:rsid w:val="00245CF3"/>
    <w:rsid w:val="002471B3"/>
    <w:rsid w:val="00250CBF"/>
    <w:rsid w:val="00251145"/>
    <w:rsid w:val="00261BDD"/>
    <w:rsid w:val="00262DCF"/>
    <w:rsid w:val="00262F39"/>
    <w:rsid w:val="00265F1F"/>
    <w:rsid w:val="00267A10"/>
    <w:rsid w:val="0027124A"/>
    <w:rsid w:val="00271804"/>
    <w:rsid w:val="00275CC7"/>
    <w:rsid w:val="0027610A"/>
    <w:rsid w:val="00276E33"/>
    <w:rsid w:val="00280DE3"/>
    <w:rsid w:val="00281821"/>
    <w:rsid w:val="0028661E"/>
    <w:rsid w:val="00287653"/>
    <w:rsid w:val="00287F91"/>
    <w:rsid w:val="00290D16"/>
    <w:rsid w:val="0029114C"/>
    <w:rsid w:val="00292882"/>
    <w:rsid w:val="00293FF2"/>
    <w:rsid w:val="002946B0"/>
    <w:rsid w:val="00294A12"/>
    <w:rsid w:val="00295B44"/>
    <w:rsid w:val="00297ED1"/>
    <w:rsid w:val="002A0823"/>
    <w:rsid w:val="002A154C"/>
    <w:rsid w:val="002A3B7C"/>
    <w:rsid w:val="002A3F8E"/>
    <w:rsid w:val="002A56AF"/>
    <w:rsid w:val="002A636E"/>
    <w:rsid w:val="002B0CBD"/>
    <w:rsid w:val="002B247F"/>
    <w:rsid w:val="002B2510"/>
    <w:rsid w:val="002B312E"/>
    <w:rsid w:val="002B4090"/>
    <w:rsid w:val="002B40ED"/>
    <w:rsid w:val="002B468D"/>
    <w:rsid w:val="002B54AC"/>
    <w:rsid w:val="002B6ED3"/>
    <w:rsid w:val="002C0D58"/>
    <w:rsid w:val="002C2AA2"/>
    <w:rsid w:val="002C2F3E"/>
    <w:rsid w:val="002C303E"/>
    <w:rsid w:val="002C36B3"/>
    <w:rsid w:val="002C5FEB"/>
    <w:rsid w:val="002C78B6"/>
    <w:rsid w:val="002D0748"/>
    <w:rsid w:val="002D2B7C"/>
    <w:rsid w:val="002D4AA2"/>
    <w:rsid w:val="002D748D"/>
    <w:rsid w:val="002E104E"/>
    <w:rsid w:val="002E2061"/>
    <w:rsid w:val="002E254A"/>
    <w:rsid w:val="002E34E8"/>
    <w:rsid w:val="002E35A6"/>
    <w:rsid w:val="002E38EA"/>
    <w:rsid w:val="002F0249"/>
    <w:rsid w:val="002F0DE5"/>
    <w:rsid w:val="002F18ED"/>
    <w:rsid w:val="002F63AA"/>
    <w:rsid w:val="002F7F5F"/>
    <w:rsid w:val="00302676"/>
    <w:rsid w:val="0030365B"/>
    <w:rsid w:val="00305438"/>
    <w:rsid w:val="0031042E"/>
    <w:rsid w:val="003152A5"/>
    <w:rsid w:val="00317C07"/>
    <w:rsid w:val="0032223A"/>
    <w:rsid w:val="00323149"/>
    <w:rsid w:val="003271C6"/>
    <w:rsid w:val="00327B34"/>
    <w:rsid w:val="0033278E"/>
    <w:rsid w:val="003327E1"/>
    <w:rsid w:val="00333EC5"/>
    <w:rsid w:val="00334227"/>
    <w:rsid w:val="00340AA7"/>
    <w:rsid w:val="003424C4"/>
    <w:rsid w:val="00343ED6"/>
    <w:rsid w:val="00345DC8"/>
    <w:rsid w:val="00346ED0"/>
    <w:rsid w:val="00346F6A"/>
    <w:rsid w:val="003471D1"/>
    <w:rsid w:val="0035047D"/>
    <w:rsid w:val="00350876"/>
    <w:rsid w:val="003521FA"/>
    <w:rsid w:val="0035337F"/>
    <w:rsid w:val="003541B4"/>
    <w:rsid w:val="003561AC"/>
    <w:rsid w:val="00357848"/>
    <w:rsid w:val="00357E25"/>
    <w:rsid w:val="003616A0"/>
    <w:rsid w:val="00362B7D"/>
    <w:rsid w:val="00362E1D"/>
    <w:rsid w:val="00363E3D"/>
    <w:rsid w:val="00366942"/>
    <w:rsid w:val="00370C44"/>
    <w:rsid w:val="00370C71"/>
    <w:rsid w:val="00373232"/>
    <w:rsid w:val="00373297"/>
    <w:rsid w:val="00373FB2"/>
    <w:rsid w:val="0037516C"/>
    <w:rsid w:val="0037723A"/>
    <w:rsid w:val="00380634"/>
    <w:rsid w:val="00381040"/>
    <w:rsid w:val="003816EE"/>
    <w:rsid w:val="00385A22"/>
    <w:rsid w:val="003870C7"/>
    <w:rsid w:val="00392830"/>
    <w:rsid w:val="00395D8E"/>
    <w:rsid w:val="00396D0C"/>
    <w:rsid w:val="003A1EBA"/>
    <w:rsid w:val="003A2C49"/>
    <w:rsid w:val="003A58B3"/>
    <w:rsid w:val="003A679A"/>
    <w:rsid w:val="003B1086"/>
    <w:rsid w:val="003B12C9"/>
    <w:rsid w:val="003B351D"/>
    <w:rsid w:val="003B50B9"/>
    <w:rsid w:val="003B62B2"/>
    <w:rsid w:val="003B70A7"/>
    <w:rsid w:val="003B7110"/>
    <w:rsid w:val="003B71DD"/>
    <w:rsid w:val="003C1A3A"/>
    <w:rsid w:val="003C2BB3"/>
    <w:rsid w:val="003C2D4A"/>
    <w:rsid w:val="003C3673"/>
    <w:rsid w:val="003D528C"/>
    <w:rsid w:val="003D7B39"/>
    <w:rsid w:val="003E05CB"/>
    <w:rsid w:val="003E12B8"/>
    <w:rsid w:val="003E1A91"/>
    <w:rsid w:val="003E32D8"/>
    <w:rsid w:val="003E40E5"/>
    <w:rsid w:val="003F0520"/>
    <w:rsid w:val="003F1BBE"/>
    <w:rsid w:val="003F1EEC"/>
    <w:rsid w:val="003F22A7"/>
    <w:rsid w:val="003F53C0"/>
    <w:rsid w:val="003F6C47"/>
    <w:rsid w:val="0040027F"/>
    <w:rsid w:val="00401340"/>
    <w:rsid w:val="00402B57"/>
    <w:rsid w:val="00403306"/>
    <w:rsid w:val="004035A2"/>
    <w:rsid w:val="00406297"/>
    <w:rsid w:val="0041279A"/>
    <w:rsid w:val="0041294C"/>
    <w:rsid w:val="004139B9"/>
    <w:rsid w:val="0041687A"/>
    <w:rsid w:val="004208B5"/>
    <w:rsid w:val="0042154B"/>
    <w:rsid w:val="0042160A"/>
    <w:rsid w:val="00423EA6"/>
    <w:rsid w:val="00424540"/>
    <w:rsid w:val="00425785"/>
    <w:rsid w:val="004258E1"/>
    <w:rsid w:val="00427D09"/>
    <w:rsid w:val="00435A7F"/>
    <w:rsid w:val="00435BE5"/>
    <w:rsid w:val="00436E97"/>
    <w:rsid w:val="00437095"/>
    <w:rsid w:val="00440ED2"/>
    <w:rsid w:val="0044147E"/>
    <w:rsid w:val="00442895"/>
    <w:rsid w:val="00443CED"/>
    <w:rsid w:val="00444F94"/>
    <w:rsid w:val="00447219"/>
    <w:rsid w:val="004502D9"/>
    <w:rsid w:val="00450C3D"/>
    <w:rsid w:val="004522E9"/>
    <w:rsid w:val="00453B92"/>
    <w:rsid w:val="004551DA"/>
    <w:rsid w:val="00455863"/>
    <w:rsid w:val="00457AE2"/>
    <w:rsid w:val="00460A87"/>
    <w:rsid w:val="00461481"/>
    <w:rsid w:val="00462285"/>
    <w:rsid w:val="00462550"/>
    <w:rsid w:val="004636EC"/>
    <w:rsid w:val="00466AAA"/>
    <w:rsid w:val="00471852"/>
    <w:rsid w:val="0047332F"/>
    <w:rsid w:val="0047442F"/>
    <w:rsid w:val="0047495F"/>
    <w:rsid w:val="00477D19"/>
    <w:rsid w:val="004809E5"/>
    <w:rsid w:val="00486554"/>
    <w:rsid w:val="0048771D"/>
    <w:rsid w:val="004905DD"/>
    <w:rsid w:val="00490D43"/>
    <w:rsid w:val="00491088"/>
    <w:rsid w:val="00494BF7"/>
    <w:rsid w:val="00495676"/>
    <w:rsid w:val="004962A4"/>
    <w:rsid w:val="004A0028"/>
    <w:rsid w:val="004A62DF"/>
    <w:rsid w:val="004A77CB"/>
    <w:rsid w:val="004A7CCC"/>
    <w:rsid w:val="004B0927"/>
    <w:rsid w:val="004B1F7B"/>
    <w:rsid w:val="004B24D8"/>
    <w:rsid w:val="004B2B02"/>
    <w:rsid w:val="004B34E5"/>
    <w:rsid w:val="004B3EEA"/>
    <w:rsid w:val="004B54B3"/>
    <w:rsid w:val="004C459C"/>
    <w:rsid w:val="004C49BE"/>
    <w:rsid w:val="004C5CD3"/>
    <w:rsid w:val="004C608E"/>
    <w:rsid w:val="004D0B92"/>
    <w:rsid w:val="004D6573"/>
    <w:rsid w:val="004E28FB"/>
    <w:rsid w:val="004E2956"/>
    <w:rsid w:val="004E4B22"/>
    <w:rsid w:val="004E65EA"/>
    <w:rsid w:val="004F2C1F"/>
    <w:rsid w:val="004F35ED"/>
    <w:rsid w:val="004F54EE"/>
    <w:rsid w:val="004F6BCD"/>
    <w:rsid w:val="004F7116"/>
    <w:rsid w:val="0050178D"/>
    <w:rsid w:val="00501F4A"/>
    <w:rsid w:val="00502312"/>
    <w:rsid w:val="0051211E"/>
    <w:rsid w:val="00513884"/>
    <w:rsid w:val="00514E69"/>
    <w:rsid w:val="00514EA8"/>
    <w:rsid w:val="005207FB"/>
    <w:rsid w:val="00521A76"/>
    <w:rsid w:val="00522AFB"/>
    <w:rsid w:val="00524984"/>
    <w:rsid w:val="00524BFE"/>
    <w:rsid w:val="00526FFA"/>
    <w:rsid w:val="00531EAC"/>
    <w:rsid w:val="00532146"/>
    <w:rsid w:val="00532C24"/>
    <w:rsid w:val="00532D32"/>
    <w:rsid w:val="00533DB4"/>
    <w:rsid w:val="005352C8"/>
    <w:rsid w:val="005401BB"/>
    <w:rsid w:val="0054028B"/>
    <w:rsid w:val="0054197C"/>
    <w:rsid w:val="0054570C"/>
    <w:rsid w:val="0054648E"/>
    <w:rsid w:val="00546539"/>
    <w:rsid w:val="005539A0"/>
    <w:rsid w:val="00553F5D"/>
    <w:rsid w:val="00554C69"/>
    <w:rsid w:val="00556C4F"/>
    <w:rsid w:val="005571E2"/>
    <w:rsid w:val="005574FC"/>
    <w:rsid w:val="0056035A"/>
    <w:rsid w:val="00560FE1"/>
    <w:rsid w:val="00561D09"/>
    <w:rsid w:val="00562337"/>
    <w:rsid w:val="005642A5"/>
    <w:rsid w:val="005650BD"/>
    <w:rsid w:val="005674B8"/>
    <w:rsid w:val="00567A61"/>
    <w:rsid w:val="00571F65"/>
    <w:rsid w:val="00576B6F"/>
    <w:rsid w:val="005827D4"/>
    <w:rsid w:val="00582F41"/>
    <w:rsid w:val="00584321"/>
    <w:rsid w:val="005847B5"/>
    <w:rsid w:val="0059160B"/>
    <w:rsid w:val="005939CE"/>
    <w:rsid w:val="00594015"/>
    <w:rsid w:val="005940DD"/>
    <w:rsid w:val="0059504E"/>
    <w:rsid w:val="00596D40"/>
    <w:rsid w:val="005A766E"/>
    <w:rsid w:val="005A7FAB"/>
    <w:rsid w:val="005B106A"/>
    <w:rsid w:val="005B2699"/>
    <w:rsid w:val="005B2916"/>
    <w:rsid w:val="005B3820"/>
    <w:rsid w:val="005B3F11"/>
    <w:rsid w:val="005B52FA"/>
    <w:rsid w:val="005B684A"/>
    <w:rsid w:val="005D1127"/>
    <w:rsid w:val="005D3490"/>
    <w:rsid w:val="005D4230"/>
    <w:rsid w:val="005E239D"/>
    <w:rsid w:val="005E599E"/>
    <w:rsid w:val="005F0DAA"/>
    <w:rsid w:val="005F1B69"/>
    <w:rsid w:val="005F4991"/>
    <w:rsid w:val="00601652"/>
    <w:rsid w:val="00602BC9"/>
    <w:rsid w:val="0060375E"/>
    <w:rsid w:val="00603A96"/>
    <w:rsid w:val="006058A7"/>
    <w:rsid w:val="006060E2"/>
    <w:rsid w:val="0061249A"/>
    <w:rsid w:val="0061390C"/>
    <w:rsid w:val="006143C0"/>
    <w:rsid w:val="00616750"/>
    <w:rsid w:val="00617400"/>
    <w:rsid w:val="00620E3B"/>
    <w:rsid w:val="0062353A"/>
    <w:rsid w:val="00623FD6"/>
    <w:rsid w:val="0062432F"/>
    <w:rsid w:val="00626F6F"/>
    <w:rsid w:val="00634E05"/>
    <w:rsid w:val="006352D5"/>
    <w:rsid w:val="006360BD"/>
    <w:rsid w:val="00643F5A"/>
    <w:rsid w:val="006444EA"/>
    <w:rsid w:val="00646114"/>
    <w:rsid w:val="006465FE"/>
    <w:rsid w:val="00646FDA"/>
    <w:rsid w:val="006541D7"/>
    <w:rsid w:val="00654D43"/>
    <w:rsid w:val="00661315"/>
    <w:rsid w:val="00662AFA"/>
    <w:rsid w:val="00665E1F"/>
    <w:rsid w:val="0066703F"/>
    <w:rsid w:val="0067095C"/>
    <w:rsid w:val="00673B27"/>
    <w:rsid w:val="00675C56"/>
    <w:rsid w:val="00681EDA"/>
    <w:rsid w:val="00684DD4"/>
    <w:rsid w:val="00685D97"/>
    <w:rsid w:val="00690EE0"/>
    <w:rsid w:val="00691BA9"/>
    <w:rsid w:val="00693B4A"/>
    <w:rsid w:val="0069442A"/>
    <w:rsid w:val="006952FD"/>
    <w:rsid w:val="006A0711"/>
    <w:rsid w:val="006A219C"/>
    <w:rsid w:val="006A573B"/>
    <w:rsid w:val="006A6F2A"/>
    <w:rsid w:val="006B0474"/>
    <w:rsid w:val="006B075F"/>
    <w:rsid w:val="006B4255"/>
    <w:rsid w:val="006B44E1"/>
    <w:rsid w:val="006B4EB6"/>
    <w:rsid w:val="006C3420"/>
    <w:rsid w:val="006C3E04"/>
    <w:rsid w:val="006D157E"/>
    <w:rsid w:val="006D23F3"/>
    <w:rsid w:val="006D34F5"/>
    <w:rsid w:val="006D367C"/>
    <w:rsid w:val="006D5B61"/>
    <w:rsid w:val="006D7BB3"/>
    <w:rsid w:val="006D7CCA"/>
    <w:rsid w:val="006E0AC6"/>
    <w:rsid w:val="006E2754"/>
    <w:rsid w:val="006E2839"/>
    <w:rsid w:val="006E6C95"/>
    <w:rsid w:val="006F036C"/>
    <w:rsid w:val="006F2D4E"/>
    <w:rsid w:val="006F4088"/>
    <w:rsid w:val="006F41D9"/>
    <w:rsid w:val="006F52DC"/>
    <w:rsid w:val="006F6CB0"/>
    <w:rsid w:val="0070020C"/>
    <w:rsid w:val="00700396"/>
    <w:rsid w:val="00703367"/>
    <w:rsid w:val="007057EF"/>
    <w:rsid w:val="0071043E"/>
    <w:rsid w:val="00710C1A"/>
    <w:rsid w:val="00712118"/>
    <w:rsid w:val="00712282"/>
    <w:rsid w:val="00715468"/>
    <w:rsid w:val="00716DC3"/>
    <w:rsid w:val="00717ECD"/>
    <w:rsid w:val="007209FB"/>
    <w:rsid w:val="0072124A"/>
    <w:rsid w:val="00721AC0"/>
    <w:rsid w:val="00721B0C"/>
    <w:rsid w:val="00723BD9"/>
    <w:rsid w:val="007254C9"/>
    <w:rsid w:val="007265A9"/>
    <w:rsid w:val="0073012C"/>
    <w:rsid w:val="007333C0"/>
    <w:rsid w:val="00733B25"/>
    <w:rsid w:val="00734CB6"/>
    <w:rsid w:val="00735C00"/>
    <w:rsid w:val="00737487"/>
    <w:rsid w:val="007411EC"/>
    <w:rsid w:val="00741CFA"/>
    <w:rsid w:val="00744C4B"/>
    <w:rsid w:val="00744C7C"/>
    <w:rsid w:val="00744FBE"/>
    <w:rsid w:val="0075011A"/>
    <w:rsid w:val="0075236A"/>
    <w:rsid w:val="00752915"/>
    <w:rsid w:val="00754AA6"/>
    <w:rsid w:val="00757C9B"/>
    <w:rsid w:val="0076223C"/>
    <w:rsid w:val="00764596"/>
    <w:rsid w:val="00767265"/>
    <w:rsid w:val="00767DBB"/>
    <w:rsid w:val="007722F2"/>
    <w:rsid w:val="00773232"/>
    <w:rsid w:val="007735B6"/>
    <w:rsid w:val="0077451F"/>
    <w:rsid w:val="00780AFB"/>
    <w:rsid w:val="0078513E"/>
    <w:rsid w:val="00785739"/>
    <w:rsid w:val="0078653A"/>
    <w:rsid w:val="00786631"/>
    <w:rsid w:val="00786D33"/>
    <w:rsid w:val="007908DD"/>
    <w:rsid w:val="007942B9"/>
    <w:rsid w:val="007961D5"/>
    <w:rsid w:val="007A2065"/>
    <w:rsid w:val="007A3FC3"/>
    <w:rsid w:val="007A40EF"/>
    <w:rsid w:val="007A5D19"/>
    <w:rsid w:val="007A6268"/>
    <w:rsid w:val="007A641D"/>
    <w:rsid w:val="007A6977"/>
    <w:rsid w:val="007B25EC"/>
    <w:rsid w:val="007B304D"/>
    <w:rsid w:val="007B5289"/>
    <w:rsid w:val="007B533A"/>
    <w:rsid w:val="007B707F"/>
    <w:rsid w:val="007C137C"/>
    <w:rsid w:val="007C4CA4"/>
    <w:rsid w:val="007C5A0B"/>
    <w:rsid w:val="007D0422"/>
    <w:rsid w:val="007D11D5"/>
    <w:rsid w:val="007D249A"/>
    <w:rsid w:val="007D255C"/>
    <w:rsid w:val="007D3B05"/>
    <w:rsid w:val="007D5A45"/>
    <w:rsid w:val="007D6024"/>
    <w:rsid w:val="007D7ED7"/>
    <w:rsid w:val="007D7FC1"/>
    <w:rsid w:val="007E104B"/>
    <w:rsid w:val="007E1EFD"/>
    <w:rsid w:val="007E2E82"/>
    <w:rsid w:val="007E32D0"/>
    <w:rsid w:val="007E4B2B"/>
    <w:rsid w:val="007E4E7A"/>
    <w:rsid w:val="007E58D2"/>
    <w:rsid w:val="007E6978"/>
    <w:rsid w:val="007E6CA3"/>
    <w:rsid w:val="007E7413"/>
    <w:rsid w:val="007F12F3"/>
    <w:rsid w:val="007F5B8E"/>
    <w:rsid w:val="007F6240"/>
    <w:rsid w:val="007F71BE"/>
    <w:rsid w:val="00800897"/>
    <w:rsid w:val="0080141A"/>
    <w:rsid w:val="008019F1"/>
    <w:rsid w:val="0080239E"/>
    <w:rsid w:val="00802B71"/>
    <w:rsid w:val="008033AB"/>
    <w:rsid w:val="00803CEB"/>
    <w:rsid w:val="008041AB"/>
    <w:rsid w:val="00805878"/>
    <w:rsid w:val="00811461"/>
    <w:rsid w:val="00812128"/>
    <w:rsid w:val="00815A72"/>
    <w:rsid w:val="008163CB"/>
    <w:rsid w:val="00816A8B"/>
    <w:rsid w:val="008176F5"/>
    <w:rsid w:val="008244DD"/>
    <w:rsid w:val="00831FEA"/>
    <w:rsid w:val="0083397E"/>
    <w:rsid w:val="00833CCB"/>
    <w:rsid w:val="008350D7"/>
    <w:rsid w:val="00836588"/>
    <w:rsid w:val="00837832"/>
    <w:rsid w:val="0084036C"/>
    <w:rsid w:val="008409A3"/>
    <w:rsid w:val="00840B81"/>
    <w:rsid w:val="00844985"/>
    <w:rsid w:val="00845DB0"/>
    <w:rsid w:val="00846663"/>
    <w:rsid w:val="00850251"/>
    <w:rsid w:val="008507F9"/>
    <w:rsid w:val="008509C0"/>
    <w:rsid w:val="00850CA9"/>
    <w:rsid w:val="0085311B"/>
    <w:rsid w:val="00857C85"/>
    <w:rsid w:val="00861E94"/>
    <w:rsid w:val="00863AE8"/>
    <w:rsid w:val="008643C1"/>
    <w:rsid w:val="0086628D"/>
    <w:rsid w:val="008665A8"/>
    <w:rsid w:val="00871043"/>
    <w:rsid w:val="0087191A"/>
    <w:rsid w:val="00871B11"/>
    <w:rsid w:val="00874338"/>
    <w:rsid w:val="00874697"/>
    <w:rsid w:val="00884779"/>
    <w:rsid w:val="00886CB3"/>
    <w:rsid w:val="0089142B"/>
    <w:rsid w:val="00891451"/>
    <w:rsid w:val="008915FB"/>
    <w:rsid w:val="00891CBA"/>
    <w:rsid w:val="00891DE5"/>
    <w:rsid w:val="00892629"/>
    <w:rsid w:val="00893649"/>
    <w:rsid w:val="00893905"/>
    <w:rsid w:val="00895A4F"/>
    <w:rsid w:val="008A12C6"/>
    <w:rsid w:val="008A1755"/>
    <w:rsid w:val="008A30D8"/>
    <w:rsid w:val="008A40B4"/>
    <w:rsid w:val="008A517F"/>
    <w:rsid w:val="008A736A"/>
    <w:rsid w:val="008A7415"/>
    <w:rsid w:val="008B0BC9"/>
    <w:rsid w:val="008B1454"/>
    <w:rsid w:val="008B3568"/>
    <w:rsid w:val="008B46A0"/>
    <w:rsid w:val="008B5055"/>
    <w:rsid w:val="008B5401"/>
    <w:rsid w:val="008C09E6"/>
    <w:rsid w:val="008C1011"/>
    <w:rsid w:val="008C1D52"/>
    <w:rsid w:val="008C1DEC"/>
    <w:rsid w:val="008C1EB6"/>
    <w:rsid w:val="008C272F"/>
    <w:rsid w:val="008C4035"/>
    <w:rsid w:val="008C4165"/>
    <w:rsid w:val="008C73C6"/>
    <w:rsid w:val="008C7C24"/>
    <w:rsid w:val="008D0BFD"/>
    <w:rsid w:val="008D1A96"/>
    <w:rsid w:val="008D2FDA"/>
    <w:rsid w:val="008D39FF"/>
    <w:rsid w:val="008D7D9F"/>
    <w:rsid w:val="008E0F28"/>
    <w:rsid w:val="008E26D5"/>
    <w:rsid w:val="008E31AF"/>
    <w:rsid w:val="008E7B87"/>
    <w:rsid w:val="00900515"/>
    <w:rsid w:val="009012F6"/>
    <w:rsid w:val="00902C2A"/>
    <w:rsid w:val="009042F3"/>
    <w:rsid w:val="00906CEC"/>
    <w:rsid w:val="009072D4"/>
    <w:rsid w:val="009077FD"/>
    <w:rsid w:val="00910DF3"/>
    <w:rsid w:val="00911AA0"/>
    <w:rsid w:val="00911BCA"/>
    <w:rsid w:val="0091394E"/>
    <w:rsid w:val="00920D99"/>
    <w:rsid w:val="009218C0"/>
    <w:rsid w:val="009218E5"/>
    <w:rsid w:val="0092266F"/>
    <w:rsid w:val="009236A2"/>
    <w:rsid w:val="00923721"/>
    <w:rsid w:val="009238CB"/>
    <w:rsid w:val="00924E25"/>
    <w:rsid w:val="00927134"/>
    <w:rsid w:val="00930A6F"/>
    <w:rsid w:val="009314F8"/>
    <w:rsid w:val="00933A1D"/>
    <w:rsid w:val="0093432E"/>
    <w:rsid w:val="009349B4"/>
    <w:rsid w:val="00935477"/>
    <w:rsid w:val="0093552B"/>
    <w:rsid w:val="00937229"/>
    <w:rsid w:val="009402DA"/>
    <w:rsid w:val="009406A0"/>
    <w:rsid w:val="00940E05"/>
    <w:rsid w:val="00940FF4"/>
    <w:rsid w:val="00941307"/>
    <w:rsid w:val="009462DB"/>
    <w:rsid w:val="00947918"/>
    <w:rsid w:val="00947DED"/>
    <w:rsid w:val="00951148"/>
    <w:rsid w:val="0095225A"/>
    <w:rsid w:val="00953404"/>
    <w:rsid w:val="009554B4"/>
    <w:rsid w:val="00957791"/>
    <w:rsid w:val="0095783B"/>
    <w:rsid w:val="009607AB"/>
    <w:rsid w:val="009641F4"/>
    <w:rsid w:val="00966C37"/>
    <w:rsid w:val="00966EE5"/>
    <w:rsid w:val="009670AC"/>
    <w:rsid w:val="009673F7"/>
    <w:rsid w:val="009674C4"/>
    <w:rsid w:val="00967B6F"/>
    <w:rsid w:val="00967E7F"/>
    <w:rsid w:val="00970C1A"/>
    <w:rsid w:val="00973899"/>
    <w:rsid w:val="00974596"/>
    <w:rsid w:val="00974E25"/>
    <w:rsid w:val="009801C8"/>
    <w:rsid w:val="009838EC"/>
    <w:rsid w:val="00984837"/>
    <w:rsid w:val="0098633E"/>
    <w:rsid w:val="00990014"/>
    <w:rsid w:val="00990D10"/>
    <w:rsid w:val="00992927"/>
    <w:rsid w:val="00996D01"/>
    <w:rsid w:val="009A0B67"/>
    <w:rsid w:val="009A1C10"/>
    <w:rsid w:val="009A2C46"/>
    <w:rsid w:val="009A2EA7"/>
    <w:rsid w:val="009A356C"/>
    <w:rsid w:val="009A3DA5"/>
    <w:rsid w:val="009A7F20"/>
    <w:rsid w:val="009B5659"/>
    <w:rsid w:val="009C1D4C"/>
    <w:rsid w:val="009C35FF"/>
    <w:rsid w:val="009C36A9"/>
    <w:rsid w:val="009C4476"/>
    <w:rsid w:val="009D380B"/>
    <w:rsid w:val="009D66D8"/>
    <w:rsid w:val="009D68B6"/>
    <w:rsid w:val="009D6F7D"/>
    <w:rsid w:val="009D71A9"/>
    <w:rsid w:val="009D76AE"/>
    <w:rsid w:val="009D7F44"/>
    <w:rsid w:val="009E10FD"/>
    <w:rsid w:val="009E1D76"/>
    <w:rsid w:val="009E3155"/>
    <w:rsid w:val="009E4B58"/>
    <w:rsid w:val="009F0CB0"/>
    <w:rsid w:val="009F588F"/>
    <w:rsid w:val="009F6C9F"/>
    <w:rsid w:val="00A01D1B"/>
    <w:rsid w:val="00A02197"/>
    <w:rsid w:val="00A02A49"/>
    <w:rsid w:val="00A0364A"/>
    <w:rsid w:val="00A050FF"/>
    <w:rsid w:val="00A05943"/>
    <w:rsid w:val="00A062D0"/>
    <w:rsid w:val="00A13FCC"/>
    <w:rsid w:val="00A17C60"/>
    <w:rsid w:val="00A225F3"/>
    <w:rsid w:val="00A22A5E"/>
    <w:rsid w:val="00A22CC6"/>
    <w:rsid w:val="00A246B5"/>
    <w:rsid w:val="00A260F4"/>
    <w:rsid w:val="00A26EB6"/>
    <w:rsid w:val="00A274AC"/>
    <w:rsid w:val="00A27B08"/>
    <w:rsid w:val="00A320C4"/>
    <w:rsid w:val="00A3295D"/>
    <w:rsid w:val="00A32DBF"/>
    <w:rsid w:val="00A34640"/>
    <w:rsid w:val="00A42F3F"/>
    <w:rsid w:val="00A51C1C"/>
    <w:rsid w:val="00A51F4B"/>
    <w:rsid w:val="00A526A3"/>
    <w:rsid w:val="00A5293E"/>
    <w:rsid w:val="00A535B3"/>
    <w:rsid w:val="00A6135B"/>
    <w:rsid w:val="00A6244D"/>
    <w:rsid w:val="00A62CEF"/>
    <w:rsid w:val="00A637B2"/>
    <w:rsid w:val="00A63D08"/>
    <w:rsid w:val="00A64CAB"/>
    <w:rsid w:val="00A67931"/>
    <w:rsid w:val="00A702D7"/>
    <w:rsid w:val="00A70E22"/>
    <w:rsid w:val="00A7192B"/>
    <w:rsid w:val="00A7475B"/>
    <w:rsid w:val="00A74E9A"/>
    <w:rsid w:val="00A75A0D"/>
    <w:rsid w:val="00A76B86"/>
    <w:rsid w:val="00A77C6B"/>
    <w:rsid w:val="00A81520"/>
    <w:rsid w:val="00A82AC0"/>
    <w:rsid w:val="00A84270"/>
    <w:rsid w:val="00A91406"/>
    <w:rsid w:val="00A9149B"/>
    <w:rsid w:val="00A91866"/>
    <w:rsid w:val="00A9234B"/>
    <w:rsid w:val="00A950BE"/>
    <w:rsid w:val="00A969B1"/>
    <w:rsid w:val="00A974F7"/>
    <w:rsid w:val="00AA0013"/>
    <w:rsid w:val="00AA3781"/>
    <w:rsid w:val="00AA40FB"/>
    <w:rsid w:val="00AA5405"/>
    <w:rsid w:val="00AA589B"/>
    <w:rsid w:val="00AA6F57"/>
    <w:rsid w:val="00AA7544"/>
    <w:rsid w:val="00AB1B5E"/>
    <w:rsid w:val="00AB3C6C"/>
    <w:rsid w:val="00AB5573"/>
    <w:rsid w:val="00AB6191"/>
    <w:rsid w:val="00AB6C79"/>
    <w:rsid w:val="00AB783D"/>
    <w:rsid w:val="00AB7E6A"/>
    <w:rsid w:val="00AC0280"/>
    <w:rsid w:val="00AC3A39"/>
    <w:rsid w:val="00AC4D13"/>
    <w:rsid w:val="00AC5649"/>
    <w:rsid w:val="00AC7415"/>
    <w:rsid w:val="00AD07A2"/>
    <w:rsid w:val="00AD08E8"/>
    <w:rsid w:val="00AD2579"/>
    <w:rsid w:val="00AD2C3C"/>
    <w:rsid w:val="00AD30BE"/>
    <w:rsid w:val="00AD65D0"/>
    <w:rsid w:val="00AE0CF6"/>
    <w:rsid w:val="00AE1AC6"/>
    <w:rsid w:val="00AE1C41"/>
    <w:rsid w:val="00AE30B0"/>
    <w:rsid w:val="00AE5213"/>
    <w:rsid w:val="00AE772A"/>
    <w:rsid w:val="00AF160B"/>
    <w:rsid w:val="00AF1648"/>
    <w:rsid w:val="00B00E75"/>
    <w:rsid w:val="00B0324A"/>
    <w:rsid w:val="00B04931"/>
    <w:rsid w:val="00B058BB"/>
    <w:rsid w:val="00B07354"/>
    <w:rsid w:val="00B07D9D"/>
    <w:rsid w:val="00B1140F"/>
    <w:rsid w:val="00B11634"/>
    <w:rsid w:val="00B11AEC"/>
    <w:rsid w:val="00B11C97"/>
    <w:rsid w:val="00B1427E"/>
    <w:rsid w:val="00B16A83"/>
    <w:rsid w:val="00B17F39"/>
    <w:rsid w:val="00B209D6"/>
    <w:rsid w:val="00B21EDE"/>
    <w:rsid w:val="00B2624F"/>
    <w:rsid w:val="00B27FB2"/>
    <w:rsid w:val="00B31213"/>
    <w:rsid w:val="00B31D06"/>
    <w:rsid w:val="00B34682"/>
    <w:rsid w:val="00B37F26"/>
    <w:rsid w:val="00B37F82"/>
    <w:rsid w:val="00B400F7"/>
    <w:rsid w:val="00B41259"/>
    <w:rsid w:val="00B4300D"/>
    <w:rsid w:val="00B44135"/>
    <w:rsid w:val="00B44725"/>
    <w:rsid w:val="00B45231"/>
    <w:rsid w:val="00B5006C"/>
    <w:rsid w:val="00B513FF"/>
    <w:rsid w:val="00B52690"/>
    <w:rsid w:val="00B55F1C"/>
    <w:rsid w:val="00B56012"/>
    <w:rsid w:val="00B5621E"/>
    <w:rsid w:val="00B619EA"/>
    <w:rsid w:val="00B61BBF"/>
    <w:rsid w:val="00B647C7"/>
    <w:rsid w:val="00B6586E"/>
    <w:rsid w:val="00B65C3E"/>
    <w:rsid w:val="00B710D4"/>
    <w:rsid w:val="00B72A92"/>
    <w:rsid w:val="00B7389E"/>
    <w:rsid w:val="00B76B9F"/>
    <w:rsid w:val="00B817BA"/>
    <w:rsid w:val="00B81E5F"/>
    <w:rsid w:val="00B87467"/>
    <w:rsid w:val="00B91C53"/>
    <w:rsid w:val="00B93043"/>
    <w:rsid w:val="00B93899"/>
    <w:rsid w:val="00B95AB2"/>
    <w:rsid w:val="00B96FAF"/>
    <w:rsid w:val="00BA184C"/>
    <w:rsid w:val="00BA3574"/>
    <w:rsid w:val="00BA5EF8"/>
    <w:rsid w:val="00BA7450"/>
    <w:rsid w:val="00BA7BBA"/>
    <w:rsid w:val="00BB0E3A"/>
    <w:rsid w:val="00BB292D"/>
    <w:rsid w:val="00BC29E1"/>
    <w:rsid w:val="00BC50CF"/>
    <w:rsid w:val="00BC534B"/>
    <w:rsid w:val="00BC5D5D"/>
    <w:rsid w:val="00BC6AFA"/>
    <w:rsid w:val="00BC6E9F"/>
    <w:rsid w:val="00BD2133"/>
    <w:rsid w:val="00BD2FDE"/>
    <w:rsid w:val="00BD4A72"/>
    <w:rsid w:val="00BD5DAF"/>
    <w:rsid w:val="00BE0B08"/>
    <w:rsid w:val="00BE0C47"/>
    <w:rsid w:val="00BE1DFB"/>
    <w:rsid w:val="00BE1E6E"/>
    <w:rsid w:val="00BE24F6"/>
    <w:rsid w:val="00BE4133"/>
    <w:rsid w:val="00BE5D2E"/>
    <w:rsid w:val="00BE60D3"/>
    <w:rsid w:val="00BF12A1"/>
    <w:rsid w:val="00BF2C17"/>
    <w:rsid w:val="00BF316E"/>
    <w:rsid w:val="00BF6F1B"/>
    <w:rsid w:val="00BF725C"/>
    <w:rsid w:val="00C030DE"/>
    <w:rsid w:val="00C0620E"/>
    <w:rsid w:val="00C11321"/>
    <w:rsid w:val="00C1265D"/>
    <w:rsid w:val="00C133E6"/>
    <w:rsid w:val="00C141F1"/>
    <w:rsid w:val="00C1516C"/>
    <w:rsid w:val="00C236A5"/>
    <w:rsid w:val="00C23798"/>
    <w:rsid w:val="00C3145A"/>
    <w:rsid w:val="00C31EC3"/>
    <w:rsid w:val="00C33F2B"/>
    <w:rsid w:val="00C36F66"/>
    <w:rsid w:val="00C37FA9"/>
    <w:rsid w:val="00C40288"/>
    <w:rsid w:val="00C4091F"/>
    <w:rsid w:val="00C42443"/>
    <w:rsid w:val="00C51DCC"/>
    <w:rsid w:val="00C540C6"/>
    <w:rsid w:val="00C54170"/>
    <w:rsid w:val="00C56CB5"/>
    <w:rsid w:val="00C60483"/>
    <w:rsid w:val="00C6144A"/>
    <w:rsid w:val="00C61B9A"/>
    <w:rsid w:val="00C63046"/>
    <w:rsid w:val="00C637AB"/>
    <w:rsid w:val="00C67485"/>
    <w:rsid w:val="00C67C50"/>
    <w:rsid w:val="00C72BE4"/>
    <w:rsid w:val="00C737BB"/>
    <w:rsid w:val="00C7386D"/>
    <w:rsid w:val="00C7455A"/>
    <w:rsid w:val="00C74E1F"/>
    <w:rsid w:val="00C76B0A"/>
    <w:rsid w:val="00C77AE6"/>
    <w:rsid w:val="00C80A13"/>
    <w:rsid w:val="00C82240"/>
    <w:rsid w:val="00C822A6"/>
    <w:rsid w:val="00C82AFE"/>
    <w:rsid w:val="00C849CB"/>
    <w:rsid w:val="00C854F7"/>
    <w:rsid w:val="00C90CDF"/>
    <w:rsid w:val="00C9593A"/>
    <w:rsid w:val="00C962D5"/>
    <w:rsid w:val="00CA3B06"/>
    <w:rsid w:val="00CA3B70"/>
    <w:rsid w:val="00CA6646"/>
    <w:rsid w:val="00CA7746"/>
    <w:rsid w:val="00CB0C4F"/>
    <w:rsid w:val="00CB228C"/>
    <w:rsid w:val="00CB2BE6"/>
    <w:rsid w:val="00CB5E4F"/>
    <w:rsid w:val="00CB67A5"/>
    <w:rsid w:val="00CB7AA1"/>
    <w:rsid w:val="00CC1AF1"/>
    <w:rsid w:val="00CC1E8E"/>
    <w:rsid w:val="00CC1EE2"/>
    <w:rsid w:val="00CC2F1B"/>
    <w:rsid w:val="00CC424C"/>
    <w:rsid w:val="00CC43BC"/>
    <w:rsid w:val="00CC4746"/>
    <w:rsid w:val="00CC5FBE"/>
    <w:rsid w:val="00CC60E4"/>
    <w:rsid w:val="00CC768C"/>
    <w:rsid w:val="00CD1B38"/>
    <w:rsid w:val="00CD4EF1"/>
    <w:rsid w:val="00CD5252"/>
    <w:rsid w:val="00CD5A51"/>
    <w:rsid w:val="00CE045D"/>
    <w:rsid w:val="00CE0D56"/>
    <w:rsid w:val="00CE428D"/>
    <w:rsid w:val="00CF02BE"/>
    <w:rsid w:val="00CF0E51"/>
    <w:rsid w:val="00CF21A7"/>
    <w:rsid w:val="00CF33EF"/>
    <w:rsid w:val="00CF4C4D"/>
    <w:rsid w:val="00CF52F9"/>
    <w:rsid w:val="00D00215"/>
    <w:rsid w:val="00D00B29"/>
    <w:rsid w:val="00D04265"/>
    <w:rsid w:val="00D0426A"/>
    <w:rsid w:val="00D0619A"/>
    <w:rsid w:val="00D0635E"/>
    <w:rsid w:val="00D10127"/>
    <w:rsid w:val="00D148B3"/>
    <w:rsid w:val="00D16B49"/>
    <w:rsid w:val="00D17B2F"/>
    <w:rsid w:val="00D202A0"/>
    <w:rsid w:val="00D2136F"/>
    <w:rsid w:val="00D21699"/>
    <w:rsid w:val="00D2329B"/>
    <w:rsid w:val="00D25916"/>
    <w:rsid w:val="00D265A4"/>
    <w:rsid w:val="00D3178A"/>
    <w:rsid w:val="00D3486C"/>
    <w:rsid w:val="00D34F26"/>
    <w:rsid w:val="00D36723"/>
    <w:rsid w:val="00D379FE"/>
    <w:rsid w:val="00D37F77"/>
    <w:rsid w:val="00D42D23"/>
    <w:rsid w:val="00D4317B"/>
    <w:rsid w:val="00D441A9"/>
    <w:rsid w:val="00D44BA1"/>
    <w:rsid w:val="00D46202"/>
    <w:rsid w:val="00D4701D"/>
    <w:rsid w:val="00D47F2A"/>
    <w:rsid w:val="00D51883"/>
    <w:rsid w:val="00D52D1C"/>
    <w:rsid w:val="00D554CA"/>
    <w:rsid w:val="00D55B94"/>
    <w:rsid w:val="00D623DE"/>
    <w:rsid w:val="00D62D26"/>
    <w:rsid w:val="00D63F97"/>
    <w:rsid w:val="00D67896"/>
    <w:rsid w:val="00D67C58"/>
    <w:rsid w:val="00D70435"/>
    <w:rsid w:val="00D7089E"/>
    <w:rsid w:val="00D71A67"/>
    <w:rsid w:val="00D71B90"/>
    <w:rsid w:val="00D720BF"/>
    <w:rsid w:val="00D73E36"/>
    <w:rsid w:val="00D74FE7"/>
    <w:rsid w:val="00D77B98"/>
    <w:rsid w:val="00D83F82"/>
    <w:rsid w:val="00D844F9"/>
    <w:rsid w:val="00D8481B"/>
    <w:rsid w:val="00D84FE6"/>
    <w:rsid w:val="00D85DAD"/>
    <w:rsid w:val="00D86C88"/>
    <w:rsid w:val="00D87014"/>
    <w:rsid w:val="00D874F4"/>
    <w:rsid w:val="00D87E66"/>
    <w:rsid w:val="00D912C9"/>
    <w:rsid w:val="00DA004C"/>
    <w:rsid w:val="00DA0200"/>
    <w:rsid w:val="00DA24E7"/>
    <w:rsid w:val="00DA4A05"/>
    <w:rsid w:val="00DA4E30"/>
    <w:rsid w:val="00DA5B48"/>
    <w:rsid w:val="00DA615B"/>
    <w:rsid w:val="00DA653F"/>
    <w:rsid w:val="00DB03BB"/>
    <w:rsid w:val="00DB108C"/>
    <w:rsid w:val="00DB1338"/>
    <w:rsid w:val="00DB1AE8"/>
    <w:rsid w:val="00DB3245"/>
    <w:rsid w:val="00DB64E9"/>
    <w:rsid w:val="00DC00A5"/>
    <w:rsid w:val="00DC20CA"/>
    <w:rsid w:val="00DC4179"/>
    <w:rsid w:val="00DC48E6"/>
    <w:rsid w:val="00DD0F2F"/>
    <w:rsid w:val="00DD13C3"/>
    <w:rsid w:val="00DD145D"/>
    <w:rsid w:val="00DD2314"/>
    <w:rsid w:val="00DD3203"/>
    <w:rsid w:val="00DD3844"/>
    <w:rsid w:val="00DD70AC"/>
    <w:rsid w:val="00DE1ECA"/>
    <w:rsid w:val="00DE3B01"/>
    <w:rsid w:val="00DE3D80"/>
    <w:rsid w:val="00DE3FBC"/>
    <w:rsid w:val="00DF007B"/>
    <w:rsid w:val="00DF183B"/>
    <w:rsid w:val="00DF3350"/>
    <w:rsid w:val="00DF3592"/>
    <w:rsid w:val="00DF4B1D"/>
    <w:rsid w:val="00DF7436"/>
    <w:rsid w:val="00DF77E8"/>
    <w:rsid w:val="00E00E8F"/>
    <w:rsid w:val="00E01CB1"/>
    <w:rsid w:val="00E039B6"/>
    <w:rsid w:val="00E0475C"/>
    <w:rsid w:val="00E077E4"/>
    <w:rsid w:val="00E07EB0"/>
    <w:rsid w:val="00E10EA2"/>
    <w:rsid w:val="00E13D52"/>
    <w:rsid w:val="00E143B3"/>
    <w:rsid w:val="00E151FA"/>
    <w:rsid w:val="00E171F8"/>
    <w:rsid w:val="00E21A2C"/>
    <w:rsid w:val="00E21AD0"/>
    <w:rsid w:val="00E22CC6"/>
    <w:rsid w:val="00E24AFE"/>
    <w:rsid w:val="00E26F18"/>
    <w:rsid w:val="00E30F8A"/>
    <w:rsid w:val="00E310DF"/>
    <w:rsid w:val="00E31209"/>
    <w:rsid w:val="00E31E6F"/>
    <w:rsid w:val="00E3360C"/>
    <w:rsid w:val="00E33674"/>
    <w:rsid w:val="00E353D4"/>
    <w:rsid w:val="00E35B47"/>
    <w:rsid w:val="00E434E3"/>
    <w:rsid w:val="00E452A4"/>
    <w:rsid w:val="00E5153E"/>
    <w:rsid w:val="00E524D1"/>
    <w:rsid w:val="00E535CE"/>
    <w:rsid w:val="00E543DC"/>
    <w:rsid w:val="00E61730"/>
    <w:rsid w:val="00E6284A"/>
    <w:rsid w:val="00E654D5"/>
    <w:rsid w:val="00E65995"/>
    <w:rsid w:val="00E664FD"/>
    <w:rsid w:val="00E703AB"/>
    <w:rsid w:val="00E705EC"/>
    <w:rsid w:val="00E70874"/>
    <w:rsid w:val="00E73368"/>
    <w:rsid w:val="00E746B4"/>
    <w:rsid w:val="00E74A3C"/>
    <w:rsid w:val="00E751A6"/>
    <w:rsid w:val="00E777A2"/>
    <w:rsid w:val="00E81B07"/>
    <w:rsid w:val="00E84968"/>
    <w:rsid w:val="00E86DE9"/>
    <w:rsid w:val="00E90C0E"/>
    <w:rsid w:val="00E90C30"/>
    <w:rsid w:val="00E91676"/>
    <w:rsid w:val="00E9555E"/>
    <w:rsid w:val="00E9709A"/>
    <w:rsid w:val="00E97EE7"/>
    <w:rsid w:val="00EA0F97"/>
    <w:rsid w:val="00EA1872"/>
    <w:rsid w:val="00EA27E1"/>
    <w:rsid w:val="00EA391C"/>
    <w:rsid w:val="00EA4EF7"/>
    <w:rsid w:val="00EA7261"/>
    <w:rsid w:val="00EA7FEC"/>
    <w:rsid w:val="00EB175A"/>
    <w:rsid w:val="00EB4E76"/>
    <w:rsid w:val="00EB6BF1"/>
    <w:rsid w:val="00EB76CD"/>
    <w:rsid w:val="00EC0BCA"/>
    <w:rsid w:val="00EC29E3"/>
    <w:rsid w:val="00EC535B"/>
    <w:rsid w:val="00EC739D"/>
    <w:rsid w:val="00ED08E2"/>
    <w:rsid w:val="00ED14E4"/>
    <w:rsid w:val="00ED1597"/>
    <w:rsid w:val="00ED2573"/>
    <w:rsid w:val="00ED2CD2"/>
    <w:rsid w:val="00ED3DF2"/>
    <w:rsid w:val="00ED58B0"/>
    <w:rsid w:val="00ED70A6"/>
    <w:rsid w:val="00EE0D21"/>
    <w:rsid w:val="00EE101B"/>
    <w:rsid w:val="00EE1981"/>
    <w:rsid w:val="00EE1E69"/>
    <w:rsid w:val="00EE1E92"/>
    <w:rsid w:val="00EE3389"/>
    <w:rsid w:val="00EE42B0"/>
    <w:rsid w:val="00EE69F5"/>
    <w:rsid w:val="00EE7F63"/>
    <w:rsid w:val="00EF06B7"/>
    <w:rsid w:val="00EF1125"/>
    <w:rsid w:val="00EF1550"/>
    <w:rsid w:val="00EF199B"/>
    <w:rsid w:val="00EF2476"/>
    <w:rsid w:val="00EF28D8"/>
    <w:rsid w:val="00EF3E87"/>
    <w:rsid w:val="00EF3E92"/>
    <w:rsid w:val="00EF4B80"/>
    <w:rsid w:val="00EF5BA2"/>
    <w:rsid w:val="00F020E9"/>
    <w:rsid w:val="00F03DA5"/>
    <w:rsid w:val="00F04918"/>
    <w:rsid w:val="00F06544"/>
    <w:rsid w:val="00F075F0"/>
    <w:rsid w:val="00F079B6"/>
    <w:rsid w:val="00F113F4"/>
    <w:rsid w:val="00F1191B"/>
    <w:rsid w:val="00F13A10"/>
    <w:rsid w:val="00F21961"/>
    <w:rsid w:val="00F21A4F"/>
    <w:rsid w:val="00F23699"/>
    <w:rsid w:val="00F24F02"/>
    <w:rsid w:val="00F263DB"/>
    <w:rsid w:val="00F3005D"/>
    <w:rsid w:val="00F31D2D"/>
    <w:rsid w:val="00F37359"/>
    <w:rsid w:val="00F40774"/>
    <w:rsid w:val="00F426E3"/>
    <w:rsid w:val="00F4618C"/>
    <w:rsid w:val="00F46D15"/>
    <w:rsid w:val="00F51FA7"/>
    <w:rsid w:val="00F5260D"/>
    <w:rsid w:val="00F560E9"/>
    <w:rsid w:val="00F56A1C"/>
    <w:rsid w:val="00F57572"/>
    <w:rsid w:val="00F578BE"/>
    <w:rsid w:val="00F57DED"/>
    <w:rsid w:val="00F62EAC"/>
    <w:rsid w:val="00F63E63"/>
    <w:rsid w:val="00F643E4"/>
    <w:rsid w:val="00F64AE3"/>
    <w:rsid w:val="00F674B8"/>
    <w:rsid w:val="00F72FE3"/>
    <w:rsid w:val="00F7332A"/>
    <w:rsid w:val="00F758B5"/>
    <w:rsid w:val="00F77580"/>
    <w:rsid w:val="00F8345F"/>
    <w:rsid w:val="00F9156A"/>
    <w:rsid w:val="00F928DD"/>
    <w:rsid w:val="00F93029"/>
    <w:rsid w:val="00F93219"/>
    <w:rsid w:val="00F93E4D"/>
    <w:rsid w:val="00F951BF"/>
    <w:rsid w:val="00F9526B"/>
    <w:rsid w:val="00F95403"/>
    <w:rsid w:val="00F96651"/>
    <w:rsid w:val="00FA051B"/>
    <w:rsid w:val="00FA0B1B"/>
    <w:rsid w:val="00FA4232"/>
    <w:rsid w:val="00FA4A60"/>
    <w:rsid w:val="00FA56FB"/>
    <w:rsid w:val="00FB09FC"/>
    <w:rsid w:val="00FB1289"/>
    <w:rsid w:val="00FB1C39"/>
    <w:rsid w:val="00FB2254"/>
    <w:rsid w:val="00FB477F"/>
    <w:rsid w:val="00FC3B3D"/>
    <w:rsid w:val="00FD1A37"/>
    <w:rsid w:val="00FD22B2"/>
    <w:rsid w:val="00FD37FF"/>
    <w:rsid w:val="00FD621C"/>
    <w:rsid w:val="00FE0D61"/>
    <w:rsid w:val="00FE0DCB"/>
    <w:rsid w:val="00FE2153"/>
    <w:rsid w:val="00FE7F73"/>
    <w:rsid w:val="00FF41FB"/>
    <w:rsid w:val="00FF6365"/>
    <w:rsid w:val="010A478A"/>
    <w:rsid w:val="011D4A64"/>
    <w:rsid w:val="01282E62"/>
    <w:rsid w:val="012C687B"/>
    <w:rsid w:val="01456A08"/>
    <w:rsid w:val="01487061"/>
    <w:rsid w:val="01536131"/>
    <w:rsid w:val="01583748"/>
    <w:rsid w:val="015B25E7"/>
    <w:rsid w:val="0160084E"/>
    <w:rsid w:val="01691204"/>
    <w:rsid w:val="01761E20"/>
    <w:rsid w:val="017A78B8"/>
    <w:rsid w:val="017B7436"/>
    <w:rsid w:val="018F4837"/>
    <w:rsid w:val="01910A08"/>
    <w:rsid w:val="01916C5A"/>
    <w:rsid w:val="019463CC"/>
    <w:rsid w:val="01A249C3"/>
    <w:rsid w:val="01A7647D"/>
    <w:rsid w:val="01AA7D1B"/>
    <w:rsid w:val="01AD5C54"/>
    <w:rsid w:val="01B77F31"/>
    <w:rsid w:val="01B97F5E"/>
    <w:rsid w:val="01BB5A85"/>
    <w:rsid w:val="01C0753F"/>
    <w:rsid w:val="01C25065"/>
    <w:rsid w:val="01C43E99"/>
    <w:rsid w:val="01C73FAA"/>
    <w:rsid w:val="01D34B7C"/>
    <w:rsid w:val="01D46B46"/>
    <w:rsid w:val="01D54BFB"/>
    <w:rsid w:val="01DD3C4D"/>
    <w:rsid w:val="01DF79C5"/>
    <w:rsid w:val="01EB45BC"/>
    <w:rsid w:val="01ED5016"/>
    <w:rsid w:val="02092907"/>
    <w:rsid w:val="020A2568"/>
    <w:rsid w:val="020A57FC"/>
    <w:rsid w:val="020D3B89"/>
    <w:rsid w:val="02142F59"/>
    <w:rsid w:val="021A27AB"/>
    <w:rsid w:val="02255BE4"/>
    <w:rsid w:val="02315D47"/>
    <w:rsid w:val="02477318"/>
    <w:rsid w:val="02502671"/>
    <w:rsid w:val="02534464"/>
    <w:rsid w:val="02581525"/>
    <w:rsid w:val="0263637C"/>
    <w:rsid w:val="027125E7"/>
    <w:rsid w:val="0273635F"/>
    <w:rsid w:val="027F62F7"/>
    <w:rsid w:val="02832A46"/>
    <w:rsid w:val="02A62291"/>
    <w:rsid w:val="02A96BF3"/>
    <w:rsid w:val="02B01361"/>
    <w:rsid w:val="02DA6FE9"/>
    <w:rsid w:val="02DC3F04"/>
    <w:rsid w:val="02E01C47"/>
    <w:rsid w:val="02E35293"/>
    <w:rsid w:val="02E62FD5"/>
    <w:rsid w:val="02E64D83"/>
    <w:rsid w:val="02ED6112"/>
    <w:rsid w:val="02F079B0"/>
    <w:rsid w:val="02FC45A7"/>
    <w:rsid w:val="030203DA"/>
    <w:rsid w:val="03063083"/>
    <w:rsid w:val="03157416"/>
    <w:rsid w:val="0317318F"/>
    <w:rsid w:val="03192A63"/>
    <w:rsid w:val="031E276F"/>
    <w:rsid w:val="032558AB"/>
    <w:rsid w:val="033F5EAF"/>
    <w:rsid w:val="033F6241"/>
    <w:rsid w:val="034E3E75"/>
    <w:rsid w:val="03575C81"/>
    <w:rsid w:val="035B575C"/>
    <w:rsid w:val="03600692"/>
    <w:rsid w:val="03687A63"/>
    <w:rsid w:val="03697BFD"/>
    <w:rsid w:val="037C1244"/>
    <w:rsid w:val="03836A76"/>
    <w:rsid w:val="03991DF6"/>
    <w:rsid w:val="039D18E6"/>
    <w:rsid w:val="03AE3AF3"/>
    <w:rsid w:val="03BE360A"/>
    <w:rsid w:val="03C926DB"/>
    <w:rsid w:val="03E868D9"/>
    <w:rsid w:val="03E92D3E"/>
    <w:rsid w:val="03EE0393"/>
    <w:rsid w:val="03F14319"/>
    <w:rsid w:val="03F32A2B"/>
    <w:rsid w:val="03F90AE6"/>
    <w:rsid w:val="04051239"/>
    <w:rsid w:val="04155920"/>
    <w:rsid w:val="04161698"/>
    <w:rsid w:val="042042C5"/>
    <w:rsid w:val="042F22C7"/>
    <w:rsid w:val="04365896"/>
    <w:rsid w:val="043F299D"/>
    <w:rsid w:val="044E2BE0"/>
    <w:rsid w:val="044F0706"/>
    <w:rsid w:val="045F303F"/>
    <w:rsid w:val="04602913"/>
    <w:rsid w:val="04620439"/>
    <w:rsid w:val="046800E1"/>
    <w:rsid w:val="04834780"/>
    <w:rsid w:val="048E122E"/>
    <w:rsid w:val="04A3117E"/>
    <w:rsid w:val="04A52203"/>
    <w:rsid w:val="04B74A42"/>
    <w:rsid w:val="04BD2755"/>
    <w:rsid w:val="04C502AB"/>
    <w:rsid w:val="04C56194"/>
    <w:rsid w:val="04D035F5"/>
    <w:rsid w:val="04E258FC"/>
    <w:rsid w:val="04E452F2"/>
    <w:rsid w:val="04E62E18"/>
    <w:rsid w:val="04F07A3F"/>
    <w:rsid w:val="04F25C61"/>
    <w:rsid w:val="04F27A0F"/>
    <w:rsid w:val="04F73E4E"/>
    <w:rsid w:val="05014F82"/>
    <w:rsid w:val="05031C1C"/>
    <w:rsid w:val="050B0AD1"/>
    <w:rsid w:val="05147884"/>
    <w:rsid w:val="05177476"/>
    <w:rsid w:val="051931EE"/>
    <w:rsid w:val="052878D5"/>
    <w:rsid w:val="05495D59"/>
    <w:rsid w:val="05526700"/>
    <w:rsid w:val="055670E7"/>
    <w:rsid w:val="055F39AB"/>
    <w:rsid w:val="05610E93"/>
    <w:rsid w:val="0563090D"/>
    <w:rsid w:val="0563476A"/>
    <w:rsid w:val="0591547A"/>
    <w:rsid w:val="059E7B97"/>
    <w:rsid w:val="05A827C4"/>
    <w:rsid w:val="05AD1B88"/>
    <w:rsid w:val="05B178CA"/>
    <w:rsid w:val="05B253F0"/>
    <w:rsid w:val="05C84C14"/>
    <w:rsid w:val="05CC64B2"/>
    <w:rsid w:val="05CD3FD8"/>
    <w:rsid w:val="05D9297D"/>
    <w:rsid w:val="05E57574"/>
    <w:rsid w:val="05EC0902"/>
    <w:rsid w:val="05F41565"/>
    <w:rsid w:val="05F45A09"/>
    <w:rsid w:val="05F652DD"/>
    <w:rsid w:val="060519C4"/>
    <w:rsid w:val="06141C07"/>
    <w:rsid w:val="0616597F"/>
    <w:rsid w:val="06190FCC"/>
    <w:rsid w:val="062260D2"/>
    <w:rsid w:val="062A5DF7"/>
    <w:rsid w:val="06400C4E"/>
    <w:rsid w:val="064216C6"/>
    <w:rsid w:val="064222D0"/>
    <w:rsid w:val="06436049"/>
    <w:rsid w:val="06497B03"/>
    <w:rsid w:val="064C75F3"/>
    <w:rsid w:val="06500E91"/>
    <w:rsid w:val="065564A8"/>
    <w:rsid w:val="06562220"/>
    <w:rsid w:val="06620BC5"/>
    <w:rsid w:val="0667442D"/>
    <w:rsid w:val="067508F8"/>
    <w:rsid w:val="06783F44"/>
    <w:rsid w:val="067D77AC"/>
    <w:rsid w:val="0680104B"/>
    <w:rsid w:val="06917099"/>
    <w:rsid w:val="06982838"/>
    <w:rsid w:val="069845E6"/>
    <w:rsid w:val="06A25465"/>
    <w:rsid w:val="06A64F55"/>
    <w:rsid w:val="06AE3E0A"/>
    <w:rsid w:val="06B37672"/>
    <w:rsid w:val="06BE0813"/>
    <w:rsid w:val="06C453DB"/>
    <w:rsid w:val="06E46DD6"/>
    <w:rsid w:val="06EB6E0C"/>
    <w:rsid w:val="06F04422"/>
    <w:rsid w:val="06F07F7E"/>
    <w:rsid w:val="06F7755F"/>
    <w:rsid w:val="06FA2477"/>
    <w:rsid w:val="07052878"/>
    <w:rsid w:val="070E2AFA"/>
    <w:rsid w:val="071F0864"/>
    <w:rsid w:val="07287718"/>
    <w:rsid w:val="072916E2"/>
    <w:rsid w:val="072B545A"/>
    <w:rsid w:val="0730481F"/>
    <w:rsid w:val="07577FFE"/>
    <w:rsid w:val="07585B24"/>
    <w:rsid w:val="076117A3"/>
    <w:rsid w:val="077C5CB6"/>
    <w:rsid w:val="07832BA1"/>
    <w:rsid w:val="07866B35"/>
    <w:rsid w:val="07915597"/>
    <w:rsid w:val="079500F6"/>
    <w:rsid w:val="07A1396F"/>
    <w:rsid w:val="07A21D49"/>
    <w:rsid w:val="07A34FF1"/>
    <w:rsid w:val="07AD2313"/>
    <w:rsid w:val="07AF1BE8"/>
    <w:rsid w:val="07B76CEE"/>
    <w:rsid w:val="07D23B28"/>
    <w:rsid w:val="07D478A0"/>
    <w:rsid w:val="07D72EEC"/>
    <w:rsid w:val="07D94EB6"/>
    <w:rsid w:val="07E04497"/>
    <w:rsid w:val="07E07FF3"/>
    <w:rsid w:val="07E55609"/>
    <w:rsid w:val="07EA2C20"/>
    <w:rsid w:val="081B54CF"/>
    <w:rsid w:val="082C0402"/>
    <w:rsid w:val="082E5202"/>
    <w:rsid w:val="08346591"/>
    <w:rsid w:val="083B791F"/>
    <w:rsid w:val="083C7EB4"/>
    <w:rsid w:val="08420CAE"/>
    <w:rsid w:val="0854278F"/>
    <w:rsid w:val="08566507"/>
    <w:rsid w:val="085B3B1D"/>
    <w:rsid w:val="08611362"/>
    <w:rsid w:val="0865674A"/>
    <w:rsid w:val="08713341"/>
    <w:rsid w:val="08747B08"/>
    <w:rsid w:val="08824CDD"/>
    <w:rsid w:val="08836BD0"/>
    <w:rsid w:val="0885365E"/>
    <w:rsid w:val="08892439"/>
    <w:rsid w:val="08921FE5"/>
    <w:rsid w:val="08931509"/>
    <w:rsid w:val="089C6599"/>
    <w:rsid w:val="089D7C92"/>
    <w:rsid w:val="08A059D4"/>
    <w:rsid w:val="08A91BD9"/>
    <w:rsid w:val="08AF5C17"/>
    <w:rsid w:val="08B767EB"/>
    <w:rsid w:val="08BB75F2"/>
    <w:rsid w:val="08CC52FD"/>
    <w:rsid w:val="08D062B9"/>
    <w:rsid w:val="08E41D65"/>
    <w:rsid w:val="08EC0C19"/>
    <w:rsid w:val="08F0070A"/>
    <w:rsid w:val="08F55D20"/>
    <w:rsid w:val="08F875BE"/>
    <w:rsid w:val="091C32AD"/>
    <w:rsid w:val="092108C3"/>
    <w:rsid w:val="09271C46"/>
    <w:rsid w:val="093E020C"/>
    <w:rsid w:val="095F3199"/>
    <w:rsid w:val="09652EA6"/>
    <w:rsid w:val="096A04BC"/>
    <w:rsid w:val="096B3218"/>
    <w:rsid w:val="09750C0F"/>
    <w:rsid w:val="097D1872"/>
    <w:rsid w:val="098B21E0"/>
    <w:rsid w:val="09903C9B"/>
    <w:rsid w:val="09975029"/>
    <w:rsid w:val="099C263F"/>
    <w:rsid w:val="09A514F4"/>
    <w:rsid w:val="09B66216"/>
    <w:rsid w:val="09BC4A90"/>
    <w:rsid w:val="09C556F2"/>
    <w:rsid w:val="09D122E9"/>
    <w:rsid w:val="09D75426"/>
    <w:rsid w:val="09D973F0"/>
    <w:rsid w:val="09E65669"/>
    <w:rsid w:val="0A053D41"/>
    <w:rsid w:val="0A0F2E11"/>
    <w:rsid w:val="0A116B8A"/>
    <w:rsid w:val="0A1341F3"/>
    <w:rsid w:val="0A1B7A08"/>
    <w:rsid w:val="0A1E12A6"/>
    <w:rsid w:val="0A2E773B"/>
    <w:rsid w:val="0A51267A"/>
    <w:rsid w:val="0A586566"/>
    <w:rsid w:val="0A59408D"/>
    <w:rsid w:val="0A634F0B"/>
    <w:rsid w:val="0A685CAA"/>
    <w:rsid w:val="0A6F565E"/>
    <w:rsid w:val="0A740EC6"/>
    <w:rsid w:val="0A821835"/>
    <w:rsid w:val="0A8F5D00"/>
    <w:rsid w:val="0A96708F"/>
    <w:rsid w:val="0A9D47E0"/>
    <w:rsid w:val="0AB97796"/>
    <w:rsid w:val="0AC830AC"/>
    <w:rsid w:val="0ADB2CF4"/>
    <w:rsid w:val="0AEE6ECB"/>
    <w:rsid w:val="0AFA13CC"/>
    <w:rsid w:val="0AFF4C34"/>
    <w:rsid w:val="0B042881"/>
    <w:rsid w:val="0B044101"/>
    <w:rsid w:val="0B0E30C9"/>
    <w:rsid w:val="0B2226D0"/>
    <w:rsid w:val="0B24469B"/>
    <w:rsid w:val="0B2B5A29"/>
    <w:rsid w:val="0B2E72C7"/>
    <w:rsid w:val="0B422D73"/>
    <w:rsid w:val="0B610257"/>
    <w:rsid w:val="0B61769D"/>
    <w:rsid w:val="0B913B41"/>
    <w:rsid w:val="0B9A5A90"/>
    <w:rsid w:val="0BA23811"/>
    <w:rsid w:val="0BAD28E2"/>
    <w:rsid w:val="0BBD49C8"/>
    <w:rsid w:val="0BD00A94"/>
    <w:rsid w:val="0BD460C1"/>
    <w:rsid w:val="0BE856C8"/>
    <w:rsid w:val="0C063B21"/>
    <w:rsid w:val="0C0C2939"/>
    <w:rsid w:val="0C234952"/>
    <w:rsid w:val="0C2801BA"/>
    <w:rsid w:val="0C452B1A"/>
    <w:rsid w:val="0C4843B9"/>
    <w:rsid w:val="0C4D19CF"/>
    <w:rsid w:val="0C564D28"/>
    <w:rsid w:val="0C566AD6"/>
    <w:rsid w:val="0C7541E0"/>
    <w:rsid w:val="0C7B653C"/>
    <w:rsid w:val="0C8A49D1"/>
    <w:rsid w:val="0C8C24F7"/>
    <w:rsid w:val="0C945E53"/>
    <w:rsid w:val="0CA710DF"/>
    <w:rsid w:val="0CAB12CB"/>
    <w:rsid w:val="0CAF4438"/>
    <w:rsid w:val="0CBB2DDD"/>
    <w:rsid w:val="0CBC3D48"/>
    <w:rsid w:val="0CCC0564"/>
    <w:rsid w:val="0CD520F0"/>
    <w:rsid w:val="0CD93263"/>
    <w:rsid w:val="0CDD0FA5"/>
    <w:rsid w:val="0CDE6ACB"/>
    <w:rsid w:val="0D044784"/>
    <w:rsid w:val="0D1D3A97"/>
    <w:rsid w:val="0D2A39FA"/>
    <w:rsid w:val="0D3355BC"/>
    <w:rsid w:val="0D3D5EE8"/>
    <w:rsid w:val="0D442DD2"/>
    <w:rsid w:val="0D4903E8"/>
    <w:rsid w:val="0D501777"/>
    <w:rsid w:val="0D6121DC"/>
    <w:rsid w:val="0D645222"/>
    <w:rsid w:val="0D6945E7"/>
    <w:rsid w:val="0D7A0D99"/>
    <w:rsid w:val="0D991370"/>
    <w:rsid w:val="0DA93D34"/>
    <w:rsid w:val="0DB43078"/>
    <w:rsid w:val="0DC42165"/>
    <w:rsid w:val="0DCF4D92"/>
    <w:rsid w:val="0DE3413F"/>
    <w:rsid w:val="0DE819AF"/>
    <w:rsid w:val="0DEA1BCB"/>
    <w:rsid w:val="0DFC36AD"/>
    <w:rsid w:val="0E0013EF"/>
    <w:rsid w:val="0E012A71"/>
    <w:rsid w:val="0E1F1149"/>
    <w:rsid w:val="0E2055ED"/>
    <w:rsid w:val="0E2C21E4"/>
    <w:rsid w:val="0E30199A"/>
    <w:rsid w:val="0E39045D"/>
    <w:rsid w:val="0E4A266A"/>
    <w:rsid w:val="0E4B63E2"/>
    <w:rsid w:val="0E545297"/>
    <w:rsid w:val="0E611762"/>
    <w:rsid w:val="0E83792A"/>
    <w:rsid w:val="0EAE1581"/>
    <w:rsid w:val="0EBE4E06"/>
    <w:rsid w:val="0EBF64CC"/>
    <w:rsid w:val="0ECC7523"/>
    <w:rsid w:val="0ED14B39"/>
    <w:rsid w:val="0ED463D8"/>
    <w:rsid w:val="0ED924DE"/>
    <w:rsid w:val="0ED939EE"/>
    <w:rsid w:val="0EDE2DB2"/>
    <w:rsid w:val="0EEE7499"/>
    <w:rsid w:val="0EF16F8A"/>
    <w:rsid w:val="0EF80318"/>
    <w:rsid w:val="0EFC50C1"/>
    <w:rsid w:val="0F096081"/>
    <w:rsid w:val="0F1862C4"/>
    <w:rsid w:val="0F1D7D7F"/>
    <w:rsid w:val="0F205179"/>
    <w:rsid w:val="0F421593"/>
    <w:rsid w:val="0F474DFC"/>
    <w:rsid w:val="0F490B74"/>
    <w:rsid w:val="0F53065C"/>
    <w:rsid w:val="0F56503F"/>
    <w:rsid w:val="0F615EBD"/>
    <w:rsid w:val="0F753717"/>
    <w:rsid w:val="0F786D63"/>
    <w:rsid w:val="0F883BFB"/>
    <w:rsid w:val="0F8E2A2A"/>
    <w:rsid w:val="0F956327"/>
    <w:rsid w:val="0F9A13CF"/>
    <w:rsid w:val="0FA43FFC"/>
    <w:rsid w:val="0FA97A45"/>
    <w:rsid w:val="0FAB7138"/>
    <w:rsid w:val="0FAC2EB1"/>
    <w:rsid w:val="0FAE6C29"/>
    <w:rsid w:val="0FB00BF3"/>
    <w:rsid w:val="0FB04E10"/>
    <w:rsid w:val="0FBC7598"/>
    <w:rsid w:val="0FBD0C1A"/>
    <w:rsid w:val="0FC04E41"/>
    <w:rsid w:val="0FC44457"/>
    <w:rsid w:val="0FCD3553"/>
    <w:rsid w:val="0FEE34C9"/>
    <w:rsid w:val="0FF0763E"/>
    <w:rsid w:val="0FF22FB9"/>
    <w:rsid w:val="10066A65"/>
    <w:rsid w:val="10090303"/>
    <w:rsid w:val="1021564D"/>
    <w:rsid w:val="10234F21"/>
    <w:rsid w:val="10282537"/>
    <w:rsid w:val="10284C2D"/>
    <w:rsid w:val="1034712E"/>
    <w:rsid w:val="103A04BC"/>
    <w:rsid w:val="10526896"/>
    <w:rsid w:val="106043C7"/>
    <w:rsid w:val="10606175"/>
    <w:rsid w:val="106A34F3"/>
    <w:rsid w:val="107F4121"/>
    <w:rsid w:val="1088747A"/>
    <w:rsid w:val="108D2CE2"/>
    <w:rsid w:val="10A4546E"/>
    <w:rsid w:val="10AC13BA"/>
    <w:rsid w:val="10AC760C"/>
    <w:rsid w:val="10AD6EE0"/>
    <w:rsid w:val="10B169D0"/>
    <w:rsid w:val="10B262A5"/>
    <w:rsid w:val="10CC55B8"/>
    <w:rsid w:val="10CD00E1"/>
    <w:rsid w:val="10D10E21"/>
    <w:rsid w:val="10D95F27"/>
    <w:rsid w:val="10DD77C5"/>
    <w:rsid w:val="10DE353E"/>
    <w:rsid w:val="10FE773C"/>
    <w:rsid w:val="11082369"/>
    <w:rsid w:val="111D5E14"/>
    <w:rsid w:val="111D7D2A"/>
    <w:rsid w:val="11382C4E"/>
    <w:rsid w:val="11555572"/>
    <w:rsid w:val="11651569"/>
    <w:rsid w:val="116D138E"/>
    <w:rsid w:val="118063A3"/>
    <w:rsid w:val="11867E5D"/>
    <w:rsid w:val="118C4D48"/>
    <w:rsid w:val="118E0AC0"/>
    <w:rsid w:val="11AC7198"/>
    <w:rsid w:val="11B57064"/>
    <w:rsid w:val="11B85B3D"/>
    <w:rsid w:val="11C12C43"/>
    <w:rsid w:val="11C24C0D"/>
    <w:rsid w:val="11D24E50"/>
    <w:rsid w:val="11D54941"/>
    <w:rsid w:val="11D64215"/>
    <w:rsid w:val="120314AE"/>
    <w:rsid w:val="120D5E88"/>
    <w:rsid w:val="121675E9"/>
    <w:rsid w:val="121F3E0E"/>
    <w:rsid w:val="12296A3A"/>
    <w:rsid w:val="122D652B"/>
    <w:rsid w:val="122D73E6"/>
    <w:rsid w:val="12301B77"/>
    <w:rsid w:val="12386C7D"/>
    <w:rsid w:val="123D6042"/>
    <w:rsid w:val="124268B7"/>
    <w:rsid w:val="126E6D2B"/>
    <w:rsid w:val="127203E1"/>
    <w:rsid w:val="127C300E"/>
    <w:rsid w:val="128B14A3"/>
    <w:rsid w:val="128F2D41"/>
    <w:rsid w:val="12940D55"/>
    <w:rsid w:val="12A54313"/>
    <w:rsid w:val="12B23899"/>
    <w:rsid w:val="12B24C82"/>
    <w:rsid w:val="12B5207C"/>
    <w:rsid w:val="12C050AE"/>
    <w:rsid w:val="12C10A21"/>
    <w:rsid w:val="12E0534B"/>
    <w:rsid w:val="12ED3C46"/>
    <w:rsid w:val="12F62DC0"/>
    <w:rsid w:val="12FB2185"/>
    <w:rsid w:val="13031039"/>
    <w:rsid w:val="13041331"/>
    <w:rsid w:val="13082AF4"/>
    <w:rsid w:val="130D3C66"/>
    <w:rsid w:val="130E6C95"/>
    <w:rsid w:val="1315735E"/>
    <w:rsid w:val="13255454"/>
    <w:rsid w:val="132B63FE"/>
    <w:rsid w:val="1332191F"/>
    <w:rsid w:val="1336140F"/>
    <w:rsid w:val="1347361C"/>
    <w:rsid w:val="1356385F"/>
    <w:rsid w:val="13580BFC"/>
    <w:rsid w:val="1360023A"/>
    <w:rsid w:val="136F4921"/>
    <w:rsid w:val="13765CAF"/>
    <w:rsid w:val="137D703E"/>
    <w:rsid w:val="139D148E"/>
    <w:rsid w:val="13A520F1"/>
    <w:rsid w:val="13A740BB"/>
    <w:rsid w:val="13A97E33"/>
    <w:rsid w:val="13B011C1"/>
    <w:rsid w:val="13B80076"/>
    <w:rsid w:val="13B955A2"/>
    <w:rsid w:val="13BF31B2"/>
    <w:rsid w:val="13C7650B"/>
    <w:rsid w:val="13D2309B"/>
    <w:rsid w:val="13DF1AA7"/>
    <w:rsid w:val="13E175CD"/>
    <w:rsid w:val="13E22ACD"/>
    <w:rsid w:val="13FC61B5"/>
    <w:rsid w:val="14065285"/>
    <w:rsid w:val="14074B59"/>
    <w:rsid w:val="140908D1"/>
    <w:rsid w:val="142E0338"/>
    <w:rsid w:val="142E658A"/>
    <w:rsid w:val="142F1893"/>
    <w:rsid w:val="14535FF1"/>
    <w:rsid w:val="145558C5"/>
    <w:rsid w:val="145C6C53"/>
    <w:rsid w:val="1461070D"/>
    <w:rsid w:val="14621322"/>
    <w:rsid w:val="14694BBB"/>
    <w:rsid w:val="147F6DE6"/>
    <w:rsid w:val="14830684"/>
    <w:rsid w:val="14885C9A"/>
    <w:rsid w:val="148A7C64"/>
    <w:rsid w:val="148E0D91"/>
    <w:rsid w:val="14997EA7"/>
    <w:rsid w:val="149C1746"/>
    <w:rsid w:val="149E726C"/>
    <w:rsid w:val="14A10B0A"/>
    <w:rsid w:val="14B52807"/>
    <w:rsid w:val="14B922F8"/>
    <w:rsid w:val="14C03686"/>
    <w:rsid w:val="14C43187"/>
    <w:rsid w:val="14E54E9B"/>
    <w:rsid w:val="14E93623"/>
    <w:rsid w:val="15015A4D"/>
    <w:rsid w:val="15107A3E"/>
    <w:rsid w:val="1517701E"/>
    <w:rsid w:val="15211C4B"/>
    <w:rsid w:val="152F25BA"/>
    <w:rsid w:val="153320AA"/>
    <w:rsid w:val="15347E88"/>
    <w:rsid w:val="1537321C"/>
    <w:rsid w:val="15475B55"/>
    <w:rsid w:val="154A0419"/>
    <w:rsid w:val="155C2C83"/>
    <w:rsid w:val="156758B0"/>
    <w:rsid w:val="1568787A"/>
    <w:rsid w:val="157B57FF"/>
    <w:rsid w:val="157D4E69"/>
    <w:rsid w:val="15883A78"/>
    <w:rsid w:val="15915022"/>
    <w:rsid w:val="1598015F"/>
    <w:rsid w:val="15A07014"/>
    <w:rsid w:val="15B64A89"/>
    <w:rsid w:val="15BD7BC5"/>
    <w:rsid w:val="15D078F9"/>
    <w:rsid w:val="15D32F45"/>
    <w:rsid w:val="15EF58A5"/>
    <w:rsid w:val="160077F4"/>
    <w:rsid w:val="16007AB2"/>
    <w:rsid w:val="160457F4"/>
    <w:rsid w:val="16070E41"/>
    <w:rsid w:val="16161084"/>
    <w:rsid w:val="1618304E"/>
    <w:rsid w:val="1619640D"/>
    <w:rsid w:val="161A0B74"/>
    <w:rsid w:val="162560FE"/>
    <w:rsid w:val="1629525B"/>
    <w:rsid w:val="164D0F49"/>
    <w:rsid w:val="165C118C"/>
    <w:rsid w:val="1663076D"/>
    <w:rsid w:val="167357F3"/>
    <w:rsid w:val="16831D55"/>
    <w:rsid w:val="1686445B"/>
    <w:rsid w:val="168D077F"/>
    <w:rsid w:val="16B03286"/>
    <w:rsid w:val="16C17241"/>
    <w:rsid w:val="16C84A74"/>
    <w:rsid w:val="16D2144F"/>
    <w:rsid w:val="16EF2001"/>
    <w:rsid w:val="171001C9"/>
    <w:rsid w:val="17172807"/>
    <w:rsid w:val="17231CAA"/>
    <w:rsid w:val="17264959"/>
    <w:rsid w:val="17326391"/>
    <w:rsid w:val="173B3BB9"/>
    <w:rsid w:val="173E6AE4"/>
    <w:rsid w:val="174A36DB"/>
    <w:rsid w:val="17793FC0"/>
    <w:rsid w:val="177B3894"/>
    <w:rsid w:val="17892735"/>
    <w:rsid w:val="178C784F"/>
    <w:rsid w:val="17AC6144"/>
    <w:rsid w:val="17C23271"/>
    <w:rsid w:val="17E05DED"/>
    <w:rsid w:val="17EE6D78"/>
    <w:rsid w:val="17FA5823"/>
    <w:rsid w:val="180102EB"/>
    <w:rsid w:val="18027B12"/>
    <w:rsid w:val="183323C1"/>
    <w:rsid w:val="18357EE7"/>
    <w:rsid w:val="183879D7"/>
    <w:rsid w:val="183D0B4A"/>
    <w:rsid w:val="183F5F8E"/>
    <w:rsid w:val="18583BD5"/>
    <w:rsid w:val="187529D9"/>
    <w:rsid w:val="18786026"/>
    <w:rsid w:val="18870FBE"/>
    <w:rsid w:val="189B7D05"/>
    <w:rsid w:val="18A1732B"/>
    <w:rsid w:val="18B43502"/>
    <w:rsid w:val="18BC5F12"/>
    <w:rsid w:val="18CC3E8C"/>
    <w:rsid w:val="18E37943"/>
    <w:rsid w:val="18F0644B"/>
    <w:rsid w:val="191F1517"/>
    <w:rsid w:val="191F64A1"/>
    <w:rsid w:val="192B0E79"/>
    <w:rsid w:val="192F2B88"/>
    <w:rsid w:val="19377C8F"/>
    <w:rsid w:val="194B54E8"/>
    <w:rsid w:val="194D74B2"/>
    <w:rsid w:val="194F4FD8"/>
    <w:rsid w:val="19654CA9"/>
    <w:rsid w:val="19670574"/>
    <w:rsid w:val="1968609A"/>
    <w:rsid w:val="19707D4F"/>
    <w:rsid w:val="197267B0"/>
    <w:rsid w:val="198945B7"/>
    <w:rsid w:val="198F26DB"/>
    <w:rsid w:val="199E386A"/>
    <w:rsid w:val="199E65F2"/>
    <w:rsid w:val="19C86B39"/>
    <w:rsid w:val="19CA0B03"/>
    <w:rsid w:val="19CE23A1"/>
    <w:rsid w:val="19D64B76"/>
    <w:rsid w:val="19D674A8"/>
    <w:rsid w:val="19D8350C"/>
    <w:rsid w:val="19D90D46"/>
    <w:rsid w:val="19DC491F"/>
    <w:rsid w:val="19DF45AE"/>
    <w:rsid w:val="19F13AA4"/>
    <w:rsid w:val="19FD4A34"/>
    <w:rsid w:val="19FD67E3"/>
    <w:rsid w:val="1A0758B3"/>
    <w:rsid w:val="1A0A53A3"/>
    <w:rsid w:val="1A3366A8"/>
    <w:rsid w:val="1A385085"/>
    <w:rsid w:val="1A393593"/>
    <w:rsid w:val="1A497C7A"/>
    <w:rsid w:val="1A4A39F2"/>
    <w:rsid w:val="1A4F2DB6"/>
    <w:rsid w:val="1A587EBD"/>
    <w:rsid w:val="1A606D71"/>
    <w:rsid w:val="1A6C1BBA"/>
    <w:rsid w:val="1A756F96"/>
    <w:rsid w:val="1A7D3947"/>
    <w:rsid w:val="1A840CB2"/>
    <w:rsid w:val="1A8766C5"/>
    <w:rsid w:val="1A887069"/>
    <w:rsid w:val="1A954C6D"/>
    <w:rsid w:val="1AC35C7E"/>
    <w:rsid w:val="1AD67034"/>
    <w:rsid w:val="1ADD6614"/>
    <w:rsid w:val="1ADF238C"/>
    <w:rsid w:val="1AE16870"/>
    <w:rsid w:val="1AF51BB0"/>
    <w:rsid w:val="1AF5395E"/>
    <w:rsid w:val="1AF8344E"/>
    <w:rsid w:val="1AF866CC"/>
    <w:rsid w:val="1AF9372F"/>
    <w:rsid w:val="1B087B35"/>
    <w:rsid w:val="1B19589E"/>
    <w:rsid w:val="1B1C538E"/>
    <w:rsid w:val="1B280A4C"/>
    <w:rsid w:val="1B300E3A"/>
    <w:rsid w:val="1B391A9C"/>
    <w:rsid w:val="1B455918"/>
    <w:rsid w:val="1B6573E8"/>
    <w:rsid w:val="1B6603B7"/>
    <w:rsid w:val="1B6D5BEA"/>
    <w:rsid w:val="1B707488"/>
    <w:rsid w:val="1B7817DC"/>
    <w:rsid w:val="1B8B42C2"/>
    <w:rsid w:val="1B9A1D61"/>
    <w:rsid w:val="1B9A3A2C"/>
    <w:rsid w:val="1BB75D4F"/>
    <w:rsid w:val="1BE22134"/>
    <w:rsid w:val="1BE85270"/>
    <w:rsid w:val="1C062416"/>
    <w:rsid w:val="1C36422E"/>
    <w:rsid w:val="1C4E1577"/>
    <w:rsid w:val="1C6074FD"/>
    <w:rsid w:val="1C7E25A5"/>
    <w:rsid w:val="1C8054A9"/>
    <w:rsid w:val="1C827473"/>
    <w:rsid w:val="1C856F63"/>
    <w:rsid w:val="1C8E5E18"/>
    <w:rsid w:val="1C960037"/>
    <w:rsid w:val="1C9A2A0F"/>
    <w:rsid w:val="1CBD66FD"/>
    <w:rsid w:val="1CD74F1F"/>
    <w:rsid w:val="1CD75A11"/>
    <w:rsid w:val="1CD777BF"/>
    <w:rsid w:val="1CD87093"/>
    <w:rsid w:val="1CE04199"/>
    <w:rsid w:val="1CE65C54"/>
    <w:rsid w:val="1CF87F42"/>
    <w:rsid w:val="1CFC7225"/>
    <w:rsid w:val="1D021802"/>
    <w:rsid w:val="1D036806"/>
    <w:rsid w:val="1D293D92"/>
    <w:rsid w:val="1D2B3667"/>
    <w:rsid w:val="1D4166FC"/>
    <w:rsid w:val="1D540E0F"/>
    <w:rsid w:val="1D6B43AB"/>
    <w:rsid w:val="1D807E56"/>
    <w:rsid w:val="1D8B67FB"/>
    <w:rsid w:val="1D8F1E47"/>
    <w:rsid w:val="1D94745E"/>
    <w:rsid w:val="1DA33B45"/>
    <w:rsid w:val="1DBC69B5"/>
    <w:rsid w:val="1DD957B9"/>
    <w:rsid w:val="1DE859FC"/>
    <w:rsid w:val="1DFB572F"/>
    <w:rsid w:val="1E195BB5"/>
    <w:rsid w:val="1E197963"/>
    <w:rsid w:val="1E1C7453"/>
    <w:rsid w:val="1E1D3E3A"/>
    <w:rsid w:val="1E215696"/>
    <w:rsid w:val="1E2527AC"/>
    <w:rsid w:val="1E430E84"/>
    <w:rsid w:val="1E4333F9"/>
    <w:rsid w:val="1E4A0464"/>
    <w:rsid w:val="1E5D3CF4"/>
    <w:rsid w:val="1E6E5F01"/>
    <w:rsid w:val="1E761259"/>
    <w:rsid w:val="1E766B63"/>
    <w:rsid w:val="1E796654"/>
    <w:rsid w:val="1E8F7C25"/>
    <w:rsid w:val="1E953BE1"/>
    <w:rsid w:val="1E990AA4"/>
    <w:rsid w:val="1E9A4F48"/>
    <w:rsid w:val="1EA00084"/>
    <w:rsid w:val="1EA35913"/>
    <w:rsid w:val="1EB678A8"/>
    <w:rsid w:val="1EC36A69"/>
    <w:rsid w:val="1ED146E2"/>
    <w:rsid w:val="1ED958AE"/>
    <w:rsid w:val="1F0D396C"/>
    <w:rsid w:val="1F15637C"/>
    <w:rsid w:val="1F19312F"/>
    <w:rsid w:val="1F1A3993"/>
    <w:rsid w:val="1F2B5718"/>
    <w:rsid w:val="1F2D5FFE"/>
    <w:rsid w:val="1F303A5C"/>
    <w:rsid w:val="1F313B6C"/>
    <w:rsid w:val="1F3709E9"/>
    <w:rsid w:val="1F390F44"/>
    <w:rsid w:val="1F533349"/>
    <w:rsid w:val="1F58244E"/>
    <w:rsid w:val="1F5A46D7"/>
    <w:rsid w:val="1F821614"/>
    <w:rsid w:val="1F8F3D24"/>
    <w:rsid w:val="1F903C55"/>
    <w:rsid w:val="1F9C01BD"/>
    <w:rsid w:val="1F9E45C4"/>
    <w:rsid w:val="1FA3607E"/>
    <w:rsid w:val="1FA600F5"/>
    <w:rsid w:val="1FA871F0"/>
    <w:rsid w:val="1FA95965"/>
    <w:rsid w:val="1FB27E84"/>
    <w:rsid w:val="1FBC2C9C"/>
    <w:rsid w:val="1FC6628A"/>
    <w:rsid w:val="1FCE3006"/>
    <w:rsid w:val="1FD06747"/>
    <w:rsid w:val="1FE3647B"/>
    <w:rsid w:val="1FE50445"/>
    <w:rsid w:val="1FEF6BCD"/>
    <w:rsid w:val="1FF561AE"/>
    <w:rsid w:val="1FF95C9E"/>
    <w:rsid w:val="200975F7"/>
    <w:rsid w:val="201A79C2"/>
    <w:rsid w:val="20241681"/>
    <w:rsid w:val="20270A5D"/>
    <w:rsid w:val="205C7FDB"/>
    <w:rsid w:val="20621A95"/>
    <w:rsid w:val="20735A50"/>
    <w:rsid w:val="20771468"/>
    <w:rsid w:val="20875058"/>
    <w:rsid w:val="208F6602"/>
    <w:rsid w:val="20931C4F"/>
    <w:rsid w:val="20971013"/>
    <w:rsid w:val="209F6845"/>
    <w:rsid w:val="20A53730"/>
    <w:rsid w:val="20A83220"/>
    <w:rsid w:val="20BB498C"/>
    <w:rsid w:val="20BC4690"/>
    <w:rsid w:val="20C20786"/>
    <w:rsid w:val="20E22BD6"/>
    <w:rsid w:val="20FF789C"/>
    <w:rsid w:val="21042B4C"/>
    <w:rsid w:val="210D4EFE"/>
    <w:rsid w:val="21132D8F"/>
    <w:rsid w:val="212E7BC9"/>
    <w:rsid w:val="21350F58"/>
    <w:rsid w:val="213B5E42"/>
    <w:rsid w:val="21521B0A"/>
    <w:rsid w:val="215A276C"/>
    <w:rsid w:val="215D400B"/>
    <w:rsid w:val="216058A9"/>
    <w:rsid w:val="217F0425"/>
    <w:rsid w:val="2181181C"/>
    <w:rsid w:val="21885798"/>
    <w:rsid w:val="21891265"/>
    <w:rsid w:val="21A1039B"/>
    <w:rsid w:val="21A525BC"/>
    <w:rsid w:val="21AB746C"/>
    <w:rsid w:val="21B04A82"/>
    <w:rsid w:val="21B76AE0"/>
    <w:rsid w:val="21BA76AF"/>
    <w:rsid w:val="21BE0F4D"/>
    <w:rsid w:val="21BF4CC5"/>
    <w:rsid w:val="21C66054"/>
    <w:rsid w:val="21CB366A"/>
    <w:rsid w:val="21CD6779"/>
    <w:rsid w:val="21DA1AFF"/>
    <w:rsid w:val="21DC7625"/>
    <w:rsid w:val="21DE60F4"/>
    <w:rsid w:val="21E32217"/>
    <w:rsid w:val="21E93AF0"/>
    <w:rsid w:val="21EA1D42"/>
    <w:rsid w:val="21F11323"/>
    <w:rsid w:val="22032E04"/>
    <w:rsid w:val="2208041A"/>
    <w:rsid w:val="220821C8"/>
    <w:rsid w:val="220F17A9"/>
    <w:rsid w:val="2210107D"/>
    <w:rsid w:val="22266AF2"/>
    <w:rsid w:val="22350AE4"/>
    <w:rsid w:val="22364F87"/>
    <w:rsid w:val="223E053E"/>
    <w:rsid w:val="224156DA"/>
    <w:rsid w:val="22486A69"/>
    <w:rsid w:val="225C2514"/>
    <w:rsid w:val="22853819"/>
    <w:rsid w:val="22910410"/>
    <w:rsid w:val="22AF6AE8"/>
    <w:rsid w:val="22C73E32"/>
    <w:rsid w:val="22C95DFC"/>
    <w:rsid w:val="22C97BAA"/>
    <w:rsid w:val="22D81D21"/>
    <w:rsid w:val="22E20C6B"/>
    <w:rsid w:val="22E26EBD"/>
    <w:rsid w:val="22E83DA8"/>
    <w:rsid w:val="22EE0500"/>
    <w:rsid w:val="22F12B79"/>
    <w:rsid w:val="22F866E1"/>
    <w:rsid w:val="2305495A"/>
    <w:rsid w:val="23067940"/>
    <w:rsid w:val="23076924"/>
    <w:rsid w:val="230A1F70"/>
    <w:rsid w:val="230A4AA3"/>
    <w:rsid w:val="231828DF"/>
    <w:rsid w:val="231D7EF5"/>
    <w:rsid w:val="232272BA"/>
    <w:rsid w:val="23256DAA"/>
    <w:rsid w:val="2329689A"/>
    <w:rsid w:val="23360FB7"/>
    <w:rsid w:val="233B0EFB"/>
    <w:rsid w:val="2342795C"/>
    <w:rsid w:val="23445482"/>
    <w:rsid w:val="23476D20"/>
    <w:rsid w:val="234E6301"/>
    <w:rsid w:val="23532C35"/>
    <w:rsid w:val="23586A43"/>
    <w:rsid w:val="23594841"/>
    <w:rsid w:val="236271B7"/>
    <w:rsid w:val="23751ADF"/>
    <w:rsid w:val="23A81EB5"/>
    <w:rsid w:val="23A91789"/>
    <w:rsid w:val="23AB3753"/>
    <w:rsid w:val="23AE4FF1"/>
    <w:rsid w:val="23AE6D9F"/>
    <w:rsid w:val="23B75C54"/>
    <w:rsid w:val="23B87C1E"/>
    <w:rsid w:val="23C1399B"/>
    <w:rsid w:val="23C6058D"/>
    <w:rsid w:val="23CF684B"/>
    <w:rsid w:val="23D507D0"/>
    <w:rsid w:val="23D67228"/>
    <w:rsid w:val="23ED1676"/>
    <w:rsid w:val="2413138B"/>
    <w:rsid w:val="241430A6"/>
    <w:rsid w:val="241E3F25"/>
    <w:rsid w:val="242A28CA"/>
    <w:rsid w:val="242D23BA"/>
    <w:rsid w:val="24386EC6"/>
    <w:rsid w:val="243948BB"/>
    <w:rsid w:val="24415E66"/>
    <w:rsid w:val="24480FA2"/>
    <w:rsid w:val="246307CB"/>
    <w:rsid w:val="24797480"/>
    <w:rsid w:val="2483647E"/>
    <w:rsid w:val="248B6AAB"/>
    <w:rsid w:val="2492046F"/>
    <w:rsid w:val="249D7540"/>
    <w:rsid w:val="249E0BC2"/>
    <w:rsid w:val="24AA3A0B"/>
    <w:rsid w:val="24B77ED6"/>
    <w:rsid w:val="24B84CE3"/>
    <w:rsid w:val="24BB79C6"/>
    <w:rsid w:val="24D82D7A"/>
    <w:rsid w:val="24EA2059"/>
    <w:rsid w:val="24F86524"/>
    <w:rsid w:val="24FD1D8D"/>
    <w:rsid w:val="25074667"/>
    <w:rsid w:val="250A44A9"/>
    <w:rsid w:val="252E0198"/>
    <w:rsid w:val="25322394"/>
    <w:rsid w:val="25423C43"/>
    <w:rsid w:val="25457290"/>
    <w:rsid w:val="25494FD2"/>
    <w:rsid w:val="25513E86"/>
    <w:rsid w:val="25537BFE"/>
    <w:rsid w:val="255816B9"/>
    <w:rsid w:val="255B2F57"/>
    <w:rsid w:val="256C23F4"/>
    <w:rsid w:val="25710085"/>
    <w:rsid w:val="2580476C"/>
    <w:rsid w:val="258129BE"/>
    <w:rsid w:val="25853522"/>
    <w:rsid w:val="259A0181"/>
    <w:rsid w:val="259F4BF2"/>
    <w:rsid w:val="25A466AC"/>
    <w:rsid w:val="25B12B77"/>
    <w:rsid w:val="25B508B9"/>
    <w:rsid w:val="25C1100C"/>
    <w:rsid w:val="25C96113"/>
    <w:rsid w:val="25CE3729"/>
    <w:rsid w:val="25D7082F"/>
    <w:rsid w:val="25DF1492"/>
    <w:rsid w:val="25EA3AAD"/>
    <w:rsid w:val="25F211C5"/>
    <w:rsid w:val="260158AC"/>
    <w:rsid w:val="26031625"/>
    <w:rsid w:val="2604714B"/>
    <w:rsid w:val="26062EC3"/>
    <w:rsid w:val="260D4251"/>
    <w:rsid w:val="2610789E"/>
    <w:rsid w:val="261D2592"/>
    <w:rsid w:val="26213859"/>
    <w:rsid w:val="262B2929"/>
    <w:rsid w:val="262E41C8"/>
    <w:rsid w:val="263537A8"/>
    <w:rsid w:val="263833AF"/>
    <w:rsid w:val="263C0693"/>
    <w:rsid w:val="263E265D"/>
    <w:rsid w:val="264A7253"/>
    <w:rsid w:val="265005E2"/>
    <w:rsid w:val="26561E85"/>
    <w:rsid w:val="26751DF6"/>
    <w:rsid w:val="267F67D1"/>
    <w:rsid w:val="26936BE5"/>
    <w:rsid w:val="26B13852"/>
    <w:rsid w:val="26D32E9B"/>
    <w:rsid w:val="26DB60FD"/>
    <w:rsid w:val="26F23447"/>
    <w:rsid w:val="26F32FB5"/>
    <w:rsid w:val="26F61189"/>
    <w:rsid w:val="27035654"/>
    <w:rsid w:val="27084A19"/>
    <w:rsid w:val="271A78A6"/>
    <w:rsid w:val="271B0BF0"/>
    <w:rsid w:val="271B2A42"/>
    <w:rsid w:val="272C0707"/>
    <w:rsid w:val="27351CB2"/>
    <w:rsid w:val="27363334"/>
    <w:rsid w:val="27433CA3"/>
    <w:rsid w:val="27561209"/>
    <w:rsid w:val="276460F3"/>
    <w:rsid w:val="276E6F72"/>
    <w:rsid w:val="277125BE"/>
    <w:rsid w:val="27716A62"/>
    <w:rsid w:val="277327DA"/>
    <w:rsid w:val="277D5407"/>
    <w:rsid w:val="278247CB"/>
    <w:rsid w:val="279339AD"/>
    <w:rsid w:val="279F537D"/>
    <w:rsid w:val="27A42993"/>
    <w:rsid w:val="27BA3F65"/>
    <w:rsid w:val="27BD3A55"/>
    <w:rsid w:val="27BE3E87"/>
    <w:rsid w:val="27C052F3"/>
    <w:rsid w:val="27C272BD"/>
    <w:rsid w:val="27D019DA"/>
    <w:rsid w:val="27D25752"/>
    <w:rsid w:val="27D50D9F"/>
    <w:rsid w:val="27D81EB3"/>
    <w:rsid w:val="27DA0163"/>
    <w:rsid w:val="27E06830"/>
    <w:rsid w:val="27EB411E"/>
    <w:rsid w:val="27FC27CF"/>
    <w:rsid w:val="280D12AA"/>
    <w:rsid w:val="28180C8B"/>
    <w:rsid w:val="282D0BDB"/>
    <w:rsid w:val="284657F9"/>
    <w:rsid w:val="286D0FD7"/>
    <w:rsid w:val="286E28EE"/>
    <w:rsid w:val="28702875"/>
    <w:rsid w:val="2871260E"/>
    <w:rsid w:val="287405B8"/>
    <w:rsid w:val="2874680A"/>
    <w:rsid w:val="2890116A"/>
    <w:rsid w:val="28940C5A"/>
    <w:rsid w:val="28C055AB"/>
    <w:rsid w:val="28CF1C92"/>
    <w:rsid w:val="28D728F5"/>
    <w:rsid w:val="28D948BF"/>
    <w:rsid w:val="28F96D0F"/>
    <w:rsid w:val="28FC05AD"/>
    <w:rsid w:val="29086F3D"/>
    <w:rsid w:val="290A3D2F"/>
    <w:rsid w:val="29226266"/>
    <w:rsid w:val="292D69B8"/>
    <w:rsid w:val="29325D7D"/>
    <w:rsid w:val="293E0BC6"/>
    <w:rsid w:val="293E4DEC"/>
    <w:rsid w:val="29451F54"/>
    <w:rsid w:val="294A30C6"/>
    <w:rsid w:val="294E12B6"/>
    <w:rsid w:val="2976035F"/>
    <w:rsid w:val="297D16EE"/>
    <w:rsid w:val="2984482A"/>
    <w:rsid w:val="298E38FB"/>
    <w:rsid w:val="29946A38"/>
    <w:rsid w:val="299B6018"/>
    <w:rsid w:val="29AA0009"/>
    <w:rsid w:val="29AE18A7"/>
    <w:rsid w:val="29B82726"/>
    <w:rsid w:val="29C015DB"/>
    <w:rsid w:val="29D15596"/>
    <w:rsid w:val="29DA0CFD"/>
    <w:rsid w:val="29DD03DE"/>
    <w:rsid w:val="29FA0F90"/>
    <w:rsid w:val="29FD290F"/>
    <w:rsid w:val="2A133E00"/>
    <w:rsid w:val="2A1E7CE6"/>
    <w:rsid w:val="2A1F4553"/>
    <w:rsid w:val="2A222295"/>
    <w:rsid w:val="2A331DAD"/>
    <w:rsid w:val="2A41271B"/>
    <w:rsid w:val="2A44045E"/>
    <w:rsid w:val="2A4B359A"/>
    <w:rsid w:val="2A4D10C0"/>
    <w:rsid w:val="2A663F30"/>
    <w:rsid w:val="2A7E46F7"/>
    <w:rsid w:val="2A8645D2"/>
    <w:rsid w:val="2AA35184"/>
    <w:rsid w:val="2AB90504"/>
    <w:rsid w:val="2ABE3D6C"/>
    <w:rsid w:val="2ACF7D27"/>
    <w:rsid w:val="2AD6555A"/>
    <w:rsid w:val="2AD94E62"/>
    <w:rsid w:val="2AE5754B"/>
    <w:rsid w:val="2AEA2DB3"/>
    <w:rsid w:val="2AEB2687"/>
    <w:rsid w:val="2AFA28CA"/>
    <w:rsid w:val="2B0379D1"/>
    <w:rsid w:val="2B091FC7"/>
    <w:rsid w:val="2B28426D"/>
    <w:rsid w:val="2B285689"/>
    <w:rsid w:val="2B326508"/>
    <w:rsid w:val="2B342280"/>
    <w:rsid w:val="2B487ADA"/>
    <w:rsid w:val="2B65243A"/>
    <w:rsid w:val="2B67049F"/>
    <w:rsid w:val="2B7E174D"/>
    <w:rsid w:val="2B8E7BE2"/>
    <w:rsid w:val="2BAE3DE1"/>
    <w:rsid w:val="2BC90C1A"/>
    <w:rsid w:val="2BDD46C6"/>
    <w:rsid w:val="2BE55328"/>
    <w:rsid w:val="2BF65788"/>
    <w:rsid w:val="2C071743"/>
    <w:rsid w:val="2C1A6BED"/>
    <w:rsid w:val="2C1F4CDE"/>
    <w:rsid w:val="2C2A1D92"/>
    <w:rsid w:val="2C3A5674"/>
    <w:rsid w:val="2C46720E"/>
    <w:rsid w:val="2C4E7372"/>
    <w:rsid w:val="2C55425C"/>
    <w:rsid w:val="2C581F9E"/>
    <w:rsid w:val="2C5F332D"/>
    <w:rsid w:val="2C610E53"/>
    <w:rsid w:val="2C666469"/>
    <w:rsid w:val="2C6941AB"/>
    <w:rsid w:val="2C7F577D"/>
    <w:rsid w:val="2C83526D"/>
    <w:rsid w:val="2C956D4E"/>
    <w:rsid w:val="2C9D688B"/>
    <w:rsid w:val="2CA62D0A"/>
    <w:rsid w:val="2CA927FA"/>
    <w:rsid w:val="2CB263CC"/>
    <w:rsid w:val="2CB528D4"/>
    <w:rsid w:val="2CBD314C"/>
    <w:rsid w:val="2CC3566A"/>
    <w:rsid w:val="2CCB451E"/>
    <w:rsid w:val="2CD77367"/>
    <w:rsid w:val="2CE12AB9"/>
    <w:rsid w:val="2CE35D0C"/>
    <w:rsid w:val="2CE569D2"/>
    <w:rsid w:val="2CFA64DE"/>
    <w:rsid w:val="2CFC5020"/>
    <w:rsid w:val="2CFC71ED"/>
    <w:rsid w:val="2D083AC7"/>
    <w:rsid w:val="2D151C3D"/>
    <w:rsid w:val="2D1B36F8"/>
    <w:rsid w:val="2D1E4F96"/>
    <w:rsid w:val="2D2C76B3"/>
    <w:rsid w:val="2D4C1B03"/>
    <w:rsid w:val="2D502C75"/>
    <w:rsid w:val="2D5704A8"/>
    <w:rsid w:val="2D5D7FAB"/>
    <w:rsid w:val="2D7C3A6A"/>
    <w:rsid w:val="2D8017AD"/>
    <w:rsid w:val="2D8114F7"/>
    <w:rsid w:val="2D8A262B"/>
    <w:rsid w:val="2D937732"/>
    <w:rsid w:val="2DA059AB"/>
    <w:rsid w:val="2DA82AB1"/>
    <w:rsid w:val="2DAA4A7C"/>
    <w:rsid w:val="2DC07DFB"/>
    <w:rsid w:val="2DC7118A"/>
    <w:rsid w:val="2DD41AF8"/>
    <w:rsid w:val="2DD85145"/>
    <w:rsid w:val="2DDB3F6C"/>
    <w:rsid w:val="2DDC770B"/>
    <w:rsid w:val="2DDF2977"/>
    <w:rsid w:val="2DF109EF"/>
    <w:rsid w:val="2E291E44"/>
    <w:rsid w:val="2E331B0E"/>
    <w:rsid w:val="2E333F9A"/>
    <w:rsid w:val="2E3C2ACD"/>
    <w:rsid w:val="2E3D31FA"/>
    <w:rsid w:val="2E3D769E"/>
    <w:rsid w:val="2E496043"/>
    <w:rsid w:val="2E662DF3"/>
    <w:rsid w:val="2E690493"/>
    <w:rsid w:val="2E8B21B7"/>
    <w:rsid w:val="2E913546"/>
    <w:rsid w:val="2E9372BE"/>
    <w:rsid w:val="2E9848D4"/>
    <w:rsid w:val="2EA72D69"/>
    <w:rsid w:val="2EEB6188"/>
    <w:rsid w:val="2EED2E72"/>
    <w:rsid w:val="2EFC30B5"/>
    <w:rsid w:val="2F01691D"/>
    <w:rsid w:val="2F0D0E1E"/>
    <w:rsid w:val="2F1523C9"/>
    <w:rsid w:val="2F3565C7"/>
    <w:rsid w:val="2F370029"/>
    <w:rsid w:val="2F3B1E2F"/>
    <w:rsid w:val="2F527179"/>
    <w:rsid w:val="2F601896"/>
    <w:rsid w:val="2F7013AD"/>
    <w:rsid w:val="2F723377"/>
    <w:rsid w:val="2F762E67"/>
    <w:rsid w:val="2F82048D"/>
    <w:rsid w:val="2F832EF4"/>
    <w:rsid w:val="2F866E22"/>
    <w:rsid w:val="2F8A246F"/>
    <w:rsid w:val="2F911F50"/>
    <w:rsid w:val="2F9432ED"/>
    <w:rsid w:val="2F9A4B34"/>
    <w:rsid w:val="2F9C6646"/>
    <w:rsid w:val="2FA31D65"/>
    <w:rsid w:val="2FA92298"/>
    <w:rsid w:val="2FB37EDE"/>
    <w:rsid w:val="2FCA4F61"/>
    <w:rsid w:val="2FDD11E5"/>
    <w:rsid w:val="2FE36023"/>
    <w:rsid w:val="2FE37DD1"/>
    <w:rsid w:val="30032221"/>
    <w:rsid w:val="30085A89"/>
    <w:rsid w:val="300D4E4E"/>
    <w:rsid w:val="30112B90"/>
    <w:rsid w:val="3016284F"/>
    <w:rsid w:val="301D32E3"/>
    <w:rsid w:val="301D6ECC"/>
    <w:rsid w:val="30314FE0"/>
    <w:rsid w:val="3035148A"/>
    <w:rsid w:val="30403942"/>
    <w:rsid w:val="306B04F2"/>
    <w:rsid w:val="306C7DC6"/>
    <w:rsid w:val="3082583C"/>
    <w:rsid w:val="308415B4"/>
    <w:rsid w:val="308570DA"/>
    <w:rsid w:val="308C0468"/>
    <w:rsid w:val="3095556F"/>
    <w:rsid w:val="309F697C"/>
    <w:rsid w:val="30B73737"/>
    <w:rsid w:val="30DC13F0"/>
    <w:rsid w:val="30DD0CC4"/>
    <w:rsid w:val="30E414CE"/>
    <w:rsid w:val="30EB33E1"/>
    <w:rsid w:val="30EB73BF"/>
    <w:rsid w:val="30EE2ED1"/>
    <w:rsid w:val="3102072B"/>
    <w:rsid w:val="3115045E"/>
    <w:rsid w:val="3139239E"/>
    <w:rsid w:val="31493966"/>
    <w:rsid w:val="314F1BC2"/>
    <w:rsid w:val="3166233E"/>
    <w:rsid w:val="31662A68"/>
    <w:rsid w:val="316C7418"/>
    <w:rsid w:val="317258B0"/>
    <w:rsid w:val="3172765E"/>
    <w:rsid w:val="31773363"/>
    <w:rsid w:val="318B0720"/>
    <w:rsid w:val="318F0210"/>
    <w:rsid w:val="31905D36"/>
    <w:rsid w:val="31945827"/>
    <w:rsid w:val="31AA504A"/>
    <w:rsid w:val="31C51E84"/>
    <w:rsid w:val="31C536A1"/>
    <w:rsid w:val="31D10829"/>
    <w:rsid w:val="31D420C7"/>
    <w:rsid w:val="31E85B72"/>
    <w:rsid w:val="320209E2"/>
    <w:rsid w:val="320E382B"/>
    <w:rsid w:val="32144BB9"/>
    <w:rsid w:val="321D3148"/>
    <w:rsid w:val="321D3A6E"/>
    <w:rsid w:val="32256370"/>
    <w:rsid w:val="322841C1"/>
    <w:rsid w:val="322946C9"/>
    <w:rsid w:val="323A4620"/>
    <w:rsid w:val="32476D3D"/>
    <w:rsid w:val="32494863"/>
    <w:rsid w:val="325154C6"/>
    <w:rsid w:val="325167F3"/>
    <w:rsid w:val="32601BAD"/>
    <w:rsid w:val="3261657A"/>
    <w:rsid w:val="326E45B6"/>
    <w:rsid w:val="327318E0"/>
    <w:rsid w:val="3273368E"/>
    <w:rsid w:val="32807B59"/>
    <w:rsid w:val="32863FA2"/>
    <w:rsid w:val="32867865"/>
    <w:rsid w:val="328D70FE"/>
    <w:rsid w:val="328E2276"/>
    <w:rsid w:val="329D070B"/>
    <w:rsid w:val="32A01856"/>
    <w:rsid w:val="32A970B0"/>
    <w:rsid w:val="32AC6BA0"/>
    <w:rsid w:val="32AF737A"/>
    <w:rsid w:val="32BA12BD"/>
    <w:rsid w:val="32BF4B25"/>
    <w:rsid w:val="32D3237F"/>
    <w:rsid w:val="32E0684A"/>
    <w:rsid w:val="32EB1476"/>
    <w:rsid w:val="32F01183"/>
    <w:rsid w:val="32F742BF"/>
    <w:rsid w:val="331F55C4"/>
    <w:rsid w:val="332B3F69"/>
    <w:rsid w:val="332D7CE1"/>
    <w:rsid w:val="33323549"/>
    <w:rsid w:val="33386686"/>
    <w:rsid w:val="333A23FE"/>
    <w:rsid w:val="333A7FDD"/>
    <w:rsid w:val="3347563A"/>
    <w:rsid w:val="33490893"/>
    <w:rsid w:val="336166D0"/>
    <w:rsid w:val="336B6A5B"/>
    <w:rsid w:val="336D632F"/>
    <w:rsid w:val="336F51AA"/>
    <w:rsid w:val="33723946"/>
    <w:rsid w:val="33796AAA"/>
    <w:rsid w:val="3380537B"/>
    <w:rsid w:val="33884F17"/>
    <w:rsid w:val="338F44F8"/>
    <w:rsid w:val="33AA7583"/>
    <w:rsid w:val="33AB32FB"/>
    <w:rsid w:val="33AD497E"/>
    <w:rsid w:val="33AE5828"/>
    <w:rsid w:val="33B65F28"/>
    <w:rsid w:val="33CA19D4"/>
    <w:rsid w:val="33D97E69"/>
    <w:rsid w:val="33E505BB"/>
    <w:rsid w:val="33E800AC"/>
    <w:rsid w:val="33F95E15"/>
    <w:rsid w:val="33FC5905"/>
    <w:rsid w:val="340F3C54"/>
    <w:rsid w:val="34207846"/>
    <w:rsid w:val="34272982"/>
    <w:rsid w:val="342A4220"/>
    <w:rsid w:val="343C6BCD"/>
    <w:rsid w:val="344057F2"/>
    <w:rsid w:val="344C063B"/>
    <w:rsid w:val="344E43B3"/>
    <w:rsid w:val="345B087E"/>
    <w:rsid w:val="345B6AD0"/>
    <w:rsid w:val="345E211C"/>
    <w:rsid w:val="346314E0"/>
    <w:rsid w:val="34665CC0"/>
    <w:rsid w:val="347F27BE"/>
    <w:rsid w:val="3481258B"/>
    <w:rsid w:val="34853B4C"/>
    <w:rsid w:val="348754DB"/>
    <w:rsid w:val="34967B08"/>
    <w:rsid w:val="34A277E4"/>
    <w:rsid w:val="34A42225"/>
    <w:rsid w:val="34A73AC3"/>
    <w:rsid w:val="34A83397"/>
    <w:rsid w:val="34AB66CA"/>
    <w:rsid w:val="34AD27B0"/>
    <w:rsid w:val="34BB131C"/>
    <w:rsid w:val="34E70363"/>
    <w:rsid w:val="34EC597A"/>
    <w:rsid w:val="34F8431E"/>
    <w:rsid w:val="350E58F0"/>
    <w:rsid w:val="351C625F"/>
    <w:rsid w:val="351D5B33"/>
    <w:rsid w:val="35307B25"/>
    <w:rsid w:val="3538296D"/>
    <w:rsid w:val="35494B7A"/>
    <w:rsid w:val="355A6D87"/>
    <w:rsid w:val="355A7D5E"/>
    <w:rsid w:val="355C762B"/>
    <w:rsid w:val="355F439E"/>
    <w:rsid w:val="35727A6C"/>
    <w:rsid w:val="35777939"/>
    <w:rsid w:val="357C4F4F"/>
    <w:rsid w:val="357D65D2"/>
    <w:rsid w:val="35947CC9"/>
    <w:rsid w:val="35AB75E3"/>
    <w:rsid w:val="35AF70D3"/>
    <w:rsid w:val="35B77D36"/>
    <w:rsid w:val="35BA15D4"/>
    <w:rsid w:val="35BE7316"/>
    <w:rsid w:val="35CB1A33"/>
    <w:rsid w:val="35D2691D"/>
    <w:rsid w:val="35D5640E"/>
    <w:rsid w:val="35DF103A"/>
    <w:rsid w:val="35E13004"/>
    <w:rsid w:val="36015455"/>
    <w:rsid w:val="360D5FB1"/>
    <w:rsid w:val="36107446"/>
    <w:rsid w:val="361A7607"/>
    <w:rsid w:val="363D5FAB"/>
    <w:rsid w:val="36401AD9"/>
    <w:rsid w:val="3653143D"/>
    <w:rsid w:val="365D08DD"/>
    <w:rsid w:val="36600FDE"/>
    <w:rsid w:val="3668693C"/>
    <w:rsid w:val="366B28CE"/>
    <w:rsid w:val="367774C5"/>
    <w:rsid w:val="36783969"/>
    <w:rsid w:val="367D2D2D"/>
    <w:rsid w:val="368F0CB2"/>
    <w:rsid w:val="36985DB9"/>
    <w:rsid w:val="36A75FFC"/>
    <w:rsid w:val="36B81FB7"/>
    <w:rsid w:val="36BD75CE"/>
    <w:rsid w:val="36C97D20"/>
    <w:rsid w:val="36CF7301"/>
    <w:rsid w:val="36D4611F"/>
    <w:rsid w:val="36E92ED5"/>
    <w:rsid w:val="36EB02F2"/>
    <w:rsid w:val="36F34D9D"/>
    <w:rsid w:val="36F449AD"/>
    <w:rsid w:val="36FF7BE6"/>
    <w:rsid w:val="37124C01"/>
    <w:rsid w:val="3727713D"/>
    <w:rsid w:val="37353608"/>
    <w:rsid w:val="37361CB0"/>
    <w:rsid w:val="37392328"/>
    <w:rsid w:val="37403D5B"/>
    <w:rsid w:val="3748158D"/>
    <w:rsid w:val="37500442"/>
    <w:rsid w:val="375A306E"/>
    <w:rsid w:val="376161AB"/>
    <w:rsid w:val="37691503"/>
    <w:rsid w:val="376F0A86"/>
    <w:rsid w:val="37732382"/>
    <w:rsid w:val="378E2D18"/>
    <w:rsid w:val="379C71E3"/>
    <w:rsid w:val="37AB5678"/>
    <w:rsid w:val="37AC3523"/>
    <w:rsid w:val="37C30C14"/>
    <w:rsid w:val="37D20E57"/>
    <w:rsid w:val="37D72911"/>
    <w:rsid w:val="37DC1CD5"/>
    <w:rsid w:val="37EA43F2"/>
    <w:rsid w:val="37EB016A"/>
    <w:rsid w:val="37F76B0F"/>
    <w:rsid w:val="37FE1C4C"/>
    <w:rsid w:val="3806191E"/>
    <w:rsid w:val="381B3FF8"/>
    <w:rsid w:val="38334452"/>
    <w:rsid w:val="383438BF"/>
    <w:rsid w:val="383E64EC"/>
    <w:rsid w:val="38417D8A"/>
    <w:rsid w:val="38451629"/>
    <w:rsid w:val="384D4981"/>
    <w:rsid w:val="384E2773"/>
    <w:rsid w:val="38521F98"/>
    <w:rsid w:val="385775AE"/>
    <w:rsid w:val="385E26EA"/>
    <w:rsid w:val="386D0B7F"/>
    <w:rsid w:val="386D5023"/>
    <w:rsid w:val="386F66A6"/>
    <w:rsid w:val="38767A34"/>
    <w:rsid w:val="38803573"/>
    <w:rsid w:val="38837F54"/>
    <w:rsid w:val="38997BC6"/>
    <w:rsid w:val="38A231E5"/>
    <w:rsid w:val="38C033A5"/>
    <w:rsid w:val="38D17360"/>
    <w:rsid w:val="38D66725"/>
    <w:rsid w:val="38E2331B"/>
    <w:rsid w:val="38EA0422"/>
    <w:rsid w:val="38F372D7"/>
    <w:rsid w:val="38F60B75"/>
    <w:rsid w:val="390E5784"/>
    <w:rsid w:val="391B4A7F"/>
    <w:rsid w:val="391F631E"/>
    <w:rsid w:val="39332945"/>
    <w:rsid w:val="39396CB4"/>
    <w:rsid w:val="39397948"/>
    <w:rsid w:val="395D0BF4"/>
    <w:rsid w:val="395E1EC2"/>
    <w:rsid w:val="39697599"/>
    <w:rsid w:val="396B3311"/>
    <w:rsid w:val="396B6162"/>
    <w:rsid w:val="397321C6"/>
    <w:rsid w:val="398D772B"/>
    <w:rsid w:val="399A1E48"/>
    <w:rsid w:val="39A44657"/>
    <w:rsid w:val="39A763EE"/>
    <w:rsid w:val="39CB2002"/>
    <w:rsid w:val="39CE1E5B"/>
    <w:rsid w:val="39E8540B"/>
    <w:rsid w:val="39F72FC6"/>
    <w:rsid w:val="39FC665F"/>
    <w:rsid w:val="3A12378C"/>
    <w:rsid w:val="3A145757"/>
    <w:rsid w:val="3A1A0893"/>
    <w:rsid w:val="3A30455A"/>
    <w:rsid w:val="3A345DF9"/>
    <w:rsid w:val="3A35391F"/>
    <w:rsid w:val="3A4A73CA"/>
    <w:rsid w:val="3A52627F"/>
    <w:rsid w:val="3A536C61"/>
    <w:rsid w:val="3A742E04"/>
    <w:rsid w:val="3A744447"/>
    <w:rsid w:val="3A81230B"/>
    <w:rsid w:val="3A8A5A19"/>
    <w:rsid w:val="3A916ECC"/>
    <w:rsid w:val="3A9E14C4"/>
    <w:rsid w:val="3AA0348E"/>
    <w:rsid w:val="3AA641C2"/>
    <w:rsid w:val="3AA840F1"/>
    <w:rsid w:val="3AB26D1E"/>
    <w:rsid w:val="3AC54E4D"/>
    <w:rsid w:val="3AD65437"/>
    <w:rsid w:val="3AE72E6B"/>
    <w:rsid w:val="3AEC222F"/>
    <w:rsid w:val="3AF10759"/>
    <w:rsid w:val="3B055AD4"/>
    <w:rsid w:val="3B0F23C2"/>
    <w:rsid w:val="3B225C51"/>
    <w:rsid w:val="3B2C2F74"/>
    <w:rsid w:val="3B337E5E"/>
    <w:rsid w:val="3B340AE1"/>
    <w:rsid w:val="3B381919"/>
    <w:rsid w:val="3B3B31B7"/>
    <w:rsid w:val="3B471B5C"/>
    <w:rsid w:val="3B540F72"/>
    <w:rsid w:val="3B561D9F"/>
    <w:rsid w:val="3B5B1163"/>
    <w:rsid w:val="3B8237EF"/>
    <w:rsid w:val="3B893F22"/>
    <w:rsid w:val="3B9A1C8B"/>
    <w:rsid w:val="3B9F00B0"/>
    <w:rsid w:val="3BD86C58"/>
    <w:rsid w:val="3BDB4052"/>
    <w:rsid w:val="3BE178BA"/>
    <w:rsid w:val="3BF06CDE"/>
    <w:rsid w:val="3BF3370C"/>
    <w:rsid w:val="3C1873F5"/>
    <w:rsid w:val="3C224295"/>
    <w:rsid w:val="3C464201"/>
    <w:rsid w:val="3C667DC0"/>
    <w:rsid w:val="3C6E4EC6"/>
    <w:rsid w:val="3C7626F9"/>
    <w:rsid w:val="3C7B7D0F"/>
    <w:rsid w:val="3C7C3A87"/>
    <w:rsid w:val="3C8F37BA"/>
    <w:rsid w:val="3C917532"/>
    <w:rsid w:val="3C926E07"/>
    <w:rsid w:val="3CA97EC6"/>
    <w:rsid w:val="3CAA05F4"/>
    <w:rsid w:val="3CCB2319"/>
    <w:rsid w:val="3CD411CD"/>
    <w:rsid w:val="3CD76F0F"/>
    <w:rsid w:val="3CE138EA"/>
    <w:rsid w:val="3D0C0967"/>
    <w:rsid w:val="3D141F11"/>
    <w:rsid w:val="3D1E68EC"/>
    <w:rsid w:val="3D2008B6"/>
    <w:rsid w:val="3D272681"/>
    <w:rsid w:val="3D2959BD"/>
    <w:rsid w:val="3D31661F"/>
    <w:rsid w:val="3D393726"/>
    <w:rsid w:val="3D40695F"/>
    <w:rsid w:val="3D4501F5"/>
    <w:rsid w:val="3D5440BC"/>
    <w:rsid w:val="3D6214FA"/>
    <w:rsid w:val="3D6267D9"/>
    <w:rsid w:val="3D6D517E"/>
    <w:rsid w:val="3D6F7148"/>
    <w:rsid w:val="3D7309E6"/>
    <w:rsid w:val="3D7B3D3F"/>
    <w:rsid w:val="3D7B789B"/>
    <w:rsid w:val="3D8250CD"/>
    <w:rsid w:val="3D8F4E37"/>
    <w:rsid w:val="3D9F7A2D"/>
    <w:rsid w:val="3DA2751D"/>
    <w:rsid w:val="3DA46DF1"/>
    <w:rsid w:val="3DA54918"/>
    <w:rsid w:val="3DB66B25"/>
    <w:rsid w:val="3DC47494"/>
    <w:rsid w:val="3DD60F75"/>
    <w:rsid w:val="3DDF3BF3"/>
    <w:rsid w:val="3DED69EA"/>
    <w:rsid w:val="3DED76AF"/>
    <w:rsid w:val="3DFD29A6"/>
    <w:rsid w:val="3E03620E"/>
    <w:rsid w:val="3E09759C"/>
    <w:rsid w:val="3E133F77"/>
    <w:rsid w:val="3E1C1B38"/>
    <w:rsid w:val="3E210442"/>
    <w:rsid w:val="3E3363C7"/>
    <w:rsid w:val="3E3C34CE"/>
    <w:rsid w:val="3E43589F"/>
    <w:rsid w:val="3E444130"/>
    <w:rsid w:val="3E457417"/>
    <w:rsid w:val="3E497999"/>
    <w:rsid w:val="3E52684D"/>
    <w:rsid w:val="3E612F34"/>
    <w:rsid w:val="3E686071"/>
    <w:rsid w:val="3E824E47"/>
    <w:rsid w:val="3E952BDE"/>
    <w:rsid w:val="3EB65C36"/>
    <w:rsid w:val="3EBC3B56"/>
    <w:rsid w:val="3EBC63BD"/>
    <w:rsid w:val="3EC916D1"/>
    <w:rsid w:val="3ED71449"/>
    <w:rsid w:val="3EE52689"/>
    <w:rsid w:val="3EE7007F"/>
    <w:rsid w:val="3EE85404"/>
    <w:rsid w:val="3F0062A9"/>
    <w:rsid w:val="3F1104B7"/>
    <w:rsid w:val="3F1375D9"/>
    <w:rsid w:val="3F253F62"/>
    <w:rsid w:val="3F281CA4"/>
    <w:rsid w:val="3F29718A"/>
    <w:rsid w:val="3F2A5A1C"/>
    <w:rsid w:val="3F2F3033"/>
    <w:rsid w:val="3F4563B2"/>
    <w:rsid w:val="3F4E1470"/>
    <w:rsid w:val="3F514D57"/>
    <w:rsid w:val="3F626F64"/>
    <w:rsid w:val="3F666DF4"/>
    <w:rsid w:val="3F7722E4"/>
    <w:rsid w:val="3F7B0026"/>
    <w:rsid w:val="3F7D5B4C"/>
    <w:rsid w:val="3F9335C1"/>
    <w:rsid w:val="3F9B5FD2"/>
    <w:rsid w:val="3FAA26B9"/>
    <w:rsid w:val="3FB84DD6"/>
    <w:rsid w:val="3FCC0881"/>
    <w:rsid w:val="3FD15F2F"/>
    <w:rsid w:val="3FE21D0E"/>
    <w:rsid w:val="3FEB6F5A"/>
    <w:rsid w:val="3FEC4A80"/>
    <w:rsid w:val="400B75FC"/>
    <w:rsid w:val="40104C12"/>
    <w:rsid w:val="4013200C"/>
    <w:rsid w:val="401A339B"/>
    <w:rsid w:val="40215527"/>
    <w:rsid w:val="402266F3"/>
    <w:rsid w:val="402E5098"/>
    <w:rsid w:val="403A1C8F"/>
    <w:rsid w:val="40520D87"/>
    <w:rsid w:val="40534AFF"/>
    <w:rsid w:val="406330B9"/>
    <w:rsid w:val="407E7DCE"/>
    <w:rsid w:val="408D0011"/>
    <w:rsid w:val="40907B01"/>
    <w:rsid w:val="40AC74CD"/>
    <w:rsid w:val="40B25CC9"/>
    <w:rsid w:val="40B732E0"/>
    <w:rsid w:val="40BC08F6"/>
    <w:rsid w:val="40D073B6"/>
    <w:rsid w:val="40D51BC6"/>
    <w:rsid w:val="40DC68A2"/>
    <w:rsid w:val="40E439A9"/>
    <w:rsid w:val="40F260C6"/>
    <w:rsid w:val="40F97454"/>
    <w:rsid w:val="40FB4B2A"/>
    <w:rsid w:val="410A1661"/>
    <w:rsid w:val="410A78B3"/>
    <w:rsid w:val="41484BD9"/>
    <w:rsid w:val="414C3A28"/>
    <w:rsid w:val="414F176A"/>
    <w:rsid w:val="414F3518"/>
    <w:rsid w:val="415424C4"/>
    <w:rsid w:val="41566BC5"/>
    <w:rsid w:val="417F0B3D"/>
    <w:rsid w:val="41807B75"/>
    <w:rsid w:val="41870F04"/>
    <w:rsid w:val="41895373"/>
    <w:rsid w:val="41970A1B"/>
    <w:rsid w:val="419D5C78"/>
    <w:rsid w:val="41AC280F"/>
    <w:rsid w:val="41AE46E3"/>
    <w:rsid w:val="41B45A71"/>
    <w:rsid w:val="41BC157F"/>
    <w:rsid w:val="41C932CA"/>
    <w:rsid w:val="41D35EF7"/>
    <w:rsid w:val="41D67795"/>
    <w:rsid w:val="41DB2FFE"/>
    <w:rsid w:val="41DD28D2"/>
    <w:rsid w:val="41EC520B"/>
    <w:rsid w:val="41F8595E"/>
    <w:rsid w:val="420A5691"/>
    <w:rsid w:val="420C765B"/>
    <w:rsid w:val="4212359F"/>
    <w:rsid w:val="42140B1B"/>
    <w:rsid w:val="42206C63"/>
    <w:rsid w:val="422E5823"/>
    <w:rsid w:val="42446DF5"/>
    <w:rsid w:val="424566C9"/>
    <w:rsid w:val="42533248"/>
    <w:rsid w:val="42613503"/>
    <w:rsid w:val="42641D82"/>
    <w:rsid w:val="42764AD5"/>
    <w:rsid w:val="42786A9F"/>
    <w:rsid w:val="427A2817"/>
    <w:rsid w:val="427A45C5"/>
    <w:rsid w:val="4283791D"/>
    <w:rsid w:val="428471F1"/>
    <w:rsid w:val="42A6360C"/>
    <w:rsid w:val="42C13FA2"/>
    <w:rsid w:val="42CD0B98"/>
    <w:rsid w:val="42CE22CA"/>
    <w:rsid w:val="42D86687"/>
    <w:rsid w:val="42E45EE2"/>
    <w:rsid w:val="42E47C90"/>
    <w:rsid w:val="4309651F"/>
    <w:rsid w:val="430F2F5F"/>
    <w:rsid w:val="43122A4F"/>
    <w:rsid w:val="431F6F1A"/>
    <w:rsid w:val="43282273"/>
    <w:rsid w:val="432B1D63"/>
    <w:rsid w:val="432D1637"/>
    <w:rsid w:val="43362BE2"/>
    <w:rsid w:val="43394480"/>
    <w:rsid w:val="433C5D1E"/>
    <w:rsid w:val="43454BD3"/>
    <w:rsid w:val="434C41B3"/>
    <w:rsid w:val="435E7A42"/>
    <w:rsid w:val="43686B13"/>
    <w:rsid w:val="437159C8"/>
    <w:rsid w:val="437A3377"/>
    <w:rsid w:val="437C611B"/>
    <w:rsid w:val="437E00E5"/>
    <w:rsid w:val="437E1E93"/>
    <w:rsid w:val="43802C29"/>
    <w:rsid w:val="43827BD5"/>
    <w:rsid w:val="438E54D9"/>
    <w:rsid w:val="4391606A"/>
    <w:rsid w:val="43972F54"/>
    <w:rsid w:val="43CF6B92"/>
    <w:rsid w:val="43E05437"/>
    <w:rsid w:val="43EA7528"/>
    <w:rsid w:val="43ED0DC6"/>
    <w:rsid w:val="43EE7018"/>
    <w:rsid w:val="43F403A7"/>
    <w:rsid w:val="43F8414A"/>
    <w:rsid w:val="44054362"/>
    <w:rsid w:val="44056110"/>
    <w:rsid w:val="440E3217"/>
    <w:rsid w:val="4413082D"/>
    <w:rsid w:val="441C0732"/>
    <w:rsid w:val="4436276D"/>
    <w:rsid w:val="444A7FC7"/>
    <w:rsid w:val="4450382F"/>
    <w:rsid w:val="44617EC6"/>
    <w:rsid w:val="44632243"/>
    <w:rsid w:val="44675C20"/>
    <w:rsid w:val="44782D86"/>
    <w:rsid w:val="447A7A73"/>
    <w:rsid w:val="44B30262"/>
    <w:rsid w:val="44BD4C3D"/>
    <w:rsid w:val="44C63AF1"/>
    <w:rsid w:val="44C91833"/>
    <w:rsid w:val="44ED5522"/>
    <w:rsid w:val="44F0605E"/>
    <w:rsid w:val="44FC5765"/>
    <w:rsid w:val="44FC7513"/>
    <w:rsid w:val="44FD08AC"/>
    <w:rsid w:val="45091C30"/>
    <w:rsid w:val="450B3BFA"/>
    <w:rsid w:val="450D7972"/>
    <w:rsid w:val="451A208F"/>
    <w:rsid w:val="451C5E07"/>
    <w:rsid w:val="451E56DB"/>
    <w:rsid w:val="45390767"/>
    <w:rsid w:val="45462E84"/>
    <w:rsid w:val="454964D0"/>
    <w:rsid w:val="456926CF"/>
    <w:rsid w:val="45723C79"/>
    <w:rsid w:val="4577080F"/>
    <w:rsid w:val="4577128F"/>
    <w:rsid w:val="457B2B2E"/>
    <w:rsid w:val="45837C34"/>
    <w:rsid w:val="4590186D"/>
    <w:rsid w:val="45A57BAB"/>
    <w:rsid w:val="45A64168"/>
    <w:rsid w:val="45BD3146"/>
    <w:rsid w:val="45C51FFB"/>
    <w:rsid w:val="45C81AEB"/>
    <w:rsid w:val="45C95781"/>
    <w:rsid w:val="45D67D64"/>
    <w:rsid w:val="45D767B6"/>
    <w:rsid w:val="45DE4E6B"/>
    <w:rsid w:val="45E52314"/>
    <w:rsid w:val="45E76415"/>
    <w:rsid w:val="45E85CE9"/>
    <w:rsid w:val="45EA380F"/>
    <w:rsid w:val="45EA7CB3"/>
    <w:rsid w:val="46004DE1"/>
    <w:rsid w:val="46080139"/>
    <w:rsid w:val="460F14C8"/>
    <w:rsid w:val="46116FEE"/>
    <w:rsid w:val="46236D21"/>
    <w:rsid w:val="46250CEB"/>
    <w:rsid w:val="462E7BA0"/>
    <w:rsid w:val="46333408"/>
    <w:rsid w:val="464A148D"/>
    <w:rsid w:val="464C4152"/>
    <w:rsid w:val="464E0242"/>
    <w:rsid w:val="465B470D"/>
    <w:rsid w:val="466435C2"/>
    <w:rsid w:val="46685488"/>
    <w:rsid w:val="466E2692"/>
    <w:rsid w:val="46772127"/>
    <w:rsid w:val="467D28D5"/>
    <w:rsid w:val="468466CA"/>
    <w:rsid w:val="469043B7"/>
    <w:rsid w:val="46935C55"/>
    <w:rsid w:val="46A14816"/>
    <w:rsid w:val="46A2233C"/>
    <w:rsid w:val="46B3312C"/>
    <w:rsid w:val="46B5206F"/>
    <w:rsid w:val="46DF70EC"/>
    <w:rsid w:val="46E86B4F"/>
    <w:rsid w:val="46EA4ADA"/>
    <w:rsid w:val="46F012F9"/>
    <w:rsid w:val="46F25071"/>
    <w:rsid w:val="46F81F5C"/>
    <w:rsid w:val="46FC37FA"/>
    <w:rsid w:val="4707219F"/>
    <w:rsid w:val="470B6133"/>
    <w:rsid w:val="470E5B90"/>
    <w:rsid w:val="471548BC"/>
    <w:rsid w:val="471825FE"/>
    <w:rsid w:val="471A0124"/>
    <w:rsid w:val="471A1ED2"/>
    <w:rsid w:val="471F398D"/>
    <w:rsid w:val="472471F5"/>
    <w:rsid w:val="47266AC9"/>
    <w:rsid w:val="472965B9"/>
    <w:rsid w:val="473D3E13"/>
    <w:rsid w:val="4740402F"/>
    <w:rsid w:val="47411B55"/>
    <w:rsid w:val="47414A75"/>
    <w:rsid w:val="474E2445"/>
    <w:rsid w:val="47637D1D"/>
    <w:rsid w:val="47646C1E"/>
    <w:rsid w:val="47655843"/>
    <w:rsid w:val="476A1887"/>
    <w:rsid w:val="477912EF"/>
    <w:rsid w:val="477F442B"/>
    <w:rsid w:val="47890808"/>
    <w:rsid w:val="47971775"/>
    <w:rsid w:val="47A508CD"/>
    <w:rsid w:val="47AD71EA"/>
    <w:rsid w:val="47B02834"/>
    <w:rsid w:val="47BE31A6"/>
    <w:rsid w:val="47CC58C3"/>
    <w:rsid w:val="47D81290"/>
    <w:rsid w:val="47D97FDF"/>
    <w:rsid w:val="47F60B91"/>
    <w:rsid w:val="47FB7F56"/>
    <w:rsid w:val="480E2235"/>
    <w:rsid w:val="4823125B"/>
    <w:rsid w:val="48233009"/>
    <w:rsid w:val="48362D3C"/>
    <w:rsid w:val="48384D06"/>
    <w:rsid w:val="483B47F6"/>
    <w:rsid w:val="48457423"/>
    <w:rsid w:val="4847319B"/>
    <w:rsid w:val="48557A9E"/>
    <w:rsid w:val="485B27A2"/>
    <w:rsid w:val="486C2C02"/>
    <w:rsid w:val="48735ED6"/>
    <w:rsid w:val="4883440E"/>
    <w:rsid w:val="48867F4E"/>
    <w:rsid w:val="48896395"/>
    <w:rsid w:val="488A0E4E"/>
    <w:rsid w:val="4893018E"/>
    <w:rsid w:val="489839F7"/>
    <w:rsid w:val="48A923DA"/>
    <w:rsid w:val="48AD46BE"/>
    <w:rsid w:val="48BD16AF"/>
    <w:rsid w:val="48C20A74"/>
    <w:rsid w:val="48C447EC"/>
    <w:rsid w:val="48C90054"/>
    <w:rsid w:val="48EB7FCA"/>
    <w:rsid w:val="48F52BF7"/>
    <w:rsid w:val="48FC3F85"/>
    <w:rsid w:val="490B41C9"/>
    <w:rsid w:val="492B6619"/>
    <w:rsid w:val="49382AE4"/>
    <w:rsid w:val="493F12AE"/>
    <w:rsid w:val="494B6CBB"/>
    <w:rsid w:val="49521720"/>
    <w:rsid w:val="49583186"/>
    <w:rsid w:val="495E079C"/>
    <w:rsid w:val="496833C9"/>
    <w:rsid w:val="496A379E"/>
    <w:rsid w:val="4977185E"/>
    <w:rsid w:val="497D499A"/>
    <w:rsid w:val="49891591"/>
    <w:rsid w:val="498B70B7"/>
    <w:rsid w:val="49975A5C"/>
    <w:rsid w:val="49A07007"/>
    <w:rsid w:val="49F7474D"/>
    <w:rsid w:val="49F877DC"/>
    <w:rsid w:val="49F96717"/>
    <w:rsid w:val="49FE6148"/>
    <w:rsid w:val="4A1452FF"/>
    <w:rsid w:val="4A235542"/>
    <w:rsid w:val="4A253068"/>
    <w:rsid w:val="4A275032"/>
    <w:rsid w:val="4A280DAA"/>
    <w:rsid w:val="4A2C2648"/>
    <w:rsid w:val="4A6873F9"/>
    <w:rsid w:val="4A8C758B"/>
    <w:rsid w:val="4A906FE0"/>
    <w:rsid w:val="4A943F16"/>
    <w:rsid w:val="4A9455FE"/>
    <w:rsid w:val="4A9D52F4"/>
    <w:rsid w:val="4AA12F45"/>
    <w:rsid w:val="4AAC3789"/>
    <w:rsid w:val="4AAE5753"/>
    <w:rsid w:val="4AB34B18"/>
    <w:rsid w:val="4AB368C6"/>
    <w:rsid w:val="4AB83EDC"/>
    <w:rsid w:val="4ABB39CC"/>
    <w:rsid w:val="4AD131F0"/>
    <w:rsid w:val="4ADD7DE7"/>
    <w:rsid w:val="4AE44CD1"/>
    <w:rsid w:val="4AFF3FD7"/>
    <w:rsid w:val="4B076C12"/>
    <w:rsid w:val="4B1F21AD"/>
    <w:rsid w:val="4B201A81"/>
    <w:rsid w:val="4B2C48CA"/>
    <w:rsid w:val="4B3D2633"/>
    <w:rsid w:val="4B3D6AD7"/>
    <w:rsid w:val="4B4B6AFE"/>
    <w:rsid w:val="4B6202EC"/>
    <w:rsid w:val="4B6D2F19"/>
    <w:rsid w:val="4B72416B"/>
    <w:rsid w:val="4B7324F9"/>
    <w:rsid w:val="4B7E5126"/>
    <w:rsid w:val="4B8F7244"/>
    <w:rsid w:val="4B9A3344"/>
    <w:rsid w:val="4BA0252A"/>
    <w:rsid w:val="4BA6467C"/>
    <w:rsid w:val="4BAC677A"/>
    <w:rsid w:val="4BB74194"/>
    <w:rsid w:val="4BC15012"/>
    <w:rsid w:val="4BD4010B"/>
    <w:rsid w:val="4BF03B4A"/>
    <w:rsid w:val="4C0B44E0"/>
    <w:rsid w:val="4C15535E"/>
    <w:rsid w:val="4C1C3367"/>
    <w:rsid w:val="4C207F8B"/>
    <w:rsid w:val="4C211F55"/>
    <w:rsid w:val="4C213D03"/>
    <w:rsid w:val="4C2A1CB9"/>
    <w:rsid w:val="4C2A2BB8"/>
    <w:rsid w:val="4C2A705C"/>
    <w:rsid w:val="4C2D26A8"/>
    <w:rsid w:val="4C3C52B8"/>
    <w:rsid w:val="4C433C79"/>
    <w:rsid w:val="4C4D2D4A"/>
    <w:rsid w:val="4C602A7D"/>
    <w:rsid w:val="4C681932"/>
    <w:rsid w:val="4C7107E7"/>
    <w:rsid w:val="4C7B78B7"/>
    <w:rsid w:val="4C7E2895"/>
    <w:rsid w:val="4C8229F4"/>
    <w:rsid w:val="4C871DB8"/>
    <w:rsid w:val="4C8A7AFA"/>
    <w:rsid w:val="4C9269AF"/>
    <w:rsid w:val="4CAB229B"/>
    <w:rsid w:val="4CAC1C2F"/>
    <w:rsid w:val="4CB44B77"/>
    <w:rsid w:val="4CD174D7"/>
    <w:rsid w:val="4CDD7C2A"/>
    <w:rsid w:val="4CE30FB8"/>
    <w:rsid w:val="4CE87C0B"/>
    <w:rsid w:val="4CF51418"/>
    <w:rsid w:val="4CFF4044"/>
    <w:rsid w:val="4D001B6A"/>
    <w:rsid w:val="4D20220D"/>
    <w:rsid w:val="4D225F85"/>
    <w:rsid w:val="4D292E6F"/>
    <w:rsid w:val="4D2E492A"/>
    <w:rsid w:val="4D3857A8"/>
    <w:rsid w:val="4D3F2693"/>
    <w:rsid w:val="4D5325E2"/>
    <w:rsid w:val="4D5F4AE3"/>
    <w:rsid w:val="4D761E2D"/>
    <w:rsid w:val="4D783DF7"/>
    <w:rsid w:val="4D810EFD"/>
    <w:rsid w:val="4DB27309"/>
    <w:rsid w:val="4DD152D3"/>
    <w:rsid w:val="4DD3102D"/>
    <w:rsid w:val="4DD908F3"/>
    <w:rsid w:val="4DE1199C"/>
    <w:rsid w:val="4DEA36FE"/>
    <w:rsid w:val="4DEB3FAD"/>
    <w:rsid w:val="4DF036EE"/>
    <w:rsid w:val="4DF53699"/>
    <w:rsid w:val="4DF711BF"/>
    <w:rsid w:val="4DFE254E"/>
    <w:rsid w:val="4E031912"/>
    <w:rsid w:val="4E033BBF"/>
    <w:rsid w:val="4E0538DC"/>
    <w:rsid w:val="4E056322"/>
    <w:rsid w:val="4E0D453F"/>
    <w:rsid w:val="4E197388"/>
    <w:rsid w:val="4E2142A9"/>
    <w:rsid w:val="4E3221F7"/>
    <w:rsid w:val="4E3E6DEE"/>
    <w:rsid w:val="4E4F2DA9"/>
    <w:rsid w:val="4E683E6B"/>
    <w:rsid w:val="4E6D76D3"/>
    <w:rsid w:val="4E6F0D56"/>
    <w:rsid w:val="4E86609F"/>
    <w:rsid w:val="4E8F13F8"/>
    <w:rsid w:val="4E922C96"/>
    <w:rsid w:val="4E93713A"/>
    <w:rsid w:val="4E984750"/>
    <w:rsid w:val="4EA01857"/>
    <w:rsid w:val="4EC45545"/>
    <w:rsid w:val="4ECE76B4"/>
    <w:rsid w:val="4ECF5C98"/>
    <w:rsid w:val="4EE449DA"/>
    <w:rsid w:val="4EE47996"/>
    <w:rsid w:val="4EEA0D24"/>
    <w:rsid w:val="4EEC14ED"/>
    <w:rsid w:val="4EEC684A"/>
    <w:rsid w:val="4EF15C0F"/>
    <w:rsid w:val="4EF23735"/>
    <w:rsid w:val="4F0C0C9A"/>
    <w:rsid w:val="4F11005F"/>
    <w:rsid w:val="4F132029"/>
    <w:rsid w:val="4F133DD7"/>
    <w:rsid w:val="4F155DA1"/>
    <w:rsid w:val="4F1B712F"/>
    <w:rsid w:val="4F4F0B87"/>
    <w:rsid w:val="4F7A5C04"/>
    <w:rsid w:val="4F910CFD"/>
    <w:rsid w:val="4F943D47"/>
    <w:rsid w:val="4F974B6F"/>
    <w:rsid w:val="4F975D19"/>
    <w:rsid w:val="4FB10ADA"/>
    <w:rsid w:val="4FB235F0"/>
    <w:rsid w:val="4FB8672C"/>
    <w:rsid w:val="4FC9093A"/>
    <w:rsid w:val="4FD712A8"/>
    <w:rsid w:val="4FF119B2"/>
    <w:rsid w:val="4FF84D7B"/>
    <w:rsid w:val="4FFA0AF3"/>
    <w:rsid w:val="500B0F52"/>
    <w:rsid w:val="500B3467"/>
    <w:rsid w:val="502D711A"/>
    <w:rsid w:val="503009B9"/>
    <w:rsid w:val="50335A76"/>
    <w:rsid w:val="503A5393"/>
    <w:rsid w:val="503C110B"/>
    <w:rsid w:val="50406E4E"/>
    <w:rsid w:val="504306EC"/>
    <w:rsid w:val="50506711"/>
    <w:rsid w:val="50616DC4"/>
    <w:rsid w:val="5071095F"/>
    <w:rsid w:val="507B60D8"/>
    <w:rsid w:val="508807F5"/>
    <w:rsid w:val="50884351"/>
    <w:rsid w:val="50947199"/>
    <w:rsid w:val="50AF18DD"/>
    <w:rsid w:val="50BB0282"/>
    <w:rsid w:val="50BB2978"/>
    <w:rsid w:val="50C01D3C"/>
    <w:rsid w:val="50C51101"/>
    <w:rsid w:val="50CD4459"/>
    <w:rsid w:val="50D852D8"/>
    <w:rsid w:val="50ED0658"/>
    <w:rsid w:val="50F11EF6"/>
    <w:rsid w:val="510B6E43"/>
    <w:rsid w:val="51195AB1"/>
    <w:rsid w:val="511B51C5"/>
    <w:rsid w:val="51295B34"/>
    <w:rsid w:val="5133521A"/>
    <w:rsid w:val="51363DAD"/>
    <w:rsid w:val="514209A3"/>
    <w:rsid w:val="514F2746"/>
    <w:rsid w:val="51516E38"/>
    <w:rsid w:val="515A3F3F"/>
    <w:rsid w:val="5164091A"/>
    <w:rsid w:val="5167665C"/>
    <w:rsid w:val="516A020D"/>
    <w:rsid w:val="5176689F"/>
    <w:rsid w:val="51864D34"/>
    <w:rsid w:val="518D05C9"/>
    <w:rsid w:val="518E1E3B"/>
    <w:rsid w:val="51A21442"/>
    <w:rsid w:val="51A33E68"/>
    <w:rsid w:val="51A946CE"/>
    <w:rsid w:val="51BF7BAC"/>
    <w:rsid w:val="51C413B8"/>
    <w:rsid w:val="51CA45EF"/>
    <w:rsid w:val="51CE0489"/>
    <w:rsid w:val="51D13F3D"/>
    <w:rsid w:val="51DA5080"/>
    <w:rsid w:val="51E47D80"/>
    <w:rsid w:val="51E657D3"/>
    <w:rsid w:val="51E732F9"/>
    <w:rsid w:val="51EE0B2B"/>
    <w:rsid w:val="51F160FB"/>
    <w:rsid w:val="51F21D52"/>
    <w:rsid w:val="52214A5D"/>
    <w:rsid w:val="52263C7E"/>
    <w:rsid w:val="52293911"/>
    <w:rsid w:val="522D3402"/>
    <w:rsid w:val="523A167B"/>
    <w:rsid w:val="523F3135"/>
    <w:rsid w:val="52416EAD"/>
    <w:rsid w:val="524B1ADA"/>
    <w:rsid w:val="524D13AE"/>
    <w:rsid w:val="525210BA"/>
    <w:rsid w:val="525F5585"/>
    <w:rsid w:val="526861E8"/>
    <w:rsid w:val="52770B21"/>
    <w:rsid w:val="527A416D"/>
    <w:rsid w:val="527C7EE5"/>
    <w:rsid w:val="529E3A37"/>
    <w:rsid w:val="529E7E5B"/>
    <w:rsid w:val="52A02732"/>
    <w:rsid w:val="52B0193D"/>
    <w:rsid w:val="52B15DE1"/>
    <w:rsid w:val="52B33145"/>
    <w:rsid w:val="52B458D1"/>
    <w:rsid w:val="52B72CCB"/>
    <w:rsid w:val="52B94C95"/>
    <w:rsid w:val="52C227D3"/>
    <w:rsid w:val="52C92D36"/>
    <w:rsid w:val="52ED2B91"/>
    <w:rsid w:val="52EF06B7"/>
    <w:rsid w:val="52F263F9"/>
    <w:rsid w:val="52F67C97"/>
    <w:rsid w:val="530C74BB"/>
    <w:rsid w:val="530E09B8"/>
    <w:rsid w:val="531078C6"/>
    <w:rsid w:val="532F4F57"/>
    <w:rsid w:val="534357AA"/>
    <w:rsid w:val="53453734"/>
    <w:rsid w:val="5354676C"/>
    <w:rsid w:val="53573E83"/>
    <w:rsid w:val="535B3F9E"/>
    <w:rsid w:val="53600E69"/>
    <w:rsid w:val="53740BBC"/>
    <w:rsid w:val="53894668"/>
    <w:rsid w:val="53A92F5C"/>
    <w:rsid w:val="53A9759F"/>
    <w:rsid w:val="53AB1247"/>
    <w:rsid w:val="53B51901"/>
    <w:rsid w:val="53B536AF"/>
    <w:rsid w:val="53B86CFB"/>
    <w:rsid w:val="53BD1BF0"/>
    <w:rsid w:val="53C03E02"/>
    <w:rsid w:val="53C27B7A"/>
    <w:rsid w:val="53D004E8"/>
    <w:rsid w:val="53D55AFF"/>
    <w:rsid w:val="53DB1AFB"/>
    <w:rsid w:val="53F266B1"/>
    <w:rsid w:val="53F341D7"/>
    <w:rsid w:val="53FE57C8"/>
    <w:rsid w:val="5406215C"/>
    <w:rsid w:val="540B7773"/>
    <w:rsid w:val="541A5C08"/>
    <w:rsid w:val="541C372E"/>
    <w:rsid w:val="541D4F04"/>
    <w:rsid w:val="54364A4A"/>
    <w:rsid w:val="543A1E06"/>
    <w:rsid w:val="54442C85"/>
    <w:rsid w:val="5454111A"/>
    <w:rsid w:val="5470598C"/>
    <w:rsid w:val="547846DC"/>
    <w:rsid w:val="548337AD"/>
    <w:rsid w:val="54905ECA"/>
    <w:rsid w:val="54A13C33"/>
    <w:rsid w:val="54A31759"/>
    <w:rsid w:val="54A51975"/>
    <w:rsid w:val="54A84FC1"/>
    <w:rsid w:val="54B27BEE"/>
    <w:rsid w:val="54B576DE"/>
    <w:rsid w:val="54BB2F47"/>
    <w:rsid w:val="54C332D2"/>
    <w:rsid w:val="54C618EB"/>
    <w:rsid w:val="54C67B93"/>
    <w:rsid w:val="54CF69F2"/>
    <w:rsid w:val="54D264E2"/>
    <w:rsid w:val="54DA5359"/>
    <w:rsid w:val="54E3249D"/>
    <w:rsid w:val="55020B76"/>
    <w:rsid w:val="550B72FE"/>
    <w:rsid w:val="550F6DEF"/>
    <w:rsid w:val="5511450F"/>
    <w:rsid w:val="5511700B"/>
    <w:rsid w:val="551408A9"/>
    <w:rsid w:val="55342CF9"/>
    <w:rsid w:val="55436A98"/>
    <w:rsid w:val="554D5B69"/>
    <w:rsid w:val="554F18E1"/>
    <w:rsid w:val="556233C2"/>
    <w:rsid w:val="55907098"/>
    <w:rsid w:val="55AA2FBB"/>
    <w:rsid w:val="55AC0AE1"/>
    <w:rsid w:val="55AC6AAE"/>
    <w:rsid w:val="55BB6F68"/>
    <w:rsid w:val="55CC4CE0"/>
    <w:rsid w:val="55CD6A42"/>
    <w:rsid w:val="55E0078B"/>
    <w:rsid w:val="55E464CD"/>
    <w:rsid w:val="55F02171"/>
    <w:rsid w:val="55F81F79"/>
    <w:rsid w:val="55FA7A9F"/>
    <w:rsid w:val="55FF6E63"/>
    <w:rsid w:val="561072C2"/>
    <w:rsid w:val="56293EE0"/>
    <w:rsid w:val="562B7C58"/>
    <w:rsid w:val="5637484F"/>
    <w:rsid w:val="563B3C13"/>
    <w:rsid w:val="56462CE4"/>
    <w:rsid w:val="56581ABD"/>
    <w:rsid w:val="56660C90"/>
    <w:rsid w:val="56680EAC"/>
    <w:rsid w:val="566969D2"/>
    <w:rsid w:val="567333AD"/>
    <w:rsid w:val="56786C15"/>
    <w:rsid w:val="567C4958"/>
    <w:rsid w:val="568A7C35"/>
    <w:rsid w:val="56925F29"/>
    <w:rsid w:val="56927CD7"/>
    <w:rsid w:val="56A56296"/>
    <w:rsid w:val="56BE18A8"/>
    <w:rsid w:val="56C1680E"/>
    <w:rsid w:val="56C2499D"/>
    <w:rsid w:val="56C8194B"/>
    <w:rsid w:val="56CE6835"/>
    <w:rsid w:val="56E23ACD"/>
    <w:rsid w:val="56E322E1"/>
    <w:rsid w:val="56EA18C1"/>
    <w:rsid w:val="56F049FE"/>
    <w:rsid w:val="56FB1D20"/>
    <w:rsid w:val="57032983"/>
    <w:rsid w:val="57201787"/>
    <w:rsid w:val="574014E1"/>
    <w:rsid w:val="57405985"/>
    <w:rsid w:val="574C432A"/>
    <w:rsid w:val="574F7976"/>
    <w:rsid w:val="5753390A"/>
    <w:rsid w:val="57541431"/>
    <w:rsid w:val="577D0987"/>
    <w:rsid w:val="578F2469"/>
    <w:rsid w:val="57913D66"/>
    <w:rsid w:val="5798756F"/>
    <w:rsid w:val="57B36157"/>
    <w:rsid w:val="57B91294"/>
    <w:rsid w:val="57BA6A60"/>
    <w:rsid w:val="57F17839"/>
    <w:rsid w:val="580544D9"/>
    <w:rsid w:val="580F5357"/>
    <w:rsid w:val="582114CC"/>
    <w:rsid w:val="58336314"/>
    <w:rsid w:val="584F7E8A"/>
    <w:rsid w:val="5853793A"/>
    <w:rsid w:val="58560DD7"/>
    <w:rsid w:val="586414B1"/>
    <w:rsid w:val="586631C9"/>
    <w:rsid w:val="58693373"/>
    <w:rsid w:val="58727DC0"/>
    <w:rsid w:val="587753D7"/>
    <w:rsid w:val="587A4EC7"/>
    <w:rsid w:val="58825446"/>
    <w:rsid w:val="5884361E"/>
    <w:rsid w:val="58A10ED2"/>
    <w:rsid w:val="58A75349"/>
    <w:rsid w:val="58AE2DC2"/>
    <w:rsid w:val="58CF5213"/>
    <w:rsid w:val="58D2085F"/>
    <w:rsid w:val="58DF2F7C"/>
    <w:rsid w:val="58FA6008"/>
    <w:rsid w:val="5903310E"/>
    <w:rsid w:val="5919023C"/>
    <w:rsid w:val="591C7D2C"/>
    <w:rsid w:val="591E1CF6"/>
    <w:rsid w:val="59284923"/>
    <w:rsid w:val="592F0511"/>
    <w:rsid w:val="59305585"/>
    <w:rsid w:val="594554D5"/>
    <w:rsid w:val="594567F9"/>
    <w:rsid w:val="59494470"/>
    <w:rsid w:val="59562159"/>
    <w:rsid w:val="59617740"/>
    <w:rsid w:val="59617E35"/>
    <w:rsid w:val="5966544B"/>
    <w:rsid w:val="5967369D"/>
    <w:rsid w:val="596C3525"/>
    <w:rsid w:val="596F689D"/>
    <w:rsid w:val="59771406"/>
    <w:rsid w:val="59796F2C"/>
    <w:rsid w:val="59973856"/>
    <w:rsid w:val="59A91F95"/>
    <w:rsid w:val="59B14918"/>
    <w:rsid w:val="59B43BDF"/>
    <w:rsid w:val="59B47F65"/>
    <w:rsid w:val="59BB5797"/>
    <w:rsid w:val="59C26B25"/>
    <w:rsid w:val="59C4289D"/>
    <w:rsid w:val="59DD74BB"/>
    <w:rsid w:val="59F14D15"/>
    <w:rsid w:val="5A0E58C7"/>
    <w:rsid w:val="5A160C1F"/>
    <w:rsid w:val="5A1629CD"/>
    <w:rsid w:val="5A355549"/>
    <w:rsid w:val="5A380B96"/>
    <w:rsid w:val="5A47527D"/>
    <w:rsid w:val="5A502380"/>
    <w:rsid w:val="5A581238"/>
    <w:rsid w:val="5A625C12"/>
    <w:rsid w:val="5A636423"/>
    <w:rsid w:val="5A64198B"/>
    <w:rsid w:val="5A6574B1"/>
    <w:rsid w:val="5A6E2809"/>
    <w:rsid w:val="5A7F7CE6"/>
    <w:rsid w:val="5A89319F"/>
    <w:rsid w:val="5A8D7133"/>
    <w:rsid w:val="5ABC20E0"/>
    <w:rsid w:val="5AC42429"/>
    <w:rsid w:val="5ACE5056"/>
    <w:rsid w:val="5AD84127"/>
    <w:rsid w:val="5ADF330A"/>
    <w:rsid w:val="5AEB3E5A"/>
    <w:rsid w:val="5AF251E8"/>
    <w:rsid w:val="5AF34ABD"/>
    <w:rsid w:val="5AF820D3"/>
    <w:rsid w:val="5B0867BA"/>
    <w:rsid w:val="5B0B0058"/>
    <w:rsid w:val="5B0B1E06"/>
    <w:rsid w:val="5B1C2265"/>
    <w:rsid w:val="5B2B06FA"/>
    <w:rsid w:val="5B2E54FF"/>
    <w:rsid w:val="5B2F1F99"/>
    <w:rsid w:val="5B4067A6"/>
    <w:rsid w:val="5B5A4B3C"/>
    <w:rsid w:val="5B661732"/>
    <w:rsid w:val="5B9B5880"/>
    <w:rsid w:val="5BBB1A7E"/>
    <w:rsid w:val="5BBC1352"/>
    <w:rsid w:val="5BC052E6"/>
    <w:rsid w:val="5BCD355F"/>
    <w:rsid w:val="5BD4669C"/>
    <w:rsid w:val="5BD90156"/>
    <w:rsid w:val="5BDB3ECE"/>
    <w:rsid w:val="5BDE39BF"/>
    <w:rsid w:val="5BED1AD6"/>
    <w:rsid w:val="5BF00249"/>
    <w:rsid w:val="5BFC5BF3"/>
    <w:rsid w:val="5C007491"/>
    <w:rsid w:val="5C0F5926"/>
    <w:rsid w:val="5C237623"/>
    <w:rsid w:val="5C265F6D"/>
    <w:rsid w:val="5C2E1E7B"/>
    <w:rsid w:val="5C390BF5"/>
    <w:rsid w:val="5C3A6E47"/>
    <w:rsid w:val="5C403D31"/>
    <w:rsid w:val="5C4E6567"/>
    <w:rsid w:val="5C732359"/>
    <w:rsid w:val="5C7F0CFE"/>
    <w:rsid w:val="5C8400C2"/>
    <w:rsid w:val="5C861A51"/>
    <w:rsid w:val="5C8A1451"/>
    <w:rsid w:val="5C902F0B"/>
    <w:rsid w:val="5C910A31"/>
    <w:rsid w:val="5C961BA3"/>
    <w:rsid w:val="5CA70254"/>
    <w:rsid w:val="5CA7535F"/>
    <w:rsid w:val="5CAB1AF3"/>
    <w:rsid w:val="5CAB38A1"/>
    <w:rsid w:val="5CAC7619"/>
    <w:rsid w:val="5CC2690B"/>
    <w:rsid w:val="5CD86660"/>
    <w:rsid w:val="5CF8460C"/>
    <w:rsid w:val="5D1C654D"/>
    <w:rsid w:val="5D1E5492"/>
    <w:rsid w:val="5D215911"/>
    <w:rsid w:val="5D2E44D2"/>
    <w:rsid w:val="5D380EAD"/>
    <w:rsid w:val="5D3A4C25"/>
    <w:rsid w:val="5D4B6E32"/>
    <w:rsid w:val="5D4F6922"/>
    <w:rsid w:val="5D5443E2"/>
    <w:rsid w:val="5D656AC5"/>
    <w:rsid w:val="5D69550A"/>
    <w:rsid w:val="5D6E42D7"/>
    <w:rsid w:val="5D700646"/>
    <w:rsid w:val="5D753EAF"/>
    <w:rsid w:val="5D7E0546"/>
    <w:rsid w:val="5D810AA5"/>
    <w:rsid w:val="5D8F4F70"/>
    <w:rsid w:val="5D940199"/>
    <w:rsid w:val="5DBE5856"/>
    <w:rsid w:val="5DE30E18"/>
    <w:rsid w:val="5DE84681"/>
    <w:rsid w:val="5DFD637E"/>
    <w:rsid w:val="5E03770C"/>
    <w:rsid w:val="5E111E29"/>
    <w:rsid w:val="5E1E26DD"/>
    <w:rsid w:val="5E27164D"/>
    <w:rsid w:val="5E2A6A47"/>
    <w:rsid w:val="5E2B65C7"/>
    <w:rsid w:val="5E602469"/>
    <w:rsid w:val="5E60690D"/>
    <w:rsid w:val="5E6302BF"/>
    <w:rsid w:val="5E6C3504"/>
    <w:rsid w:val="5E6D4B86"/>
    <w:rsid w:val="5E6E2DD8"/>
    <w:rsid w:val="5E714676"/>
    <w:rsid w:val="5E7423B8"/>
    <w:rsid w:val="5E754CDD"/>
    <w:rsid w:val="5E8048B9"/>
    <w:rsid w:val="5E873E9A"/>
    <w:rsid w:val="5E8E5BA5"/>
    <w:rsid w:val="5E954808"/>
    <w:rsid w:val="5EA60D4B"/>
    <w:rsid w:val="5EB56C59"/>
    <w:rsid w:val="5EC869CF"/>
    <w:rsid w:val="5ECA144F"/>
    <w:rsid w:val="5EF77271"/>
    <w:rsid w:val="5F011E9E"/>
    <w:rsid w:val="5F0635B9"/>
    <w:rsid w:val="5F13000A"/>
    <w:rsid w:val="5F1C6CD8"/>
    <w:rsid w:val="5F2E07B9"/>
    <w:rsid w:val="5F31137C"/>
    <w:rsid w:val="5F3202A9"/>
    <w:rsid w:val="5F697A43"/>
    <w:rsid w:val="5F6E604F"/>
    <w:rsid w:val="5F7E34EF"/>
    <w:rsid w:val="5F816B3B"/>
    <w:rsid w:val="5F903222"/>
    <w:rsid w:val="5FA10F8B"/>
    <w:rsid w:val="5FAE5456"/>
    <w:rsid w:val="5FBB029F"/>
    <w:rsid w:val="5FC03B07"/>
    <w:rsid w:val="5FC609F2"/>
    <w:rsid w:val="5FCD7FD2"/>
    <w:rsid w:val="5FD02094"/>
    <w:rsid w:val="5FD161CC"/>
    <w:rsid w:val="5FD2383A"/>
    <w:rsid w:val="5FD90725"/>
    <w:rsid w:val="5FF4555F"/>
    <w:rsid w:val="5FF732A1"/>
    <w:rsid w:val="5FF7504F"/>
    <w:rsid w:val="5FFB4B3F"/>
    <w:rsid w:val="60031C46"/>
    <w:rsid w:val="60123C37"/>
    <w:rsid w:val="6017749F"/>
    <w:rsid w:val="60395667"/>
    <w:rsid w:val="603B13E0"/>
    <w:rsid w:val="603B4F3C"/>
    <w:rsid w:val="603C0CB4"/>
    <w:rsid w:val="6045400C"/>
    <w:rsid w:val="60457B68"/>
    <w:rsid w:val="604F6C39"/>
    <w:rsid w:val="60526554"/>
    <w:rsid w:val="605B3830"/>
    <w:rsid w:val="605D3104"/>
    <w:rsid w:val="605E0C2A"/>
    <w:rsid w:val="6062071A"/>
    <w:rsid w:val="60627DEA"/>
    <w:rsid w:val="606A5821"/>
    <w:rsid w:val="607448F1"/>
    <w:rsid w:val="6089214B"/>
    <w:rsid w:val="608A5EC3"/>
    <w:rsid w:val="608A7C71"/>
    <w:rsid w:val="60A17757"/>
    <w:rsid w:val="60A24FBB"/>
    <w:rsid w:val="60AA20C1"/>
    <w:rsid w:val="60AE1BB1"/>
    <w:rsid w:val="60B60853"/>
    <w:rsid w:val="60BC5280"/>
    <w:rsid w:val="60C018E5"/>
    <w:rsid w:val="60D1764E"/>
    <w:rsid w:val="60D3786A"/>
    <w:rsid w:val="60E43825"/>
    <w:rsid w:val="60E5134B"/>
    <w:rsid w:val="60E530F9"/>
    <w:rsid w:val="60E9469A"/>
    <w:rsid w:val="60EC26DA"/>
    <w:rsid w:val="60F13BFD"/>
    <w:rsid w:val="60F33A68"/>
    <w:rsid w:val="60FF41BB"/>
    <w:rsid w:val="61054235"/>
    <w:rsid w:val="6105554A"/>
    <w:rsid w:val="610B2E5A"/>
    <w:rsid w:val="610E08A2"/>
    <w:rsid w:val="610E2650"/>
    <w:rsid w:val="61135EB8"/>
    <w:rsid w:val="61137C66"/>
    <w:rsid w:val="611A7247"/>
    <w:rsid w:val="611E05C9"/>
    <w:rsid w:val="614D13CA"/>
    <w:rsid w:val="615269E1"/>
    <w:rsid w:val="61581B1D"/>
    <w:rsid w:val="61592AB9"/>
    <w:rsid w:val="615D0EE2"/>
    <w:rsid w:val="61691F7C"/>
    <w:rsid w:val="616B7AA3"/>
    <w:rsid w:val="617526CF"/>
    <w:rsid w:val="617C38F8"/>
    <w:rsid w:val="6186668A"/>
    <w:rsid w:val="618D7A19"/>
    <w:rsid w:val="61A158C4"/>
    <w:rsid w:val="61A86601"/>
    <w:rsid w:val="61B03707"/>
    <w:rsid w:val="61B551C2"/>
    <w:rsid w:val="61BE4076"/>
    <w:rsid w:val="61C3168D"/>
    <w:rsid w:val="61C827FF"/>
    <w:rsid w:val="61C93449"/>
    <w:rsid w:val="61D5316E"/>
    <w:rsid w:val="61DA1F93"/>
    <w:rsid w:val="61FB0E26"/>
    <w:rsid w:val="620C3034"/>
    <w:rsid w:val="622444B3"/>
    <w:rsid w:val="62285994"/>
    <w:rsid w:val="62483940"/>
    <w:rsid w:val="625E7607"/>
    <w:rsid w:val="6263077A"/>
    <w:rsid w:val="626F35C2"/>
    <w:rsid w:val="62742987"/>
    <w:rsid w:val="627666FF"/>
    <w:rsid w:val="627B1F67"/>
    <w:rsid w:val="62830E1C"/>
    <w:rsid w:val="62913539"/>
    <w:rsid w:val="62922E0D"/>
    <w:rsid w:val="62944DD7"/>
    <w:rsid w:val="629923ED"/>
    <w:rsid w:val="62AC2121"/>
    <w:rsid w:val="62AF7E63"/>
    <w:rsid w:val="62CD2097"/>
    <w:rsid w:val="62CE460F"/>
    <w:rsid w:val="62D52568"/>
    <w:rsid w:val="62E278F0"/>
    <w:rsid w:val="62E53885"/>
    <w:rsid w:val="62F53AC8"/>
    <w:rsid w:val="62F92E8C"/>
    <w:rsid w:val="630755A9"/>
    <w:rsid w:val="630E4B89"/>
    <w:rsid w:val="630F2669"/>
    <w:rsid w:val="631A352E"/>
    <w:rsid w:val="631F2439"/>
    <w:rsid w:val="63212B0F"/>
    <w:rsid w:val="6324615B"/>
    <w:rsid w:val="632748F0"/>
    <w:rsid w:val="63414F5F"/>
    <w:rsid w:val="63422A85"/>
    <w:rsid w:val="63454D6C"/>
    <w:rsid w:val="63462575"/>
    <w:rsid w:val="63555685"/>
    <w:rsid w:val="63576530"/>
    <w:rsid w:val="635822A8"/>
    <w:rsid w:val="63626C83"/>
    <w:rsid w:val="6370095A"/>
    <w:rsid w:val="63901A42"/>
    <w:rsid w:val="63953D64"/>
    <w:rsid w:val="6396497C"/>
    <w:rsid w:val="639F1C85"/>
    <w:rsid w:val="63A4104A"/>
    <w:rsid w:val="63A70B3A"/>
    <w:rsid w:val="63B23767"/>
    <w:rsid w:val="63C70312"/>
    <w:rsid w:val="63E2236B"/>
    <w:rsid w:val="63FA6EBC"/>
    <w:rsid w:val="640E2967"/>
    <w:rsid w:val="64264155"/>
    <w:rsid w:val="64281C7B"/>
    <w:rsid w:val="64395C36"/>
    <w:rsid w:val="6441132E"/>
    <w:rsid w:val="64414217"/>
    <w:rsid w:val="644545DB"/>
    <w:rsid w:val="646002CC"/>
    <w:rsid w:val="64664551"/>
    <w:rsid w:val="646F1658"/>
    <w:rsid w:val="64790728"/>
    <w:rsid w:val="64986E00"/>
    <w:rsid w:val="64992B79"/>
    <w:rsid w:val="64AD2180"/>
    <w:rsid w:val="64C23E7D"/>
    <w:rsid w:val="64C50FBD"/>
    <w:rsid w:val="64C80D68"/>
    <w:rsid w:val="64CF0348"/>
    <w:rsid w:val="64CF659A"/>
    <w:rsid w:val="64D21BE7"/>
    <w:rsid w:val="64F16D22"/>
    <w:rsid w:val="64F25DE5"/>
    <w:rsid w:val="6502427A"/>
    <w:rsid w:val="65037FF2"/>
    <w:rsid w:val="65041302"/>
    <w:rsid w:val="650C492A"/>
    <w:rsid w:val="650F4BE9"/>
    <w:rsid w:val="65183A9D"/>
    <w:rsid w:val="651A5A67"/>
    <w:rsid w:val="651B17E0"/>
    <w:rsid w:val="653D52B2"/>
    <w:rsid w:val="6545060B"/>
    <w:rsid w:val="65635506"/>
    <w:rsid w:val="656E7B61"/>
    <w:rsid w:val="65870532"/>
    <w:rsid w:val="658856E4"/>
    <w:rsid w:val="65907AD8"/>
    <w:rsid w:val="659147D3"/>
    <w:rsid w:val="65982E30"/>
    <w:rsid w:val="65AB66C0"/>
    <w:rsid w:val="65D5198E"/>
    <w:rsid w:val="65D57BE0"/>
    <w:rsid w:val="65D8422F"/>
    <w:rsid w:val="65E322FD"/>
    <w:rsid w:val="65E52C9B"/>
    <w:rsid w:val="65F20792"/>
    <w:rsid w:val="6605645B"/>
    <w:rsid w:val="66083B12"/>
    <w:rsid w:val="661E1587"/>
    <w:rsid w:val="66266291"/>
    <w:rsid w:val="662917BC"/>
    <w:rsid w:val="663A3EE7"/>
    <w:rsid w:val="663A5C95"/>
    <w:rsid w:val="6646288C"/>
    <w:rsid w:val="66486604"/>
    <w:rsid w:val="664A237C"/>
    <w:rsid w:val="66507267"/>
    <w:rsid w:val="6659436D"/>
    <w:rsid w:val="665B6338"/>
    <w:rsid w:val="66650F64"/>
    <w:rsid w:val="666920D7"/>
    <w:rsid w:val="66707909"/>
    <w:rsid w:val="66850D80"/>
    <w:rsid w:val="66855163"/>
    <w:rsid w:val="668D4017"/>
    <w:rsid w:val="669C425A"/>
    <w:rsid w:val="66A852F5"/>
    <w:rsid w:val="66AB26EF"/>
    <w:rsid w:val="66B2655C"/>
    <w:rsid w:val="66B43C9A"/>
    <w:rsid w:val="66B5531C"/>
    <w:rsid w:val="66B6356E"/>
    <w:rsid w:val="66F26570"/>
    <w:rsid w:val="67070F51"/>
    <w:rsid w:val="67286252"/>
    <w:rsid w:val="672901E4"/>
    <w:rsid w:val="672F50CE"/>
    <w:rsid w:val="673A29F1"/>
    <w:rsid w:val="673F0A72"/>
    <w:rsid w:val="674342E3"/>
    <w:rsid w:val="67446DCC"/>
    <w:rsid w:val="67517C39"/>
    <w:rsid w:val="676A4358"/>
    <w:rsid w:val="67824A73"/>
    <w:rsid w:val="678278F4"/>
    <w:rsid w:val="67852F40"/>
    <w:rsid w:val="67950D4C"/>
    <w:rsid w:val="67955879"/>
    <w:rsid w:val="679A69EC"/>
    <w:rsid w:val="679D64DC"/>
    <w:rsid w:val="67BA708E"/>
    <w:rsid w:val="67BD6B7E"/>
    <w:rsid w:val="67CD5013"/>
    <w:rsid w:val="67DD16E6"/>
    <w:rsid w:val="67DF08A2"/>
    <w:rsid w:val="67F02AB0"/>
    <w:rsid w:val="67F87BB6"/>
    <w:rsid w:val="67FA7F10"/>
    <w:rsid w:val="68096A3E"/>
    <w:rsid w:val="68195C98"/>
    <w:rsid w:val="681A3FD0"/>
    <w:rsid w:val="68282249"/>
    <w:rsid w:val="68355788"/>
    <w:rsid w:val="683706DE"/>
    <w:rsid w:val="68376930"/>
    <w:rsid w:val="683A01CF"/>
    <w:rsid w:val="683F57E5"/>
    <w:rsid w:val="68437083"/>
    <w:rsid w:val="684B418A"/>
    <w:rsid w:val="684D07C1"/>
    <w:rsid w:val="684F667B"/>
    <w:rsid w:val="68576637"/>
    <w:rsid w:val="686178A3"/>
    <w:rsid w:val="68706867"/>
    <w:rsid w:val="68725BBA"/>
    <w:rsid w:val="68751207"/>
    <w:rsid w:val="68755FBB"/>
    <w:rsid w:val="688651C2"/>
    <w:rsid w:val="68906041"/>
    <w:rsid w:val="689773CF"/>
    <w:rsid w:val="689830F3"/>
    <w:rsid w:val="689C49E5"/>
    <w:rsid w:val="68A02082"/>
    <w:rsid w:val="68A65864"/>
    <w:rsid w:val="68AB2E7A"/>
    <w:rsid w:val="68BA4E6C"/>
    <w:rsid w:val="68BC6E36"/>
    <w:rsid w:val="68C27FCB"/>
    <w:rsid w:val="68C63810"/>
    <w:rsid w:val="68CA77A4"/>
    <w:rsid w:val="68CD4BEA"/>
    <w:rsid w:val="68DD74D8"/>
    <w:rsid w:val="68E02B24"/>
    <w:rsid w:val="68E06DDD"/>
    <w:rsid w:val="68EC05C1"/>
    <w:rsid w:val="68EC771B"/>
    <w:rsid w:val="68FE744E"/>
    <w:rsid w:val="69085BD7"/>
    <w:rsid w:val="69166546"/>
    <w:rsid w:val="691B1A32"/>
    <w:rsid w:val="691B590A"/>
    <w:rsid w:val="693E5A9D"/>
    <w:rsid w:val="694122ED"/>
    <w:rsid w:val="69472BA3"/>
    <w:rsid w:val="695732F0"/>
    <w:rsid w:val="695D23C7"/>
    <w:rsid w:val="69670B4F"/>
    <w:rsid w:val="69692B1A"/>
    <w:rsid w:val="696A4AE4"/>
    <w:rsid w:val="696C0262"/>
    <w:rsid w:val="69763488"/>
    <w:rsid w:val="69781B4C"/>
    <w:rsid w:val="698A28D9"/>
    <w:rsid w:val="69A2427D"/>
    <w:rsid w:val="69A2602B"/>
    <w:rsid w:val="69AF0748"/>
    <w:rsid w:val="69B97382"/>
    <w:rsid w:val="69CD15B7"/>
    <w:rsid w:val="69F55085"/>
    <w:rsid w:val="6A1F767C"/>
    <w:rsid w:val="6A2353BE"/>
    <w:rsid w:val="6A246A40"/>
    <w:rsid w:val="6A3A2708"/>
    <w:rsid w:val="6A5C267E"/>
    <w:rsid w:val="6A6860CD"/>
    <w:rsid w:val="6A773192"/>
    <w:rsid w:val="6A786D8C"/>
    <w:rsid w:val="6A7D43A3"/>
    <w:rsid w:val="6A9811DC"/>
    <w:rsid w:val="6AA9035F"/>
    <w:rsid w:val="6AAD2EDA"/>
    <w:rsid w:val="6AB55B5F"/>
    <w:rsid w:val="6AC02C0D"/>
    <w:rsid w:val="6AC36259"/>
    <w:rsid w:val="6AC50223"/>
    <w:rsid w:val="6AC92DE9"/>
    <w:rsid w:val="6AD47946"/>
    <w:rsid w:val="6ADB2195"/>
    <w:rsid w:val="6AEB57B0"/>
    <w:rsid w:val="6AF723A7"/>
    <w:rsid w:val="6B0625EA"/>
    <w:rsid w:val="6B0A032C"/>
    <w:rsid w:val="6B3D425E"/>
    <w:rsid w:val="6B4450F3"/>
    <w:rsid w:val="6B4524B7"/>
    <w:rsid w:val="6B476E8A"/>
    <w:rsid w:val="6B4C44A1"/>
    <w:rsid w:val="6B596BBE"/>
    <w:rsid w:val="6B642F9C"/>
    <w:rsid w:val="6B717D80"/>
    <w:rsid w:val="6B7439F8"/>
    <w:rsid w:val="6B8005EE"/>
    <w:rsid w:val="6B87197D"/>
    <w:rsid w:val="6BA3608B"/>
    <w:rsid w:val="6BAD3747"/>
    <w:rsid w:val="6BB9765C"/>
    <w:rsid w:val="6BCA186A"/>
    <w:rsid w:val="6BCA3618"/>
    <w:rsid w:val="6BD61FBC"/>
    <w:rsid w:val="6BD66460"/>
    <w:rsid w:val="6BE648F5"/>
    <w:rsid w:val="6BF57693"/>
    <w:rsid w:val="6C027255"/>
    <w:rsid w:val="6C092392"/>
    <w:rsid w:val="6C1B3E73"/>
    <w:rsid w:val="6C1C0317"/>
    <w:rsid w:val="6C296590"/>
    <w:rsid w:val="6C2C6080"/>
    <w:rsid w:val="6C30791F"/>
    <w:rsid w:val="6C3B25B6"/>
    <w:rsid w:val="6C4F7438"/>
    <w:rsid w:val="6C5740F9"/>
    <w:rsid w:val="6C606B48"/>
    <w:rsid w:val="6C71069C"/>
    <w:rsid w:val="6C7A6DEC"/>
    <w:rsid w:val="6C837232"/>
    <w:rsid w:val="6C845EBC"/>
    <w:rsid w:val="6C850C61"/>
    <w:rsid w:val="6C8B2DA7"/>
    <w:rsid w:val="6C9248FC"/>
    <w:rsid w:val="6CA200F0"/>
    <w:rsid w:val="6CB85050"/>
    <w:rsid w:val="6CDA33DB"/>
    <w:rsid w:val="6CE10C19"/>
    <w:rsid w:val="6CED5810"/>
    <w:rsid w:val="6CF7043C"/>
    <w:rsid w:val="6CFF33C0"/>
    <w:rsid w:val="6D0112BB"/>
    <w:rsid w:val="6D0B038C"/>
    <w:rsid w:val="6D104517"/>
    <w:rsid w:val="6D184E6C"/>
    <w:rsid w:val="6D1C7EA3"/>
    <w:rsid w:val="6D24244C"/>
    <w:rsid w:val="6D2A6A64"/>
    <w:rsid w:val="6D2F407A"/>
    <w:rsid w:val="6D301BA0"/>
    <w:rsid w:val="6D321474"/>
    <w:rsid w:val="6D323B6A"/>
    <w:rsid w:val="6D371181"/>
    <w:rsid w:val="6D437B25"/>
    <w:rsid w:val="6D4C4C2C"/>
    <w:rsid w:val="6D57537F"/>
    <w:rsid w:val="6D583572"/>
    <w:rsid w:val="6D723F67"/>
    <w:rsid w:val="6D7B222A"/>
    <w:rsid w:val="6D8141AA"/>
    <w:rsid w:val="6D9D7236"/>
    <w:rsid w:val="6DA5433C"/>
    <w:rsid w:val="6DCF13B9"/>
    <w:rsid w:val="6DDB1B0C"/>
    <w:rsid w:val="6DDD5884"/>
    <w:rsid w:val="6DE25825"/>
    <w:rsid w:val="6DEE183F"/>
    <w:rsid w:val="6DF1132F"/>
    <w:rsid w:val="6DF80910"/>
    <w:rsid w:val="6E070B53"/>
    <w:rsid w:val="6E0E0133"/>
    <w:rsid w:val="6E11552E"/>
    <w:rsid w:val="6E1B45FE"/>
    <w:rsid w:val="6E276AFF"/>
    <w:rsid w:val="6E2A648C"/>
    <w:rsid w:val="6E380D0C"/>
    <w:rsid w:val="6E4476B1"/>
    <w:rsid w:val="6E4B6C92"/>
    <w:rsid w:val="6E531FEA"/>
    <w:rsid w:val="6E533D98"/>
    <w:rsid w:val="6E5F273D"/>
    <w:rsid w:val="6E680B4E"/>
    <w:rsid w:val="6E6E0BD2"/>
    <w:rsid w:val="6E7154F0"/>
    <w:rsid w:val="6E7837FF"/>
    <w:rsid w:val="6E7C32EF"/>
    <w:rsid w:val="6E8F312B"/>
    <w:rsid w:val="6E971ED7"/>
    <w:rsid w:val="6E9C0302"/>
    <w:rsid w:val="6EB83BFB"/>
    <w:rsid w:val="6EBE56B6"/>
    <w:rsid w:val="6EC30F1E"/>
    <w:rsid w:val="6EC801D0"/>
    <w:rsid w:val="6ED35967"/>
    <w:rsid w:val="6ED76777"/>
    <w:rsid w:val="6EE449F0"/>
    <w:rsid w:val="6EF235B1"/>
    <w:rsid w:val="6EF4232C"/>
    <w:rsid w:val="6EF54E4F"/>
    <w:rsid w:val="6F062BB9"/>
    <w:rsid w:val="6F084B83"/>
    <w:rsid w:val="6F1352D6"/>
    <w:rsid w:val="6F183DCB"/>
    <w:rsid w:val="6F190B3E"/>
    <w:rsid w:val="6F23122E"/>
    <w:rsid w:val="6F265009"/>
    <w:rsid w:val="6F2F0361"/>
    <w:rsid w:val="6F3431BD"/>
    <w:rsid w:val="6F41270D"/>
    <w:rsid w:val="6F4E54A4"/>
    <w:rsid w:val="6F5558EE"/>
    <w:rsid w:val="6F5B015B"/>
    <w:rsid w:val="6F685621"/>
    <w:rsid w:val="6F6873CF"/>
    <w:rsid w:val="6F6A0A78"/>
    <w:rsid w:val="6F7246F2"/>
    <w:rsid w:val="6F834209"/>
    <w:rsid w:val="6F854425"/>
    <w:rsid w:val="6F902885"/>
    <w:rsid w:val="6FAA5C3A"/>
    <w:rsid w:val="6FAF18A1"/>
    <w:rsid w:val="6FB30EF7"/>
    <w:rsid w:val="6FB36CAD"/>
    <w:rsid w:val="6FB676E1"/>
    <w:rsid w:val="6FD61C0D"/>
    <w:rsid w:val="6FE70C3C"/>
    <w:rsid w:val="6FE949B4"/>
    <w:rsid w:val="6FEA1D0F"/>
    <w:rsid w:val="6FF2313D"/>
    <w:rsid w:val="6FF46EB5"/>
    <w:rsid w:val="700714A0"/>
    <w:rsid w:val="700F1F41"/>
    <w:rsid w:val="70147557"/>
    <w:rsid w:val="70205EFC"/>
    <w:rsid w:val="70207CAA"/>
    <w:rsid w:val="70231548"/>
    <w:rsid w:val="70253512"/>
    <w:rsid w:val="702E686B"/>
    <w:rsid w:val="703120E1"/>
    <w:rsid w:val="703F45D4"/>
    <w:rsid w:val="704A2F79"/>
    <w:rsid w:val="704C3842"/>
    <w:rsid w:val="70545BA6"/>
    <w:rsid w:val="70840239"/>
    <w:rsid w:val="708C533F"/>
    <w:rsid w:val="70916CA0"/>
    <w:rsid w:val="70974410"/>
    <w:rsid w:val="70A04D00"/>
    <w:rsid w:val="70B2124A"/>
    <w:rsid w:val="70C26FB3"/>
    <w:rsid w:val="70C525FF"/>
    <w:rsid w:val="70D2369A"/>
    <w:rsid w:val="70D32F6E"/>
    <w:rsid w:val="70D475D2"/>
    <w:rsid w:val="70DA1D6D"/>
    <w:rsid w:val="70E76A1A"/>
    <w:rsid w:val="70F21646"/>
    <w:rsid w:val="70F353BF"/>
    <w:rsid w:val="70F8010E"/>
    <w:rsid w:val="70F80C27"/>
    <w:rsid w:val="70FC24C5"/>
    <w:rsid w:val="71071CEE"/>
    <w:rsid w:val="71121CE9"/>
    <w:rsid w:val="711772FF"/>
    <w:rsid w:val="71245578"/>
    <w:rsid w:val="71257C6E"/>
    <w:rsid w:val="71353C29"/>
    <w:rsid w:val="713779A1"/>
    <w:rsid w:val="713C6D66"/>
    <w:rsid w:val="715916C6"/>
    <w:rsid w:val="715D0D7A"/>
    <w:rsid w:val="715E0A8A"/>
    <w:rsid w:val="71607830"/>
    <w:rsid w:val="71693BBC"/>
    <w:rsid w:val="716D5171"/>
    <w:rsid w:val="717209D9"/>
    <w:rsid w:val="717402AD"/>
    <w:rsid w:val="717604C9"/>
    <w:rsid w:val="718F158B"/>
    <w:rsid w:val="71980DAE"/>
    <w:rsid w:val="719941B8"/>
    <w:rsid w:val="719F449E"/>
    <w:rsid w:val="71AF12E6"/>
    <w:rsid w:val="71CF3532"/>
    <w:rsid w:val="71D874DF"/>
    <w:rsid w:val="71D945B4"/>
    <w:rsid w:val="71E03B95"/>
    <w:rsid w:val="71E13469"/>
    <w:rsid w:val="71EC2889"/>
    <w:rsid w:val="71F72416"/>
    <w:rsid w:val="72135D18"/>
    <w:rsid w:val="722E1850"/>
    <w:rsid w:val="723143F0"/>
    <w:rsid w:val="7237112E"/>
    <w:rsid w:val="724C122A"/>
    <w:rsid w:val="725325B9"/>
    <w:rsid w:val="72534367"/>
    <w:rsid w:val="72695938"/>
    <w:rsid w:val="727B1B10"/>
    <w:rsid w:val="727D7636"/>
    <w:rsid w:val="728409C4"/>
    <w:rsid w:val="7289422C"/>
    <w:rsid w:val="72897D89"/>
    <w:rsid w:val="72964253"/>
    <w:rsid w:val="729D3834"/>
    <w:rsid w:val="729F135A"/>
    <w:rsid w:val="72B55021"/>
    <w:rsid w:val="72B868C0"/>
    <w:rsid w:val="72BA6194"/>
    <w:rsid w:val="72C45265"/>
    <w:rsid w:val="72C60FDD"/>
    <w:rsid w:val="72D51220"/>
    <w:rsid w:val="72D57472"/>
    <w:rsid w:val="72D82ABE"/>
    <w:rsid w:val="72F773E8"/>
    <w:rsid w:val="72FC67AC"/>
    <w:rsid w:val="73025D8D"/>
    <w:rsid w:val="730C2768"/>
    <w:rsid w:val="731109BF"/>
    <w:rsid w:val="731358A4"/>
    <w:rsid w:val="73140013"/>
    <w:rsid w:val="73223D39"/>
    <w:rsid w:val="7338355D"/>
    <w:rsid w:val="73412411"/>
    <w:rsid w:val="73424EFF"/>
    <w:rsid w:val="73463ECB"/>
    <w:rsid w:val="73491FA6"/>
    <w:rsid w:val="736D76AA"/>
    <w:rsid w:val="737A1DC7"/>
    <w:rsid w:val="737A3B75"/>
    <w:rsid w:val="738642C8"/>
    <w:rsid w:val="73942E89"/>
    <w:rsid w:val="73AF1A71"/>
    <w:rsid w:val="73B24133"/>
    <w:rsid w:val="73D6524F"/>
    <w:rsid w:val="73D96AEE"/>
    <w:rsid w:val="73E7745D"/>
    <w:rsid w:val="74161AF0"/>
    <w:rsid w:val="7416389E"/>
    <w:rsid w:val="742324ED"/>
    <w:rsid w:val="74273CFD"/>
    <w:rsid w:val="742C30C1"/>
    <w:rsid w:val="742F617E"/>
    <w:rsid w:val="74324450"/>
    <w:rsid w:val="74474B96"/>
    <w:rsid w:val="745E0AC8"/>
    <w:rsid w:val="745F3497"/>
    <w:rsid w:val="74715DE3"/>
    <w:rsid w:val="747800B5"/>
    <w:rsid w:val="747B5DF7"/>
    <w:rsid w:val="74844CAB"/>
    <w:rsid w:val="749F7D37"/>
    <w:rsid w:val="74A013B9"/>
    <w:rsid w:val="74A37B98"/>
    <w:rsid w:val="74B133C4"/>
    <w:rsid w:val="74B15F95"/>
    <w:rsid w:val="74B35591"/>
    <w:rsid w:val="74B66E2F"/>
    <w:rsid w:val="74DA2B1D"/>
    <w:rsid w:val="74E92D60"/>
    <w:rsid w:val="74F5489D"/>
    <w:rsid w:val="74F72152"/>
    <w:rsid w:val="74FC6F38"/>
    <w:rsid w:val="74FF4332"/>
    <w:rsid w:val="751029E3"/>
    <w:rsid w:val="75183646"/>
    <w:rsid w:val="75226B23"/>
    <w:rsid w:val="75267B11"/>
    <w:rsid w:val="752B5127"/>
    <w:rsid w:val="753B10E2"/>
    <w:rsid w:val="7552712D"/>
    <w:rsid w:val="755C79D6"/>
    <w:rsid w:val="755F3023"/>
    <w:rsid w:val="75907680"/>
    <w:rsid w:val="75994786"/>
    <w:rsid w:val="75AF3FAA"/>
    <w:rsid w:val="75B74C0D"/>
    <w:rsid w:val="75C14E11"/>
    <w:rsid w:val="75CB06B8"/>
    <w:rsid w:val="75DA08FB"/>
    <w:rsid w:val="75E35A02"/>
    <w:rsid w:val="7601569C"/>
    <w:rsid w:val="760616F0"/>
    <w:rsid w:val="760A3A7A"/>
    <w:rsid w:val="761638DC"/>
    <w:rsid w:val="76197675"/>
    <w:rsid w:val="76342701"/>
    <w:rsid w:val="76391AC6"/>
    <w:rsid w:val="763B3A90"/>
    <w:rsid w:val="764B35A7"/>
    <w:rsid w:val="76515061"/>
    <w:rsid w:val="76515EBE"/>
    <w:rsid w:val="765E426C"/>
    <w:rsid w:val="76612DCA"/>
    <w:rsid w:val="766234D3"/>
    <w:rsid w:val="76650B0D"/>
    <w:rsid w:val="766C1E9B"/>
    <w:rsid w:val="766D0ACF"/>
    <w:rsid w:val="76832D41"/>
    <w:rsid w:val="768A0573"/>
    <w:rsid w:val="769211D6"/>
    <w:rsid w:val="7699749F"/>
    <w:rsid w:val="76A258BD"/>
    <w:rsid w:val="76A41635"/>
    <w:rsid w:val="76AA4771"/>
    <w:rsid w:val="76B455F0"/>
    <w:rsid w:val="76BB697E"/>
    <w:rsid w:val="76E15E30"/>
    <w:rsid w:val="76F31C74"/>
    <w:rsid w:val="770420D4"/>
    <w:rsid w:val="770A12F4"/>
    <w:rsid w:val="771A260C"/>
    <w:rsid w:val="772269FE"/>
    <w:rsid w:val="7724489D"/>
    <w:rsid w:val="7729476D"/>
    <w:rsid w:val="772C162A"/>
    <w:rsid w:val="77335475"/>
    <w:rsid w:val="77383B2B"/>
    <w:rsid w:val="773C186D"/>
    <w:rsid w:val="773D3837"/>
    <w:rsid w:val="77440722"/>
    <w:rsid w:val="774A174C"/>
    <w:rsid w:val="77613082"/>
    <w:rsid w:val="776D40C1"/>
    <w:rsid w:val="77BE04D4"/>
    <w:rsid w:val="77BE6726"/>
    <w:rsid w:val="77BF424C"/>
    <w:rsid w:val="77DA2E34"/>
    <w:rsid w:val="77F11A4A"/>
    <w:rsid w:val="77F51A1C"/>
    <w:rsid w:val="78014865"/>
    <w:rsid w:val="781B5927"/>
    <w:rsid w:val="781C6B25"/>
    <w:rsid w:val="782A7918"/>
    <w:rsid w:val="782B543C"/>
    <w:rsid w:val="782C7B34"/>
    <w:rsid w:val="78411105"/>
    <w:rsid w:val="78544F03"/>
    <w:rsid w:val="7858261A"/>
    <w:rsid w:val="78584264"/>
    <w:rsid w:val="785B3F75"/>
    <w:rsid w:val="785E1CB7"/>
    <w:rsid w:val="786B1CDE"/>
    <w:rsid w:val="786C7F30"/>
    <w:rsid w:val="786F5C73"/>
    <w:rsid w:val="789456D9"/>
    <w:rsid w:val="78972AD3"/>
    <w:rsid w:val="78AA6CAB"/>
    <w:rsid w:val="78BD69DE"/>
    <w:rsid w:val="78C80EDF"/>
    <w:rsid w:val="78CE71F9"/>
    <w:rsid w:val="78CF6711"/>
    <w:rsid w:val="78F62EDB"/>
    <w:rsid w:val="78FF6FF6"/>
    <w:rsid w:val="79004B1D"/>
    <w:rsid w:val="790F6B0E"/>
    <w:rsid w:val="7924080B"/>
    <w:rsid w:val="793469A9"/>
    <w:rsid w:val="794C38BE"/>
    <w:rsid w:val="795A5FDB"/>
    <w:rsid w:val="79605479"/>
    <w:rsid w:val="7977592B"/>
    <w:rsid w:val="798017B9"/>
    <w:rsid w:val="79856DD0"/>
    <w:rsid w:val="79863274"/>
    <w:rsid w:val="798968C0"/>
    <w:rsid w:val="799E680F"/>
    <w:rsid w:val="79AB2CDA"/>
    <w:rsid w:val="79AB6836"/>
    <w:rsid w:val="79B0209F"/>
    <w:rsid w:val="79B17BC5"/>
    <w:rsid w:val="79BA462A"/>
    <w:rsid w:val="79C606A5"/>
    <w:rsid w:val="79C943F8"/>
    <w:rsid w:val="79CB0C87"/>
    <w:rsid w:val="79D40FAF"/>
    <w:rsid w:val="79DA536E"/>
    <w:rsid w:val="79ED6E4F"/>
    <w:rsid w:val="79F918FC"/>
    <w:rsid w:val="79FA3470"/>
    <w:rsid w:val="7A0B5527"/>
    <w:rsid w:val="7A441A53"/>
    <w:rsid w:val="7A540C7C"/>
    <w:rsid w:val="7A566689"/>
    <w:rsid w:val="7A5E5F9F"/>
    <w:rsid w:val="7A6115EB"/>
    <w:rsid w:val="7A6730A5"/>
    <w:rsid w:val="7A70182E"/>
    <w:rsid w:val="7A7237F8"/>
    <w:rsid w:val="7A7632E8"/>
    <w:rsid w:val="7A807CC3"/>
    <w:rsid w:val="7A814CBA"/>
    <w:rsid w:val="7A8F43AA"/>
    <w:rsid w:val="7A8F6158"/>
    <w:rsid w:val="7AA03EC1"/>
    <w:rsid w:val="7AB91427"/>
    <w:rsid w:val="7AB94F83"/>
    <w:rsid w:val="7ABD2CC5"/>
    <w:rsid w:val="7AC323A6"/>
    <w:rsid w:val="7AC676A0"/>
    <w:rsid w:val="7AC758F2"/>
    <w:rsid w:val="7AD85D51"/>
    <w:rsid w:val="7AD93877"/>
    <w:rsid w:val="7ADB75EF"/>
    <w:rsid w:val="7AE04C06"/>
    <w:rsid w:val="7AE2033E"/>
    <w:rsid w:val="7AE55D78"/>
    <w:rsid w:val="7AE75F94"/>
    <w:rsid w:val="7AEA7832"/>
    <w:rsid w:val="7B073C86"/>
    <w:rsid w:val="7B19779A"/>
    <w:rsid w:val="7B1B5C3E"/>
    <w:rsid w:val="7B38059E"/>
    <w:rsid w:val="7B5353D8"/>
    <w:rsid w:val="7B6273C9"/>
    <w:rsid w:val="7B670E83"/>
    <w:rsid w:val="7B6770D5"/>
    <w:rsid w:val="7B6E2211"/>
    <w:rsid w:val="7B703FE6"/>
    <w:rsid w:val="7B7470FC"/>
    <w:rsid w:val="7B752B85"/>
    <w:rsid w:val="7B75534E"/>
    <w:rsid w:val="7B876E2F"/>
    <w:rsid w:val="7B890DF9"/>
    <w:rsid w:val="7B8B2DC3"/>
    <w:rsid w:val="7B973BE4"/>
    <w:rsid w:val="7B9B0B2D"/>
    <w:rsid w:val="7BA1652C"/>
    <w:rsid w:val="7BBD4F47"/>
    <w:rsid w:val="7BC97448"/>
    <w:rsid w:val="7BD04C7A"/>
    <w:rsid w:val="7BD11077"/>
    <w:rsid w:val="7BEF5047"/>
    <w:rsid w:val="7BF00E78"/>
    <w:rsid w:val="7BFA3E11"/>
    <w:rsid w:val="7BFE17E7"/>
    <w:rsid w:val="7C0C133E"/>
    <w:rsid w:val="7C16681D"/>
    <w:rsid w:val="7C2366FD"/>
    <w:rsid w:val="7C336FB7"/>
    <w:rsid w:val="7C376AA7"/>
    <w:rsid w:val="7C492337"/>
    <w:rsid w:val="7C4F3DF1"/>
    <w:rsid w:val="7C594C70"/>
    <w:rsid w:val="7C5E4034"/>
    <w:rsid w:val="7C7559C8"/>
    <w:rsid w:val="7C76687C"/>
    <w:rsid w:val="7C80044E"/>
    <w:rsid w:val="7C804CED"/>
    <w:rsid w:val="7C9B5288"/>
    <w:rsid w:val="7CA77E28"/>
    <w:rsid w:val="7CAA54CB"/>
    <w:rsid w:val="7CAD0B17"/>
    <w:rsid w:val="7CB912D6"/>
    <w:rsid w:val="7CB9570E"/>
    <w:rsid w:val="7CC41F7F"/>
    <w:rsid w:val="7CC55E61"/>
    <w:rsid w:val="7CD24A22"/>
    <w:rsid w:val="7CE107C1"/>
    <w:rsid w:val="7CE704CD"/>
    <w:rsid w:val="7CFF4D47"/>
    <w:rsid w:val="7D1961AD"/>
    <w:rsid w:val="7D20753B"/>
    <w:rsid w:val="7D2607D8"/>
    <w:rsid w:val="7D376633"/>
    <w:rsid w:val="7D3905FD"/>
    <w:rsid w:val="7D43322A"/>
    <w:rsid w:val="7D580A83"/>
    <w:rsid w:val="7D641D48"/>
    <w:rsid w:val="7D7D79ED"/>
    <w:rsid w:val="7D8950E1"/>
    <w:rsid w:val="7D910439"/>
    <w:rsid w:val="7D92689C"/>
    <w:rsid w:val="7D9B4E14"/>
    <w:rsid w:val="7D9D293A"/>
    <w:rsid w:val="7DA168CE"/>
    <w:rsid w:val="7DA243F4"/>
    <w:rsid w:val="7DB83C18"/>
    <w:rsid w:val="7DC425BD"/>
    <w:rsid w:val="7DCB56F9"/>
    <w:rsid w:val="7DD73409"/>
    <w:rsid w:val="7DDA3B8E"/>
    <w:rsid w:val="7DDF6300"/>
    <w:rsid w:val="7E0724A9"/>
    <w:rsid w:val="7E215319"/>
    <w:rsid w:val="7E2D63B4"/>
    <w:rsid w:val="7E682F48"/>
    <w:rsid w:val="7E6B6EDC"/>
    <w:rsid w:val="7E751993"/>
    <w:rsid w:val="7E755665"/>
    <w:rsid w:val="7E8104AE"/>
    <w:rsid w:val="7E8645F2"/>
    <w:rsid w:val="7E867872"/>
    <w:rsid w:val="7E88183C"/>
    <w:rsid w:val="7E8B6C36"/>
    <w:rsid w:val="7E8D0C00"/>
    <w:rsid w:val="7E8E6727"/>
    <w:rsid w:val="7E9006F1"/>
    <w:rsid w:val="7E953F59"/>
    <w:rsid w:val="7E9E4BBC"/>
    <w:rsid w:val="7EAB72D9"/>
    <w:rsid w:val="7EB50985"/>
    <w:rsid w:val="7EBF4B32"/>
    <w:rsid w:val="7EC02D84"/>
    <w:rsid w:val="7EC16AFC"/>
    <w:rsid w:val="7ECD724F"/>
    <w:rsid w:val="7ECE77CD"/>
    <w:rsid w:val="7ED00AED"/>
    <w:rsid w:val="7ED20D09"/>
    <w:rsid w:val="7ED56104"/>
    <w:rsid w:val="7ED95BF4"/>
    <w:rsid w:val="7EDC56E4"/>
    <w:rsid w:val="7EED34CF"/>
    <w:rsid w:val="7EED5B43"/>
    <w:rsid w:val="7EF35CD7"/>
    <w:rsid w:val="7EF90044"/>
    <w:rsid w:val="7F1B7FBA"/>
    <w:rsid w:val="7F250E39"/>
    <w:rsid w:val="7F266502"/>
    <w:rsid w:val="7F3C6183"/>
    <w:rsid w:val="7F3F295F"/>
    <w:rsid w:val="7F4219EB"/>
    <w:rsid w:val="7F565496"/>
    <w:rsid w:val="7F6A7194"/>
    <w:rsid w:val="7F720FA4"/>
    <w:rsid w:val="7F743B6E"/>
    <w:rsid w:val="7F7B4EFD"/>
    <w:rsid w:val="7F8518D8"/>
    <w:rsid w:val="7F995383"/>
    <w:rsid w:val="7F9F200D"/>
    <w:rsid w:val="7FA33F7C"/>
    <w:rsid w:val="7FAA57E2"/>
    <w:rsid w:val="7FB0104A"/>
    <w:rsid w:val="7FB14DC3"/>
    <w:rsid w:val="7FB4040F"/>
    <w:rsid w:val="7FCE70E8"/>
    <w:rsid w:val="7FD8234F"/>
    <w:rsid w:val="7FDE37F0"/>
    <w:rsid w:val="7FE40CF4"/>
    <w:rsid w:val="7FEA3E31"/>
    <w:rsid w:val="7FEA5BDF"/>
    <w:rsid w:val="7FF371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1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0" w:semiHidden="0" w:name="Body Text Indent 3"/>
    <w:lsdException w:uiPriority="99" w:name="Block Text" w:locked="1"/>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qFormat="1"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05"/>
    <w:qFormat/>
    <w:uiPriority w:val="9"/>
    <w:pPr>
      <w:snapToGrid w:val="0"/>
      <w:spacing w:before="120" w:after="120" w:line="360" w:lineRule="auto"/>
      <w:jc w:val="center"/>
      <w:outlineLvl w:val="0"/>
    </w:pPr>
    <w:rPr>
      <w:rFonts w:ascii="Calibri" w:hAnsi="宋体" w:cs="Calibri"/>
      <w:b/>
      <w:bCs/>
      <w:color w:val="000000"/>
      <w:sz w:val="30"/>
      <w:szCs w:val="30"/>
    </w:rPr>
  </w:style>
  <w:style w:type="paragraph" w:styleId="3">
    <w:name w:val="heading 2"/>
    <w:basedOn w:val="1"/>
    <w:next w:val="1"/>
    <w:link w:val="406"/>
    <w:qFormat/>
    <w:uiPriority w:val="99"/>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407"/>
    <w:qFormat/>
    <w:uiPriority w:val="99"/>
    <w:pPr>
      <w:keepNext/>
      <w:keepLines/>
      <w:adjustRightInd w:val="0"/>
      <w:spacing w:before="260" w:after="260" w:line="416" w:lineRule="atLeast"/>
      <w:textAlignment w:val="baseline"/>
      <w:outlineLvl w:val="2"/>
    </w:pPr>
    <w:rPr>
      <w:rFonts w:ascii="Calibri" w:hAnsi="Calibri" w:cs="Calibri"/>
      <w:b/>
      <w:bCs/>
      <w:kern w:val="0"/>
      <w:sz w:val="32"/>
      <w:szCs w:val="32"/>
    </w:rPr>
  </w:style>
  <w:style w:type="paragraph" w:styleId="5">
    <w:name w:val="heading 4"/>
    <w:basedOn w:val="1"/>
    <w:next w:val="1"/>
    <w:link w:val="408"/>
    <w:qFormat/>
    <w:uiPriority w:val="99"/>
    <w:pPr>
      <w:keepNext/>
      <w:keepLines/>
      <w:spacing w:before="280" w:after="290" w:line="372" w:lineRule="auto"/>
      <w:outlineLvl w:val="3"/>
    </w:pPr>
    <w:rPr>
      <w:rFonts w:ascii="Arial" w:hAnsi="Arial" w:eastAsia="黑体" w:cs="Arial"/>
      <w:b/>
      <w:bCs/>
      <w:sz w:val="28"/>
      <w:szCs w:val="28"/>
    </w:rPr>
  </w:style>
  <w:style w:type="paragraph" w:styleId="6">
    <w:name w:val="heading 5"/>
    <w:basedOn w:val="1"/>
    <w:next w:val="1"/>
    <w:link w:val="379"/>
    <w:qFormat/>
    <w:uiPriority w:val="99"/>
    <w:pPr>
      <w:keepNext/>
      <w:keepLines/>
      <w:numPr>
        <w:ilvl w:val="4"/>
        <w:numId w:val="1"/>
      </w:numPr>
      <w:spacing w:before="280" w:after="290" w:line="372" w:lineRule="auto"/>
      <w:outlineLvl w:val="4"/>
    </w:pPr>
    <w:rPr>
      <w:rFonts w:ascii="Calibri" w:hAnsi="Calibri" w:cs="Calibri"/>
      <w:b/>
      <w:bCs/>
      <w:sz w:val="28"/>
      <w:szCs w:val="28"/>
    </w:rPr>
  </w:style>
  <w:style w:type="paragraph" w:styleId="7">
    <w:name w:val="heading 6"/>
    <w:basedOn w:val="1"/>
    <w:next w:val="1"/>
    <w:link w:val="409"/>
    <w:qFormat/>
    <w:uiPriority w:val="99"/>
    <w:pPr>
      <w:keepNext/>
      <w:keepLines/>
      <w:numPr>
        <w:ilvl w:val="5"/>
        <w:numId w:val="1"/>
      </w:numPr>
      <w:spacing w:before="240" w:after="64" w:line="317" w:lineRule="auto"/>
      <w:outlineLvl w:val="5"/>
    </w:pPr>
    <w:rPr>
      <w:rFonts w:ascii="Arial" w:hAnsi="Arial" w:eastAsia="黑体" w:cs="Arial"/>
      <w:b/>
      <w:bCs/>
      <w:sz w:val="24"/>
      <w:szCs w:val="24"/>
    </w:rPr>
  </w:style>
  <w:style w:type="paragraph" w:styleId="8">
    <w:name w:val="heading 7"/>
    <w:basedOn w:val="1"/>
    <w:next w:val="9"/>
    <w:link w:val="410"/>
    <w:qFormat/>
    <w:uiPriority w:val="9"/>
    <w:pPr>
      <w:keepNext/>
      <w:keepLines/>
      <w:numPr>
        <w:ilvl w:val="6"/>
        <w:numId w:val="1"/>
      </w:numPr>
      <w:spacing w:before="240" w:after="64" w:line="317" w:lineRule="auto"/>
      <w:outlineLvl w:val="6"/>
    </w:pPr>
    <w:rPr>
      <w:rFonts w:ascii="Calibri" w:hAnsi="Calibri" w:cs="Calibri"/>
      <w:b/>
      <w:bCs/>
      <w:sz w:val="24"/>
      <w:szCs w:val="24"/>
    </w:rPr>
  </w:style>
  <w:style w:type="paragraph" w:styleId="10">
    <w:name w:val="heading 8"/>
    <w:basedOn w:val="1"/>
    <w:next w:val="9"/>
    <w:link w:val="411"/>
    <w:qFormat/>
    <w:uiPriority w:val="9"/>
    <w:pPr>
      <w:keepNext/>
      <w:keepLines/>
      <w:numPr>
        <w:ilvl w:val="7"/>
        <w:numId w:val="1"/>
      </w:numPr>
      <w:spacing w:before="240" w:after="64" w:line="317" w:lineRule="auto"/>
      <w:outlineLvl w:val="7"/>
    </w:pPr>
    <w:rPr>
      <w:rFonts w:ascii="Arial" w:hAnsi="Arial" w:eastAsia="黑体" w:cs="Arial"/>
      <w:sz w:val="24"/>
      <w:szCs w:val="24"/>
    </w:rPr>
  </w:style>
  <w:style w:type="paragraph" w:styleId="11">
    <w:name w:val="heading 9"/>
    <w:basedOn w:val="1"/>
    <w:next w:val="9"/>
    <w:link w:val="412"/>
    <w:qFormat/>
    <w:uiPriority w:val="9"/>
    <w:pPr>
      <w:keepNext/>
      <w:keepLines/>
      <w:numPr>
        <w:ilvl w:val="8"/>
        <w:numId w:val="1"/>
      </w:numPr>
      <w:spacing w:before="240" w:after="64" w:line="317" w:lineRule="auto"/>
      <w:outlineLvl w:val="8"/>
    </w:pPr>
    <w:rPr>
      <w:rFonts w:ascii="Arial" w:hAnsi="Arial" w:eastAsia="黑体" w:cs="Arial"/>
    </w:rPr>
  </w:style>
  <w:style w:type="character" w:default="1" w:styleId="51">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9">
    <w:name w:val="Normal Indent"/>
    <w:basedOn w:val="1"/>
    <w:next w:val="1"/>
    <w:link w:val="131"/>
    <w:qFormat/>
    <w:uiPriority w:val="0"/>
    <w:pPr>
      <w:ind w:firstLine="420"/>
    </w:pPr>
  </w:style>
  <w:style w:type="paragraph" w:styleId="12">
    <w:name w:val="toc 7"/>
    <w:basedOn w:val="1"/>
    <w:next w:val="1"/>
    <w:qFormat/>
    <w:uiPriority w:val="39"/>
    <w:pPr>
      <w:ind w:left="1260"/>
      <w:jc w:val="left"/>
    </w:pPr>
    <w:rPr>
      <w:sz w:val="18"/>
      <w:szCs w:val="18"/>
    </w:rPr>
  </w:style>
  <w:style w:type="paragraph" w:styleId="13">
    <w:name w:val="List Number"/>
    <w:basedOn w:val="1"/>
    <w:qFormat/>
    <w:uiPriority w:val="99"/>
    <w:pPr>
      <w:widowControl/>
      <w:tabs>
        <w:tab w:val="left" w:pos="454"/>
        <w:tab w:val="left" w:pos="720"/>
      </w:tabs>
      <w:spacing w:afterLines="50"/>
      <w:ind w:left="454" w:hanging="284"/>
      <w:jc w:val="left"/>
    </w:pPr>
    <w:rPr>
      <w:kern w:val="0"/>
      <w:sz w:val="24"/>
      <w:szCs w:val="24"/>
    </w:rPr>
  </w:style>
  <w:style w:type="paragraph" w:styleId="14">
    <w:name w:val="caption"/>
    <w:basedOn w:val="1"/>
    <w:next w:val="1"/>
    <w:link w:val="390"/>
    <w:qFormat/>
    <w:uiPriority w:val="99"/>
    <w:pPr>
      <w:spacing w:before="152" w:after="160"/>
    </w:pPr>
    <w:rPr>
      <w:rFonts w:ascii="Arial" w:hAnsi="Arial" w:eastAsia="黑体" w:cs="Arial"/>
      <w:sz w:val="20"/>
      <w:szCs w:val="20"/>
    </w:rPr>
  </w:style>
  <w:style w:type="paragraph" w:styleId="15">
    <w:name w:val="Document Map"/>
    <w:basedOn w:val="1"/>
    <w:link w:val="413"/>
    <w:semiHidden/>
    <w:qFormat/>
    <w:uiPriority w:val="99"/>
    <w:pPr>
      <w:shd w:val="clear" w:color="auto" w:fill="000080"/>
    </w:pPr>
    <w:rPr>
      <w:rFonts w:ascii="Calibri" w:hAnsi="Calibri" w:cs="Calibri"/>
      <w:shd w:val="clear" w:color="auto" w:fill="000080"/>
    </w:rPr>
  </w:style>
  <w:style w:type="paragraph" w:styleId="16">
    <w:name w:val="annotation text"/>
    <w:basedOn w:val="1"/>
    <w:link w:val="369"/>
    <w:qFormat/>
    <w:uiPriority w:val="0"/>
    <w:pPr>
      <w:jc w:val="left"/>
    </w:pPr>
    <w:rPr>
      <w:rFonts w:ascii="Calibri" w:hAnsi="Calibri" w:cs="Calibri"/>
    </w:rPr>
  </w:style>
  <w:style w:type="paragraph" w:styleId="17">
    <w:name w:val="Body Text 3"/>
    <w:basedOn w:val="1"/>
    <w:link w:val="71"/>
    <w:qFormat/>
    <w:uiPriority w:val="99"/>
    <w:pPr>
      <w:snapToGrid w:val="0"/>
      <w:spacing w:before="50" w:after="50"/>
    </w:pPr>
    <w:rPr>
      <w:rFonts w:ascii="Calibri" w:hAnsi="宋体" w:eastAsia="仿宋_GB2312" w:cs="Calibri"/>
      <w:b/>
      <w:bCs/>
      <w:sz w:val="24"/>
      <w:szCs w:val="24"/>
    </w:rPr>
  </w:style>
  <w:style w:type="paragraph" w:styleId="18">
    <w:name w:val="Body Text"/>
    <w:basedOn w:val="1"/>
    <w:next w:val="19"/>
    <w:link w:val="72"/>
    <w:qFormat/>
    <w:uiPriority w:val="99"/>
    <w:pPr>
      <w:spacing w:after="120"/>
    </w:pPr>
    <w:rPr>
      <w:rFonts w:ascii="Calibri" w:hAnsi="Calibri" w:cs="Calibri"/>
      <w:sz w:val="28"/>
      <w:szCs w:val="28"/>
    </w:rPr>
  </w:style>
  <w:style w:type="paragraph" w:styleId="19">
    <w:name w:val="Body Text First Indent"/>
    <w:basedOn w:val="18"/>
    <w:next w:val="20"/>
    <w:link w:val="86"/>
    <w:qFormat/>
    <w:uiPriority w:val="99"/>
    <w:pPr>
      <w:ind w:firstLine="420" w:firstLineChars="100"/>
    </w:pPr>
    <w:rPr>
      <w:sz w:val="21"/>
      <w:szCs w:val="21"/>
    </w:rPr>
  </w:style>
  <w:style w:type="paragraph" w:styleId="20">
    <w:name w:val="toc 6"/>
    <w:basedOn w:val="1"/>
    <w:next w:val="1"/>
    <w:qFormat/>
    <w:uiPriority w:val="39"/>
    <w:pPr>
      <w:ind w:left="1050"/>
      <w:jc w:val="left"/>
    </w:pPr>
    <w:rPr>
      <w:sz w:val="18"/>
      <w:szCs w:val="18"/>
    </w:rPr>
  </w:style>
  <w:style w:type="paragraph" w:styleId="21">
    <w:name w:val="Body Text Indent"/>
    <w:basedOn w:val="1"/>
    <w:next w:val="1"/>
    <w:link w:val="415"/>
    <w:qFormat/>
    <w:uiPriority w:val="99"/>
    <w:pPr>
      <w:spacing w:line="200" w:lineRule="exact"/>
      <w:ind w:firstLine="301"/>
    </w:pPr>
    <w:rPr>
      <w:rFonts w:ascii="宋体" w:hAnsi="Courier New" w:cs="宋体"/>
      <w:spacing w:val="-4"/>
      <w:sz w:val="18"/>
      <w:szCs w:val="18"/>
    </w:rPr>
  </w:style>
  <w:style w:type="paragraph" w:styleId="22">
    <w:name w:val="List Number 3"/>
    <w:basedOn w:val="1"/>
    <w:qFormat/>
    <w:uiPriority w:val="99"/>
    <w:pPr>
      <w:tabs>
        <w:tab w:val="left" w:pos="1200"/>
      </w:tabs>
      <w:ind w:left="1200" w:hanging="360"/>
    </w:pPr>
  </w:style>
  <w:style w:type="paragraph" w:styleId="23">
    <w:name w:val="List 2"/>
    <w:basedOn w:val="1"/>
    <w:qFormat/>
    <w:uiPriority w:val="99"/>
    <w:pPr>
      <w:ind w:left="100" w:leftChars="200" w:hanging="200" w:hangingChars="200"/>
    </w:pPr>
    <w:rPr>
      <w:sz w:val="28"/>
      <w:szCs w:val="28"/>
    </w:rPr>
  </w:style>
  <w:style w:type="paragraph" w:styleId="24">
    <w:name w:val="toc 5"/>
    <w:basedOn w:val="1"/>
    <w:next w:val="1"/>
    <w:qFormat/>
    <w:uiPriority w:val="39"/>
    <w:pPr>
      <w:ind w:left="840"/>
      <w:jc w:val="left"/>
    </w:pPr>
    <w:rPr>
      <w:sz w:val="18"/>
      <w:szCs w:val="18"/>
    </w:rPr>
  </w:style>
  <w:style w:type="paragraph" w:styleId="25">
    <w:name w:val="toc 3"/>
    <w:basedOn w:val="1"/>
    <w:next w:val="1"/>
    <w:qFormat/>
    <w:uiPriority w:val="39"/>
    <w:pPr>
      <w:ind w:left="420"/>
      <w:jc w:val="left"/>
    </w:pPr>
    <w:rPr>
      <w:i/>
      <w:iCs/>
      <w:sz w:val="20"/>
      <w:szCs w:val="20"/>
    </w:rPr>
  </w:style>
  <w:style w:type="paragraph" w:styleId="26">
    <w:name w:val="Plain Text"/>
    <w:basedOn w:val="1"/>
    <w:next w:val="9"/>
    <w:link w:val="417"/>
    <w:qFormat/>
    <w:uiPriority w:val="99"/>
    <w:pPr>
      <w:spacing w:beforeLines="50" w:afterLines="50" w:line="400" w:lineRule="exact"/>
    </w:pPr>
    <w:rPr>
      <w:rFonts w:ascii="宋体" w:hAnsi="Courier New" w:cs="宋体"/>
      <w:sz w:val="24"/>
      <w:szCs w:val="24"/>
    </w:rPr>
  </w:style>
  <w:style w:type="paragraph" w:styleId="27">
    <w:name w:val="toc 8"/>
    <w:basedOn w:val="1"/>
    <w:next w:val="1"/>
    <w:qFormat/>
    <w:uiPriority w:val="39"/>
    <w:pPr>
      <w:ind w:left="1470"/>
      <w:jc w:val="left"/>
    </w:pPr>
    <w:rPr>
      <w:sz w:val="18"/>
      <w:szCs w:val="18"/>
    </w:rPr>
  </w:style>
  <w:style w:type="paragraph" w:styleId="28">
    <w:name w:val="Date"/>
    <w:basedOn w:val="1"/>
    <w:next w:val="1"/>
    <w:link w:val="383"/>
    <w:qFormat/>
    <w:uiPriority w:val="99"/>
    <w:pPr>
      <w:ind w:left="2500" w:leftChars="2500"/>
    </w:pPr>
    <w:rPr>
      <w:rFonts w:ascii="Calibri" w:hAnsi="Calibri" w:eastAsia="楷体_GB2312" w:cs="Calibri"/>
      <w:sz w:val="32"/>
      <w:szCs w:val="32"/>
    </w:rPr>
  </w:style>
  <w:style w:type="paragraph" w:styleId="29">
    <w:name w:val="Body Text Indent 2"/>
    <w:basedOn w:val="1"/>
    <w:link w:val="75"/>
    <w:qFormat/>
    <w:uiPriority w:val="99"/>
    <w:pPr>
      <w:snapToGrid w:val="0"/>
      <w:ind w:firstLine="542" w:firstLineChars="225"/>
    </w:pPr>
    <w:rPr>
      <w:rFonts w:ascii="仿宋_GB2312" w:hAnsi="宋体" w:cs="仿宋_GB2312"/>
      <w:b/>
      <w:bCs/>
      <w:color w:val="000000"/>
      <w:sz w:val="24"/>
      <w:szCs w:val="24"/>
    </w:rPr>
  </w:style>
  <w:style w:type="paragraph" w:styleId="30">
    <w:name w:val="endnote text"/>
    <w:basedOn w:val="1"/>
    <w:link w:val="76"/>
    <w:semiHidden/>
    <w:qFormat/>
    <w:uiPriority w:val="99"/>
    <w:pPr>
      <w:snapToGrid w:val="0"/>
      <w:jc w:val="left"/>
    </w:pPr>
    <w:rPr>
      <w:rFonts w:ascii="Calibri" w:hAnsi="Calibri" w:cs="Calibri"/>
    </w:rPr>
  </w:style>
  <w:style w:type="paragraph" w:styleId="31">
    <w:name w:val="Balloon Text"/>
    <w:basedOn w:val="1"/>
    <w:link w:val="418"/>
    <w:semiHidden/>
    <w:qFormat/>
    <w:uiPriority w:val="0"/>
    <w:rPr>
      <w:rFonts w:ascii="Calibri" w:hAnsi="Calibri" w:cs="Calibri"/>
      <w:sz w:val="18"/>
      <w:szCs w:val="18"/>
    </w:rPr>
  </w:style>
  <w:style w:type="paragraph" w:styleId="32">
    <w:name w:val="footer"/>
    <w:basedOn w:val="1"/>
    <w:link w:val="419"/>
    <w:qFormat/>
    <w:uiPriority w:val="99"/>
    <w:pPr>
      <w:tabs>
        <w:tab w:val="center" w:pos="4153"/>
        <w:tab w:val="right" w:pos="8306"/>
      </w:tabs>
      <w:snapToGrid w:val="0"/>
      <w:jc w:val="left"/>
    </w:pPr>
    <w:rPr>
      <w:rFonts w:ascii="Calibri" w:hAnsi="Calibri" w:eastAsia="黑体" w:cs="Calibri"/>
      <w:kern w:val="0"/>
      <w:sz w:val="18"/>
      <w:szCs w:val="18"/>
    </w:rPr>
  </w:style>
  <w:style w:type="paragraph" w:styleId="33">
    <w:name w:val="header"/>
    <w:basedOn w:val="1"/>
    <w:link w:val="421"/>
    <w:qFormat/>
    <w:uiPriority w:val="99"/>
    <w:pPr>
      <w:pBdr>
        <w:bottom w:val="single" w:color="auto" w:sz="6" w:space="1"/>
      </w:pBdr>
      <w:tabs>
        <w:tab w:val="center" w:pos="4153"/>
        <w:tab w:val="right" w:pos="8306"/>
      </w:tabs>
      <w:snapToGrid w:val="0"/>
      <w:jc w:val="center"/>
    </w:pPr>
    <w:rPr>
      <w:rFonts w:ascii="Calibri" w:hAnsi="Calibri" w:eastAsia="仿宋_GB2312" w:cs="Calibri"/>
      <w:sz w:val="18"/>
      <w:szCs w:val="18"/>
    </w:rPr>
  </w:style>
  <w:style w:type="paragraph" w:styleId="34">
    <w:name w:val="toc 1"/>
    <w:basedOn w:val="1"/>
    <w:next w:val="1"/>
    <w:qFormat/>
    <w:uiPriority w:val="39"/>
  </w:style>
  <w:style w:type="paragraph" w:styleId="35">
    <w:name w:val="toc 4"/>
    <w:basedOn w:val="1"/>
    <w:next w:val="1"/>
    <w:qFormat/>
    <w:uiPriority w:val="39"/>
    <w:pPr>
      <w:ind w:left="630"/>
      <w:jc w:val="left"/>
    </w:pPr>
    <w:rPr>
      <w:sz w:val="18"/>
      <w:szCs w:val="18"/>
    </w:rPr>
  </w:style>
  <w:style w:type="paragraph" w:styleId="36">
    <w:name w:val="Subtitle"/>
    <w:basedOn w:val="1"/>
    <w:next w:val="1"/>
    <w:link w:val="80"/>
    <w:qFormat/>
    <w:uiPriority w:val="0"/>
    <w:pPr>
      <w:spacing w:before="240" w:after="60" w:line="312" w:lineRule="auto"/>
      <w:jc w:val="center"/>
      <w:outlineLvl w:val="1"/>
    </w:pPr>
    <w:rPr>
      <w:rFonts w:ascii="Cambria" w:hAnsi="Cambria" w:cs="Cambria"/>
      <w:b/>
      <w:bCs/>
      <w:kern w:val="28"/>
      <w:sz w:val="32"/>
      <w:szCs w:val="32"/>
    </w:rPr>
  </w:style>
  <w:style w:type="paragraph" w:styleId="37">
    <w:name w:val="List"/>
    <w:basedOn w:val="1"/>
    <w:qFormat/>
    <w:uiPriority w:val="99"/>
    <w:pPr>
      <w:ind w:left="200" w:hanging="200" w:hangingChars="200"/>
    </w:pPr>
    <w:rPr>
      <w:sz w:val="28"/>
      <w:szCs w:val="28"/>
    </w:rPr>
  </w:style>
  <w:style w:type="paragraph" w:styleId="38">
    <w:name w:val="footnote text"/>
    <w:basedOn w:val="1"/>
    <w:link w:val="81"/>
    <w:semiHidden/>
    <w:qFormat/>
    <w:uiPriority w:val="99"/>
    <w:pPr>
      <w:snapToGrid w:val="0"/>
      <w:jc w:val="left"/>
    </w:pPr>
    <w:rPr>
      <w:rFonts w:ascii="Calibri" w:hAnsi="Calibri" w:cs="Calibri"/>
      <w:sz w:val="18"/>
      <w:szCs w:val="18"/>
    </w:rPr>
  </w:style>
  <w:style w:type="paragraph" w:styleId="39">
    <w:name w:val="Body Text Indent 3"/>
    <w:basedOn w:val="1"/>
    <w:link w:val="82"/>
    <w:qFormat/>
    <w:uiPriority w:val="0"/>
    <w:pPr>
      <w:snapToGrid w:val="0"/>
      <w:ind w:firstLine="480" w:firstLineChars="200"/>
      <w:jc w:val="left"/>
    </w:pPr>
    <w:rPr>
      <w:rFonts w:ascii="仿宋_GB2312" w:hAnsi="宋体" w:eastAsia="仿宋_GB2312" w:cs="仿宋_GB2312"/>
      <w:color w:val="000000"/>
      <w:sz w:val="24"/>
      <w:szCs w:val="24"/>
    </w:rPr>
  </w:style>
  <w:style w:type="paragraph" w:styleId="40">
    <w:name w:val="toc 2"/>
    <w:basedOn w:val="1"/>
    <w:next w:val="1"/>
    <w:qFormat/>
    <w:uiPriority w:val="39"/>
    <w:pPr>
      <w:ind w:left="210"/>
      <w:jc w:val="left"/>
    </w:pPr>
    <w:rPr>
      <w:smallCaps/>
      <w:sz w:val="20"/>
      <w:szCs w:val="20"/>
    </w:rPr>
  </w:style>
  <w:style w:type="paragraph" w:styleId="41">
    <w:name w:val="toc 9"/>
    <w:basedOn w:val="1"/>
    <w:next w:val="1"/>
    <w:qFormat/>
    <w:uiPriority w:val="39"/>
    <w:pPr>
      <w:ind w:left="1680"/>
      <w:jc w:val="left"/>
    </w:pPr>
    <w:rPr>
      <w:sz w:val="18"/>
      <w:szCs w:val="18"/>
    </w:rPr>
  </w:style>
  <w:style w:type="paragraph" w:styleId="42">
    <w:name w:val="Body Text 2"/>
    <w:basedOn w:val="1"/>
    <w:link w:val="83"/>
    <w:qFormat/>
    <w:uiPriority w:val="99"/>
    <w:pPr>
      <w:widowControl/>
      <w:snapToGrid w:val="0"/>
      <w:spacing w:before="50" w:afterLines="50" w:line="400" w:lineRule="exact"/>
      <w:jc w:val="left"/>
    </w:pPr>
    <w:rPr>
      <w:rFonts w:ascii="宋体" w:hAnsi="宋体" w:cs="宋体"/>
      <w:color w:val="000000"/>
      <w:sz w:val="24"/>
      <w:szCs w:val="24"/>
    </w:rPr>
  </w:style>
  <w:style w:type="paragraph" w:styleId="43">
    <w:name w:val="HTML Preformatted"/>
    <w:basedOn w:val="1"/>
    <w:link w:val="423"/>
    <w:semiHidden/>
    <w:unhideWhenUsed/>
    <w:qFormat/>
    <w:locked/>
    <w:uiPriority w:val="99"/>
    <w:rPr>
      <w:rFonts w:ascii="Courier New" w:hAnsi="Courier New"/>
      <w:sz w:val="20"/>
    </w:rPr>
  </w:style>
  <w:style w:type="paragraph" w:styleId="44">
    <w:name w:val="Normal (Web)"/>
    <w:basedOn w:val="1"/>
    <w:qFormat/>
    <w:uiPriority w:val="99"/>
    <w:pPr>
      <w:widowControl/>
      <w:spacing w:before="100" w:beforeAutospacing="1" w:after="100" w:afterAutospacing="1"/>
      <w:jc w:val="left"/>
    </w:pPr>
    <w:rPr>
      <w:kern w:val="0"/>
      <w:sz w:val="24"/>
      <w:szCs w:val="24"/>
    </w:rPr>
  </w:style>
  <w:style w:type="paragraph" w:styleId="45">
    <w:name w:val="Title"/>
    <w:basedOn w:val="1"/>
    <w:next w:val="1"/>
    <w:link w:val="381"/>
    <w:qFormat/>
    <w:uiPriority w:val="10"/>
    <w:pPr>
      <w:spacing w:before="240" w:after="60"/>
      <w:jc w:val="center"/>
      <w:outlineLvl w:val="0"/>
    </w:pPr>
    <w:rPr>
      <w:rFonts w:ascii="Cambria" w:hAnsi="Cambria" w:cs="Cambria"/>
      <w:b/>
      <w:bCs/>
      <w:sz w:val="32"/>
      <w:szCs w:val="32"/>
    </w:rPr>
  </w:style>
  <w:style w:type="paragraph" w:styleId="46">
    <w:name w:val="annotation subject"/>
    <w:basedOn w:val="16"/>
    <w:next w:val="16"/>
    <w:link w:val="389"/>
    <w:semiHidden/>
    <w:qFormat/>
    <w:uiPriority w:val="99"/>
    <w:rPr>
      <w:b/>
      <w:bCs/>
    </w:rPr>
  </w:style>
  <w:style w:type="paragraph" w:styleId="47">
    <w:name w:val="Body Text First Indent 2"/>
    <w:basedOn w:val="21"/>
    <w:next w:val="1"/>
    <w:link w:val="87"/>
    <w:qFormat/>
    <w:uiPriority w:val="99"/>
    <w:pPr>
      <w:spacing w:after="120" w:line="240" w:lineRule="auto"/>
      <w:ind w:left="420" w:leftChars="200" w:firstLine="420" w:firstLineChars="200"/>
    </w:pPr>
    <w:rPr>
      <w:rFonts w:ascii="Times New Roman" w:hAnsi="Times New Roman" w:cs="Times New Roman"/>
      <w:spacing w:val="0"/>
      <w:sz w:val="21"/>
      <w:szCs w:val="21"/>
    </w:rPr>
  </w:style>
  <w:style w:type="table" w:styleId="49">
    <w:name w:val="Table Grid"/>
    <w:basedOn w:val="4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0">
    <w:name w:val="Table Classic 4"/>
    <w:basedOn w:val="48"/>
    <w:semiHidden/>
    <w:unhideWhenUsed/>
    <w:qFormat/>
    <w:locked/>
    <w:uiPriority w:val="99"/>
    <w:pPr>
      <w:widowControl w:val="0"/>
      <w:spacing w:beforeLines="50" w:afterLines="50" w:line="276" w:lineRule="auto"/>
      <w:ind w:firstLine="480" w:firstLineChars="200"/>
      <w:jc w:val="both"/>
    </w:pPr>
    <w:rPr>
      <w:rFonts w:hint="eastAsia" w:ascii="宋体" w:hAnsi="宋体" w:cs="宋体"/>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tcBorders>
        <w:top w:val="single" w:color="000000" w:sz="12" w:space="0"/>
        <w:left w:val="single" w:color="000000" w:sz="6" w:space="0"/>
        <w:bottom w:val="single" w:color="000000" w:sz="12" w:space="0"/>
        <w:right w:val="single" w:color="000000" w:sz="6" w:space="0"/>
      </w:tcBorders>
    </w:tcPr>
    <w:tblStylePr w:type="firstRow">
      <w:rPr>
        <w:b/>
        <w:bCs/>
        <w:i/>
        <w:iCs/>
        <w:color w:val="FFFFFF"/>
      </w:rPr>
      <w:tblPr/>
      <w:tcPr>
        <w:tcBorders>
          <w:top w:val="nil"/>
          <w:left w:val="nil"/>
          <w:bottom w:val="single" w:color="000000" w:sz="6" w:space="0"/>
          <w:right w:val="nil"/>
          <w:tl2br w:val="nil"/>
          <w:tr2bl w:val="nil"/>
        </w:tcBorders>
        <w:shd w:val="pct50" w:color="000080" w:fill="FFFFFF"/>
      </w:tcPr>
    </w:tblStylePr>
    <w:tblStylePr w:type="lastRow">
      <w:rPr>
        <w:color w:val="000080"/>
      </w:rPr>
      <w:tblPr/>
      <w:tcPr>
        <w:tcBorders>
          <w:top w:val="nil"/>
          <w:left w:val="nil"/>
          <w:bottom w:val="single" w:color="000000" w:sz="6" w:space="0"/>
          <w:right w:val="nil"/>
          <w:tl2br w:val="nil"/>
          <w:tr2bl w:val="nil"/>
        </w:tcBorders>
        <w:shd w:val="pct50" w:color="000000" w:fill="FFFFFF"/>
      </w:tcPr>
    </w:tblStylePr>
    <w:tblStylePr w:type="firstCol">
      <w:rPr>
        <w:b/>
        <w:bCs/>
      </w:rPr>
      <w:tblPr/>
      <w:tcPr>
        <w:tcBorders>
          <w:top w:val="nil"/>
          <w:left w:val="nil"/>
          <w:bottom w:val="nil"/>
          <w:right w:val="nil"/>
          <w:tl2br w:val="nil"/>
          <w:tr2bl w:val="nil"/>
        </w:tcBorders>
      </w:tcPr>
    </w:tblStylePr>
    <w:tblStylePr w:type="nwCell">
      <w:rPr>
        <w:b/>
        <w:bCs/>
      </w:rPr>
      <w:tblPr/>
      <w:tcPr>
        <w:tcBorders>
          <w:top w:val="nil"/>
          <w:left w:val="nil"/>
          <w:bottom w:val="nil"/>
          <w:right w:val="nil"/>
          <w:tl2br w:val="nil"/>
          <w:tr2bl w:val="nil"/>
        </w:tcBorders>
      </w:tcPr>
    </w:tblStylePr>
    <w:tblStylePr w:type="swCell">
      <w:rPr>
        <w:color w:val="000080"/>
      </w:rPr>
      <w:tblPr/>
      <w:tcPr>
        <w:tcBorders>
          <w:top w:val="nil"/>
          <w:left w:val="nil"/>
          <w:bottom w:val="nil"/>
          <w:right w:val="nil"/>
          <w:tl2br w:val="nil"/>
          <w:tr2bl w:val="nil"/>
        </w:tcBorders>
      </w:tcPr>
    </w:tblStylePr>
  </w:style>
  <w:style w:type="character" w:styleId="52">
    <w:name w:val="Strong"/>
    <w:basedOn w:val="51"/>
    <w:qFormat/>
    <w:uiPriority w:val="22"/>
    <w:rPr>
      <w:b/>
      <w:bCs/>
    </w:rPr>
  </w:style>
  <w:style w:type="character" w:styleId="53">
    <w:name w:val="page number"/>
    <w:basedOn w:val="51"/>
    <w:qFormat/>
    <w:uiPriority w:val="99"/>
  </w:style>
  <w:style w:type="character" w:styleId="54">
    <w:name w:val="FollowedHyperlink"/>
    <w:basedOn w:val="51"/>
    <w:qFormat/>
    <w:uiPriority w:val="0"/>
    <w:rPr>
      <w:color w:val="800080"/>
      <w:u w:val="single"/>
    </w:rPr>
  </w:style>
  <w:style w:type="character" w:styleId="55">
    <w:name w:val="Emphasis"/>
    <w:basedOn w:val="51"/>
    <w:qFormat/>
    <w:uiPriority w:val="99"/>
    <w:rPr>
      <w:i/>
      <w:iCs/>
    </w:rPr>
  </w:style>
  <w:style w:type="character" w:styleId="56">
    <w:name w:val="Hyperlink"/>
    <w:basedOn w:val="51"/>
    <w:qFormat/>
    <w:uiPriority w:val="99"/>
    <w:rPr>
      <w:color w:val="0000FF"/>
      <w:u w:val="single"/>
    </w:rPr>
  </w:style>
  <w:style w:type="character" w:styleId="57">
    <w:name w:val="annotation reference"/>
    <w:basedOn w:val="51"/>
    <w:qFormat/>
    <w:uiPriority w:val="99"/>
    <w:rPr>
      <w:sz w:val="21"/>
      <w:szCs w:val="21"/>
    </w:rPr>
  </w:style>
  <w:style w:type="paragraph" w:customStyle="1" w:styleId="58">
    <w:name w:val="样式3"/>
    <w:basedOn w:val="26"/>
    <w:qFormat/>
    <w:uiPriority w:val="99"/>
    <w:pPr>
      <w:numPr>
        <w:ilvl w:val="0"/>
        <w:numId w:val="1"/>
      </w:numPr>
      <w:tabs>
        <w:tab w:val="left" w:pos="420"/>
      </w:tabs>
      <w:spacing w:line="360" w:lineRule="auto"/>
      <w:ind w:left="0" w:firstLine="883" w:firstLineChars="200"/>
      <w:jc w:val="left"/>
    </w:pPr>
    <w:rPr>
      <w:sz w:val="28"/>
      <w:szCs w:val="28"/>
    </w:rPr>
  </w:style>
  <w:style w:type="character" w:customStyle="1" w:styleId="59">
    <w:name w:val="标题 1 字符"/>
    <w:basedOn w:val="51"/>
    <w:qFormat/>
    <w:locked/>
    <w:uiPriority w:val="9"/>
    <w:rPr>
      <w:rFonts w:hAnsi="宋体"/>
      <w:b/>
      <w:bCs/>
      <w:color w:val="000000"/>
      <w:kern w:val="2"/>
      <w:sz w:val="30"/>
      <w:szCs w:val="30"/>
    </w:rPr>
  </w:style>
  <w:style w:type="character" w:customStyle="1" w:styleId="60">
    <w:name w:val="标题 2 字符"/>
    <w:basedOn w:val="51"/>
    <w:qFormat/>
    <w:locked/>
    <w:uiPriority w:val="9"/>
    <w:rPr>
      <w:rFonts w:ascii="Arial" w:hAnsi="Arial" w:eastAsia="黑体" w:cs="Arial"/>
      <w:b/>
      <w:bCs/>
      <w:kern w:val="2"/>
      <w:sz w:val="32"/>
      <w:szCs w:val="32"/>
    </w:rPr>
  </w:style>
  <w:style w:type="character" w:customStyle="1" w:styleId="61">
    <w:name w:val="标题 3 字符"/>
    <w:basedOn w:val="51"/>
    <w:qFormat/>
    <w:locked/>
    <w:uiPriority w:val="9"/>
    <w:rPr>
      <w:b/>
      <w:bCs/>
      <w:sz w:val="32"/>
      <w:szCs w:val="32"/>
    </w:rPr>
  </w:style>
  <w:style w:type="character" w:customStyle="1" w:styleId="62">
    <w:name w:val="标题 4 字符"/>
    <w:basedOn w:val="51"/>
    <w:qFormat/>
    <w:locked/>
    <w:uiPriority w:val="9"/>
    <w:rPr>
      <w:rFonts w:ascii="Arial" w:hAnsi="Arial" w:eastAsia="黑体" w:cs="Arial"/>
      <w:b/>
      <w:bCs/>
      <w:kern w:val="2"/>
      <w:sz w:val="28"/>
      <w:szCs w:val="28"/>
    </w:rPr>
  </w:style>
  <w:style w:type="character" w:customStyle="1" w:styleId="63">
    <w:name w:val="标题 5 字符"/>
    <w:basedOn w:val="51"/>
    <w:qFormat/>
    <w:locked/>
    <w:uiPriority w:val="9"/>
    <w:rPr>
      <w:rFonts w:ascii="Calibri" w:hAnsi="Calibri" w:cs="Calibri"/>
      <w:b/>
      <w:bCs/>
      <w:kern w:val="2"/>
      <w:sz w:val="28"/>
      <w:szCs w:val="28"/>
    </w:rPr>
  </w:style>
  <w:style w:type="character" w:customStyle="1" w:styleId="64">
    <w:name w:val="标题 6 字符"/>
    <w:basedOn w:val="51"/>
    <w:qFormat/>
    <w:locked/>
    <w:uiPriority w:val="9"/>
    <w:rPr>
      <w:rFonts w:ascii="Arial" w:hAnsi="Arial" w:eastAsia="黑体" w:cs="Arial"/>
      <w:b/>
      <w:bCs/>
      <w:kern w:val="2"/>
      <w:sz w:val="24"/>
      <w:szCs w:val="24"/>
    </w:rPr>
  </w:style>
  <w:style w:type="character" w:customStyle="1" w:styleId="65">
    <w:name w:val="标题 7 字符"/>
    <w:basedOn w:val="51"/>
    <w:qFormat/>
    <w:locked/>
    <w:uiPriority w:val="9"/>
    <w:rPr>
      <w:rFonts w:ascii="Calibri" w:hAnsi="Calibri" w:cs="Calibri"/>
      <w:b/>
      <w:bCs/>
      <w:kern w:val="2"/>
      <w:sz w:val="24"/>
      <w:szCs w:val="24"/>
    </w:rPr>
  </w:style>
  <w:style w:type="character" w:customStyle="1" w:styleId="66">
    <w:name w:val="标题 8 字符"/>
    <w:basedOn w:val="51"/>
    <w:qFormat/>
    <w:locked/>
    <w:uiPriority w:val="9"/>
    <w:rPr>
      <w:rFonts w:ascii="Arial" w:hAnsi="Arial" w:eastAsia="黑体" w:cs="Arial"/>
      <w:kern w:val="2"/>
      <w:sz w:val="24"/>
      <w:szCs w:val="24"/>
    </w:rPr>
  </w:style>
  <w:style w:type="character" w:customStyle="1" w:styleId="67">
    <w:name w:val="标题 9 字符"/>
    <w:basedOn w:val="51"/>
    <w:qFormat/>
    <w:locked/>
    <w:uiPriority w:val="9"/>
    <w:rPr>
      <w:rFonts w:ascii="Arial" w:hAnsi="Arial" w:eastAsia="黑体" w:cs="Arial"/>
      <w:kern w:val="2"/>
      <w:sz w:val="21"/>
      <w:szCs w:val="21"/>
    </w:rPr>
  </w:style>
  <w:style w:type="character" w:customStyle="1" w:styleId="68">
    <w:name w:val="Plain Text Char"/>
    <w:basedOn w:val="51"/>
    <w:qFormat/>
    <w:locked/>
    <w:uiPriority w:val="99"/>
    <w:rPr>
      <w:rFonts w:ascii="宋体" w:hAnsi="Courier New" w:eastAsia="宋体" w:cs="宋体"/>
      <w:sz w:val="21"/>
      <w:szCs w:val="21"/>
    </w:rPr>
  </w:style>
  <w:style w:type="character" w:customStyle="1" w:styleId="69">
    <w:name w:val="文档结构图 字符"/>
    <w:basedOn w:val="51"/>
    <w:qFormat/>
    <w:locked/>
    <w:uiPriority w:val="99"/>
    <w:rPr>
      <w:kern w:val="2"/>
      <w:sz w:val="24"/>
      <w:szCs w:val="24"/>
      <w:shd w:val="clear" w:color="auto" w:fill="000080"/>
    </w:rPr>
  </w:style>
  <w:style w:type="character" w:customStyle="1" w:styleId="70">
    <w:name w:val="批注文字 字符"/>
    <w:basedOn w:val="51"/>
    <w:qFormat/>
    <w:locked/>
    <w:uiPriority w:val="99"/>
    <w:rPr>
      <w:kern w:val="2"/>
      <w:sz w:val="24"/>
      <w:szCs w:val="24"/>
    </w:rPr>
  </w:style>
  <w:style w:type="character" w:customStyle="1" w:styleId="71">
    <w:name w:val="正文文本 3 Char"/>
    <w:basedOn w:val="51"/>
    <w:link w:val="17"/>
    <w:qFormat/>
    <w:locked/>
    <w:uiPriority w:val="99"/>
    <w:rPr>
      <w:rFonts w:hAnsi="宋体" w:eastAsia="仿宋_GB2312"/>
      <w:b/>
      <w:bCs/>
      <w:kern w:val="2"/>
      <w:sz w:val="24"/>
      <w:szCs w:val="24"/>
    </w:rPr>
  </w:style>
  <w:style w:type="character" w:customStyle="1" w:styleId="72">
    <w:name w:val="正文文本 Char1"/>
    <w:basedOn w:val="51"/>
    <w:link w:val="18"/>
    <w:qFormat/>
    <w:locked/>
    <w:uiPriority w:val="99"/>
    <w:rPr>
      <w:kern w:val="2"/>
      <w:sz w:val="24"/>
      <w:szCs w:val="24"/>
    </w:rPr>
  </w:style>
  <w:style w:type="character" w:customStyle="1" w:styleId="73">
    <w:name w:val="正文文本缩进 字符"/>
    <w:basedOn w:val="51"/>
    <w:qFormat/>
    <w:locked/>
    <w:uiPriority w:val="0"/>
    <w:rPr>
      <w:rFonts w:ascii="宋体" w:hAnsi="Courier New" w:cs="宋体"/>
      <w:spacing w:val="-4"/>
      <w:kern w:val="2"/>
      <w:sz w:val="18"/>
      <w:szCs w:val="18"/>
    </w:rPr>
  </w:style>
  <w:style w:type="character" w:customStyle="1" w:styleId="74">
    <w:name w:val="日期 字符"/>
    <w:basedOn w:val="51"/>
    <w:qFormat/>
    <w:locked/>
    <w:uiPriority w:val="99"/>
    <w:rPr>
      <w:rFonts w:eastAsia="楷体_GB2312"/>
      <w:kern w:val="2"/>
      <w:sz w:val="32"/>
      <w:szCs w:val="32"/>
    </w:rPr>
  </w:style>
  <w:style w:type="character" w:customStyle="1" w:styleId="75">
    <w:name w:val="正文文本缩进 2 Char"/>
    <w:basedOn w:val="51"/>
    <w:link w:val="29"/>
    <w:qFormat/>
    <w:locked/>
    <w:uiPriority w:val="99"/>
    <w:rPr>
      <w:rFonts w:ascii="仿宋_GB2312" w:hAnsi="宋体" w:cs="仿宋_GB2312"/>
      <w:b/>
      <w:bCs/>
      <w:color w:val="000000"/>
      <w:kern w:val="2"/>
      <w:sz w:val="24"/>
      <w:szCs w:val="24"/>
    </w:rPr>
  </w:style>
  <w:style w:type="character" w:customStyle="1" w:styleId="76">
    <w:name w:val="尾注文本 Char"/>
    <w:basedOn w:val="51"/>
    <w:link w:val="30"/>
    <w:qFormat/>
    <w:locked/>
    <w:uiPriority w:val="99"/>
    <w:rPr>
      <w:kern w:val="2"/>
      <w:sz w:val="24"/>
      <w:szCs w:val="24"/>
    </w:rPr>
  </w:style>
  <w:style w:type="character" w:customStyle="1" w:styleId="77">
    <w:name w:val="批注框文本 字符1"/>
    <w:basedOn w:val="51"/>
    <w:qFormat/>
    <w:locked/>
    <w:uiPriority w:val="99"/>
    <w:rPr>
      <w:kern w:val="2"/>
      <w:sz w:val="18"/>
      <w:szCs w:val="18"/>
    </w:rPr>
  </w:style>
  <w:style w:type="character" w:customStyle="1" w:styleId="78">
    <w:name w:val="页脚 字符1"/>
    <w:basedOn w:val="51"/>
    <w:qFormat/>
    <w:locked/>
    <w:uiPriority w:val="99"/>
    <w:rPr>
      <w:rFonts w:eastAsia="黑体"/>
      <w:snapToGrid w:val="0"/>
      <w:sz w:val="18"/>
      <w:szCs w:val="18"/>
      <w:lang w:val="en-US" w:eastAsia="zh-CN"/>
    </w:rPr>
  </w:style>
  <w:style w:type="character" w:customStyle="1" w:styleId="79">
    <w:name w:val="页眉 字符1"/>
    <w:basedOn w:val="51"/>
    <w:qFormat/>
    <w:locked/>
    <w:uiPriority w:val="99"/>
    <w:rPr>
      <w:rFonts w:eastAsia="仿宋_GB2312"/>
      <w:kern w:val="2"/>
      <w:sz w:val="18"/>
      <w:szCs w:val="18"/>
    </w:rPr>
  </w:style>
  <w:style w:type="character" w:customStyle="1" w:styleId="80">
    <w:name w:val="副标题 Char"/>
    <w:basedOn w:val="51"/>
    <w:link w:val="36"/>
    <w:qFormat/>
    <w:locked/>
    <w:uiPriority w:val="99"/>
    <w:rPr>
      <w:rFonts w:ascii="Cambria" w:hAnsi="Cambria" w:cs="Cambria"/>
      <w:b/>
      <w:bCs/>
      <w:kern w:val="28"/>
      <w:sz w:val="32"/>
      <w:szCs w:val="32"/>
    </w:rPr>
  </w:style>
  <w:style w:type="character" w:customStyle="1" w:styleId="81">
    <w:name w:val="脚注文本 Char"/>
    <w:basedOn w:val="51"/>
    <w:link w:val="38"/>
    <w:qFormat/>
    <w:locked/>
    <w:uiPriority w:val="99"/>
    <w:rPr>
      <w:kern w:val="2"/>
      <w:sz w:val="18"/>
      <w:szCs w:val="18"/>
    </w:rPr>
  </w:style>
  <w:style w:type="character" w:customStyle="1" w:styleId="82">
    <w:name w:val="正文文本缩进 3 Char"/>
    <w:basedOn w:val="51"/>
    <w:link w:val="39"/>
    <w:qFormat/>
    <w:locked/>
    <w:uiPriority w:val="0"/>
    <w:rPr>
      <w:rFonts w:ascii="仿宋_GB2312" w:hAnsi="宋体" w:eastAsia="仿宋_GB2312" w:cs="仿宋_GB2312"/>
      <w:color w:val="000000"/>
      <w:kern w:val="2"/>
      <w:sz w:val="24"/>
      <w:szCs w:val="24"/>
    </w:rPr>
  </w:style>
  <w:style w:type="character" w:customStyle="1" w:styleId="83">
    <w:name w:val="正文文本 2 Char"/>
    <w:basedOn w:val="51"/>
    <w:link w:val="42"/>
    <w:qFormat/>
    <w:locked/>
    <w:uiPriority w:val="99"/>
    <w:rPr>
      <w:rFonts w:ascii="宋体" w:eastAsia="宋体" w:cs="宋体"/>
      <w:color w:val="000000"/>
      <w:kern w:val="2"/>
      <w:sz w:val="24"/>
      <w:szCs w:val="24"/>
    </w:rPr>
  </w:style>
  <w:style w:type="character" w:customStyle="1" w:styleId="84">
    <w:name w:val="标题 字符1"/>
    <w:basedOn w:val="51"/>
    <w:qFormat/>
    <w:locked/>
    <w:uiPriority w:val="10"/>
    <w:rPr>
      <w:rFonts w:ascii="Cambria" w:hAnsi="Cambria" w:cs="Cambria"/>
      <w:b/>
      <w:bCs/>
      <w:kern w:val="2"/>
      <w:sz w:val="32"/>
      <w:szCs w:val="32"/>
    </w:rPr>
  </w:style>
  <w:style w:type="character" w:customStyle="1" w:styleId="85">
    <w:name w:val="批注主题 字符"/>
    <w:basedOn w:val="70"/>
    <w:qFormat/>
    <w:locked/>
    <w:uiPriority w:val="99"/>
    <w:rPr>
      <w:b/>
      <w:bCs/>
      <w:kern w:val="2"/>
      <w:sz w:val="24"/>
      <w:szCs w:val="24"/>
    </w:rPr>
  </w:style>
  <w:style w:type="character" w:customStyle="1" w:styleId="86">
    <w:name w:val="正文首行缩进 Char1"/>
    <w:basedOn w:val="72"/>
    <w:link w:val="19"/>
    <w:qFormat/>
    <w:locked/>
    <w:uiPriority w:val="99"/>
    <w:rPr>
      <w:kern w:val="2"/>
      <w:sz w:val="24"/>
      <w:szCs w:val="24"/>
    </w:rPr>
  </w:style>
  <w:style w:type="character" w:customStyle="1" w:styleId="87">
    <w:name w:val="正文首行缩进 2 Char1"/>
    <w:basedOn w:val="73"/>
    <w:link w:val="47"/>
    <w:qFormat/>
    <w:locked/>
    <w:uiPriority w:val="99"/>
    <w:rPr>
      <w:rFonts w:ascii="宋体" w:hAnsi="Courier New" w:cs="宋体"/>
      <w:spacing w:val="-4"/>
      <w:kern w:val="2"/>
      <w:sz w:val="21"/>
      <w:szCs w:val="21"/>
    </w:rPr>
  </w:style>
  <w:style w:type="character" w:customStyle="1" w:styleId="88">
    <w:name w:val="纯文本 字符"/>
    <w:qFormat/>
    <w:locked/>
    <w:uiPriority w:val="99"/>
    <w:rPr>
      <w:rFonts w:ascii="宋体" w:hAnsi="Courier New" w:cs="宋体"/>
      <w:kern w:val="2"/>
    </w:rPr>
  </w:style>
  <w:style w:type="character" w:customStyle="1" w:styleId="89">
    <w:name w:val="标题 字符"/>
    <w:qFormat/>
    <w:uiPriority w:val="99"/>
    <w:rPr>
      <w:rFonts w:ascii="等线 Light" w:eastAsia="等线 Light" w:cs="等线 Light"/>
      <w:b/>
      <w:bCs/>
      <w:kern w:val="2"/>
      <w:sz w:val="32"/>
      <w:szCs w:val="32"/>
    </w:rPr>
  </w:style>
  <w:style w:type="character" w:customStyle="1" w:styleId="90">
    <w:name w:val="font14zd"/>
    <w:basedOn w:val="51"/>
    <w:qFormat/>
    <w:uiPriority w:val="99"/>
  </w:style>
  <w:style w:type="character" w:customStyle="1" w:styleId="91">
    <w:name w:val="批注文字 Char1"/>
    <w:qFormat/>
    <w:locked/>
    <w:uiPriority w:val="99"/>
    <w:rPr>
      <w:rFonts w:ascii="Times New Roman" w:hAnsi="Times New Roman" w:eastAsia="宋体" w:cs="Times New Roman"/>
      <w:sz w:val="20"/>
      <w:szCs w:val="20"/>
    </w:rPr>
  </w:style>
  <w:style w:type="character" w:customStyle="1" w:styleId="92">
    <w:name w:val="尾注文本 Char1"/>
    <w:qFormat/>
    <w:uiPriority w:val="99"/>
    <w:rPr>
      <w:kern w:val="2"/>
      <w:sz w:val="24"/>
      <w:szCs w:val="24"/>
    </w:rPr>
  </w:style>
  <w:style w:type="character" w:customStyle="1" w:styleId="93">
    <w:name w:val="列出段落 Char1"/>
    <w:link w:val="94"/>
    <w:qFormat/>
    <w:locked/>
    <w:uiPriority w:val="99"/>
    <w:rPr>
      <w:rFonts w:ascii="Calibri" w:hAnsi="Calibri" w:cs="Calibri"/>
      <w:kern w:val="2"/>
      <w:sz w:val="22"/>
      <w:szCs w:val="22"/>
    </w:rPr>
  </w:style>
  <w:style w:type="paragraph" w:customStyle="1" w:styleId="94">
    <w:name w:val="列出段落11"/>
    <w:basedOn w:val="1"/>
    <w:link w:val="93"/>
    <w:qFormat/>
    <w:uiPriority w:val="99"/>
    <w:pPr>
      <w:ind w:firstLine="420" w:firstLineChars="200"/>
    </w:pPr>
    <w:rPr>
      <w:rFonts w:ascii="Calibri" w:hAnsi="Calibri" w:cs="Calibri"/>
      <w:sz w:val="22"/>
      <w:szCs w:val="22"/>
    </w:rPr>
  </w:style>
  <w:style w:type="character" w:customStyle="1" w:styleId="95">
    <w:name w:val="页码1"/>
    <w:qFormat/>
    <w:uiPriority w:val="99"/>
  </w:style>
  <w:style w:type="character" w:customStyle="1" w:styleId="96">
    <w:name w:val="样式 标题 1合同标题卷标题H1h1Level 1 Topic HeadingH11H12H111H13H1... Char Char"/>
    <w:qFormat/>
    <w:uiPriority w:val="99"/>
    <w:rPr>
      <w:rFonts w:ascii="宋体" w:hAnsi="宋体" w:eastAsia="宋体" w:cs="宋体"/>
      <w:b/>
      <w:bCs/>
      <w:kern w:val="44"/>
      <w:sz w:val="44"/>
      <w:szCs w:val="44"/>
      <w:lang w:val="en-US" w:eastAsia="zh-CN"/>
    </w:rPr>
  </w:style>
  <w:style w:type="character" w:customStyle="1" w:styleId="97">
    <w:name w:val="样式 正文缩进 + 首行缩进:  2 字符 Char"/>
    <w:link w:val="98"/>
    <w:qFormat/>
    <w:locked/>
    <w:uiPriority w:val="99"/>
    <w:rPr>
      <w:sz w:val="24"/>
      <w:szCs w:val="24"/>
    </w:rPr>
  </w:style>
  <w:style w:type="paragraph" w:customStyle="1" w:styleId="98">
    <w:name w:val="样式 正文缩进 + 首行缩进:  2 字符"/>
    <w:basedOn w:val="9"/>
    <w:link w:val="97"/>
    <w:qFormat/>
    <w:uiPriority w:val="99"/>
    <w:pPr>
      <w:spacing w:after="80" w:line="360" w:lineRule="auto"/>
      <w:ind w:firstLine="480" w:firstLineChars="200"/>
    </w:pPr>
    <w:rPr>
      <w:kern w:val="0"/>
      <w:sz w:val="24"/>
      <w:szCs w:val="24"/>
    </w:rPr>
  </w:style>
  <w:style w:type="character" w:customStyle="1" w:styleId="99">
    <w:name w:val="样式 标题 1合同标题卷标题H1h1Level 1 Topic HeadingH11H12H111H13H1... Char"/>
    <w:qFormat/>
    <w:uiPriority w:val="99"/>
    <w:rPr>
      <w:rFonts w:ascii="宋体" w:hAnsi="宋体" w:eastAsia="宋体" w:cs="宋体"/>
      <w:b/>
      <w:bCs/>
      <w:kern w:val="44"/>
      <w:sz w:val="44"/>
      <w:szCs w:val="44"/>
      <w:lang w:val="en-US" w:eastAsia="zh-CN"/>
    </w:rPr>
  </w:style>
  <w:style w:type="character" w:customStyle="1" w:styleId="100">
    <w:name w:val="文档正文 Char"/>
    <w:link w:val="101"/>
    <w:qFormat/>
    <w:locked/>
    <w:uiPriority w:val="99"/>
    <w:rPr>
      <w:rFonts w:ascii="Arial" w:hAnsi="Arial" w:cs="Arial"/>
      <w:sz w:val="24"/>
      <w:szCs w:val="24"/>
    </w:rPr>
  </w:style>
  <w:style w:type="paragraph" w:customStyle="1" w:styleId="101">
    <w:name w:val="文档正文"/>
    <w:basedOn w:val="1"/>
    <w:link w:val="100"/>
    <w:qFormat/>
    <w:uiPriority w:val="99"/>
    <w:rPr>
      <w:rFonts w:ascii="Arial" w:hAnsi="Arial" w:cs="Arial"/>
      <w:kern w:val="0"/>
      <w:sz w:val="24"/>
      <w:szCs w:val="24"/>
    </w:rPr>
  </w:style>
  <w:style w:type="character" w:customStyle="1" w:styleId="102">
    <w:name w:val="页脚 字符"/>
    <w:qFormat/>
    <w:uiPriority w:val="99"/>
    <w:rPr>
      <w:rFonts w:ascii="Tahoma" w:hAnsi="Tahoma" w:eastAsia="微软雅黑" w:cs="Tahoma"/>
      <w:sz w:val="18"/>
      <w:szCs w:val="18"/>
    </w:rPr>
  </w:style>
  <w:style w:type="character" w:customStyle="1" w:styleId="103">
    <w:name w:val="font21"/>
    <w:qFormat/>
    <w:uiPriority w:val="99"/>
    <w:rPr>
      <w:rFonts w:ascii="微软雅黑" w:hAnsi="微软雅黑" w:eastAsia="微软雅黑" w:cs="微软雅黑"/>
      <w:color w:val="auto"/>
      <w:sz w:val="18"/>
      <w:szCs w:val="18"/>
      <w:u w:val="none"/>
    </w:rPr>
  </w:style>
  <w:style w:type="character" w:customStyle="1" w:styleId="104">
    <w:name w:val="04-正文 Char Char"/>
    <w:link w:val="105"/>
    <w:qFormat/>
    <w:locked/>
    <w:uiPriority w:val="99"/>
    <w:rPr>
      <w:sz w:val="24"/>
      <w:szCs w:val="24"/>
    </w:rPr>
  </w:style>
  <w:style w:type="paragraph" w:customStyle="1" w:styleId="105">
    <w:name w:val="04-正文"/>
    <w:basedOn w:val="1"/>
    <w:link w:val="104"/>
    <w:qFormat/>
    <w:uiPriority w:val="99"/>
    <w:pPr>
      <w:spacing w:line="360" w:lineRule="exact"/>
      <w:ind w:firstLine="420"/>
    </w:pPr>
    <w:rPr>
      <w:kern w:val="0"/>
      <w:sz w:val="24"/>
      <w:szCs w:val="24"/>
    </w:rPr>
  </w:style>
  <w:style w:type="character" w:customStyle="1" w:styleId="106">
    <w:name w:val="未处理的提及1"/>
    <w:qFormat/>
    <w:uiPriority w:val="99"/>
    <w:rPr>
      <w:color w:val="auto"/>
      <w:shd w:val="clear" w:color="auto" w:fill="auto"/>
    </w:rPr>
  </w:style>
  <w:style w:type="character" w:customStyle="1" w:styleId="107">
    <w:name w:val="text1"/>
    <w:qFormat/>
    <w:uiPriority w:val="99"/>
    <w:rPr>
      <w:color w:val="000000"/>
      <w:sz w:val="24"/>
      <w:szCs w:val="24"/>
    </w:rPr>
  </w:style>
  <w:style w:type="character" w:customStyle="1" w:styleId="108">
    <w:name w:val="段 Char"/>
    <w:link w:val="109"/>
    <w:qFormat/>
    <w:locked/>
    <w:uiPriority w:val="99"/>
    <w:rPr>
      <w:rFonts w:ascii="宋体" w:cs="宋体"/>
      <w:sz w:val="21"/>
      <w:szCs w:val="21"/>
      <w:lang w:val="en-US" w:eastAsia="zh-CN"/>
    </w:rPr>
  </w:style>
  <w:style w:type="paragraph" w:customStyle="1" w:styleId="109">
    <w:name w:val="段"/>
    <w:link w:val="108"/>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110">
    <w:name w:val="title_emph1"/>
    <w:qFormat/>
    <w:uiPriority w:val="99"/>
    <w:rPr>
      <w:rFonts w:ascii="Arial" w:hAnsi="Arial" w:cs="Arial"/>
      <w:b/>
      <w:bCs/>
      <w:sz w:val="18"/>
      <w:szCs w:val="18"/>
    </w:rPr>
  </w:style>
  <w:style w:type="character" w:customStyle="1" w:styleId="111">
    <w:name w:val="标题 41"/>
    <w:qFormat/>
    <w:uiPriority w:val="99"/>
  </w:style>
  <w:style w:type="character" w:customStyle="1" w:styleId="112">
    <w:name w:val="apple-style-span"/>
    <w:qFormat/>
    <w:uiPriority w:val="99"/>
  </w:style>
  <w:style w:type="character" w:customStyle="1" w:styleId="113">
    <w:name w:val="04-正文 Char"/>
    <w:qFormat/>
    <w:uiPriority w:val="99"/>
    <w:rPr>
      <w:rFonts w:eastAsia="仿宋"/>
      <w:kern w:val="2"/>
      <w:sz w:val="24"/>
      <w:szCs w:val="24"/>
    </w:rPr>
  </w:style>
  <w:style w:type="character" w:customStyle="1" w:styleId="114">
    <w:name w:val="纯文本 Char1"/>
    <w:qFormat/>
    <w:uiPriority w:val="99"/>
    <w:rPr>
      <w:rFonts w:ascii="宋体" w:hAnsi="Courier New" w:eastAsia="宋体" w:cs="宋体"/>
      <w:kern w:val="2"/>
      <w:sz w:val="21"/>
      <w:szCs w:val="21"/>
    </w:rPr>
  </w:style>
  <w:style w:type="character" w:customStyle="1" w:styleId="115">
    <w:name w:val="m_171"/>
    <w:qFormat/>
    <w:uiPriority w:val="99"/>
  </w:style>
  <w:style w:type="character" w:customStyle="1" w:styleId="116">
    <w:name w:val="纯文本 字符1"/>
    <w:qFormat/>
    <w:locked/>
    <w:uiPriority w:val="99"/>
    <w:rPr>
      <w:rFonts w:ascii="宋体" w:hAnsi="Courier New" w:eastAsia="宋体" w:cs="宋体"/>
      <w:kern w:val="2"/>
      <w:sz w:val="24"/>
      <w:szCs w:val="24"/>
      <w:lang w:val="en-US" w:eastAsia="zh-CN"/>
    </w:rPr>
  </w:style>
  <w:style w:type="character" w:customStyle="1" w:styleId="117">
    <w:name w:val="aa1"/>
    <w:basedOn w:val="51"/>
    <w:qFormat/>
    <w:uiPriority w:val="99"/>
  </w:style>
  <w:style w:type="character" w:customStyle="1" w:styleId="118">
    <w:name w:val="www序号1) Char"/>
    <w:link w:val="119"/>
    <w:qFormat/>
    <w:locked/>
    <w:uiPriority w:val="99"/>
    <w:rPr>
      <w:sz w:val="24"/>
      <w:szCs w:val="24"/>
    </w:rPr>
  </w:style>
  <w:style w:type="paragraph" w:customStyle="1" w:styleId="119">
    <w:name w:val="www序号1)"/>
    <w:basedOn w:val="1"/>
    <w:link w:val="118"/>
    <w:qFormat/>
    <w:uiPriority w:val="99"/>
    <w:pPr>
      <w:tabs>
        <w:tab w:val="left" w:pos="2160"/>
      </w:tabs>
      <w:ind w:left="2160" w:hanging="420"/>
    </w:pPr>
    <w:rPr>
      <w:kern w:val="0"/>
      <w:sz w:val="24"/>
      <w:szCs w:val="24"/>
    </w:rPr>
  </w:style>
  <w:style w:type="character" w:customStyle="1" w:styleId="120">
    <w:name w:val="JD1-正文 Char"/>
    <w:link w:val="121"/>
    <w:qFormat/>
    <w:locked/>
    <w:uiPriority w:val="99"/>
    <w:rPr>
      <w:rFonts w:ascii="宋体" w:hAnsi="宋体" w:eastAsia="仿宋_GB2312" w:cs="宋体"/>
      <w:kern w:val="2"/>
      <w:sz w:val="24"/>
      <w:szCs w:val="24"/>
      <w:lang w:val="zh-CN"/>
    </w:rPr>
  </w:style>
  <w:style w:type="paragraph" w:customStyle="1" w:styleId="121">
    <w:name w:val="JD1-正文"/>
    <w:basedOn w:val="1"/>
    <w:link w:val="120"/>
    <w:qFormat/>
    <w:uiPriority w:val="99"/>
    <w:pPr>
      <w:spacing w:line="360" w:lineRule="auto"/>
      <w:ind w:firstLine="480"/>
      <w:jc w:val="left"/>
    </w:pPr>
    <w:rPr>
      <w:rFonts w:ascii="宋体" w:hAnsi="宋体" w:eastAsia="仿宋_GB2312" w:cs="宋体"/>
      <w:sz w:val="24"/>
      <w:szCs w:val="24"/>
      <w:lang w:val="zh-CN"/>
    </w:rPr>
  </w:style>
  <w:style w:type="character" w:customStyle="1" w:styleId="122">
    <w:name w:val="apple-converted-space"/>
    <w:basedOn w:val="51"/>
    <w:qFormat/>
    <w:uiPriority w:val="99"/>
  </w:style>
  <w:style w:type="character" w:customStyle="1" w:styleId="123">
    <w:name w:val="en"/>
    <w:basedOn w:val="51"/>
    <w:qFormat/>
    <w:uiPriority w:val="99"/>
  </w:style>
  <w:style w:type="character" w:customStyle="1" w:styleId="124">
    <w:name w:val="H4"/>
    <w:qFormat/>
    <w:uiPriority w:val="99"/>
  </w:style>
  <w:style w:type="character" w:customStyle="1" w:styleId="125">
    <w:name w:val="正文缩进 Char"/>
    <w:qFormat/>
    <w:locked/>
    <w:uiPriority w:val="99"/>
    <w:rPr>
      <w:kern w:val="2"/>
      <w:sz w:val="21"/>
      <w:szCs w:val="21"/>
    </w:rPr>
  </w:style>
  <w:style w:type="character" w:customStyle="1" w:styleId="126">
    <w:name w:val="Table Text Char Char Char Char"/>
    <w:qFormat/>
    <w:uiPriority w:val="99"/>
    <w:rPr>
      <w:rFonts w:ascii="Arial" w:hAnsi="Arial" w:eastAsia="宋体" w:cs="Arial"/>
      <w:kern w:val="2"/>
      <w:sz w:val="18"/>
      <w:szCs w:val="18"/>
      <w:lang w:val="en-US" w:eastAsia="zh-CN"/>
    </w:rPr>
  </w:style>
  <w:style w:type="character" w:customStyle="1" w:styleId="127">
    <w:name w:val="批注框文本 字符"/>
    <w:qFormat/>
    <w:uiPriority w:val="0"/>
    <w:rPr>
      <w:rFonts w:ascii="Tahoma" w:hAnsi="Tahoma" w:eastAsia="微软雅黑" w:cs="Tahoma"/>
      <w:sz w:val="18"/>
      <w:szCs w:val="18"/>
    </w:rPr>
  </w:style>
  <w:style w:type="character" w:customStyle="1" w:styleId="128">
    <w:name w:val="_正文段落 Char"/>
    <w:link w:val="129"/>
    <w:qFormat/>
    <w:locked/>
    <w:uiPriority w:val="99"/>
    <w:rPr>
      <w:rFonts w:ascii="宋体" w:hAnsi="宋体" w:eastAsia="仿宋_GB2312" w:cs="宋体"/>
      <w:sz w:val="24"/>
      <w:szCs w:val="24"/>
    </w:rPr>
  </w:style>
  <w:style w:type="paragraph" w:customStyle="1" w:styleId="129">
    <w:name w:val="_正文段落"/>
    <w:basedOn w:val="1"/>
    <w:link w:val="128"/>
    <w:qFormat/>
    <w:uiPriority w:val="99"/>
    <w:pPr>
      <w:spacing w:beforeLines="15" w:afterLines="15" w:line="360" w:lineRule="auto"/>
      <w:ind w:firstLine="480" w:firstLineChars="200"/>
    </w:pPr>
    <w:rPr>
      <w:rFonts w:ascii="宋体" w:hAnsi="宋体" w:eastAsia="仿宋_GB2312" w:cs="宋体"/>
      <w:kern w:val="0"/>
      <w:sz w:val="24"/>
      <w:szCs w:val="24"/>
    </w:rPr>
  </w:style>
  <w:style w:type="character" w:customStyle="1" w:styleId="130">
    <w:name w:val="列出段落 Char"/>
    <w:qFormat/>
    <w:uiPriority w:val="99"/>
    <w:rPr>
      <w:rFonts w:ascii="Calibri" w:hAnsi="Calibri" w:eastAsia="宋体" w:cs="Calibri"/>
    </w:rPr>
  </w:style>
  <w:style w:type="character" w:customStyle="1" w:styleId="131">
    <w:name w:val="正文缩进 Char3"/>
    <w:link w:val="9"/>
    <w:qFormat/>
    <w:locked/>
    <w:uiPriority w:val="0"/>
    <w:rPr>
      <w:kern w:val="2"/>
      <w:sz w:val="21"/>
      <w:szCs w:val="21"/>
    </w:rPr>
  </w:style>
  <w:style w:type="character" w:customStyle="1" w:styleId="132">
    <w:name w:val="m_491"/>
    <w:qFormat/>
    <w:uiPriority w:val="99"/>
  </w:style>
  <w:style w:type="character" w:customStyle="1" w:styleId="133">
    <w:name w:val="m_391"/>
    <w:qFormat/>
    <w:uiPriority w:val="99"/>
  </w:style>
  <w:style w:type="character" w:customStyle="1" w:styleId="134">
    <w:name w:val="副标题 Char1"/>
    <w:qFormat/>
    <w:uiPriority w:val="99"/>
    <w:rPr>
      <w:rFonts w:ascii="Cambria" w:hAnsi="Cambria" w:cs="Cambria"/>
      <w:b/>
      <w:bCs/>
      <w:kern w:val="28"/>
      <w:sz w:val="32"/>
      <w:szCs w:val="32"/>
    </w:rPr>
  </w:style>
  <w:style w:type="character" w:customStyle="1" w:styleId="135">
    <w:name w:val="页眉 字符"/>
    <w:qFormat/>
    <w:uiPriority w:val="99"/>
    <w:rPr>
      <w:rFonts w:ascii="Tahoma" w:hAnsi="Tahoma" w:eastAsia="微软雅黑" w:cs="Tahoma"/>
      <w:sz w:val="18"/>
      <w:szCs w:val="18"/>
    </w:rPr>
  </w:style>
  <w:style w:type="character" w:customStyle="1" w:styleId="136">
    <w:name w:val="正文首行缩进 Char"/>
    <w:qFormat/>
    <w:uiPriority w:val="99"/>
    <w:rPr>
      <w:kern w:val="2"/>
      <w:sz w:val="24"/>
      <w:szCs w:val="24"/>
    </w:rPr>
  </w:style>
  <w:style w:type="character" w:customStyle="1" w:styleId="137">
    <w:name w:val="m_01"/>
    <w:qFormat/>
    <w:uiPriority w:val="99"/>
  </w:style>
  <w:style w:type="character" w:customStyle="1" w:styleId="138">
    <w:name w:val="m_461"/>
    <w:qFormat/>
    <w:uiPriority w:val="99"/>
  </w:style>
  <w:style w:type="character" w:customStyle="1" w:styleId="139">
    <w:name w:val="脚注文本 Char1"/>
    <w:qFormat/>
    <w:uiPriority w:val="99"/>
    <w:rPr>
      <w:kern w:val="2"/>
      <w:sz w:val="18"/>
      <w:szCs w:val="18"/>
    </w:rPr>
  </w:style>
  <w:style w:type="character" w:customStyle="1" w:styleId="140">
    <w:name w:val="正文文本 Char"/>
    <w:qFormat/>
    <w:uiPriority w:val="0"/>
    <w:rPr>
      <w:kern w:val="2"/>
      <w:sz w:val="24"/>
      <w:szCs w:val="24"/>
    </w:rPr>
  </w:style>
  <w:style w:type="character" w:customStyle="1" w:styleId="141">
    <w:name w:val="文档结构图 Char1"/>
    <w:qFormat/>
    <w:uiPriority w:val="99"/>
    <w:rPr>
      <w:rFonts w:ascii="宋体" w:cs="宋体"/>
      <w:kern w:val="2"/>
      <w:sz w:val="18"/>
      <w:szCs w:val="18"/>
    </w:rPr>
  </w:style>
  <w:style w:type="character" w:customStyle="1" w:styleId="142">
    <w:name w:val="二级标题 Char"/>
    <w:link w:val="143"/>
    <w:qFormat/>
    <w:locked/>
    <w:uiPriority w:val="99"/>
    <w:rPr>
      <w:rFonts w:ascii="宋体" w:eastAsia="宋体" w:cs="宋体"/>
      <w:b/>
      <w:bCs/>
      <w:sz w:val="30"/>
      <w:szCs w:val="30"/>
      <w:lang w:val="zh-CN"/>
    </w:rPr>
  </w:style>
  <w:style w:type="paragraph" w:customStyle="1" w:styleId="143">
    <w:name w:val="二级标题"/>
    <w:basedOn w:val="3"/>
    <w:link w:val="142"/>
    <w:qFormat/>
    <w:uiPriority w:val="99"/>
    <w:pPr>
      <w:adjustRightInd w:val="0"/>
      <w:spacing w:beforeLines="50" w:after="0" w:line="360" w:lineRule="auto"/>
      <w:jc w:val="left"/>
      <w:textAlignment w:val="baseline"/>
    </w:pPr>
    <w:rPr>
      <w:rFonts w:ascii="宋体" w:hAnsi="Times New Roman" w:eastAsia="宋体" w:cs="宋体"/>
      <w:kern w:val="0"/>
      <w:sz w:val="30"/>
      <w:szCs w:val="30"/>
      <w:lang w:val="zh-CN"/>
    </w:rPr>
  </w:style>
  <w:style w:type="character" w:customStyle="1" w:styleId="144">
    <w:name w:val="标题 1 Char Char"/>
    <w:qFormat/>
    <w:uiPriority w:val="99"/>
    <w:rPr>
      <w:rFonts w:eastAsia="宋体"/>
      <w:b/>
      <w:bCs/>
      <w:spacing w:val="-2"/>
      <w:sz w:val="24"/>
      <w:szCs w:val="24"/>
      <w:lang w:val="en-US" w:eastAsia="zh-CN"/>
    </w:rPr>
  </w:style>
  <w:style w:type="character" w:customStyle="1" w:styleId="145">
    <w:name w:val="m_51"/>
    <w:qFormat/>
    <w:uiPriority w:val="99"/>
  </w:style>
  <w:style w:type="character" w:customStyle="1" w:styleId="146">
    <w:name w:val="z21"/>
    <w:qFormat/>
    <w:uiPriority w:val="99"/>
    <w:rPr>
      <w:color w:val="000000"/>
      <w:sz w:val="18"/>
      <w:szCs w:val="18"/>
    </w:rPr>
  </w:style>
  <w:style w:type="character" w:customStyle="1" w:styleId="147">
    <w:name w:val="a41"/>
    <w:qFormat/>
    <w:uiPriority w:val="99"/>
    <w:rPr>
      <w:color w:val="auto"/>
      <w:sz w:val="26"/>
      <w:szCs w:val="26"/>
    </w:rPr>
  </w:style>
  <w:style w:type="character" w:customStyle="1" w:styleId="148">
    <w:name w:val="2.1样式 Char"/>
    <w:link w:val="149"/>
    <w:qFormat/>
    <w:locked/>
    <w:uiPriority w:val="99"/>
    <w:rPr>
      <w:rFonts w:ascii="Arial" w:hAnsi="Arial" w:eastAsia="黑体" w:cs="Arial"/>
      <w:b/>
      <w:bCs/>
      <w:sz w:val="32"/>
      <w:szCs w:val="32"/>
    </w:rPr>
  </w:style>
  <w:style w:type="paragraph" w:customStyle="1" w:styleId="149">
    <w:name w:val="2.1样式"/>
    <w:basedOn w:val="3"/>
    <w:link w:val="148"/>
    <w:qFormat/>
    <w:uiPriority w:val="99"/>
    <w:pPr>
      <w:numPr>
        <w:ilvl w:val="0"/>
        <w:numId w:val="2"/>
      </w:numPr>
      <w:spacing w:line="416" w:lineRule="auto"/>
    </w:pPr>
    <w:rPr>
      <w:kern w:val="0"/>
    </w:rPr>
  </w:style>
  <w:style w:type="character" w:customStyle="1" w:styleId="150">
    <w:name w:val="bookmark-item"/>
    <w:qFormat/>
    <w:uiPriority w:val="0"/>
  </w:style>
  <w:style w:type="paragraph" w:customStyle="1" w:styleId="151">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52">
    <w:name w:val="Char Char Char Char Char Char"/>
    <w:basedOn w:val="1"/>
    <w:qFormat/>
    <w:uiPriority w:val="99"/>
    <w:pPr>
      <w:ind w:firstLine="200" w:firstLineChars="200"/>
    </w:pPr>
    <w:rPr>
      <w:rFonts w:ascii="Tahoma" w:hAnsi="Tahoma" w:cs="Tahoma"/>
      <w:sz w:val="24"/>
      <w:szCs w:val="24"/>
    </w:rPr>
  </w:style>
  <w:style w:type="paragraph" w:customStyle="1" w:styleId="153">
    <w:name w:val="Note Level 1"/>
    <w:basedOn w:val="1"/>
    <w:qFormat/>
    <w:uiPriority w:val="99"/>
    <w:pPr>
      <w:keepNext/>
      <w:tabs>
        <w:tab w:val="left" w:pos="1200"/>
      </w:tabs>
      <w:ind w:left="450" w:hanging="450"/>
      <w:outlineLvl w:val="0"/>
    </w:pPr>
    <w:rPr>
      <w:rFonts w:ascii="宋体" w:hAnsi="Cambria" w:cs="宋体"/>
      <w:sz w:val="24"/>
      <w:szCs w:val="24"/>
    </w:rPr>
  </w:style>
  <w:style w:type="paragraph" w:customStyle="1" w:styleId="154">
    <w:name w:val="Normal New New New New New New New New New New New New New New New New New New New New New New New New New New New New New New New New New New New New New New New New New New New New New New New New New New New New New New New New New New New New New N"/>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155">
    <w:name w:val="33-1级列表编号-1"/>
    <w:basedOn w:val="1"/>
    <w:next w:val="1"/>
    <w:qFormat/>
    <w:uiPriority w:val="99"/>
    <w:pPr>
      <w:numPr>
        <w:ilvl w:val="0"/>
        <w:numId w:val="3"/>
      </w:numPr>
      <w:adjustRightInd w:val="0"/>
      <w:spacing w:line="360" w:lineRule="exact"/>
    </w:pPr>
  </w:style>
  <w:style w:type="paragraph" w:customStyle="1" w:styleId="156">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57">
    <w:name w:val="正文空2格  1."/>
    <w:basedOn w:val="1"/>
    <w:qFormat/>
    <w:uiPriority w:val="99"/>
    <w:pPr>
      <w:adjustRightInd w:val="0"/>
      <w:spacing w:line="360" w:lineRule="auto"/>
      <w:ind w:firstLine="480" w:firstLineChars="200"/>
      <w:textAlignment w:val="baseline"/>
    </w:pPr>
    <w:rPr>
      <w:rFonts w:ascii="宋体" w:eastAsia="仿宋" w:cs="宋体"/>
      <w:kern w:val="0"/>
      <w:sz w:val="28"/>
      <w:szCs w:val="28"/>
    </w:rPr>
  </w:style>
  <w:style w:type="paragraph" w:customStyle="1" w:styleId="158">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59">
    <w:name w:val="Char Char Char Char Char Char1"/>
    <w:basedOn w:val="1"/>
    <w:qFormat/>
    <w:uiPriority w:val="99"/>
    <w:pPr>
      <w:ind w:firstLine="200" w:firstLineChars="200"/>
    </w:pPr>
    <w:rPr>
      <w:rFonts w:ascii="Tahoma" w:hAnsi="Tahoma" w:cs="Tahoma"/>
      <w:sz w:val="24"/>
      <w:szCs w:val="24"/>
    </w:rPr>
  </w:style>
  <w:style w:type="paragraph" w:customStyle="1" w:styleId="160">
    <w:name w:val="para"/>
    <w:basedOn w:val="1"/>
    <w:qFormat/>
    <w:uiPriority w:val="99"/>
    <w:pPr>
      <w:widowControl/>
      <w:adjustRightInd w:val="0"/>
      <w:spacing w:before="160" w:line="360" w:lineRule="auto"/>
      <w:ind w:firstLine="425"/>
      <w:textAlignment w:val="baseline"/>
    </w:pPr>
    <w:rPr>
      <w:kern w:val="0"/>
      <w:sz w:val="24"/>
      <w:szCs w:val="24"/>
      <w:lang w:eastAsia="en-US"/>
    </w:rPr>
  </w:style>
  <w:style w:type="paragraph" w:customStyle="1" w:styleId="161">
    <w:name w:val="Note Level 9"/>
    <w:basedOn w:val="1"/>
    <w:qFormat/>
    <w:uiPriority w:val="99"/>
    <w:pPr>
      <w:keepNext/>
      <w:tabs>
        <w:tab w:val="left" w:pos="1200"/>
      </w:tabs>
      <w:ind w:left="3780" w:hanging="420"/>
      <w:outlineLvl w:val="8"/>
    </w:pPr>
    <w:rPr>
      <w:rFonts w:ascii="宋体" w:hAnsi="Cambria" w:cs="宋体"/>
      <w:sz w:val="24"/>
      <w:szCs w:val="24"/>
    </w:rPr>
  </w:style>
  <w:style w:type="paragraph" w:customStyle="1" w:styleId="162">
    <w:name w:val="xl25"/>
    <w:basedOn w:val="1"/>
    <w:qFormat/>
    <w:uiPriority w:val="99"/>
    <w:pPr>
      <w:widowControl/>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63">
    <w:name w:val="Note Level 7"/>
    <w:basedOn w:val="1"/>
    <w:qFormat/>
    <w:uiPriority w:val="99"/>
    <w:pPr>
      <w:keepNext/>
      <w:tabs>
        <w:tab w:val="left" w:pos="1200"/>
      </w:tabs>
      <w:ind w:left="2940" w:hanging="420"/>
      <w:outlineLvl w:val="6"/>
    </w:pPr>
    <w:rPr>
      <w:rFonts w:ascii="宋体" w:hAnsi="Cambria" w:cs="宋体"/>
      <w:sz w:val="24"/>
      <w:szCs w:val="24"/>
    </w:rPr>
  </w:style>
  <w:style w:type="paragraph" w:customStyle="1" w:styleId="164">
    <w:name w:val="xl62"/>
    <w:basedOn w:val="1"/>
    <w:qFormat/>
    <w:uiPriority w:val="99"/>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65">
    <w:name w:val="xl91"/>
    <w:basedOn w:val="1"/>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6">
    <w:name w:val="Char"/>
    <w:basedOn w:val="1"/>
    <w:qFormat/>
    <w:uiPriority w:val="99"/>
    <w:pPr>
      <w:ind w:firstLine="200" w:firstLineChars="200"/>
    </w:pPr>
    <w:rPr>
      <w:rFonts w:ascii="Tahoma" w:hAnsi="Tahoma" w:cs="Tahoma"/>
      <w:sz w:val="24"/>
      <w:szCs w:val="24"/>
    </w:rPr>
  </w:style>
  <w:style w:type="paragraph" w:customStyle="1" w:styleId="167">
    <w:name w:val="xl24"/>
    <w:basedOn w:val="1"/>
    <w:qFormat/>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168">
    <w:name w:val="xl81"/>
    <w:basedOn w:val="1"/>
    <w:qFormat/>
    <w:uiPriority w:val="0"/>
    <w:pPr>
      <w:widowControl/>
      <w:pBdr>
        <w:top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9">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70">
    <w:name w:val="标准小三"/>
    <w:basedOn w:val="1"/>
    <w:qFormat/>
    <w:uiPriority w:val="99"/>
    <w:pPr>
      <w:spacing w:line="700" w:lineRule="exact"/>
      <w:ind w:firstLine="200" w:firstLineChars="200"/>
    </w:pPr>
    <w:rPr>
      <w:rFonts w:ascii="宋体" w:hAnsi="Arial" w:eastAsia="仿宋_GB2312" w:cs="宋体"/>
      <w:kern w:val="0"/>
      <w:sz w:val="30"/>
      <w:szCs w:val="30"/>
    </w:rPr>
  </w:style>
  <w:style w:type="paragraph" w:customStyle="1" w:styleId="171">
    <w:name w:val="正文－恩普"/>
    <w:basedOn w:val="9"/>
    <w:qFormat/>
    <w:uiPriority w:val="99"/>
    <w:pPr>
      <w:widowControl/>
      <w:spacing w:afterLines="50" w:line="360" w:lineRule="auto"/>
      <w:ind w:firstLine="480" w:firstLineChars="200"/>
      <w:jc w:val="left"/>
    </w:pPr>
    <w:rPr>
      <w:kern w:val="0"/>
      <w:sz w:val="24"/>
      <w:szCs w:val="24"/>
    </w:rPr>
  </w:style>
  <w:style w:type="paragraph" w:customStyle="1" w:styleId="172">
    <w:name w:val="_Style 116"/>
    <w:basedOn w:val="1"/>
    <w:next w:val="1"/>
    <w:qFormat/>
    <w:uiPriority w:val="99"/>
    <w:pPr>
      <w:spacing w:line="360" w:lineRule="auto"/>
      <w:ind w:firstLine="600"/>
    </w:pPr>
    <w:rPr>
      <w:sz w:val="24"/>
      <w:szCs w:val="24"/>
    </w:rPr>
  </w:style>
  <w:style w:type="paragraph" w:customStyle="1" w:styleId="173">
    <w:name w:val="样式 标题 1合同标题卷标题H1h1Level 1 Topic HeadingH11H12H111H13H1..."/>
    <w:qFormat/>
    <w:uiPriority w:val="99"/>
    <w:rPr>
      <w:rFonts w:ascii="宋体" w:hAnsi="宋体" w:eastAsia="宋体" w:cs="宋体"/>
      <w:b/>
      <w:bCs/>
      <w:kern w:val="44"/>
      <w:sz w:val="24"/>
      <w:szCs w:val="24"/>
      <w:lang w:val="en-US" w:eastAsia="zh-CN" w:bidi="ar-SA"/>
    </w:rPr>
  </w:style>
  <w:style w:type="paragraph" w:customStyle="1" w:styleId="174">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styleId="175">
    <w:name w:val="No Spacing"/>
    <w:qFormat/>
    <w:uiPriority w:val="1"/>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176">
    <w:name w:val="xl4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77">
    <w:name w:val="xl4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178">
    <w:name w:val="列出段落1"/>
    <w:basedOn w:val="1"/>
    <w:qFormat/>
    <w:uiPriority w:val="34"/>
    <w:pPr>
      <w:ind w:firstLine="420" w:firstLineChars="200"/>
    </w:pPr>
  </w:style>
  <w:style w:type="paragraph" w:customStyle="1" w:styleId="179">
    <w:name w:val="xl80"/>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80">
    <w:name w:val="p19"/>
    <w:basedOn w:val="1"/>
    <w:qFormat/>
    <w:uiPriority w:val="99"/>
    <w:pPr>
      <w:widowControl/>
      <w:snapToGrid w:val="0"/>
      <w:spacing w:before="60" w:after="120" w:line="360" w:lineRule="auto"/>
      <w:ind w:firstLine="420"/>
    </w:pPr>
    <w:rPr>
      <w:rFonts w:ascii="宋体" w:hAnsi="宋体" w:cs="宋体"/>
      <w:color w:val="000000"/>
      <w:kern w:val="0"/>
      <w:sz w:val="24"/>
      <w:szCs w:val="24"/>
    </w:rPr>
  </w:style>
  <w:style w:type="paragraph" w:customStyle="1" w:styleId="181">
    <w:name w:val="Char2"/>
    <w:basedOn w:val="1"/>
    <w:qFormat/>
    <w:uiPriority w:val="99"/>
    <w:rPr>
      <w:rFonts w:ascii="仿宋_GB2312" w:eastAsia="仿宋_GB2312" w:cs="仿宋_GB2312"/>
      <w:b/>
      <w:bCs/>
      <w:sz w:val="32"/>
      <w:szCs w:val="32"/>
    </w:rPr>
  </w:style>
  <w:style w:type="paragraph" w:customStyle="1" w:styleId="182">
    <w:name w:val="font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3">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4">
    <w:name w:val="font9"/>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185">
    <w:name w:val="样式 标题 3 + 左侧:  0 厘米 首行缩进:  0 厘米"/>
    <w:basedOn w:val="4"/>
    <w:qFormat/>
    <w:uiPriority w:val="99"/>
    <w:pPr>
      <w:tabs>
        <w:tab w:val="left" w:pos="720"/>
      </w:tabs>
      <w:adjustRightInd/>
      <w:spacing w:before="240" w:after="120" w:line="520" w:lineRule="atLeast"/>
      <w:ind w:left="267" w:leftChars="267" w:hanging="57" w:hangingChars="57"/>
      <w:textAlignment w:val="auto"/>
    </w:pPr>
    <w:rPr>
      <w:kern w:val="24"/>
      <w:sz w:val="28"/>
      <w:szCs w:val="28"/>
    </w:rPr>
  </w:style>
  <w:style w:type="paragraph" w:customStyle="1" w:styleId="186">
    <w:name w:val="样式 标题 1 + 两端对齐"/>
    <w:basedOn w:val="3"/>
    <w:next w:val="3"/>
    <w:qFormat/>
    <w:uiPriority w:val="99"/>
    <w:pPr>
      <w:autoSpaceDE w:val="0"/>
      <w:autoSpaceDN w:val="0"/>
      <w:adjustRightInd w:val="0"/>
      <w:spacing w:before="340" w:after="330" w:line="240" w:lineRule="auto"/>
      <w:jc w:val="center"/>
    </w:pPr>
    <w:rPr>
      <w:rFonts w:ascii="汉鼎简细圆" w:hAnsi="Times New Roman" w:eastAsia="宋体" w:cs="汉鼎简细圆"/>
      <w:kern w:val="44"/>
      <w:sz w:val="28"/>
      <w:szCs w:val="28"/>
    </w:rPr>
  </w:style>
  <w:style w:type="paragraph" w:customStyle="1" w:styleId="187">
    <w:name w:val="修订1"/>
    <w:qFormat/>
    <w:uiPriority w:val="99"/>
    <w:rPr>
      <w:rFonts w:ascii="Times New Roman" w:hAnsi="Times New Roman" w:eastAsia="宋体" w:cs="Times New Roman"/>
      <w:kern w:val="2"/>
      <w:sz w:val="21"/>
      <w:szCs w:val="21"/>
      <w:lang w:val="en-US" w:eastAsia="zh-CN" w:bidi="ar-SA"/>
    </w:rPr>
  </w:style>
  <w:style w:type="paragraph" w:customStyle="1" w:styleId="188">
    <w:name w:val="样式 标题 3 +"/>
    <w:basedOn w:val="4"/>
    <w:qFormat/>
    <w:uiPriority w:val="99"/>
    <w:pPr>
      <w:adjustRightInd/>
      <w:spacing w:line="416" w:lineRule="auto"/>
      <w:jc w:val="center"/>
      <w:textAlignment w:val="auto"/>
    </w:pPr>
    <w:rPr>
      <w:sz w:val="28"/>
      <w:szCs w:val="28"/>
    </w:rPr>
  </w:style>
  <w:style w:type="paragraph" w:customStyle="1" w:styleId="189">
    <w:name w:val="xl9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90">
    <w:name w:val="样式 样式 样式 标题 2 + 左  1 字符 + 左侧:  1 字符 + 左  0 字符"/>
    <w:basedOn w:val="1"/>
    <w:qFormat/>
    <w:uiPriority w:val="99"/>
    <w:pPr>
      <w:keepNext/>
      <w:keepLines/>
      <w:spacing w:before="120" w:after="120" w:line="520" w:lineRule="atLeast"/>
      <w:outlineLvl w:val="1"/>
    </w:pPr>
    <w:rPr>
      <w:b/>
      <w:bCs/>
      <w:sz w:val="24"/>
      <w:szCs w:val="24"/>
    </w:rPr>
  </w:style>
  <w:style w:type="paragraph" w:customStyle="1" w:styleId="191">
    <w:name w:val="正文文字缩进4字符"/>
    <w:basedOn w:val="1"/>
    <w:next w:val="9"/>
    <w:qFormat/>
    <w:uiPriority w:val="99"/>
    <w:pPr>
      <w:ind w:firstLine="420" w:firstLineChars="200"/>
    </w:pPr>
  </w:style>
  <w:style w:type="paragraph" w:customStyle="1" w:styleId="192">
    <w:name w:val="Char1"/>
    <w:basedOn w:val="1"/>
    <w:qFormat/>
    <w:uiPriority w:val="99"/>
    <w:rPr>
      <w:rFonts w:ascii="Tahoma" w:hAnsi="Tahoma" w:cs="Tahoma"/>
      <w:sz w:val="24"/>
      <w:szCs w:val="24"/>
    </w:rPr>
  </w:style>
  <w:style w:type="paragraph" w:customStyle="1" w:styleId="193">
    <w:name w:val="List Paragraph1"/>
    <w:basedOn w:val="1"/>
    <w:qFormat/>
    <w:uiPriority w:val="99"/>
    <w:pPr>
      <w:ind w:firstLine="420" w:firstLineChars="200"/>
    </w:pPr>
    <w:rPr>
      <w:rFonts w:ascii="Calibri" w:hAnsi="Calibri" w:cs="Calibri"/>
    </w:rPr>
  </w:style>
  <w:style w:type="paragraph" w:customStyle="1" w:styleId="194">
    <w:name w:val="xl4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195">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96">
    <w:name w:val="xl9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197">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98">
    <w:name w:val="40-表格首行"/>
    <w:basedOn w:val="1"/>
    <w:next w:val="1"/>
    <w:qFormat/>
    <w:uiPriority w:val="99"/>
    <w:pPr>
      <w:spacing w:line="200" w:lineRule="exact"/>
      <w:jc w:val="center"/>
    </w:pPr>
    <w:rPr>
      <w:rFonts w:eastAsia="微软雅黑"/>
      <w:b/>
      <w:bCs/>
      <w:color w:val="000000"/>
      <w:kern w:val="0"/>
      <w:sz w:val="18"/>
      <w:szCs w:val="18"/>
    </w:rPr>
  </w:style>
  <w:style w:type="paragraph" w:customStyle="1" w:styleId="199">
    <w:name w:val="xl5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200">
    <w:name w:val="Char11"/>
    <w:basedOn w:val="1"/>
    <w:qFormat/>
    <w:uiPriority w:val="99"/>
    <w:rPr>
      <w:rFonts w:ascii="Tahoma" w:hAnsi="Tahoma" w:cs="Tahoma"/>
      <w:sz w:val="24"/>
      <w:szCs w:val="24"/>
    </w:rPr>
  </w:style>
  <w:style w:type="paragraph" w:customStyle="1" w:styleId="201">
    <w:name w:val="正文-列出段落"/>
    <w:basedOn w:val="1"/>
    <w:next w:val="1"/>
    <w:qFormat/>
    <w:uiPriority w:val="99"/>
    <w:pPr>
      <w:spacing w:line="360" w:lineRule="auto"/>
    </w:pPr>
    <w:rPr>
      <w:rFonts w:ascii="微软雅黑" w:hAnsi="微软雅黑" w:eastAsia="微软雅黑" w:cs="微软雅黑"/>
      <w:b/>
      <w:bCs/>
      <w:sz w:val="24"/>
      <w:szCs w:val="24"/>
    </w:rPr>
  </w:style>
  <w:style w:type="paragraph" w:customStyle="1" w:styleId="202">
    <w:name w:val="TOC 标题1"/>
    <w:basedOn w:val="2"/>
    <w:next w:val="1"/>
    <w:qFormat/>
    <w:uiPriority w:val="3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03">
    <w:name w:val="xl92"/>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204">
    <w:name w:val="xl61"/>
    <w:basedOn w:val="1"/>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b/>
      <w:bCs/>
      <w:kern w:val="0"/>
      <w:sz w:val="36"/>
      <w:szCs w:val="36"/>
    </w:rPr>
  </w:style>
  <w:style w:type="paragraph" w:customStyle="1" w:styleId="205">
    <w:name w:val="列表段落1"/>
    <w:basedOn w:val="1"/>
    <w:qFormat/>
    <w:uiPriority w:val="34"/>
    <w:pPr>
      <w:ind w:firstLine="420" w:firstLineChars="200"/>
    </w:pPr>
  </w:style>
  <w:style w:type="paragraph" w:customStyle="1" w:styleId="206">
    <w:name w:val="xl77"/>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07">
    <w:name w:val="xl68"/>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208">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09">
    <w:name w:val="Normal New New New New New New New New New New New New New New New New New New New New New New New New New New New New New New New New New New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10">
    <w:name w:val="正文段"/>
    <w:basedOn w:val="1"/>
    <w:qFormat/>
    <w:uiPriority w:val="99"/>
    <w:pPr>
      <w:widowControl/>
      <w:snapToGrid w:val="0"/>
      <w:spacing w:afterLines="50"/>
      <w:ind w:firstLine="200" w:firstLineChars="200"/>
    </w:pPr>
    <w:rPr>
      <w:kern w:val="0"/>
      <w:sz w:val="24"/>
      <w:szCs w:val="24"/>
    </w:rPr>
  </w:style>
  <w:style w:type="paragraph" w:customStyle="1" w:styleId="211">
    <w:name w:val="四号正文"/>
    <w:basedOn w:val="1"/>
    <w:qFormat/>
    <w:uiPriority w:val="99"/>
    <w:pPr>
      <w:spacing w:line="360" w:lineRule="auto"/>
      <w:ind w:firstLine="560" w:firstLineChars="200"/>
    </w:pPr>
    <w:rPr>
      <w:sz w:val="28"/>
      <w:szCs w:val="28"/>
    </w:rPr>
  </w:style>
  <w:style w:type="paragraph" w:customStyle="1" w:styleId="212">
    <w:name w:val="列项◆（三级）"/>
    <w:basedOn w:val="1"/>
    <w:qFormat/>
    <w:uiPriority w:val="99"/>
    <w:pPr>
      <w:numPr>
        <w:ilvl w:val="2"/>
        <w:numId w:val="4"/>
      </w:numPr>
      <w:ind w:firstLine="0"/>
    </w:pPr>
    <w:rPr>
      <w:rFonts w:ascii="宋体" w:cs="宋体"/>
    </w:rPr>
  </w:style>
  <w:style w:type="paragraph" w:customStyle="1" w:styleId="213">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14">
    <w:name w:val="Note Level 8"/>
    <w:basedOn w:val="1"/>
    <w:qFormat/>
    <w:uiPriority w:val="99"/>
    <w:pPr>
      <w:keepNext/>
      <w:tabs>
        <w:tab w:val="left" w:pos="1200"/>
      </w:tabs>
      <w:ind w:left="3360" w:hanging="420"/>
      <w:outlineLvl w:val="7"/>
    </w:pPr>
    <w:rPr>
      <w:rFonts w:ascii="宋体" w:hAnsi="Cambria" w:cs="宋体"/>
      <w:sz w:val="24"/>
      <w:szCs w:val="24"/>
    </w:rPr>
  </w:style>
  <w:style w:type="paragraph" w:customStyle="1" w:styleId="215">
    <w:name w:val="Table Text Char Char"/>
    <w:qFormat/>
    <w:uiPriority w:val="99"/>
    <w:pPr>
      <w:snapToGrid w:val="0"/>
      <w:spacing w:before="80" w:after="80"/>
    </w:pPr>
    <w:rPr>
      <w:rFonts w:ascii="Arial" w:hAnsi="Arial" w:eastAsia="宋体" w:cs="Arial"/>
      <w:kern w:val="2"/>
      <w:sz w:val="18"/>
      <w:szCs w:val="18"/>
      <w:lang w:val="en-US" w:eastAsia="zh-CN" w:bidi="ar-SA"/>
    </w:rPr>
  </w:style>
  <w:style w:type="paragraph" w:customStyle="1" w:styleId="216">
    <w:name w:val="列出段落1111"/>
    <w:basedOn w:val="1"/>
    <w:qFormat/>
    <w:uiPriority w:val="99"/>
    <w:pPr>
      <w:ind w:firstLine="420" w:firstLineChars="200"/>
    </w:pPr>
    <w:rPr>
      <w:rFonts w:ascii="Calibri" w:hAnsi="Calibri" w:cs="Calibri"/>
    </w:rPr>
  </w:style>
  <w:style w:type="paragraph" w:customStyle="1" w:styleId="217">
    <w:name w:val="xl54"/>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18">
    <w:name w:val="xl75"/>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19">
    <w:name w:val="Note Level 4"/>
    <w:basedOn w:val="1"/>
    <w:qFormat/>
    <w:uiPriority w:val="99"/>
    <w:pPr>
      <w:keepNext/>
      <w:tabs>
        <w:tab w:val="left" w:pos="1200"/>
      </w:tabs>
      <w:ind w:left="1680" w:hanging="420"/>
      <w:outlineLvl w:val="3"/>
    </w:pPr>
    <w:rPr>
      <w:rFonts w:ascii="宋体" w:hAnsi="Cambria" w:cs="宋体"/>
      <w:sz w:val="24"/>
      <w:szCs w:val="24"/>
    </w:rPr>
  </w:style>
  <w:style w:type="paragraph" w:customStyle="1" w:styleId="220">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1">
    <w:name w:val="样式1"/>
    <w:basedOn w:val="5"/>
    <w:qFormat/>
    <w:uiPriority w:val="99"/>
  </w:style>
  <w:style w:type="paragraph" w:customStyle="1" w:styleId="222">
    <w:name w:val="TOC 标题2"/>
    <w:basedOn w:val="2"/>
    <w:next w:val="1"/>
    <w:qFormat/>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23">
    <w:name w:val="Char3"/>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24">
    <w:name w:val="xl6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25">
    <w:name w:val="xl52"/>
    <w:basedOn w:val="1"/>
    <w:qFormat/>
    <w:uiPriority w:val="99"/>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26">
    <w:name w:val="bi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7">
    <w:name w:val="无间隔1"/>
    <w:qFormat/>
    <w:uiPriority w:val="99"/>
    <w:pPr>
      <w:widowControl w:val="0"/>
      <w:spacing w:line="360" w:lineRule="auto"/>
      <w:jc w:val="both"/>
    </w:pPr>
    <w:rPr>
      <w:rFonts w:ascii="宋体" w:hAnsi="Calibri" w:eastAsia="宋体" w:cs="宋体"/>
      <w:kern w:val="2"/>
      <w:sz w:val="24"/>
      <w:szCs w:val="24"/>
      <w:lang w:val="en-US" w:eastAsia="zh-CN" w:bidi="ar-SA"/>
    </w:rPr>
  </w:style>
  <w:style w:type="paragraph" w:customStyle="1" w:styleId="228">
    <w:name w:val="Note Level 2"/>
    <w:basedOn w:val="1"/>
    <w:qFormat/>
    <w:uiPriority w:val="99"/>
    <w:pPr>
      <w:keepNext/>
      <w:tabs>
        <w:tab w:val="left" w:pos="1200"/>
      </w:tabs>
      <w:ind w:left="840" w:hanging="420"/>
      <w:outlineLvl w:val="1"/>
    </w:pPr>
    <w:rPr>
      <w:rFonts w:ascii="宋体" w:hAnsi="Cambria" w:cs="宋体"/>
      <w:sz w:val="24"/>
      <w:szCs w:val="24"/>
    </w:rPr>
  </w:style>
  <w:style w:type="paragraph" w:customStyle="1" w:styleId="229">
    <w:name w:val="此正文"/>
    <w:basedOn w:val="1"/>
    <w:qFormat/>
    <w:uiPriority w:val="99"/>
    <w:pPr>
      <w:spacing w:line="360" w:lineRule="auto"/>
      <w:ind w:firstLine="200" w:firstLineChars="200"/>
    </w:pPr>
    <w:rPr>
      <w:sz w:val="24"/>
      <w:szCs w:val="24"/>
    </w:rPr>
  </w:style>
  <w:style w:type="paragraph" w:customStyle="1" w:styleId="230">
    <w:name w:val="Note Level 6"/>
    <w:basedOn w:val="1"/>
    <w:qFormat/>
    <w:uiPriority w:val="99"/>
    <w:pPr>
      <w:keepNext/>
      <w:tabs>
        <w:tab w:val="left" w:pos="1200"/>
      </w:tabs>
      <w:ind w:left="2520" w:hanging="420"/>
      <w:outlineLvl w:val="5"/>
    </w:pPr>
    <w:rPr>
      <w:rFonts w:ascii="宋体" w:hAnsi="Cambria" w:cs="宋体"/>
      <w:sz w:val="24"/>
      <w:szCs w:val="24"/>
    </w:rPr>
  </w:style>
  <w:style w:type="paragraph" w:customStyle="1" w:styleId="231">
    <w:name w:val="xl73"/>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32">
    <w:name w:val="xl93"/>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33">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234">
    <w:name w:val="xl78"/>
    <w:basedOn w:val="1"/>
    <w:qFormat/>
    <w:uiPriority w:val="0"/>
    <w:pPr>
      <w:widowControl/>
      <w:pBdr>
        <w:top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35">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36">
    <w:name w:val="xl3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37">
    <w:name w:val="列项●（二级）"/>
    <w:qFormat/>
    <w:uiPriority w:val="99"/>
    <w:pPr>
      <w:numPr>
        <w:ilvl w:val="1"/>
        <w:numId w:val="4"/>
      </w:numPr>
      <w:tabs>
        <w:tab w:val="left" w:pos="840"/>
      </w:tabs>
      <w:jc w:val="both"/>
    </w:pPr>
    <w:rPr>
      <w:rFonts w:ascii="宋体" w:hAnsi="Times New Roman" w:eastAsia="宋体" w:cs="宋体"/>
      <w:sz w:val="21"/>
      <w:szCs w:val="21"/>
      <w:lang w:val="en-US" w:eastAsia="zh-CN" w:bidi="ar-SA"/>
    </w:rPr>
  </w:style>
  <w:style w:type="paragraph" w:customStyle="1" w:styleId="238">
    <w:name w:val="证文"/>
    <w:basedOn w:val="1"/>
    <w:qFormat/>
    <w:uiPriority w:val="99"/>
    <w:pPr>
      <w:spacing w:line="360" w:lineRule="auto"/>
    </w:pPr>
    <w:rPr>
      <w:sz w:val="24"/>
      <w:szCs w:val="24"/>
    </w:rPr>
  </w:style>
  <w:style w:type="paragraph" w:customStyle="1" w:styleId="239">
    <w:name w:val="标准正文"/>
    <w:basedOn w:val="1"/>
    <w:qFormat/>
    <w:uiPriority w:val="99"/>
    <w:pPr>
      <w:spacing w:line="240" w:lineRule="atLeast"/>
      <w:ind w:firstLine="200" w:firstLineChars="200"/>
    </w:pPr>
  </w:style>
  <w:style w:type="paragraph" w:customStyle="1" w:styleId="240">
    <w:name w:val="Normal New New New New New New New New New New New New New New New New"/>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41">
    <w:name w:val="xl72"/>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2">
    <w:name w:val="xl4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3">
    <w:name w:val="xl8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44">
    <w:name w:val="文字"/>
    <w:basedOn w:val="1"/>
    <w:qFormat/>
    <w:uiPriority w:val="99"/>
    <w:pPr>
      <w:tabs>
        <w:tab w:val="left" w:pos="8520"/>
      </w:tabs>
      <w:spacing w:line="312" w:lineRule="auto"/>
      <w:ind w:right="-210" w:firstLine="556"/>
    </w:pPr>
    <w:rPr>
      <w:rFonts w:ascii="宋体" w:cs="宋体"/>
      <w:sz w:val="28"/>
      <w:szCs w:val="28"/>
    </w:rPr>
  </w:style>
  <w:style w:type="paragraph" w:customStyle="1" w:styleId="245">
    <w:name w:val="_Style 2"/>
    <w:qFormat/>
    <w:uiPriority w:val="99"/>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246">
    <w:name w:val="正文文本缩进1"/>
    <w:basedOn w:val="1"/>
    <w:qFormat/>
    <w:uiPriority w:val="99"/>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s="宋体"/>
      <w:color w:val="000000"/>
      <w:sz w:val="24"/>
      <w:szCs w:val="24"/>
    </w:rPr>
  </w:style>
  <w:style w:type="paragraph" w:customStyle="1" w:styleId="247">
    <w:name w:val="42-表格数字"/>
    <w:next w:val="1"/>
    <w:qFormat/>
    <w:uiPriority w:val="99"/>
    <w:pPr>
      <w:jc w:val="center"/>
      <w:textAlignment w:val="center"/>
    </w:pPr>
    <w:rPr>
      <w:rFonts w:ascii="Times New Roman" w:hAnsi="Times New Roman" w:eastAsia="微软雅黑" w:cs="Times New Roman"/>
      <w:color w:val="000000"/>
      <w:sz w:val="18"/>
      <w:szCs w:val="18"/>
      <w:lang w:val="en-US" w:eastAsia="zh-CN" w:bidi="ar-SA"/>
    </w:rPr>
  </w:style>
  <w:style w:type="paragraph" w:customStyle="1" w:styleId="248">
    <w:name w:val="xl4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49">
    <w:name w:val="ZJ正文"/>
    <w:basedOn w:val="1"/>
    <w:qFormat/>
    <w:uiPriority w:val="99"/>
    <w:pPr>
      <w:spacing w:line="360" w:lineRule="auto"/>
      <w:ind w:firstLine="480" w:firstLineChars="200"/>
    </w:pPr>
    <w:rPr>
      <w:sz w:val="24"/>
      <w:szCs w:val="24"/>
    </w:rPr>
  </w:style>
  <w:style w:type="paragraph" w:customStyle="1" w:styleId="250">
    <w:name w:val="Char1 Char Char Char"/>
    <w:basedOn w:val="1"/>
    <w:qFormat/>
    <w:uiPriority w:val="99"/>
    <w:pPr>
      <w:tabs>
        <w:tab w:val="left" w:pos="420"/>
      </w:tabs>
      <w:ind w:left="420" w:hanging="420"/>
    </w:pPr>
    <w:rPr>
      <w:rFonts w:ascii="Tahoma" w:hAnsi="Tahoma" w:cs="Tahoma"/>
      <w:sz w:val="24"/>
      <w:szCs w:val="24"/>
    </w:rPr>
  </w:style>
  <w:style w:type="paragraph" w:customStyle="1" w:styleId="251">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52">
    <w:name w:val="表内文字"/>
    <w:basedOn w:val="1"/>
    <w:qFormat/>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253">
    <w:name w:val="列出段落111"/>
    <w:basedOn w:val="1"/>
    <w:qFormat/>
    <w:uiPriority w:val="99"/>
    <w:pPr>
      <w:spacing w:line="360" w:lineRule="auto"/>
      <w:ind w:firstLine="420" w:firstLineChars="200"/>
    </w:pPr>
    <w:rPr>
      <w:rFonts w:ascii="Calibri" w:hAnsi="Calibri" w:cs="Calibri"/>
    </w:rPr>
  </w:style>
  <w:style w:type="paragraph" w:customStyle="1" w:styleId="254">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customStyle="1" w:styleId="255">
    <w:name w:val="标准正文缩进"/>
    <w:basedOn w:val="1"/>
    <w:qFormat/>
    <w:uiPriority w:val="99"/>
    <w:pPr>
      <w:spacing w:line="300" w:lineRule="auto"/>
      <w:ind w:firstLine="200" w:firstLineChars="200"/>
      <w:jc w:val="left"/>
    </w:pPr>
    <w:rPr>
      <w:rFonts w:eastAsia="PMingLiUfalt"/>
      <w:sz w:val="24"/>
      <w:szCs w:val="24"/>
    </w:rPr>
  </w:style>
  <w:style w:type="paragraph" w:customStyle="1" w:styleId="256">
    <w:name w:val="Note Level 5"/>
    <w:basedOn w:val="1"/>
    <w:qFormat/>
    <w:uiPriority w:val="99"/>
    <w:pPr>
      <w:keepNext/>
      <w:numPr>
        <w:ilvl w:val="4"/>
        <w:numId w:val="2"/>
      </w:numPr>
      <w:tabs>
        <w:tab w:val="left" w:pos="1200"/>
      </w:tabs>
      <w:ind w:left="2100" w:hanging="420"/>
      <w:outlineLvl w:val="4"/>
    </w:pPr>
    <w:rPr>
      <w:rFonts w:ascii="宋体" w:hAnsi="Cambria" w:cs="宋体"/>
      <w:sz w:val="24"/>
      <w:szCs w:val="24"/>
    </w:rPr>
  </w:style>
  <w:style w:type="paragraph" w:customStyle="1" w:styleId="257">
    <w:name w:val="font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8">
    <w:name w:val="WPSOffice手动目录 1"/>
    <w:qFormat/>
    <w:uiPriority w:val="99"/>
    <w:rPr>
      <w:rFonts w:ascii="Calibri" w:hAnsi="Calibri" w:eastAsia="宋体" w:cs="Calibri"/>
      <w:lang w:val="en-US" w:eastAsia="zh-CN" w:bidi="ar-SA"/>
    </w:rPr>
  </w:style>
  <w:style w:type="paragraph" w:customStyle="1" w:styleId="259">
    <w:name w:val="font7"/>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260">
    <w:name w:val="xl29"/>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61">
    <w:name w:val="列出段落111111"/>
    <w:basedOn w:val="1"/>
    <w:qFormat/>
    <w:uiPriority w:val="99"/>
    <w:pPr>
      <w:spacing w:line="360" w:lineRule="auto"/>
      <w:ind w:firstLine="420" w:firstLineChars="200"/>
    </w:pPr>
    <w:rPr>
      <w:rFonts w:ascii="Calibri" w:hAnsi="Calibri" w:cs="Calibri"/>
    </w:rPr>
  </w:style>
  <w:style w:type="paragraph" w:customStyle="1" w:styleId="262">
    <w:name w:val="p18"/>
    <w:basedOn w:val="1"/>
    <w:qFormat/>
    <w:uiPriority w:val="99"/>
    <w:pPr>
      <w:widowControl/>
    </w:pPr>
    <w:rPr>
      <w:kern w:val="0"/>
      <w:sz w:val="24"/>
      <w:szCs w:val="24"/>
    </w:rPr>
  </w:style>
  <w:style w:type="paragraph" w:customStyle="1" w:styleId="263">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b/>
      <w:bCs/>
      <w:kern w:val="0"/>
      <w:sz w:val="24"/>
      <w:szCs w:val="24"/>
    </w:rPr>
  </w:style>
  <w:style w:type="paragraph" w:customStyle="1" w:styleId="264">
    <w:name w:val="样式 标题 3 +1"/>
    <w:basedOn w:val="4"/>
    <w:qFormat/>
    <w:uiPriority w:val="99"/>
    <w:pPr>
      <w:adjustRightInd/>
      <w:spacing w:line="416" w:lineRule="auto"/>
      <w:jc w:val="center"/>
      <w:textAlignment w:val="auto"/>
    </w:pPr>
    <w:rPr>
      <w:sz w:val="28"/>
      <w:szCs w:val="28"/>
    </w:rPr>
  </w:style>
  <w:style w:type="paragraph" w:customStyle="1" w:styleId="265">
    <w:name w:val="xl63"/>
    <w:basedOn w:val="1"/>
    <w:qFormat/>
    <w:uiPriority w:val="99"/>
    <w:pPr>
      <w:widowControl/>
      <w:pBdr>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66">
    <w:name w:val="xl4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67">
    <w:name w:val="xl50"/>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68">
    <w:name w:val="Note Level 3"/>
    <w:basedOn w:val="1"/>
    <w:qFormat/>
    <w:uiPriority w:val="99"/>
    <w:pPr>
      <w:keepNext/>
      <w:tabs>
        <w:tab w:val="left" w:pos="1200"/>
      </w:tabs>
      <w:ind w:left="1260" w:hanging="420"/>
      <w:outlineLvl w:val="2"/>
    </w:pPr>
    <w:rPr>
      <w:rFonts w:ascii="宋体" w:hAnsi="Cambria" w:cs="宋体"/>
      <w:sz w:val="24"/>
      <w:szCs w:val="24"/>
    </w:rPr>
  </w:style>
  <w:style w:type="paragraph" w:customStyle="1" w:styleId="269">
    <w:name w:val="xl70"/>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70">
    <w:name w:val="43-表格正文"/>
    <w:basedOn w:val="1"/>
    <w:next w:val="1"/>
    <w:qFormat/>
    <w:uiPriority w:val="99"/>
    <w:pPr>
      <w:jc w:val="left"/>
    </w:pPr>
    <w:rPr>
      <w:rFonts w:eastAsia="微软雅黑"/>
      <w:sz w:val="18"/>
      <w:szCs w:val="18"/>
    </w:rPr>
  </w:style>
  <w:style w:type="paragraph" w:customStyle="1" w:styleId="271">
    <w:name w:val="5"/>
    <w:basedOn w:val="1"/>
    <w:next w:val="1"/>
    <w:qFormat/>
    <w:uiPriority w:val="99"/>
  </w:style>
  <w:style w:type="paragraph" w:customStyle="1" w:styleId="272">
    <w:name w:val="xl6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3">
    <w:name w:val="xl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74">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275">
    <w:name w:val="xl64"/>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6">
    <w:name w:val="Char1 Char Char Char Char Char"/>
    <w:basedOn w:val="1"/>
    <w:qFormat/>
    <w:uiPriority w:val="99"/>
    <w:rPr>
      <w:rFonts w:ascii="仿宋_GB2312" w:eastAsia="仿宋_GB2312" w:cs="仿宋_GB2312"/>
      <w:sz w:val="24"/>
      <w:szCs w:val="24"/>
    </w:rPr>
  </w:style>
  <w:style w:type="paragraph" w:customStyle="1" w:styleId="277">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78">
    <w:name w:val="TOC 标题3"/>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79">
    <w:name w:val="正文 New New New New"/>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280">
    <w:name w:val="xl4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81">
    <w:name w:val="标准小四"/>
    <w:basedOn w:val="1"/>
    <w:qFormat/>
    <w:uiPriority w:val="99"/>
    <w:pPr>
      <w:spacing w:line="360" w:lineRule="auto"/>
      <w:ind w:firstLine="480" w:firstLineChars="200"/>
    </w:pPr>
    <w:rPr>
      <w:rFonts w:ascii="Arial" w:hAnsi="Arial" w:cs="Arial"/>
      <w:sz w:val="24"/>
      <w:szCs w:val="24"/>
    </w:rPr>
  </w:style>
  <w:style w:type="paragraph" w:customStyle="1" w:styleId="282">
    <w:name w:val="font13"/>
    <w:basedOn w:val="1"/>
    <w:qFormat/>
    <w:uiPriority w:val="99"/>
    <w:pPr>
      <w:widowControl/>
      <w:spacing w:before="100" w:beforeAutospacing="1" w:after="100" w:afterAutospacing="1"/>
      <w:jc w:val="left"/>
    </w:pPr>
    <w:rPr>
      <w:b/>
      <w:bCs/>
      <w:kern w:val="0"/>
      <w:sz w:val="24"/>
      <w:szCs w:val="24"/>
    </w:rPr>
  </w:style>
  <w:style w:type="paragraph" w:customStyle="1" w:styleId="283">
    <w:name w:val="Char Char Char Char Char Char Char Char Char Char Char Char1 Char"/>
    <w:basedOn w:val="15"/>
    <w:qFormat/>
    <w:uiPriority w:val="99"/>
    <w:rPr>
      <w:rFonts w:ascii="Tahoma" w:hAnsi="Tahoma" w:cs="Tahoma"/>
      <w:sz w:val="24"/>
      <w:szCs w:val="24"/>
    </w:rPr>
  </w:style>
  <w:style w:type="paragraph" w:customStyle="1" w:styleId="284">
    <w:name w:val="xl5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kern w:val="0"/>
      <w:sz w:val="24"/>
      <w:szCs w:val="24"/>
    </w:rPr>
  </w:style>
  <w:style w:type="paragraph" w:customStyle="1" w:styleId="285">
    <w:name w:val="xl3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color w:val="000000"/>
      <w:kern w:val="0"/>
      <w:sz w:val="24"/>
      <w:szCs w:val="24"/>
    </w:rPr>
  </w:style>
  <w:style w:type="paragraph" w:customStyle="1" w:styleId="286">
    <w:name w:val="Normal Char"/>
    <w:basedOn w:val="1"/>
    <w:qFormat/>
    <w:uiPriority w:val="99"/>
    <w:pPr>
      <w:suppressAutoHyphens/>
      <w:autoSpaceDE w:val="0"/>
      <w:jc w:val="left"/>
    </w:pPr>
    <w:rPr>
      <w:rFonts w:ascii="Thorndale" w:hAnsi="Thorndale" w:cs="Thorndale"/>
      <w:color w:val="000000"/>
      <w:kern w:val="0"/>
      <w:sz w:val="20"/>
      <w:szCs w:val="20"/>
      <w:lang w:val="hu-HU"/>
    </w:rPr>
  </w:style>
  <w:style w:type="paragraph" w:customStyle="1" w:styleId="287">
    <w:name w:val="font1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8">
    <w:name w:val="xl51"/>
    <w:basedOn w:val="1"/>
    <w:qFormat/>
    <w:uiPriority w:val="99"/>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89">
    <w:name w:val="xl95"/>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290">
    <w:name w:val="xl74"/>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91">
    <w:name w:val="ZJGIS-五级标题"/>
    <w:basedOn w:val="6"/>
    <w:qFormat/>
    <w:uiPriority w:val="99"/>
    <w:pPr>
      <w:tabs>
        <w:tab w:val="left" w:pos="992"/>
        <w:tab w:val="clear" w:pos="2100"/>
      </w:tabs>
      <w:spacing w:before="120" w:after="120" w:line="240" w:lineRule="auto"/>
      <w:ind w:left="0" w:firstLine="0"/>
    </w:pPr>
  </w:style>
  <w:style w:type="paragraph" w:customStyle="1" w:styleId="292">
    <w:name w:val="xl56"/>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93">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94">
    <w:name w:val="xl34"/>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95">
    <w:name w:val="xl5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Unicode MS" w:hAnsi="Arial Unicode MS" w:cs="Arial Unicode MS"/>
      <w:kern w:val="0"/>
      <w:sz w:val="24"/>
      <w:szCs w:val="24"/>
    </w:rPr>
  </w:style>
  <w:style w:type="paragraph" w:customStyle="1" w:styleId="296">
    <w:name w:val="xl4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kern w:val="0"/>
      <w:sz w:val="24"/>
      <w:szCs w:val="24"/>
    </w:rPr>
  </w:style>
  <w:style w:type="paragraph" w:customStyle="1" w:styleId="297">
    <w:name w:val="自由格式 A"/>
    <w:qFormat/>
    <w:uiPriority w:val="99"/>
    <w:rPr>
      <w:rFonts w:ascii="Helvetica" w:hAnsi="Helvetica" w:eastAsia="宋体" w:cs="Helvetica"/>
      <w:color w:val="000000"/>
      <w:sz w:val="24"/>
      <w:szCs w:val="24"/>
      <w:lang w:val="en-US" w:eastAsia="zh-CN" w:bidi="ar-SA"/>
    </w:rPr>
  </w:style>
  <w:style w:type="paragraph" w:customStyle="1" w:styleId="298">
    <w:name w:val="纯文本1"/>
    <w:basedOn w:val="1"/>
    <w:qFormat/>
    <w:uiPriority w:val="99"/>
    <w:pPr>
      <w:spacing w:beforeLines="50" w:afterLines="50" w:line="400" w:lineRule="exact"/>
    </w:pPr>
    <w:rPr>
      <w:rFonts w:ascii="宋体" w:hAnsi="Courier New" w:cs="宋体"/>
      <w:sz w:val="24"/>
      <w:szCs w:val="24"/>
    </w:rPr>
  </w:style>
  <w:style w:type="paragraph" w:customStyle="1" w:styleId="299">
    <w:name w:val="默认段落字体 Para Char Char Char Char Char Char Char Char Char1 Char Char Char Char"/>
    <w:basedOn w:val="1"/>
    <w:qFormat/>
    <w:uiPriority w:val="99"/>
    <w:rPr>
      <w:rFonts w:ascii="Tahoma" w:hAnsi="Tahoma" w:cs="Tahoma"/>
      <w:sz w:val="24"/>
      <w:szCs w:val="24"/>
    </w:rPr>
  </w:style>
  <w:style w:type="paragraph" w:customStyle="1" w:styleId="300">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01">
    <w:name w:val="Char1 Char"/>
    <w:basedOn w:val="1"/>
    <w:qFormat/>
    <w:uiPriority w:val="99"/>
    <w:pPr>
      <w:tabs>
        <w:tab w:val="left" w:pos="360"/>
      </w:tabs>
      <w:spacing w:line="360" w:lineRule="auto"/>
    </w:pPr>
    <w:rPr>
      <w:sz w:val="24"/>
      <w:szCs w:val="24"/>
    </w:rPr>
  </w:style>
  <w:style w:type="paragraph" w:customStyle="1" w:styleId="302">
    <w:name w:val="列表段落2"/>
    <w:basedOn w:val="1"/>
    <w:qFormat/>
    <w:uiPriority w:val="99"/>
    <w:pPr>
      <w:ind w:firstLine="420" w:firstLineChars="200"/>
    </w:pPr>
    <w:rPr>
      <w:rFonts w:ascii="Calibri" w:hAnsi="Calibri" w:cs="Calibri"/>
    </w:rPr>
  </w:style>
  <w:style w:type="paragraph" w:customStyle="1" w:styleId="303">
    <w:name w:val="xl57"/>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04">
    <w:name w:val="font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05">
    <w:name w:val="正文1"/>
    <w:qFormat/>
    <w:uiPriority w:val="0"/>
    <w:pPr>
      <w:jc w:val="both"/>
    </w:pPr>
    <w:rPr>
      <w:rFonts w:ascii="等线" w:hAnsi="等线" w:eastAsia="宋体" w:cs="等线"/>
      <w:kern w:val="2"/>
      <w:sz w:val="21"/>
      <w:szCs w:val="21"/>
      <w:lang w:val="en-US" w:eastAsia="zh-CN" w:bidi="ar-SA"/>
    </w:rPr>
  </w:style>
  <w:style w:type="paragraph" w:customStyle="1" w:styleId="306">
    <w:name w:val="xl67"/>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307">
    <w:name w:val="xl71"/>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08">
    <w:name w:val="列表段落21"/>
    <w:basedOn w:val="1"/>
    <w:qFormat/>
    <w:uiPriority w:val="99"/>
    <w:pPr>
      <w:widowControl/>
      <w:spacing w:after="160" w:line="259" w:lineRule="auto"/>
      <w:ind w:left="720"/>
      <w:jc w:val="left"/>
    </w:pPr>
    <w:rPr>
      <w:kern w:val="0"/>
      <w:sz w:val="22"/>
      <w:szCs w:val="22"/>
    </w:rPr>
  </w:style>
  <w:style w:type="paragraph" w:customStyle="1" w:styleId="309">
    <w:name w:val="_Style 222"/>
    <w:basedOn w:val="1"/>
    <w:next w:val="302"/>
    <w:qFormat/>
    <w:uiPriority w:val="99"/>
    <w:pPr>
      <w:ind w:firstLine="420" w:firstLineChars="200"/>
    </w:pPr>
    <w:rPr>
      <w:rFonts w:ascii="Calibri" w:hAnsi="Calibri" w:cs="Calibri"/>
    </w:rPr>
  </w:style>
  <w:style w:type="paragraph" w:customStyle="1" w:styleId="310">
    <w:name w:val="xl6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311">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2">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313">
    <w:name w:val="xl53"/>
    <w:basedOn w:val="1"/>
    <w:qFormat/>
    <w:uiPriority w:val="99"/>
    <w:pPr>
      <w:widowControl/>
      <w:pBdr>
        <w:left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4">
    <w:name w:val="xl9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15">
    <w:name w:val="xl6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16">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17">
    <w:name w:val="WPSOffice手动目录 2"/>
    <w:qFormat/>
    <w:uiPriority w:val="99"/>
    <w:pPr>
      <w:ind w:left="200" w:leftChars="200"/>
    </w:pPr>
    <w:rPr>
      <w:rFonts w:ascii="Calibri" w:hAnsi="Calibri" w:eastAsia="宋体" w:cs="Calibri"/>
      <w:lang w:val="en-US" w:eastAsia="zh-CN" w:bidi="ar-SA"/>
    </w:rPr>
  </w:style>
  <w:style w:type="paragraph" w:customStyle="1" w:styleId="318">
    <w:name w:val="font11"/>
    <w:basedOn w:val="1"/>
    <w:qFormat/>
    <w:uiPriority w:val="99"/>
    <w:pPr>
      <w:widowControl/>
      <w:spacing w:before="100" w:beforeAutospacing="1" w:after="100" w:afterAutospacing="1"/>
      <w:jc w:val="left"/>
    </w:pPr>
    <w:rPr>
      <w:kern w:val="0"/>
      <w:sz w:val="24"/>
      <w:szCs w:val="24"/>
    </w:rPr>
  </w:style>
  <w:style w:type="paragraph" w:customStyle="1" w:styleId="319">
    <w:name w:val="xl2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20">
    <w:name w:val="ZJGIS-四级标题"/>
    <w:basedOn w:val="5"/>
    <w:qFormat/>
    <w:uiPriority w:val="99"/>
    <w:pPr>
      <w:spacing w:before="120" w:after="120" w:line="240" w:lineRule="auto"/>
    </w:pPr>
    <w:rPr>
      <w:rFonts w:eastAsia="仿宋_GB2312"/>
    </w:rPr>
  </w:style>
  <w:style w:type="paragraph" w:customStyle="1" w:styleId="321">
    <w:name w:val="_Style 1"/>
    <w:basedOn w:val="1"/>
    <w:qFormat/>
    <w:uiPriority w:val="99"/>
    <w:pPr>
      <w:ind w:firstLine="420" w:firstLineChars="200"/>
    </w:pPr>
    <w:rPr>
      <w:rFonts w:ascii="Calibri" w:hAnsi="Calibri" w:cs="Calibri"/>
    </w:rPr>
  </w:style>
  <w:style w:type="paragraph" w:customStyle="1" w:styleId="322">
    <w:name w:val="xl76"/>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23">
    <w:name w:val="xl84"/>
    <w:basedOn w:val="1"/>
    <w:qFormat/>
    <w:uiPriority w:val="0"/>
    <w:pPr>
      <w:widowControl/>
      <w:shd w:val="clear" w:color="auto" w:fill="FFFFFF"/>
      <w:spacing w:before="100" w:beforeAutospacing="1" w:after="100" w:afterAutospacing="1"/>
      <w:jc w:val="left"/>
      <w:textAlignment w:val="center"/>
    </w:pPr>
    <w:rPr>
      <w:kern w:val="0"/>
      <w:sz w:val="24"/>
      <w:szCs w:val="24"/>
    </w:rPr>
  </w:style>
  <w:style w:type="paragraph" w:customStyle="1" w:styleId="324">
    <w:name w:val="列项——（一级）"/>
    <w:qFormat/>
    <w:uiPriority w:val="99"/>
    <w:pPr>
      <w:widowControl w:val="0"/>
      <w:ind w:left="1118" w:hanging="408"/>
      <w:jc w:val="both"/>
    </w:pPr>
    <w:rPr>
      <w:rFonts w:ascii="宋体" w:hAnsi="Times New Roman" w:eastAsia="宋体" w:cs="宋体"/>
      <w:sz w:val="21"/>
      <w:szCs w:val="21"/>
      <w:lang w:val="en-US" w:eastAsia="zh-CN" w:bidi="ar-SA"/>
    </w:rPr>
  </w:style>
  <w:style w:type="paragraph" w:customStyle="1" w:styleId="325">
    <w:name w:val="地址内"/>
    <w:basedOn w:val="1"/>
    <w:qFormat/>
    <w:uiPriority w:val="99"/>
  </w:style>
  <w:style w:type="paragraph" w:customStyle="1" w:styleId="326">
    <w:name w:val="Item List in Table"/>
    <w:qFormat/>
    <w:uiPriority w:val="99"/>
    <w:pPr>
      <w:numPr>
        <w:ilvl w:val="0"/>
        <w:numId w:val="5"/>
      </w:numPr>
      <w:tabs>
        <w:tab w:val="left" w:pos="1260"/>
      </w:tabs>
      <w:spacing w:before="40" w:after="40"/>
      <w:jc w:val="both"/>
    </w:pPr>
    <w:rPr>
      <w:rFonts w:ascii="Arial" w:hAnsi="Arial" w:eastAsia="宋体" w:cs="Arial"/>
      <w:sz w:val="18"/>
      <w:szCs w:val="18"/>
      <w:lang w:val="en-US" w:eastAsia="zh-CN" w:bidi="ar-SA"/>
    </w:rPr>
  </w:style>
  <w:style w:type="paragraph" w:customStyle="1" w:styleId="327">
    <w:name w:val="xl3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328">
    <w:name w:val="xl94"/>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29">
    <w:name w:val="p0"/>
    <w:basedOn w:val="1"/>
    <w:qFormat/>
    <w:uiPriority w:val="99"/>
    <w:pPr>
      <w:widowControl/>
      <w:snapToGrid w:val="0"/>
      <w:spacing w:line="312" w:lineRule="atLeast"/>
    </w:pPr>
    <w:rPr>
      <w:kern w:val="0"/>
    </w:rPr>
  </w:style>
  <w:style w:type="paragraph" w:customStyle="1" w:styleId="330">
    <w:name w:val="列出段落2"/>
    <w:basedOn w:val="1"/>
    <w:qFormat/>
    <w:uiPriority w:val="99"/>
    <w:pPr>
      <w:spacing w:line="360" w:lineRule="auto"/>
      <w:ind w:firstLine="420" w:firstLineChars="200"/>
    </w:pPr>
    <w:rPr>
      <w:sz w:val="24"/>
      <w:szCs w:val="24"/>
    </w:rPr>
  </w:style>
  <w:style w:type="paragraph" w:styleId="331">
    <w:name w:val="List Paragraph"/>
    <w:basedOn w:val="1"/>
    <w:link w:val="336"/>
    <w:qFormat/>
    <w:uiPriority w:val="99"/>
    <w:pPr>
      <w:ind w:firstLine="420" w:firstLineChars="200"/>
    </w:pPr>
  </w:style>
  <w:style w:type="paragraph" w:customStyle="1" w:styleId="332">
    <w:name w:val="修订2"/>
    <w:hidden/>
    <w:qFormat/>
    <w:uiPriority w:val="99"/>
    <w:rPr>
      <w:rFonts w:ascii="Times New Roman" w:hAnsi="Times New Roman" w:eastAsia="宋体" w:cs="Times New Roman"/>
      <w:kern w:val="2"/>
      <w:sz w:val="21"/>
      <w:szCs w:val="21"/>
      <w:lang w:val="en-US" w:eastAsia="zh-CN" w:bidi="ar-SA"/>
    </w:rPr>
  </w:style>
  <w:style w:type="character" w:customStyle="1" w:styleId="333">
    <w:name w:val="NormalCharacter"/>
    <w:semiHidden/>
    <w:qFormat/>
    <w:uiPriority w:val="99"/>
  </w:style>
  <w:style w:type="paragraph" w:customStyle="1" w:styleId="334">
    <w:name w:val="Char5"/>
    <w:basedOn w:val="1"/>
    <w:qFormat/>
    <w:uiPriority w:val="99"/>
    <w:pPr>
      <w:tabs>
        <w:tab w:val="left" w:pos="840"/>
      </w:tabs>
      <w:ind w:left="840" w:hanging="420"/>
    </w:pPr>
    <w:rPr>
      <w:kern w:val="0"/>
      <w:sz w:val="24"/>
      <w:szCs w:val="24"/>
    </w:rPr>
  </w:style>
  <w:style w:type="paragraph" w:customStyle="1" w:styleId="335">
    <w:name w:val="Char4"/>
    <w:basedOn w:val="1"/>
    <w:qFormat/>
    <w:uiPriority w:val="99"/>
    <w:pPr>
      <w:tabs>
        <w:tab w:val="left" w:pos="840"/>
      </w:tabs>
      <w:ind w:left="840" w:hanging="420"/>
    </w:pPr>
    <w:rPr>
      <w:kern w:val="0"/>
      <w:sz w:val="24"/>
      <w:szCs w:val="24"/>
    </w:rPr>
  </w:style>
  <w:style w:type="character" w:customStyle="1" w:styleId="336">
    <w:name w:val="列出段落 Char2"/>
    <w:link w:val="331"/>
    <w:qFormat/>
    <w:locked/>
    <w:uiPriority w:val="34"/>
    <w:rPr>
      <w:kern w:val="2"/>
      <w:sz w:val="21"/>
      <w:szCs w:val="21"/>
    </w:rPr>
  </w:style>
  <w:style w:type="paragraph" w:customStyle="1" w:styleId="337">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8">
    <w:name w:val="_标题1"/>
    <w:basedOn w:val="339"/>
    <w:next w:val="339"/>
    <w:qFormat/>
    <w:uiPriority w:val="0"/>
    <w:pPr>
      <w:keepNext/>
      <w:pageBreakBefore/>
      <w:widowControl w:val="0"/>
      <w:spacing w:before="50" w:beforeLines="50" w:after="50" w:afterLines="50"/>
      <w:ind w:firstLine="0" w:firstLineChars="0"/>
      <w:outlineLvl w:val="0"/>
    </w:pPr>
    <w:rPr>
      <w:b/>
      <w:sz w:val="44"/>
    </w:rPr>
  </w:style>
  <w:style w:type="paragraph" w:customStyle="1" w:styleId="339">
    <w:name w:val="__正文"/>
    <w:link w:val="340"/>
    <w:qFormat/>
    <w:uiPriority w:val="0"/>
    <w:pPr>
      <w:spacing w:line="360" w:lineRule="auto"/>
      <w:ind w:firstLine="200" w:firstLineChars="200"/>
    </w:pPr>
    <w:rPr>
      <w:rFonts w:eastAsia="微软雅黑" w:asciiTheme="minorHAnsi" w:hAnsiTheme="minorHAnsi" w:cstheme="minorBidi"/>
      <w:kern w:val="2"/>
      <w:sz w:val="21"/>
      <w:szCs w:val="21"/>
      <w:lang w:val="en-US" w:eastAsia="zh-CN" w:bidi="ar-SA"/>
    </w:rPr>
  </w:style>
  <w:style w:type="character" w:customStyle="1" w:styleId="340">
    <w:name w:val="__正文 Char"/>
    <w:basedOn w:val="51"/>
    <w:link w:val="339"/>
    <w:qFormat/>
    <w:uiPriority w:val="0"/>
    <w:rPr>
      <w:rFonts w:eastAsia="微软雅黑" w:asciiTheme="minorHAnsi" w:hAnsiTheme="minorHAnsi" w:cstheme="minorBidi"/>
      <w:kern w:val="2"/>
      <w:sz w:val="21"/>
      <w:szCs w:val="21"/>
    </w:rPr>
  </w:style>
  <w:style w:type="paragraph" w:customStyle="1" w:styleId="341">
    <w:name w:val="_标题2"/>
    <w:basedOn w:val="339"/>
    <w:next w:val="339"/>
    <w:link w:val="342"/>
    <w:qFormat/>
    <w:uiPriority w:val="0"/>
    <w:pPr>
      <w:keepNext/>
      <w:widowControl w:val="0"/>
      <w:numPr>
        <w:ilvl w:val="1"/>
        <w:numId w:val="6"/>
      </w:numPr>
      <w:tabs>
        <w:tab w:val="left" w:pos="360"/>
      </w:tabs>
      <w:spacing w:before="50" w:beforeLines="50" w:after="50" w:afterLines="50"/>
      <w:ind w:firstLineChars="0"/>
      <w:outlineLvl w:val="1"/>
    </w:pPr>
    <w:rPr>
      <w:rFonts w:eastAsia="宋体"/>
      <w:b/>
      <w:sz w:val="32"/>
    </w:rPr>
  </w:style>
  <w:style w:type="character" w:customStyle="1" w:styleId="342">
    <w:name w:val="_标题2 Char"/>
    <w:basedOn w:val="51"/>
    <w:link w:val="341"/>
    <w:qFormat/>
    <w:uiPriority w:val="0"/>
    <w:rPr>
      <w:rFonts w:asciiTheme="minorHAnsi" w:hAnsiTheme="minorHAnsi" w:cstheme="minorBidi"/>
      <w:b/>
      <w:kern w:val="2"/>
      <w:sz w:val="32"/>
      <w:szCs w:val="21"/>
    </w:rPr>
  </w:style>
  <w:style w:type="paragraph" w:customStyle="1" w:styleId="343">
    <w:name w:val="_标题3"/>
    <w:basedOn w:val="339"/>
    <w:next w:val="339"/>
    <w:link w:val="344"/>
    <w:qFormat/>
    <w:uiPriority w:val="0"/>
    <w:pPr>
      <w:keepNext/>
      <w:widowControl w:val="0"/>
      <w:spacing w:before="50" w:beforeLines="50" w:after="50" w:afterLines="50"/>
      <w:ind w:firstLine="0" w:firstLineChars="0"/>
      <w:outlineLvl w:val="2"/>
    </w:pPr>
    <w:rPr>
      <w:rFonts w:eastAsia="宋体"/>
      <w:b/>
      <w:sz w:val="30"/>
    </w:rPr>
  </w:style>
  <w:style w:type="character" w:customStyle="1" w:styleId="344">
    <w:name w:val="_标题3 Char"/>
    <w:basedOn w:val="51"/>
    <w:link w:val="343"/>
    <w:qFormat/>
    <w:uiPriority w:val="0"/>
    <w:rPr>
      <w:rFonts w:asciiTheme="minorHAnsi" w:hAnsiTheme="minorHAnsi" w:cstheme="minorBidi"/>
      <w:b/>
      <w:kern w:val="2"/>
      <w:sz w:val="30"/>
      <w:szCs w:val="21"/>
    </w:rPr>
  </w:style>
  <w:style w:type="paragraph" w:customStyle="1" w:styleId="345">
    <w:name w:val="_标题4"/>
    <w:basedOn w:val="339"/>
    <w:next w:val="339"/>
    <w:link w:val="346"/>
    <w:qFormat/>
    <w:uiPriority w:val="0"/>
    <w:pPr>
      <w:keepNext/>
      <w:widowControl w:val="0"/>
      <w:spacing w:before="50" w:beforeLines="50"/>
      <w:ind w:firstLine="0" w:firstLineChars="0"/>
      <w:outlineLvl w:val="3"/>
    </w:pPr>
    <w:rPr>
      <w:b/>
      <w:sz w:val="28"/>
    </w:rPr>
  </w:style>
  <w:style w:type="character" w:customStyle="1" w:styleId="346">
    <w:name w:val="_标题4 Char"/>
    <w:basedOn w:val="51"/>
    <w:link w:val="345"/>
    <w:qFormat/>
    <w:uiPriority w:val="0"/>
    <w:rPr>
      <w:rFonts w:eastAsia="微软雅黑" w:asciiTheme="minorHAnsi" w:hAnsiTheme="minorHAnsi" w:cstheme="minorBidi"/>
      <w:b/>
      <w:kern w:val="2"/>
      <w:sz w:val="28"/>
      <w:szCs w:val="21"/>
    </w:rPr>
  </w:style>
  <w:style w:type="paragraph" w:customStyle="1" w:styleId="347">
    <w:name w:val="_标题5"/>
    <w:basedOn w:val="339"/>
    <w:next w:val="339"/>
    <w:link w:val="348"/>
    <w:qFormat/>
    <w:uiPriority w:val="0"/>
    <w:pPr>
      <w:keepNext/>
      <w:numPr>
        <w:ilvl w:val="4"/>
        <w:numId w:val="6"/>
      </w:numPr>
      <w:spacing w:before="50" w:beforeLines="50"/>
      <w:ind w:firstLineChars="0"/>
      <w:outlineLvl w:val="4"/>
    </w:pPr>
    <w:rPr>
      <w:b/>
      <w:sz w:val="24"/>
    </w:rPr>
  </w:style>
  <w:style w:type="character" w:customStyle="1" w:styleId="348">
    <w:name w:val="_标题5 Char"/>
    <w:basedOn w:val="340"/>
    <w:link w:val="347"/>
    <w:qFormat/>
    <w:uiPriority w:val="0"/>
    <w:rPr>
      <w:rFonts w:eastAsia="微软雅黑" w:asciiTheme="minorHAnsi" w:hAnsiTheme="minorHAnsi" w:cstheme="minorBidi"/>
      <w:b/>
      <w:kern w:val="2"/>
      <w:sz w:val="24"/>
      <w:szCs w:val="21"/>
    </w:rPr>
  </w:style>
  <w:style w:type="paragraph" w:customStyle="1" w:styleId="349">
    <w:name w:val="_标题6"/>
    <w:basedOn w:val="339"/>
    <w:next w:val="339"/>
    <w:qFormat/>
    <w:uiPriority w:val="0"/>
    <w:pPr>
      <w:numPr>
        <w:ilvl w:val="5"/>
        <w:numId w:val="6"/>
      </w:numPr>
      <w:tabs>
        <w:tab w:val="left" w:pos="360"/>
      </w:tabs>
      <w:spacing w:before="50" w:beforeLines="50" w:after="50" w:afterLines="50"/>
      <w:ind w:left="3260" w:hanging="1134" w:firstLineChars="0"/>
      <w:outlineLvl w:val="5"/>
    </w:pPr>
    <w:rPr>
      <w:b/>
      <w:sz w:val="28"/>
    </w:rPr>
  </w:style>
  <w:style w:type="paragraph" w:customStyle="1" w:styleId="350">
    <w:name w:val="_标题7"/>
    <w:basedOn w:val="339"/>
    <w:next w:val="339"/>
    <w:qFormat/>
    <w:uiPriority w:val="0"/>
    <w:pPr>
      <w:numPr>
        <w:ilvl w:val="6"/>
        <w:numId w:val="6"/>
      </w:numPr>
      <w:spacing w:before="50" w:beforeLines="50" w:after="50" w:afterLines="50"/>
      <w:ind w:left="3827" w:hanging="1276" w:firstLineChars="0"/>
      <w:outlineLvl w:val="6"/>
    </w:pPr>
    <w:rPr>
      <w:b/>
    </w:rPr>
  </w:style>
  <w:style w:type="paragraph" w:customStyle="1" w:styleId="351">
    <w:name w:val="_标题8"/>
    <w:basedOn w:val="339"/>
    <w:next w:val="339"/>
    <w:qFormat/>
    <w:uiPriority w:val="0"/>
    <w:pPr>
      <w:numPr>
        <w:ilvl w:val="7"/>
        <w:numId w:val="6"/>
      </w:numPr>
      <w:spacing w:before="50" w:beforeLines="50" w:after="50" w:afterLines="50"/>
      <w:ind w:left="4394" w:hanging="1418" w:firstLineChars="0"/>
      <w:outlineLvl w:val="7"/>
    </w:pPr>
    <w:rPr>
      <w:b/>
    </w:rPr>
  </w:style>
  <w:style w:type="paragraph" w:customStyle="1" w:styleId="352">
    <w:name w:val="_标题9"/>
    <w:basedOn w:val="339"/>
    <w:next w:val="339"/>
    <w:qFormat/>
    <w:uiPriority w:val="0"/>
    <w:pPr>
      <w:numPr>
        <w:ilvl w:val="8"/>
        <w:numId w:val="6"/>
      </w:numPr>
      <w:spacing w:before="50" w:beforeLines="50" w:after="50" w:afterLines="50"/>
      <w:ind w:left="5102" w:hanging="1700" w:firstLineChars="0"/>
      <w:outlineLvl w:val="8"/>
    </w:pPr>
  </w:style>
  <w:style w:type="paragraph" w:customStyle="1" w:styleId="353">
    <w:name w:val="标题2"/>
    <w:basedOn w:val="3"/>
    <w:link w:val="354"/>
    <w:qFormat/>
    <w:uiPriority w:val="0"/>
    <w:pPr>
      <w:adjustRightInd w:val="0"/>
      <w:snapToGrid w:val="0"/>
      <w:spacing w:line="416" w:lineRule="auto"/>
    </w:pPr>
    <w:rPr>
      <w:rFonts w:asciiTheme="majorHAnsi" w:hAnsiTheme="majorHAnsi" w:cstheme="majorBidi"/>
    </w:rPr>
  </w:style>
  <w:style w:type="character" w:customStyle="1" w:styleId="354">
    <w:name w:val="标题2 字符"/>
    <w:basedOn w:val="60"/>
    <w:link w:val="353"/>
    <w:qFormat/>
    <w:uiPriority w:val="0"/>
    <w:rPr>
      <w:rFonts w:eastAsia="黑体" w:asciiTheme="majorHAnsi" w:hAnsiTheme="majorHAnsi" w:cstheme="majorBidi"/>
      <w:kern w:val="2"/>
      <w:sz w:val="32"/>
      <w:szCs w:val="32"/>
    </w:rPr>
  </w:style>
  <w:style w:type="paragraph" w:customStyle="1" w:styleId="355">
    <w:name w:val="__正文居中"/>
    <w:basedOn w:val="339"/>
    <w:next w:val="339"/>
    <w:link w:val="356"/>
    <w:qFormat/>
    <w:uiPriority w:val="0"/>
    <w:pPr>
      <w:ind w:firstLine="0" w:firstLineChars="0"/>
      <w:jc w:val="center"/>
    </w:pPr>
    <w:rPr>
      <w:szCs w:val="24"/>
    </w:rPr>
  </w:style>
  <w:style w:type="character" w:customStyle="1" w:styleId="356">
    <w:name w:val="__正文居中 Char"/>
    <w:basedOn w:val="340"/>
    <w:link w:val="355"/>
    <w:qFormat/>
    <w:uiPriority w:val="0"/>
    <w:rPr>
      <w:rFonts w:eastAsia="微软雅黑" w:asciiTheme="minorHAnsi" w:hAnsiTheme="minorHAnsi" w:cstheme="minorBidi"/>
      <w:kern w:val="2"/>
      <w:sz w:val="21"/>
      <w:szCs w:val="24"/>
    </w:rPr>
  </w:style>
  <w:style w:type="paragraph" w:customStyle="1" w:styleId="357">
    <w:name w:val="（空）多级符号 Char Char"/>
    <w:basedOn w:val="1"/>
    <w:qFormat/>
    <w:uiPriority w:val="0"/>
    <w:pPr>
      <w:adjustRightInd w:val="0"/>
      <w:snapToGrid w:val="0"/>
      <w:spacing w:line="360" w:lineRule="auto"/>
      <w:ind w:firstLine="540" w:firstLineChars="225"/>
      <w:jc w:val="left"/>
    </w:pPr>
    <w:rPr>
      <w:rFonts w:ascii="宋体" w:hAnsi="宋体"/>
      <w:sz w:val="24"/>
      <w:szCs w:val="24"/>
    </w:rPr>
  </w:style>
  <w:style w:type="character" w:customStyle="1" w:styleId="358">
    <w:name w:val="未处理的提及2"/>
    <w:basedOn w:val="51"/>
    <w:semiHidden/>
    <w:unhideWhenUsed/>
    <w:qFormat/>
    <w:uiPriority w:val="99"/>
    <w:rPr>
      <w:color w:val="605E5C"/>
      <w:shd w:val="clear" w:color="auto" w:fill="E1DFDD"/>
    </w:rPr>
  </w:style>
  <w:style w:type="character" w:customStyle="1" w:styleId="359">
    <w:name w:val="未处理的提及3"/>
    <w:basedOn w:val="51"/>
    <w:semiHidden/>
    <w:unhideWhenUsed/>
    <w:qFormat/>
    <w:uiPriority w:val="99"/>
    <w:rPr>
      <w:color w:val="605E5C"/>
      <w:shd w:val="clear" w:color="auto" w:fill="E1DFDD"/>
    </w:rPr>
  </w:style>
  <w:style w:type="paragraph" w:customStyle="1" w:styleId="360">
    <w:name w:val="_正文"/>
    <w:link w:val="361"/>
    <w:qFormat/>
    <w:uiPriority w:val="0"/>
    <w:pPr>
      <w:spacing w:line="360" w:lineRule="auto"/>
      <w:ind w:firstLine="200" w:firstLineChars="200"/>
    </w:pPr>
    <w:rPr>
      <w:rFonts w:asciiTheme="minorHAnsi" w:hAnsiTheme="minorHAnsi" w:eastAsiaTheme="minorEastAsia" w:cstheme="minorBidi"/>
      <w:kern w:val="2"/>
      <w:sz w:val="24"/>
      <w:szCs w:val="21"/>
      <w:lang w:val="en-US" w:eastAsia="zh-CN" w:bidi="ar-SA"/>
    </w:rPr>
  </w:style>
  <w:style w:type="character" w:customStyle="1" w:styleId="361">
    <w:name w:val="_正文 Char"/>
    <w:basedOn w:val="51"/>
    <w:link w:val="360"/>
    <w:qFormat/>
    <w:uiPriority w:val="0"/>
    <w:rPr>
      <w:rFonts w:asciiTheme="minorHAnsi" w:hAnsiTheme="minorHAnsi" w:eastAsiaTheme="minorEastAsia" w:cstheme="minorBidi"/>
      <w:kern w:val="2"/>
      <w:sz w:val="24"/>
      <w:szCs w:val="21"/>
    </w:rPr>
  </w:style>
  <w:style w:type="paragraph" w:customStyle="1" w:styleId="362">
    <w:name w:val="msolistparagraph"/>
    <w:basedOn w:val="1"/>
    <w:qFormat/>
    <w:uiPriority w:val="0"/>
    <w:pPr>
      <w:spacing w:line="360" w:lineRule="auto"/>
      <w:ind w:firstLine="420" w:firstLineChars="200"/>
    </w:pPr>
    <w:rPr>
      <w:rFonts w:hint="eastAsia" w:ascii="微软雅黑" w:hAnsi="微软雅黑" w:eastAsia="微软雅黑"/>
      <w:szCs w:val="24"/>
    </w:rPr>
  </w:style>
  <w:style w:type="paragraph" w:customStyle="1" w:styleId="363">
    <w:name w:val="!正文"/>
    <w:basedOn w:val="1"/>
    <w:link w:val="364"/>
    <w:qFormat/>
    <w:uiPriority w:val="0"/>
    <w:pPr>
      <w:widowControl/>
      <w:adjustRightInd w:val="0"/>
      <w:snapToGrid w:val="0"/>
      <w:spacing w:line="360" w:lineRule="auto"/>
      <w:ind w:firstLine="200" w:firstLineChars="200"/>
      <w:jc w:val="left"/>
    </w:pPr>
    <w:rPr>
      <w:rFonts w:ascii="Calibri" w:hAnsi="Calibri"/>
    </w:rPr>
  </w:style>
  <w:style w:type="character" w:customStyle="1" w:styleId="364">
    <w:name w:val="!正文 Char"/>
    <w:link w:val="363"/>
    <w:qFormat/>
    <w:uiPriority w:val="0"/>
    <w:rPr>
      <w:rFonts w:ascii="Calibri" w:hAnsi="Calibri"/>
      <w:kern w:val="2"/>
      <w:sz w:val="21"/>
      <w:szCs w:val="21"/>
    </w:rPr>
  </w:style>
  <w:style w:type="paragraph" w:customStyle="1" w:styleId="365">
    <w:name w:val="正文-SM"/>
    <w:basedOn w:val="26"/>
    <w:qFormat/>
    <w:uiPriority w:val="0"/>
    <w:pPr>
      <w:widowControl/>
      <w:spacing w:beforeLines="0" w:afterLines="0" w:line="360" w:lineRule="auto"/>
      <w:jc w:val="left"/>
    </w:pPr>
    <w:rPr>
      <w:rFonts w:ascii="Times New Roman" w:hAnsi="宋体"/>
      <w:kern w:val="0"/>
      <w:sz w:val="21"/>
      <w:lang w:val="zh-CN"/>
    </w:rPr>
  </w:style>
  <w:style w:type="paragraph" w:customStyle="1" w:styleId="366">
    <w:name w:val="FC正文"/>
    <w:basedOn w:val="1"/>
    <w:qFormat/>
    <w:uiPriority w:val="0"/>
    <w:pPr>
      <w:spacing w:line="360" w:lineRule="auto"/>
      <w:ind w:firstLine="480" w:firstLineChars="200"/>
    </w:pPr>
    <w:rPr>
      <w:rFonts w:ascii="宋体" w:hAnsi="宋体"/>
      <w:sz w:val="24"/>
      <w:szCs w:val="24"/>
    </w:rPr>
  </w:style>
  <w:style w:type="paragraph" w:customStyle="1" w:styleId="367">
    <w:name w:val="第二层样式"/>
    <w:basedOn w:val="1"/>
    <w:qFormat/>
    <w:uiPriority w:val="0"/>
    <w:pPr>
      <w:keepNext/>
      <w:keepLines/>
      <w:numPr>
        <w:ilvl w:val="1"/>
        <w:numId w:val="7"/>
      </w:numPr>
      <w:adjustRightInd w:val="0"/>
      <w:snapToGrid w:val="0"/>
      <w:spacing w:before="163" w:after="163" w:line="360" w:lineRule="auto"/>
      <w:outlineLvl w:val="1"/>
    </w:pPr>
    <w:rPr>
      <w:rFonts w:asciiTheme="minorHAnsi" w:hAnsiTheme="minorHAnsi" w:eastAsiaTheme="minorEastAsia" w:cstheme="minorEastAsia"/>
      <w:b/>
      <w:bCs/>
      <w:sz w:val="28"/>
    </w:rPr>
  </w:style>
  <w:style w:type="paragraph" w:customStyle="1" w:styleId="368">
    <w:name w:val="投标正文"/>
    <w:basedOn w:val="1"/>
    <w:qFormat/>
    <w:uiPriority w:val="0"/>
    <w:pPr>
      <w:spacing w:line="360" w:lineRule="auto"/>
      <w:ind w:left="100" w:firstLine="480" w:firstLineChars="200"/>
    </w:pPr>
    <w:rPr>
      <w:rFonts w:ascii="Calibri" w:hAnsi="Calibri"/>
      <w:sz w:val="24"/>
      <w:szCs w:val="24"/>
    </w:rPr>
  </w:style>
  <w:style w:type="character" w:customStyle="1" w:styleId="369">
    <w:name w:val="批注文字 Char"/>
    <w:basedOn w:val="51"/>
    <w:link w:val="16"/>
    <w:qFormat/>
    <w:uiPriority w:val="0"/>
    <w:rPr>
      <w:kern w:val="2"/>
      <w:sz w:val="24"/>
      <w:szCs w:val="22"/>
    </w:rPr>
  </w:style>
  <w:style w:type="character" w:customStyle="1" w:styleId="370">
    <w:name w:val="表格正文 Char"/>
    <w:basedOn w:val="51"/>
    <w:qFormat/>
    <w:uiPriority w:val="0"/>
    <w:rPr>
      <w:rFonts w:hint="eastAsia" w:ascii="宋体" w:hAnsi="宋体" w:eastAsia="宋体" w:cs="宋体"/>
      <w:kern w:val="2"/>
      <w:sz w:val="21"/>
      <w:szCs w:val="21"/>
    </w:rPr>
  </w:style>
  <w:style w:type="character" w:customStyle="1" w:styleId="371">
    <w:name w:val="四号正文 Char"/>
    <w:basedOn w:val="51"/>
    <w:qFormat/>
    <w:uiPriority w:val="0"/>
    <w:rPr>
      <w:rFonts w:hint="default" w:ascii="Arial" w:hAnsi="Arial" w:cs="Arial"/>
      <w:sz w:val="28"/>
      <w:szCs w:val="28"/>
    </w:rPr>
  </w:style>
  <w:style w:type="character" w:customStyle="1" w:styleId="372">
    <w:name w:val="font61"/>
    <w:basedOn w:val="51"/>
    <w:qFormat/>
    <w:uiPriority w:val="0"/>
    <w:rPr>
      <w:rFonts w:hint="eastAsia" w:ascii="宋体" w:hAnsi="宋体" w:eastAsia="宋体" w:cs="宋体"/>
      <w:b/>
      <w:color w:val="000000"/>
      <w:sz w:val="18"/>
      <w:szCs w:val="18"/>
      <w:u w:val="none"/>
    </w:rPr>
  </w:style>
  <w:style w:type="character" w:customStyle="1" w:styleId="373">
    <w:name w:val="标题 4 Char"/>
    <w:basedOn w:val="51"/>
    <w:qFormat/>
    <w:uiPriority w:val="99"/>
    <w:rPr>
      <w:rFonts w:hint="eastAsia" w:ascii="宋体" w:hAnsi="宋体" w:eastAsia="宋体" w:cs="宋体"/>
      <w:b/>
      <w:kern w:val="2"/>
      <w:sz w:val="28"/>
      <w:szCs w:val="28"/>
    </w:rPr>
  </w:style>
  <w:style w:type="character" w:customStyle="1" w:styleId="374">
    <w:name w:val="标书正文样式 Char"/>
    <w:basedOn w:val="51"/>
    <w:qFormat/>
    <w:uiPriority w:val="0"/>
    <w:rPr>
      <w:rFonts w:hint="eastAsia" w:ascii="仿宋_GB2312" w:hAnsi="宋体" w:eastAsia="仿宋_GB2312" w:cs="仿宋_GB2312"/>
      <w:bCs/>
      <w:kern w:val="2"/>
      <w:sz w:val="24"/>
      <w:szCs w:val="24"/>
    </w:rPr>
  </w:style>
  <w:style w:type="character" w:customStyle="1" w:styleId="375">
    <w:name w:val="标题 8 Char1"/>
    <w:basedOn w:val="51"/>
    <w:qFormat/>
    <w:uiPriority w:val="0"/>
    <w:rPr>
      <w:rFonts w:hint="eastAsia" w:ascii="宋体" w:hAnsi="Calibri Light" w:eastAsia="宋体" w:cs="Times New Roman"/>
      <w:b/>
      <w:sz w:val="30"/>
      <w:szCs w:val="24"/>
    </w:rPr>
  </w:style>
  <w:style w:type="character" w:customStyle="1" w:styleId="376">
    <w:name w:val="bjh-p"/>
    <w:basedOn w:val="51"/>
    <w:qFormat/>
    <w:uiPriority w:val="0"/>
  </w:style>
  <w:style w:type="character" w:customStyle="1" w:styleId="377">
    <w:name w:val="标题 8 字符11"/>
    <w:basedOn w:val="51"/>
    <w:qFormat/>
    <w:uiPriority w:val="0"/>
    <w:rPr>
      <w:rFonts w:hint="eastAsia" w:ascii="等线 Light" w:hAnsi="等线 Light" w:eastAsia="等线 Light" w:cs="Times New Roman"/>
      <w:kern w:val="2"/>
      <w:sz w:val="24"/>
      <w:szCs w:val="24"/>
    </w:rPr>
  </w:style>
  <w:style w:type="character" w:customStyle="1" w:styleId="378">
    <w:name w:val="标题 1 字符11"/>
    <w:basedOn w:val="51"/>
    <w:qFormat/>
    <w:uiPriority w:val="0"/>
    <w:rPr>
      <w:b/>
      <w:kern w:val="44"/>
      <w:sz w:val="44"/>
      <w:szCs w:val="44"/>
    </w:rPr>
  </w:style>
  <w:style w:type="character" w:customStyle="1" w:styleId="379">
    <w:name w:val="标题 5 Char1"/>
    <w:basedOn w:val="51"/>
    <w:link w:val="6"/>
    <w:qFormat/>
    <w:uiPriority w:val="99"/>
    <w:rPr>
      <w:rFonts w:ascii="Calibri" w:hAnsi="Calibri" w:cs="Calibri"/>
      <w:b/>
      <w:bCs/>
      <w:kern w:val="2"/>
      <w:sz w:val="28"/>
      <w:szCs w:val="28"/>
    </w:rPr>
  </w:style>
  <w:style w:type="character" w:customStyle="1" w:styleId="380">
    <w:name w:val="标题 Char"/>
    <w:basedOn w:val="51"/>
    <w:qFormat/>
    <w:uiPriority w:val="0"/>
    <w:rPr>
      <w:rFonts w:hint="default" w:ascii="Calibri Light" w:hAnsi="Calibri Light" w:eastAsia="Calibri Light" w:cs="Times New Roman"/>
      <w:b/>
      <w:kern w:val="2"/>
      <w:sz w:val="32"/>
      <w:szCs w:val="32"/>
    </w:rPr>
  </w:style>
  <w:style w:type="character" w:customStyle="1" w:styleId="381">
    <w:name w:val="标题 Char2"/>
    <w:basedOn w:val="51"/>
    <w:link w:val="45"/>
    <w:qFormat/>
    <w:uiPriority w:val="0"/>
    <w:rPr>
      <w:rFonts w:hint="eastAsia" w:ascii="宋体" w:hAnsi="Calibri Light" w:eastAsia="宋体" w:cs="宋体"/>
      <w:bCs/>
      <w:kern w:val="2"/>
      <w:sz w:val="32"/>
      <w:szCs w:val="32"/>
    </w:rPr>
  </w:style>
  <w:style w:type="paragraph" w:customStyle="1" w:styleId="382">
    <w:name w:val="正文格式"/>
    <w:basedOn w:val="1"/>
    <w:link w:val="416"/>
    <w:qFormat/>
    <w:uiPriority w:val="0"/>
    <w:pPr>
      <w:spacing w:before="60" w:after="60" w:line="360" w:lineRule="auto"/>
      <w:ind w:firstLine="480" w:firstLineChars="200"/>
      <w:jc w:val="left"/>
    </w:pPr>
    <w:rPr>
      <w:rFonts w:ascii="ˎ̥" w:hAnsi="ˎ̥"/>
      <w:color w:val="000000"/>
      <w:sz w:val="24"/>
      <w:szCs w:val="20"/>
    </w:rPr>
  </w:style>
  <w:style w:type="character" w:customStyle="1" w:styleId="383">
    <w:name w:val="日期 Char1"/>
    <w:basedOn w:val="51"/>
    <w:link w:val="28"/>
    <w:qFormat/>
    <w:uiPriority w:val="0"/>
    <w:rPr>
      <w:rFonts w:hint="default" w:ascii="Calibri" w:hAnsi="Calibri" w:cs="Calibri"/>
      <w:kern w:val="2"/>
      <w:sz w:val="24"/>
      <w:szCs w:val="32"/>
    </w:rPr>
  </w:style>
  <w:style w:type="character" w:customStyle="1" w:styleId="384">
    <w:name w:val="15"/>
    <w:basedOn w:val="51"/>
    <w:qFormat/>
    <w:uiPriority w:val="0"/>
    <w:rPr>
      <w:rFonts w:hint="default" w:ascii="Times New Roman" w:hAnsi="Times New Roman" w:cs="Times New Roman"/>
      <w:sz w:val="24"/>
      <w:szCs w:val="24"/>
    </w:rPr>
  </w:style>
  <w:style w:type="character" w:customStyle="1" w:styleId="385">
    <w:name w:val="font41"/>
    <w:basedOn w:val="51"/>
    <w:qFormat/>
    <w:uiPriority w:val="0"/>
    <w:rPr>
      <w:rFonts w:hint="eastAsia" w:ascii="宋体" w:hAnsi="宋体" w:eastAsia="宋体" w:cs="宋体"/>
      <w:color w:val="000000"/>
      <w:sz w:val="20"/>
      <w:szCs w:val="20"/>
      <w:u w:val="none"/>
    </w:rPr>
  </w:style>
  <w:style w:type="character" w:customStyle="1" w:styleId="386">
    <w:name w:val="font81"/>
    <w:basedOn w:val="51"/>
    <w:qFormat/>
    <w:uiPriority w:val="0"/>
    <w:rPr>
      <w:rFonts w:hint="eastAsia" w:ascii="宋体" w:hAnsi="宋体" w:eastAsia="宋体" w:cs="宋体"/>
      <w:b/>
      <w:color w:val="000000"/>
      <w:sz w:val="24"/>
      <w:szCs w:val="24"/>
      <w:u w:val="none"/>
    </w:rPr>
  </w:style>
  <w:style w:type="character" w:customStyle="1" w:styleId="387">
    <w:name w:val="批注文字 字符1"/>
    <w:basedOn w:val="51"/>
    <w:qFormat/>
    <w:uiPriority w:val="0"/>
    <w:rPr>
      <w:rFonts w:hint="default" w:ascii="Times New Roman" w:hAnsi="Times New Roman" w:eastAsia="宋体" w:cs="Times New Roman"/>
    </w:rPr>
  </w:style>
  <w:style w:type="character" w:customStyle="1" w:styleId="388">
    <w:name w:val="超链接1"/>
    <w:basedOn w:val="51"/>
    <w:qFormat/>
    <w:uiPriority w:val="0"/>
    <w:rPr>
      <w:color w:val="0563C1"/>
      <w:u w:val="single"/>
    </w:rPr>
  </w:style>
  <w:style w:type="character" w:customStyle="1" w:styleId="389">
    <w:name w:val="批注主题 Char"/>
    <w:basedOn w:val="51"/>
    <w:link w:val="46"/>
    <w:qFormat/>
    <w:uiPriority w:val="0"/>
    <w:rPr>
      <w:rFonts w:hint="default" w:ascii="Calibri" w:hAnsi="Calibri" w:cs="Calibri"/>
      <w:b/>
      <w:sz w:val="24"/>
    </w:rPr>
  </w:style>
  <w:style w:type="character" w:customStyle="1" w:styleId="390">
    <w:name w:val="题注 Char"/>
    <w:basedOn w:val="51"/>
    <w:link w:val="14"/>
    <w:qFormat/>
    <w:uiPriority w:val="0"/>
    <w:rPr>
      <w:rFonts w:hint="eastAsia" w:ascii="宋体" w:hAnsi="宋体" w:eastAsia="宋体" w:cs="宋体"/>
      <w:b/>
      <w:kern w:val="2"/>
      <w:sz w:val="21"/>
    </w:rPr>
  </w:style>
  <w:style w:type="character" w:customStyle="1" w:styleId="391">
    <w:name w:val="正文段 Char"/>
    <w:basedOn w:val="51"/>
    <w:qFormat/>
    <w:uiPriority w:val="0"/>
    <w:rPr>
      <w:rFonts w:hint="eastAsia" w:ascii="宋体" w:hAnsi="宋体" w:eastAsia="宋体" w:cs="宋体"/>
      <w:sz w:val="24"/>
    </w:rPr>
  </w:style>
  <w:style w:type="paragraph" w:customStyle="1" w:styleId="392">
    <w:name w:val="Char Char Char Char Char Char Char Char Char Char Char Char Char Char Char Char"/>
    <w:basedOn w:val="1"/>
    <w:qFormat/>
    <w:uiPriority w:val="0"/>
    <w:pPr>
      <w:spacing w:before="156" w:after="156" w:line="330" w:lineRule="atLeast"/>
      <w:ind w:left="360" w:firstLine="360" w:firstLineChars="150"/>
      <w:jc w:val="left"/>
    </w:pPr>
    <w:rPr>
      <w:rFonts w:ascii="ˎ̥" w:hAnsi="ˎ̥"/>
      <w:color w:val="51585D"/>
      <w:kern w:val="0"/>
      <w:sz w:val="24"/>
      <w:szCs w:val="18"/>
    </w:rPr>
  </w:style>
  <w:style w:type="character" w:customStyle="1" w:styleId="393">
    <w:name w:val="标题 2 Char1"/>
    <w:basedOn w:val="51"/>
    <w:qFormat/>
    <w:uiPriority w:val="0"/>
    <w:rPr>
      <w:rFonts w:hint="eastAsia" w:ascii="宋体" w:hAnsi="Calibri Light" w:eastAsia="宋体" w:cs="Times New Roman"/>
      <w:b/>
      <w:sz w:val="36"/>
      <w:szCs w:val="32"/>
    </w:rPr>
  </w:style>
  <w:style w:type="character" w:customStyle="1" w:styleId="394">
    <w:name w:val="msosubtlereference"/>
    <w:basedOn w:val="51"/>
    <w:qFormat/>
    <w:uiPriority w:val="0"/>
    <w:rPr>
      <w:smallCaps/>
      <w:color w:val="5A5A5A"/>
    </w:rPr>
  </w:style>
  <w:style w:type="character" w:customStyle="1" w:styleId="395">
    <w:name w:val="文本 字符"/>
    <w:basedOn w:val="51"/>
    <w:qFormat/>
    <w:uiPriority w:val="0"/>
    <w:rPr>
      <w:rFonts w:hint="eastAsia" w:ascii="仿宋" w:hAnsi="仿宋" w:eastAsia="仿宋" w:cs="仿宋"/>
      <w:kern w:val="2"/>
      <w:sz w:val="28"/>
      <w:szCs w:val="21"/>
    </w:rPr>
  </w:style>
  <w:style w:type="character" w:customStyle="1" w:styleId="396">
    <w:name w:val="标题 2 字符11"/>
    <w:basedOn w:val="51"/>
    <w:qFormat/>
    <w:uiPriority w:val="0"/>
    <w:rPr>
      <w:rFonts w:hint="eastAsia" w:ascii="等线 Light" w:hAnsi="等线 Light" w:eastAsia="等线 Light" w:cs="Times New Roman"/>
      <w:b/>
      <w:kern w:val="2"/>
      <w:sz w:val="32"/>
      <w:szCs w:val="32"/>
    </w:rPr>
  </w:style>
  <w:style w:type="paragraph" w:customStyle="1" w:styleId="397">
    <w:name w:val="正文标准"/>
    <w:basedOn w:val="1"/>
    <w:link w:val="465"/>
    <w:qFormat/>
    <w:uiPriority w:val="0"/>
    <w:pPr>
      <w:spacing w:line="360" w:lineRule="auto"/>
      <w:ind w:firstLine="200" w:firstLineChars="200"/>
    </w:pPr>
    <w:rPr>
      <w:rFonts w:hint="eastAsia" w:ascii="宋体" w:hAnsi="宋体"/>
      <w:kern w:val="0"/>
      <w:sz w:val="24"/>
      <w:szCs w:val="20"/>
    </w:rPr>
  </w:style>
  <w:style w:type="character" w:customStyle="1" w:styleId="398">
    <w:name w:val="标题 3 字符11"/>
    <w:basedOn w:val="51"/>
    <w:qFormat/>
    <w:uiPriority w:val="0"/>
    <w:rPr>
      <w:b/>
      <w:kern w:val="2"/>
      <w:sz w:val="32"/>
      <w:szCs w:val="32"/>
    </w:rPr>
  </w:style>
  <w:style w:type="character" w:customStyle="1" w:styleId="399">
    <w:name w:val="标题 4 字符11"/>
    <w:basedOn w:val="51"/>
    <w:qFormat/>
    <w:uiPriority w:val="0"/>
    <w:rPr>
      <w:rFonts w:hint="eastAsia" w:ascii="等线 Light" w:hAnsi="等线 Light" w:eastAsia="等线 Light" w:cs="Times New Roman"/>
      <w:b/>
      <w:kern w:val="2"/>
      <w:sz w:val="28"/>
      <w:szCs w:val="28"/>
    </w:rPr>
  </w:style>
  <w:style w:type="character" w:customStyle="1" w:styleId="400">
    <w:name w:val="标题 5 字符2"/>
    <w:basedOn w:val="51"/>
    <w:qFormat/>
    <w:uiPriority w:val="0"/>
    <w:rPr>
      <w:b/>
      <w:kern w:val="2"/>
      <w:sz w:val="28"/>
      <w:szCs w:val="28"/>
    </w:rPr>
  </w:style>
  <w:style w:type="character" w:customStyle="1" w:styleId="401">
    <w:name w:val="标题 6 字符11"/>
    <w:basedOn w:val="51"/>
    <w:qFormat/>
    <w:uiPriority w:val="0"/>
    <w:rPr>
      <w:rFonts w:hint="eastAsia" w:ascii="等线 Light" w:hAnsi="等线 Light" w:eastAsia="等线 Light" w:cs="Times New Roman"/>
      <w:b/>
      <w:kern w:val="2"/>
      <w:sz w:val="24"/>
      <w:szCs w:val="24"/>
    </w:rPr>
  </w:style>
  <w:style w:type="paragraph" w:customStyle="1" w:styleId="402">
    <w:name w:val="无间隔11"/>
    <w:basedOn w:val="1"/>
    <w:qFormat/>
    <w:uiPriority w:val="0"/>
    <w:rPr>
      <w:rFonts w:ascii="Calibri" w:hAnsi="Calibri"/>
      <w:bCs/>
      <w:kern w:val="0"/>
      <w:sz w:val="22"/>
      <w:szCs w:val="24"/>
    </w:rPr>
  </w:style>
  <w:style w:type="character" w:customStyle="1" w:styleId="403">
    <w:name w:val="标题 7 字符11"/>
    <w:basedOn w:val="51"/>
    <w:qFormat/>
    <w:uiPriority w:val="0"/>
    <w:rPr>
      <w:b/>
      <w:kern w:val="2"/>
      <w:sz w:val="24"/>
      <w:szCs w:val="24"/>
    </w:rPr>
  </w:style>
  <w:style w:type="character" w:customStyle="1" w:styleId="404">
    <w:name w:val="标题 9 字符11"/>
    <w:basedOn w:val="51"/>
    <w:qFormat/>
    <w:uiPriority w:val="0"/>
    <w:rPr>
      <w:rFonts w:hint="eastAsia" w:ascii="等线 Light" w:hAnsi="等线 Light" w:eastAsia="等线 Light" w:cs="Times New Roman"/>
      <w:kern w:val="2"/>
      <w:sz w:val="21"/>
      <w:szCs w:val="21"/>
    </w:rPr>
  </w:style>
  <w:style w:type="character" w:customStyle="1" w:styleId="405">
    <w:name w:val="标题 1 Char1"/>
    <w:basedOn w:val="51"/>
    <w:link w:val="2"/>
    <w:qFormat/>
    <w:uiPriority w:val="0"/>
    <w:rPr>
      <w:rFonts w:hint="default" w:ascii="Arial" w:hAnsi="Arial" w:cs="Arial"/>
      <w:b/>
      <w:kern w:val="44"/>
      <w:sz w:val="36"/>
      <w:szCs w:val="44"/>
    </w:rPr>
  </w:style>
  <w:style w:type="character" w:customStyle="1" w:styleId="406">
    <w:name w:val="标题 2 Char"/>
    <w:basedOn w:val="51"/>
    <w:link w:val="3"/>
    <w:qFormat/>
    <w:uiPriority w:val="99"/>
    <w:rPr>
      <w:rFonts w:hint="default" w:ascii="Arial" w:hAnsi="Arial" w:cs="Arial"/>
      <w:b/>
      <w:kern w:val="2"/>
      <w:sz w:val="32"/>
      <w:szCs w:val="32"/>
    </w:rPr>
  </w:style>
  <w:style w:type="character" w:customStyle="1" w:styleId="407">
    <w:name w:val="标题 3 Char1"/>
    <w:basedOn w:val="51"/>
    <w:link w:val="4"/>
    <w:qFormat/>
    <w:uiPriority w:val="0"/>
    <w:rPr>
      <w:rFonts w:hint="default" w:ascii="Arial" w:hAnsi="Arial" w:cs="Arial"/>
      <w:b/>
      <w:kern w:val="2"/>
      <w:sz w:val="30"/>
      <w:szCs w:val="32"/>
    </w:rPr>
  </w:style>
  <w:style w:type="character" w:customStyle="1" w:styleId="408">
    <w:name w:val="标题 4 Char1"/>
    <w:basedOn w:val="51"/>
    <w:link w:val="5"/>
    <w:qFormat/>
    <w:uiPriority w:val="0"/>
    <w:rPr>
      <w:rFonts w:hint="default" w:ascii="Arial" w:hAnsi="Arial" w:cs="Arial"/>
      <w:b/>
      <w:kern w:val="2"/>
      <w:sz w:val="28"/>
      <w:szCs w:val="28"/>
    </w:rPr>
  </w:style>
  <w:style w:type="character" w:customStyle="1" w:styleId="409">
    <w:name w:val="标题 6 Char2"/>
    <w:basedOn w:val="51"/>
    <w:link w:val="7"/>
    <w:qFormat/>
    <w:uiPriority w:val="99"/>
    <w:rPr>
      <w:rFonts w:ascii="Arial" w:hAnsi="Arial" w:eastAsia="黑体" w:cs="Arial"/>
      <w:b/>
      <w:bCs/>
      <w:kern w:val="2"/>
      <w:sz w:val="24"/>
      <w:szCs w:val="24"/>
    </w:rPr>
  </w:style>
  <w:style w:type="character" w:customStyle="1" w:styleId="410">
    <w:name w:val="标题 7 Char"/>
    <w:basedOn w:val="51"/>
    <w:link w:val="8"/>
    <w:qFormat/>
    <w:uiPriority w:val="9"/>
    <w:rPr>
      <w:rFonts w:ascii="Calibri" w:hAnsi="Calibri" w:cs="Calibri"/>
      <w:b/>
      <w:bCs/>
      <w:kern w:val="2"/>
      <w:sz w:val="24"/>
      <w:szCs w:val="24"/>
    </w:rPr>
  </w:style>
  <w:style w:type="character" w:customStyle="1" w:styleId="411">
    <w:name w:val="标题 8 Char"/>
    <w:basedOn w:val="51"/>
    <w:link w:val="10"/>
    <w:qFormat/>
    <w:uiPriority w:val="9"/>
    <w:rPr>
      <w:rFonts w:ascii="Arial" w:hAnsi="Arial" w:eastAsia="黑体" w:cs="Arial"/>
      <w:kern w:val="2"/>
      <w:sz w:val="24"/>
      <w:szCs w:val="24"/>
    </w:rPr>
  </w:style>
  <w:style w:type="character" w:customStyle="1" w:styleId="412">
    <w:name w:val="标题 9 Char"/>
    <w:basedOn w:val="51"/>
    <w:link w:val="11"/>
    <w:qFormat/>
    <w:uiPriority w:val="9"/>
    <w:rPr>
      <w:rFonts w:ascii="Arial" w:hAnsi="Arial" w:eastAsia="黑体" w:cs="Arial"/>
      <w:kern w:val="2"/>
      <w:sz w:val="21"/>
      <w:szCs w:val="21"/>
    </w:rPr>
  </w:style>
  <w:style w:type="character" w:customStyle="1" w:styleId="413">
    <w:name w:val="文档结构图 Char"/>
    <w:basedOn w:val="51"/>
    <w:link w:val="15"/>
    <w:qFormat/>
    <w:uiPriority w:val="0"/>
    <w:rPr>
      <w:rFonts w:hint="eastAsia" w:ascii="宋体" w:hAnsi="Calibri" w:eastAsia="宋体" w:cs="宋体"/>
      <w:sz w:val="18"/>
      <w:szCs w:val="18"/>
    </w:rPr>
  </w:style>
  <w:style w:type="character" w:customStyle="1" w:styleId="414">
    <w:name w:val="无间隔 Char2"/>
    <w:basedOn w:val="51"/>
    <w:qFormat/>
    <w:uiPriority w:val="0"/>
    <w:rPr>
      <w:kern w:val="0"/>
      <w:sz w:val="24"/>
      <w:szCs w:val="22"/>
    </w:rPr>
  </w:style>
  <w:style w:type="character" w:customStyle="1" w:styleId="415">
    <w:name w:val="正文文本缩进 Char"/>
    <w:basedOn w:val="51"/>
    <w:link w:val="21"/>
    <w:qFormat/>
    <w:uiPriority w:val="99"/>
    <w:rPr>
      <w:kern w:val="2"/>
      <w:sz w:val="24"/>
      <w:szCs w:val="22"/>
    </w:rPr>
  </w:style>
  <w:style w:type="character" w:customStyle="1" w:styleId="416">
    <w:name w:val="正文格式 Char"/>
    <w:basedOn w:val="51"/>
    <w:link w:val="382"/>
    <w:qFormat/>
    <w:uiPriority w:val="0"/>
    <w:rPr>
      <w:rFonts w:hint="default" w:ascii="ˎ̥" w:hAnsi="ˎ̥" w:eastAsia="ˎ̥" w:cs="ˎ̥"/>
      <w:color w:val="000000"/>
      <w:kern w:val="2"/>
      <w:sz w:val="24"/>
    </w:rPr>
  </w:style>
  <w:style w:type="character" w:customStyle="1" w:styleId="417">
    <w:name w:val="纯文本 Char"/>
    <w:basedOn w:val="51"/>
    <w:link w:val="26"/>
    <w:qFormat/>
    <w:uiPriority w:val="99"/>
    <w:rPr>
      <w:rFonts w:hint="eastAsia" w:ascii="宋体" w:hAnsi="Courier New" w:eastAsia="宋体" w:cs="宋体"/>
      <w:kern w:val="2"/>
      <w:sz w:val="24"/>
      <w:szCs w:val="22"/>
    </w:rPr>
  </w:style>
  <w:style w:type="character" w:customStyle="1" w:styleId="418">
    <w:name w:val="批注框文本 Char"/>
    <w:basedOn w:val="51"/>
    <w:link w:val="31"/>
    <w:qFormat/>
    <w:uiPriority w:val="0"/>
    <w:rPr>
      <w:rFonts w:hint="default" w:ascii="Calibri" w:hAnsi="Calibri" w:cs="Calibri"/>
      <w:sz w:val="18"/>
      <w:szCs w:val="18"/>
    </w:rPr>
  </w:style>
  <w:style w:type="character" w:customStyle="1" w:styleId="419">
    <w:name w:val="页脚 Char1"/>
    <w:basedOn w:val="51"/>
    <w:link w:val="32"/>
    <w:qFormat/>
    <w:uiPriority w:val="0"/>
    <w:rPr>
      <w:rFonts w:hint="default" w:ascii="Calibri" w:hAnsi="Calibri" w:cs="Calibri"/>
      <w:sz w:val="18"/>
      <w:szCs w:val="18"/>
    </w:rPr>
  </w:style>
  <w:style w:type="character" w:customStyle="1" w:styleId="420">
    <w:name w:val="HS 正文 字符"/>
    <w:basedOn w:val="51"/>
    <w:qFormat/>
    <w:uiPriority w:val="0"/>
    <w:rPr>
      <w:rFonts w:hint="eastAsia" w:ascii="宋体" w:hAnsi="宋体" w:eastAsia="宋体" w:cs="宋体"/>
      <w:kern w:val="2"/>
      <w:sz w:val="24"/>
      <w:szCs w:val="24"/>
    </w:rPr>
  </w:style>
  <w:style w:type="character" w:customStyle="1" w:styleId="421">
    <w:name w:val="页眉 Char2"/>
    <w:basedOn w:val="51"/>
    <w:link w:val="33"/>
    <w:qFormat/>
    <w:uiPriority w:val="0"/>
    <w:rPr>
      <w:kern w:val="2"/>
      <w:sz w:val="18"/>
      <w:szCs w:val="18"/>
    </w:rPr>
  </w:style>
  <w:style w:type="character" w:customStyle="1" w:styleId="422">
    <w:name w:val="HTML 预设格式 字符"/>
    <w:basedOn w:val="51"/>
    <w:qFormat/>
    <w:uiPriority w:val="0"/>
    <w:rPr>
      <w:rFonts w:hint="default" w:ascii="Courier New" w:hAnsi="Courier New" w:cs="Courier New"/>
      <w:kern w:val="2"/>
    </w:rPr>
  </w:style>
  <w:style w:type="character" w:customStyle="1" w:styleId="423">
    <w:name w:val="HTML 预设格式 Char1"/>
    <w:basedOn w:val="51"/>
    <w:link w:val="43"/>
    <w:qFormat/>
    <w:uiPriority w:val="0"/>
    <w:rPr>
      <w:rFonts w:hint="eastAsia" w:ascii="宋体" w:hAnsi="宋体" w:eastAsia="宋体" w:cs="宋体"/>
      <w:bCs/>
      <w:sz w:val="24"/>
      <w:szCs w:val="24"/>
    </w:rPr>
  </w:style>
  <w:style w:type="character" w:customStyle="1" w:styleId="424">
    <w:name w:val="正文首行缩进 2 Char"/>
    <w:basedOn w:val="51"/>
    <w:qFormat/>
    <w:uiPriority w:val="99"/>
  </w:style>
  <w:style w:type="paragraph" w:customStyle="1" w:styleId="425">
    <w:name w:val="4正-b"/>
    <w:basedOn w:val="1"/>
    <w:link w:val="426"/>
    <w:qFormat/>
    <w:uiPriority w:val="0"/>
    <w:pPr>
      <w:widowControl/>
      <w:spacing w:before="120" w:after="100" w:line="360" w:lineRule="auto"/>
      <w:ind w:firstLine="200" w:firstLineChars="200"/>
      <w:jc w:val="left"/>
    </w:pPr>
    <w:rPr>
      <w:rFonts w:ascii="Arial" w:hAnsi="Arial"/>
      <w:iCs/>
      <w:sz w:val="24"/>
      <w:szCs w:val="24"/>
    </w:rPr>
  </w:style>
  <w:style w:type="character" w:customStyle="1" w:styleId="426">
    <w:name w:val="4正-b Char"/>
    <w:basedOn w:val="51"/>
    <w:link w:val="425"/>
    <w:qFormat/>
    <w:uiPriority w:val="0"/>
    <w:rPr>
      <w:rFonts w:hint="default" w:ascii="Arial" w:hAnsi="Arial" w:cs="Arial"/>
      <w:iCs/>
      <w:kern w:val="2"/>
      <w:sz w:val="24"/>
      <w:szCs w:val="24"/>
    </w:rPr>
  </w:style>
  <w:style w:type="character" w:customStyle="1" w:styleId="427">
    <w:name w:val="标题 5 Char"/>
    <w:basedOn w:val="51"/>
    <w:qFormat/>
    <w:uiPriority w:val="99"/>
    <w:rPr>
      <w:rFonts w:hint="default" w:ascii="Calibri" w:hAnsi="Calibri" w:cs="Calibri"/>
      <w:b/>
      <w:kern w:val="2"/>
      <w:sz w:val="28"/>
      <w:szCs w:val="28"/>
    </w:rPr>
  </w:style>
  <w:style w:type="character" w:customStyle="1" w:styleId="428">
    <w:name w:val="fontstyle01"/>
    <w:basedOn w:val="51"/>
    <w:qFormat/>
    <w:uiPriority w:val="0"/>
    <w:rPr>
      <w:rFonts w:hint="eastAsia" w:ascii="宋体" w:hAnsi="宋体" w:eastAsia="宋体" w:cs="宋体"/>
      <w:color w:val="000000"/>
      <w:sz w:val="22"/>
      <w:szCs w:val="22"/>
    </w:rPr>
  </w:style>
  <w:style w:type="character" w:customStyle="1" w:styleId="429">
    <w:name w:val="font121"/>
    <w:basedOn w:val="51"/>
    <w:qFormat/>
    <w:uiPriority w:val="0"/>
    <w:rPr>
      <w:rFonts w:hint="eastAsia" w:ascii="宋体" w:hAnsi="宋体" w:eastAsia="宋体" w:cs="宋体"/>
      <w:color w:val="000000"/>
      <w:sz w:val="20"/>
      <w:szCs w:val="20"/>
      <w:u w:val="none"/>
    </w:rPr>
  </w:style>
  <w:style w:type="character" w:customStyle="1" w:styleId="430">
    <w:name w:val="标题 7 字符1"/>
    <w:basedOn w:val="51"/>
    <w:qFormat/>
    <w:uiPriority w:val="0"/>
    <w:rPr>
      <w:b/>
      <w:sz w:val="24"/>
      <w:szCs w:val="24"/>
    </w:rPr>
  </w:style>
  <w:style w:type="character" w:customStyle="1" w:styleId="431">
    <w:name w:val="font101"/>
    <w:basedOn w:val="51"/>
    <w:qFormat/>
    <w:uiPriority w:val="0"/>
    <w:rPr>
      <w:rFonts w:hint="eastAsia" w:ascii="宋体" w:hAnsi="宋体" w:eastAsia="宋体" w:cs="宋体"/>
      <w:color w:val="000000"/>
      <w:sz w:val="18"/>
      <w:szCs w:val="18"/>
      <w:u w:val="none"/>
    </w:rPr>
  </w:style>
  <w:style w:type="character" w:customStyle="1" w:styleId="432">
    <w:name w:val="烽火正文 Char"/>
    <w:basedOn w:val="51"/>
    <w:qFormat/>
    <w:uiPriority w:val="0"/>
    <w:rPr>
      <w:szCs w:val="21"/>
    </w:rPr>
  </w:style>
  <w:style w:type="character" w:customStyle="1" w:styleId="433">
    <w:name w:val="font31"/>
    <w:basedOn w:val="51"/>
    <w:qFormat/>
    <w:uiPriority w:val="0"/>
    <w:rPr>
      <w:rFonts w:hint="default" w:ascii="Times New Roman" w:hAnsi="Times New Roman" w:cs="Times New Roman"/>
      <w:color w:val="000000"/>
      <w:sz w:val="20"/>
      <w:szCs w:val="20"/>
      <w:u w:val="none"/>
    </w:rPr>
  </w:style>
  <w:style w:type="character" w:customStyle="1" w:styleId="434">
    <w:name w:val="3级标题 Char"/>
    <w:basedOn w:val="51"/>
    <w:qFormat/>
    <w:uiPriority w:val="0"/>
    <w:rPr>
      <w:rFonts w:hint="eastAsia" w:ascii="黑体" w:hAnsi="宋体" w:eastAsia="黑体" w:cs="黑体"/>
      <w:sz w:val="28"/>
      <w:szCs w:val="36"/>
      <w:lang w:eastAsia="en-US" w:bidi="en-US"/>
    </w:rPr>
  </w:style>
  <w:style w:type="character" w:customStyle="1" w:styleId="435">
    <w:name w:val="font51"/>
    <w:basedOn w:val="51"/>
    <w:qFormat/>
    <w:uiPriority w:val="0"/>
    <w:rPr>
      <w:rFonts w:hint="eastAsia" w:ascii="宋体" w:hAnsi="宋体" w:eastAsia="宋体" w:cs="宋体"/>
      <w:color w:val="000000"/>
      <w:sz w:val="21"/>
      <w:szCs w:val="21"/>
      <w:u w:val="none"/>
    </w:rPr>
  </w:style>
  <w:style w:type="character" w:customStyle="1" w:styleId="436">
    <w:name w:val="my正文 Char"/>
    <w:basedOn w:val="51"/>
    <w:qFormat/>
    <w:uiPriority w:val="0"/>
    <w:rPr>
      <w:kern w:val="2"/>
      <w:sz w:val="24"/>
      <w:szCs w:val="24"/>
    </w:rPr>
  </w:style>
  <w:style w:type="character" w:customStyle="1" w:styleId="437">
    <w:name w:val="font111"/>
    <w:basedOn w:val="51"/>
    <w:qFormat/>
    <w:uiPriority w:val="0"/>
    <w:rPr>
      <w:rFonts w:hint="eastAsia" w:ascii="宋体" w:hAnsi="宋体" w:eastAsia="宋体" w:cs="宋体"/>
      <w:color w:val="000000"/>
      <w:sz w:val="18"/>
      <w:szCs w:val="18"/>
      <w:u w:val="none"/>
    </w:rPr>
  </w:style>
  <w:style w:type="character" w:customStyle="1" w:styleId="438">
    <w:name w:val="标题 1 Char"/>
    <w:basedOn w:val="51"/>
    <w:qFormat/>
    <w:uiPriority w:val="9"/>
    <w:rPr>
      <w:rFonts w:hint="default" w:ascii="Arial" w:hAnsi="Arial" w:cs="Arial"/>
      <w:b/>
      <w:kern w:val="44"/>
      <w:sz w:val="36"/>
      <w:szCs w:val="44"/>
    </w:rPr>
  </w:style>
  <w:style w:type="character" w:customStyle="1" w:styleId="439">
    <w:name w:val="*正文 Char"/>
    <w:basedOn w:val="51"/>
    <w:qFormat/>
    <w:uiPriority w:val="0"/>
    <w:rPr>
      <w:rFonts w:hint="eastAsia" w:ascii="仿宋_GB2312" w:hAnsi="仿宋_GB2312" w:eastAsia="仿宋_GB2312" w:cs="仿宋_GB2312"/>
      <w:kern w:val="2"/>
      <w:sz w:val="28"/>
      <w:szCs w:val="28"/>
    </w:rPr>
  </w:style>
  <w:style w:type="character" w:customStyle="1" w:styleId="440">
    <w:name w:val="无间隔 Char"/>
    <w:basedOn w:val="51"/>
    <w:qFormat/>
    <w:uiPriority w:val="0"/>
    <w:rPr>
      <w:rFonts w:hint="eastAsia" w:ascii="黑体" w:hAnsi="宋体" w:eastAsia="黑体" w:cs="黑体"/>
      <w:kern w:val="2"/>
      <w:szCs w:val="24"/>
    </w:rPr>
  </w:style>
  <w:style w:type="character" w:customStyle="1" w:styleId="441">
    <w:name w:val="表格 字符"/>
    <w:basedOn w:val="51"/>
    <w:link w:val="442"/>
    <w:qFormat/>
    <w:uiPriority w:val="0"/>
    <w:rPr>
      <w:rFonts w:hint="eastAsia" w:ascii="宋体" w:hAnsi="Calibri" w:eastAsia="仿宋_GB2312" w:cs="宋体"/>
      <w:color w:val="000000"/>
      <w:sz w:val="24"/>
      <w:szCs w:val="24"/>
    </w:rPr>
  </w:style>
  <w:style w:type="paragraph" w:customStyle="1" w:styleId="442">
    <w:name w:val="表格"/>
    <w:basedOn w:val="18"/>
    <w:link w:val="441"/>
    <w:qFormat/>
    <w:uiPriority w:val="0"/>
    <w:pPr>
      <w:tabs>
        <w:tab w:val="left" w:pos="2117"/>
      </w:tabs>
      <w:spacing w:after="0" w:line="240" w:lineRule="atLeast"/>
      <w:ind w:firstLine="200" w:firstLineChars="200"/>
    </w:pPr>
    <w:rPr>
      <w:rFonts w:hint="eastAsia" w:ascii="宋体" w:eastAsia="仿宋_GB2312" w:cs="Times New Roman"/>
      <w:color w:val="000000"/>
      <w:kern w:val="0"/>
      <w:sz w:val="24"/>
      <w:szCs w:val="24"/>
    </w:rPr>
  </w:style>
  <w:style w:type="character" w:customStyle="1" w:styleId="443">
    <w:name w:val="白皮书-正文 字符"/>
    <w:basedOn w:val="51"/>
    <w:qFormat/>
    <w:uiPriority w:val="0"/>
    <w:rPr>
      <w:rFonts w:hint="eastAsia" w:ascii="微软雅黑" w:hAnsi="微软雅黑" w:eastAsia="微软雅黑" w:cs="微软雅黑"/>
      <w:sz w:val="24"/>
    </w:rPr>
  </w:style>
  <w:style w:type="character" w:customStyle="1" w:styleId="444">
    <w:name w:val="日期 Char"/>
    <w:basedOn w:val="51"/>
    <w:qFormat/>
    <w:uiPriority w:val="0"/>
    <w:rPr>
      <w:kern w:val="2"/>
      <w:sz w:val="24"/>
      <w:szCs w:val="22"/>
    </w:rPr>
  </w:style>
  <w:style w:type="character" w:customStyle="1" w:styleId="445">
    <w:name w:val="【段落1】 Char"/>
    <w:basedOn w:val="51"/>
    <w:qFormat/>
    <w:uiPriority w:val="0"/>
    <w:rPr>
      <w:b/>
      <w:sz w:val="24"/>
      <w:szCs w:val="22"/>
    </w:rPr>
  </w:style>
  <w:style w:type="character" w:customStyle="1" w:styleId="446">
    <w:name w:val="引用 Char"/>
    <w:basedOn w:val="51"/>
    <w:qFormat/>
    <w:uiPriority w:val="0"/>
    <w:rPr>
      <w:i/>
      <w:color w:val="404040"/>
      <w:kern w:val="2"/>
      <w:sz w:val="24"/>
      <w:szCs w:val="22"/>
    </w:rPr>
  </w:style>
  <w:style w:type="character" w:customStyle="1" w:styleId="447">
    <w:name w:val="投标正文 Char"/>
    <w:basedOn w:val="51"/>
    <w:qFormat/>
    <w:uiPriority w:val="0"/>
    <w:rPr>
      <w:sz w:val="24"/>
      <w:szCs w:val="24"/>
    </w:rPr>
  </w:style>
  <w:style w:type="character" w:customStyle="1" w:styleId="448">
    <w:name w:val="Body Char"/>
    <w:basedOn w:val="51"/>
    <w:qFormat/>
    <w:uiPriority w:val="0"/>
    <w:rPr>
      <w:rFonts w:hint="default" w:ascii="Arial" w:hAnsi="Arial" w:cs="Arial"/>
      <w:sz w:val="24"/>
      <w:szCs w:val="21"/>
      <w:lang w:eastAsia="en-US"/>
    </w:rPr>
  </w:style>
  <w:style w:type="paragraph" w:customStyle="1" w:styleId="449">
    <w:name w:val="4正文2"/>
    <w:basedOn w:val="1"/>
    <w:qFormat/>
    <w:uiPriority w:val="0"/>
    <w:pPr>
      <w:spacing w:before="100" w:after="120" w:line="360" w:lineRule="auto"/>
      <w:ind w:firstLine="200" w:firstLineChars="200"/>
      <w:jc w:val="left"/>
    </w:pPr>
    <w:rPr>
      <w:rFonts w:ascii="Arial" w:hAnsi="Arial"/>
      <w:iCs/>
      <w:sz w:val="24"/>
      <w:szCs w:val="24"/>
    </w:rPr>
  </w:style>
  <w:style w:type="character" w:customStyle="1" w:styleId="450">
    <w:name w:val="列表段落 字符"/>
    <w:basedOn w:val="51"/>
    <w:qFormat/>
    <w:uiPriority w:val="0"/>
    <w:rPr>
      <w:sz w:val="24"/>
    </w:rPr>
  </w:style>
  <w:style w:type="character" w:customStyle="1" w:styleId="451">
    <w:name w:val="首页项目标题 Char"/>
    <w:basedOn w:val="51"/>
    <w:qFormat/>
    <w:uiPriority w:val="0"/>
    <w:rPr>
      <w:rFonts w:hint="default" w:ascii="Calibri" w:hAnsi="Calibri" w:eastAsia="黑体" w:cs="Calibri"/>
      <w:b/>
      <w:kern w:val="2"/>
      <w:sz w:val="52"/>
      <w:szCs w:val="21"/>
    </w:rPr>
  </w:style>
  <w:style w:type="character" w:customStyle="1" w:styleId="452">
    <w:name w:val="16"/>
    <w:basedOn w:val="51"/>
    <w:qFormat/>
    <w:uiPriority w:val="0"/>
    <w:rPr>
      <w:rFonts w:hint="eastAsia" w:ascii="Yu Mincho Light" w:hAnsi="Yu Mincho Light" w:eastAsia="Yu Mincho Light" w:cs="Yu Mincho Light"/>
      <w:color w:val="000000"/>
      <w:sz w:val="22"/>
      <w:szCs w:val="22"/>
    </w:rPr>
  </w:style>
  <w:style w:type="character" w:customStyle="1" w:styleId="453">
    <w:name w:val="标题 3 Char"/>
    <w:basedOn w:val="51"/>
    <w:qFormat/>
    <w:uiPriority w:val="99"/>
    <w:rPr>
      <w:rFonts w:hint="default" w:ascii="Arial" w:hAnsi="Arial" w:cs="Arial"/>
      <w:b/>
      <w:kern w:val="2"/>
      <w:sz w:val="30"/>
      <w:szCs w:val="32"/>
    </w:rPr>
  </w:style>
  <w:style w:type="character" w:customStyle="1" w:styleId="454">
    <w:name w:val="页脚 Char"/>
    <w:basedOn w:val="51"/>
    <w:qFormat/>
    <w:uiPriority w:val="99"/>
    <w:rPr>
      <w:rFonts w:hint="eastAsia" w:ascii="宋体" w:hAnsi="宋体" w:eastAsia="宋体" w:cs="宋体"/>
      <w:kern w:val="2"/>
      <w:sz w:val="18"/>
      <w:szCs w:val="18"/>
      <w:lang w:val="en-US" w:eastAsia="zh-CN" w:bidi="ar"/>
    </w:rPr>
  </w:style>
  <w:style w:type="character" w:customStyle="1" w:styleId="455">
    <w:name w:val="gf正文1 Char"/>
    <w:basedOn w:val="51"/>
    <w:qFormat/>
    <w:uiPriority w:val="0"/>
    <w:rPr>
      <w:rFonts w:hint="eastAsia" w:ascii="宋体" w:hAnsi="宋体" w:eastAsia="宋体" w:cs="宋体"/>
      <w:kern w:val="2"/>
      <w:sz w:val="24"/>
      <w:szCs w:val="24"/>
    </w:rPr>
  </w:style>
  <w:style w:type="character" w:customStyle="1" w:styleId="456">
    <w:name w:val="无间隔 Char3"/>
    <w:basedOn w:val="51"/>
    <w:qFormat/>
    <w:uiPriority w:val="0"/>
    <w:rPr>
      <w:rFonts w:hint="default" w:ascii="Calibri" w:hAnsi="Calibri" w:cs="Calibri"/>
      <w:sz w:val="24"/>
      <w:szCs w:val="22"/>
    </w:rPr>
  </w:style>
  <w:style w:type="character" w:customStyle="1" w:styleId="457">
    <w:name w:val="加粗 Char"/>
    <w:basedOn w:val="51"/>
    <w:qFormat/>
    <w:uiPriority w:val="0"/>
    <w:rPr>
      <w:rFonts w:hint="default" w:ascii="Arial" w:hAnsi="Arial" w:cs="Arial"/>
      <w:b/>
      <w:kern w:val="2"/>
      <w:sz w:val="24"/>
      <w:szCs w:val="24"/>
    </w:rPr>
  </w:style>
  <w:style w:type="character" w:customStyle="1" w:styleId="458">
    <w:name w:val="页眉 Char"/>
    <w:basedOn w:val="51"/>
    <w:qFormat/>
    <w:uiPriority w:val="99"/>
    <w:rPr>
      <w:rFonts w:hint="eastAsia" w:ascii="宋体" w:hAnsi="宋体" w:eastAsia="宋体" w:cs="宋体"/>
      <w:sz w:val="20"/>
      <w:szCs w:val="18"/>
    </w:rPr>
  </w:style>
  <w:style w:type="character" w:customStyle="1" w:styleId="459">
    <w:name w:val="5图标题 Char"/>
    <w:basedOn w:val="51"/>
    <w:qFormat/>
    <w:uiPriority w:val="0"/>
    <w:rPr>
      <w:rFonts w:hint="default" w:ascii="Arial" w:hAnsi="Arial" w:cs="Arial"/>
      <w:b/>
      <w:kern w:val="2"/>
      <w:sz w:val="22"/>
      <w:szCs w:val="18"/>
    </w:rPr>
  </w:style>
  <w:style w:type="character" w:customStyle="1" w:styleId="460">
    <w:name w:val="页眉 Char1"/>
    <w:basedOn w:val="51"/>
    <w:qFormat/>
    <w:uiPriority w:val="0"/>
    <w:rPr>
      <w:kern w:val="2"/>
      <w:sz w:val="18"/>
      <w:szCs w:val="18"/>
    </w:rPr>
  </w:style>
  <w:style w:type="character" w:customStyle="1" w:styleId="461">
    <w:name w:val="c-font-big"/>
    <w:basedOn w:val="51"/>
    <w:qFormat/>
    <w:uiPriority w:val="0"/>
  </w:style>
  <w:style w:type="character" w:customStyle="1" w:styleId="462">
    <w:name w:val="哈哈正文 Char"/>
    <w:basedOn w:val="51"/>
    <w:qFormat/>
    <w:uiPriority w:val="0"/>
    <w:rPr>
      <w:rFonts w:hint="eastAsia" w:ascii="宋体" w:hAnsi="宋体" w:eastAsia="宋体" w:cs="宋体"/>
      <w:kern w:val="2"/>
      <w:sz w:val="24"/>
    </w:rPr>
  </w:style>
  <w:style w:type="character" w:customStyle="1" w:styleId="463">
    <w:name w:val="投标文件 4 字符"/>
    <w:basedOn w:val="51"/>
    <w:qFormat/>
    <w:uiPriority w:val="0"/>
    <w:rPr>
      <w:rFonts w:hint="default" w:ascii="Arial" w:hAnsi="Arial" w:cs="Arial"/>
      <w:b/>
      <w:sz w:val="24"/>
      <w:szCs w:val="28"/>
    </w:rPr>
  </w:style>
  <w:style w:type="character" w:customStyle="1" w:styleId="464">
    <w:name w:val="标题 6 Char1"/>
    <w:basedOn w:val="51"/>
    <w:qFormat/>
    <w:uiPriority w:val="0"/>
    <w:rPr>
      <w:rFonts w:hint="eastAsia" w:ascii="宋体" w:hAnsi="Calibri Light" w:eastAsia="宋体" w:cs="Times New Roman"/>
      <w:b/>
      <w:sz w:val="30"/>
      <w:szCs w:val="24"/>
    </w:rPr>
  </w:style>
  <w:style w:type="character" w:customStyle="1" w:styleId="465">
    <w:name w:val="正文标准 Char"/>
    <w:basedOn w:val="51"/>
    <w:link w:val="397"/>
    <w:qFormat/>
    <w:uiPriority w:val="0"/>
    <w:rPr>
      <w:rFonts w:hint="eastAsia" w:ascii="宋体" w:hAnsi="宋体" w:eastAsia="宋体" w:cs="宋体"/>
      <w:sz w:val="24"/>
    </w:rPr>
  </w:style>
  <w:style w:type="character" w:customStyle="1" w:styleId="466">
    <w:name w:val="正文缩进 Char2"/>
    <w:basedOn w:val="51"/>
    <w:qFormat/>
    <w:uiPriority w:val="0"/>
    <w:rPr>
      <w:kern w:val="2"/>
      <w:sz w:val="24"/>
    </w:rPr>
  </w:style>
  <w:style w:type="character" w:customStyle="1" w:styleId="467">
    <w:name w:val="￥正文 Char"/>
    <w:basedOn w:val="51"/>
    <w:qFormat/>
    <w:uiPriority w:val="0"/>
    <w:rPr>
      <w:rFonts w:hint="default" w:ascii="Calibri" w:hAnsi="Calibri" w:cs="黑体"/>
      <w:kern w:val="2"/>
      <w:sz w:val="24"/>
      <w:szCs w:val="22"/>
    </w:rPr>
  </w:style>
  <w:style w:type="character" w:customStyle="1" w:styleId="468">
    <w:name w:val="H0正文 字符"/>
    <w:basedOn w:val="51"/>
    <w:qFormat/>
    <w:uiPriority w:val="0"/>
    <w:rPr>
      <w:rFonts w:hint="eastAsia" w:ascii="宋体" w:hAnsi="宋体" w:eastAsia="宋体" w:cs="宋体"/>
      <w:kern w:val="2"/>
      <w:sz w:val="24"/>
      <w:szCs w:val="24"/>
    </w:rPr>
  </w:style>
  <w:style w:type="character" w:customStyle="1" w:styleId="469">
    <w:name w:val="标题 7 Char1"/>
    <w:basedOn w:val="51"/>
    <w:qFormat/>
    <w:uiPriority w:val="0"/>
    <w:rPr>
      <w:rFonts w:hint="eastAsia" w:ascii="宋体" w:hAnsi="宋体" w:eastAsia="宋体" w:cs="宋体"/>
      <w:b/>
      <w:sz w:val="30"/>
      <w:szCs w:val="24"/>
    </w:rPr>
  </w:style>
  <w:style w:type="character" w:customStyle="1" w:styleId="470">
    <w:name w:val="标题 9 Char1"/>
    <w:basedOn w:val="51"/>
    <w:qFormat/>
    <w:uiPriority w:val="0"/>
    <w:rPr>
      <w:rFonts w:hint="eastAsia" w:ascii="宋体" w:hAnsi="Calibri Light" w:eastAsia="宋体" w:cs="Times New Roman"/>
      <w:b/>
      <w:sz w:val="30"/>
    </w:rPr>
  </w:style>
  <w:style w:type="character" w:customStyle="1" w:styleId="471">
    <w:name w:val="标题 Char1"/>
    <w:basedOn w:val="51"/>
    <w:qFormat/>
    <w:uiPriority w:val="0"/>
    <w:rPr>
      <w:rFonts w:hint="eastAsia" w:ascii="宋体" w:hAnsi="Calibri Light" w:eastAsia="宋体" w:cs="Times New Roman"/>
      <w:bCs/>
      <w:sz w:val="32"/>
      <w:szCs w:val="32"/>
    </w:rPr>
  </w:style>
  <w:style w:type="character" w:customStyle="1" w:styleId="472">
    <w:name w:val="正文缩进 Char1"/>
    <w:basedOn w:val="51"/>
    <w:qFormat/>
    <w:uiPriority w:val="0"/>
  </w:style>
  <w:style w:type="character" w:customStyle="1" w:styleId="473">
    <w:name w:val="无间隔 Char1"/>
    <w:basedOn w:val="51"/>
    <w:qFormat/>
    <w:uiPriority w:val="0"/>
    <w:rPr>
      <w:kern w:val="0"/>
      <w:sz w:val="24"/>
      <w:szCs w:val="22"/>
    </w:rPr>
  </w:style>
  <w:style w:type="character" w:customStyle="1" w:styleId="474">
    <w:name w:val="标题3 Char"/>
    <w:basedOn w:val="51"/>
    <w:qFormat/>
    <w:uiPriority w:val="0"/>
    <w:rPr>
      <w:rFonts w:hint="eastAsia" w:ascii="宋体" w:hAnsi="Calibri Light" w:eastAsia="宋体" w:cs="宋体"/>
      <w:b/>
      <w:kern w:val="2"/>
      <w:sz w:val="32"/>
      <w:szCs w:val="32"/>
    </w:rPr>
  </w:style>
  <w:style w:type="character" w:customStyle="1" w:styleId="475">
    <w:name w:val="正文文本首行缩进 字符1"/>
    <w:qFormat/>
    <w:uiPriority w:val="0"/>
    <w:rPr>
      <w:rFonts w:hint="default" w:ascii="Arial" w:hAnsi="Arial" w:eastAsia="仿宋_GB2312" w:cs="Arial"/>
      <w:kern w:val="2"/>
      <w:sz w:val="24"/>
      <w:szCs w:val="22"/>
    </w:rPr>
  </w:style>
  <w:style w:type="character" w:customStyle="1" w:styleId="476">
    <w:name w:val="图 字符"/>
    <w:basedOn w:val="51"/>
    <w:qFormat/>
    <w:uiPriority w:val="0"/>
    <w:rPr>
      <w:rFonts w:hint="default" w:ascii="Calibri" w:hAnsi="Calibri" w:cs="Calibri"/>
      <w:kern w:val="2"/>
      <w:sz w:val="24"/>
      <w:szCs w:val="22"/>
    </w:rPr>
  </w:style>
  <w:style w:type="character" w:customStyle="1" w:styleId="477">
    <w:name w:val="正文-华文中宋小四 Char"/>
    <w:basedOn w:val="51"/>
    <w:qFormat/>
    <w:uiPriority w:val="0"/>
    <w:rPr>
      <w:rFonts w:hint="eastAsia" w:ascii="华文中宋" w:hAnsi="华文中宋" w:eastAsia="华文中宋" w:cs="华文中宋"/>
      <w:kern w:val="2"/>
      <w:sz w:val="24"/>
      <w:szCs w:val="21"/>
    </w:rPr>
  </w:style>
  <w:style w:type="character" w:customStyle="1" w:styleId="478">
    <w:name w:val="表格one Char"/>
    <w:basedOn w:val="51"/>
    <w:qFormat/>
    <w:uiPriority w:val="0"/>
    <w:rPr>
      <w:rFonts w:hint="eastAsia" w:ascii="宋体" w:hAnsi="宋体" w:eastAsia="宋体" w:cs="宋体"/>
      <w:color w:val="000000"/>
      <w:sz w:val="24"/>
      <w:szCs w:val="22"/>
    </w:rPr>
  </w:style>
  <w:style w:type="character" w:customStyle="1" w:styleId="479">
    <w:name w:val="表格 Char"/>
    <w:basedOn w:val="51"/>
    <w:qFormat/>
    <w:uiPriority w:val="0"/>
    <w:rPr>
      <w:rFonts w:hint="eastAsia" w:ascii="宋体" w:hAnsi="宋体" w:eastAsia="宋体" w:cs="Times New Roman"/>
      <w:color w:val="000000"/>
      <w:kern w:val="0"/>
      <w:sz w:val="24"/>
      <w:szCs w:val="22"/>
    </w:rPr>
  </w:style>
  <w:style w:type="character" w:customStyle="1" w:styleId="480">
    <w:name w:val="标题 6 字符1"/>
    <w:basedOn w:val="51"/>
    <w:qFormat/>
    <w:uiPriority w:val="0"/>
    <w:rPr>
      <w:rFonts w:hint="default" w:ascii="Calibri Light" w:hAnsi="Calibri Light" w:eastAsia="宋体" w:cs="Times New Roman"/>
      <w:b/>
      <w:sz w:val="24"/>
      <w:szCs w:val="24"/>
    </w:rPr>
  </w:style>
  <w:style w:type="character" w:customStyle="1" w:styleId="481">
    <w:name w:val="标题 8 字符1"/>
    <w:basedOn w:val="51"/>
    <w:qFormat/>
    <w:uiPriority w:val="0"/>
    <w:rPr>
      <w:rFonts w:hint="default" w:ascii="Calibri Light" w:hAnsi="Calibri Light" w:eastAsia="宋体" w:cs="Times New Roman"/>
      <w:sz w:val="24"/>
      <w:szCs w:val="24"/>
    </w:rPr>
  </w:style>
  <w:style w:type="character" w:customStyle="1" w:styleId="482">
    <w:name w:val="HTML 预设格式 Char"/>
    <w:basedOn w:val="51"/>
    <w:qFormat/>
    <w:uiPriority w:val="0"/>
    <w:rPr>
      <w:rFonts w:hint="default" w:ascii="Courier New" w:hAnsi="Courier New" w:cs="Courier New"/>
      <w:kern w:val="2"/>
    </w:rPr>
  </w:style>
  <w:style w:type="character" w:customStyle="1" w:styleId="483">
    <w:name w:val="标题 9 字符1"/>
    <w:basedOn w:val="51"/>
    <w:qFormat/>
    <w:uiPriority w:val="0"/>
    <w:rPr>
      <w:rFonts w:hint="default" w:ascii="Calibri Light" w:hAnsi="Calibri Light" w:eastAsia="宋体" w:cs="Times New Roman"/>
      <w:szCs w:val="21"/>
    </w:rPr>
  </w:style>
  <w:style w:type="character" w:customStyle="1" w:styleId="484">
    <w:name w:val="ng-binding"/>
    <w:basedOn w:val="51"/>
    <w:qFormat/>
    <w:uiPriority w:val="0"/>
  </w:style>
  <w:style w:type="character" w:customStyle="1" w:styleId="485">
    <w:name w:val="y-ml-sm"/>
    <w:basedOn w:val="51"/>
    <w:qFormat/>
    <w:uiPriority w:val="0"/>
  </w:style>
  <w:style w:type="character" w:customStyle="1" w:styleId="486">
    <w:name w:val="plus"/>
    <w:basedOn w:val="51"/>
    <w:qFormat/>
    <w:uiPriority w:val="0"/>
  </w:style>
  <w:style w:type="character" w:customStyle="1" w:styleId="487">
    <w:name w:val="未处理的提及4"/>
    <w:basedOn w:val="51"/>
    <w:qFormat/>
    <w:uiPriority w:val="0"/>
    <w:rPr>
      <w:color w:val="605E5C"/>
      <w:shd w:val="clear" w:color="auto" w:fill="E1DFDD"/>
    </w:rPr>
  </w:style>
  <w:style w:type="character" w:customStyle="1" w:styleId="488">
    <w:name w:val="引用 Char1"/>
    <w:basedOn w:val="51"/>
    <w:qFormat/>
    <w:uiPriority w:val="0"/>
    <w:rPr>
      <w:i/>
      <w:color w:val="404040"/>
      <w:kern w:val="2"/>
      <w:sz w:val="24"/>
      <w:szCs w:val="22"/>
    </w:rPr>
  </w:style>
  <w:style w:type="character" w:customStyle="1" w:styleId="489">
    <w:name w:val="引用 字符"/>
    <w:basedOn w:val="51"/>
    <w:qFormat/>
    <w:uiPriority w:val="0"/>
    <w:rPr>
      <w:i/>
      <w:color w:val="404040"/>
      <w:kern w:val="2"/>
      <w:sz w:val="24"/>
      <w:szCs w:val="22"/>
    </w:rPr>
  </w:style>
  <w:style w:type="character" w:customStyle="1" w:styleId="490">
    <w:name w:val="正文文本首行缩进 2 字符1"/>
    <w:basedOn w:val="415"/>
    <w:qFormat/>
    <w:uiPriority w:val="0"/>
    <w:rPr>
      <w:kern w:val="2"/>
      <w:sz w:val="24"/>
      <w:szCs w:val="22"/>
    </w:rPr>
  </w:style>
  <w:style w:type="table" w:customStyle="1" w:styleId="491">
    <w:name w:val="网格表 7 彩色 - 着色 11"/>
    <w:basedOn w:val="48"/>
    <w:qFormat/>
    <w:uiPriority w:val="0"/>
    <w:rPr>
      <w:rFonts w:hint="eastAsia" w:ascii="等线" w:hAnsi="等线" w:eastAsia="等线" w:cs="等线"/>
      <w:color w:val="2F5496"/>
      <w:kern w:val="2"/>
      <w:sz w:val="21"/>
      <w:szCs w:val="22"/>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cPr>
      <w:tcBorders>
        <w:top w:val="single" w:color="8EAADB" w:sz="4" w:space="0"/>
        <w:left w:val="single" w:color="8EAADB" w:sz="4" w:space="0"/>
        <w:bottom w:val="single" w:color="8EAADB" w:sz="4" w:space="0"/>
        <w:right w:val="single" w:color="8EAADB" w:sz="4" w:space="0"/>
      </w:tcBorders>
    </w:tcPr>
    <w:tblStylePr w:type="firstRow">
      <w:rPr>
        <w:b/>
        <w:bCs/>
      </w:rPr>
      <w:tcPr>
        <w:tcBorders>
          <w:top w:val="nil"/>
          <w:left w:val="nil"/>
          <w:bottom w:val="nil"/>
          <w:right w:val="nil"/>
          <w:tl2br w:val="nil"/>
          <w:tr2bl w:val="nil"/>
        </w:tcBorders>
        <w:shd w:val="clear" w:color="auto" w:fill="FFFFFF"/>
      </w:tcPr>
    </w:tblStylePr>
    <w:tblStylePr w:type="lastRow">
      <w:rPr>
        <w:b/>
        <w:bCs/>
      </w:rPr>
      <w:tcPr>
        <w:tcBorders>
          <w:top w:val="nil"/>
          <w:left w:val="nil"/>
          <w:bottom w:val="nil"/>
          <w:right w:val="nil"/>
          <w:tl2br w:val="nil"/>
          <w:tr2bl w:val="nil"/>
        </w:tcBorders>
        <w:shd w:val="clear" w:color="auto" w:fill="FFFFFF"/>
      </w:tcPr>
    </w:tblStylePr>
    <w:tblStylePr w:type="firstCol">
      <w:pPr>
        <w:jc w:val="right"/>
      </w:pPr>
      <w:rPr>
        <w:i/>
        <w:iCs/>
      </w:rPr>
      <w:tcPr>
        <w:tcBorders>
          <w:top w:val="nil"/>
          <w:left w:val="nil"/>
          <w:bottom w:val="nil"/>
          <w:right w:val="nil"/>
          <w:tl2br w:val="nil"/>
          <w:tr2bl w:val="nil"/>
        </w:tcBorders>
        <w:shd w:val="clear" w:color="auto" w:fill="FFFFFF"/>
      </w:tcPr>
    </w:tblStylePr>
    <w:tblStylePr w:type="lastCol">
      <w:rPr>
        <w:i/>
        <w:iCs/>
      </w:rPr>
      <w:tcPr>
        <w:tcBorders>
          <w:top w:val="nil"/>
          <w:left w:val="nil"/>
          <w:bottom w:val="nil"/>
          <w:right w:val="nil"/>
          <w:tl2br w:val="nil"/>
          <w:tr2bl w:val="nil"/>
        </w:tcBorders>
        <w:shd w:val="clear" w:color="auto" w:fill="FFFFFF"/>
      </w:tcPr>
    </w:tblStylePr>
    <w:tblStylePr w:type="band1Vert">
      <w:tcPr>
        <w:shd w:val="clear" w:color="auto" w:fill="D9E2F3"/>
      </w:tcPr>
    </w:tblStylePr>
    <w:tblStylePr w:type="band1Horz">
      <w:tcPr>
        <w:shd w:val="clear" w:color="auto" w:fill="D9E2F3"/>
      </w:tcPr>
    </w:tblStylePr>
    <w:tblStylePr w:type="neCell">
      <w:tcPr>
        <w:tcBorders>
          <w:top w:val="nil"/>
          <w:left w:val="nil"/>
          <w:bottom w:val="single" w:color="8EAADB" w:sz="4" w:space="0"/>
          <w:right w:val="nil"/>
          <w:tl2br w:val="nil"/>
          <w:tr2bl w:val="nil"/>
        </w:tcBorders>
      </w:tcPr>
    </w:tblStylePr>
    <w:tblStylePr w:type="nwCell">
      <w:tcPr>
        <w:tcBorders>
          <w:top w:val="nil"/>
          <w:left w:val="nil"/>
          <w:bottom w:val="single" w:color="8EAADB" w:sz="4" w:space="0"/>
          <w:right w:val="nil"/>
          <w:tl2br w:val="nil"/>
          <w:tr2bl w:val="nil"/>
        </w:tcBorders>
      </w:tcPr>
    </w:tblStylePr>
    <w:tblStylePr w:type="seCell">
      <w:tcPr>
        <w:tcBorders>
          <w:top w:val="single" w:color="8EAADB" w:sz="4" w:space="0"/>
          <w:left w:val="nil"/>
          <w:bottom w:val="nil"/>
          <w:right w:val="nil"/>
          <w:tl2br w:val="nil"/>
          <w:tr2bl w:val="nil"/>
        </w:tcBorders>
      </w:tcPr>
    </w:tblStylePr>
    <w:tblStylePr w:type="swCell">
      <w:tcPr>
        <w:tcBorders>
          <w:top w:val="single" w:color="8EAADB" w:sz="4" w:space="0"/>
          <w:left w:val="nil"/>
          <w:bottom w:val="nil"/>
          <w:right w:val="nil"/>
          <w:tl2br w:val="nil"/>
          <w:tr2bl w:val="nil"/>
        </w:tcBorders>
      </w:tcPr>
    </w:tblStylePr>
  </w:style>
  <w:style w:type="table" w:customStyle="1" w:styleId="492">
    <w:name w:val="网格表 1 浅色1"/>
    <w:basedOn w:val="48"/>
    <w:qFormat/>
    <w:uiPriority w:val="0"/>
    <w:rPr>
      <w:sz w:val="22"/>
      <w:szCs w:val="22"/>
      <w:lang w:eastAsia="en-US"/>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cPr>
      <w:tcBorders>
        <w:top w:val="single" w:color="999999" w:sz="4" w:space="0"/>
        <w:left w:val="single" w:color="999999" w:sz="4" w:space="0"/>
        <w:bottom w:val="single" w:color="999999" w:sz="4" w:space="0"/>
        <w:right w:val="single" w:color="999999" w:sz="4" w:space="0"/>
      </w:tcBorders>
    </w:tcPr>
    <w:tblStylePr w:type="firstRow">
      <w:rPr>
        <w:b/>
        <w:bCs/>
      </w:rPr>
      <w:tcPr>
        <w:tcBorders>
          <w:top w:val="nil"/>
          <w:left w:val="nil"/>
          <w:bottom w:val="single" w:color="666666" w:sz="12" w:space="0"/>
          <w:right w:val="nil"/>
          <w:tl2br w:val="nil"/>
          <w:tr2bl w:val="nil"/>
        </w:tcBorders>
      </w:tcPr>
    </w:tblStylePr>
    <w:tblStylePr w:type="lastRow">
      <w:rPr>
        <w:b/>
        <w:bCs/>
      </w:rPr>
      <w:tcPr>
        <w:tcBorders>
          <w:top w:val="double" w:color="666666" w:sz="2" w:space="0"/>
          <w:left w:val="nil"/>
          <w:bottom w:val="nil"/>
          <w:right w:val="nil"/>
          <w:tl2br w:val="nil"/>
          <w:tr2bl w:val="nil"/>
        </w:tcBorders>
      </w:tcPr>
    </w:tblStylePr>
    <w:tblStylePr w:type="firstCol">
      <w:rPr>
        <w:b/>
        <w:bCs/>
      </w:rPr>
    </w:tblStylePr>
    <w:tblStylePr w:type="lastCol">
      <w:rPr>
        <w:b/>
        <w:bCs/>
      </w:rPr>
    </w:tblStylePr>
  </w:style>
  <w:style w:type="table" w:customStyle="1" w:styleId="493">
    <w:name w:val="网格型21"/>
    <w:basedOn w:val="48"/>
    <w:qFormat/>
    <w:uiPriority w:val="0"/>
    <w:pPr>
      <w:spacing w:before="200" w:after="200" w:line="276" w:lineRule="auto"/>
      <w:ind w:left="288"/>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494">
    <w:name w:val="网格表 1 浅色11"/>
    <w:basedOn w:val="48"/>
    <w:qFormat/>
    <w:uiPriority w:val="0"/>
    <w:rPr>
      <w:sz w:val="22"/>
      <w:szCs w:val="22"/>
      <w:lang w:eastAsia="en-US"/>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cPr>
      <w:tcBorders>
        <w:top w:val="single" w:color="999999" w:sz="4" w:space="0"/>
        <w:left w:val="single" w:color="999999" w:sz="4" w:space="0"/>
        <w:bottom w:val="single" w:color="999999" w:sz="4" w:space="0"/>
        <w:right w:val="single" w:color="999999" w:sz="4" w:space="0"/>
      </w:tcBorders>
    </w:tcPr>
    <w:tblStylePr w:type="firstRow">
      <w:rPr>
        <w:b/>
        <w:bCs/>
      </w:rPr>
      <w:tcPr>
        <w:tcBorders>
          <w:top w:val="nil"/>
          <w:left w:val="nil"/>
          <w:bottom w:val="single" w:color="666666" w:sz="12" w:space="0"/>
          <w:right w:val="nil"/>
          <w:tl2br w:val="nil"/>
          <w:tr2bl w:val="nil"/>
        </w:tcBorders>
      </w:tcPr>
    </w:tblStylePr>
    <w:tblStylePr w:type="lastRow">
      <w:rPr>
        <w:b/>
        <w:bCs/>
      </w:rPr>
      <w:tcPr>
        <w:tcBorders>
          <w:top w:val="double" w:color="666666" w:sz="2" w:space="0"/>
          <w:left w:val="nil"/>
          <w:bottom w:val="nil"/>
          <w:right w:val="nil"/>
          <w:tl2br w:val="nil"/>
          <w:tr2bl w:val="nil"/>
        </w:tcBorders>
      </w:tcPr>
    </w:tblStylePr>
    <w:tblStylePr w:type="firstCol">
      <w:rPr>
        <w:b/>
        <w:bCs/>
      </w:rPr>
    </w:tblStylePr>
    <w:tblStylePr w:type="lastCol">
      <w:rPr>
        <w:b/>
        <w:bCs/>
      </w:rPr>
    </w:tblStylePr>
  </w:style>
  <w:style w:type="table" w:customStyle="1" w:styleId="495">
    <w:name w:val="网格表 1 浅色12"/>
    <w:basedOn w:val="48"/>
    <w:qFormat/>
    <w:uiPriority w:val="0"/>
    <w:rPr>
      <w:sz w:val="22"/>
      <w:szCs w:val="22"/>
      <w:lang w:eastAsia="en-US"/>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cPr>
      <w:tcBorders>
        <w:top w:val="single" w:color="999999" w:sz="4" w:space="0"/>
        <w:left w:val="single" w:color="999999" w:sz="4" w:space="0"/>
        <w:bottom w:val="single" w:color="999999" w:sz="4" w:space="0"/>
        <w:right w:val="single" w:color="999999" w:sz="4" w:space="0"/>
      </w:tcBorders>
    </w:tcPr>
    <w:tblStylePr w:type="firstRow">
      <w:rPr>
        <w:b/>
        <w:bCs/>
      </w:rPr>
      <w:tcPr>
        <w:tcBorders>
          <w:top w:val="nil"/>
          <w:left w:val="nil"/>
          <w:bottom w:val="single" w:color="666666" w:sz="12" w:space="0"/>
          <w:right w:val="nil"/>
          <w:tl2br w:val="nil"/>
          <w:tr2bl w:val="nil"/>
        </w:tcBorders>
      </w:tcPr>
    </w:tblStylePr>
    <w:tblStylePr w:type="lastRow">
      <w:rPr>
        <w:b/>
        <w:bCs/>
      </w:rPr>
      <w:tcPr>
        <w:tcBorders>
          <w:top w:val="double" w:color="666666" w:sz="2" w:space="0"/>
          <w:left w:val="nil"/>
          <w:bottom w:val="nil"/>
          <w:right w:val="nil"/>
          <w:tl2br w:val="nil"/>
          <w:tr2bl w:val="nil"/>
        </w:tcBorders>
      </w:tcPr>
    </w:tblStylePr>
    <w:tblStylePr w:type="firstCol">
      <w:rPr>
        <w:b/>
        <w:bCs/>
      </w:rPr>
    </w:tblStylePr>
    <w:tblStylePr w:type="lastCol">
      <w:rPr>
        <w:b/>
        <w:bCs/>
      </w:rPr>
    </w:tblStylePr>
  </w:style>
  <w:style w:type="table" w:customStyle="1" w:styleId="496">
    <w:name w:val="网格型浅色1"/>
    <w:basedOn w:val="48"/>
    <w:qFormat/>
    <w:uiPriority w:val="0"/>
    <w:tblPr>
      <w:tblBorders>
        <w:top w:val="single" w:color="85CB7B" w:sz="4" w:space="0"/>
        <w:left w:val="single" w:color="85CB7B" w:sz="4" w:space="0"/>
        <w:bottom w:val="single" w:color="85CB7B" w:sz="4" w:space="0"/>
        <w:right w:val="single" w:color="85CB7B" w:sz="4" w:space="0"/>
        <w:insideH w:val="single" w:color="85CB7B" w:sz="4" w:space="0"/>
        <w:insideV w:val="single" w:color="85CB7B" w:sz="4" w:space="0"/>
      </w:tblBorders>
      <w:tblCellMar>
        <w:top w:w="0" w:type="dxa"/>
        <w:left w:w="108" w:type="dxa"/>
        <w:bottom w:w="0" w:type="dxa"/>
        <w:right w:w="108" w:type="dxa"/>
      </w:tblCellMar>
    </w:tblPr>
    <w:tcPr>
      <w:tcBorders>
        <w:top w:val="single" w:color="85CB7B" w:sz="4" w:space="0"/>
        <w:left w:val="single" w:color="85CB7B" w:sz="4" w:space="0"/>
        <w:bottom w:val="single" w:color="85CB7B" w:sz="4" w:space="0"/>
        <w:right w:val="single" w:color="85CB7B" w:sz="4" w:space="0"/>
      </w:tcBorders>
    </w:tcPr>
  </w:style>
  <w:style w:type="table" w:customStyle="1" w:styleId="497">
    <w:name w:val="修改列表3"/>
    <w:basedOn w:val="48"/>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498">
    <w:name w:val="网格型1"/>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499">
    <w:name w:val="网格型22"/>
    <w:basedOn w:val="48"/>
    <w:qFormat/>
    <w:uiPriority w:val="0"/>
    <w:pPr>
      <w:spacing w:before="200" w:after="200" w:line="276" w:lineRule="auto"/>
      <w:ind w:left="288"/>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500">
    <w:name w:val="网格型3"/>
    <w:basedOn w:val="48"/>
    <w:qFormat/>
    <w:uiPriority w:val="0"/>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501">
    <w:name w:val="网格型5"/>
    <w:basedOn w:val="48"/>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502">
    <w:name w:val="Table Normal"/>
    <w:basedOn w:val="48"/>
    <w:qFormat/>
    <w:uiPriority w:val="0"/>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503">
    <w:name w:val="TableGrid"/>
    <w:basedOn w:val="48"/>
    <w:qFormat/>
    <w:uiPriority w:val="0"/>
    <w:rPr>
      <w:rFonts w:ascii="Calibri" w:hAnsi="Calibri"/>
    </w:rPr>
    <w:tblPr>
      <w:tblCellMar>
        <w:top w:w="0" w:type="dxa"/>
        <w:left w:w="0" w:type="dxa"/>
        <w:bottom w:w="0" w:type="dxa"/>
        <w:right w:w="0" w:type="dxa"/>
      </w:tblCellMar>
    </w:tblPr>
  </w:style>
  <w:style w:type="table" w:customStyle="1" w:styleId="504">
    <w:name w:val="Table Normal1"/>
    <w:basedOn w:val="48"/>
    <w:qFormat/>
    <w:uiPriority w:val="0"/>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505">
    <w:name w:val="Table Normal2"/>
    <w:basedOn w:val="48"/>
    <w:qFormat/>
    <w:uiPriority w:val="0"/>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506">
    <w:name w:val="修改列表1"/>
    <w:basedOn w:val="48"/>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507">
    <w:name w:val="TableGrid1"/>
    <w:basedOn w:val="48"/>
    <w:qFormat/>
    <w:uiPriority w:val="0"/>
    <w:rPr>
      <w:rFonts w:ascii="Calibri" w:hAnsi="Calibri"/>
    </w:rPr>
    <w:tblPr>
      <w:tblCellMar>
        <w:top w:w="0" w:type="dxa"/>
        <w:left w:w="0" w:type="dxa"/>
        <w:bottom w:w="0" w:type="dxa"/>
        <w:right w:w="0" w:type="dxa"/>
      </w:tblCellMar>
    </w:tblPr>
  </w:style>
  <w:style w:type="table" w:customStyle="1" w:styleId="508">
    <w:name w:val="修改列表2"/>
    <w:basedOn w:val="48"/>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509">
    <w:name w:val="网格型2"/>
    <w:basedOn w:val="48"/>
    <w:qFormat/>
    <w:uiPriority w:val="0"/>
    <w:pPr>
      <w:spacing w:before="200" w:after="200" w:line="276" w:lineRule="auto"/>
      <w:ind w:left="288"/>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510">
    <w:name w:val="网格型4"/>
    <w:basedOn w:val="48"/>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511">
    <w:name w:val="标题 6 Char"/>
    <w:basedOn w:val="340"/>
    <w:qFormat/>
    <w:uiPriority w:val="99"/>
    <w:rPr>
      <w:rFonts w:ascii="Arial" w:hAnsi="Arial" w:eastAsiaTheme="minorEastAsia" w:cstheme="minorBidi"/>
      <w:b/>
      <w:bCs/>
      <w:kern w:val="2"/>
      <w:sz w:val="24"/>
      <w:szCs w:val="24"/>
      <w:lang w:val="zh-CN" w:eastAsia="zh-CN"/>
    </w:rPr>
  </w:style>
  <w:style w:type="paragraph" w:customStyle="1" w:styleId="512">
    <w:name w:val="List Paragraph2"/>
    <w:basedOn w:val="1"/>
    <w:qFormat/>
    <w:uiPriority w:val="0"/>
    <w:pPr>
      <w:spacing w:line="360" w:lineRule="auto"/>
      <w:ind w:firstLine="420" w:firstLineChars="200"/>
    </w:pPr>
  </w:style>
  <w:style w:type="character" w:customStyle="1" w:styleId="513">
    <w:name w:val="10"/>
    <w:basedOn w:val="51"/>
    <w:qFormat/>
    <w:uiPriority w:val="0"/>
    <w:rPr>
      <w:rFonts w:hint="default" w:ascii="Times New Roman" w:hAnsi="Times New Roman" w:cs="Times New Roman"/>
    </w:rPr>
  </w:style>
  <w:style w:type="paragraph" w:customStyle="1" w:styleId="514">
    <w:name w:val="正文缩进1"/>
    <w:basedOn w:val="1"/>
    <w:qFormat/>
    <w:uiPriority w:val="0"/>
    <w:pPr>
      <w:autoSpaceDE w:val="0"/>
      <w:autoSpaceDN w:val="0"/>
      <w:adjustRightInd w:val="0"/>
      <w:ind w:firstLine="200" w:firstLineChars="200"/>
    </w:pPr>
    <w:rPr>
      <w:color w:val="000000"/>
      <w:kern w:val="0"/>
    </w:rPr>
  </w:style>
  <w:style w:type="paragraph" w:customStyle="1" w:styleId="515">
    <w:name w:val="UserStyle_0"/>
    <w:basedOn w:val="1"/>
    <w:qFormat/>
    <w:uiPriority w:val="0"/>
    <w:pPr>
      <w:spacing w:line="360" w:lineRule="auto"/>
      <w:ind w:firstLine="361"/>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D37E5-6BD3-4DED-93DD-C63A916BBC4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31030</Words>
  <Characters>33244</Characters>
  <Lines>52</Lines>
  <Paragraphs>64</Paragraphs>
  <TotalTime>2</TotalTime>
  <ScaleCrop>false</ScaleCrop>
  <LinksUpToDate>false</LinksUpToDate>
  <CharactersWithSpaces>35513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2021-06-07T07:56:00Z</dcterms:created>
  <dc:creator>cqhac</dc:creator>
  <cp:lastModifiedBy>三三</cp:lastModifiedBy>
  <cp:lastPrinted>2021-09-09T02:27:00Z</cp:lastPrinted>
  <dcterms:modified xsi:type="dcterms:W3CDTF">2023-11-28T08:47:17Z</dcterms:modified>
  <dc:title>丽水市人民医院采购全自动特定蛋白分析系统及配套和便携彩超项目</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D2C09111D8F44ADFA13B07757E96DCFE</vt:lpwstr>
  </property>
</Properties>
</file>