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420"/>
        <w:jc w:val="center"/>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44"/>
          <w:szCs w:val="44"/>
          <w:highlight w:val="none"/>
        </w:rPr>
      </w:pPr>
    </w:p>
    <w:p>
      <w:pPr>
        <w:spacing w:before="120" w:beforeLines="50" w:line="360" w:lineRule="auto"/>
        <w:jc w:val="center"/>
        <w:rPr>
          <w:rFonts w:hint="eastAsia" w:ascii="宋体" w:hAnsi="宋体" w:cs="宋体"/>
          <w:b/>
          <w:bCs/>
          <w:color w:val="auto"/>
          <w:sz w:val="52"/>
          <w:szCs w:val="52"/>
          <w:highlight w:val="none"/>
          <w:lang w:eastAsia="zh-CN"/>
        </w:rPr>
      </w:pPr>
      <w:r>
        <w:rPr>
          <w:rFonts w:hint="eastAsia" w:ascii="宋体" w:hAnsi="宋体" w:cs="宋体"/>
          <w:b/>
          <w:bCs/>
          <w:color w:val="auto"/>
          <w:sz w:val="52"/>
          <w:szCs w:val="52"/>
          <w:highlight w:val="none"/>
          <w:lang w:eastAsia="zh-CN"/>
        </w:rPr>
        <w:t>青田人民医院医疗设备采购项目</w:t>
      </w:r>
    </w:p>
    <w:p>
      <w:pPr>
        <w:spacing w:before="120" w:beforeLines="50" w:line="36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rPr>
        <w:t>公开招标文件</w:t>
      </w:r>
    </w:p>
    <w:p>
      <w:pPr>
        <w:snapToGrid w:val="0"/>
        <w:spacing w:before="120" w:beforeLines="50" w:line="360" w:lineRule="auto"/>
        <w:rPr>
          <w:rFonts w:hint="eastAsia" w:ascii="宋体" w:hAnsi="宋体" w:eastAsia="宋体" w:cs="宋体"/>
          <w:color w:val="auto"/>
          <w:sz w:val="30"/>
          <w:szCs w:val="30"/>
          <w:highlight w:val="none"/>
        </w:rPr>
      </w:pPr>
    </w:p>
    <w:p>
      <w:pPr>
        <w:snapToGrid w:val="0"/>
        <w:spacing w:before="120" w:beforeLines="50" w:line="360" w:lineRule="auto"/>
        <w:rPr>
          <w:rFonts w:hint="eastAsia" w:ascii="宋体" w:hAnsi="宋体" w:eastAsia="宋体" w:cs="宋体"/>
          <w:color w:val="auto"/>
          <w:sz w:val="30"/>
          <w:szCs w:val="30"/>
          <w:highlight w:val="none"/>
        </w:rPr>
      </w:pPr>
    </w:p>
    <w:p>
      <w:pPr>
        <w:pStyle w:val="26"/>
        <w:spacing w:before="120" w:after="120"/>
        <w:rPr>
          <w:rFonts w:hint="eastAsia" w:ascii="宋体" w:hAnsi="宋体" w:eastAsia="宋体" w:cs="宋体"/>
          <w:color w:val="auto"/>
          <w:sz w:val="30"/>
          <w:szCs w:val="30"/>
          <w:highlight w:val="none"/>
        </w:rPr>
      </w:pPr>
    </w:p>
    <w:p>
      <w:pPr>
        <w:snapToGrid w:val="0"/>
        <w:spacing w:before="120" w:beforeLines="50" w:line="360" w:lineRule="auto"/>
        <w:rPr>
          <w:rFonts w:hint="eastAsia" w:ascii="宋体" w:hAnsi="宋体" w:eastAsia="宋体" w:cs="宋体"/>
          <w:color w:val="auto"/>
          <w:sz w:val="30"/>
          <w:szCs w:val="30"/>
          <w:highlight w:val="none"/>
        </w:rPr>
      </w:pPr>
    </w:p>
    <w:p>
      <w:pPr>
        <w:rPr>
          <w:rFonts w:hint="eastAsia" w:ascii="宋体" w:hAnsi="宋体" w:eastAsia="宋体" w:cs="宋体"/>
          <w:color w:val="auto"/>
          <w:highlight w:val="none"/>
        </w:rPr>
      </w:pPr>
    </w:p>
    <w:p>
      <w:pPr>
        <w:pStyle w:val="26"/>
        <w:snapToGrid w:val="0"/>
        <w:spacing w:beforeLines="0" w:afterLines="0" w:line="360" w:lineRule="auto"/>
        <w:rPr>
          <w:rFonts w:hint="eastAsia" w:ascii="宋体" w:hAnsi="宋体" w:eastAsia="宋体" w:cs="宋体"/>
          <w:b/>
          <w:bCs/>
          <w:color w:val="auto"/>
          <w:sz w:val="30"/>
          <w:szCs w:val="30"/>
          <w:highlight w:val="none"/>
          <w:lang w:eastAsia="zh-CN"/>
        </w:rPr>
      </w:pPr>
      <w:r>
        <w:rPr>
          <w:rFonts w:hint="eastAsia" w:ascii="宋体" w:hAnsi="宋体" w:eastAsia="宋体" w:cs="宋体"/>
          <w:b/>
          <w:bCs/>
          <w:color w:val="auto"/>
          <w:sz w:val="30"/>
          <w:szCs w:val="30"/>
          <w:highlight w:val="none"/>
        </w:rPr>
        <w:t>项目编号：</w:t>
      </w:r>
      <w:r>
        <w:rPr>
          <w:rFonts w:hint="eastAsia" w:hAnsi="宋体" w:cs="宋体"/>
          <w:b/>
          <w:bCs/>
          <w:color w:val="auto"/>
          <w:sz w:val="30"/>
          <w:szCs w:val="30"/>
          <w:highlight w:val="none"/>
          <w:lang w:eastAsia="zh-CN"/>
        </w:rPr>
        <w:t>QTFSCG2023-238</w:t>
      </w:r>
    </w:p>
    <w:p>
      <w:pPr>
        <w:pStyle w:val="26"/>
        <w:snapToGrid w:val="0"/>
        <w:spacing w:beforeLines="0" w:afterLines="0" w:line="360" w:lineRule="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项目名称：</w:t>
      </w:r>
      <w:r>
        <w:rPr>
          <w:rFonts w:hint="eastAsia" w:hAnsi="宋体" w:cs="宋体"/>
          <w:b/>
          <w:bCs/>
          <w:color w:val="auto"/>
          <w:sz w:val="30"/>
          <w:szCs w:val="30"/>
          <w:highlight w:val="none"/>
          <w:lang w:eastAsia="zh-CN"/>
        </w:rPr>
        <w:t>青田人民医院医疗设备采购项目</w:t>
      </w:r>
    </w:p>
    <w:p>
      <w:pPr>
        <w:pStyle w:val="26"/>
        <w:snapToGrid w:val="0"/>
        <w:spacing w:beforeLines="0" w:afterLines="0" w:line="360" w:lineRule="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采购单位：</w:t>
      </w:r>
      <w:r>
        <w:rPr>
          <w:rFonts w:hint="eastAsia" w:hAnsi="宋体" w:cs="宋体"/>
          <w:b/>
          <w:bCs/>
          <w:color w:val="auto"/>
          <w:sz w:val="30"/>
          <w:szCs w:val="30"/>
          <w:highlight w:val="none"/>
          <w:lang w:eastAsia="zh-CN"/>
        </w:rPr>
        <w:t>青田人民医院</w:t>
      </w:r>
    </w:p>
    <w:p>
      <w:pPr>
        <w:pStyle w:val="26"/>
        <w:snapToGrid w:val="0"/>
        <w:spacing w:beforeLines="0" w:afterLines="0" w:line="360" w:lineRule="auto"/>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代理机构：宁波中基国际招标有限公司</w:t>
      </w:r>
    </w:p>
    <w:p>
      <w:pPr>
        <w:snapToGrid w:val="0"/>
        <w:spacing w:before="120" w:beforeLines="50" w:line="360" w:lineRule="auto"/>
        <w:jc w:val="center"/>
        <w:rPr>
          <w:rFonts w:hint="eastAsia" w:ascii="宋体" w:hAnsi="宋体" w:eastAsia="宋体" w:cs="宋体"/>
          <w:b/>
          <w:bCs/>
          <w:color w:val="auto"/>
          <w:w w:val="95"/>
          <w:sz w:val="30"/>
          <w:szCs w:val="30"/>
          <w:highlight w:val="none"/>
        </w:rPr>
      </w:pPr>
    </w:p>
    <w:p>
      <w:pPr>
        <w:snapToGrid w:val="0"/>
        <w:spacing w:before="120" w:beforeLines="50" w:line="360" w:lineRule="auto"/>
        <w:rPr>
          <w:rFonts w:hint="eastAsia" w:ascii="宋体" w:hAnsi="宋体" w:eastAsia="宋体" w:cs="宋体"/>
          <w:b/>
          <w:bCs/>
          <w:color w:val="auto"/>
          <w:w w:val="95"/>
          <w:sz w:val="30"/>
          <w:szCs w:val="30"/>
          <w:highlight w:val="none"/>
        </w:rPr>
      </w:pPr>
    </w:p>
    <w:p>
      <w:pPr>
        <w:pStyle w:val="26"/>
        <w:spacing w:before="120" w:after="120"/>
        <w:rPr>
          <w:rFonts w:hint="eastAsia" w:ascii="宋体" w:hAnsi="宋体" w:eastAsia="宋体" w:cs="宋体"/>
          <w:color w:val="auto"/>
          <w:highlight w:val="none"/>
        </w:rPr>
      </w:pPr>
    </w:p>
    <w:p>
      <w:pPr>
        <w:pStyle w:val="26"/>
        <w:spacing w:before="120" w:after="120"/>
        <w:rPr>
          <w:rFonts w:hint="eastAsia" w:ascii="宋体" w:hAnsi="宋体" w:eastAsia="宋体" w:cs="宋体"/>
          <w:color w:val="auto"/>
          <w:highlight w:val="none"/>
        </w:rPr>
      </w:pPr>
    </w:p>
    <w:p>
      <w:pPr>
        <w:snapToGrid w:val="0"/>
        <w:spacing w:before="120" w:beforeLines="50" w:line="360" w:lineRule="auto"/>
        <w:jc w:val="center"/>
        <w:rPr>
          <w:rFonts w:hint="eastAsia" w:ascii="宋体" w:hAnsi="宋体" w:eastAsia="宋体" w:cs="宋体"/>
          <w:color w:val="auto"/>
          <w:sz w:val="30"/>
          <w:szCs w:val="30"/>
          <w:highlight w:val="none"/>
        </w:rPr>
      </w:pPr>
      <w:r>
        <w:rPr>
          <w:rFonts w:hint="eastAsia" w:ascii="宋体" w:hAnsi="宋体" w:eastAsia="宋体" w:cs="宋体"/>
          <w:b/>
          <w:bCs/>
          <w:color w:val="auto"/>
          <w:w w:val="95"/>
          <w:sz w:val="30"/>
          <w:szCs w:val="30"/>
          <w:highlight w:val="none"/>
        </w:rPr>
        <w:t>2023 年</w:t>
      </w:r>
      <w:r>
        <w:rPr>
          <w:rFonts w:hint="eastAsia" w:ascii="宋体" w:hAnsi="宋体" w:cs="宋体"/>
          <w:b/>
          <w:bCs/>
          <w:color w:val="auto"/>
          <w:w w:val="95"/>
          <w:sz w:val="30"/>
          <w:szCs w:val="30"/>
          <w:highlight w:val="none"/>
          <w:lang w:val="en-US" w:eastAsia="zh-CN"/>
        </w:rPr>
        <w:t>10</w:t>
      </w:r>
      <w:r>
        <w:rPr>
          <w:rFonts w:hint="eastAsia" w:ascii="宋体" w:hAnsi="宋体" w:eastAsia="宋体" w:cs="宋体"/>
          <w:b/>
          <w:bCs/>
          <w:color w:val="auto"/>
          <w:w w:val="95"/>
          <w:sz w:val="30"/>
          <w:szCs w:val="30"/>
          <w:highlight w:val="none"/>
        </w:rPr>
        <w:t>月</w:t>
      </w:r>
    </w:p>
    <w:p>
      <w:pPr>
        <w:spacing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highlight w:val="none"/>
        </w:rPr>
        <w:br w:type="page"/>
      </w:r>
    </w:p>
    <w:p>
      <w:pPr>
        <w:spacing w:line="360" w:lineRule="auto"/>
        <w:jc w:val="center"/>
        <w:rPr>
          <w:rFonts w:hint="eastAsia" w:ascii="宋体" w:hAnsi="宋体" w:eastAsia="宋体" w:cs="宋体"/>
          <w:b/>
          <w:bCs/>
          <w:color w:val="auto"/>
          <w:sz w:val="40"/>
          <w:szCs w:val="40"/>
          <w:highlight w:val="none"/>
        </w:rPr>
      </w:pPr>
      <w:r>
        <w:rPr>
          <w:rFonts w:hint="eastAsia" w:ascii="宋体" w:hAnsi="宋体" w:eastAsia="宋体" w:cs="宋体"/>
          <w:b/>
          <w:bCs/>
          <w:color w:val="auto"/>
          <w:sz w:val="40"/>
          <w:szCs w:val="40"/>
          <w:highlight w:val="none"/>
        </w:rPr>
        <w:t>目    录</w:t>
      </w:r>
    </w:p>
    <w:p>
      <w:pPr>
        <w:pStyle w:val="2"/>
        <w:rPr>
          <w:rFonts w:hint="eastAsia" w:ascii="宋体" w:hAnsi="宋体" w:eastAsia="宋体" w:cs="宋体"/>
          <w:color w:val="auto"/>
          <w:highlight w:val="none"/>
        </w:rPr>
      </w:pPr>
    </w:p>
    <w:p>
      <w:pPr>
        <w:pStyle w:val="34"/>
        <w:tabs>
          <w:tab w:val="right" w:leader="dot" w:pos="8297"/>
        </w:tabs>
        <w:spacing w:line="60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TOC \o "1-3" \h \z \u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"_Toc132205133"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第一章  公开招标采购公告</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_Toc132205133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3</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34"/>
        <w:tabs>
          <w:tab w:val="right" w:leader="dot" w:pos="8297"/>
        </w:tabs>
        <w:spacing w:line="60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"_Toc132205134"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第二章  招标需求</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_Toc132205134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9</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34"/>
        <w:tabs>
          <w:tab w:val="right" w:leader="dot" w:pos="8297"/>
        </w:tabs>
        <w:spacing w:line="60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"_Toc132205168"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第三章  投标人须知</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_Toc132205168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38</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34"/>
        <w:tabs>
          <w:tab w:val="right" w:leader="dot" w:pos="8297"/>
        </w:tabs>
        <w:spacing w:line="60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"_Toc132205199"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第四章  评标办法及评分标准</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_Toc132205199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47</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34"/>
        <w:tabs>
          <w:tab w:val="right" w:leader="dot" w:pos="8297"/>
        </w:tabs>
        <w:spacing w:line="600" w:lineRule="auto"/>
        <w:rPr>
          <w:rFonts w:hint="eastAsia" w:ascii="宋体" w:hAnsi="宋体" w:eastAsia="宋体" w:cs="宋体"/>
          <w:b/>
          <w:bCs/>
          <w:color w:val="auto"/>
          <w:sz w:val="28"/>
          <w:szCs w:val="28"/>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"_Toc132205200"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第五章  合同主要条款</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_Toc132205200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88</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pStyle w:val="34"/>
        <w:tabs>
          <w:tab w:val="right" w:leader="dot" w:pos="8297"/>
        </w:tabs>
        <w:spacing w:line="600" w:lineRule="auto"/>
        <w:rPr>
          <w:rFonts w:hint="eastAsia" w:ascii="宋体" w:hAnsi="宋体" w:eastAsia="宋体" w:cs="宋体"/>
          <w:color w:val="auto"/>
          <w:sz w:val="28"/>
          <w:szCs w:val="28"/>
          <w:highlight w:val="none"/>
        </w:rPr>
      </w:pPr>
      <w:r>
        <w:rPr>
          <w:rFonts w:hint="eastAsia" w:ascii="宋体" w:hAnsi="宋体" w:eastAsia="宋体" w:cs="宋体"/>
          <w:b/>
          <w:bCs/>
          <w:color w:val="auto"/>
          <w:sz w:val="22"/>
          <w:szCs w:val="22"/>
          <w:highlight w:val="none"/>
        </w:rPr>
        <w:fldChar w:fldCharType="begin"/>
      </w:r>
      <w:r>
        <w:rPr>
          <w:rFonts w:hint="eastAsia" w:ascii="宋体" w:hAnsi="宋体" w:eastAsia="宋体" w:cs="宋体"/>
          <w:b/>
          <w:bCs/>
          <w:color w:val="auto"/>
          <w:sz w:val="22"/>
          <w:szCs w:val="22"/>
          <w:highlight w:val="none"/>
        </w:rPr>
        <w:instrText xml:space="preserve"> HYPERLINK \l "_Toc132205201" </w:instrText>
      </w:r>
      <w:r>
        <w:rPr>
          <w:rFonts w:hint="eastAsia" w:ascii="宋体" w:hAnsi="宋体" w:eastAsia="宋体" w:cs="宋体"/>
          <w:b/>
          <w:bCs/>
          <w:color w:val="auto"/>
          <w:sz w:val="22"/>
          <w:szCs w:val="22"/>
          <w:highlight w:val="none"/>
        </w:rPr>
        <w:fldChar w:fldCharType="separate"/>
      </w:r>
      <w:r>
        <w:rPr>
          <w:rStyle w:val="57"/>
          <w:rFonts w:hint="eastAsia" w:ascii="宋体" w:hAnsi="宋体" w:eastAsia="宋体" w:cs="宋体"/>
          <w:b/>
          <w:bCs/>
          <w:color w:val="auto"/>
          <w:sz w:val="28"/>
          <w:szCs w:val="28"/>
          <w:highlight w:val="none"/>
        </w:rPr>
        <w:t>第六章  投标文件格式</w:t>
      </w:r>
      <w:r>
        <w:rPr>
          <w:rFonts w:hint="eastAsia" w:ascii="宋体" w:hAnsi="宋体" w:eastAsia="宋体" w:cs="宋体"/>
          <w:b/>
          <w:bCs/>
          <w:color w:val="auto"/>
          <w:sz w:val="28"/>
          <w:szCs w:val="28"/>
          <w:highlight w:val="none"/>
        </w:rPr>
        <w:tab/>
      </w:r>
      <w:r>
        <w:rPr>
          <w:rFonts w:hint="eastAsia" w:ascii="宋体" w:hAnsi="宋体" w:eastAsia="宋体" w:cs="宋体"/>
          <w:b/>
          <w:bCs/>
          <w:color w:val="auto"/>
          <w:sz w:val="28"/>
          <w:szCs w:val="28"/>
          <w:highlight w:val="none"/>
        </w:rPr>
        <w:fldChar w:fldCharType="begin"/>
      </w:r>
      <w:r>
        <w:rPr>
          <w:rFonts w:hint="eastAsia" w:ascii="宋体" w:hAnsi="宋体" w:eastAsia="宋体" w:cs="宋体"/>
          <w:b/>
          <w:bCs/>
          <w:color w:val="auto"/>
          <w:sz w:val="28"/>
          <w:szCs w:val="28"/>
          <w:highlight w:val="none"/>
        </w:rPr>
        <w:instrText xml:space="preserve"> PAGEREF _Toc132205201 \h </w:instrText>
      </w:r>
      <w:r>
        <w:rPr>
          <w:rFonts w:hint="eastAsia" w:ascii="宋体" w:hAnsi="宋体" w:eastAsia="宋体" w:cs="宋体"/>
          <w:b/>
          <w:bCs/>
          <w:color w:val="auto"/>
          <w:sz w:val="28"/>
          <w:szCs w:val="28"/>
          <w:highlight w:val="none"/>
        </w:rPr>
        <w:fldChar w:fldCharType="separate"/>
      </w:r>
      <w:r>
        <w:rPr>
          <w:rFonts w:hint="eastAsia" w:ascii="宋体" w:hAnsi="宋体" w:eastAsia="宋体" w:cs="宋体"/>
          <w:b/>
          <w:bCs/>
          <w:color w:val="auto"/>
          <w:sz w:val="28"/>
          <w:szCs w:val="28"/>
          <w:highlight w:val="none"/>
        </w:rPr>
        <w:t>92</w:t>
      </w:r>
      <w:r>
        <w:rPr>
          <w:rFonts w:hint="eastAsia" w:ascii="宋体" w:hAnsi="宋体" w:eastAsia="宋体" w:cs="宋体"/>
          <w:b/>
          <w:bCs/>
          <w:color w:val="auto"/>
          <w:sz w:val="28"/>
          <w:szCs w:val="28"/>
          <w:highlight w:val="none"/>
        </w:rPr>
        <w:fldChar w:fldCharType="end"/>
      </w:r>
      <w:r>
        <w:rPr>
          <w:rFonts w:hint="eastAsia" w:ascii="宋体" w:hAnsi="宋体" w:eastAsia="宋体" w:cs="宋体"/>
          <w:b/>
          <w:bCs/>
          <w:color w:val="auto"/>
          <w:sz w:val="28"/>
          <w:szCs w:val="28"/>
          <w:highlight w:val="none"/>
        </w:rPr>
        <w:fldChar w:fldCharType="end"/>
      </w:r>
    </w:p>
    <w:p>
      <w:pPr>
        <w:spacing w:line="600" w:lineRule="auto"/>
        <w:rPr>
          <w:rFonts w:hint="eastAsia" w:ascii="宋体" w:hAnsi="宋体" w:eastAsia="宋体" w:cs="宋体"/>
          <w:color w:val="auto"/>
          <w:sz w:val="30"/>
          <w:szCs w:val="30"/>
          <w:highlight w:val="none"/>
        </w:rPr>
      </w:pPr>
      <w:r>
        <w:rPr>
          <w:rFonts w:hint="eastAsia" w:ascii="宋体" w:hAnsi="宋体" w:eastAsia="宋体" w:cs="宋体"/>
          <w:b/>
          <w:bCs/>
          <w:color w:val="auto"/>
          <w:sz w:val="28"/>
          <w:szCs w:val="28"/>
          <w:highlight w:val="none"/>
        </w:rPr>
        <w:fldChar w:fldCharType="end"/>
      </w:r>
    </w:p>
    <w:p>
      <w:pPr>
        <w:tabs>
          <w:tab w:val="left" w:pos="855"/>
        </w:tabs>
        <w:spacing w:line="360" w:lineRule="auto"/>
        <w:rPr>
          <w:rFonts w:hint="eastAsia" w:ascii="宋体" w:hAnsi="宋体" w:eastAsia="宋体" w:cs="宋体"/>
          <w:color w:val="auto"/>
          <w:sz w:val="28"/>
          <w:szCs w:val="28"/>
          <w:highlight w:val="none"/>
        </w:rPr>
      </w:pPr>
    </w:p>
    <w:p>
      <w:pPr>
        <w:spacing w:line="360" w:lineRule="auto"/>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 xml:space="preserve"> </w:t>
      </w:r>
    </w:p>
    <w:p>
      <w:pPr>
        <w:pStyle w:val="26"/>
        <w:spacing w:beforeLines="0" w:afterLines="0" w:line="360" w:lineRule="auto"/>
        <w:rPr>
          <w:rFonts w:hint="eastAsia" w:ascii="宋体" w:hAnsi="宋体" w:eastAsia="宋体" w:cs="宋体"/>
          <w:b/>
          <w:bCs/>
          <w:color w:val="auto"/>
          <w:sz w:val="30"/>
          <w:szCs w:val="30"/>
          <w:highlight w:val="none"/>
        </w:rPr>
      </w:pPr>
    </w:p>
    <w:p>
      <w:pPr>
        <w:pStyle w:val="26"/>
        <w:spacing w:beforeLines="0" w:afterLines="0" w:line="360" w:lineRule="auto"/>
        <w:jc w:val="center"/>
        <w:rPr>
          <w:rFonts w:hint="eastAsia" w:ascii="宋体" w:hAnsi="宋体" w:eastAsia="宋体" w:cs="宋体"/>
          <w:b/>
          <w:bCs/>
          <w:color w:val="auto"/>
          <w:sz w:val="30"/>
          <w:szCs w:val="30"/>
          <w:highlight w:val="none"/>
        </w:rPr>
        <w:sectPr>
          <w:footerReference r:id="rId4" w:type="first"/>
          <w:footerReference r:id="rId3" w:type="default"/>
          <w:pgSz w:w="11907" w:h="16840"/>
          <w:pgMar w:top="1440" w:right="1800" w:bottom="1440" w:left="1800" w:header="720" w:footer="720" w:gutter="0"/>
          <w:cols w:space="720" w:num="1"/>
          <w:docGrid w:linePitch="286" w:charSpace="0"/>
        </w:sectPr>
      </w:pPr>
    </w:p>
    <w:p>
      <w:pPr>
        <w:pStyle w:val="45"/>
        <w:rPr>
          <w:rFonts w:hint="eastAsia" w:ascii="宋体" w:hAnsi="宋体" w:eastAsia="宋体" w:cs="宋体"/>
          <w:color w:val="auto"/>
          <w:highlight w:val="none"/>
        </w:rPr>
      </w:pPr>
      <w:bookmarkStart w:id="0" w:name="_Toc11614"/>
      <w:bookmarkStart w:id="1" w:name="_Toc132205133"/>
      <w:bookmarkStart w:id="2" w:name="_Toc397325809"/>
      <w:r>
        <w:rPr>
          <w:rFonts w:hint="eastAsia" w:ascii="宋体" w:hAnsi="宋体" w:eastAsia="宋体" w:cs="宋体"/>
          <w:color w:val="auto"/>
          <w:highlight w:val="none"/>
        </w:rPr>
        <w:t>第一章 公开招标采购公告</w:t>
      </w:r>
      <w:bookmarkEnd w:id="0"/>
      <w:bookmarkEnd w:id="1"/>
      <w:bookmarkEnd w:id="2"/>
    </w:p>
    <w:p>
      <w:pPr>
        <w:pStyle w:val="214"/>
        <w:widowControl w:val="0"/>
        <w:snapToGrid/>
        <w:spacing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项目概况：</w:t>
      </w:r>
    </w:p>
    <w:p>
      <w:pPr>
        <w:pStyle w:val="214"/>
        <w:widowControl w:val="0"/>
        <w:snapToGrid/>
        <w:spacing w:afterLines="0" w:line="360" w:lineRule="auto"/>
        <w:ind w:firstLine="42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青田人民医院医疗设备采购项目</w:t>
      </w:r>
      <w:r>
        <w:rPr>
          <w:rFonts w:hint="eastAsia" w:ascii="宋体" w:hAnsi="宋体" w:eastAsia="宋体" w:cs="宋体"/>
          <w:color w:val="auto"/>
          <w:sz w:val="21"/>
          <w:szCs w:val="21"/>
          <w:highlight w:val="none"/>
        </w:rPr>
        <w:t>的潜在投标人应在政府采购云平台（www.zcygov.cn）获取（下载）招标文件，并于2023年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0（北京时间）前递交（上传）投标文件。 </w:t>
      </w:r>
    </w:p>
    <w:p>
      <w:pPr>
        <w:pStyle w:val="214"/>
        <w:widowControl w:val="0"/>
        <w:snapToGrid/>
        <w:spacing w:afterLines="0"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一、项目基本情况</w:t>
      </w:r>
      <w:r>
        <w:rPr>
          <w:rFonts w:hint="eastAsia" w:ascii="宋体" w:hAnsi="宋体" w:eastAsia="宋体" w:cs="宋体"/>
          <w:color w:val="auto"/>
          <w:sz w:val="21"/>
          <w:szCs w:val="21"/>
          <w:highlight w:val="none"/>
        </w:rPr>
        <w:t xml:space="preserve">                          </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项目编号：</w:t>
      </w:r>
      <w:r>
        <w:rPr>
          <w:rFonts w:hint="eastAsia" w:ascii="宋体" w:hAnsi="宋体" w:cs="宋体"/>
          <w:color w:val="auto"/>
          <w:kern w:val="0"/>
          <w:highlight w:val="none"/>
          <w:lang w:eastAsia="zh-CN"/>
        </w:rPr>
        <w:t>QTFSCG2023-238</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项目名称：</w:t>
      </w:r>
      <w:r>
        <w:rPr>
          <w:rFonts w:hint="eastAsia" w:ascii="宋体" w:hAnsi="宋体" w:cs="宋体"/>
          <w:color w:val="auto"/>
          <w:highlight w:val="none"/>
          <w:lang w:eastAsia="zh-CN"/>
        </w:rPr>
        <w:t>青田人民医院医疗设备采购项目</w:t>
      </w:r>
      <w:r>
        <w:rPr>
          <w:rFonts w:hint="eastAsia" w:ascii="宋体" w:hAnsi="宋体" w:eastAsia="宋体" w:cs="宋体"/>
          <w:color w:val="auto"/>
          <w:highlight w:val="none"/>
        </w:rPr>
        <w:t xml:space="preserve"> </w:t>
      </w:r>
    </w:p>
    <w:p>
      <w:pPr>
        <w:widowControl/>
        <w:spacing w:line="360" w:lineRule="auto"/>
        <w:ind w:firstLine="420" w:firstLineChars="200"/>
        <w:rPr>
          <w:rFonts w:hint="eastAsia" w:ascii="宋体" w:hAnsi="宋体" w:cs="宋体"/>
          <w:color w:val="auto"/>
          <w:kern w:val="0"/>
          <w:highlight w:val="none"/>
          <w:lang w:val="en-US" w:eastAsia="zh-CN"/>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9,113</w:t>
      </w:r>
      <w:r>
        <w:rPr>
          <w:rFonts w:hint="eastAsia" w:ascii="宋体" w:hAnsi="宋体" w:eastAsia="宋体" w:cs="宋体"/>
          <w:color w:val="auto"/>
          <w:kern w:val="0"/>
          <w:highlight w:val="none"/>
        </w:rPr>
        <w:t>,000.00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标项一：1,393,000</w:t>
      </w:r>
      <w:r>
        <w:rPr>
          <w:rFonts w:hint="eastAsia" w:ascii="宋体" w:hAnsi="宋体" w:eastAsia="宋体" w:cs="宋体"/>
          <w:color w:val="auto"/>
          <w:kern w:val="0"/>
          <w:highlight w:val="none"/>
        </w:rPr>
        <w:t>.00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标项二：480,000.00；标项三：1,800,000.00；标项四：530,000.00；标项五：1,800,000.00；标项六：800,000.00；标项七：1,710,000.00；标项八：600,000.00）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最高限价（元）：</w:t>
      </w:r>
      <w:r>
        <w:rPr>
          <w:rFonts w:hint="eastAsia" w:ascii="宋体" w:hAnsi="宋体" w:cs="宋体"/>
          <w:color w:val="auto"/>
          <w:kern w:val="0"/>
          <w:highlight w:val="none"/>
          <w:lang w:val="en-US" w:eastAsia="zh-CN"/>
        </w:rPr>
        <w:t>9,113</w:t>
      </w:r>
      <w:r>
        <w:rPr>
          <w:rFonts w:hint="eastAsia" w:ascii="宋体" w:hAnsi="宋体" w:eastAsia="宋体" w:cs="宋体"/>
          <w:color w:val="auto"/>
          <w:kern w:val="0"/>
          <w:highlight w:val="none"/>
        </w:rPr>
        <w:t>,000.00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标项一：1,393,000</w:t>
      </w:r>
      <w:r>
        <w:rPr>
          <w:rFonts w:hint="eastAsia" w:ascii="宋体" w:hAnsi="宋体" w:eastAsia="宋体" w:cs="宋体"/>
          <w:color w:val="auto"/>
          <w:kern w:val="0"/>
          <w:highlight w:val="none"/>
        </w:rPr>
        <w:t>.00</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标项二：480,000.00；标项三：1,800,000.00；标项四：530,000.00；标项五：1,800,000.00；标项六：800,000.00；标项七：1,710,000.00；标项八：600,000.00）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采购需求：</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标项一：</w:t>
      </w:r>
    </w:p>
    <w:p>
      <w:pPr>
        <w:widowControl/>
        <w:spacing w:line="360" w:lineRule="auto"/>
        <w:ind w:left="420" w:leftChars="200"/>
        <w:rPr>
          <w:rFonts w:hint="eastAsia" w:ascii="宋体" w:hAnsi="宋体" w:eastAsia="宋体" w:cs="宋体"/>
          <w:color w:val="auto"/>
          <w:highlight w:val="none"/>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MMC中心医疗设备</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1批</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1,393,000</w:t>
      </w:r>
      <w:r>
        <w:rPr>
          <w:rFonts w:hint="eastAsia" w:ascii="宋体" w:hAnsi="宋体" w:eastAsia="宋体" w:cs="宋体"/>
          <w:color w:val="auto"/>
          <w:kern w:val="0"/>
          <w:highlight w:val="none"/>
        </w:rPr>
        <w:t>.00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本标项不允许采购进口产品。</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二</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脑立体定向仪</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480,000.00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本标项不允许采购进口产品。</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三</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超声诊断仪（心脏专业）</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1,800,000.00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本标项不允许采购进口产品。</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四</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便携式彩色多普勒超声系统</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530,000.00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本标项不允许采购进口产品。</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五</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超声诊断仪（妇产专业）</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1,800,000.00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本标项不允许采购进口产品。</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六</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手术显微镜</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800,000.00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本标项允许采购进口产品（欢迎国产产品投标）。</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七</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w:t>
      </w:r>
      <w:r>
        <w:rPr>
          <w:rFonts w:hint="eastAsia" w:ascii="宋体" w:hAnsi="宋体" w:cs="宋体"/>
          <w:color w:val="auto"/>
          <w:sz w:val="21"/>
          <w:szCs w:val="21"/>
          <w:highlight w:val="none"/>
          <w:lang w:eastAsia="zh-CN"/>
        </w:rPr>
        <w:t>医用内窥镜（胃肠镜）</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1批</w:t>
      </w:r>
    </w:p>
    <w:p>
      <w:pPr>
        <w:widowControl/>
        <w:spacing w:line="360" w:lineRule="auto"/>
        <w:ind w:left="420" w:leftChars="200"/>
        <w:rPr>
          <w:rFonts w:hint="default" w:ascii="宋体" w:hAnsi="宋体" w:eastAsia="宋体" w:cs="宋体"/>
          <w:color w:val="auto"/>
          <w:kern w:val="0"/>
          <w:highlight w:val="none"/>
          <w:lang w:val="en-US"/>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1,710,000.00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本标项允许采购进口产品（欢迎国产产品投标）。</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标项</w:t>
      </w:r>
      <w:r>
        <w:rPr>
          <w:rFonts w:hint="eastAsia" w:ascii="宋体" w:hAnsi="宋体" w:cs="宋体"/>
          <w:color w:val="auto"/>
          <w:kern w:val="0"/>
          <w:highlight w:val="none"/>
          <w:lang w:val="en-US" w:eastAsia="zh-CN"/>
        </w:rPr>
        <w:t>八</w:t>
      </w:r>
      <w:r>
        <w:rPr>
          <w:rFonts w:hint="eastAsia" w:ascii="宋体" w:hAnsi="宋体" w:eastAsia="宋体" w:cs="宋体"/>
          <w:color w:val="auto"/>
          <w:kern w:val="0"/>
          <w:highlight w:val="none"/>
        </w:rPr>
        <w:t>：</w:t>
      </w:r>
    </w:p>
    <w:p>
      <w:pPr>
        <w:widowControl/>
        <w:spacing w:line="360" w:lineRule="auto"/>
        <w:ind w:left="420" w:leftChars="200"/>
        <w:rPr>
          <w:rFonts w:hint="default" w:ascii="宋体" w:hAnsi="宋体" w:eastAsia="宋体" w:cs="宋体"/>
          <w:color w:val="auto"/>
          <w:highlight w:val="none"/>
          <w:lang w:val="en-US"/>
        </w:rPr>
      </w:pPr>
      <w:r>
        <w:rPr>
          <w:rFonts w:hint="eastAsia" w:ascii="宋体" w:hAnsi="宋体" w:eastAsia="宋体" w:cs="宋体"/>
          <w:color w:val="auto"/>
          <w:kern w:val="0"/>
          <w:highlight w:val="none"/>
        </w:rPr>
        <w:t>标项名称：半导体激光治疗仪（静脉激光闭合系统）</w:t>
      </w:r>
    </w:p>
    <w:p>
      <w:pPr>
        <w:widowControl/>
        <w:spacing w:line="360" w:lineRule="auto"/>
        <w:ind w:left="420" w:left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数量：</w:t>
      </w:r>
      <w:r>
        <w:rPr>
          <w:rFonts w:hint="eastAsia" w:ascii="宋体" w:hAnsi="宋体" w:cs="宋体"/>
          <w:color w:val="auto"/>
          <w:kern w:val="0"/>
          <w:highlight w:val="none"/>
          <w:lang w:val="en-US" w:eastAsia="zh-CN"/>
        </w:rPr>
        <w:t>1套</w:t>
      </w:r>
    </w:p>
    <w:p>
      <w:pPr>
        <w:widowControl/>
        <w:spacing w:line="360" w:lineRule="auto"/>
        <w:ind w:left="420" w:leftChars="200"/>
        <w:rPr>
          <w:rFonts w:hint="default" w:ascii="宋体" w:hAnsi="宋体" w:eastAsia="宋体" w:cs="宋体"/>
          <w:color w:val="auto"/>
          <w:kern w:val="0"/>
          <w:highlight w:val="none"/>
          <w:lang w:val="en-US"/>
        </w:rPr>
      </w:pPr>
      <w:r>
        <w:rPr>
          <w:rFonts w:hint="eastAsia" w:ascii="宋体" w:hAnsi="宋体" w:eastAsia="宋体" w:cs="宋体"/>
          <w:color w:val="auto"/>
          <w:kern w:val="0"/>
          <w:highlight w:val="none"/>
        </w:rPr>
        <w:t>预算金额（元）：</w:t>
      </w:r>
      <w:r>
        <w:rPr>
          <w:rFonts w:hint="eastAsia" w:ascii="宋体" w:hAnsi="宋体" w:cs="宋体"/>
          <w:color w:val="auto"/>
          <w:kern w:val="0"/>
          <w:highlight w:val="none"/>
          <w:lang w:val="en-US" w:eastAsia="zh-CN"/>
        </w:rPr>
        <w:t>600,000.00</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简要规格描述或项目基本概况介绍、用途：详见第二章招标需求。</w:t>
      </w:r>
    </w:p>
    <w:p>
      <w:pPr>
        <w:widowControl/>
        <w:spacing w:line="360" w:lineRule="auto"/>
        <w:ind w:firstLine="420" w:firstLineChars="200"/>
        <w:rPr>
          <w:rFonts w:hint="default" w:ascii="宋体" w:hAnsi="宋体" w:eastAsia="宋体" w:cs="宋体"/>
          <w:color w:val="auto"/>
          <w:kern w:val="0"/>
          <w:highlight w:val="none"/>
          <w:lang w:val="en-US" w:eastAsia="zh-CN"/>
        </w:rPr>
      </w:pPr>
      <w:r>
        <w:rPr>
          <w:rFonts w:hint="eastAsia" w:ascii="宋体" w:hAnsi="宋体" w:eastAsia="宋体" w:cs="宋体"/>
          <w:color w:val="auto"/>
          <w:kern w:val="0"/>
          <w:highlight w:val="none"/>
        </w:rPr>
        <w:t>备注：</w:t>
      </w:r>
      <w:r>
        <w:rPr>
          <w:rFonts w:hint="eastAsia" w:ascii="宋体" w:hAnsi="宋体" w:cs="宋体"/>
          <w:color w:val="auto"/>
          <w:kern w:val="0"/>
          <w:highlight w:val="none"/>
          <w:lang w:val="en-US" w:eastAsia="zh-CN"/>
        </w:rPr>
        <w:t>本标项允许采购进口产品（欢迎国产产品投标）。</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合同履约期限：自合同签订生效后开始至双方合同义务完全履行后截止。</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本项目（是）接受联合体投标。</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二、申请人的资格要求</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360" w:lineRule="auto"/>
        <w:ind w:firstLine="420" w:firstLineChars="200"/>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2.落实政府采购政策需满足的资格要求：</w:t>
      </w:r>
      <w:r>
        <w:rPr>
          <w:rFonts w:hint="eastAsia" w:ascii="宋体" w:hAnsi="宋体" w:eastAsia="宋体" w:cs="宋体"/>
          <w:color w:val="auto"/>
          <w:kern w:val="0"/>
          <w:highlight w:val="none"/>
          <w:lang w:val="en-US" w:eastAsia="zh-CN"/>
        </w:rPr>
        <w:t>无。</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3.本项目的特定资格要求：</w:t>
      </w:r>
    </w:p>
    <w:p>
      <w:pPr>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r>
        <w:rPr>
          <w:rFonts w:hint="eastAsia" w:ascii="宋体" w:hAnsi="宋体" w:eastAsia="宋体" w:cs="宋体"/>
          <w:color w:val="auto"/>
          <w:highlight w:val="none"/>
        </w:rPr>
        <w:t>1</w:t>
      </w:r>
      <w:r>
        <w:rPr>
          <w:rFonts w:hint="eastAsia" w:ascii="宋体" w:hAnsi="宋体" w:eastAsia="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3.2投标人为医疗器械经营企业的：第三类医疗器械经营企业提供《医疗器械经营许可证》复印件、第二类医疗器械经营企业提供第二类医疗器械经营备案凭证复印件。</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三、获取招标文件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时间：/至2023年</w:t>
      </w:r>
      <w:r>
        <w:rPr>
          <w:rFonts w:hint="eastAsia" w:ascii="宋体" w:hAnsi="宋体" w:cs="宋体"/>
          <w:color w:val="auto"/>
          <w:kern w:val="0"/>
          <w:highlight w:val="none"/>
          <w:lang w:val="en-US" w:eastAsia="zh-CN"/>
        </w:rPr>
        <w:t>11</w:t>
      </w:r>
      <w:r>
        <w:rPr>
          <w:rFonts w:hint="eastAsia" w:ascii="宋体" w:hAnsi="宋体" w:eastAsia="宋体" w:cs="宋体"/>
          <w:color w:val="auto"/>
          <w:kern w:val="0"/>
          <w:highlight w:val="none"/>
        </w:rPr>
        <w:t>月</w:t>
      </w:r>
      <w:r>
        <w:rPr>
          <w:rFonts w:hint="eastAsia" w:ascii="宋体" w:hAnsi="宋体" w:cs="宋体"/>
          <w:color w:val="auto"/>
          <w:kern w:val="0"/>
          <w:highlight w:val="none"/>
          <w:lang w:val="en-US" w:eastAsia="zh-CN"/>
        </w:rPr>
        <w:t>15</w:t>
      </w:r>
      <w:r>
        <w:rPr>
          <w:rFonts w:hint="eastAsia" w:ascii="宋体" w:hAnsi="宋体" w:eastAsia="宋体" w:cs="宋体"/>
          <w:color w:val="auto"/>
          <w:kern w:val="0"/>
          <w:highlight w:val="none"/>
        </w:rPr>
        <w:t>日</w:t>
      </w:r>
      <w:r>
        <w:rPr>
          <w:rFonts w:hint="eastAsia" w:ascii="宋体" w:hAnsi="宋体" w:eastAsia="宋体" w:cs="宋体"/>
          <w:color w:val="auto"/>
          <w:kern w:val="0"/>
          <w:highlight w:val="none"/>
        </w:rPr>
        <w:t>，每天上午00:00至12:00，下午12:00至23:59（北京时间，线上获取法定节假日均可，线下获取文件法定节假日除外）</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地点（网址）：政府采购云平台（www.zcygov.cn）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方式：（1）线上获取（登录政府采购云平台 → 项目采购 → 获取采购文件 → 申请，审核通过后可下载招标文件）。本次招标不提供纸质版招标文件。（2）供应商获取招标文件前应注册成为政府采购云平台正式供应商。（3）招标公告所附招标文件仅供阅览使用，供应商只有在“政府采购云平台”完成获取招标文件申请并下载了招标文件后才被视为合法获取了招标文件，否则其投标将被拒绝。</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售价（元）：0 </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四、提交投标文件截止时间、开标时间和地点</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提交投标文件截止时间：2023年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w:t>
      </w:r>
      <w:r>
        <w:rPr>
          <w:rFonts w:hint="eastAsia" w:ascii="宋体" w:hAnsi="宋体" w:eastAsia="宋体" w:cs="宋体"/>
          <w:color w:val="auto"/>
          <w:kern w:val="0"/>
          <w:highlight w:val="none"/>
        </w:rPr>
        <w:t>（北京时间）</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投标地点（网址）：政府采购云平台（www.zcygov.cn）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开标时间：2023年</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0</w:t>
      </w:r>
      <w:r>
        <w:rPr>
          <w:rFonts w:hint="eastAsia" w:ascii="宋体" w:hAnsi="宋体" w:eastAsia="宋体" w:cs="宋体"/>
          <w:color w:val="auto"/>
          <w:kern w:val="0"/>
          <w:highlight w:val="none"/>
        </w:rPr>
        <w:t>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开标地点（网址）：政府采购云平台（www.zcygov.cn）</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五、公告期限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自本公告发布之日起5个工作日。</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六、其他补充事宜</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4.其他事项：</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4.1</w:t>
      </w:r>
      <w:r>
        <w:rPr>
          <w:rFonts w:hint="eastAsia" w:ascii="宋体" w:hAnsi="宋体" w:eastAsia="宋体" w:cs="宋体"/>
          <w:color w:val="auto"/>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本项目投标。</w:t>
      </w:r>
    </w:p>
    <w:p>
      <w:pPr>
        <w:widowControl/>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4.2</w:t>
      </w:r>
      <w:r>
        <w:rPr>
          <w:rFonts w:hint="eastAsia" w:ascii="宋体" w:hAnsi="宋体" w:cs="宋体"/>
        </w:rPr>
        <w:t>落实的政策：《政</w:t>
      </w:r>
      <w:bookmarkStart w:id="249" w:name="_GoBack"/>
      <w:bookmarkEnd w:id="249"/>
      <w:r>
        <w:rPr>
          <w:rFonts w:hint="eastAsia" w:ascii="宋体" w:hAnsi="宋体" w:cs="宋体"/>
        </w:rPr>
        <w:t>府采购促进中小企业发展管理办法》【财库（2020）46号】、《关于促进残疾人就业政府采购政策的通知》（财库〔2017〕141号）、《关于政府采购支持监狱企业发展有关问题的通知》（财库[2014]68号）、《关于调整优化节能产品环境标志产品政府采购执行机制的通知》（财库[2019]9号）、对省级以上主管部门认定的首台套产品，自纳入《省推广应用指导目录》起三年内参加政府采购活动，视同已具备相应销售业绩，业绩分为满分，投标文件中提供相应的证明材料。</w:t>
      </w:r>
    </w:p>
    <w:p>
      <w:pPr>
        <w:widowControl/>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七、对本次采购提出询问、质疑、投诉，请按以下方式联系</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1.采购人信息</w:t>
      </w:r>
    </w:p>
    <w:p>
      <w:pPr>
        <w:widowControl/>
        <w:spacing w:line="360" w:lineRule="auto"/>
        <w:ind w:firstLine="420" w:firstLineChars="200"/>
        <w:rPr>
          <w:rFonts w:ascii="宋体" w:hAnsi="宋体" w:cs="宋体"/>
          <w:kern w:val="0"/>
        </w:rPr>
      </w:pPr>
      <w:r>
        <w:rPr>
          <w:rFonts w:hint="eastAsia" w:ascii="宋体" w:hAnsi="宋体" w:cs="宋体"/>
          <w:kern w:val="0"/>
        </w:rPr>
        <w:t>名称：青田县人民医院</w:t>
      </w:r>
    </w:p>
    <w:p>
      <w:pPr>
        <w:widowControl/>
        <w:spacing w:line="360" w:lineRule="auto"/>
        <w:ind w:firstLine="420" w:firstLineChars="200"/>
        <w:rPr>
          <w:rFonts w:ascii="宋体" w:hAnsi="宋体" w:cs="宋体"/>
          <w:kern w:val="0"/>
        </w:rPr>
      </w:pPr>
      <w:r>
        <w:rPr>
          <w:rFonts w:hint="eastAsia" w:ascii="宋体" w:hAnsi="宋体" w:cs="宋体"/>
          <w:kern w:val="0"/>
        </w:rPr>
        <w:t>地址：浙江省丽水市青田县江南大道288号</w:t>
      </w:r>
    </w:p>
    <w:p>
      <w:pPr>
        <w:widowControl/>
        <w:spacing w:line="360" w:lineRule="auto"/>
        <w:ind w:firstLine="420" w:firstLineChars="200"/>
        <w:rPr>
          <w:rFonts w:ascii="宋体" w:hAnsi="宋体" w:cs="宋体"/>
          <w:kern w:val="0"/>
        </w:rPr>
      </w:pPr>
      <w:r>
        <w:rPr>
          <w:rFonts w:hint="eastAsia" w:ascii="宋体" w:hAnsi="宋体" w:cs="宋体"/>
          <w:kern w:val="0"/>
        </w:rPr>
        <w:t>联系人：</w:t>
      </w:r>
      <w:r>
        <w:rPr>
          <w:rFonts w:hint="eastAsia" w:ascii="宋体" w:hAnsi="宋体" w:cs="宋体"/>
        </w:rPr>
        <w:t xml:space="preserve">陶老师  </w:t>
      </w:r>
      <w:r>
        <w:rPr>
          <w:rFonts w:hint="eastAsia" w:ascii="宋体" w:hAnsi="宋体" w:cs="宋体"/>
          <w:kern w:val="0"/>
        </w:rPr>
        <w:t xml:space="preserve">  </w:t>
      </w:r>
    </w:p>
    <w:p>
      <w:pPr>
        <w:widowControl/>
        <w:spacing w:line="360" w:lineRule="auto"/>
        <w:ind w:firstLine="420" w:firstLineChars="200"/>
        <w:rPr>
          <w:rFonts w:ascii="宋体" w:hAnsi="宋体" w:cs="宋体"/>
          <w:kern w:val="0"/>
        </w:rPr>
      </w:pPr>
      <w:r>
        <w:rPr>
          <w:rFonts w:hint="eastAsia" w:ascii="宋体" w:hAnsi="宋体" w:cs="宋体"/>
          <w:kern w:val="0"/>
        </w:rPr>
        <w:t>电话：0578-6807053</w:t>
      </w:r>
    </w:p>
    <w:p>
      <w:pPr>
        <w:widowControl/>
        <w:spacing w:line="360" w:lineRule="auto"/>
        <w:ind w:firstLine="420" w:firstLineChars="200"/>
        <w:rPr>
          <w:rFonts w:ascii="宋体" w:hAnsi="宋体" w:cs="宋体"/>
          <w:kern w:val="0"/>
        </w:rPr>
      </w:pPr>
      <w:r>
        <w:rPr>
          <w:rFonts w:hint="eastAsia" w:ascii="宋体" w:hAnsi="宋体" w:cs="宋体"/>
          <w:kern w:val="0"/>
        </w:rPr>
        <w:t>质疑联系人：张老师       </w:t>
      </w:r>
    </w:p>
    <w:p>
      <w:pPr>
        <w:widowControl/>
        <w:spacing w:line="360" w:lineRule="auto"/>
        <w:ind w:firstLine="420" w:firstLineChars="200"/>
        <w:rPr>
          <w:rFonts w:ascii="宋体" w:hAnsi="宋体" w:cs="宋体"/>
          <w:kern w:val="0"/>
        </w:rPr>
      </w:pPr>
      <w:r>
        <w:rPr>
          <w:rFonts w:hint="eastAsia" w:ascii="宋体" w:hAnsi="宋体" w:cs="宋体"/>
          <w:kern w:val="0"/>
        </w:rPr>
        <w:t>质疑联系方式：0578-6807521</w:t>
      </w:r>
    </w:p>
    <w:p>
      <w:pPr>
        <w:widowControl/>
        <w:spacing w:line="360" w:lineRule="auto"/>
        <w:ind w:left="420" w:leftChars="200"/>
        <w:rPr>
          <w:rFonts w:hint="eastAsia" w:ascii="宋体" w:hAnsi="宋体" w:eastAsia="宋体" w:cs="宋体"/>
          <w:color w:val="auto"/>
          <w:kern w:val="0"/>
          <w:highlight w:val="none"/>
        </w:rPr>
      </w:pP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2.采购代理机构信息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名称：宁波中基国际招标有限公司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地址：宁波市鄞州区天童南路666号中基大厦19楼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传真：0574-87425386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项目联系人（询问）：任翔、殷悦、单琛耘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项目联系方式（询问）：0578-2381667、0574-88090150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质疑联系人：杨未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质疑联系方式：0574-87425382 　　　　　　     </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p>
      <w:pPr>
        <w:widowControl/>
        <w:spacing w:line="360" w:lineRule="auto"/>
        <w:ind w:left="420" w:left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3.同级政府采购监督管理部门</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名称：青田县财政局政府采购监管科</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地址：青田县临江东路1号</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传真：0578-6830575    </w:t>
      </w:r>
    </w:p>
    <w:p>
      <w:pPr>
        <w:widowControl/>
        <w:spacing w:line="360" w:lineRule="auto"/>
        <w:ind w:firstLine="420" w:firstLineChars="200"/>
        <w:rPr>
          <w:rFonts w:hint="eastAsia" w:ascii="宋体" w:hAnsi="宋体" w:cs="宋体"/>
          <w:color w:val="auto"/>
          <w:kern w:val="0"/>
          <w:highlight w:val="none"/>
        </w:rPr>
      </w:pPr>
      <w:r>
        <w:rPr>
          <w:rFonts w:hint="eastAsia" w:ascii="宋体" w:hAnsi="宋体" w:cs="宋体"/>
          <w:color w:val="auto"/>
          <w:kern w:val="0"/>
          <w:highlight w:val="none"/>
        </w:rPr>
        <w:t xml:space="preserve">联系人：陈玲晓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cs="宋体"/>
          <w:color w:val="auto"/>
          <w:kern w:val="0"/>
          <w:highlight w:val="none"/>
        </w:rPr>
        <w:t xml:space="preserve">监督投诉电话：0578-6826642       </w:t>
      </w:r>
      <w:r>
        <w:rPr>
          <w:rFonts w:hint="eastAsia" w:ascii="宋体" w:hAnsi="宋体" w:eastAsia="宋体" w:cs="宋体"/>
          <w:color w:val="auto"/>
          <w:kern w:val="0"/>
          <w:highlight w:val="none"/>
        </w:rPr>
        <w:t>         </w:t>
      </w:r>
    </w:p>
    <w:p>
      <w:pPr>
        <w:widowControl/>
        <w:spacing w:line="360" w:lineRule="auto"/>
        <w:ind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p>
      <w:pPr>
        <w:widowControl/>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kern w:val="0"/>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pStyle w:val="3"/>
        <w:rPr>
          <w:rFonts w:hint="eastAsia" w:ascii="宋体" w:hAnsi="宋体" w:eastAsia="宋体" w:cs="宋体"/>
          <w:color w:val="auto"/>
          <w:highlight w:val="none"/>
        </w:rPr>
        <w:sectPr>
          <w:pgSz w:w="11906" w:h="16838"/>
          <w:pgMar w:top="1474" w:right="1797" w:bottom="1247" w:left="1797" w:header="851" w:footer="851" w:gutter="0"/>
          <w:cols w:space="720" w:num="1"/>
          <w:docGrid w:type="lines" w:linePitch="312" w:charSpace="0"/>
        </w:sectPr>
      </w:pPr>
    </w:p>
    <w:p>
      <w:pPr>
        <w:pStyle w:val="3"/>
        <w:rPr>
          <w:rFonts w:hint="eastAsia" w:ascii="宋体" w:hAnsi="宋体" w:eastAsia="宋体" w:cs="宋体"/>
          <w:color w:val="auto"/>
          <w:highlight w:val="none"/>
        </w:rPr>
      </w:pPr>
      <w:bookmarkStart w:id="3" w:name="_Toc132205134"/>
      <w:bookmarkStart w:id="4" w:name="_Toc28324"/>
      <w:r>
        <w:rPr>
          <w:rFonts w:hint="eastAsia" w:ascii="宋体" w:hAnsi="宋体" w:eastAsia="宋体" w:cs="宋体"/>
          <w:color w:val="auto"/>
          <w:highlight w:val="none"/>
        </w:rPr>
        <w:t>第二章  招标需求</w:t>
      </w:r>
      <w:bookmarkEnd w:id="3"/>
      <w:bookmarkEnd w:id="4"/>
    </w:p>
    <w:p>
      <w:pPr>
        <w:pStyle w:val="26"/>
        <w:snapToGrid w:val="0"/>
        <w:spacing w:beforeLines="0" w:afterLines="0" w:line="360" w:lineRule="auto"/>
        <w:outlineLvl w:val="0"/>
        <w:rPr>
          <w:rFonts w:hint="eastAsia" w:ascii="宋体" w:hAnsi="宋体" w:eastAsia="宋体" w:cs="宋体"/>
          <w:color w:val="auto"/>
          <w:sz w:val="21"/>
          <w:szCs w:val="21"/>
          <w:highlight w:val="none"/>
          <w:lang w:eastAsia="zh-CN"/>
        </w:rPr>
      </w:pPr>
      <w:bookmarkStart w:id="5" w:name="_Toc47388281"/>
      <w:bookmarkStart w:id="6" w:name="_Toc132205135"/>
      <w:bookmarkStart w:id="7" w:name="_Toc6875"/>
      <w:bookmarkStart w:id="8" w:name="_Toc417922222"/>
      <w:r>
        <w:rPr>
          <w:rFonts w:hint="eastAsia" w:ascii="宋体" w:hAnsi="宋体" w:eastAsia="宋体" w:cs="宋体"/>
          <w:color w:val="auto"/>
          <w:sz w:val="21"/>
          <w:szCs w:val="21"/>
          <w:highlight w:val="none"/>
        </w:rPr>
        <w:t>编号：</w:t>
      </w:r>
      <w:bookmarkEnd w:id="5"/>
      <w:bookmarkEnd w:id="6"/>
      <w:bookmarkEnd w:id="7"/>
      <w:bookmarkEnd w:id="8"/>
      <w:bookmarkStart w:id="9" w:name="_Toc47388282"/>
      <w:bookmarkStart w:id="10" w:name="_Toc132205136"/>
      <w:bookmarkStart w:id="11" w:name="_Toc76"/>
      <w:bookmarkStart w:id="12" w:name="_Toc417922223"/>
      <w:r>
        <w:rPr>
          <w:rFonts w:hint="eastAsia" w:hAnsi="宋体" w:cs="宋体"/>
          <w:color w:val="auto"/>
          <w:sz w:val="21"/>
          <w:szCs w:val="21"/>
          <w:highlight w:val="none"/>
          <w:lang w:eastAsia="zh-CN"/>
        </w:rPr>
        <w:t>QTFSCG2023-238</w:t>
      </w:r>
    </w:p>
    <w:p>
      <w:pPr>
        <w:pStyle w:val="26"/>
        <w:snapToGrid w:val="0"/>
        <w:spacing w:beforeLines="0" w:afterLines="0" w:line="360" w:lineRule="auto"/>
        <w:outlineLvl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采购单位名称：</w:t>
      </w:r>
      <w:bookmarkEnd w:id="9"/>
      <w:bookmarkEnd w:id="10"/>
      <w:bookmarkEnd w:id="11"/>
      <w:bookmarkEnd w:id="12"/>
      <w:r>
        <w:rPr>
          <w:rFonts w:hint="eastAsia" w:hAnsi="宋体" w:cs="宋体"/>
          <w:color w:val="auto"/>
          <w:sz w:val="21"/>
          <w:szCs w:val="21"/>
          <w:highlight w:val="none"/>
          <w:lang w:eastAsia="zh-CN"/>
        </w:rPr>
        <w:t>青田人民医院医疗设备采购项目</w:t>
      </w:r>
    </w:p>
    <w:p>
      <w:pPr>
        <w:snapToGrid w:val="0"/>
        <w:spacing w:line="400" w:lineRule="exact"/>
        <w:ind w:left="238"/>
        <w:jc w:val="center"/>
        <w:outlineLvl w:val="0"/>
        <w:rPr>
          <w:rFonts w:hint="eastAsia" w:ascii="宋体" w:hAnsi="宋体" w:eastAsia="宋体" w:cs="宋体"/>
          <w:b/>
          <w:bCs/>
          <w:color w:val="auto"/>
          <w:sz w:val="30"/>
          <w:szCs w:val="30"/>
          <w:highlight w:val="none"/>
        </w:rPr>
      </w:pPr>
      <w:bookmarkStart w:id="13" w:name="_Toc9001"/>
      <w:bookmarkStart w:id="14" w:name="_Toc132205137"/>
      <w:bookmarkStart w:id="15" w:name="_Toc47388283"/>
      <w:r>
        <w:rPr>
          <w:rFonts w:hint="eastAsia" w:ascii="宋体" w:hAnsi="宋体" w:eastAsia="宋体" w:cs="宋体"/>
          <w:b/>
          <w:bCs/>
          <w:color w:val="auto"/>
          <w:sz w:val="30"/>
          <w:szCs w:val="30"/>
          <w:highlight w:val="none"/>
        </w:rPr>
        <w:t>前附表</w:t>
      </w:r>
      <w:bookmarkEnd w:id="13"/>
      <w:bookmarkEnd w:id="14"/>
      <w:bookmarkEnd w:id="15"/>
    </w:p>
    <w:tbl>
      <w:tblPr>
        <w:tblStyle w:val="49"/>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495"/>
        <w:gridCol w:w="4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tcBorders>
              <w:top w:val="single" w:color="auto" w:sz="12" w:space="0"/>
            </w:tcBorders>
            <w:vAlign w:val="center"/>
          </w:tcPr>
          <w:p>
            <w:pPr>
              <w:spacing w:line="400" w:lineRule="exact"/>
              <w:jc w:val="center"/>
              <w:outlineLvl w:val="1"/>
              <w:rPr>
                <w:rFonts w:hint="eastAsia" w:ascii="宋体" w:hAnsi="宋体" w:eastAsia="宋体" w:cs="宋体"/>
                <w:b/>
                <w:bCs/>
                <w:color w:val="auto"/>
                <w:highlight w:val="none"/>
              </w:rPr>
            </w:pPr>
            <w:bookmarkStart w:id="16" w:name="_Toc19637"/>
            <w:bookmarkStart w:id="17" w:name="_Toc132205138"/>
            <w:bookmarkStart w:id="18" w:name="_Toc47388284"/>
            <w:r>
              <w:rPr>
                <w:rFonts w:hint="eastAsia" w:ascii="宋体" w:hAnsi="宋体" w:eastAsia="宋体" w:cs="宋体"/>
                <w:b/>
                <w:bCs/>
                <w:color w:val="auto"/>
                <w:highlight w:val="none"/>
              </w:rPr>
              <w:t>序号</w:t>
            </w:r>
            <w:bookmarkEnd w:id="16"/>
            <w:bookmarkEnd w:id="17"/>
            <w:bookmarkEnd w:id="18"/>
          </w:p>
        </w:tc>
        <w:tc>
          <w:tcPr>
            <w:tcW w:w="3495" w:type="dxa"/>
            <w:tcBorders>
              <w:top w:val="single" w:color="auto" w:sz="12" w:space="0"/>
            </w:tcBorders>
          </w:tcPr>
          <w:p>
            <w:pPr>
              <w:spacing w:line="400" w:lineRule="exact"/>
              <w:jc w:val="center"/>
              <w:outlineLvl w:val="1"/>
              <w:rPr>
                <w:rFonts w:hint="eastAsia" w:ascii="宋体" w:hAnsi="宋体" w:eastAsia="宋体" w:cs="宋体"/>
                <w:b/>
                <w:bCs/>
                <w:color w:val="auto"/>
                <w:highlight w:val="none"/>
              </w:rPr>
            </w:pPr>
            <w:bookmarkStart w:id="19" w:name="_Toc13977"/>
            <w:bookmarkStart w:id="20" w:name="_Toc47388285"/>
            <w:bookmarkStart w:id="21" w:name="_Toc132205139"/>
            <w:r>
              <w:rPr>
                <w:rFonts w:hint="eastAsia" w:ascii="宋体" w:hAnsi="宋体" w:eastAsia="宋体" w:cs="宋体"/>
                <w:b/>
                <w:bCs/>
                <w:color w:val="auto"/>
                <w:highlight w:val="none"/>
              </w:rPr>
              <w:t>子项</w:t>
            </w:r>
            <w:bookmarkEnd w:id="19"/>
            <w:bookmarkEnd w:id="20"/>
            <w:bookmarkEnd w:id="21"/>
          </w:p>
        </w:tc>
        <w:tc>
          <w:tcPr>
            <w:tcW w:w="4095" w:type="dxa"/>
            <w:tcBorders>
              <w:top w:val="single" w:color="auto" w:sz="12" w:space="0"/>
            </w:tcBorders>
          </w:tcPr>
          <w:p>
            <w:pPr>
              <w:spacing w:line="400" w:lineRule="exact"/>
              <w:jc w:val="center"/>
              <w:outlineLvl w:val="1"/>
              <w:rPr>
                <w:rFonts w:hint="eastAsia" w:ascii="宋体" w:hAnsi="宋体" w:eastAsia="宋体" w:cs="宋体"/>
                <w:b/>
                <w:bCs/>
                <w:color w:val="auto"/>
                <w:highlight w:val="none"/>
              </w:rPr>
            </w:pPr>
            <w:bookmarkStart w:id="22" w:name="_Toc132205140"/>
            <w:bookmarkStart w:id="23" w:name="_Toc47388286"/>
            <w:bookmarkStart w:id="24" w:name="_Toc11907"/>
            <w:r>
              <w:rPr>
                <w:rFonts w:hint="eastAsia" w:ascii="宋体" w:hAnsi="宋体" w:eastAsia="宋体" w:cs="宋体"/>
                <w:b/>
                <w:bCs/>
                <w:color w:val="auto"/>
                <w:highlight w:val="none"/>
              </w:rPr>
              <w:t>招标需求</w:t>
            </w:r>
            <w:bookmarkEnd w:id="22"/>
            <w:bookmarkEnd w:id="23"/>
            <w:bookmarkEnd w:id="2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705" w:type="dxa"/>
            <w:vAlign w:val="center"/>
          </w:tcPr>
          <w:p>
            <w:pPr>
              <w:spacing w:line="400" w:lineRule="exact"/>
              <w:jc w:val="center"/>
              <w:outlineLvl w:val="1"/>
              <w:rPr>
                <w:rFonts w:hint="eastAsia" w:ascii="宋体" w:hAnsi="宋体" w:eastAsia="宋体" w:cs="宋体"/>
                <w:b/>
                <w:bCs/>
                <w:color w:val="auto"/>
                <w:highlight w:val="none"/>
              </w:rPr>
            </w:pPr>
            <w:bookmarkStart w:id="25" w:name="_Toc47388287"/>
            <w:bookmarkStart w:id="26" w:name="_Toc132205141"/>
            <w:bookmarkStart w:id="27" w:name="_Toc10868"/>
            <w:r>
              <w:rPr>
                <w:rFonts w:hint="eastAsia" w:ascii="宋体" w:hAnsi="宋体" w:eastAsia="宋体" w:cs="宋体"/>
                <w:b/>
                <w:bCs/>
                <w:color w:val="auto"/>
                <w:highlight w:val="none"/>
              </w:rPr>
              <w:t>一</w:t>
            </w:r>
            <w:bookmarkEnd w:id="25"/>
            <w:bookmarkEnd w:id="26"/>
            <w:bookmarkEnd w:id="27"/>
          </w:p>
        </w:tc>
        <w:tc>
          <w:tcPr>
            <w:tcW w:w="3495" w:type="dxa"/>
            <w:vAlign w:val="center"/>
          </w:tcPr>
          <w:p>
            <w:pPr>
              <w:spacing w:line="400" w:lineRule="exact"/>
              <w:outlineLvl w:val="1"/>
              <w:rPr>
                <w:rFonts w:hint="eastAsia" w:ascii="宋体" w:hAnsi="宋体" w:eastAsia="宋体" w:cs="宋体"/>
                <w:color w:val="auto"/>
                <w:highlight w:val="none"/>
              </w:rPr>
            </w:pPr>
            <w:bookmarkStart w:id="28" w:name="_Toc47388288"/>
            <w:bookmarkStart w:id="29" w:name="_Toc15946"/>
            <w:bookmarkStart w:id="30" w:name="_Toc132205142"/>
            <w:r>
              <w:rPr>
                <w:rFonts w:hint="eastAsia" w:ascii="宋体" w:hAnsi="宋体" w:eastAsia="宋体" w:cs="宋体"/>
                <w:color w:val="auto"/>
                <w:highlight w:val="none"/>
              </w:rPr>
              <w:t>采购标的需实现的功能或者目标，为落实政府采购需满足的要求</w:t>
            </w:r>
            <w:bookmarkEnd w:id="28"/>
            <w:bookmarkEnd w:id="29"/>
            <w:bookmarkEnd w:id="30"/>
          </w:p>
        </w:tc>
        <w:tc>
          <w:tcPr>
            <w:tcW w:w="4095" w:type="dxa"/>
            <w:vAlign w:val="center"/>
          </w:tcPr>
          <w:p>
            <w:pPr>
              <w:spacing w:line="400" w:lineRule="exact"/>
              <w:outlineLvl w:val="1"/>
              <w:rPr>
                <w:rFonts w:hint="eastAsia" w:ascii="宋体" w:hAnsi="宋体" w:eastAsia="宋体" w:cs="宋体"/>
                <w:b/>
                <w:bCs/>
                <w:color w:val="auto"/>
                <w:highlight w:val="none"/>
              </w:rPr>
            </w:pPr>
            <w:bookmarkStart w:id="31" w:name="_Toc47388289"/>
            <w:bookmarkStart w:id="32" w:name="_Toc5051"/>
            <w:bookmarkStart w:id="33" w:name="_Toc132205143"/>
            <w:r>
              <w:rPr>
                <w:rFonts w:hint="eastAsia" w:ascii="宋体" w:hAnsi="宋体" w:eastAsia="宋体" w:cs="宋体"/>
                <w:color w:val="auto"/>
                <w:highlight w:val="none"/>
              </w:rPr>
              <w:t>详见技术需求</w:t>
            </w:r>
            <w:bookmarkEnd w:id="31"/>
            <w:bookmarkEnd w:id="32"/>
            <w:bookmarkEnd w:id="3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b/>
                <w:bCs/>
                <w:color w:val="auto"/>
                <w:highlight w:val="none"/>
              </w:rPr>
            </w:pPr>
            <w:bookmarkStart w:id="34" w:name="_Toc10426"/>
            <w:bookmarkStart w:id="35" w:name="_Toc47388290"/>
            <w:bookmarkStart w:id="36" w:name="_Toc132205144"/>
            <w:r>
              <w:rPr>
                <w:rFonts w:hint="eastAsia" w:ascii="宋体" w:hAnsi="宋体" w:eastAsia="宋体" w:cs="宋体"/>
                <w:b/>
                <w:bCs/>
                <w:color w:val="auto"/>
                <w:highlight w:val="none"/>
              </w:rPr>
              <w:t>二</w:t>
            </w:r>
            <w:bookmarkEnd w:id="34"/>
            <w:bookmarkEnd w:id="35"/>
            <w:bookmarkEnd w:id="36"/>
          </w:p>
        </w:tc>
        <w:tc>
          <w:tcPr>
            <w:tcW w:w="3495" w:type="dxa"/>
            <w:vAlign w:val="center"/>
          </w:tcPr>
          <w:p>
            <w:pPr>
              <w:spacing w:line="400" w:lineRule="exact"/>
              <w:outlineLvl w:val="1"/>
              <w:rPr>
                <w:rFonts w:hint="eastAsia" w:ascii="宋体" w:hAnsi="宋体" w:eastAsia="宋体" w:cs="宋体"/>
                <w:color w:val="auto"/>
                <w:highlight w:val="none"/>
              </w:rPr>
            </w:pPr>
            <w:bookmarkStart w:id="37" w:name="_Toc132205145"/>
            <w:bookmarkStart w:id="38" w:name="_Toc47388291"/>
            <w:bookmarkStart w:id="39" w:name="_Toc4406"/>
            <w:r>
              <w:rPr>
                <w:rFonts w:hint="eastAsia" w:ascii="宋体" w:hAnsi="宋体" w:eastAsia="宋体" w:cs="宋体"/>
                <w:color w:val="auto"/>
                <w:highlight w:val="none"/>
              </w:rPr>
              <w:t>采购标的需执行的国家相关标准、行业标准、地方标准或者其他标准规范</w:t>
            </w:r>
            <w:bookmarkEnd w:id="37"/>
            <w:bookmarkEnd w:id="38"/>
            <w:bookmarkEnd w:id="39"/>
          </w:p>
        </w:tc>
        <w:tc>
          <w:tcPr>
            <w:tcW w:w="4095" w:type="dxa"/>
            <w:vAlign w:val="center"/>
          </w:tcPr>
          <w:p>
            <w:pPr>
              <w:pStyle w:val="26"/>
              <w:snapToGrid w:val="0"/>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由投标人提供的所有产品和服务必须符合下列规范、条例及标准，并不限于下列规范、条例及标准：</w:t>
            </w:r>
          </w:p>
          <w:p>
            <w:pPr>
              <w:pStyle w:val="26"/>
              <w:snapToGrid w:val="0"/>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2.1中华人民共和国有关技术和卫生标准</w:t>
            </w:r>
          </w:p>
          <w:p>
            <w:pPr>
              <w:pStyle w:val="26"/>
              <w:snapToGrid w:val="0"/>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2.2由招标人认可的有关国家权威标准</w:t>
            </w:r>
          </w:p>
          <w:p>
            <w:pPr>
              <w:spacing w:line="400" w:lineRule="exact"/>
              <w:outlineLvl w:val="1"/>
              <w:rPr>
                <w:rFonts w:hint="eastAsia" w:ascii="宋体" w:hAnsi="宋体" w:eastAsia="宋体" w:cs="宋体"/>
                <w:b/>
                <w:bCs/>
                <w:color w:val="auto"/>
                <w:highlight w:val="none"/>
              </w:rPr>
            </w:pPr>
            <w:bookmarkStart w:id="40" w:name="_Toc27406"/>
            <w:bookmarkStart w:id="41" w:name="_Toc47388292"/>
            <w:bookmarkStart w:id="42" w:name="_Toc132205146"/>
            <w:r>
              <w:rPr>
                <w:rFonts w:hint="eastAsia" w:ascii="宋体" w:hAnsi="宋体" w:eastAsia="宋体" w:cs="宋体"/>
                <w:color w:val="auto"/>
                <w:highlight w:val="none"/>
              </w:rPr>
              <w:t>注：本技术要求所列的规范、标准不意味着全部的或最新的，承包单位必须执行国家、地方、有关机构所有相关的技术规范与标准，且确保所采用的技术规范、标准必须是国家或有关机构发布的最新版本，无论此版本在此有无提及。</w:t>
            </w:r>
            <w:bookmarkEnd w:id="40"/>
            <w:bookmarkEnd w:id="41"/>
            <w:bookmarkEnd w:id="42"/>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b/>
                <w:bCs/>
                <w:color w:val="auto"/>
                <w:highlight w:val="none"/>
              </w:rPr>
            </w:pPr>
            <w:bookmarkStart w:id="43" w:name="_Toc132205147"/>
            <w:bookmarkStart w:id="44" w:name="_Toc18066"/>
            <w:bookmarkStart w:id="45" w:name="_Toc47388293"/>
            <w:r>
              <w:rPr>
                <w:rFonts w:hint="eastAsia" w:ascii="宋体" w:hAnsi="宋体" w:eastAsia="宋体" w:cs="宋体"/>
                <w:b/>
                <w:bCs/>
                <w:color w:val="auto"/>
                <w:highlight w:val="none"/>
              </w:rPr>
              <w:t>三</w:t>
            </w:r>
            <w:bookmarkEnd w:id="43"/>
            <w:bookmarkEnd w:id="44"/>
            <w:bookmarkEnd w:id="45"/>
          </w:p>
        </w:tc>
        <w:tc>
          <w:tcPr>
            <w:tcW w:w="3495" w:type="dxa"/>
            <w:vAlign w:val="center"/>
          </w:tcPr>
          <w:p>
            <w:pPr>
              <w:spacing w:line="400" w:lineRule="exact"/>
              <w:outlineLvl w:val="1"/>
              <w:rPr>
                <w:rFonts w:hint="eastAsia" w:ascii="宋体" w:hAnsi="宋体" w:eastAsia="宋体" w:cs="宋体"/>
                <w:color w:val="auto"/>
                <w:highlight w:val="none"/>
              </w:rPr>
            </w:pPr>
            <w:bookmarkStart w:id="46" w:name="_Toc20497"/>
            <w:bookmarkStart w:id="47" w:name="_Toc47388294"/>
            <w:bookmarkStart w:id="48" w:name="_Toc132205148"/>
            <w:r>
              <w:rPr>
                <w:rFonts w:hint="eastAsia" w:ascii="宋体" w:hAnsi="宋体" w:eastAsia="宋体" w:cs="宋体"/>
                <w:color w:val="auto"/>
                <w:highlight w:val="none"/>
              </w:rPr>
              <w:t>采购标的需满足的质量、安全、技术规格、物理特性等要求</w:t>
            </w:r>
            <w:bookmarkEnd w:id="46"/>
            <w:bookmarkEnd w:id="47"/>
            <w:bookmarkEnd w:id="48"/>
          </w:p>
        </w:tc>
        <w:tc>
          <w:tcPr>
            <w:tcW w:w="4095" w:type="dxa"/>
            <w:vAlign w:val="center"/>
          </w:tcPr>
          <w:p>
            <w:pPr>
              <w:spacing w:line="400" w:lineRule="exact"/>
              <w:outlineLvl w:val="1"/>
              <w:rPr>
                <w:rFonts w:hint="eastAsia" w:ascii="宋体" w:hAnsi="宋体" w:eastAsia="宋体" w:cs="宋体"/>
                <w:b/>
                <w:bCs/>
                <w:color w:val="auto"/>
                <w:highlight w:val="none"/>
              </w:rPr>
            </w:pPr>
            <w:bookmarkStart w:id="49" w:name="_Toc132205149"/>
            <w:bookmarkStart w:id="50" w:name="_Toc6626"/>
            <w:bookmarkStart w:id="51" w:name="_Toc47388295"/>
            <w:r>
              <w:rPr>
                <w:rFonts w:hint="eastAsia" w:ascii="宋体" w:hAnsi="宋体" w:eastAsia="宋体" w:cs="宋体"/>
                <w:color w:val="auto"/>
                <w:highlight w:val="none"/>
              </w:rPr>
              <w:t>详见技术需求</w:t>
            </w:r>
            <w:bookmarkEnd w:id="49"/>
            <w:bookmarkEnd w:id="50"/>
            <w:bookmarkEnd w:id="5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52" w:name="_Toc47388296"/>
            <w:bookmarkStart w:id="53" w:name="_Toc6713"/>
            <w:bookmarkStart w:id="54" w:name="_Toc132205150"/>
            <w:r>
              <w:rPr>
                <w:rFonts w:hint="eastAsia" w:ascii="宋体" w:hAnsi="宋体" w:eastAsia="宋体" w:cs="宋体"/>
                <w:color w:val="auto"/>
                <w:highlight w:val="none"/>
              </w:rPr>
              <w:t>四</w:t>
            </w:r>
            <w:bookmarkEnd w:id="52"/>
            <w:bookmarkEnd w:id="53"/>
            <w:bookmarkEnd w:id="54"/>
          </w:p>
        </w:tc>
        <w:tc>
          <w:tcPr>
            <w:tcW w:w="3495" w:type="dxa"/>
            <w:vAlign w:val="center"/>
          </w:tcPr>
          <w:p>
            <w:pPr>
              <w:spacing w:line="400" w:lineRule="exact"/>
              <w:outlineLvl w:val="1"/>
              <w:rPr>
                <w:rFonts w:hint="eastAsia" w:ascii="宋体" w:hAnsi="宋体" w:eastAsia="宋体" w:cs="宋体"/>
                <w:color w:val="auto"/>
                <w:highlight w:val="none"/>
              </w:rPr>
            </w:pPr>
            <w:bookmarkStart w:id="55" w:name="_Toc3523"/>
            <w:bookmarkStart w:id="56" w:name="_Toc132205151"/>
            <w:bookmarkStart w:id="57" w:name="_Toc47388297"/>
            <w:r>
              <w:rPr>
                <w:rFonts w:hint="eastAsia" w:ascii="宋体" w:hAnsi="宋体" w:eastAsia="宋体" w:cs="宋体"/>
                <w:color w:val="auto"/>
                <w:highlight w:val="none"/>
              </w:rPr>
              <w:t>采购标的的数量、采购项目交付或者实施的时间和地点</w:t>
            </w:r>
            <w:bookmarkEnd w:id="55"/>
            <w:bookmarkEnd w:id="56"/>
            <w:bookmarkEnd w:id="57"/>
          </w:p>
        </w:tc>
        <w:tc>
          <w:tcPr>
            <w:tcW w:w="4095" w:type="dxa"/>
            <w:vAlign w:val="center"/>
          </w:tcPr>
          <w:p>
            <w:pPr>
              <w:spacing w:line="400" w:lineRule="exact"/>
              <w:outlineLvl w:val="1"/>
              <w:rPr>
                <w:rFonts w:hint="eastAsia" w:ascii="宋体" w:hAnsi="宋体" w:eastAsia="宋体" w:cs="宋体"/>
                <w:b/>
                <w:bCs/>
                <w:color w:val="auto"/>
                <w:highlight w:val="none"/>
              </w:rPr>
            </w:pPr>
            <w:bookmarkStart w:id="58" w:name="_Toc132205152"/>
            <w:bookmarkStart w:id="59" w:name="_Toc47388298"/>
            <w:bookmarkStart w:id="60" w:name="_Toc27559"/>
            <w:r>
              <w:rPr>
                <w:rFonts w:hint="eastAsia" w:ascii="宋体" w:hAnsi="宋体" w:eastAsia="宋体" w:cs="宋体"/>
                <w:color w:val="auto"/>
                <w:highlight w:val="none"/>
              </w:rPr>
              <w:t>详见商务需求</w:t>
            </w:r>
            <w:bookmarkEnd w:id="58"/>
            <w:bookmarkEnd w:id="59"/>
            <w:bookmarkEnd w:id="6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61" w:name="_Toc9705"/>
            <w:bookmarkStart w:id="62" w:name="_Toc47388299"/>
            <w:bookmarkStart w:id="63" w:name="_Toc132205153"/>
            <w:r>
              <w:rPr>
                <w:rFonts w:hint="eastAsia" w:ascii="宋体" w:hAnsi="宋体" w:eastAsia="宋体" w:cs="宋体"/>
                <w:color w:val="auto"/>
                <w:highlight w:val="none"/>
              </w:rPr>
              <w:t>五</w:t>
            </w:r>
            <w:bookmarkEnd w:id="61"/>
            <w:bookmarkEnd w:id="62"/>
            <w:bookmarkEnd w:id="63"/>
          </w:p>
        </w:tc>
        <w:tc>
          <w:tcPr>
            <w:tcW w:w="3495" w:type="dxa"/>
            <w:vAlign w:val="center"/>
          </w:tcPr>
          <w:p>
            <w:pPr>
              <w:spacing w:line="400" w:lineRule="exact"/>
              <w:outlineLvl w:val="1"/>
              <w:rPr>
                <w:rFonts w:hint="eastAsia" w:ascii="宋体" w:hAnsi="宋体" w:eastAsia="宋体" w:cs="宋体"/>
                <w:color w:val="auto"/>
                <w:highlight w:val="none"/>
              </w:rPr>
            </w:pPr>
            <w:bookmarkStart w:id="64" w:name="_Toc132205154"/>
            <w:bookmarkStart w:id="65" w:name="_Toc47388300"/>
            <w:bookmarkStart w:id="66" w:name="_Toc17159"/>
            <w:r>
              <w:rPr>
                <w:rFonts w:hint="eastAsia" w:ascii="宋体" w:hAnsi="宋体" w:eastAsia="宋体" w:cs="宋体"/>
                <w:color w:val="auto"/>
                <w:highlight w:val="none"/>
              </w:rPr>
              <w:t>采购标的需满足的服务标准、期限、效率等要求</w:t>
            </w:r>
            <w:bookmarkEnd w:id="64"/>
            <w:bookmarkEnd w:id="65"/>
            <w:bookmarkEnd w:id="66"/>
          </w:p>
        </w:tc>
        <w:tc>
          <w:tcPr>
            <w:tcW w:w="4095" w:type="dxa"/>
            <w:vAlign w:val="center"/>
          </w:tcPr>
          <w:p>
            <w:pPr>
              <w:spacing w:line="400" w:lineRule="exact"/>
              <w:outlineLvl w:val="1"/>
              <w:rPr>
                <w:rFonts w:hint="eastAsia" w:ascii="宋体" w:hAnsi="宋体" w:eastAsia="宋体" w:cs="宋体"/>
                <w:b/>
                <w:bCs/>
                <w:color w:val="auto"/>
                <w:highlight w:val="none"/>
              </w:rPr>
            </w:pPr>
            <w:bookmarkStart w:id="67" w:name="_Toc47388301"/>
            <w:bookmarkStart w:id="68" w:name="_Toc132205155"/>
            <w:bookmarkStart w:id="69" w:name="_Toc28908"/>
            <w:r>
              <w:rPr>
                <w:rFonts w:hint="eastAsia" w:ascii="宋体" w:hAnsi="宋体" w:eastAsia="宋体" w:cs="宋体"/>
                <w:color w:val="auto"/>
                <w:highlight w:val="none"/>
              </w:rPr>
              <w:t>详见商务需求</w:t>
            </w:r>
            <w:bookmarkEnd w:id="67"/>
            <w:bookmarkEnd w:id="68"/>
            <w:bookmarkEnd w:id="6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70" w:name="_Toc23727"/>
            <w:bookmarkStart w:id="71" w:name="_Toc47388302"/>
            <w:bookmarkStart w:id="72" w:name="_Toc132205156"/>
            <w:r>
              <w:rPr>
                <w:rFonts w:hint="eastAsia" w:ascii="宋体" w:hAnsi="宋体" w:eastAsia="宋体" w:cs="宋体"/>
                <w:color w:val="auto"/>
                <w:highlight w:val="none"/>
              </w:rPr>
              <w:t>六</w:t>
            </w:r>
            <w:bookmarkEnd w:id="70"/>
            <w:bookmarkEnd w:id="71"/>
            <w:bookmarkEnd w:id="72"/>
          </w:p>
        </w:tc>
        <w:tc>
          <w:tcPr>
            <w:tcW w:w="3495" w:type="dxa"/>
            <w:vAlign w:val="center"/>
          </w:tcPr>
          <w:p>
            <w:pPr>
              <w:spacing w:line="400" w:lineRule="exact"/>
              <w:outlineLvl w:val="1"/>
              <w:rPr>
                <w:rFonts w:hint="eastAsia" w:ascii="宋体" w:hAnsi="宋体" w:eastAsia="宋体" w:cs="宋体"/>
                <w:color w:val="auto"/>
                <w:highlight w:val="none"/>
              </w:rPr>
            </w:pPr>
            <w:bookmarkStart w:id="73" w:name="_Toc27008"/>
            <w:bookmarkStart w:id="74" w:name="_Toc132205157"/>
            <w:bookmarkStart w:id="75" w:name="_Toc47388303"/>
            <w:r>
              <w:rPr>
                <w:rFonts w:hint="eastAsia" w:ascii="宋体" w:hAnsi="宋体" w:eastAsia="宋体" w:cs="宋体"/>
                <w:color w:val="auto"/>
                <w:highlight w:val="none"/>
              </w:rPr>
              <w:t>采购标的的验收标准</w:t>
            </w:r>
            <w:bookmarkEnd w:id="73"/>
            <w:bookmarkEnd w:id="74"/>
            <w:bookmarkEnd w:id="75"/>
          </w:p>
        </w:tc>
        <w:tc>
          <w:tcPr>
            <w:tcW w:w="4095" w:type="dxa"/>
            <w:vAlign w:val="center"/>
          </w:tcPr>
          <w:p>
            <w:pPr>
              <w:spacing w:line="400" w:lineRule="exact"/>
              <w:outlineLvl w:val="1"/>
              <w:rPr>
                <w:rFonts w:hint="eastAsia" w:ascii="宋体" w:hAnsi="宋体" w:eastAsia="宋体" w:cs="宋体"/>
                <w:color w:val="auto"/>
                <w:highlight w:val="none"/>
              </w:rPr>
            </w:pPr>
            <w:bookmarkStart w:id="76" w:name="_Toc132205158"/>
            <w:bookmarkStart w:id="77" w:name="_Toc362"/>
            <w:bookmarkStart w:id="78" w:name="_Toc47388304"/>
            <w:r>
              <w:rPr>
                <w:rFonts w:hint="eastAsia" w:ascii="宋体" w:hAnsi="宋体" w:eastAsia="宋体" w:cs="宋体"/>
                <w:color w:val="auto"/>
                <w:highlight w:val="none"/>
              </w:rPr>
              <w:t>详见技术需求</w:t>
            </w:r>
            <w:bookmarkEnd w:id="76"/>
            <w:bookmarkEnd w:id="77"/>
            <w:bookmarkEnd w:id="7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79" w:name="_Toc12938"/>
            <w:bookmarkStart w:id="80" w:name="_Toc132205159"/>
            <w:bookmarkStart w:id="81" w:name="_Toc47388305"/>
            <w:r>
              <w:rPr>
                <w:rFonts w:hint="eastAsia" w:ascii="宋体" w:hAnsi="宋体" w:eastAsia="宋体" w:cs="宋体"/>
                <w:color w:val="auto"/>
                <w:highlight w:val="none"/>
              </w:rPr>
              <w:t>七</w:t>
            </w:r>
            <w:bookmarkEnd w:id="79"/>
            <w:bookmarkEnd w:id="80"/>
            <w:bookmarkEnd w:id="81"/>
          </w:p>
        </w:tc>
        <w:tc>
          <w:tcPr>
            <w:tcW w:w="3495" w:type="dxa"/>
            <w:vAlign w:val="center"/>
          </w:tcPr>
          <w:p>
            <w:pPr>
              <w:spacing w:line="400" w:lineRule="exact"/>
              <w:outlineLvl w:val="1"/>
              <w:rPr>
                <w:rFonts w:hint="eastAsia" w:ascii="宋体" w:hAnsi="宋体" w:eastAsia="宋体" w:cs="宋体"/>
                <w:color w:val="auto"/>
                <w:highlight w:val="none"/>
              </w:rPr>
            </w:pPr>
            <w:bookmarkStart w:id="82" w:name="_Toc47388306"/>
            <w:bookmarkStart w:id="83" w:name="_Toc22727"/>
            <w:bookmarkStart w:id="84" w:name="_Toc132205160"/>
            <w:r>
              <w:rPr>
                <w:rFonts w:hint="eastAsia" w:ascii="宋体" w:hAnsi="宋体" w:eastAsia="宋体" w:cs="宋体"/>
                <w:color w:val="auto"/>
                <w:highlight w:val="none"/>
              </w:rPr>
              <w:t>采购标的的其他技术、服务等要求</w:t>
            </w:r>
            <w:bookmarkEnd w:id="82"/>
            <w:bookmarkEnd w:id="83"/>
            <w:bookmarkEnd w:id="84"/>
          </w:p>
        </w:tc>
        <w:tc>
          <w:tcPr>
            <w:tcW w:w="4095" w:type="dxa"/>
            <w:vAlign w:val="center"/>
          </w:tcPr>
          <w:p>
            <w:pPr>
              <w:spacing w:line="400" w:lineRule="exact"/>
              <w:outlineLvl w:val="1"/>
              <w:rPr>
                <w:rFonts w:hint="eastAsia" w:ascii="宋体" w:hAnsi="宋体" w:eastAsia="宋体" w:cs="宋体"/>
                <w:color w:val="auto"/>
                <w:highlight w:val="none"/>
              </w:rPr>
            </w:pPr>
            <w:bookmarkStart w:id="85" w:name="_Toc3237"/>
            <w:bookmarkStart w:id="86" w:name="_Toc132205161"/>
            <w:bookmarkStart w:id="87" w:name="_Toc47388307"/>
            <w:r>
              <w:rPr>
                <w:rFonts w:hint="eastAsia" w:ascii="宋体" w:hAnsi="宋体" w:eastAsia="宋体" w:cs="宋体"/>
                <w:color w:val="auto"/>
                <w:highlight w:val="none"/>
              </w:rPr>
              <w:t>详见技术需求</w:t>
            </w:r>
            <w:bookmarkEnd w:id="85"/>
            <w:bookmarkEnd w:id="86"/>
            <w:bookmarkEnd w:id="8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88" w:name="_Toc47388308"/>
            <w:bookmarkStart w:id="89" w:name="_Toc17147"/>
            <w:bookmarkStart w:id="90" w:name="_Toc132205162"/>
            <w:r>
              <w:rPr>
                <w:rFonts w:hint="eastAsia" w:ascii="宋体" w:hAnsi="宋体" w:eastAsia="宋体" w:cs="宋体"/>
                <w:color w:val="auto"/>
                <w:highlight w:val="none"/>
              </w:rPr>
              <w:t>八</w:t>
            </w:r>
            <w:bookmarkEnd w:id="88"/>
            <w:bookmarkEnd w:id="89"/>
            <w:bookmarkEnd w:id="90"/>
          </w:p>
        </w:tc>
        <w:tc>
          <w:tcPr>
            <w:tcW w:w="3495" w:type="dxa"/>
          </w:tcPr>
          <w:p>
            <w:pPr>
              <w:spacing w:line="400" w:lineRule="exact"/>
              <w:outlineLvl w:val="1"/>
              <w:rPr>
                <w:rFonts w:hint="eastAsia" w:ascii="宋体" w:hAnsi="宋体" w:eastAsia="宋体" w:cs="宋体"/>
                <w:color w:val="auto"/>
                <w:highlight w:val="none"/>
              </w:rPr>
            </w:pPr>
            <w:bookmarkStart w:id="91" w:name="_Toc132205163"/>
            <w:bookmarkStart w:id="92" w:name="_Toc6426"/>
            <w:bookmarkStart w:id="93" w:name="_Toc47388312"/>
            <w:r>
              <w:rPr>
                <w:rFonts w:hint="eastAsia" w:ascii="宋体" w:hAnsi="宋体" w:eastAsia="宋体" w:cs="宋体"/>
                <w:color w:val="auto"/>
                <w:highlight w:val="none"/>
              </w:rPr>
              <w:t>现场踏勘</w:t>
            </w:r>
            <w:bookmarkEnd w:id="91"/>
            <w:bookmarkEnd w:id="92"/>
            <w:bookmarkEnd w:id="93"/>
          </w:p>
        </w:tc>
        <w:tc>
          <w:tcPr>
            <w:tcW w:w="4095" w:type="dxa"/>
            <w:vAlign w:val="center"/>
          </w:tcPr>
          <w:p>
            <w:pPr>
              <w:spacing w:line="400" w:lineRule="exact"/>
              <w:outlineLvl w:val="1"/>
              <w:rPr>
                <w:rFonts w:hint="eastAsia" w:ascii="宋体" w:hAnsi="宋体" w:eastAsia="宋体" w:cs="宋体"/>
                <w:color w:val="auto"/>
                <w:highlight w:val="none"/>
              </w:rPr>
            </w:pPr>
            <w:bookmarkStart w:id="94" w:name="_Toc7814"/>
            <w:bookmarkStart w:id="95" w:name="_Toc132205164"/>
            <w:bookmarkStart w:id="96" w:name="_Toc47388313"/>
            <w:r>
              <w:rPr>
                <w:rFonts w:hint="eastAsia" w:ascii="宋体" w:hAnsi="宋体" w:eastAsia="宋体" w:cs="宋体"/>
                <w:color w:val="auto"/>
                <w:highlight w:val="none"/>
              </w:rPr>
              <w:t>无</w:t>
            </w:r>
            <w:bookmarkEnd w:id="94"/>
            <w:bookmarkEnd w:id="95"/>
            <w:bookmarkEnd w:id="96"/>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pacing w:line="400" w:lineRule="exact"/>
              <w:jc w:val="center"/>
              <w:outlineLvl w:val="1"/>
              <w:rPr>
                <w:rFonts w:hint="eastAsia" w:ascii="宋体" w:hAnsi="宋体" w:eastAsia="宋体" w:cs="宋体"/>
                <w:color w:val="auto"/>
                <w:highlight w:val="none"/>
              </w:rPr>
            </w:pPr>
            <w:bookmarkStart w:id="97" w:name="_Toc132205165"/>
            <w:bookmarkStart w:id="98" w:name="_Toc23900"/>
            <w:bookmarkStart w:id="99" w:name="_Toc47388311"/>
            <w:r>
              <w:rPr>
                <w:rFonts w:hint="eastAsia" w:ascii="宋体" w:hAnsi="宋体" w:eastAsia="宋体" w:cs="宋体"/>
                <w:color w:val="auto"/>
                <w:highlight w:val="none"/>
              </w:rPr>
              <w:t>九</w:t>
            </w:r>
            <w:bookmarkEnd w:id="97"/>
            <w:bookmarkEnd w:id="98"/>
            <w:bookmarkEnd w:id="99"/>
          </w:p>
        </w:tc>
        <w:tc>
          <w:tcPr>
            <w:tcW w:w="3495" w:type="dxa"/>
          </w:tcPr>
          <w:p>
            <w:pPr>
              <w:spacing w:line="400" w:lineRule="exact"/>
              <w:outlineLvl w:val="1"/>
              <w:rPr>
                <w:rFonts w:hint="eastAsia" w:ascii="宋体" w:hAnsi="宋体" w:eastAsia="宋体" w:cs="宋体"/>
                <w:color w:val="auto"/>
                <w:highlight w:val="none"/>
              </w:rPr>
            </w:pPr>
            <w:bookmarkStart w:id="100" w:name="_Toc47388315"/>
            <w:bookmarkStart w:id="101" w:name="_Toc132205166"/>
            <w:bookmarkStart w:id="102" w:name="_Toc16439"/>
            <w:r>
              <w:rPr>
                <w:rFonts w:hint="eastAsia" w:ascii="宋体" w:hAnsi="宋体" w:eastAsia="宋体" w:cs="宋体"/>
                <w:color w:val="auto"/>
                <w:highlight w:val="none"/>
              </w:rPr>
              <w:t>样品要求</w:t>
            </w:r>
            <w:bookmarkEnd w:id="100"/>
            <w:bookmarkEnd w:id="101"/>
            <w:bookmarkEnd w:id="102"/>
          </w:p>
        </w:tc>
        <w:tc>
          <w:tcPr>
            <w:tcW w:w="4095" w:type="dxa"/>
            <w:vAlign w:val="center"/>
          </w:tcPr>
          <w:p>
            <w:pPr>
              <w:spacing w:line="400" w:lineRule="exact"/>
              <w:outlineLvl w:val="1"/>
              <w:rPr>
                <w:rFonts w:hint="eastAsia" w:ascii="宋体" w:hAnsi="宋体" w:eastAsia="宋体" w:cs="宋体"/>
                <w:color w:val="auto"/>
                <w:highlight w:val="none"/>
              </w:rPr>
            </w:pPr>
            <w:bookmarkStart w:id="103" w:name="_Toc47388316"/>
            <w:bookmarkStart w:id="104" w:name="_Toc21374"/>
            <w:bookmarkStart w:id="105" w:name="_Toc132205167"/>
            <w:r>
              <w:rPr>
                <w:rFonts w:hint="eastAsia" w:ascii="宋体" w:hAnsi="宋体" w:eastAsia="宋体" w:cs="宋体"/>
                <w:color w:val="auto"/>
                <w:highlight w:val="none"/>
              </w:rPr>
              <w:t>无</w:t>
            </w:r>
            <w:bookmarkEnd w:id="103"/>
            <w:bookmarkEnd w:id="104"/>
            <w:bookmarkEnd w:id="105"/>
          </w:p>
        </w:tc>
      </w:tr>
    </w:tbl>
    <w:p>
      <w:pPr>
        <w:snapToGrid w:val="0"/>
        <w:spacing w:line="360" w:lineRule="auto"/>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b/>
          <w:bCs/>
          <w:color w:val="auto"/>
          <w:highlight w:val="none"/>
        </w:rPr>
        <w:br w:type="page"/>
      </w:r>
      <w:bookmarkStart w:id="106" w:name="_Toc1077"/>
    </w:p>
    <w:p>
      <w:pPr>
        <w:snapToGrid w:val="0"/>
        <w:spacing w:line="360" w:lineRule="auto"/>
        <w:rPr>
          <w:rFonts w:hint="eastAsia" w:ascii="宋体" w:hAnsi="宋体" w:eastAsia="宋体" w:cs="宋体"/>
          <w:b/>
          <w:bCs/>
          <w:color w:val="auto"/>
          <w:highlight w:val="none"/>
        </w:rPr>
        <w:sectPr>
          <w:headerReference r:id="rId5" w:type="default"/>
          <w:footerReference r:id="rId6" w:type="default"/>
          <w:pgSz w:w="11906" w:h="16838"/>
          <w:pgMar w:top="1474" w:right="1797" w:bottom="1247" w:left="1797" w:header="851" w:footer="851" w:gutter="0"/>
          <w:cols w:space="720" w:num="1"/>
          <w:docGrid w:type="lines" w:linePitch="312" w:charSpace="0"/>
        </w:sectPr>
      </w:pPr>
    </w:p>
    <w:p>
      <w:pPr>
        <w:numPr>
          <w:ilvl w:val="0"/>
          <w:numId w:val="8"/>
        </w:numPr>
        <w:snapToGrid w:val="0"/>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商务要求</w:t>
      </w:r>
    </w:p>
    <w:tbl>
      <w:tblPr>
        <w:tblStyle w:val="49"/>
        <w:tblW w:w="0" w:type="auto"/>
        <w:tblInd w:w="-10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379"/>
        <w:gridCol w:w="714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blHeader/>
        </w:trPr>
        <w:tc>
          <w:tcPr>
            <w:tcW w:w="1379" w:type="dxa"/>
            <w:tcBorders>
              <w:tl2br w:val="nil"/>
              <w:tr2bl w:val="nil"/>
            </w:tcBorders>
            <w:vAlign w:val="center"/>
          </w:tcPr>
          <w:p>
            <w:pPr>
              <w:spacing w:line="360" w:lineRule="auto"/>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序号</w:t>
            </w:r>
          </w:p>
        </w:tc>
        <w:tc>
          <w:tcPr>
            <w:tcW w:w="7143" w:type="dxa"/>
            <w:tcBorders>
              <w:tl2br w:val="nil"/>
              <w:tr2bl w:val="nil"/>
            </w:tcBorders>
            <w:vAlign w:val="center"/>
          </w:tcPr>
          <w:p>
            <w:pPr>
              <w:pStyle w:val="2"/>
              <w:spacing w:after="0"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★一</w:t>
            </w:r>
          </w:p>
        </w:tc>
        <w:tc>
          <w:tcPr>
            <w:tcW w:w="7143" w:type="dxa"/>
            <w:tcBorders>
              <w:tl2br w:val="nil"/>
              <w:tr2bl w:val="nil"/>
            </w:tcBorders>
            <w:vAlign w:val="center"/>
          </w:tcPr>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付款方式：</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合同生效并具备实施条件后7个工作日内凭同等金额预付款保函支付合同金额的</w:t>
            </w:r>
            <w:r>
              <w:rPr>
                <w:rFonts w:hint="eastAsia" w:ascii="宋体" w:hAnsi="宋体" w:eastAsia="宋体" w:cs="宋体"/>
                <w:color w:val="auto"/>
                <w:highlight w:val="none"/>
                <w:lang w:val="en-US" w:eastAsia="zh-CN"/>
              </w:rPr>
              <w:t>40</w:t>
            </w:r>
            <w:r>
              <w:rPr>
                <w:rFonts w:hint="eastAsia" w:ascii="宋体" w:hAnsi="宋体" w:eastAsia="宋体" w:cs="宋体"/>
                <w:color w:val="auto"/>
                <w:highlight w:val="none"/>
              </w:rPr>
              <w:t>%作为预付款</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（供应商为《政府采购促进中小企业发展管理办法》（财库﹝2020﹞46号）第四条认定的大型企业无预付款，不适用该条款）；</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项目验收合格并收到中标人正式发票之日起7个工作日内付清合同款。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二</w:t>
            </w:r>
          </w:p>
        </w:tc>
        <w:tc>
          <w:tcPr>
            <w:tcW w:w="7143" w:type="dxa"/>
            <w:tcBorders>
              <w:tl2br w:val="nil"/>
              <w:tr2bl w:val="nil"/>
            </w:tcBorders>
            <w:vAlign w:val="center"/>
          </w:tcPr>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其他：</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2.1</w:t>
            </w:r>
          </w:p>
        </w:tc>
        <w:tc>
          <w:tcPr>
            <w:tcW w:w="7143" w:type="dxa"/>
            <w:tcBorders>
              <w:tl2br w:val="nil"/>
              <w:tr2bl w:val="nil"/>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列出详细的设备配置清单（包括附件及选配件），清单包括：硬件、软件、附件及选配件的规格型号、接口。提供分项价格并提供价格的折扣率，同时提供耗品的清单及供应价（各种包装规格分别报价）。招标文件中未提及的某些属选配的功能、软硬件，供方必须充分告知采购人，以采购人选择为准。若在交付使用后采购人发现其功能或软件未告知采购人的，中标人必须无条件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2.2</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提供各类必要证件（书），包括但不限于医疗器械注册证</w:t>
            </w:r>
            <w:r>
              <w:rPr>
                <w:rFonts w:hint="eastAsia" w:ascii="宋体" w:hAnsi="宋体" w:eastAsia="宋体" w:cs="宋体"/>
                <w:b w:val="0"/>
                <w:bCs/>
                <w:color w:val="auto"/>
                <w:kern w:val="0"/>
                <w:sz w:val="21"/>
                <w:szCs w:val="21"/>
                <w:highlight w:val="none"/>
              </w:rPr>
              <w:t>、生产许可证、产品注册证</w:t>
            </w:r>
            <w:r>
              <w:rPr>
                <w:rFonts w:hint="eastAsia" w:ascii="宋体" w:hAnsi="宋体" w:eastAsia="宋体" w:cs="宋体"/>
                <w:color w:val="auto"/>
                <w:kern w:val="0"/>
                <w:highlight w:val="none"/>
              </w:rPr>
              <w:t>。全套设备必须为全新，未曾使用过的原装产品，软件版本为最新版本（投标文件中须注明设备进入市场时间及软件最新版本号）。</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2.3</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招标设备如为法定商检产品或国家强检计量设备，由中标人负责进行商检或计量等，费用包含在投标总价之内。</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2.4</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必须以招标人需要的机型进行投标，在投标时如实响应招标文件技术文件并提供完全配置，不得欺骗、隐瞒，投标后对招标文件的响应内容，不得以任何理由加价，招、投标文件为合同的组成部分，具备同等法律效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2.5</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提供纸质和电子版操作手册（包括纸质版两套和电子版一套）、维修手册（包括维修技术资料及线路图）、软件、维修零配件、维修密码等。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6</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交货产品为制造商一年内生产的货物，验收时提供证明资料</w:t>
            </w:r>
            <w:r>
              <w:rPr>
                <w:rFonts w:hint="eastAsia" w:ascii="宋体" w:hAnsi="宋体" w:cs="宋体"/>
                <w:color w:val="auto"/>
                <w:kern w:val="0"/>
                <w:highlight w:val="none"/>
                <w:lang w:eastAsia="zh-CN"/>
              </w:rPr>
              <w:t>，</w:t>
            </w:r>
            <w:r>
              <w:rPr>
                <w:rFonts w:hint="eastAsia" w:ascii="宋体" w:hAnsi="宋体" w:eastAsia="宋体" w:cs="宋体"/>
                <w:color w:val="auto"/>
                <w:kern w:val="0"/>
                <w:highlight w:val="none"/>
              </w:rPr>
              <w:t>如实提供有注册证医疗器械的使用年限或使用期限。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7</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提供制造商原厂data sheet，提供符合上述参数和配置要求的详细配置清单及单价，必需的耗材清单，承诺长期供应的优惠价格。应标技术文件参数应与官方网站的数据或原厂data sheet保持一致，并以此验收。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8</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免费开放所有接口，便于信息系统接入。支持网络连接</w:t>
            </w:r>
            <w:r>
              <w:rPr>
                <w:rFonts w:hint="eastAsia" w:ascii="宋体" w:hAnsi="宋体" w:cs="宋体"/>
                <w:color w:val="auto"/>
                <w:kern w:val="0"/>
                <w:highlight w:val="none"/>
                <w:lang w:eastAsia="zh-CN"/>
              </w:rPr>
              <w:t>，</w:t>
            </w:r>
            <w:r>
              <w:rPr>
                <w:rFonts w:hint="eastAsia" w:ascii="宋体" w:hAnsi="宋体" w:eastAsia="宋体" w:cs="宋体"/>
                <w:color w:val="auto"/>
                <w:kern w:val="0"/>
                <w:highlight w:val="none"/>
              </w:rPr>
              <w:t>DICOM 3.0（开通）</w:t>
            </w:r>
            <w:r>
              <w:rPr>
                <w:rFonts w:hint="eastAsia" w:ascii="宋体" w:hAnsi="宋体" w:cs="宋体"/>
                <w:color w:val="auto"/>
                <w:kern w:val="0"/>
                <w:highlight w:val="none"/>
                <w:lang w:eastAsia="zh-CN"/>
              </w:rPr>
              <w:t>。</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68" w:hRule="atLeast"/>
        </w:trPr>
        <w:tc>
          <w:tcPr>
            <w:tcW w:w="1379" w:type="dxa"/>
            <w:tcBorders>
              <w:tl2br w:val="nil"/>
              <w:tr2bl w:val="nil"/>
            </w:tcBorders>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三</w:t>
            </w:r>
          </w:p>
        </w:tc>
        <w:tc>
          <w:tcPr>
            <w:tcW w:w="7143" w:type="dxa"/>
            <w:tcBorders>
              <w:tl2br w:val="nil"/>
              <w:tr2bl w:val="nil"/>
            </w:tcBorders>
            <w:vAlign w:val="center"/>
          </w:tcPr>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售后服务</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★3.1</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rPr>
              <w:t>设备验收合格后整机及附属设备免费保修</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标项一、二、五、八</w:t>
            </w:r>
            <w:r>
              <w:rPr>
                <w:rFonts w:hint="eastAsia" w:ascii="宋体" w:hAnsi="宋体" w:eastAsia="宋体" w:cs="宋体"/>
                <w:b/>
                <w:bCs/>
                <w:color w:val="auto"/>
                <w:kern w:val="0"/>
                <w:highlight w:val="none"/>
              </w:rPr>
              <w:t>≥</w:t>
            </w:r>
            <w:r>
              <w:rPr>
                <w:rFonts w:hint="eastAsia" w:ascii="宋体" w:hAnsi="宋体" w:cs="宋体"/>
                <w:b/>
                <w:bCs/>
                <w:color w:val="auto"/>
                <w:kern w:val="0"/>
                <w:highlight w:val="none"/>
                <w:lang w:val="en-US" w:eastAsia="zh-CN"/>
              </w:rPr>
              <w:t>2</w:t>
            </w:r>
            <w:r>
              <w:rPr>
                <w:rFonts w:hint="eastAsia" w:ascii="宋体" w:hAnsi="宋体" w:eastAsia="宋体" w:cs="宋体"/>
                <w:b/>
                <w:bCs/>
                <w:color w:val="auto"/>
                <w:kern w:val="0"/>
                <w:highlight w:val="none"/>
              </w:rPr>
              <w:t>年</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标项三、七≥1年；标项四</w:t>
            </w:r>
            <w:r>
              <w:rPr>
                <w:rFonts w:hint="eastAsia" w:ascii="宋体" w:hAnsi="宋体" w:eastAsia="宋体" w:cs="宋体"/>
                <w:b/>
                <w:bCs/>
                <w:color w:val="auto"/>
                <w:kern w:val="0"/>
                <w:highlight w:val="none"/>
              </w:rPr>
              <w:t>≥</w:t>
            </w:r>
            <w:r>
              <w:rPr>
                <w:rFonts w:hint="eastAsia" w:ascii="宋体" w:hAnsi="宋体" w:cs="宋体"/>
                <w:b/>
                <w:bCs/>
                <w:color w:val="auto"/>
                <w:kern w:val="0"/>
                <w:highlight w:val="none"/>
                <w:lang w:val="en-US" w:eastAsia="zh-CN"/>
              </w:rPr>
              <w:t>5</w:t>
            </w:r>
            <w:r>
              <w:rPr>
                <w:rFonts w:hint="eastAsia" w:ascii="宋体" w:hAnsi="宋体" w:eastAsia="宋体" w:cs="宋体"/>
                <w:b/>
                <w:bCs/>
                <w:color w:val="auto"/>
                <w:kern w:val="0"/>
                <w:highlight w:val="none"/>
              </w:rPr>
              <w:t>年</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标项六</w:t>
            </w:r>
            <w:r>
              <w:rPr>
                <w:rFonts w:hint="eastAsia" w:ascii="宋体" w:hAnsi="宋体" w:eastAsia="宋体" w:cs="宋体"/>
                <w:b/>
                <w:bCs/>
                <w:color w:val="auto"/>
                <w:kern w:val="0"/>
                <w:highlight w:val="none"/>
              </w:rPr>
              <w:t>≥</w:t>
            </w:r>
            <w:r>
              <w:rPr>
                <w:rFonts w:hint="eastAsia" w:ascii="宋体" w:hAnsi="宋体" w:cs="宋体"/>
                <w:b/>
                <w:bCs/>
                <w:color w:val="auto"/>
                <w:kern w:val="0"/>
                <w:highlight w:val="none"/>
                <w:lang w:val="en-US" w:eastAsia="zh-CN"/>
              </w:rPr>
              <w:t>3</w:t>
            </w:r>
            <w:r>
              <w:rPr>
                <w:rFonts w:hint="eastAsia" w:ascii="宋体" w:hAnsi="宋体" w:eastAsia="宋体" w:cs="宋体"/>
                <w:b/>
                <w:bCs/>
                <w:color w:val="auto"/>
                <w:kern w:val="0"/>
                <w:highlight w:val="none"/>
              </w:rPr>
              <w:t>年（保修起始时间以医院验收合格之日为准）。保证零配件供应</w:t>
            </w:r>
            <w:r>
              <w:rPr>
                <w:rFonts w:hint="eastAsia" w:ascii="宋体" w:hAnsi="宋体" w:cs="宋体"/>
                <w:b/>
                <w:bCs/>
                <w:color w:val="auto"/>
                <w:kern w:val="0"/>
                <w:highlight w:val="none"/>
                <w:lang w:val="en-US" w:eastAsia="zh-CN"/>
              </w:rPr>
              <w:t>7</w:t>
            </w:r>
            <w:r>
              <w:rPr>
                <w:rFonts w:hint="eastAsia" w:ascii="宋体" w:hAnsi="宋体" w:eastAsia="宋体" w:cs="宋体"/>
                <w:b/>
                <w:bCs/>
                <w:color w:val="auto"/>
                <w:kern w:val="0"/>
                <w:highlight w:val="none"/>
              </w:rPr>
              <w:t>年及以上</w:t>
            </w:r>
            <w:r>
              <w:rPr>
                <w:rFonts w:hint="eastAsia" w:ascii="宋体" w:hAnsi="宋体" w:cs="宋体"/>
                <w:b/>
                <w:bCs/>
                <w:color w:val="auto"/>
                <w:kern w:val="0"/>
                <w:highlight w:val="none"/>
                <w:lang w:eastAsia="zh-CN"/>
              </w:rPr>
              <w:t>（</w:t>
            </w:r>
            <w:r>
              <w:rPr>
                <w:rFonts w:hint="eastAsia" w:ascii="宋体" w:hAnsi="宋体" w:cs="宋体"/>
                <w:b/>
                <w:bCs/>
                <w:color w:val="auto"/>
                <w:kern w:val="0"/>
                <w:highlight w:val="none"/>
                <w:lang w:val="en-US" w:eastAsia="zh-CN"/>
              </w:rPr>
              <w:t>标项八：</w:t>
            </w:r>
            <w:r>
              <w:rPr>
                <w:rFonts w:hint="eastAsia" w:ascii="宋体" w:hAnsi="宋体" w:eastAsia="宋体" w:cs="宋体"/>
                <w:b/>
                <w:bCs/>
                <w:color w:val="auto"/>
                <w:kern w:val="0"/>
                <w:highlight w:val="none"/>
              </w:rPr>
              <w:t>保证零配件供应</w:t>
            </w:r>
            <w:r>
              <w:rPr>
                <w:rFonts w:hint="eastAsia" w:ascii="宋体" w:hAnsi="宋体" w:cs="宋体"/>
                <w:b/>
                <w:bCs/>
                <w:color w:val="auto"/>
                <w:kern w:val="0"/>
                <w:highlight w:val="none"/>
                <w:lang w:val="en-US" w:eastAsia="zh-CN"/>
              </w:rPr>
              <w:t>8</w:t>
            </w:r>
            <w:r>
              <w:rPr>
                <w:rFonts w:hint="eastAsia" w:ascii="宋体" w:hAnsi="宋体" w:eastAsia="宋体" w:cs="宋体"/>
                <w:b/>
                <w:bCs/>
                <w:color w:val="auto"/>
                <w:kern w:val="0"/>
                <w:highlight w:val="none"/>
              </w:rPr>
              <w:t>年及以上</w:t>
            </w:r>
            <w:r>
              <w:rPr>
                <w:rFonts w:hint="eastAsia" w:ascii="宋体" w:hAnsi="宋体" w:cs="宋体"/>
                <w:b/>
                <w:bCs/>
                <w:color w:val="auto"/>
                <w:kern w:val="0"/>
                <w:highlight w:val="none"/>
                <w:lang w:eastAsia="zh-CN"/>
              </w:rPr>
              <w:t>）。</w:t>
            </w:r>
            <w:r>
              <w:rPr>
                <w:rFonts w:hint="eastAsia" w:ascii="宋体" w:hAnsi="宋体" w:eastAsia="宋体" w:cs="宋体"/>
                <w:color w:val="auto"/>
                <w:kern w:val="0"/>
                <w:highlight w:val="none"/>
              </w:rPr>
              <w:t>投标人需提供保修期后每年整机保修费用，</w:t>
            </w:r>
            <w:r>
              <w:rPr>
                <w:rFonts w:hint="eastAsia" w:ascii="宋体" w:hAnsi="宋体" w:eastAsia="宋体" w:cs="宋体"/>
                <w:color w:val="auto"/>
                <w:highlight w:val="none"/>
              </w:rPr>
              <w:t>单独报价，</w:t>
            </w:r>
            <w:r>
              <w:rPr>
                <w:rFonts w:hint="eastAsia" w:ascii="宋体" w:hAnsi="宋体" w:eastAsia="宋体" w:cs="宋体"/>
                <w:color w:val="auto"/>
                <w:kern w:val="0"/>
                <w:highlight w:val="none"/>
              </w:rPr>
              <w:t>并且保证价格为真实、有效，并作为售后服务的评标依据，保修期后需要保修的，不高于此价格（如技术需求中有相关要求，以技术需求准）。</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3.2</w:t>
            </w:r>
          </w:p>
        </w:tc>
        <w:tc>
          <w:tcPr>
            <w:tcW w:w="7143" w:type="dxa"/>
            <w:tcBorders>
              <w:tl2br w:val="nil"/>
              <w:tr2bl w:val="nil"/>
            </w:tcBorders>
            <w:vAlign w:val="center"/>
          </w:tcPr>
          <w:p>
            <w:pPr>
              <w:spacing w:line="360" w:lineRule="auto"/>
              <w:rPr>
                <w:rFonts w:hint="eastAsia" w:ascii="宋体" w:hAnsi="宋体" w:eastAsia="宋体" w:cs="宋体"/>
                <w:b/>
                <w:bCs/>
                <w:color w:val="auto"/>
                <w:kern w:val="0"/>
                <w:highlight w:val="none"/>
              </w:rPr>
            </w:pPr>
            <w:r>
              <w:rPr>
                <w:rFonts w:hint="eastAsia" w:ascii="宋体" w:hAnsi="宋体" w:eastAsia="宋体" w:cs="宋体"/>
                <w:color w:val="auto"/>
                <w:highlight w:val="none"/>
              </w:rPr>
              <w:t>保修范围内设备的故障维修响应时间≤2小时，到达现场时间</w:t>
            </w:r>
            <w:r>
              <w:rPr>
                <w:rFonts w:hint="eastAsia" w:ascii="宋体" w:hAnsi="宋体" w:cs="宋体"/>
                <w:color w:val="auto"/>
                <w:highlight w:val="none"/>
                <w:lang w:val="en-US" w:eastAsia="zh-CN"/>
              </w:rPr>
              <w:t>＜</w:t>
            </w:r>
            <w:r>
              <w:rPr>
                <w:rFonts w:hint="eastAsia" w:ascii="宋体" w:hAnsi="宋体" w:eastAsia="宋体" w:cs="宋体"/>
                <w:color w:val="auto"/>
                <w:highlight w:val="none"/>
              </w:rPr>
              <w:t>24小时（包括节假日），8个工作小时未修复须提供备品备件。每次现场服务后提供详细的维修报告单。</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3.3</w:t>
            </w:r>
          </w:p>
        </w:tc>
        <w:tc>
          <w:tcPr>
            <w:tcW w:w="7143" w:type="dxa"/>
            <w:tcBorders>
              <w:tl2br w:val="nil"/>
              <w:tr2bl w:val="nil"/>
            </w:tcBorders>
            <w:vAlign w:val="center"/>
          </w:tcPr>
          <w:p>
            <w:pPr>
              <w:spacing w:line="360" w:lineRule="auto"/>
              <w:rPr>
                <w:rFonts w:hint="eastAsia" w:ascii="宋体" w:hAnsi="宋体" w:eastAsia="宋体" w:cs="宋体"/>
                <w:b/>
                <w:bCs/>
                <w:color w:val="auto"/>
                <w:kern w:val="0"/>
                <w:highlight w:val="none"/>
              </w:rPr>
            </w:pPr>
            <w:r>
              <w:rPr>
                <w:rFonts w:hint="eastAsia" w:ascii="宋体" w:hAnsi="宋体" w:eastAsia="宋体" w:cs="宋体"/>
                <w:color w:val="auto"/>
                <w:highlight w:val="none"/>
              </w:rPr>
              <w:t>保修期内每年开机率不低于95%（一年按365天计），即停机天数不超过18个自然日/年，如开机率达不到要求，每停机超过1个自然日保修期相应延长</w:t>
            </w:r>
            <w:r>
              <w:rPr>
                <w:rFonts w:hint="eastAsia" w:ascii="宋体" w:hAnsi="宋体" w:cs="宋体"/>
                <w:color w:val="auto"/>
                <w:highlight w:val="none"/>
                <w:lang w:val="en-US" w:eastAsia="zh-CN"/>
              </w:rPr>
              <w:t>7</w:t>
            </w:r>
            <w:r>
              <w:rPr>
                <w:rFonts w:hint="eastAsia" w:ascii="宋体" w:hAnsi="宋体" w:eastAsia="宋体" w:cs="宋体"/>
                <w:color w:val="auto"/>
                <w:highlight w:val="none"/>
              </w:rPr>
              <w:t>个自然日。</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3.4</w:t>
            </w:r>
          </w:p>
        </w:tc>
        <w:tc>
          <w:tcPr>
            <w:tcW w:w="7143" w:type="dxa"/>
            <w:tcBorders>
              <w:tl2br w:val="nil"/>
              <w:tr2bl w:val="nil"/>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按规范进行每年至少</w:t>
            </w:r>
            <w:r>
              <w:rPr>
                <w:rFonts w:hint="eastAsia" w:ascii="宋体" w:hAnsi="宋体" w:cs="宋体"/>
                <w:color w:val="auto"/>
                <w:highlight w:val="none"/>
                <w:lang w:val="en-US" w:eastAsia="zh-CN"/>
              </w:rPr>
              <w:t>2</w:t>
            </w:r>
            <w:r>
              <w:rPr>
                <w:rFonts w:hint="eastAsia" w:ascii="宋体" w:hAnsi="宋体" w:eastAsia="宋体" w:cs="宋体"/>
                <w:color w:val="auto"/>
                <w:highlight w:val="none"/>
              </w:rPr>
              <w:t>次的维保、检测服务并提供详细的维保及检测报告（提供有关测试证明）等。</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3.5</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保修期内，确保设备通过浙江省卫生厅的质控检查和技术监督局等有关部门的技术检测。如不合格，承担重检费用，直至通过检测。</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3.6</w:t>
            </w:r>
          </w:p>
        </w:tc>
        <w:tc>
          <w:tcPr>
            <w:tcW w:w="7143" w:type="dxa"/>
            <w:tcBorders>
              <w:tl2br w:val="nil"/>
              <w:tr2bl w:val="nil"/>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kern w:val="0"/>
                <w:highlight w:val="none"/>
              </w:rPr>
              <w:t>在保质期内出现问题，所产生的维修费用（包括零部件费用、运返费用等费用)均由投标人承担；</w:t>
            </w:r>
            <w:r>
              <w:rPr>
                <w:rFonts w:hint="eastAsia" w:ascii="宋体" w:hAnsi="宋体" w:eastAsia="宋体" w:cs="宋体"/>
                <w:color w:val="auto"/>
                <w:highlight w:val="none"/>
              </w:rPr>
              <w:t>保修期后，</w:t>
            </w:r>
            <w:r>
              <w:rPr>
                <w:rFonts w:hint="eastAsia" w:ascii="宋体" w:hAnsi="宋体" w:eastAsia="宋体" w:cs="宋体"/>
                <w:color w:val="auto"/>
                <w:kern w:val="0"/>
                <w:highlight w:val="none"/>
              </w:rPr>
              <w:t>投标人应提供终身维修，</w:t>
            </w:r>
            <w:r>
              <w:rPr>
                <w:rFonts w:hint="eastAsia" w:ascii="宋体" w:hAnsi="宋体" w:eastAsia="宋体" w:cs="宋体"/>
                <w:color w:val="auto"/>
                <w:highlight w:val="none"/>
              </w:rPr>
              <w:t>对设备进行维修免收差旅费、人工费等，仅收损坏更换的零备件费。必须做到先维修后付款。要求原厂或原厂授权维修服务机构进行书面承诺。</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3.7</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提供保修期后消耗品和常用零配件的供应价格与折扣，折扣按最大优惠程度供应（供应价格和折扣，在投标文件中明确）。</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90"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3.8</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sz w:val="21"/>
                <w:szCs w:val="20"/>
                <w:highlight w:val="none"/>
              </w:rPr>
              <w:t>厂家提供技术支持，在国内和省内有固定培训基地，</w:t>
            </w:r>
            <w:r>
              <w:rPr>
                <w:rFonts w:hint="eastAsia" w:ascii="宋体" w:hAnsi="宋体" w:eastAsia="宋体" w:cs="宋体"/>
                <w:color w:val="auto"/>
                <w:sz w:val="21"/>
                <w:szCs w:val="21"/>
                <w:highlight w:val="none"/>
              </w:rPr>
              <w:t>提供</w:t>
            </w:r>
            <w:r>
              <w:rPr>
                <w:rFonts w:hint="eastAsia" w:ascii="宋体" w:hAnsi="宋体" w:eastAsia="宋体" w:cs="宋体"/>
                <w:color w:val="auto"/>
                <w:kern w:val="0"/>
                <w:sz w:val="21"/>
                <w:szCs w:val="21"/>
                <w:highlight w:val="none"/>
              </w:rPr>
              <w:t>操作培训及考核和工程师的</w:t>
            </w:r>
            <w:r>
              <w:rPr>
                <w:rFonts w:hint="eastAsia" w:hAnsi="宋体"/>
                <w:szCs w:val="21"/>
              </w:rPr>
              <w:t>预防性维护，质量检测</w:t>
            </w:r>
            <w:r>
              <w:rPr>
                <w:rFonts w:hint="eastAsia" w:hAnsi="宋体"/>
                <w:szCs w:val="21"/>
                <w:lang w:eastAsia="zh-CN"/>
              </w:rPr>
              <w:t>、</w:t>
            </w:r>
            <w:r>
              <w:rPr>
                <w:rFonts w:hint="eastAsia" w:ascii="宋体" w:hAnsi="宋体" w:eastAsia="宋体" w:cs="宋体"/>
                <w:color w:val="auto"/>
                <w:kern w:val="0"/>
                <w:sz w:val="21"/>
                <w:szCs w:val="21"/>
                <w:highlight w:val="none"/>
              </w:rPr>
              <w:t>维修</w:t>
            </w:r>
            <w:r>
              <w:rPr>
                <w:rFonts w:hint="eastAsia" w:ascii="宋体" w:hAnsi="宋体" w:cs="宋体"/>
                <w:color w:val="auto"/>
                <w:kern w:val="0"/>
                <w:sz w:val="21"/>
                <w:szCs w:val="21"/>
                <w:highlight w:val="none"/>
                <w:lang w:val="en-US" w:eastAsia="zh-CN"/>
              </w:rPr>
              <w:t>等</w:t>
            </w:r>
            <w:r>
              <w:rPr>
                <w:rFonts w:hint="eastAsia" w:ascii="宋体" w:hAnsi="宋体" w:eastAsia="宋体" w:cs="宋体"/>
                <w:color w:val="auto"/>
                <w:kern w:val="0"/>
                <w:sz w:val="21"/>
                <w:szCs w:val="21"/>
                <w:highlight w:val="none"/>
              </w:rPr>
              <w:t>培训</w:t>
            </w:r>
            <w:r>
              <w:rPr>
                <w:rFonts w:hint="eastAsia" w:ascii="宋体" w:hAnsi="宋体" w:cs="宋体"/>
                <w:color w:val="auto"/>
                <w:kern w:val="0"/>
                <w:sz w:val="21"/>
                <w:szCs w:val="21"/>
                <w:highlight w:val="none"/>
                <w:lang w:val="en-US" w:eastAsia="zh-CN"/>
              </w:rPr>
              <w:t>并</w:t>
            </w:r>
            <w:r>
              <w:rPr>
                <w:rFonts w:hint="eastAsia" w:hAnsi="宋体"/>
                <w:szCs w:val="21"/>
              </w:rPr>
              <w:t>提供详细培训记录</w:t>
            </w:r>
            <w:r>
              <w:rPr>
                <w:rFonts w:hint="eastAsia" w:ascii="宋体" w:hAnsi="宋体" w:eastAsia="宋体" w:cs="宋体"/>
                <w:color w:val="auto"/>
                <w:kern w:val="0"/>
                <w:sz w:val="21"/>
                <w:szCs w:val="21"/>
                <w:highlight w:val="none"/>
              </w:rPr>
              <w:t>（列出具体的培训方案。如提供院外</w:t>
            </w:r>
            <w:r>
              <w:rPr>
                <w:rFonts w:hint="eastAsia" w:ascii="宋体" w:hAnsi="宋体" w:eastAsia="宋体" w:cs="宋体"/>
                <w:color w:val="auto"/>
                <w:kern w:val="0"/>
                <w:highlight w:val="none"/>
              </w:rPr>
              <w:t>培训，投标人负责采购人人员培训期间的一切费用(包括会务费、差旅费、食宿费用等），投标人应知晓所有这些费用已包含在合同总价中。</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3.9</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浙江省内有设有售后服务机构</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提供完善快速的售后维修服务，</w:t>
            </w:r>
            <w:r>
              <w:rPr>
                <w:rFonts w:hint="eastAsia" w:hAnsi="宋体"/>
                <w:szCs w:val="21"/>
              </w:rPr>
              <w:t>提供维修点的分布情况</w:t>
            </w:r>
            <w:r>
              <w:rPr>
                <w:rFonts w:hint="eastAsia" w:hAnsi="宋体"/>
                <w:szCs w:val="21"/>
                <w:lang w:eastAsia="zh-CN"/>
              </w:rPr>
              <w:t>，</w:t>
            </w:r>
            <w:r>
              <w:rPr>
                <w:rFonts w:hint="eastAsia" w:ascii="宋体" w:hAnsi="宋体" w:eastAsia="宋体" w:cs="宋体"/>
                <w:color w:val="auto"/>
                <w:kern w:val="0"/>
                <w:highlight w:val="none"/>
              </w:rPr>
              <w:t>售后服务地址、联系人、电话等信息。</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3.10</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提供软件光盘，软件终身免费升级。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3.11</w:t>
            </w:r>
          </w:p>
        </w:tc>
        <w:tc>
          <w:tcPr>
            <w:tcW w:w="7143" w:type="dxa"/>
            <w:tcBorders>
              <w:tl2br w:val="nil"/>
              <w:tr2bl w:val="nil"/>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如属计量器具、放射类设备，则卖方提供经买方认可的且具有资质的检测机构出具的计量、放射防护检测合格报告，检测费用包含在合同总价中。</w:t>
            </w:r>
          </w:p>
          <w:p>
            <w:pPr>
              <w:spacing w:line="360" w:lineRule="auto"/>
              <w:rPr>
                <w:rFonts w:hint="eastAsia" w:ascii="宋体" w:hAnsi="宋体" w:eastAsia="宋体" w:cs="宋体"/>
                <w:b/>
                <w:bCs/>
                <w:color w:val="auto"/>
                <w:highlight w:val="none"/>
              </w:rPr>
            </w:pPr>
            <w:r>
              <w:rPr>
                <w:rFonts w:hint="eastAsia" w:ascii="宋体" w:hAnsi="宋体" w:eastAsia="宋体" w:cs="宋体"/>
                <w:color w:val="auto"/>
                <w:highlight w:val="none"/>
              </w:rPr>
              <w:t>若设备有信息系统接口，则全部免费开放。</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四</w:t>
            </w:r>
          </w:p>
        </w:tc>
        <w:tc>
          <w:tcPr>
            <w:tcW w:w="7143" w:type="dxa"/>
            <w:tcBorders>
              <w:tl2br w:val="nil"/>
              <w:tr2bl w:val="nil"/>
            </w:tcBorders>
            <w:vAlign w:val="center"/>
          </w:tcPr>
          <w:p>
            <w:pPr>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安装及验收</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4.1</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安装地点：医院指定地点。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4.2</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安装要求：到货后</w:t>
            </w:r>
            <w:r>
              <w:rPr>
                <w:rFonts w:hint="eastAsia" w:ascii="宋体" w:hAnsi="宋体" w:eastAsia="宋体" w:cs="宋体"/>
                <w:color w:val="auto"/>
                <w:highlight w:val="none"/>
              </w:rPr>
              <w:t>接到采购人通知7天内全部安装调试完成。</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4.3</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安装、验收前所产生的一切费用及风险（包括运输费、保险费、装卸及搬运费用等）由供方负责提供。</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4.4</w:t>
            </w:r>
          </w:p>
        </w:tc>
        <w:tc>
          <w:tcPr>
            <w:tcW w:w="7143" w:type="dxa"/>
            <w:tcBorders>
              <w:tl2br w:val="nil"/>
              <w:tr2bl w:val="nil"/>
            </w:tcBorders>
            <w:vAlign w:val="center"/>
          </w:tcPr>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安装、验收标准：应与产品技术数据及投标文件技术文件一致，符合我国有关技术规范和技术标准，符合合同要求。</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4.5</w:t>
            </w:r>
          </w:p>
        </w:tc>
        <w:tc>
          <w:tcPr>
            <w:tcW w:w="7143" w:type="dxa"/>
            <w:tcBorders>
              <w:tl2br w:val="nil"/>
              <w:tr2bl w:val="nil"/>
            </w:tcBorders>
            <w:vAlign w:val="center"/>
          </w:tcPr>
          <w:p>
            <w:pPr>
              <w:widowControl/>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验收：符合医院的验收规范。</w:t>
            </w:r>
          </w:p>
          <w:p>
            <w:pPr>
              <w:widowControl/>
              <w:spacing w:line="360" w:lineRule="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rPr>
              <w:t>注：1.提供规范的安装验收报告；2.提供电子版和纸质简明操作规程（至少包括使用前检查准备、操作步骤、注意事项、适用范围或禁忌证，日常维护、应急处理方案等）；3.提供厂家标准维保（PM）内容。</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54" w:hRule="atLeast"/>
        </w:trPr>
        <w:tc>
          <w:tcPr>
            <w:tcW w:w="1379" w:type="dxa"/>
            <w:tcBorders>
              <w:tl2br w:val="nil"/>
              <w:tr2bl w:val="nil"/>
            </w:tcBorders>
            <w:vAlign w:val="center"/>
          </w:tcPr>
          <w:p>
            <w:pPr>
              <w:spacing w:line="360" w:lineRule="auto"/>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五</w:t>
            </w:r>
          </w:p>
        </w:tc>
        <w:tc>
          <w:tcPr>
            <w:tcW w:w="7143" w:type="dxa"/>
            <w:tcBorders>
              <w:tl2br w:val="nil"/>
              <w:tr2bl w:val="nil"/>
            </w:tcBorders>
            <w:vAlign w:val="center"/>
          </w:tcPr>
          <w:p>
            <w:pPr>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交货期：合同签订之日起</w:t>
            </w:r>
            <w:r>
              <w:rPr>
                <w:rFonts w:hint="eastAsia" w:ascii="宋体" w:hAnsi="宋体" w:eastAsia="宋体" w:cs="宋体"/>
                <w:b/>
                <w:bCs/>
                <w:color w:val="auto"/>
                <w:kern w:val="0"/>
                <w:highlight w:val="none"/>
                <w:u w:val="single"/>
              </w:rPr>
              <w:t>30</w:t>
            </w:r>
            <w:r>
              <w:rPr>
                <w:rFonts w:hint="eastAsia" w:ascii="宋体" w:hAnsi="宋体" w:cs="宋体"/>
                <w:b/>
                <w:bCs/>
                <w:color w:val="auto"/>
                <w:kern w:val="0"/>
                <w:highlight w:val="none"/>
                <w:u w:val="single"/>
                <w:lang w:val="en-US" w:eastAsia="zh-CN"/>
              </w:rPr>
              <w:t>天</w:t>
            </w:r>
            <w:r>
              <w:rPr>
                <w:rFonts w:hint="eastAsia" w:ascii="宋体" w:hAnsi="宋体" w:eastAsia="宋体" w:cs="宋体"/>
                <w:b/>
                <w:bCs/>
                <w:color w:val="auto"/>
                <w:kern w:val="0"/>
                <w:highlight w:val="none"/>
              </w:rPr>
              <w:t>内。</w:t>
            </w:r>
          </w:p>
        </w:tc>
      </w:tr>
    </w:tbl>
    <w:p>
      <w:pPr>
        <w:snapToGrid w:val="0"/>
        <w:spacing w:line="360" w:lineRule="auto"/>
        <w:rPr>
          <w:rFonts w:hint="eastAsia" w:ascii="宋体" w:hAnsi="宋体" w:eastAsia="宋体" w:cs="宋体"/>
          <w:b/>
          <w:bCs/>
          <w:color w:val="auto"/>
          <w:highlight w:val="none"/>
        </w:rPr>
      </w:pPr>
    </w:p>
    <w:p>
      <w:pPr>
        <w:snapToGrid w:val="0"/>
        <w:spacing w:line="360" w:lineRule="auto"/>
        <w:rPr>
          <w:rFonts w:hint="eastAsia" w:ascii="宋体" w:hAnsi="宋体" w:eastAsia="宋体" w:cs="宋体"/>
          <w:b/>
          <w:bCs/>
          <w:color w:val="auto"/>
          <w:highlight w:val="none"/>
        </w:rPr>
      </w:pPr>
    </w:p>
    <w:p>
      <w:pPr>
        <w:pStyle w:val="2"/>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2"/>
        <w:rPr>
          <w:rFonts w:hint="eastAsia" w:ascii="宋体" w:hAnsi="宋体" w:eastAsia="宋体" w:cs="宋体"/>
          <w:b/>
          <w:bCs/>
          <w:color w:val="auto"/>
          <w:highlight w:val="none"/>
        </w:rPr>
      </w:pPr>
    </w:p>
    <w:p>
      <w:pPr>
        <w:rPr>
          <w:rFonts w:hint="eastAsia" w:ascii="宋体" w:hAnsi="宋体" w:eastAsia="宋体" w:cs="宋体"/>
          <w:b/>
          <w:bCs/>
          <w:color w:val="auto"/>
          <w:highlight w:val="none"/>
        </w:rPr>
      </w:pPr>
    </w:p>
    <w:p>
      <w:pPr>
        <w:pStyle w:val="2"/>
        <w:rPr>
          <w:rFonts w:hint="eastAsia"/>
          <w:color w:val="auto"/>
          <w:highlight w:val="none"/>
        </w:rPr>
      </w:pPr>
    </w:p>
    <w:p>
      <w:pPr>
        <w:rPr>
          <w:rFonts w:hint="eastAsia"/>
          <w:color w:val="auto"/>
          <w:highlight w:val="none"/>
        </w:rPr>
      </w:pPr>
    </w:p>
    <w:p>
      <w:pPr>
        <w:pStyle w:val="2"/>
        <w:rPr>
          <w:rFonts w:hint="eastAsia"/>
        </w:rPr>
      </w:pPr>
    </w:p>
    <w:p>
      <w:pPr>
        <w:numPr>
          <w:ilvl w:val="0"/>
          <w:numId w:val="8"/>
        </w:numPr>
        <w:snapToGrid w:val="0"/>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技术需求：</w:t>
      </w:r>
    </w:p>
    <w:p>
      <w:pPr>
        <w:numPr>
          <w:ilvl w:val="0"/>
          <w:numId w:val="0"/>
        </w:numPr>
        <w:snapToGrid w:val="0"/>
        <w:spacing w:line="240" w:lineRule="auto"/>
        <w:rPr>
          <w:rFonts w:hint="default"/>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一</w:t>
      </w:r>
      <w:r>
        <w:rPr>
          <w:rFonts w:hint="eastAsia" w:ascii="宋体" w:hAnsi="宋体" w:eastAsia="宋体" w:cs="宋体"/>
          <w:b/>
          <w:bCs/>
          <w:color w:val="auto"/>
          <w:highlight w:val="none"/>
        </w:rPr>
        <w:t xml:space="preserve">：MMC中心医疗设备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1批</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6052"/>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589"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bCs/>
                <w:color w:val="000000" w:themeColor="text1"/>
                <w:kern w:val="0"/>
                <w:sz w:val="21"/>
                <w:szCs w:val="21"/>
                <w:highlight w:val="none"/>
                <w:lang w:val="en-US" w:eastAsia="zh-CN" w:bidi="en-US"/>
                <w14:textFill>
                  <w14:solidFill>
                    <w14:schemeClr w14:val="tx1"/>
                  </w14:solidFill>
                </w14:textFill>
              </w:rPr>
            </w:pPr>
            <w:r>
              <w:rPr>
                <w:rFonts w:hint="eastAsia" w:ascii="宋体" w:hAnsi="宋体" w:eastAsia="宋体" w:cs="宋体"/>
                <w:b/>
                <w:color w:val="000000"/>
                <w:kern w:val="0"/>
                <w:sz w:val="21"/>
                <w:szCs w:val="21"/>
                <w:lang w:val="en-US" w:eastAsia="zh-CN"/>
              </w:rPr>
              <w:t>一</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bCs/>
                <w:color w:val="000000" w:themeColor="text1"/>
                <w:kern w:val="0"/>
                <w:sz w:val="21"/>
                <w:szCs w:val="21"/>
                <w:highlight w:val="none"/>
                <w:lang w:val="en-US" w:eastAsia="zh-CN" w:bidi="en-US"/>
                <w14:textFill>
                  <w14:solidFill>
                    <w14:schemeClr w14:val="tx1"/>
                  </w14:solidFill>
                </w14:textFill>
              </w:rPr>
            </w:pPr>
            <w:r>
              <w:rPr>
                <w:rFonts w:hint="eastAsia" w:ascii="宋体" w:hAnsi="宋体" w:eastAsia="宋体" w:cs="宋体"/>
                <w:b/>
                <w:color w:val="000000"/>
                <w:kern w:val="0"/>
                <w:sz w:val="21"/>
                <w:szCs w:val="21"/>
              </w:rPr>
              <w:t>智能身高体重仪</w:t>
            </w:r>
            <w:r>
              <w:rPr>
                <w:rFonts w:hint="eastAsia" w:ascii="宋体" w:hAnsi="宋体" w:eastAsia="宋体" w:cs="宋体"/>
                <w:b/>
                <w:color w:val="000000"/>
                <w:kern w:val="0"/>
                <w:sz w:val="21"/>
                <w:szCs w:val="21"/>
                <w:lang w:val="en-US" w:eastAsia="zh-CN"/>
              </w:rPr>
              <w:t xml:space="preserve">                                数量：1台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.1</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Cs/>
                <w:color w:val="000000"/>
                <w:sz w:val="21"/>
                <w:szCs w:val="21"/>
              </w:rPr>
              <w:t>适用范围：适用于智能测量身高体重；</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.2</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bCs/>
                <w:color w:val="auto"/>
                <w:kern w:val="0"/>
                <w:sz w:val="21"/>
                <w:szCs w:val="21"/>
                <w:highlight w:val="none"/>
                <w:lang w:val="en-US" w:eastAsia="zh-CN" w:bidi="ar-SA"/>
              </w:rPr>
            </w:pPr>
            <w:r>
              <w:rPr>
                <w:rFonts w:hint="eastAsia" w:ascii="宋体" w:hAnsi="宋体" w:eastAsia="宋体" w:cs="宋体"/>
                <w:bCs/>
                <w:color w:val="000000"/>
                <w:sz w:val="21"/>
                <w:szCs w:val="21"/>
              </w:rPr>
              <w:t>可对接国家代谢性疾病管理中心国家标准化代谢性疾病管理中心网络，数据无缝传输</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.3</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测量范围：身高：70 ~ 200cm</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.4</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允许误差： +5℃ ~+10℃（含+10℃） ±0.6cm</w:t>
            </w:r>
            <w:r>
              <w:rPr>
                <w:rFonts w:hint="eastAsia" w:ascii="宋体" w:hAnsi="宋体" w:eastAsia="宋体" w:cs="宋体"/>
                <w:bCs/>
                <w:color w:val="000000"/>
                <w:kern w:val="0"/>
                <w:sz w:val="21"/>
                <w:szCs w:val="21"/>
                <w:lang w:eastAsia="zh-CN"/>
              </w:rPr>
              <w:t>；</w:t>
            </w:r>
          </w:p>
          <w:p>
            <w:pPr>
              <w:keepNext w:val="0"/>
              <w:keepLines w:val="0"/>
              <w:pageBreakBefore w:val="0"/>
              <w:kinsoku/>
              <w:wordWrap/>
              <w:overflowPunct/>
              <w:topLinePunct w:val="0"/>
              <w:autoSpaceDE w:val="0"/>
              <w:autoSpaceDN w:val="0"/>
              <w:bidi w:val="0"/>
              <w:adjustRightInd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+10℃ ~+40℃ ±0.5cm</w:t>
            </w:r>
            <w:r>
              <w:rPr>
                <w:rFonts w:hint="eastAsia" w:ascii="宋体" w:hAnsi="宋体" w:eastAsia="宋体" w:cs="宋体"/>
                <w:bCs/>
                <w:color w:val="000000"/>
                <w:kern w:val="0"/>
                <w:sz w:val="21"/>
                <w:szCs w:val="21"/>
                <w:lang w:eastAsia="zh-CN"/>
              </w:rPr>
              <w:t>；</w:t>
            </w:r>
          </w:p>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Cs/>
                <w:color w:val="000000"/>
                <w:kern w:val="0"/>
                <w:sz w:val="21"/>
                <w:szCs w:val="21"/>
              </w:rPr>
              <w:t>重量： 5.0 ~ 200kg   允许误差：±0.1kg</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.5</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BMI值计算</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.6</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语音提示测量步骤</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.7</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语音播报测量结果</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.8</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自动/手动测量模式，手动模式时，红外遥控操作</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.9</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提供标准校正工具</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.10</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蓝牙数据传输</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.11</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纬度补偿功能，使体重测量更精确</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color w:val="000000"/>
                <w:sz w:val="21"/>
                <w:szCs w:val="21"/>
              </w:rPr>
              <w:t>二</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color w:val="000000"/>
                <w:sz w:val="21"/>
                <w:szCs w:val="21"/>
              </w:rPr>
              <w:t xml:space="preserve">动脉硬化检测仪 </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数量：1台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rPr>
              <w:t>2.1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sz w:val="21"/>
                <w:szCs w:val="21"/>
              </w:rPr>
              <w:t>适用范围：用于全身动脉硬化和动脉粥样硬化的早期检测和血管疾病风险的综合评估。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★2.2</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sz w:val="21"/>
                <w:szCs w:val="21"/>
              </w:rPr>
              <w:t>可对接国家代谢性疾病管理中心国家标准化代谢性疾病管理中心网络，数据无缝传输。</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2.3</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血管狭窄检测单元：用于下肢动脉粥样硬化全自动检测及心血管事件发病风险的预测，主要检测参数：ABI：踝臂指数； UT：脉波上升时间；%MAP：平均动脉压。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2.4</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 xml:space="preserve">血管硬化检测单元：用于全身动脉硬化的早期检测和临床药物评价的重要检测指标，主要检测参数：baPWV(左)baPWV(右)。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2.5</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Steno-Stiffness图表：硬化-阻塞示意图，形象提示患者血管的状态，简单明了了解血管情况。</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2.6</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血管年龄：自动生成血管年龄并显示在报告中，方便患者了解自身状况。</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2.7</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设备性能及要求：外周血管压力波动同步检测技术。在同一心动周期内采集信号，实时感知双上肢和双下肢压力波动，保证ABI测量精确度高，重复性好。对于紧张、心律不齐、心功能不好的患者也能够准确检测。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▲2.8</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 xml:space="preserve">双层线性膨胀传感器技术（oscillometric法）针对下肢血压检测，交叉捕捉最强的信号来源，保证脚踝部检测值准确性。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rPr>
              <w:t>2.9</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Cs/>
                <w:color w:val="000000"/>
                <w:kern w:val="0"/>
                <w:sz w:val="21"/>
                <w:szCs w:val="21"/>
              </w:rPr>
              <w:t>滤波功能：可通过设定多个脉搏波起始条件，将噪音波自动滤掉，以保证结果准确。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2.10</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网络连接 ：有线传输，无线传输,可连入医院内数据库，电子病历联网和病理检查系统等，方便远程处理。</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2.11</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数据检索：可通过输入简单的ID信息实现数据检索；</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2.12</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图形及画面显示；</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2.13</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可显示四肢脉搏波波形图；</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2.14</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可显示不同年龄、性别的PWV标准曲线；</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2.15</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可现实baPWV,ABI 血管疾病危险因子诊疗分析形象示意图；</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2.16</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7英寸中文彩色触摸液晶显示屏 TFT彩色LCD 显示分辨率：800×480像素；</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2.17</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2.17.1</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上臂标准袖带1组；</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2.17.2</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脚踝标准双层袖带1组；</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2.17.3</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使用说明书1册；</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4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bCs/>
                <w:sz w:val="21"/>
                <w:szCs w:val="21"/>
                <w:lang w:val="en-US" w:eastAsia="zh-CN"/>
              </w:rPr>
              <w:t>三</w:t>
            </w:r>
          </w:p>
        </w:tc>
        <w:tc>
          <w:tcPr>
            <w:tcW w:w="3589" w:type="pct"/>
            <w:vAlign w:val="center"/>
          </w:tcPr>
          <w:p>
            <w:pPr>
              <w:keepNext w:val="0"/>
              <w:keepLines w:val="0"/>
              <w:pageBreakBefore w:val="0"/>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color w:val="000000"/>
                <w:sz w:val="21"/>
                <w:szCs w:val="21"/>
              </w:rPr>
              <w:t>内脏脂肪测量装置</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数量：1台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6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w:t>
            </w:r>
          </w:p>
        </w:tc>
        <w:tc>
          <w:tcPr>
            <w:tcW w:w="3589" w:type="pct"/>
            <w:vAlign w:val="center"/>
          </w:tcPr>
          <w:p>
            <w:pPr>
              <w:keepNext w:val="0"/>
              <w:keepLines w:val="0"/>
              <w:pageBreakBefore w:val="0"/>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适用范围：</w:t>
            </w:r>
            <w:r>
              <w:rPr>
                <w:rFonts w:hint="eastAsia" w:ascii="宋体" w:hAnsi="宋体" w:eastAsia="宋体" w:cs="宋体"/>
                <w:bCs/>
                <w:color w:val="000000"/>
                <w:sz w:val="21"/>
                <w:szCs w:val="21"/>
              </w:rPr>
              <w:t>用于糖代谢异常、脂质代谢异常等疾病中内脏脂肪的定量检测。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可对接国家代谢性疾病管理中心国家标准化代谢性疾病管理中心网络，数据无缝传输。</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6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内脏脂肪面积：用于“肥胖症/代谢综合症”的诊断；测量范围：5cm</w:t>
            </w:r>
            <w:r>
              <w:rPr>
                <w:rFonts w:hint="eastAsia" w:ascii="宋体" w:hAnsi="宋体" w:eastAsia="宋体" w:cs="宋体"/>
                <w:bCs/>
                <w:color w:val="000000"/>
                <w:sz w:val="21"/>
                <w:szCs w:val="21"/>
                <w:vertAlign w:val="superscript"/>
              </w:rPr>
              <w:t>2</w:t>
            </w:r>
            <w:r>
              <w:rPr>
                <w:rFonts w:hint="eastAsia" w:ascii="宋体" w:hAnsi="宋体" w:eastAsia="宋体" w:cs="宋体"/>
                <w:bCs/>
                <w:color w:val="000000"/>
                <w:sz w:val="21"/>
                <w:szCs w:val="21"/>
              </w:rPr>
              <w:t>-500cm</w:t>
            </w:r>
            <w:r>
              <w:rPr>
                <w:rFonts w:hint="eastAsia" w:ascii="宋体" w:hAnsi="宋体" w:eastAsia="宋体" w:cs="宋体"/>
                <w:bCs/>
                <w:color w:val="000000"/>
                <w:sz w:val="21"/>
                <w:szCs w:val="21"/>
                <w:vertAlign w:val="superscript"/>
              </w:rPr>
              <w:t>2</w:t>
            </w:r>
            <w:r>
              <w:rPr>
                <w:rFonts w:hint="eastAsia" w:ascii="宋体" w:hAnsi="宋体" w:eastAsia="宋体" w:cs="宋体"/>
                <w:bCs/>
                <w:color w:val="000000"/>
                <w:sz w:val="21"/>
                <w:szCs w:val="21"/>
              </w:rPr>
              <w:t>，最小显示单位1 cm</w:t>
            </w:r>
            <w:r>
              <w:rPr>
                <w:rFonts w:hint="eastAsia" w:ascii="宋体" w:hAnsi="宋体" w:eastAsia="宋体" w:cs="宋体"/>
                <w:bCs/>
                <w:color w:val="000000"/>
                <w:sz w:val="21"/>
                <w:szCs w:val="21"/>
                <w:vertAlign w:val="superscript"/>
              </w:rPr>
              <w:t>2</w:t>
            </w:r>
            <w:r>
              <w:rPr>
                <w:rFonts w:hint="eastAsia" w:ascii="宋体" w:hAnsi="宋体" w:eastAsia="宋体" w:cs="宋体"/>
                <w:bCs/>
                <w:color w:val="000000"/>
                <w:sz w:val="21"/>
                <w:szCs w:val="21"/>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6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皮下脂肪面积：腹部电极检测；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197"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.5</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可识别腹部的纵向宽度和横向宽度；</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197"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.6</w:t>
            </w:r>
          </w:p>
        </w:tc>
        <w:tc>
          <w:tcPr>
            <w:tcW w:w="3589" w:type="pct"/>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left="96"/>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腹部总剖面积：腹部测量单元检测；</w:t>
            </w:r>
          </w:p>
          <w:p>
            <w:pPr>
              <w:keepNext w:val="0"/>
              <w:keepLines w:val="0"/>
              <w:pageBreakBefore w:val="0"/>
              <w:widowControl w:val="0"/>
              <w:kinsoku/>
              <w:wordWrap/>
              <w:overflowPunct/>
              <w:topLinePunct w:val="0"/>
              <w:autoSpaceDE w:val="0"/>
              <w:autoSpaceDN w:val="0"/>
              <w:bidi w:val="0"/>
              <w:adjustRightInd/>
              <w:snapToGrid/>
              <w:spacing w:line="300" w:lineRule="auto"/>
              <w:ind w:left="96" w:leftChars="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kern w:val="0"/>
                <w:sz w:val="21"/>
                <w:szCs w:val="21"/>
              </w:rPr>
              <w:t>腹围周长测量范围：65cm-120cm；</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.7</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腹部脂肪以外（骨骼肌肉/内脏/水份等）的组织面积：专用四肢电极检测；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6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.8</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BMI（体重指数）：依实际测量值为准，无需输入年龄、身高、体重等参数即能完成检测，但可以输入年龄、身高、体重数值进行趋势分析。</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4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.9</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体重随时间变化曲线；</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before="41"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.10</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测量时间：约5秒钟；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测量方式：双重生物电阻抗技术检测非脂肪面积和皮下脂肪面积，从而得出内脏脂肪面积</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检测优势：检测无痛、无创、无辐射；</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与X线CT相关性≥0.85；</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网络功能：可实现局域网和广域网连接，检测数据能够多单位、多科室网络化共享。</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.15</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文件处理：可将测量数据进行电子文件备份，支持数据分析，还可通过镜像备份数据，降低数据丢失风险。</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.16</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全中文触摸屏操作界面，中文打印报告，且报告简单易懂。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.17</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趋势评估：以曲线图形式表示检查期间内脏脂肪面积和体重（腹围、BMI）随时间的变化情况。</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.18</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测量频率：50KHZ±5%；</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.19</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测量电流：500ｕArms±50ｕArms；</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.20</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输入界面：触控屏；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兼容打印机；</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主机1台；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电极腰带1个；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手脚夹（手夹）2个；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手脚夹（脚夹）2个；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.22.5</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使用说明书（含保修证）1本；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top"/>
          </w:tcPr>
          <w:p>
            <w:pPr>
              <w:keepNext w:val="0"/>
              <w:keepLines w:val="0"/>
              <w:pageBreakBefore w:val="0"/>
              <w:kinsoku/>
              <w:wordWrap/>
              <w:overflowPunct/>
              <w:topLinePunct w:val="0"/>
              <w:autoSpaceDE w:val="0"/>
              <w:autoSpaceDN w:val="0"/>
              <w:bidi w:val="0"/>
              <w:snapToGrid/>
              <w:spacing w:line="300" w:lineRule="auto"/>
              <w:ind w:left="95" w:leftChars="0"/>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3</w:t>
            </w:r>
            <w:r>
              <w:rPr>
                <w:rFonts w:hint="eastAsia" w:ascii="宋体" w:hAnsi="宋体" w:eastAsia="宋体" w:cs="宋体"/>
                <w:bCs/>
                <w:color w:val="000000"/>
                <w:sz w:val="21"/>
                <w:szCs w:val="21"/>
              </w:rPr>
              <w:t>.22.6</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电源线1条；</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color w:val="000000"/>
                <w:sz w:val="21"/>
                <w:szCs w:val="21"/>
                <w:lang w:val="en-US" w:eastAsia="zh-CN"/>
              </w:rPr>
              <w:t>四</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color w:val="000000"/>
                <w:sz w:val="21"/>
                <w:szCs w:val="21"/>
              </w:rPr>
              <w:t>免散瞳眼底照相机</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1"/>
                <w:szCs w:val="21"/>
              </w:rPr>
              <w:t>数量：1台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适用范围：本产品用于患者眼底图像的观察和拍摄；</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可对接国家代谢性疾病管理中心国家标准化代谢性疾病管理中心网络，数据无缝传输。</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操作模式：全自动/手动；无需人工调整，一键完成双眼自动拍照；自动追踪（上下左右），自动对焦（前后），自动测量.自动转换左右眼。</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对焦模式：全自动/手动；自动切换左右眼、自动寻找瞳孔、自动校准瞳孔位置。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.5</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拍照模式：自动/手动；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.6</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照相瞳孔直径：45°：φ4.0 mm或以上；小瞳孔直径：φ3.3 mm或以上。</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.7</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眼前节照相：有；</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.8</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立体拍照：有；</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.9</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闪光强度：标准 4Ws，15档可调；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.10</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视场角：45 °/30 °或等同（数码变焦）；</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操作者方位：病人侧,对侧,旁侧；</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采集模块：内置专业医用CCD；</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眼底像分辨率：大于600p/mm；</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患者屈光度校正范围:无补偿透镜： - 13D ～ + 12D,使用凹补偿透镜：　-12D～-33D，使用凸补偿透镜:　+ 11D ～ ＋40D。</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.15</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固视标：内固视标：采用液晶点阵，8种固视标类型，其中周边模式有9点固视标， DCF模式用于糖网筛查,外固视标：三接头外固视标。</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.16</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显示屏：≥10英寸360 °旋转触摸控制屏；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.17</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工作距离：≥34mm(眼底照相时)；</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.18</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附加模式：立体照相,眼前节照相；</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.19</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PC传输：USB，数据库系统，DICOM直连。</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.20</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.20.1</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眼底相机主机1台；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.20.2</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电动升降台1个；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.20.3</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防干扰屏蔽电源线1条；</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4</w:t>
            </w:r>
            <w:r>
              <w:rPr>
                <w:rFonts w:hint="eastAsia" w:ascii="宋体" w:hAnsi="宋体" w:eastAsia="宋体" w:cs="宋体"/>
                <w:bCs/>
                <w:color w:val="000000"/>
                <w:sz w:val="21"/>
                <w:szCs w:val="21"/>
              </w:rPr>
              <w:t>.20.4</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说明书1本；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
                <w:color w:val="000000"/>
                <w:kern w:val="0"/>
                <w:sz w:val="21"/>
                <w:szCs w:val="21"/>
              </w:rPr>
              <w:t>五</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color w:val="000000"/>
                <w:kern w:val="0"/>
                <w:sz w:val="21"/>
                <w:szCs w:val="21"/>
              </w:rPr>
              <w:t>便携式肌电图诱发电位仪</w:t>
            </w:r>
            <w:r>
              <w:rPr>
                <w:rFonts w:hint="eastAsia" w:ascii="宋体" w:hAnsi="宋体" w:eastAsia="宋体" w:cs="宋体"/>
                <w:b/>
                <w:color w:val="000000"/>
                <w:kern w:val="0"/>
                <w:sz w:val="21"/>
                <w:szCs w:val="21"/>
                <w:lang w:val="en-US" w:eastAsia="zh-CN"/>
              </w:rPr>
              <w:t xml:space="preserve">                        数量：1台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5.1</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适用范围：供医疗机构作肌电图、神经电图和体感诱发电位检查</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★5.2</w:t>
            </w:r>
          </w:p>
        </w:tc>
        <w:tc>
          <w:tcPr>
            <w:tcW w:w="3589" w:type="pct"/>
            <w:vAlign w:val="top"/>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可对接国家代谢性疾病管理中心国家标准化代谢性疾病管理中心网络，数据无缝传输</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5.3</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常规功能模块：运动传导、感觉传导、皮肤反应、F反应。</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5.4</w:t>
            </w:r>
          </w:p>
        </w:tc>
        <w:tc>
          <w:tcPr>
            <w:tcW w:w="3589" w:type="pct"/>
            <w:vAlign w:val="center"/>
          </w:tcPr>
          <w:p>
            <w:pPr>
              <w:keepNext w:val="0"/>
              <w:keepLines w:val="0"/>
              <w:pageBreakBefore w:val="0"/>
              <w:kinsoku/>
              <w:wordWrap/>
              <w:overflowPunct/>
              <w:topLinePunct w:val="0"/>
              <w:bidi w:val="0"/>
              <w:snapToGrid/>
              <w:spacing w:line="300" w:lineRule="auto"/>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增强功能模块：</w:t>
            </w:r>
          </w:p>
          <w:p>
            <w:pPr>
              <w:keepNext w:val="0"/>
              <w:keepLines w:val="0"/>
              <w:pageBreakBefore w:val="0"/>
              <w:kinsoku/>
              <w:wordWrap/>
              <w:overflowPunct/>
              <w:topLinePunct w:val="0"/>
              <w:bidi w:val="0"/>
              <w:snapToGrid/>
              <w:spacing w:line="300" w:lineRule="auto"/>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a心脏交感反应：查看糖尿病患者心率变异反应。</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b表面肌电图：分析肌肉释放电位功率，排除肌源性疾病原因神经传导变慢。</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5.5</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操作工作系统：人性化的诊断报告，可方便医生对病人的原始数据进行精确分析；一键恢复功能，能够有效的还原原始资料，防止数据丢失。在操作过程中具有图形和文字指导，便于初学者快速掌握诊查流程。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5.6</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刺激方式：电刺激器 要求所有数据提供检测报告要求误差不得大于±2%。</w:t>
            </w:r>
          </w:p>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sz w:val="21"/>
                <w:szCs w:val="21"/>
                <w:lang w:eastAsia="zh-CN"/>
              </w:rPr>
            </w:pPr>
            <w:r>
              <w:rPr>
                <w:rFonts w:hint="eastAsia" w:ascii="宋体" w:hAnsi="宋体" w:eastAsia="宋体" w:cs="宋体"/>
                <w:bCs/>
                <w:color w:val="000000"/>
                <w:sz w:val="21"/>
                <w:szCs w:val="21"/>
              </w:rPr>
              <w:t>1、电流刺激强度:最大脉冲强度为100mA</w:t>
            </w:r>
            <w:r>
              <w:rPr>
                <w:rFonts w:hint="eastAsia" w:ascii="宋体" w:hAnsi="宋体" w:eastAsia="宋体" w:cs="宋体"/>
                <w:bCs/>
                <w:color w:val="000000"/>
                <w:sz w:val="21"/>
                <w:szCs w:val="21"/>
                <w:lang w:eastAsia="zh-CN"/>
              </w:rPr>
              <w:t>；</w:t>
            </w:r>
          </w:p>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2、刺激波宽范围：≥40µs～1ms；</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3、刺激频率范围：≥0.1～70Hz；</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5.7</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噪声：≤0.8µV rms（0.1Hz～10KHz）</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5.8</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共模输入阻抗：≥2000MΩ</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5.9</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共模抑制比：≥110 dB</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5.10</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灵敏度：0.05µV-10mV（误差不得超±5%）</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5.11</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频率范围：0.5Hz～10KHz，波幅衰减要求不得超出±1db.（误差不得超±5%）</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5.12</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color w:val="000000"/>
                <w:sz w:val="21"/>
                <w:szCs w:val="21"/>
                <w:lang w:eastAsia="zh-CN"/>
              </w:rPr>
            </w:pPr>
            <w:r>
              <w:rPr>
                <w:rFonts w:hint="eastAsia" w:ascii="宋体" w:hAnsi="宋体" w:eastAsia="宋体" w:cs="宋体"/>
                <w:bCs/>
                <w:color w:val="000000"/>
                <w:sz w:val="21"/>
                <w:szCs w:val="21"/>
              </w:rPr>
              <w:t>增益范围大：放大倍数：100～100万倍（误差不得超±5%）</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autoSpaceDE w:val="0"/>
              <w:bidi w:val="0"/>
              <w:snapToGrid/>
              <w:spacing w:line="30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六</w:t>
            </w:r>
          </w:p>
        </w:tc>
        <w:tc>
          <w:tcPr>
            <w:tcW w:w="3589" w:type="pct"/>
            <w:vAlign w:val="center"/>
          </w:tcPr>
          <w:p>
            <w:pPr>
              <w:pStyle w:val="44"/>
              <w:keepNext w:val="0"/>
              <w:keepLines w:val="0"/>
              <w:pageBreakBefore w:val="0"/>
              <w:kinsoku/>
              <w:wordWrap/>
              <w:overflowPunct/>
              <w:topLinePunct w:val="0"/>
              <w:bidi w:val="0"/>
              <w:adjustRightInd w:val="0"/>
              <w:snapToGrid/>
              <w:spacing w:line="300" w:lineRule="auto"/>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代谢一体机</w:t>
            </w:r>
            <w:r>
              <w:rPr>
                <w:rFonts w:hint="eastAsia" w:ascii="宋体" w:hAnsi="宋体" w:eastAsia="宋体" w:cs="宋体"/>
                <w:b/>
                <w:color w:val="000000"/>
                <w:sz w:val="21"/>
                <w:szCs w:val="21"/>
                <w:lang w:val="en-US" w:eastAsia="zh-CN"/>
              </w:rPr>
              <w:t xml:space="preserve">                                    数量：1台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lang w:val="en-US" w:eastAsia="zh-CN"/>
              </w:rPr>
              <w:t>6</w:t>
            </w:r>
            <w:r>
              <w:rPr>
                <w:rFonts w:hint="eastAsia" w:ascii="宋体" w:hAnsi="宋体" w:eastAsia="宋体" w:cs="宋体"/>
                <w:bCs/>
                <w:color w:val="000000"/>
                <w:sz w:val="21"/>
                <w:szCs w:val="21"/>
              </w:rPr>
              <w:t>.1</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统一电源接入；</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.2</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仪器模块布局合理方便操作；</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.3</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可承载动脉硬化检测装置、内脏脂肪测量装置、心电图机、血管内皮功能检测装置、全自动眼底相机、神经传导速度检测装置、可拓展其他临床快速检查设备。</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bCs/>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.4</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电动诊查床：通过电动按钮实现床面水平移动，在不同设备间切换测量位置。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.5</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主机要求：主机采用MMC元素，与装修风格统一。</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.6</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工作站：一体PC，汇总所有测试数据。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.7</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数据输出：通过网口与局域网连接；</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.8.1</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主机1台；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.8.2</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电动床1个；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.8.3</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工控电脑1台；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.8.4</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工控键盘1个；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.8.5</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000000"/>
                <w:sz w:val="21"/>
                <w:szCs w:val="21"/>
              </w:rPr>
            </w:pPr>
            <w:r>
              <w:rPr>
                <w:rFonts w:hint="eastAsia" w:ascii="宋体" w:hAnsi="宋体" w:eastAsia="宋体" w:cs="宋体"/>
                <w:color w:val="000000"/>
                <w:sz w:val="21"/>
                <w:szCs w:val="21"/>
              </w:rPr>
              <w:t>扫码模组1个；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.8.6</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sz w:val="21"/>
                <w:szCs w:val="21"/>
              </w:rPr>
              <w:t>脚踏台阶1个；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.8.7</w:t>
            </w:r>
          </w:p>
        </w:tc>
        <w:tc>
          <w:tcPr>
            <w:tcW w:w="3589" w:type="pct"/>
            <w:vAlign w:val="center"/>
          </w:tcPr>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sz w:val="21"/>
                <w:szCs w:val="21"/>
              </w:rPr>
              <w:t>9口路由1套；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color w:val="000000"/>
                <w:kern w:val="0"/>
                <w:sz w:val="21"/>
                <w:szCs w:val="21"/>
                <w:lang w:val="en-US" w:eastAsia="zh-CN"/>
              </w:rPr>
              <w:t>七</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color w:val="000000"/>
                <w:kern w:val="0"/>
                <w:sz w:val="21"/>
                <w:szCs w:val="21"/>
              </w:rPr>
              <w:t>智能血压计</w:t>
            </w:r>
            <w:r>
              <w:rPr>
                <w:rFonts w:hint="eastAsia" w:ascii="宋体" w:hAnsi="宋体" w:eastAsia="宋体" w:cs="宋体"/>
                <w:b/>
                <w:color w:val="000000"/>
                <w:kern w:val="0"/>
                <w:sz w:val="21"/>
                <w:szCs w:val="21"/>
                <w:lang w:val="en-US" w:eastAsia="zh-CN"/>
              </w:rPr>
              <w:t xml:space="preserve">                                    数量：1台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sz w:val="21"/>
                <w:szCs w:val="21"/>
              </w:rPr>
              <w:t>适用范围：通过袖带和腕带传感器取得的压力和脉搏信号来自动完成间接测量血压</w:t>
            </w:r>
            <w:r>
              <w:rPr>
                <w:rFonts w:hint="eastAsia" w:ascii="宋体" w:hAnsi="宋体" w:eastAsia="宋体" w:cs="宋体"/>
                <w:bCs/>
                <w:color w:val="000000"/>
                <w:sz w:val="21"/>
                <w:szCs w:val="21"/>
                <w:lang w:val="en-US"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可对接国家代谢性疾病管理中心国家标准化代谢性疾病管理中心网络，数据无缝传输</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.3</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测量原理：示波法</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.4</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显示：LED数字显示</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val="0"/>
                <w:bCs w:val="0"/>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.5</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测量位置：双臂</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.6</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手臂周长：17～42cm以上</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.7</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压力显示范围：0～299mmHg</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.8</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测量范围： 血压：40～260mmHg</w:t>
            </w:r>
            <w:r>
              <w:rPr>
                <w:rFonts w:hint="eastAsia" w:ascii="宋体" w:hAnsi="宋体" w:eastAsia="宋体" w:cs="宋体"/>
                <w:bCs/>
                <w:color w:val="000000"/>
                <w:kern w:val="0"/>
                <w:sz w:val="21"/>
                <w:szCs w:val="21"/>
                <w:lang w:eastAsia="zh-CN"/>
              </w:rPr>
              <w:t>；</w:t>
            </w:r>
            <w:r>
              <w:rPr>
                <w:rFonts w:hint="eastAsia" w:ascii="宋体" w:hAnsi="宋体" w:eastAsia="宋体" w:cs="宋体"/>
                <w:bCs/>
                <w:color w:val="000000"/>
                <w:kern w:val="0"/>
                <w:sz w:val="21"/>
                <w:szCs w:val="21"/>
              </w:rPr>
              <w:t xml:space="preserve">     脉搏数：40～180拍/min</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.9</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测量精度：压力精度：±3mmHg（±0.4KPa）；脉搏测量精度：±2%</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.10</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压力监测：半导体压力传感器 肘部位置传感器  位置提示，保证测量姿势正确，提高测量的准确性</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.11</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可动臂筒设计，方便各种身高的患者使用</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.12</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打印装置</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.13</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热敏式打印机、自动裁纸、多种模式可选</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.14</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全中文打印显示</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.15</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干扰情况用户提醒</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.16</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干扰波形图打印显示</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.17</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语音播报测量结果：有</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.18</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超压保护：压力超过300mmHg时,急速排气保护。急速排气时间不大于10秒。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.19</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通信数据输出</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.20</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RS-232标准接口，连接电脑同步管理</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.21</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专用软件配套（专用数据线和专用软件）</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.22</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电击防护型式：</w:t>
            </w:r>
            <w:r>
              <w:rPr>
                <w:rFonts w:hint="eastAsia" w:ascii="宋体" w:hAnsi="宋体" w:eastAsia="宋体" w:cs="宋体"/>
                <w:bCs/>
                <w:color w:val="000000"/>
                <w:sz w:val="21"/>
                <w:szCs w:val="21"/>
              </w:rPr>
              <w:t>Class II B类设备</w:t>
            </w:r>
            <w:r>
              <w:rPr>
                <w:rFonts w:hint="eastAsia" w:ascii="宋体" w:hAnsi="宋体" w:eastAsia="宋体" w:cs="宋体"/>
                <w:bCs/>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.23</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抗菌设计对应：外壳：抗菌树脂</w:t>
            </w:r>
            <w:r>
              <w:rPr>
                <w:rFonts w:hint="eastAsia" w:ascii="宋体" w:hAnsi="宋体" w:eastAsia="宋体" w:cs="宋体"/>
                <w:bCs/>
                <w:color w:val="000000"/>
                <w:kern w:val="0"/>
                <w:sz w:val="21"/>
                <w:szCs w:val="21"/>
                <w:lang w:eastAsia="zh-CN"/>
              </w:rPr>
              <w:t>；</w:t>
            </w:r>
            <w:r>
              <w:rPr>
                <w:rFonts w:hint="eastAsia" w:ascii="宋体" w:hAnsi="宋体" w:eastAsia="宋体" w:cs="宋体"/>
                <w:bCs/>
                <w:color w:val="000000"/>
                <w:kern w:val="0"/>
                <w:sz w:val="21"/>
                <w:szCs w:val="21"/>
              </w:rPr>
              <w:t xml:space="preserve">    袖带：抗菌布套</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.24</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操作环境：温度+5℃～+40℃，湿度15%RH～85%RH</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.25</w:t>
            </w:r>
          </w:p>
        </w:tc>
        <w:tc>
          <w:tcPr>
            <w:tcW w:w="3589" w:type="pct"/>
            <w:vAlign w:val="center"/>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储存环境：温度-20℃～60℃，湿度10%RH～95%RH</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Cs/>
                <w:color w:val="000000"/>
                <w:kern w:val="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.1</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全自动电子血压计1台</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.2</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血压计专用袖套布1只</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.3</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专用桌椅1套</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.4</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中文使用说明书1本</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.5</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打印纸1卷</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.6</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指示牌1个</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8" w:type="pct"/>
            <w:vAlign w:val="center"/>
          </w:tcPr>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Cs/>
                <w:color w:val="000000"/>
                <w:sz w:val="21"/>
                <w:szCs w:val="21"/>
                <w:lang w:val="en-US"/>
              </w:rPr>
            </w:pP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rPr>
              <w:t>.26</w:t>
            </w:r>
            <w:r>
              <w:rPr>
                <w:rFonts w:hint="eastAsia" w:ascii="宋体" w:hAnsi="宋体" w:eastAsia="宋体" w:cs="宋体"/>
                <w:bCs/>
                <w:color w:val="000000"/>
                <w:sz w:val="21"/>
                <w:szCs w:val="21"/>
                <w:lang w:val="en-US" w:eastAsia="zh-CN"/>
              </w:rPr>
              <w:t>.7</w:t>
            </w:r>
          </w:p>
        </w:tc>
        <w:tc>
          <w:tcPr>
            <w:tcW w:w="3589" w:type="pct"/>
            <w:vAlign w:val="top"/>
          </w:tcPr>
          <w:p>
            <w:pPr>
              <w:keepNext w:val="0"/>
              <w:keepLines w:val="0"/>
              <w:pageBreakBefore w:val="0"/>
              <w:widowControl/>
              <w:kinsoku/>
              <w:wordWrap/>
              <w:overflowPunct/>
              <w:topLinePunct w:val="0"/>
              <w:bidi w:val="0"/>
              <w:snapToGrid/>
              <w:spacing w:line="300" w:lineRule="auto"/>
              <w:jc w:val="left"/>
              <w:textAlignment w:val="auto"/>
              <w:rPr>
                <w:rFonts w:hint="eastAsia" w:ascii="宋体" w:hAnsi="宋体" w:eastAsia="宋体" w:cs="宋体"/>
                <w:bCs/>
                <w:color w:val="000000"/>
                <w:kern w:val="0"/>
                <w:sz w:val="21"/>
                <w:szCs w:val="21"/>
                <w:lang w:eastAsia="zh-CN"/>
              </w:rPr>
            </w:pPr>
            <w:r>
              <w:rPr>
                <w:rFonts w:hint="eastAsia" w:ascii="宋体" w:hAnsi="宋体" w:eastAsia="宋体" w:cs="宋体"/>
                <w:bCs/>
                <w:color w:val="000000"/>
                <w:kern w:val="0"/>
                <w:sz w:val="21"/>
                <w:szCs w:val="21"/>
              </w:rPr>
              <w:t>肘部放置指示卡片1个</w:t>
            </w:r>
            <w:r>
              <w:rPr>
                <w:rFonts w:hint="eastAsia" w:ascii="宋体" w:hAnsi="宋体" w:eastAsia="宋体" w:cs="宋体"/>
                <w:bCs/>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numPr>
          <w:ilvl w:val="0"/>
          <w:numId w:val="0"/>
        </w:numPr>
        <w:snapToGrid w:val="0"/>
        <w:spacing w:line="240" w:lineRule="auto"/>
        <w:rPr>
          <w:rFonts w:hint="eastAsia" w:ascii="宋体" w:hAnsi="宋体" w:cs="宋体"/>
          <w:b/>
          <w:bCs/>
          <w:color w:val="auto"/>
          <w:highlight w:val="none"/>
          <w:lang w:val="en-US" w:eastAsia="zh-CN"/>
        </w:rPr>
      </w:pPr>
    </w:p>
    <w:p>
      <w:pPr>
        <w:numPr>
          <w:ilvl w:val="0"/>
          <w:numId w:val="0"/>
        </w:numPr>
        <w:snapToGrid w:val="0"/>
        <w:spacing w:line="240" w:lineRule="auto"/>
        <w:rPr>
          <w:rFonts w:hint="eastAsia" w:ascii="宋体" w:hAnsi="宋体" w:cs="宋体"/>
          <w:b/>
          <w:bCs/>
          <w:color w:val="auto"/>
          <w:highlight w:val="none"/>
          <w:lang w:val="en-US" w:eastAsia="zh-CN"/>
        </w:rPr>
      </w:pP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二</w:t>
      </w:r>
      <w:r>
        <w:rPr>
          <w:rFonts w:hint="eastAsia" w:ascii="宋体" w:hAnsi="宋体" w:eastAsia="宋体" w:cs="宋体"/>
          <w:b/>
          <w:bCs/>
          <w:color w:val="auto"/>
          <w:highlight w:val="none"/>
        </w:rPr>
        <w:t xml:space="preserve">：脑立体定向仪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kern w:val="0"/>
                <w:sz w:val="21"/>
                <w:szCs w:val="21"/>
              </w:rPr>
              <w:t>一</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kern w:val="0"/>
                <w:sz w:val="21"/>
                <w:szCs w:val="21"/>
              </w:rPr>
              <w:t>适用范围</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kern w:val="0"/>
                <w:sz w:val="21"/>
                <w:szCs w:val="21"/>
              </w:rPr>
              <w:t>1.1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主要用于神经外科组织活检、血肿排空、脓肿排空、异物取出、异物摘除、高血压脑出血的血肿抽吸、功能神经外科手术以及颅内占位病变的等手术使用。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rPr>
              <w:t>1.2</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kern w:val="0"/>
                <w:sz w:val="21"/>
                <w:szCs w:val="21"/>
              </w:rPr>
              <w:t>能与医院原有</w:t>
            </w:r>
            <w:r>
              <w:rPr>
                <w:rFonts w:hint="eastAsia" w:ascii="宋体" w:hAnsi="宋体" w:eastAsia="宋体" w:cs="宋体"/>
                <w:sz w:val="21"/>
                <w:szCs w:val="21"/>
              </w:rPr>
              <w:t>CT、MRI匹配使用。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b/>
                <w:kern w:val="0"/>
                <w:sz w:val="21"/>
                <w:szCs w:val="21"/>
              </w:rPr>
              <w:t>二</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kern w:val="0"/>
                <w:sz w:val="21"/>
                <w:szCs w:val="21"/>
                <w:lang w:val="en-US" w:eastAsia="zh-CN"/>
              </w:rPr>
              <w:t>具体</w:t>
            </w:r>
            <w:r>
              <w:rPr>
                <w:rFonts w:hint="eastAsia" w:ascii="宋体" w:hAnsi="宋体" w:eastAsia="宋体" w:cs="宋体"/>
                <w:b/>
                <w:kern w:val="0"/>
                <w:sz w:val="21"/>
                <w:szCs w:val="21"/>
              </w:rPr>
              <w:t>技术</w:t>
            </w:r>
            <w:r>
              <w:rPr>
                <w:rFonts w:hint="eastAsia" w:ascii="宋体" w:hAnsi="宋体" w:eastAsia="宋体" w:cs="宋体"/>
                <w:b/>
                <w:kern w:val="0"/>
                <w:sz w:val="21"/>
                <w:szCs w:val="21"/>
                <w:lang w:val="en-US" w:eastAsia="zh-CN"/>
              </w:rPr>
              <w:t>参数</w:t>
            </w:r>
            <w:r>
              <w:rPr>
                <w:rFonts w:hint="eastAsia" w:ascii="宋体" w:hAnsi="宋体" w:eastAsia="宋体" w:cs="宋体"/>
                <w:b/>
                <w:kern w:val="0"/>
                <w:sz w:val="21"/>
                <w:szCs w:val="21"/>
              </w:rPr>
              <w:t>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b/>
                <w:kern w:val="0"/>
                <w:sz w:val="21"/>
                <w:szCs w:val="21"/>
                <w:lang w:val="en-US" w:eastAsia="zh-CN"/>
              </w:rPr>
            </w:pPr>
            <w:r>
              <w:rPr>
                <w:rFonts w:hint="eastAsia" w:ascii="宋体" w:hAnsi="宋体" w:eastAsia="宋体" w:cs="宋体"/>
                <w:b/>
                <w:bCs w:val="0"/>
                <w:kern w:val="0"/>
                <w:sz w:val="21"/>
                <w:szCs w:val="21"/>
                <w:lang w:val="en-US" w:eastAsia="zh-CN"/>
              </w:rPr>
              <w:t>2.1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kern w:val="0"/>
                <w:sz w:val="21"/>
                <w:szCs w:val="21"/>
                <w:lang w:val="en-US" w:eastAsia="zh-CN"/>
              </w:rPr>
            </w:pPr>
            <w:r>
              <w:rPr>
                <w:rFonts w:hint="eastAsia"/>
                <w:b/>
                <w:kern w:val="0"/>
                <w:szCs w:val="21"/>
              </w:rPr>
              <w:t>脑立体定向仪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kern w:val="0"/>
                <w:sz w:val="21"/>
                <w:szCs w:val="21"/>
              </w:rPr>
              <w:t>▲2.1</w:t>
            </w:r>
            <w:r>
              <w:rPr>
                <w:rFonts w:hint="eastAsia" w:ascii="宋体" w:hAnsi="宋体" w:eastAsia="宋体" w:cs="宋体"/>
                <w:kern w:val="0"/>
                <w:sz w:val="21"/>
                <w:szCs w:val="21"/>
                <w:lang w:val="en-US" w:eastAsia="zh-CN"/>
              </w:rPr>
              <w:t>.1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机械精度≤0.35mm，临床精度≤1.0mm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.2</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根据迪卡尔三维坐标系理论和球心原理为基础设计出来</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.3</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具有国内领先的坐标系转换，X/Y/Z轴坐标互换技术，解除手术死角，扩大了手术范围。</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.4</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能够适配不同型号的CT/MRI，支持完成立体定向可以完成的任何手术。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.5</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可允许的靶点位置范围：</w:t>
            </w:r>
          </w:p>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X方向55-145mm</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Y方向45-155mm</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Z方向60-140 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.6</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kern w:val="0"/>
                <w:sz w:val="21"/>
                <w:szCs w:val="21"/>
              </w:rPr>
              <w:t>主机材料采用医用钛合金，颅骨固定螺钉采用高分子碳素材料，确保了在CT/MRI下扫描没有伪影。</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.7</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具有齐全的</w:t>
            </w:r>
            <w:r>
              <w:rPr>
                <w:rFonts w:hint="eastAsia" w:ascii="宋体" w:hAnsi="宋体" w:eastAsia="宋体" w:cs="宋体"/>
                <w:color w:val="000000"/>
                <w:sz w:val="21"/>
                <w:szCs w:val="21"/>
              </w:rPr>
              <w:t>穿刺、活检、引流</w:t>
            </w:r>
            <w:r>
              <w:rPr>
                <w:rFonts w:hint="eastAsia" w:ascii="宋体" w:hAnsi="宋体" w:eastAsia="宋体" w:cs="宋体"/>
                <w:sz w:val="21"/>
                <w:szCs w:val="21"/>
              </w:rPr>
              <w:t>手术配件。</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.8</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kern w:val="0"/>
                <w:sz w:val="21"/>
                <w:szCs w:val="21"/>
              </w:rPr>
              <w:t>具有国内</w:t>
            </w:r>
            <w:r>
              <w:rPr>
                <w:rFonts w:hint="eastAsia" w:ascii="宋体" w:hAnsi="宋体" w:eastAsia="宋体" w:cs="宋体"/>
                <w:color w:val="000000"/>
                <w:sz w:val="21"/>
                <w:szCs w:val="21"/>
              </w:rPr>
              <w:t>独有的万向手术床连接器，方便摆放病人手术体位。</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.9</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配有千分尺</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.10</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000000"/>
                <w:sz w:val="21"/>
                <w:szCs w:val="21"/>
              </w:rPr>
              <w:t>具备国家级三类产品注册证</w:t>
            </w:r>
            <w:r>
              <w:rPr>
                <w:rFonts w:hint="eastAsia" w:ascii="宋体" w:hAnsi="宋体" w:eastAsia="宋体" w:cs="宋体"/>
                <w:color w:val="00000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2.1</w:t>
            </w:r>
            <w:r>
              <w:rPr>
                <w:rFonts w:hint="eastAsia" w:ascii="宋体" w:hAnsi="宋体" w:eastAsia="宋体" w:cs="宋体"/>
                <w:kern w:val="0"/>
                <w:sz w:val="21"/>
                <w:szCs w:val="21"/>
              </w:rPr>
              <w:t>.11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000000"/>
                <w:sz w:val="21"/>
                <w:szCs w:val="21"/>
              </w:rPr>
              <w:t>1/2弓型，国际经典主流机型。</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2.2</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color w:val="000000"/>
                <w:sz w:val="21"/>
                <w:szCs w:val="21"/>
              </w:rPr>
              <w:t>立体定向手术计划系统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2.1</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数据获取：支持CT，MRI，X光等设备，支持DICOM数据，视频数据，媒体数据。非标数据二次开发，图像浏览软件</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病案管理：病案装库，病案归档，回库，病案信息装载，删除，修改，病案查询，病人图像预览，计划保存，计划加载，光盘刻录备份</w:t>
            </w:r>
            <w:r>
              <w:rPr>
                <w:rFonts w:hint="eastAsia" w:ascii="宋体" w:hAnsi="宋体" w:eastAsia="宋体" w:cs="宋体"/>
                <w:sz w:val="21"/>
                <w:szCs w:val="21"/>
                <w:lang w:val="en-US"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图像处理工具：调窗，自动调窗，多帧浏览，单帧浏览，电影回放，无级缩放，点信息，距离测量，角度测量，面积测量，体积测量，黑白翻转，抓图（屏幕快照），融合调节，脑图谱结果显示，分割结果显示，3D更新等等</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4</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手术计划设计，模拟：支持多靶点，多入路，可任意增加，删除。可调节如下计划参数并实时在2D，3D图像上显示：调节弓形架偏转角，拖板偏转角，手术模拟（针尖距靶点距离），手术路径尺寸，单双针选择，针旋转角。入颅点选择：在2D正交面上直接用鼠标确定入颅点。自动入路生成：可在两个靶点直接生成过两个靶点的入路</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rPr>
              <w:t>★</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5</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脑图谱：基于进口图谱开发而成，TT变换：特征点标定，前后联合对齐，边界点确定，自动确定边界点，Talairach变换，结构图谱，功能图谱对应，图谱数据叠加到实际数据，透明度调节。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kern w:val="0"/>
                <w:sz w:val="21"/>
                <w:szCs w:val="21"/>
                <w:lang w:val="en-US" w:eastAsia="zh-CN"/>
              </w:rPr>
            </w:pPr>
            <w:r>
              <w:rPr>
                <w:rFonts w:hint="eastAsia" w:ascii="宋体" w:hAnsi="宋体" w:cs="宋体"/>
                <w:kern w:val="0"/>
                <w:sz w:val="21"/>
                <w:szCs w:val="21"/>
                <w:lang w:val="en-US" w:eastAsia="zh-CN"/>
              </w:rPr>
              <w:t>2.2.6</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图谱对应：解剖/功能名称直接对应到图像位置</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7</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图像融合：同一病人标志点，多模图像融合/无标点图像融合</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8</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图像显示：组合图，融合图，基准图，匹配图</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9</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图像配准；3D取点，自动配序，误差控制与提示</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10</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rPr>
            </w:pPr>
            <w:r>
              <w:rPr>
                <w:rFonts w:hint="eastAsia" w:ascii="宋体" w:hAnsi="宋体" w:eastAsia="宋体" w:cs="宋体"/>
                <w:sz w:val="21"/>
                <w:szCs w:val="21"/>
              </w:rPr>
              <w:t>窗值调整：基准图，匹配图分别调整</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11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sz w:val="21"/>
                <w:szCs w:val="21"/>
              </w:rPr>
            </w:pPr>
            <w:r>
              <w:rPr>
                <w:rFonts w:hint="eastAsia" w:ascii="宋体" w:hAnsi="宋体" w:eastAsia="宋体" w:cs="宋体"/>
                <w:sz w:val="21"/>
                <w:szCs w:val="21"/>
              </w:rPr>
              <w:t>融合权重：基准图，匹配图融合权重调节</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2.</w:t>
            </w:r>
            <w:r>
              <w:rPr>
                <w:rFonts w:hint="eastAsia" w:ascii="宋体" w:hAnsi="宋体" w:cs="宋体"/>
                <w:kern w:val="0"/>
                <w:sz w:val="21"/>
                <w:szCs w:val="21"/>
                <w:lang w:val="en-US" w:eastAsia="zh-CN"/>
              </w:rPr>
              <w:t>12</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帮助：所有图标按扭，文字按扭自动提示</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kern w:val="0"/>
                <w:sz w:val="21"/>
                <w:szCs w:val="21"/>
                <w:lang w:val="en-US" w:eastAsia="zh-CN"/>
              </w:rPr>
              <w:t>2.3</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kern w:val="0"/>
                <w:sz w:val="21"/>
                <w:szCs w:val="21"/>
              </w:rPr>
              <w:t>CT/MRI两用套定向仪配置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2.3.1</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rPr>
              <w:t>CT套基本配置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2.3.1.1</w:t>
            </w:r>
          </w:p>
        </w:tc>
        <w:tc>
          <w:tcPr>
            <w:tcW w:w="3621" w:type="pct"/>
            <w:vAlign w:val="top"/>
          </w:tcPr>
          <w:p>
            <w:pPr>
              <w:keepNext w:val="0"/>
              <w:keepLines w:val="0"/>
              <w:pageBreakBefore w:val="0"/>
              <w:tabs>
                <w:tab w:val="left" w:pos="851"/>
              </w:tabs>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主机</w:t>
            </w:r>
            <w:r>
              <w:rPr>
                <w:rFonts w:hint="eastAsia" w:ascii="宋体" w:hAnsi="宋体" w:eastAsia="宋体" w:cs="宋体"/>
                <w:sz w:val="21"/>
                <w:szCs w:val="21"/>
                <w:lang w:eastAsia="zh-CN"/>
              </w:rPr>
              <w:t>：</w:t>
            </w:r>
            <w:r>
              <w:rPr>
                <w:rFonts w:hint="eastAsia" w:ascii="宋体" w:hAnsi="宋体" w:eastAsia="宋体" w:cs="宋体"/>
                <w:sz w:val="21"/>
                <w:szCs w:val="21"/>
              </w:rPr>
              <w:t>U型底框1套</w:t>
            </w:r>
            <w:r>
              <w:rPr>
                <w:rFonts w:hint="eastAsia" w:ascii="宋体" w:hAnsi="宋体" w:eastAsia="宋体" w:cs="宋体"/>
                <w:sz w:val="21"/>
                <w:szCs w:val="21"/>
                <w:lang w:eastAsia="zh-CN"/>
              </w:rPr>
              <w:t>；</w:t>
            </w:r>
            <w:r>
              <w:rPr>
                <w:rFonts w:hint="eastAsia" w:ascii="宋体" w:hAnsi="宋体" w:eastAsia="宋体" w:cs="宋体"/>
                <w:sz w:val="21"/>
                <w:szCs w:val="21"/>
              </w:rPr>
              <w:t>弓形架1套</w:t>
            </w:r>
            <w:r>
              <w:rPr>
                <w:rFonts w:hint="eastAsia" w:ascii="宋体" w:hAnsi="宋体" w:eastAsia="宋体" w:cs="宋体"/>
                <w:sz w:val="21"/>
                <w:szCs w:val="21"/>
                <w:lang w:eastAsia="zh-CN"/>
              </w:rPr>
              <w:t>；</w:t>
            </w:r>
            <w:r>
              <w:rPr>
                <w:rFonts w:hint="eastAsia" w:ascii="宋体" w:hAnsi="宋体" w:eastAsia="宋体" w:cs="宋体"/>
                <w:sz w:val="21"/>
                <w:szCs w:val="21"/>
              </w:rPr>
              <w:t>左转座1个</w:t>
            </w:r>
            <w:r>
              <w:rPr>
                <w:rFonts w:hint="eastAsia" w:ascii="宋体" w:hAnsi="宋体" w:eastAsia="宋体" w:cs="宋体"/>
                <w:sz w:val="21"/>
                <w:szCs w:val="21"/>
                <w:lang w:eastAsia="zh-CN"/>
              </w:rPr>
              <w:t>；</w:t>
            </w:r>
            <w:r>
              <w:rPr>
                <w:rFonts w:hint="eastAsia" w:ascii="宋体" w:hAnsi="宋体" w:eastAsia="宋体" w:cs="宋体"/>
                <w:sz w:val="21"/>
                <w:szCs w:val="21"/>
              </w:rPr>
              <w:t>右转座 1个</w:t>
            </w:r>
            <w:r>
              <w:rPr>
                <w:rFonts w:hint="eastAsia" w:ascii="宋体" w:hAnsi="宋体" w:eastAsia="宋体" w:cs="宋体"/>
                <w:sz w:val="21"/>
                <w:szCs w:val="21"/>
                <w:lang w:eastAsia="zh-CN"/>
              </w:rPr>
              <w:t>；</w:t>
            </w:r>
            <w:r>
              <w:rPr>
                <w:rFonts w:hint="eastAsia" w:ascii="宋体" w:hAnsi="宋体" w:eastAsia="宋体" w:cs="宋体"/>
                <w:sz w:val="21"/>
                <w:szCs w:val="21"/>
              </w:rPr>
              <w:t>前立柱2支</w:t>
            </w:r>
            <w:r>
              <w:rPr>
                <w:rFonts w:hint="eastAsia" w:ascii="宋体" w:hAnsi="宋体" w:eastAsia="宋体" w:cs="宋体"/>
                <w:sz w:val="21"/>
                <w:szCs w:val="21"/>
                <w:lang w:eastAsia="zh-CN"/>
              </w:rPr>
              <w:t>；</w:t>
            </w:r>
            <w:r>
              <w:rPr>
                <w:rFonts w:hint="eastAsia" w:ascii="宋体" w:hAnsi="宋体" w:eastAsia="宋体" w:cs="宋体"/>
                <w:sz w:val="21"/>
                <w:szCs w:val="21"/>
              </w:rPr>
              <w:t>后立柱2支</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2</w:t>
            </w:r>
          </w:p>
        </w:tc>
        <w:tc>
          <w:tcPr>
            <w:tcW w:w="3621" w:type="pct"/>
            <w:vAlign w:val="top"/>
          </w:tcPr>
          <w:p>
            <w:pPr>
              <w:keepNext w:val="0"/>
              <w:keepLines w:val="0"/>
              <w:pageBreakBefore w:val="0"/>
              <w:tabs>
                <w:tab w:val="left" w:pos="1276"/>
                <w:tab w:val="left" w:pos="1430"/>
              </w:tabs>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CT坐标显示板左显示板1块</w:t>
            </w:r>
            <w:r>
              <w:rPr>
                <w:rFonts w:hint="eastAsia" w:ascii="宋体" w:hAnsi="宋体" w:eastAsia="宋体" w:cs="宋体"/>
                <w:sz w:val="21"/>
                <w:szCs w:val="21"/>
                <w:lang w:eastAsia="zh-CN"/>
              </w:rPr>
              <w:t>；</w:t>
            </w:r>
            <w:r>
              <w:rPr>
                <w:rFonts w:hint="eastAsia" w:ascii="宋体" w:hAnsi="宋体" w:eastAsia="宋体" w:cs="宋体"/>
                <w:sz w:val="21"/>
                <w:szCs w:val="21"/>
              </w:rPr>
              <w:t>CT坐标显示板右显示板1块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3</w:t>
            </w:r>
          </w:p>
        </w:tc>
        <w:tc>
          <w:tcPr>
            <w:tcW w:w="3621" w:type="pct"/>
            <w:vAlign w:val="top"/>
          </w:tcPr>
          <w:p>
            <w:pPr>
              <w:keepNext w:val="0"/>
              <w:keepLines w:val="0"/>
              <w:pageBreakBefore w:val="0"/>
              <w:tabs>
                <w:tab w:val="left" w:pos="1276"/>
                <w:tab w:val="left" w:pos="1430"/>
              </w:tabs>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颅骨固定钉</w:t>
            </w:r>
            <w:r>
              <w:rPr>
                <w:rFonts w:hint="eastAsia" w:ascii="宋体" w:hAnsi="宋体" w:eastAsia="宋体" w:cs="宋体"/>
                <w:sz w:val="21"/>
                <w:szCs w:val="21"/>
                <w:lang w:eastAsia="zh-CN"/>
              </w:rPr>
              <w:t>：</w:t>
            </w:r>
            <w:r>
              <w:rPr>
                <w:rFonts w:hint="eastAsia" w:ascii="宋体" w:hAnsi="宋体" w:eastAsia="宋体" w:cs="宋体"/>
                <w:sz w:val="21"/>
                <w:szCs w:val="21"/>
              </w:rPr>
              <w:t>长颅骨固定钉2根</w:t>
            </w:r>
            <w:r>
              <w:rPr>
                <w:rFonts w:hint="eastAsia" w:ascii="宋体" w:hAnsi="宋体" w:eastAsia="宋体" w:cs="宋体"/>
                <w:sz w:val="21"/>
                <w:szCs w:val="21"/>
                <w:lang w:eastAsia="zh-CN"/>
              </w:rPr>
              <w:t>；</w:t>
            </w:r>
            <w:r>
              <w:rPr>
                <w:rFonts w:hint="eastAsia" w:ascii="宋体" w:hAnsi="宋体" w:eastAsia="宋体" w:cs="宋体"/>
                <w:sz w:val="21"/>
                <w:szCs w:val="21"/>
              </w:rPr>
              <w:t>中颅骨固定钉2根</w:t>
            </w:r>
            <w:r>
              <w:rPr>
                <w:rFonts w:hint="eastAsia" w:ascii="宋体" w:hAnsi="宋体" w:eastAsia="宋体" w:cs="宋体"/>
                <w:sz w:val="21"/>
                <w:szCs w:val="21"/>
                <w:lang w:eastAsia="zh-CN"/>
              </w:rPr>
              <w:t>；</w:t>
            </w:r>
            <w:r>
              <w:rPr>
                <w:rFonts w:hint="eastAsia" w:ascii="宋体" w:hAnsi="宋体" w:eastAsia="宋体" w:cs="宋体"/>
                <w:sz w:val="21"/>
                <w:szCs w:val="21"/>
              </w:rPr>
              <w:t>短颅骨固定钉2根</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4</w:t>
            </w:r>
          </w:p>
        </w:tc>
        <w:tc>
          <w:tcPr>
            <w:tcW w:w="3621" w:type="pct"/>
            <w:vAlign w:val="top"/>
          </w:tcPr>
          <w:p>
            <w:pPr>
              <w:keepNext w:val="0"/>
              <w:keepLines w:val="0"/>
              <w:pageBreakBefore w:val="0"/>
              <w:tabs>
                <w:tab w:val="left" w:pos="1134"/>
                <w:tab w:val="left" w:pos="1276"/>
                <w:tab w:val="left" w:pos="1430"/>
              </w:tabs>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针盒</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血肿排空针1套</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螺旋活检针1套</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侧开口活检针1支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ø2.0探针1支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ø2.0穿刺针 1支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ø4.0穿刺针 1支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ø2.0引流管导丝1根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ø3.5引流管导丝1根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ø2.0适配夹 1套</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ø4.0适配夹1套</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ø 6.0适配夹1套</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 xml:space="preserve">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5</w:t>
            </w:r>
          </w:p>
        </w:tc>
        <w:tc>
          <w:tcPr>
            <w:tcW w:w="3621" w:type="pct"/>
            <w:vAlign w:val="center"/>
          </w:tcPr>
          <w:p>
            <w:pPr>
              <w:keepNext w:val="0"/>
              <w:keepLines w:val="0"/>
              <w:pageBreakBefore w:val="0"/>
              <w:widowControl/>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高温高压消毒箱1个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6</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CT转接器1个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7</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充气头枕1套</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8</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主机专用扳手2个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9</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M5内六角扳手1个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10</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M8内六角扳手1个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11</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精度校准环2个</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12</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万向手术床连接器1套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13</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储存箱1个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14</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弓形架包装箱1个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15</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光盘1张</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16</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说明书1本</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17</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测试小球2个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18</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水平尺1把</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19</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三角板1套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2.3.1.</w:t>
            </w:r>
            <w:r>
              <w:rPr>
                <w:rFonts w:hint="eastAsia" w:ascii="宋体" w:hAnsi="宋体" w:cs="宋体"/>
                <w:kern w:val="0"/>
                <w:sz w:val="21"/>
                <w:szCs w:val="21"/>
                <w:lang w:val="en-US" w:eastAsia="zh-CN"/>
              </w:rPr>
              <w:t>20</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固定带1条</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2.3.2</w:t>
            </w:r>
          </w:p>
        </w:tc>
        <w:tc>
          <w:tcPr>
            <w:tcW w:w="3621" w:type="pct"/>
            <w:vAlign w:val="top"/>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sz w:val="21"/>
                <w:szCs w:val="21"/>
              </w:rPr>
              <w:t>MRI套基本配置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MRI坐标显示板1套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.2</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MRI专用接口1套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MRI颅骨固定螺钉14支</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.4</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前立柱2根</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.5</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后立柱2根</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.6</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底脚4个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.7</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固定夹2个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.8</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接口扳手2个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.9</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方孔扳手2个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.10</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核磁用立柱压块销钉4个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.11</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框用短螺钉4个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.12</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核磁接口锁紧螺丝4个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.13</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MRI显影液1瓶</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.14</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MRI坐标显示板铝箱1个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b w:val="0"/>
                <w:bCs w:val="0"/>
                <w:color w:val="auto"/>
                <w:sz w:val="21"/>
                <w:szCs w:val="21"/>
                <w:highlight w:val="none"/>
                <w:lang w:val="en-US" w:eastAsia="zh-CN"/>
              </w:rPr>
              <w:t>2.3.2</w:t>
            </w:r>
            <w:r>
              <w:rPr>
                <w:rFonts w:hint="eastAsia" w:ascii="宋体" w:hAnsi="宋体" w:cs="宋体"/>
                <w:b w:val="0"/>
                <w:bCs w:val="0"/>
                <w:color w:val="auto"/>
                <w:sz w:val="21"/>
                <w:szCs w:val="21"/>
                <w:highlight w:val="none"/>
                <w:lang w:val="en-US" w:eastAsia="zh-CN"/>
              </w:rPr>
              <w:t>.15</w:t>
            </w:r>
          </w:p>
        </w:tc>
        <w:tc>
          <w:tcPr>
            <w:tcW w:w="3621" w:type="pct"/>
            <w:vAlign w:val="center"/>
          </w:tcPr>
          <w:p>
            <w:pPr>
              <w:keepNext w:val="0"/>
              <w:keepLines w:val="0"/>
              <w:pageBreakBefore w:val="0"/>
              <w:kinsoku/>
              <w:wordWrap/>
              <w:overflowPunct/>
              <w:topLinePunct w:val="0"/>
              <w:autoSpaceDE/>
              <w:autoSpaceDN/>
              <w:bidi w:val="0"/>
              <w:spacing w:line="300" w:lineRule="auto"/>
              <w:jc w:val="left"/>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核磁显示板计算说明书1套</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b/>
                <w:bCs/>
                <w:kern w:val="0"/>
                <w:sz w:val="21"/>
                <w:szCs w:val="21"/>
                <w:lang w:val="en-US" w:eastAsia="zh-CN"/>
              </w:rPr>
              <w:t>2.4</w:t>
            </w:r>
          </w:p>
        </w:tc>
        <w:tc>
          <w:tcPr>
            <w:tcW w:w="3621" w:type="pct"/>
            <w:vAlign w:val="center"/>
          </w:tcPr>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rPr>
              <w:t>立体定向手术计划系统配置清单</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kern w:val="0"/>
                <w:sz w:val="21"/>
                <w:szCs w:val="21"/>
                <w:lang w:val="en-US" w:eastAsia="zh-CN"/>
              </w:rPr>
              <w:t>2.4.1</w:t>
            </w:r>
          </w:p>
        </w:tc>
        <w:tc>
          <w:tcPr>
            <w:tcW w:w="3621" w:type="pct"/>
            <w:vAlign w:val="center"/>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sz w:val="21"/>
                <w:szCs w:val="21"/>
                <w:lang w:eastAsia="zh-CN"/>
              </w:rPr>
            </w:pPr>
            <w:r>
              <w:rPr>
                <w:rFonts w:hint="eastAsia" w:ascii="宋体" w:hAnsi="宋体" w:eastAsia="宋体" w:cs="宋体"/>
                <w:b/>
                <w:bCs/>
                <w:sz w:val="21"/>
                <w:szCs w:val="21"/>
              </w:rPr>
              <w:t>笔记本电脑</w:t>
            </w:r>
            <w:r>
              <w:rPr>
                <w:rFonts w:hint="eastAsia" w:ascii="宋体" w:hAnsi="宋体" w:eastAsia="宋体" w:cs="宋体"/>
                <w:b w:val="0"/>
                <w:bCs w:val="0"/>
                <w:sz w:val="21"/>
                <w:szCs w:val="21"/>
                <w:lang w:eastAsia="zh-CN"/>
              </w:rPr>
              <w:t>（</w:t>
            </w:r>
            <w:r>
              <w:rPr>
                <w:rFonts w:hint="eastAsia" w:ascii="宋体" w:hAnsi="宋体" w:eastAsia="宋体" w:cs="宋体"/>
                <w:sz w:val="21"/>
                <w:szCs w:val="21"/>
              </w:rPr>
              <w:t>配置</w:t>
            </w:r>
            <w:r>
              <w:rPr>
                <w:rFonts w:hint="eastAsia" w:ascii="宋体" w:hAnsi="宋体" w:eastAsia="宋体" w:cs="宋体"/>
                <w:sz w:val="21"/>
                <w:szCs w:val="21"/>
                <w:lang w:val="en-US" w:eastAsia="zh-CN"/>
              </w:rPr>
              <w:t>要求：</w:t>
            </w:r>
            <w:r>
              <w:rPr>
                <w:rFonts w:hint="eastAsia" w:ascii="宋体" w:hAnsi="宋体" w:eastAsia="宋体" w:cs="宋体"/>
                <w:sz w:val="21"/>
                <w:szCs w:val="21"/>
              </w:rPr>
              <w:t>PENTIUM（R） 处理器</w:t>
            </w:r>
            <w:r>
              <w:rPr>
                <w:rFonts w:hint="eastAsia" w:ascii="宋体" w:hAnsi="宋体" w:eastAsia="宋体" w:cs="宋体"/>
                <w:sz w:val="21"/>
                <w:szCs w:val="21"/>
                <w:lang w:eastAsia="zh-CN"/>
              </w:rPr>
              <w:t>；</w:t>
            </w:r>
            <w:r>
              <w:rPr>
                <w:rFonts w:hint="eastAsia" w:ascii="宋体" w:hAnsi="宋体" w:eastAsia="宋体" w:cs="宋体"/>
                <w:sz w:val="21"/>
                <w:szCs w:val="21"/>
              </w:rPr>
              <w:t>14吋TFT显示器</w:t>
            </w:r>
            <w:r>
              <w:rPr>
                <w:rFonts w:hint="eastAsia" w:ascii="宋体" w:hAnsi="宋体" w:eastAsia="宋体" w:cs="宋体"/>
                <w:sz w:val="21"/>
                <w:szCs w:val="21"/>
                <w:lang w:eastAsia="zh-CN"/>
              </w:rPr>
              <w:t>；</w:t>
            </w:r>
            <w:r>
              <w:rPr>
                <w:rFonts w:hint="eastAsia" w:ascii="宋体" w:hAnsi="宋体" w:eastAsia="宋体" w:cs="宋体"/>
                <w:sz w:val="21"/>
                <w:szCs w:val="21"/>
              </w:rPr>
              <w:t>分辨率 1280*1024</w:t>
            </w:r>
            <w:r>
              <w:rPr>
                <w:rFonts w:hint="eastAsia" w:ascii="宋体" w:hAnsi="宋体" w:eastAsia="宋体" w:cs="宋体"/>
                <w:sz w:val="21"/>
                <w:szCs w:val="21"/>
                <w:lang w:eastAsia="zh-CN"/>
              </w:rPr>
              <w:t>；</w:t>
            </w:r>
            <w:r>
              <w:rPr>
                <w:rFonts w:hint="eastAsia" w:ascii="宋体" w:hAnsi="宋体" w:eastAsia="宋体" w:cs="宋体"/>
                <w:sz w:val="21"/>
                <w:szCs w:val="21"/>
              </w:rPr>
              <w:t>内存》4G ;硬盘》320G</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rPr>
              <w:t>Windows XP操作系统</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2.4.</w:t>
            </w:r>
            <w:r>
              <w:rPr>
                <w:rFonts w:hint="eastAsia" w:ascii="宋体" w:hAnsi="宋体" w:cs="宋体"/>
                <w:kern w:val="0"/>
                <w:sz w:val="21"/>
                <w:szCs w:val="21"/>
                <w:lang w:val="en-US" w:eastAsia="zh-CN"/>
              </w:rPr>
              <w:t>2</w:t>
            </w:r>
          </w:p>
        </w:tc>
        <w:tc>
          <w:tcPr>
            <w:tcW w:w="3621" w:type="pct"/>
            <w:vAlign w:val="top"/>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rPr>
              <w:t>软件</w:t>
            </w:r>
            <w:r>
              <w:rPr>
                <w:rFonts w:hint="eastAsia" w:ascii="宋体" w:hAnsi="宋体" w:eastAsia="宋体" w:cs="宋体"/>
                <w:b w:val="0"/>
                <w:bCs w:val="0"/>
                <w:sz w:val="21"/>
                <w:szCs w:val="21"/>
                <w:lang w:eastAsia="zh-CN"/>
              </w:rPr>
              <w:t>（</w:t>
            </w:r>
            <w:r>
              <w:rPr>
                <w:rFonts w:hint="eastAsia" w:ascii="宋体" w:hAnsi="宋体" w:eastAsia="宋体" w:cs="宋体"/>
                <w:sz w:val="21"/>
                <w:szCs w:val="21"/>
              </w:rPr>
              <w:t>配置</w:t>
            </w:r>
            <w:r>
              <w:rPr>
                <w:rFonts w:hint="eastAsia" w:ascii="宋体" w:hAnsi="宋体" w:eastAsia="宋体" w:cs="宋体"/>
                <w:sz w:val="21"/>
                <w:szCs w:val="21"/>
                <w:lang w:val="en-US" w:eastAsia="zh-CN"/>
              </w:rPr>
              <w:t>要求：</w:t>
            </w:r>
            <w:r>
              <w:rPr>
                <w:rFonts w:hint="eastAsia" w:ascii="宋体" w:hAnsi="宋体" w:eastAsia="宋体" w:cs="宋体"/>
                <w:sz w:val="21"/>
                <w:szCs w:val="21"/>
              </w:rPr>
              <w:t>CT/MRI图像融合组件</w:t>
            </w:r>
            <w:r>
              <w:rPr>
                <w:rFonts w:hint="eastAsia" w:ascii="宋体" w:hAnsi="宋体" w:eastAsia="宋体" w:cs="宋体"/>
                <w:sz w:val="21"/>
                <w:szCs w:val="21"/>
                <w:lang w:eastAsia="zh-CN"/>
              </w:rPr>
              <w:t>；</w:t>
            </w:r>
            <w:r>
              <w:rPr>
                <w:rFonts w:hint="eastAsia" w:ascii="宋体" w:hAnsi="宋体" w:eastAsia="宋体" w:cs="宋体"/>
                <w:sz w:val="21"/>
                <w:szCs w:val="21"/>
              </w:rPr>
              <w:t>功能脑图谱组件</w:t>
            </w:r>
            <w:r>
              <w:rPr>
                <w:rFonts w:hint="eastAsia" w:ascii="宋体" w:hAnsi="宋体" w:eastAsia="宋体" w:cs="宋体"/>
                <w:sz w:val="21"/>
                <w:szCs w:val="21"/>
                <w:lang w:eastAsia="zh-CN"/>
              </w:rPr>
              <w:t>；</w:t>
            </w:r>
            <w:r>
              <w:rPr>
                <w:rFonts w:hint="eastAsia" w:ascii="宋体" w:hAnsi="宋体" w:eastAsia="宋体" w:cs="宋体"/>
                <w:sz w:val="21"/>
                <w:szCs w:val="21"/>
              </w:rPr>
              <w:t>图像浏览软件</w:t>
            </w:r>
            <w:r>
              <w:rPr>
                <w:rFonts w:hint="eastAsia" w:ascii="宋体" w:hAnsi="宋体" w:eastAsia="宋体" w:cs="宋体"/>
                <w:sz w:val="21"/>
                <w:szCs w:val="21"/>
                <w:lang w:eastAsia="zh-CN"/>
              </w:rPr>
              <w:t>；</w:t>
            </w:r>
            <w:r>
              <w:rPr>
                <w:rFonts w:hint="eastAsia" w:ascii="宋体" w:hAnsi="宋体" w:eastAsia="宋体" w:cs="宋体"/>
                <w:sz w:val="21"/>
                <w:szCs w:val="21"/>
              </w:rPr>
              <w:t>DICOM图像获取软件</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kern w:val="0"/>
                <w:sz w:val="21"/>
                <w:szCs w:val="21"/>
                <w:lang w:val="en-US" w:eastAsia="zh-CN"/>
              </w:rPr>
              <w:t>2.4.</w:t>
            </w:r>
            <w:r>
              <w:rPr>
                <w:rFonts w:hint="eastAsia" w:ascii="宋体" w:hAnsi="宋体" w:cs="宋体"/>
                <w:kern w:val="0"/>
                <w:sz w:val="21"/>
                <w:szCs w:val="21"/>
                <w:lang w:val="en-US" w:eastAsia="zh-CN"/>
              </w:rPr>
              <w:t>3</w:t>
            </w:r>
          </w:p>
        </w:tc>
        <w:tc>
          <w:tcPr>
            <w:tcW w:w="3621" w:type="pct"/>
            <w:vAlign w:val="top"/>
          </w:tcPr>
          <w:p>
            <w:pPr>
              <w:keepNext w:val="0"/>
              <w:keepLines w:val="0"/>
              <w:pageBreakBefore w:val="0"/>
              <w:kinsoku/>
              <w:wordWrap/>
              <w:overflowPunct/>
              <w:topLinePunct w:val="0"/>
              <w:autoSpaceDE/>
              <w:autoSpaceDN/>
              <w:bidi w:val="0"/>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rPr>
              <w:t>其他配件</w:t>
            </w:r>
            <w:r>
              <w:rPr>
                <w:rFonts w:hint="eastAsia" w:ascii="宋体" w:hAnsi="宋体" w:eastAsia="宋体" w:cs="宋体"/>
                <w:b w:val="0"/>
                <w:bCs w:val="0"/>
                <w:sz w:val="21"/>
                <w:szCs w:val="21"/>
                <w:lang w:eastAsia="zh-CN"/>
              </w:rPr>
              <w:t>（</w:t>
            </w:r>
            <w:r>
              <w:rPr>
                <w:rFonts w:hint="eastAsia" w:ascii="宋体" w:hAnsi="宋体" w:eastAsia="宋体" w:cs="宋体"/>
                <w:sz w:val="21"/>
                <w:szCs w:val="21"/>
              </w:rPr>
              <w:t>配置</w:t>
            </w:r>
            <w:r>
              <w:rPr>
                <w:rFonts w:hint="eastAsia" w:ascii="宋体" w:hAnsi="宋体" w:eastAsia="宋体" w:cs="宋体"/>
                <w:sz w:val="21"/>
                <w:szCs w:val="21"/>
                <w:lang w:val="en-US" w:eastAsia="zh-CN"/>
              </w:rPr>
              <w:t>要求：</w:t>
            </w:r>
            <w:r>
              <w:rPr>
                <w:rFonts w:hint="eastAsia" w:ascii="宋体" w:hAnsi="宋体" w:eastAsia="宋体" w:cs="宋体"/>
                <w:sz w:val="21"/>
                <w:szCs w:val="21"/>
              </w:rPr>
              <w:t>彩色喷墨打印机1台</w:t>
            </w:r>
            <w:r>
              <w:rPr>
                <w:rFonts w:hint="eastAsia" w:ascii="宋体" w:hAnsi="宋体" w:eastAsia="宋体" w:cs="宋体"/>
                <w:sz w:val="21"/>
                <w:szCs w:val="21"/>
                <w:lang w:eastAsia="zh-CN"/>
              </w:rPr>
              <w:t>；</w:t>
            </w:r>
            <w:r>
              <w:rPr>
                <w:rFonts w:hint="eastAsia" w:ascii="宋体" w:hAnsi="宋体" w:eastAsia="宋体" w:cs="宋体"/>
                <w:sz w:val="21"/>
                <w:szCs w:val="21"/>
              </w:rPr>
              <w:t>电源接线板</w:t>
            </w:r>
            <w:r>
              <w:rPr>
                <w:rFonts w:hint="eastAsia" w:ascii="宋体" w:hAnsi="宋体" w:eastAsia="宋体" w:cs="宋体"/>
                <w:sz w:val="21"/>
                <w:szCs w:val="21"/>
                <w:lang w:val="en-US" w:eastAsia="zh-CN"/>
              </w:rPr>
              <w:t>1</w:t>
            </w:r>
            <w:r>
              <w:rPr>
                <w:rFonts w:hint="eastAsia" w:ascii="宋体" w:hAnsi="宋体" w:eastAsia="宋体" w:cs="宋体"/>
                <w:sz w:val="21"/>
                <w:szCs w:val="21"/>
              </w:rPr>
              <w:t>个</w:t>
            </w:r>
            <w:r>
              <w:rPr>
                <w:rFonts w:hint="eastAsia" w:ascii="宋体" w:hAnsi="宋体" w:eastAsia="宋体" w:cs="宋体"/>
                <w:sz w:val="21"/>
                <w:szCs w:val="21"/>
                <w:lang w:eastAsia="zh-CN"/>
              </w:rPr>
              <w:t>；</w:t>
            </w:r>
            <w:r>
              <w:rPr>
                <w:rFonts w:hint="eastAsia" w:ascii="宋体" w:hAnsi="宋体" w:eastAsia="宋体" w:cs="宋体"/>
                <w:sz w:val="21"/>
                <w:szCs w:val="21"/>
              </w:rPr>
              <w:t xml:space="preserve"> 优盘存储器8G1个</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w:t>
      </w: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三</w:t>
      </w:r>
      <w:r>
        <w:rPr>
          <w:rFonts w:hint="eastAsia" w:ascii="宋体" w:hAnsi="宋体" w:eastAsia="宋体" w:cs="宋体"/>
          <w:b/>
          <w:bCs/>
          <w:color w:val="auto"/>
          <w:highlight w:val="none"/>
        </w:rPr>
        <w:t xml:space="preserve">：超声诊断仪（心脏专业）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highlight w:val="none"/>
              </w:rPr>
              <w:t>一</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highlight w:val="none"/>
              </w:rPr>
              <w:t>主要技术规格及系统概述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highlight w:val="none"/>
              </w:rPr>
              <w:t>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主机成像系统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设备说明和用途：用于开展心脏、腹部、血管、小器官心动图成像等超声检查和相关科研。</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1.1.2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显示器与操作系统：≥21.5英寸高分辨率彩色液晶显示器，无闪烁，不间断逐行扫描，操作面板可360°旋转。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kern w:val="0"/>
                <w:sz w:val="21"/>
                <w:szCs w:val="21"/>
                <w:highlight w:val="none"/>
                <w:lang w:val="en-US" w:eastAsia="zh-CN"/>
              </w:rPr>
            </w:pPr>
            <w:r>
              <w:rPr>
                <w:rFonts w:hint="eastAsia" w:ascii="宋体" w:hAnsi="宋体" w:eastAsia="宋体" w:cs="宋体"/>
                <w:color w:val="auto"/>
                <w:sz w:val="21"/>
                <w:szCs w:val="21"/>
                <w:highlight w:val="none"/>
                <w:shd w:val="clear" w:color="auto"/>
              </w:rPr>
              <w:t>★1.1.3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kern w:val="0"/>
                <w:sz w:val="21"/>
                <w:szCs w:val="21"/>
                <w:highlight w:val="none"/>
                <w:lang w:val="en-US" w:eastAsia="zh-CN"/>
              </w:rPr>
            </w:pPr>
            <w:r>
              <w:rPr>
                <w:rFonts w:hint="eastAsia" w:ascii="宋体" w:hAnsi="宋体" w:eastAsia="宋体" w:cs="宋体"/>
                <w:sz w:val="21"/>
                <w:szCs w:val="21"/>
                <w:highlight w:val="none"/>
              </w:rPr>
              <w:t>操作键盘：多方向控制转位, 可升降，具有触摸屏操作界面≥12英寸，触摸屏可显示触摸操作键盘，</w:t>
            </w:r>
            <w:r>
              <w:rPr>
                <w:rFonts w:hint="eastAsia" w:ascii="宋体" w:hAnsi="宋体" w:eastAsia="宋体" w:cs="宋体"/>
                <w:spacing w:val="16"/>
                <w:sz w:val="21"/>
                <w:szCs w:val="21"/>
                <w:highlight w:val="none"/>
              </w:rPr>
              <w:t>具备术者模式，即触摸屏和主屏幕可同时显示超声图像，便于临床操作。</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数字多声束形成器，全程动态聚焦，动态聚焦长度可调。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二维图像灰阶≥256</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系统接收超声信号动态范围≥300dB</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一键优化TGC曲线，可实时优化二维、对比度、动态范围，可通过触摸屏操作。</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空间复合成像技术，同时作用于发射和接收,支持所有凸阵和线阵探头。</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sz w:val="21"/>
                <w:szCs w:val="21"/>
                <w:highlight w:val="none"/>
              </w:rPr>
              <w:t>1.1.9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sz w:val="21"/>
                <w:szCs w:val="21"/>
                <w:highlight w:val="none"/>
              </w:rPr>
              <w:t>系统提供梯形成像技术：凸阵、线阵探头具备扩展成像技术；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自适应图像处理技术或斑点噪音抑制技术；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一键图像优化技术，作用于2D及Doppler,单键操作，可自动调节增益，动态范围，Doppler基线，标尺等参数。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动态实时优化Autoscan技术，无需通过一键优化技术，可自动持续优化图像增益及TGC。</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1.1.13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具备自适应血流成像技术；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highlight w:val="none"/>
              </w:rPr>
              <w:t>1.1.14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具备超高细微分辨血流技术和自适应宽频带彩色多普勒成像技术；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具备自动实时持续增益补偿功能 (AutoSCAN)；</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shd w:val="clear" w:color="auto"/>
              </w:rPr>
              <w:t>★1.1.16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系统具备LGC侧向增益补偿功能，有效补偿心肌侧壁回声失落，具备相关菜单显示</w:t>
            </w:r>
            <w:r>
              <w:rPr>
                <w:rFonts w:hint="eastAsia" w:ascii="宋体" w:hAnsi="宋体" w:eastAsia="宋体" w:cs="宋体"/>
                <w:color w:val="000000"/>
                <w:sz w:val="21"/>
                <w:szCs w:val="21"/>
                <w:highlight w:val="none"/>
              </w:rPr>
              <w:t>，可进行触摸屏滑屏调节，≥4段。</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000000"/>
                <w:kern w:val="0"/>
                <w:sz w:val="21"/>
                <w:szCs w:val="21"/>
                <w:highlight w:val="none"/>
              </w:rPr>
              <w:t>自适应Auto Doppler多普勒技术，可一键实时追踪血管位置，调整彩色多普勒（包括取样框角度、位置、取样容积位置等），自动优化频谱测量以保证测量值的准确性。</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1.1.18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自动辛普森法，可通过对比双幅显示，可自动识别收缩期及舒张期，便捷Simpson’s测量。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▲1.1.19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Purewave纯净波探头技术或XDClear探头技术或HD探头技术或苹果探头技术或单晶体技术。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解剖M型技术,可360度任意旋转M型取样线角度方便准确的进行测量。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具备双幅对比显示，可自动识别收缩期及舒张期，便捷Simpson’s测量。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★1.1.22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000000"/>
                <w:kern w:val="0"/>
                <w:sz w:val="21"/>
                <w:szCs w:val="21"/>
                <w:highlight w:val="none"/>
              </w:rPr>
              <w:t>具备</w:t>
            </w:r>
            <w:r>
              <w:rPr>
                <w:rFonts w:hint="eastAsia" w:ascii="宋体" w:hAnsi="宋体" w:eastAsia="宋体" w:cs="宋体"/>
                <w:color w:val="000000"/>
                <w:sz w:val="21"/>
                <w:szCs w:val="21"/>
                <w:highlight w:val="none"/>
              </w:rPr>
              <w:t>组织多普勒技术(TDI/或DTI)，</w:t>
            </w:r>
            <w:r>
              <w:rPr>
                <w:rFonts w:hint="eastAsia" w:ascii="宋体" w:hAnsi="宋体" w:eastAsia="宋体" w:cs="宋体"/>
                <w:color w:val="000000"/>
                <w:kern w:val="0"/>
                <w:sz w:val="21"/>
                <w:szCs w:val="21"/>
                <w:highlight w:val="none"/>
              </w:rPr>
              <w:t>全视野、高帧频组织多普勒，具有彩色，谐波，PW， M型多种模式。提供基于组织多普勒的定量分析，可同时显示32个亚节段的心肌速度曲线、位移曲线、应变及应变率曲线，可用于整体及节段功能评价。</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全屏高清显示，放大后图像显示区域尺寸≥21.5”，分辨率≥1080p，放大后整个显示器屏幕内仅显示有效图像信息，而无其他菜单界面显示。</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具备专业心超工作者定制界面，提高心超医生易用性，可多达30余项功能操作位置自定义调节。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实时三维功能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振元能同时发射声束，提供实时三维显像；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实时任意平面心脏超声成像；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实时三维智能旋转技术，能将整个心脏进行0-360度任意角度的旋转成像,单次旋转角度≤5度。</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三维智能切割功能；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三维血流成像；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三维全容积成像；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三维血流容积成像；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三维高帧频成像；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三维奔流容频成像；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三维单心动周期容积成像；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三维多心动周期容积成像；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实时三维放大功能；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1.1.25.1</w:t>
            </w:r>
            <w:r>
              <w:rPr>
                <w:rFonts w:hint="eastAsia" w:ascii="宋体" w:hAnsi="宋体" w:eastAsia="宋体" w:cs="宋体"/>
                <w:sz w:val="21"/>
                <w:szCs w:val="21"/>
                <w:highlight w:val="none"/>
                <w:lang w:val="en-US" w:eastAsia="zh-CN"/>
              </w:rPr>
              <w:t>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实时任意平面成像（xPlane）,可同屏显示任意相交互的两幅图像。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w:t>
            </w:r>
            <w:r>
              <w:rPr>
                <w:rFonts w:hint="eastAsia" w:ascii="宋体" w:hAnsi="宋体" w:cs="宋体"/>
                <w:sz w:val="21"/>
                <w:szCs w:val="21"/>
                <w:highlight w:val="none"/>
                <w:lang w:val="en-US" w:eastAsia="zh-CN"/>
              </w:rPr>
              <w:t>26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具有低机械指数用于心肌造影成像；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1.1.</w:t>
            </w:r>
            <w:r>
              <w:rPr>
                <w:rFonts w:hint="eastAsia" w:ascii="宋体" w:hAnsi="宋体" w:cs="宋体"/>
                <w:sz w:val="21"/>
                <w:szCs w:val="21"/>
                <w:highlight w:val="none"/>
                <w:lang w:val="en-US" w:eastAsia="zh-CN"/>
              </w:rPr>
              <w:t>27</w:t>
            </w:r>
          </w:p>
        </w:tc>
        <w:tc>
          <w:tcPr>
            <w:tcW w:w="3621" w:type="pct"/>
            <w:vAlign w:val="top"/>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具有微细血流成像技术，可捕捉超微细血流及超低速血流信号，支持凸阵、线阵探头，可用于腹部、浅表、肌骨、儿科、血管等多种应用，具有单独模式、增强模式及2D对比模式。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★1.1.</w:t>
            </w:r>
            <w:r>
              <w:rPr>
                <w:rFonts w:hint="eastAsia" w:ascii="宋体" w:hAnsi="宋体" w:cs="宋体"/>
                <w:color w:val="auto"/>
                <w:sz w:val="21"/>
                <w:szCs w:val="21"/>
                <w:highlight w:val="none"/>
                <w:shd w:val="clear" w:color="auto"/>
                <w:lang w:val="en-US" w:eastAsia="zh-CN"/>
              </w:rPr>
              <w:t>28</w:t>
            </w:r>
          </w:p>
        </w:tc>
        <w:tc>
          <w:tcPr>
            <w:tcW w:w="3621" w:type="pct"/>
            <w:vAlign w:val="top"/>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pacing w:val="16"/>
                <w:sz w:val="21"/>
                <w:szCs w:val="21"/>
                <w:highlight w:val="none"/>
              </w:rPr>
              <w:t>系统必须具备TAC1/TAC2操作键，针对脂肪组织和乳腺组织进行不同的成像校正，避免声波在脂肪组织和腺体组织内传播声速的不同而使成像结果受到影响。</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心脏功能测量与分析</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多普勒血流测量与分析 (含自动多普勒频谱包络计算)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图像存储 (电影) 回放重显及病案管理单元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数字化捕捉、回放、存储静、动态图像，实时图像传输，实时 JPEG 解压缩，可进行参数编程调节。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硬盘≥1TB，DVD／CD图像存储,电影回放重现单元2200帧。</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具备主机硬盘图像数据存储；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1.4.4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病案管理单元包括病人资料、报告、图像等的存储、修改、检索和打印等；</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1.4.5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可根据检查要求对工作站参数（存储、压缩、回放）进行编程调节；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输入/输出信号</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输入：DICOM DATA；</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输出：S-视频、DP高清数字化输出；</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1.5.3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具有DICOM 3.0接口功能；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二</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系统技术参数及要求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系统通用功能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显示器与操作系统：≥21.5英寸高分辨率液晶显示器，无闪烁，不间断逐行扫描，可上下左右任意旋转。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操作面板：多方向控制转位, 可升降，具有≥12英寸触摸屏操作界面。</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▲2.1.3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探头接口：≥4个，并全部激活，接口一致且可互换通用，支持热插拔。</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预设条件: 针对不同的检查脏器,预置最佳化图像的检查条件,减少操作时的调节,及常用所需的外部调节及组合调节</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探头规格</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频率：超宽频带或变频探头</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2.1.5.2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类型：相控阵、线阵、凸阵、矩阵</w:t>
            </w:r>
            <w:r>
              <w:rPr>
                <w:rFonts w:hint="eastAsia" w:ascii="宋体" w:hAnsi="宋体" w:eastAsia="宋体" w:cs="宋体"/>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★2.1.5.3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探头频率和数量要求：所配探头≥</w:t>
            </w:r>
            <w:r>
              <w:rPr>
                <w:rFonts w:hint="eastAsia" w:ascii="宋体" w:hAnsi="宋体" w:eastAsia="宋体" w:cs="宋体"/>
                <w:sz w:val="21"/>
                <w:szCs w:val="21"/>
                <w:highlight w:val="none"/>
                <w:lang w:val="en-US" w:eastAsia="zh-CN"/>
              </w:rPr>
              <w:t>4个，</w:t>
            </w:r>
            <w:r>
              <w:rPr>
                <w:rFonts w:hint="eastAsia" w:ascii="宋体" w:hAnsi="宋体" w:eastAsia="宋体" w:cs="宋体"/>
                <w:sz w:val="21"/>
                <w:szCs w:val="21"/>
                <w:highlight w:val="none"/>
              </w:rPr>
              <w:t>≥</w:t>
            </w:r>
            <w:r>
              <w:rPr>
                <w:rFonts w:hint="eastAsia" w:ascii="宋体" w:hAnsi="宋体" w:eastAsia="宋体" w:cs="宋体"/>
                <w:color w:val="auto"/>
                <w:sz w:val="21"/>
                <w:szCs w:val="21"/>
                <w:highlight w:val="none"/>
                <w:shd w:val="clear" w:color="auto"/>
              </w:rPr>
              <w:t>3</w:t>
            </w:r>
            <w:r>
              <w:rPr>
                <w:rFonts w:hint="eastAsia" w:ascii="宋体" w:hAnsi="宋体" w:eastAsia="宋体" w:cs="宋体"/>
                <w:sz w:val="21"/>
                <w:szCs w:val="21"/>
                <w:highlight w:val="none"/>
              </w:rPr>
              <w:t>个为PureWave纯净波单晶体探头技术或XDClear探头技术或HD探头技术或苹果探头技术</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腹部凸阵探头1个：扫描频率1.0-5.0MHz；</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高频血管探头1个：扫描频率3.0-12.0MHz；</w:t>
            </w:r>
          </w:p>
          <w:p>
            <w:pPr>
              <w:pStyle w:val="4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成人心脏探头1个：扫描频率1.0-5.0MHz；</w:t>
            </w:r>
          </w:p>
          <w:p>
            <w:pPr>
              <w:pStyle w:val="4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color w:val="auto"/>
                <w:sz w:val="21"/>
                <w:szCs w:val="21"/>
                <w:highlight w:val="none"/>
              </w:rPr>
              <w:t>经食道探头1个：扫描频率2.0-7.0MHz；</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二维显像主要参数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成像速度：线阵，全视野，4cm深度时，帧速率≥140帧/秒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扫描线：每帧线密度≥230超声线。</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增益调节：2D/Color/Doppler可独立调节, TGC分段≥8, LGC分段≥4。</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数字式声束形成器：数字式全程动态聚焦，数字式可变孔径及动态变迹，A/D≥12bit。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2.2.5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声束聚焦：发射及接收自动连续聚焦。</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频谱多普勒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显示模式：脉冲多普勒 (PWD)、高脉冲重复频率 (HPRF)、连续波多普勒（CW）。</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发射频率:电子凸阵:PWD:3.0-5.0MHz；电子线阵:PWD:3.5-7.5MHz。</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显示方式：B/D、M/D、D、B/CDV、B/CDE、B/CDV/PW；B/CDE/PW；B/CDV/CW；B/CDE/CW。</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最大测量速度：PWD血流速度：≥ 7.6 m/s；CWD血流速度≥19.0m/s。</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最低测量速度：≤ 1 mm/s (非噪音信号)。</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取样宽度及位置范围：宽度1mm至20mm多级可调。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零位移动：≥9级。</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2.3.8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HighQ自动包络频谱并完成频谱测量计算。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sz w:val="21"/>
                <w:szCs w:val="21"/>
                <w:highlight w:val="none"/>
              </w:rPr>
              <w:t>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b/>
                <w:bCs/>
                <w:sz w:val="21"/>
                <w:szCs w:val="21"/>
                <w:highlight w:val="none"/>
              </w:rPr>
              <w:t>彩色多普勒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显示模式：速度图 (CDV)、能量图 (CDE)、高分辨率血流成像（HD-Color）；BDF/MDF、BDF/MDF/FFT。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扫描速率：相控阵探头，全视野，18 cm深度时，彩色帧率≥ 15 帧/秒。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2.4.3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color w:val="auto"/>
                <w:kern w:val="2"/>
                <w:sz w:val="21"/>
                <w:szCs w:val="21"/>
                <w:highlight w:val="none"/>
                <w:lang w:val="en-US" w:eastAsia="zh-CN" w:bidi="ar-SA"/>
              </w:rPr>
            </w:pPr>
            <w:r>
              <w:rPr>
                <w:rFonts w:hint="eastAsia" w:ascii="宋体" w:hAnsi="宋体" w:eastAsia="宋体" w:cs="宋体"/>
                <w:sz w:val="21"/>
                <w:szCs w:val="21"/>
                <w:highlight w:val="none"/>
              </w:rPr>
              <w:t>显示方式：B/CDV、B/CDV/PW、B/CDV/CW、B/CCD、B/CCD/PW、B/CCD/CW 。</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具有双同步 / 三同步显示(B/D/CFM)。</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显示位置调整：线阵扫描感兴趣的图像范围：-20°～ +20°。</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2.5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超声功率输出调节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B/M、PWD、COLOR DOPPLER。</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输出功率选择分级可调。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2.6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记录装置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内置一体化超声工作站：数字化储存静态及动态图像，动态图像及静态图像以AVI、BMP或JPEG等PC通用格式直接储存。</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DVD-RW or CD—RW图像存储。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USB接口≥４个，用于图像传输。</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cs="宋体"/>
                <w:b/>
                <w:bCs/>
                <w:color w:val="000000"/>
                <w:kern w:val="0"/>
                <w:sz w:val="21"/>
                <w:szCs w:val="21"/>
                <w:highlight w:val="none"/>
                <w:lang w:val="en-US" w:eastAsia="zh-CN"/>
              </w:rPr>
              <w:t>三</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主要配置要求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lang w:val="en-US" w:eastAsia="zh-CN"/>
              </w:rPr>
              <w:t>.1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highlight w:val="none"/>
              </w:rPr>
              <w:t>彩色多普勒超声诊断仪主机1</w:t>
            </w:r>
            <w:r>
              <w:rPr>
                <w:rFonts w:hint="eastAsia" w:ascii="宋体" w:hAnsi="宋体" w:eastAsia="宋体" w:cs="宋体"/>
                <w:color w:val="000000"/>
                <w:kern w:val="0"/>
                <w:sz w:val="21"/>
                <w:szCs w:val="21"/>
                <w:highlight w:val="none"/>
                <w:lang w:val="en-US" w:eastAsia="zh-CN"/>
              </w:rPr>
              <w:t>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rPr>
              <w:t>.2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探头</w:t>
            </w:r>
            <w:r>
              <w:rPr>
                <w:rFonts w:hint="eastAsia" w:ascii="宋体" w:hAnsi="宋体" w:eastAsia="宋体" w:cs="宋体"/>
                <w:color w:val="000000"/>
                <w:kern w:val="0"/>
                <w:sz w:val="21"/>
                <w:szCs w:val="21"/>
                <w:highlight w:val="none"/>
              </w:rPr>
              <w:t>≧</w:t>
            </w:r>
            <w:r>
              <w:rPr>
                <w:rFonts w:hint="eastAsia" w:ascii="宋体" w:hAnsi="宋体" w:eastAsia="宋体" w:cs="宋体"/>
                <w:color w:val="000000"/>
                <w:kern w:val="0"/>
                <w:sz w:val="21"/>
                <w:szCs w:val="21"/>
                <w:highlight w:val="none"/>
                <w:lang w:val="en-US" w:eastAsia="zh-CN"/>
              </w:rPr>
              <w:t>4个；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rPr>
              <w:t>.3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lang w:val="en-US" w:eastAsia="zh-CN"/>
              </w:rPr>
              <w:t>PACS</w:t>
            </w:r>
            <w:r>
              <w:rPr>
                <w:rFonts w:hint="eastAsia" w:ascii="宋体" w:hAnsi="宋体" w:eastAsia="宋体" w:cs="宋体"/>
                <w:color w:val="000000"/>
                <w:kern w:val="0"/>
                <w:sz w:val="21"/>
                <w:szCs w:val="21"/>
                <w:highlight w:val="none"/>
                <w:lang w:eastAsia="zh-CN"/>
              </w:rPr>
              <w:t>接口</w:t>
            </w:r>
            <w:r>
              <w:rPr>
                <w:rFonts w:hint="eastAsia" w:ascii="宋体" w:hAnsi="宋体" w:eastAsia="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eastAsia="zh-CN"/>
              </w:rPr>
              <w:t>个，工作站</w:t>
            </w:r>
            <w:r>
              <w:rPr>
                <w:rFonts w:hint="eastAsia" w:ascii="宋体" w:hAnsi="宋体" w:eastAsia="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eastAsia="zh-CN"/>
              </w:rPr>
              <w:t>套含（电脑打印机各一台）。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1"/>
                <w:szCs w:val="21"/>
                <w:highlight w:val="none"/>
              </w:rPr>
            </w:pPr>
            <w:r>
              <w:rPr>
                <w:rFonts w:hint="eastAsia" w:ascii="宋体" w:hAnsi="宋体" w:cs="宋体"/>
                <w:color w:val="000000"/>
                <w:kern w:val="0"/>
                <w:sz w:val="21"/>
                <w:szCs w:val="21"/>
                <w:highlight w:val="none"/>
                <w:lang w:val="en-US" w:eastAsia="zh-CN" w:bidi="ar-SA"/>
              </w:rPr>
              <w:t>3</w:t>
            </w:r>
            <w:r>
              <w:rPr>
                <w:rFonts w:hint="eastAsia" w:ascii="宋体" w:hAnsi="宋体" w:eastAsia="宋体" w:cs="宋体"/>
                <w:color w:val="000000"/>
                <w:kern w:val="0"/>
                <w:sz w:val="21"/>
                <w:szCs w:val="21"/>
                <w:highlight w:val="none"/>
                <w:lang w:val="en-US" w:eastAsia="zh-CN" w:bidi="ar-SA"/>
              </w:rPr>
              <w:t>.4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kern w:val="0"/>
                <w:sz w:val="21"/>
                <w:szCs w:val="21"/>
                <w:highlight w:val="none"/>
                <w:lang w:val="en-US" w:eastAsia="zh-CN"/>
              </w:rPr>
              <w:t>超声检查床</w:t>
            </w:r>
            <w:r>
              <w:rPr>
                <w:rFonts w:hint="eastAsia" w:ascii="宋体" w:hAnsi="宋体" w:eastAsia="宋体" w:cs="宋体"/>
                <w:color w:val="000000"/>
                <w:kern w:val="0"/>
                <w:sz w:val="21"/>
                <w:szCs w:val="21"/>
                <w:highlight w:val="none"/>
              </w:rPr>
              <w:t>1</w:t>
            </w:r>
            <w:r>
              <w:rPr>
                <w:rFonts w:hint="eastAsia" w:ascii="宋体" w:hAnsi="宋体" w:eastAsia="宋体" w:cs="宋体"/>
                <w:color w:val="000000"/>
                <w:kern w:val="0"/>
                <w:sz w:val="21"/>
                <w:szCs w:val="21"/>
                <w:highlight w:val="none"/>
                <w:lang w:val="en-US" w:eastAsia="zh-CN"/>
              </w:rPr>
              <w:t>台</w:t>
            </w:r>
            <w:r>
              <w:rPr>
                <w:rFonts w:hint="eastAsia" w:ascii="宋体" w:hAnsi="宋体" w:eastAsia="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lang w:val="en-US" w:eastAsia="zh-CN"/>
              </w:rPr>
              <w:t>椅</w:t>
            </w:r>
            <w:r>
              <w:rPr>
                <w:rFonts w:hint="eastAsia" w:ascii="宋体" w:hAnsi="宋体" w:eastAsia="宋体" w:cs="宋体"/>
                <w:color w:val="000000"/>
                <w:kern w:val="0"/>
                <w:sz w:val="21"/>
                <w:szCs w:val="21"/>
                <w:highlight w:val="none"/>
              </w:rPr>
              <w:t>1</w:t>
            </w:r>
            <w:r>
              <w:rPr>
                <w:rFonts w:hint="eastAsia" w:ascii="宋体" w:hAnsi="宋体" w:eastAsia="宋体" w:cs="宋体"/>
                <w:color w:val="000000"/>
                <w:kern w:val="0"/>
                <w:sz w:val="21"/>
                <w:szCs w:val="21"/>
                <w:highlight w:val="none"/>
                <w:lang w:val="en-US" w:eastAsia="zh-CN"/>
              </w:rPr>
              <w:t>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w:t>
      </w: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四</w:t>
      </w:r>
      <w:r>
        <w:rPr>
          <w:rFonts w:hint="eastAsia" w:ascii="宋体" w:hAnsi="宋体" w:eastAsia="宋体" w:cs="宋体"/>
          <w:b/>
          <w:bCs/>
          <w:color w:val="auto"/>
          <w:highlight w:val="none"/>
        </w:rPr>
        <w:t xml:space="preserve">：便携式彩色多普勒超声系统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一</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总体要求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1.</w:t>
            </w:r>
            <w:r>
              <w:rPr>
                <w:rFonts w:hint="eastAsia" w:ascii="宋体" w:hAnsi="宋体" w:eastAsia="宋体" w:cs="宋体"/>
                <w:caps/>
                <w:kern w:val="0"/>
                <w:sz w:val="21"/>
                <w:szCs w:val="21"/>
                <w:lang w:val="en-US" w:eastAsia="zh-CN"/>
              </w:rPr>
              <w:t>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适用于腹部、心脏、妇产科、泌尿科、新生儿、术中、介入、血管、浅表组织与小器官等全身应用</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1.</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要求为厂家最新版本及最新出产机型，具有用户现场升级能力，可满足将来临床应用扩展需求</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二</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lang w:val="en-US" w:eastAsia="zh-CN"/>
              </w:rPr>
              <w:t>具体</w:t>
            </w:r>
            <w:r>
              <w:rPr>
                <w:rFonts w:hint="eastAsia" w:ascii="宋体" w:hAnsi="宋体" w:eastAsia="宋体" w:cs="宋体"/>
                <w:b/>
                <w:bCs/>
                <w:caps/>
                <w:kern w:val="0"/>
                <w:sz w:val="21"/>
                <w:szCs w:val="21"/>
              </w:rPr>
              <w:t>技术参数</w:t>
            </w:r>
            <w:r>
              <w:rPr>
                <w:rFonts w:hint="eastAsia" w:ascii="宋体" w:hAnsi="宋体" w:eastAsia="宋体" w:cs="宋体"/>
                <w:b/>
                <w:bCs/>
                <w:caps/>
                <w:kern w:val="0"/>
                <w:sz w:val="21"/>
                <w:szCs w:val="21"/>
                <w:lang w:val="en-US" w:eastAsia="zh-CN"/>
              </w:rPr>
              <w:t>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2.1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彩色多普勒超声波诊断仪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w:t>
            </w:r>
            <w:r>
              <w:rPr>
                <w:rFonts w:hint="eastAsia" w:ascii="宋体" w:hAnsi="宋体" w:eastAsia="宋体" w:cs="宋体"/>
                <w:caps/>
                <w:kern w:val="0"/>
                <w:sz w:val="21"/>
                <w:szCs w:val="21"/>
              </w:rPr>
              <w:t>2.1.1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整机一体式</w:t>
            </w:r>
            <w:r>
              <w:rPr>
                <w:rFonts w:hint="eastAsia" w:ascii="宋体" w:hAnsi="宋体" w:eastAsia="宋体" w:cs="宋体"/>
                <w:caps/>
                <w:kern w:val="0"/>
                <w:sz w:val="21"/>
                <w:szCs w:val="21"/>
                <w:lang w:eastAsia="zh-CN"/>
              </w:rPr>
              <w:t>传统</w:t>
            </w:r>
            <w:r>
              <w:rPr>
                <w:rFonts w:hint="eastAsia" w:ascii="宋体" w:hAnsi="宋体" w:eastAsia="宋体" w:cs="宋体"/>
                <w:caps/>
                <w:kern w:val="0"/>
                <w:sz w:val="21"/>
                <w:szCs w:val="21"/>
                <w:lang w:val="en-US" w:eastAsia="zh-CN"/>
              </w:rPr>
              <w:t>笔记本式超声</w:t>
            </w:r>
            <w:r>
              <w:rPr>
                <w:rFonts w:hint="eastAsia" w:ascii="宋体" w:hAnsi="宋体" w:eastAsia="宋体" w:cs="宋体"/>
                <w:caps/>
                <w:kern w:val="0"/>
                <w:sz w:val="21"/>
                <w:szCs w:val="21"/>
              </w:rPr>
              <w:t>，≥15英寸高清晰度医用彩色液晶显示器。</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系统通用功能：监视器：≥15寸高分辨率、医用专业彩色LED显示屏，整机重量≤6KG，屏幕合起来后最大厚度≤9cm，探头接口可扩展到3个，配备原厂台车，台车配备电池，整机电池使用时间≥3h，主机具备交、直流两用电源供电方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数字化波束增强器</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caps/>
                <w:kern w:val="0"/>
                <w:sz w:val="21"/>
                <w:szCs w:val="21"/>
              </w:rPr>
              <w:t>2.1.4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多倍波束合成</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回波增强技术</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频率复合成像技术</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智能化斑点噪声抑制技术</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aps/>
                <w:kern w:val="0"/>
                <w:sz w:val="21"/>
                <w:szCs w:val="21"/>
              </w:rPr>
              <w:t>2.1.8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组织特异性成像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aps/>
                <w:kern w:val="0"/>
                <w:sz w:val="21"/>
                <w:szCs w:val="21"/>
              </w:rPr>
              <w:t>2.1.9</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lang w:eastAsia="zh-CN"/>
              </w:rPr>
              <w:t>具有</w:t>
            </w:r>
            <w:r>
              <w:rPr>
                <w:rFonts w:hint="eastAsia" w:ascii="宋体" w:hAnsi="宋体" w:eastAsia="宋体" w:cs="宋体"/>
                <w:caps/>
                <w:kern w:val="0"/>
                <w:sz w:val="21"/>
                <w:szCs w:val="21"/>
                <w:lang w:val="en-US" w:eastAsia="zh-CN"/>
              </w:rPr>
              <w:t>B/C双幅实时对比功能；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w:t>
            </w:r>
            <w:r>
              <w:rPr>
                <w:rFonts w:hint="eastAsia" w:ascii="宋体" w:hAnsi="宋体" w:eastAsia="宋体" w:cs="宋体"/>
                <w:kern w:val="0"/>
                <w:sz w:val="21"/>
                <w:szCs w:val="21"/>
              </w:rPr>
              <w:t>2.1.10</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lang w:val="en-US" w:eastAsia="zh-CN"/>
              </w:rPr>
              <w:t>可选配造影功能；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shd w:val="clear" w:color="auto"/>
              </w:rPr>
              <w:t>▲</w:t>
            </w:r>
            <w:r>
              <w:rPr>
                <w:rFonts w:hint="eastAsia" w:ascii="宋体" w:hAnsi="宋体" w:eastAsia="宋体" w:cs="宋体"/>
                <w:caps/>
                <w:kern w:val="0"/>
                <w:sz w:val="21"/>
                <w:szCs w:val="21"/>
              </w:rPr>
              <w:t>2.1.11</w:t>
            </w:r>
          </w:p>
        </w:tc>
        <w:tc>
          <w:tcPr>
            <w:tcW w:w="3621" w:type="pct"/>
            <w:vAlign w:val="center"/>
          </w:tcPr>
          <w:p>
            <w:pPr>
              <w:pStyle w:val="182"/>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lang w:eastAsia="zh-CN"/>
              </w:rPr>
              <w:t>可选配弹性成像功能，具备应变弹性成像，组织硬度定量分析软件和压力曲线提示图标，并具备肿块周边组织壳的弹性定量分析功能，通过对肿块的描迹后可自动计算肿块周边浸润区域（病灶浸润范围大小可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超宽动态血流技术</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彩色能量多普勒（CPD）</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组织谐波成像（THI）</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自适应彩色增强技术</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w:t>
            </w:r>
            <w:r>
              <w:rPr>
                <w:rFonts w:hint="eastAsia" w:ascii="宋体" w:hAnsi="宋体" w:eastAsia="宋体" w:cs="宋体"/>
                <w:caps/>
                <w:kern w:val="0"/>
                <w:sz w:val="21"/>
                <w:szCs w:val="21"/>
                <w:lang w:val="en-US" w:eastAsia="zh-CN"/>
              </w:rPr>
              <w:t>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数字化通道≥1024通道，多倍信号并行处理</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w:t>
            </w:r>
            <w:r>
              <w:rPr>
                <w:rFonts w:hint="eastAsia" w:ascii="宋体" w:hAnsi="宋体" w:eastAsia="宋体" w:cs="宋体"/>
                <w:caps/>
                <w:kern w:val="0"/>
                <w:sz w:val="21"/>
                <w:szCs w:val="21"/>
                <w:lang w:val="en-US" w:eastAsia="zh-CN"/>
              </w:rPr>
              <w:t>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动态范围30—180db，可视可调</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2.1.1</w:t>
            </w:r>
            <w:r>
              <w:rPr>
                <w:rFonts w:hint="eastAsia" w:ascii="宋体" w:hAnsi="宋体" w:eastAsia="宋体" w:cs="宋体"/>
                <w:caps/>
                <w:kern w:val="0"/>
                <w:sz w:val="21"/>
                <w:szCs w:val="21"/>
                <w:lang w:val="en-US" w:eastAsia="zh-CN"/>
              </w:rPr>
              <w:t>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最大显示深度≥</w:t>
            </w:r>
            <w:r>
              <w:rPr>
                <w:rFonts w:hint="eastAsia" w:ascii="宋体" w:hAnsi="宋体" w:eastAsia="宋体" w:cs="宋体"/>
                <w:caps/>
                <w:kern w:val="0"/>
                <w:sz w:val="21"/>
                <w:szCs w:val="21"/>
                <w:lang w:val="en-US" w:eastAsia="zh-CN"/>
              </w:rPr>
              <w:t>40</w:t>
            </w:r>
            <w:r>
              <w:rPr>
                <w:rFonts w:hint="eastAsia" w:ascii="宋体" w:hAnsi="宋体" w:eastAsia="宋体" w:cs="宋体"/>
                <w:caps/>
                <w:kern w:val="0"/>
                <w:sz w:val="21"/>
                <w:szCs w:val="21"/>
              </w:rPr>
              <w:t>CM</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w:t>
            </w:r>
            <w:r>
              <w:rPr>
                <w:rFonts w:hint="eastAsia" w:ascii="宋体" w:hAnsi="宋体" w:eastAsia="宋体" w:cs="宋体"/>
                <w:caps/>
                <w:kern w:val="0"/>
                <w:sz w:val="21"/>
                <w:szCs w:val="21"/>
                <w:lang w:val="en-US" w:eastAsia="zh-CN"/>
              </w:rPr>
              <w:t>19</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扩展成像，要求凸阵、线阵探头可用</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r>
              <w:rPr>
                <w:rFonts w:hint="eastAsia" w:ascii="宋体" w:hAnsi="宋体" w:eastAsia="宋体" w:cs="宋体"/>
                <w:caps/>
                <w:kern w:val="0"/>
                <w:sz w:val="21"/>
                <w:szCs w:val="21"/>
                <w:lang w:val="en-US" w:eastAsia="zh-CN"/>
              </w:rPr>
              <w:t>0</w:t>
            </w:r>
          </w:p>
        </w:tc>
        <w:tc>
          <w:tcPr>
            <w:tcW w:w="3621" w:type="pct"/>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iZoom图像一键实现全屏放大功能</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r>
              <w:rPr>
                <w:rFonts w:hint="eastAsia" w:ascii="宋体" w:hAnsi="宋体" w:eastAsia="宋体" w:cs="宋体"/>
                <w:caps/>
                <w:kern w:val="0"/>
                <w:sz w:val="21"/>
                <w:szCs w:val="21"/>
                <w:lang w:val="en-US" w:eastAsia="zh-CN"/>
              </w:rPr>
              <w:t>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支持语言，英语,中文（包括键盘输入、注释、操作面板等）</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支持DICOM 3.0</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r>
              <w:rPr>
                <w:rFonts w:hint="eastAsia" w:ascii="宋体" w:hAnsi="宋体" w:eastAsia="宋体" w:cs="宋体"/>
                <w:caps/>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内置锂电池操作</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2.1.2</w:t>
            </w:r>
            <w:r>
              <w:rPr>
                <w:rFonts w:hint="eastAsia" w:ascii="宋体" w:hAnsi="宋体" w:eastAsia="宋体" w:cs="宋体"/>
                <w:caps/>
                <w:kern w:val="0"/>
                <w:sz w:val="21"/>
                <w:szCs w:val="21"/>
                <w:lang w:val="en-US" w:eastAsia="zh-CN"/>
              </w:rPr>
              <w:t>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所配软件为最新版本</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2.2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测量和分析</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aps/>
                <w:kern w:val="0"/>
                <w:sz w:val="21"/>
                <w:szCs w:val="21"/>
                <w:lang w:val="en-US" w:eastAsia="zh-CN"/>
              </w:rPr>
            </w:pPr>
            <w:r>
              <w:rPr>
                <w:rFonts w:hint="eastAsia" w:ascii="宋体" w:hAnsi="宋体" w:eastAsia="宋体" w:cs="宋体"/>
                <w:b w:val="0"/>
                <w:bCs w:val="0"/>
                <w:caps/>
                <w:kern w:val="0"/>
                <w:sz w:val="21"/>
                <w:szCs w:val="21"/>
                <w:lang w:val="en-US" w:eastAsia="zh-CN"/>
              </w:rPr>
              <w:t>2.2.1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aps/>
                <w:kern w:val="0"/>
                <w:sz w:val="21"/>
                <w:szCs w:val="21"/>
              </w:rPr>
            </w:pPr>
            <w:r>
              <w:rPr>
                <w:rFonts w:hint="eastAsia" w:ascii="宋体" w:hAnsi="宋体" w:eastAsia="宋体" w:cs="宋体"/>
                <w:b w:val="0"/>
                <w:bCs w:val="0"/>
                <w:caps/>
                <w:kern w:val="0"/>
                <w:sz w:val="21"/>
                <w:szCs w:val="21"/>
              </w:rPr>
              <w:t>测量和分析：(B型、M型、频谱多普勒、彩色模式)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一般测量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妇产科测量（包括孕期、预产期、胎重的分析及显示，胎儿生长曲线（单幅和多幅同时显示）、多数据对比图、子宫卵巢和卵泡的测量和计算以及全面的可编辑的报告功能）</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多普勒血流测量与分析</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实时多普勒自动包络、测量和计算</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心脏功能测量以及各瓣膜功能的测量、分析及报告</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腹部、妇科、产科、心脏、泌尿、小器官、儿科、血管、神经、急诊科测量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一体化图像存储与(电影)回放重现及病案管理单元</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9</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声图像静态、动态存储原始数据回放重现</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w:t>
            </w:r>
            <w:r>
              <w:rPr>
                <w:rFonts w:hint="eastAsia" w:ascii="宋体" w:hAnsi="宋体" w:eastAsia="宋体" w:cs="宋体"/>
                <w:caps/>
                <w:kern w:val="0"/>
                <w:sz w:val="21"/>
                <w:szCs w:val="21"/>
                <w:lang w:val="en-US" w:eastAsia="zh-CN"/>
              </w:rPr>
              <w:t>10</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原始数据储存</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2.2.1</w:t>
            </w:r>
            <w:r>
              <w:rPr>
                <w:rFonts w:hint="eastAsia" w:ascii="宋体" w:hAnsi="宋体" w:eastAsia="宋体" w:cs="宋体"/>
                <w:caps/>
                <w:kern w:val="0"/>
                <w:sz w:val="21"/>
                <w:szCs w:val="21"/>
                <w:lang w:val="en-US" w:eastAsia="zh-CN"/>
              </w:rPr>
              <w:t>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一体化病案管理单元包括病人资料、报告、图像等的存储、修改、检索和打印等</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2.2.1</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USB3.0接口，可向外部PC机传送图像并用通用的图像软件来查看图像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2.2.1</w:t>
            </w:r>
            <w:r>
              <w:rPr>
                <w:rFonts w:hint="eastAsia" w:ascii="宋体" w:hAnsi="宋体" w:eastAsia="宋体" w:cs="宋体"/>
                <w:caps/>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可连接心电图信号</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2.3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输入/输出信号</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caps/>
                <w:kern w:val="0"/>
                <w:sz w:val="21"/>
                <w:szCs w:val="21"/>
                <w:lang w:val="en-US" w:eastAsia="zh-CN"/>
              </w:rPr>
            </w:pPr>
            <w:r>
              <w:rPr>
                <w:rFonts w:hint="eastAsia" w:ascii="宋体" w:hAnsi="宋体" w:eastAsia="宋体" w:cs="宋体"/>
                <w:b w:val="0"/>
                <w:bCs w:val="0"/>
                <w:caps/>
                <w:kern w:val="0"/>
                <w:sz w:val="21"/>
                <w:szCs w:val="21"/>
                <w:lang w:val="en-US" w:eastAsia="zh-CN"/>
              </w:rPr>
              <w:t>2.3.1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aps/>
                <w:kern w:val="0"/>
                <w:sz w:val="21"/>
                <w:szCs w:val="21"/>
              </w:rPr>
            </w:pPr>
            <w:r>
              <w:rPr>
                <w:rFonts w:hint="eastAsia" w:ascii="宋体" w:hAnsi="宋体" w:eastAsia="宋体" w:cs="宋体"/>
                <w:b w:val="0"/>
                <w:bCs w:val="0"/>
                <w:caps/>
                <w:kern w:val="0"/>
                <w:sz w:val="21"/>
                <w:szCs w:val="21"/>
              </w:rPr>
              <w:t>输入/输出信号：S端、Ethernet 、VGA 输出</w:t>
            </w:r>
            <w:r>
              <w:rPr>
                <w:rFonts w:hint="eastAsia" w:ascii="宋体" w:hAnsi="宋体" w:eastAsia="宋体" w:cs="宋体"/>
                <w:b w:val="0"/>
                <w:bCs w:val="0"/>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aps/>
                <w:kern w:val="0"/>
                <w:sz w:val="21"/>
                <w:szCs w:val="21"/>
              </w:rPr>
              <w:t>2.3.</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输入：VCR、外部视频、RGB彩色视频</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caps/>
                <w:kern w:val="0"/>
                <w:sz w:val="21"/>
                <w:szCs w:val="21"/>
              </w:rPr>
              <w:t>输出：复合视频、RGB彩色视频，DVD</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2.4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图像管理与记录装置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2.4.1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超声图像存档与病案管理系统</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2.4.2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一体化的剪贴板(在荧光屏上)可以存储和回放动态及静态图像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2.4.</w:t>
            </w:r>
            <w:r>
              <w:rPr>
                <w:rFonts w:hint="eastAsia" w:ascii="宋体" w:hAnsi="宋体" w:eastAsia="宋体" w:cs="宋体"/>
                <w:caps/>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固态硬盘≥120GB</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三</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3.1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系统通用功能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3.1.1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监视器：≥15英寸LED显示器</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扫描方式：逐行扫描，高分辨率</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3.1.2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安全性能：符合国家药品监督管理局商品安全质量要求</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3.2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ind w:firstLine="1" w:firstLineChars="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探头</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shd w:val="clear" w:color="auto"/>
                <w:lang w:val="en-US" w:eastAsia="zh-CN"/>
              </w:rPr>
            </w:pPr>
            <w:r>
              <w:rPr>
                <w:rFonts w:hint="eastAsia" w:ascii="宋体" w:hAnsi="宋体" w:eastAsia="宋体" w:cs="宋体"/>
                <w:b w:val="0"/>
                <w:bCs w:val="0"/>
                <w:color w:val="auto"/>
                <w:sz w:val="21"/>
                <w:szCs w:val="21"/>
                <w:highlight w:val="none"/>
                <w:shd w:val="clear" w:color="auto"/>
              </w:rPr>
              <w:t>▲</w:t>
            </w:r>
            <w:r>
              <w:rPr>
                <w:rFonts w:hint="eastAsia" w:ascii="宋体" w:hAnsi="宋体" w:cs="宋体"/>
                <w:b w:val="0"/>
                <w:bCs w:val="0"/>
                <w:color w:val="auto"/>
                <w:sz w:val="21"/>
                <w:szCs w:val="21"/>
                <w:highlight w:val="none"/>
                <w:shd w:val="clear" w:color="auto"/>
                <w:lang w:val="en-US" w:eastAsia="zh-CN"/>
              </w:rPr>
              <w:t>3.2.1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ind w:firstLine="1" w:firstLineChars="0"/>
              <w:textAlignment w:val="auto"/>
              <w:rPr>
                <w:rFonts w:hint="eastAsia" w:ascii="宋体" w:hAnsi="宋体" w:eastAsia="宋体" w:cs="宋体"/>
                <w:b/>
                <w:bCs/>
                <w:caps/>
                <w:kern w:val="0"/>
                <w:sz w:val="21"/>
                <w:szCs w:val="21"/>
              </w:rPr>
            </w:pPr>
            <w:r>
              <w:rPr>
                <w:rFonts w:hint="eastAsia" w:ascii="宋体" w:hAnsi="宋体" w:eastAsia="宋体" w:cs="宋体"/>
                <w:b w:val="0"/>
                <w:bCs w:val="0"/>
                <w:caps/>
                <w:kern w:val="0"/>
                <w:sz w:val="21"/>
                <w:szCs w:val="21"/>
              </w:rPr>
              <w:t>探头</w:t>
            </w:r>
            <w:r>
              <w:rPr>
                <w:rFonts w:hint="eastAsia" w:ascii="宋体" w:hAnsi="宋体" w:eastAsia="宋体" w:cs="宋体"/>
                <w:b w:val="0"/>
                <w:bCs w:val="0"/>
                <w:caps/>
                <w:kern w:val="0"/>
                <w:sz w:val="21"/>
                <w:szCs w:val="21"/>
                <w:lang w:val="en-US" w:eastAsia="zh-CN"/>
              </w:rPr>
              <w:t>3</w:t>
            </w:r>
            <w:r>
              <w:rPr>
                <w:rFonts w:hint="eastAsia" w:ascii="宋体" w:hAnsi="宋体" w:eastAsia="宋体" w:cs="宋体"/>
                <w:b w:val="0"/>
                <w:bCs w:val="0"/>
                <w:caps/>
                <w:kern w:val="0"/>
                <w:sz w:val="21"/>
                <w:szCs w:val="21"/>
              </w:rPr>
              <w:t>个：</w:t>
            </w:r>
            <w:r>
              <w:rPr>
                <w:rFonts w:hint="eastAsia" w:ascii="宋体" w:hAnsi="宋体" w:eastAsia="宋体" w:cs="宋体"/>
                <w:b w:val="0"/>
                <w:bCs w:val="0"/>
                <w:caps/>
                <w:kern w:val="0"/>
                <w:sz w:val="21"/>
                <w:szCs w:val="21"/>
                <w:lang w:eastAsia="zh-CN"/>
              </w:rPr>
              <w:t>单晶体相控阵</w:t>
            </w:r>
            <w:r>
              <w:rPr>
                <w:rFonts w:hint="eastAsia" w:ascii="宋体" w:hAnsi="宋体" w:eastAsia="宋体" w:cs="宋体"/>
                <w:b w:val="0"/>
                <w:bCs w:val="0"/>
                <w:caps/>
                <w:kern w:val="0"/>
                <w:sz w:val="21"/>
                <w:szCs w:val="21"/>
              </w:rPr>
              <w:t>、线阵、凸阵</w:t>
            </w:r>
            <w:r>
              <w:rPr>
                <w:rFonts w:hint="eastAsia" w:ascii="宋体" w:hAnsi="宋体" w:eastAsia="宋体" w:cs="宋体"/>
                <w:b w:val="0"/>
                <w:bCs w:val="0"/>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频率: 宽频带变频探头,两维和彩色独立变频</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类型：支持凸阵频率1.4-5.1MHZ，线阵频率5.4-13.5MHZ，相控阵1.5-4.5MHZ</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阵元：线阵探头最大有效阵元阵元数≥192阵元</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rPr>
            </w:pPr>
            <w:r>
              <w:rPr>
                <w:rFonts w:hint="eastAsia" w:ascii="宋体" w:hAnsi="宋体" w:eastAsia="宋体" w:cs="宋体"/>
                <w:caps/>
                <w:kern w:val="0"/>
                <w:sz w:val="21"/>
                <w:szCs w:val="21"/>
              </w:rPr>
              <w:t>B/D兼用：</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线阵：B/PWD (13-6MHz)</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相控阵：B/PWD/CWD</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支持热插拔</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凸阵探头具有≥7种频率的变频范围，扫描角度最大扩展后≥100度</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线阵探头具有≥6种频率的变频范围，支持T型扩展显示</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3.2.</w:t>
            </w:r>
            <w:r>
              <w:rPr>
                <w:rFonts w:hint="eastAsia" w:ascii="宋体" w:hAnsi="宋体" w:eastAsia="宋体" w:cs="宋体"/>
                <w:caps/>
                <w:kern w:val="0"/>
                <w:sz w:val="21"/>
                <w:szCs w:val="21"/>
                <w:lang w:val="en-US" w:eastAsia="zh-CN"/>
              </w:rPr>
              <w:t>9</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相控阵探头具有≥6种频率的变频范围，扫描角度≥90度</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3.3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二维灰阶显像主要参数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aps/>
                <w:kern w:val="0"/>
                <w:sz w:val="21"/>
                <w:szCs w:val="21"/>
              </w:rPr>
              <w:t>3.3.1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rPr>
            </w:pPr>
            <w:r>
              <w:rPr>
                <w:rFonts w:hint="eastAsia" w:ascii="宋体" w:hAnsi="宋体" w:eastAsia="宋体" w:cs="宋体"/>
                <w:caps/>
                <w:kern w:val="0"/>
                <w:sz w:val="21"/>
                <w:szCs w:val="21"/>
              </w:rPr>
              <w:t>扫描：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电子凸阵：超声频率1.4-5.1MHz</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电子线阵：超声频率5.4-13.5MHz</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caps/>
                <w:kern w:val="0"/>
                <w:sz w:val="21"/>
                <w:szCs w:val="21"/>
              </w:rPr>
              <w:t>电子相控阵：超声频率1.5-4.5MHZ</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3.3.2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rPr>
            </w:pPr>
            <w:r>
              <w:rPr>
                <w:rFonts w:hint="eastAsia" w:ascii="宋体" w:hAnsi="宋体" w:eastAsia="宋体" w:cs="宋体"/>
                <w:caps/>
                <w:kern w:val="0"/>
                <w:sz w:val="21"/>
                <w:szCs w:val="21"/>
              </w:rPr>
              <w:t>扫描速率：</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B模式凸阵探头全视野，18cm深度时，帧速率≥50帧/秒</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B模式相控阵探头90度，18cm深度时，帧速率≥70 帧/秒</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彩色显示帧频:全视野,18cm深度时, ≥20帧/秒</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3.3.3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扫描线：每帧线密度≥512超声线</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3.3.4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发射声束聚焦：≥8段</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aps/>
                <w:kern w:val="0"/>
                <w:sz w:val="21"/>
                <w:szCs w:val="21"/>
              </w:rPr>
              <w:t>3.3.5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Style w:val="348"/>
                <w:rFonts w:hint="eastAsia" w:ascii="宋体" w:hAnsi="宋体" w:eastAsia="宋体" w:cs="宋体"/>
                <w:b/>
                <w:bCs/>
                <w:sz w:val="21"/>
                <w:szCs w:val="21"/>
                <w:lang w:val="en-US" w:eastAsia="zh-CN" w:bidi="ar"/>
              </w:rPr>
            </w:pPr>
            <w:r>
              <w:rPr>
                <w:rFonts w:hint="eastAsia" w:ascii="宋体" w:hAnsi="宋体" w:eastAsia="宋体" w:cs="宋体"/>
                <w:caps/>
                <w:kern w:val="0"/>
                <w:sz w:val="21"/>
                <w:szCs w:val="21"/>
              </w:rPr>
              <w:t>接收方式：接收超声信号动态范围≥180dB</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3.3.6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回放重现：灰阶图像回放≥1000幅、回放时间≥20秒</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3.3.7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预设条件：针对不同的检查脏器，预置最佳化图像的检查条件，减少操作时的调节，及常用所需的外部调节及组合调节。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w:t>
            </w:r>
            <w:r>
              <w:rPr>
                <w:rFonts w:hint="eastAsia" w:ascii="宋体" w:hAnsi="宋体" w:eastAsia="宋体" w:cs="宋体"/>
                <w:caps/>
                <w:kern w:val="0"/>
                <w:sz w:val="21"/>
                <w:szCs w:val="21"/>
              </w:rPr>
              <w:t>3.3.8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时间增益补偿TGC调节≥8段，LGC调节≥4段</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aps/>
                <w:kern w:val="0"/>
                <w:sz w:val="21"/>
                <w:szCs w:val="21"/>
              </w:rPr>
              <w:t>3.4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aps/>
                <w:kern w:val="0"/>
                <w:sz w:val="21"/>
                <w:szCs w:val="21"/>
              </w:rPr>
              <w:t>频谱多普勒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3.4.1</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rPr>
            </w:pPr>
            <w:r>
              <w:rPr>
                <w:rFonts w:hint="eastAsia" w:ascii="宋体" w:hAnsi="宋体" w:eastAsia="宋体" w:cs="宋体"/>
                <w:caps/>
                <w:kern w:val="0"/>
                <w:sz w:val="21"/>
                <w:szCs w:val="21"/>
              </w:rPr>
              <w:t>方式：</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脉冲波多普勒 PWD</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高脉冲重复频率  HPFF</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连续波多普勒 CWD</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3.4.2</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多普勒发射频率</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线阵≥2段</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凸阵≥2段</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3.4.3</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rPr>
            </w:pPr>
            <w:r>
              <w:rPr>
                <w:rFonts w:hint="eastAsia" w:ascii="宋体" w:hAnsi="宋体" w:eastAsia="宋体" w:cs="宋体"/>
                <w:caps/>
                <w:kern w:val="0"/>
                <w:sz w:val="21"/>
                <w:szCs w:val="21"/>
              </w:rPr>
              <w:t>最大测量速度：</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caps/>
                <w:kern w:val="0"/>
                <w:sz w:val="21"/>
                <w:szCs w:val="21"/>
                <w:lang w:eastAsia="zh-CN"/>
              </w:rPr>
            </w:pPr>
            <w:r>
              <w:rPr>
                <w:rFonts w:hint="eastAsia" w:ascii="宋体" w:hAnsi="宋体" w:eastAsia="宋体" w:cs="宋体"/>
                <w:caps/>
                <w:kern w:val="0"/>
                <w:sz w:val="21"/>
                <w:szCs w:val="21"/>
              </w:rPr>
              <w:t>PWD：血流速度≥8.0 m/s</w:t>
            </w:r>
            <w:r>
              <w:rPr>
                <w:rFonts w:hint="eastAsia" w:ascii="宋体" w:hAnsi="宋体" w:eastAsia="宋体" w:cs="宋体"/>
                <w:caps/>
                <w:kern w:val="0"/>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CWD：血流速度≥17.0 m/s</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3.4.4</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最低测量速度：≤1.0mm/s(非噪声信号)</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3.4.5</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显示方式：B、M、B/M、B/M/CFI、B/D、D、B/CFI/D</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3.4.6</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电影回放：≥20秒</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aps/>
                <w:kern w:val="0"/>
                <w:sz w:val="21"/>
                <w:szCs w:val="21"/>
              </w:rPr>
              <w:t>3.4.7</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caps/>
                <w:kern w:val="0"/>
                <w:sz w:val="21"/>
                <w:szCs w:val="21"/>
              </w:rPr>
              <w:t>取样宽度及位置范围：宽度1mm至16mm；分级</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aps/>
                <w:kern w:val="0"/>
                <w:sz w:val="21"/>
                <w:szCs w:val="21"/>
              </w:rPr>
              <w:t>3.4.8</w:t>
            </w:r>
          </w:p>
        </w:tc>
        <w:tc>
          <w:tcPr>
            <w:tcW w:w="3621" w:type="pct"/>
            <w:vAlign w:val="center"/>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显示控制：反转显示(左/右；上/下)零移位、90度旋转</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shd w:val="clear" w:color="auto"/>
              </w:rPr>
              <w:t>▲</w:t>
            </w:r>
            <w:r>
              <w:rPr>
                <w:rFonts w:hint="eastAsia" w:ascii="宋体" w:hAnsi="宋体" w:eastAsia="宋体" w:cs="宋体"/>
                <w:caps/>
                <w:kern w:val="0"/>
                <w:sz w:val="21"/>
                <w:szCs w:val="21"/>
              </w:rPr>
              <w:t>3.4.9</w:t>
            </w:r>
          </w:p>
        </w:tc>
        <w:tc>
          <w:tcPr>
            <w:tcW w:w="3621" w:type="pct"/>
            <w:vAlign w:val="center"/>
          </w:tcPr>
          <w:p>
            <w:pPr>
              <w:pStyle w:val="182"/>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aps/>
                <w:kern w:val="0"/>
                <w:sz w:val="21"/>
                <w:szCs w:val="21"/>
              </w:rPr>
              <w:t>解剖M型模式 ，要求M取样线≥</w:t>
            </w:r>
            <w:r>
              <w:rPr>
                <w:rFonts w:hint="eastAsia" w:ascii="宋体" w:hAnsi="宋体" w:eastAsia="宋体" w:cs="宋体"/>
                <w:caps/>
                <w:kern w:val="0"/>
                <w:sz w:val="21"/>
                <w:szCs w:val="21"/>
                <w:lang w:val="en-US" w:eastAsia="zh-CN"/>
              </w:rPr>
              <w:t>3</w:t>
            </w:r>
            <w:r>
              <w:rPr>
                <w:rFonts w:hint="eastAsia" w:ascii="宋体" w:hAnsi="宋体" w:eastAsia="宋体" w:cs="宋体"/>
                <w:caps/>
                <w:kern w:val="0"/>
                <w:sz w:val="21"/>
                <w:szCs w:val="21"/>
              </w:rPr>
              <w:t>条，能360度任意旋转角度，同时要求支持实时扫描以及后处理离线分析过程中重构M型图像</w:t>
            </w:r>
            <w:r>
              <w:rPr>
                <w:rFonts w:hint="eastAsia" w:ascii="宋体" w:hAnsi="宋体" w:eastAsia="宋体" w:cs="宋体"/>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b/>
                <w:bCs/>
                <w:caps/>
                <w:kern w:val="0"/>
                <w:sz w:val="21"/>
                <w:szCs w:val="21"/>
                <w:lang w:val="en-US" w:eastAsia="zh-CN"/>
              </w:rPr>
            </w:pPr>
            <w:r>
              <w:rPr>
                <w:rFonts w:hint="eastAsia" w:cs="华文楷体" w:asciiTheme="minorEastAsia" w:hAnsiTheme="minorEastAsia" w:eastAsiaTheme="minorEastAsia"/>
                <w:b/>
                <w:bCs/>
                <w:caps/>
                <w:kern w:val="0"/>
                <w:sz w:val="21"/>
                <w:szCs w:val="21"/>
              </w:rPr>
              <w:t>3.5</w:t>
            </w:r>
          </w:p>
        </w:tc>
        <w:tc>
          <w:tcPr>
            <w:tcW w:w="3621" w:type="pct"/>
            <w:vAlign w:val="center"/>
          </w:tcPr>
          <w:p>
            <w:pPr>
              <w:rPr>
                <w:rFonts w:hint="eastAsia" w:ascii="宋体" w:hAnsi="宋体" w:eastAsia="宋体" w:cs="宋体"/>
                <w:b/>
                <w:bCs/>
                <w:caps/>
                <w:kern w:val="0"/>
                <w:sz w:val="21"/>
                <w:szCs w:val="21"/>
              </w:rPr>
            </w:pPr>
            <w:r>
              <w:rPr>
                <w:rFonts w:hint="eastAsia" w:cs="华文楷体" w:asciiTheme="minorEastAsia" w:hAnsiTheme="minorEastAsia" w:eastAsiaTheme="minorEastAsia"/>
                <w:b/>
                <w:bCs/>
                <w:caps/>
                <w:kern w:val="0"/>
                <w:sz w:val="21"/>
                <w:szCs w:val="21"/>
              </w:rPr>
              <w:t>彩色多普勒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3.5.1</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显示方式：速度分散显示、能量显示、速度显示</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3.5.2</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显示控制：零位移动、黑白与彩色比较、彩色对比</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3.5.3</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彩色增强功能：彩色多普勒能量图(CDE)（包括方向性能量图）</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3.5.4</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双幅实时显示、包括双幅不同模式实时显示（B/B;B/CFM）</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3.5.5</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超声功率输出调节</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3.5.6</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B/M、PWD、Color Doppler输出功率可调</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3.5.7</w:t>
            </w:r>
          </w:p>
        </w:tc>
        <w:tc>
          <w:tcPr>
            <w:tcW w:w="3621" w:type="pct"/>
            <w:vAlign w:val="center"/>
          </w:tcPr>
          <w:p>
            <w:pPr>
              <w:rPr>
                <w:rFonts w:hint="eastAsia" w:ascii="宋体" w:hAnsi="宋体" w:eastAsia="宋体" w:cs="宋体"/>
                <w:caps/>
                <w:kern w:val="0"/>
                <w:sz w:val="21"/>
                <w:szCs w:val="21"/>
              </w:rPr>
            </w:pPr>
            <w:r>
              <w:rPr>
                <w:rFonts w:hint="eastAsia" w:cs="华文楷体" w:asciiTheme="minorEastAsia" w:hAnsiTheme="minorEastAsia" w:eastAsiaTheme="minorEastAsia"/>
                <w:caps/>
                <w:kern w:val="0"/>
                <w:sz w:val="21"/>
                <w:szCs w:val="21"/>
              </w:rPr>
              <w:t>图像与记录；</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3.5.8</w:t>
            </w:r>
          </w:p>
        </w:tc>
        <w:tc>
          <w:tcPr>
            <w:tcW w:w="3621" w:type="pct"/>
            <w:vAlign w:val="center"/>
          </w:tcPr>
          <w:p>
            <w:pPr>
              <w:rPr>
                <w:rFonts w:hint="eastAsia" w:ascii="宋体" w:hAnsi="宋体" w:eastAsia="宋体" w:cs="宋体"/>
                <w:caps/>
                <w:kern w:val="0"/>
                <w:sz w:val="21"/>
                <w:szCs w:val="21"/>
              </w:rPr>
            </w:pPr>
            <w:r>
              <w:rPr>
                <w:rFonts w:hint="eastAsia" w:cs="华文楷体" w:asciiTheme="minorEastAsia" w:hAnsiTheme="minorEastAsia" w:eastAsiaTheme="minorEastAsia"/>
                <w:caps/>
                <w:kern w:val="0"/>
                <w:sz w:val="21"/>
                <w:szCs w:val="21"/>
              </w:rPr>
              <w:t>存储与回放：固态硬盘≥120GB，图像存储与电影回放功能；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3.5.9</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配套可升降原厂台车</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jc w:val="center"/>
              <w:rPr>
                <w:rFonts w:hint="eastAsia" w:ascii="宋体" w:hAnsi="宋体" w:eastAsia="宋体" w:cs="宋体"/>
                <w:caps/>
                <w:kern w:val="0"/>
                <w:sz w:val="21"/>
                <w:szCs w:val="21"/>
                <w:lang w:val="en-US" w:eastAsia="zh-CN"/>
              </w:rPr>
            </w:pPr>
            <w:r>
              <w:rPr>
                <w:rFonts w:hint="eastAsia" w:cs="华文楷体" w:asciiTheme="minorEastAsia" w:hAnsiTheme="minorEastAsia" w:eastAsiaTheme="minorEastAsia"/>
                <w:caps/>
                <w:kern w:val="0"/>
                <w:sz w:val="21"/>
                <w:szCs w:val="21"/>
              </w:rPr>
              <w:t>3.5.10</w:t>
            </w:r>
          </w:p>
        </w:tc>
        <w:tc>
          <w:tcPr>
            <w:tcW w:w="3621" w:type="pct"/>
            <w:vAlign w:val="center"/>
          </w:tcPr>
          <w:p>
            <w:pPr>
              <w:rPr>
                <w:rFonts w:hint="eastAsia" w:ascii="宋体" w:hAnsi="宋体" w:cs="宋体" w:eastAsiaTheme="minorEastAsia"/>
                <w:caps/>
                <w:kern w:val="0"/>
                <w:sz w:val="21"/>
                <w:szCs w:val="21"/>
                <w:lang w:eastAsia="zh-CN"/>
              </w:rPr>
            </w:pPr>
            <w:r>
              <w:rPr>
                <w:rFonts w:hint="eastAsia" w:cs="华文楷体" w:asciiTheme="minorEastAsia" w:hAnsiTheme="minorEastAsia" w:eastAsiaTheme="minorEastAsia"/>
                <w:caps/>
                <w:kern w:val="0"/>
                <w:sz w:val="21"/>
                <w:szCs w:val="21"/>
              </w:rPr>
              <w:t>三探头扩展器</w:t>
            </w:r>
            <w:r>
              <w:rPr>
                <w:rFonts w:hint="eastAsia" w:cs="华文楷体" w:asciiTheme="minorEastAsia" w:hAnsiTheme="minorEastAsia" w:eastAsiaTheme="minorEastAsia"/>
                <w:caps/>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bl>
    <w:p>
      <w:pPr>
        <w:snapToGrid w:val="0"/>
        <w:spacing w:line="360" w:lineRule="auto"/>
        <w:jc w:val="left"/>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五</w:t>
      </w:r>
      <w:r>
        <w:rPr>
          <w:rFonts w:hint="eastAsia" w:ascii="宋体" w:hAnsi="宋体" w:eastAsia="宋体" w:cs="宋体"/>
          <w:b/>
          <w:bCs/>
          <w:color w:val="auto"/>
          <w:highlight w:val="none"/>
        </w:rPr>
        <w:t>：超声诊断仪（妇产专业</w:t>
      </w:r>
      <w:r>
        <w:rPr>
          <w:rFonts w:hint="eastAsia" w:ascii="宋体" w:hAnsi="宋体" w:cs="宋体"/>
          <w:b/>
          <w:bCs/>
          <w:color w:val="auto"/>
          <w:highlight w:val="none"/>
          <w:lang w:eastAsia="zh-CN"/>
        </w:rPr>
        <w:t>）</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一</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设备要求及功能用途</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妇产科、腹部、泌尿科、浅表组织与小器官、外周血管及科研的高档实时三维彩色多普勒超声诊断仪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所投机型</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应为各厂家专业机型且配置软件为该机型最新版本</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color w:val="000000"/>
                <w:kern w:val="0"/>
                <w:sz w:val="21"/>
                <w:szCs w:val="21"/>
              </w:rPr>
              <w:t>二</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both"/>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color w:val="000000"/>
                <w:kern w:val="0"/>
                <w:sz w:val="21"/>
                <w:szCs w:val="21"/>
              </w:rPr>
              <w:t>主要规格及系统概述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000000"/>
                <w:kern w:val="0"/>
                <w:sz w:val="21"/>
                <w:szCs w:val="21"/>
              </w:rPr>
              <w:t>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000000"/>
                <w:kern w:val="0"/>
                <w:sz w:val="21"/>
                <w:szCs w:val="21"/>
              </w:rPr>
              <w:t>系统概述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全数字化彩色超声诊断系统主机</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实时二维扫描成像组件；实时三维扫描成像组件</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编码激励技术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凸型扩展技术，用于二维和彩色血流</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color w:val="000000"/>
                <w:kern w:val="0"/>
                <w:sz w:val="21"/>
                <w:szCs w:val="21"/>
              </w:rPr>
              <w:t>2.1.5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组织多普勒成像技术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实时解剖M型技术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频率复合成像技术FFC，屏幕可显示</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实时空间复合成像技术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000000"/>
                <w:kern w:val="0"/>
                <w:sz w:val="21"/>
                <w:szCs w:val="21"/>
              </w:rPr>
              <w:t>2.1.9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智能化斑点噪声抑制技术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应用于所有成像模式，可实时或后处理实现</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000000"/>
                <w:kern w:val="0"/>
                <w:sz w:val="21"/>
                <w:szCs w:val="21"/>
              </w:rPr>
              <w:t>2.1.10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二维、胎儿面部三维成像，频谱多普勒模式自动图像优化调整</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一体化实时立体成像技术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容积成像速率达到≥46容积/秒</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000000"/>
                <w:kern w:val="0"/>
                <w:sz w:val="21"/>
                <w:szCs w:val="21"/>
              </w:rPr>
              <w:t>▲2.1.12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容积探头扫查角度自动偏转技术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支持腹部/腔内容积探头，无需移动探头，单键可拓展扫查视野，角度最大可达左右各60度</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在2D/CFM/PD模式，可计算灰度直方图和彩色直方图</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二维凸阵探头可以支持CW连续波多普勒成像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便于进行胎儿心脏血流速度测量</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胎儿生长指标自动测量功能</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在获取合适切面的前提下，系统可自动识别测量临床所需的胎儿双顶径，头围，腹围及股骨长度等多个参数</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二维灰阶血流成像技术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采用非多普勒原理，无彩色取样框限制，不需要造影剂，可以对血流进行实时显示，反应血流动力学真实状态</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二维立体血流成像技术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二维探头即可呈现立体血流形态，增强血流边界的显示及可视化效果</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组织弹性成像技术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2.1.19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自由解剖切面技术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用于3D/4D数据或存储的容积数据，对于不规则结构， 可用直线，弧线，曲线，轨迹四种切割方法可显示子宫内膜、胎儿 四肢、脊柱、心脏、血管等任意形状的结构和狭窄程度</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容积对比成像技术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对容积数据进行多切面采集和处理，有效地抑制噪音， 显示具有厚度信息的平面，极大提高A、C平面的对比分辨率</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STIC时间空间相关成像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可应用于4D 胎儿心脏成像技术，可以适用于多种模式或技术</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盆底超声专业测量包，满足国际妇科泌尿协会（IUGA）盆底超声检查规范要求；内置盆底超声智能测量系统，能自动测量子宫最大下降距离和直肠最大下降距离</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窦卵泡智能容积成像具备,自动彩色编码显示，并按照体积大小排序及计数</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▲2.1.24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造影剂成像技术，支持2D及3D探头，低MI 及高MI设置；腔内容积探头支持实时双侧三维输卵管造影功能。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000000"/>
                <w:kern w:val="0"/>
                <w:sz w:val="21"/>
                <w:szCs w:val="21"/>
              </w:rPr>
              <w:t>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rPr>
              <w:t>测量和分析</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sz w:val="21"/>
                <w:szCs w:val="21"/>
              </w:rPr>
            </w:pPr>
            <w:r>
              <w:rPr>
                <w:rFonts w:hint="eastAsia" w:ascii="宋体" w:hAnsi="宋体" w:eastAsia="宋体" w:cs="宋体"/>
                <w:b w:val="0"/>
                <w:bCs/>
                <w:sz w:val="21"/>
                <w:szCs w:val="21"/>
              </w:rPr>
              <w:t>测量和分析：(B型、M型、频谱多普勒、彩色模式、三维模式)</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一般测量（包括腹部、泌尿、小器官（包括甲状腺、乳腺等）等软件包）</w:t>
            </w:r>
            <w:r>
              <w:rPr>
                <w:rFonts w:hint="eastAsia" w:ascii="宋体" w:hAnsi="宋体" w:eastAsia="宋体" w:cs="宋体"/>
                <w:color w:val="000000"/>
                <w:kern w:val="0"/>
                <w:sz w:val="21"/>
                <w:szCs w:val="21"/>
                <w:lang w:val="en-US"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妇、产科测量及心脏超声测量</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多普勒血流测量与分析</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外周血管测量与分析</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定量立体组织测量计算</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2.2.</w:t>
            </w:r>
            <w:r>
              <w:rPr>
                <w:rFonts w:hint="eastAsia" w:ascii="宋体" w:hAnsi="宋体" w:eastAsia="宋体" w:cs="宋体"/>
                <w:color w:val="000000"/>
                <w:kern w:val="0"/>
                <w:sz w:val="21"/>
                <w:szCs w:val="21"/>
                <w:lang w:val="en-US" w:eastAsia="zh-CN"/>
              </w:rPr>
              <w:t>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定量能量直方图显示</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sz w:val="21"/>
                <w:szCs w:val="21"/>
              </w:rPr>
              <w:t>图像存储与(电影)回放重现单元</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2.3.1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超声图像静态、动态存储，以剪贴板形式显示在荧屏上，能以鼠标调用</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2.3.2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可对回放的图像调节增益、基线、彩色图类型、扫描速度</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2.3.3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一体化病案管理单元包括病人资料、报告、图像的存储、修改、检索和打印等</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sz w:val="21"/>
                <w:szCs w:val="21"/>
              </w:rPr>
              <w:t>输入/输出信号</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输入</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S-Video，复合视频</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输出</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复合视频、RGB彩色视频、S—视频、USB、VGA</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DICOM 3.0接口</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2.5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sz w:val="21"/>
                <w:szCs w:val="21"/>
              </w:rPr>
              <w:t>图像管理与记录装置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超声图像存档与病案管理系统（动态图像、静态图像以PC通用格式直接存储，无需特殊软件即能在普通PC 机上直接观看图像）</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主机硬盘≥1TB</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2.5.3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CD－RW/DVD -RW刻录机</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2.5.4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USB接口≥6个，支持USB移动存储设备</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sz w:val="21"/>
                <w:szCs w:val="21"/>
              </w:rPr>
              <w:t>三</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rPr>
              <w:t>技术参数及要求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000000"/>
                <w:kern w:val="0"/>
                <w:sz w:val="21"/>
                <w:szCs w:val="21"/>
              </w:rPr>
              <w:t>3.1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sz w:val="21"/>
                <w:szCs w:val="21"/>
              </w:rPr>
              <w:t>系统通用功能</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主机监视器≥23″ 高分辨率彩色液晶显示器；主机操作面板上具有≥12英寸液晶操作触摸屏；操作控制台可电动调节高度，并可左右转动</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探头接口≥4个（均为无针触点大接口）</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3.2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rPr>
              <w:t>探头规格</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频率：超宽频变频探头， 工作频率明确显示；探头中心频率可选择≥2种</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3.2.2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频率范围</w:t>
            </w:r>
            <w:r>
              <w:rPr>
                <w:rFonts w:hint="eastAsia" w:ascii="宋体" w:hAnsi="宋体" w:eastAsia="宋体" w:cs="宋体"/>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腹部凸阵探头：超声频率2.0 — 5.0 MHz</w:t>
            </w:r>
            <w:r>
              <w:rPr>
                <w:rFonts w:hint="eastAsia" w:ascii="宋体" w:hAnsi="宋体" w:eastAsia="宋体" w:cs="宋体"/>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小器官线阵探头：超声频率6.0 — 13.0 MHz</w:t>
            </w:r>
            <w:r>
              <w:rPr>
                <w:rFonts w:hint="eastAsia" w:ascii="宋体" w:hAnsi="宋体" w:eastAsia="宋体" w:cs="宋体"/>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腹部容积凸阵探头：超声频率2.0 — 8.0 MHz</w:t>
            </w:r>
            <w:r>
              <w:rPr>
                <w:rFonts w:hint="eastAsia" w:ascii="宋体" w:hAnsi="宋体" w:eastAsia="宋体" w:cs="宋体"/>
                <w:color w:val="000000"/>
                <w:kern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腔内容积凸阵探头：超声频率4.0 — 9.0 MHz</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▲3.2.3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扫描角度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腔内容积探头扫描角度≥179°(2D)×120°(3D)</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3.2.4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腹部凸阵探头视角≥110°</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3.3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rPr>
              <w:t>二维灰阶显像主要参数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扫描线</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每帧线密度≥230超声线</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接收方式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发射、接收通道≥1024，多倍信号并行处理，动态范围≥270dB</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数字式声束形成器全程动态聚焦，可变孔径及动态变迹，A/D≥12 bits</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针对不同的检查脏器，预置最佳化图像的检查条件，减少操作时的调节，及常用所需的外部调节及组合调节</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增益调节B/M可独立调节；STC分段≥8</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扫描深度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系统最大扫描深度≥46cm</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3.3.7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放大功能</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实时任意区域局部放大功能</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3.4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sz w:val="21"/>
                <w:szCs w:val="21"/>
              </w:rPr>
              <w:t>频谱多普勒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脉冲波多普勒：PWD、CWD</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最大测量速度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PWD血流速度最大16.0m/s</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 CWD血流速度最大23.0m/s</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最低测量速度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≤5mm/s(非噪声信号)</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3.4.4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显示方式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B、B/D、B/M、B＋B、D</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3.4.5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取样宽度及位置范围</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宽度1mm至15mm；分级</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3.5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rPr>
              <w:t>彩色多普勒</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显示方式</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速度分散显示、能量显示，速度显示、分散显示、BDF/MDF、BDF/MDF/FFT</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扇形扫描角度 10°— 113°选择</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显示位置调整：线阵扫描感兴趣的图像范围：-20°～+20°</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显示控制</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零位移动分±15级、黑/白与彩色比较、彩色对比</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彩色增强功能：彩色多普勒能量图(CDE)</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3.5.6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彩色显示速度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最低平均血流测量速度≤3mm/s（非噪声信号）</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3.6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highlight w:val="none"/>
              </w:rPr>
              <w:t>超声功率输出调节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val="0"/>
                <w:bCs w:val="0"/>
                <w:color w:val="000000"/>
                <w:kern w:val="0"/>
                <w:sz w:val="21"/>
                <w:szCs w:val="21"/>
                <w:highlight w:val="none"/>
                <w:lang w:val="en-US" w:eastAsia="zh-CN"/>
              </w:rPr>
            </w:pPr>
            <w:r>
              <w:rPr>
                <w:rFonts w:hint="eastAsia" w:ascii="宋体" w:hAnsi="宋体" w:eastAsia="宋体" w:cs="宋体"/>
                <w:b w:val="0"/>
                <w:bCs w:val="0"/>
                <w:color w:val="000000"/>
                <w:kern w:val="0"/>
                <w:sz w:val="21"/>
                <w:szCs w:val="21"/>
                <w:highlight w:val="none"/>
                <w:lang w:val="en-US" w:eastAsia="zh-CN"/>
              </w:rPr>
              <w:t>3.6.1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超声功率输出调节B/M、PWD、Color Doppler输出功率可调</w:t>
            </w:r>
            <w:r>
              <w:rPr>
                <w:rFonts w:hint="eastAsia" w:ascii="宋体" w:hAnsi="宋体" w:eastAsia="宋体" w:cs="宋体"/>
                <w:b w:val="0"/>
                <w:bCs w:val="0"/>
                <w:sz w:val="21"/>
                <w:szCs w:val="21"/>
                <w:highlight w:val="none"/>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000000"/>
                <w:kern w:val="0"/>
                <w:sz w:val="21"/>
                <w:szCs w:val="21"/>
              </w:rPr>
              <w:t>四</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rPr>
              <w:t>主要配置要求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彩色多普勒超声诊断仪主机1</w:t>
            </w:r>
            <w:r>
              <w:rPr>
                <w:rFonts w:hint="eastAsia" w:ascii="宋体" w:hAnsi="宋体" w:eastAsia="宋体" w:cs="宋体"/>
                <w:color w:val="000000"/>
                <w:kern w:val="0"/>
                <w:sz w:val="21"/>
                <w:szCs w:val="21"/>
                <w:lang w:val="en-US" w:eastAsia="zh-CN"/>
              </w:rPr>
              <w:t>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腹部凸阵探头1</w:t>
            </w:r>
            <w:r>
              <w:rPr>
                <w:rFonts w:hint="eastAsia" w:ascii="宋体" w:hAnsi="宋体" w:eastAsia="宋体" w:cs="宋体"/>
                <w:color w:val="000000"/>
                <w:kern w:val="0"/>
                <w:sz w:val="21"/>
                <w:szCs w:val="21"/>
                <w:lang w:val="en-US" w:eastAsia="zh-CN"/>
              </w:rPr>
              <w:t>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小器官线阵探头1</w:t>
            </w:r>
            <w:r>
              <w:rPr>
                <w:rFonts w:hint="eastAsia" w:ascii="宋体" w:hAnsi="宋体" w:eastAsia="宋体" w:cs="宋体"/>
                <w:color w:val="000000"/>
                <w:kern w:val="0"/>
                <w:sz w:val="21"/>
                <w:szCs w:val="21"/>
                <w:lang w:val="en-US" w:eastAsia="zh-CN"/>
              </w:rPr>
              <w:t>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4.4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腹部容积凸阵探头1</w:t>
            </w:r>
            <w:r>
              <w:rPr>
                <w:rFonts w:hint="eastAsia" w:ascii="宋体" w:hAnsi="宋体" w:eastAsia="宋体" w:cs="宋体"/>
                <w:color w:val="000000"/>
                <w:kern w:val="0"/>
                <w:sz w:val="21"/>
                <w:szCs w:val="21"/>
                <w:lang w:val="en-US" w:eastAsia="zh-CN"/>
              </w:rPr>
              <w:t>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rPr>
              <w:t>4.6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rPr>
              <w:t>腔内容积凸阵探头1</w:t>
            </w:r>
            <w:r>
              <w:rPr>
                <w:rFonts w:hint="eastAsia" w:ascii="宋体" w:hAnsi="宋体" w:eastAsia="宋体" w:cs="宋体"/>
                <w:color w:val="000000"/>
                <w:kern w:val="0"/>
                <w:sz w:val="21"/>
                <w:szCs w:val="21"/>
                <w:lang w:val="en-US" w:eastAsia="zh-CN"/>
              </w:rPr>
              <w:t>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lang w:val="en-US" w:eastAsia="zh-CN"/>
              </w:rPr>
              <w:t>腔内二维探头</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个</w:t>
            </w:r>
            <w:r>
              <w:rPr>
                <w:rFonts w:hint="eastAsia" w:ascii="宋体" w:hAnsi="宋体" w:eastAsia="宋体" w:cs="宋体"/>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tabs>
                <w:tab w:val="center" w:pos="420"/>
              </w:tabs>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000000"/>
                <w:kern w:val="0"/>
                <w:sz w:val="21"/>
                <w:szCs w:val="21"/>
                <w:lang w:val="en-US" w:eastAsia="zh-CN"/>
              </w:rPr>
              <w:t>PACS</w:t>
            </w:r>
            <w:r>
              <w:rPr>
                <w:rFonts w:hint="eastAsia" w:ascii="宋体" w:hAnsi="宋体" w:eastAsia="宋体" w:cs="宋体"/>
                <w:color w:val="000000"/>
                <w:kern w:val="0"/>
                <w:sz w:val="21"/>
                <w:szCs w:val="21"/>
                <w:lang w:eastAsia="zh-CN"/>
              </w:rPr>
              <w:t>接口</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eastAsia="zh-CN"/>
              </w:rPr>
              <w:t>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tabs>
                <w:tab w:val="center" w:pos="420"/>
              </w:tabs>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eastAsia="zh-CN"/>
              </w:rPr>
              <w:t>工作站</w:t>
            </w: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lang w:eastAsia="zh-CN"/>
              </w:rPr>
              <w:t>套含（电脑打印机各一台）；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tabs>
                <w:tab w:val="center" w:pos="420"/>
              </w:tabs>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超声检查床</w:t>
            </w: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台，</w:t>
            </w:r>
            <w:r>
              <w:rPr>
                <w:rFonts w:hint="eastAsia" w:ascii="宋体" w:hAnsi="宋体" w:eastAsia="宋体" w:cs="宋体"/>
                <w:color w:val="000000"/>
                <w:kern w:val="0"/>
                <w:sz w:val="21"/>
                <w:szCs w:val="21"/>
                <w:highlight w:val="none"/>
                <w:lang w:val="en-US" w:eastAsia="zh-CN"/>
              </w:rPr>
              <w:t>椅</w:t>
            </w:r>
            <w:r>
              <w:rPr>
                <w:rFonts w:hint="eastAsia" w:ascii="宋体" w:hAnsi="宋体" w:eastAsia="宋体" w:cs="宋体"/>
                <w:color w:val="000000"/>
                <w:kern w:val="0"/>
                <w:sz w:val="21"/>
                <w:szCs w:val="21"/>
                <w:highlight w:val="none"/>
              </w:rPr>
              <w:t>1</w:t>
            </w:r>
            <w:r>
              <w:rPr>
                <w:rFonts w:hint="eastAsia" w:ascii="宋体" w:hAnsi="宋体" w:eastAsia="宋体" w:cs="宋体"/>
                <w:color w:val="000000"/>
                <w:kern w:val="0"/>
                <w:sz w:val="21"/>
                <w:szCs w:val="21"/>
                <w:highlight w:val="none"/>
                <w:lang w:val="en-US" w:eastAsia="zh-CN"/>
              </w:rPr>
              <w:t>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w:t>
      </w: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六</w:t>
      </w:r>
      <w:r>
        <w:rPr>
          <w:rFonts w:hint="eastAsia" w:ascii="宋体" w:hAnsi="宋体" w:eastAsia="宋体" w:cs="宋体"/>
          <w:b/>
          <w:bCs/>
          <w:color w:val="auto"/>
          <w:highlight w:val="none"/>
        </w:rPr>
        <w:t>：手术显微镜</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一</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光学&amp;照明系统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1</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独特的3角度照明系统，内置黄斑保护滤镜</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2</w:t>
            </w:r>
          </w:p>
        </w:tc>
        <w:tc>
          <w:tcPr>
            <w:tcW w:w="3621" w:type="pct"/>
            <w:vAlign w:val="top"/>
          </w:tcPr>
          <w:p>
            <w:pPr>
              <w:keepNext w:val="0"/>
              <w:keepLines w:val="0"/>
              <w:pageBreakBefore w:val="0"/>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12V100W卤素灯同轴光照明，明亮清晰，色彩真实</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3</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sz w:val="21"/>
                <w:szCs w:val="21"/>
              </w:rPr>
              <w:t>全光路APO复消色差技术</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4</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rPr>
              <w:t>防污染镀膜镜头，使用更持久，维护更轻松</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5</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物镜：焦距≥200mm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6</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调焦范围：≥60mm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7</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目镜：12.5X</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8</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瞳距可调目镜，倾斜角度：45度～90度可调</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9</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总放大倍率：4.2~21X连续可调</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rPr>
              <w:t>10</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独立变倍调焦立体助手镜，配合流畅，示教简单</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二</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rPr>
              <w:t>控制系统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rPr>
              <w:t>1</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XY系统移动范围: ≥50×50毫米，可以通过脚踏调节</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lang w:val="en-US" w:eastAsia="zh-CN"/>
              </w:rPr>
              <w:t>2.</w:t>
            </w:r>
            <w:r>
              <w:rPr>
                <w:rFonts w:hint="eastAsia" w:ascii="宋体" w:hAnsi="宋体" w:eastAsia="宋体" w:cs="宋体"/>
                <w:sz w:val="21"/>
                <w:szCs w:val="21"/>
              </w:rPr>
              <w:t>2</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16功能脚踏，可根据医生需要设置不同位置按键功能</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lang w:val="en-US" w:eastAsia="zh-CN"/>
              </w:rPr>
              <w:t>2.</w:t>
            </w:r>
            <w:r>
              <w:rPr>
                <w:rFonts w:hint="eastAsia" w:ascii="宋体" w:hAnsi="宋体" w:eastAsia="宋体" w:cs="宋体"/>
                <w:sz w:val="21"/>
                <w:szCs w:val="21"/>
              </w:rPr>
              <w:t>3</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一键复位功能按钮，手术结束后放大倍率、调焦位置一键还原</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rPr>
              <w:t>支架系统</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rPr>
            </w:pPr>
            <w:r>
              <w:rPr>
                <w:rFonts w:hint="eastAsia" w:ascii="宋体" w:hAnsi="宋体" w:eastAsia="宋体" w:cs="宋体"/>
                <w:sz w:val="21"/>
                <w:szCs w:val="21"/>
                <w:lang w:val="en-US" w:eastAsia="zh-CN"/>
              </w:rPr>
              <w:t>3.</w:t>
            </w:r>
            <w:r>
              <w:rPr>
                <w:rFonts w:hint="eastAsia" w:ascii="宋体" w:hAnsi="宋体" w:eastAsia="宋体" w:cs="宋体"/>
                <w:sz w:val="21"/>
                <w:szCs w:val="21"/>
              </w:rPr>
              <w:t>1</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立式支架</w:t>
            </w:r>
            <w:r>
              <w:rPr>
                <w:rFonts w:hint="eastAsia" w:ascii="宋体" w:hAnsi="宋体" w:eastAsia="宋体" w:cs="宋体"/>
                <w:sz w:val="21"/>
                <w:szCs w:val="21"/>
                <w:lang w:eastAsia="zh-CN"/>
              </w:rPr>
              <w:t>，</w:t>
            </w:r>
            <w:r>
              <w:rPr>
                <w:rFonts w:hint="eastAsia" w:ascii="宋体" w:hAnsi="宋体" w:eastAsia="宋体" w:cs="宋体"/>
                <w:sz w:val="21"/>
                <w:szCs w:val="21"/>
              </w:rPr>
              <w:t>其底座装有滑轮能移动（Std：阻尼锁</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2</w:t>
            </w:r>
          </w:p>
        </w:tc>
        <w:tc>
          <w:tcPr>
            <w:tcW w:w="3621" w:type="pct"/>
            <w:vAlign w:val="top"/>
          </w:tcPr>
          <w:p>
            <w:pPr>
              <w:pStyle w:val="335"/>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底座、立柱、横臂及各活动连接处应坚固稳定，调节灵敏。当横臂在升降时，显微镜应无颤动感。整机推移轻便，锁定装置可靠</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四</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sz w:val="21"/>
                <w:szCs w:val="21"/>
                <w:lang w:val="en-US" w:eastAsia="zh-CN"/>
              </w:rPr>
              <w:t>配置清单</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1</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主机</w:t>
            </w:r>
            <w:r>
              <w:rPr>
                <w:rFonts w:hint="eastAsia" w:ascii="宋体" w:hAnsi="宋体" w:eastAsia="宋体" w:cs="宋体"/>
                <w:b w:val="0"/>
                <w:bCs w:val="0"/>
                <w:kern w:val="0"/>
                <w:sz w:val="21"/>
                <w:szCs w:val="21"/>
              </w:rPr>
              <w:t>1台</w:t>
            </w:r>
            <w:r>
              <w:rPr>
                <w:rFonts w:hint="eastAsia" w:ascii="宋体" w:hAnsi="宋体" w:eastAsia="宋体" w:cs="宋体"/>
                <w:b w:val="0"/>
                <w:bCs w:val="0"/>
                <w:kern w:val="0"/>
                <w:sz w:val="21"/>
                <w:szCs w:val="21"/>
                <w:lang w:eastAsia="zh-CN"/>
              </w:rPr>
              <w:t>（</w:t>
            </w:r>
            <w:r>
              <w:rPr>
                <w:rFonts w:hint="eastAsia" w:ascii="宋体" w:hAnsi="宋体" w:eastAsia="宋体" w:cs="宋体"/>
                <w:b w:val="0"/>
                <w:bCs w:val="0"/>
                <w:color w:val="000000"/>
                <w:kern w:val="0"/>
                <w:sz w:val="21"/>
                <w:szCs w:val="21"/>
              </w:rPr>
              <w:t>含：光学头、主镜、X-Y轴平移系统、支架系统（阻尼锁）</w:t>
            </w:r>
            <w:r>
              <w:rPr>
                <w:rFonts w:hint="eastAsia" w:ascii="宋体" w:hAnsi="宋体" w:eastAsia="宋体" w:cs="宋体"/>
                <w:b w:val="0"/>
                <w:bCs w:val="0"/>
                <w:color w:val="00000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2</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助手镜倾角可调双目镜筒</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val="en-US" w:eastAsia="zh-CN"/>
              </w:rPr>
              <w:t>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4.3</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lang w:val="en-US" w:eastAsia="zh-CN"/>
              </w:rPr>
              <w:t>2/8分光器</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val="en-US" w:eastAsia="zh-CN"/>
              </w:rPr>
              <w:t>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4.4</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消毒帽</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val="en-US" w:eastAsia="zh-CN"/>
              </w:rPr>
              <w:t>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4.5</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备用卤素灯泡</w:t>
            </w:r>
            <w:r>
              <w:rPr>
                <w:rFonts w:hint="eastAsia" w:ascii="宋体" w:hAnsi="宋体" w:eastAsia="宋体" w:cs="宋体"/>
                <w:b w:val="0"/>
                <w:bCs w:val="0"/>
                <w:kern w:val="0"/>
                <w:sz w:val="21"/>
                <w:szCs w:val="21"/>
              </w:rPr>
              <w:t>1个</w:t>
            </w:r>
            <w:r>
              <w:rPr>
                <w:rFonts w:hint="eastAsia" w:ascii="宋体" w:hAnsi="宋体" w:eastAsia="宋体" w:cs="宋体"/>
                <w:b w:val="0"/>
                <w:bCs w:val="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4.6</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显微镜专用脚踏</w:t>
            </w:r>
            <w:r>
              <w:rPr>
                <w:rFonts w:hint="eastAsia" w:ascii="宋体" w:hAnsi="宋体" w:eastAsia="宋体" w:cs="宋体"/>
                <w:b w:val="0"/>
                <w:bCs w:val="0"/>
                <w:kern w:val="0"/>
                <w:sz w:val="21"/>
                <w:szCs w:val="21"/>
              </w:rPr>
              <w:t>1个</w:t>
            </w:r>
            <w:r>
              <w:rPr>
                <w:rFonts w:hint="eastAsia" w:ascii="宋体" w:hAnsi="宋体" w:eastAsia="宋体" w:cs="宋体"/>
                <w:b w:val="0"/>
                <w:bCs w:val="0"/>
                <w:kern w:val="0"/>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000000"/>
                <w:kern w:val="0"/>
                <w:sz w:val="21"/>
                <w:szCs w:val="21"/>
                <w:lang w:val="en-US" w:eastAsia="zh-CN"/>
              </w:rPr>
              <w:t>4.7</w:t>
            </w:r>
          </w:p>
        </w:tc>
        <w:tc>
          <w:tcPr>
            <w:tcW w:w="3621" w:type="pct"/>
            <w:vAlign w:val="center"/>
          </w:tcPr>
          <w:p>
            <w:pPr>
              <w:keepNext w:val="0"/>
              <w:keepLines w:val="0"/>
              <w:pageBreakBefore w:val="0"/>
              <w:widowControl/>
              <w:kinsoku/>
              <w:wordWrap/>
              <w:overflowPunct/>
              <w:topLinePunct w:val="0"/>
              <w:autoSpaceDE/>
              <w:autoSpaceDN/>
              <w:bidi w:val="0"/>
              <w:adjustRightInd/>
              <w:snapToGrid/>
              <w:spacing w:line="300" w:lineRule="auto"/>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000000"/>
                <w:kern w:val="0"/>
                <w:sz w:val="21"/>
                <w:szCs w:val="21"/>
              </w:rPr>
              <w:t>防尘罩、说明书</w:t>
            </w:r>
            <w:r>
              <w:rPr>
                <w:rFonts w:hint="eastAsia" w:ascii="宋体" w:hAnsi="宋体" w:eastAsia="宋体" w:cs="宋体"/>
                <w:b w:val="0"/>
                <w:bCs w:val="0"/>
                <w:kern w:val="0"/>
                <w:sz w:val="21"/>
                <w:szCs w:val="21"/>
              </w:rPr>
              <w:t>1</w:t>
            </w:r>
            <w:r>
              <w:rPr>
                <w:rFonts w:hint="eastAsia" w:ascii="宋体" w:hAnsi="宋体" w:eastAsia="宋体" w:cs="宋体"/>
                <w:b w:val="0"/>
                <w:bCs w:val="0"/>
                <w:kern w:val="0"/>
                <w:sz w:val="21"/>
                <w:szCs w:val="21"/>
                <w:lang w:val="en-US" w:eastAsia="zh-CN"/>
              </w:rPr>
              <w:t>套；</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w:t>
      </w:r>
    </w:p>
    <w:p>
      <w:pPr>
        <w:snapToGrid w:val="0"/>
        <w:spacing w:line="360" w:lineRule="auto"/>
        <w:jc w:val="left"/>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eastAsia="宋体" w:cs="宋体"/>
          <w:b/>
          <w:bCs/>
          <w:color w:val="auto"/>
          <w:highlight w:val="none"/>
        </w:rPr>
      </w:pPr>
    </w:p>
    <w:p>
      <w:pPr>
        <w:numPr>
          <w:ilvl w:val="0"/>
          <w:numId w:val="0"/>
        </w:numPr>
        <w:snapToGrid w:val="0"/>
        <w:spacing w:line="240" w:lineRule="auto"/>
        <w:rPr>
          <w:rFonts w:hint="eastAsia"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七</w:t>
      </w:r>
      <w:r>
        <w:rPr>
          <w:rFonts w:hint="eastAsia" w:ascii="宋体" w:hAnsi="宋体" w:eastAsia="宋体" w:cs="宋体"/>
          <w:b/>
          <w:bCs/>
          <w:color w:val="auto"/>
          <w:highlight w:val="none"/>
        </w:rPr>
        <w:t>：医用内窥镜（胃肠镜）</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1批</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val="0"/>
                <w:color w:val="000000"/>
                <w:kern w:val="0"/>
                <w:sz w:val="21"/>
                <w:szCs w:val="21"/>
                <w:lang w:val="en-US" w:eastAsia="zh-CN"/>
              </w:rPr>
            </w:pPr>
            <w:r>
              <w:rPr>
                <w:rFonts w:hint="eastAsia" w:ascii="宋体" w:hAnsi="宋体" w:eastAsia="宋体" w:cs="宋体"/>
                <w:b/>
                <w:bCs w:val="0"/>
                <w:color w:val="000000"/>
                <w:sz w:val="21"/>
                <w:szCs w:val="21"/>
                <w:lang w:val="en-US" w:eastAsia="zh-CN"/>
              </w:rPr>
              <w:t>一</w:t>
            </w:r>
          </w:p>
        </w:tc>
        <w:tc>
          <w:tcPr>
            <w:tcW w:w="3621" w:type="pct"/>
            <w:vAlign w:val="center"/>
          </w:tcPr>
          <w:p>
            <w:pPr>
              <w:shd w:val="clear" w:color="auto" w:fill="FFFFFF"/>
              <w:spacing w:line="276" w:lineRule="auto"/>
              <w:rPr>
                <w:rFonts w:hint="eastAsia" w:ascii="宋体" w:hAnsi="宋体" w:eastAsia="宋体" w:cs="宋体"/>
                <w:b/>
                <w:bCs w:val="0"/>
                <w:color w:val="000000"/>
                <w:kern w:val="0"/>
                <w:sz w:val="21"/>
                <w:szCs w:val="21"/>
              </w:rPr>
            </w:pPr>
            <w:r>
              <w:rPr>
                <w:rFonts w:hint="eastAsia" w:ascii="宋体" w:hAnsi="宋体" w:eastAsia="宋体" w:cs="宋体"/>
                <w:b/>
                <w:bCs w:val="0"/>
                <w:sz w:val="21"/>
                <w:szCs w:val="21"/>
              </w:rPr>
              <w:t>高清电子胃镜</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color w:val="000000"/>
                <w:sz w:val="21"/>
                <w:szCs w:val="21"/>
                <w:lang w:val="en-US" w:eastAsia="zh-CN"/>
              </w:rPr>
              <w:t>数量：2</w:t>
            </w:r>
            <w:r>
              <w:rPr>
                <w:rFonts w:hint="eastAsia" w:ascii="宋体" w:hAnsi="宋体" w:eastAsia="宋体" w:cs="宋体"/>
                <w:b/>
                <w:bCs w:val="0"/>
                <w:color w:val="000000"/>
                <w:sz w:val="21"/>
                <w:szCs w:val="21"/>
              </w:rPr>
              <w:t>条</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.1</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镜子视角：≥140</w:t>
            </w:r>
            <w:r>
              <w:rPr>
                <w:rFonts w:hint="eastAsia" w:ascii="宋体" w:hAnsi="宋体" w:eastAsia="宋体" w:cs="宋体"/>
                <w:sz w:val="21"/>
                <w:szCs w:val="21"/>
              </w:rPr>
              <w:t>°</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.2</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镜子景深范围：3-100mm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kern w:val="0"/>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.3</w:t>
            </w:r>
          </w:p>
        </w:tc>
        <w:tc>
          <w:tcPr>
            <w:tcW w:w="3621" w:type="pct"/>
            <w:vAlign w:val="center"/>
          </w:tcPr>
          <w:p>
            <w:pPr>
              <w:shd w:val="clear" w:color="auto" w:fill="FFFFFF"/>
              <w:spacing w:line="276" w:lineRule="auto"/>
              <w:rPr>
                <w:rFonts w:hint="eastAsia" w:ascii="宋体" w:hAnsi="宋体" w:eastAsia="宋体" w:cs="宋体"/>
                <w:b/>
                <w:bCs/>
                <w:kern w:val="0"/>
                <w:sz w:val="21"/>
                <w:szCs w:val="21"/>
                <w:highlight w:val="none"/>
                <w:lang w:val="en-US" w:eastAsia="zh-CN"/>
              </w:rPr>
            </w:pPr>
            <w:r>
              <w:rPr>
                <w:rFonts w:hint="eastAsia" w:ascii="宋体" w:hAnsi="宋体" w:eastAsia="宋体" w:cs="宋体"/>
                <w:sz w:val="21"/>
                <w:szCs w:val="21"/>
                <w:lang w:val="de-DE"/>
              </w:rPr>
              <w:t>弯曲角度：上≥210°</w:t>
            </w:r>
            <w:r>
              <w:rPr>
                <w:rFonts w:hint="eastAsia" w:ascii="宋体" w:hAnsi="宋体" w:eastAsia="宋体" w:cs="宋体"/>
                <w:sz w:val="21"/>
                <w:szCs w:val="21"/>
                <w:lang w:val="de-DE" w:eastAsia="zh-CN"/>
              </w:rPr>
              <w:t>，</w:t>
            </w:r>
            <w:r>
              <w:rPr>
                <w:rFonts w:hint="eastAsia" w:ascii="宋体" w:hAnsi="宋体" w:eastAsia="宋体" w:cs="宋体"/>
                <w:sz w:val="21"/>
                <w:szCs w:val="21"/>
                <w:lang w:val="de-DE"/>
              </w:rPr>
              <w:t>下≥90°</w:t>
            </w:r>
            <w:r>
              <w:rPr>
                <w:rFonts w:hint="eastAsia" w:ascii="宋体" w:hAnsi="宋体" w:eastAsia="宋体" w:cs="宋体"/>
                <w:sz w:val="21"/>
                <w:szCs w:val="21"/>
                <w:lang w:val="de-DE" w:eastAsia="zh-CN"/>
              </w:rPr>
              <w:t>，</w:t>
            </w:r>
            <w:r>
              <w:rPr>
                <w:rFonts w:hint="eastAsia" w:ascii="宋体" w:hAnsi="宋体" w:eastAsia="宋体" w:cs="宋体"/>
                <w:sz w:val="21"/>
                <w:szCs w:val="21"/>
                <w:lang w:val="de-DE"/>
              </w:rPr>
              <w:t>左≥100º，右≥100º</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1</w:t>
            </w:r>
            <w:r>
              <w:rPr>
                <w:rFonts w:hint="eastAsia" w:ascii="宋体" w:hAnsi="宋体" w:eastAsia="宋体" w:cs="宋体"/>
                <w:bCs/>
                <w:color w:val="000000"/>
                <w:sz w:val="21"/>
                <w:szCs w:val="21"/>
              </w:rPr>
              <w:t>.4</w:t>
            </w:r>
          </w:p>
        </w:tc>
        <w:tc>
          <w:tcPr>
            <w:tcW w:w="3621" w:type="pct"/>
            <w:vAlign w:val="center"/>
          </w:tcPr>
          <w:p>
            <w:pPr>
              <w:shd w:val="clear" w:color="auto" w:fill="FFFFFF"/>
              <w:spacing w:line="276" w:lineRule="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lang w:val="de-DE"/>
              </w:rPr>
              <w:t>先端部外径：≤</w:t>
            </w:r>
            <w:r>
              <w:rPr>
                <w:rFonts w:hint="eastAsia" w:ascii="宋体" w:hAnsi="宋体" w:eastAsia="宋体" w:cs="宋体"/>
                <w:sz w:val="21"/>
                <w:szCs w:val="21"/>
              </w:rPr>
              <w:t>8</w:t>
            </w:r>
            <w:r>
              <w:rPr>
                <w:rFonts w:hint="eastAsia" w:ascii="宋体" w:hAnsi="宋体" w:eastAsia="宋体" w:cs="宋体"/>
                <w:sz w:val="21"/>
                <w:szCs w:val="21"/>
                <w:lang w:val="de-DE"/>
              </w:rPr>
              <w:t>.9mm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val="en-US" w:eastAsia="zh-CN"/>
              </w:rPr>
              <w:t>1</w:t>
            </w: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5</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插入部外径：≤</w:t>
            </w:r>
            <w:r>
              <w:rPr>
                <w:rFonts w:hint="eastAsia" w:ascii="宋体" w:hAnsi="宋体" w:eastAsia="宋体" w:cs="宋体"/>
                <w:sz w:val="21"/>
                <w:szCs w:val="21"/>
              </w:rPr>
              <w:t>8</w:t>
            </w:r>
            <w:r>
              <w:rPr>
                <w:rFonts w:hint="eastAsia" w:ascii="宋体" w:hAnsi="宋体" w:eastAsia="宋体" w:cs="宋体"/>
                <w:sz w:val="21"/>
                <w:szCs w:val="21"/>
                <w:lang w:val="de-DE"/>
              </w:rPr>
              <w:t>.9mm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w:t>
            </w:r>
            <w:r>
              <w:rPr>
                <w:rFonts w:hint="eastAsia" w:ascii="宋体" w:hAnsi="宋体" w:eastAsia="宋体" w:cs="宋体"/>
                <w:bCs/>
                <w:color w:val="000000"/>
                <w:sz w:val="21"/>
                <w:szCs w:val="21"/>
                <w:lang w:val="en-US" w:eastAsia="zh-CN"/>
              </w:rPr>
              <w:t>6</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钳道内径：≥</w:t>
            </w:r>
            <w:r>
              <w:rPr>
                <w:rFonts w:hint="eastAsia" w:ascii="宋体" w:hAnsi="宋体" w:eastAsia="宋体" w:cs="宋体"/>
                <w:sz w:val="21"/>
                <w:szCs w:val="21"/>
              </w:rPr>
              <w:t>2</w:t>
            </w:r>
            <w:r>
              <w:rPr>
                <w:rFonts w:hint="eastAsia" w:ascii="宋体" w:hAnsi="宋体" w:eastAsia="宋体" w:cs="宋体"/>
                <w:sz w:val="21"/>
                <w:szCs w:val="21"/>
                <w:lang w:val="de-DE"/>
              </w:rPr>
              <w:t>.</w:t>
            </w:r>
            <w:r>
              <w:rPr>
                <w:rFonts w:hint="eastAsia" w:ascii="宋体" w:hAnsi="宋体" w:eastAsia="宋体" w:cs="宋体"/>
                <w:sz w:val="21"/>
                <w:szCs w:val="21"/>
              </w:rPr>
              <w:t>8</w:t>
            </w:r>
            <w:r>
              <w:rPr>
                <w:rFonts w:hint="eastAsia" w:ascii="宋体" w:hAnsi="宋体" w:eastAsia="宋体" w:cs="宋体"/>
                <w:sz w:val="21"/>
                <w:szCs w:val="21"/>
                <w:lang w:val="de-DE"/>
              </w:rPr>
              <w:t>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.7</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镜子全长：≥</w:t>
            </w:r>
            <w:r>
              <w:rPr>
                <w:rFonts w:hint="eastAsia" w:ascii="宋体" w:hAnsi="宋体" w:eastAsia="宋体" w:cs="宋体"/>
                <w:sz w:val="21"/>
                <w:szCs w:val="21"/>
              </w:rPr>
              <w:t>13</w:t>
            </w:r>
            <w:r>
              <w:rPr>
                <w:rFonts w:hint="eastAsia" w:ascii="宋体" w:hAnsi="宋体" w:eastAsia="宋体" w:cs="宋体"/>
                <w:sz w:val="21"/>
                <w:szCs w:val="21"/>
                <w:lang w:val="en-US" w:eastAsia="zh-CN"/>
              </w:rPr>
              <w:t>5</w:t>
            </w:r>
            <w:r>
              <w:rPr>
                <w:rFonts w:hint="eastAsia" w:ascii="宋体" w:hAnsi="宋体" w:eastAsia="宋体" w:cs="宋体"/>
                <w:sz w:val="21"/>
                <w:szCs w:val="21"/>
              </w:rPr>
              <w:t>0</w:t>
            </w:r>
            <w:r>
              <w:rPr>
                <w:rFonts w:hint="eastAsia" w:ascii="宋体" w:hAnsi="宋体" w:eastAsia="宋体" w:cs="宋体"/>
                <w:sz w:val="21"/>
                <w:szCs w:val="21"/>
                <w:lang w:val="de-DE"/>
              </w:rPr>
              <w:t>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color w:val="000000"/>
                <w:sz w:val="21"/>
                <w:szCs w:val="21"/>
                <w:lang w:eastAsia="zh-CN"/>
              </w:rPr>
              <w:t>1</w:t>
            </w:r>
            <w:r>
              <w:rPr>
                <w:rFonts w:hint="eastAsia" w:ascii="宋体" w:hAnsi="宋体" w:eastAsia="宋体" w:cs="宋体"/>
                <w:bCs/>
                <w:color w:val="000000"/>
                <w:sz w:val="21"/>
                <w:szCs w:val="21"/>
              </w:rPr>
              <w:t>.8</w:t>
            </w:r>
          </w:p>
        </w:tc>
        <w:tc>
          <w:tcPr>
            <w:tcW w:w="3621" w:type="pct"/>
            <w:vAlign w:val="center"/>
          </w:tcPr>
          <w:p>
            <w:pPr>
              <w:shd w:val="clear" w:color="auto" w:fill="FFFFFF"/>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de-DE"/>
              </w:rPr>
              <w:t>最小可视距离：距先端3.0mm</w:t>
            </w:r>
            <w:r>
              <w:rPr>
                <w:rFonts w:hint="eastAsia" w:ascii="宋体" w:hAnsi="宋体" w:eastAsia="宋体" w:cs="宋体"/>
                <w:sz w:val="21"/>
                <w:szCs w:val="21"/>
                <w:lang w:val="de-DE"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val="0"/>
                <w:color w:val="auto"/>
                <w:sz w:val="21"/>
                <w:szCs w:val="21"/>
                <w:highlight w:val="none"/>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1</w:t>
            </w:r>
            <w:r>
              <w:rPr>
                <w:rFonts w:hint="eastAsia" w:ascii="宋体" w:hAnsi="宋体" w:eastAsia="宋体" w:cs="宋体"/>
                <w:bCs/>
                <w:color w:val="000000"/>
                <w:sz w:val="21"/>
                <w:szCs w:val="21"/>
              </w:rPr>
              <w:t>.</w:t>
            </w:r>
            <w:r>
              <w:rPr>
                <w:rFonts w:hint="eastAsia" w:ascii="宋体" w:hAnsi="宋体" w:eastAsia="宋体" w:cs="宋体"/>
                <w:bCs/>
                <w:sz w:val="21"/>
                <w:szCs w:val="21"/>
              </w:rPr>
              <w:t>9</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兼容NBI窄带成像</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1</w:t>
            </w:r>
            <w:r>
              <w:rPr>
                <w:rFonts w:hint="eastAsia" w:ascii="宋体" w:hAnsi="宋体" w:eastAsia="宋体" w:cs="宋体"/>
                <w:bCs/>
                <w:color w:val="000000"/>
                <w:sz w:val="21"/>
                <w:szCs w:val="21"/>
              </w:rPr>
              <w:t>.</w:t>
            </w:r>
            <w:r>
              <w:rPr>
                <w:rFonts w:hint="eastAsia" w:ascii="宋体" w:hAnsi="宋体" w:eastAsia="宋体" w:cs="宋体"/>
                <w:bCs/>
                <w:sz w:val="21"/>
                <w:szCs w:val="21"/>
              </w:rPr>
              <w:t>10</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黑白CCD</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default" w:ascii="宋体" w:hAnsi="宋体" w:eastAsia="宋体" w:cs="宋体"/>
                <w:b/>
                <w:bCs w:val="0"/>
                <w:color w:val="auto"/>
                <w:sz w:val="21"/>
                <w:szCs w:val="21"/>
                <w:highlight w:val="none"/>
                <w:lang w:val="en-US" w:eastAsia="zh-CN"/>
              </w:rPr>
            </w:pPr>
            <w:r>
              <w:rPr>
                <w:rFonts w:hint="eastAsia" w:ascii="宋体" w:hAnsi="宋体" w:eastAsia="宋体" w:cs="宋体"/>
                <w:b/>
                <w:bCs w:val="0"/>
                <w:sz w:val="21"/>
                <w:szCs w:val="21"/>
                <w:lang w:val="en-US" w:eastAsia="zh-CN"/>
              </w:rPr>
              <w:t>二</w:t>
            </w:r>
          </w:p>
        </w:tc>
        <w:tc>
          <w:tcPr>
            <w:tcW w:w="3621" w:type="pct"/>
            <w:vAlign w:val="center"/>
          </w:tcPr>
          <w:p>
            <w:pPr>
              <w:spacing w:line="276" w:lineRule="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sz w:val="21"/>
                <w:szCs w:val="21"/>
              </w:rPr>
              <w:t>高清电子肠镜</w:t>
            </w:r>
            <w:r>
              <w:rPr>
                <w:rFonts w:hint="eastAsia" w:ascii="宋体" w:hAnsi="宋体" w:eastAsia="宋体" w:cs="宋体"/>
                <w:b/>
                <w:bCs w:val="0"/>
                <w:sz w:val="21"/>
                <w:szCs w:val="21"/>
                <w:lang w:val="en-US" w:eastAsia="zh-CN"/>
              </w:rPr>
              <w:t xml:space="preserve"> </w:t>
            </w:r>
            <w:r>
              <w:rPr>
                <w:rFonts w:hint="eastAsia" w:ascii="宋体" w:hAnsi="宋体" w:cs="宋体"/>
                <w:b/>
                <w:bCs w:val="0"/>
                <w:sz w:val="21"/>
                <w:szCs w:val="21"/>
                <w:lang w:val="en-US" w:eastAsia="zh-CN"/>
              </w:rPr>
              <w:t xml:space="preserve">                                  </w:t>
            </w:r>
            <w:r>
              <w:rPr>
                <w:rFonts w:hint="eastAsia" w:ascii="宋体" w:hAnsi="宋体" w:eastAsia="宋体" w:cs="宋体"/>
                <w:b/>
                <w:bCs w:val="0"/>
                <w:color w:val="000000"/>
                <w:sz w:val="21"/>
                <w:szCs w:val="21"/>
                <w:lang w:val="en-US" w:eastAsia="zh-CN"/>
              </w:rPr>
              <w:t>数量</w:t>
            </w:r>
            <w:r>
              <w:rPr>
                <w:rFonts w:hint="eastAsia" w:ascii="宋体" w:hAnsi="宋体" w:cs="宋体"/>
                <w:b/>
                <w:bCs w:val="0"/>
                <w:color w:val="000000"/>
                <w:sz w:val="21"/>
                <w:szCs w:val="21"/>
                <w:lang w:val="en-US" w:eastAsia="zh-CN"/>
              </w:rPr>
              <w:t>：</w:t>
            </w:r>
            <w:r>
              <w:rPr>
                <w:rFonts w:hint="eastAsia" w:ascii="宋体" w:hAnsi="宋体" w:eastAsia="宋体" w:cs="宋体"/>
                <w:b/>
                <w:bCs w:val="0"/>
                <w:sz w:val="21"/>
                <w:szCs w:val="21"/>
                <w:lang w:val="en-US" w:eastAsia="zh-CN"/>
              </w:rPr>
              <w:t>2</w:t>
            </w:r>
            <w:r>
              <w:rPr>
                <w:rFonts w:hint="eastAsia" w:ascii="宋体" w:hAnsi="宋体" w:eastAsia="宋体" w:cs="宋体"/>
                <w:b/>
                <w:bCs w:val="0"/>
                <w:sz w:val="21"/>
                <w:szCs w:val="21"/>
              </w:rPr>
              <w:t>条</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2</w:t>
            </w:r>
            <w:r>
              <w:rPr>
                <w:rFonts w:hint="eastAsia" w:ascii="宋体" w:hAnsi="宋体" w:eastAsia="宋体" w:cs="宋体"/>
                <w:bCs/>
                <w:sz w:val="21"/>
                <w:szCs w:val="21"/>
              </w:rPr>
              <w:t>.1</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视野角：</w:t>
            </w:r>
            <w:r>
              <w:rPr>
                <w:rFonts w:hint="eastAsia" w:ascii="宋体" w:hAnsi="宋体" w:eastAsia="宋体" w:cs="宋体"/>
                <w:sz w:val="21"/>
                <w:szCs w:val="21"/>
                <w:lang w:val="de-DE"/>
              </w:rPr>
              <w:t>≥</w:t>
            </w:r>
            <w:r>
              <w:rPr>
                <w:rFonts w:hint="eastAsia" w:ascii="宋体" w:hAnsi="宋体" w:eastAsia="宋体" w:cs="宋体"/>
                <w:sz w:val="21"/>
                <w:szCs w:val="21"/>
              </w:rPr>
              <w:t>170°</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rPr>
            </w:pPr>
            <w:r>
              <w:rPr>
                <w:rFonts w:hint="eastAsia" w:ascii="宋体" w:hAnsi="宋体" w:eastAsia="宋体" w:cs="宋体"/>
                <w:bCs/>
                <w:sz w:val="21"/>
                <w:szCs w:val="21"/>
                <w:lang w:eastAsia="zh-CN"/>
              </w:rPr>
              <w:t>2</w:t>
            </w:r>
            <w:r>
              <w:rPr>
                <w:rFonts w:hint="eastAsia" w:ascii="宋体" w:hAnsi="宋体" w:eastAsia="宋体" w:cs="宋体"/>
                <w:bCs/>
                <w:sz w:val="21"/>
                <w:szCs w:val="21"/>
              </w:rPr>
              <w:t>.2</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景深：</w:t>
            </w:r>
            <w:r>
              <w:rPr>
                <w:rFonts w:hint="eastAsia" w:ascii="宋体" w:hAnsi="宋体" w:eastAsia="宋体" w:cs="宋体"/>
                <w:sz w:val="21"/>
                <w:szCs w:val="21"/>
                <w:lang w:val="en-US" w:eastAsia="zh-CN"/>
              </w:rPr>
              <w:t>5</w:t>
            </w:r>
            <w:r>
              <w:rPr>
                <w:rFonts w:hint="eastAsia" w:ascii="宋体" w:hAnsi="宋体" w:eastAsia="宋体" w:cs="宋体"/>
                <w:sz w:val="21"/>
                <w:szCs w:val="21"/>
              </w:rPr>
              <w:t>～100mm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rPr>
            </w:pPr>
            <w:r>
              <w:rPr>
                <w:rFonts w:hint="eastAsia" w:ascii="宋体" w:hAnsi="宋体" w:eastAsia="宋体" w:cs="宋体"/>
                <w:bCs/>
                <w:sz w:val="21"/>
                <w:szCs w:val="21"/>
                <w:lang w:eastAsia="zh-CN"/>
              </w:rPr>
              <w:t>2</w:t>
            </w:r>
            <w:r>
              <w:rPr>
                <w:rFonts w:hint="eastAsia" w:ascii="宋体" w:hAnsi="宋体" w:eastAsia="宋体" w:cs="宋体"/>
                <w:bCs/>
                <w:sz w:val="21"/>
                <w:szCs w:val="21"/>
              </w:rPr>
              <w:t>.3</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先端部外径：</w:t>
            </w:r>
            <w:r>
              <w:rPr>
                <w:rFonts w:hint="eastAsia" w:ascii="宋体" w:hAnsi="宋体" w:eastAsia="宋体" w:cs="宋体"/>
                <w:sz w:val="21"/>
                <w:szCs w:val="21"/>
                <w:lang w:val="de-DE"/>
              </w:rPr>
              <w:t>≤</w:t>
            </w:r>
            <w:r>
              <w:rPr>
                <w:rFonts w:hint="eastAsia" w:ascii="宋体" w:hAnsi="宋体" w:eastAsia="宋体" w:cs="宋体"/>
                <w:sz w:val="21"/>
                <w:szCs w:val="21"/>
              </w:rPr>
              <w:t>12.2mm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.4</w:t>
            </w:r>
          </w:p>
        </w:tc>
        <w:tc>
          <w:tcPr>
            <w:tcW w:w="3621" w:type="pct"/>
            <w:vAlign w:val="center"/>
          </w:tcPr>
          <w:p>
            <w:pPr>
              <w:spacing w:line="276" w:lineRule="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rPr>
              <w:t>插入管外径：</w:t>
            </w:r>
            <w:r>
              <w:rPr>
                <w:rFonts w:hint="eastAsia" w:ascii="宋体" w:hAnsi="宋体" w:eastAsia="宋体" w:cs="宋体"/>
                <w:sz w:val="21"/>
                <w:szCs w:val="21"/>
                <w:lang w:val="de-DE"/>
              </w:rPr>
              <w:t>≤</w:t>
            </w:r>
            <w:r>
              <w:rPr>
                <w:rFonts w:hint="eastAsia" w:ascii="宋体" w:hAnsi="宋体" w:eastAsia="宋体" w:cs="宋体"/>
                <w:sz w:val="21"/>
                <w:szCs w:val="21"/>
              </w:rPr>
              <w:t>12mm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rPr>
            </w:pPr>
            <w:r>
              <w:rPr>
                <w:rFonts w:hint="eastAsia" w:ascii="宋体" w:hAnsi="宋体" w:eastAsia="宋体" w:cs="宋体"/>
                <w:bCs/>
                <w:sz w:val="21"/>
                <w:szCs w:val="21"/>
                <w:lang w:eastAsia="zh-CN"/>
              </w:rPr>
              <w:t>2</w:t>
            </w:r>
            <w:r>
              <w:rPr>
                <w:rFonts w:hint="eastAsia" w:ascii="宋体" w:hAnsi="宋体" w:eastAsia="宋体" w:cs="宋体"/>
                <w:bCs/>
                <w:sz w:val="21"/>
                <w:szCs w:val="21"/>
              </w:rPr>
              <w:t>.</w:t>
            </w:r>
            <w:r>
              <w:rPr>
                <w:rFonts w:hint="eastAsia" w:ascii="宋体" w:hAnsi="宋体" w:eastAsia="宋体" w:cs="宋体"/>
                <w:bCs/>
                <w:sz w:val="21"/>
                <w:szCs w:val="21"/>
                <w:lang w:val="en-US" w:eastAsia="zh-CN"/>
              </w:rPr>
              <w:t>5</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弯曲角度：上</w:t>
            </w:r>
            <w:r>
              <w:rPr>
                <w:rFonts w:hint="eastAsia" w:ascii="宋体" w:hAnsi="宋体" w:eastAsia="宋体" w:cs="宋体"/>
                <w:sz w:val="21"/>
                <w:szCs w:val="21"/>
                <w:lang w:val="de-DE"/>
              </w:rPr>
              <w:t>≥</w:t>
            </w:r>
            <w:r>
              <w:rPr>
                <w:rFonts w:hint="eastAsia" w:ascii="宋体" w:hAnsi="宋体" w:eastAsia="宋体" w:cs="宋体"/>
                <w:sz w:val="21"/>
                <w:szCs w:val="21"/>
              </w:rPr>
              <w:t>180°，下</w:t>
            </w:r>
            <w:r>
              <w:rPr>
                <w:rFonts w:hint="eastAsia" w:ascii="宋体" w:hAnsi="宋体" w:eastAsia="宋体" w:cs="宋体"/>
                <w:sz w:val="21"/>
                <w:szCs w:val="21"/>
                <w:lang w:val="de-DE"/>
              </w:rPr>
              <w:t>≥</w:t>
            </w:r>
            <w:r>
              <w:rPr>
                <w:rFonts w:hint="eastAsia" w:ascii="宋体" w:hAnsi="宋体" w:eastAsia="宋体" w:cs="宋体"/>
                <w:sz w:val="21"/>
                <w:szCs w:val="21"/>
              </w:rPr>
              <w:t>180°，左</w:t>
            </w:r>
            <w:r>
              <w:rPr>
                <w:rFonts w:hint="eastAsia" w:ascii="宋体" w:hAnsi="宋体" w:eastAsia="宋体" w:cs="宋体"/>
                <w:sz w:val="21"/>
                <w:szCs w:val="21"/>
                <w:lang w:val="de-DE"/>
              </w:rPr>
              <w:t>≥</w:t>
            </w: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0°，右</w:t>
            </w:r>
            <w:r>
              <w:rPr>
                <w:rFonts w:hint="eastAsia" w:ascii="宋体" w:hAnsi="宋体" w:eastAsia="宋体" w:cs="宋体"/>
                <w:sz w:val="21"/>
                <w:szCs w:val="21"/>
                <w:lang w:val="de-DE"/>
              </w:rPr>
              <w:t>≥</w:t>
            </w: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0°</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w:t>
            </w:r>
            <w:r>
              <w:rPr>
                <w:rFonts w:hint="eastAsia" w:ascii="宋体" w:hAnsi="宋体" w:eastAsia="宋体" w:cs="宋体"/>
                <w:bCs/>
                <w:sz w:val="21"/>
                <w:szCs w:val="21"/>
                <w:lang w:val="en-US" w:eastAsia="zh-CN"/>
              </w:rPr>
              <w:t>6</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有效长度：</w:t>
            </w:r>
            <w:r>
              <w:rPr>
                <w:rFonts w:hint="eastAsia" w:ascii="宋体" w:hAnsi="宋体" w:eastAsia="宋体" w:cs="宋体"/>
                <w:sz w:val="21"/>
                <w:szCs w:val="21"/>
                <w:lang w:val="de-DE"/>
              </w:rPr>
              <w:t>≥</w:t>
            </w:r>
            <w:r>
              <w:rPr>
                <w:rFonts w:hint="eastAsia" w:ascii="宋体" w:hAnsi="宋体" w:eastAsia="宋体" w:cs="宋体"/>
                <w:sz w:val="21"/>
                <w:szCs w:val="21"/>
              </w:rPr>
              <w:t>1330mm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.7</w:t>
            </w:r>
          </w:p>
        </w:tc>
        <w:tc>
          <w:tcPr>
            <w:tcW w:w="3621" w:type="pct"/>
            <w:vAlign w:val="center"/>
          </w:tcPr>
          <w:p>
            <w:pPr>
              <w:spacing w:line="276" w:lineRule="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rPr>
              <w:t>全长：</w:t>
            </w:r>
            <w:r>
              <w:rPr>
                <w:rFonts w:hint="eastAsia" w:ascii="宋体" w:hAnsi="宋体" w:eastAsia="宋体" w:cs="宋体"/>
                <w:sz w:val="21"/>
                <w:szCs w:val="21"/>
                <w:lang w:val="de-DE"/>
              </w:rPr>
              <w:t>≥</w:t>
            </w:r>
            <w:r>
              <w:rPr>
                <w:rFonts w:hint="eastAsia" w:ascii="宋体" w:hAnsi="宋体" w:eastAsia="宋体" w:cs="宋体"/>
                <w:sz w:val="21"/>
                <w:szCs w:val="21"/>
                <w:lang w:val="en-US" w:eastAsia="zh-CN"/>
              </w:rPr>
              <w:t>1655</w:t>
            </w:r>
            <w:r>
              <w:rPr>
                <w:rFonts w:hint="eastAsia" w:ascii="宋体" w:hAnsi="宋体" w:eastAsia="宋体" w:cs="宋体"/>
                <w:sz w:val="21"/>
                <w:szCs w:val="21"/>
              </w:rPr>
              <w:t>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.8</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最小可视距离：距先端3.0mm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.9</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钳子管道内径：</w:t>
            </w:r>
            <w:r>
              <w:rPr>
                <w:rFonts w:hint="eastAsia" w:ascii="宋体" w:hAnsi="宋体" w:eastAsia="宋体" w:cs="宋体"/>
                <w:sz w:val="21"/>
                <w:szCs w:val="21"/>
                <w:lang w:val="de-DE"/>
              </w:rPr>
              <w:t>≥</w:t>
            </w:r>
            <w:r>
              <w:rPr>
                <w:rFonts w:hint="eastAsia" w:ascii="宋体" w:hAnsi="宋体" w:eastAsia="宋体" w:cs="宋体"/>
                <w:sz w:val="21"/>
                <w:szCs w:val="21"/>
              </w:rPr>
              <w:t>3.2mm</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.10</w:t>
            </w:r>
          </w:p>
        </w:tc>
        <w:tc>
          <w:tcPr>
            <w:tcW w:w="3621" w:type="pct"/>
            <w:vAlign w:val="center"/>
          </w:tcPr>
          <w:p>
            <w:pPr>
              <w:spacing w:line="276" w:lineRule="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具有内镜信息记忆功能</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.11</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具有可变硬度调节功能：操作部具有调节旋转按钮（0、1、2、3档）</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.12</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具有副送水通道</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.13</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具有HFT强力传导功能</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.14</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具有PB智能弯曲功能</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2</w:t>
            </w:r>
            <w:r>
              <w:rPr>
                <w:rFonts w:hint="eastAsia" w:ascii="宋体" w:hAnsi="宋体" w:eastAsia="宋体" w:cs="宋体"/>
                <w:bCs/>
                <w:sz w:val="21"/>
                <w:szCs w:val="21"/>
              </w:rPr>
              <w:t>.1</w:t>
            </w:r>
            <w:r>
              <w:rPr>
                <w:rFonts w:hint="eastAsia" w:ascii="宋体" w:hAnsi="宋体" w:eastAsia="宋体" w:cs="宋体"/>
                <w:bCs/>
                <w:sz w:val="21"/>
                <w:szCs w:val="21"/>
                <w:lang w:val="en-US" w:eastAsia="zh-CN"/>
              </w:rPr>
              <w:t>5</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防水一触式接头，无需防水帽</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2</w:t>
            </w:r>
            <w:r>
              <w:rPr>
                <w:rFonts w:hint="eastAsia" w:ascii="宋体" w:hAnsi="宋体" w:eastAsia="宋体" w:cs="宋体"/>
                <w:bCs/>
                <w:sz w:val="21"/>
                <w:szCs w:val="21"/>
              </w:rPr>
              <w:t>.1</w:t>
            </w:r>
            <w:r>
              <w:rPr>
                <w:rFonts w:hint="eastAsia" w:ascii="宋体" w:hAnsi="宋体" w:eastAsia="宋体" w:cs="宋体"/>
                <w:bCs/>
                <w:sz w:val="21"/>
                <w:szCs w:val="21"/>
                <w:lang w:val="en-US" w:eastAsia="zh-CN"/>
              </w:rPr>
              <w:t>6</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采用三条导光束设计</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2</w:t>
            </w:r>
            <w:r>
              <w:rPr>
                <w:rFonts w:hint="eastAsia" w:ascii="宋体" w:hAnsi="宋体" w:eastAsia="宋体" w:cs="宋体"/>
                <w:bCs/>
                <w:sz w:val="21"/>
                <w:szCs w:val="21"/>
              </w:rPr>
              <w:t>.17</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兼容NBI窄带成像</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spacing w:line="276" w:lineRule="auto"/>
              <w:jc w:val="center"/>
              <w:rPr>
                <w:rFonts w:hint="eastAsia" w:ascii="宋体" w:hAnsi="宋体" w:eastAsia="宋体" w:cs="宋体"/>
                <w:bCs/>
                <w:sz w:val="21"/>
                <w:szCs w:val="21"/>
                <w:lang w:eastAsia="zh-CN"/>
              </w:rPr>
            </w:pPr>
            <w:r>
              <w:rPr>
                <w:rFonts w:hint="eastAsia" w:ascii="宋体" w:hAnsi="宋体" w:eastAsia="宋体" w:cs="宋体"/>
                <w:bCs/>
                <w:sz w:val="21"/>
                <w:szCs w:val="21"/>
              </w:rPr>
              <w:t>▲</w:t>
            </w:r>
            <w:r>
              <w:rPr>
                <w:rFonts w:hint="eastAsia" w:ascii="宋体" w:hAnsi="宋体" w:eastAsia="宋体" w:cs="宋体"/>
                <w:bCs/>
                <w:sz w:val="21"/>
                <w:szCs w:val="21"/>
                <w:lang w:eastAsia="zh-CN"/>
              </w:rPr>
              <w:t>2</w:t>
            </w:r>
            <w:r>
              <w:rPr>
                <w:rFonts w:hint="eastAsia" w:ascii="宋体" w:hAnsi="宋体" w:eastAsia="宋体" w:cs="宋体"/>
                <w:bCs/>
                <w:sz w:val="21"/>
                <w:szCs w:val="21"/>
              </w:rPr>
              <w:t>.18</w:t>
            </w:r>
          </w:p>
        </w:tc>
        <w:tc>
          <w:tcPr>
            <w:tcW w:w="3621" w:type="pct"/>
            <w:vAlign w:val="center"/>
          </w:tcPr>
          <w:p>
            <w:pPr>
              <w:spacing w:line="276" w:lineRule="auto"/>
              <w:rPr>
                <w:rFonts w:hint="eastAsia" w:ascii="宋体" w:hAnsi="宋体" w:eastAsia="宋体" w:cs="宋体"/>
                <w:sz w:val="21"/>
                <w:szCs w:val="21"/>
                <w:lang w:eastAsia="zh-CN"/>
              </w:rPr>
            </w:pPr>
            <w:r>
              <w:rPr>
                <w:rFonts w:hint="eastAsia" w:ascii="宋体" w:hAnsi="宋体" w:eastAsia="宋体" w:cs="宋体"/>
                <w:sz w:val="21"/>
                <w:szCs w:val="21"/>
              </w:rPr>
              <w:t>黑白CCD</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pStyle w:val="2"/>
        <w:rPr>
          <w:rFonts w:hint="eastAsia"/>
        </w:rPr>
      </w:pPr>
    </w:p>
    <w:p>
      <w:pPr>
        <w:numPr>
          <w:ilvl w:val="0"/>
          <w:numId w:val="0"/>
        </w:numPr>
        <w:snapToGrid w:val="0"/>
        <w:spacing w:line="240" w:lineRule="auto"/>
        <w:jc w:val="left"/>
        <w:rPr>
          <w:rFonts w:hint="default" w:ascii="宋体" w:hAnsi="宋体" w:cs="宋体"/>
          <w:b/>
          <w:bCs/>
          <w:color w:val="auto"/>
          <w:highlight w:val="none"/>
          <w:lang w:val="en-US" w:eastAsia="zh-CN"/>
        </w:rPr>
      </w:pPr>
      <w:r>
        <w:rPr>
          <w:rFonts w:hint="eastAsia" w:ascii="宋体" w:hAnsi="宋体" w:eastAsia="宋体" w:cs="宋体"/>
          <w:b/>
          <w:bCs/>
          <w:color w:val="auto"/>
          <w:highlight w:val="none"/>
        </w:rPr>
        <w:t>标项</w:t>
      </w:r>
      <w:r>
        <w:rPr>
          <w:rFonts w:hint="eastAsia" w:ascii="宋体" w:hAnsi="宋体" w:cs="宋体"/>
          <w:b/>
          <w:bCs/>
          <w:color w:val="auto"/>
          <w:highlight w:val="none"/>
          <w:lang w:val="en-US" w:eastAsia="zh-CN"/>
        </w:rPr>
        <w:t>八</w:t>
      </w:r>
      <w:r>
        <w:rPr>
          <w:rFonts w:hint="eastAsia" w:ascii="宋体" w:hAnsi="宋体" w:eastAsia="宋体" w:cs="宋体"/>
          <w:b/>
          <w:bCs/>
          <w:color w:val="auto"/>
          <w:highlight w:val="none"/>
        </w:rPr>
        <w:t>：半导体激光治疗仪（静脉激光闭合系统）</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w:t>
      </w:r>
      <w:r>
        <w:rPr>
          <w:rFonts w:hint="eastAsia" w:ascii="宋体" w:hAnsi="宋体" w:eastAsia="宋体" w:cs="宋体"/>
          <w:b/>
          <w:bCs/>
          <w:color w:val="auto"/>
          <w:highlight w:val="none"/>
          <w:lang w:val="en-US" w:eastAsia="zh-CN"/>
        </w:rPr>
        <w:t xml:space="preserve">       </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rPr>
        <w:t>数量：</w:t>
      </w:r>
      <w:r>
        <w:rPr>
          <w:rFonts w:hint="eastAsia" w:ascii="宋体" w:hAnsi="宋体" w:cs="宋体"/>
          <w:b/>
          <w:bCs/>
          <w:color w:val="auto"/>
          <w:highlight w:val="none"/>
          <w:lang w:val="en-US" w:eastAsia="zh-CN"/>
        </w:rPr>
        <w:t>1套</w:t>
      </w:r>
    </w:p>
    <w:tbl>
      <w:tblPr>
        <w:tblStyle w:val="49"/>
        <w:tblpPr w:leftFromText="180" w:rightFromText="180" w:vertAnchor="text" w:horzAnchor="page" w:tblpX="1809" w:tblpY="409"/>
        <w:tblOverlap w:val="never"/>
        <w:tblW w:w="49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610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362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参数要求</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bCs/>
                <w:sz w:val="21"/>
                <w:szCs w:val="21"/>
                <w:lang w:val="en-US" w:eastAsia="zh-CN"/>
              </w:rPr>
              <w:t>设备用途：用于微创治疗静脉曲张。</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kern w:val="0"/>
                <w:sz w:val="21"/>
                <w:szCs w:val="21"/>
                <w:highlight w:val="none"/>
                <w:lang w:val="en-US" w:eastAsia="zh-CN"/>
              </w:rPr>
            </w:pPr>
            <w:r>
              <w:rPr>
                <w:rFonts w:hint="eastAsia" w:ascii="宋体" w:hAnsi="宋体" w:eastAsia="宋体" w:cs="宋体"/>
                <w:b/>
                <w:bCs/>
                <w:kern w:val="0"/>
                <w:sz w:val="21"/>
                <w:szCs w:val="21"/>
                <w:highlight w:val="none"/>
                <w:lang w:val="en-US" w:eastAsia="zh-CN"/>
              </w:rPr>
              <w:t>二</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kern w:val="0"/>
                <w:sz w:val="21"/>
                <w:szCs w:val="21"/>
                <w:highlight w:val="none"/>
                <w:lang w:val="en-US" w:eastAsia="zh-CN"/>
              </w:rPr>
            </w:pPr>
            <w:r>
              <w:rPr>
                <w:rFonts w:hint="eastAsia" w:ascii="宋体" w:hAnsi="宋体" w:eastAsia="宋体" w:cs="宋体"/>
                <w:b/>
                <w:bCs/>
                <w:sz w:val="21"/>
                <w:szCs w:val="21"/>
                <w:lang w:val="en-US" w:eastAsia="zh-CN"/>
              </w:rPr>
              <w:t>应用范围：</w:t>
            </w:r>
            <w:r>
              <w:rPr>
                <w:rFonts w:hint="eastAsia" w:ascii="宋体" w:hAnsi="宋体" w:eastAsia="宋体" w:cs="宋体"/>
                <w:sz w:val="21"/>
                <w:szCs w:val="21"/>
                <w:lang w:val="en-US" w:eastAsia="zh-CN"/>
              </w:rPr>
              <w:t>适用于外科针对病变组织切割汽化闭合，微创治疗静脉曲张等血管性疾病等。</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三</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功能和技术参数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hAnsi="宋体" w:cs="宋体"/>
                <w:b/>
                <w:bCs/>
                <w:snapToGrid w:val="0"/>
                <w:color w:val="000000"/>
                <w:sz w:val="21"/>
                <w:szCs w:val="21"/>
                <w:highlight w:val="none"/>
              </w:rPr>
              <w:t>★</w:t>
            </w:r>
            <w:r>
              <w:rPr>
                <w:rFonts w:hint="eastAsia" w:ascii="宋体" w:hAnsi="宋体" w:eastAsia="宋体" w:cs="宋体"/>
                <w:color w:val="auto"/>
                <w:sz w:val="21"/>
                <w:szCs w:val="21"/>
                <w:highlight w:val="none"/>
                <w:lang w:val="en-US" w:eastAsia="zh-CN"/>
              </w:rPr>
              <w:t>3.1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en-US" w:eastAsia="zh-CN"/>
              </w:rPr>
              <w:t>激光波长：≥1400</w:t>
            </w:r>
            <w:r>
              <w:rPr>
                <w:rFonts w:hint="eastAsia" w:ascii="宋体" w:hAnsi="宋体" w:eastAsia="宋体" w:cs="宋体"/>
                <w:sz w:val="21"/>
                <w:szCs w:val="21"/>
              </w:rPr>
              <w:t>nm</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高水份吸收率。</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激光类型</w:t>
            </w:r>
            <w:r>
              <w:rPr>
                <w:rFonts w:hint="eastAsia" w:ascii="宋体" w:hAnsi="宋体" w:eastAsia="宋体" w:cs="宋体"/>
                <w:sz w:val="21"/>
                <w:szCs w:val="21"/>
                <w:lang w:eastAsia="zh-CN"/>
              </w:rPr>
              <w:t>：</w:t>
            </w:r>
            <w:r>
              <w:rPr>
                <w:rFonts w:hint="eastAsia" w:ascii="宋体" w:hAnsi="宋体" w:eastAsia="宋体" w:cs="宋体"/>
                <w:sz w:val="21"/>
                <w:szCs w:val="21"/>
              </w:rPr>
              <w:t>高功率半导体（GaAs）</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激光发射时长</w:t>
            </w:r>
            <w:r>
              <w:rPr>
                <w:rFonts w:hint="eastAsia" w:ascii="宋体" w:hAnsi="宋体" w:eastAsia="宋体" w:cs="宋体"/>
                <w:sz w:val="21"/>
                <w:szCs w:val="21"/>
                <w:lang w:eastAsia="zh-CN"/>
              </w:rPr>
              <w:t>：</w:t>
            </w:r>
            <w:r>
              <w:rPr>
                <w:rFonts w:hint="eastAsia" w:ascii="宋体" w:hAnsi="宋体" w:eastAsia="宋体" w:cs="宋体"/>
                <w:sz w:val="21"/>
                <w:szCs w:val="21"/>
              </w:rPr>
              <w:t>＞10000小时</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val="0"/>
                <w:color w:val="auto"/>
                <w:sz w:val="21"/>
                <w:szCs w:val="21"/>
                <w:highlight w:val="none"/>
                <w:lang w:val="en-US" w:eastAsia="zh-CN"/>
              </w:rPr>
            </w:pPr>
            <w:r>
              <w:rPr>
                <w:rFonts w:hint="eastAsia" w:hAnsi="宋体" w:cs="宋体"/>
                <w:b/>
                <w:bCs/>
                <w:snapToGrid w:val="0"/>
                <w:color w:val="000000"/>
                <w:sz w:val="21"/>
                <w:szCs w:val="21"/>
                <w:highlight w:val="none"/>
              </w:rPr>
              <w:t>★</w:t>
            </w:r>
            <w:r>
              <w:rPr>
                <w:rFonts w:hint="eastAsia" w:ascii="宋体" w:hAnsi="宋体" w:eastAsia="宋体" w:cs="宋体"/>
                <w:color w:val="auto"/>
                <w:sz w:val="21"/>
                <w:szCs w:val="21"/>
                <w:highlight w:val="none"/>
                <w:lang w:val="en-US" w:eastAsia="zh-CN"/>
              </w:rPr>
              <w:t>3.4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出光方式</w:t>
            </w:r>
            <w:r>
              <w:rPr>
                <w:rFonts w:hint="eastAsia" w:ascii="宋体" w:hAnsi="宋体" w:eastAsia="宋体" w:cs="宋体"/>
                <w:sz w:val="21"/>
                <w:szCs w:val="21"/>
                <w:lang w:eastAsia="zh-CN"/>
              </w:rPr>
              <w:t>：</w:t>
            </w:r>
            <w:r>
              <w:rPr>
                <w:rFonts w:hint="eastAsia" w:ascii="宋体" w:hAnsi="宋体" w:eastAsia="宋体" w:cs="宋体"/>
                <w:sz w:val="21"/>
                <w:szCs w:val="21"/>
              </w:rPr>
              <w:t>360度环形出光</w:t>
            </w:r>
            <w:r>
              <w:rPr>
                <w:rFonts w:hint="eastAsia" w:ascii="宋体" w:hAnsi="宋体" w:eastAsia="宋体" w:cs="宋体"/>
                <w:sz w:val="21"/>
                <w:szCs w:val="21"/>
                <w:lang w:val="en-US" w:eastAsia="zh-CN"/>
              </w:rPr>
              <w:t>或</w:t>
            </w:r>
            <w:r>
              <w:rPr>
                <w:rFonts w:hint="eastAsia" w:ascii="宋体" w:hAnsi="宋体" w:eastAsia="宋体" w:cs="宋体"/>
                <w:sz w:val="21"/>
                <w:szCs w:val="21"/>
              </w:rPr>
              <w:t>直出光</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en-US" w:eastAsia="zh-CN"/>
              </w:rPr>
              <w:t>光射距离：3-4mm发射半径；</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val="0"/>
                <w:color w:val="auto"/>
                <w:sz w:val="21"/>
                <w:szCs w:val="21"/>
                <w:highlight w:val="none"/>
                <w:lang w:val="en-US" w:eastAsia="zh-CN"/>
              </w:rPr>
            </w:pPr>
            <w:r>
              <w:rPr>
                <w:rFonts w:hint="eastAsia" w:ascii="宋体" w:hAnsi="宋体" w:eastAsia="宋体" w:cs="宋体"/>
                <w:color w:val="auto"/>
                <w:sz w:val="21"/>
                <w:szCs w:val="21"/>
                <w:highlight w:val="none"/>
                <w:lang w:val="en-US" w:eastAsia="zh-CN"/>
              </w:rPr>
              <w:t>3.6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sz w:val="21"/>
                <w:szCs w:val="21"/>
                <w:lang w:val="en-US" w:eastAsia="zh-CN"/>
              </w:rPr>
              <w:t>工作能量：4-8W低工作能量，可支持局麻下开展血管性疾病日间手术。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sz w:val="24"/>
                <w:lang w:val="en-US" w:eastAsia="zh-CN"/>
              </w:rPr>
              <w:t>▲</w:t>
            </w:r>
            <w:r>
              <w:rPr>
                <w:rFonts w:hint="eastAsia" w:ascii="宋体" w:hAnsi="宋体" w:eastAsia="宋体" w:cs="宋体"/>
                <w:color w:val="auto"/>
                <w:sz w:val="21"/>
                <w:szCs w:val="21"/>
                <w:highlight w:val="none"/>
                <w:lang w:val="en-US" w:eastAsia="zh-CN"/>
              </w:rPr>
              <w:t>3.7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Leed设置</w:t>
            </w:r>
            <w:r>
              <w:rPr>
                <w:rFonts w:hint="eastAsia" w:ascii="宋体" w:hAnsi="宋体" w:eastAsia="宋体" w:cs="宋体"/>
                <w:sz w:val="21"/>
                <w:szCs w:val="21"/>
                <w:lang w:eastAsia="zh-CN"/>
              </w:rPr>
              <w:t>：</w:t>
            </w:r>
            <w:r>
              <w:rPr>
                <w:rFonts w:hint="eastAsia" w:ascii="宋体" w:hAnsi="宋体" w:eastAsia="宋体" w:cs="宋体"/>
                <w:sz w:val="21"/>
                <w:szCs w:val="21"/>
              </w:rPr>
              <w:t>设定线性激光能量</w:t>
            </w:r>
            <w:r>
              <w:rPr>
                <w:rFonts w:hint="eastAsia" w:ascii="宋体" w:hAnsi="宋体" w:eastAsia="宋体" w:cs="宋体"/>
                <w:sz w:val="21"/>
                <w:szCs w:val="21"/>
                <w:lang w:val="en-US"/>
              </w:rPr>
              <w:t>L</w:t>
            </w:r>
            <w:r>
              <w:rPr>
                <w:rFonts w:hint="eastAsia" w:ascii="宋体" w:hAnsi="宋体" w:eastAsia="宋体" w:cs="宋体"/>
                <w:sz w:val="21"/>
                <w:szCs w:val="21"/>
                <w:lang w:val="en-US" w:eastAsia="zh-CN"/>
              </w:rPr>
              <w:t>eed值和</w:t>
            </w:r>
            <w:r>
              <w:rPr>
                <w:rFonts w:hint="eastAsia" w:ascii="宋体" w:hAnsi="宋体" w:eastAsia="宋体" w:cs="宋体"/>
                <w:sz w:val="21"/>
                <w:szCs w:val="21"/>
              </w:rPr>
              <w:t>血管长度，机器可自动</w:t>
            </w:r>
            <w:r>
              <w:rPr>
                <w:rFonts w:hint="eastAsia" w:ascii="宋体" w:hAnsi="宋体" w:eastAsia="宋体" w:cs="宋体"/>
                <w:sz w:val="21"/>
                <w:szCs w:val="21"/>
                <w:lang w:val="en-US" w:eastAsia="zh-CN"/>
              </w:rPr>
              <w:t>计算并给予声音提示</w:t>
            </w:r>
            <w:r>
              <w:rPr>
                <w:rFonts w:hint="eastAsia" w:ascii="宋体" w:hAnsi="宋体" w:eastAsia="宋体" w:cs="宋体"/>
                <w:sz w:val="21"/>
                <w:szCs w:val="21"/>
              </w:rPr>
              <w:t>光纤</w:t>
            </w:r>
            <w:r>
              <w:rPr>
                <w:rFonts w:hint="eastAsia" w:ascii="宋体" w:hAnsi="宋体" w:eastAsia="宋体" w:cs="宋体"/>
                <w:sz w:val="21"/>
                <w:szCs w:val="21"/>
                <w:lang w:val="en-US"/>
              </w:rPr>
              <w:t>回撤</w:t>
            </w:r>
            <w:r>
              <w:rPr>
                <w:rFonts w:hint="eastAsia" w:ascii="宋体" w:hAnsi="宋体" w:eastAsia="宋体" w:cs="宋体"/>
                <w:sz w:val="21"/>
                <w:szCs w:val="21"/>
              </w:rPr>
              <w:t>速度</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3.8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控制面板</w:t>
            </w:r>
            <w:r>
              <w:rPr>
                <w:rFonts w:hint="eastAsia" w:ascii="宋体" w:hAnsi="宋体" w:eastAsia="宋体" w:cs="宋体"/>
                <w:sz w:val="21"/>
                <w:szCs w:val="21"/>
                <w:lang w:eastAsia="zh-CN"/>
              </w:rPr>
              <w:t>：</w:t>
            </w:r>
            <w:r>
              <w:rPr>
                <w:rFonts w:hint="eastAsia" w:ascii="宋体" w:hAnsi="宋体" w:eastAsia="宋体" w:cs="宋体"/>
                <w:sz w:val="21"/>
                <w:szCs w:val="21"/>
              </w:rPr>
              <w:t>彩色触摸屏</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3.9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lang w:val="en-US" w:eastAsia="zh-CN"/>
              </w:rPr>
              <w:t>预置软件：术</w:t>
            </w:r>
            <w:r>
              <w:rPr>
                <w:rFonts w:hint="eastAsia" w:ascii="宋体" w:hAnsi="宋体" w:eastAsia="宋体" w:cs="宋体"/>
                <w:sz w:val="21"/>
                <w:szCs w:val="21"/>
              </w:rPr>
              <w:t>前可</w:t>
            </w:r>
            <w:r>
              <w:rPr>
                <w:rFonts w:hint="eastAsia" w:ascii="宋体" w:hAnsi="宋体" w:eastAsia="宋体" w:cs="宋体"/>
                <w:sz w:val="21"/>
                <w:szCs w:val="21"/>
                <w:lang w:val="en-US" w:eastAsia="zh-CN"/>
              </w:rPr>
              <w:t>预</w:t>
            </w:r>
            <w:r>
              <w:rPr>
                <w:rFonts w:hint="eastAsia" w:ascii="宋体" w:hAnsi="宋体" w:eastAsia="宋体" w:cs="宋体"/>
                <w:sz w:val="21"/>
                <w:szCs w:val="21"/>
              </w:rPr>
              <w:t>设治疗参数、频率、脉冲数</w:t>
            </w:r>
            <w:r>
              <w:rPr>
                <w:rFonts w:hint="eastAsia" w:ascii="宋体" w:hAnsi="宋体" w:eastAsia="宋体" w:cs="宋体"/>
                <w:sz w:val="21"/>
                <w:szCs w:val="21"/>
                <w:lang w:eastAsia="zh-CN"/>
              </w:rPr>
              <w:t>及</w:t>
            </w:r>
            <w:r>
              <w:rPr>
                <w:rFonts w:hint="eastAsia" w:ascii="宋体" w:hAnsi="宋体" w:eastAsia="宋体" w:cs="宋体"/>
                <w:sz w:val="21"/>
                <w:szCs w:val="21"/>
              </w:rPr>
              <w:t>能量，</w:t>
            </w:r>
            <w:r>
              <w:rPr>
                <w:rFonts w:hint="eastAsia" w:ascii="宋体" w:hAnsi="宋体" w:eastAsia="宋体" w:cs="宋体"/>
                <w:sz w:val="21"/>
                <w:szCs w:val="21"/>
                <w:lang w:val="en-US" w:eastAsia="zh-CN"/>
              </w:rPr>
              <w:t>提高</w:t>
            </w:r>
            <w:r>
              <w:rPr>
                <w:rFonts w:hint="eastAsia" w:ascii="宋体" w:hAnsi="宋体" w:eastAsia="宋体" w:cs="宋体"/>
                <w:sz w:val="21"/>
                <w:szCs w:val="21"/>
              </w:rPr>
              <w:t>术中安全系数</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lang w:val="en-US" w:eastAsia="zh-CN"/>
              </w:rPr>
              <w:t>存储系统：多</w:t>
            </w:r>
            <w:r>
              <w:rPr>
                <w:rFonts w:hint="eastAsia" w:ascii="宋体" w:hAnsi="宋体" w:eastAsia="宋体" w:cs="宋体"/>
                <w:sz w:val="21"/>
                <w:szCs w:val="21"/>
              </w:rPr>
              <w:t>种</w:t>
            </w:r>
            <w:r>
              <w:rPr>
                <w:rFonts w:hint="eastAsia" w:ascii="宋体" w:hAnsi="宋体" w:eastAsia="宋体" w:cs="宋体"/>
                <w:sz w:val="21"/>
                <w:szCs w:val="21"/>
                <w:lang w:eastAsia="zh-CN"/>
              </w:rPr>
              <w:t>自定义</w:t>
            </w:r>
            <w:r>
              <w:rPr>
                <w:rFonts w:hint="eastAsia" w:ascii="宋体" w:hAnsi="宋体" w:eastAsia="宋体" w:cs="宋体"/>
                <w:sz w:val="21"/>
                <w:szCs w:val="21"/>
              </w:rPr>
              <w:t>工作</w:t>
            </w:r>
            <w:r>
              <w:rPr>
                <w:rFonts w:hint="eastAsia" w:ascii="宋体" w:hAnsi="宋体" w:eastAsia="宋体" w:cs="宋体"/>
                <w:sz w:val="21"/>
                <w:szCs w:val="21"/>
                <w:lang w:eastAsia="zh-CN"/>
              </w:rPr>
              <w:t>参数</w:t>
            </w:r>
            <w:r>
              <w:rPr>
                <w:rFonts w:hint="eastAsia" w:ascii="宋体" w:hAnsi="宋体" w:eastAsia="宋体" w:cs="宋体"/>
                <w:sz w:val="21"/>
                <w:szCs w:val="21"/>
              </w:rPr>
              <w:t>记忆存储系统，极大方便使用者</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3.11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单脉冲持续时间</w:t>
            </w:r>
            <w:r>
              <w:rPr>
                <w:rFonts w:hint="eastAsia" w:ascii="宋体" w:hAnsi="宋体" w:eastAsia="宋体" w:cs="宋体"/>
                <w:sz w:val="21"/>
                <w:szCs w:val="21"/>
                <w:lang w:eastAsia="zh-CN"/>
              </w:rPr>
              <w:t>：</w:t>
            </w:r>
            <w:r>
              <w:rPr>
                <w:rFonts w:hint="eastAsia" w:ascii="宋体" w:hAnsi="宋体" w:eastAsia="宋体" w:cs="宋体"/>
                <w:sz w:val="21"/>
                <w:szCs w:val="21"/>
              </w:rPr>
              <w:t>1ms—9000ms</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重复脉冲持续时间</w:t>
            </w:r>
            <w:r>
              <w:rPr>
                <w:rFonts w:hint="eastAsia" w:ascii="宋体" w:hAnsi="宋体" w:eastAsia="宋体" w:cs="宋体"/>
                <w:sz w:val="21"/>
                <w:szCs w:val="21"/>
                <w:lang w:eastAsia="zh-CN"/>
              </w:rPr>
              <w:t>：</w:t>
            </w:r>
            <w:r>
              <w:rPr>
                <w:rFonts w:hint="eastAsia" w:ascii="宋体" w:hAnsi="宋体" w:eastAsia="宋体" w:cs="宋体"/>
                <w:sz w:val="21"/>
                <w:szCs w:val="21"/>
              </w:rPr>
              <w:t>1</w:t>
            </w:r>
            <w:r>
              <w:rPr>
                <w:rFonts w:hint="eastAsia" w:ascii="宋体" w:hAnsi="宋体" w:eastAsia="宋体" w:cs="宋体"/>
                <w:sz w:val="21"/>
                <w:szCs w:val="21"/>
                <w:lang w:val="en-US" w:eastAsia="zh-CN"/>
              </w:rPr>
              <w:t>ms</w:t>
            </w:r>
            <w:r>
              <w:rPr>
                <w:rFonts w:hint="eastAsia" w:ascii="宋体" w:hAnsi="宋体" w:eastAsia="宋体" w:cs="宋体"/>
                <w:sz w:val="21"/>
                <w:szCs w:val="21"/>
              </w:rPr>
              <w:t>－9000ms</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sz w:val="21"/>
                <w:szCs w:val="21"/>
              </w:rPr>
              <w:t>重复脉冲间隔时间</w:t>
            </w:r>
            <w:r>
              <w:rPr>
                <w:rFonts w:hint="eastAsia" w:ascii="宋体" w:hAnsi="宋体" w:eastAsia="宋体" w:cs="宋体"/>
                <w:sz w:val="21"/>
                <w:szCs w:val="21"/>
                <w:lang w:eastAsia="zh-CN"/>
              </w:rPr>
              <w:t>：</w:t>
            </w:r>
            <w:r>
              <w:rPr>
                <w:rFonts w:hint="eastAsia" w:ascii="宋体" w:hAnsi="宋体" w:eastAsia="宋体" w:cs="宋体"/>
                <w:sz w:val="21"/>
                <w:szCs w:val="21"/>
              </w:rPr>
              <w:t>1ms—9000ms</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脉冲串间间隔时间</w:t>
            </w:r>
            <w:r>
              <w:rPr>
                <w:rFonts w:hint="eastAsia" w:ascii="宋体" w:hAnsi="宋体" w:eastAsia="宋体" w:cs="宋体"/>
                <w:sz w:val="21"/>
                <w:szCs w:val="21"/>
                <w:lang w:eastAsia="zh-CN"/>
              </w:rPr>
              <w:t>：</w:t>
            </w:r>
            <w:r>
              <w:rPr>
                <w:rFonts w:hint="eastAsia" w:ascii="宋体" w:hAnsi="宋体" w:eastAsia="宋体" w:cs="宋体"/>
                <w:sz w:val="21"/>
                <w:szCs w:val="21"/>
              </w:rPr>
              <w:t>10ms—10s</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操作模式</w:t>
            </w:r>
            <w:r>
              <w:rPr>
                <w:rFonts w:hint="eastAsia" w:ascii="宋体" w:hAnsi="宋体" w:eastAsia="宋体" w:cs="宋体"/>
                <w:sz w:val="21"/>
                <w:szCs w:val="21"/>
                <w:lang w:eastAsia="zh-CN"/>
              </w:rPr>
              <w:t>：</w:t>
            </w:r>
            <w:r>
              <w:rPr>
                <w:rFonts w:hint="eastAsia" w:ascii="宋体" w:hAnsi="宋体" w:eastAsia="宋体" w:cs="宋体"/>
                <w:sz w:val="21"/>
                <w:szCs w:val="21"/>
              </w:rPr>
              <w:t>单脉冲模式/多脉冲模式/连续模式</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3.16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sz w:val="21"/>
                <w:szCs w:val="21"/>
              </w:rPr>
              <w:t>光纤芯径</w:t>
            </w:r>
            <w:r>
              <w:rPr>
                <w:rFonts w:hint="eastAsia" w:ascii="宋体" w:hAnsi="宋体" w:eastAsia="宋体" w:cs="宋体"/>
                <w:sz w:val="21"/>
                <w:szCs w:val="21"/>
                <w:lang w:eastAsia="zh-CN"/>
              </w:rPr>
              <w:t>：</w:t>
            </w:r>
            <w:r>
              <w:rPr>
                <w:rFonts w:hint="eastAsia" w:ascii="宋体" w:hAnsi="宋体" w:eastAsia="宋体" w:cs="宋体"/>
                <w:sz w:val="21"/>
                <w:szCs w:val="21"/>
              </w:rPr>
              <w:t>Φ200/400/600/800/1000µm可选</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color w:val="auto"/>
                <w:sz w:val="21"/>
                <w:szCs w:val="21"/>
                <w:highlight w:val="none"/>
                <w:lang w:val="en-US" w:eastAsia="zh-CN"/>
              </w:rPr>
              <w:t>3.17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数值孔径：≥</w:t>
            </w:r>
            <w:r>
              <w:rPr>
                <w:rFonts w:hint="eastAsia" w:ascii="宋体" w:hAnsi="宋体" w:eastAsia="宋体" w:cs="宋体"/>
                <w:sz w:val="21"/>
                <w:szCs w:val="21"/>
              </w:rPr>
              <w:t>0.22</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color w:val="auto"/>
                <w:sz w:val="21"/>
                <w:szCs w:val="21"/>
                <w:highlight w:val="none"/>
                <w:lang w:val="en-US" w:eastAsia="zh-CN"/>
              </w:rPr>
              <w:t>3.18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冷却系统</w:t>
            </w:r>
            <w:r>
              <w:rPr>
                <w:rFonts w:hint="eastAsia" w:ascii="宋体" w:hAnsi="宋体" w:eastAsia="宋体" w:cs="宋体"/>
                <w:sz w:val="21"/>
                <w:szCs w:val="21"/>
                <w:lang w:eastAsia="zh-CN"/>
              </w:rPr>
              <w:t>：</w:t>
            </w:r>
            <w:r>
              <w:rPr>
                <w:rFonts w:hint="eastAsia" w:ascii="宋体" w:hAnsi="宋体" w:eastAsia="宋体" w:cs="宋体"/>
                <w:sz w:val="21"/>
                <w:szCs w:val="21"/>
              </w:rPr>
              <w:t>空气冷却</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color w:val="auto"/>
                <w:sz w:val="21"/>
                <w:szCs w:val="21"/>
                <w:highlight w:val="none"/>
                <w:lang w:val="en-US" w:eastAsia="zh-CN"/>
              </w:rPr>
              <w:t>3.19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指示光</w:t>
            </w:r>
            <w:r>
              <w:rPr>
                <w:rFonts w:hint="eastAsia" w:ascii="宋体" w:hAnsi="宋体" w:eastAsia="宋体" w:cs="宋体"/>
                <w:sz w:val="21"/>
                <w:szCs w:val="21"/>
                <w:lang w:eastAsia="zh-CN"/>
              </w:rPr>
              <w:t>：</w:t>
            </w:r>
            <w:r>
              <w:rPr>
                <w:rFonts w:hint="eastAsia" w:ascii="宋体" w:hAnsi="宋体" w:eastAsia="宋体" w:cs="宋体"/>
                <w:sz w:val="21"/>
                <w:szCs w:val="21"/>
              </w:rPr>
              <w:t>红光，功率＜5 mw，波长635 nm，</w:t>
            </w:r>
            <w:r>
              <w:rPr>
                <w:rFonts w:hint="eastAsia" w:ascii="宋体" w:hAnsi="宋体" w:eastAsia="宋体" w:cs="宋体"/>
                <w:sz w:val="21"/>
                <w:szCs w:val="21"/>
                <w:lang w:val="en-US" w:eastAsia="zh-CN"/>
              </w:rPr>
              <w:t>亮度强弱</w:t>
            </w:r>
            <w:r>
              <w:rPr>
                <w:rFonts w:hint="eastAsia" w:ascii="宋体" w:hAnsi="宋体" w:eastAsia="宋体" w:cs="宋体"/>
                <w:sz w:val="21"/>
                <w:szCs w:val="21"/>
              </w:rPr>
              <w:t>可调</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color w:val="auto"/>
                <w:sz w:val="21"/>
                <w:szCs w:val="21"/>
                <w:highlight w:val="none"/>
                <w:lang w:val="en-US" w:eastAsia="zh-CN"/>
              </w:rPr>
              <w:t>3.20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电源</w:t>
            </w:r>
            <w:r>
              <w:rPr>
                <w:rFonts w:hint="eastAsia" w:ascii="宋体" w:hAnsi="宋体" w:eastAsia="宋体" w:cs="宋体"/>
                <w:sz w:val="21"/>
                <w:szCs w:val="21"/>
                <w:lang w:eastAsia="zh-CN"/>
              </w:rPr>
              <w:t>：</w:t>
            </w:r>
            <w:r>
              <w:rPr>
                <w:rFonts w:hint="eastAsia" w:ascii="宋体" w:hAnsi="宋体" w:eastAsia="宋体" w:cs="宋体"/>
                <w:sz w:val="21"/>
                <w:szCs w:val="21"/>
              </w:rPr>
              <w:t>220VAC-50/60Hz</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color w:val="auto"/>
                <w:sz w:val="21"/>
                <w:szCs w:val="21"/>
                <w:highlight w:val="none"/>
                <w:lang w:val="en-US" w:eastAsia="zh-CN"/>
              </w:rPr>
              <w:t>3.21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rPr>
              <w:t>适用标准</w:t>
            </w:r>
            <w:r>
              <w:rPr>
                <w:rFonts w:hint="eastAsia" w:ascii="宋体" w:hAnsi="宋体" w:eastAsia="宋体" w:cs="宋体"/>
                <w:sz w:val="21"/>
                <w:szCs w:val="21"/>
                <w:lang w:eastAsia="zh-CN"/>
              </w:rPr>
              <w:t>：</w:t>
            </w:r>
            <w:r>
              <w:rPr>
                <w:rFonts w:hint="eastAsia" w:ascii="宋体" w:hAnsi="宋体" w:eastAsia="宋体" w:cs="宋体"/>
                <w:sz w:val="21"/>
                <w:szCs w:val="21"/>
              </w:rPr>
              <w:t>CEI-EN60601-1-2-22/CFDA认证</w:t>
            </w:r>
            <w:r>
              <w:rPr>
                <w:rFonts w:hint="eastAsia" w:ascii="宋体" w:hAnsi="宋体" w:eastAsia="宋体" w:cs="宋体"/>
                <w:sz w:val="21"/>
                <w:szCs w:val="21"/>
                <w:lang w:eastAsia="zh-CN"/>
              </w:rPr>
              <w:t>；</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四</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主要配置</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default" w:ascii="宋体" w:hAnsi="宋体" w:eastAsia="宋体" w:cs="宋体"/>
                <w:sz w:val="21"/>
                <w:szCs w:val="21"/>
                <w:lang w:val="en-US" w:eastAsia="zh-CN"/>
              </w:rPr>
            </w:pPr>
            <w:r>
              <w:rPr>
                <w:rFonts w:hint="eastAsia" w:ascii="宋体" w:hAnsi="宋体" w:eastAsia="宋体" w:cs="宋体"/>
                <w:b w:val="0"/>
                <w:bCs/>
                <w:sz w:val="21"/>
                <w:szCs w:val="21"/>
                <w:lang w:val="en-US" w:eastAsia="zh-CN"/>
              </w:rPr>
              <w:t>主机1台；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电源线</w:t>
            </w:r>
            <w:r>
              <w:rPr>
                <w:rFonts w:hint="eastAsia" w:ascii="宋体" w:hAnsi="宋体" w:eastAsia="宋体" w:cs="宋体"/>
                <w:sz w:val="21"/>
                <w:szCs w:val="21"/>
                <w:lang w:val="en-US" w:eastAsia="zh-CN"/>
              </w:rPr>
              <w:t>1根；</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4.3</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脚踏开关</w:t>
            </w:r>
            <w:r>
              <w:rPr>
                <w:rFonts w:hint="eastAsia" w:ascii="宋体" w:hAnsi="宋体" w:eastAsia="宋体" w:cs="宋体"/>
                <w:sz w:val="21"/>
                <w:szCs w:val="21"/>
                <w:lang w:val="en-US" w:eastAsia="zh-CN"/>
              </w:rPr>
              <w:t>1只；</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4.4</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激光防护眼镜</w:t>
            </w:r>
            <w:r>
              <w:rPr>
                <w:rFonts w:hint="eastAsia" w:ascii="宋体" w:hAnsi="宋体" w:eastAsia="宋体" w:cs="宋体"/>
                <w:sz w:val="21"/>
                <w:szCs w:val="21"/>
                <w:lang w:val="en-US" w:eastAsia="zh-CN"/>
              </w:rPr>
              <w:t>2副；</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4.5</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光纤钳</w:t>
            </w:r>
            <w:r>
              <w:rPr>
                <w:rFonts w:hint="eastAsia" w:ascii="宋体" w:hAnsi="宋体" w:eastAsia="宋体" w:cs="宋体"/>
                <w:sz w:val="21"/>
                <w:szCs w:val="21"/>
                <w:lang w:val="en-US" w:eastAsia="zh-CN"/>
              </w:rPr>
              <w:t>1把；</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4.6</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密码锁</w:t>
            </w:r>
            <w:r>
              <w:rPr>
                <w:rFonts w:hint="eastAsia" w:ascii="宋体" w:hAnsi="宋体" w:eastAsia="宋体" w:cs="宋体"/>
                <w:sz w:val="21"/>
                <w:szCs w:val="21"/>
                <w:lang w:val="en-US" w:eastAsia="zh-CN"/>
              </w:rPr>
              <w:t>1把；</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4.7</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中文用户手册</w:t>
            </w:r>
            <w:r>
              <w:rPr>
                <w:rFonts w:hint="eastAsia" w:ascii="宋体" w:hAnsi="宋体" w:eastAsia="宋体" w:cs="宋体"/>
                <w:sz w:val="21"/>
                <w:szCs w:val="21"/>
                <w:lang w:val="en-US" w:eastAsia="zh-CN"/>
              </w:rPr>
              <w:t>1本；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4.8</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英文用户手册</w:t>
            </w:r>
            <w:r>
              <w:rPr>
                <w:rFonts w:hint="eastAsia" w:ascii="宋体" w:hAnsi="宋体" w:eastAsia="宋体" w:cs="宋体"/>
                <w:sz w:val="21"/>
                <w:szCs w:val="21"/>
                <w:lang w:val="en-US" w:eastAsia="zh-CN"/>
              </w:rPr>
              <w:t>1本；</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4.9</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简易操作流程表</w:t>
            </w:r>
            <w:r>
              <w:rPr>
                <w:rFonts w:hint="eastAsia" w:ascii="宋体" w:hAnsi="宋体" w:eastAsia="宋体" w:cs="宋体"/>
                <w:sz w:val="21"/>
                <w:szCs w:val="21"/>
                <w:lang w:val="en-US" w:eastAsia="zh-CN"/>
              </w:rPr>
              <w:t>1张；</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4.10</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GB"/>
              </w:rPr>
              <w:t>激光警示牌</w:t>
            </w:r>
            <w:r>
              <w:rPr>
                <w:rFonts w:hint="eastAsia" w:ascii="宋体" w:hAnsi="宋体" w:eastAsia="宋体" w:cs="宋体"/>
                <w:sz w:val="21"/>
                <w:szCs w:val="21"/>
                <w:lang w:val="en-US" w:eastAsia="zh-CN"/>
              </w:rPr>
              <w:t>1张；</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4.11</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配套激光光纤≥5根；</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4.12</w:t>
            </w:r>
          </w:p>
        </w:tc>
        <w:tc>
          <w:tcPr>
            <w:tcW w:w="3621" w:type="pct"/>
            <w:vAlign w:val="center"/>
          </w:tcPr>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设备冲洗泵1台；</w:t>
            </w:r>
          </w:p>
        </w:tc>
        <w:tc>
          <w:tcPr>
            <w:tcW w:w="671" w:type="pct"/>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color w:val="auto"/>
                <w:sz w:val="21"/>
                <w:szCs w:val="21"/>
                <w:highlight w:val="none"/>
              </w:rPr>
            </w:pPr>
          </w:p>
        </w:tc>
      </w:tr>
    </w:tbl>
    <w:p>
      <w:pPr>
        <w:pStyle w:val="2"/>
        <w:rPr>
          <w:rFonts w:hint="eastAsia"/>
        </w:rPr>
        <w:sectPr>
          <w:pgSz w:w="11906" w:h="16838"/>
          <w:pgMar w:top="1474" w:right="1797" w:bottom="1247" w:left="1797" w:header="851" w:footer="851" w:gutter="0"/>
          <w:cols w:space="720" w:num="1"/>
          <w:docGrid w:type="lines" w:linePitch="312" w:charSpace="0"/>
        </w:sectPr>
      </w:pPr>
    </w:p>
    <w:p>
      <w:pPr>
        <w:pStyle w:val="3"/>
        <w:numPr>
          <w:ilvl w:val="0"/>
          <w:numId w:val="9"/>
        </w:numP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107" w:name="_Toc132205168"/>
      <w:r>
        <w:rPr>
          <w:rFonts w:hint="eastAsia" w:ascii="宋体" w:hAnsi="宋体" w:eastAsia="宋体" w:cs="宋体"/>
          <w:color w:val="auto"/>
          <w:highlight w:val="none"/>
        </w:rPr>
        <w:t>投标人须知</w:t>
      </w:r>
      <w:bookmarkEnd w:id="106"/>
      <w:bookmarkEnd w:id="107"/>
    </w:p>
    <w:p>
      <w:pPr>
        <w:snapToGrid w:val="0"/>
        <w:spacing w:before="120" w:beforeLines="50" w:after="120" w:afterLines="50" w:line="360" w:lineRule="auto"/>
        <w:ind w:left="238"/>
        <w:jc w:val="center"/>
        <w:outlineLvl w:val="1"/>
        <w:rPr>
          <w:rFonts w:hint="eastAsia" w:ascii="宋体" w:hAnsi="宋体" w:eastAsia="宋体" w:cs="宋体"/>
          <w:color w:val="auto"/>
          <w:highlight w:val="none"/>
        </w:rPr>
      </w:pPr>
      <w:bookmarkStart w:id="108" w:name="_Toc47388318"/>
      <w:bookmarkStart w:id="109" w:name="_Toc132205169"/>
      <w:bookmarkStart w:id="110" w:name="_Toc417922226"/>
      <w:bookmarkStart w:id="111" w:name="_Toc4833"/>
      <w:r>
        <w:rPr>
          <w:rFonts w:hint="eastAsia" w:ascii="宋体" w:hAnsi="宋体" w:eastAsia="宋体" w:cs="宋体"/>
          <w:color w:val="auto"/>
          <w:highlight w:val="none"/>
        </w:rPr>
        <w:t>前附表</w:t>
      </w:r>
      <w:bookmarkEnd w:id="108"/>
      <w:bookmarkEnd w:id="109"/>
      <w:bookmarkEnd w:id="110"/>
      <w:bookmarkEnd w:id="111"/>
    </w:p>
    <w:tbl>
      <w:tblPr>
        <w:tblStyle w:val="49"/>
        <w:tblW w:w="91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青田人民医院医疗设备采购项目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投标报价及费用：</w:t>
            </w:r>
          </w:p>
          <w:p>
            <w:pPr>
              <w:overflowPunct w:val="0"/>
              <w:spacing w:line="360" w:lineRule="auto"/>
              <w:ind w:left="63" w:leftChars="1" w:hanging="61" w:hangingChars="29"/>
              <w:rPr>
                <w:rFonts w:hint="eastAsia" w:ascii="宋体" w:hAnsi="宋体" w:eastAsia="宋体" w:cs="宋体"/>
                <w:b/>
                <w:bCs/>
                <w:color w:val="auto"/>
                <w:highlight w:val="none"/>
              </w:rPr>
            </w:pPr>
            <w:r>
              <w:rPr>
                <w:rFonts w:hint="eastAsia" w:ascii="宋体" w:hAnsi="宋体" w:eastAsia="宋体" w:cs="宋体"/>
                <w:b/>
                <w:bCs/>
                <w:color w:val="auto"/>
                <w:highlight w:val="none"/>
              </w:rPr>
              <w:t>1、投标报价是履行合同的最终价格，应包括设备价、安装调试、系统集成、货物运至项目现场的运输费、保险费、培训费、售后服务、利润、税金等一切与本次采购相关的费用。</w:t>
            </w:r>
          </w:p>
          <w:p>
            <w:pPr>
              <w:overflowPunct w:val="0"/>
              <w:spacing w:line="360" w:lineRule="auto"/>
              <w:ind w:left="63" w:leftChars="1" w:hanging="61" w:hangingChars="29"/>
              <w:rPr>
                <w:rFonts w:hint="eastAsia" w:ascii="宋体" w:hAnsi="宋体" w:eastAsia="宋体" w:cs="宋体"/>
                <w:b/>
                <w:bCs/>
                <w:color w:val="auto"/>
                <w:highlight w:val="none"/>
              </w:rPr>
            </w:pPr>
            <w:r>
              <w:rPr>
                <w:rFonts w:hint="eastAsia" w:ascii="宋体" w:hAnsi="宋体" w:eastAsia="宋体" w:cs="宋体"/>
                <w:b/>
                <w:bCs/>
                <w:color w:val="auto"/>
                <w:highlight w:val="none"/>
              </w:rPr>
              <w:t>本项目预算金额/最高限价：详见第一章公开招标采购公告。投标报价超过预算金额或最高限价的作无效标处理。</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2、不论投标结果如何，投标人均应自行承担所有与投标有关的全部费用；</w:t>
            </w:r>
          </w:p>
          <w:p>
            <w:pPr>
              <w:spacing w:line="360" w:lineRule="auto"/>
              <w:rPr>
                <w:rFonts w:hint="eastAsia" w:ascii="宋体" w:hAnsi="宋体" w:eastAsia="宋体" w:cs="宋体"/>
                <w:color w:val="auto"/>
                <w:highlight w:val="none"/>
              </w:rPr>
            </w:pPr>
            <w:r>
              <w:rPr>
                <w:rFonts w:hint="eastAsia" w:ascii="宋体" w:hAnsi="宋体" w:cs="宋体"/>
                <w:b/>
                <w:bCs/>
                <w:color w:val="auto"/>
                <w:highlight w:val="none"/>
                <w:lang w:val="en-US" w:eastAsia="zh-CN"/>
              </w:rPr>
              <w:t>3</w:t>
            </w:r>
            <w:r>
              <w:rPr>
                <w:rFonts w:hint="eastAsia" w:ascii="宋体" w:hAnsi="宋体" w:eastAsia="宋体" w:cs="宋体"/>
                <w:b/>
                <w:bCs/>
                <w:color w:val="auto"/>
                <w:highlight w:val="none"/>
              </w:rPr>
              <w:t>、招标服务费的收取标准</w:t>
            </w:r>
            <w:r>
              <w:rPr>
                <w:rFonts w:hint="eastAsia" w:ascii="宋体" w:hAnsi="宋体" w:eastAsia="宋体" w:cs="宋体"/>
                <w:color w:val="auto"/>
                <w:highlight w:val="none"/>
              </w:rPr>
              <w:t>：</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（1）参照下表中的</w:t>
            </w:r>
            <w:r>
              <w:rPr>
                <w:rFonts w:hint="eastAsia" w:ascii="宋体" w:hAnsi="宋体" w:eastAsia="宋体" w:cs="宋体"/>
                <w:color w:val="auto"/>
                <w:highlight w:val="none"/>
                <w:lang w:val="en-US" w:eastAsia="zh-CN"/>
              </w:rPr>
              <w:t>货物</w:t>
            </w:r>
            <w:r>
              <w:rPr>
                <w:rFonts w:hint="eastAsia" w:ascii="宋体" w:hAnsi="宋体" w:eastAsia="宋体" w:cs="宋体"/>
                <w:color w:val="auto"/>
                <w:highlight w:val="none"/>
              </w:rPr>
              <w:t>收费标准，采用差额定率累进法按照中标通知书确定的中标总金额，向中标人收取招标服务费。</w:t>
            </w:r>
          </w:p>
          <w:p>
            <w:p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drawing>
                <wp:inline distT="0" distB="0" distL="0" distR="0">
                  <wp:extent cx="4050665" cy="2076450"/>
                  <wp:effectExtent l="0" t="0" r="6985" b="0"/>
                  <wp:docPr id="5" name="图片 5" descr="C:\Users\ADMINI~1\AppData\Local\Temp\ksohtml2228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22284\wp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051113" cy="2076450"/>
                          </a:xfrm>
                          <a:prstGeom prst="rect">
                            <a:avLst/>
                          </a:prstGeom>
                          <a:noFill/>
                          <a:ln>
                            <a:noFill/>
                          </a:ln>
                        </pic:spPr>
                      </pic:pic>
                    </a:graphicData>
                  </a:graphic>
                </wp:inline>
              </w:drawing>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（2）中标人接到本公司通知后5个工作日内向本招标公司支付招标服务费。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（3）招标服务费只收现金、银行票汇款、电汇款。</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（4）招标服务费均汇入以下账户：</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开户银行：宁波银行丽水分行</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帐号：90010122000220378</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户名：宁波中基国际招标有限公司丽水分公司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b/>
                <w:bCs/>
                <w:color w:val="auto"/>
                <w:highlight w:val="none"/>
                <w:lang w:eastAsia="zh-CN"/>
              </w:rPr>
            </w:pPr>
            <w:r>
              <w:rPr>
                <w:rFonts w:hint="eastAsia" w:ascii="宋体" w:hAnsi="宋体" w:eastAsia="宋体" w:cs="宋体"/>
                <w:color w:val="auto"/>
                <w:highlight w:val="none"/>
              </w:rPr>
              <w:t>投标保证金：无</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现场踏勘：本项目不组织统一踏勘，投标人可自行前往现场踏勘，费用自理。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8309" w:type="dxa"/>
            <w:tcBorders>
              <w:top w:val="single" w:color="auto" w:sz="4" w:space="0"/>
              <w:left w:val="single" w:color="auto" w:sz="4" w:space="0"/>
              <w:bottom w:val="single" w:color="auto" w:sz="4"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投标文件组成：本项目实行网上投标，供应商应准备以下投标文件：</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（1）供应商于“政采云”上提供电子加密投标文件。</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（2）以电子邮件提供的备份电子投标文件数量1份。（自行决定，非必须要求）</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备份投标文件是否提交由投标人自行决定，如不提交的，当电子投标文件无法解密时，将导致无备份投标文件而失去投标资格。如提交备份投标文件的，应在投标截止时间前将最后生成的具有电子签章的备份投标文件通过电子邮件方式传送至代理机构邮箱（4893224@qq.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投标截止时间及地点：详见第一章</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开标时间及地点：详见第一章</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评标办法及评分标准：详见第四章</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评标结果公示：评标结束后，评标结果公示于浙江省政府采购网，宁波中基国际招标有限公司网站</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签订合同时间：中标通知书发出后30日内</w:t>
            </w:r>
            <w:r>
              <w:rPr>
                <w:rFonts w:hint="eastAsia" w:ascii="宋体" w:hAnsi="宋体" w:eastAsia="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11</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投标文件有效期：自投标截止日起90天。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869" w:type="dxa"/>
            <w:tcBorders>
              <w:top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w:t>
            </w:r>
          </w:p>
        </w:tc>
        <w:tc>
          <w:tcPr>
            <w:tcW w:w="8309"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解释：本招标文件的解释权属于招标采购单位。</w:t>
            </w:r>
          </w:p>
        </w:tc>
      </w:tr>
    </w:tbl>
    <w:p>
      <w:pPr>
        <w:pStyle w:val="26"/>
        <w:snapToGrid w:val="0"/>
        <w:spacing w:beforeLines="0" w:afterLines="0" w:line="360" w:lineRule="auto"/>
        <w:rPr>
          <w:rFonts w:hint="eastAsia" w:ascii="宋体" w:hAnsi="宋体" w:eastAsia="宋体" w:cs="宋体"/>
          <w:b/>
          <w:bCs/>
          <w:color w:val="auto"/>
          <w:sz w:val="21"/>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 w:val="21"/>
          <w:szCs w:val="21"/>
          <w:highlight w:val="none"/>
        </w:rPr>
        <w:t>一   总  则</w:t>
      </w:r>
    </w:p>
    <w:p>
      <w:pPr>
        <w:snapToGrid w:val="0"/>
        <w:spacing w:line="360" w:lineRule="auto"/>
        <w:ind w:firstLine="413" w:firstLineChars="196"/>
        <w:jc w:val="left"/>
        <w:outlineLvl w:val="1"/>
        <w:rPr>
          <w:rFonts w:hint="eastAsia" w:ascii="宋体" w:hAnsi="宋体" w:eastAsia="宋体" w:cs="宋体"/>
          <w:b/>
          <w:bCs/>
          <w:color w:val="auto"/>
          <w:highlight w:val="none"/>
        </w:rPr>
      </w:pPr>
      <w:bookmarkStart w:id="112" w:name="_Toc47388319"/>
      <w:bookmarkStart w:id="113" w:name="_Toc132205170"/>
      <w:bookmarkStart w:id="114" w:name="_Toc609"/>
      <w:bookmarkStart w:id="115" w:name="_Toc417922227"/>
      <w:r>
        <w:rPr>
          <w:rFonts w:hint="eastAsia" w:ascii="宋体" w:hAnsi="宋体" w:eastAsia="宋体" w:cs="宋体"/>
          <w:b/>
          <w:bCs/>
          <w:color w:val="auto"/>
          <w:highlight w:val="none"/>
        </w:rPr>
        <w:t>（一） 适用范围</w:t>
      </w:r>
      <w:bookmarkEnd w:id="112"/>
      <w:bookmarkEnd w:id="113"/>
      <w:bookmarkEnd w:id="114"/>
      <w:bookmarkEnd w:id="115"/>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本招标文件适用</w:t>
      </w:r>
      <w:r>
        <w:rPr>
          <w:rFonts w:hint="eastAsia" w:ascii="宋体" w:hAnsi="宋体" w:cs="宋体"/>
          <w:color w:val="auto"/>
          <w:highlight w:val="none"/>
          <w:lang w:eastAsia="zh-CN"/>
        </w:rPr>
        <w:t>青田人民医院医疗设备采购项目</w:t>
      </w:r>
      <w:r>
        <w:rPr>
          <w:rFonts w:hint="eastAsia" w:ascii="宋体" w:hAnsi="宋体" w:eastAsia="宋体" w:cs="宋体"/>
          <w:color w:val="auto"/>
          <w:highlight w:val="none"/>
        </w:rPr>
        <w:t>的招标、投标、评标、定标、验收、合同履约、付款等行为（法律、法规另有规定的，从其规定）。</w:t>
      </w:r>
    </w:p>
    <w:p>
      <w:pPr>
        <w:snapToGrid w:val="0"/>
        <w:spacing w:before="120" w:beforeLines="50" w:line="360" w:lineRule="auto"/>
        <w:ind w:firstLine="310" w:firstLineChars="147"/>
        <w:jc w:val="left"/>
        <w:outlineLvl w:val="1"/>
        <w:rPr>
          <w:rFonts w:hint="eastAsia" w:ascii="宋体" w:hAnsi="宋体" w:eastAsia="宋体" w:cs="宋体"/>
          <w:b/>
          <w:bCs/>
          <w:color w:val="auto"/>
          <w:highlight w:val="none"/>
        </w:rPr>
      </w:pPr>
      <w:bookmarkStart w:id="116" w:name="_Toc24971"/>
      <w:bookmarkStart w:id="117" w:name="_Toc417922228"/>
      <w:bookmarkStart w:id="118" w:name="_Toc47388320"/>
      <w:bookmarkStart w:id="119" w:name="_Toc132205171"/>
      <w:r>
        <w:rPr>
          <w:rFonts w:hint="eastAsia" w:ascii="宋体" w:hAnsi="宋体" w:eastAsia="宋体" w:cs="宋体"/>
          <w:b/>
          <w:bCs/>
          <w:color w:val="auto"/>
          <w:highlight w:val="none"/>
        </w:rPr>
        <w:t>（二）定义</w:t>
      </w:r>
      <w:bookmarkEnd w:id="116"/>
      <w:bookmarkEnd w:id="117"/>
      <w:bookmarkEnd w:id="118"/>
      <w:bookmarkEnd w:id="119"/>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20" w:name="_Toc31362"/>
      <w:bookmarkStart w:id="121" w:name="_Toc47388321"/>
      <w:bookmarkStart w:id="122" w:name="_Toc132205172"/>
      <w:bookmarkStart w:id="123" w:name="_Toc417922229"/>
      <w:r>
        <w:rPr>
          <w:rFonts w:hint="eastAsia" w:ascii="宋体" w:hAnsi="宋体" w:eastAsia="宋体" w:cs="宋体"/>
          <w:color w:val="auto"/>
          <w:highlight w:val="none"/>
        </w:rPr>
        <w:t>1. 招标采购单位系指组织本次招标的代理机构和采购单位。</w:t>
      </w:r>
      <w:bookmarkEnd w:id="120"/>
      <w:bookmarkEnd w:id="121"/>
      <w:bookmarkEnd w:id="122"/>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24" w:name="_Toc132205173"/>
      <w:bookmarkStart w:id="125" w:name="_Toc47388322"/>
      <w:bookmarkStart w:id="126" w:name="_Toc3566"/>
      <w:r>
        <w:rPr>
          <w:rFonts w:hint="eastAsia" w:ascii="宋体" w:hAnsi="宋体" w:eastAsia="宋体" w:cs="宋体"/>
          <w:color w:val="auto"/>
          <w:highlight w:val="none"/>
        </w:rPr>
        <w:t>2.“投标人”系指向招标方提交投标文件的单位。</w:t>
      </w:r>
      <w:bookmarkEnd w:id="124"/>
      <w:bookmarkEnd w:id="125"/>
      <w:bookmarkEnd w:id="126"/>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27" w:name="_Toc29602"/>
      <w:bookmarkStart w:id="128" w:name="_Toc47388323"/>
      <w:bookmarkStart w:id="129" w:name="_Toc132205174"/>
      <w:r>
        <w:rPr>
          <w:rFonts w:hint="eastAsia" w:ascii="宋体" w:hAnsi="宋体" w:eastAsia="宋体" w:cs="宋体"/>
          <w:color w:val="auto"/>
          <w:highlight w:val="none"/>
        </w:rPr>
        <w:t>3.“服务”系指招标文件规定投标人须承担的服务。</w:t>
      </w:r>
      <w:bookmarkEnd w:id="127"/>
      <w:bookmarkEnd w:id="128"/>
      <w:bookmarkEnd w:id="129"/>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30" w:name="_Toc132205175"/>
      <w:bookmarkStart w:id="131" w:name="_Toc47388324"/>
      <w:bookmarkStart w:id="132" w:name="_Toc29129"/>
      <w:r>
        <w:rPr>
          <w:rFonts w:hint="eastAsia" w:ascii="宋体" w:hAnsi="宋体" w:eastAsia="宋体" w:cs="宋体"/>
          <w:color w:val="auto"/>
          <w:highlight w:val="none"/>
        </w:rPr>
        <w:t>4.“项目”系指投标人按招标文件规定向采购人提供的货物</w:t>
      </w:r>
      <w:r>
        <w:rPr>
          <w:rFonts w:hint="eastAsia" w:ascii="宋体" w:hAnsi="宋体" w:eastAsia="宋体" w:cs="宋体"/>
          <w:color w:val="auto"/>
          <w:highlight w:val="none"/>
          <w:lang w:val="en-US" w:eastAsia="zh-CN"/>
        </w:rPr>
        <w:t>和服务</w:t>
      </w:r>
      <w:r>
        <w:rPr>
          <w:rFonts w:hint="eastAsia" w:ascii="宋体" w:hAnsi="宋体" w:eastAsia="宋体" w:cs="宋体"/>
          <w:color w:val="auto"/>
          <w:highlight w:val="none"/>
        </w:rPr>
        <w:t>。</w:t>
      </w:r>
      <w:bookmarkEnd w:id="130"/>
      <w:bookmarkEnd w:id="131"/>
      <w:bookmarkEnd w:id="132"/>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33" w:name="_Toc31744"/>
      <w:bookmarkStart w:id="134" w:name="_Toc47388325"/>
      <w:bookmarkStart w:id="135" w:name="_Toc132205176"/>
      <w:r>
        <w:rPr>
          <w:rFonts w:hint="eastAsia" w:ascii="宋体" w:hAnsi="宋体" w:eastAsia="宋体" w:cs="宋体"/>
          <w:color w:val="auto"/>
          <w:highlight w:val="none"/>
        </w:rPr>
        <w:t>5.“书面形式”包括信函、传真、电报等。</w:t>
      </w:r>
      <w:bookmarkEnd w:id="133"/>
      <w:bookmarkEnd w:id="134"/>
      <w:bookmarkEnd w:id="135"/>
    </w:p>
    <w:p>
      <w:pPr>
        <w:snapToGrid w:val="0"/>
        <w:spacing w:before="120" w:beforeLines="50" w:line="360" w:lineRule="auto"/>
        <w:ind w:firstLine="411" w:firstLineChars="196"/>
        <w:jc w:val="left"/>
        <w:outlineLvl w:val="1"/>
        <w:rPr>
          <w:rFonts w:hint="eastAsia" w:ascii="宋体" w:hAnsi="宋体" w:eastAsia="宋体" w:cs="宋体"/>
          <w:color w:val="auto"/>
          <w:highlight w:val="none"/>
        </w:rPr>
      </w:pPr>
      <w:bookmarkStart w:id="136" w:name="_Toc22539"/>
      <w:bookmarkStart w:id="137" w:name="_Toc47388326"/>
      <w:bookmarkStart w:id="138" w:name="_Toc132205177"/>
      <w:r>
        <w:rPr>
          <w:rFonts w:hint="eastAsia" w:ascii="宋体" w:hAnsi="宋体" w:eastAsia="宋体" w:cs="宋体"/>
          <w:color w:val="auto"/>
          <w:highlight w:val="none"/>
        </w:rPr>
        <w:t>6. “★”系指实质性要求条款。</w:t>
      </w:r>
      <w:bookmarkEnd w:id="136"/>
      <w:bookmarkEnd w:id="137"/>
      <w:bookmarkEnd w:id="138"/>
    </w:p>
    <w:p>
      <w:pPr>
        <w:snapToGrid w:val="0"/>
        <w:spacing w:before="120" w:beforeLines="50" w:line="360" w:lineRule="auto"/>
        <w:ind w:firstLine="413" w:firstLineChars="196"/>
        <w:jc w:val="left"/>
        <w:outlineLvl w:val="1"/>
        <w:rPr>
          <w:rFonts w:hint="eastAsia" w:ascii="宋体" w:hAnsi="宋体" w:eastAsia="宋体" w:cs="宋体"/>
          <w:b/>
          <w:bCs/>
          <w:color w:val="auto"/>
          <w:highlight w:val="none"/>
        </w:rPr>
      </w:pPr>
      <w:bookmarkStart w:id="139" w:name="_Toc47388327"/>
      <w:bookmarkStart w:id="140" w:name="_Toc132205178"/>
      <w:bookmarkStart w:id="141" w:name="_Toc31175"/>
      <w:r>
        <w:rPr>
          <w:rFonts w:hint="eastAsia" w:ascii="宋体" w:hAnsi="宋体" w:eastAsia="宋体" w:cs="宋体"/>
          <w:b/>
          <w:bCs/>
          <w:color w:val="auto"/>
          <w:highlight w:val="none"/>
        </w:rPr>
        <w:t>（三）招标方式</w:t>
      </w:r>
      <w:bookmarkEnd w:id="123"/>
      <w:bookmarkEnd w:id="139"/>
      <w:bookmarkEnd w:id="140"/>
      <w:bookmarkEnd w:id="141"/>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本次招标采用公开招标方式进行。</w:t>
      </w:r>
    </w:p>
    <w:p>
      <w:pPr>
        <w:snapToGrid w:val="0"/>
        <w:spacing w:before="120" w:beforeLines="50" w:line="360" w:lineRule="auto"/>
        <w:ind w:firstLine="413" w:firstLineChars="196"/>
        <w:jc w:val="left"/>
        <w:outlineLvl w:val="1"/>
        <w:rPr>
          <w:rFonts w:hint="eastAsia" w:ascii="宋体" w:hAnsi="宋体" w:eastAsia="宋体" w:cs="宋体"/>
          <w:b/>
          <w:bCs/>
          <w:color w:val="auto"/>
          <w:highlight w:val="none"/>
        </w:rPr>
      </w:pPr>
      <w:bookmarkStart w:id="142" w:name="_Toc16683"/>
      <w:bookmarkStart w:id="143" w:name="_Toc47388328"/>
      <w:bookmarkStart w:id="144" w:name="_Toc417922230"/>
      <w:bookmarkStart w:id="145" w:name="_Toc132205179"/>
      <w:r>
        <w:rPr>
          <w:rFonts w:hint="eastAsia" w:ascii="宋体" w:hAnsi="宋体" w:eastAsia="宋体" w:cs="宋体"/>
          <w:b/>
          <w:bCs/>
          <w:color w:val="auto"/>
          <w:highlight w:val="none"/>
        </w:rPr>
        <w:t>（四）投标委托</w:t>
      </w:r>
      <w:bookmarkEnd w:id="142"/>
      <w:bookmarkEnd w:id="143"/>
      <w:bookmarkEnd w:id="144"/>
      <w:bookmarkEnd w:id="145"/>
    </w:p>
    <w:p>
      <w:pPr>
        <w:pStyle w:val="19"/>
        <w:snapToGrid w:val="0"/>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投标人代表须携带有效身份证件。如投标人代表不是法定代表人，须有法定代表人出具的授权委托书（正本用原件，副本可用复印件，格式详见第六章投标文件格式）。</w:t>
      </w:r>
    </w:p>
    <w:p>
      <w:pPr>
        <w:snapToGrid w:val="0"/>
        <w:spacing w:before="120" w:beforeLines="50" w:line="360" w:lineRule="auto"/>
        <w:ind w:firstLine="413" w:firstLineChars="196"/>
        <w:jc w:val="left"/>
        <w:outlineLvl w:val="1"/>
        <w:rPr>
          <w:rFonts w:hint="eastAsia" w:ascii="宋体" w:hAnsi="宋体" w:eastAsia="宋体" w:cs="宋体"/>
          <w:b/>
          <w:bCs/>
          <w:color w:val="auto"/>
          <w:highlight w:val="none"/>
        </w:rPr>
      </w:pPr>
      <w:bookmarkStart w:id="146" w:name="_Toc132205180"/>
      <w:bookmarkStart w:id="147" w:name="_Toc15019"/>
      <w:bookmarkStart w:id="148" w:name="_Toc417922231"/>
      <w:bookmarkStart w:id="149" w:name="_Toc47388329"/>
      <w:r>
        <w:rPr>
          <w:rFonts w:hint="eastAsia" w:ascii="宋体" w:hAnsi="宋体" w:eastAsia="宋体" w:cs="宋体"/>
          <w:b/>
          <w:bCs/>
          <w:color w:val="auto"/>
          <w:highlight w:val="none"/>
        </w:rPr>
        <w:t>（五）投标费用</w:t>
      </w:r>
      <w:bookmarkEnd w:id="146"/>
      <w:bookmarkEnd w:id="147"/>
      <w:bookmarkEnd w:id="148"/>
      <w:bookmarkEnd w:id="149"/>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不论投标结果如何，投标人均应自行承担所有与投标有关的全部费用（招标文件有相反规定除外）。</w:t>
      </w:r>
    </w:p>
    <w:p>
      <w:pPr>
        <w:snapToGrid w:val="0"/>
        <w:spacing w:before="120" w:beforeLines="50" w:line="360" w:lineRule="auto"/>
        <w:ind w:firstLine="413" w:firstLineChars="196"/>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（六）联合体投标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1.本项目接受联合体投标（联合体投标的须在投标文件中提供联合体协议书，明确各联合投标单位的责任和义务）。</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2.招标公告规定接受联合体投标的，除应符合招标公告规定的合格供应商的资格要求外，还应遵守以下规定：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（1）联合体各方应按招标文件提供的格式签订联合体协议书，明确联合体牵头人和各方工作内容和义务。</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（2）联合体中有同类资质的供应商按照联合体分工承担相同工作的，应当按照资质等级较低的供应商确定联合体的资质等级。</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（3）联合体各方不得再单独参加或者与其他供应商另外组成联合体参加同一合同项下的投标。</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（4）联合体各方应当共同与招标人签订采购合同，就采购合同约定的事项对招标人承担连带责任。</w:t>
      </w:r>
    </w:p>
    <w:p>
      <w:pPr>
        <w:snapToGrid w:val="0"/>
        <w:spacing w:before="120" w:beforeLines="50" w:line="360" w:lineRule="auto"/>
        <w:ind w:firstLine="413" w:firstLineChars="196"/>
        <w:jc w:val="left"/>
        <w:rPr>
          <w:rFonts w:hint="eastAsia" w:ascii="宋体" w:hAnsi="宋体" w:eastAsia="宋体" w:cs="宋体"/>
          <w:b/>
          <w:bCs/>
          <w:color w:val="auto"/>
          <w:kern w:val="0"/>
          <w:highlight w:val="none"/>
        </w:rPr>
      </w:pPr>
      <w:r>
        <w:rPr>
          <w:rFonts w:hint="eastAsia" w:ascii="宋体" w:hAnsi="宋体" w:eastAsia="宋体" w:cs="宋体"/>
          <w:b/>
          <w:bCs/>
          <w:color w:val="auto"/>
          <w:highlight w:val="none"/>
        </w:rPr>
        <w:t>（七）</w:t>
      </w:r>
      <w:r>
        <w:rPr>
          <w:rFonts w:hint="eastAsia" w:ascii="宋体" w:hAnsi="宋体" w:eastAsia="宋体" w:cs="宋体"/>
          <w:b/>
          <w:bCs/>
          <w:color w:val="auto"/>
          <w:kern w:val="0"/>
          <w:highlight w:val="none"/>
        </w:rPr>
        <w:t>转包与分包</w:t>
      </w:r>
    </w:p>
    <w:p>
      <w:pPr>
        <w:snapToGrid w:val="0"/>
        <w:spacing w:line="360" w:lineRule="auto"/>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本项目不允许转包，经采购人同意，允许分包。</w:t>
      </w:r>
    </w:p>
    <w:p>
      <w:pPr>
        <w:spacing w:line="360" w:lineRule="auto"/>
        <w:jc w:val="left"/>
        <w:rPr>
          <w:rFonts w:hint="eastAsia" w:ascii="宋体" w:hAnsi="宋体" w:eastAsia="宋体" w:cs="宋体"/>
          <w:b/>
          <w:bCs/>
          <w:color w:val="auto"/>
          <w:highlight w:val="none"/>
        </w:rPr>
      </w:pPr>
      <w:bookmarkStart w:id="150" w:name="_Toc417922232"/>
      <w:r>
        <w:rPr>
          <w:rFonts w:hint="eastAsia" w:ascii="宋体" w:hAnsi="宋体" w:eastAsia="宋体" w:cs="宋体"/>
          <w:b/>
          <w:bCs/>
          <w:color w:val="auto"/>
          <w:highlight w:val="none"/>
        </w:rPr>
        <w:t xml:space="preserve">   （八）特别说明：</w:t>
      </w:r>
    </w:p>
    <w:p>
      <w:pPr>
        <w:widowControl/>
        <w:spacing w:line="360" w:lineRule="auto"/>
        <w:ind w:firstLine="422" w:firstLineChars="200"/>
        <w:jc w:val="left"/>
        <w:rPr>
          <w:rFonts w:hint="eastAsia" w:ascii="宋体" w:hAnsi="宋体" w:eastAsia="宋体" w:cs="宋体"/>
          <w:color w:val="auto"/>
          <w:highlight w:val="none"/>
        </w:rPr>
      </w:pPr>
      <w:r>
        <w:rPr>
          <w:rFonts w:hint="eastAsia" w:ascii="宋体" w:hAnsi="宋体" w:eastAsia="宋体" w:cs="宋体"/>
          <w:b/>
          <w:bCs/>
          <w:color w:val="auto"/>
          <w:highlight w:val="none"/>
        </w:rPr>
        <w:t xml:space="preserve"> </w:t>
      </w:r>
      <w:r>
        <w:rPr>
          <w:rFonts w:hint="eastAsia" w:ascii="宋体" w:hAnsi="宋体" w:eastAsia="宋体" w:cs="宋体"/>
          <w:color w:val="auto"/>
          <w:highlight w:val="none"/>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kern w:val="0"/>
          <w:highlight w:val="none"/>
        </w:rPr>
        <w:t>非单一产品采购项目，多家投标人提供的核心产品品牌相同的，按前款处理。</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★2.投标人应仔细阅读招标文件的所有内容，按照招标文件的要求提交投标文件，并对所提供的全部资料的真实性承担法律责任。</w:t>
      </w:r>
    </w:p>
    <w:p>
      <w:pPr>
        <w:pStyle w:val="26"/>
        <w:spacing w:beforeLines="0" w:afterLines="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★3.投标人在投标活动中提供任何虚假材料，其投标无效，并报监管部门查处；</w:t>
      </w:r>
      <w:r>
        <w:rPr>
          <w:rFonts w:hint="eastAsia" w:ascii="宋体" w:hAnsi="宋体" w:eastAsia="宋体" w:cs="宋体"/>
          <w:b/>
          <w:bCs/>
          <w:color w:val="auto"/>
          <w:sz w:val="21"/>
          <w:szCs w:val="21"/>
          <w:highlight w:val="none"/>
        </w:rPr>
        <w:t xml:space="preserve"> </w:t>
      </w:r>
    </w:p>
    <w:p>
      <w:pPr>
        <w:widowControl/>
        <w:spacing w:line="360" w:lineRule="auto"/>
        <w:ind w:firstLine="422" w:firstLineChars="200"/>
        <w:jc w:val="left"/>
        <w:rPr>
          <w:rFonts w:hint="eastAsia" w:ascii="宋体" w:hAnsi="宋体" w:eastAsia="宋体" w:cs="宋体"/>
          <w:color w:val="auto"/>
          <w:highlight w:val="none"/>
        </w:rPr>
      </w:pPr>
      <w:r>
        <w:rPr>
          <w:rFonts w:hint="eastAsia" w:ascii="宋体" w:hAnsi="宋体" w:eastAsia="宋体" w:cs="宋体"/>
          <w:b/>
          <w:bCs/>
          <w:color w:val="auto"/>
          <w:highlight w:val="none"/>
        </w:rPr>
        <w:t>（九）、关于分公司投标</w:t>
      </w:r>
    </w:p>
    <w:p>
      <w:pPr>
        <w:pStyle w:val="26"/>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除银行、保险、石油石化、电力、通信等行业外，法人的分支机构不能参加投标。</w:t>
      </w:r>
    </w:p>
    <w:p>
      <w:pPr>
        <w:widowControl/>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（十）、关于知识产权</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2.投标报价应包含所有应向所有权人支付的专利权、商标权或其它知识产权的一切相关费用。</w:t>
      </w:r>
    </w:p>
    <w:p>
      <w:pPr>
        <w:pStyle w:val="26"/>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3.系统软件、通用软件必须是具有在中国境内的合法使用权或版权的正版软件，涉及到第三方提出侵权或知识产权的起诉及支付版税等费用由投标人承担所有责任及费用。</w:t>
      </w:r>
    </w:p>
    <w:p>
      <w:pPr>
        <w:pStyle w:val="26"/>
        <w:widowControl/>
        <w:spacing w:beforeLines="0" w:afterLines="0"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（十一）、质疑和投诉</w:t>
      </w:r>
    </w:p>
    <w:p>
      <w:pPr>
        <w:pStyle w:val="26"/>
        <w:spacing w:before="120" w:after="12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pStyle w:val="26"/>
        <w:spacing w:before="120" w:after="12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pStyle w:val="26"/>
        <w:spacing w:before="120" w:after="12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pStyle w:val="26"/>
        <w:spacing w:before="120" w:after="12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pStyle w:val="26"/>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 供应商对采购人或采购代理机构的质疑答复不满意或者采购人或采购代理机构未在规定时间内作出答复的，可以在答复期满后十五个工作日内向同级采购监管部门投诉。</w:t>
      </w:r>
      <w:bookmarkEnd w:id="150"/>
      <w:bookmarkStart w:id="151" w:name="_Toc417922237"/>
    </w:p>
    <w:p>
      <w:pPr>
        <w:pStyle w:val="26"/>
        <w:snapToGrid w:val="0"/>
        <w:spacing w:beforeLines="0" w:afterLines="0" w:line="360" w:lineRule="auto"/>
        <w:ind w:firstLine="413" w:firstLineChars="196"/>
        <w:jc w:val="left"/>
        <w:outlineLvl w:val="0"/>
        <w:rPr>
          <w:rFonts w:hint="eastAsia" w:ascii="宋体" w:hAnsi="宋体" w:eastAsia="宋体" w:cs="宋体"/>
          <w:b/>
          <w:bCs/>
          <w:color w:val="auto"/>
          <w:sz w:val="21"/>
          <w:szCs w:val="21"/>
          <w:highlight w:val="none"/>
        </w:rPr>
      </w:pPr>
      <w:bookmarkStart w:id="152" w:name="_Toc7892"/>
      <w:bookmarkStart w:id="153" w:name="_Toc132205181"/>
      <w:bookmarkStart w:id="154" w:name="_Toc47388330"/>
      <w:r>
        <w:rPr>
          <w:rFonts w:hint="eastAsia" w:ascii="宋体" w:hAnsi="宋体" w:eastAsia="宋体" w:cs="宋体"/>
          <w:b/>
          <w:bCs/>
          <w:color w:val="auto"/>
          <w:sz w:val="21"/>
          <w:szCs w:val="21"/>
          <w:highlight w:val="none"/>
        </w:rPr>
        <w:t>二  招标文件</w:t>
      </w:r>
      <w:bookmarkEnd w:id="151"/>
      <w:bookmarkEnd w:id="152"/>
      <w:bookmarkEnd w:id="153"/>
      <w:bookmarkEnd w:id="154"/>
    </w:p>
    <w:p>
      <w:pPr>
        <w:snapToGrid w:val="0"/>
        <w:spacing w:line="360" w:lineRule="auto"/>
        <w:ind w:firstLine="413" w:firstLineChars="196"/>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（一）招标文件的构成。本招标文件由以下部份组成：</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1.招标公告</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2.招标需求</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3.投标人须知</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4.评标办法及标准</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5.合同主要条款</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6.投标文件格式</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7.本项目招标文件的澄清、答复、修改、补充的内容</w:t>
      </w:r>
    </w:p>
    <w:p>
      <w:pPr>
        <w:snapToGrid w:val="0"/>
        <w:spacing w:before="120" w:beforeLines="50" w:line="360" w:lineRule="auto"/>
        <w:ind w:firstLine="413" w:firstLineChars="196"/>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（二）投标人的风险</w:t>
      </w:r>
    </w:p>
    <w:p>
      <w:pPr>
        <w:pStyle w:val="40"/>
        <w:widowControl/>
        <w:snapToGrid/>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1.投标人应详细阅读采购文件中的全部内容和要求，按照采购文件的要求提交投标文件，没有按照采购文件要求提供投标文件和资料导致的风险由投标人承担，并对所提供的全部资料的真实性承担法律责任。</w:t>
      </w:r>
    </w:p>
    <w:p>
      <w:pPr>
        <w:pStyle w:val="40"/>
        <w:snapToGrid/>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2.无论因何种原因导致本次采购活动终止致投标人损失的，相关责任人均不承担任何责任。</w:t>
      </w:r>
    </w:p>
    <w:p>
      <w:pPr>
        <w:pStyle w:val="14"/>
        <w:widowControl w:val="0"/>
        <w:tabs>
          <w:tab w:val="clear" w:pos="454"/>
        </w:tabs>
        <w:snapToGrid w:val="0"/>
        <w:spacing w:before="120" w:beforeLines="50" w:afterLines="0" w:line="360" w:lineRule="auto"/>
        <w:ind w:left="0" w:firstLine="413" w:firstLineChars="196"/>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（三）招标文件的澄清与修改 </w:t>
      </w:r>
    </w:p>
    <w:p>
      <w:pPr>
        <w:pStyle w:val="40"/>
        <w:widowControl/>
        <w:snapToGrid/>
        <w:spacing w:line="360" w:lineRule="auto"/>
        <w:ind w:firstLine="420"/>
        <w:rPr>
          <w:rFonts w:hint="eastAsia" w:ascii="宋体" w:hAnsi="宋体" w:eastAsia="宋体" w:cs="宋体"/>
          <w:color w:val="auto"/>
          <w:sz w:val="21"/>
          <w:szCs w:val="21"/>
          <w:highlight w:val="none"/>
        </w:rPr>
      </w:pPr>
      <w:bookmarkStart w:id="155" w:name="_Toc417922238"/>
      <w:r>
        <w:rPr>
          <w:rFonts w:hint="eastAsia" w:ascii="宋体" w:hAnsi="宋体" w:eastAsia="宋体" w:cs="宋体"/>
          <w:color w:val="auto"/>
          <w:sz w:val="21"/>
          <w:szCs w:val="21"/>
          <w:highlight w:val="none"/>
        </w:rPr>
        <w:t>1.采购人对招标文件进行必要的澄清或者修改的，在发布招标公告的网站上发布更正公告。澄清或者修改的内容可能影响投标文件编制的，更正公告在投标截止时间至少15日前发出；不足15日的，顺延提交投标文件截止时间。</w:t>
      </w:r>
    </w:p>
    <w:p>
      <w:pPr>
        <w:pStyle w:val="40"/>
        <w:widowControl/>
        <w:snapToGrid/>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2.更正公告为招标文件的组成部分，一经在网站发布，视同已通知所有招标文件的收受人，不再采用其它方式传达相关信息，若因未能及时了解到上述网站上发布的相关信息而导致的一切后果自行承担。</w:t>
      </w:r>
    </w:p>
    <w:p>
      <w:pPr>
        <w:pStyle w:val="40"/>
        <w:widowControl/>
        <w:snapToGrid/>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3.如更正公告有重新发布电子招标文件的，投标人应下载最新发布的电子招标文件制作投标文件。</w:t>
      </w:r>
    </w:p>
    <w:p>
      <w:pPr>
        <w:pStyle w:val="26"/>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4.投标人在规定的时间内未对招标文件提出疑问、质疑或要求澄清的，将视其为无异议。对招标文件中描述有歧义或前后不一致的地方，评标委员会有权进行评判，但对同一条款的评判应适用于每个投标人。</w:t>
      </w:r>
    </w:p>
    <w:p>
      <w:pPr>
        <w:pStyle w:val="26"/>
        <w:snapToGrid w:val="0"/>
        <w:spacing w:beforeLines="0" w:afterLines="0" w:line="360" w:lineRule="auto"/>
        <w:ind w:firstLine="413" w:firstLineChars="196"/>
        <w:jc w:val="left"/>
        <w:outlineLvl w:val="1"/>
        <w:rPr>
          <w:rFonts w:hint="eastAsia" w:ascii="宋体" w:hAnsi="宋体" w:eastAsia="宋体" w:cs="宋体"/>
          <w:b/>
          <w:bCs/>
          <w:color w:val="auto"/>
          <w:sz w:val="21"/>
          <w:szCs w:val="21"/>
          <w:highlight w:val="none"/>
        </w:rPr>
      </w:pPr>
      <w:bookmarkStart w:id="156" w:name="_Toc47388331"/>
      <w:bookmarkStart w:id="157" w:name="_Toc327"/>
      <w:bookmarkStart w:id="158" w:name="_Toc132205182"/>
      <w:r>
        <w:rPr>
          <w:rFonts w:hint="eastAsia" w:ascii="宋体" w:hAnsi="宋体" w:eastAsia="宋体" w:cs="宋体"/>
          <w:b/>
          <w:bCs/>
          <w:color w:val="auto"/>
          <w:sz w:val="21"/>
          <w:szCs w:val="21"/>
          <w:highlight w:val="none"/>
        </w:rPr>
        <w:t>三、投标文件的编制</w:t>
      </w:r>
      <w:bookmarkEnd w:id="155"/>
      <w:bookmarkEnd w:id="156"/>
      <w:bookmarkEnd w:id="157"/>
      <w:bookmarkEnd w:id="158"/>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（一）投标文件的组成</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ab/>
      </w:r>
      <w:r>
        <w:rPr>
          <w:rFonts w:hint="eastAsia" w:ascii="宋体" w:hAnsi="宋体" w:eastAsia="宋体" w:cs="宋体"/>
          <w:color w:val="auto"/>
          <w:highlight w:val="none"/>
        </w:rPr>
        <w:t>投标文件至少包含以下部分：</w:t>
      </w:r>
    </w:p>
    <w:p>
      <w:pPr>
        <w:snapToGrid w:val="0"/>
        <w:spacing w:line="360" w:lineRule="auto"/>
        <w:jc w:val="left"/>
        <w:rPr>
          <w:rFonts w:hint="eastAsia" w:ascii="宋体" w:hAnsi="宋体" w:eastAsia="宋体" w:cs="宋体"/>
          <w:b/>
          <w:bCs/>
          <w:color w:val="auto"/>
          <w:highlight w:val="none"/>
        </w:rPr>
      </w:pPr>
      <w:bookmarkStart w:id="159" w:name="_Hlk105610750"/>
      <w:bookmarkStart w:id="160" w:name="_Toc417922239"/>
      <w:bookmarkStart w:id="161" w:name="_Toc47388342"/>
      <w:r>
        <w:rPr>
          <w:rFonts w:hint="eastAsia" w:ascii="宋体" w:hAnsi="宋体" w:eastAsia="宋体" w:cs="宋体"/>
          <w:b/>
          <w:bCs/>
          <w:color w:val="auto"/>
          <w:highlight w:val="none"/>
        </w:rPr>
        <w:t>1.报价文件：</w:t>
      </w:r>
    </w:p>
    <w:p>
      <w:pPr>
        <w:numPr>
          <w:ilvl w:val="0"/>
          <w:numId w:val="10"/>
        </w:numPr>
        <w:tabs>
          <w:tab w:val="left" w:pos="518"/>
          <w:tab w:val="left" w:pos="840"/>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投标函（格式详见第六章投标文件格式）； </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开标一览表（格式详见第六章投标文件格式）；</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投标报价明细表（格式详见第六章投标文件格式）；</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中小企业声明函（格式详见第六章投标文件格式，如是请提供）；</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供应商为监狱企业的证明文件：省级以上监狱管理局、戒毒管理局（含新疆生产建设兵团）出具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如</w:t>
      </w:r>
      <w:r>
        <w:rPr>
          <w:rFonts w:hint="eastAsia" w:ascii="宋体" w:hAnsi="宋体" w:eastAsia="宋体" w:cs="宋体"/>
          <w:color w:val="auto"/>
          <w:highlight w:val="none"/>
          <w:lang w:val="en-US" w:eastAsia="zh-CN"/>
        </w:rPr>
        <w:t>是</w:t>
      </w:r>
      <w:r>
        <w:rPr>
          <w:rFonts w:hint="eastAsia" w:ascii="宋体" w:hAnsi="宋体" w:eastAsia="宋体" w:cs="宋体"/>
          <w:color w:val="auto"/>
          <w:highlight w:val="none"/>
        </w:rPr>
        <w:t>请提供</w:t>
      </w:r>
      <w:r>
        <w:rPr>
          <w:rFonts w:hint="eastAsia" w:ascii="宋体" w:hAnsi="宋体" w:eastAsia="宋体" w:cs="宋体"/>
          <w:color w:val="auto"/>
          <w:highlight w:val="none"/>
          <w:lang w:eastAsia="zh-CN"/>
        </w:rPr>
        <w:t>）；</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残疾人福利性单位声明函（格式详见第六章投标文件格式，如是请提供）；</w:t>
      </w:r>
    </w:p>
    <w:p>
      <w:pPr>
        <w:numPr>
          <w:ilvl w:val="0"/>
          <w:numId w:val="10"/>
        </w:numPr>
        <w:tabs>
          <w:tab w:val="left" w:pos="518"/>
          <w:tab w:val="left" w:pos="840"/>
        </w:tabs>
        <w:spacing w:line="360" w:lineRule="auto"/>
        <w:ind w:lef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投标人针对报价需要说明的其他文件和说明。</w:t>
      </w:r>
    </w:p>
    <w:p>
      <w:pPr>
        <w:tabs>
          <w:tab w:val="left" w:pos="518"/>
        </w:tabs>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2.资格证明文件：</w:t>
      </w:r>
    </w:p>
    <w:p>
      <w:pPr>
        <w:numPr>
          <w:ilvl w:val="0"/>
          <w:numId w:val="11"/>
        </w:numPr>
        <w:tabs>
          <w:tab w:val="left" w:pos="518"/>
          <w:tab w:val="left" w:pos="840"/>
        </w:tabs>
        <w:spacing w:line="360" w:lineRule="auto"/>
        <w:rPr>
          <w:rFonts w:hint="eastAsia" w:ascii="宋体" w:hAnsi="宋体" w:eastAsia="宋体" w:cs="宋体"/>
          <w:color w:val="auto"/>
          <w:highlight w:val="none"/>
        </w:rPr>
      </w:pPr>
      <w:bookmarkStart w:id="162" w:name="_Toc27222"/>
      <w:bookmarkStart w:id="163" w:name="_Toc47388334"/>
      <w:r>
        <w:rPr>
          <w:rFonts w:hint="eastAsia" w:ascii="宋体" w:hAnsi="宋体" w:eastAsia="宋体" w:cs="宋体"/>
          <w:color w:val="auto"/>
          <w:highlight w:val="none"/>
        </w:rPr>
        <w:t>投标人的营业执照副本复印件（格式详见第六章投标文件格式）联合体投标的，联合体双方须分别提供。</w:t>
      </w:r>
      <w:bookmarkEnd w:id="162"/>
      <w:bookmarkEnd w:id="163"/>
    </w:p>
    <w:p>
      <w:pPr>
        <w:numPr>
          <w:ilvl w:val="0"/>
          <w:numId w:val="11"/>
        </w:numPr>
        <w:tabs>
          <w:tab w:val="left" w:pos="518"/>
          <w:tab w:val="left" w:pos="840"/>
        </w:tabs>
        <w:spacing w:line="360" w:lineRule="auto"/>
        <w:ind w:left="0" w:firstLine="420" w:firstLineChars="200"/>
        <w:rPr>
          <w:rFonts w:hint="eastAsia" w:ascii="宋体" w:hAnsi="宋体" w:eastAsia="宋体" w:cs="宋体"/>
          <w:color w:val="auto"/>
          <w:highlight w:val="none"/>
        </w:rPr>
      </w:pPr>
      <w:bookmarkStart w:id="164" w:name="_Toc1635"/>
      <w:bookmarkStart w:id="165" w:name="_Toc47388340"/>
      <w:r>
        <w:rPr>
          <w:rFonts w:hint="eastAsia" w:ascii="宋体" w:hAnsi="宋体" w:eastAsia="宋体" w:cs="宋体"/>
          <w:color w:val="auto"/>
          <w:highlight w:val="none"/>
        </w:rPr>
        <w:t>投标人资格声明函（格式详见第六章投标文件格式）</w:t>
      </w:r>
      <w:bookmarkEnd w:id="164"/>
      <w:bookmarkEnd w:id="165"/>
      <w:r>
        <w:rPr>
          <w:rFonts w:hint="eastAsia" w:ascii="宋体" w:hAnsi="宋体" w:eastAsia="宋体" w:cs="宋体"/>
          <w:color w:val="auto"/>
          <w:highlight w:val="none"/>
        </w:rPr>
        <w:t>联合体投标的，联合体双方须分别提供。</w:t>
      </w:r>
    </w:p>
    <w:p>
      <w:pPr>
        <w:numPr>
          <w:ilvl w:val="0"/>
          <w:numId w:val="12"/>
        </w:numPr>
        <w:tabs>
          <w:tab w:val="left" w:pos="420"/>
          <w:tab w:val="clear" w:pos="840"/>
        </w:tabs>
        <w:spacing w:line="360" w:lineRule="auto"/>
        <w:rPr>
          <w:rFonts w:hint="eastAsia" w:ascii="宋体" w:hAnsi="宋体" w:eastAsia="宋体" w:cs="宋体"/>
          <w:color w:val="auto"/>
          <w:highlight w:val="none"/>
        </w:rPr>
      </w:pPr>
      <w:bookmarkStart w:id="166" w:name="_Toc21309"/>
      <w:bookmarkStart w:id="167" w:name="_Toc47388341"/>
      <w:r>
        <w:rPr>
          <w:rFonts w:hint="eastAsia" w:ascii="宋体" w:hAnsi="宋体" w:eastAsia="宋体" w:cs="宋体"/>
          <w:color w:val="auto"/>
          <w:highlight w:val="none"/>
        </w:rPr>
        <w:t>投标人的特定条件的证明文件：</w:t>
      </w:r>
      <w:bookmarkEnd w:id="166"/>
      <w:bookmarkEnd w:id="167"/>
    </w:p>
    <w:p>
      <w:pPr>
        <w:spacing w:line="360" w:lineRule="auto"/>
        <w:ind w:firstLine="630" w:firstLineChars="3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投标人为医疗器械生产企业的：第二类、第三类医疗器械生产企业提供《医疗器械生产许可证》复印件、第一类医疗器械生产企业提供第一类医疗器械生产备案凭证复印件。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pStyle w:val="335"/>
        <w:widowControl/>
        <w:numPr>
          <w:ilvl w:val="0"/>
          <w:numId w:val="13"/>
        </w:numPr>
        <w:tabs>
          <w:tab w:val="left" w:pos="420"/>
          <w:tab w:val="clear" w:pos="0"/>
        </w:tabs>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联合体投标协议书（格式详见第六章投标文件格式，联合体投标的须提供）；</w:t>
      </w:r>
    </w:p>
    <w:p>
      <w:pPr>
        <w:tabs>
          <w:tab w:val="left" w:pos="518"/>
        </w:tabs>
        <w:spacing w:line="360" w:lineRule="auto"/>
        <w:ind w:left="40" w:firstLine="21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3.商务技术文件：</w:t>
      </w:r>
    </w:p>
    <w:bookmarkEnd w:id="159"/>
    <w:p>
      <w:pPr>
        <w:numPr>
          <w:ilvl w:val="0"/>
          <w:numId w:val="14"/>
        </w:numPr>
        <w:tabs>
          <w:tab w:val="left" w:pos="420"/>
        </w:tabs>
        <w:spacing w:line="360" w:lineRule="auto"/>
        <w:rPr>
          <w:rFonts w:ascii="宋体" w:hAnsi="宋体" w:cs="宋体"/>
          <w:color w:val="auto"/>
          <w:highlight w:val="none"/>
        </w:rPr>
      </w:pPr>
      <w:bookmarkStart w:id="168" w:name="_Toc21913"/>
      <w:bookmarkStart w:id="169" w:name="_Toc132205183"/>
      <w:r>
        <w:rPr>
          <w:rFonts w:hint="eastAsia" w:ascii="宋体" w:hAnsi="宋体" w:cs="宋体"/>
          <w:color w:val="auto"/>
          <w:highlight w:val="none"/>
        </w:rPr>
        <w:t>投标人自查表②符合性自查表（格式详见第六章投标文件格式）；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法定代表人身份证明、法定代表人授权委托书（或联合投标授权委托书）（格式    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商务条款响应（偏离）表（格式详见第六章投标文件格式）；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技术条款响应（偏离）表（格式详见第六章投标文件格式）；</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技术需求中要求提供的证明资料（加盖公章）；</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供货方案</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安装与验收方案</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售后服务</w:t>
      </w:r>
      <w:r>
        <w:rPr>
          <w:rFonts w:hint="eastAsia" w:ascii="宋体" w:hAnsi="宋体" w:cs="宋体"/>
          <w:color w:val="auto"/>
          <w:highlight w:val="none"/>
          <w:lang w:eastAsia="zh-CN"/>
        </w:rPr>
        <w:t>；</w:t>
      </w:r>
    </w:p>
    <w:p>
      <w:pPr>
        <w:numPr>
          <w:ilvl w:val="0"/>
          <w:numId w:val="14"/>
        </w:numPr>
        <w:tabs>
          <w:tab w:val="left" w:pos="420"/>
        </w:tabs>
        <w:spacing w:line="360" w:lineRule="auto"/>
        <w:rPr>
          <w:rFonts w:hint="eastAsia" w:ascii="宋体" w:hAnsi="宋体" w:cs="宋体"/>
          <w:color w:val="auto"/>
          <w:highlight w:val="none"/>
        </w:rPr>
      </w:pPr>
      <w:r>
        <w:rPr>
          <w:rFonts w:hint="eastAsia" w:ascii="宋体" w:hAnsi="宋体" w:cs="宋体"/>
          <w:color w:val="auto"/>
          <w:highlight w:val="none"/>
        </w:rPr>
        <w:t>培训方案</w:t>
      </w:r>
      <w:r>
        <w:rPr>
          <w:rFonts w:hint="eastAsia" w:ascii="宋体" w:hAnsi="宋体" w:cs="宋体"/>
          <w:color w:val="auto"/>
          <w:highlight w:val="none"/>
          <w:lang w:eastAsia="zh-CN"/>
        </w:rPr>
        <w:t>；</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维修成本方案</w:t>
      </w:r>
      <w:r>
        <w:rPr>
          <w:rFonts w:hint="eastAsia" w:ascii="宋体" w:hAnsi="宋体" w:cs="宋体"/>
          <w:color w:val="auto"/>
          <w:highlight w:val="none"/>
          <w:lang w:eastAsia="zh-CN"/>
        </w:rPr>
        <w:t>；</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投标人所投产品的节能环保产品认证证书复印件及所投产品</w:t>
      </w:r>
      <w:r>
        <w:rPr>
          <w:rFonts w:hint="eastAsia" w:ascii="宋体" w:hAnsi="宋体" w:cs="宋体"/>
          <w:color w:val="auto"/>
          <w:highlight w:val="none"/>
          <w:lang w:val="zh-CN"/>
        </w:rPr>
        <w:t>属于“节能产品政府采购清单”</w:t>
      </w:r>
      <w:r>
        <w:rPr>
          <w:rFonts w:hint="eastAsia" w:ascii="宋体" w:hAnsi="宋体" w:cs="宋体"/>
          <w:color w:val="auto"/>
          <w:highlight w:val="none"/>
        </w:rPr>
        <w:t>中所列产品的</w:t>
      </w:r>
      <w:r>
        <w:rPr>
          <w:rFonts w:hint="eastAsia" w:ascii="宋体" w:hAnsi="宋体" w:cs="宋体"/>
          <w:color w:val="auto"/>
          <w:highlight w:val="none"/>
          <w:lang w:val="zh-CN"/>
        </w:rPr>
        <w:t>相关证明资料或截图</w:t>
      </w:r>
      <w:r>
        <w:rPr>
          <w:rFonts w:hint="eastAsia" w:ascii="宋体" w:hAnsi="宋体" w:cs="宋体"/>
          <w:color w:val="auto"/>
          <w:highlight w:val="none"/>
        </w:rPr>
        <w:t>（如有请提供，加盖公章）；</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业绩一览表（格式详见第六章投标文件格式）、投标产品的销售业绩的合同复印件（加盖公章）（根据评分标准提供）；</w:t>
      </w:r>
    </w:p>
    <w:p>
      <w:pPr>
        <w:numPr>
          <w:ilvl w:val="0"/>
          <w:numId w:val="14"/>
        </w:numPr>
        <w:tabs>
          <w:tab w:val="left" w:pos="420"/>
        </w:tabs>
        <w:spacing w:line="360" w:lineRule="auto"/>
        <w:rPr>
          <w:rFonts w:ascii="宋体" w:hAnsi="宋体" w:cs="宋体"/>
          <w:color w:val="auto"/>
          <w:highlight w:val="none"/>
        </w:rPr>
      </w:pPr>
      <w:r>
        <w:rPr>
          <w:rFonts w:hint="eastAsia" w:ascii="宋体" w:hAnsi="宋体" w:cs="宋体"/>
          <w:color w:val="auto"/>
          <w:highlight w:val="none"/>
        </w:rPr>
        <w:t>其他采购需求或评分标准所需资料。</w:t>
      </w:r>
    </w:p>
    <w:p>
      <w:pPr>
        <w:snapToGrid w:val="0"/>
        <w:spacing w:line="360" w:lineRule="auto"/>
        <w:ind w:firstLine="411" w:firstLineChars="196"/>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（二）投标文件的语言及计量</w:t>
      </w:r>
      <w:bookmarkEnd w:id="160"/>
      <w:bookmarkEnd w:id="161"/>
      <w:bookmarkEnd w:id="168"/>
      <w:bookmarkEnd w:id="169"/>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★1投标文件以及投标方与招标方就有关投标事宜的所有来往函电，均应以中文汉语书写。除签名、盖章、专用名称等特殊情形外，以中文汉语以外的文字表述的投标文件视同未提供。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★2投标计量单位，招标文件已有明确规定的，使用招标文件规定的计量单位；招标文件没有规定的，应采用中华人民共和国法定计量单位（例如货币单位：人民币元），否则视同未响应。</w:t>
      </w:r>
    </w:p>
    <w:p>
      <w:pPr>
        <w:snapToGrid w:val="0"/>
        <w:spacing w:before="120" w:beforeLines="50" w:line="360" w:lineRule="auto"/>
        <w:ind w:firstLine="413" w:firstLineChars="196"/>
        <w:jc w:val="left"/>
        <w:outlineLvl w:val="0"/>
        <w:rPr>
          <w:rFonts w:hint="eastAsia" w:ascii="宋体" w:hAnsi="宋体" w:eastAsia="宋体" w:cs="宋体"/>
          <w:b/>
          <w:bCs/>
          <w:color w:val="auto"/>
          <w:highlight w:val="none"/>
        </w:rPr>
      </w:pPr>
      <w:r>
        <w:rPr>
          <w:rFonts w:hint="eastAsia" w:ascii="宋体" w:hAnsi="宋体" w:eastAsia="宋体" w:cs="宋体"/>
          <w:b/>
          <w:bCs/>
          <w:color w:val="auto"/>
          <w:highlight w:val="none"/>
        </w:rPr>
        <w:tab/>
      </w:r>
      <w:bookmarkStart w:id="170" w:name="_Toc132205184"/>
      <w:bookmarkStart w:id="171" w:name="_Toc28665"/>
      <w:bookmarkStart w:id="172" w:name="_Toc47388343"/>
      <w:bookmarkStart w:id="173" w:name="_Toc417922240"/>
      <w:r>
        <w:rPr>
          <w:rFonts w:hint="eastAsia" w:ascii="宋体" w:hAnsi="宋体" w:eastAsia="宋体" w:cs="宋体"/>
          <w:b/>
          <w:bCs/>
          <w:color w:val="auto"/>
          <w:highlight w:val="none"/>
        </w:rPr>
        <w:t>（三）投标报价</w:t>
      </w:r>
      <w:bookmarkEnd w:id="170"/>
      <w:bookmarkEnd w:id="171"/>
      <w:bookmarkEnd w:id="172"/>
      <w:bookmarkEnd w:id="173"/>
    </w:p>
    <w:p>
      <w:pPr>
        <w:snapToGrid w:val="0"/>
        <w:spacing w:before="120" w:beforeLines="50" w:line="360" w:lineRule="auto"/>
        <w:ind w:firstLine="413" w:firstLineChars="196"/>
        <w:jc w:val="left"/>
        <w:outlineLvl w:val="0"/>
        <w:rPr>
          <w:rFonts w:hint="eastAsia" w:ascii="宋体" w:hAnsi="宋体" w:eastAsia="宋体" w:cs="宋体"/>
          <w:b/>
          <w:bCs/>
          <w:color w:val="auto"/>
          <w:highlight w:val="none"/>
        </w:rPr>
      </w:pPr>
      <w:r>
        <w:rPr>
          <w:rFonts w:hint="eastAsia" w:ascii="宋体" w:hAnsi="宋体" w:eastAsia="宋体" w:cs="宋体"/>
          <w:b/>
          <w:bCs/>
          <w:color w:val="auto"/>
          <w:highlight w:val="none"/>
        </w:rPr>
        <w:tab/>
      </w:r>
      <w:bookmarkStart w:id="174" w:name="_Toc132205185"/>
      <w:bookmarkStart w:id="175" w:name="_Toc417922241"/>
      <w:bookmarkStart w:id="176" w:name="_Toc47388344"/>
      <w:bookmarkStart w:id="177" w:name="_Toc26606"/>
      <w:r>
        <w:rPr>
          <w:rFonts w:hint="eastAsia" w:ascii="宋体" w:hAnsi="宋体" w:eastAsia="宋体" w:cs="宋体"/>
          <w:b/>
          <w:bCs/>
          <w:color w:val="auto"/>
          <w:highlight w:val="none"/>
        </w:rPr>
        <w:t>1.投标报价应按招标文件中相关附表格式填写。</w:t>
      </w:r>
      <w:bookmarkEnd w:id="174"/>
      <w:bookmarkEnd w:id="175"/>
      <w:bookmarkEnd w:id="176"/>
      <w:bookmarkEnd w:id="177"/>
    </w:p>
    <w:p>
      <w:pPr>
        <w:overflowPunct w:val="0"/>
        <w:spacing w:line="360" w:lineRule="auto"/>
        <w:ind w:left="63" w:leftChars="30" w:firstLine="103" w:firstLineChars="49"/>
        <w:rPr>
          <w:rFonts w:hint="eastAsia" w:ascii="宋体" w:hAnsi="宋体" w:eastAsia="宋体" w:cs="宋体"/>
          <w:b/>
          <w:bCs/>
          <w:color w:val="auto"/>
          <w:highlight w:val="none"/>
        </w:rPr>
      </w:pPr>
      <w:r>
        <w:rPr>
          <w:rFonts w:hint="eastAsia" w:ascii="宋体" w:hAnsi="宋体" w:eastAsia="宋体" w:cs="宋体"/>
          <w:b/>
          <w:bCs/>
          <w:color w:val="auto"/>
          <w:highlight w:val="none"/>
        </w:rPr>
        <w:tab/>
      </w:r>
      <w:bookmarkStart w:id="178" w:name="_Toc417922242"/>
      <w:r>
        <w:rPr>
          <w:rFonts w:hint="eastAsia" w:ascii="宋体" w:hAnsi="宋体" w:eastAsia="宋体" w:cs="宋体"/>
          <w:color w:val="auto"/>
          <w:highlight w:val="none"/>
        </w:rPr>
        <w:t>★</w:t>
      </w:r>
      <w:r>
        <w:rPr>
          <w:rFonts w:hint="eastAsia" w:ascii="宋体" w:hAnsi="宋体" w:eastAsia="宋体" w:cs="宋体"/>
          <w:b/>
          <w:bCs/>
          <w:color w:val="auto"/>
          <w:highlight w:val="none"/>
        </w:rPr>
        <w:t>2.</w:t>
      </w:r>
      <w:bookmarkEnd w:id="178"/>
      <w:r>
        <w:rPr>
          <w:rFonts w:hint="eastAsia" w:ascii="宋体" w:hAnsi="宋体" w:eastAsia="宋体" w:cs="宋体"/>
          <w:b/>
          <w:bCs/>
          <w:color w:val="auto"/>
          <w:highlight w:val="none"/>
        </w:rPr>
        <w:t xml:space="preserve"> 投标报价是详见第三章前附表2。</w:t>
      </w:r>
    </w:p>
    <w:p>
      <w:pPr>
        <w:snapToGrid w:val="0"/>
        <w:spacing w:before="120" w:beforeLines="50" w:line="360" w:lineRule="auto"/>
        <w:ind w:firstLine="413" w:firstLineChars="196"/>
        <w:jc w:val="left"/>
        <w:outlineLvl w:val="0"/>
        <w:rPr>
          <w:rFonts w:hint="eastAsia" w:ascii="宋体" w:hAnsi="宋体" w:eastAsia="宋体" w:cs="宋体"/>
          <w:b/>
          <w:bCs/>
          <w:color w:val="auto"/>
          <w:highlight w:val="none"/>
        </w:rPr>
      </w:pPr>
      <w:r>
        <w:rPr>
          <w:rFonts w:hint="eastAsia" w:ascii="宋体" w:hAnsi="宋体" w:eastAsia="宋体" w:cs="宋体"/>
          <w:b/>
          <w:bCs/>
          <w:color w:val="auto"/>
          <w:highlight w:val="none"/>
        </w:rPr>
        <w:tab/>
      </w:r>
      <w:bookmarkStart w:id="179" w:name="_Toc47388345"/>
      <w:bookmarkStart w:id="180" w:name="_Toc417922243"/>
      <w:bookmarkStart w:id="181" w:name="_Toc132205186"/>
      <w:bookmarkStart w:id="182" w:name="_Toc26755"/>
      <w:r>
        <w:rPr>
          <w:rFonts w:hint="eastAsia" w:ascii="宋体" w:hAnsi="宋体" w:eastAsia="宋体" w:cs="宋体"/>
          <w:color w:val="auto"/>
          <w:highlight w:val="none"/>
        </w:rPr>
        <w:t>★</w:t>
      </w:r>
      <w:r>
        <w:rPr>
          <w:rFonts w:hint="eastAsia" w:ascii="宋体" w:hAnsi="宋体" w:eastAsia="宋体" w:cs="宋体"/>
          <w:b/>
          <w:bCs/>
          <w:color w:val="auto"/>
          <w:highlight w:val="none"/>
        </w:rPr>
        <w:t>3.投标文针对同一内容只允许有一个报价，有选择的或有条件的报价将不予接受。</w:t>
      </w:r>
      <w:bookmarkEnd w:id="179"/>
      <w:bookmarkEnd w:id="180"/>
      <w:bookmarkEnd w:id="181"/>
      <w:bookmarkEnd w:id="182"/>
    </w:p>
    <w:p>
      <w:pPr>
        <w:snapToGrid w:val="0"/>
        <w:spacing w:before="120" w:beforeLines="50" w:line="360" w:lineRule="auto"/>
        <w:ind w:firstLine="413" w:firstLineChars="196"/>
        <w:jc w:val="left"/>
        <w:outlineLvl w:val="0"/>
        <w:rPr>
          <w:rFonts w:hint="eastAsia" w:ascii="宋体" w:hAnsi="宋体" w:eastAsia="宋体" w:cs="宋体"/>
          <w:b/>
          <w:bCs/>
          <w:color w:val="auto"/>
          <w:highlight w:val="none"/>
        </w:rPr>
      </w:pPr>
      <w:bookmarkStart w:id="183" w:name="_Toc47388346"/>
      <w:bookmarkStart w:id="184" w:name="_Toc417922244"/>
      <w:bookmarkStart w:id="185" w:name="_Toc13397"/>
      <w:bookmarkStart w:id="186" w:name="_Toc132205187"/>
      <w:r>
        <w:rPr>
          <w:rFonts w:hint="eastAsia" w:ascii="宋体" w:hAnsi="宋体" w:eastAsia="宋体" w:cs="宋体"/>
          <w:b/>
          <w:bCs/>
          <w:color w:val="auto"/>
          <w:highlight w:val="none"/>
        </w:rPr>
        <w:t>（四）投标文件的有效期</w:t>
      </w:r>
      <w:bookmarkEnd w:id="183"/>
      <w:bookmarkEnd w:id="184"/>
      <w:bookmarkEnd w:id="185"/>
      <w:bookmarkEnd w:id="186"/>
    </w:p>
    <w:p>
      <w:pPr>
        <w:pStyle w:val="14"/>
        <w:widowControl w:val="0"/>
        <w:tabs>
          <w:tab w:val="clear" w:pos="454"/>
        </w:tabs>
        <w:snapToGrid w:val="0"/>
        <w:spacing w:afterLines="0" w:line="360" w:lineRule="auto"/>
        <w:ind w:left="0"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1.自投标截止日起</w:t>
      </w:r>
      <w:r>
        <w:rPr>
          <w:rFonts w:hint="eastAsia" w:ascii="宋体" w:hAnsi="宋体" w:eastAsia="宋体" w:cs="宋体"/>
          <w:b/>
          <w:bCs/>
          <w:color w:val="auto"/>
          <w:sz w:val="21"/>
          <w:szCs w:val="21"/>
          <w:highlight w:val="none"/>
          <w:u w:val="single"/>
        </w:rPr>
        <w:t xml:space="preserve">90 </w:t>
      </w:r>
      <w:r>
        <w:rPr>
          <w:rFonts w:hint="eastAsia" w:ascii="宋体" w:hAnsi="宋体" w:eastAsia="宋体" w:cs="宋体"/>
          <w:b/>
          <w:bCs/>
          <w:color w:val="auto"/>
          <w:sz w:val="21"/>
          <w:szCs w:val="21"/>
          <w:highlight w:val="none"/>
        </w:rPr>
        <w:t>天投标文件应保持有效。有效期不足的投标文件将被拒绝。</w:t>
      </w:r>
    </w:p>
    <w:p>
      <w:pPr>
        <w:pStyle w:val="14"/>
        <w:widowControl w:val="0"/>
        <w:tabs>
          <w:tab w:val="clear" w:pos="454"/>
        </w:tabs>
        <w:snapToGrid w:val="0"/>
        <w:spacing w:afterLines="0" w:line="360" w:lineRule="auto"/>
        <w:ind w:left="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2.在特殊情况下，招标人可与投标人协商延长投标书的有效期，这种要求和答复均以书面形式进行。</w:t>
      </w:r>
    </w:p>
    <w:p>
      <w:pPr>
        <w:snapToGrid w:val="0"/>
        <w:spacing w:line="360" w:lineRule="auto"/>
        <w:ind w:firstLine="420" w:firstLineChars="200"/>
        <w:jc w:val="left"/>
        <w:outlineLvl w:val="0"/>
        <w:rPr>
          <w:rFonts w:hint="eastAsia" w:ascii="宋体" w:hAnsi="宋体" w:eastAsia="宋体" w:cs="宋体"/>
          <w:b/>
          <w:bCs/>
          <w:color w:val="auto"/>
          <w:highlight w:val="none"/>
        </w:rPr>
      </w:pPr>
      <w:bookmarkStart w:id="187" w:name="_Toc47388347"/>
      <w:bookmarkStart w:id="188" w:name="_Toc4957"/>
      <w:bookmarkStart w:id="189" w:name="_Toc417922245"/>
      <w:bookmarkStart w:id="190" w:name="_Toc132205188"/>
      <w:r>
        <w:rPr>
          <w:rFonts w:hint="eastAsia" w:ascii="宋体" w:hAnsi="宋体" w:eastAsia="宋体" w:cs="宋体"/>
          <w:color w:val="auto"/>
          <w:highlight w:val="none"/>
        </w:rPr>
        <w:t>3.投标人可拒绝接受延期要求而不会导致投标保证金被没收。同意延长有效期的投标人需要相应延长投标保证金的有效期，但不能修改投标文件。</w:t>
      </w:r>
      <w:bookmarkEnd w:id="187"/>
      <w:bookmarkEnd w:id="188"/>
      <w:bookmarkEnd w:id="189"/>
      <w:bookmarkEnd w:id="190"/>
      <w:r>
        <w:rPr>
          <w:rFonts w:hint="eastAsia" w:ascii="宋体" w:hAnsi="宋体" w:eastAsia="宋体" w:cs="宋体"/>
          <w:b/>
          <w:bCs/>
          <w:color w:val="auto"/>
          <w:highlight w:val="none"/>
        </w:rPr>
        <w:t xml:space="preserve"> </w:t>
      </w:r>
    </w:p>
    <w:p>
      <w:pPr>
        <w:snapToGrid w:val="0"/>
        <w:spacing w:line="360" w:lineRule="auto"/>
        <w:ind w:firstLine="420" w:firstLineChars="200"/>
        <w:jc w:val="left"/>
        <w:outlineLvl w:val="0"/>
        <w:rPr>
          <w:rFonts w:hint="eastAsia" w:ascii="宋体" w:hAnsi="宋体" w:eastAsia="宋体" w:cs="宋体"/>
          <w:b/>
          <w:bCs/>
          <w:color w:val="auto"/>
          <w:highlight w:val="none"/>
        </w:rPr>
      </w:pPr>
      <w:bookmarkStart w:id="191" w:name="_Toc132205189"/>
      <w:bookmarkStart w:id="192" w:name="_Toc417922246"/>
      <w:bookmarkStart w:id="193" w:name="_Toc27965"/>
      <w:bookmarkStart w:id="194" w:name="_Toc47388348"/>
      <w:r>
        <w:rPr>
          <w:rFonts w:hint="eastAsia" w:ascii="宋体" w:hAnsi="宋体" w:eastAsia="宋体" w:cs="宋体"/>
          <w:color w:val="auto"/>
          <w:highlight w:val="none"/>
        </w:rPr>
        <w:t>4.中标人的投标文件自开标之日起至合同履行完毕止均应保持有效。</w:t>
      </w:r>
      <w:bookmarkEnd w:id="191"/>
      <w:bookmarkEnd w:id="192"/>
      <w:bookmarkEnd w:id="193"/>
      <w:bookmarkEnd w:id="194"/>
    </w:p>
    <w:p>
      <w:pPr>
        <w:snapToGrid w:val="0"/>
        <w:spacing w:before="120" w:beforeLines="50" w:line="360" w:lineRule="auto"/>
        <w:ind w:firstLine="413" w:firstLineChars="196"/>
        <w:jc w:val="left"/>
        <w:outlineLvl w:val="0"/>
        <w:rPr>
          <w:rFonts w:hint="eastAsia" w:ascii="宋体" w:hAnsi="宋体" w:eastAsia="宋体" w:cs="宋体"/>
          <w:b/>
          <w:bCs/>
          <w:color w:val="auto"/>
          <w:highlight w:val="none"/>
        </w:rPr>
      </w:pPr>
      <w:bookmarkStart w:id="195" w:name="_Toc47388363"/>
      <w:bookmarkStart w:id="196" w:name="_Toc447886351"/>
      <w:bookmarkStart w:id="197" w:name="_Toc132205190"/>
      <w:bookmarkStart w:id="198" w:name="_Toc8457"/>
      <w:bookmarkStart w:id="199" w:name="_Toc447886489"/>
      <w:r>
        <w:rPr>
          <w:rFonts w:hint="eastAsia" w:ascii="宋体" w:hAnsi="宋体" w:eastAsia="宋体" w:cs="宋体"/>
          <w:b/>
          <w:bCs/>
          <w:color w:val="auto"/>
          <w:highlight w:val="none"/>
        </w:rPr>
        <w:t>（五）投标文件的签署和份数</w:t>
      </w:r>
      <w:bookmarkEnd w:id="195"/>
      <w:bookmarkEnd w:id="196"/>
      <w:bookmarkEnd w:id="197"/>
      <w:bookmarkEnd w:id="198"/>
      <w:bookmarkEnd w:id="199"/>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1.投标人应按本招标文件规定的格式和顺序编制、装订投标文件并标注页码，投标文件内容不完整、编排混乱导致投标文件被误读、漏读或者查找不到相关内容的，是投标人的责任。</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b/>
          <w:bCs/>
          <w:color w:val="auto"/>
          <w:highlight w:val="none"/>
        </w:rPr>
        <w:t>2.投标人应提供电子投标文件。电子投标文件中所须加盖公章（联合体的，只需盖联合体牵头人CA章）。</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3.投标文件须由投标人在规定位置盖章并由法定代表人或法定代表人的授权委托人签署，投标人应写全称。</w:t>
      </w: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4.投标文件不得涂改，若有修改错漏处，须加盖单位公章或者法定代表人或授权委托人签字或盖章。投标文件因字迹潦草或表达不清所引起的后果由投标人负责。</w:t>
      </w:r>
    </w:p>
    <w:p>
      <w:pPr>
        <w:snapToGrid w:val="0"/>
        <w:spacing w:before="120" w:beforeLines="50" w:line="360" w:lineRule="auto"/>
        <w:ind w:firstLine="310" w:firstLineChars="147"/>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（六）投标文件的上传递交、修改和撤回</w:t>
      </w:r>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00" w:name="_Toc47388364"/>
      <w:bookmarkStart w:id="201" w:name="_Toc11204"/>
      <w:bookmarkStart w:id="202" w:name="_Toc132205191"/>
      <w:bookmarkStart w:id="203" w:name="_Toc447886490"/>
      <w:bookmarkStart w:id="204" w:name="_Toc447886352"/>
      <w:r>
        <w:rPr>
          <w:rFonts w:hint="eastAsia" w:ascii="宋体" w:hAnsi="宋体" w:eastAsia="宋体" w:cs="宋体"/>
          <w:color w:val="auto"/>
          <w:highlight w:val="none"/>
        </w:rPr>
        <w:t>1.投标文件的上传递交：</w:t>
      </w:r>
      <w:bookmarkEnd w:id="200"/>
      <w:bookmarkEnd w:id="201"/>
      <w:bookmarkEnd w:id="202"/>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05" w:name="_Toc18986"/>
      <w:bookmarkStart w:id="206" w:name="_Toc132205192"/>
      <w:bookmarkStart w:id="207" w:name="_Toc47388365"/>
      <w:r>
        <w:rPr>
          <w:rFonts w:hint="eastAsia" w:ascii="宋体" w:hAnsi="宋体" w:eastAsia="宋体" w:cs="宋体"/>
          <w:color w:val="auto"/>
          <w:highlight w:val="none"/>
        </w:rPr>
        <w:t>（1）电子加密投标文件的上传递交：</w:t>
      </w:r>
      <w:bookmarkEnd w:id="205"/>
      <w:bookmarkEnd w:id="206"/>
      <w:bookmarkEnd w:id="207"/>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08" w:name="_Toc47388366"/>
      <w:bookmarkStart w:id="209" w:name="_Toc132205193"/>
      <w:bookmarkStart w:id="210" w:name="_Toc28964"/>
      <w:r>
        <w:rPr>
          <w:rFonts w:hint="eastAsia" w:ascii="宋体" w:hAnsi="宋体" w:eastAsia="宋体" w:cs="宋体"/>
          <w:color w:val="auto"/>
          <w:highlight w:val="none"/>
        </w:rPr>
        <w:t>★a.投标人应在投标截止时间前将电子加密投标文件成功上传递交至政府采购云平台，否则投标无效；</w:t>
      </w:r>
      <w:bookmarkEnd w:id="208"/>
      <w:bookmarkEnd w:id="209"/>
      <w:bookmarkEnd w:id="210"/>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11" w:name="_Toc132205194"/>
      <w:bookmarkStart w:id="212" w:name="_Toc31716"/>
      <w:bookmarkStart w:id="213" w:name="_Toc47388367"/>
      <w:r>
        <w:rPr>
          <w:rFonts w:hint="eastAsia" w:ascii="宋体" w:hAnsi="宋体" w:eastAsia="宋体" w:cs="宋体"/>
          <w:color w:val="auto"/>
          <w:highlight w:val="none"/>
        </w:rPr>
        <w:t>b.电子加密投标文件成功上传递交后，投标人可自行打印投标文件接收回执。</w:t>
      </w:r>
      <w:bookmarkEnd w:id="211"/>
      <w:bookmarkEnd w:id="212"/>
      <w:bookmarkEnd w:id="213"/>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14" w:name="_Toc132205195"/>
      <w:bookmarkStart w:id="215" w:name="_Toc47388368"/>
      <w:bookmarkStart w:id="216" w:name="_Toc2573"/>
      <w:r>
        <w:rPr>
          <w:rFonts w:hint="eastAsia" w:ascii="宋体" w:hAnsi="宋体" w:eastAsia="宋体" w:cs="宋体"/>
          <w:color w:val="auto"/>
          <w:highlight w:val="none"/>
        </w:rPr>
        <w:t>（2）备份投标文件的密封包装、递交：</w:t>
      </w:r>
      <w:bookmarkEnd w:id="214"/>
      <w:bookmarkEnd w:id="215"/>
      <w:bookmarkEnd w:id="216"/>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17" w:name="_Toc132205196"/>
      <w:bookmarkStart w:id="218" w:name="_Toc47388369"/>
      <w:bookmarkStart w:id="219" w:name="_Toc3075"/>
      <w:r>
        <w:rPr>
          <w:rFonts w:hint="eastAsia" w:ascii="宋体" w:hAnsi="宋体" w:eastAsia="宋体" w:cs="宋体"/>
          <w:color w:val="auto"/>
          <w:highlight w:val="none"/>
        </w:rPr>
        <w:t>a.投标人在政府采购云平台完成电子加密投标文件的上传递交后，还可以通过电子邮件在投标截止时间前递交备份投标文件；</w:t>
      </w:r>
      <w:bookmarkEnd w:id="217"/>
      <w:bookmarkEnd w:id="218"/>
      <w:bookmarkEnd w:id="219"/>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20" w:name="_Toc132205197"/>
      <w:bookmarkStart w:id="221" w:name="_Toc6588"/>
      <w:bookmarkStart w:id="222" w:name="_Toc47388370"/>
      <w:r>
        <w:rPr>
          <w:rFonts w:hint="eastAsia" w:ascii="宋体" w:hAnsi="宋体" w:eastAsia="宋体" w:cs="宋体"/>
          <w:color w:val="auto"/>
          <w:highlight w:val="none"/>
        </w:rPr>
        <w:t>★b.通过政府采购云平台成功上传递交的电子加密投标文件已按时解密的，备份投标文件自动失效。投标截止时间前，投标人仅递交备份投标文件而未将电子加密投标文件成功上传递交至政府采购云平台的，投标无效。</w:t>
      </w:r>
      <w:bookmarkEnd w:id="220"/>
      <w:bookmarkEnd w:id="221"/>
      <w:bookmarkEnd w:id="222"/>
    </w:p>
    <w:p>
      <w:pPr>
        <w:snapToGrid w:val="0"/>
        <w:spacing w:before="120" w:beforeLines="50" w:line="360" w:lineRule="auto"/>
        <w:ind w:firstLine="411" w:firstLineChars="196"/>
        <w:jc w:val="left"/>
        <w:outlineLvl w:val="2"/>
        <w:rPr>
          <w:rFonts w:hint="eastAsia" w:ascii="宋体" w:hAnsi="宋体" w:eastAsia="宋体" w:cs="宋体"/>
          <w:color w:val="auto"/>
          <w:highlight w:val="none"/>
        </w:rPr>
      </w:pPr>
      <w:bookmarkStart w:id="223" w:name="_Toc132205198"/>
      <w:bookmarkStart w:id="224" w:name="_Toc47388371"/>
      <w:bookmarkStart w:id="225" w:name="_Toc10991"/>
      <w:r>
        <w:rPr>
          <w:rFonts w:hint="eastAsia" w:ascii="宋体" w:hAnsi="宋体" w:eastAsia="宋体" w:cs="宋体"/>
          <w:color w:val="auto"/>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将予以拒收。</w:t>
      </w:r>
      <w:bookmarkEnd w:id="223"/>
      <w:bookmarkEnd w:id="224"/>
      <w:bookmarkEnd w:id="225"/>
    </w:p>
    <w:bookmarkEnd w:id="203"/>
    <w:bookmarkEnd w:id="204"/>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四、特别说明</w:t>
      </w:r>
    </w:p>
    <w:p>
      <w:pPr>
        <w:pStyle w:val="19"/>
        <w:snapToGrid w:val="0"/>
        <w:spacing w:line="360" w:lineRule="auto"/>
        <w:ind w:firstLine="404" w:firstLineChars="200"/>
        <w:rPr>
          <w:rFonts w:hint="eastAsia" w:ascii="宋体" w:hAnsi="宋体" w:eastAsia="宋体" w:cs="宋体"/>
          <w:color w:val="auto"/>
          <w:sz w:val="21"/>
          <w:szCs w:val="21"/>
          <w:highlight w:val="none"/>
        </w:rPr>
      </w:pPr>
      <w:bookmarkStart w:id="226" w:name="_Toc28996"/>
      <w:r>
        <w:rPr>
          <w:rFonts w:hint="eastAsia" w:ascii="宋体" w:hAnsi="宋体" w:eastAsia="宋体" w:cs="宋体"/>
          <w:color w:val="auto"/>
          <w:sz w:val="21"/>
          <w:szCs w:val="21"/>
          <w:highlight w:val="none"/>
        </w:rPr>
        <w:t>1.进口产品采购需符合“财政部关于印发《政府采购进口产品管理办法》的通知（财库[2007]119号）”第四、八、九、十、十一条的规定。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2.本项目</w:t>
      </w:r>
      <w:r>
        <w:rPr>
          <w:rFonts w:hint="eastAsia" w:ascii="宋体" w:hAnsi="宋体" w:eastAsia="宋体" w:cs="宋体"/>
          <w:color w:val="auto"/>
          <w:highlight w:val="none"/>
          <w:u w:val="single"/>
        </w:rPr>
        <w:t xml:space="preserve"> 非 </w:t>
      </w:r>
      <w:r>
        <w:rPr>
          <w:rFonts w:hint="eastAsia" w:ascii="宋体" w:hAnsi="宋体" w:eastAsia="宋体" w:cs="宋体"/>
          <w:color w:val="auto"/>
          <w:highlight w:val="none"/>
        </w:rPr>
        <w:t>专门面向中小企业采购。</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3.本项目对应的中小企业划分标准所属行业：</w:t>
      </w:r>
      <w:r>
        <w:rPr>
          <w:rFonts w:hint="eastAsia" w:ascii="宋体" w:hAnsi="宋体" w:eastAsia="宋体" w:cs="宋体"/>
          <w:color w:val="auto"/>
          <w:highlight w:val="none"/>
          <w:u w:val="single"/>
        </w:rPr>
        <w:t>工业。</w:t>
      </w:r>
      <w:r>
        <w:rPr>
          <w:rFonts w:hint="eastAsia" w:ascii="宋体" w:hAnsi="宋体" w:eastAsia="宋体" w:cs="宋体"/>
          <w:color w:val="auto"/>
          <w:highlight w:val="none"/>
        </w:rPr>
        <w:t xml:space="preserve"> </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4.小微企业是指中华人民共和国境内依法设立，依据国务院批准的中小企业划分标准确定的小型企业和微型企业，但与大企业的负责人为同一人，或者与大企业存在直接控股、管理关系的除外。</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符合中小企业划分标准的个体工商户，在政府采购活动中视同中小企业。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国务院批准的中小企业划分标准：具体见工信部联企业[2011]300号。</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5.在政府采购活动中，供应商提供的货物、工程或者服务符合下列情形的，可享受小型、微型企业（以下简称小微企业）的价格扣除：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（1）在货物采购项目中，货物由小微企业制造，即货物由小微企业生产且使用该小微企业商号或者注册商标；</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（2）在工程采购项目中，工程由小微企业承建，即工程施工单位为小微企业；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（3）在服务采购项目中，服务由小微企业承接，即提供服务的人员为小微企业依照《中华人民共和国劳动合同法》订立劳动合同的从业人员。</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以联合体形式参加政府采购活动，联合体各方均为小微企业的，联合体视同小微企业。</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6.在货物采购项目中，供应商提供的货物既有中小企业制造货物，也有大型企业制造货物的，不享受的小微企业价格扣除。</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本项目对符合《政府采购促进中小企业发展管理办法》（财库﹝2020﹞46号）和《财政部关于进一步加大政府采购支持中小企业力度的通知》（财库〔2022〕19号）规定的小微企业报价给予10%（工程项目为5%）的扣除，用扣除后的价格参加评审。</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8.小微企业应按照招标文件格式要求提供《中小企业声明函》。</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根据《关于促进残疾人就业政府采购政策的通知》（财库[2017]141号）规定，在政府采购活动中，残疾人福利性单位视同小型、微型企业。残疾人福利性单位参加政府采购活动时，提供《残疾人福利性单位声明函》。</w:t>
      </w:r>
    </w:p>
    <w:p>
      <w:pPr>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11.按规定享受扶持政策获得政府采购合同的，小微企业不得将合同分包给大中型企业，中型企业不得将合同分包给大型企业。</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12.供应商按照《政府采购促进中小企业发展管理办法》（财库﹝2020﹞46号）规定提供声明函内容不实的，属于提供虚假材料谋取中标、成交，依照《中华人民共和国政府采购法》等国家有关规定追究相应责任。</w:t>
      </w:r>
    </w:p>
    <w:p>
      <w:pPr>
        <w:pStyle w:val="3"/>
        <w:rPr>
          <w:rFonts w:hint="eastAsia" w:ascii="宋体" w:hAnsi="宋体" w:eastAsia="宋体" w:cs="宋体"/>
          <w:color w:val="auto"/>
          <w:sz w:val="21"/>
          <w:szCs w:val="21"/>
          <w:highlight w:val="none"/>
        </w:rPr>
      </w:pPr>
    </w:p>
    <w:p>
      <w:pPr>
        <w:pStyle w:val="3"/>
        <w:rPr>
          <w:rFonts w:hint="eastAsia" w:ascii="宋体" w:hAnsi="宋体" w:eastAsia="宋体" w:cs="宋体"/>
          <w:color w:val="auto"/>
          <w:sz w:val="21"/>
          <w:szCs w:val="21"/>
          <w:highlight w:val="none"/>
        </w:rPr>
      </w:pPr>
    </w:p>
    <w:p>
      <w:pPr>
        <w:pStyle w:val="3"/>
        <w:rPr>
          <w:rFonts w:hint="eastAsia" w:ascii="宋体" w:hAnsi="宋体" w:eastAsia="宋体" w:cs="宋体"/>
          <w:color w:val="auto"/>
          <w:highlight w:val="none"/>
        </w:rPr>
        <w:sectPr>
          <w:pgSz w:w="11906" w:h="16838"/>
          <w:pgMar w:top="1474" w:right="1797" w:bottom="1247" w:left="1797" w:header="851" w:footer="851" w:gutter="0"/>
          <w:cols w:space="720" w:num="1"/>
          <w:titlePg/>
          <w:docGrid w:linePitch="312" w:charSpace="0"/>
        </w:sectPr>
      </w:pPr>
    </w:p>
    <w:p>
      <w:pPr>
        <w:pStyle w:val="3"/>
        <w:rPr>
          <w:rFonts w:hint="eastAsia" w:ascii="宋体" w:hAnsi="宋体" w:eastAsia="宋体" w:cs="宋体"/>
          <w:color w:val="auto"/>
          <w:highlight w:val="none"/>
        </w:rPr>
      </w:pPr>
      <w:bookmarkStart w:id="227" w:name="_Toc132205199"/>
      <w:r>
        <w:rPr>
          <w:rFonts w:hint="eastAsia" w:ascii="宋体" w:hAnsi="宋体" w:eastAsia="宋体" w:cs="宋体"/>
          <w:color w:val="auto"/>
          <w:highlight w:val="none"/>
        </w:rPr>
        <w:t>第四章  评标办法及评分标准</w:t>
      </w:r>
      <w:bookmarkEnd w:id="226"/>
      <w:bookmarkEnd w:id="227"/>
    </w:p>
    <w:p>
      <w:pPr>
        <w:spacing w:line="360" w:lineRule="auto"/>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hint="eastAsia" w:ascii="宋体" w:hAnsi="宋体" w:eastAsia="宋体" w:cs="宋体"/>
          <w:color w:val="auto"/>
          <w:highlight w:val="none"/>
        </w:rPr>
      </w:pPr>
      <w:r>
        <w:rPr>
          <w:rFonts w:hint="eastAsia" w:ascii="宋体" w:hAnsi="宋体" w:eastAsia="宋体" w:cs="宋体"/>
          <w:b/>
          <w:bCs/>
          <w:color w:val="auto"/>
          <w:highlight w:val="none"/>
        </w:rPr>
        <w:t>一、开标程序：</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1、电子招投标开标程序：</w:t>
      </w:r>
    </w:p>
    <w:p>
      <w:pPr>
        <w:numPr>
          <w:ilvl w:val="0"/>
          <w:numId w:val="15"/>
        </w:num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投标截止时间后，供应商登录政府采购云平台，用“项目采购-开标评标”功能对电子投标文件进行在线解密，在线解密电子投标文件时间为开标时间后30分钟内。</w:t>
      </w:r>
    </w:p>
    <w:p>
      <w:pPr>
        <w:numPr>
          <w:ilvl w:val="0"/>
          <w:numId w:val="15"/>
        </w:num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在政府采购云平台开启已解密供应商的“资格证明文件、商务技术文件、报价文件”，并做开标记录；</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（3）在政府采购云平台宣告评审无效供应商名单及理由；</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（4）在政府采购云平台公布评审结果。</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（5）开标会议结束。</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3、特别说明：政府采购云平台如对电子化开标及评审程序有调整的，按调整后的程序操作。</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本项目原则上采用政采云电子招投标开标程序，但有以下情形之一的，按以下情况处理：</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（1）若有供应商在规定时间内无法解密或解密失败，代理机构将开启该供应商递交的电子备份投标文件，上传至政采云平台项目采购模块，以完成开标，电子投标文件自动失效。</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（2）采购过程中出现以下情形，导致电子交易平台无法正常运行，或者无法保证电子交易的公平、公正和安全时，采购人（或代理机构）可中止电子交易活动：</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3.1电子交易平台发生故障而无法登录访问的； </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3.2电子交易平台应用或数据库出现错误，不能进行正常操作的；</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3.3电子交易平台发现严重安全漏洞，有潜在泄密危险的；</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3.4病毒发作导致不能进行正常操作的； </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3.5其他无法保证电子交易的公平、公正和安全的情况。</w:t>
      </w:r>
    </w:p>
    <w:p>
      <w:pPr>
        <w:tabs>
          <w:tab w:val="left" w:pos="518"/>
        </w:tabs>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（3）未开启的备份投标文件现场予以退还（电子邮件方式除外）。</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二、评标委员会</w:t>
      </w:r>
    </w:p>
    <w:p>
      <w:pPr>
        <w:spacing w:line="360" w:lineRule="auto"/>
        <w:ind w:firstLine="420" w:firstLineChars="200"/>
        <w:rPr>
          <w:rFonts w:hint="eastAsia" w:ascii="宋体" w:hAnsi="宋体" w:eastAsia="宋体" w:cs="宋体"/>
          <w:bCs/>
          <w:color w:val="auto"/>
          <w:highlight w:val="none"/>
        </w:rPr>
      </w:pPr>
      <w:r>
        <w:rPr>
          <w:rFonts w:hint="eastAsia" w:ascii="宋体" w:hAnsi="宋体" w:eastAsia="宋体" w:cs="宋体"/>
          <w:color w:val="auto"/>
          <w:highlight w:val="none"/>
        </w:rPr>
        <w:t>（一）本次招标依法组建评标委员会。</w:t>
      </w:r>
    </w:p>
    <w:p>
      <w:pPr>
        <w:pStyle w:val="29"/>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9"/>
        <w:spacing w:line="360" w:lineRule="auto"/>
        <w:ind w:firstLine="420"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（三）评审专家有下列情形之一的，受到邀请应主动提出回避，采购当事人也可以要求该评审专家回避：</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1、参加采购活动前三年内，与投标人存在劳动关系，或者担任过投标人的董事、监事，或者是投标人的控股股东或实际控制人； </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2、与投标人的法定代表人或者负责人有夫妻、直系血亲、三代以内旁系血亲或者近姻亲关系； </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3、与供应商有其他可能影响政府采购活动公平、公正进行的关系。</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4、曾经参加过该招标项目的进口产品论证服务工作；</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5、法律、法规、规章规定应当回避以及其他可能影响公正评审的。</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五）评委依法独立评审，并对评审意见承担个人责任。对明显畸高、畸低的评分（评审小组成员个人主观打分偏离所有评审小组成员主观打分平均值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三、评标方法</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（一）本次采购项目的评标方法为：综合评分法。</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采用综合评分法的，评标结果按评审后得分由高到低顺序</w:t>
      </w:r>
      <w:r>
        <w:rPr>
          <w:rFonts w:hint="eastAsia" w:ascii="宋体" w:hAnsi="宋体" w:eastAsia="宋体" w:cs="宋体"/>
          <w:b w:val="0"/>
          <w:bCs w:val="0"/>
          <w:color w:val="auto"/>
          <w:sz w:val="21"/>
          <w:szCs w:val="21"/>
          <w:highlight w:val="none"/>
        </w:rPr>
        <w:t>推荐1名</w:t>
      </w:r>
      <w:r>
        <w:rPr>
          <w:rFonts w:hint="eastAsia" w:ascii="宋体" w:hAnsi="宋体" w:eastAsia="宋体" w:cs="宋体"/>
          <w:b w:val="0"/>
          <w:color w:val="auto"/>
          <w:sz w:val="21"/>
          <w:szCs w:val="21"/>
          <w:highlight w:val="none"/>
        </w:rPr>
        <w:t>中标</w:t>
      </w:r>
      <w:r>
        <w:rPr>
          <w:rFonts w:hint="eastAsia" w:ascii="宋体" w:hAnsi="宋体" w:eastAsia="宋体" w:cs="宋体"/>
          <w:b w:val="0"/>
          <w:bCs w:val="0"/>
          <w:color w:val="auto"/>
          <w:sz w:val="21"/>
          <w:szCs w:val="21"/>
          <w:highlight w:val="none"/>
        </w:rPr>
        <w:t>候选人</w:t>
      </w:r>
      <w:r>
        <w:rPr>
          <w:rFonts w:hint="eastAsia" w:ascii="宋体" w:hAnsi="宋体" w:eastAsia="宋体" w:cs="宋体"/>
          <w:b w:val="0"/>
          <w:color w:val="auto"/>
          <w:sz w:val="21"/>
          <w:szCs w:val="21"/>
          <w:highlight w:val="none"/>
        </w:rPr>
        <w:t>。得分相同的，按投标报价由低到高顺序排列。得分且投标报价相同的并列，则抽签决定。</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（二）投标文件的澄清</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1、对于投标文件中含义不明确、同类问题表述不一致或者有明显文字和计算错误的内容，评标委员会应当以书面形式要求供应商作出必要的澄清、说明或者补正。</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（三）投标文件错误修正原则</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投标文件如果出现计算或表达上的错误，修正错误的原则如下：</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1、投标文件中开标一览表（报价表）内容与投标文件中相应内容不一致的，以开标一览表（报价表）为准；</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2、政采云平台填报的开标一览表中的价格与上传的报价文件中开标一览表的报价不一致的，以上传的报价文件为准；</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3、大写金额和小写金额不一致的，以大写金额为准；</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4、单价金额小数点或者百分比有明显错位的，以开标一览表的总价为准，并修改单价；</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5、总价金额与按单价汇总金额不一致的，以单价金额计算结果为准。</w:t>
      </w:r>
    </w:p>
    <w:p>
      <w:pPr>
        <w:pStyle w:val="29"/>
        <w:spacing w:line="360" w:lineRule="auto"/>
        <w:ind w:firstLine="417" w:firstLineChars="199"/>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同时出现两种以上不一致的，按照前款规定的顺序修正。修正后的报价按照投标文件澄清第二款的规定经供应商确认后产生约束力，供应商不确认的，其投标无效。</w:t>
      </w:r>
    </w:p>
    <w:p>
      <w:pPr>
        <w:widowControl/>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四、评标程序</w:t>
      </w:r>
    </w:p>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（一）资格条件审查</w:t>
      </w:r>
    </w:p>
    <w:p>
      <w:pPr>
        <w:spacing w:line="360" w:lineRule="auto"/>
        <w:ind w:firstLine="522" w:firstLineChars="249"/>
        <w:rPr>
          <w:rFonts w:hint="eastAsia" w:ascii="宋体" w:hAnsi="宋体" w:eastAsia="宋体" w:cs="宋体"/>
          <w:color w:val="auto"/>
          <w:highlight w:val="none"/>
        </w:rPr>
      </w:pPr>
      <w:r>
        <w:rPr>
          <w:rFonts w:hint="eastAsia" w:ascii="宋体" w:hAnsi="宋体" w:eastAsia="宋体" w:cs="宋体"/>
          <w:color w:val="auto"/>
          <w:highlight w:val="none"/>
        </w:rPr>
        <w:t>由采购人或采购代理机构对供应商的资格进行审查。</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审查类别</w:t>
            </w:r>
          </w:p>
        </w:tc>
        <w:tc>
          <w:tcPr>
            <w:tcW w:w="679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资格条件审查</w:t>
            </w: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6"/>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满足《中华人民共和国政府采购法》第二十二条规定；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widowControl/>
              <w:numPr>
                <w:ilvl w:val="0"/>
                <w:numId w:val="16"/>
              </w:numPr>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（三）落实政府采购政策需满足的资格要求：</w:t>
            </w:r>
            <w:r>
              <w:rPr>
                <w:rFonts w:hint="eastAsia" w:ascii="宋体" w:hAnsi="宋体" w:cs="宋体"/>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投标人为第二类、第三类医疗器械生产企业提供《医疗器械生产许可证》复印件、第一类医疗器械生产企业提供第一类医疗器械生产备案凭证复印件。投标人为医疗器械经营企业的：第三类医疗器械经营企业提供《医疗器械经营许可证》复印件、第二类医疗器械经营企业提供第二类医疗器械经营备案凭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794" w:type="dxa"/>
            <w:tcBorders>
              <w:top w:val="single" w:color="auto" w:sz="4" w:space="0"/>
              <w:left w:val="single" w:color="auto" w:sz="4" w:space="0"/>
              <w:bottom w:val="single" w:color="auto" w:sz="4" w:space="0"/>
              <w:right w:val="single" w:color="auto" w:sz="4" w:space="0"/>
            </w:tcBorders>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（五）本项目接受联合体投标。</w:t>
            </w:r>
          </w:p>
        </w:tc>
      </w:tr>
    </w:tbl>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（二）符合性审查</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评标委员会应当对符合资格的供应商的投标文件进行符合性审查，以确定其是否满足采购文件的实质性要求。</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审查类别</w:t>
            </w:r>
          </w:p>
        </w:tc>
        <w:tc>
          <w:tcPr>
            <w:tcW w:w="652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highlight w:val="none"/>
              </w:rPr>
            </w:pPr>
            <w:r>
              <w:rPr>
                <w:rFonts w:hint="eastAsia" w:ascii="宋体" w:hAnsi="宋体" w:eastAsia="宋体" w:cs="宋体"/>
                <w:b/>
                <w:color w:val="auto"/>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符合性审查</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（商务技术文件）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（四）投标文件的实质性内容使用中文表述且意思表述明确，前后无矛盾且使用计量单位符合采购文件要求的；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（五）带“★”的条款满足采购文件要求、已实质性响应采购文件要求且投标文件无采购人不能接受的附加条件的；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（六）投标技术方案明确，不存在一个或一个以上备选（替代）投标方案的；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（七）不存在法律、法规和采购文件规定的其他无效情形；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（八）不存在投标文件的有效期不满足采购文件要求情形；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符合性审查</w:t>
            </w:r>
          </w:p>
          <w:p>
            <w:pPr>
              <w:spacing w:line="360" w:lineRule="auto"/>
              <w:ind w:firstLine="210" w:firstLineChars="100"/>
              <w:jc w:val="center"/>
              <w:rPr>
                <w:rFonts w:hint="eastAsia" w:ascii="宋体" w:hAnsi="宋体" w:eastAsia="宋体" w:cs="宋体"/>
                <w:color w:val="auto"/>
                <w:highlight w:val="none"/>
              </w:rPr>
            </w:pPr>
            <w:r>
              <w:rPr>
                <w:rFonts w:hint="eastAsia" w:ascii="宋体" w:hAnsi="宋体" w:eastAsia="宋体" w:cs="宋体"/>
                <w:color w:val="auto"/>
                <w:highlight w:val="none"/>
              </w:rPr>
              <w:t>（报价文件）</w:t>
            </w: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（一）按照采购文件规定要求签署或盖章；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（二）采用人民币报价或者按照采购文件标明的币种报价的；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（三）不存在报价超出最高限价，或者超出采购预算金额，采购人不能支付的情形。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（四）不存在投标报价具有选择性的情形；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（五）投标报价中未出现重大缺项、漏项；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（六）不存在评标委员会认为供应商的报价明显低于其他通过符合性审查供应商的报价，有可能影响产品质量或者不能诚信履约的且不能在评标现场合理时间内提供相关证明材料说明其报价的合理性的情形；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（七）投标文件（报价文件）内容与投标文件（商务技术文件）内容不存在重大差异的；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tcBorders>
              <w:top w:val="nil"/>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p>
        </w:tc>
        <w:tc>
          <w:tcPr>
            <w:tcW w:w="652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（八）不存在法律、法规和采购文件规定的其他无效情形；</w:t>
            </w:r>
          </w:p>
        </w:tc>
      </w:tr>
    </w:tbl>
    <w:p>
      <w:pPr>
        <w:spacing w:line="360" w:lineRule="auto"/>
        <w:ind w:firstLine="422" w:firstLineChars="200"/>
        <w:rPr>
          <w:rFonts w:hint="eastAsia" w:ascii="宋体" w:hAnsi="宋体" w:eastAsia="宋体" w:cs="宋体"/>
          <w:b/>
          <w:color w:val="auto"/>
          <w:highlight w:val="none"/>
        </w:rPr>
      </w:pPr>
      <w:r>
        <w:rPr>
          <w:rFonts w:hint="eastAsia" w:ascii="宋体" w:hAnsi="宋体" w:eastAsia="宋体" w:cs="宋体"/>
          <w:b/>
          <w:color w:val="auto"/>
          <w:highlight w:val="none"/>
        </w:rPr>
        <w:t>（三）投标无效的情形</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没有响应采购文件实质性要求的投标将被视为无效投标。供应商不得通过修正或撤消不合要求的偏离或保留从而使其投标成为实质上响应的投标。</w:t>
      </w:r>
    </w:p>
    <w:p>
      <w:pPr>
        <w:widowControl/>
        <w:numPr>
          <w:ilvl w:val="0"/>
          <w:numId w:val="17"/>
        </w:numPr>
        <w:spacing w:line="360" w:lineRule="auto"/>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在资格审查时，如发现下列情形之一的，将被视为无效投标文件：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资格证明文件不全的或者不符合采购文件标明的资格要求的或者未按采购文件规定要求签署、盖章；；</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B、在符合性审查（商务技术文件）时，如发现下列情形之一的，将被视为无效投标文件：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1、未按照采购文件规定要求签署或盖章；</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2、投标文件无法定代表人签署本人姓名（或印盖本人姓名章），或签署人未提供有效的法定代表人授权委托书或授权委托书填写项目不齐全的； </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3、投标文件标明的响应或偏离与事实不符或虚假投标的；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5、带“★”的条款不能满足采购文件要求、未实质性响应采购文件要求或者投标文件有采购人不能接受的附加条件的；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6、投标技术方案不明确，存在一个或一个以上备选（替代）投标方案的；</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7、法律、法规和采购文件规定的其他无效情形；</w:t>
      </w:r>
    </w:p>
    <w:p>
      <w:pPr>
        <w:spacing w:line="36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8、投标文件的有效期不满足采购文件要求；</w:t>
      </w:r>
    </w:p>
    <w:p>
      <w:pPr>
        <w:spacing w:line="360" w:lineRule="auto"/>
        <w:rPr>
          <w:rFonts w:hint="eastAsia" w:ascii="宋体" w:hAnsi="宋体" w:eastAsia="宋体" w:cs="宋体"/>
          <w:b/>
          <w:bCs/>
          <w:color w:val="auto"/>
          <w:kern w:val="0"/>
          <w:highlight w:val="none"/>
        </w:rPr>
      </w:pPr>
      <w:r>
        <w:rPr>
          <w:rFonts w:hint="eastAsia" w:ascii="宋体" w:hAnsi="宋体" w:eastAsia="宋体" w:cs="宋体"/>
          <w:b/>
          <w:bCs/>
          <w:color w:val="auto"/>
          <w:highlight w:val="none"/>
        </w:rPr>
        <w:t>C、在符合性审查（报价文件）时，如发现下列情形之一的，将被视为无效投标文件：</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1、未提交投标函或投标函内容不符合采购文件要求</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2、未按照采购文件规定要求签署或盖章；</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3、未采用人民币报价或者未按照采购文件标明的币种报价的；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4、报价超出最高限价，或者超出采购预算金额，采购人不能支付的；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5、投标报价具有选择性的；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6、投标报价中出现重大缺项、漏项；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8、投标文件（报价文件）内容与投标文件（商务技术文件）内容有重大差异的；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9、法律、法规和采购文件规定的其他无效情形；</w:t>
      </w:r>
    </w:p>
    <w:p>
      <w:pPr>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（四）评分标准</w:t>
      </w:r>
    </w:p>
    <w:p>
      <w:pPr>
        <w:pStyle w:val="2"/>
        <w:ind w:firstLine="211" w:firstLineChars="100"/>
        <w:rPr>
          <w:rFonts w:hint="default" w:eastAsia="宋体"/>
          <w:sz w:val="21"/>
          <w:szCs w:val="21"/>
          <w:lang w:val="en-US" w:eastAsia="zh-CN"/>
        </w:rPr>
      </w:pPr>
      <w:r>
        <w:rPr>
          <w:rFonts w:hint="eastAsia" w:ascii="宋体" w:hAnsi="宋体" w:cs="宋体"/>
          <w:b/>
          <w:color w:val="auto"/>
          <w:sz w:val="21"/>
          <w:szCs w:val="21"/>
          <w:highlight w:val="none"/>
          <w:lang w:val="en-US" w:eastAsia="zh-CN"/>
        </w:rPr>
        <w:t>标项一：</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bookmarkStart w:id="228" w:name="_Toc9029"/>
            <w:bookmarkStart w:id="229" w:name="_Toc317116871"/>
            <w:bookmarkStart w:id="230" w:name="_Toc26240"/>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本项目共有1</w:t>
            </w:r>
            <w:r>
              <w:rPr>
                <w:rFonts w:hint="eastAsia" w:ascii="宋体" w:hAnsi="宋体" w:cs="宋体"/>
                <w:b w:val="0"/>
                <w:bCs w:val="0"/>
                <w:color w:val="auto"/>
                <w:sz w:val="21"/>
                <w:szCs w:val="21"/>
                <w:highlight w:val="none"/>
                <w:lang w:val="en-US" w:eastAsia="zh-CN"/>
              </w:rPr>
              <w:t>45</w:t>
            </w:r>
            <w:r>
              <w:rPr>
                <w:rFonts w:hint="eastAsia" w:ascii="宋体" w:hAnsi="宋体" w:eastAsia="宋体" w:cs="宋体"/>
                <w:b w:val="0"/>
                <w:bCs w:val="0"/>
                <w:color w:val="auto"/>
                <w:sz w:val="21"/>
                <w:szCs w:val="21"/>
                <w:highlight w:val="none"/>
                <w:lang w:val="en-US" w:eastAsia="zh-CN"/>
              </w:rPr>
              <w:t>项技术条款：标注“★”号的技术条款为实质性技术条款共</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项。标注“▲”号的技术条款为重要技术条款共</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135</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 </w:t>
            </w:r>
            <w:r>
              <w:rPr>
                <w:rFonts w:hint="eastAsia" w:ascii="宋体" w:hAnsi="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条及以上实质性技术条款负偏离的，作无效标处理</w:t>
            </w:r>
            <w:r>
              <w:rPr>
                <w:rFonts w:hint="eastAsia" w:ascii="宋体" w:hAnsi="宋体" w:cs="宋体"/>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3.4普通技术条款负偏离＞20条的按以下原则评审：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06</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rPr>
          <w:rFonts w:hint="eastAsia" w:ascii="宋体" w:hAnsi="宋体" w:cs="宋体"/>
          <w:b/>
          <w:color w:val="auto"/>
          <w:highlight w:val="none"/>
          <w:lang w:val="en-US" w:eastAsia="zh-CN"/>
        </w:rPr>
      </w:pPr>
    </w:p>
    <w:p>
      <w:pPr>
        <w:spacing w:before="120" w:beforeLines="50" w:after="120" w:afterLines="50" w:line="360" w:lineRule="auto"/>
        <w:ind w:firstLine="211" w:firstLineChars="100"/>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标项二：</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本项目共有63项技术条款：标注“▲”号的技术条款为重要技术条款共</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59</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3.2 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14</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ind w:firstLine="211" w:firstLineChars="100"/>
        <w:rPr>
          <w:rFonts w:hint="eastAsia" w:ascii="宋体" w:hAnsi="宋体" w:cs="宋体"/>
          <w:b/>
          <w:color w:val="auto"/>
          <w:highlight w:val="none"/>
          <w:lang w:val="en-US" w:eastAsia="zh-CN"/>
        </w:rPr>
      </w:pPr>
    </w:p>
    <w:p>
      <w:pPr>
        <w:spacing w:before="120" w:beforeLines="50" w:after="120" w:afterLines="50" w:line="360" w:lineRule="auto"/>
        <w:ind w:firstLine="211" w:firstLineChars="100"/>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标项三：</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本项目共有82项技术条款：标注“★”号的技术条款为实质性技术条款共</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项。标注“▲”号的技术条款为重要技术条款共</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74</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 </w:t>
            </w:r>
            <w:r>
              <w:rPr>
                <w:rFonts w:hint="eastAsia" w:ascii="宋体" w:hAnsi="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条及以上实质性技术条款负偏离的，作无效标处理</w:t>
            </w:r>
            <w:r>
              <w:rPr>
                <w:rFonts w:hint="eastAsia" w:ascii="宋体" w:hAnsi="宋体" w:cs="宋体"/>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3.4普通技术条款负偏离＞20条的按以下原则评审：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投标人得分=10-（负偏离条数-20）*0.12</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ind w:firstLine="211" w:firstLineChars="100"/>
        <w:rPr>
          <w:rFonts w:hint="eastAsia" w:ascii="宋体" w:hAnsi="宋体" w:cs="宋体"/>
          <w:b/>
          <w:color w:val="auto"/>
          <w:highlight w:val="none"/>
          <w:lang w:val="en-US" w:eastAsia="zh-CN"/>
        </w:rPr>
      </w:pPr>
    </w:p>
    <w:p>
      <w:pPr>
        <w:spacing w:before="120" w:beforeLines="50" w:after="120" w:afterLines="50" w:line="360" w:lineRule="auto"/>
        <w:ind w:firstLine="211" w:firstLineChars="100"/>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标项四：</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本项目共有82项技术条款：标注“▲”号的技术条款为重要技术条款共</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76</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11</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ind w:firstLine="211" w:firstLineChars="100"/>
        <w:rPr>
          <w:rFonts w:hint="eastAsia" w:ascii="宋体" w:hAnsi="宋体" w:cs="宋体"/>
          <w:b/>
          <w:color w:val="auto"/>
          <w:highlight w:val="none"/>
          <w:lang w:val="en-US" w:eastAsia="zh-CN"/>
        </w:rPr>
      </w:pPr>
    </w:p>
    <w:p>
      <w:pPr>
        <w:spacing w:before="120" w:beforeLines="50" w:after="120" w:afterLines="50" w:line="360" w:lineRule="auto"/>
        <w:ind w:firstLine="211" w:firstLineChars="100"/>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标项五：</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本项目共有78项技术条款：标注“▲”号的技术条款为重要技术条款共</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75</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3.2普通技术条款负偏离≤20条的按以下原则评审：普通技术条款每负偏离1条，扣1分。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12</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rPr>
          <w:rFonts w:hint="eastAsia" w:ascii="宋体" w:hAnsi="宋体" w:cs="宋体"/>
          <w:b/>
          <w:color w:val="auto"/>
          <w:highlight w:val="none"/>
          <w:lang w:val="en-US" w:eastAsia="zh-CN"/>
        </w:rPr>
      </w:pPr>
    </w:p>
    <w:p>
      <w:pPr>
        <w:spacing w:before="120" w:beforeLines="50" w:after="120" w:afterLines="50" w:line="360" w:lineRule="auto"/>
        <w:ind w:firstLine="211" w:firstLineChars="100"/>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标项六：</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cs="宋体"/>
                <w:highlight w:val="none"/>
              </w:rPr>
              <w:t>完全满足招标文件招标需求中所有条款的得</w:t>
            </w:r>
            <w:r>
              <w:rPr>
                <w:rFonts w:hint="eastAsia" w:ascii="宋体" w:hAnsi="宋体" w:cs="宋体"/>
                <w:highlight w:val="none"/>
                <w:lang w:val="en-US" w:eastAsia="zh-CN"/>
              </w:rPr>
              <w:t>31</w:t>
            </w:r>
            <w:r>
              <w:rPr>
                <w:rFonts w:hint="eastAsia" w:ascii="宋体" w:hAnsi="宋体" w:cs="宋体"/>
                <w:highlight w:val="none"/>
              </w:rPr>
              <w:t>分。一条</w:t>
            </w:r>
            <w:r>
              <w:rPr>
                <w:rFonts w:hint="eastAsia" w:ascii="宋体" w:hAnsi="宋体" w:cs="宋体"/>
                <w:highlight w:val="none"/>
                <w:lang w:val="en-US" w:eastAsia="zh-CN"/>
              </w:rPr>
              <w:t>标注“▲”的</w:t>
            </w:r>
            <w:r>
              <w:rPr>
                <w:rFonts w:hint="eastAsia" w:ascii="宋体" w:hAnsi="宋体" w:cs="宋体"/>
                <w:highlight w:val="none"/>
              </w:rPr>
              <w:t>条款，</w:t>
            </w:r>
            <w:r>
              <w:rPr>
                <w:rFonts w:hint="eastAsia" w:ascii="宋体" w:hAnsi="宋体" w:cs="宋体"/>
                <w:highlight w:val="none"/>
                <w:lang w:val="en-US" w:eastAsia="zh-CN"/>
              </w:rPr>
              <w:t>满足的加4分</w:t>
            </w:r>
            <w:r>
              <w:rPr>
                <w:rFonts w:hint="eastAsia" w:ascii="宋体" w:hAnsi="宋体" w:cs="宋体"/>
                <w:highlight w:val="none"/>
              </w:rPr>
              <w:t>；每</w:t>
            </w:r>
            <w:r>
              <w:rPr>
                <w:rFonts w:hint="eastAsia" w:ascii="宋体" w:hAnsi="宋体" w:cs="宋体"/>
                <w:highlight w:val="none"/>
                <w:lang w:val="en-US" w:eastAsia="zh-CN"/>
              </w:rPr>
              <w:t>满足</w:t>
            </w:r>
            <w:r>
              <w:rPr>
                <w:rFonts w:hint="eastAsia" w:ascii="宋体" w:hAnsi="宋体" w:cs="宋体"/>
                <w:highlight w:val="none"/>
              </w:rPr>
              <w:t>一条</w:t>
            </w:r>
            <w:r>
              <w:rPr>
                <w:rFonts w:hint="eastAsia" w:ascii="宋体" w:hAnsi="宋体" w:cs="宋体"/>
                <w:highlight w:val="none"/>
                <w:lang w:val="en-US" w:eastAsia="zh-CN"/>
              </w:rPr>
              <w:t>未标注“▲”的</w:t>
            </w:r>
            <w:r>
              <w:rPr>
                <w:rFonts w:hint="eastAsia" w:ascii="宋体" w:hAnsi="宋体" w:cs="宋体"/>
                <w:highlight w:val="none"/>
              </w:rPr>
              <w:t>条款，</w:t>
            </w:r>
            <w:r>
              <w:rPr>
                <w:rFonts w:hint="eastAsia" w:ascii="宋体" w:hAnsi="宋体" w:cs="宋体"/>
                <w:highlight w:val="none"/>
                <w:lang w:val="en-US" w:eastAsia="zh-CN"/>
              </w:rPr>
              <w:t>加1</w:t>
            </w:r>
            <w:r>
              <w:rPr>
                <w:rFonts w:hint="eastAsia" w:ascii="宋体" w:hAnsi="宋体" w:cs="宋体"/>
                <w:highlight w:val="none"/>
              </w:rPr>
              <w:t>分。</w:t>
            </w:r>
            <w:r>
              <w:rPr>
                <w:rFonts w:hint="eastAsia" w:ascii="宋体" w:hAnsi="宋体" w:cs="宋体"/>
                <w:highlight w:val="none"/>
                <w:lang w:val="en-US" w:eastAsia="zh-CN"/>
              </w:rPr>
              <w:t>满分31分。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31</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4</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4</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rPr>
          <w:rFonts w:hint="eastAsia" w:ascii="宋体" w:hAnsi="宋体" w:eastAsia="宋体" w:cs="宋体"/>
          <w:b/>
          <w:color w:val="auto"/>
          <w:highlight w:val="none"/>
        </w:rPr>
      </w:pPr>
    </w:p>
    <w:p>
      <w:pPr>
        <w:spacing w:before="120" w:beforeLines="50" w:after="120" w:afterLines="50" w:line="360" w:lineRule="auto"/>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标项七：</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本项目共有30项技术条款：标注“▲”号的技术条款为重要技术条款共</w:t>
            </w:r>
            <w:r>
              <w:rPr>
                <w:rFonts w:hint="eastAsia" w:ascii="宋体" w:hAnsi="宋体" w:cs="宋体"/>
                <w:b w:val="0"/>
                <w:bCs w:val="0"/>
                <w:color w:val="auto"/>
                <w:sz w:val="21"/>
                <w:szCs w:val="21"/>
                <w:highlight w:val="none"/>
                <w:lang w:val="en-US" w:eastAsia="zh-CN"/>
              </w:rPr>
              <w:t>7</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23</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3.2普通技术条款负偏离≤20条的按以下原则评审：普通技术条款每负偏离1条，扣1分。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58</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rPr>
          <w:rFonts w:hint="eastAsia" w:ascii="宋体" w:hAnsi="宋体" w:eastAsia="宋体" w:cs="宋体"/>
          <w:b/>
          <w:color w:val="auto"/>
          <w:highlight w:val="none"/>
        </w:rPr>
      </w:pPr>
    </w:p>
    <w:p>
      <w:pPr>
        <w:spacing w:before="120" w:beforeLines="50" w:after="120" w:afterLines="50" w:line="360" w:lineRule="auto"/>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标项八：</w:t>
      </w:r>
    </w:p>
    <w:tbl>
      <w:tblPr>
        <w:tblStyle w:val="49"/>
        <w:tblW w:w="8508"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6413"/>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评审内容及标准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（一）</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商务技术部分部分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u w:val="single"/>
              </w:rPr>
              <w:t>70</w:t>
            </w:r>
            <w:r>
              <w:rPr>
                <w:rFonts w:hint="eastAsia" w:ascii="宋体" w:hAnsi="宋体" w:eastAsia="宋体" w:cs="宋体"/>
                <w:b/>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对招标文件的技术需求（</w:t>
            </w:r>
            <w:r>
              <w:rPr>
                <w:rFonts w:hint="eastAsia" w:ascii="宋体" w:hAnsi="宋体" w:eastAsia="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本项目共有35项技术条款：标注“★”号的技术条款为实质性技术条款共</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项。标注“▲”号的技术条款为重要技术条款共</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项，其他技术条款为普通技术条款共</w:t>
            </w:r>
            <w:r>
              <w:rPr>
                <w:rFonts w:hint="eastAsia" w:ascii="宋体" w:hAnsi="宋体" w:cs="宋体"/>
                <w:b w:val="0"/>
                <w:bCs w:val="0"/>
                <w:color w:val="auto"/>
                <w:sz w:val="21"/>
                <w:szCs w:val="21"/>
                <w:highlight w:val="none"/>
                <w:lang w:val="en-US" w:eastAsia="zh-CN"/>
              </w:rPr>
              <w:t>32</w:t>
            </w:r>
            <w:r>
              <w:rPr>
                <w:rFonts w:hint="eastAsia" w:ascii="宋体" w:hAnsi="宋体" w:eastAsia="宋体" w:cs="宋体"/>
                <w:b w:val="0"/>
                <w:bCs w:val="0"/>
                <w:color w:val="auto"/>
                <w:sz w:val="21"/>
                <w:szCs w:val="21"/>
                <w:highlight w:val="none"/>
                <w:lang w:val="en-US" w:eastAsia="zh-CN"/>
              </w:rPr>
              <w:t>项。</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每1条重要技术条款负偏离的等同2条普通技术条款负偏离。</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val="en-US" w:eastAsia="zh-CN"/>
              </w:rPr>
              <w:t>技术响应的偏离按以下进行：</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3.1无负偏离得满分30分；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 xml:space="preserve">3.2 </w:t>
            </w:r>
            <w:r>
              <w:rPr>
                <w:rFonts w:hint="eastAsia" w:ascii="宋体" w:hAnsi="宋体" w:cs="宋体"/>
                <w:b w:val="0"/>
                <w:bCs w:val="0"/>
                <w:color w:val="auto"/>
                <w:sz w:val="21"/>
                <w:szCs w:val="21"/>
                <w:highlight w:val="none"/>
                <w:lang w:val="en-US" w:eastAsia="zh-CN"/>
              </w:rPr>
              <w:t>一</w:t>
            </w:r>
            <w:r>
              <w:rPr>
                <w:rFonts w:hint="eastAsia" w:ascii="宋体" w:hAnsi="宋体" w:eastAsia="宋体" w:cs="宋体"/>
                <w:b w:val="0"/>
                <w:bCs w:val="0"/>
                <w:color w:val="auto"/>
                <w:sz w:val="21"/>
                <w:szCs w:val="21"/>
                <w:highlight w:val="none"/>
                <w:lang w:val="en-US" w:eastAsia="zh-CN"/>
              </w:rPr>
              <w:t>条及以上实质性技术条款负偏离的，作无效标处理</w:t>
            </w:r>
            <w:r>
              <w:rPr>
                <w:rFonts w:hint="eastAsia" w:ascii="宋体" w:hAnsi="宋体" w:cs="宋体"/>
                <w:b w:val="0"/>
                <w:bCs w:val="0"/>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3.3普通技术条款负偏离≤20条的按以下原则评审：普通技术条款每负偏离1条，扣1分。</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3.4普通技术条款负偏离＞20条的按以下原则评审：</w:t>
            </w: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投标人得分=10-（负偏离条数-20）*0.</w:t>
            </w:r>
            <w:r>
              <w:rPr>
                <w:rFonts w:hint="eastAsia" w:ascii="宋体" w:hAnsi="宋体" w:cs="宋体"/>
                <w:b w:val="0"/>
                <w:bCs w:val="0"/>
                <w:color w:val="auto"/>
                <w:sz w:val="21"/>
                <w:szCs w:val="21"/>
                <w:highlight w:val="none"/>
                <w:lang w:val="en-US" w:eastAsia="zh-CN"/>
              </w:rPr>
              <w:t>71</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u w:val="singl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销售业绩（3分）：</w:t>
            </w:r>
            <w:r>
              <w:rPr>
                <w:rFonts w:hint="eastAsia" w:ascii="宋体" w:hAnsi="宋体" w:eastAsia="宋体" w:cs="宋体"/>
                <w:b w:val="0"/>
                <w:bCs w:val="0"/>
                <w:color w:val="auto"/>
                <w:sz w:val="21"/>
                <w:szCs w:val="21"/>
                <w:highlight w:val="none"/>
              </w:rPr>
              <w:t>投标品牌在2021年以来于销售同一型号产品，合同签订时间自2021年1月1日以来的，与最终用户签订的销售业绩，每提供一例业绩得1分。提供完整的合同复印件，复印件能清楚的辨析设备型号和价格，否则不得分。本项最高得3分。对省级以上主管部门认定的首台套产品，自纳入《省推广应用指导目录》起三年内参加政府采购活动，视同已具备相应销售业绩，业绩分为满分，投标文件中提供相应的证明材料。</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供货方案（5分）：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提供的供货方案，需包含但不限于以下要点：①供货期限是否满足招标文件要求；②交货方式是否切合实际；③供货保障流程是否合理；④供货流程要点是否明确；⑤供货实施步骤是否清晰。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供货期完全满足招标文件要求，交货方式切合实际，供货流程合理且供货流程要点明确，供货实施步骤清晰，能提供比较有针对性的服务措施的得5分；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供货期满足招标文件要求，交货方式切合实际，供货流程合理，供货实施流程清晰，能提供有针对性的服务措施的得4分；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方案内容符合本项目的供货要求，实行上基本合理可行的得3分；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方案内容基本符合本项目的供货要求，但是实行上略有欠缺的得2分；方案内容不完整，内容不充分，与本项目货物供应要求有差距的得1分；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color w:val="auto"/>
                <w:sz w:val="21"/>
                <w:szCs w:val="21"/>
                <w:highlight w:val="none"/>
              </w:rPr>
              <w:t>安装与验收方案（</w:t>
            </w:r>
            <w:r>
              <w:rPr>
                <w:rFonts w:hint="eastAsia" w:ascii="宋体" w:hAnsi="宋体" w:cs="宋体"/>
                <w:b/>
                <w:bCs/>
                <w:color w:val="auto"/>
                <w:sz w:val="21"/>
                <w:szCs w:val="21"/>
                <w:highlight w:val="none"/>
                <w:lang w:val="en-US" w:eastAsia="zh-CN"/>
              </w:rPr>
              <w:t>5</w:t>
            </w:r>
            <w:r>
              <w:rPr>
                <w:rFonts w:hint="eastAsia" w:ascii="宋体" w:hAnsi="宋体" w:eastAsia="宋体" w:cs="宋体"/>
                <w:b/>
                <w:bCs/>
                <w:color w:val="auto"/>
                <w:sz w:val="21"/>
                <w:szCs w:val="21"/>
                <w:highlight w:val="none"/>
              </w:rPr>
              <w:t>分）：</w:t>
            </w:r>
            <w:r>
              <w:rPr>
                <w:rFonts w:hint="eastAsia" w:ascii="宋体" w:hAnsi="宋体" w:eastAsia="宋体" w:cs="宋体"/>
                <w:b w:val="0"/>
                <w:bCs w:val="0"/>
                <w:color w:val="auto"/>
                <w:sz w:val="21"/>
                <w:szCs w:val="21"/>
                <w:highlight w:val="none"/>
                <w:lang w:val="en-US" w:eastAsia="zh-CN"/>
              </w:rPr>
              <w:t>根据</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提供的安装与验收方案，需包含但不限于以下要点：①安装方案；②安装人员配置；③调试要求；④开箱测试方式；⑤产品验收方案。由评标委员会进行评议：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安装方案得当，安装人员配置贴合实际需求，调试要求明确，且开箱测试方式科学，产品验收方案合理，能确保货物正常安装及验收的得</w:t>
            </w:r>
            <w:r>
              <w:rPr>
                <w:rFonts w:hint="eastAsia" w:ascii="宋体" w:hAnsi="宋体" w:cs="宋体"/>
                <w:b w:val="0"/>
                <w:bCs w:val="0"/>
                <w:i w:val="0"/>
                <w:iCs w:val="0"/>
                <w:color w:val="auto"/>
                <w:kern w:val="0"/>
                <w:sz w:val="21"/>
                <w:szCs w:val="21"/>
                <w:highlight w:val="none"/>
                <w:lang w:val="en-US" w:eastAsia="zh-CN"/>
              </w:rPr>
              <w:t>5</w:t>
            </w:r>
            <w:r>
              <w:rPr>
                <w:rFonts w:hint="eastAsia" w:ascii="宋体" w:hAnsi="宋体" w:eastAsia="宋体" w:cs="宋体"/>
                <w:b w:val="0"/>
                <w:bCs w:val="0"/>
                <w:i w:val="0"/>
                <w:iCs w:val="0"/>
                <w:color w:val="auto"/>
                <w:kern w:val="0"/>
                <w:sz w:val="21"/>
                <w:szCs w:val="21"/>
                <w:highlight w:val="none"/>
                <w:lang w:val="en-US"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安装方案及安装人员配置贴合实际需求，调试要求明确，方式科学，产品验收方案合理，比较能确保货物正常安装及验收的得4分；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安装方案及安装人员配置基本贴合实际需求，调试要求基本明确，产品验收方案基本合理可行的得3分；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安装与验收方案符合项目实际要求，但存在一定缺项的得2分；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安装与验收方案存在明显缺项，实行上有困难的得1分；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bCs/>
                <w:i w:val="0"/>
                <w:iCs w:val="0"/>
                <w:color w:val="auto"/>
                <w:kern w:val="0"/>
                <w:sz w:val="21"/>
                <w:szCs w:val="21"/>
                <w:highlight w:val="none"/>
                <w:lang w:val="en-US" w:eastAsia="zh-CN"/>
              </w:rPr>
              <w:t>售后服务（15分）：</w:t>
            </w:r>
          </w:p>
        </w:tc>
        <w:tc>
          <w:tcPr>
            <w:tcW w:w="1185" w:type="dxa"/>
            <w:vAlign w:val="center"/>
          </w:tcPr>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需结合自身实际提供服务承诺，需包含但不限于以下要点：①服务方式；②服务响应时间；③技术支持；④服务体系；⑤退换货品承诺。由评标委员会进行评议：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各项服务承诺能与医院实际相结合，能提供实质性承诺及保障措施，能有效保证货物正常使用的得5分；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各项服务承诺能与医院实际相结合，能提供承诺及保障措施，能保证货物正常使用的得4分；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各项服务承诺与医院实际基本相结合，但承诺及保障只能基本符合货物实际使用情况，基本满足医院使用要求的得3分；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各项服务承诺与医院实际欠符合，承诺及保障欠符合货物实际使用情况，欠满足医院使用要求的得2分；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服务承诺和保障措施与医院实际需求存在巨大偏差，会严重影响货物正常使用的得1分。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需结合自身实际提供质保期方案，需包含但不限于以下要点：</w:t>
            </w:r>
            <w:r>
              <w:rPr>
                <w:rFonts w:hint="eastAsia" w:ascii="宋体" w:hAnsi="宋体" w:eastAsia="宋体" w:cs="宋体"/>
                <w:b w:val="0"/>
                <w:bCs w:val="0"/>
                <w:i w:val="0"/>
                <w:iCs w:val="0"/>
                <w:color w:val="auto"/>
                <w:kern w:val="0"/>
                <w:sz w:val="21"/>
                <w:szCs w:val="21"/>
                <w:highlight w:val="none"/>
              </w:rPr>
              <w:t>①质保期内定期服务方案</w:t>
            </w:r>
            <w:r>
              <w:rPr>
                <w:rFonts w:hint="eastAsia" w:ascii="宋体" w:hAnsi="宋体" w:eastAsia="宋体" w:cs="宋体"/>
                <w:b w:val="0"/>
                <w:bCs w:val="0"/>
                <w:i w:val="0"/>
                <w:iCs w:val="0"/>
                <w:color w:val="auto"/>
                <w:kern w:val="0"/>
                <w:sz w:val="21"/>
                <w:szCs w:val="21"/>
                <w:highlight w:val="none"/>
                <w:lang w:eastAsia="zh-CN"/>
              </w:rPr>
              <w:t>；②</w:t>
            </w:r>
            <w:r>
              <w:rPr>
                <w:rFonts w:hint="eastAsia" w:ascii="宋体" w:hAnsi="宋体" w:eastAsia="宋体" w:cs="宋体"/>
                <w:b w:val="0"/>
                <w:bCs w:val="0"/>
                <w:i w:val="0"/>
                <w:iCs w:val="0"/>
                <w:color w:val="auto"/>
                <w:kern w:val="0"/>
                <w:sz w:val="21"/>
                <w:szCs w:val="21"/>
                <w:highlight w:val="none"/>
              </w:rPr>
              <w:t>巡检服务方案</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③售后服务保障</w:t>
            </w:r>
            <w:r>
              <w:rPr>
                <w:rFonts w:hint="eastAsia" w:ascii="宋体" w:hAnsi="宋体" w:eastAsia="宋体" w:cs="宋体"/>
                <w:b w:val="0"/>
                <w:bCs w:val="0"/>
                <w:i w:val="0"/>
                <w:iCs w:val="0"/>
                <w:color w:val="auto"/>
                <w:kern w:val="0"/>
                <w:sz w:val="21"/>
                <w:szCs w:val="21"/>
                <w:highlight w:val="none"/>
                <w:lang w:eastAsia="zh-CN"/>
              </w:rPr>
              <w:t>；</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售后服务机构的设置。</w:t>
            </w:r>
            <w:r>
              <w:rPr>
                <w:rFonts w:hint="eastAsia" w:ascii="宋体" w:hAnsi="宋体" w:eastAsia="宋体" w:cs="宋体"/>
                <w:b w:val="0"/>
                <w:bCs w:val="0"/>
                <w:i w:val="0"/>
                <w:iCs w:val="0"/>
                <w:color w:val="auto"/>
                <w:kern w:val="0"/>
                <w:sz w:val="21"/>
                <w:szCs w:val="21"/>
                <w:highlight w:val="none"/>
              </w:rPr>
              <w:t>由评委进行综合评议</w:t>
            </w:r>
            <w:r>
              <w:rPr>
                <w:rFonts w:hint="eastAsia" w:ascii="宋体" w:hAnsi="宋体" w:eastAsia="宋体" w:cs="宋体"/>
                <w:b w:val="0"/>
                <w:bCs w:val="0"/>
                <w:i w:val="0"/>
                <w:iCs w:val="0"/>
                <w:color w:val="auto"/>
                <w:kern w:val="0"/>
                <w:sz w:val="21"/>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能有效提高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，具有专业技能，服务目标明确清晰</w:t>
            </w:r>
            <w:r>
              <w:rPr>
                <w:rFonts w:hint="eastAsia" w:ascii="宋体" w:hAnsi="宋体" w:eastAsia="宋体" w:cs="宋体"/>
                <w:b w:val="0"/>
                <w:bCs w:val="0"/>
                <w:i w:val="0"/>
                <w:iCs w:val="0"/>
                <w:color w:val="auto"/>
                <w:kern w:val="0"/>
                <w:sz w:val="21"/>
                <w:szCs w:val="21"/>
                <w:highlight w:val="none"/>
                <w:lang w:val="en-US" w:eastAsia="zh-CN"/>
              </w:rPr>
              <w:t>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质保期内定期服务和巡检服务方案较合理，售后服务有保障且有相应的售后服务机构，</w:t>
            </w:r>
            <w:r>
              <w:rPr>
                <w:rFonts w:hint="eastAsia" w:ascii="宋体" w:hAnsi="宋体" w:eastAsia="宋体" w:cs="宋体"/>
                <w:b w:val="0"/>
                <w:bCs w:val="0"/>
                <w:i w:val="0"/>
                <w:iCs w:val="0"/>
                <w:color w:val="auto"/>
                <w:kern w:val="0"/>
                <w:sz w:val="21"/>
                <w:szCs w:val="21"/>
                <w:highlight w:val="none"/>
                <w:lang w:eastAsia="zh-CN"/>
              </w:rPr>
              <w:t>能提高</w:t>
            </w:r>
            <w:r>
              <w:rPr>
                <w:rFonts w:hint="eastAsia" w:ascii="宋体" w:hAnsi="宋体" w:eastAsia="宋体" w:cs="宋体"/>
                <w:b w:val="0"/>
                <w:bCs w:val="0"/>
                <w:i w:val="0"/>
                <w:iCs w:val="0"/>
                <w:color w:val="auto"/>
                <w:kern w:val="0"/>
                <w:sz w:val="21"/>
                <w:szCs w:val="21"/>
                <w:highlight w:val="none"/>
                <w:lang w:val="en-US" w:eastAsia="zh-CN"/>
              </w:rPr>
              <w:t>货物使用体验</w:t>
            </w:r>
            <w:r>
              <w:rPr>
                <w:rFonts w:hint="eastAsia" w:ascii="宋体" w:hAnsi="宋体" w:eastAsia="宋体" w:cs="宋体"/>
                <w:b w:val="0"/>
                <w:bCs w:val="0"/>
                <w:i w:val="0"/>
                <w:iCs w:val="0"/>
                <w:color w:val="auto"/>
                <w:kern w:val="0"/>
                <w:sz w:val="21"/>
                <w:szCs w:val="21"/>
                <w:highlight w:val="none"/>
                <w:lang w:eastAsia="zh-CN"/>
              </w:rPr>
              <w:t>，服务目标明确</w:t>
            </w:r>
            <w:r>
              <w:rPr>
                <w:rFonts w:hint="eastAsia" w:ascii="宋体" w:hAnsi="宋体" w:eastAsia="宋体" w:cs="宋体"/>
                <w:b w:val="0"/>
                <w:bCs w:val="0"/>
                <w:i w:val="0"/>
                <w:iCs w:val="0"/>
                <w:color w:val="auto"/>
                <w:kern w:val="0"/>
                <w:sz w:val="21"/>
                <w:szCs w:val="21"/>
                <w:highlight w:val="none"/>
                <w:lang w:val="en-US" w:eastAsia="zh-CN"/>
              </w:rPr>
              <w:t>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方案内容符合医院实际需求，</w:t>
            </w:r>
            <w:r>
              <w:rPr>
                <w:rFonts w:hint="eastAsia" w:ascii="宋体" w:hAnsi="宋体" w:eastAsia="宋体" w:cs="宋体"/>
                <w:b w:val="0"/>
                <w:bCs w:val="0"/>
                <w:i w:val="0"/>
                <w:iCs w:val="0"/>
                <w:color w:val="auto"/>
                <w:kern w:val="0"/>
                <w:sz w:val="21"/>
                <w:szCs w:val="21"/>
                <w:highlight w:val="none"/>
                <w:lang w:val="en-US" w:eastAsia="zh-CN"/>
              </w:rPr>
              <w:t>不</w:t>
            </w:r>
            <w:r>
              <w:rPr>
                <w:rFonts w:hint="eastAsia" w:ascii="宋体" w:hAnsi="宋体" w:eastAsia="宋体" w:cs="宋体"/>
                <w:b w:val="0"/>
                <w:bCs w:val="0"/>
                <w:i w:val="0"/>
                <w:iCs w:val="0"/>
                <w:color w:val="auto"/>
                <w:kern w:val="0"/>
                <w:sz w:val="21"/>
                <w:szCs w:val="21"/>
                <w:highlight w:val="none"/>
                <w:lang w:eastAsia="zh-CN"/>
              </w:rPr>
              <w:t>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w:t>
            </w:r>
            <w:r>
              <w:rPr>
                <w:rFonts w:hint="eastAsia" w:ascii="宋体" w:hAnsi="宋体" w:eastAsia="宋体" w:cs="宋体"/>
                <w:b w:val="0"/>
                <w:bCs w:val="0"/>
                <w:i w:val="0"/>
                <w:iCs w:val="0"/>
                <w:color w:val="auto"/>
                <w:kern w:val="0"/>
                <w:sz w:val="21"/>
                <w:szCs w:val="21"/>
                <w:highlight w:val="none"/>
                <w:lang w:val="en-US" w:eastAsia="zh-CN"/>
              </w:rPr>
              <w:t>有一定</w:t>
            </w:r>
            <w:r>
              <w:rPr>
                <w:rFonts w:hint="eastAsia" w:ascii="宋体" w:hAnsi="宋体" w:eastAsia="宋体" w:cs="宋体"/>
                <w:b w:val="0"/>
                <w:bCs w:val="0"/>
                <w:i w:val="0"/>
                <w:iCs w:val="0"/>
                <w:color w:val="auto"/>
                <w:kern w:val="0"/>
                <w:sz w:val="21"/>
                <w:szCs w:val="21"/>
                <w:highlight w:val="none"/>
                <w:lang w:eastAsia="zh-CN"/>
              </w:rPr>
              <w:t>针对性的得</w:t>
            </w:r>
            <w:r>
              <w:rPr>
                <w:rFonts w:hint="eastAsia" w:ascii="宋体" w:hAnsi="宋体" w:eastAsia="宋体" w:cs="宋体"/>
                <w:b w:val="0"/>
                <w:bCs w:val="0"/>
                <w:i w:val="0"/>
                <w:iCs w:val="0"/>
                <w:color w:val="auto"/>
                <w:kern w:val="0"/>
                <w:sz w:val="21"/>
                <w:szCs w:val="21"/>
                <w:highlight w:val="none"/>
                <w:lang w:val="en-US" w:eastAsia="zh-CN"/>
              </w:rPr>
              <w:t>3</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方案内容基本符合医院实际需求，但有可能影响</w:t>
            </w:r>
            <w:r>
              <w:rPr>
                <w:rFonts w:hint="eastAsia" w:ascii="宋体" w:hAnsi="宋体" w:eastAsia="宋体" w:cs="宋体"/>
                <w:b w:val="0"/>
                <w:bCs w:val="0"/>
                <w:i w:val="0"/>
                <w:iCs w:val="0"/>
                <w:color w:val="auto"/>
                <w:kern w:val="0"/>
                <w:sz w:val="21"/>
                <w:szCs w:val="21"/>
                <w:highlight w:val="none"/>
                <w:lang w:val="en-US" w:eastAsia="zh-CN"/>
              </w:rPr>
              <w:t>服务质量</w:t>
            </w:r>
            <w:r>
              <w:rPr>
                <w:rFonts w:hint="eastAsia" w:ascii="宋体" w:hAnsi="宋体" w:eastAsia="宋体" w:cs="宋体"/>
                <w:b w:val="0"/>
                <w:bCs w:val="0"/>
                <w:i w:val="0"/>
                <w:iCs w:val="0"/>
                <w:color w:val="auto"/>
                <w:kern w:val="0"/>
                <w:sz w:val="21"/>
                <w:szCs w:val="21"/>
                <w:highlight w:val="none"/>
                <w:lang w:eastAsia="zh-CN"/>
              </w:rPr>
              <w:t>，运作流程设计较为合理，针对性不强的得</w:t>
            </w:r>
            <w:r>
              <w:rPr>
                <w:rFonts w:hint="eastAsia" w:ascii="宋体" w:hAnsi="宋体" w:eastAsia="宋体" w:cs="宋体"/>
                <w:b w:val="0"/>
                <w:bCs w:val="0"/>
                <w:i w:val="0"/>
                <w:iCs w:val="0"/>
                <w:color w:val="auto"/>
                <w:kern w:val="0"/>
                <w:sz w:val="21"/>
                <w:szCs w:val="21"/>
                <w:highlight w:val="none"/>
                <w:lang w:val="en-US" w:eastAsia="zh-CN"/>
              </w:rPr>
              <w:t>2</w:t>
            </w:r>
            <w:r>
              <w:rPr>
                <w:rFonts w:hint="eastAsia" w:ascii="宋体" w:hAnsi="宋体" w:eastAsia="宋体" w:cs="宋体"/>
                <w:b w:val="0"/>
                <w:bCs w:val="0"/>
                <w:i w:val="0"/>
                <w:iCs w:val="0"/>
                <w:color w:val="auto"/>
                <w:kern w:val="0"/>
                <w:sz w:val="21"/>
                <w:szCs w:val="21"/>
                <w:highlight w:val="none"/>
                <w:lang w:eastAsia="zh-CN"/>
              </w:rPr>
              <w:t>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eastAsia="zh-CN"/>
              </w:rPr>
            </w:pPr>
            <w:r>
              <w:rPr>
                <w:rFonts w:hint="eastAsia" w:ascii="宋体" w:hAnsi="宋体" w:eastAsia="宋体" w:cs="宋体"/>
                <w:b w:val="0"/>
                <w:bCs w:val="0"/>
                <w:i w:val="0"/>
                <w:iCs w:val="0"/>
                <w:color w:val="auto"/>
                <w:kern w:val="0"/>
                <w:sz w:val="21"/>
                <w:szCs w:val="21"/>
                <w:highlight w:val="none"/>
                <w:lang w:eastAsia="zh-CN"/>
              </w:rPr>
              <w:t>方案内容不完整，内容不充分，与本项目实际需求有差距的得1分；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p>
        </w:tc>
        <w:tc>
          <w:tcPr>
            <w:tcW w:w="6413" w:type="dxa"/>
            <w:vAlign w:val="center"/>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投标人</w:t>
            </w:r>
            <w:r>
              <w:rPr>
                <w:rFonts w:hint="eastAsia" w:ascii="宋体" w:hAnsi="宋体" w:eastAsia="宋体" w:cs="宋体"/>
                <w:b w:val="0"/>
                <w:bCs w:val="0"/>
                <w:i w:val="0"/>
                <w:iCs w:val="0"/>
                <w:color w:val="auto"/>
                <w:kern w:val="0"/>
                <w:sz w:val="21"/>
                <w:szCs w:val="21"/>
                <w:highlight w:val="none"/>
                <w:lang w:val="en-US" w:eastAsia="zh-CN"/>
              </w:rPr>
              <w:t>需结合自身实际提供售后服务机构技术服务人员情况（提供姓名、工作经验、资质证书情况），需包含但不限于以下要点：①经验是否丰富；②证书是否齐全；③专业性及配备是否充足</w:t>
            </w:r>
            <w:r>
              <w:rPr>
                <w:rFonts w:hint="eastAsia" w:ascii="宋体" w:hAnsi="宋体" w:eastAsia="宋体" w:cs="宋体"/>
                <w:b w:val="0"/>
                <w:bCs w:val="0"/>
                <w:i w:val="0"/>
                <w:iCs w:val="0"/>
                <w:color w:val="auto"/>
                <w:kern w:val="0"/>
                <w:sz w:val="21"/>
                <w:szCs w:val="21"/>
                <w:highlight w:val="none"/>
              </w:rPr>
              <w:t>④</w:t>
            </w:r>
            <w:r>
              <w:rPr>
                <w:rFonts w:hint="eastAsia" w:ascii="宋体" w:hAnsi="宋体" w:eastAsia="宋体" w:cs="宋体"/>
                <w:b w:val="0"/>
                <w:bCs w:val="0"/>
                <w:i w:val="0"/>
                <w:iCs w:val="0"/>
                <w:color w:val="auto"/>
                <w:kern w:val="0"/>
                <w:sz w:val="21"/>
                <w:szCs w:val="21"/>
                <w:highlight w:val="none"/>
                <w:lang w:val="en-US" w:eastAsia="zh-CN"/>
              </w:rPr>
              <w:t>服务人员数量。由评标委员会进行评议：</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人员配置合理、人员经验丰富且人员整体素质良好，能顺利完成售后任务的得5分；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人员配置较合理、人员经验较丰富，人员整体素质良好，能完成售后任务的得4分；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人员配置基本合理、人员经验及人员整体素质一般，基本能顺利完成售后任务的得3分；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人员配置存在缺陷有待改进，实行上略有欠缺的得2分；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kern w:val="0"/>
                <w:sz w:val="21"/>
                <w:szCs w:val="21"/>
                <w:highlight w:val="none"/>
                <w:lang w:val="en-US" w:eastAsia="zh-CN"/>
              </w:rPr>
            </w:pPr>
            <w:r>
              <w:rPr>
                <w:rFonts w:hint="eastAsia" w:ascii="宋体" w:hAnsi="宋体" w:eastAsia="宋体" w:cs="宋体"/>
                <w:b w:val="0"/>
                <w:bCs w:val="0"/>
                <w:i w:val="0"/>
                <w:iCs w:val="0"/>
                <w:color w:val="auto"/>
                <w:kern w:val="0"/>
                <w:sz w:val="21"/>
                <w:szCs w:val="21"/>
                <w:highlight w:val="none"/>
                <w:lang w:val="en-US" w:eastAsia="zh-CN"/>
              </w:rPr>
              <w:t>人员设置不合理，无法确保完成售后任务的得1分；</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kern w:val="0"/>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000000" w:themeColor="text1"/>
                <w:kern w:val="0"/>
                <w:sz w:val="21"/>
                <w:szCs w:val="21"/>
                <w:highlight w:val="none"/>
                <w:lang w:val="en-US" w:eastAsia="zh-CN"/>
                <w14:textFill>
                  <w14:solidFill>
                    <w14:schemeClr w14:val="tx1"/>
                  </w14:solidFill>
                </w14:textFill>
              </w:rPr>
              <w:t>培训方案（5分）：</w:t>
            </w:r>
            <w:r>
              <w:rPr>
                <w:rFonts w:hint="eastAsia" w:ascii="宋体" w:hAnsi="宋体" w:eastAsia="宋体" w:cs="宋体"/>
                <w:b w:val="0"/>
                <w:bCs w:val="0"/>
                <w:i w:val="0"/>
                <w:iCs w:val="0"/>
                <w:color w:val="000000" w:themeColor="text1"/>
                <w:kern w:val="0"/>
                <w:sz w:val="21"/>
                <w:szCs w:val="21"/>
                <w:highlight w:val="none"/>
                <w:lang w:val="en-US" w:eastAsia="zh-CN"/>
                <w14:textFill>
                  <w14:solidFill>
                    <w14:schemeClr w14:val="tx1"/>
                  </w14:solidFill>
                </w14:textFill>
              </w:rPr>
              <w:t>根据投标人</w:t>
            </w:r>
            <w:r>
              <w:rPr>
                <w:rFonts w:hint="eastAsia" w:ascii="宋体" w:hAnsi="宋体" w:eastAsia="宋体" w:cs="宋体"/>
                <w:b w:val="0"/>
                <w:bCs w:val="0"/>
                <w:i w:val="0"/>
                <w:iCs w:val="0"/>
                <w:color w:val="auto"/>
                <w:sz w:val="21"/>
                <w:szCs w:val="21"/>
                <w:highlight w:val="none"/>
                <w:lang w:val="en-US" w:eastAsia="zh-CN"/>
              </w:rPr>
              <w:t>提供的培训方案，需包含但不限于以下要点：①培训时间安排是否合理；②培训内容是否全面；③培训人员是否齐全；④培训次数；⑤培训场地安排是否合理，由评标委员会进行评议：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人员培训方案与医院实际相结合，培训时间安排合理，培训内容符合货物使用要求，培训次数能确保设备实际使用人灵活使用且场地安排合理的得5分；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人员培训方案与医院实际相结合，培训时间安排较合理，培训内容较符合货物使用要求，培训次数能确保设备实际使用人灵活使用且场地安排较合理的得4分；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人员培训方案时间安排基本合理，培训内容基本符合货物使用要求，培训次数基本能确保设备实际使用人操作的得3分；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人员培训方案不够符合采购需求，培训内容缺少针对性内容的得2分；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人员培训方案没有结合采购需求，培训内容敷衍，没有相应培训场地且培训时间不合理的得1分；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64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bCs/>
                <w:i w:val="0"/>
                <w:iCs w:val="0"/>
                <w:color w:val="auto"/>
                <w:sz w:val="21"/>
                <w:szCs w:val="21"/>
                <w:highlight w:val="none"/>
                <w:lang w:val="en-US" w:eastAsia="zh-CN"/>
              </w:rPr>
              <w:t>维修成本方案（5分）：</w:t>
            </w:r>
            <w:r>
              <w:rPr>
                <w:rFonts w:hint="eastAsia" w:ascii="宋体" w:hAnsi="宋体" w:eastAsia="宋体" w:cs="宋体"/>
                <w:b w:val="0"/>
                <w:bCs w:val="0"/>
                <w:i w:val="0"/>
                <w:iCs w:val="0"/>
                <w:color w:val="auto"/>
                <w:sz w:val="21"/>
                <w:szCs w:val="21"/>
                <w:highlight w:val="none"/>
                <w:lang w:val="en-US" w:eastAsia="zh-CN"/>
              </w:rPr>
              <w:t>根据提供的维修成本方案，需包含但不限于以下要点：①提供的保修价格、设备配件价格、维修服务费是否合理；②维修人员配备是否全面；③维修完成时间是否及时；④维修质量的保障，由评标委员会进行评议：</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与货物实际相结合，提供的保修价格、设备配件价格、维修服务费合理，维修人员配备全面且维修完成时间及时的得5分；提供的保修价格、设备配件价格及维修服务费较合理，维修人员配备较全面且维修完成时间及时的得4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保修价格、设备配件价格及维修服务费基本合理，维修人员配备基本足够，维修完成时间基本不影响设备使用的得3分；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未能明确阐述维修的各项价格，维修人员配备存在缺陷，有待改进的得2分；</w:t>
            </w:r>
          </w:p>
          <w:p>
            <w:pPr>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360" w:lineRule="auto"/>
              <w:ind w:left="0" w:right="0"/>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维修成本方案不合理，无法确保货物故障后及时维修完成正常使用得1分；</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val="0"/>
                <w:bCs w:val="0"/>
                <w:i w:val="0"/>
                <w:iCs w:val="0"/>
                <w:color w:val="auto"/>
                <w:sz w:val="21"/>
                <w:szCs w:val="21"/>
                <w:highlight w:val="none"/>
                <w:lang w:val="en-US" w:eastAsia="zh-CN"/>
              </w:rPr>
            </w:pPr>
            <w:r>
              <w:rPr>
                <w:rFonts w:hint="eastAsia" w:ascii="宋体" w:hAnsi="宋体" w:eastAsia="宋体" w:cs="宋体"/>
                <w:b w:val="0"/>
                <w:bCs w:val="0"/>
                <w:i w:val="0"/>
                <w:iCs w:val="0"/>
                <w:color w:val="auto"/>
                <w:sz w:val="21"/>
                <w:szCs w:val="21"/>
                <w:highlight w:val="none"/>
                <w:lang w:val="en-US" w:eastAsia="zh-CN"/>
              </w:rPr>
              <w:t>未提供相关内容的不得分。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6413" w:type="dxa"/>
          </w:tcPr>
          <w:p>
            <w:pPr>
              <w:keepNext w:val="0"/>
              <w:keepLines w:val="0"/>
              <w:pageBreakBefore w:val="0"/>
              <w:widowControl w:val="0"/>
              <w:kinsoku/>
              <w:wordWrap/>
              <w:overflowPunct/>
              <w:topLinePunct w:val="0"/>
              <w:autoSpaceDE/>
              <w:autoSpaceDN/>
              <w:bidi w:val="0"/>
              <w:adjustRightInd/>
              <w:spacing w:line="360" w:lineRule="auto"/>
              <w:ind w:right="-21" w:rightChars="-1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政府采购政策（2分）：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产品列入财政部、发展改革委发布的节能产品品目清单的，提供国家市场监督管理总局公布的《参与实施政府采购节能产品认证机构名录》内的认证机构出具的、处于有效期之内的节能标志产品认证证书的，得1分。</w:t>
            </w:r>
          </w:p>
          <w:p>
            <w:pPr>
              <w:keepNext w:val="0"/>
              <w:keepLines w:val="0"/>
              <w:pageBreakBefore w:val="0"/>
              <w:widowControl w:val="0"/>
              <w:kinsoku/>
              <w:wordWrap/>
              <w:overflowPunct/>
              <w:topLinePunct w:val="0"/>
              <w:autoSpaceDE/>
              <w:autoSpaceDN/>
              <w:bidi w:val="0"/>
              <w:adjustRightInd/>
              <w:snapToGrid w:val="0"/>
              <w:spacing w:line="360" w:lineRule="auto"/>
              <w:ind w:firstLine="350" w:firstLineChars="167"/>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产品列入财政部、生态环境部发布的环境标志产品品目清单的，提供国家市场监督管理总局公布的《参与实施政府采购环境标志产品认证机构名录》内的认证机构出具的、处于有效期之内的环境标志产品认证证书，得1分。</w:t>
            </w:r>
          </w:p>
        </w:tc>
        <w:tc>
          <w:tcPr>
            <w:tcW w:w="1185" w:type="dxa"/>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10"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color w:val="auto"/>
                <w:sz w:val="21"/>
                <w:szCs w:val="21"/>
                <w:highlight w:val="none"/>
              </w:rPr>
              <w:t>（二）</w:t>
            </w: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价格部分</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Cs/>
                <w:color w:val="auto"/>
                <w:spacing w:val="-4"/>
                <w:sz w:val="21"/>
                <w:szCs w:val="21"/>
                <w:highlight w:val="none"/>
              </w:rPr>
            </w:pPr>
            <w:r>
              <w:rPr>
                <w:rFonts w:hint="eastAsia" w:ascii="宋体" w:hAnsi="宋体" w:eastAsia="宋体" w:cs="宋体"/>
                <w:bCs/>
                <w:color w:val="auto"/>
                <w:spacing w:val="-4"/>
                <w:sz w:val="21"/>
                <w:szCs w:val="21"/>
                <w:highlight w:val="none"/>
              </w:rPr>
              <w:t>价格分采用低价优先法计算，即满足招标文件要求且投标价格最低的投标报价为评标基准价，其价格分为满分。其他投标人的价格分按照下列公式计算：</w:t>
            </w:r>
          </w:p>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价格分=（评标基准价/投标报价）×</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%×100</w:t>
            </w:r>
          </w:p>
        </w:tc>
        <w:tc>
          <w:tcPr>
            <w:tcW w:w="1185" w:type="dxa"/>
            <w:vMerge w:val="restart"/>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Cs/>
                <w:color w:val="auto"/>
                <w:sz w:val="21"/>
                <w:szCs w:val="21"/>
                <w:highlight w:val="none"/>
              </w:rPr>
            </w:pPr>
            <w:r>
              <w:rPr>
                <w:rFonts w:hint="eastAsia" w:ascii="宋体" w:hAnsi="宋体" w:eastAsia="宋体" w:cs="宋体"/>
                <w:b/>
                <w:bCs/>
                <w:color w:val="auto"/>
                <w:sz w:val="21"/>
                <w:szCs w:val="21"/>
                <w:highlight w:val="none"/>
                <w:u w:val="single"/>
              </w:rPr>
              <w:t>30</w:t>
            </w:r>
            <w:r>
              <w:rPr>
                <w:rFonts w:hint="eastAsia" w:ascii="宋体" w:hAnsi="宋体" w:eastAsia="宋体" w:cs="宋体"/>
                <w:b/>
                <w:bCs/>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9" w:hRule="atLeast"/>
        </w:trPr>
        <w:tc>
          <w:tcPr>
            <w:tcW w:w="910"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color w:val="auto"/>
                <w:sz w:val="21"/>
                <w:szCs w:val="21"/>
                <w:highlight w:val="none"/>
              </w:rPr>
            </w:pPr>
          </w:p>
        </w:tc>
        <w:tc>
          <w:tcPr>
            <w:tcW w:w="6413" w:type="dxa"/>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本项目对符合《政府采购促进中小企业发展管理办法》（财库﹝2020﹞46号）规定的小微企业报价给予10%（工程项目为5%）的扣除，用扣除后的价格参加评审。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4%（工程项目为2%）的扣除，用扣除后的价格参加评审。组成联合体或者接受分包的小微企业与联合体内其他企业、分包企业之间存在直接控股、管理关系的，不享受价格扣除优惠政策。</w:t>
            </w:r>
          </w:p>
        </w:tc>
        <w:tc>
          <w:tcPr>
            <w:tcW w:w="1185" w:type="dxa"/>
            <w:vMerge w:val="continue"/>
            <w:vAlign w:val="center"/>
          </w:tcPr>
          <w:p>
            <w:pPr>
              <w:keepNext w:val="0"/>
              <w:keepLines w:val="0"/>
              <w:pageBreakBefore w:val="0"/>
              <w:widowControl w:val="0"/>
              <w:kinsoku/>
              <w:wordWrap/>
              <w:overflowPunct/>
              <w:topLinePunct w:val="0"/>
              <w:autoSpaceDE/>
              <w:autoSpaceDN/>
              <w:bidi w:val="0"/>
              <w:adjustRightInd/>
              <w:spacing w:before="120" w:beforeLines="50" w:after="120" w:afterLines="50" w:line="360" w:lineRule="auto"/>
              <w:jc w:val="center"/>
              <w:textAlignment w:val="auto"/>
              <w:rPr>
                <w:rFonts w:hint="eastAsia" w:ascii="宋体" w:hAnsi="宋体" w:eastAsia="宋体" w:cs="宋体"/>
                <w:b/>
                <w:bCs/>
                <w:color w:val="auto"/>
                <w:sz w:val="21"/>
                <w:szCs w:val="21"/>
                <w:highlight w:val="none"/>
                <w:u w:val="single"/>
              </w:rPr>
            </w:pPr>
          </w:p>
        </w:tc>
      </w:tr>
    </w:tbl>
    <w:p>
      <w:pPr>
        <w:spacing w:before="120" w:beforeLines="50" w:after="120" w:afterLines="5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六、定标</w:t>
      </w:r>
      <w:bookmarkEnd w:id="228"/>
    </w:p>
    <w:p>
      <w:pPr>
        <w:spacing w:before="120" w:beforeLines="50" w:after="120" w:afterLines="50" w:line="36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（一）确定中标供应商。本项目由采购人（或采购人事先授权评标委员会）确定中标供应商。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1.采购代理机构在评标结束后将评标报告交采购人确认。</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2.供应商对评标结果无异议的，采购人应在收到评标报告后5个工作日内对评标结果进行确认，按评标报告推荐的顺序确定排名第一的中标候选人为中标人。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hint="eastAsia" w:ascii="宋体" w:hAnsi="宋体" w:eastAsia="宋体" w:cs="宋体"/>
          <w:color w:val="auto"/>
          <w:highlight w:val="none"/>
          <w:lang w:bidi="ar"/>
        </w:rPr>
      </w:pPr>
      <w:r>
        <w:rPr>
          <w:rFonts w:hint="eastAsia" w:ascii="宋体" w:hAnsi="宋体" w:eastAsia="宋体" w:cs="宋体"/>
          <w:color w:val="auto"/>
          <w:highlight w:val="none"/>
        </w:rPr>
        <w:t>4.</w:t>
      </w:r>
      <w:r>
        <w:rPr>
          <w:rFonts w:hint="eastAsia" w:ascii="宋体" w:hAnsi="宋体" w:eastAsia="宋体" w:cs="宋体"/>
          <w:color w:val="auto"/>
          <w:highlight w:val="none"/>
          <w:lang w:bidi="ar"/>
        </w:rPr>
        <w:t>若中标供应商放弃中标，或因不可抗力提出不能履行合同，或不按采购文件规定提交履约担保，或其它原因被依法撤销中标资格，则采购人可确定排名次之的中标候选人为中标人或重新组织招标。</w:t>
      </w:r>
    </w:p>
    <w:p>
      <w:pPr>
        <w:spacing w:line="360" w:lineRule="auto"/>
        <w:ind w:firstLine="422" w:firstLineChars="200"/>
        <w:rPr>
          <w:rFonts w:hint="eastAsia" w:ascii="宋体" w:hAnsi="宋体" w:eastAsia="宋体" w:cs="宋体"/>
          <w:b/>
          <w:bCs/>
          <w:color w:val="auto"/>
          <w:highlight w:val="none"/>
          <w:lang w:bidi="ar"/>
        </w:rPr>
      </w:pPr>
      <w:r>
        <w:rPr>
          <w:rFonts w:hint="eastAsia" w:ascii="宋体" w:hAnsi="宋体" w:eastAsia="宋体" w:cs="宋体"/>
          <w:b/>
          <w:bCs/>
          <w:color w:val="auto"/>
          <w:highlight w:val="none"/>
          <w:lang w:bidi="ar"/>
        </w:rPr>
        <w:t>七、评标过程的监控与保密</w:t>
      </w:r>
    </w:p>
    <w:p>
      <w:pPr>
        <w:spacing w:line="360" w:lineRule="auto"/>
        <w:ind w:firstLine="42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hint="eastAsia" w:ascii="宋体" w:hAnsi="宋体" w:eastAsia="宋体" w:cs="宋体"/>
          <w:color w:val="auto"/>
          <w:highlight w:val="none"/>
          <w:lang w:bidi="ar"/>
        </w:rPr>
      </w:pPr>
      <w:r>
        <w:rPr>
          <w:rFonts w:hint="eastAsia" w:ascii="宋体" w:hAnsi="宋体" w:eastAsia="宋体" w:cs="宋体"/>
          <w:color w:val="auto"/>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spacing w:line="360" w:lineRule="auto"/>
        <w:ind w:firstLine="413" w:firstLineChars="196"/>
        <w:rPr>
          <w:rFonts w:hint="eastAsia" w:ascii="宋体" w:hAnsi="宋体" w:eastAsia="宋体" w:cs="宋体"/>
          <w:b/>
          <w:bCs/>
          <w:color w:val="auto"/>
          <w:highlight w:val="none"/>
        </w:rPr>
      </w:pPr>
      <w:bookmarkStart w:id="231" w:name="_Toc17747"/>
      <w:r>
        <w:rPr>
          <w:rFonts w:hint="eastAsia" w:ascii="宋体" w:hAnsi="宋体" w:eastAsia="宋体" w:cs="宋体"/>
          <w:b/>
          <w:color w:val="auto"/>
          <w:highlight w:val="none"/>
        </w:rPr>
        <w:t>八、合同授予</w:t>
      </w:r>
      <w:bookmarkEnd w:id="231"/>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1.采购人应当自中标通知书发出之日起30日内，按照采购文件和中标人投标文件的规定，与中标人签订书面合同。所签订的合同不得对采购文件确定的事项和中标人投标文件作实质性修改。</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采购人不得向中标人提出任何不合理的要求作为签订合同的条件。</w:t>
      </w:r>
    </w:p>
    <w:p>
      <w:pPr>
        <w:spacing w:before="120" w:beforeLines="50" w:after="120" w:afterLines="5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spacing w:before="120" w:beforeLines="50" w:after="120" w:afterLines="5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ascii="宋体" w:hAnsi="宋体" w:eastAsia="宋体" w:cs="宋体"/>
          <w:bCs/>
          <w:color w:val="auto"/>
          <w:highlight w:val="none"/>
        </w:rPr>
        <w:t>采购文件、中标供应商的投标文件及评标过程中有关的澄清文件均应作为合同签订的附件。</w:t>
      </w:r>
    </w:p>
    <w:p>
      <w:pPr>
        <w:spacing w:before="120" w:beforeLines="50" w:after="120" w:afterLines="5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4.中标或者成交供应商拒绝与采购人签订合同的，采购人应重新招标。</w:t>
      </w:r>
    </w:p>
    <w:p>
      <w:pPr>
        <w:spacing w:line="360" w:lineRule="auto"/>
        <w:ind w:firstLine="413" w:firstLineChars="196"/>
        <w:rPr>
          <w:rFonts w:hint="eastAsia" w:ascii="宋体" w:hAnsi="宋体" w:eastAsia="宋体" w:cs="宋体"/>
          <w:b/>
          <w:color w:val="auto"/>
          <w:highlight w:val="none"/>
        </w:rPr>
      </w:pPr>
      <w:r>
        <w:rPr>
          <w:rFonts w:hint="eastAsia" w:ascii="宋体" w:hAnsi="宋体" w:eastAsia="宋体" w:cs="宋体"/>
          <w:b/>
          <w:color w:val="auto"/>
          <w:highlight w:val="none"/>
        </w:rPr>
        <w:t>九、履约验收</w:t>
      </w:r>
    </w:p>
    <w:p>
      <w:pPr>
        <w:spacing w:before="120" w:beforeLines="50" w:after="120" w:afterLines="50" w:line="360" w:lineRule="auto"/>
        <w:ind w:firstLine="411" w:firstLineChars="196"/>
        <w:rPr>
          <w:rFonts w:hint="eastAsia" w:ascii="宋体" w:hAnsi="宋体" w:eastAsia="宋体" w:cs="宋体"/>
          <w:color w:val="auto"/>
          <w:highlight w:val="none"/>
        </w:rPr>
      </w:pPr>
      <w:r>
        <w:rPr>
          <w:rFonts w:hint="eastAsia" w:ascii="宋体" w:hAnsi="宋体" w:eastAsia="宋体" w:cs="宋体"/>
          <w:bCs/>
          <w:color w:val="auto"/>
          <w:highlight w:val="none"/>
        </w:rPr>
        <w:t>采购人负责对中标供应商的履约行为进行验收。政府向社会公众提供的公共服务项目，验收时应当邀请服务对象参与并出具意见，验收结果应当向社会公告。</w:t>
      </w:r>
    </w:p>
    <w:p>
      <w:pPr>
        <w:pStyle w:val="3"/>
        <w:rPr>
          <w:rFonts w:hint="eastAsia" w:ascii="宋体" w:hAnsi="宋体" w:eastAsia="宋体" w:cs="宋体"/>
          <w:color w:val="auto"/>
          <w:highlight w:val="none"/>
        </w:rPr>
        <w:sectPr>
          <w:pgSz w:w="11906" w:h="16838"/>
          <w:pgMar w:top="1474" w:right="1797" w:bottom="1247" w:left="1797" w:header="851" w:footer="851" w:gutter="0"/>
          <w:cols w:space="720" w:num="1"/>
          <w:titlePg/>
          <w:docGrid w:linePitch="312" w:charSpace="0"/>
        </w:sectPr>
      </w:pPr>
    </w:p>
    <w:bookmarkEnd w:id="229"/>
    <w:bookmarkEnd w:id="230"/>
    <w:p>
      <w:pPr>
        <w:pStyle w:val="3"/>
        <w:rPr>
          <w:rFonts w:hint="eastAsia" w:ascii="宋体" w:hAnsi="宋体" w:eastAsia="宋体" w:cs="宋体"/>
          <w:color w:val="auto"/>
          <w:highlight w:val="none"/>
        </w:rPr>
      </w:pPr>
      <w:bookmarkStart w:id="232" w:name="_Toc132205200"/>
      <w:r>
        <w:rPr>
          <w:rFonts w:hint="eastAsia" w:ascii="宋体" w:hAnsi="宋体" w:eastAsia="宋体" w:cs="宋体"/>
          <w:color w:val="auto"/>
          <w:highlight w:val="none"/>
        </w:rPr>
        <w:t>第五章  合同主要条款</w:t>
      </w:r>
      <w:bookmarkEnd w:id="232"/>
    </w:p>
    <w:p>
      <w:pPr>
        <w:rPr>
          <w:rFonts w:hint="eastAsia" w:ascii="宋体" w:hAnsi="宋体" w:eastAsia="宋体" w:cs="宋体"/>
          <w:b/>
          <w:bCs/>
          <w:color w:val="auto"/>
          <w:sz w:val="32"/>
          <w:szCs w:val="32"/>
          <w:highlight w:val="none"/>
        </w:rPr>
      </w:pPr>
      <w:r>
        <w:rPr>
          <w:rFonts w:hint="eastAsia" w:ascii="宋体" w:hAnsi="宋体" w:eastAsia="宋体" w:cs="宋体"/>
          <w:b/>
          <w:bCs/>
          <w:color w:val="auto"/>
          <w:highlight w:val="none"/>
        </w:rPr>
        <w:t xml:space="preserve">合同编号： </w:t>
      </w:r>
      <w:r>
        <w:rPr>
          <w:rFonts w:hint="eastAsia" w:ascii="宋体" w:hAnsi="宋体" w:eastAsia="宋体" w:cs="宋体"/>
          <w:b/>
          <w:bCs/>
          <w:color w:val="auto"/>
          <w:sz w:val="32"/>
          <w:szCs w:val="32"/>
          <w:highlight w:val="none"/>
        </w:rPr>
        <w:t xml:space="preserve">                         </w:t>
      </w:r>
      <w:r>
        <w:rPr>
          <w:rFonts w:hint="eastAsia" w:ascii="宋体" w:hAnsi="宋体" w:eastAsia="宋体" w:cs="宋体"/>
          <w:b/>
          <w:bCs/>
          <w:color w:val="auto"/>
          <w:highlight w:val="none"/>
        </w:rPr>
        <w:t>签约地  ：</w:t>
      </w:r>
      <w:r>
        <w:rPr>
          <w:rFonts w:hint="eastAsia" w:ascii="宋体" w:hAnsi="宋体" w:eastAsia="宋体" w:cs="宋体"/>
          <w:b/>
          <w:bCs/>
          <w:color w:val="auto"/>
          <w:sz w:val="24"/>
          <w:szCs w:val="24"/>
          <w:highlight w:val="none"/>
        </w:rPr>
        <w:t xml:space="preserve">                                 </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甲方（买方）：</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乙方（卖方）：</w:t>
      </w:r>
    </w:p>
    <w:p>
      <w:pPr>
        <w:pStyle w:val="19"/>
        <w:spacing w:line="340" w:lineRule="exact"/>
        <w:ind w:firstLine="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color w:val="auto"/>
          <w:sz w:val="21"/>
          <w:szCs w:val="21"/>
          <w:highlight w:val="none"/>
        </w:rPr>
        <w:t>甲乙双方根据《中华人民共和国民法典》，在平等互利、协商一致的基础上，买方同意向卖方</w:t>
      </w:r>
    </w:p>
    <w:p>
      <w:pPr>
        <w:pStyle w:val="19"/>
        <w:spacing w:line="340" w:lineRule="exact"/>
        <w:ind w:left="329" w:leftChars="-228" w:hanging="808" w:hangingChars="4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        购买同时卖方同意授予买方以下设备（</w:t>
      </w:r>
      <w:r>
        <w:rPr>
          <w:rFonts w:hint="eastAsia" w:ascii="宋体" w:hAnsi="宋体" w:eastAsia="宋体" w:cs="宋体"/>
          <w:b/>
          <w:bCs/>
          <w:color w:val="auto"/>
          <w:sz w:val="21"/>
          <w:szCs w:val="21"/>
          <w:highlight w:val="none"/>
        </w:rPr>
        <w:t>以下设备器械均简称设备，设备名称、规格型号、品牌等必须按注册证上的名称填写</w:t>
      </w:r>
      <w:r>
        <w:rPr>
          <w:rFonts w:hint="eastAsia" w:ascii="宋体" w:hAnsi="宋体" w:eastAsia="宋体" w:cs="宋体"/>
          <w:color w:val="auto"/>
          <w:sz w:val="21"/>
          <w:szCs w:val="21"/>
          <w:highlight w:val="none"/>
        </w:rPr>
        <w:t>）：</w:t>
      </w:r>
    </w:p>
    <w:tbl>
      <w:tblPr>
        <w:tblStyle w:val="49"/>
        <w:tblW w:w="88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16"/>
        <w:gridCol w:w="937"/>
        <w:gridCol w:w="727"/>
        <w:gridCol w:w="720"/>
        <w:gridCol w:w="720"/>
        <w:gridCol w:w="12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设备名称</w:t>
            </w:r>
          </w:p>
        </w:tc>
        <w:tc>
          <w:tcPr>
            <w:tcW w:w="1216"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规格型号</w:t>
            </w:r>
          </w:p>
        </w:tc>
        <w:tc>
          <w:tcPr>
            <w:tcW w:w="937"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品牌</w:t>
            </w:r>
          </w:p>
        </w:tc>
        <w:tc>
          <w:tcPr>
            <w:tcW w:w="727"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产地</w:t>
            </w:r>
          </w:p>
        </w:tc>
        <w:tc>
          <w:tcPr>
            <w:tcW w:w="720"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数量</w:t>
            </w:r>
          </w:p>
        </w:tc>
        <w:tc>
          <w:tcPr>
            <w:tcW w:w="720"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单位</w:t>
            </w:r>
          </w:p>
        </w:tc>
        <w:tc>
          <w:tcPr>
            <w:tcW w:w="1260"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单价（元）</w:t>
            </w:r>
          </w:p>
        </w:tc>
        <w:tc>
          <w:tcPr>
            <w:tcW w:w="1800" w:type="dxa"/>
            <w:vAlign w:val="center"/>
          </w:tcPr>
          <w:p>
            <w:pPr>
              <w:spacing w:line="34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440" w:type="dxa"/>
            <w:vAlign w:val="center"/>
          </w:tcPr>
          <w:p>
            <w:pPr>
              <w:spacing w:line="340" w:lineRule="exact"/>
              <w:jc w:val="center"/>
              <w:rPr>
                <w:rFonts w:hint="eastAsia" w:ascii="宋体" w:hAnsi="宋体" w:eastAsia="宋体" w:cs="宋体"/>
                <w:color w:val="auto"/>
                <w:highlight w:val="none"/>
              </w:rPr>
            </w:pPr>
            <w:r>
              <w:rPr>
                <w:rFonts w:hint="eastAsia" w:ascii="宋体" w:hAnsi="宋体" w:eastAsia="宋体" w:cs="宋体"/>
                <w:b/>
                <w:bCs/>
                <w:color w:val="auto"/>
                <w:highlight w:val="none"/>
              </w:rPr>
              <w:t>（注册证上的名称）</w:t>
            </w:r>
          </w:p>
        </w:tc>
        <w:tc>
          <w:tcPr>
            <w:tcW w:w="1216" w:type="dxa"/>
            <w:vAlign w:val="center"/>
          </w:tcPr>
          <w:p>
            <w:pPr>
              <w:spacing w:line="340" w:lineRule="exact"/>
              <w:jc w:val="center"/>
              <w:rPr>
                <w:rFonts w:hint="eastAsia" w:ascii="宋体" w:hAnsi="宋体" w:eastAsia="宋体" w:cs="宋体"/>
                <w:color w:val="auto"/>
                <w:highlight w:val="none"/>
              </w:rPr>
            </w:pPr>
          </w:p>
        </w:tc>
        <w:tc>
          <w:tcPr>
            <w:tcW w:w="937" w:type="dxa"/>
            <w:vAlign w:val="center"/>
          </w:tcPr>
          <w:p>
            <w:pPr>
              <w:spacing w:line="340" w:lineRule="exact"/>
              <w:jc w:val="center"/>
              <w:rPr>
                <w:rFonts w:hint="eastAsia" w:ascii="宋体" w:hAnsi="宋体" w:eastAsia="宋体" w:cs="宋体"/>
                <w:color w:val="auto"/>
                <w:highlight w:val="none"/>
              </w:rPr>
            </w:pPr>
          </w:p>
        </w:tc>
        <w:tc>
          <w:tcPr>
            <w:tcW w:w="727" w:type="dxa"/>
            <w:vAlign w:val="center"/>
          </w:tcPr>
          <w:p>
            <w:pPr>
              <w:spacing w:line="340" w:lineRule="exact"/>
              <w:jc w:val="center"/>
              <w:rPr>
                <w:rFonts w:hint="eastAsia" w:ascii="宋体" w:hAnsi="宋体" w:eastAsia="宋体" w:cs="宋体"/>
                <w:color w:val="auto"/>
                <w:highlight w:val="none"/>
              </w:rPr>
            </w:pPr>
          </w:p>
        </w:tc>
        <w:tc>
          <w:tcPr>
            <w:tcW w:w="720" w:type="dxa"/>
            <w:vAlign w:val="center"/>
          </w:tcPr>
          <w:p>
            <w:pPr>
              <w:spacing w:line="340" w:lineRule="exact"/>
              <w:jc w:val="center"/>
              <w:rPr>
                <w:rFonts w:hint="eastAsia" w:ascii="宋体" w:hAnsi="宋体" w:eastAsia="宋体" w:cs="宋体"/>
                <w:color w:val="auto"/>
                <w:highlight w:val="none"/>
              </w:rPr>
            </w:pPr>
          </w:p>
        </w:tc>
        <w:tc>
          <w:tcPr>
            <w:tcW w:w="720" w:type="dxa"/>
            <w:vAlign w:val="center"/>
          </w:tcPr>
          <w:p>
            <w:pPr>
              <w:spacing w:line="340" w:lineRule="exact"/>
              <w:jc w:val="center"/>
              <w:rPr>
                <w:rFonts w:hint="eastAsia" w:ascii="宋体" w:hAnsi="宋体" w:eastAsia="宋体" w:cs="宋体"/>
                <w:color w:val="auto"/>
                <w:highlight w:val="none"/>
              </w:rPr>
            </w:pPr>
          </w:p>
        </w:tc>
        <w:tc>
          <w:tcPr>
            <w:tcW w:w="1260" w:type="dxa"/>
            <w:vAlign w:val="center"/>
          </w:tcPr>
          <w:p>
            <w:pPr>
              <w:spacing w:line="340" w:lineRule="exact"/>
              <w:jc w:val="center"/>
              <w:rPr>
                <w:rFonts w:hint="eastAsia" w:ascii="宋体" w:hAnsi="宋体" w:eastAsia="宋体" w:cs="宋体"/>
                <w:color w:val="auto"/>
                <w:highlight w:val="none"/>
              </w:rPr>
            </w:pPr>
          </w:p>
        </w:tc>
        <w:tc>
          <w:tcPr>
            <w:tcW w:w="1800" w:type="dxa"/>
            <w:vAlign w:val="center"/>
          </w:tcPr>
          <w:p>
            <w:pPr>
              <w:spacing w:line="340" w:lineRule="exact"/>
              <w:jc w:val="cente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20" w:type="dxa"/>
            <w:gridSpan w:val="8"/>
            <w:vAlign w:val="center"/>
          </w:tcPr>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合计成交金额（大写）：  整(RMB)</w:t>
            </w:r>
          </w:p>
        </w:tc>
      </w:tr>
    </w:tbl>
    <w:p>
      <w:pPr>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本合同若有详细的双方签字的配置清单，请详见附件。</w:t>
      </w:r>
    </w:p>
    <w:p>
      <w:pPr>
        <w:spacing w:line="340" w:lineRule="exact"/>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（医疗器械产品注册证号：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注册证有效期：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spacing w:line="340" w:lineRule="exact"/>
        <w:ind w:left="358" w:hanging="358" w:hangingChars="170"/>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2. 设备的交付期 </w:t>
      </w:r>
      <w:r>
        <w:rPr>
          <w:rFonts w:hint="eastAsia" w:ascii="宋体" w:hAnsi="宋体" w:eastAsia="宋体" w:cs="宋体"/>
          <w:color w:val="auto"/>
          <w:highlight w:val="none"/>
        </w:rPr>
        <w:t>乙方在合同生效的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天内送货至甲方指定地点向甲方交付上述设备，逾期将按照第7条规定执行。</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3. 设备运输、安装和验收</w:t>
      </w:r>
    </w:p>
    <w:p>
      <w:pPr>
        <w:spacing w:line="340" w:lineRule="exact"/>
        <w:ind w:left="359" w:leftChars="171"/>
        <w:rPr>
          <w:rFonts w:hint="eastAsia" w:ascii="宋体" w:hAnsi="宋体" w:eastAsia="宋体" w:cs="宋体"/>
          <w:color w:val="auto"/>
          <w:highlight w:val="none"/>
        </w:rPr>
      </w:pPr>
      <w:r>
        <w:rPr>
          <w:rFonts w:hint="eastAsia" w:ascii="宋体" w:hAnsi="宋体" w:eastAsia="宋体" w:cs="宋体"/>
          <w:color w:val="auto"/>
          <w:highlight w:val="none"/>
        </w:rPr>
        <w:t xml:space="preserve">3.1乙方确保设备安全无损地运抵甲方指定现场,并承担设备的运费、保险费等费用，装卸费由乙方承担。  </w:t>
      </w:r>
    </w:p>
    <w:p>
      <w:pPr>
        <w:spacing w:line="340" w:lineRule="exact"/>
        <w:ind w:left="359" w:leftChars="171"/>
        <w:rPr>
          <w:rFonts w:hint="eastAsia" w:ascii="宋体" w:hAnsi="宋体" w:eastAsia="宋体" w:cs="宋体"/>
          <w:color w:val="auto"/>
          <w:highlight w:val="none"/>
        </w:rPr>
      </w:pPr>
      <w:r>
        <w:rPr>
          <w:rFonts w:hint="eastAsia" w:ascii="宋体" w:hAnsi="宋体" w:eastAsia="宋体" w:cs="宋体"/>
          <w:color w:val="auto"/>
          <w:highlight w:val="none"/>
        </w:rPr>
        <w:t>3.2甲乙双方对设备进行开箱清点检查验收，如果发现数量不足、品牌规格不符或有质量、技术等问题，乙方应在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天内，按照甲方的要求，采取补足、更换或退货等处理措施，并承担由此发生的一切损失和费用。</w:t>
      </w:r>
    </w:p>
    <w:p>
      <w:pPr>
        <w:spacing w:line="340" w:lineRule="exact"/>
        <w:ind w:left="359" w:leftChars="171"/>
        <w:rPr>
          <w:rFonts w:hint="eastAsia" w:ascii="宋体" w:hAnsi="宋体" w:eastAsia="宋体" w:cs="宋体"/>
          <w:color w:val="auto"/>
          <w:highlight w:val="none"/>
        </w:rPr>
      </w:pPr>
      <w:r>
        <w:rPr>
          <w:rFonts w:hint="eastAsia" w:ascii="宋体" w:hAnsi="宋体" w:eastAsia="宋体" w:cs="宋体"/>
          <w:color w:val="auto"/>
          <w:highlight w:val="none"/>
        </w:rPr>
        <w:t>3.3设备到货后，乙方应在接到甲方通知后</w:t>
      </w:r>
      <w:r>
        <w:rPr>
          <w:rFonts w:hint="eastAsia" w:ascii="宋体" w:hAnsi="宋体" w:eastAsia="宋体" w:cs="宋体"/>
          <w:color w:val="auto"/>
          <w:highlight w:val="none"/>
          <w:u w:val="single"/>
        </w:rPr>
        <w:t>3</w:t>
      </w:r>
      <w:r>
        <w:rPr>
          <w:rFonts w:hint="eastAsia" w:ascii="宋体" w:hAnsi="宋体" w:eastAsia="宋体" w:cs="宋体"/>
          <w:color w:val="auto"/>
          <w:highlight w:val="none"/>
        </w:rPr>
        <w:t>天内安装调试完成。</w:t>
      </w:r>
    </w:p>
    <w:p>
      <w:pPr>
        <w:spacing w:line="340" w:lineRule="exact"/>
        <w:ind w:left="359" w:leftChars="171"/>
        <w:rPr>
          <w:rFonts w:hint="eastAsia" w:ascii="宋体" w:hAnsi="宋体" w:eastAsia="宋体" w:cs="宋体"/>
          <w:color w:val="auto"/>
          <w:highlight w:val="none"/>
        </w:rPr>
      </w:pPr>
      <w:r>
        <w:rPr>
          <w:rFonts w:hint="eastAsia" w:ascii="宋体" w:hAnsi="宋体" w:eastAsia="宋体" w:cs="宋体"/>
          <w:color w:val="auto"/>
          <w:highlight w:val="none"/>
        </w:rPr>
        <w:t>3.4甲、乙双方在符合国家相关技术标准的基础上，根据招标要求的技术标准进行技术验收，验收合格后，双方在甲方《</w:t>
      </w:r>
      <w:r>
        <w:rPr>
          <w:rFonts w:hint="eastAsia" w:ascii="宋体" w:hAnsi="宋体" w:cs="宋体"/>
          <w:color w:val="auto"/>
          <w:highlight w:val="none"/>
          <w:lang w:val="en-US" w:eastAsia="zh-CN"/>
        </w:rPr>
        <w:t>青田县人民医院</w:t>
      </w:r>
      <w:r>
        <w:rPr>
          <w:rFonts w:hint="eastAsia" w:ascii="宋体" w:hAnsi="宋体" w:eastAsia="宋体" w:cs="宋体"/>
          <w:color w:val="auto"/>
          <w:highlight w:val="none"/>
        </w:rPr>
        <w:t>医疗设备到货验收报告》上签字确认。</w:t>
      </w:r>
    </w:p>
    <w:p>
      <w:pPr>
        <w:spacing w:line="340" w:lineRule="exact"/>
        <w:ind w:left="359" w:leftChars="171"/>
        <w:rPr>
          <w:rFonts w:hint="eastAsia" w:ascii="宋体" w:hAnsi="宋体" w:eastAsia="宋体" w:cs="宋体"/>
          <w:color w:val="auto"/>
          <w:highlight w:val="none"/>
        </w:rPr>
      </w:pPr>
      <w:r>
        <w:rPr>
          <w:rFonts w:hint="eastAsia" w:ascii="宋体" w:hAnsi="宋体" w:eastAsia="宋体" w:cs="宋体"/>
          <w:color w:val="auto"/>
          <w:highlight w:val="none"/>
        </w:rPr>
        <w:t>3.5若属强检计量设备，需提供有效的计量合格证书。</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4</w:t>
      </w:r>
      <w:r>
        <w:rPr>
          <w:rFonts w:hint="eastAsia" w:ascii="宋体" w:hAnsi="宋体" w:eastAsia="宋体" w:cs="宋体"/>
          <w:color w:val="auto"/>
          <w:highlight w:val="none"/>
        </w:rPr>
        <w:t>.</w:t>
      </w:r>
      <w:r>
        <w:rPr>
          <w:rFonts w:hint="eastAsia" w:ascii="宋体" w:hAnsi="宋体" w:eastAsia="宋体" w:cs="宋体"/>
          <w:b/>
          <w:bCs/>
          <w:color w:val="auto"/>
          <w:highlight w:val="none"/>
        </w:rPr>
        <w:t>付款方式</w:t>
      </w:r>
    </w:p>
    <w:p>
      <w:pPr>
        <w:ind w:left="420" w:leftChars="200"/>
        <w:rPr>
          <w:rFonts w:hint="eastAsia" w:ascii="宋体" w:hAnsi="宋体" w:eastAsia="宋体" w:cs="宋体"/>
          <w:color w:val="auto"/>
          <w:highlight w:val="none"/>
        </w:rPr>
      </w:pPr>
      <w:r>
        <w:rPr>
          <w:rFonts w:hint="eastAsia" w:ascii="宋体" w:hAnsi="宋体" w:eastAsia="宋体" w:cs="宋体"/>
          <w:color w:val="auto"/>
          <w:highlight w:val="none"/>
        </w:rPr>
        <w:t>4.1合同生效并具备实施条件后7个工作日内凭同等金额预付款保函支付合同金额的40%作为预付款，（供应商为《政府采购促进中小企业发展管理办法》（财库﹝2020﹞46号）第四条认定的大型企业无预付款，不适用该条款）；</w:t>
      </w:r>
    </w:p>
    <w:p>
      <w:pPr>
        <w:ind w:left="420" w:leftChars="200"/>
        <w:rPr>
          <w:rFonts w:hint="eastAsia" w:ascii="宋体" w:hAnsi="宋体" w:eastAsia="宋体" w:cs="宋体"/>
          <w:color w:val="auto"/>
          <w:highlight w:val="none"/>
        </w:rPr>
      </w:pPr>
      <w:r>
        <w:rPr>
          <w:rFonts w:hint="eastAsia" w:ascii="宋体" w:hAnsi="宋体" w:eastAsia="宋体" w:cs="宋体"/>
          <w:color w:val="auto"/>
          <w:highlight w:val="none"/>
        </w:rPr>
        <w:t>4.2项目验收合格并收到乙方正式发票之日起7个工作日内付清合同款。</w:t>
      </w:r>
    </w:p>
    <w:p>
      <w:pPr>
        <w:ind w:left="420" w:leftChars="200"/>
        <w:rPr>
          <w:rFonts w:hint="eastAsia" w:ascii="宋体" w:hAnsi="宋体" w:eastAsia="宋体" w:cs="宋体"/>
          <w:color w:val="auto"/>
          <w:highlight w:val="none"/>
        </w:rPr>
      </w:pPr>
      <w:r>
        <w:rPr>
          <w:rFonts w:hint="eastAsia" w:ascii="宋体" w:hAnsi="宋体" w:eastAsia="宋体" w:cs="宋体"/>
          <w:color w:val="auto"/>
          <w:highlight w:val="none"/>
        </w:rPr>
        <w:t>乙方应在甲方验收完成时向甲方提供合同总价的增值税发票，逾期开具，甲方付款时间顺延。</w:t>
      </w:r>
    </w:p>
    <w:p>
      <w:pPr>
        <w:ind w:left="420" w:leftChars="200"/>
        <w:rPr>
          <w:rFonts w:hint="eastAsia" w:ascii="宋体" w:hAnsi="宋体" w:eastAsia="宋体" w:cs="宋体"/>
          <w:color w:val="auto"/>
          <w:highlight w:val="none"/>
        </w:rPr>
      </w:pPr>
      <w:r>
        <w:rPr>
          <w:rFonts w:hint="eastAsia" w:ascii="宋体" w:hAnsi="宋体" w:eastAsia="宋体" w:cs="宋体"/>
          <w:color w:val="auto"/>
          <w:highlight w:val="none"/>
        </w:rPr>
        <w:t>乙方帐户：</w:t>
      </w:r>
      <w:r>
        <w:rPr>
          <w:rFonts w:hint="eastAsia" w:ascii="宋体" w:hAnsi="宋体" w:eastAsia="宋体" w:cs="宋体"/>
          <w:color w:val="auto"/>
          <w:highlight w:val="none"/>
        </w:rPr>
        <w:tab/>
      </w:r>
    </w:p>
    <w:p>
      <w:pPr>
        <w:tabs>
          <w:tab w:val="left" w:pos="90"/>
          <w:tab w:val="left" w:pos="340"/>
        </w:tabs>
        <w:autoSpaceDE w:val="0"/>
        <w:autoSpaceDN w:val="0"/>
        <w:adjustRightInd w:val="0"/>
        <w:snapToGrid w:val="0"/>
        <w:ind w:left="420" w:left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单位全称：                  </w:t>
      </w:r>
    </w:p>
    <w:p>
      <w:pPr>
        <w:tabs>
          <w:tab w:val="left" w:pos="90"/>
          <w:tab w:val="left" w:pos="340"/>
          <w:tab w:val="left" w:pos="2551"/>
        </w:tabs>
        <w:autoSpaceDE w:val="0"/>
        <w:autoSpaceDN w:val="0"/>
        <w:adjustRightInd w:val="0"/>
        <w:snapToGrid w:val="0"/>
        <w:ind w:left="420" w:left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开 户 行：                  </w:t>
      </w:r>
    </w:p>
    <w:p>
      <w:pPr>
        <w:tabs>
          <w:tab w:val="center" w:pos="4613"/>
        </w:tabs>
        <w:autoSpaceDE w:val="0"/>
        <w:autoSpaceDN w:val="0"/>
        <w:adjustRightInd w:val="0"/>
        <w:snapToGrid w:val="0"/>
        <w:ind w:left="420" w:left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银行帐号：                  </w:t>
      </w:r>
    </w:p>
    <w:p>
      <w:pPr>
        <w:spacing w:line="340" w:lineRule="exact"/>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5.履约保证金：本项目不收取履约保证金。</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6</w:t>
      </w:r>
      <w:r>
        <w:rPr>
          <w:rFonts w:hint="eastAsia" w:ascii="宋体" w:hAnsi="宋体" w:eastAsia="宋体" w:cs="宋体"/>
          <w:b/>
          <w:bCs/>
          <w:color w:val="auto"/>
          <w:highlight w:val="none"/>
        </w:rPr>
        <w:t>.伴随服务</w:t>
      </w:r>
    </w:p>
    <w:p>
      <w:pPr>
        <w:spacing w:line="340" w:lineRule="exact"/>
        <w:ind w:left="428" w:leftChars="172" w:hanging="67" w:hangingChars="32"/>
        <w:rPr>
          <w:rFonts w:hint="eastAsia" w:ascii="宋体" w:hAnsi="宋体" w:eastAsia="宋体" w:cs="宋体"/>
          <w:b/>
          <w:bCs/>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.1乙方应提供设备的技术文件，包括</w:t>
      </w:r>
      <w:r>
        <w:rPr>
          <w:rFonts w:hint="eastAsia" w:ascii="宋体" w:hAnsi="宋体" w:eastAsia="宋体" w:cs="宋体"/>
          <w:color w:val="auto"/>
          <w:kern w:val="0"/>
          <w:highlight w:val="none"/>
        </w:rPr>
        <w:t>合格证明文件、</w:t>
      </w:r>
      <w:r>
        <w:rPr>
          <w:rFonts w:hint="eastAsia" w:ascii="宋体" w:hAnsi="宋体" w:eastAsia="宋体" w:cs="宋体"/>
          <w:color w:val="auto"/>
          <w:highlight w:val="none"/>
        </w:rPr>
        <w:t>中文说明书（纸质两份）、中文说明书（电子版）、符合监管要求的中文标签</w:t>
      </w:r>
      <w:r>
        <w:rPr>
          <w:rFonts w:hint="eastAsia" w:ascii="宋体" w:hAnsi="宋体" w:eastAsia="宋体" w:cs="宋体"/>
          <w:color w:val="auto"/>
          <w:kern w:val="0"/>
          <w:highlight w:val="none"/>
        </w:rPr>
        <w:t>、</w:t>
      </w:r>
      <w:r>
        <w:rPr>
          <w:rFonts w:hint="eastAsia" w:ascii="宋体" w:hAnsi="宋体" w:eastAsia="宋体" w:cs="宋体"/>
          <w:color w:val="auto"/>
          <w:highlight w:val="none"/>
        </w:rPr>
        <w:t>维护手册、维修手册、故障代码表、软件备份、备件清单、零部件等维护维修必需的材料和信息。</w:t>
      </w:r>
    </w:p>
    <w:p>
      <w:pPr>
        <w:spacing w:line="340" w:lineRule="exact"/>
        <w:ind w:firstLine="359" w:firstLineChars="17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.2乙方还应免费提供下列服务：</w:t>
      </w:r>
    </w:p>
    <w:p>
      <w:pPr>
        <w:numPr>
          <w:ilvl w:val="0"/>
          <w:numId w:val="7"/>
        </w:numPr>
        <w:tabs>
          <w:tab w:val="left" w:pos="1152"/>
        </w:tabs>
        <w:spacing w:line="340" w:lineRule="exact"/>
        <w:ind w:left="1152" w:hanging="720"/>
        <w:rPr>
          <w:rFonts w:hint="eastAsia" w:ascii="宋体" w:hAnsi="宋体" w:eastAsia="宋体" w:cs="宋体"/>
          <w:color w:val="auto"/>
          <w:highlight w:val="none"/>
        </w:rPr>
      </w:pPr>
      <w:r>
        <w:rPr>
          <w:rFonts w:hint="eastAsia" w:ascii="宋体" w:hAnsi="宋体" w:eastAsia="宋体" w:cs="宋体"/>
          <w:color w:val="auto"/>
          <w:highlight w:val="none"/>
        </w:rPr>
        <w:t>设备的现场安装和调试；</w:t>
      </w:r>
    </w:p>
    <w:p>
      <w:pPr>
        <w:numPr>
          <w:ilvl w:val="0"/>
          <w:numId w:val="7"/>
        </w:numPr>
        <w:tabs>
          <w:tab w:val="left" w:pos="1152"/>
        </w:tabs>
        <w:spacing w:line="340" w:lineRule="exact"/>
        <w:ind w:left="1152" w:hanging="720"/>
        <w:rPr>
          <w:rFonts w:hint="eastAsia" w:ascii="宋体" w:hAnsi="宋体" w:eastAsia="宋体" w:cs="宋体"/>
          <w:color w:val="auto"/>
          <w:highlight w:val="none"/>
        </w:rPr>
      </w:pPr>
      <w:r>
        <w:rPr>
          <w:rFonts w:hint="eastAsia" w:ascii="宋体" w:hAnsi="宋体" w:eastAsia="宋体" w:cs="宋体"/>
          <w:color w:val="auto"/>
          <w:highlight w:val="none"/>
        </w:rPr>
        <w:t>提供设备安装和维修所需的专用工具和辅助材料；</w:t>
      </w:r>
    </w:p>
    <w:p>
      <w:pPr>
        <w:numPr>
          <w:ilvl w:val="0"/>
          <w:numId w:val="7"/>
        </w:numPr>
        <w:tabs>
          <w:tab w:val="left" w:pos="1152"/>
        </w:tabs>
        <w:spacing w:line="340" w:lineRule="exact"/>
        <w:ind w:left="1152" w:hanging="720"/>
        <w:rPr>
          <w:rFonts w:hint="eastAsia" w:ascii="宋体" w:hAnsi="宋体" w:eastAsia="宋体" w:cs="宋体"/>
          <w:color w:val="auto"/>
          <w:highlight w:val="none"/>
        </w:rPr>
      </w:pPr>
      <w:r>
        <w:rPr>
          <w:rFonts w:hint="eastAsia" w:ascii="宋体" w:hAnsi="宋体" w:eastAsia="宋体" w:cs="宋体"/>
          <w:color w:val="auto"/>
          <w:highlight w:val="none"/>
        </w:rPr>
        <w:t>乙方应派专业技术人员在项目现场对甲方使用人员和和维修人员进行免费培训及考核，提供培训资料，在使用一段时间后可根据甲方的要求另行安排免费培训计划。</w:t>
      </w:r>
    </w:p>
    <w:p>
      <w:pPr>
        <w:spacing w:line="340" w:lineRule="exact"/>
        <w:rPr>
          <w:rFonts w:hint="eastAsia" w:ascii="宋体" w:hAnsi="宋体" w:eastAsia="宋体" w:cs="宋体"/>
          <w:color w:val="auto"/>
          <w:highlight w:val="none"/>
        </w:rPr>
      </w:pPr>
      <w:r>
        <w:rPr>
          <w:rFonts w:hint="eastAsia" w:ascii="宋体" w:hAnsi="宋体" w:eastAsia="宋体" w:cs="宋体"/>
          <w:b/>
          <w:bCs/>
          <w:color w:val="auto"/>
          <w:highlight w:val="none"/>
          <w:lang w:val="en-US" w:eastAsia="zh-CN"/>
        </w:rPr>
        <w:t>7</w:t>
      </w:r>
      <w:r>
        <w:rPr>
          <w:rFonts w:hint="eastAsia" w:ascii="宋体" w:hAnsi="宋体" w:eastAsia="宋体" w:cs="宋体"/>
          <w:b/>
          <w:bCs/>
          <w:color w:val="auto"/>
          <w:highlight w:val="none"/>
        </w:rPr>
        <w:t>.质量保证及售后服务</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.1乙方应保证所供设备是在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（年月）后生产的全新的、未使用过的，并符合国家有关标准、制造厂标准及合同技术标准要求。设备使用期限为：      年（设备铭牌或者说明书上标明的使用期限）。如果设备的型号、产地、数量、质量及生产日期(出厂日与到货期间隔不超过一年)等不符，或证实设备是有缺陷的，包括潜在的缺陷或使用不符合要求的材料等，乙方应在接到甲方通知后7天内负责采用符合合同规定的规格、质量和性能等要求的新零件、部件或设备来更换有缺陷的部分或修补缺陷部分，其费用由乙方负担。同时，乙方应按本合同规定，相应延长修补或更换件的质量保证期。</w:t>
      </w:r>
    </w:p>
    <w:p>
      <w:pPr>
        <w:spacing w:line="340" w:lineRule="exact"/>
        <w:ind w:left="357" w:leftChars="17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.2乙方应提供保修期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个月（保修截止期按照院方的验收报告确定），保修期的期限应以甲乙双方的验收合格之日起计算，保修期内零配件更换及人工等费用由乙方承担，甲方不承担任何费用，相应的检查、维护保养等由乙方按说明书的要求进行，年度定期预防性维护保养次数不少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次，乙方应及时提供详细的维修维护报告，维修维护后的设备性能状态应达到相关的质量标准及使用安全标准，乙方在保修期内故障天数不得超过12个工作日／年，如开机率达不到要求，每超过1个工作日保修期相应延长5个工作日。保质期内因设备本身缺陷造成各种故障应由卖方免费技术服务和维修。</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.3报修响应时间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小时，到场时间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小时（不可抗因素除外）</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.4保修期满后的服务：</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.4.1乙方负责设备的终身维修并应继续提供优质的服务，储备足够的零配件备库。保修期满后，以不高于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的优惠价供应维修零配件，消耗品的供应应由双方另设协议确定。</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.4.2保修期满后人工费方案：</w:t>
      </w:r>
    </w:p>
    <w:p>
      <w:pPr>
        <w:spacing w:line="3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highlight w:val="none"/>
        </w:rPr>
        <w:t xml:space="preserve">1、免人工费及差旅住宿费等，仅收取零配件费。 </w:t>
      </w:r>
    </w:p>
    <w:p>
      <w:pPr>
        <w:spacing w:line="340" w:lineRule="exact"/>
        <w:ind w:firstLine="480" w:firstLineChars="200"/>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highlight w:val="none"/>
        </w:rPr>
        <w:t>2、人工费为单次故障不高于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p>
    <w:p>
      <w:pPr>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.4.3所有费用采用先维修后付款方式。</w:t>
      </w:r>
    </w:p>
    <w:p>
      <w:pPr>
        <w:spacing w:line="340" w:lineRule="exact"/>
        <w:ind w:left="359" w:leftChars="171" w:firstLine="1"/>
        <w:rPr>
          <w:rFonts w:hint="eastAsia" w:ascii="宋体" w:hAnsi="宋体" w:eastAsia="宋体" w:cs="宋体"/>
          <w:color w:val="auto"/>
          <w:highlight w:val="none"/>
        </w:rPr>
      </w:pPr>
      <w:r>
        <w:rPr>
          <w:rFonts w:hint="eastAsia" w:ascii="宋体" w:hAnsi="宋体" w:eastAsia="宋体" w:cs="宋体"/>
          <w:color w:val="auto"/>
          <w:kern w:val="0"/>
          <w:highlight w:val="none"/>
          <w:lang w:val="en-US" w:eastAsia="zh-CN"/>
        </w:rPr>
        <w:t>7</w:t>
      </w:r>
      <w:r>
        <w:rPr>
          <w:rFonts w:hint="eastAsia" w:ascii="宋体" w:hAnsi="宋体" w:eastAsia="宋体" w:cs="宋体"/>
          <w:color w:val="auto"/>
          <w:kern w:val="0"/>
          <w:highlight w:val="none"/>
        </w:rPr>
        <w:t>.5 乙方保证系统、设备安全，乙方实施人员按规范进行系统实施、维护。若因操作不当、设备安全防护不到位，进而导致院内其他系统感染病毒，由此产生的损失及消除影响产生的费用，均由乙方全部承担。</w:t>
      </w:r>
    </w:p>
    <w:p>
      <w:pPr>
        <w:spacing w:line="3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.索赔条款</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 如确认货物不符合本合同约定，甲方有权选择下列方式之一要求卖方进行补救：</w:t>
      </w:r>
    </w:p>
    <w:p>
      <w:pPr>
        <w:spacing w:line="340" w:lineRule="exact"/>
        <w:ind w:left="428" w:leftChars="172" w:hanging="67" w:hangingChars="3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.1.1甲方退货，乙方将全额货款偿还甲方，并负担因退货而发生的一切直接损失和费用。</w:t>
      </w:r>
    </w:p>
    <w:p>
      <w:pPr>
        <w:spacing w:line="340" w:lineRule="exact"/>
        <w:ind w:left="428" w:leftChars="172" w:hanging="67" w:hangingChars="3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.1.2按照货物的疵劣程度、损坏的范围和甲方所遭受的损失，将货物贬值。</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.1.3调换有瑕疵的货物，换货必须全新并符合本合同规定的规格，质量和性能，乙方并负责因此而产生的一切费用和甲方的一切直接损失。</w:t>
      </w:r>
    </w:p>
    <w:p>
      <w:pPr>
        <w:spacing w:line="340" w:lineRule="exact"/>
        <w:ind w:left="357" w:leftChars="170" w:firstLine="1"/>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如果乙方没有按照合同规定的时间交货和提供服务，甲方应从货款中扣除误期赔偿费而不影响合同项下的其他补救办法，延期交货和延期服务的赔偿费均按每周迟交仪器的合同价的百分之零点五（0.5％）计收，直至交货或提供服务为止。但误期赔偿费的最高限额不超过合同价的百分之五（5％）。一周按7天计算，不足7天按一周计算。逾期超过10日，甲方有权解除合同，乙方按合同总价的20%向甲方支付违约金。</w:t>
      </w:r>
    </w:p>
    <w:p>
      <w:pPr>
        <w:spacing w:line="340" w:lineRule="exact"/>
        <w:ind w:left="420" w:left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.3乙方应保证甲方和使用单位在使用该设备或其任何一部分时免受第三方提出侵犯其专利权、商标权或工业产权的起诉。</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9</w:t>
      </w:r>
      <w:r>
        <w:rPr>
          <w:rFonts w:hint="eastAsia" w:ascii="宋体" w:hAnsi="宋体" w:eastAsia="宋体" w:cs="宋体"/>
          <w:b/>
          <w:bCs/>
          <w:color w:val="auto"/>
          <w:highlight w:val="none"/>
        </w:rPr>
        <w:t>.争端的解决</w:t>
      </w:r>
    </w:p>
    <w:p>
      <w:pPr>
        <w:spacing w:line="340" w:lineRule="exact"/>
        <w:ind w:left="357" w:leftChars="170" w:right="-216" w:rightChars="-103" w:firstLine="1"/>
        <w:rPr>
          <w:rFonts w:hint="eastAsia" w:ascii="宋体" w:hAnsi="宋体" w:eastAsia="宋体" w:cs="宋体"/>
          <w:color w:val="auto"/>
          <w:highlight w:val="none"/>
        </w:rPr>
      </w:pPr>
      <w:r>
        <w:rPr>
          <w:rFonts w:hint="eastAsia" w:ascii="宋体" w:hAnsi="宋体" w:eastAsia="宋体" w:cs="宋体"/>
          <w:color w:val="auto"/>
          <w:highlight w:val="none"/>
        </w:rPr>
        <w:t>双方如在履行合同中发生纠纷，首先应友好协商，协商不成，提交丽水仲裁委员会仲裁解决。</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lang w:val="en-US" w:eastAsia="zh-CN"/>
        </w:rPr>
        <w:t>10</w:t>
      </w:r>
      <w:r>
        <w:rPr>
          <w:rFonts w:hint="eastAsia" w:ascii="宋体" w:hAnsi="宋体" w:eastAsia="宋体" w:cs="宋体"/>
          <w:b/>
          <w:bCs/>
          <w:color w:val="auto"/>
          <w:highlight w:val="none"/>
        </w:rPr>
        <w:t>.合同生效</w:t>
      </w:r>
    </w:p>
    <w:p>
      <w:pPr>
        <w:spacing w:line="340" w:lineRule="exact"/>
        <w:ind w:left="419" w:leftChars="172" w:hanging="58" w:hangingChars="28"/>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.1 本合同在甲、乙双方签字盖章后生效。</w:t>
      </w:r>
    </w:p>
    <w:p>
      <w:pPr>
        <w:spacing w:line="340" w:lineRule="exact"/>
        <w:ind w:left="419" w:leftChars="172" w:hanging="58" w:hangingChars="28"/>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.2 本合同一式</w:t>
      </w:r>
      <w:r>
        <w:rPr>
          <w:rFonts w:hint="eastAsia" w:ascii="宋体" w:hAnsi="宋体" w:eastAsia="宋体" w:cs="宋体"/>
          <w:color w:val="auto"/>
          <w:highlight w:val="none"/>
          <w:u w:val="single"/>
        </w:rPr>
        <w:t>两</w:t>
      </w:r>
      <w:r>
        <w:rPr>
          <w:rFonts w:hint="eastAsia" w:ascii="宋体" w:hAnsi="宋体" w:eastAsia="宋体" w:cs="宋体"/>
          <w:color w:val="auto"/>
          <w:highlight w:val="none"/>
        </w:rPr>
        <w:t>份，以中文书就，签约双方各执一份，具有相同的法律效力。</w:t>
      </w:r>
    </w:p>
    <w:p>
      <w:pPr>
        <w:spacing w:line="340" w:lineRule="exact"/>
        <w:rPr>
          <w:rFonts w:hint="eastAsia" w:ascii="宋体" w:hAnsi="宋体" w:eastAsia="宋体" w:cs="宋体"/>
          <w:color w:val="auto"/>
          <w:highlight w:val="none"/>
        </w:rPr>
      </w:pPr>
      <w:r>
        <w:rPr>
          <w:rFonts w:hint="eastAsia" w:ascii="宋体" w:hAnsi="宋体" w:eastAsia="宋体" w:cs="宋体"/>
          <w:b/>
          <w:bCs/>
          <w:color w:val="auto"/>
          <w:highlight w:val="none"/>
        </w:rPr>
        <w:t>1</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 xml:space="preserve">.合同附件 </w:t>
      </w:r>
      <w:r>
        <w:rPr>
          <w:rFonts w:hint="eastAsia" w:ascii="宋体" w:hAnsi="宋体" w:eastAsia="宋体" w:cs="宋体"/>
          <w:color w:val="auto"/>
          <w:highlight w:val="none"/>
        </w:rPr>
        <w:t>合同附件是合同的不可分割的组成部分，与合同具有同等法律效力。</w:t>
      </w:r>
    </w:p>
    <w:p>
      <w:pPr>
        <w:spacing w:line="340" w:lineRule="exact"/>
        <w:ind w:left="419" w:leftChars="172" w:hanging="58" w:hangingChars="28"/>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.1配置清单      □设备的配置清单</w:t>
      </w:r>
    </w:p>
    <w:p>
      <w:pPr>
        <w:spacing w:line="340" w:lineRule="exact"/>
        <w:ind w:left="419" w:leftChars="172" w:hanging="58" w:hangingChars="28"/>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.2技术标准      □投标文件的技术响应   □设备技术说明　</w:t>
      </w:r>
    </w:p>
    <w:p>
      <w:pPr>
        <w:spacing w:line="340" w:lineRule="exact"/>
        <w:ind w:left="419" w:leftChars="172" w:hanging="58" w:hangingChars="28"/>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 xml:space="preserve">.3其他          □承诺书或补充协议等    </w:t>
      </w:r>
    </w:p>
    <w:p>
      <w:pPr>
        <w:spacing w:line="340" w:lineRule="exact"/>
        <w:rPr>
          <w:rFonts w:hint="eastAsia" w:ascii="宋体" w:hAnsi="宋体" w:eastAsia="宋体" w:cs="宋体"/>
          <w:b/>
          <w:bCs/>
          <w:color w:val="auto"/>
          <w:highlight w:val="none"/>
          <w:u w:val="single"/>
        </w:rPr>
      </w:pPr>
      <w:r>
        <w:rPr>
          <w:rFonts w:hint="eastAsia" w:ascii="宋体" w:hAnsi="宋体" w:eastAsia="宋体" w:cs="宋体"/>
          <w:color w:val="auto"/>
          <w:highlight w:val="none"/>
          <w:lang w:val="en-US" w:eastAsia="zh-CN"/>
        </w:rPr>
        <w:t>12.</w:t>
      </w:r>
      <w:r>
        <w:rPr>
          <w:rFonts w:hint="eastAsia" w:ascii="宋体" w:hAnsi="宋体" w:eastAsia="宋体" w:cs="宋体"/>
          <w:b/>
          <w:bCs/>
          <w:color w:val="auto"/>
          <w:highlight w:val="none"/>
        </w:rPr>
        <w:t>特别约定：</w:t>
      </w:r>
      <w:r>
        <w:rPr>
          <w:rFonts w:hint="eastAsia" w:ascii="宋体" w:hAnsi="宋体" w:eastAsia="宋体" w:cs="宋体"/>
          <w:b/>
          <w:bCs/>
          <w:color w:val="auto"/>
          <w:highlight w:val="none"/>
          <w:u w:val="single"/>
        </w:rPr>
        <w:t>中标人的投标响应及承诺作为合同的附件。</w:t>
      </w:r>
    </w:p>
    <w:p>
      <w:pPr>
        <w:numPr>
          <w:ilvl w:val="0"/>
          <w:numId w:val="0"/>
        </w:numPr>
        <w:spacing w:line="340" w:lineRule="exact"/>
        <w:rPr>
          <w:rFonts w:hint="eastAsia" w:ascii="宋体" w:hAnsi="宋体" w:eastAsia="宋体" w:cs="宋体"/>
          <w:b/>
          <w:bCs/>
          <w:color w:val="auto"/>
          <w:highlight w:val="none"/>
          <w:u w:val="single"/>
        </w:rPr>
      </w:pPr>
      <w:r>
        <w:rPr>
          <w:rFonts w:hint="eastAsia" w:ascii="宋体" w:hAnsi="宋体" w:eastAsia="宋体" w:cs="宋体"/>
          <w:b/>
          <w:bCs/>
          <w:color w:val="auto"/>
          <w:highlight w:val="none"/>
          <w:lang w:val="en-US" w:eastAsia="zh-CN"/>
        </w:rPr>
        <w:t>13.</w:t>
      </w:r>
      <w:r>
        <w:rPr>
          <w:rFonts w:hint="eastAsia" w:ascii="宋体" w:hAnsi="宋体" w:eastAsia="宋体" w:cs="宋体"/>
          <w:b/>
          <w:bCs/>
          <w:color w:val="auto"/>
          <w:highlight w:val="none"/>
        </w:rPr>
        <w:t>其他说明：投标商、开票公司以及合同签订人必须为同家公司</w:t>
      </w:r>
    </w:p>
    <w:p>
      <w:pPr>
        <w:spacing w:line="340" w:lineRule="exact"/>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甲方：</w:t>
      </w:r>
      <w:r>
        <w:rPr>
          <w:rFonts w:hint="eastAsia" w:ascii="宋体" w:hAnsi="宋体" w:eastAsia="宋体" w:cs="宋体"/>
          <w:b/>
          <w:bCs/>
          <w:color w:val="auto"/>
          <w:highlight w:val="none"/>
          <w:lang w:val="en-US" w:eastAsia="zh-CN"/>
        </w:rPr>
        <w:t xml:space="preserve">                 </w:t>
      </w:r>
      <w:r>
        <w:rPr>
          <w:rFonts w:hint="eastAsia" w:ascii="宋体" w:hAnsi="宋体" w:eastAsia="宋体" w:cs="宋体"/>
          <w:b/>
          <w:bCs/>
          <w:color w:val="auto"/>
          <w:highlight w:val="none"/>
        </w:rPr>
        <w:t xml:space="preserve">                            乙方： </w:t>
      </w:r>
    </w:p>
    <w:p>
      <w:pPr>
        <w:spacing w:line="340" w:lineRule="exact"/>
        <w:ind w:firstLine="310" w:firstLineChars="147"/>
        <w:rPr>
          <w:rFonts w:hint="eastAsia" w:ascii="宋体" w:hAnsi="宋体" w:eastAsia="宋体" w:cs="宋体"/>
          <w:b/>
          <w:bCs/>
          <w:color w:val="auto"/>
          <w:highlight w:val="none"/>
        </w:rPr>
      </w:pPr>
      <w:r>
        <w:rPr>
          <w:rFonts w:hint="eastAsia" w:ascii="宋体" w:hAnsi="宋体" w:eastAsia="宋体" w:cs="宋体"/>
          <w:b/>
          <w:bCs/>
          <w:color w:val="auto"/>
          <w:highlight w:val="none"/>
        </w:rPr>
        <w:t>（盖章）                                          （盖章）</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甲方法定代表人或授权委托人                        乙方法定代表人或授权委托人</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__________________________                         __________________________</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日期：____________________                        日期：____________________</w:t>
      </w:r>
    </w:p>
    <w:p>
      <w:pPr>
        <w:spacing w:line="340" w:lineRule="exact"/>
        <w:rPr>
          <w:rFonts w:hint="eastAsia" w:ascii="宋体" w:hAnsi="宋体" w:eastAsia="宋体" w:cs="宋体"/>
          <w:color w:val="auto"/>
          <w:highlight w:val="none"/>
        </w:rPr>
      </w:pPr>
    </w:p>
    <w:p>
      <w:pPr>
        <w:spacing w:line="340" w:lineRule="exact"/>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联系地址：                                          联系地址：</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highlight w:val="none"/>
        </w:rPr>
        <w:t xml:space="preserve">    固定电话：                                        固定电话：</w:t>
      </w:r>
    </w:p>
    <w:p>
      <w:pPr>
        <w:spacing w:line="340" w:lineRule="exact"/>
        <w:rPr>
          <w:rFonts w:hint="eastAsia" w:ascii="宋体" w:hAnsi="宋体" w:eastAsia="宋体" w:cs="宋体"/>
          <w:b/>
          <w:bCs/>
          <w:color w:val="auto"/>
          <w:highlight w:val="none"/>
        </w:rPr>
      </w:pPr>
      <w:r>
        <w:rPr>
          <w:rFonts w:hint="eastAsia" w:ascii="宋体" w:hAnsi="宋体" w:eastAsia="宋体" w:cs="宋体"/>
          <w:b/>
          <w:bCs/>
          <w:color w:val="auto"/>
          <w:sz w:val="24"/>
          <w:szCs w:val="24"/>
          <w:highlight w:val="none"/>
        </w:rPr>
        <w:t xml:space="preserve">   </w:t>
      </w:r>
      <w:r>
        <w:rPr>
          <w:rFonts w:hint="eastAsia" w:ascii="宋体" w:hAnsi="宋体" w:eastAsia="宋体" w:cs="宋体"/>
          <w:b/>
          <w:bCs/>
          <w:color w:val="auto"/>
          <w:highlight w:val="none"/>
        </w:rPr>
        <w:t>采购员联系电话：                                   销售员联系电话：</w:t>
      </w:r>
    </w:p>
    <w:p>
      <w:pPr>
        <w:spacing w:line="340" w:lineRule="exact"/>
        <w:rPr>
          <w:rFonts w:hint="eastAsia" w:ascii="宋体" w:hAnsi="宋体" w:eastAsia="宋体" w:cs="宋体"/>
          <w:b/>
          <w:bCs/>
          <w:color w:val="auto"/>
          <w:sz w:val="24"/>
          <w:szCs w:val="24"/>
          <w:highlight w:val="none"/>
        </w:rPr>
      </w:pPr>
      <w:r>
        <w:rPr>
          <w:rFonts w:hint="eastAsia" w:ascii="宋体" w:hAnsi="宋体" w:eastAsia="宋体" w:cs="宋体"/>
          <w:b/>
          <w:bCs/>
          <w:color w:val="auto"/>
          <w:highlight w:val="none"/>
        </w:rPr>
        <w:t xml:space="preserve">   工程师联系电话：                                   工程师联系电话：</w:t>
      </w:r>
    </w:p>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                                           </w:t>
      </w: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附件一</w:t>
      </w:r>
    </w:p>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医疗设备配置清单</w:t>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 设备配置</w:t>
      </w:r>
    </w:p>
    <w:tbl>
      <w:tblPr>
        <w:tblStyle w:val="49"/>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21"/>
        <w:gridCol w:w="2716"/>
        <w:gridCol w:w="1080"/>
        <w:gridCol w:w="900"/>
        <w:gridCol w:w="108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restart"/>
            <w:textDirection w:val="tbRlV"/>
          </w:tcPr>
          <w:p>
            <w:pPr>
              <w:ind w:left="113" w:right="113"/>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已   选   配   置</w:t>
            </w: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编号</w:t>
            </w:r>
          </w:p>
        </w:tc>
        <w:tc>
          <w:tcPr>
            <w:tcW w:w="2716"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部件名称</w:t>
            </w:r>
          </w:p>
        </w:tc>
        <w:tc>
          <w:tcPr>
            <w:tcW w:w="1080"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规格型号</w:t>
            </w:r>
          </w:p>
        </w:tc>
        <w:tc>
          <w:tcPr>
            <w:tcW w:w="900"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产  地</w:t>
            </w:r>
          </w:p>
        </w:tc>
        <w:tc>
          <w:tcPr>
            <w:tcW w:w="1080"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数   量</w:t>
            </w:r>
          </w:p>
        </w:tc>
        <w:tc>
          <w:tcPr>
            <w:tcW w:w="1080"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价  格</w:t>
            </w:r>
          </w:p>
        </w:tc>
        <w:tc>
          <w:tcPr>
            <w:tcW w:w="1260"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1</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2</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3</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4</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5</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6</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7</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8</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9</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10</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ind w:firstLine="21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11</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5" w:hRule="atLeast"/>
          <w:jc w:val="center"/>
        </w:trPr>
        <w:tc>
          <w:tcPr>
            <w:tcW w:w="719" w:type="dxa"/>
            <w:vMerge w:val="continue"/>
          </w:tcPr>
          <w:p>
            <w:pPr>
              <w:rPr>
                <w:rFonts w:hint="eastAsia" w:ascii="宋体" w:hAnsi="宋体" w:eastAsia="宋体" w:cs="宋体"/>
                <w:b/>
                <w:bCs/>
                <w:color w:val="auto"/>
                <w:highlight w:val="none"/>
              </w:rPr>
            </w:pPr>
          </w:p>
        </w:tc>
        <w:tc>
          <w:tcPr>
            <w:tcW w:w="721" w:type="dxa"/>
          </w:tcPr>
          <w:p>
            <w:pPr>
              <w:ind w:firstLine="211" w:firstLineChars="100"/>
              <w:rPr>
                <w:rFonts w:hint="eastAsia" w:ascii="宋体" w:hAnsi="宋体" w:eastAsia="宋体" w:cs="宋体"/>
                <w:b/>
                <w:bCs/>
                <w:color w:val="auto"/>
                <w:highlight w:val="none"/>
              </w:rPr>
            </w:pPr>
            <w:r>
              <w:rPr>
                <w:rFonts w:hint="eastAsia" w:ascii="宋体" w:hAnsi="宋体" w:eastAsia="宋体" w:cs="宋体"/>
                <w:b/>
                <w:bCs/>
                <w:color w:val="auto"/>
                <w:highlight w:val="none"/>
              </w:rPr>
              <w:t>12</w:t>
            </w:r>
          </w:p>
        </w:tc>
        <w:tc>
          <w:tcPr>
            <w:tcW w:w="2716"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900" w:type="dxa"/>
          </w:tcPr>
          <w:p>
            <w:pPr>
              <w:rPr>
                <w:rFonts w:hint="eastAsia" w:ascii="宋体" w:hAnsi="宋体" w:eastAsia="宋体" w:cs="宋体"/>
                <w:color w:val="auto"/>
                <w:highlight w:val="none"/>
              </w:rPr>
            </w:pPr>
          </w:p>
        </w:tc>
        <w:tc>
          <w:tcPr>
            <w:tcW w:w="1080" w:type="dxa"/>
          </w:tcPr>
          <w:p>
            <w:pPr>
              <w:rPr>
                <w:rFonts w:hint="eastAsia" w:ascii="宋体" w:hAnsi="宋体" w:eastAsia="宋体" w:cs="宋体"/>
                <w:b/>
                <w:bCs/>
                <w:color w:val="auto"/>
                <w:highlight w:val="none"/>
              </w:rPr>
            </w:pPr>
          </w:p>
        </w:tc>
        <w:tc>
          <w:tcPr>
            <w:tcW w:w="1080" w:type="dxa"/>
          </w:tcPr>
          <w:p>
            <w:pPr>
              <w:rPr>
                <w:rFonts w:hint="eastAsia" w:ascii="宋体" w:hAnsi="宋体" w:eastAsia="宋体" w:cs="宋体"/>
                <w:b/>
                <w:bCs/>
                <w:color w:val="auto"/>
                <w:highlight w:val="none"/>
              </w:rPr>
            </w:pPr>
          </w:p>
        </w:tc>
        <w:tc>
          <w:tcPr>
            <w:tcW w:w="1260" w:type="dxa"/>
          </w:tcPr>
          <w:p>
            <w:pPr>
              <w:rPr>
                <w:rFonts w:hint="eastAsia" w:ascii="宋体" w:hAnsi="宋体" w:eastAsia="宋体" w:cs="宋体"/>
                <w:b/>
                <w:bCs/>
                <w:color w:val="auto"/>
                <w:highlight w:val="none"/>
              </w:rPr>
            </w:pPr>
          </w:p>
        </w:tc>
      </w:tr>
    </w:tbl>
    <w:p>
      <w:pPr>
        <w:rPr>
          <w:rFonts w:hint="eastAsia" w:ascii="宋体" w:hAnsi="宋体" w:eastAsia="宋体" w:cs="宋体"/>
          <w:b/>
          <w:bCs/>
          <w:color w:val="auto"/>
          <w:sz w:val="24"/>
          <w:szCs w:val="24"/>
          <w:highlight w:val="none"/>
        </w:rPr>
      </w:pPr>
    </w:p>
    <w:p>
      <w:pPr>
        <w:rPr>
          <w:rFonts w:hint="eastAsia" w:ascii="宋体" w:hAnsi="宋体" w:eastAsia="宋体" w:cs="宋体"/>
          <w:color w:val="auto"/>
          <w:highlight w:val="none"/>
        </w:rPr>
      </w:pPr>
    </w:p>
    <w:p>
      <w:pPr>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需方: (签字)                                        供方:(签字)   </w:t>
      </w: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附件二</w:t>
      </w:r>
    </w:p>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医疗设备配件及耗材的价格清单</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333"/>
        <w:gridCol w:w="1514"/>
        <w:gridCol w:w="1678"/>
        <w:gridCol w:w="1187"/>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编号</w:t>
            </w:r>
          </w:p>
        </w:tc>
        <w:tc>
          <w:tcPr>
            <w:tcW w:w="2333"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配件或耗材名称</w:t>
            </w:r>
          </w:p>
        </w:tc>
        <w:tc>
          <w:tcPr>
            <w:tcW w:w="1514"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规格型号</w:t>
            </w:r>
          </w:p>
        </w:tc>
        <w:tc>
          <w:tcPr>
            <w:tcW w:w="1678"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生产厂商</w:t>
            </w:r>
          </w:p>
        </w:tc>
        <w:tc>
          <w:tcPr>
            <w:tcW w:w="1187"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单位</w:t>
            </w:r>
          </w:p>
        </w:tc>
        <w:tc>
          <w:tcPr>
            <w:tcW w:w="1521" w:type="dxa"/>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供应价格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333" w:type="dxa"/>
            <w:vAlign w:val="bottom"/>
          </w:tcPr>
          <w:p>
            <w:pPr>
              <w:rPr>
                <w:rFonts w:hint="eastAsia" w:ascii="宋体" w:hAnsi="宋体" w:eastAsia="宋体" w:cs="宋体"/>
                <w:color w:val="auto"/>
                <w:sz w:val="24"/>
                <w:szCs w:val="24"/>
                <w:highlight w:val="none"/>
              </w:rPr>
            </w:pPr>
          </w:p>
        </w:tc>
        <w:tc>
          <w:tcPr>
            <w:tcW w:w="1514" w:type="dxa"/>
            <w:vAlign w:val="bottom"/>
          </w:tcPr>
          <w:p>
            <w:pPr>
              <w:rPr>
                <w:rFonts w:hint="eastAsia" w:ascii="宋体" w:hAnsi="宋体" w:eastAsia="宋体" w:cs="宋体"/>
                <w:color w:val="auto"/>
                <w:sz w:val="24"/>
                <w:szCs w:val="24"/>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333" w:type="dxa"/>
          </w:tcPr>
          <w:p>
            <w:pPr>
              <w:rPr>
                <w:rFonts w:hint="eastAsia" w:ascii="宋体" w:hAnsi="宋体" w:eastAsia="宋体" w:cs="宋体"/>
                <w:b/>
                <w:bCs/>
                <w:color w:val="auto"/>
                <w:highlight w:val="none"/>
              </w:rPr>
            </w:pPr>
          </w:p>
        </w:tc>
        <w:tc>
          <w:tcPr>
            <w:tcW w:w="1514" w:type="dxa"/>
            <w:vAlign w:val="bottom"/>
          </w:tcPr>
          <w:p>
            <w:pPr>
              <w:rPr>
                <w:rFonts w:hint="eastAsia" w:ascii="宋体" w:hAnsi="宋体" w:eastAsia="宋体" w:cs="宋体"/>
                <w:color w:val="auto"/>
                <w:sz w:val="24"/>
                <w:szCs w:val="24"/>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333" w:type="dxa"/>
          </w:tcPr>
          <w:p>
            <w:pPr>
              <w:rPr>
                <w:rFonts w:hint="eastAsia" w:ascii="宋体" w:hAnsi="宋体" w:eastAsia="宋体" w:cs="宋体"/>
                <w:b/>
                <w:bCs/>
                <w:color w:val="auto"/>
                <w:highlight w:val="none"/>
              </w:rPr>
            </w:pPr>
          </w:p>
        </w:tc>
        <w:tc>
          <w:tcPr>
            <w:tcW w:w="1514" w:type="dxa"/>
            <w:vAlign w:val="bottom"/>
          </w:tcPr>
          <w:p>
            <w:pPr>
              <w:rPr>
                <w:rFonts w:hint="eastAsia" w:ascii="宋体" w:hAnsi="宋体" w:eastAsia="宋体" w:cs="宋体"/>
                <w:color w:val="auto"/>
                <w:sz w:val="24"/>
                <w:szCs w:val="24"/>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2333" w:type="dxa"/>
            <w:vAlign w:val="bottom"/>
          </w:tcPr>
          <w:p>
            <w:pPr>
              <w:rPr>
                <w:rFonts w:hint="eastAsia" w:ascii="宋体" w:hAnsi="宋体" w:eastAsia="宋体" w:cs="宋体"/>
                <w:color w:val="auto"/>
                <w:sz w:val="24"/>
                <w:szCs w:val="24"/>
                <w:highlight w:val="none"/>
              </w:rPr>
            </w:pPr>
          </w:p>
        </w:tc>
        <w:tc>
          <w:tcPr>
            <w:tcW w:w="1514" w:type="dxa"/>
            <w:vAlign w:val="center"/>
          </w:tcPr>
          <w:p>
            <w:pPr>
              <w:rPr>
                <w:rFonts w:hint="eastAsia" w:ascii="宋体" w:hAnsi="宋体" w:eastAsia="宋体" w:cs="宋体"/>
                <w:color w:val="auto"/>
                <w:spacing w:val="20"/>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2333" w:type="dxa"/>
            <w:vAlign w:val="center"/>
          </w:tcPr>
          <w:p>
            <w:pPr>
              <w:rPr>
                <w:rFonts w:hint="eastAsia" w:ascii="宋体" w:hAnsi="宋体" w:eastAsia="宋体" w:cs="宋体"/>
                <w:color w:val="auto"/>
                <w:spacing w:val="20"/>
                <w:highlight w:val="none"/>
              </w:rPr>
            </w:pPr>
          </w:p>
        </w:tc>
        <w:tc>
          <w:tcPr>
            <w:tcW w:w="1514" w:type="dxa"/>
            <w:vAlign w:val="center"/>
          </w:tcPr>
          <w:p>
            <w:pPr>
              <w:rPr>
                <w:rFonts w:hint="eastAsia" w:ascii="宋体" w:hAnsi="宋体" w:eastAsia="宋体" w:cs="宋体"/>
                <w:color w:val="auto"/>
                <w:spacing w:val="20"/>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2333" w:type="dxa"/>
            <w:vAlign w:val="center"/>
          </w:tcPr>
          <w:p>
            <w:pPr>
              <w:rPr>
                <w:rFonts w:hint="eastAsia" w:ascii="宋体" w:hAnsi="宋体" w:eastAsia="宋体" w:cs="宋体"/>
                <w:color w:val="auto"/>
                <w:spacing w:val="20"/>
                <w:highlight w:val="none"/>
              </w:rPr>
            </w:pPr>
          </w:p>
        </w:tc>
        <w:tc>
          <w:tcPr>
            <w:tcW w:w="1514" w:type="dxa"/>
            <w:vAlign w:val="center"/>
          </w:tcPr>
          <w:p>
            <w:pPr>
              <w:rPr>
                <w:rFonts w:hint="eastAsia" w:ascii="宋体" w:hAnsi="宋体" w:eastAsia="宋体" w:cs="宋体"/>
                <w:color w:val="auto"/>
                <w:spacing w:val="20"/>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97" w:type="dxa"/>
          </w:tcPr>
          <w:p>
            <w:pP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2333" w:type="dxa"/>
            <w:vAlign w:val="center"/>
          </w:tcPr>
          <w:p>
            <w:pPr>
              <w:rPr>
                <w:rFonts w:hint="eastAsia" w:ascii="宋体" w:hAnsi="宋体" w:eastAsia="宋体" w:cs="宋体"/>
                <w:color w:val="auto"/>
                <w:spacing w:val="20"/>
                <w:highlight w:val="none"/>
              </w:rPr>
            </w:pPr>
          </w:p>
        </w:tc>
        <w:tc>
          <w:tcPr>
            <w:tcW w:w="1514" w:type="dxa"/>
            <w:vAlign w:val="center"/>
          </w:tcPr>
          <w:p>
            <w:pPr>
              <w:rPr>
                <w:rFonts w:hint="eastAsia" w:ascii="宋体" w:hAnsi="宋体" w:eastAsia="宋体" w:cs="宋体"/>
                <w:color w:val="auto"/>
                <w:spacing w:val="20"/>
                <w:highlight w:val="none"/>
              </w:rPr>
            </w:pPr>
          </w:p>
        </w:tc>
        <w:tc>
          <w:tcPr>
            <w:tcW w:w="1678" w:type="dxa"/>
          </w:tcPr>
          <w:p>
            <w:pPr>
              <w:rPr>
                <w:rFonts w:hint="eastAsia" w:ascii="宋体" w:hAnsi="宋体" w:eastAsia="宋体" w:cs="宋体"/>
                <w:color w:val="auto"/>
                <w:highlight w:val="none"/>
              </w:rPr>
            </w:pPr>
          </w:p>
        </w:tc>
        <w:tc>
          <w:tcPr>
            <w:tcW w:w="1187" w:type="dxa"/>
            <w:vAlign w:val="center"/>
          </w:tcPr>
          <w:p>
            <w:pPr>
              <w:jc w:val="center"/>
              <w:rPr>
                <w:rFonts w:hint="eastAsia" w:ascii="宋体" w:hAnsi="宋体" w:eastAsia="宋体" w:cs="宋体"/>
                <w:color w:val="auto"/>
                <w:highlight w:val="none"/>
              </w:rPr>
            </w:pPr>
          </w:p>
        </w:tc>
        <w:tc>
          <w:tcPr>
            <w:tcW w:w="1521" w:type="dxa"/>
            <w:vAlign w:val="center"/>
          </w:tcPr>
          <w:p>
            <w:pPr>
              <w:jc w:val="center"/>
              <w:rPr>
                <w:rFonts w:hint="eastAsia" w:ascii="宋体" w:hAnsi="宋体" w:eastAsia="宋体" w:cs="宋体"/>
                <w:color w:val="auto"/>
                <w:highlight w:val="none"/>
              </w:rPr>
            </w:pPr>
          </w:p>
        </w:tc>
      </w:tr>
    </w:tbl>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供方保证在合同签定         年内以不高于上述价格供应设备相应配件及耗品</w:t>
      </w:r>
    </w:p>
    <w:p>
      <w:pPr>
        <w:rPr>
          <w:rFonts w:hint="eastAsia" w:ascii="宋体" w:hAnsi="宋体" w:eastAsia="宋体" w:cs="宋体"/>
          <w:b/>
          <w:bCs/>
          <w:color w:val="auto"/>
          <w:sz w:val="24"/>
          <w:szCs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-635</wp:posOffset>
                </wp:positionV>
                <wp:extent cx="685800" cy="0"/>
                <wp:effectExtent l="0" t="0" r="0" b="0"/>
                <wp:wrapNone/>
                <wp:docPr id="1" name="直线 7"/>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 o:spid="_x0000_s1026" o:spt="20" style="position:absolute;left:0pt;margin-left:108pt;margin-top:-0.05pt;height:0pt;width:54pt;z-index:251659264;mso-width-relative:page;mso-height-relative:page;" filled="f" stroked="t" coordsize="21600,21600" o:gfxdata="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nU3ETUAAAABwEAAA8AAAAA&#10;AAAAAQAgAAAAIgAAAGRycy9kb3ducmV2LnhtbFBLAQIUABQAAAAIAIdO4kACECH33wEAAM4DAAAO&#10;AAAAAAAAAAEAIAAAACMBAABkcnMvZTJvRG9jLnhtbFBLBQYAAAAABgAGAFkBAAB0BQAAAAA=&#10;">
                <v:fill on="f" focussize="0,0"/>
                <v:stroke color="#000000" joinstyle="round"/>
                <v:imagedata o:title=""/>
                <o:lock v:ext="edit" aspectratio="f"/>
              </v:line>
            </w:pict>
          </mc:Fallback>
        </mc:AlternateContent>
      </w:r>
    </w:p>
    <w:p>
      <w:pPr>
        <w:ind w:firstLine="723" w:firstLineChars="3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需方: (签字)                                    供方:(签字)</w:t>
      </w:r>
    </w:p>
    <w:p>
      <w:pPr>
        <w:pStyle w:val="2"/>
        <w:rPr>
          <w:rFonts w:hint="eastAsia" w:ascii="宋体" w:hAnsi="宋体" w:eastAsia="宋体" w:cs="宋体"/>
          <w:b/>
          <w:bCs/>
          <w:color w:val="auto"/>
          <w:sz w:val="24"/>
          <w:szCs w:val="24"/>
          <w:highlight w:val="none"/>
        </w:rPr>
      </w:pPr>
    </w:p>
    <w:p>
      <w:pPr>
        <w:pStyle w:val="3"/>
        <w:jc w:val="both"/>
        <w:rPr>
          <w:rFonts w:hint="eastAsia" w:ascii="宋体" w:hAnsi="宋体" w:eastAsia="宋体" w:cs="宋体"/>
          <w:color w:val="auto"/>
          <w:highlight w:val="none"/>
        </w:rPr>
        <w:sectPr>
          <w:pgSz w:w="11906" w:h="16838"/>
          <w:pgMar w:top="1474" w:right="1797" w:bottom="1247" w:left="1797" w:header="851" w:footer="851" w:gutter="0"/>
          <w:cols w:space="720" w:num="1"/>
          <w:titlePg/>
          <w:docGrid w:linePitch="312" w:charSpace="0"/>
        </w:sectPr>
      </w:pPr>
      <w:bookmarkStart w:id="233" w:name="_Toc13023"/>
      <w:bookmarkStart w:id="234" w:name="_Toc317116872"/>
    </w:p>
    <w:p>
      <w:pPr>
        <w:pStyle w:val="3"/>
        <w:jc w:val="center"/>
        <w:rPr>
          <w:rFonts w:hint="eastAsia" w:ascii="宋体" w:hAnsi="宋体" w:eastAsia="宋体" w:cs="宋体"/>
          <w:color w:val="auto"/>
          <w:highlight w:val="none"/>
        </w:rPr>
      </w:pPr>
      <w:bookmarkStart w:id="235" w:name="_Toc132205201"/>
      <w:r>
        <w:rPr>
          <w:rFonts w:hint="eastAsia" w:ascii="宋体" w:hAnsi="宋体" w:eastAsia="宋体" w:cs="宋体"/>
          <w:color w:val="auto"/>
          <w:highlight w:val="none"/>
        </w:rPr>
        <w:t>第六章  投标文件格式</w:t>
      </w:r>
      <w:bookmarkEnd w:id="233"/>
      <w:bookmarkEnd w:id="234"/>
      <w:bookmarkEnd w:id="235"/>
    </w:p>
    <w:p>
      <w:pPr>
        <w:snapToGrid w:val="0"/>
        <w:spacing w:before="120" w:beforeLines="50" w:after="50"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1.封面格式：</w:t>
      </w:r>
    </w:p>
    <w:p>
      <w:pPr>
        <w:snapToGrid w:val="0"/>
        <w:spacing w:before="120" w:beforeLines="50" w:after="50" w:line="360" w:lineRule="auto"/>
        <w:ind w:firstLine="207" w:firstLineChars="98"/>
        <w:rPr>
          <w:rFonts w:hint="eastAsia" w:ascii="宋体" w:hAnsi="宋体" w:eastAsia="宋体" w:cs="宋体"/>
          <w:b/>
          <w:bCs/>
          <w:color w:val="auto"/>
          <w:highlight w:val="none"/>
        </w:rPr>
      </w:pPr>
    </w:p>
    <w:p>
      <w:pPr>
        <w:snapToGrid w:val="0"/>
        <w:spacing w:before="120" w:beforeLines="50" w:after="50" w:line="360" w:lineRule="auto"/>
        <w:jc w:val="center"/>
        <w:rPr>
          <w:rFonts w:hint="eastAsia" w:ascii="宋体" w:hAnsi="宋体" w:eastAsia="宋体" w:cs="宋体"/>
          <w:color w:val="auto"/>
          <w:highlight w:val="none"/>
        </w:rPr>
      </w:pPr>
      <w:r>
        <w:rPr>
          <w:rFonts w:hint="eastAsia" w:ascii="宋体" w:hAnsi="宋体" w:eastAsia="宋体" w:cs="宋体"/>
          <w:b/>
          <w:bCs/>
          <w:color w:val="auto"/>
          <w:highlight w:val="none"/>
        </w:rPr>
        <w:t xml:space="preserve">                                            正本/或副本</w:t>
      </w:r>
    </w:p>
    <w:p>
      <w:pPr>
        <w:snapToGrid w:val="0"/>
        <w:spacing w:before="120" w:beforeLines="50" w:after="5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 标 文 件（商务技术文件/报价文件）</w:t>
      </w:r>
    </w:p>
    <w:p>
      <w:pPr>
        <w:snapToGrid w:val="0"/>
        <w:spacing w:before="120" w:beforeLines="50" w:after="50" w:line="360" w:lineRule="auto"/>
        <w:ind w:firstLine="6054" w:firstLineChars="2883"/>
        <w:rPr>
          <w:rFonts w:hint="eastAsia" w:ascii="宋体" w:hAnsi="宋体" w:eastAsia="宋体" w:cs="宋体"/>
          <w:color w:val="auto"/>
          <w:highlight w:val="none"/>
        </w:rPr>
      </w:pPr>
    </w:p>
    <w:p>
      <w:pPr>
        <w:snapToGrid w:val="0"/>
        <w:spacing w:before="120" w:beforeLines="50" w:after="50" w:line="360" w:lineRule="auto"/>
        <w:ind w:firstLine="945" w:firstLineChars="450"/>
        <w:rPr>
          <w:rFonts w:hint="eastAsia" w:ascii="宋体" w:hAnsi="宋体" w:eastAsia="宋体" w:cs="宋体"/>
          <w:color w:val="auto"/>
          <w:highlight w:val="none"/>
          <w:lang w:eastAsia="zh-CN"/>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青田人民医院医疗设备采购项目</w:t>
      </w:r>
    </w:p>
    <w:p>
      <w:pPr>
        <w:snapToGrid w:val="0"/>
        <w:spacing w:before="120" w:beforeLines="50" w:after="50"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项目编号：</w:t>
      </w:r>
      <w:r>
        <w:rPr>
          <w:rFonts w:hint="eastAsia" w:ascii="宋体" w:hAnsi="宋体" w:cs="宋体"/>
          <w:color w:val="auto"/>
          <w:highlight w:val="none"/>
          <w:lang w:eastAsia="zh-CN"/>
        </w:rPr>
        <w:t>QTFSCG2023-238</w:t>
      </w:r>
    </w:p>
    <w:p>
      <w:pPr>
        <w:snapToGrid w:val="0"/>
        <w:spacing w:before="120" w:beforeLines="50" w:after="50" w:line="360" w:lineRule="auto"/>
        <w:ind w:firstLine="945" w:firstLineChars="450"/>
        <w:rPr>
          <w:rFonts w:hint="eastAsia" w:ascii="宋体" w:hAnsi="宋体" w:eastAsia="宋体" w:cs="宋体"/>
          <w:color w:val="auto"/>
          <w:highlight w:val="none"/>
        </w:rPr>
      </w:pPr>
      <w:r>
        <w:rPr>
          <w:rFonts w:hint="eastAsia" w:ascii="宋体" w:hAnsi="宋体" w:eastAsia="宋体" w:cs="宋体"/>
          <w:color w:val="auto"/>
          <w:highlight w:val="none"/>
        </w:rPr>
        <w:t>投标人名称（加盖公章）：</w:t>
      </w:r>
    </w:p>
    <w:p>
      <w:pPr>
        <w:snapToGrid w:val="0"/>
        <w:spacing w:before="120" w:beforeLines="50" w:after="50" w:line="360" w:lineRule="auto"/>
        <w:ind w:firstLine="945" w:firstLineChars="450"/>
        <w:rPr>
          <w:rFonts w:hint="eastAsia" w:ascii="宋体" w:hAnsi="宋体" w:eastAsia="宋体" w:cs="宋体"/>
          <w:color w:val="auto"/>
          <w:highlight w:val="none"/>
        </w:rPr>
      </w:pPr>
      <w:r>
        <w:rPr>
          <w:rFonts w:hint="eastAsia" w:ascii="宋体" w:hAnsi="宋体" w:eastAsia="宋体" w:cs="宋体"/>
          <w:color w:val="auto"/>
          <w:highlight w:val="none"/>
        </w:rPr>
        <w:t>投标人地址：</w:t>
      </w:r>
    </w:p>
    <w:p>
      <w:pPr>
        <w:snapToGrid w:val="0"/>
        <w:spacing w:before="50" w:after="50" w:line="360" w:lineRule="auto"/>
        <w:outlineLvl w:val="1"/>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236" w:name="_Toc447886361"/>
      <w:bookmarkStart w:id="237" w:name="_Toc23227"/>
      <w:bookmarkStart w:id="238" w:name="_Toc132205202"/>
      <w:bookmarkStart w:id="239" w:name="_Toc447886499"/>
      <w:bookmarkStart w:id="240" w:name="_Toc47388387"/>
      <w:r>
        <w:rPr>
          <w:rFonts w:hint="eastAsia" w:ascii="宋体" w:hAnsi="宋体" w:eastAsia="宋体" w:cs="宋体"/>
          <w:color w:val="auto"/>
          <w:highlight w:val="none"/>
        </w:rPr>
        <w:t>年  月  日</w:t>
      </w:r>
      <w:bookmarkEnd w:id="236"/>
      <w:bookmarkEnd w:id="237"/>
      <w:bookmarkEnd w:id="238"/>
      <w:bookmarkEnd w:id="239"/>
      <w:bookmarkEnd w:id="240"/>
    </w:p>
    <w:p>
      <w:pPr>
        <w:snapToGrid w:val="0"/>
        <w:spacing w:before="120" w:beforeLines="50" w:after="50"/>
        <w:rPr>
          <w:rFonts w:hint="eastAsia" w:ascii="宋体" w:hAnsi="宋体" w:eastAsia="宋体" w:cs="宋体"/>
          <w:color w:val="auto"/>
          <w:highlight w:val="none"/>
        </w:rPr>
      </w:pPr>
    </w:p>
    <w:p>
      <w:pPr>
        <w:snapToGrid w:val="0"/>
        <w:spacing w:before="120" w:beforeLines="50" w:after="50"/>
        <w:jc w:val="center"/>
        <w:rPr>
          <w:rFonts w:hint="eastAsia" w:ascii="宋体" w:hAnsi="宋体" w:eastAsia="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eastAsia="宋体" w:cs="宋体"/>
          <w:b/>
          <w:color w:val="auto"/>
          <w:highlight w:val="none"/>
        </w:rPr>
        <w:t>注：联合体投标的，可只由联合体牵头人盖章。</w:t>
      </w:r>
    </w:p>
    <w:p>
      <w:pPr>
        <w:snapToGrid w:val="0"/>
        <w:spacing w:before="120" w:beforeLines="50" w:after="50"/>
        <w:rPr>
          <w:rFonts w:hint="eastAsia" w:ascii="宋体" w:hAnsi="宋体" w:eastAsia="宋体" w:cs="宋体"/>
          <w:b/>
          <w:bCs/>
          <w:color w:val="auto"/>
          <w:highlight w:val="none"/>
        </w:rPr>
      </w:pPr>
      <w:r>
        <w:rPr>
          <w:rFonts w:hint="eastAsia" w:ascii="宋体" w:hAnsi="宋体" w:eastAsia="宋体" w:cs="宋体"/>
          <w:b/>
          <w:bCs/>
          <w:color w:val="auto"/>
          <w:highlight w:val="none"/>
        </w:rPr>
        <w:t>一、报价文件</w:t>
      </w:r>
    </w:p>
    <w:p>
      <w:pPr>
        <w:snapToGrid w:val="0"/>
        <w:spacing w:before="120" w:beforeLines="50" w:after="50"/>
        <w:rPr>
          <w:rFonts w:hint="eastAsia" w:ascii="宋体" w:hAnsi="宋体" w:eastAsia="宋体" w:cs="宋体"/>
          <w:color w:val="auto"/>
          <w:highlight w:val="none"/>
        </w:rPr>
      </w:pPr>
      <w:r>
        <w:rPr>
          <w:rFonts w:hint="eastAsia" w:ascii="宋体" w:hAnsi="宋体" w:eastAsia="宋体" w:cs="宋体"/>
          <w:color w:val="auto"/>
          <w:highlight w:val="none"/>
        </w:rPr>
        <w:t>（1）投标函</w:t>
      </w:r>
    </w:p>
    <w:p>
      <w:pPr>
        <w:pStyle w:val="19"/>
        <w:widowControl/>
        <w:spacing w:line="360" w:lineRule="auto"/>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投标函</w:t>
      </w:r>
    </w:p>
    <w:p>
      <w:pPr>
        <w:pStyle w:val="19"/>
        <w:widowControl/>
        <w:spacing w:line="360" w:lineRule="auto"/>
        <w:ind w:firstLine="0"/>
        <w:jc w:val="center"/>
        <w:rPr>
          <w:rFonts w:hint="eastAsia" w:ascii="宋体" w:hAnsi="宋体" w:eastAsia="宋体" w:cs="宋体"/>
          <w:b/>
          <w:bCs/>
          <w:color w:val="auto"/>
          <w:sz w:val="24"/>
          <w:szCs w:val="24"/>
          <w:highlight w:val="none"/>
        </w:rPr>
      </w:pPr>
    </w:p>
    <w:p>
      <w:pPr>
        <w:pStyle w:val="19"/>
        <w:widowControl/>
        <w:spacing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致（采购代理机构）</w:t>
      </w:r>
      <w:r>
        <w:rPr>
          <w:rFonts w:hint="eastAsia" w:ascii="宋体" w:hAnsi="宋体" w:eastAsia="宋体" w:cs="宋体"/>
          <w:color w:val="auto"/>
          <w:sz w:val="21"/>
          <w:szCs w:val="21"/>
          <w:highlight w:val="none"/>
        </w:rPr>
        <w:t>：</w:t>
      </w:r>
    </w:p>
    <w:p>
      <w:pPr>
        <w:pStyle w:val="19"/>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（投标人全称）</w:t>
      </w:r>
      <w:r>
        <w:rPr>
          <w:rFonts w:hint="eastAsia" w:ascii="宋体" w:hAnsi="宋体" w:eastAsia="宋体" w:cs="宋体"/>
          <w:color w:val="auto"/>
          <w:sz w:val="21"/>
          <w:szCs w:val="21"/>
          <w:highlight w:val="none"/>
        </w:rPr>
        <w:t>授权</w:t>
      </w:r>
      <w:r>
        <w:rPr>
          <w:rFonts w:hint="eastAsia" w:ascii="宋体" w:hAnsi="宋体" w:eastAsia="宋体" w:cs="宋体"/>
          <w:color w:val="auto"/>
          <w:sz w:val="21"/>
          <w:szCs w:val="21"/>
          <w:highlight w:val="none"/>
          <w:u w:val="single"/>
        </w:rPr>
        <w:t xml:space="preserve">（授权代表姓名、职务） </w:t>
      </w:r>
      <w:r>
        <w:rPr>
          <w:rFonts w:hint="eastAsia" w:ascii="宋体" w:hAnsi="宋体" w:eastAsia="宋体" w:cs="宋体"/>
          <w:color w:val="auto"/>
          <w:sz w:val="21"/>
          <w:szCs w:val="21"/>
          <w:highlight w:val="none"/>
        </w:rPr>
        <w:t>为本公司（单位）合法代理人，参加贵方组织的</w:t>
      </w:r>
      <w:r>
        <w:rPr>
          <w:rFonts w:hint="eastAsia" w:ascii="宋体" w:hAnsi="宋体" w:eastAsia="宋体" w:cs="宋体"/>
          <w:color w:val="auto"/>
          <w:sz w:val="21"/>
          <w:szCs w:val="21"/>
          <w:highlight w:val="none"/>
          <w:u w:val="single"/>
        </w:rPr>
        <w:t xml:space="preserve">（项目编号、项目名称） </w:t>
      </w:r>
      <w:r>
        <w:rPr>
          <w:rFonts w:hint="eastAsia" w:ascii="宋体" w:hAnsi="宋体" w:eastAsia="宋体" w:cs="宋体"/>
          <w:color w:val="auto"/>
          <w:sz w:val="21"/>
          <w:szCs w:val="21"/>
          <w:highlight w:val="none"/>
        </w:rPr>
        <w:t>招投标活动，代表本公司（单位）处理招投标活动中的一切事宜，为对</w:t>
      </w:r>
      <w:r>
        <w:rPr>
          <w:rFonts w:hint="eastAsia" w:ascii="宋体" w:hAnsi="宋体" w:eastAsia="宋体" w:cs="宋体"/>
          <w:color w:val="auto"/>
          <w:sz w:val="21"/>
          <w:szCs w:val="21"/>
          <w:highlight w:val="none"/>
          <w:u w:val="single"/>
        </w:rPr>
        <w:t>（货物名称）</w:t>
      </w:r>
      <w:r>
        <w:rPr>
          <w:rFonts w:hint="eastAsia" w:ascii="宋体" w:hAnsi="宋体" w:eastAsia="宋体" w:cs="宋体"/>
          <w:color w:val="auto"/>
          <w:sz w:val="21"/>
          <w:szCs w:val="21"/>
          <w:highlight w:val="none"/>
        </w:rPr>
        <w:t>进行投标，在此：</w:t>
      </w:r>
    </w:p>
    <w:p>
      <w:pPr>
        <w:pStyle w:val="19"/>
        <w:widowControl/>
        <w:spacing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1、提供招标文件中“投标须知”规定的全部投标文件：报价文件、资格证明文件及商务技术文件；</w:t>
      </w:r>
    </w:p>
    <w:p>
      <w:pPr>
        <w:pStyle w:val="19"/>
        <w:widowControl/>
        <w:numPr>
          <w:ilvl w:val="0"/>
          <w:numId w:val="18"/>
        </w:numPr>
        <w:spacing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据此函，签字代表宣布并承诺如下：</w:t>
      </w:r>
    </w:p>
    <w:p>
      <w:pPr>
        <w:pStyle w:val="19"/>
        <w:widowControl/>
        <w:spacing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（1）本报价已经包含了所供货物应纳的税金及招标文件规定的报价方式应包含的其它费用。本报价在投标有效期内固定不变，并在合同有效期内不受利率波动的影响。</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本投标自开标之日起</w:t>
      </w:r>
      <w:r>
        <w:rPr>
          <w:rFonts w:hint="eastAsia" w:ascii="宋体" w:hAnsi="宋体" w:eastAsia="宋体" w:cs="宋体"/>
          <w:color w:val="auto"/>
          <w:sz w:val="21"/>
          <w:szCs w:val="21"/>
          <w:highlight w:val="none"/>
          <w:u w:val="single"/>
        </w:rPr>
        <w:t>90</w:t>
      </w:r>
      <w:r>
        <w:rPr>
          <w:rFonts w:hint="eastAsia" w:ascii="宋体" w:hAnsi="宋体" w:eastAsia="宋体" w:cs="宋体"/>
          <w:color w:val="auto"/>
          <w:sz w:val="21"/>
          <w:szCs w:val="21"/>
          <w:highlight w:val="none"/>
        </w:rPr>
        <w:t>天内有效。</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我们已详细审查全部招标文件及有关的澄清/修改文件(若有的话)，我们完全理解并同意放弃对这方面提出任何异议的权利。保证遵守招标文件有关条款规定。</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保证在中标后忠实地执行与采购人所签署的合同，并承担合同规定的责任义务。保证在中标后按照招标文件的规定支付招标服务费。</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承诺应贵方要求提供任何与该项目投标有关的数据、情况和技术资料。</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我们承诺，与为采购人采购本次招标的货物进行设计、编制规范和其他文件所委托的咨询公司或其附属机构无任何直接或间接的关联。</w:t>
      </w:r>
    </w:p>
    <w:p>
      <w:pPr>
        <w:pStyle w:val="19"/>
        <w:widowControl/>
        <w:numPr>
          <w:ilvl w:val="0"/>
          <w:numId w:val="19"/>
        </w:numPr>
        <w:spacing w:line="360" w:lineRule="auto"/>
        <w:ind w:firstLine="404"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投标人已详细审查并理解全部招标文件，已完全明确招标文件中的全部内容。如有违反，愿意接受监管机构相应的处理。</w:t>
      </w:r>
    </w:p>
    <w:p>
      <w:pPr>
        <w:pStyle w:val="19"/>
        <w:widowControl/>
        <w:spacing w:line="360" w:lineRule="auto"/>
        <w:ind w:firstLine="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4、与本投标有关的一切往来通讯请寄：</w:t>
      </w:r>
    </w:p>
    <w:p>
      <w:pPr>
        <w:pStyle w:val="19"/>
        <w:widowControl/>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p>
    <w:p>
      <w:pPr>
        <w:pStyle w:val="19"/>
        <w:widowControl/>
        <w:spacing w:line="360" w:lineRule="auto"/>
        <w:jc w:val="left"/>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传真：</w:t>
      </w:r>
      <w:r>
        <w:rPr>
          <w:rFonts w:hint="eastAsia" w:ascii="宋体" w:hAnsi="宋体" w:eastAsia="宋体" w:cs="宋体"/>
          <w:color w:val="auto"/>
          <w:sz w:val="21"/>
          <w:szCs w:val="21"/>
          <w:highlight w:val="none"/>
          <w:u w:val="single"/>
        </w:rPr>
        <w:t xml:space="preserve">             </w:t>
      </w:r>
    </w:p>
    <w:p>
      <w:pPr>
        <w:pStyle w:val="19"/>
        <w:widowControl/>
        <w:spacing w:line="360" w:lineRule="auto"/>
        <w:jc w:val="left"/>
        <w:rPr>
          <w:rFonts w:hint="eastAsia" w:ascii="宋体" w:hAnsi="宋体" w:eastAsia="宋体" w:cs="宋体"/>
          <w:color w:val="auto"/>
          <w:sz w:val="21"/>
          <w:szCs w:val="21"/>
          <w:highlight w:val="none"/>
        </w:rPr>
      </w:pPr>
    </w:p>
    <w:p>
      <w:pPr>
        <w:pStyle w:val="26"/>
        <w:tabs>
          <w:tab w:val="left" w:pos="2472"/>
        </w:tabs>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投标人名称(公章):___________________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日期:_____年___月___日</w:t>
      </w:r>
    </w:p>
    <w:p>
      <w:pPr>
        <w:snapToGrid w:val="0"/>
        <w:spacing w:before="120" w:beforeLines="50" w:after="50"/>
        <w:rPr>
          <w:rFonts w:hint="eastAsia" w:ascii="宋体" w:hAnsi="宋体" w:eastAsia="宋体" w:cs="宋体"/>
          <w:color w:val="auto"/>
          <w:highlight w:val="none"/>
        </w:rPr>
      </w:pPr>
      <w:r>
        <w:rPr>
          <w:rFonts w:hint="eastAsia" w:ascii="宋体" w:hAnsi="宋体" w:eastAsia="宋体" w:cs="宋体"/>
          <w:b/>
          <w:color w:val="auto"/>
          <w:highlight w:val="none"/>
        </w:rPr>
        <w:t>注：联合体投标的，可只由联合体牵头人盖章。</w:t>
      </w:r>
    </w:p>
    <w:p>
      <w:pPr>
        <w:snapToGrid w:val="0"/>
        <w:spacing w:before="50" w:after="50"/>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（2）开标一览表</w:t>
      </w:r>
    </w:p>
    <w:p>
      <w:pPr>
        <w:snapToGrid w:val="0"/>
        <w:spacing w:before="50" w:after="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开标一览表</w:t>
      </w:r>
    </w:p>
    <w:p>
      <w:pPr>
        <w:snapToGrid w:val="0"/>
        <w:spacing w:before="50" w:after="50"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p>
    <w:tbl>
      <w:tblPr>
        <w:tblStyle w:val="4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702"/>
        <w:gridCol w:w="4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748"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584"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采购标的名称</w:t>
            </w:r>
          </w:p>
        </w:tc>
        <w:tc>
          <w:tcPr>
            <w:tcW w:w="2668"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48"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84" w:type="pct"/>
            <w:vAlign w:val="center"/>
          </w:tcPr>
          <w:p>
            <w:pPr>
              <w:spacing w:line="400" w:lineRule="exact"/>
              <w:jc w:val="center"/>
              <w:rPr>
                <w:rFonts w:hint="eastAsia" w:ascii="宋体" w:hAnsi="宋体" w:eastAsia="宋体" w:cs="宋体"/>
                <w:color w:val="auto"/>
                <w:highlight w:val="none"/>
              </w:rPr>
            </w:pPr>
          </w:p>
        </w:tc>
        <w:tc>
          <w:tcPr>
            <w:tcW w:w="2668" w:type="pct"/>
            <w:vAlign w:val="center"/>
          </w:tcPr>
          <w:p>
            <w:pPr>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332" w:type="pct"/>
            <w:gridSpan w:val="2"/>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投标总价</w:t>
            </w:r>
          </w:p>
        </w:tc>
        <w:tc>
          <w:tcPr>
            <w:tcW w:w="2668" w:type="pct"/>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大写：</w:t>
            </w:r>
          </w:p>
          <w:p>
            <w:pPr>
              <w:pStyle w:val="2"/>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小写：</w:t>
            </w:r>
          </w:p>
        </w:tc>
      </w:tr>
    </w:tbl>
    <w:p>
      <w:pPr>
        <w:snapToGrid w:val="0"/>
        <w:spacing w:before="50" w:after="50" w:line="360" w:lineRule="auto"/>
        <w:rPr>
          <w:rFonts w:hint="eastAsia" w:ascii="宋体" w:hAnsi="宋体" w:eastAsia="宋体" w:cs="宋体"/>
          <w:color w:val="auto"/>
          <w:highlight w:val="none"/>
        </w:rPr>
      </w:pPr>
    </w:p>
    <w:p>
      <w:pPr>
        <w:snapToGrid w:val="0"/>
        <w:spacing w:before="50" w:after="50"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注: 1、报价一经涂改，应在涂改处加盖单位公章或者由法定代表人或授权委托人签字或盖章，否则其投标作无效标处理。</w:t>
      </w:r>
    </w:p>
    <w:p>
      <w:pPr>
        <w:snapToGrid w:val="0"/>
        <w:spacing w:line="360" w:lineRule="auto"/>
        <w:ind w:left="-21" w:leftChars="-72" w:right="-817" w:rightChars="-389" w:hanging="130" w:hangingChars="62"/>
        <w:rPr>
          <w:rFonts w:hint="eastAsia" w:ascii="宋体" w:hAnsi="宋体" w:eastAsia="宋体" w:cs="宋体"/>
          <w:color w:val="auto"/>
          <w:highlight w:val="none"/>
        </w:rPr>
      </w:pPr>
    </w:p>
    <w:p>
      <w:pPr>
        <w:snapToGrid w:val="0"/>
        <w:spacing w:line="360" w:lineRule="auto"/>
        <w:ind w:left="-21" w:leftChars="-72" w:right="-817" w:rightChars="-389" w:hanging="130" w:hangingChars="62"/>
        <w:rPr>
          <w:rFonts w:hint="eastAsia" w:ascii="宋体" w:hAnsi="宋体" w:eastAsia="宋体" w:cs="宋体"/>
          <w:color w:val="auto"/>
          <w:highlight w:val="none"/>
        </w:rPr>
      </w:pPr>
    </w:p>
    <w:p>
      <w:pPr>
        <w:pStyle w:val="26"/>
        <w:tabs>
          <w:tab w:val="left" w:pos="2472"/>
        </w:tabs>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投标人名称(公章):___________________         </w:t>
      </w:r>
    </w:p>
    <w:p>
      <w:pPr>
        <w:pStyle w:val="26"/>
        <w:tabs>
          <w:tab w:val="left" w:pos="2472"/>
        </w:tabs>
        <w:snapToGrid w:val="0"/>
        <w:spacing w:beforeLines="0" w:afterLines="0" w:line="360" w:lineRule="auto"/>
        <w:jc w:val="left"/>
        <w:rPr>
          <w:rFonts w:hint="eastAsia" w:ascii="宋体" w:hAnsi="宋体" w:eastAsia="宋体" w:cs="宋体"/>
          <w:color w:val="auto"/>
          <w:highlight w:val="none"/>
        </w:rPr>
      </w:pPr>
      <w:r>
        <w:rPr>
          <w:rFonts w:hint="eastAsia" w:ascii="宋体" w:hAnsi="宋体" w:eastAsia="宋体" w:cs="宋体"/>
          <w:color w:val="auto"/>
          <w:sz w:val="21"/>
          <w:szCs w:val="21"/>
          <w:highlight w:val="none"/>
        </w:rPr>
        <w:t>日期:_____年___月___日</w:t>
      </w:r>
    </w:p>
    <w:p>
      <w:pPr>
        <w:pStyle w:val="2"/>
        <w:rPr>
          <w:rFonts w:hint="eastAsia" w:ascii="宋体" w:hAnsi="宋体" w:eastAsia="宋体" w:cs="宋体"/>
          <w:color w:val="auto"/>
          <w:highlight w:val="none"/>
        </w:rPr>
      </w:pPr>
    </w:p>
    <w:p>
      <w:pPr>
        <w:snapToGrid w:val="0"/>
        <w:spacing w:before="120" w:beforeLines="50" w:after="50"/>
        <w:rPr>
          <w:rFonts w:hint="eastAsia" w:ascii="宋体" w:hAnsi="宋体" w:eastAsia="宋体" w:cs="宋体"/>
          <w:color w:val="auto"/>
          <w:highlight w:val="none"/>
        </w:rPr>
      </w:pPr>
      <w:r>
        <w:rPr>
          <w:rFonts w:hint="eastAsia" w:ascii="宋体" w:hAnsi="宋体" w:eastAsia="宋体" w:cs="宋体"/>
          <w:b/>
          <w:color w:val="auto"/>
          <w:highlight w:val="none"/>
        </w:rPr>
        <w:t>注：联合体投标的，可只由联合体牵头人盖章。</w:t>
      </w:r>
    </w:p>
    <w:p>
      <w:pPr>
        <w:pStyle w:val="26"/>
        <w:snapToGrid w:val="0"/>
        <w:spacing w:beforeLines="0" w:afterLines="0" w:line="24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br w:type="page"/>
      </w:r>
      <w:r>
        <w:rPr>
          <w:rFonts w:hint="eastAsia" w:ascii="宋体" w:hAnsi="宋体" w:eastAsia="宋体" w:cs="宋体"/>
          <w:color w:val="auto"/>
          <w:sz w:val="21"/>
          <w:szCs w:val="21"/>
          <w:highlight w:val="none"/>
        </w:rPr>
        <w:t xml:space="preserve">（3）投标报价明细表       </w:t>
      </w:r>
    </w:p>
    <w:p>
      <w:pPr>
        <w:pStyle w:val="26"/>
        <w:snapToGrid w:val="0"/>
        <w:spacing w:beforeLines="0" w:afterLines="0" w:line="240" w:lineRule="auto"/>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设备报价明细表</w:t>
      </w:r>
    </w:p>
    <w:p>
      <w:pPr>
        <w:pStyle w:val="26"/>
        <w:snapToGrid w:val="0"/>
        <w:spacing w:beforeLines="0" w:afterLine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金额单位：人民币（元）</w:t>
      </w:r>
    </w:p>
    <w:tbl>
      <w:tblPr>
        <w:tblStyle w:val="49"/>
        <w:tblW w:w="8528" w:type="dxa"/>
        <w:tblInd w:w="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3"/>
        <w:gridCol w:w="1535"/>
        <w:gridCol w:w="1023"/>
        <w:gridCol w:w="1364"/>
        <w:gridCol w:w="1535"/>
        <w:gridCol w:w="1194"/>
        <w:gridCol w:w="136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序号</w:t>
            </w:r>
          </w:p>
        </w:tc>
        <w:tc>
          <w:tcPr>
            <w:tcW w:w="1535"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设备名称</w:t>
            </w:r>
          </w:p>
        </w:tc>
        <w:tc>
          <w:tcPr>
            <w:tcW w:w="1023" w:type="dxa"/>
            <w:tcBorders>
              <w:tl2br w:val="nil"/>
              <w:tr2bl w:val="nil"/>
            </w:tcBorders>
            <w:vAlign w:val="center"/>
          </w:tcPr>
          <w:p>
            <w:pPr>
              <w:pStyle w:val="256"/>
              <w:snapToGrid w:val="0"/>
              <w:spacing w:before="50" w:after="50"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产地品牌</w:t>
            </w:r>
          </w:p>
        </w:tc>
        <w:tc>
          <w:tcPr>
            <w:tcW w:w="1364"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规格型号</w:t>
            </w:r>
          </w:p>
        </w:tc>
        <w:tc>
          <w:tcPr>
            <w:tcW w:w="1535"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单位及数量</w:t>
            </w:r>
          </w:p>
        </w:tc>
        <w:tc>
          <w:tcPr>
            <w:tcW w:w="1194"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单价（元）</w:t>
            </w:r>
          </w:p>
        </w:tc>
        <w:tc>
          <w:tcPr>
            <w:tcW w:w="1364" w:type="dxa"/>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金额（元）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69" w:hRule="atLeast"/>
        </w:trPr>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351" w:hRule="atLeast"/>
        </w:trPr>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w:t>
            </w: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vMerge w:val="restart"/>
            <w:tcBorders>
              <w:tl2br w:val="nil"/>
              <w:tr2bl w:val="nil"/>
            </w:tcBorders>
            <w:vAlign w:val="center"/>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b/>
                <w:bCs/>
                <w:color w:val="auto"/>
                <w:spacing w:val="20"/>
                <w:highlight w:val="none"/>
              </w:rPr>
              <w:t>专用耗材</w:t>
            </w: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475" w:hRule="atLeast"/>
        </w:trPr>
        <w:tc>
          <w:tcPr>
            <w:tcW w:w="51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vMerge w:val="continue"/>
            <w:tcBorders>
              <w:tl2br w:val="nil"/>
              <w:tr2bl w:val="nil"/>
            </w:tcBorders>
          </w:tcPr>
          <w:p>
            <w:pPr>
              <w:tabs>
                <w:tab w:val="left" w:pos="1418"/>
              </w:tabs>
              <w:snapToGrid w:val="0"/>
              <w:spacing w:before="50" w:after="50" w:line="400" w:lineRule="exact"/>
              <w:jc w:val="center"/>
              <w:rPr>
                <w:rFonts w:hint="eastAsia" w:ascii="宋体" w:hAnsi="宋体" w:eastAsia="宋体" w:cs="宋体"/>
                <w:b/>
                <w:bCs/>
                <w:color w:val="auto"/>
                <w:spacing w:val="20"/>
                <w:highlight w:val="none"/>
              </w:rPr>
            </w:pPr>
          </w:p>
        </w:tc>
        <w:tc>
          <w:tcPr>
            <w:tcW w:w="1023"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535"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19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CellMar>
            <w:top w:w="0" w:type="dxa"/>
            <w:left w:w="108" w:type="dxa"/>
            <w:bottom w:w="0" w:type="dxa"/>
            <w:right w:w="108" w:type="dxa"/>
          </w:tblCellMar>
        </w:tblPrEx>
        <w:tc>
          <w:tcPr>
            <w:tcW w:w="7164" w:type="dxa"/>
            <w:gridSpan w:val="6"/>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设备报价合计</w:t>
            </w:r>
            <w:r>
              <w:rPr>
                <w:rFonts w:hint="eastAsia" w:ascii="宋体" w:hAnsi="宋体" w:eastAsia="宋体" w:cs="宋体"/>
                <w:color w:val="auto"/>
                <w:highlight w:val="none"/>
              </w:rPr>
              <w:t>（元）</w:t>
            </w:r>
          </w:p>
        </w:tc>
        <w:tc>
          <w:tcPr>
            <w:tcW w:w="1364" w:type="dxa"/>
            <w:tcBorders>
              <w:tl2br w:val="nil"/>
              <w:tr2bl w:val="nil"/>
            </w:tcBorders>
          </w:tcPr>
          <w:p>
            <w:pPr>
              <w:tabs>
                <w:tab w:val="left" w:pos="1418"/>
              </w:tabs>
              <w:snapToGrid w:val="0"/>
              <w:spacing w:before="50" w:after="50" w:line="400" w:lineRule="exact"/>
              <w:jc w:val="center"/>
              <w:rPr>
                <w:rFonts w:hint="eastAsia" w:ascii="宋体" w:hAnsi="宋体" w:eastAsia="宋体" w:cs="宋体"/>
                <w:color w:val="auto"/>
                <w:spacing w:val="20"/>
                <w:highlight w:val="none"/>
              </w:rPr>
            </w:pPr>
          </w:p>
        </w:tc>
      </w:tr>
    </w:tbl>
    <w:p>
      <w:pPr>
        <w:snapToGrid w:val="0"/>
        <w:spacing w:line="360" w:lineRule="auto"/>
        <w:ind w:firstLine="420" w:firstLineChars="200"/>
        <w:jc w:val="left"/>
        <w:rPr>
          <w:rFonts w:hint="eastAsia" w:ascii="宋体" w:hAnsi="宋体" w:eastAsia="宋体" w:cs="宋体"/>
          <w:color w:val="auto"/>
          <w:highlight w:val="none"/>
        </w:rPr>
      </w:pPr>
    </w:p>
    <w:p>
      <w:pPr>
        <w:snapToGrid w:val="0"/>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分别报出每台设备的金额。</w:t>
      </w:r>
    </w:p>
    <w:p>
      <w:pPr>
        <w:tabs>
          <w:tab w:val="left" w:pos="1418"/>
        </w:tabs>
        <w:snapToGrid w:val="0"/>
        <w:spacing w:before="50" w:after="50"/>
        <w:ind w:left="1418" w:hanging="567"/>
        <w:jc w:val="center"/>
        <w:rPr>
          <w:rFonts w:hint="eastAsia" w:ascii="宋体" w:hAnsi="宋体" w:eastAsia="宋体" w:cs="宋体"/>
          <w:color w:val="auto"/>
          <w:spacing w:val="20"/>
          <w:highlight w:val="none"/>
          <w:u w:val="single"/>
        </w:rPr>
      </w:pPr>
    </w:p>
    <w:p>
      <w:pPr>
        <w:pStyle w:val="26"/>
        <w:tabs>
          <w:tab w:val="left" w:pos="2472"/>
        </w:tabs>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投标人名称(公章):___________________          </w:t>
      </w:r>
    </w:p>
    <w:p>
      <w:pPr>
        <w:snapToGrid w:val="0"/>
        <w:spacing w:before="50" w:after="50"/>
        <w:rPr>
          <w:rFonts w:hint="eastAsia" w:ascii="宋体" w:hAnsi="宋体" w:eastAsia="宋体" w:cs="宋体"/>
          <w:color w:val="auto"/>
          <w:spacing w:val="20"/>
          <w:highlight w:val="none"/>
          <w:u w:val="single"/>
        </w:rPr>
      </w:pPr>
      <w:r>
        <w:rPr>
          <w:rFonts w:hint="eastAsia" w:ascii="宋体" w:hAnsi="宋体" w:eastAsia="宋体" w:cs="宋体"/>
          <w:color w:val="auto"/>
          <w:highlight w:val="none"/>
        </w:rPr>
        <w:t>日期:_____年___月___日</w:t>
      </w:r>
    </w:p>
    <w:p>
      <w:pPr>
        <w:pStyle w:val="26"/>
        <w:snapToGrid w:val="0"/>
        <w:spacing w:beforeLines="0" w:afterLines="0" w:line="240" w:lineRule="auto"/>
        <w:rPr>
          <w:rFonts w:hint="eastAsia" w:ascii="宋体" w:hAnsi="宋体" w:eastAsia="宋体" w:cs="宋体"/>
          <w:color w:val="auto"/>
          <w:sz w:val="21"/>
          <w:szCs w:val="21"/>
          <w:highlight w:val="none"/>
        </w:rPr>
      </w:pPr>
    </w:p>
    <w:p>
      <w:pPr>
        <w:pStyle w:val="19"/>
        <w:spacing w:line="520" w:lineRule="exact"/>
        <w:ind w:firstLine="0"/>
        <w:jc w:val="lef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注：联合体投标的，可只由联合体牵头人盖章。</w:t>
      </w:r>
    </w:p>
    <w:p>
      <w:pPr>
        <w:rPr>
          <w:rFonts w:hint="eastAsia" w:ascii="宋体" w:hAnsi="宋体" w:eastAsia="宋体" w:cs="宋体"/>
          <w:b/>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p>
    <w:p>
      <w:pPr>
        <w:spacing w:line="360" w:lineRule="auto"/>
        <w:jc w:val="left"/>
        <w:outlineLvl w:val="0"/>
        <w:rPr>
          <w:rFonts w:hint="eastAsia" w:ascii="宋体" w:hAnsi="宋体" w:eastAsia="宋体" w:cs="宋体"/>
          <w:color w:val="auto"/>
          <w:highlight w:val="none"/>
        </w:rPr>
      </w:pPr>
      <w:bookmarkStart w:id="241" w:name="_Toc132205203"/>
      <w:r>
        <w:rPr>
          <w:rFonts w:hint="eastAsia" w:ascii="宋体" w:hAnsi="宋体" w:eastAsia="宋体" w:cs="宋体"/>
          <w:color w:val="auto"/>
          <w:highlight w:val="none"/>
        </w:rPr>
        <w:t>（4）中小企业声明函</w:t>
      </w:r>
      <w:bookmarkEnd w:id="241"/>
    </w:p>
    <w:p>
      <w:pPr>
        <w:pStyle w:val="19"/>
        <w:spacing w:line="520" w:lineRule="exact"/>
        <w:ind w:firstLine="0"/>
        <w:rPr>
          <w:rFonts w:hint="eastAsia" w:ascii="宋体" w:hAnsi="宋体" w:eastAsia="宋体" w:cs="宋体"/>
          <w:b/>
          <w:bCs/>
          <w:color w:val="auto"/>
          <w:sz w:val="24"/>
          <w:szCs w:val="24"/>
          <w:highlight w:val="none"/>
        </w:rPr>
      </w:pPr>
    </w:p>
    <w:p>
      <w:pPr>
        <w:snapToGrid w:val="0"/>
        <w:spacing w:after="120" w:afterLines="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中小企业声明函</w:t>
      </w:r>
    </w:p>
    <w:p>
      <w:pPr>
        <w:spacing w:line="360" w:lineRule="auto"/>
        <w:rPr>
          <w:rFonts w:hint="eastAsia" w:ascii="宋体" w:hAnsi="宋体" w:eastAsia="宋体" w:cs="宋体"/>
          <w:b/>
          <w:bCs/>
          <w:color w:val="auto"/>
          <w:spacing w:val="6"/>
          <w:highlight w:val="none"/>
        </w:rPr>
      </w:pP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本公司（联合体）郑重声明，根据《政府采购促进中小企业发展管理办法》（财库﹝2020﹞46 号）的规定，本公司（联合体）参加</w:t>
      </w:r>
      <w:r>
        <w:rPr>
          <w:rFonts w:hint="eastAsia" w:ascii="宋体" w:hAnsi="宋体" w:eastAsia="宋体" w:cs="宋体"/>
          <w:color w:val="auto"/>
          <w:spacing w:val="6"/>
          <w:highlight w:val="none"/>
          <w:u w:val="single"/>
        </w:rPr>
        <w:t>（单位名称）</w:t>
      </w:r>
      <w:r>
        <w:rPr>
          <w:rFonts w:hint="eastAsia" w:ascii="宋体" w:hAnsi="宋体" w:eastAsia="宋体" w:cs="宋体"/>
          <w:color w:val="auto"/>
          <w:spacing w:val="6"/>
          <w:highlight w:val="none"/>
        </w:rPr>
        <w:t>的</w:t>
      </w:r>
      <w:r>
        <w:rPr>
          <w:rFonts w:hint="eastAsia" w:ascii="宋体" w:hAnsi="宋体" w:eastAsia="宋体" w:cs="宋体"/>
          <w:color w:val="auto"/>
          <w:spacing w:val="6"/>
          <w:highlight w:val="none"/>
          <w:u w:val="single"/>
        </w:rPr>
        <w:t>（项目名称）</w:t>
      </w:r>
      <w:r>
        <w:rPr>
          <w:rFonts w:hint="eastAsia" w:ascii="宋体" w:hAnsi="宋体" w:eastAsia="宋体" w:cs="宋体"/>
          <w:color w:val="auto"/>
          <w:spacing w:val="6"/>
          <w:highlight w:val="none"/>
        </w:rPr>
        <w:t>采购活动，提供的货物全部由符合政策要求的中小企业制造。相关企业（含联合体中的中小企业、签订分包意向协议的中小企业）的具体情况如下：</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1. </w:t>
      </w:r>
      <w:r>
        <w:rPr>
          <w:rFonts w:hint="eastAsia" w:ascii="宋体" w:hAnsi="宋体" w:eastAsia="宋体" w:cs="宋体"/>
          <w:color w:val="auto"/>
          <w:spacing w:val="6"/>
          <w:highlight w:val="none"/>
          <w:u w:val="single"/>
        </w:rPr>
        <w:t xml:space="preserve">（标的名称） </w:t>
      </w:r>
      <w:r>
        <w:rPr>
          <w:rFonts w:hint="eastAsia" w:ascii="宋体" w:hAnsi="宋体" w:eastAsia="宋体" w:cs="宋体"/>
          <w:color w:val="auto"/>
          <w:spacing w:val="6"/>
          <w:highlight w:val="none"/>
        </w:rPr>
        <w:t>，属于</w:t>
      </w:r>
      <w:r>
        <w:rPr>
          <w:rFonts w:hint="eastAsia" w:ascii="宋体" w:hAnsi="宋体" w:eastAsia="宋体" w:cs="宋体"/>
          <w:color w:val="auto"/>
          <w:spacing w:val="6"/>
          <w:highlight w:val="none"/>
          <w:u w:val="single"/>
        </w:rPr>
        <w:t>工业</w:t>
      </w:r>
      <w:r>
        <w:rPr>
          <w:rFonts w:hint="eastAsia" w:ascii="宋体" w:hAnsi="宋体" w:eastAsia="宋体" w:cs="宋体"/>
          <w:color w:val="auto"/>
          <w:spacing w:val="6"/>
          <w:highlight w:val="none"/>
        </w:rPr>
        <w:t>行业；制造商为</w:t>
      </w:r>
      <w:r>
        <w:rPr>
          <w:rFonts w:hint="eastAsia" w:ascii="宋体" w:hAnsi="宋体" w:eastAsia="宋体" w:cs="宋体"/>
          <w:color w:val="auto"/>
          <w:spacing w:val="6"/>
          <w:highlight w:val="none"/>
          <w:u w:val="single"/>
        </w:rPr>
        <w:t>（企业名称）</w:t>
      </w:r>
      <w:r>
        <w:rPr>
          <w:rFonts w:hint="eastAsia" w:ascii="宋体" w:hAnsi="宋体" w:eastAsia="宋体" w:cs="宋体"/>
          <w:color w:val="auto"/>
          <w:spacing w:val="6"/>
          <w:highlight w:val="none"/>
        </w:rPr>
        <w:t>，从业人员</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人，营业收入为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万元</w:t>
      </w:r>
      <w:r>
        <w:rPr>
          <w:rFonts w:hint="eastAsia" w:ascii="宋体" w:hAnsi="宋体" w:eastAsia="宋体" w:cs="宋体"/>
          <w:color w:val="auto"/>
          <w:highlight w:val="none"/>
          <w:vertAlign w:val="superscript"/>
        </w:rPr>
        <w:t>1</w:t>
      </w:r>
      <w:r>
        <w:rPr>
          <w:rFonts w:hint="eastAsia" w:ascii="宋体" w:hAnsi="宋体" w:eastAsia="宋体" w:cs="宋体"/>
          <w:color w:val="auto"/>
          <w:spacing w:val="6"/>
          <w:highlight w:val="none"/>
        </w:rPr>
        <w:t>，资产总额为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万元，属于</w:t>
      </w:r>
      <w:r>
        <w:rPr>
          <w:rFonts w:hint="eastAsia" w:ascii="宋体" w:hAnsi="宋体" w:eastAsia="宋体" w:cs="宋体"/>
          <w:color w:val="auto"/>
          <w:spacing w:val="6"/>
          <w:highlight w:val="none"/>
          <w:u w:val="single"/>
        </w:rPr>
        <w:t>（中型企业、小型企业、微型企业）</w:t>
      </w:r>
      <w:r>
        <w:rPr>
          <w:rFonts w:hint="eastAsia" w:ascii="宋体" w:hAnsi="宋体" w:eastAsia="宋体" w:cs="宋体"/>
          <w:color w:val="auto"/>
          <w:spacing w:val="6"/>
          <w:highlight w:val="none"/>
        </w:rPr>
        <w:t>；</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w:t>
      </w:r>
      <w:r>
        <w:rPr>
          <w:rFonts w:hint="eastAsia" w:ascii="宋体" w:hAnsi="宋体" w:eastAsia="宋体" w:cs="宋体"/>
          <w:color w:val="auto"/>
          <w:spacing w:val="6"/>
          <w:highlight w:val="none"/>
          <w:u w:val="single"/>
        </w:rPr>
        <w:t xml:space="preserve"> （标的名称） </w:t>
      </w:r>
      <w:r>
        <w:rPr>
          <w:rFonts w:hint="eastAsia" w:ascii="宋体" w:hAnsi="宋体" w:eastAsia="宋体" w:cs="宋体"/>
          <w:color w:val="auto"/>
          <w:spacing w:val="6"/>
          <w:highlight w:val="none"/>
        </w:rPr>
        <w:t>，属于</w:t>
      </w:r>
      <w:r>
        <w:rPr>
          <w:rFonts w:hint="eastAsia" w:ascii="宋体" w:hAnsi="宋体" w:eastAsia="宋体" w:cs="宋体"/>
          <w:color w:val="auto"/>
          <w:spacing w:val="6"/>
          <w:highlight w:val="none"/>
          <w:u w:val="single"/>
        </w:rPr>
        <w:t>工业</w:t>
      </w:r>
      <w:r>
        <w:rPr>
          <w:rFonts w:hint="eastAsia" w:ascii="宋体" w:hAnsi="宋体" w:eastAsia="宋体" w:cs="宋体"/>
          <w:color w:val="auto"/>
          <w:spacing w:val="6"/>
          <w:highlight w:val="none"/>
        </w:rPr>
        <w:t>行业；制造商为</w:t>
      </w:r>
      <w:r>
        <w:rPr>
          <w:rFonts w:hint="eastAsia" w:ascii="宋体" w:hAnsi="宋体" w:eastAsia="宋体" w:cs="宋体"/>
          <w:color w:val="auto"/>
          <w:spacing w:val="6"/>
          <w:highlight w:val="none"/>
          <w:u w:val="single"/>
        </w:rPr>
        <w:t>（企业名称）</w:t>
      </w:r>
      <w:r>
        <w:rPr>
          <w:rFonts w:hint="eastAsia" w:ascii="宋体" w:hAnsi="宋体" w:eastAsia="宋体" w:cs="宋体"/>
          <w:color w:val="auto"/>
          <w:spacing w:val="6"/>
          <w:highlight w:val="none"/>
        </w:rPr>
        <w:t>，从业人员</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人，营业收入为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万元，资产总额为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万元，属于</w:t>
      </w:r>
      <w:r>
        <w:rPr>
          <w:rFonts w:hint="eastAsia" w:ascii="宋体" w:hAnsi="宋体" w:eastAsia="宋体" w:cs="宋体"/>
          <w:color w:val="auto"/>
          <w:spacing w:val="6"/>
          <w:highlight w:val="none"/>
          <w:u w:val="single"/>
        </w:rPr>
        <w:t>（中型企业、小型企业、微型企业）</w:t>
      </w:r>
      <w:r>
        <w:rPr>
          <w:rFonts w:hint="eastAsia" w:ascii="宋体" w:hAnsi="宋体" w:eastAsia="宋体" w:cs="宋体"/>
          <w:color w:val="auto"/>
          <w:spacing w:val="6"/>
          <w:highlight w:val="none"/>
        </w:rPr>
        <w:t>；</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以上企业，不属于大企业的分支机构，不存在控股股东为大企业的情形，也不存在与大企业的负责人为同一人的情形。</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本企业对上述声明内容的真实性负责。如有虚假，将依法承担相应责任。</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                        </w:t>
      </w:r>
    </w:p>
    <w:p>
      <w:pPr>
        <w:spacing w:line="360" w:lineRule="auto"/>
        <w:ind w:firstLine="3330" w:firstLineChars="15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企业名称（盖章）：</w:t>
      </w:r>
    </w:p>
    <w:p>
      <w:pPr>
        <w:spacing w:line="360" w:lineRule="auto"/>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                         日期：</w:t>
      </w:r>
    </w:p>
    <w:p>
      <w:pPr>
        <w:widowControl/>
        <w:tabs>
          <w:tab w:val="left" w:pos="606"/>
        </w:tabs>
        <w:spacing w:line="360" w:lineRule="auto"/>
        <w:jc w:val="left"/>
        <w:rPr>
          <w:rFonts w:hint="eastAsia" w:ascii="宋体" w:hAnsi="宋体" w:eastAsia="宋体" w:cs="宋体"/>
          <w:color w:val="auto"/>
          <w:kern w:val="0"/>
          <w:highlight w:val="none"/>
        </w:rPr>
      </w:pPr>
      <w:r>
        <w:rPr>
          <w:rFonts w:hint="eastAsia" w:ascii="宋体" w:hAnsi="宋体" w:eastAsia="宋体" w:cs="宋体"/>
          <w:color w:val="auto"/>
          <w:spacing w:val="-6"/>
          <w:kern w:val="0"/>
          <w:highlight w:val="none"/>
        </w:rPr>
        <w:t>1</w:t>
      </w:r>
      <w:r>
        <w:rPr>
          <w:rFonts w:hint="eastAsia" w:ascii="宋体" w:hAnsi="宋体" w:eastAsia="宋体" w:cs="宋体"/>
          <w:color w:val="auto"/>
          <w:kern w:val="0"/>
          <w:highlight w:val="none"/>
        </w:rPr>
        <w:t>、从业人员、营业收入、资产总额填报上一年度数据，无上一年度数据的新成立企业可不填报。</w:t>
      </w:r>
    </w:p>
    <w:p>
      <w:pPr>
        <w:widowControl/>
        <w:tabs>
          <w:tab w:val="left" w:pos="606"/>
        </w:tabs>
        <w:spacing w:line="360" w:lineRule="auto"/>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60" w:lineRule="auto"/>
        <w:jc w:val="center"/>
        <w:rPr>
          <w:rFonts w:hint="eastAsia" w:ascii="宋体" w:hAnsi="宋体" w:eastAsia="宋体" w:cs="宋体"/>
          <w:b/>
          <w:bCs/>
          <w:color w:val="auto"/>
          <w:kern w:val="0"/>
          <w:highlight w:val="none"/>
        </w:rPr>
      </w:pP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b/>
          <w:bCs/>
          <w:color w:val="auto"/>
          <w:kern w:val="0"/>
          <w:highlight w:val="none"/>
        </w:rPr>
        <w:t>注：适用小微企业政策的请提供，未提供的不享受小微企业政策</w:t>
      </w:r>
      <w:r>
        <w:rPr>
          <w:rFonts w:hint="eastAsia" w:ascii="宋体" w:hAnsi="宋体" w:eastAsia="宋体" w:cs="宋体"/>
          <w:b/>
          <w:bCs/>
          <w:color w:val="auto"/>
          <w:highlight w:val="none"/>
        </w:rPr>
        <w:t>。</w:t>
      </w:r>
    </w:p>
    <w:p>
      <w:pPr>
        <w:adjustRightInd w:val="0"/>
        <w:snapToGrid w:val="0"/>
        <w:spacing w:line="360" w:lineRule="auto"/>
        <w:jc w:val="left"/>
        <w:rPr>
          <w:rFonts w:hint="eastAsia" w:ascii="宋体" w:hAnsi="宋体" w:eastAsia="宋体" w:cs="宋体"/>
          <w:color w:val="auto"/>
          <w:highlight w:val="none"/>
        </w:rPr>
      </w:pPr>
    </w:p>
    <w:p>
      <w:pPr>
        <w:pStyle w:val="19"/>
        <w:spacing w:line="520" w:lineRule="exact"/>
        <w:ind w:firstLine="0"/>
        <w:jc w:val="left"/>
        <w:rPr>
          <w:rFonts w:hint="eastAsia" w:ascii="宋体" w:hAnsi="宋体" w:eastAsia="宋体" w:cs="宋体"/>
          <w:color w:val="auto"/>
          <w:sz w:val="21"/>
          <w:szCs w:val="21"/>
          <w:highlight w:val="none"/>
        </w:rPr>
        <w:sectPr>
          <w:pgSz w:w="11906" w:h="16838"/>
          <w:pgMar w:top="1474" w:right="1797" w:bottom="1247" w:left="1797" w:header="851" w:footer="851" w:gutter="0"/>
          <w:cols w:space="720" w:num="1"/>
          <w:titlePg/>
          <w:docGrid w:linePitch="312" w:charSpace="0"/>
        </w:sectPr>
      </w:pPr>
    </w:p>
    <w:p>
      <w:pPr>
        <w:numPr>
          <w:ilvl w:val="0"/>
          <w:numId w:val="20"/>
        </w:numPr>
        <w:spacing w:line="360" w:lineRule="auto"/>
        <w:jc w:val="left"/>
        <w:outlineLvl w:val="0"/>
        <w:rPr>
          <w:rFonts w:hint="eastAsia" w:ascii="宋体" w:hAnsi="宋体" w:eastAsia="宋体" w:cs="宋体"/>
          <w:color w:val="auto"/>
          <w:highlight w:val="none"/>
        </w:rPr>
      </w:pPr>
      <w:bookmarkStart w:id="242" w:name="_Toc132205204"/>
      <w:r>
        <w:rPr>
          <w:rFonts w:hint="eastAsia" w:ascii="宋体" w:hAnsi="宋体" w:eastAsia="宋体" w:cs="宋体"/>
          <w:color w:val="auto"/>
          <w:highlight w:val="none"/>
        </w:rPr>
        <w:t>供应商为监狱企业的证明文件：省级以上监狱管理局、戒毒管理局（含新疆生产建设兵团）出具（如是请提供）；</w:t>
      </w:r>
    </w:p>
    <w:p>
      <w:pPr>
        <w:pStyle w:val="3"/>
        <w:rPr>
          <w:rFonts w:hint="eastAsia" w:ascii="宋体" w:hAnsi="宋体" w:eastAsia="宋体" w:cs="宋体"/>
          <w:color w:val="auto"/>
          <w:highlight w:val="none"/>
        </w:rPr>
      </w:pPr>
    </w:p>
    <w:p>
      <w:pPr>
        <w:numPr>
          <w:ilvl w:val="0"/>
          <w:numId w:val="20"/>
        </w:numPr>
        <w:spacing w:line="360" w:lineRule="auto"/>
        <w:jc w:val="left"/>
        <w:outlineLvl w:val="0"/>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w:t>
      </w:r>
      <w:bookmarkEnd w:id="242"/>
    </w:p>
    <w:p>
      <w:pPr>
        <w:jc w:val="center"/>
        <w:rPr>
          <w:rFonts w:hint="eastAsia" w:ascii="宋体" w:hAnsi="宋体" w:eastAsia="宋体" w:cs="宋体"/>
          <w:b/>
          <w:color w:val="auto"/>
          <w:kern w:val="0"/>
          <w:highlight w:val="none"/>
        </w:rPr>
      </w:pPr>
    </w:p>
    <w:p>
      <w:pPr>
        <w:spacing w:line="588" w:lineRule="exact"/>
        <w:jc w:val="center"/>
        <w:rPr>
          <w:rFonts w:hint="eastAsia" w:ascii="宋体" w:hAnsi="宋体" w:eastAsia="宋体" w:cs="宋体"/>
          <w:b/>
          <w:bCs/>
          <w:color w:val="auto"/>
          <w:spacing w:val="6"/>
          <w:highlight w:val="none"/>
        </w:rPr>
      </w:pPr>
      <w:bookmarkStart w:id="243" w:name="OLE_LINK14"/>
      <w:bookmarkStart w:id="244" w:name="OLE_LINK13"/>
      <w:r>
        <w:rPr>
          <w:rFonts w:hint="eastAsia" w:ascii="宋体" w:hAnsi="宋体" w:eastAsia="宋体" w:cs="宋体"/>
          <w:b/>
          <w:bCs/>
          <w:color w:val="auto"/>
          <w:spacing w:val="6"/>
          <w:highlight w:val="none"/>
        </w:rPr>
        <w:t>残疾人福利性单位声明函</w:t>
      </w:r>
    </w:p>
    <w:bookmarkEnd w:id="243"/>
    <w:bookmarkEnd w:id="244"/>
    <w:p>
      <w:pPr>
        <w:spacing w:line="588" w:lineRule="exact"/>
        <w:rPr>
          <w:rFonts w:hint="eastAsia" w:ascii="宋体" w:hAnsi="宋体" w:eastAsia="宋体" w:cs="宋体"/>
          <w:b/>
          <w:bCs/>
          <w:color w:val="auto"/>
          <w:spacing w:val="6"/>
          <w:highlight w:val="none"/>
        </w:rPr>
      </w:pPr>
    </w:p>
    <w:p>
      <w:pPr>
        <w:spacing w:line="588" w:lineRule="exact"/>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本单位郑重声明，根据《财政部 民政部 中国残疾人联合会关于促进残疾人就业政府采购政策的通知》（财库</w:t>
      </w:r>
      <w:r>
        <w:rPr>
          <w:rFonts w:hint="eastAsia" w:ascii="宋体" w:hAnsi="宋体" w:eastAsia="宋体" w:cs="宋体"/>
          <w:color w:val="auto"/>
          <w:highlight w:val="none"/>
        </w:rPr>
        <w:t>〔2017〕 141</w:t>
      </w:r>
      <w:r>
        <w:rPr>
          <w:rFonts w:hint="eastAsia" w:ascii="宋体" w:hAnsi="宋体" w:eastAsia="宋体" w:cs="宋体"/>
          <w:color w:val="auto"/>
          <w:spacing w:val="6"/>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本单位对上述声明的真实性负责。如有虚假，将依法承担相应责任。</w:t>
      </w:r>
    </w:p>
    <w:p>
      <w:pPr>
        <w:spacing w:line="588" w:lineRule="exact"/>
        <w:ind w:firstLine="444" w:firstLineChars="200"/>
        <w:rPr>
          <w:rFonts w:hint="eastAsia" w:ascii="宋体" w:hAnsi="宋体" w:eastAsia="宋体" w:cs="宋体"/>
          <w:color w:val="auto"/>
          <w:spacing w:val="6"/>
          <w:highlight w:val="none"/>
        </w:rPr>
      </w:pPr>
    </w:p>
    <w:p>
      <w:pPr>
        <w:spacing w:line="588" w:lineRule="exact"/>
        <w:ind w:firstLine="444" w:firstLineChars="200"/>
        <w:rPr>
          <w:rFonts w:hint="eastAsia" w:ascii="宋体" w:hAnsi="宋体" w:eastAsia="宋体" w:cs="宋体"/>
          <w:color w:val="auto"/>
          <w:spacing w:val="6"/>
          <w:highlight w:val="none"/>
        </w:rPr>
      </w:pPr>
    </w:p>
    <w:p>
      <w:pPr>
        <w:tabs>
          <w:tab w:val="left" w:pos="4860"/>
        </w:tabs>
        <w:spacing w:line="588" w:lineRule="exact"/>
        <w:ind w:right="1560" w:firstLine="444" w:firstLineChars="20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               单位名称（盖章）：</w:t>
      </w:r>
    </w:p>
    <w:p>
      <w:pPr>
        <w:tabs>
          <w:tab w:val="left" w:pos="4860"/>
        </w:tabs>
        <w:spacing w:line="588" w:lineRule="exact"/>
        <w:ind w:right="1560" w:firstLine="444" w:firstLineChars="20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      日  期：</w:t>
      </w:r>
    </w:p>
    <w:p>
      <w:pPr>
        <w:spacing w:line="360" w:lineRule="auto"/>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p>
    <w:p>
      <w:pPr>
        <w:rPr>
          <w:rFonts w:hint="eastAsia" w:ascii="宋体" w:hAnsi="宋体" w:eastAsia="宋体" w:cs="宋体"/>
          <w:b/>
          <w:color w:val="auto"/>
          <w:highlight w:val="none"/>
        </w:rPr>
      </w:pPr>
    </w:p>
    <w:p>
      <w:pPr>
        <w:pStyle w:val="48"/>
        <w:ind w:firstLine="422"/>
        <w:rPr>
          <w:rFonts w:hint="eastAsia" w:ascii="宋体" w:hAnsi="宋体" w:eastAsia="宋体" w:cs="宋体"/>
          <w:b/>
          <w:color w:val="auto"/>
          <w:highlight w:val="none"/>
        </w:rPr>
      </w:pPr>
    </w:p>
    <w:p>
      <w:pPr>
        <w:rPr>
          <w:rFonts w:hint="eastAsia" w:ascii="宋体" w:hAnsi="宋体" w:eastAsia="宋体" w:cs="宋体"/>
          <w:color w:val="auto"/>
          <w:highlight w:val="none"/>
        </w:rPr>
        <w:sectPr>
          <w:pgSz w:w="11906" w:h="16838"/>
          <w:pgMar w:top="1474" w:right="1797" w:bottom="1247" w:left="1797" w:header="851" w:footer="851" w:gutter="0"/>
          <w:cols w:space="720" w:num="1"/>
          <w:titlePg/>
          <w:docGrid w:linePitch="312" w:charSpace="0"/>
        </w:sect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）投标人针对报价需要说明的其他文件和说明。</w:t>
      </w: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二、资格证明文件</w:t>
      </w:r>
    </w:p>
    <w:p>
      <w:pPr>
        <w:outlineLvl w:val="2"/>
        <w:rPr>
          <w:rFonts w:hint="eastAsia" w:ascii="宋体" w:hAnsi="宋体" w:eastAsia="宋体" w:cs="宋体"/>
          <w:b/>
          <w:bCs/>
          <w:color w:val="auto"/>
          <w:highlight w:val="none"/>
        </w:rPr>
      </w:pPr>
      <w:bookmarkStart w:id="245" w:name="_Toc132205205"/>
      <w:bookmarkStart w:id="246" w:name="_Toc275865606"/>
      <w:r>
        <w:rPr>
          <w:rFonts w:hint="eastAsia" w:ascii="宋体" w:hAnsi="宋体" w:eastAsia="宋体" w:cs="宋体"/>
          <w:b/>
          <w:bCs/>
          <w:color w:val="auto"/>
          <w:highlight w:val="none"/>
        </w:rPr>
        <w:t>（1）投标人的营业执照副本复印件</w:t>
      </w:r>
      <w:bookmarkEnd w:id="245"/>
    </w:p>
    <w:p>
      <w:pPr>
        <w:outlineLvl w:val="2"/>
        <w:rPr>
          <w:rFonts w:hint="eastAsia" w:ascii="宋体" w:hAnsi="宋体" w:eastAsia="宋体" w:cs="宋体"/>
          <w:b/>
          <w:bCs/>
          <w:color w:val="auto"/>
          <w:highlight w:val="none"/>
        </w:rPr>
      </w:pPr>
    </w:p>
    <w:p>
      <w:pPr>
        <w:outlineLvl w:val="2"/>
        <w:rPr>
          <w:rFonts w:hint="eastAsia" w:ascii="宋体" w:hAnsi="宋体" w:eastAsia="宋体" w:cs="宋体"/>
          <w:b/>
          <w:bCs/>
          <w:color w:val="auto"/>
          <w:highlight w:val="none"/>
        </w:rPr>
      </w:pPr>
    </w:p>
    <w:p>
      <w:pPr>
        <w:outlineLvl w:val="2"/>
        <w:rPr>
          <w:rFonts w:hint="eastAsia" w:ascii="宋体" w:hAnsi="宋体" w:eastAsia="宋体" w:cs="宋体"/>
          <w:b/>
          <w:bCs/>
          <w:color w:val="auto"/>
          <w:highlight w:val="none"/>
        </w:rPr>
      </w:pPr>
      <w:bookmarkStart w:id="247" w:name="_Toc132205206"/>
      <w:r>
        <w:rPr>
          <w:rFonts w:hint="eastAsia" w:ascii="宋体" w:hAnsi="宋体" w:eastAsia="宋体" w:cs="宋体"/>
          <w:b/>
          <w:bCs/>
          <w:color w:val="auto"/>
          <w:highlight w:val="none"/>
        </w:rPr>
        <w:t>（2）投标人资格声明函</w:t>
      </w:r>
      <w:bookmarkEnd w:id="247"/>
    </w:p>
    <w:p>
      <w:pPr>
        <w:jc w:val="center"/>
        <w:outlineLvl w:val="2"/>
        <w:rPr>
          <w:rFonts w:hint="eastAsia" w:ascii="宋体" w:hAnsi="宋体" w:eastAsia="宋体" w:cs="宋体"/>
          <w:b/>
          <w:bCs/>
          <w:color w:val="auto"/>
          <w:highlight w:val="none"/>
        </w:rPr>
      </w:pPr>
      <w:bookmarkStart w:id="248" w:name="_Toc132205207"/>
      <w:r>
        <w:rPr>
          <w:rFonts w:hint="eastAsia" w:ascii="宋体" w:hAnsi="宋体" w:eastAsia="宋体" w:cs="宋体"/>
          <w:b/>
          <w:bCs/>
          <w:color w:val="auto"/>
          <w:highlight w:val="none"/>
        </w:rPr>
        <w:t>投标人资格声明函</w:t>
      </w:r>
      <w:bookmarkEnd w:id="246"/>
      <w:bookmarkEnd w:id="248"/>
    </w:p>
    <w:p>
      <w:pPr>
        <w:rPr>
          <w:rFonts w:hint="eastAsia" w:ascii="宋体" w:hAnsi="宋体" w:eastAsia="宋体" w:cs="宋体"/>
          <w:b/>
          <w:bCs/>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宁波中基国际招标有限公司：</w:t>
      </w:r>
    </w:p>
    <w:p>
      <w:pPr>
        <w:numPr>
          <w:ilvl w:val="0"/>
          <w:numId w:val="21"/>
        </w:num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我方具备《中华人民共和国政府采购法》第二十二条规定资格条件：</w:t>
      </w:r>
    </w:p>
    <w:p>
      <w:pPr>
        <w:snapToGrid w:val="0"/>
        <w:spacing w:line="360" w:lineRule="auto"/>
        <w:ind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符合法律、行政法规规定的其他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2、我方的单位负责人与所参投的本采购项目的其他投标人的单位负责人不为同一人且与其他投标人之间不存在直接控股、管理关系。</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3、我方不是本采购项目提供整体设计、规范编制或者项目管理、监理、检测等服务的供应商。</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4、我方未被“信用中国”（www.creditchina.gov.cn)、中国政府采购网（www.ccgp.gov.cn）列入失信被执行人、重大税收违法案件当事人名单、政府采购严重违法失信行为记录名单。</w:t>
      </w:r>
    </w:p>
    <w:p>
      <w:pPr>
        <w:spacing w:line="360" w:lineRule="auto"/>
        <w:ind w:firstLine="420"/>
        <w:rPr>
          <w:rFonts w:hint="eastAsia" w:ascii="宋体" w:hAnsi="宋体" w:eastAsia="宋体" w:cs="宋体"/>
          <w:b/>
          <w:bCs/>
          <w:color w:val="auto"/>
          <w:highlight w:val="none"/>
        </w:rPr>
      </w:pPr>
      <w:r>
        <w:rPr>
          <w:rFonts w:hint="eastAsia" w:ascii="宋体" w:hAnsi="宋体" w:eastAsia="宋体" w:cs="宋体"/>
          <w:color w:val="auto"/>
          <w:highlight w:val="none"/>
        </w:rPr>
        <w:t>我方对上述声明的真实性负责。本次招标采购活动中，如有违法、违规、弄虚作假行为，所造成的损失、不良后果及法律责任，一律由我我方承担</w:t>
      </w:r>
    </w:p>
    <w:p>
      <w:pPr>
        <w:spacing w:line="360" w:lineRule="auto"/>
        <w:rPr>
          <w:rFonts w:hint="eastAsia" w:ascii="宋体" w:hAnsi="宋体" w:eastAsia="宋体" w:cs="宋体"/>
          <w:b/>
          <w:bCs/>
          <w:color w:val="auto"/>
          <w:highlight w:val="none"/>
        </w:rPr>
      </w:pPr>
    </w:p>
    <w:p>
      <w:pPr>
        <w:spacing w:line="360" w:lineRule="auto"/>
        <w:ind w:firstLine="420"/>
        <w:rPr>
          <w:rFonts w:hint="eastAsia" w:ascii="宋体" w:hAnsi="宋体" w:eastAsia="宋体" w:cs="宋体"/>
          <w:b/>
          <w:bCs/>
          <w:color w:val="auto"/>
          <w:highlight w:val="none"/>
        </w:rPr>
      </w:pPr>
      <w:r>
        <w:rPr>
          <w:rFonts w:hint="eastAsia" w:ascii="宋体" w:hAnsi="宋体" w:eastAsia="宋体" w:cs="宋体"/>
          <w:b/>
          <w:bCs/>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rPr>
        <w:t>投标人（盖章）：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日    期：</w:t>
      </w:r>
    </w:p>
    <w:p>
      <w:pPr>
        <w:spacing w:line="360" w:lineRule="auto"/>
        <w:rPr>
          <w:rFonts w:hint="eastAsia" w:ascii="宋体" w:hAnsi="宋体" w:eastAsia="宋体" w:cs="宋体"/>
          <w:color w:val="auto"/>
          <w:highlight w:val="none"/>
        </w:rPr>
      </w:pPr>
    </w:p>
    <w:p>
      <w:pPr>
        <w:pStyle w:val="2"/>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注：联合体投标的，可只由联合体牵头人盖章。</w:t>
      </w:r>
    </w:p>
    <w:p>
      <w:pPr>
        <w:spacing w:line="300" w:lineRule="auto"/>
        <w:rPr>
          <w:rFonts w:hint="eastAsia" w:ascii="宋体" w:hAnsi="宋体" w:eastAsia="宋体" w:cs="宋体"/>
          <w:b/>
          <w:bCs/>
          <w:color w:val="auto"/>
          <w:highlight w:val="none"/>
        </w:rPr>
      </w:pPr>
    </w:p>
    <w:p>
      <w:pPr>
        <w:spacing w:line="360" w:lineRule="auto"/>
        <w:rPr>
          <w:rFonts w:hint="eastAsia" w:ascii="宋体" w:hAnsi="宋体" w:eastAsia="宋体" w:cs="宋体"/>
          <w:color w:val="auto"/>
          <w:kern w:val="0"/>
          <w:highlight w:val="none"/>
        </w:rPr>
      </w:pPr>
      <w:r>
        <w:rPr>
          <w:rFonts w:hint="eastAsia" w:ascii="宋体" w:hAnsi="宋体" w:eastAsia="宋体" w:cs="宋体"/>
          <w:b/>
          <w:bCs/>
          <w:color w:val="auto"/>
          <w:highlight w:val="none"/>
        </w:rPr>
        <w:t>（3）投标人的特定条件的证明文件：</w:t>
      </w:r>
      <w:r>
        <w:rPr>
          <w:rFonts w:hint="eastAsia" w:ascii="宋体" w:hAnsi="宋体" w:eastAsia="宋体" w:cs="宋体"/>
          <w:color w:val="auto"/>
          <w:kern w:val="0"/>
          <w:highlight w:val="none"/>
        </w:rPr>
        <w:t xml:space="preserve">第二类、第三类医疗器械生产企业提供《医疗器械生产许可证》复印件、第一类医疗器械生产企业提供第一类医疗器械生产备案凭证复印件。 </w:t>
      </w:r>
    </w:p>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投标人为医疗器械经营企业的：第三类医疗器械经营企业提供《医疗器械经营许可证》复印件、第二类医疗器械经营企业提供第二类医疗器械经营备案凭证复印件。</w:t>
      </w:r>
    </w:p>
    <w:p>
      <w:pPr>
        <w:rPr>
          <w:rFonts w:hint="eastAsia" w:ascii="宋体" w:hAnsi="宋体" w:eastAsia="宋体" w:cs="宋体"/>
          <w:b/>
          <w:bCs/>
          <w:color w:val="auto"/>
          <w:highlight w:val="none"/>
        </w:rPr>
      </w:pPr>
    </w:p>
    <w:p>
      <w:pPr>
        <w:rPr>
          <w:rFonts w:hint="eastAsia" w:ascii="宋体" w:hAnsi="宋体" w:eastAsia="宋体" w:cs="宋体"/>
          <w:b/>
          <w:bCs/>
          <w:color w:val="auto"/>
          <w:kern w:val="0"/>
          <w:highlight w:val="none"/>
        </w:rPr>
      </w:pPr>
      <w:r>
        <w:rPr>
          <w:rFonts w:hint="eastAsia" w:ascii="宋体" w:hAnsi="宋体" w:eastAsia="宋体" w:cs="宋体"/>
          <w:b/>
          <w:bCs/>
          <w:color w:val="auto"/>
          <w:highlight w:val="none"/>
        </w:rPr>
        <w:t>（4）</w:t>
      </w:r>
      <w:r>
        <w:rPr>
          <w:rFonts w:hint="eastAsia" w:ascii="宋体" w:hAnsi="宋体" w:eastAsia="宋体" w:cs="宋体"/>
          <w:b/>
          <w:bCs/>
          <w:color w:val="auto"/>
          <w:kern w:val="0"/>
          <w:highlight w:val="none"/>
        </w:rPr>
        <w:t>联合投标协议书</w:t>
      </w:r>
    </w:p>
    <w:p>
      <w:pPr>
        <w:widowControl/>
        <w:adjustRightInd w:val="0"/>
        <w:spacing w:line="360" w:lineRule="auto"/>
        <w:jc w:val="left"/>
        <w:rPr>
          <w:rFonts w:hint="eastAsia" w:ascii="宋体" w:hAnsi="宋体" w:eastAsia="宋体" w:cs="宋体"/>
          <w:color w:val="auto"/>
          <w:spacing w:val="4"/>
          <w:highlight w:val="none"/>
        </w:rPr>
      </w:pPr>
    </w:p>
    <w:p>
      <w:pPr>
        <w:jc w:val="center"/>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联合投标协议书</w:t>
      </w:r>
    </w:p>
    <w:p>
      <w:pPr>
        <w:jc w:val="center"/>
        <w:rPr>
          <w:rFonts w:hint="eastAsia" w:ascii="宋体" w:hAnsi="宋体" w:eastAsia="宋体" w:cs="宋体"/>
          <w:b/>
          <w:color w:val="auto"/>
          <w:kern w:val="0"/>
          <w:highlight w:val="none"/>
        </w:rPr>
      </w:pPr>
      <w:r>
        <w:rPr>
          <w:rFonts w:hint="eastAsia" w:ascii="宋体" w:hAnsi="宋体" w:eastAsia="宋体" w:cs="宋体"/>
          <w:color w:val="auto"/>
          <w:highlight w:val="none"/>
        </w:rPr>
        <w:t>（联合体投标须提供）</w:t>
      </w:r>
    </w:p>
    <w:p>
      <w:pPr>
        <w:pStyle w:val="19"/>
        <w:overflowPunct w:val="0"/>
        <w:spacing w:before="31" w:beforeLines="10" w:line="500" w:lineRule="exact"/>
        <w:ind w:left="842" w:hanging="42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甲方：</w:t>
      </w:r>
    </w:p>
    <w:p>
      <w:pPr>
        <w:pStyle w:val="19"/>
        <w:overflowPunct w:val="0"/>
        <w:spacing w:before="31" w:beforeLines="10" w:line="500" w:lineRule="exact"/>
        <w:ind w:left="842" w:hanging="422"/>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乙方：</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各方经协商，就响应</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（招标方）组织实施的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项目（采购编号：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招标活动联合进行投标之事宜，达成如下协议：</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一、各方一致决定，以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为联合体牵头人，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为联合体成员，共同进行投标，并按照招标文件的规定分别提交资格文件。</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在本次投标过程中，联合体牵头人的法定代表人或其委托代理人根据招标文件规定及投标内容而对采购人所作的任何合法承诺，包括书面澄清及响应等均对联合投标各方产生约束力。如果中标并签订合同，则联合投标各方将共同履行对采购人所负有的全部义务并就采购合同约定的事项对采购人承担连带责任。</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三、联合投标其余各方保证对联合体牵头人为响应本次招标而提供的产品和服务提供全部质量保证及售后服务支持。</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四、本次联合投标中，甲方承担的工作和义务为：</w:t>
      </w:r>
      <w:r>
        <w:rPr>
          <w:rFonts w:hint="eastAsia" w:ascii="宋体" w:hAnsi="宋体" w:eastAsia="宋体" w:cs="宋体"/>
          <w:color w:val="auto"/>
          <w:sz w:val="21"/>
          <w:szCs w:val="21"/>
          <w:highlight w:val="none"/>
          <w:u w:val="single"/>
        </w:rPr>
        <w:t xml:space="preserve">                          </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甲方承担本项目的工作和义务占合同总金额的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乙方承担的工作和义务为：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乙方承担本项目的工作和义务占合同总金额的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五、有关本次联合投标的其他事宜：</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六、本协议提交采购人后，联合投标各方不得以任何形式对上述实质内容进行修改或撤销。</w:t>
      </w:r>
    </w:p>
    <w:p>
      <w:pPr>
        <w:pStyle w:val="19"/>
        <w:spacing w:line="500" w:lineRule="exact"/>
        <w:ind w:left="313" w:leftChars="-51"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七、本协议一式二份，签约各方各持一份。</w:t>
      </w:r>
    </w:p>
    <w:p>
      <w:pPr>
        <w:pStyle w:val="19"/>
        <w:spacing w:line="500" w:lineRule="exact"/>
        <w:ind w:left="840" w:hanging="420"/>
        <w:rPr>
          <w:rFonts w:hint="eastAsia" w:ascii="宋体" w:hAnsi="宋体" w:eastAsia="宋体" w:cs="宋体"/>
          <w:color w:val="auto"/>
          <w:sz w:val="21"/>
          <w:szCs w:val="21"/>
          <w:highlight w:val="none"/>
        </w:rPr>
      </w:pPr>
    </w:p>
    <w:p>
      <w:pPr>
        <w:pStyle w:val="19"/>
        <w:spacing w:line="360" w:lineRule="auto"/>
        <w:ind w:left="840"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甲方单位（盖章）：                             乙方单位（盖章）：           </w:t>
      </w:r>
    </w:p>
    <w:p>
      <w:pPr>
        <w:pStyle w:val="19"/>
        <w:spacing w:line="360" w:lineRule="auto"/>
        <w:ind w:left="840" w:hanging="420"/>
        <w:rPr>
          <w:rFonts w:hint="eastAsia" w:ascii="宋体" w:hAnsi="宋体" w:eastAsia="宋体" w:cs="宋体"/>
          <w:color w:val="auto"/>
          <w:sz w:val="21"/>
          <w:szCs w:val="21"/>
          <w:highlight w:val="none"/>
        </w:rPr>
      </w:pPr>
    </w:p>
    <w:p>
      <w:pPr>
        <w:pStyle w:val="19"/>
        <w:spacing w:line="360" w:lineRule="auto"/>
        <w:ind w:left="840" w:hanging="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法定代表人或其委托代理人（签字或盖章）：      法定代表人或其委托代理人（签字或盖章）：</w:t>
      </w:r>
    </w:p>
    <w:p>
      <w:pPr>
        <w:snapToGrid w:val="0"/>
        <w:spacing w:line="360" w:lineRule="auto"/>
        <w:rPr>
          <w:rFonts w:hint="eastAsia" w:ascii="宋体" w:hAnsi="宋体" w:eastAsia="宋体" w:cs="宋体"/>
          <w:color w:val="auto"/>
          <w:highlight w:val="none"/>
        </w:rPr>
      </w:pPr>
    </w:p>
    <w:p>
      <w:pPr>
        <w:snapToGrid w:val="0"/>
        <w:spacing w:line="360" w:lineRule="auto"/>
        <w:ind w:firstLine="420" w:firstLineChars="200"/>
        <w:rPr>
          <w:rFonts w:hint="eastAsia" w:ascii="宋体" w:hAnsi="宋体" w:eastAsia="宋体" w:cs="宋体"/>
          <w:color w:val="auto"/>
          <w:spacing w:val="4"/>
          <w:highlight w:val="none"/>
        </w:rPr>
      </w:pPr>
      <w:r>
        <w:rPr>
          <w:rFonts w:hint="eastAsia" w:ascii="宋体" w:hAnsi="宋体" w:eastAsia="宋体" w:cs="宋体"/>
          <w:color w:val="auto"/>
          <w:highlight w:val="none"/>
        </w:rPr>
        <w:t>日期：2023年  月   日                       日期：2023年  月   日</w:t>
      </w:r>
      <w:r>
        <w:rPr>
          <w:rFonts w:hint="eastAsia" w:ascii="宋体" w:hAnsi="宋体" w:eastAsia="宋体" w:cs="宋体"/>
          <w:color w:val="auto"/>
          <w:spacing w:val="4"/>
          <w:highlight w:val="none"/>
        </w:rPr>
        <w:br w:type="page"/>
      </w:r>
    </w:p>
    <w:p>
      <w:pPr>
        <w:rPr>
          <w:rFonts w:hint="eastAsia" w:ascii="宋体" w:hAnsi="宋体" w:eastAsia="宋体" w:cs="宋体"/>
          <w:b/>
          <w:bCs/>
          <w:color w:val="auto"/>
          <w:highlight w:val="none"/>
        </w:rPr>
      </w:pPr>
      <w:r>
        <w:rPr>
          <w:rFonts w:hint="eastAsia" w:ascii="宋体" w:hAnsi="宋体" w:eastAsia="宋体" w:cs="宋体"/>
          <w:b/>
          <w:bCs/>
          <w:color w:val="auto"/>
          <w:spacing w:val="4"/>
          <w:highlight w:val="none"/>
        </w:rPr>
        <w:t>三、</w:t>
      </w:r>
      <w:r>
        <w:rPr>
          <w:rFonts w:hint="eastAsia" w:ascii="宋体" w:hAnsi="宋体" w:eastAsia="宋体" w:cs="宋体"/>
          <w:b/>
          <w:bCs/>
          <w:color w:val="auto"/>
          <w:highlight w:val="none"/>
        </w:rPr>
        <w:t>商务技术文件</w:t>
      </w:r>
    </w:p>
    <w:p>
      <w:pPr>
        <w:snapToGrid w:val="0"/>
        <w:spacing w:before="156" w:beforeLines="50" w:after="50"/>
        <w:jc w:val="left"/>
        <w:rPr>
          <w:rFonts w:hint="eastAsia" w:ascii="宋体" w:hAnsi="宋体" w:eastAsia="宋体" w:cs="宋体"/>
          <w:color w:val="auto"/>
          <w:highlight w:val="none"/>
        </w:rPr>
      </w:pPr>
      <w:r>
        <w:rPr>
          <w:rFonts w:hint="eastAsia" w:ascii="宋体" w:hAnsi="宋体" w:eastAsia="宋体" w:cs="宋体"/>
          <w:color w:val="auto"/>
          <w:highlight w:val="none"/>
        </w:rPr>
        <w:t>（1）符合性自查表</w:t>
      </w:r>
    </w:p>
    <w:p>
      <w:pPr>
        <w:snapToGrid w:val="0"/>
        <w:spacing w:before="156" w:beforeLines="50" w:after="50"/>
        <w:jc w:val="center"/>
        <w:rPr>
          <w:rFonts w:hint="eastAsia" w:ascii="宋体" w:hAnsi="宋体" w:eastAsia="宋体" w:cs="宋体"/>
          <w:b/>
          <w:color w:val="auto"/>
          <w:kern w:val="0"/>
          <w:highlight w:val="none"/>
        </w:rPr>
      </w:pPr>
      <w:r>
        <w:rPr>
          <w:rFonts w:hint="eastAsia" w:ascii="宋体" w:hAnsi="宋体" w:eastAsia="宋体" w:cs="宋体"/>
          <w:b/>
          <w:color w:val="auto"/>
          <w:highlight w:val="none"/>
        </w:rPr>
        <w:t>符合性自查表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4313"/>
        <w:gridCol w:w="126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0"/>
                <w:highlight w:val="none"/>
              </w:rPr>
            </w:pPr>
            <w:r>
              <w:rPr>
                <w:rFonts w:hint="eastAsia" w:ascii="宋体" w:hAnsi="宋体" w:eastAsia="宋体" w:cs="宋体"/>
                <w:color w:val="auto"/>
                <w:highlight w:val="none"/>
              </w:rPr>
              <w:t>评审内容</w:t>
            </w:r>
          </w:p>
        </w:tc>
        <w:tc>
          <w:tcPr>
            <w:tcW w:w="43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采购文件要求</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自查结论</w:t>
            </w:r>
          </w:p>
        </w:tc>
        <w:tc>
          <w:tcPr>
            <w:tcW w:w="17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符合性审</w:t>
            </w:r>
          </w:p>
          <w:p>
            <w:pPr>
              <w:rPr>
                <w:rFonts w:hint="eastAsia" w:ascii="宋体" w:hAnsi="宋体" w:eastAsia="宋体" w:cs="宋体"/>
                <w:color w:val="auto"/>
                <w:highlight w:val="none"/>
              </w:rPr>
            </w:pPr>
            <w:r>
              <w:rPr>
                <w:rFonts w:hint="eastAsia" w:ascii="宋体" w:hAnsi="宋体" w:eastAsia="宋体" w:cs="宋体"/>
                <w:color w:val="auto"/>
                <w:highlight w:val="none"/>
              </w:rPr>
              <w:t>查（商务技术文件）</w:t>
            </w: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（一）按照采购文件规定要求签署或盖章；</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（二）投标文件有法定代表人签署本人姓名（或印盖本人姓名章），或签署人提供有效的法定代表人授权委托书且授权委托书填写项目齐全的；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（三）投标文件标明的响应或偏离与事实相符且无虚假投标的；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（四）投标文件的实质性内容使用中文表述且意思表述明确，前后无矛盾且使用计量单位符合采购文件要求的；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（五）带“★”的条款满足采购文件要求、已实质性响应采购文件要求且投标文件无采购人不能接受的附加条件的；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（六）投标技术方案明确，不存在一个或一个以上备选（替代）投标方案的；</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szCs w:val="24"/>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4"/>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（七）不存在法律、法规和采购文件规定的其他无效情形；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szCs w:val="24"/>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4"/>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highlight w:val="none"/>
              </w:rPr>
            </w:pPr>
          </w:p>
        </w:tc>
        <w:tc>
          <w:tcPr>
            <w:tcW w:w="4313" w:type="dxa"/>
            <w:tcBorders>
              <w:top w:val="single" w:color="auto" w:sz="4" w:space="0"/>
              <w:left w:val="single" w:color="auto" w:sz="4" w:space="0"/>
              <w:bottom w:val="single" w:color="auto" w:sz="4" w:space="0"/>
              <w:right w:val="single" w:color="auto" w:sz="4" w:space="0"/>
            </w:tcBorders>
            <w:vAlign w:val="center"/>
          </w:tcPr>
          <w:p>
            <w:pPr>
              <w:tabs>
                <w:tab w:val="left" w:pos="612"/>
              </w:tabs>
              <w:rPr>
                <w:rFonts w:hint="eastAsia" w:ascii="宋体" w:hAnsi="宋体" w:eastAsia="宋体" w:cs="宋体"/>
                <w:color w:val="auto"/>
                <w:szCs w:val="24"/>
                <w:highlight w:val="none"/>
              </w:rPr>
            </w:pPr>
            <w:r>
              <w:rPr>
                <w:rFonts w:hint="eastAsia" w:ascii="宋体" w:hAnsi="宋体" w:eastAsia="宋体" w:cs="宋体"/>
                <w:color w:val="auto"/>
                <w:highlight w:val="none"/>
              </w:rPr>
              <w:t>（八）不存在投标文件的有效期不满足采购文件要求情形；</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kern w:val="0"/>
                <w:szCs w:val="20"/>
                <w:highlight w:val="none"/>
              </w:rPr>
            </w:pPr>
            <w:r>
              <w:rPr>
                <w:rFonts w:hint="eastAsia" w:ascii="宋体" w:hAnsi="宋体" w:eastAsia="宋体" w:cs="宋体"/>
                <w:color w:val="auto"/>
                <w:highlight w:val="none"/>
              </w:rPr>
              <w:t xml:space="preserve">□通过 </w:t>
            </w:r>
          </w:p>
          <w:p>
            <w:pPr>
              <w:rPr>
                <w:rFonts w:hint="eastAsia" w:ascii="宋体" w:hAnsi="宋体" w:eastAsia="宋体" w:cs="宋体"/>
                <w:color w:val="auto"/>
                <w:szCs w:val="24"/>
                <w:highlight w:val="none"/>
              </w:rPr>
            </w:pPr>
            <w:r>
              <w:rPr>
                <w:rFonts w:hint="eastAsia" w:ascii="宋体" w:hAnsi="宋体" w:eastAsia="宋体" w:cs="宋体"/>
                <w:color w:val="auto"/>
                <w:highlight w:val="none"/>
              </w:rPr>
              <w:t>□不通过</w:t>
            </w:r>
          </w:p>
        </w:tc>
        <w:tc>
          <w:tcPr>
            <w:tcW w:w="17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Cs w:val="24"/>
                <w:highlight w:val="none"/>
              </w:rPr>
            </w:pPr>
            <w:r>
              <w:rPr>
                <w:rFonts w:hint="eastAsia" w:ascii="宋体" w:hAnsi="宋体" w:eastAsia="宋体" w:cs="宋体"/>
                <w:color w:val="auto"/>
                <w:highlight w:val="none"/>
              </w:rPr>
              <w:t>第（ ）页</w:t>
            </w:r>
          </w:p>
        </w:tc>
      </w:tr>
    </w:tbl>
    <w:p>
      <w:pPr>
        <w:snapToGrid w:val="0"/>
        <w:spacing w:before="156" w:beforeLines="50" w:after="50"/>
        <w:rPr>
          <w:rFonts w:hint="eastAsia" w:ascii="宋体" w:hAnsi="宋体" w:eastAsia="宋体" w:cs="宋体"/>
          <w:color w:val="auto"/>
          <w:highlight w:val="none"/>
        </w:rPr>
      </w:pPr>
      <w:r>
        <w:rPr>
          <w:rFonts w:hint="eastAsia" w:ascii="宋体" w:hAnsi="宋体" w:eastAsia="宋体" w:cs="宋体"/>
          <w:b/>
          <w:color w:val="auto"/>
          <w:highlight w:val="none"/>
        </w:rPr>
        <w:t>备注：供应商自查表将作为供应商有效性审查的重要内容之一，供应商必须严格按照其内容及序列要求在投标文件中对应如实提供，对符合性证明文件的任何缺漏和不符合项将会直接导致投标无效！</w:t>
      </w:r>
    </w:p>
    <w:p>
      <w:pPr>
        <w:widowControl/>
        <w:adjustRightInd w:val="0"/>
        <w:spacing w:line="360" w:lineRule="auto"/>
        <w:jc w:val="left"/>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br w:type="page"/>
      </w:r>
    </w:p>
    <w:p>
      <w:pPr>
        <w:widowControl/>
        <w:adjustRightInd w:val="0"/>
        <w:spacing w:line="360" w:lineRule="auto"/>
        <w:jc w:val="left"/>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（2）法定代表人身份证明</w:t>
      </w:r>
    </w:p>
    <w:p>
      <w:pPr>
        <w:snapToGrid w:val="0"/>
        <w:spacing w:before="156" w:beforeLines="50" w:after="50"/>
        <w:rPr>
          <w:rFonts w:hint="eastAsia" w:ascii="宋体" w:hAnsi="宋体" w:eastAsia="宋体" w:cs="宋体"/>
          <w:color w:val="auto"/>
          <w:highlight w:val="none"/>
        </w:rPr>
      </w:pPr>
    </w:p>
    <w:p>
      <w:pPr>
        <w:widowControl/>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法定代表人身份证明</w:t>
      </w:r>
    </w:p>
    <w:p>
      <w:pPr>
        <w:widowControl/>
        <w:adjustRightInd w:val="0"/>
        <w:spacing w:line="360" w:lineRule="auto"/>
        <w:jc w:val="left"/>
        <w:rPr>
          <w:rFonts w:hint="eastAsia" w:ascii="宋体" w:hAnsi="宋体" w:eastAsia="宋体" w:cs="宋体"/>
          <w:b/>
          <w:bCs/>
          <w:color w:val="auto"/>
          <w:highlight w:val="none"/>
        </w:rPr>
      </w:pP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单位名称：</w:t>
      </w:r>
      <w:r>
        <w:rPr>
          <w:rFonts w:hint="eastAsia" w:ascii="宋体" w:hAnsi="宋体" w:eastAsia="宋体" w:cs="宋体"/>
          <w:color w:val="auto"/>
          <w:highlight w:val="none"/>
          <w:u w:val="single"/>
        </w:rPr>
        <w:t xml:space="preserve">                                      </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地    址：</w:t>
      </w:r>
      <w:r>
        <w:rPr>
          <w:rFonts w:hint="eastAsia" w:ascii="宋体" w:hAnsi="宋体" w:eastAsia="宋体" w:cs="宋体"/>
          <w:color w:val="auto"/>
          <w:highlight w:val="none"/>
          <w:u w:val="single"/>
        </w:rPr>
        <w:t xml:space="preserve">                                      </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姓    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    别：</w:t>
      </w:r>
      <w:r>
        <w:rPr>
          <w:rFonts w:hint="eastAsia" w:ascii="宋体" w:hAnsi="宋体" w:eastAsia="宋体" w:cs="宋体"/>
          <w:color w:val="auto"/>
          <w:highlight w:val="none"/>
          <w:u w:val="single"/>
        </w:rPr>
        <w:t xml:space="preserve">                    </w:t>
      </w:r>
    </w:p>
    <w:p>
      <w:pPr>
        <w:widowControl/>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年    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职    务：</w:t>
      </w:r>
      <w:r>
        <w:rPr>
          <w:rFonts w:hint="eastAsia" w:ascii="宋体" w:hAnsi="宋体" w:eastAsia="宋体" w:cs="宋体"/>
          <w:color w:val="auto"/>
          <w:highlight w:val="none"/>
          <w:u w:val="single"/>
        </w:rPr>
        <w:t xml:space="preserve">                    </w:t>
      </w:r>
    </w:p>
    <w:p>
      <w:pPr>
        <w:widowControl/>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身份证号码：</w:t>
      </w:r>
      <w:r>
        <w:rPr>
          <w:rFonts w:hint="eastAsia" w:ascii="宋体" w:hAnsi="宋体" w:eastAsia="宋体" w:cs="宋体"/>
          <w:color w:val="auto"/>
          <w:highlight w:val="none"/>
          <w:u w:val="single"/>
        </w:rPr>
        <w:t xml:space="preserve">                                    </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（投标人名称）      </w:t>
      </w:r>
      <w:r>
        <w:rPr>
          <w:rFonts w:hint="eastAsia" w:ascii="宋体" w:hAnsi="宋体" w:eastAsia="宋体" w:cs="宋体"/>
          <w:color w:val="auto"/>
          <w:highlight w:val="none"/>
        </w:rPr>
        <w:t>的法定代表人，为</w:t>
      </w:r>
      <w:r>
        <w:rPr>
          <w:rFonts w:hint="eastAsia" w:ascii="宋体" w:hAnsi="宋体" w:eastAsia="宋体" w:cs="宋体"/>
          <w:color w:val="auto"/>
          <w:highlight w:val="none"/>
          <w:u w:val="single"/>
        </w:rPr>
        <w:t xml:space="preserve">     （招标编号、项目名称）   </w:t>
      </w:r>
      <w:r>
        <w:rPr>
          <w:rFonts w:hint="eastAsia" w:ascii="宋体" w:hAnsi="宋体" w:eastAsia="宋体" w:cs="宋体"/>
          <w:color w:val="auto"/>
          <w:highlight w:val="none"/>
        </w:rPr>
        <w:t>项目，签署上述项目的投标文件，进行合同谈判、签署合同和处理与之有关的一切事宜。</w:t>
      </w: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特此证明。</w:t>
      </w:r>
    </w:p>
    <w:p>
      <w:pPr>
        <w:widowControl/>
        <w:spacing w:line="360" w:lineRule="auto"/>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后附法定代表人身份证正反面复印件，加盖公章。</w:t>
      </w:r>
    </w:p>
    <w:p>
      <w:pPr>
        <w:widowControl/>
        <w:spacing w:line="360" w:lineRule="auto"/>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widowControl/>
        <w:spacing w:line="360" w:lineRule="auto"/>
        <w:rPr>
          <w:rFonts w:hint="eastAsia" w:ascii="宋体" w:hAnsi="宋体" w:eastAsia="宋体" w:cs="宋体"/>
          <w:color w:val="auto"/>
          <w:highlight w:val="none"/>
        </w:rPr>
      </w:pPr>
    </w:p>
    <w:p>
      <w:pPr>
        <w:pStyle w:val="26"/>
        <w:tabs>
          <w:tab w:val="left" w:pos="2472"/>
        </w:tabs>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投标人名称(公章):___________________        </w:t>
      </w:r>
    </w:p>
    <w:p>
      <w:pPr>
        <w:snapToGrid w:val="0"/>
        <w:spacing w:before="156" w:beforeLines="50" w:after="50"/>
        <w:rPr>
          <w:rFonts w:hint="eastAsia" w:ascii="宋体" w:hAnsi="宋体" w:eastAsia="宋体" w:cs="宋体"/>
          <w:color w:val="auto"/>
          <w:highlight w:val="none"/>
        </w:rPr>
      </w:pPr>
      <w:r>
        <w:rPr>
          <w:rFonts w:hint="eastAsia" w:ascii="宋体" w:hAnsi="宋体" w:eastAsia="宋体" w:cs="宋体"/>
          <w:color w:val="auto"/>
          <w:highlight w:val="none"/>
        </w:rPr>
        <w:t>日期:_____年___月___日</w:t>
      </w: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line="360" w:lineRule="auto"/>
        <w:jc w:val="center"/>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附：法定代表人身份证正反面复印件。</w:t>
      </w:r>
    </w:p>
    <w:p>
      <w:pPr>
        <w:snapToGrid w:val="0"/>
        <w:spacing w:before="50" w:after="156" w:afterLines="5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注：联合体投标的，可只由联合体牵头人盖章。</w:t>
      </w: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p>
    <w:p>
      <w:pPr>
        <w:snapToGrid w:val="0"/>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法定代表人授权委托书</w:t>
      </w:r>
    </w:p>
    <w:p>
      <w:pPr>
        <w:snapToGrid w:val="0"/>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（非联合体投标人适用）</w:t>
      </w:r>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b/>
          <w:bCs/>
          <w:color w:val="auto"/>
          <w:highlight w:val="none"/>
        </w:rPr>
      </w:pPr>
      <w:r>
        <w:rPr>
          <w:rFonts w:hint="eastAsia" w:ascii="宋体" w:hAnsi="宋体" w:eastAsia="宋体" w:cs="宋体"/>
          <w:color w:val="auto"/>
          <w:highlight w:val="none"/>
        </w:rPr>
        <w:t>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（采购人名称）</w:t>
      </w:r>
      <w:r>
        <w:rPr>
          <w:rFonts w:hint="eastAsia" w:ascii="宋体" w:hAnsi="宋体" w:eastAsia="宋体" w:cs="宋体"/>
          <w:b/>
          <w:bCs/>
          <w:color w:val="auto"/>
          <w:highlight w:val="none"/>
        </w:rPr>
        <w:t xml:space="preserve"> </w:t>
      </w:r>
      <w:r>
        <w:rPr>
          <w:rFonts w:hint="eastAsia" w:ascii="宋体" w:hAnsi="宋体" w:eastAsia="宋体" w:cs="宋体"/>
          <w:color w:val="auto"/>
          <w:highlight w:val="none"/>
        </w:rPr>
        <w:t>：</w:t>
      </w:r>
    </w:p>
    <w:p>
      <w:pPr>
        <w:snapToGrid w:val="0"/>
        <w:spacing w:line="360" w:lineRule="auto"/>
        <w:ind w:firstLine="630" w:firstLineChars="3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（投标人名称）的法定代表人，现授权委托本单位在职职工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（姓名）以我方的名义参加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项目的投标活动，并代表我方全权办理针对上述项目的投标、开标、评标、签约等具体事务和签署相关文件。</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我方对被授权人的签名事项负全部责任。</w:t>
      </w:r>
    </w:p>
    <w:p>
      <w:pPr>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在撤销授权的书面通知以前，本授权书一直有效。</w:t>
      </w:r>
      <w:r>
        <w:rPr>
          <w:rFonts w:hint="eastAsia" w:ascii="宋体" w:hAnsi="宋体" w:eastAsia="宋体" w:cs="宋体"/>
          <w:color w:val="auto"/>
          <w:highlight w:val="none"/>
        </w:rPr>
        <w:t>被授权人在授权书有效期内签署的所有文件不因授权的撤销而失效。</w:t>
      </w:r>
    </w:p>
    <w:p>
      <w:pPr>
        <w:snapToGrid w:val="0"/>
        <w:spacing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被授权人无转委托权，特此委托。</w:t>
      </w:r>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u w:val="single"/>
        </w:rPr>
      </w:pPr>
      <w:r>
        <w:rPr>
          <w:rFonts w:hint="eastAsia" w:ascii="宋体" w:hAnsi="宋体" w:eastAsia="宋体" w:cs="宋体"/>
          <w:color w:val="auto"/>
          <w:highlight w:val="none"/>
        </w:rPr>
        <w:t>被授权人签名或盖章：</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法定代表人签名或盖章：</w:t>
      </w:r>
      <w:r>
        <w:rPr>
          <w:rFonts w:hint="eastAsia" w:ascii="宋体" w:hAnsi="宋体" w:eastAsia="宋体" w:cs="宋体"/>
          <w:color w:val="auto"/>
          <w:highlight w:val="none"/>
          <w:u w:val="single"/>
        </w:rPr>
        <w:t xml:space="preserve">          </w:t>
      </w:r>
    </w:p>
    <w:p>
      <w:pPr>
        <w:snapToGrid w:val="0"/>
        <w:spacing w:line="360" w:lineRule="auto"/>
        <w:ind w:firstLine="840" w:firstLineChars="400"/>
        <w:rPr>
          <w:rFonts w:hint="eastAsia" w:ascii="宋体" w:hAnsi="宋体" w:eastAsia="宋体" w:cs="宋体"/>
          <w:color w:val="auto"/>
          <w:highlight w:val="none"/>
        </w:rPr>
      </w:pPr>
      <w:r>
        <w:rPr>
          <w:rFonts w:hint="eastAsia" w:ascii="宋体" w:hAnsi="宋体" w:eastAsia="宋体" w:cs="宋体"/>
          <w:color w:val="auto"/>
          <w:highlight w:val="none"/>
        </w:rPr>
        <w:t>职务：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职务：</w:t>
      </w:r>
      <w:r>
        <w:rPr>
          <w:rFonts w:hint="eastAsia" w:ascii="宋体" w:hAnsi="宋体" w:eastAsia="宋体" w:cs="宋体"/>
          <w:color w:val="auto"/>
          <w:highlight w:val="none"/>
          <w:u w:val="single"/>
        </w:rPr>
        <w:t xml:space="preserve">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被授权人身份证号码：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法定代表人身份证号码：</w:t>
      </w:r>
      <w:r>
        <w:rPr>
          <w:rFonts w:hint="eastAsia" w:ascii="宋体" w:hAnsi="宋体" w:eastAsia="宋体" w:cs="宋体"/>
          <w:color w:val="auto"/>
          <w:highlight w:val="none"/>
          <w:u w:val="single"/>
        </w:rPr>
        <w:t xml:space="preserve">                           </w:t>
      </w:r>
    </w:p>
    <w:p>
      <w:pPr>
        <w:snapToGrid w:val="0"/>
        <w:spacing w:line="360" w:lineRule="auto"/>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highlight w:val="none"/>
        </w:rPr>
      </w:pPr>
    </w:p>
    <w:p>
      <w:pPr>
        <w:pStyle w:val="26"/>
        <w:tabs>
          <w:tab w:val="left" w:pos="2472"/>
        </w:tabs>
        <w:snapToGrid w:val="0"/>
        <w:spacing w:beforeLines="0" w:afterLines="0" w:line="360" w:lineRule="auto"/>
        <w:ind w:firstLine="474"/>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投标人名称(公章):___________________</w:t>
      </w:r>
    </w:p>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日期:_____年___月___日</w:t>
      </w:r>
    </w:p>
    <w:p>
      <w:pPr>
        <w:snapToGrid w:val="0"/>
        <w:spacing w:line="360" w:lineRule="auto"/>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b/>
          <w:bCs/>
          <w:color w:val="auto"/>
          <w:highlight w:val="none"/>
        </w:rPr>
      </w:pPr>
    </w:p>
    <w:p>
      <w:pPr>
        <w:snapToGrid w:val="0"/>
        <w:spacing w:before="50" w:after="156" w:afterLines="50"/>
        <w:jc w:val="left"/>
        <w:rPr>
          <w:rFonts w:hint="eastAsia" w:ascii="宋体" w:hAnsi="宋体" w:eastAsia="宋体" w:cs="宋体"/>
          <w:b/>
          <w:bCs/>
          <w:color w:val="auto"/>
          <w:highlight w:val="none"/>
        </w:rPr>
      </w:pPr>
    </w:p>
    <w:p>
      <w:pPr>
        <w:pStyle w:val="2"/>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6"/>
        <w:spacing w:before="156" w:after="156" w:line="240" w:lineRule="auto"/>
        <w:jc w:val="center"/>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联合投标授权委托书</w:t>
      </w:r>
    </w:p>
    <w:p>
      <w:pPr>
        <w:pStyle w:val="19"/>
        <w:spacing w:line="240" w:lineRule="auto"/>
        <w:ind w:left="840" w:leftChars="400" w:firstLine="2222" w:firstLineChars="1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（联合体投标须提供）</w:t>
      </w:r>
    </w:p>
    <w:p>
      <w:pPr>
        <w:pStyle w:val="19"/>
        <w:spacing w:line="480" w:lineRule="auto"/>
        <w:ind w:left="-107" w:leftChars="-51" w:firstLine="404" w:firstLineChars="200"/>
        <w:rPr>
          <w:rFonts w:hint="eastAsia" w:ascii="宋体" w:hAnsi="宋体" w:eastAsia="宋体" w:cs="宋体"/>
          <w:color w:val="auto"/>
          <w:sz w:val="21"/>
          <w:szCs w:val="21"/>
          <w:highlight w:val="none"/>
        </w:rPr>
      </w:pP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本授权委托书声明：根据</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签订的《联合投标协议书》的内容，联合体牵头人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的法定代表人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现授权</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为联合投标委托代理人，委托代理人在投标、开标、评标、合同谈判过程中所签署的一切文件和处理与这有关的一切事务，联合投标各方均予以认可并遵守。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特此委托。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投标人（盖章）：</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法定代表人（签字或盖章）：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日期：2023年  月  日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委托代理人（签字或盖章）；</w:t>
      </w:r>
    </w:p>
    <w:p>
      <w:pPr>
        <w:pStyle w:val="19"/>
        <w:spacing w:line="480" w:lineRule="auto"/>
        <w:ind w:left="-107" w:leftChars="-51" w:firstLine="404"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日期：2023年  月  日</w:t>
      </w:r>
    </w:p>
    <w:p>
      <w:pPr>
        <w:pStyle w:val="19"/>
        <w:spacing w:line="480" w:lineRule="auto"/>
        <w:ind w:left="840" w:hanging="420"/>
        <w:rPr>
          <w:rFonts w:hint="eastAsia" w:ascii="宋体" w:hAnsi="宋体" w:eastAsia="宋体" w:cs="宋体"/>
          <w:color w:val="auto"/>
          <w:sz w:val="21"/>
          <w:szCs w:val="21"/>
          <w:highlight w:val="none"/>
        </w:rPr>
      </w:pPr>
    </w:p>
    <w:p>
      <w:pPr>
        <w:pStyle w:val="19"/>
        <w:spacing w:line="480" w:lineRule="auto"/>
        <w:ind w:firstLine="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注：联合体投标的，此委托书由联合体牵头人的法定代表人签署，并加盖联合体牵头人单位章。</w:t>
      </w: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b/>
          <w:bCs/>
          <w:color w:val="auto"/>
          <w:highlight w:val="none"/>
        </w:rPr>
      </w:pPr>
    </w:p>
    <w:p>
      <w:pPr>
        <w:snapToGrid w:val="0"/>
        <w:spacing w:before="50" w:after="156" w:afterLines="50"/>
        <w:jc w:val="left"/>
        <w:rPr>
          <w:rFonts w:hint="eastAsia" w:ascii="宋体" w:hAnsi="宋体" w:eastAsia="宋体" w:cs="宋体"/>
          <w:b/>
          <w:bCs/>
          <w:color w:val="auto"/>
          <w:highlight w:val="none"/>
        </w:rPr>
      </w:pPr>
    </w:p>
    <w:p>
      <w:pPr>
        <w:snapToGrid w:val="0"/>
        <w:spacing w:before="50" w:after="156" w:afterLines="50"/>
        <w:jc w:val="left"/>
        <w:rPr>
          <w:rFonts w:hint="eastAsia" w:ascii="宋体" w:hAnsi="宋体" w:eastAsia="宋体" w:cs="宋体"/>
          <w:b/>
          <w:bCs/>
          <w:color w:val="auto"/>
          <w:highlight w:val="none"/>
        </w:rPr>
      </w:pPr>
    </w:p>
    <w:p>
      <w:pPr>
        <w:snapToGrid w:val="0"/>
        <w:spacing w:before="50" w:after="156" w:afterLines="50"/>
        <w:jc w:val="left"/>
        <w:rPr>
          <w:rFonts w:hint="eastAsia" w:ascii="宋体" w:hAnsi="宋体" w:eastAsia="宋体" w:cs="宋体"/>
          <w:b/>
          <w:bCs/>
          <w:color w:val="auto"/>
          <w:highlight w:val="none"/>
        </w:rPr>
      </w:pPr>
    </w:p>
    <w:p>
      <w:pPr>
        <w:snapToGrid w:val="0"/>
        <w:spacing w:before="50" w:line="360" w:lineRule="auto"/>
        <w:jc w:val="left"/>
        <w:rPr>
          <w:rFonts w:hint="eastAsia" w:ascii="宋体" w:hAnsi="宋体" w:eastAsia="宋体" w:cs="宋体"/>
          <w:color w:val="auto"/>
          <w:highlight w:val="none"/>
        </w:rPr>
      </w:pPr>
      <w:r>
        <w:rPr>
          <w:rFonts w:hint="eastAsia" w:ascii="宋体" w:hAnsi="宋体" w:eastAsia="宋体" w:cs="宋体"/>
          <w:b/>
          <w:bCs/>
          <w:color w:val="auto"/>
          <w:highlight w:val="none"/>
        </w:rPr>
        <w:br w:type="page"/>
      </w:r>
      <w:r>
        <w:rPr>
          <w:rFonts w:hint="eastAsia" w:ascii="宋体" w:hAnsi="宋体" w:eastAsia="宋体" w:cs="宋体"/>
          <w:color w:val="auto"/>
          <w:highlight w:val="none"/>
        </w:rPr>
        <w:t>（3）商务条款响应（偏离）表</w:t>
      </w:r>
    </w:p>
    <w:p>
      <w:pPr>
        <w:snapToGrid w:val="0"/>
        <w:spacing w:before="50" w:line="360" w:lineRule="auto"/>
        <w:jc w:val="left"/>
        <w:rPr>
          <w:rFonts w:hint="eastAsia" w:ascii="宋体" w:hAnsi="宋体" w:eastAsia="宋体" w:cs="宋体"/>
          <w:color w:val="auto"/>
          <w:highlight w:val="none"/>
        </w:rPr>
      </w:pPr>
    </w:p>
    <w:p>
      <w:pPr>
        <w:snapToGrid w:val="0"/>
        <w:spacing w:before="50" w:line="360" w:lineRule="auto"/>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商务条款响应（偏离）表</w:t>
      </w:r>
    </w:p>
    <w:p>
      <w:pPr>
        <w:snapToGrid w:val="0"/>
        <w:spacing w:before="50" w:line="360" w:lineRule="auto"/>
        <w:jc w:val="center"/>
        <w:rPr>
          <w:rFonts w:hint="eastAsia" w:ascii="宋体" w:hAnsi="宋体" w:eastAsia="宋体" w:cs="宋体"/>
          <w:color w:val="auto"/>
          <w:highlight w:val="none"/>
        </w:rPr>
      </w:pPr>
    </w:p>
    <w:p>
      <w:pPr>
        <w:snapToGrid w:val="0"/>
        <w:spacing w:before="50" w:line="360" w:lineRule="auto"/>
        <w:jc w:val="left"/>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标项号：</w:t>
      </w:r>
      <w:r>
        <w:rPr>
          <w:rFonts w:hint="eastAsia" w:ascii="宋体" w:hAnsi="宋体" w:eastAsia="宋体" w:cs="宋体"/>
          <w:color w:val="auto"/>
          <w:highlight w:val="none"/>
          <w:u w:val="single"/>
        </w:rPr>
        <w:t xml:space="preserve">                </w:t>
      </w:r>
    </w:p>
    <w:tbl>
      <w:tblPr>
        <w:tblStyle w:val="49"/>
        <w:tblW w:w="8528" w:type="dxa"/>
        <w:tblInd w:w="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是否响应</w:t>
            </w:r>
          </w:p>
        </w:tc>
        <w:tc>
          <w:tcPr>
            <w:tcW w:w="3020" w:type="dxa"/>
            <w:tcBorders>
              <w:top w:val="single" w:color="auto" w:sz="4" w:space="0"/>
              <w:left w:val="single" w:color="auto" w:sz="4" w:space="0"/>
              <w:bottom w:val="single" w:color="auto" w:sz="4" w:space="0"/>
            </w:tcBorders>
          </w:tcPr>
          <w:p>
            <w:pPr>
              <w:snapToGrid w:val="0"/>
              <w:spacing w:before="156" w:beforeLines="50"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548" w:type="dxa"/>
            <w:tcBorders>
              <w:top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270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line="400" w:lineRule="exact"/>
              <w:rPr>
                <w:rFonts w:hint="eastAsia" w:ascii="宋体" w:hAnsi="宋体" w:eastAsia="宋体" w:cs="宋体"/>
                <w:color w:val="auto"/>
                <w:highlight w:val="none"/>
              </w:rPr>
            </w:pPr>
          </w:p>
        </w:tc>
        <w:tc>
          <w:tcPr>
            <w:tcW w:w="3020" w:type="dxa"/>
            <w:tcBorders>
              <w:top w:val="single" w:color="auto" w:sz="4" w:space="0"/>
              <w:left w:val="single" w:color="auto" w:sz="4" w:space="0"/>
              <w:bottom w:val="single" w:color="auto" w:sz="4" w:space="0"/>
            </w:tcBorders>
          </w:tcPr>
          <w:p>
            <w:pPr>
              <w:snapToGrid w:val="0"/>
              <w:spacing w:before="156" w:beforeLines="50" w:line="400" w:lineRule="exact"/>
              <w:rPr>
                <w:rFonts w:hint="eastAsia" w:ascii="宋体" w:hAnsi="宋体" w:eastAsia="宋体" w:cs="宋体"/>
                <w:color w:val="auto"/>
                <w:highlight w:val="none"/>
              </w:rPr>
            </w:pPr>
          </w:p>
        </w:tc>
      </w:tr>
    </w:tbl>
    <w:p>
      <w:pPr>
        <w:snapToGrid w:val="0"/>
        <w:spacing w:before="50"/>
        <w:rPr>
          <w:rFonts w:hint="eastAsia" w:ascii="宋体" w:hAnsi="宋体" w:eastAsia="宋体" w:cs="宋体"/>
          <w:color w:val="auto"/>
          <w:kern w:val="0"/>
          <w:highlight w:val="none"/>
        </w:rPr>
      </w:pPr>
      <w:r>
        <w:rPr>
          <w:rFonts w:hint="eastAsia" w:ascii="宋体" w:hAnsi="宋体" w:eastAsia="宋体" w:cs="宋体"/>
          <w:color w:val="auto"/>
          <w:highlight w:val="none"/>
        </w:rPr>
        <w:t>注:投标人须按第二章 招标需求</w:t>
      </w:r>
      <w:r>
        <w:rPr>
          <w:rFonts w:hint="eastAsia" w:ascii="宋体" w:hAnsi="宋体" w:eastAsia="宋体" w:cs="宋体"/>
          <w:b/>
          <w:bCs/>
          <w:color w:val="auto"/>
          <w:highlight w:val="none"/>
        </w:rPr>
        <w:t>一、商务要求中</w:t>
      </w:r>
      <w:r>
        <w:rPr>
          <w:rFonts w:hint="eastAsia" w:ascii="宋体" w:hAnsi="宋体" w:eastAsia="宋体" w:cs="宋体"/>
          <w:color w:val="auto"/>
          <w:highlight w:val="none"/>
        </w:rPr>
        <w:t>逐条填写，在说明栏如实填写“正偏离”、“无偏离”或“负偏离”。</w:t>
      </w:r>
    </w:p>
    <w:p>
      <w:pPr>
        <w:snapToGrid w:val="0"/>
        <w:spacing w:before="50"/>
        <w:jc w:val="left"/>
        <w:rPr>
          <w:rFonts w:hint="eastAsia" w:ascii="宋体" w:hAnsi="宋体" w:eastAsia="宋体" w:cs="宋体"/>
          <w:color w:val="auto"/>
          <w:highlight w:val="none"/>
        </w:rPr>
      </w:pPr>
    </w:p>
    <w:p>
      <w:pPr>
        <w:snapToGrid w:val="0"/>
        <w:spacing w:before="50"/>
        <w:jc w:val="left"/>
        <w:rPr>
          <w:rFonts w:hint="eastAsia" w:ascii="宋体" w:hAnsi="宋体" w:eastAsia="宋体" w:cs="宋体"/>
          <w:color w:val="auto"/>
          <w:highlight w:val="none"/>
        </w:rPr>
      </w:pPr>
    </w:p>
    <w:p>
      <w:pPr>
        <w:snapToGrid w:val="0"/>
        <w:spacing w:before="50"/>
        <w:jc w:val="left"/>
        <w:rPr>
          <w:rFonts w:hint="eastAsia" w:ascii="宋体" w:hAnsi="宋体" w:eastAsia="宋体" w:cs="宋体"/>
          <w:color w:val="auto"/>
          <w:highlight w:val="none"/>
        </w:rPr>
      </w:pPr>
    </w:p>
    <w:p>
      <w:pPr>
        <w:pStyle w:val="26"/>
        <w:tabs>
          <w:tab w:val="left" w:pos="2472"/>
        </w:tabs>
        <w:snapToGrid w:val="0"/>
        <w:spacing w:beforeLines="0" w:afterLines="0"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投标人名称(公章):___________________                    </w:t>
      </w:r>
    </w:p>
    <w:p>
      <w:pPr>
        <w:snapToGrid w:val="0"/>
        <w:spacing w:before="50" w:after="156" w:afterLines="50"/>
        <w:jc w:val="left"/>
        <w:rPr>
          <w:rFonts w:hint="eastAsia" w:ascii="宋体" w:hAnsi="宋体" w:eastAsia="宋体" w:cs="宋体"/>
          <w:color w:val="auto"/>
          <w:highlight w:val="none"/>
        </w:rPr>
      </w:pPr>
      <w:r>
        <w:rPr>
          <w:rFonts w:hint="eastAsia" w:ascii="宋体" w:hAnsi="宋体" w:eastAsia="宋体" w:cs="宋体"/>
          <w:color w:val="auto"/>
          <w:highlight w:val="none"/>
        </w:rPr>
        <w:t>日期:_____年___月___日</w:t>
      </w: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r>
        <w:rPr>
          <w:rFonts w:hint="eastAsia" w:ascii="宋体" w:hAnsi="宋体" w:eastAsia="宋体" w:cs="宋体"/>
          <w:b/>
          <w:bCs/>
          <w:color w:val="auto"/>
          <w:highlight w:val="none"/>
        </w:rPr>
        <w:t>注：联合体投标的，可只由联合体牵头人盖章。</w:t>
      </w:r>
    </w:p>
    <w:p>
      <w:pPr>
        <w:snapToGrid w:val="0"/>
        <w:spacing w:before="50" w:after="156" w:afterLines="50"/>
        <w:jc w:val="left"/>
        <w:rPr>
          <w:rFonts w:hint="eastAsia" w:ascii="宋体" w:hAnsi="宋体" w:eastAsia="宋体" w:cs="宋体"/>
          <w:color w:val="auto"/>
          <w:highlight w:val="none"/>
        </w:rPr>
      </w:pPr>
    </w:p>
    <w:p>
      <w:pPr>
        <w:snapToGrid w:val="0"/>
        <w:spacing w:before="50" w:after="156" w:afterLines="50"/>
        <w:jc w:val="left"/>
        <w:rPr>
          <w:rFonts w:hint="eastAsia" w:ascii="宋体" w:hAnsi="宋体" w:eastAsia="宋体" w:cs="宋体"/>
          <w:color w:val="auto"/>
          <w:highlight w:val="none"/>
        </w:rPr>
      </w:pPr>
    </w:p>
    <w:p>
      <w:pPr>
        <w:snapToGrid w:val="0"/>
        <w:spacing w:before="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br w:type="page"/>
      </w:r>
      <w:r>
        <w:rPr>
          <w:rFonts w:hint="eastAsia" w:ascii="宋体" w:hAnsi="宋体" w:eastAsia="宋体" w:cs="宋体"/>
          <w:color w:val="auto"/>
          <w:highlight w:val="none"/>
        </w:rPr>
        <w:t>（4）技术条款响应（偏离）表</w:t>
      </w:r>
    </w:p>
    <w:p>
      <w:pPr>
        <w:spacing w:line="400" w:lineRule="exact"/>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技术条款响应（偏离）表</w:t>
      </w:r>
    </w:p>
    <w:p>
      <w:pPr>
        <w:snapToGrid w:val="0"/>
        <w:spacing w:before="50" w:line="360" w:lineRule="auto"/>
        <w:jc w:val="left"/>
        <w:rPr>
          <w:rFonts w:hint="eastAsia" w:ascii="宋体" w:hAnsi="宋体" w:eastAsia="宋体" w:cs="宋体"/>
          <w:color w:val="auto"/>
          <w:highlight w:val="none"/>
          <w:u w:val="single"/>
        </w:rPr>
      </w:pPr>
      <w:r>
        <w:rPr>
          <w:rFonts w:hint="eastAsia" w:ascii="宋体" w:hAnsi="宋体" w:eastAsia="宋体" w:cs="宋体"/>
          <w:color w:val="auto"/>
          <w:highlight w:val="none"/>
        </w:rPr>
        <w:t>项目编号：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标项号：</w:t>
      </w:r>
      <w:r>
        <w:rPr>
          <w:rFonts w:hint="eastAsia" w:ascii="宋体" w:hAnsi="宋体" w:eastAsia="宋体" w:cs="宋体"/>
          <w:color w:val="auto"/>
          <w:highlight w:val="none"/>
          <w:u w:val="single"/>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360"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招标文件</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技术规格、要求</w:t>
            </w:r>
          </w:p>
        </w:tc>
        <w:tc>
          <w:tcPr>
            <w:tcW w:w="2908"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投标文件</w:t>
            </w:r>
          </w:p>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对应规格</w:t>
            </w:r>
          </w:p>
        </w:tc>
        <w:tc>
          <w:tcPr>
            <w:tcW w:w="1578" w:type="dxa"/>
            <w:vAlign w:val="center"/>
          </w:tcPr>
          <w:p>
            <w:pPr>
              <w:spacing w:line="400" w:lineRule="exact"/>
              <w:jc w:val="center"/>
              <w:rPr>
                <w:rFonts w:hint="eastAsia" w:ascii="宋体" w:hAnsi="宋体" w:eastAsia="宋体" w:cs="宋体"/>
                <w:color w:val="auto"/>
                <w:highlight w:val="none"/>
              </w:rPr>
            </w:pPr>
            <w:r>
              <w:rPr>
                <w:rFonts w:hint="eastAsia" w:ascii="宋体" w:hAnsi="宋体" w:eastAsia="宋体"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794" w:type="dxa"/>
            <w:vAlign w:val="center"/>
          </w:tcPr>
          <w:p>
            <w:pPr>
              <w:spacing w:line="400" w:lineRule="exact"/>
              <w:jc w:val="center"/>
              <w:rPr>
                <w:rFonts w:hint="eastAsia" w:ascii="宋体" w:hAnsi="宋体" w:eastAsia="宋体" w:cs="宋体"/>
                <w:color w:val="auto"/>
                <w:highlight w:val="none"/>
              </w:rPr>
            </w:pPr>
          </w:p>
        </w:tc>
        <w:tc>
          <w:tcPr>
            <w:tcW w:w="3360" w:type="dxa"/>
            <w:vAlign w:val="center"/>
          </w:tcPr>
          <w:p>
            <w:pPr>
              <w:spacing w:line="400" w:lineRule="exact"/>
              <w:jc w:val="center"/>
              <w:rPr>
                <w:rFonts w:hint="eastAsia" w:ascii="宋体" w:hAnsi="宋体" w:eastAsia="宋体" w:cs="宋体"/>
                <w:color w:val="auto"/>
                <w:highlight w:val="none"/>
              </w:rPr>
            </w:pPr>
          </w:p>
        </w:tc>
        <w:tc>
          <w:tcPr>
            <w:tcW w:w="2908" w:type="dxa"/>
            <w:vAlign w:val="center"/>
          </w:tcPr>
          <w:p>
            <w:pPr>
              <w:spacing w:line="400" w:lineRule="exact"/>
              <w:jc w:val="center"/>
              <w:rPr>
                <w:rFonts w:hint="eastAsia" w:ascii="宋体" w:hAnsi="宋体" w:eastAsia="宋体" w:cs="宋体"/>
                <w:color w:val="auto"/>
                <w:highlight w:val="none"/>
              </w:rPr>
            </w:pPr>
          </w:p>
        </w:tc>
        <w:tc>
          <w:tcPr>
            <w:tcW w:w="1578" w:type="dxa"/>
            <w:vAlign w:val="center"/>
          </w:tcPr>
          <w:p>
            <w:pPr>
              <w:spacing w:line="400" w:lineRule="exact"/>
              <w:jc w:val="center"/>
              <w:rPr>
                <w:rFonts w:hint="eastAsia" w:ascii="宋体" w:hAnsi="宋体" w:eastAsia="宋体" w:cs="宋体"/>
                <w:color w:val="auto"/>
                <w:highlight w:val="none"/>
              </w:rPr>
            </w:pPr>
          </w:p>
        </w:tc>
      </w:tr>
    </w:tbl>
    <w:p>
      <w:pPr>
        <w:snapToGrid w:val="0"/>
        <w:spacing w:before="50"/>
        <w:rPr>
          <w:rFonts w:hint="eastAsia" w:ascii="宋体" w:hAnsi="宋体" w:eastAsia="宋体" w:cs="宋体"/>
          <w:color w:val="auto"/>
          <w:kern w:val="0"/>
          <w:highlight w:val="none"/>
        </w:rPr>
      </w:pPr>
      <w:r>
        <w:rPr>
          <w:rFonts w:hint="eastAsia" w:ascii="宋体" w:hAnsi="宋体" w:eastAsia="宋体" w:cs="宋体"/>
          <w:color w:val="auto"/>
          <w:highlight w:val="none"/>
        </w:rPr>
        <w:t>注：注:投标人须按第二章 招标需求</w:t>
      </w:r>
      <w:r>
        <w:rPr>
          <w:rFonts w:hint="eastAsia" w:ascii="宋体" w:hAnsi="宋体" w:eastAsia="宋体" w:cs="宋体"/>
          <w:b/>
          <w:bCs/>
          <w:color w:val="auto"/>
          <w:highlight w:val="none"/>
        </w:rPr>
        <w:t>二、技术需求</w:t>
      </w:r>
      <w:r>
        <w:rPr>
          <w:rFonts w:hint="eastAsia" w:ascii="宋体" w:hAnsi="宋体" w:eastAsia="宋体" w:cs="宋体"/>
          <w:color w:val="auto"/>
          <w:highlight w:val="none"/>
        </w:rPr>
        <w:t>逐条填写，在说明栏如实填写“正偏离”、“无偏离”或“负偏离”。</w:t>
      </w:r>
    </w:p>
    <w:p>
      <w:pPr>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投标人（盖章）：</w:t>
      </w:r>
    </w:p>
    <w:p>
      <w:pPr>
        <w:pStyle w:val="19"/>
        <w:spacing w:line="360" w:lineRule="exact"/>
        <w:ind w:firstLine="0"/>
        <w:jc w:val="left"/>
        <w:rPr>
          <w:rFonts w:hint="eastAsia" w:ascii="宋体" w:hAnsi="宋体" w:eastAsia="宋体" w:cs="宋体"/>
          <w:color w:val="auto"/>
          <w:spacing w:val="6"/>
          <w:sz w:val="21"/>
          <w:szCs w:val="21"/>
          <w:highlight w:val="none"/>
        </w:rPr>
      </w:pPr>
      <w:r>
        <w:rPr>
          <w:rFonts w:hint="eastAsia" w:ascii="宋体" w:hAnsi="宋体" w:eastAsia="宋体" w:cs="宋体"/>
          <w:color w:val="auto"/>
          <w:sz w:val="21"/>
          <w:szCs w:val="21"/>
          <w:highlight w:val="none"/>
        </w:rPr>
        <w:t>日  期：</w:t>
      </w:r>
    </w:p>
    <w:p>
      <w:pPr>
        <w:snapToGrid w:val="0"/>
        <w:spacing w:before="50" w:after="156" w:afterLines="50"/>
        <w:jc w:val="left"/>
        <w:rPr>
          <w:rFonts w:hint="eastAsia" w:ascii="宋体" w:hAnsi="宋体" w:eastAsia="宋体" w:cs="宋体"/>
          <w:color w:val="auto"/>
          <w:highlight w:val="none"/>
        </w:rPr>
      </w:pPr>
    </w:p>
    <w:p>
      <w:pPr>
        <w:spacing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t>注：联合体投标的，可只由联合体牵头人盖章。</w:t>
      </w:r>
    </w:p>
    <w:p>
      <w:pPr>
        <w:pStyle w:val="61"/>
        <w:rPr>
          <w:rFonts w:hint="eastAsia" w:ascii="宋体" w:hAnsi="宋体" w:eastAsia="宋体" w:cs="宋体"/>
          <w:b/>
          <w:bCs/>
          <w:color w:val="auto"/>
          <w:highlight w:val="none"/>
        </w:rPr>
      </w:pPr>
    </w:p>
    <w:p>
      <w:pPr>
        <w:pStyle w:val="61"/>
        <w:rPr>
          <w:rFonts w:hint="eastAsia" w:ascii="宋体" w:hAnsi="宋体" w:eastAsia="宋体" w:cs="宋体"/>
          <w:b/>
          <w:bCs/>
          <w:color w:val="auto"/>
          <w:highlight w:val="none"/>
        </w:rPr>
      </w:pPr>
    </w:p>
    <w:p>
      <w:pPr>
        <w:pStyle w:val="61"/>
        <w:rPr>
          <w:rFonts w:hint="eastAsia" w:ascii="宋体" w:hAnsi="宋体" w:eastAsia="宋体" w:cs="宋体"/>
          <w:b/>
          <w:bCs/>
          <w:color w:val="auto"/>
          <w:highlight w:val="none"/>
        </w:rPr>
      </w:pPr>
    </w:p>
    <w:p>
      <w:pPr>
        <w:pStyle w:val="61"/>
        <w:rPr>
          <w:rFonts w:hint="eastAsia" w:ascii="宋体" w:hAnsi="宋体" w:eastAsia="宋体" w:cs="宋体"/>
          <w:b/>
          <w:bCs/>
          <w:color w:val="auto"/>
          <w:highlight w:val="none"/>
        </w:rPr>
      </w:pPr>
    </w:p>
    <w:p>
      <w:pPr>
        <w:pStyle w:val="61"/>
        <w:rPr>
          <w:rFonts w:hint="eastAsia" w:ascii="宋体" w:hAnsi="宋体" w:eastAsia="宋体" w:cs="宋体"/>
          <w:b/>
          <w:bCs/>
          <w:color w:val="auto"/>
          <w:highlight w:val="none"/>
        </w:rPr>
      </w:pP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(5)技术需求中要求提供的证明资料（加盖公章）；</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(6)供货方案；</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(7)安装与验收方案；</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(8)售后服务；</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(9)培训方案；</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(10)维修成本方案；</w:t>
      </w:r>
    </w:p>
    <w:p>
      <w:pPr>
        <w:pStyle w:val="3"/>
        <w:spacing w:line="360" w:lineRule="auto"/>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(11)投标人所投产品的节能环保产品认证证书复印件及所投产品属于“节能产品政府采购清单”中所列产品的相关证明资料或截图（如有请提供，加盖公章）；</w:t>
      </w: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snapToGrid w:val="0"/>
        <w:spacing w:after="156" w:afterLines="50" w:line="360" w:lineRule="auto"/>
        <w:jc w:val="left"/>
        <w:rPr>
          <w:rFonts w:hint="eastAsia" w:ascii="宋体" w:hAnsi="宋体" w:cs="宋体"/>
          <w:color w:val="auto"/>
          <w:highlight w:val="none"/>
        </w:rPr>
      </w:pPr>
    </w:p>
    <w:p>
      <w:pPr>
        <w:snapToGrid w:val="0"/>
        <w:spacing w:after="156" w:afterLines="50" w:line="360" w:lineRule="auto"/>
        <w:jc w:val="left"/>
        <w:rPr>
          <w:rFonts w:hint="eastAsia" w:ascii="宋体" w:hAnsi="宋体" w:cs="宋体"/>
          <w:color w:val="auto"/>
          <w:highlight w:val="none"/>
        </w:rPr>
      </w:pPr>
    </w:p>
    <w:p>
      <w:pPr>
        <w:snapToGrid w:val="0"/>
        <w:spacing w:after="156" w:afterLines="50" w:line="360" w:lineRule="auto"/>
        <w:jc w:val="left"/>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2</w:t>
      </w:r>
      <w:r>
        <w:rPr>
          <w:rFonts w:hint="eastAsia" w:ascii="宋体" w:hAnsi="宋体" w:cs="宋体"/>
          <w:color w:val="auto"/>
          <w:highlight w:val="none"/>
        </w:rPr>
        <w:t>）业绩一览表</w:t>
      </w:r>
    </w:p>
    <w:p>
      <w:pPr>
        <w:snapToGrid w:val="0"/>
        <w:spacing w:after="156" w:afterLines="50" w:line="360" w:lineRule="auto"/>
        <w:jc w:val="center"/>
        <w:rPr>
          <w:rFonts w:ascii="宋体" w:hAnsi="宋体" w:cs="宋体"/>
          <w:b/>
          <w:bCs/>
          <w:color w:val="auto"/>
          <w:highlight w:val="none"/>
        </w:rPr>
      </w:pPr>
      <w:r>
        <w:rPr>
          <w:rFonts w:hint="eastAsia" w:ascii="宋体" w:hAnsi="宋体" w:cs="宋体"/>
          <w:b/>
          <w:bCs/>
          <w:color w:val="auto"/>
          <w:highlight w:val="none"/>
        </w:rPr>
        <w:t>业绩一览表</w:t>
      </w:r>
    </w:p>
    <w:p>
      <w:pPr>
        <w:pStyle w:val="37"/>
        <w:snapToGrid w:val="0"/>
        <w:spacing w:line="360" w:lineRule="auto"/>
        <w:ind w:left="420" w:hanging="420"/>
        <w:rPr>
          <w:rFonts w:ascii="宋体" w:hAnsi="宋体" w:cs="宋体"/>
          <w:color w:val="auto"/>
          <w:sz w:val="21"/>
          <w:highlight w:val="none"/>
        </w:rPr>
      </w:pPr>
      <w:r>
        <w:rPr>
          <w:rFonts w:hint="eastAsia" w:ascii="宋体" w:hAnsi="宋体" w:cs="宋体"/>
          <w:color w:val="auto"/>
          <w:sz w:val="21"/>
          <w:highlight w:val="none"/>
        </w:rPr>
        <w:t>（投标人同类项目合同复印件）</w:t>
      </w:r>
    </w:p>
    <w:tbl>
      <w:tblPr>
        <w:tblStyle w:val="49"/>
        <w:tblW w:w="10770" w:type="dxa"/>
        <w:tblInd w:w="-1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10"/>
        <w:gridCol w:w="1950"/>
        <w:gridCol w:w="840"/>
        <w:gridCol w:w="855"/>
        <w:gridCol w:w="1245"/>
        <w:gridCol w:w="1485"/>
        <w:gridCol w:w="2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4" w:hRule="atLeast"/>
        </w:trPr>
        <w:tc>
          <w:tcPr>
            <w:tcW w:w="231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采购人名称</w:t>
            </w:r>
          </w:p>
        </w:tc>
        <w:tc>
          <w:tcPr>
            <w:tcW w:w="195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设备或项目名称</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数量（套）</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单价</w:t>
            </w:r>
          </w:p>
        </w:tc>
        <w:tc>
          <w:tcPr>
            <w:tcW w:w="124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合同</w:t>
            </w:r>
          </w:p>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金额</w:t>
            </w:r>
          </w:p>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（万元）</w:t>
            </w: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附件页码</w:t>
            </w:r>
          </w:p>
        </w:tc>
        <w:tc>
          <w:tcPr>
            <w:tcW w:w="20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采购人联系人及</w:t>
            </w:r>
          </w:p>
          <w:p>
            <w:pPr>
              <w:snapToGrid w:val="0"/>
              <w:spacing w:line="400" w:lineRule="exact"/>
              <w:jc w:val="center"/>
              <w:rPr>
                <w:rFonts w:ascii="宋体" w:hAnsi="宋体" w:cs="宋体"/>
                <w:b/>
                <w:bCs/>
                <w:color w:val="auto"/>
                <w:highlight w:val="none"/>
              </w:rPr>
            </w:pPr>
            <w:r>
              <w:rPr>
                <w:rFonts w:hint="eastAsia" w:ascii="宋体" w:hAnsi="宋体" w:cs="宋体"/>
                <w:b/>
                <w:bCs/>
                <w:color w:val="auto"/>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1" w:hRule="atLeast"/>
        </w:trPr>
        <w:tc>
          <w:tcPr>
            <w:tcW w:w="23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9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24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c>
          <w:tcPr>
            <w:tcW w:w="148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highlight w:val="none"/>
              </w:rPr>
            </w:pPr>
            <w:r>
              <w:rPr>
                <w:rFonts w:hint="eastAsia" w:ascii="宋体" w:hAnsi="宋体" w:cs="宋体"/>
                <w:b/>
                <w:bCs/>
                <w:color w:val="auto"/>
                <w:highlight w:val="none"/>
              </w:rPr>
              <w:t>合同</w:t>
            </w:r>
          </w:p>
        </w:tc>
        <w:tc>
          <w:tcPr>
            <w:tcW w:w="20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31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95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5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2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31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95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5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2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31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95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5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2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231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95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40"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85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2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14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s="宋体"/>
                <w:color w:val="auto"/>
                <w:highlight w:val="none"/>
              </w:rPr>
            </w:pPr>
          </w:p>
        </w:tc>
      </w:tr>
    </w:tbl>
    <w:p>
      <w:pPr>
        <w:pStyle w:val="15"/>
        <w:snapToGrid w:val="0"/>
        <w:rPr>
          <w:rFonts w:ascii="宋体" w:hAnsi="宋体" w:eastAsia="宋体" w:cs="宋体"/>
          <w:color w:val="auto"/>
          <w:sz w:val="21"/>
          <w:szCs w:val="21"/>
          <w:highlight w:val="none"/>
        </w:rPr>
      </w:pPr>
    </w:p>
    <w:p>
      <w:pPr>
        <w:pStyle w:val="26"/>
        <w:tabs>
          <w:tab w:val="left" w:pos="2472"/>
        </w:tabs>
        <w:snapToGrid w:val="0"/>
        <w:spacing w:beforeLines="0" w:afterLines="0" w:line="360" w:lineRule="auto"/>
        <w:jc w:val="left"/>
        <w:rPr>
          <w:rFonts w:hAnsi="宋体"/>
          <w:color w:val="auto"/>
          <w:sz w:val="21"/>
          <w:highlight w:val="none"/>
        </w:rPr>
      </w:pPr>
      <w:r>
        <w:rPr>
          <w:rFonts w:hint="eastAsia" w:hAnsi="宋体"/>
          <w:color w:val="auto"/>
          <w:sz w:val="21"/>
          <w:highlight w:val="none"/>
        </w:rPr>
        <w:t xml:space="preserve">投标人名称(公章):___________________           </w:t>
      </w:r>
    </w:p>
    <w:p>
      <w:pPr>
        <w:spacing w:line="360" w:lineRule="auto"/>
        <w:rPr>
          <w:rFonts w:ascii="宋体" w:hAnsi="宋体" w:cs="宋体"/>
          <w:color w:val="auto"/>
          <w:highlight w:val="none"/>
        </w:rPr>
      </w:pPr>
      <w:r>
        <w:rPr>
          <w:rFonts w:hint="eastAsia" w:ascii="宋体" w:hAnsi="宋体" w:cs="宋体"/>
          <w:color w:val="auto"/>
          <w:highlight w:val="none"/>
        </w:rPr>
        <w:t>日期:_____年___月___日</w:t>
      </w:r>
    </w:p>
    <w:p>
      <w:pPr>
        <w:spacing w:line="360" w:lineRule="auto"/>
        <w:rPr>
          <w:rFonts w:ascii="宋体" w:hAnsi="宋体" w:cs="宋体"/>
          <w:color w:val="auto"/>
          <w:highlight w:val="none"/>
        </w:rPr>
      </w:pPr>
    </w:p>
    <w:p>
      <w:pPr>
        <w:tabs>
          <w:tab w:val="left" w:pos="420"/>
        </w:tabs>
        <w:spacing w:line="360" w:lineRule="auto"/>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val="en-US" w:eastAsia="zh-CN"/>
        </w:rPr>
        <w:t>3</w:t>
      </w:r>
      <w:r>
        <w:rPr>
          <w:rFonts w:hint="eastAsia" w:ascii="宋体" w:hAnsi="宋体" w:cs="宋体"/>
          <w:color w:val="auto"/>
          <w:highlight w:val="none"/>
        </w:rPr>
        <w:t>)其他采购需求或评分标准所需资料。</w:t>
      </w:r>
    </w:p>
    <w:p>
      <w:pPr>
        <w:snapToGrid w:val="0"/>
        <w:spacing w:before="50" w:line="360" w:lineRule="auto"/>
        <w:jc w:val="left"/>
        <w:rPr>
          <w:rFonts w:ascii="宋体" w:hAnsi="宋体" w:cs="宋体"/>
          <w:color w:val="auto"/>
          <w:highlight w:val="none"/>
        </w:rPr>
      </w:pPr>
    </w:p>
    <w:p>
      <w:pPr>
        <w:rPr>
          <w:rFonts w:hint="eastAsia"/>
          <w:color w:val="auto"/>
          <w:highlight w:val="none"/>
          <w:lang w:val="en-US" w:eastAsia="zh-CN"/>
        </w:rPr>
      </w:pPr>
    </w:p>
    <w:sectPr>
      <w:headerReference r:id="rId7" w:type="default"/>
      <w:footerReference r:id="rId8" w:type="default"/>
      <w:pgSz w:w="11906" w:h="16838"/>
      <w:pgMar w:top="1474" w:right="1797" w:bottom="1247" w:left="1797"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汉鼎简细圆">
    <w:altName w:val="宋体"/>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PMingLiUfalt">
    <w:altName w:val="Microsoft JhengHei"/>
    <w:panose1 w:val="00000000000000000000"/>
    <w:charset w:val="88"/>
    <w:family w:val="auto"/>
    <w:pitch w:val="default"/>
    <w:sig w:usb0="00000000" w:usb1="00000000" w:usb2="00000010" w:usb3="00000000" w:csb0="00100000" w:csb1="00000000"/>
  </w:font>
  <w:font w:name="Thorndale">
    <w:altName w:val="Segoe Print"/>
    <w:panose1 w:val="00000000000000000000"/>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32"/>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I1tk5TTAQAApAMAAA4AAAAAAAAAAQAgAAAAHwEA&#10;AGRycy9lMm9Eb2MueG1sUEsFBgAAAAAGAAYAWQEAAGQFAAAAAA==&#10;">
              <v:fill on="f" focussize="0,0"/>
              <v:stroke on="f"/>
              <v:imagedata o:title=""/>
              <o:lock v:ext="edit" aspectratio="f"/>
              <v:textbox inset="0mm,0mm,0mm,0mm" style="mso-fit-shape-to-text:t;">
                <w:txbxContent>
                  <w:p>
                    <w:pPr>
                      <w:pStyle w:val="32"/>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32"/>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892576"/>
    </w:sdtPr>
    <w:sdtContent>
      <w:p>
        <w:pPr>
          <w:pStyle w:val="32"/>
          <w:jc w:val="center"/>
        </w:pPr>
        <w:r>
          <w:fldChar w:fldCharType="begin"/>
        </w:r>
        <w:r>
          <w:instrText xml:space="preserve">PAGE   \* MERGEFORMAT</w:instrText>
        </w:r>
        <w:r>
          <w:fldChar w:fldCharType="separate"/>
        </w:r>
        <w:r>
          <w:rPr>
            <w:lang w:val="zh-CN"/>
          </w:rPr>
          <w:t>30</w:t>
        </w:r>
        <w:r>
          <w:rPr>
            <w:lang w:val="zh-CN"/>
          </w:rP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10185" cy="301625"/>
                      </a:xfrm>
                      <a:prstGeom prst="rect">
                        <a:avLst/>
                      </a:prstGeom>
                      <a:noFill/>
                      <a:ln>
                        <a:noFill/>
                      </a:ln>
                      <a:effectLst/>
                    </wps:spPr>
                    <wps:txbx>
                      <w:txbxContent>
                        <w:p>
                          <w:pPr>
                            <w:snapToGrid w:val="0"/>
                            <w:rPr>
                              <w:sz w:val="18"/>
                              <w:szCs w:val="18"/>
                            </w:rPr>
                          </w:pPr>
                          <w:r>
                            <w:fldChar w:fldCharType="begin"/>
                          </w:r>
                          <w:r>
                            <w:instrText xml:space="preserve"> PAGE  \* MERGEFORMAT </w:instrText>
                          </w:r>
                          <w:r>
                            <w:fldChar w:fldCharType="separate"/>
                          </w:r>
                          <w:r>
                            <w:rPr>
                              <w:sz w:val="18"/>
                              <w:szCs w:val="18"/>
                            </w:rPr>
                            <w:t>34</w:t>
                          </w:r>
                          <w:r>
                            <w:rPr>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top:-13.4pt;height:23.75pt;width:16.55pt;mso-position-horizontal:center;mso-position-horizontal-relative:margin;z-index:251660288;mso-width-relative:page;mso-height-relative:page;" filled="f" stroked="f" coordsize="21600,21600" o:gfxdata="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X01C1gAAAAYBAAAPAAAAAAAAAAEAIAAAACIAAABkcnMvZG93bnJldi54bWxQSwEC&#10;FAAUAAAACACHTuJANTcWu70BAAB/AwAADgAAAAAAAAABACAAAAAlAQAAZHJzL2Uyb0RvYy54bWxQ&#10;SwUGAAAAAAYABgBZAQAAVAUAAAAA&#10;">
              <v:fill on="f" focussize="0,0"/>
              <v:stroke on="f"/>
              <v:imagedata o:title=""/>
              <o:lock v:ext="edit" aspectratio="f"/>
              <v:textbox inset="0mm,0mm,0mm,0mm">
                <w:txbxContent>
                  <w:p>
                    <w:pPr>
                      <w:snapToGrid w:val="0"/>
                      <w:rPr>
                        <w:sz w:val="18"/>
                        <w:szCs w:val="18"/>
                      </w:rPr>
                    </w:pPr>
                    <w:r>
                      <w:fldChar w:fldCharType="begin"/>
                    </w:r>
                    <w:r>
                      <w:instrText xml:space="preserve"> PAGE  \* MERGEFORMAT </w:instrText>
                    </w:r>
                    <w:r>
                      <w:fldChar w:fldCharType="separate"/>
                    </w:r>
                    <w:r>
                      <w:rPr>
                        <w:sz w:val="18"/>
                        <w:szCs w:val="18"/>
                      </w:rPr>
                      <w:t>34</w:t>
                    </w:r>
                    <w:r>
                      <w:rPr>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360" w:firstLine="360"/>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a:effectLst/>
                    </wps:spPr>
                    <wps:txbx>
                      <w:txbxContent>
                        <w:p>
                          <w:pPr>
                            <w:pStyle w:val="32"/>
                            <w:rPr>
                              <w:rStyle w:val="54"/>
                              <w:rFonts w:cs="Times New Roman"/>
                            </w:rPr>
                          </w:pPr>
                          <w:r>
                            <w:rPr>
                              <w:rStyle w:val="54"/>
                            </w:rPr>
                            <w:fldChar w:fldCharType="begin"/>
                          </w:r>
                          <w:r>
                            <w:rPr>
                              <w:rStyle w:val="54"/>
                            </w:rPr>
                            <w:instrText xml:space="preserve">PAGE  </w:instrText>
                          </w:r>
                          <w:r>
                            <w:rPr>
                              <w:rStyle w:val="54"/>
                            </w:rPr>
                            <w:fldChar w:fldCharType="separate"/>
                          </w:r>
                          <w:r>
                            <w:rPr>
                              <w:rStyle w:val="54"/>
                            </w:rPr>
                            <w:t>50</w:t>
                          </w:r>
                          <w:r>
                            <w:rPr>
                              <w:rStyle w:val="5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GSup9DTAQAApQMAAA4AAAAAAAAAAQAgAAAAHwEA&#10;AGRycy9lMm9Eb2MueG1sUEsFBgAAAAAGAAYAWQEAAGQFAAAAAA==&#10;">
              <v:fill on="f" focussize="0,0"/>
              <v:stroke on="f"/>
              <v:imagedata o:title=""/>
              <o:lock v:ext="edit" aspectratio="f"/>
              <v:textbox inset="0mm,0mm,0mm,0mm" style="mso-fit-shape-to-text:t;">
                <w:txbxContent>
                  <w:p>
                    <w:pPr>
                      <w:pStyle w:val="32"/>
                      <w:rPr>
                        <w:rStyle w:val="54"/>
                        <w:rFonts w:cs="Times New Roman"/>
                      </w:rPr>
                    </w:pPr>
                    <w:r>
                      <w:rPr>
                        <w:rStyle w:val="54"/>
                      </w:rPr>
                      <w:fldChar w:fldCharType="begin"/>
                    </w:r>
                    <w:r>
                      <w:rPr>
                        <w:rStyle w:val="54"/>
                      </w:rPr>
                      <w:instrText xml:space="preserve">PAGE  </w:instrText>
                    </w:r>
                    <w:r>
                      <w:rPr>
                        <w:rStyle w:val="54"/>
                      </w:rPr>
                      <w:fldChar w:fldCharType="separate"/>
                    </w:r>
                    <w:r>
                      <w:rPr>
                        <w:rStyle w:val="54"/>
                      </w:rPr>
                      <w:t>50</w:t>
                    </w:r>
                    <w:r>
                      <w:rPr>
                        <w:rStyle w:val="5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D94C6"/>
    <w:multiLevelType w:val="singleLevel"/>
    <w:tmpl w:val="9A8D94C6"/>
    <w:lvl w:ilvl="0" w:tentative="0">
      <w:start w:val="1"/>
      <w:numFmt w:val="decimal"/>
      <w:lvlText w:val="(%1)"/>
      <w:lvlJc w:val="left"/>
      <w:pPr>
        <w:tabs>
          <w:tab w:val="left" w:pos="840"/>
        </w:tabs>
        <w:ind w:left="845" w:hanging="425"/>
      </w:pPr>
      <w:rPr>
        <w:rFonts w:hint="default"/>
      </w:rPr>
    </w:lvl>
  </w:abstractNum>
  <w:abstractNum w:abstractNumId="1">
    <w:nsid w:val="9B433D0B"/>
    <w:multiLevelType w:val="singleLevel"/>
    <w:tmpl w:val="9B433D0B"/>
    <w:lvl w:ilvl="0" w:tentative="0">
      <w:start w:val="4"/>
      <w:numFmt w:val="decimal"/>
      <w:lvlText w:val="(%1)"/>
      <w:lvlJc w:val="left"/>
      <w:pPr>
        <w:tabs>
          <w:tab w:val="left" w:pos="0"/>
        </w:tabs>
        <w:ind w:left="5" w:hanging="425"/>
      </w:pPr>
      <w:rPr>
        <w:rFonts w:hint="default"/>
      </w:rPr>
    </w:lvl>
  </w:abstractNum>
  <w:abstractNum w:abstractNumId="2">
    <w:nsid w:val="A0400E02"/>
    <w:multiLevelType w:val="singleLevel"/>
    <w:tmpl w:val="A0400E02"/>
    <w:lvl w:ilvl="0" w:tentative="0">
      <w:start w:val="3"/>
      <w:numFmt w:val="decimal"/>
      <w:lvlText w:val="(%1)"/>
      <w:lvlJc w:val="left"/>
      <w:pPr>
        <w:tabs>
          <w:tab w:val="left" w:pos="840"/>
        </w:tabs>
        <w:ind w:left="845" w:hanging="425"/>
      </w:pPr>
      <w:rPr>
        <w:rFonts w:hint="default"/>
      </w:rPr>
    </w:lvl>
  </w:abstractNum>
  <w:abstractNum w:abstractNumId="3">
    <w:nsid w:val="A3E5DC1E"/>
    <w:multiLevelType w:val="singleLevel"/>
    <w:tmpl w:val="A3E5DC1E"/>
    <w:lvl w:ilvl="0" w:tentative="0">
      <w:start w:val="1"/>
      <w:numFmt w:val="chineseCounting"/>
      <w:suff w:val="nothing"/>
      <w:lvlText w:val="%1、"/>
      <w:lvlJc w:val="left"/>
      <w:rPr>
        <w:rFonts w:hint="eastAsia"/>
        <w:b/>
        <w:bCs/>
      </w:rPr>
    </w:lvl>
  </w:abstractNum>
  <w:abstractNum w:abstractNumId="4">
    <w:nsid w:val="D06125BE"/>
    <w:multiLevelType w:val="singleLevel"/>
    <w:tmpl w:val="D06125BE"/>
    <w:lvl w:ilvl="0" w:tentative="0">
      <w:start w:val="1"/>
      <w:numFmt w:val="decimal"/>
      <w:lvlText w:val="(%1)"/>
      <w:lvlJc w:val="left"/>
      <w:pPr>
        <w:ind w:left="851" w:hanging="425"/>
      </w:pPr>
      <w:rPr>
        <w:rFonts w:hint="default"/>
      </w:rPr>
    </w:lvl>
  </w:abstractNum>
  <w:abstractNum w:abstractNumId="5">
    <w:nsid w:val="FFFFFF7E"/>
    <w:multiLevelType w:val="singleLevel"/>
    <w:tmpl w:val="FFFFFF7E"/>
    <w:lvl w:ilvl="0" w:tentative="0">
      <w:start w:val="1"/>
      <w:numFmt w:val="decimal"/>
      <w:lvlText w:val="%1."/>
      <w:lvlJc w:val="left"/>
      <w:pPr>
        <w:tabs>
          <w:tab w:val="left" w:pos="1200"/>
        </w:tabs>
        <w:ind w:left="1200" w:hanging="360"/>
      </w:pPr>
    </w:lvl>
  </w:abstractNum>
  <w:abstractNum w:abstractNumId="6">
    <w:nsid w:val="00000003"/>
    <w:multiLevelType w:val="multilevel"/>
    <w:tmpl w:val="00000003"/>
    <w:lvl w:ilvl="0" w:tentative="0">
      <w:start w:val="2"/>
      <w:numFmt w:val="decimal"/>
      <w:suff w:val="nothing"/>
      <w:lvlText w:val="（%1）"/>
      <w:lvlJc w:val="left"/>
    </w:lvl>
    <w:lvl w:ilvl="1" w:tentative="0">
      <w:start w:val="1"/>
      <w:numFmt w:val="lowerLetter"/>
      <w:lvlText w:val="%1)"/>
      <w:lvlJc w:val="left"/>
      <w:pPr>
        <w:tabs>
          <w:tab w:val="left" w:pos="840"/>
        </w:tabs>
        <w:ind w:left="840" w:hanging="420"/>
        <w:textAlignment w:val="baseline"/>
      </w:pPr>
    </w:lvl>
    <w:lvl w:ilvl="2" w:tentative="0">
      <w:start w:val="1"/>
      <w:numFmt w:val="lowerRoman"/>
      <w:lvlText w:val="%1."/>
      <w:lvlJc w:val="right"/>
      <w:pPr>
        <w:tabs>
          <w:tab w:val="left" w:pos="1260"/>
        </w:tabs>
        <w:ind w:left="1260" w:hanging="420"/>
        <w:textAlignment w:val="baseline"/>
      </w:pPr>
    </w:lvl>
    <w:lvl w:ilvl="3" w:tentative="0">
      <w:start w:val="1"/>
      <w:numFmt w:val="decimal"/>
      <w:lvlText w:val="%1."/>
      <w:lvlJc w:val="left"/>
      <w:pPr>
        <w:tabs>
          <w:tab w:val="left" w:pos="1680"/>
        </w:tabs>
        <w:ind w:left="1680" w:hanging="420"/>
        <w:textAlignment w:val="baseline"/>
      </w:pPr>
    </w:lvl>
    <w:lvl w:ilvl="4" w:tentative="0">
      <w:start w:val="1"/>
      <w:numFmt w:val="lowerLetter"/>
      <w:lvlText w:val="%1)"/>
      <w:lvlJc w:val="left"/>
      <w:pPr>
        <w:tabs>
          <w:tab w:val="left" w:pos="2100"/>
        </w:tabs>
        <w:ind w:left="2100" w:hanging="420"/>
        <w:textAlignment w:val="baseline"/>
      </w:pPr>
    </w:lvl>
    <w:lvl w:ilvl="5" w:tentative="0">
      <w:start w:val="1"/>
      <w:numFmt w:val="lowerRoman"/>
      <w:lvlText w:val="%1."/>
      <w:lvlJc w:val="right"/>
      <w:pPr>
        <w:tabs>
          <w:tab w:val="left" w:pos="2520"/>
        </w:tabs>
        <w:ind w:left="2520" w:hanging="420"/>
        <w:textAlignment w:val="baseline"/>
      </w:pPr>
    </w:lvl>
    <w:lvl w:ilvl="6" w:tentative="0">
      <w:start w:val="1"/>
      <w:numFmt w:val="decimal"/>
      <w:lvlText w:val="%1."/>
      <w:lvlJc w:val="left"/>
      <w:pPr>
        <w:tabs>
          <w:tab w:val="left" w:pos="2940"/>
        </w:tabs>
        <w:ind w:left="2940" w:hanging="420"/>
        <w:textAlignment w:val="baseline"/>
      </w:pPr>
    </w:lvl>
    <w:lvl w:ilvl="7" w:tentative="0">
      <w:start w:val="1"/>
      <w:numFmt w:val="lowerLetter"/>
      <w:lvlText w:val="%1)"/>
      <w:lvlJc w:val="left"/>
      <w:pPr>
        <w:tabs>
          <w:tab w:val="left" w:pos="3360"/>
        </w:tabs>
        <w:ind w:left="3360" w:hanging="420"/>
        <w:textAlignment w:val="baseline"/>
      </w:pPr>
    </w:lvl>
    <w:lvl w:ilvl="8" w:tentative="0">
      <w:start w:val="1"/>
      <w:numFmt w:val="lowerRoman"/>
      <w:lvlText w:val="%1."/>
      <w:lvlJc w:val="right"/>
      <w:pPr>
        <w:tabs>
          <w:tab w:val="left" w:pos="3780"/>
        </w:tabs>
        <w:ind w:left="3780" w:hanging="420"/>
        <w:textAlignment w:val="baseline"/>
      </w:pPr>
    </w:lvl>
  </w:abstractNum>
  <w:abstractNum w:abstractNumId="7">
    <w:nsid w:val="00000005"/>
    <w:multiLevelType w:val="multilevel"/>
    <w:tmpl w:val="00000005"/>
    <w:lvl w:ilvl="0" w:tentative="0">
      <w:start w:val="1"/>
      <w:numFmt w:val="japaneseCounting"/>
      <w:pStyle w:val="62"/>
      <w:lvlText w:val="第%1章"/>
      <w:lvlJc w:val="left"/>
      <w:pPr>
        <w:tabs>
          <w:tab w:val="left" w:pos="1200"/>
        </w:tabs>
        <w:ind w:left="1200" w:hanging="12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7"/>
      <w:lvlText w:val="%5)"/>
      <w:lvlJc w:val="left"/>
      <w:pPr>
        <w:tabs>
          <w:tab w:val="left" w:pos="2100"/>
        </w:tabs>
        <w:ind w:left="2100" w:hanging="420"/>
      </w:pPr>
    </w:lvl>
    <w:lvl w:ilvl="5" w:tentative="0">
      <w:start w:val="1"/>
      <w:numFmt w:val="lowerRoman"/>
      <w:pStyle w:val="9"/>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8">
    <w:nsid w:val="00000007"/>
    <w:multiLevelType w:val="singleLevel"/>
    <w:tmpl w:val="00000007"/>
    <w:lvl w:ilvl="0" w:tentative="0">
      <w:start w:val="1"/>
      <w:numFmt w:val="chineseCounting"/>
      <w:pStyle w:val="330"/>
      <w:suff w:val="nothing"/>
      <w:lvlText w:val="%1、"/>
      <w:lvlJc w:val="left"/>
    </w:lvl>
  </w:abstractNum>
  <w:abstractNum w:abstractNumId="9">
    <w:nsid w:val="0000000D"/>
    <w:multiLevelType w:val="singleLevel"/>
    <w:tmpl w:val="0000000D"/>
    <w:lvl w:ilvl="0" w:tentative="0">
      <w:start w:val="1"/>
      <w:numFmt w:val="decimal"/>
      <w:lvlText w:val="%1."/>
      <w:lvlJc w:val="left"/>
      <w:pPr>
        <w:tabs>
          <w:tab w:val="left" w:pos="1200"/>
        </w:tabs>
        <w:ind w:left="1200" w:hanging="360"/>
      </w:pPr>
    </w:lvl>
  </w:abstractNum>
  <w:abstractNum w:abstractNumId="10">
    <w:nsid w:val="00000015"/>
    <w:multiLevelType w:val="singleLevel"/>
    <w:tmpl w:val="00000015"/>
    <w:lvl w:ilvl="0" w:tentative="0">
      <w:start w:val="2"/>
      <w:numFmt w:val="decimal"/>
      <w:suff w:val="nothing"/>
      <w:lvlText w:val="%1、"/>
      <w:lvlJc w:val="left"/>
    </w:lvl>
  </w:abstractNum>
  <w:abstractNum w:abstractNumId="11">
    <w:nsid w:val="0000001F"/>
    <w:multiLevelType w:val="multilevel"/>
    <w:tmpl w:val="0000001F"/>
    <w:lvl w:ilvl="0" w:tentative="0">
      <w:start w:val="1"/>
      <w:numFmt w:val="decimal"/>
      <w:pStyle w:val="159"/>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485011F"/>
    <w:multiLevelType w:val="singleLevel"/>
    <w:tmpl w:val="0485011F"/>
    <w:lvl w:ilvl="0" w:tentative="0">
      <w:start w:val="1"/>
      <w:numFmt w:val="decimal"/>
      <w:lvlText w:val="(%1)"/>
      <w:lvlJc w:val="left"/>
      <w:pPr>
        <w:ind w:left="851" w:hanging="425"/>
      </w:pPr>
      <w:rPr>
        <w:rFonts w:hint="default"/>
      </w:rPr>
    </w:lvl>
  </w:abstractNum>
  <w:abstractNum w:abstractNumId="13">
    <w:nsid w:val="0E5A4BA2"/>
    <w:multiLevelType w:val="multilevel"/>
    <w:tmpl w:val="0E5A4BA2"/>
    <w:lvl w:ilvl="0" w:tentative="0">
      <w:start w:val="1"/>
      <w:numFmt w:val="chineseCountingThousand"/>
      <w:pStyle w:val="153"/>
      <w:lvlText w:val="第%1章"/>
      <w:lvlJc w:val="left"/>
      <w:pPr>
        <w:ind w:left="425" w:hanging="425"/>
      </w:pPr>
      <w:rPr>
        <w:rFonts w:hint="eastAsia"/>
        <w:sz w:val="36"/>
        <w:szCs w:val="36"/>
      </w:rPr>
    </w:lvl>
    <w:lvl w:ilvl="1" w:tentative="0">
      <w:start w:val="1"/>
      <w:numFmt w:val="decimal"/>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pStyle w:val="260"/>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4">
    <w:nsid w:val="113ACB04"/>
    <w:multiLevelType w:val="singleLevel"/>
    <w:tmpl w:val="113ACB04"/>
    <w:lvl w:ilvl="0" w:tentative="0">
      <w:start w:val="3"/>
      <w:numFmt w:val="chineseCounting"/>
      <w:suff w:val="space"/>
      <w:lvlText w:val="第%1章"/>
      <w:lvlJc w:val="left"/>
      <w:rPr>
        <w:rFonts w:hint="eastAsia"/>
      </w:rPr>
    </w:lvl>
  </w:abstractNum>
  <w:abstractNum w:abstractNumId="15">
    <w:nsid w:val="22926F30"/>
    <w:multiLevelType w:val="multilevel"/>
    <w:tmpl w:val="22926F30"/>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9D120CC"/>
    <w:multiLevelType w:val="singleLevel"/>
    <w:tmpl w:val="29D120CC"/>
    <w:lvl w:ilvl="0" w:tentative="0">
      <w:start w:val="1"/>
      <w:numFmt w:val="decimal"/>
      <w:suff w:val="nothing"/>
      <w:lvlText w:val="（%1）"/>
      <w:lvlJc w:val="left"/>
    </w:lvl>
  </w:abstractNum>
  <w:abstractNum w:abstractNumId="17">
    <w:nsid w:val="2C5917C3"/>
    <w:multiLevelType w:val="multilevel"/>
    <w:tmpl w:val="2C5917C3"/>
    <w:lvl w:ilvl="0" w:tentative="0">
      <w:start w:val="1"/>
      <w:numFmt w:val="none"/>
      <w:suff w:val="nothing"/>
      <w:lvlText w:val="%1——"/>
      <w:lvlJc w:val="left"/>
      <w:pPr>
        <w:ind w:left="2393" w:hanging="408"/>
      </w:pPr>
    </w:lvl>
    <w:lvl w:ilvl="1" w:tentative="0">
      <w:start w:val="1"/>
      <w:numFmt w:val="bullet"/>
      <w:pStyle w:val="241"/>
      <w:lvlText w:val=""/>
      <w:lvlJc w:val="left"/>
      <w:pPr>
        <w:tabs>
          <w:tab w:val="left" w:pos="760"/>
        </w:tabs>
        <w:ind w:left="1264" w:hanging="413"/>
      </w:pPr>
      <w:rPr>
        <w:rFonts w:hint="default" w:ascii="Symbol" w:hAnsi="Symbol" w:cs="Symbol"/>
        <w:color w:val="auto"/>
      </w:rPr>
    </w:lvl>
    <w:lvl w:ilvl="2" w:tentative="0">
      <w:start w:val="1"/>
      <w:numFmt w:val="bullet"/>
      <w:pStyle w:val="216"/>
      <w:lvlText w:val=""/>
      <w:lvlJc w:val="left"/>
      <w:pPr>
        <w:tabs>
          <w:tab w:val="left" w:pos="1678"/>
        </w:tabs>
        <w:ind w:left="1678" w:hanging="414"/>
      </w:pPr>
      <w:rPr>
        <w:rFonts w:hint="default" w:ascii="Symbol" w:hAnsi="Symbol" w:cs="Symbol"/>
        <w:color w:val="auto"/>
      </w:rPr>
    </w:lvl>
    <w:lvl w:ilvl="3" w:tentative="0">
      <w:start w:val="1"/>
      <w:numFmt w:val="decimal"/>
      <w:lvlText w:val="%4."/>
      <w:lvlJc w:val="left"/>
      <w:pPr>
        <w:tabs>
          <w:tab w:val="left" w:pos="2071"/>
        </w:tabs>
        <w:ind w:left="1884" w:hanging="528"/>
      </w:pPr>
    </w:lvl>
    <w:lvl w:ilvl="4" w:tentative="0">
      <w:start w:val="1"/>
      <w:numFmt w:val="lowerLetter"/>
      <w:lvlText w:val="%5)"/>
      <w:lvlJc w:val="left"/>
      <w:pPr>
        <w:tabs>
          <w:tab w:val="left" w:pos="2383"/>
        </w:tabs>
        <w:ind w:left="2196" w:hanging="528"/>
      </w:pPr>
    </w:lvl>
    <w:lvl w:ilvl="5" w:tentative="0">
      <w:start w:val="1"/>
      <w:numFmt w:val="lowerRoman"/>
      <w:lvlText w:val="%6."/>
      <w:lvlJc w:val="right"/>
      <w:pPr>
        <w:tabs>
          <w:tab w:val="left" w:pos="2695"/>
        </w:tabs>
        <w:ind w:left="2508" w:hanging="528"/>
      </w:pPr>
    </w:lvl>
    <w:lvl w:ilvl="6" w:tentative="0">
      <w:start w:val="1"/>
      <w:numFmt w:val="decimal"/>
      <w:lvlText w:val="%7."/>
      <w:lvlJc w:val="left"/>
      <w:pPr>
        <w:tabs>
          <w:tab w:val="left" w:pos="3007"/>
        </w:tabs>
        <w:ind w:left="2820" w:hanging="528"/>
      </w:pPr>
    </w:lvl>
    <w:lvl w:ilvl="7" w:tentative="0">
      <w:start w:val="1"/>
      <w:numFmt w:val="lowerLetter"/>
      <w:lvlText w:val="%8)"/>
      <w:lvlJc w:val="left"/>
      <w:pPr>
        <w:tabs>
          <w:tab w:val="left" w:pos="3319"/>
        </w:tabs>
        <w:ind w:left="3132" w:hanging="528"/>
      </w:pPr>
    </w:lvl>
    <w:lvl w:ilvl="8" w:tentative="0">
      <w:start w:val="1"/>
      <w:numFmt w:val="lowerRoman"/>
      <w:lvlText w:val="%9."/>
      <w:lvlJc w:val="right"/>
      <w:pPr>
        <w:tabs>
          <w:tab w:val="left" w:pos="3631"/>
        </w:tabs>
        <w:ind w:left="3444" w:hanging="528"/>
      </w:pPr>
    </w:lvl>
  </w:abstractNum>
  <w:abstractNum w:abstractNumId="18">
    <w:nsid w:val="47F0F1C7"/>
    <w:multiLevelType w:val="singleLevel"/>
    <w:tmpl w:val="47F0F1C7"/>
    <w:lvl w:ilvl="0" w:tentative="0">
      <w:start w:val="5"/>
      <w:numFmt w:val="decimal"/>
      <w:suff w:val="nothing"/>
      <w:lvlText w:val="（%1）"/>
      <w:lvlJc w:val="left"/>
      <w:rPr>
        <w:rFonts w:hint="default" w:ascii="宋体" w:hAnsi="宋体" w:eastAsia="宋体" w:cs="宋体"/>
      </w:rPr>
    </w:lvl>
  </w:abstractNum>
  <w:abstractNum w:abstractNumId="19">
    <w:nsid w:val="49D5323B"/>
    <w:multiLevelType w:val="multilevel"/>
    <w:tmpl w:val="49D5323B"/>
    <w:lvl w:ilvl="0" w:tentative="0">
      <w:start w:val="1"/>
      <w:numFmt w:val="upperLetter"/>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567CFDD7"/>
    <w:multiLevelType w:val="singleLevel"/>
    <w:tmpl w:val="567CFDD7"/>
    <w:lvl w:ilvl="0" w:tentative="0">
      <w:start w:val="1"/>
      <w:numFmt w:val="decimal"/>
      <w:suff w:val="nothing"/>
      <w:lvlText w:val="%1、"/>
      <w:lvlJc w:val="left"/>
    </w:lvl>
  </w:abstractNum>
  <w:num w:numId="1">
    <w:abstractNumId w:val="7"/>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9"/>
  </w:num>
  <w:num w:numId="7">
    <w:abstractNumId w:val="8"/>
  </w:num>
  <w:num w:numId="8">
    <w:abstractNumId w:val="3"/>
  </w:num>
  <w:num w:numId="9">
    <w:abstractNumId w:val="14"/>
  </w:num>
  <w:num w:numId="10">
    <w:abstractNumId w:val="4"/>
  </w:num>
  <w:num w:numId="11">
    <w:abstractNumId w:val="12"/>
  </w:num>
  <w:num w:numId="12">
    <w:abstractNumId w:val="2"/>
  </w:num>
  <w:num w:numId="13">
    <w:abstractNumId w:val="1"/>
  </w:num>
  <w:num w:numId="14">
    <w:abstractNumId w:val="0"/>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ì?????????¡ì?¡ì?"/>
    <w:docVar w:name="commondata" w:val="eyJoZGlkIjoiNWM2ZDA5ODkwMzRlMGQ1YTk4ZmI3ZDIxNDgyMjBmMjUifQ=="/>
    <w:docVar w:name="CurUserName" w:val="??¡ì??? ???¡ì??? 1???????¡ì?????¡ì????¡ì???H1h1Level 1 Topic HeadingH11H12H111H13H1... Char"/>
    <w:docVar w:name="DeleteMarces" w:val="?¡ì?????????¡ì?¡ì???~????b ?~??????¡§????"/>
    <w:docVar w:name="DocName" w:val="w:rsidR"/>
    <w:docVar w:name="OldInfo" w:val="??????"/>
  </w:docVars>
  <w:rsids>
    <w:rsidRoot w:val="00172A27"/>
    <w:rsid w:val="000049CD"/>
    <w:rsid w:val="00005E47"/>
    <w:rsid w:val="00010A2C"/>
    <w:rsid w:val="000112D8"/>
    <w:rsid w:val="00015B7B"/>
    <w:rsid w:val="00021FF7"/>
    <w:rsid w:val="000327A3"/>
    <w:rsid w:val="00033472"/>
    <w:rsid w:val="00033B44"/>
    <w:rsid w:val="000345C2"/>
    <w:rsid w:val="00035679"/>
    <w:rsid w:val="00035824"/>
    <w:rsid w:val="00036646"/>
    <w:rsid w:val="00037FFA"/>
    <w:rsid w:val="00041FDA"/>
    <w:rsid w:val="00042A8E"/>
    <w:rsid w:val="0004424B"/>
    <w:rsid w:val="000503C2"/>
    <w:rsid w:val="00053B09"/>
    <w:rsid w:val="00054378"/>
    <w:rsid w:val="0005668C"/>
    <w:rsid w:val="0006051B"/>
    <w:rsid w:val="0006108D"/>
    <w:rsid w:val="00062050"/>
    <w:rsid w:val="000621A1"/>
    <w:rsid w:val="00062805"/>
    <w:rsid w:val="00063BF3"/>
    <w:rsid w:val="00064033"/>
    <w:rsid w:val="00064120"/>
    <w:rsid w:val="00070469"/>
    <w:rsid w:val="0007142A"/>
    <w:rsid w:val="00071A95"/>
    <w:rsid w:val="00073020"/>
    <w:rsid w:val="000738F4"/>
    <w:rsid w:val="00073E34"/>
    <w:rsid w:val="00074256"/>
    <w:rsid w:val="0007451A"/>
    <w:rsid w:val="000803DB"/>
    <w:rsid w:val="0008192E"/>
    <w:rsid w:val="0008431C"/>
    <w:rsid w:val="00090C82"/>
    <w:rsid w:val="00090EC1"/>
    <w:rsid w:val="00091F00"/>
    <w:rsid w:val="00093C91"/>
    <w:rsid w:val="00093EC1"/>
    <w:rsid w:val="000942B7"/>
    <w:rsid w:val="0009525C"/>
    <w:rsid w:val="00097AD4"/>
    <w:rsid w:val="00097FF8"/>
    <w:rsid w:val="000A2C88"/>
    <w:rsid w:val="000A3785"/>
    <w:rsid w:val="000A555E"/>
    <w:rsid w:val="000A6393"/>
    <w:rsid w:val="000B00A3"/>
    <w:rsid w:val="000B08DA"/>
    <w:rsid w:val="000B23DC"/>
    <w:rsid w:val="000B26C8"/>
    <w:rsid w:val="000B3673"/>
    <w:rsid w:val="000B3C9B"/>
    <w:rsid w:val="000B4307"/>
    <w:rsid w:val="000B5AE1"/>
    <w:rsid w:val="000B6EA7"/>
    <w:rsid w:val="000C1383"/>
    <w:rsid w:val="000C1EE4"/>
    <w:rsid w:val="000C4B41"/>
    <w:rsid w:val="000C4FDD"/>
    <w:rsid w:val="000C516F"/>
    <w:rsid w:val="000C766B"/>
    <w:rsid w:val="000D018A"/>
    <w:rsid w:val="000D0500"/>
    <w:rsid w:val="000D0F41"/>
    <w:rsid w:val="000D1351"/>
    <w:rsid w:val="000D21D7"/>
    <w:rsid w:val="000D2B5A"/>
    <w:rsid w:val="000D5400"/>
    <w:rsid w:val="000D701E"/>
    <w:rsid w:val="000D796C"/>
    <w:rsid w:val="000E12B4"/>
    <w:rsid w:val="000E14B2"/>
    <w:rsid w:val="000E3059"/>
    <w:rsid w:val="000E3D93"/>
    <w:rsid w:val="000E677F"/>
    <w:rsid w:val="000E7418"/>
    <w:rsid w:val="000F2188"/>
    <w:rsid w:val="000F2D65"/>
    <w:rsid w:val="000F3F73"/>
    <w:rsid w:val="000F5421"/>
    <w:rsid w:val="000F5648"/>
    <w:rsid w:val="000F598A"/>
    <w:rsid w:val="000F7912"/>
    <w:rsid w:val="00100F91"/>
    <w:rsid w:val="001010CE"/>
    <w:rsid w:val="00101AE9"/>
    <w:rsid w:val="00102782"/>
    <w:rsid w:val="00103334"/>
    <w:rsid w:val="001055CA"/>
    <w:rsid w:val="001104E3"/>
    <w:rsid w:val="00112436"/>
    <w:rsid w:val="001136FC"/>
    <w:rsid w:val="001174E0"/>
    <w:rsid w:val="0011760F"/>
    <w:rsid w:val="00120E07"/>
    <w:rsid w:val="00121864"/>
    <w:rsid w:val="001224BE"/>
    <w:rsid w:val="00130D10"/>
    <w:rsid w:val="00131C44"/>
    <w:rsid w:val="001341A1"/>
    <w:rsid w:val="0013519F"/>
    <w:rsid w:val="00135942"/>
    <w:rsid w:val="001360B5"/>
    <w:rsid w:val="00142C92"/>
    <w:rsid w:val="00144B53"/>
    <w:rsid w:val="00154D49"/>
    <w:rsid w:val="00154DD7"/>
    <w:rsid w:val="00155930"/>
    <w:rsid w:val="00155E94"/>
    <w:rsid w:val="001570FF"/>
    <w:rsid w:val="00162296"/>
    <w:rsid w:val="00162B94"/>
    <w:rsid w:val="00162D88"/>
    <w:rsid w:val="0016378D"/>
    <w:rsid w:val="001642A1"/>
    <w:rsid w:val="0016583C"/>
    <w:rsid w:val="001669D4"/>
    <w:rsid w:val="00166CD6"/>
    <w:rsid w:val="00167E56"/>
    <w:rsid w:val="0017073C"/>
    <w:rsid w:val="00170CAE"/>
    <w:rsid w:val="00171834"/>
    <w:rsid w:val="00172A27"/>
    <w:rsid w:val="00173BC1"/>
    <w:rsid w:val="00174294"/>
    <w:rsid w:val="0018099E"/>
    <w:rsid w:val="00182035"/>
    <w:rsid w:val="001830B3"/>
    <w:rsid w:val="001836DD"/>
    <w:rsid w:val="00183887"/>
    <w:rsid w:val="0018481A"/>
    <w:rsid w:val="00185343"/>
    <w:rsid w:val="0018621B"/>
    <w:rsid w:val="00186BF0"/>
    <w:rsid w:val="00187EC3"/>
    <w:rsid w:val="001921C8"/>
    <w:rsid w:val="0019386F"/>
    <w:rsid w:val="00197508"/>
    <w:rsid w:val="001A0A83"/>
    <w:rsid w:val="001A2A45"/>
    <w:rsid w:val="001A2B1C"/>
    <w:rsid w:val="001A5E8D"/>
    <w:rsid w:val="001A6884"/>
    <w:rsid w:val="001A7EA7"/>
    <w:rsid w:val="001B4BC4"/>
    <w:rsid w:val="001B619E"/>
    <w:rsid w:val="001B6B2C"/>
    <w:rsid w:val="001B6E44"/>
    <w:rsid w:val="001B794C"/>
    <w:rsid w:val="001B7A8D"/>
    <w:rsid w:val="001B7B8F"/>
    <w:rsid w:val="001C01BE"/>
    <w:rsid w:val="001C15EF"/>
    <w:rsid w:val="001C37C0"/>
    <w:rsid w:val="001C3834"/>
    <w:rsid w:val="001C4529"/>
    <w:rsid w:val="001C4D5A"/>
    <w:rsid w:val="001D135E"/>
    <w:rsid w:val="001D288E"/>
    <w:rsid w:val="001D3324"/>
    <w:rsid w:val="001D53BC"/>
    <w:rsid w:val="001D5C37"/>
    <w:rsid w:val="001D5E95"/>
    <w:rsid w:val="001D5FB4"/>
    <w:rsid w:val="001E17C4"/>
    <w:rsid w:val="001E48B4"/>
    <w:rsid w:val="001E50D3"/>
    <w:rsid w:val="001E5FE6"/>
    <w:rsid w:val="001F2B28"/>
    <w:rsid w:val="001F3DBE"/>
    <w:rsid w:val="001F4201"/>
    <w:rsid w:val="001F6CB8"/>
    <w:rsid w:val="0020163F"/>
    <w:rsid w:val="002031F7"/>
    <w:rsid w:val="00204FEE"/>
    <w:rsid w:val="002065DC"/>
    <w:rsid w:val="0020670E"/>
    <w:rsid w:val="00210618"/>
    <w:rsid w:val="00210718"/>
    <w:rsid w:val="00211417"/>
    <w:rsid w:val="00212D2D"/>
    <w:rsid w:val="0021304A"/>
    <w:rsid w:val="00213DD0"/>
    <w:rsid w:val="00215274"/>
    <w:rsid w:val="00215FB9"/>
    <w:rsid w:val="002200D7"/>
    <w:rsid w:val="0022194B"/>
    <w:rsid w:val="00222AD3"/>
    <w:rsid w:val="00224FDC"/>
    <w:rsid w:val="002253D6"/>
    <w:rsid w:val="00227059"/>
    <w:rsid w:val="00227649"/>
    <w:rsid w:val="00227C3B"/>
    <w:rsid w:val="002306E9"/>
    <w:rsid w:val="00231FCA"/>
    <w:rsid w:val="002328B4"/>
    <w:rsid w:val="00232C22"/>
    <w:rsid w:val="00233A62"/>
    <w:rsid w:val="00234C40"/>
    <w:rsid w:val="00240115"/>
    <w:rsid w:val="0024015A"/>
    <w:rsid w:val="00241BD1"/>
    <w:rsid w:val="00244384"/>
    <w:rsid w:val="00245CF3"/>
    <w:rsid w:val="002471B3"/>
    <w:rsid w:val="00250CBF"/>
    <w:rsid w:val="00251145"/>
    <w:rsid w:val="00261BDD"/>
    <w:rsid w:val="00262DCF"/>
    <w:rsid w:val="00262F39"/>
    <w:rsid w:val="00265F1F"/>
    <w:rsid w:val="00266F40"/>
    <w:rsid w:val="00267A10"/>
    <w:rsid w:val="0027124A"/>
    <w:rsid w:val="00271804"/>
    <w:rsid w:val="0027610A"/>
    <w:rsid w:val="00280DE3"/>
    <w:rsid w:val="00281821"/>
    <w:rsid w:val="00282E0B"/>
    <w:rsid w:val="00285085"/>
    <w:rsid w:val="0028661E"/>
    <w:rsid w:val="00287653"/>
    <w:rsid w:val="00287F91"/>
    <w:rsid w:val="00290D16"/>
    <w:rsid w:val="0029114C"/>
    <w:rsid w:val="00292882"/>
    <w:rsid w:val="00293FF2"/>
    <w:rsid w:val="00294A12"/>
    <w:rsid w:val="00295B44"/>
    <w:rsid w:val="00297ED1"/>
    <w:rsid w:val="002A0823"/>
    <w:rsid w:val="002A154C"/>
    <w:rsid w:val="002A3F8E"/>
    <w:rsid w:val="002A56AF"/>
    <w:rsid w:val="002A636E"/>
    <w:rsid w:val="002B0CBD"/>
    <w:rsid w:val="002B2510"/>
    <w:rsid w:val="002B312E"/>
    <w:rsid w:val="002B4090"/>
    <w:rsid w:val="002B40ED"/>
    <w:rsid w:val="002B468D"/>
    <w:rsid w:val="002B6ED3"/>
    <w:rsid w:val="002C0D58"/>
    <w:rsid w:val="002C2F3E"/>
    <w:rsid w:val="002C303E"/>
    <w:rsid w:val="002C36B3"/>
    <w:rsid w:val="002C4449"/>
    <w:rsid w:val="002C5FEB"/>
    <w:rsid w:val="002C78B6"/>
    <w:rsid w:val="002D0748"/>
    <w:rsid w:val="002D2B7C"/>
    <w:rsid w:val="002D7216"/>
    <w:rsid w:val="002D748D"/>
    <w:rsid w:val="002E104E"/>
    <w:rsid w:val="002E2061"/>
    <w:rsid w:val="002E254A"/>
    <w:rsid w:val="002E34E8"/>
    <w:rsid w:val="002E35A6"/>
    <w:rsid w:val="002E38EA"/>
    <w:rsid w:val="002E39B6"/>
    <w:rsid w:val="002F0249"/>
    <w:rsid w:val="002F0DE5"/>
    <w:rsid w:val="002F63AA"/>
    <w:rsid w:val="002F7F5F"/>
    <w:rsid w:val="00302676"/>
    <w:rsid w:val="0030365B"/>
    <w:rsid w:val="00305438"/>
    <w:rsid w:val="0031042E"/>
    <w:rsid w:val="003152A5"/>
    <w:rsid w:val="00317C07"/>
    <w:rsid w:val="00323149"/>
    <w:rsid w:val="00327096"/>
    <w:rsid w:val="003271C6"/>
    <w:rsid w:val="00327B34"/>
    <w:rsid w:val="00327CFC"/>
    <w:rsid w:val="0033278E"/>
    <w:rsid w:val="003327E1"/>
    <w:rsid w:val="00333EC5"/>
    <w:rsid w:val="00334227"/>
    <w:rsid w:val="00340AA7"/>
    <w:rsid w:val="003424C4"/>
    <w:rsid w:val="00343D20"/>
    <w:rsid w:val="00345DC8"/>
    <w:rsid w:val="00346ED0"/>
    <w:rsid w:val="00346F6A"/>
    <w:rsid w:val="003471D1"/>
    <w:rsid w:val="0035047D"/>
    <w:rsid w:val="00350876"/>
    <w:rsid w:val="003521FA"/>
    <w:rsid w:val="0035337F"/>
    <w:rsid w:val="003535C6"/>
    <w:rsid w:val="003541B4"/>
    <w:rsid w:val="003561AC"/>
    <w:rsid w:val="003577A2"/>
    <w:rsid w:val="00357848"/>
    <w:rsid w:val="00357E25"/>
    <w:rsid w:val="003616A0"/>
    <w:rsid w:val="00362B7D"/>
    <w:rsid w:val="00362E1D"/>
    <w:rsid w:val="00363E3D"/>
    <w:rsid w:val="00366942"/>
    <w:rsid w:val="00370C44"/>
    <w:rsid w:val="00370C71"/>
    <w:rsid w:val="00373232"/>
    <w:rsid w:val="00373FB2"/>
    <w:rsid w:val="0037516C"/>
    <w:rsid w:val="0037723A"/>
    <w:rsid w:val="00380634"/>
    <w:rsid w:val="00381040"/>
    <w:rsid w:val="003816EE"/>
    <w:rsid w:val="0038208E"/>
    <w:rsid w:val="00385A22"/>
    <w:rsid w:val="003870C7"/>
    <w:rsid w:val="00392830"/>
    <w:rsid w:val="003950CB"/>
    <w:rsid w:val="00395D8E"/>
    <w:rsid w:val="00396D0C"/>
    <w:rsid w:val="003A1EBA"/>
    <w:rsid w:val="003A2A39"/>
    <w:rsid w:val="003A2C49"/>
    <w:rsid w:val="003A58B3"/>
    <w:rsid w:val="003A679A"/>
    <w:rsid w:val="003B1086"/>
    <w:rsid w:val="003B12C9"/>
    <w:rsid w:val="003B351D"/>
    <w:rsid w:val="003B50B9"/>
    <w:rsid w:val="003B62B2"/>
    <w:rsid w:val="003B70A7"/>
    <w:rsid w:val="003B7110"/>
    <w:rsid w:val="003B71DD"/>
    <w:rsid w:val="003C1A3A"/>
    <w:rsid w:val="003C28DE"/>
    <w:rsid w:val="003C2BB3"/>
    <w:rsid w:val="003C2D4A"/>
    <w:rsid w:val="003C3673"/>
    <w:rsid w:val="003D528C"/>
    <w:rsid w:val="003D7B39"/>
    <w:rsid w:val="003E05CB"/>
    <w:rsid w:val="003E1A91"/>
    <w:rsid w:val="003E32D8"/>
    <w:rsid w:val="003E40E5"/>
    <w:rsid w:val="003E4B56"/>
    <w:rsid w:val="003E7967"/>
    <w:rsid w:val="003E7E4A"/>
    <w:rsid w:val="003F0520"/>
    <w:rsid w:val="003F1BBE"/>
    <w:rsid w:val="003F1EEC"/>
    <w:rsid w:val="003F22A7"/>
    <w:rsid w:val="003F53C0"/>
    <w:rsid w:val="003F6C47"/>
    <w:rsid w:val="0040027F"/>
    <w:rsid w:val="00401340"/>
    <w:rsid w:val="00403306"/>
    <w:rsid w:val="004035A2"/>
    <w:rsid w:val="00406297"/>
    <w:rsid w:val="004077F8"/>
    <w:rsid w:val="0041279A"/>
    <w:rsid w:val="0041294C"/>
    <w:rsid w:val="004139B9"/>
    <w:rsid w:val="0041687A"/>
    <w:rsid w:val="004208B5"/>
    <w:rsid w:val="0042154B"/>
    <w:rsid w:val="0042160A"/>
    <w:rsid w:val="00423EA6"/>
    <w:rsid w:val="00424540"/>
    <w:rsid w:val="00425785"/>
    <w:rsid w:val="004258E1"/>
    <w:rsid w:val="004277C9"/>
    <w:rsid w:val="00427D09"/>
    <w:rsid w:val="00435A7F"/>
    <w:rsid w:val="00435BE5"/>
    <w:rsid w:val="00436197"/>
    <w:rsid w:val="00436E97"/>
    <w:rsid w:val="00437095"/>
    <w:rsid w:val="00440B7F"/>
    <w:rsid w:val="00440ED2"/>
    <w:rsid w:val="004413D3"/>
    <w:rsid w:val="0044147E"/>
    <w:rsid w:val="00442895"/>
    <w:rsid w:val="00443CED"/>
    <w:rsid w:val="004445F3"/>
    <w:rsid w:val="00444F94"/>
    <w:rsid w:val="004502D9"/>
    <w:rsid w:val="004522E9"/>
    <w:rsid w:val="004551DA"/>
    <w:rsid w:val="00455863"/>
    <w:rsid w:val="00457AE2"/>
    <w:rsid w:val="00461481"/>
    <w:rsid w:val="00462285"/>
    <w:rsid w:val="00462550"/>
    <w:rsid w:val="004636EC"/>
    <w:rsid w:val="004661B9"/>
    <w:rsid w:val="00466AAA"/>
    <w:rsid w:val="0047442F"/>
    <w:rsid w:val="0047495F"/>
    <w:rsid w:val="004758A3"/>
    <w:rsid w:val="00477D19"/>
    <w:rsid w:val="004809E5"/>
    <w:rsid w:val="00486554"/>
    <w:rsid w:val="0048771D"/>
    <w:rsid w:val="004905DD"/>
    <w:rsid w:val="00490D43"/>
    <w:rsid w:val="00491088"/>
    <w:rsid w:val="00494BF7"/>
    <w:rsid w:val="00495676"/>
    <w:rsid w:val="004962A4"/>
    <w:rsid w:val="004A0028"/>
    <w:rsid w:val="004A62DF"/>
    <w:rsid w:val="004A77CB"/>
    <w:rsid w:val="004A7CCC"/>
    <w:rsid w:val="004B0927"/>
    <w:rsid w:val="004B1F7B"/>
    <w:rsid w:val="004B24D8"/>
    <w:rsid w:val="004B2B02"/>
    <w:rsid w:val="004B34E5"/>
    <w:rsid w:val="004B3EEA"/>
    <w:rsid w:val="004B54B3"/>
    <w:rsid w:val="004C459C"/>
    <w:rsid w:val="004C49BE"/>
    <w:rsid w:val="004C5CD3"/>
    <w:rsid w:val="004C608E"/>
    <w:rsid w:val="004D0B92"/>
    <w:rsid w:val="004D6573"/>
    <w:rsid w:val="004E28FB"/>
    <w:rsid w:val="004E4B22"/>
    <w:rsid w:val="004E65EA"/>
    <w:rsid w:val="004F2C1F"/>
    <w:rsid w:val="004F35ED"/>
    <w:rsid w:val="004F54EE"/>
    <w:rsid w:val="004F60AB"/>
    <w:rsid w:val="004F6BCD"/>
    <w:rsid w:val="004F7116"/>
    <w:rsid w:val="0050178D"/>
    <w:rsid w:val="00501F4A"/>
    <w:rsid w:val="00502312"/>
    <w:rsid w:val="0050638A"/>
    <w:rsid w:val="0051211E"/>
    <w:rsid w:val="00513884"/>
    <w:rsid w:val="00514E69"/>
    <w:rsid w:val="00514EA8"/>
    <w:rsid w:val="00521A76"/>
    <w:rsid w:val="00522AFB"/>
    <w:rsid w:val="00523EB0"/>
    <w:rsid w:val="00524984"/>
    <w:rsid w:val="00524BFE"/>
    <w:rsid w:val="00526FFA"/>
    <w:rsid w:val="00531EAC"/>
    <w:rsid w:val="00532C24"/>
    <w:rsid w:val="00532D32"/>
    <w:rsid w:val="00533DB4"/>
    <w:rsid w:val="005352C8"/>
    <w:rsid w:val="005401BB"/>
    <w:rsid w:val="0054028B"/>
    <w:rsid w:val="00540988"/>
    <w:rsid w:val="0054197C"/>
    <w:rsid w:val="00542D7A"/>
    <w:rsid w:val="0054570C"/>
    <w:rsid w:val="0054648E"/>
    <w:rsid w:val="00546539"/>
    <w:rsid w:val="005539A0"/>
    <w:rsid w:val="00553F5D"/>
    <w:rsid w:val="00554C69"/>
    <w:rsid w:val="00556C4F"/>
    <w:rsid w:val="005571E2"/>
    <w:rsid w:val="0056035A"/>
    <w:rsid w:val="00560FE1"/>
    <w:rsid w:val="00561D09"/>
    <w:rsid w:val="00562337"/>
    <w:rsid w:val="00563421"/>
    <w:rsid w:val="005642A5"/>
    <w:rsid w:val="005650BD"/>
    <w:rsid w:val="0056547C"/>
    <w:rsid w:val="005674B8"/>
    <w:rsid w:val="00567A61"/>
    <w:rsid w:val="00571F65"/>
    <w:rsid w:val="00576B6F"/>
    <w:rsid w:val="005827D4"/>
    <w:rsid w:val="00584321"/>
    <w:rsid w:val="005847B5"/>
    <w:rsid w:val="0059160B"/>
    <w:rsid w:val="00592DC3"/>
    <w:rsid w:val="005939CE"/>
    <w:rsid w:val="00594015"/>
    <w:rsid w:val="005940DD"/>
    <w:rsid w:val="0059504E"/>
    <w:rsid w:val="00596D40"/>
    <w:rsid w:val="005A766E"/>
    <w:rsid w:val="005A76D5"/>
    <w:rsid w:val="005A7FAB"/>
    <w:rsid w:val="005B106A"/>
    <w:rsid w:val="005B2699"/>
    <w:rsid w:val="005B2916"/>
    <w:rsid w:val="005B3820"/>
    <w:rsid w:val="005B52FA"/>
    <w:rsid w:val="005B684A"/>
    <w:rsid w:val="005D1127"/>
    <w:rsid w:val="005D3490"/>
    <w:rsid w:val="005D4230"/>
    <w:rsid w:val="005E239D"/>
    <w:rsid w:val="005E599E"/>
    <w:rsid w:val="005F0DAA"/>
    <w:rsid w:val="005F1B69"/>
    <w:rsid w:val="005F4991"/>
    <w:rsid w:val="00601652"/>
    <w:rsid w:val="00602BC9"/>
    <w:rsid w:val="00602CDC"/>
    <w:rsid w:val="0060375E"/>
    <w:rsid w:val="00603A96"/>
    <w:rsid w:val="006058A7"/>
    <w:rsid w:val="006060E2"/>
    <w:rsid w:val="00607036"/>
    <w:rsid w:val="0061249A"/>
    <w:rsid w:val="0061390C"/>
    <w:rsid w:val="006143C0"/>
    <w:rsid w:val="00616750"/>
    <w:rsid w:val="00617400"/>
    <w:rsid w:val="00620E3B"/>
    <w:rsid w:val="006228DD"/>
    <w:rsid w:val="0062353A"/>
    <w:rsid w:val="00623FD6"/>
    <w:rsid w:val="0062432F"/>
    <w:rsid w:val="00626F6F"/>
    <w:rsid w:val="006319C7"/>
    <w:rsid w:val="00634E05"/>
    <w:rsid w:val="006352D5"/>
    <w:rsid w:val="00643F5A"/>
    <w:rsid w:val="006444EA"/>
    <w:rsid w:val="00646114"/>
    <w:rsid w:val="006465FE"/>
    <w:rsid w:val="006541D7"/>
    <w:rsid w:val="00654D43"/>
    <w:rsid w:val="00661315"/>
    <w:rsid w:val="00662AFA"/>
    <w:rsid w:val="00665E1F"/>
    <w:rsid w:val="0066703F"/>
    <w:rsid w:val="0067095C"/>
    <w:rsid w:val="00673B27"/>
    <w:rsid w:val="00675C56"/>
    <w:rsid w:val="00684DD4"/>
    <w:rsid w:val="00685D97"/>
    <w:rsid w:val="00691BA9"/>
    <w:rsid w:val="00693B4A"/>
    <w:rsid w:val="0069442A"/>
    <w:rsid w:val="006952FD"/>
    <w:rsid w:val="006A0711"/>
    <w:rsid w:val="006A219C"/>
    <w:rsid w:val="006A573B"/>
    <w:rsid w:val="006A6F2A"/>
    <w:rsid w:val="006B0474"/>
    <w:rsid w:val="006B075F"/>
    <w:rsid w:val="006B4255"/>
    <w:rsid w:val="006B44E1"/>
    <w:rsid w:val="006B4EB6"/>
    <w:rsid w:val="006C3388"/>
    <w:rsid w:val="006C3420"/>
    <w:rsid w:val="006C3E04"/>
    <w:rsid w:val="006D0CE9"/>
    <w:rsid w:val="006D157E"/>
    <w:rsid w:val="006D23F3"/>
    <w:rsid w:val="006D34F5"/>
    <w:rsid w:val="006D367C"/>
    <w:rsid w:val="006D5B61"/>
    <w:rsid w:val="006D7BB3"/>
    <w:rsid w:val="006D7CCA"/>
    <w:rsid w:val="006E0AC6"/>
    <w:rsid w:val="006E2754"/>
    <w:rsid w:val="006E2839"/>
    <w:rsid w:val="006E3ADA"/>
    <w:rsid w:val="006E4AEF"/>
    <w:rsid w:val="006E6C95"/>
    <w:rsid w:val="006F036C"/>
    <w:rsid w:val="006F2D4E"/>
    <w:rsid w:val="006F4088"/>
    <w:rsid w:val="006F41D9"/>
    <w:rsid w:val="006F52DC"/>
    <w:rsid w:val="006F6CB0"/>
    <w:rsid w:val="0070020C"/>
    <w:rsid w:val="00700396"/>
    <w:rsid w:val="00703367"/>
    <w:rsid w:val="007057EF"/>
    <w:rsid w:val="0071043E"/>
    <w:rsid w:val="00710C1A"/>
    <w:rsid w:val="007119ED"/>
    <w:rsid w:val="00712118"/>
    <w:rsid w:val="00712282"/>
    <w:rsid w:val="00715468"/>
    <w:rsid w:val="00716DC3"/>
    <w:rsid w:val="00717ECD"/>
    <w:rsid w:val="007209FB"/>
    <w:rsid w:val="00721AC0"/>
    <w:rsid w:val="00721B0C"/>
    <w:rsid w:val="00723BD9"/>
    <w:rsid w:val="007254C9"/>
    <w:rsid w:val="00726300"/>
    <w:rsid w:val="007265A9"/>
    <w:rsid w:val="0073012C"/>
    <w:rsid w:val="007333C0"/>
    <w:rsid w:val="00733B25"/>
    <w:rsid w:val="00733E26"/>
    <w:rsid w:val="00734CB6"/>
    <w:rsid w:val="00735C00"/>
    <w:rsid w:val="00737487"/>
    <w:rsid w:val="007411EC"/>
    <w:rsid w:val="00741CFA"/>
    <w:rsid w:val="00744C4B"/>
    <w:rsid w:val="00744C7C"/>
    <w:rsid w:val="00744FBE"/>
    <w:rsid w:val="0075011A"/>
    <w:rsid w:val="0075236A"/>
    <w:rsid w:val="00752915"/>
    <w:rsid w:val="00754AA6"/>
    <w:rsid w:val="00757B9E"/>
    <w:rsid w:val="00757C9B"/>
    <w:rsid w:val="0076223C"/>
    <w:rsid w:val="00764A29"/>
    <w:rsid w:val="00767265"/>
    <w:rsid w:val="00767DBB"/>
    <w:rsid w:val="007722F2"/>
    <w:rsid w:val="00773232"/>
    <w:rsid w:val="007735B6"/>
    <w:rsid w:val="0077451F"/>
    <w:rsid w:val="00776DB9"/>
    <w:rsid w:val="00780AFB"/>
    <w:rsid w:val="0078513E"/>
    <w:rsid w:val="00785739"/>
    <w:rsid w:val="0078653A"/>
    <w:rsid w:val="00786631"/>
    <w:rsid w:val="00786D33"/>
    <w:rsid w:val="007908DD"/>
    <w:rsid w:val="007942B9"/>
    <w:rsid w:val="007959AB"/>
    <w:rsid w:val="007961D5"/>
    <w:rsid w:val="007A1507"/>
    <w:rsid w:val="007A1658"/>
    <w:rsid w:val="007A2065"/>
    <w:rsid w:val="007A3FC3"/>
    <w:rsid w:val="007A40EF"/>
    <w:rsid w:val="007A5D19"/>
    <w:rsid w:val="007A6268"/>
    <w:rsid w:val="007A641D"/>
    <w:rsid w:val="007A6977"/>
    <w:rsid w:val="007B0A59"/>
    <w:rsid w:val="007B25EC"/>
    <w:rsid w:val="007B304D"/>
    <w:rsid w:val="007B5289"/>
    <w:rsid w:val="007B533A"/>
    <w:rsid w:val="007B707F"/>
    <w:rsid w:val="007C137C"/>
    <w:rsid w:val="007C4CA4"/>
    <w:rsid w:val="007C5A0B"/>
    <w:rsid w:val="007D0422"/>
    <w:rsid w:val="007D255C"/>
    <w:rsid w:val="007D27AB"/>
    <w:rsid w:val="007D3B05"/>
    <w:rsid w:val="007D5A45"/>
    <w:rsid w:val="007D6024"/>
    <w:rsid w:val="007D6A53"/>
    <w:rsid w:val="007D7FC1"/>
    <w:rsid w:val="007E104B"/>
    <w:rsid w:val="007E1EFD"/>
    <w:rsid w:val="007E2E82"/>
    <w:rsid w:val="007E4B2B"/>
    <w:rsid w:val="007E4E7A"/>
    <w:rsid w:val="007E58D2"/>
    <w:rsid w:val="007E6978"/>
    <w:rsid w:val="007E6CA3"/>
    <w:rsid w:val="007E7413"/>
    <w:rsid w:val="007F5B8E"/>
    <w:rsid w:val="007F6240"/>
    <w:rsid w:val="007F6C6F"/>
    <w:rsid w:val="007F71BE"/>
    <w:rsid w:val="0080141A"/>
    <w:rsid w:val="008019F1"/>
    <w:rsid w:val="0080239E"/>
    <w:rsid w:val="00802B71"/>
    <w:rsid w:val="008033AB"/>
    <w:rsid w:val="00803CEB"/>
    <w:rsid w:val="00804163"/>
    <w:rsid w:val="008041AB"/>
    <w:rsid w:val="00805878"/>
    <w:rsid w:val="00807B04"/>
    <w:rsid w:val="008102F1"/>
    <w:rsid w:val="00811461"/>
    <w:rsid w:val="00814D30"/>
    <w:rsid w:val="00815A72"/>
    <w:rsid w:val="008163CB"/>
    <w:rsid w:val="00816A8B"/>
    <w:rsid w:val="008176F5"/>
    <w:rsid w:val="008244DD"/>
    <w:rsid w:val="00831FEA"/>
    <w:rsid w:val="0083397E"/>
    <w:rsid w:val="008350D7"/>
    <w:rsid w:val="00836588"/>
    <w:rsid w:val="00837832"/>
    <w:rsid w:val="0084036C"/>
    <w:rsid w:val="008409A3"/>
    <w:rsid w:val="00840B81"/>
    <w:rsid w:val="00844985"/>
    <w:rsid w:val="00846033"/>
    <w:rsid w:val="00846663"/>
    <w:rsid w:val="00850251"/>
    <w:rsid w:val="008507F9"/>
    <w:rsid w:val="008509C0"/>
    <w:rsid w:val="00850CA9"/>
    <w:rsid w:val="0085311B"/>
    <w:rsid w:val="00857C85"/>
    <w:rsid w:val="00861E94"/>
    <w:rsid w:val="00863AE8"/>
    <w:rsid w:val="008643C1"/>
    <w:rsid w:val="00864C0B"/>
    <w:rsid w:val="0086628D"/>
    <w:rsid w:val="008665A8"/>
    <w:rsid w:val="00871043"/>
    <w:rsid w:val="0087191A"/>
    <w:rsid w:val="00871B11"/>
    <w:rsid w:val="00874338"/>
    <w:rsid w:val="00874697"/>
    <w:rsid w:val="00884779"/>
    <w:rsid w:val="00885B23"/>
    <w:rsid w:val="00886CB3"/>
    <w:rsid w:val="0089142B"/>
    <w:rsid w:val="00891451"/>
    <w:rsid w:val="008915FB"/>
    <w:rsid w:val="00891CBA"/>
    <w:rsid w:val="00891DE5"/>
    <w:rsid w:val="00892629"/>
    <w:rsid w:val="00893905"/>
    <w:rsid w:val="00895A4F"/>
    <w:rsid w:val="008A12C6"/>
    <w:rsid w:val="008A1755"/>
    <w:rsid w:val="008A30D8"/>
    <w:rsid w:val="008A40B4"/>
    <w:rsid w:val="008A517F"/>
    <w:rsid w:val="008A7415"/>
    <w:rsid w:val="008B0BC9"/>
    <w:rsid w:val="008B1454"/>
    <w:rsid w:val="008B3568"/>
    <w:rsid w:val="008B46A0"/>
    <w:rsid w:val="008B5055"/>
    <w:rsid w:val="008B5401"/>
    <w:rsid w:val="008C09E6"/>
    <w:rsid w:val="008C1D52"/>
    <w:rsid w:val="008C1DEC"/>
    <w:rsid w:val="008C1EB6"/>
    <w:rsid w:val="008C272F"/>
    <w:rsid w:val="008C4165"/>
    <w:rsid w:val="008C73C6"/>
    <w:rsid w:val="008C7C24"/>
    <w:rsid w:val="008D0BFD"/>
    <w:rsid w:val="008D1A96"/>
    <w:rsid w:val="008D39FF"/>
    <w:rsid w:val="008D7D9F"/>
    <w:rsid w:val="008E0F28"/>
    <w:rsid w:val="008E26D5"/>
    <w:rsid w:val="008E31AF"/>
    <w:rsid w:val="008E7B87"/>
    <w:rsid w:val="00900515"/>
    <w:rsid w:val="009012F6"/>
    <w:rsid w:val="009042F3"/>
    <w:rsid w:val="00906786"/>
    <w:rsid w:val="00906CEC"/>
    <w:rsid w:val="009077FD"/>
    <w:rsid w:val="00911BCA"/>
    <w:rsid w:val="0091394E"/>
    <w:rsid w:val="00920D99"/>
    <w:rsid w:val="009218E5"/>
    <w:rsid w:val="0092266F"/>
    <w:rsid w:val="009236A2"/>
    <w:rsid w:val="00923721"/>
    <w:rsid w:val="00924E25"/>
    <w:rsid w:val="00930A6F"/>
    <w:rsid w:val="009314F8"/>
    <w:rsid w:val="00933A1D"/>
    <w:rsid w:val="0093432E"/>
    <w:rsid w:val="009349B4"/>
    <w:rsid w:val="00935477"/>
    <w:rsid w:val="0093552B"/>
    <w:rsid w:val="00936276"/>
    <w:rsid w:val="00936A2E"/>
    <w:rsid w:val="009402DA"/>
    <w:rsid w:val="009406A0"/>
    <w:rsid w:val="00940E05"/>
    <w:rsid w:val="00940FF4"/>
    <w:rsid w:val="00941307"/>
    <w:rsid w:val="009462DB"/>
    <w:rsid w:val="00947918"/>
    <w:rsid w:val="00947DED"/>
    <w:rsid w:val="00951148"/>
    <w:rsid w:val="0095225A"/>
    <w:rsid w:val="00953404"/>
    <w:rsid w:val="009539AD"/>
    <w:rsid w:val="00953D9C"/>
    <w:rsid w:val="009554B4"/>
    <w:rsid w:val="00957791"/>
    <w:rsid w:val="0095783B"/>
    <w:rsid w:val="009641F4"/>
    <w:rsid w:val="00964A30"/>
    <w:rsid w:val="0096565A"/>
    <w:rsid w:val="00966C37"/>
    <w:rsid w:val="00966EE5"/>
    <w:rsid w:val="009670AC"/>
    <w:rsid w:val="009673F7"/>
    <w:rsid w:val="009674C4"/>
    <w:rsid w:val="00967B6F"/>
    <w:rsid w:val="00967E7F"/>
    <w:rsid w:val="00970C1A"/>
    <w:rsid w:val="00974596"/>
    <w:rsid w:val="00974E25"/>
    <w:rsid w:val="009801C8"/>
    <w:rsid w:val="009838EC"/>
    <w:rsid w:val="00984837"/>
    <w:rsid w:val="0098633E"/>
    <w:rsid w:val="00990014"/>
    <w:rsid w:val="00990D10"/>
    <w:rsid w:val="00992927"/>
    <w:rsid w:val="00996D01"/>
    <w:rsid w:val="009A1C10"/>
    <w:rsid w:val="009A2C46"/>
    <w:rsid w:val="009A2EA7"/>
    <w:rsid w:val="009A356C"/>
    <w:rsid w:val="009A3DA5"/>
    <w:rsid w:val="009A7F20"/>
    <w:rsid w:val="009B0FC7"/>
    <w:rsid w:val="009B5659"/>
    <w:rsid w:val="009C1D4C"/>
    <w:rsid w:val="009C2527"/>
    <w:rsid w:val="009C35FF"/>
    <w:rsid w:val="009C36A9"/>
    <w:rsid w:val="009C4476"/>
    <w:rsid w:val="009D380B"/>
    <w:rsid w:val="009D66D8"/>
    <w:rsid w:val="009D68B6"/>
    <w:rsid w:val="009D71A9"/>
    <w:rsid w:val="009D76AE"/>
    <w:rsid w:val="009D7F44"/>
    <w:rsid w:val="009E10FD"/>
    <w:rsid w:val="009E1D76"/>
    <w:rsid w:val="009E3155"/>
    <w:rsid w:val="009E4B58"/>
    <w:rsid w:val="009E5347"/>
    <w:rsid w:val="009F0CB0"/>
    <w:rsid w:val="009F588F"/>
    <w:rsid w:val="009F6C9F"/>
    <w:rsid w:val="00A01D1B"/>
    <w:rsid w:val="00A02197"/>
    <w:rsid w:val="00A02A49"/>
    <w:rsid w:val="00A0364A"/>
    <w:rsid w:val="00A05943"/>
    <w:rsid w:val="00A062D0"/>
    <w:rsid w:val="00A17C60"/>
    <w:rsid w:val="00A225F3"/>
    <w:rsid w:val="00A22A5E"/>
    <w:rsid w:val="00A22CC6"/>
    <w:rsid w:val="00A246B5"/>
    <w:rsid w:val="00A260F4"/>
    <w:rsid w:val="00A26EB6"/>
    <w:rsid w:val="00A274AC"/>
    <w:rsid w:val="00A27B08"/>
    <w:rsid w:val="00A32DBF"/>
    <w:rsid w:val="00A34640"/>
    <w:rsid w:val="00A42F3F"/>
    <w:rsid w:val="00A5038C"/>
    <w:rsid w:val="00A51C1C"/>
    <w:rsid w:val="00A51F4B"/>
    <w:rsid w:val="00A526A3"/>
    <w:rsid w:val="00A5293E"/>
    <w:rsid w:val="00A535B3"/>
    <w:rsid w:val="00A6135B"/>
    <w:rsid w:val="00A637B2"/>
    <w:rsid w:val="00A63D08"/>
    <w:rsid w:val="00A641FB"/>
    <w:rsid w:val="00A64CAB"/>
    <w:rsid w:val="00A6552A"/>
    <w:rsid w:val="00A67931"/>
    <w:rsid w:val="00A702D7"/>
    <w:rsid w:val="00A70E22"/>
    <w:rsid w:val="00A7192B"/>
    <w:rsid w:val="00A7475B"/>
    <w:rsid w:val="00A7499F"/>
    <w:rsid w:val="00A74E9A"/>
    <w:rsid w:val="00A76B86"/>
    <w:rsid w:val="00A77C6B"/>
    <w:rsid w:val="00A81520"/>
    <w:rsid w:val="00A81D22"/>
    <w:rsid w:val="00A82AC0"/>
    <w:rsid w:val="00A83AD0"/>
    <w:rsid w:val="00A84270"/>
    <w:rsid w:val="00A9149B"/>
    <w:rsid w:val="00A91866"/>
    <w:rsid w:val="00A9234B"/>
    <w:rsid w:val="00A950BE"/>
    <w:rsid w:val="00A95A9A"/>
    <w:rsid w:val="00A969B1"/>
    <w:rsid w:val="00AA0013"/>
    <w:rsid w:val="00AA0923"/>
    <w:rsid w:val="00AA3781"/>
    <w:rsid w:val="00AA40FB"/>
    <w:rsid w:val="00AA5405"/>
    <w:rsid w:val="00AA589B"/>
    <w:rsid w:val="00AA6F57"/>
    <w:rsid w:val="00AA7544"/>
    <w:rsid w:val="00AB1B5E"/>
    <w:rsid w:val="00AB5573"/>
    <w:rsid w:val="00AB6191"/>
    <w:rsid w:val="00AB6C79"/>
    <w:rsid w:val="00AB783D"/>
    <w:rsid w:val="00AB7A64"/>
    <w:rsid w:val="00AB7E6A"/>
    <w:rsid w:val="00AC0280"/>
    <w:rsid w:val="00AC3A39"/>
    <w:rsid w:val="00AC4D13"/>
    <w:rsid w:val="00AC5649"/>
    <w:rsid w:val="00AC7415"/>
    <w:rsid w:val="00AD07A2"/>
    <w:rsid w:val="00AD08E8"/>
    <w:rsid w:val="00AD2579"/>
    <w:rsid w:val="00AD30BE"/>
    <w:rsid w:val="00AD65D0"/>
    <w:rsid w:val="00AE0CF6"/>
    <w:rsid w:val="00AE1AC6"/>
    <w:rsid w:val="00AE1C41"/>
    <w:rsid w:val="00AE5213"/>
    <w:rsid w:val="00AE772A"/>
    <w:rsid w:val="00AF160B"/>
    <w:rsid w:val="00AF1648"/>
    <w:rsid w:val="00AF6E64"/>
    <w:rsid w:val="00B0324A"/>
    <w:rsid w:val="00B04931"/>
    <w:rsid w:val="00B058BB"/>
    <w:rsid w:val="00B07354"/>
    <w:rsid w:val="00B07D9D"/>
    <w:rsid w:val="00B1140F"/>
    <w:rsid w:val="00B11634"/>
    <w:rsid w:val="00B11AEC"/>
    <w:rsid w:val="00B1427E"/>
    <w:rsid w:val="00B16A83"/>
    <w:rsid w:val="00B17F39"/>
    <w:rsid w:val="00B209D6"/>
    <w:rsid w:val="00B21EDE"/>
    <w:rsid w:val="00B27FB2"/>
    <w:rsid w:val="00B31213"/>
    <w:rsid w:val="00B31D06"/>
    <w:rsid w:val="00B34682"/>
    <w:rsid w:val="00B37F26"/>
    <w:rsid w:val="00B37F82"/>
    <w:rsid w:val="00B400F7"/>
    <w:rsid w:val="00B41259"/>
    <w:rsid w:val="00B4300D"/>
    <w:rsid w:val="00B44135"/>
    <w:rsid w:val="00B44725"/>
    <w:rsid w:val="00B45231"/>
    <w:rsid w:val="00B5006C"/>
    <w:rsid w:val="00B5058C"/>
    <w:rsid w:val="00B513FF"/>
    <w:rsid w:val="00B55F1C"/>
    <w:rsid w:val="00B56012"/>
    <w:rsid w:val="00B5621E"/>
    <w:rsid w:val="00B619EA"/>
    <w:rsid w:val="00B61BBF"/>
    <w:rsid w:val="00B647C7"/>
    <w:rsid w:val="00B6586E"/>
    <w:rsid w:val="00B65C3E"/>
    <w:rsid w:val="00B710D4"/>
    <w:rsid w:val="00B72A92"/>
    <w:rsid w:val="00B7389E"/>
    <w:rsid w:val="00B76B9F"/>
    <w:rsid w:val="00B817BA"/>
    <w:rsid w:val="00B81E5F"/>
    <w:rsid w:val="00B87467"/>
    <w:rsid w:val="00B91C53"/>
    <w:rsid w:val="00B93043"/>
    <w:rsid w:val="00B93899"/>
    <w:rsid w:val="00B96FAF"/>
    <w:rsid w:val="00BA184C"/>
    <w:rsid w:val="00BA3574"/>
    <w:rsid w:val="00BA46FE"/>
    <w:rsid w:val="00BA5EF8"/>
    <w:rsid w:val="00BA7450"/>
    <w:rsid w:val="00BA7BBA"/>
    <w:rsid w:val="00BB0E3A"/>
    <w:rsid w:val="00BB292D"/>
    <w:rsid w:val="00BC29E1"/>
    <w:rsid w:val="00BC50CF"/>
    <w:rsid w:val="00BC534B"/>
    <w:rsid w:val="00BC5CE2"/>
    <w:rsid w:val="00BC5D5D"/>
    <w:rsid w:val="00BC6AFA"/>
    <w:rsid w:val="00BC6E9F"/>
    <w:rsid w:val="00BD0972"/>
    <w:rsid w:val="00BD2133"/>
    <w:rsid w:val="00BD2F11"/>
    <w:rsid w:val="00BD2FDE"/>
    <w:rsid w:val="00BD4A72"/>
    <w:rsid w:val="00BE0B08"/>
    <w:rsid w:val="00BE0C47"/>
    <w:rsid w:val="00BE1DFB"/>
    <w:rsid w:val="00BE1E6E"/>
    <w:rsid w:val="00BE24F6"/>
    <w:rsid w:val="00BE4133"/>
    <w:rsid w:val="00BE5D2E"/>
    <w:rsid w:val="00BE60D3"/>
    <w:rsid w:val="00BF0E19"/>
    <w:rsid w:val="00BF12A1"/>
    <w:rsid w:val="00BF2C17"/>
    <w:rsid w:val="00BF316E"/>
    <w:rsid w:val="00BF5698"/>
    <w:rsid w:val="00BF6F1B"/>
    <w:rsid w:val="00BF725C"/>
    <w:rsid w:val="00C030DE"/>
    <w:rsid w:val="00C04144"/>
    <w:rsid w:val="00C0620E"/>
    <w:rsid w:val="00C11321"/>
    <w:rsid w:val="00C1265D"/>
    <w:rsid w:val="00C133E6"/>
    <w:rsid w:val="00C141F1"/>
    <w:rsid w:val="00C1516C"/>
    <w:rsid w:val="00C236A5"/>
    <w:rsid w:val="00C23798"/>
    <w:rsid w:val="00C3145A"/>
    <w:rsid w:val="00C31EC3"/>
    <w:rsid w:val="00C3241A"/>
    <w:rsid w:val="00C33F2B"/>
    <w:rsid w:val="00C355A8"/>
    <w:rsid w:val="00C36F66"/>
    <w:rsid w:val="00C37FA9"/>
    <w:rsid w:val="00C40288"/>
    <w:rsid w:val="00C4091F"/>
    <w:rsid w:val="00C42443"/>
    <w:rsid w:val="00C50B26"/>
    <w:rsid w:val="00C51DCC"/>
    <w:rsid w:val="00C540C6"/>
    <w:rsid w:val="00C54170"/>
    <w:rsid w:val="00C56CB5"/>
    <w:rsid w:val="00C60483"/>
    <w:rsid w:val="00C6144A"/>
    <w:rsid w:val="00C61B9A"/>
    <w:rsid w:val="00C63046"/>
    <w:rsid w:val="00C637AB"/>
    <w:rsid w:val="00C67485"/>
    <w:rsid w:val="00C67C50"/>
    <w:rsid w:val="00C7386D"/>
    <w:rsid w:val="00C7455A"/>
    <w:rsid w:val="00C74E1F"/>
    <w:rsid w:val="00C76B0A"/>
    <w:rsid w:val="00C77AE6"/>
    <w:rsid w:val="00C80A13"/>
    <w:rsid w:val="00C82240"/>
    <w:rsid w:val="00C822A6"/>
    <w:rsid w:val="00C82AFE"/>
    <w:rsid w:val="00C849CB"/>
    <w:rsid w:val="00C854F7"/>
    <w:rsid w:val="00C90CDF"/>
    <w:rsid w:val="00C91C98"/>
    <w:rsid w:val="00C9593A"/>
    <w:rsid w:val="00C962D5"/>
    <w:rsid w:val="00CA03CE"/>
    <w:rsid w:val="00CA3B06"/>
    <w:rsid w:val="00CA3B70"/>
    <w:rsid w:val="00CA6646"/>
    <w:rsid w:val="00CA7746"/>
    <w:rsid w:val="00CB0C4F"/>
    <w:rsid w:val="00CB1EB4"/>
    <w:rsid w:val="00CB228C"/>
    <w:rsid w:val="00CB2BE6"/>
    <w:rsid w:val="00CB5D63"/>
    <w:rsid w:val="00CB5E4F"/>
    <w:rsid w:val="00CB67A5"/>
    <w:rsid w:val="00CB77BE"/>
    <w:rsid w:val="00CB7AA1"/>
    <w:rsid w:val="00CC1AF1"/>
    <w:rsid w:val="00CC1E8E"/>
    <w:rsid w:val="00CC1EE2"/>
    <w:rsid w:val="00CC2F1B"/>
    <w:rsid w:val="00CC424C"/>
    <w:rsid w:val="00CC43BC"/>
    <w:rsid w:val="00CC4746"/>
    <w:rsid w:val="00CC5FBE"/>
    <w:rsid w:val="00CC60E4"/>
    <w:rsid w:val="00CC768C"/>
    <w:rsid w:val="00CD1B38"/>
    <w:rsid w:val="00CD4EF1"/>
    <w:rsid w:val="00CD5252"/>
    <w:rsid w:val="00CD5A51"/>
    <w:rsid w:val="00CE045D"/>
    <w:rsid w:val="00CE0D56"/>
    <w:rsid w:val="00CE428D"/>
    <w:rsid w:val="00CF02BE"/>
    <w:rsid w:val="00CF0E51"/>
    <w:rsid w:val="00CF21A7"/>
    <w:rsid w:val="00CF33EF"/>
    <w:rsid w:val="00CF4C4D"/>
    <w:rsid w:val="00CF52F9"/>
    <w:rsid w:val="00D00215"/>
    <w:rsid w:val="00D00B29"/>
    <w:rsid w:val="00D04265"/>
    <w:rsid w:val="00D0426A"/>
    <w:rsid w:val="00D0619A"/>
    <w:rsid w:val="00D0635E"/>
    <w:rsid w:val="00D10127"/>
    <w:rsid w:val="00D148B3"/>
    <w:rsid w:val="00D16B49"/>
    <w:rsid w:val="00D17B2F"/>
    <w:rsid w:val="00D202A0"/>
    <w:rsid w:val="00D2136F"/>
    <w:rsid w:val="00D21699"/>
    <w:rsid w:val="00D2329B"/>
    <w:rsid w:val="00D25916"/>
    <w:rsid w:val="00D265A4"/>
    <w:rsid w:val="00D3178A"/>
    <w:rsid w:val="00D31A80"/>
    <w:rsid w:val="00D3486C"/>
    <w:rsid w:val="00D348AD"/>
    <w:rsid w:val="00D34F26"/>
    <w:rsid w:val="00D36723"/>
    <w:rsid w:val="00D379FE"/>
    <w:rsid w:val="00D37F77"/>
    <w:rsid w:val="00D40C8F"/>
    <w:rsid w:val="00D42D23"/>
    <w:rsid w:val="00D4317B"/>
    <w:rsid w:val="00D441A9"/>
    <w:rsid w:val="00D44BA1"/>
    <w:rsid w:val="00D46202"/>
    <w:rsid w:val="00D4701D"/>
    <w:rsid w:val="00D47F2A"/>
    <w:rsid w:val="00D5121D"/>
    <w:rsid w:val="00D52D1C"/>
    <w:rsid w:val="00D52D99"/>
    <w:rsid w:val="00D554CA"/>
    <w:rsid w:val="00D55B94"/>
    <w:rsid w:val="00D565A3"/>
    <w:rsid w:val="00D623DE"/>
    <w:rsid w:val="00D62D26"/>
    <w:rsid w:val="00D63F97"/>
    <w:rsid w:val="00D67896"/>
    <w:rsid w:val="00D67C58"/>
    <w:rsid w:val="00D70435"/>
    <w:rsid w:val="00D7089E"/>
    <w:rsid w:val="00D71A67"/>
    <w:rsid w:val="00D71B90"/>
    <w:rsid w:val="00D720BF"/>
    <w:rsid w:val="00D73E36"/>
    <w:rsid w:val="00D83F82"/>
    <w:rsid w:val="00D844F9"/>
    <w:rsid w:val="00D8481B"/>
    <w:rsid w:val="00D84FE6"/>
    <w:rsid w:val="00D85DAD"/>
    <w:rsid w:val="00D86C88"/>
    <w:rsid w:val="00D87014"/>
    <w:rsid w:val="00D8711F"/>
    <w:rsid w:val="00D874F4"/>
    <w:rsid w:val="00D87E66"/>
    <w:rsid w:val="00D912C9"/>
    <w:rsid w:val="00DA004C"/>
    <w:rsid w:val="00DA0200"/>
    <w:rsid w:val="00DA24E7"/>
    <w:rsid w:val="00DA4A05"/>
    <w:rsid w:val="00DA4E30"/>
    <w:rsid w:val="00DA5B48"/>
    <w:rsid w:val="00DA615B"/>
    <w:rsid w:val="00DA653F"/>
    <w:rsid w:val="00DB03BB"/>
    <w:rsid w:val="00DB108C"/>
    <w:rsid w:val="00DB1338"/>
    <w:rsid w:val="00DB3245"/>
    <w:rsid w:val="00DB64E9"/>
    <w:rsid w:val="00DB766D"/>
    <w:rsid w:val="00DC00A5"/>
    <w:rsid w:val="00DC4179"/>
    <w:rsid w:val="00DC48E6"/>
    <w:rsid w:val="00DC7E57"/>
    <w:rsid w:val="00DD0F2F"/>
    <w:rsid w:val="00DD13C3"/>
    <w:rsid w:val="00DD145D"/>
    <w:rsid w:val="00DD2314"/>
    <w:rsid w:val="00DD3203"/>
    <w:rsid w:val="00DD3844"/>
    <w:rsid w:val="00DD70AC"/>
    <w:rsid w:val="00DE1ECA"/>
    <w:rsid w:val="00DE3B01"/>
    <w:rsid w:val="00DE3D80"/>
    <w:rsid w:val="00DE3FBC"/>
    <w:rsid w:val="00DF007B"/>
    <w:rsid w:val="00DF183B"/>
    <w:rsid w:val="00DF3350"/>
    <w:rsid w:val="00DF3592"/>
    <w:rsid w:val="00DF4B1D"/>
    <w:rsid w:val="00DF7436"/>
    <w:rsid w:val="00DF77E8"/>
    <w:rsid w:val="00E00E8F"/>
    <w:rsid w:val="00E01CB1"/>
    <w:rsid w:val="00E039B6"/>
    <w:rsid w:val="00E0475C"/>
    <w:rsid w:val="00E077E4"/>
    <w:rsid w:val="00E07EB0"/>
    <w:rsid w:val="00E10EA2"/>
    <w:rsid w:val="00E13D52"/>
    <w:rsid w:val="00E143B3"/>
    <w:rsid w:val="00E151FA"/>
    <w:rsid w:val="00E171F8"/>
    <w:rsid w:val="00E21A2C"/>
    <w:rsid w:val="00E21AD0"/>
    <w:rsid w:val="00E22CC6"/>
    <w:rsid w:val="00E24AFE"/>
    <w:rsid w:val="00E26F18"/>
    <w:rsid w:val="00E30F8A"/>
    <w:rsid w:val="00E310DF"/>
    <w:rsid w:val="00E31D17"/>
    <w:rsid w:val="00E31E6F"/>
    <w:rsid w:val="00E3360C"/>
    <w:rsid w:val="00E33674"/>
    <w:rsid w:val="00E353D4"/>
    <w:rsid w:val="00E35B47"/>
    <w:rsid w:val="00E434E3"/>
    <w:rsid w:val="00E452A4"/>
    <w:rsid w:val="00E5153E"/>
    <w:rsid w:val="00E524D1"/>
    <w:rsid w:val="00E535CE"/>
    <w:rsid w:val="00E543DC"/>
    <w:rsid w:val="00E60A9C"/>
    <w:rsid w:val="00E61730"/>
    <w:rsid w:val="00E645F8"/>
    <w:rsid w:val="00E654D5"/>
    <w:rsid w:val="00E65995"/>
    <w:rsid w:val="00E664FD"/>
    <w:rsid w:val="00E703AB"/>
    <w:rsid w:val="00E705EC"/>
    <w:rsid w:val="00E70874"/>
    <w:rsid w:val="00E73368"/>
    <w:rsid w:val="00E746B4"/>
    <w:rsid w:val="00E74A3C"/>
    <w:rsid w:val="00E777A2"/>
    <w:rsid w:val="00E81B07"/>
    <w:rsid w:val="00E84968"/>
    <w:rsid w:val="00E90C0E"/>
    <w:rsid w:val="00E90C30"/>
    <w:rsid w:val="00E91676"/>
    <w:rsid w:val="00E9555E"/>
    <w:rsid w:val="00E9709A"/>
    <w:rsid w:val="00E97EE7"/>
    <w:rsid w:val="00EA0F97"/>
    <w:rsid w:val="00EA1872"/>
    <w:rsid w:val="00EA233A"/>
    <w:rsid w:val="00EA27E1"/>
    <w:rsid w:val="00EA391C"/>
    <w:rsid w:val="00EA4EF7"/>
    <w:rsid w:val="00EA7261"/>
    <w:rsid w:val="00EB175A"/>
    <w:rsid w:val="00EB4E76"/>
    <w:rsid w:val="00EB6BF1"/>
    <w:rsid w:val="00EB76CD"/>
    <w:rsid w:val="00EB7E60"/>
    <w:rsid w:val="00EC0BCA"/>
    <w:rsid w:val="00EC29E3"/>
    <w:rsid w:val="00EC535B"/>
    <w:rsid w:val="00ED08E2"/>
    <w:rsid w:val="00ED14E4"/>
    <w:rsid w:val="00ED1597"/>
    <w:rsid w:val="00ED2573"/>
    <w:rsid w:val="00ED2CD2"/>
    <w:rsid w:val="00ED3DF2"/>
    <w:rsid w:val="00ED58B0"/>
    <w:rsid w:val="00ED70A6"/>
    <w:rsid w:val="00ED7661"/>
    <w:rsid w:val="00ED7A90"/>
    <w:rsid w:val="00EE0D21"/>
    <w:rsid w:val="00EE101B"/>
    <w:rsid w:val="00EE1981"/>
    <w:rsid w:val="00EE1E69"/>
    <w:rsid w:val="00EE1E92"/>
    <w:rsid w:val="00EE3389"/>
    <w:rsid w:val="00EE42B0"/>
    <w:rsid w:val="00EE69F5"/>
    <w:rsid w:val="00EE7F63"/>
    <w:rsid w:val="00EF06B7"/>
    <w:rsid w:val="00EF1125"/>
    <w:rsid w:val="00EF1550"/>
    <w:rsid w:val="00EF1FB4"/>
    <w:rsid w:val="00EF2476"/>
    <w:rsid w:val="00EF28D8"/>
    <w:rsid w:val="00EF3E87"/>
    <w:rsid w:val="00EF3E92"/>
    <w:rsid w:val="00EF4B80"/>
    <w:rsid w:val="00EF5AC6"/>
    <w:rsid w:val="00EF5BA2"/>
    <w:rsid w:val="00F020E9"/>
    <w:rsid w:val="00F03DA5"/>
    <w:rsid w:val="00F04918"/>
    <w:rsid w:val="00F06544"/>
    <w:rsid w:val="00F075F0"/>
    <w:rsid w:val="00F079B6"/>
    <w:rsid w:val="00F113F4"/>
    <w:rsid w:val="00F13A10"/>
    <w:rsid w:val="00F17091"/>
    <w:rsid w:val="00F21961"/>
    <w:rsid w:val="00F21A4F"/>
    <w:rsid w:val="00F23699"/>
    <w:rsid w:val="00F24F02"/>
    <w:rsid w:val="00F263DB"/>
    <w:rsid w:val="00F3005D"/>
    <w:rsid w:val="00F37359"/>
    <w:rsid w:val="00F40774"/>
    <w:rsid w:val="00F426E3"/>
    <w:rsid w:val="00F456D9"/>
    <w:rsid w:val="00F4618C"/>
    <w:rsid w:val="00F46A4B"/>
    <w:rsid w:val="00F5260D"/>
    <w:rsid w:val="00F560E9"/>
    <w:rsid w:val="00F56A1C"/>
    <w:rsid w:val="00F56EC6"/>
    <w:rsid w:val="00F57572"/>
    <w:rsid w:val="00F578BE"/>
    <w:rsid w:val="00F57DED"/>
    <w:rsid w:val="00F62EAC"/>
    <w:rsid w:val="00F63E63"/>
    <w:rsid w:val="00F643E4"/>
    <w:rsid w:val="00F64AE3"/>
    <w:rsid w:val="00F674B8"/>
    <w:rsid w:val="00F72FE3"/>
    <w:rsid w:val="00F7332A"/>
    <w:rsid w:val="00F758B5"/>
    <w:rsid w:val="00F77580"/>
    <w:rsid w:val="00F8345F"/>
    <w:rsid w:val="00F9156A"/>
    <w:rsid w:val="00F928DD"/>
    <w:rsid w:val="00F93029"/>
    <w:rsid w:val="00F93219"/>
    <w:rsid w:val="00F93E4D"/>
    <w:rsid w:val="00F94583"/>
    <w:rsid w:val="00F951BF"/>
    <w:rsid w:val="00F9526B"/>
    <w:rsid w:val="00F95403"/>
    <w:rsid w:val="00F96651"/>
    <w:rsid w:val="00FA051B"/>
    <w:rsid w:val="00FA0B1B"/>
    <w:rsid w:val="00FA4232"/>
    <w:rsid w:val="00FA4A60"/>
    <w:rsid w:val="00FA56FB"/>
    <w:rsid w:val="00FB09FC"/>
    <w:rsid w:val="00FB1289"/>
    <w:rsid w:val="00FB1C39"/>
    <w:rsid w:val="00FB2254"/>
    <w:rsid w:val="00FB4547"/>
    <w:rsid w:val="00FB477F"/>
    <w:rsid w:val="00FC3B3D"/>
    <w:rsid w:val="00FC5B16"/>
    <w:rsid w:val="00FD185E"/>
    <w:rsid w:val="00FD1A37"/>
    <w:rsid w:val="00FD22B2"/>
    <w:rsid w:val="00FD37FF"/>
    <w:rsid w:val="00FD621C"/>
    <w:rsid w:val="00FD7A59"/>
    <w:rsid w:val="00FE0D61"/>
    <w:rsid w:val="00FE0DCB"/>
    <w:rsid w:val="00FE2153"/>
    <w:rsid w:val="00FE7F73"/>
    <w:rsid w:val="00FF41FB"/>
    <w:rsid w:val="00FF4F3C"/>
    <w:rsid w:val="00FF6365"/>
    <w:rsid w:val="010B22B0"/>
    <w:rsid w:val="010F7FF3"/>
    <w:rsid w:val="011078C7"/>
    <w:rsid w:val="01195401"/>
    <w:rsid w:val="011B6997"/>
    <w:rsid w:val="011D2710"/>
    <w:rsid w:val="013466F6"/>
    <w:rsid w:val="01374E54"/>
    <w:rsid w:val="01396E1E"/>
    <w:rsid w:val="013B4944"/>
    <w:rsid w:val="013C690E"/>
    <w:rsid w:val="013E4434"/>
    <w:rsid w:val="01456A08"/>
    <w:rsid w:val="014F4893"/>
    <w:rsid w:val="01541EA9"/>
    <w:rsid w:val="016025FC"/>
    <w:rsid w:val="01657C13"/>
    <w:rsid w:val="016A6FD7"/>
    <w:rsid w:val="017B11E4"/>
    <w:rsid w:val="017D6F03"/>
    <w:rsid w:val="017F049C"/>
    <w:rsid w:val="018067FB"/>
    <w:rsid w:val="01826A17"/>
    <w:rsid w:val="01852063"/>
    <w:rsid w:val="01853E11"/>
    <w:rsid w:val="01877B89"/>
    <w:rsid w:val="01995B0E"/>
    <w:rsid w:val="019B53E2"/>
    <w:rsid w:val="01A324E9"/>
    <w:rsid w:val="01A71FD9"/>
    <w:rsid w:val="01A8043A"/>
    <w:rsid w:val="01A93FA3"/>
    <w:rsid w:val="01AA1AC9"/>
    <w:rsid w:val="01AA7D1B"/>
    <w:rsid w:val="01AE15BA"/>
    <w:rsid w:val="01B34E22"/>
    <w:rsid w:val="01B36BD0"/>
    <w:rsid w:val="01B51D18"/>
    <w:rsid w:val="01C0309B"/>
    <w:rsid w:val="01C40DDD"/>
    <w:rsid w:val="01C54B55"/>
    <w:rsid w:val="01C73FAA"/>
    <w:rsid w:val="01C761D7"/>
    <w:rsid w:val="01CA3F1A"/>
    <w:rsid w:val="01CF32DE"/>
    <w:rsid w:val="01D84888"/>
    <w:rsid w:val="01DF5C17"/>
    <w:rsid w:val="01E36F4E"/>
    <w:rsid w:val="01E943A0"/>
    <w:rsid w:val="01EE7C08"/>
    <w:rsid w:val="01F1594A"/>
    <w:rsid w:val="01F824DC"/>
    <w:rsid w:val="01F82835"/>
    <w:rsid w:val="01FD42EF"/>
    <w:rsid w:val="02053C24"/>
    <w:rsid w:val="020C789B"/>
    <w:rsid w:val="020F4392"/>
    <w:rsid w:val="021A09FD"/>
    <w:rsid w:val="022950E4"/>
    <w:rsid w:val="02441F1E"/>
    <w:rsid w:val="02467A44"/>
    <w:rsid w:val="02502CBB"/>
    <w:rsid w:val="02571C51"/>
    <w:rsid w:val="02581525"/>
    <w:rsid w:val="025832D3"/>
    <w:rsid w:val="025A529E"/>
    <w:rsid w:val="025D6B3C"/>
    <w:rsid w:val="025F0B06"/>
    <w:rsid w:val="026003DA"/>
    <w:rsid w:val="02647ECA"/>
    <w:rsid w:val="02661E94"/>
    <w:rsid w:val="02685C0C"/>
    <w:rsid w:val="026B1259"/>
    <w:rsid w:val="026B74AB"/>
    <w:rsid w:val="027A5940"/>
    <w:rsid w:val="027F6AB2"/>
    <w:rsid w:val="02816CCE"/>
    <w:rsid w:val="028265A2"/>
    <w:rsid w:val="02832A46"/>
    <w:rsid w:val="028B18FB"/>
    <w:rsid w:val="028C2486"/>
    <w:rsid w:val="028E13EB"/>
    <w:rsid w:val="02933D80"/>
    <w:rsid w:val="029702A0"/>
    <w:rsid w:val="02A12ECC"/>
    <w:rsid w:val="02AD1871"/>
    <w:rsid w:val="02AE55E9"/>
    <w:rsid w:val="02C10E79"/>
    <w:rsid w:val="02C646E1"/>
    <w:rsid w:val="02D50DC8"/>
    <w:rsid w:val="02D52B76"/>
    <w:rsid w:val="02DA1F3A"/>
    <w:rsid w:val="02DA4630"/>
    <w:rsid w:val="02E66B31"/>
    <w:rsid w:val="02EE59E6"/>
    <w:rsid w:val="02F05C02"/>
    <w:rsid w:val="02F46D17"/>
    <w:rsid w:val="02FE031F"/>
    <w:rsid w:val="0301396B"/>
    <w:rsid w:val="03082F4B"/>
    <w:rsid w:val="030975F5"/>
    <w:rsid w:val="03101E00"/>
    <w:rsid w:val="03127926"/>
    <w:rsid w:val="031418F0"/>
    <w:rsid w:val="031A67DB"/>
    <w:rsid w:val="03261624"/>
    <w:rsid w:val="032D29B2"/>
    <w:rsid w:val="03323B24"/>
    <w:rsid w:val="03327FC8"/>
    <w:rsid w:val="03343D40"/>
    <w:rsid w:val="033B50CF"/>
    <w:rsid w:val="033E4BBF"/>
    <w:rsid w:val="033E696D"/>
    <w:rsid w:val="034675D0"/>
    <w:rsid w:val="035A360D"/>
    <w:rsid w:val="035D3297"/>
    <w:rsid w:val="03655CA8"/>
    <w:rsid w:val="036F4D79"/>
    <w:rsid w:val="0370464D"/>
    <w:rsid w:val="03764359"/>
    <w:rsid w:val="0388408C"/>
    <w:rsid w:val="03887BE8"/>
    <w:rsid w:val="038A1BB2"/>
    <w:rsid w:val="038C592B"/>
    <w:rsid w:val="03920A67"/>
    <w:rsid w:val="03977E2B"/>
    <w:rsid w:val="039E1AF5"/>
    <w:rsid w:val="03A367D0"/>
    <w:rsid w:val="03A7145C"/>
    <w:rsid w:val="03AA4003"/>
    <w:rsid w:val="03B15391"/>
    <w:rsid w:val="03B325B7"/>
    <w:rsid w:val="03B409DD"/>
    <w:rsid w:val="03B629A7"/>
    <w:rsid w:val="03B86720"/>
    <w:rsid w:val="03BA3FB3"/>
    <w:rsid w:val="03BB7FBE"/>
    <w:rsid w:val="03C03826"/>
    <w:rsid w:val="03C2134C"/>
    <w:rsid w:val="03C2759E"/>
    <w:rsid w:val="03C926DB"/>
    <w:rsid w:val="03D36D1F"/>
    <w:rsid w:val="03D66BA6"/>
    <w:rsid w:val="03D96696"/>
    <w:rsid w:val="03E2554B"/>
    <w:rsid w:val="03EA43FF"/>
    <w:rsid w:val="03FB660C"/>
    <w:rsid w:val="03FF434E"/>
    <w:rsid w:val="040000C7"/>
    <w:rsid w:val="04071455"/>
    <w:rsid w:val="04161698"/>
    <w:rsid w:val="04212517"/>
    <w:rsid w:val="04253689"/>
    <w:rsid w:val="042751F8"/>
    <w:rsid w:val="04294F27"/>
    <w:rsid w:val="042A0CA0"/>
    <w:rsid w:val="042C4A18"/>
    <w:rsid w:val="042E69E2"/>
    <w:rsid w:val="04335DA6"/>
    <w:rsid w:val="04402271"/>
    <w:rsid w:val="04455BB0"/>
    <w:rsid w:val="044C6E68"/>
    <w:rsid w:val="045370A8"/>
    <w:rsid w:val="0462668B"/>
    <w:rsid w:val="04631773"/>
    <w:rsid w:val="04651CD8"/>
    <w:rsid w:val="04675A50"/>
    <w:rsid w:val="046917C8"/>
    <w:rsid w:val="046D15AC"/>
    <w:rsid w:val="04706FFA"/>
    <w:rsid w:val="047F0FEB"/>
    <w:rsid w:val="047F723D"/>
    <w:rsid w:val="04806B11"/>
    <w:rsid w:val="0482228F"/>
    <w:rsid w:val="04846602"/>
    <w:rsid w:val="04877EA0"/>
    <w:rsid w:val="048B7990"/>
    <w:rsid w:val="048C3708"/>
    <w:rsid w:val="049C6264"/>
    <w:rsid w:val="04A647CA"/>
    <w:rsid w:val="04AE18D1"/>
    <w:rsid w:val="04B213C1"/>
    <w:rsid w:val="04B74C29"/>
    <w:rsid w:val="04BA64C7"/>
    <w:rsid w:val="04BD38C2"/>
    <w:rsid w:val="04C410F4"/>
    <w:rsid w:val="04C56194"/>
    <w:rsid w:val="04C66C1A"/>
    <w:rsid w:val="04C9670A"/>
    <w:rsid w:val="04CA58BB"/>
    <w:rsid w:val="04D806FC"/>
    <w:rsid w:val="04DD5D12"/>
    <w:rsid w:val="04E15802"/>
    <w:rsid w:val="04E23328"/>
    <w:rsid w:val="04E60F50"/>
    <w:rsid w:val="04E86B91"/>
    <w:rsid w:val="04EE0073"/>
    <w:rsid w:val="04FA68C4"/>
    <w:rsid w:val="04FF3EDA"/>
    <w:rsid w:val="05014F82"/>
    <w:rsid w:val="05017C52"/>
    <w:rsid w:val="050339CA"/>
    <w:rsid w:val="050F6813"/>
    <w:rsid w:val="051756C8"/>
    <w:rsid w:val="051931EE"/>
    <w:rsid w:val="051F632A"/>
    <w:rsid w:val="05263B5D"/>
    <w:rsid w:val="052F2A11"/>
    <w:rsid w:val="053C512E"/>
    <w:rsid w:val="0548762F"/>
    <w:rsid w:val="05495D59"/>
    <w:rsid w:val="055E32F7"/>
    <w:rsid w:val="05600E1D"/>
    <w:rsid w:val="056326BB"/>
    <w:rsid w:val="056A1C9B"/>
    <w:rsid w:val="056D52E8"/>
    <w:rsid w:val="0571302A"/>
    <w:rsid w:val="057A17B3"/>
    <w:rsid w:val="057F6DC9"/>
    <w:rsid w:val="0585028E"/>
    <w:rsid w:val="05856AD5"/>
    <w:rsid w:val="05880374"/>
    <w:rsid w:val="0588403E"/>
    <w:rsid w:val="058C1C12"/>
    <w:rsid w:val="05976809"/>
    <w:rsid w:val="059E7B97"/>
    <w:rsid w:val="05A056BD"/>
    <w:rsid w:val="05A14F91"/>
    <w:rsid w:val="05A54A82"/>
    <w:rsid w:val="05A625A8"/>
    <w:rsid w:val="05AA02EA"/>
    <w:rsid w:val="05AD7DDA"/>
    <w:rsid w:val="05B11678"/>
    <w:rsid w:val="05B178CA"/>
    <w:rsid w:val="05B747B5"/>
    <w:rsid w:val="05BA7615"/>
    <w:rsid w:val="05BD6A04"/>
    <w:rsid w:val="05BE78F1"/>
    <w:rsid w:val="05C0366A"/>
    <w:rsid w:val="05C3315A"/>
    <w:rsid w:val="05C46A6C"/>
    <w:rsid w:val="05C55124"/>
    <w:rsid w:val="05CC64B2"/>
    <w:rsid w:val="05CF1AFF"/>
    <w:rsid w:val="05D9472B"/>
    <w:rsid w:val="05E337FC"/>
    <w:rsid w:val="05EA2DDC"/>
    <w:rsid w:val="05EC08CC"/>
    <w:rsid w:val="05FB28F4"/>
    <w:rsid w:val="06020126"/>
    <w:rsid w:val="0607573C"/>
    <w:rsid w:val="060F2843"/>
    <w:rsid w:val="06157F79"/>
    <w:rsid w:val="061A77B9"/>
    <w:rsid w:val="061E65E2"/>
    <w:rsid w:val="062A5DF7"/>
    <w:rsid w:val="0639341C"/>
    <w:rsid w:val="063E0A32"/>
    <w:rsid w:val="06426774"/>
    <w:rsid w:val="064E336B"/>
    <w:rsid w:val="065A1D10"/>
    <w:rsid w:val="06606BFB"/>
    <w:rsid w:val="0661309E"/>
    <w:rsid w:val="06691F53"/>
    <w:rsid w:val="0671705A"/>
    <w:rsid w:val="06744454"/>
    <w:rsid w:val="06764670"/>
    <w:rsid w:val="067A4160"/>
    <w:rsid w:val="068838F4"/>
    <w:rsid w:val="068943A3"/>
    <w:rsid w:val="06915006"/>
    <w:rsid w:val="06982838"/>
    <w:rsid w:val="069845E6"/>
    <w:rsid w:val="06A64F55"/>
    <w:rsid w:val="06AE5BB8"/>
    <w:rsid w:val="06B331CE"/>
    <w:rsid w:val="06B86A37"/>
    <w:rsid w:val="06BC017A"/>
    <w:rsid w:val="06BF6017"/>
    <w:rsid w:val="06C13B3D"/>
    <w:rsid w:val="06C23306"/>
    <w:rsid w:val="06C74ECC"/>
    <w:rsid w:val="06CC4290"/>
    <w:rsid w:val="06CE1DB6"/>
    <w:rsid w:val="06D3561E"/>
    <w:rsid w:val="06D66EBD"/>
    <w:rsid w:val="06DE0942"/>
    <w:rsid w:val="06E11AE9"/>
    <w:rsid w:val="06E8731C"/>
    <w:rsid w:val="06EC048E"/>
    <w:rsid w:val="06FD269B"/>
    <w:rsid w:val="07002A6E"/>
    <w:rsid w:val="07035F04"/>
    <w:rsid w:val="07097292"/>
    <w:rsid w:val="070B6B66"/>
    <w:rsid w:val="070E48A8"/>
    <w:rsid w:val="07133C6D"/>
    <w:rsid w:val="071C0D73"/>
    <w:rsid w:val="07222102"/>
    <w:rsid w:val="07230354"/>
    <w:rsid w:val="0727608A"/>
    <w:rsid w:val="07283BBC"/>
    <w:rsid w:val="072F6D5A"/>
    <w:rsid w:val="0730481F"/>
    <w:rsid w:val="07320597"/>
    <w:rsid w:val="07342561"/>
    <w:rsid w:val="073863F0"/>
    <w:rsid w:val="073C7668"/>
    <w:rsid w:val="07434552"/>
    <w:rsid w:val="07462294"/>
    <w:rsid w:val="074A1D85"/>
    <w:rsid w:val="074E2EF7"/>
    <w:rsid w:val="07521BCF"/>
    <w:rsid w:val="075343FA"/>
    <w:rsid w:val="07603356"/>
    <w:rsid w:val="076369A2"/>
    <w:rsid w:val="076B2C9B"/>
    <w:rsid w:val="07702E6D"/>
    <w:rsid w:val="07726BE5"/>
    <w:rsid w:val="077645A8"/>
    <w:rsid w:val="077B0190"/>
    <w:rsid w:val="077C1812"/>
    <w:rsid w:val="0781507A"/>
    <w:rsid w:val="07832BA1"/>
    <w:rsid w:val="07837045"/>
    <w:rsid w:val="078E1545"/>
    <w:rsid w:val="0790350F"/>
    <w:rsid w:val="07941252"/>
    <w:rsid w:val="079500F6"/>
    <w:rsid w:val="07A36FBB"/>
    <w:rsid w:val="07A47A72"/>
    <w:rsid w:val="07AD2313"/>
    <w:rsid w:val="07B0770E"/>
    <w:rsid w:val="07C05BA3"/>
    <w:rsid w:val="07C733D5"/>
    <w:rsid w:val="07CA07CF"/>
    <w:rsid w:val="07CB4548"/>
    <w:rsid w:val="07D10E55"/>
    <w:rsid w:val="07D17DB0"/>
    <w:rsid w:val="07D93108"/>
    <w:rsid w:val="07D94EB6"/>
    <w:rsid w:val="07E15B19"/>
    <w:rsid w:val="07EF6488"/>
    <w:rsid w:val="07F12B74"/>
    <w:rsid w:val="07F27D26"/>
    <w:rsid w:val="07F65A68"/>
    <w:rsid w:val="08000695"/>
    <w:rsid w:val="080812F8"/>
    <w:rsid w:val="0811757F"/>
    <w:rsid w:val="081952B3"/>
    <w:rsid w:val="081B102B"/>
    <w:rsid w:val="081E4FBF"/>
    <w:rsid w:val="082243E1"/>
    <w:rsid w:val="082500FC"/>
    <w:rsid w:val="0826379E"/>
    <w:rsid w:val="08283748"/>
    <w:rsid w:val="08297BEC"/>
    <w:rsid w:val="082C154D"/>
    <w:rsid w:val="082F6A2F"/>
    <w:rsid w:val="0831084F"/>
    <w:rsid w:val="0837398B"/>
    <w:rsid w:val="08381BDD"/>
    <w:rsid w:val="083B4644"/>
    <w:rsid w:val="083C7EB4"/>
    <w:rsid w:val="08420CAE"/>
    <w:rsid w:val="0849771D"/>
    <w:rsid w:val="084A1910"/>
    <w:rsid w:val="0858402D"/>
    <w:rsid w:val="085B3B1D"/>
    <w:rsid w:val="085D4452"/>
    <w:rsid w:val="08601134"/>
    <w:rsid w:val="0863510B"/>
    <w:rsid w:val="086A1FB2"/>
    <w:rsid w:val="086E4482"/>
    <w:rsid w:val="086F75C9"/>
    <w:rsid w:val="08732C15"/>
    <w:rsid w:val="087D5842"/>
    <w:rsid w:val="087D5F38"/>
    <w:rsid w:val="088210AA"/>
    <w:rsid w:val="08836BD0"/>
    <w:rsid w:val="08892439"/>
    <w:rsid w:val="088E3EF3"/>
    <w:rsid w:val="088F5575"/>
    <w:rsid w:val="08900DDB"/>
    <w:rsid w:val="089645E3"/>
    <w:rsid w:val="089D4136"/>
    <w:rsid w:val="08A059D4"/>
    <w:rsid w:val="08A35757"/>
    <w:rsid w:val="08A52FEB"/>
    <w:rsid w:val="08A70B11"/>
    <w:rsid w:val="08A90D2D"/>
    <w:rsid w:val="08A91BD9"/>
    <w:rsid w:val="08AC25CB"/>
    <w:rsid w:val="08B6248C"/>
    <w:rsid w:val="08BA0844"/>
    <w:rsid w:val="08C2594B"/>
    <w:rsid w:val="08C416C3"/>
    <w:rsid w:val="08D13DE0"/>
    <w:rsid w:val="08DB04DD"/>
    <w:rsid w:val="08DB07BA"/>
    <w:rsid w:val="08E104C7"/>
    <w:rsid w:val="08E458C1"/>
    <w:rsid w:val="08E73603"/>
    <w:rsid w:val="08EE04EE"/>
    <w:rsid w:val="08F051EE"/>
    <w:rsid w:val="08F569A6"/>
    <w:rsid w:val="08F63846"/>
    <w:rsid w:val="08F655F4"/>
    <w:rsid w:val="08FF26FB"/>
    <w:rsid w:val="090146C5"/>
    <w:rsid w:val="090569B5"/>
    <w:rsid w:val="090D12BC"/>
    <w:rsid w:val="092036B8"/>
    <w:rsid w:val="09212671"/>
    <w:rsid w:val="09242161"/>
    <w:rsid w:val="09271C52"/>
    <w:rsid w:val="092B34F0"/>
    <w:rsid w:val="0933651B"/>
    <w:rsid w:val="09336848"/>
    <w:rsid w:val="093A3733"/>
    <w:rsid w:val="093D1475"/>
    <w:rsid w:val="094338E5"/>
    <w:rsid w:val="09476E41"/>
    <w:rsid w:val="094A4572"/>
    <w:rsid w:val="09526CCE"/>
    <w:rsid w:val="09554A11"/>
    <w:rsid w:val="095A3DD5"/>
    <w:rsid w:val="095F763D"/>
    <w:rsid w:val="096133B5"/>
    <w:rsid w:val="09672750"/>
    <w:rsid w:val="097A4477"/>
    <w:rsid w:val="097F1A8E"/>
    <w:rsid w:val="098350DA"/>
    <w:rsid w:val="09945417"/>
    <w:rsid w:val="099512B1"/>
    <w:rsid w:val="09954128"/>
    <w:rsid w:val="09954E0D"/>
    <w:rsid w:val="09AA4D5C"/>
    <w:rsid w:val="09B2776D"/>
    <w:rsid w:val="09B554AF"/>
    <w:rsid w:val="09BF1E8A"/>
    <w:rsid w:val="09D516AE"/>
    <w:rsid w:val="09DC0C8E"/>
    <w:rsid w:val="09DC2A3C"/>
    <w:rsid w:val="09E33DCA"/>
    <w:rsid w:val="09E813E1"/>
    <w:rsid w:val="09EA33AB"/>
    <w:rsid w:val="09ED2E9B"/>
    <w:rsid w:val="09EF451D"/>
    <w:rsid w:val="09F752D9"/>
    <w:rsid w:val="09F75AC8"/>
    <w:rsid w:val="09F935EE"/>
    <w:rsid w:val="09FC6C3A"/>
    <w:rsid w:val="0A0124A3"/>
    <w:rsid w:val="0A0A57FB"/>
    <w:rsid w:val="0A1C108A"/>
    <w:rsid w:val="0A2301C0"/>
    <w:rsid w:val="0A2A62B8"/>
    <w:rsid w:val="0A2F0DBE"/>
    <w:rsid w:val="0A312D88"/>
    <w:rsid w:val="0A36039E"/>
    <w:rsid w:val="0A3B3C06"/>
    <w:rsid w:val="0A3C34DB"/>
    <w:rsid w:val="0A410AF1"/>
    <w:rsid w:val="0A434869"/>
    <w:rsid w:val="0A4725AB"/>
    <w:rsid w:val="0A4A209B"/>
    <w:rsid w:val="0A4A5BF8"/>
    <w:rsid w:val="0A5627EE"/>
    <w:rsid w:val="0A5B6057"/>
    <w:rsid w:val="0A656ED5"/>
    <w:rsid w:val="0A6A0048"/>
    <w:rsid w:val="0A6C237D"/>
    <w:rsid w:val="0A717024"/>
    <w:rsid w:val="0A787564"/>
    <w:rsid w:val="0A7B2255"/>
    <w:rsid w:val="0A7F7F97"/>
    <w:rsid w:val="0A8235E3"/>
    <w:rsid w:val="0A8A693C"/>
    <w:rsid w:val="0A8C6210"/>
    <w:rsid w:val="0A8F7AAE"/>
    <w:rsid w:val="0A933DE7"/>
    <w:rsid w:val="0A9357F1"/>
    <w:rsid w:val="0A9F23E7"/>
    <w:rsid w:val="0AA277E2"/>
    <w:rsid w:val="0AA90B70"/>
    <w:rsid w:val="0AAA2B3A"/>
    <w:rsid w:val="0AAC3684"/>
    <w:rsid w:val="0AB17A25"/>
    <w:rsid w:val="0AB80DB3"/>
    <w:rsid w:val="0ABB4D47"/>
    <w:rsid w:val="0ABD286D"/>
    <w:rsid w:val="0ABF0394"/>
    <w:rsid w:val="0ABF1974"/>
    <w:rsid w:val="0AC01B55"/>
    <w:rsid w:val="0AC41E4E"/>
    <w:rsid w:val="0AC7268D"/>
    <w:rsid w:val="0AC7549A"/>
    <w:rsid w:val="0ACA6D38"/>
    <w:rsid w:val="0AD100C7"/>
    <w:rsid w:val="0AD33E3F"/>
    <w:rsid w:val="0AD665DD"/>
    <w:rsid w:val="0AD876A7"/>
    <w:rsid w:val="0ADB70D2"/>
    <w:rsid w:val="0AE465EC"/>
    <w:rsid w:val="0AE55920"/>
    <w:rsid w:val="0AE778EA"/>
    <w:rsid w:val="0AEA2F37"/>
    <w:rsid w:val="0AEB73DB"/>
    <w:rsid w:val="0AEC6CAF"/>
    <w:rsid w:val="0AF049F1"/>
    <w:rsid w:val="0AF10769"/>
    <w:rsid w:val="0AF67B2D"/>
    <w:rsid w:val="0AF81AF7"/>
    <w:rsid w:val="0AFA5870"/>
    <w:rsid w:val="0B04224A"/>
    <w:rsid w:val="0B044101"/>
    <w:rsid w:val="0B073AE9"/>
    <w:rsid w:val="0B1C0FE7"/>
    <w:rsid w:val="0B1F0E32"/>
    <w:rsid w:val="0B1F7084"/>
    <w:rsid w:val="0B226B74"/>
    <w:rsid w:val="0B2428ED"/>
    <w:rsid w:val="0B24469B"/>
    <w:rsid w:val="0B2B5A29"/>
    <w:rsid w:val="0B2C17A1"/>
    <w:rsid w:val="0B3568A8"/>
    <w:rsid w:val="0B3570AC"/>
    <w:rsid w:val="0B3643CE"/>
    <w:rsid w:val="0B364F7A"/>
    <w:rsid w:val="0B380146"/>
    <w:rsid w:val="0B381EF4"/>
    <w:rsid w:val="0B3D750A"/>
    <w:rsid w:val="0B420FC5"/>
    <w:rsid w:val="0B470389"/>
    <w:rsid w:val="0B5352E0"/>
    <w:rsid w:val="0B536D2E"/>
    <w:rsid w:val="0B5C3E34"/>
    <w:rsid w:val="0B6D6042"/>
    <w:rsid w:val="0B6E0D48"/>
    <w:rsid w:val="0B7C6285"/>
    <w:rsid w:val="0B8415DD"/>
    <w:rsid w:val="0B896BF3"/>
    <w:rsid w:val="0B923CFA"/>
    <w:rsid w:val="0B974E6D"/>
    <w:rsid w:val="0B9A5A90"/>
    <w:rsid w:val="0B9F6417"/>
    <w:rsid w:val="0BA23811"/>
    <w:rsid w:val="0BA650B0"/>
    <w:rsid w:val="0BAE21B6"/>
    <w:rsid w:val="0BAF665A"/>
    <w:rsid w:val="0BB2614A"/>
    <w:rsid w:val="0BB772BD"/>
    <w:rsid w:val="0BBA4FFF"/>
    <w:rsid w:val="0BBC2B25"/>
    <w:rsid w:val="0BBE4AEF"/>
    <w:rsid w:val="0BC47C2C"/>
    <w:rsid w:val="0BCD6AE0"/>
    <w:rsid w:val="0BD22349"/>
    <w:rsid w:val="0BD7795F"/>
    <w:rsid w:val="0BDE2A9B"/>
    <w:rsid w:val="0BE67BA2"/>
    <w:rsid w:val="0BF4406D"/>
    <w:rsid w:val="0BFB189F"/>
    <w:rsid w:val="0BFE313E"/>
    <w:rsid w:val="0C006EB6"/>
    <w:rsid w:val="0C030754"/>
    <w:rsid w:val="0C063B21"/>
    <w:rsid w:val="0C0C2939"/>
    <w:rsid w:val="0C126BE9"/>
    <w:rsid w:val="0C191D25"/>
    <w:rsid w:val="0C197F77"/>
    <w:rsid w:val="0C1A784C"/>
    <w:rsid w:val="0C1C7A68"/>
    <w:rsid w:val="0C2506CA"/>
    <w:rsid w:val="0C344DB1"/>
    <w:rsid w:val="0C3B5596"/>
    <w:rsid w:val="0C3E178C"/>
    <w:rsid w:val="0C434FF4"/>
    <w:rsid w:val="0C517711"/>
    <w:rsid w:val="0C525237"/>
    <w:rsid w:val="0C590374"/>
    <w:rsid w:val="0C5E598A"/>
    <w:rsid w:val="0C6531BD"/>
    <w:rsid w:val="0C655314"/>
    <w:rsid w:val="0C6913DD"/>
    <w:rsid w:val="0C6D2071"/>
    <w:rsid w:val="0C6E02C3"/>
    <w:rsid w:val="0C774C9E"/>
    <w:rsid w:val="0C776A4C"/>
    <w:rsid w:val="0C7927C4"/>
    <w:rsid w:val="0C7D0506"/>
    <w:rsid w:val="0C833643"/>
    <w:rsid w:val="0C874EE1"/>
    <w:rsid w:val="0C8F023A"/>
    <w:rsid w:val="0C945E53"/>
    <w:rsid w:val="0C992E66"/>
    <w:rsid w:val="0C9D4705"/>
    <w:rsid w:val="0C9F66CF"/>
    <w:rsid w:val="0CA21D1B"/>
    <w:rsid w:val="0CA84E57"/>
    <w:rsid w:val="0CB41A4E"/>
    <w:rsid w:val="0CB90E13"/>
    <w:rsid w:val="0CBB0E06"/>
    <w:rsid w:val="0CBB2DDD"/>
    <w:rsid w:val="0CC223BD"/>
    <w:rsid w:val="0CC55A09"/>
    <w:rsid w:val="0CC71781"/>
    <w:rsid w:val="0CCC0564"/>
    <w:rsid w:val="0CCF6888"/>
    <w:rsid w:val="0CD01D3C"/>
    <w:rsid w:val="0CE51C08"/>
    <w:rsid w:val="0CE65002"/>
    <w:rsid w:val="0CE916F8"/>
    <w:rsid w:val="0CE9794A"/>
    <w:rsid w:val="0CEF11A8"/>
    <w:rsid w:val="0CF12CA2"/>
    <w:rsid w:val="0CF307C8"/>
    <w:rsid w:val="0CF66889"/>
    <w:rsid w:val="0D0429D6"/>
    <w:rsid w:val="0D091D9A"/>
    <w:rsid w:val="0D097FEC"/>
    <w:rsid w:val="0D0E73B0"/>
    <w:rsid w:val="0D1515D0"/>
    <w:rsid w:val="0D162709"/>
    <w:rsid w:val="0D166265"/>
    <w:rsid w:val="0D1F336B"/>
    <w:rsid w:val="0D244E26"/>
    <w:rsid w:val="0D2C5A88"/>
    <w:rsid w:val="0D2E35AF"/>
    <w:rsid w:val="0D322DD4"/>
    <w:rsid w:val="0D336E17"/>
    <w:rsid w:val="0D341F2A"/>
    <w:rsid w:val="0D350DE1"/>
    <w:rsid w:val="0D35493D"/>
    <w:rsid w:val="0D374B59"/>
    <w:rsid w:val="0D380E95"/>
    <w:rsid w:val="0D38442D"/>
    <w:rsid w:val="0D3A1F53"/>
    <w:rsid w:val="0D3D7C96"/>
    <w:rsid w:val="0D4023C2"/>
    <w:rsid w:val="0D411534"/>
    <w:rsid w:val="0D4234FE"/>
    <w:rsid w:val="0D42705A"/>
    <w:rsid w:val="0D441024"/>
    <w:rsid w:val="0D4A5F0F"/>
    <w:rsid w:val="0D556D8D"/>
    <w:rsid w:val="0D5D20E6"/>
    <w:rsid w:val="0D5D3E94"/>
    <w:rsid w:val="0D696CDD"/>
    <w:rsid w:val="0D6E7E4F"/>
    <w:rsid w:val="0D7336B7"/>
    <w:rsid w:val="0D735465"/>
    <w:rsid w:val="0D7A2C98"/>
    <w:rsid w:val="0D7F02AE"/>
    <w:rsid w:val="0D896A37"/>
    <w:rsid w:val="0D904269"/>
    <w:rsid w:val="0D907DC5"/>
    <w:rsid w:val="0D913B3D"/>
    <w:rsid w:val="0D9378B6"/>
    <w:rsid w:val="0D9E6986"/>
    <w:rsid w:val="0DA41AC3"/>
    <w:rsid w:val="0DA6000F"/>
    <w:rsid w:val="0DA6583B"/>
    <w:rsid w:val="0DB55A7E"/>
    <w:rsid w:val="0DBE0DD6"/>
    <w:rsid w:val="0DBF4B4E"/>
    <w:rsid w:val="0DC14423"/>
    <w:rsid w:val="0DC45CC1"/>
    <w:rsid w:val="0DC61A39"/>
    <w:rsid w:val="0DD26630"/>
    <w:rsid w:val="0DD71E98"/>
    <w:rsid w:val="0DD8176C"/>
    <w:rsid w:val="0DDD6D83"/>
    <w:rsid w:val="0DE14AC5"/>
    <w:rsid w:val="0DE402D0"/>
    <w:rsid w:val="0DE85E53"/>
    <w:rsid w:val="0DF06AB6"/>
    <w:rsid w:val="0DF77E44"/>
    <w:rsid w:val="0DFE5677"/>
    <w:rsid w:val="0DFF319D"/>
    <w:rsid w:val="0E060087"/>
    <w:rsid w:val="0E0B38F0"/>
    <w:rsid w:val="0E1327A4"/>
    <w:rsid w:val="0E1704E7"/>
    <w:rsid w:val="0E1721A6"/>
    <w:rsid w:val="0E19600D"/>
    <w:rsid w:val="0E2449B2"/>
    <w:rsid w:val="0E303356"/>
    <w:rsid w:val="0E325320"/>
    <w:rsid w:val="0E3B2429"/>
    <w:rsid w:val="0E3E5A73"/>
    <w:rsid w:val="0E417312"/>
    <w:rsid w:val="0E44378C"/>
    <w:rsid w:val="0E462B7A"/>
    <w:rsid w:val="0E4A08BC"/>
    <w:rsid w:val="0E4A4418"/>
    <w:rsid w:val="0E4B19A7"/>
    <w:rsid w:val="0E527771"/>
    <w:rsid w:val="0E5C239D"/>
    <w:rsid w:val="0E5E7EC3"/>
    <w:rsid w:val="0E625C06"/>
    <w:rsid w:val="0E6F1FF4"/>
    <w:rsid w:val="0E707BF7"/>
    <w:rsid w:val="0E7C47EE"/>
    <w:rsid w:val="0E8042DE"/>
    <w:rsid w:val="0E80608C"/>
    <w:rsid w:val="0E883192"/>
    <w:rsid w:val="0E8C2C83"/>
    <w:rsid w:val="0E927B6D"/>
    <w:rsid w:val="0E941B37"/>
    <w:rsid w:val="0E9C0336"/>
    <w:rsid w:val="0EA16002"/>
    <w:rsid w:val="0EA77ABC"/>
    <w:rsid w:val="0EAF4BC3"/>
    <w:rsid w:val="0EB273A8"/>
    <w:rsid w:val="0EB761E3"/>
    <w:rsid w:val="0EBD108E"/>
    <w:rsid w:val="0EC87A33"/>
    <w:rsid w:val="0ED10695"/>
    <w:rsid w:val="0ED2440E"/>
    <w:rsid w:val="0ED40186"/>
    <w:rsid w:val="0ED71A24"/>
    <w:rsid w:val="0ED85EC8"/>
    <w:rsid w:val="0ED924DE"/>
    <w:rsid w:val="0ED939EE"/>
    <w:rsid w:val="0EE20AF5"/>
    <w:rsid w:val="0EE26D46"/>
    <w:rsid w:val="0EE43615"/>
    <w:rsid w:val="0EE766D7"/>
    <w:rsid w:val="0EEC54CF"/>
    <w:rsid w:val="0EF10D38"/>
    <w:rsid w:val="0EF600FC"/>
    <w:rsid w:val="0F026AA1"/>
    <w:rsid w:val="0F0F5662"/>
    <w:rsid w:val="0F2033CB"/>
    <w:rsid w:val="0F2263FD"/>
    <w:rsid w:val="0F2509E1"/>
    <w:rsid w:val="0F2D38D3"/>
    <w:rsid w:val="0F334EAC"/>
    <w:rsid w:val="0F3A448D"/>
    <w:rsid w:val="0F3B0205"/>
    <w:rsid w:val="0F4C2412"/>
    <w:rsid w:val="0F5074B0"/>
    <w:rsid w:val="0F5117D6"/>
    <w:rsid w:val="0F563291"/>
    <w:rsid w:val="0F59068B"/>
    <w:rsid w:val="0F5D461F"/>
    <w:rsid w:val="0F661726"/>
    <w:rsid w:val="0F670FFA"/>
    <w:rsid w:val="0F6B6D3C"/>
    <w:rsid w:val="0F6C03BE"/>
    <w:rsid w:val="0F6C38D2"/>
    <w:rsid w:val="0F6C4862"/>
    <w:rsid w:val="0F76748F"/>
    <w:rsid w:val="0F7925E2"/>
    <w:rsid w:val="0F7F00F1"/>
    <w:rsid w:val="0F824086"/>
    <w:rsid w:val="0F84395A"/>
    <w:rsid w:val="0F8B118C"/>
    <w:rsid w:val="0F917E25"/>
    <w:rsid w:val="0F955B67"/>
    <w:rsid w:val="0F96368D"/>
    <w:rsid w:val="0F9D0EBF"/>
    <w:rsid w:val="0F9D4A1B"/>
    <w:rsid w:val="0FA064F3"/>
    <w:rsid w:val="0FA364D6"/>
    <w:rsid w:val="0FA61B22"/>
    <w:rsid w:val="0FA97A45"/>
    <w:rsid w:val="0FAF605E"/>
    <w:rsid w:val="0FB25B2C"/>
    <w:rsid w:val="0FB3423F"/>
    <w:rsid w:val="0FB75E77"/>
    <w:rsid w:val="0FB81855"/>
    <w:rsid w:val="0FC1070A"/>
    <w:rsid w:val="0FC30926"/>
    <w:rsid w:val="0FC41FA8"/>
    <w:rsid w:val="0FC4644C"/>
    <w:rsid w:val="0FC85F3C"/>
    <w:rsid w:val="0FC87CEA"/>
    <w:rsid w:val="0FC93A62"/>
    <w:rsid w:val="0FC95811"/>
    <w:rsid w:val="0FDF3286"/>
    <w:rsid w:val="0FDF5034"/>
    <w:rsid w:val="0FF7412C"/>
    <w:rsid w:val="0FF747FD"/>
    <w:rsid w:val="0FFD3FC3"/>
    <w:rsid w:val="100E76C7"/>
    <w:rsid w:val="10150A56"/>
    <w:rsid w:val="101562EC"/>
    <w:rsid w:val="101A606C"/>
    <w:rsid w:val="101C3B92"/>
    <w:rsid w:val="101D6766"/>
    <w:rsid w:val="10240C99"/>
    <w:rsid w:val="10304BDC"/>
    <w:rsid w:val="10352EA6"/>
    <w:rsid w:val="10417A9D"/>
    <w:rsid w:val="10525806"/>
    <w:rsid w:val="105552F6"/>
    <w:rsid w:val="105B0B5E"/>
    <w:rsid w:val="105E23FD"/>
    <w:rsid w:val="106079A9"/>
    <w:rsid w:val="10675755"/>
    <w:rsid w:val="107514F4"/>
    <w:rsid w:val="107734BE"/>
    <w:rsid w:val="107F6714"/>
    <w:rsid w:val="10802373"/>
    <w:rsid w:val="108A1444"/>
    <w:rsid w:val="108D2CE2"/>
    <w:rsid w:val="109B53FF"/>
    <w:rsid w:val="109E0A4B"/>
    <w:rsid w:val="10A1053B"/>
    <w:rsid w:val="10A73DA4"/>
    <w:rsid w:val="10B1077E"/>
    <w:rsid w:val="10B169D0"/>
    <w:rsid w:val="10B4026F"/>
    <w:rsid w:val="10B93AD7"/>
    <w:rsid w:val="10BE4C49"/>
    <w:rsid w:val="10C761F4"/>
    <w:rsid w:val="10C77FA2"/>
    <w:rsid w:val="10CA1840"/>
    <w:rsid w:val="10CD1330"/>
    <w:rsid w:val="10DE52EC"/>
    <w:rsid w:val="10E2302E"/>
    <w:rsid w:val="10E741A0"/>
    <w:rsid w:val="10EB2191"/>
    <w:rsid w:val="10EC17B7"/>
    <w:rsid w:val="10EE19D3"/>
    <w:rsid w:val="10FB40F0"/>
    <w:rsid w:val="1108690A"/>
    <w:rsid w:val="110F1949"/>
    <w:rsid w:val="110F36F7"/>
    <w:rsid w:val="111807FE"/>
    <w:rsid w:val="111D7D2A"/>
    <w:rsid w:val="11290C5D"/>
    <w:rsid w:val="112A6783"/>
    <w:rsid w:val="113413B0"/>
    <w:rsid w:val="11382C4E"/>
    <w:rsid w:val="11452DE3"/>
    <w:rsid w:val="114F1D45"/>
    <w:rsid w:val="1154735C"/>
    <w:rsid w:val="11551A52"/>
    <w:rsid w:val="11555572"/>
    <w:rsid w:val="116B3023"/>
    <w:rsid w:val="116E2B13"/>
    <w:rsid w:val="116E6670"/>
    <w:rsid w:val="116F23E8"/>
    <w:rsid w:val="1179579B"/>
    <w:rsid w:val="117D4B05"/>
    <w:rsid w:val="11877E6D"/>
    <w:rsid w:val="118934A9"/>
    <w:rsid w:val="118A1C40"/>
    <w:rsid w:val="118C11EC"/>
    <w:rsid w:val="118C2F9A"/>
    <w:rsid w:val="118F277F"/>
    <w:rsid w:val="118F51CC"/>
    <w:rsid w:val="11967974"/>
    <w:rsid w:val="119679FB"/>
    <w:rsid w:val="11991213"/>
    <w:rsid w:val="11A958FA"/>
    <w:rsid w:val="11AB78C4"/>
    <w:rsid w:val="11B61DC5"/>
    <w:rsid w:val="11BF336F"/>
    <w:rsid w:val="11C73FD2"/>
    <w:rsid w:val="11C75D80"/>
    <w:rsid w:val="11CC3396"/>
    <w:rsid w:val="11D02E86"/>
    <w:rsid w:val="11D84431"/>
    <w:rsid w:val="11DA1F57"/>
    <w:rsid w:val="11DA5AB3"/>
    <w:rsid w:val="11DA793F"/>
    <w:rsid w:val="11E15093"/>
    <w:rsid w:val="11E20E0C"/>
    <w:rsid w:val="11EB7CC0"/>
    <w:rsid w:val="11F12DFD"/>
    <w:rsid w:val="11F254F3"/>
    <w:rsid w:val="11F272A1"/>
    <w:rsid w:val="11F37536"/>
    <w:rsid w:val="11F50B3F"/>
    <w:rsid w:val="11FF551A"/>
    <w:rsid w:val="120C50A7"/>
    <w:rsid w:val="12135469"/>
    <w:rsid w:val="12192A7F"/>
    <w:rsid w:val="121D1E44"/>
    <w:rsid w:val="1222745A"/>
    <w:rsid w:val="12260CF8"/>
    <w:rsid w:val="12266F4A"/>
    <w:rsid w:val="122B27B2"/>
    <w:rsid w:val="1232769D"/>
    <w:rsid w:val="12331667"/>
    <w:rsid w:val="123875F4"/>
    <w:rsid w:val="123F1DBA"/>
    <w:rsid w:val="12483364"/>
    <w:rsid w:val="124949E7"/>
    <w:rsid w:val="12502219"/>
    <w:rsid w:val="1255782F"/>
    <w:rsid w:val="125910CE"/>
    <w:rsid w:val="125C6E10"/>
    <w:rsid w:val="12614426"/>
    <w:rsid w:val="12661A3D"/>
    <w:rsid w:val="126857B5"/>
    <w:rsid w:val="126E6D2B"/>
    <w:rsid w:val="127203E1"/>
    <w:rsid w:val="1279351E"/>
    <w:rsid w:val="12843C71"/>
    <w:rsid w:val="12844F29"/>
    <w:rsid w:val="128819B3"/>
    <w:rsid w:val="128D7801"/>
    <w:rsid w:val="12957C2C"/>
    <w:rsid w:val="129640D0"/>
    <w:rsid w:val="12A165D1"/>
    <w:rsid w:val="12B427A8"/>
    <w:rsid w:val="12B502CE"/>
    <w:rsid w:val="12B72298"/>
    <w:rsid w:val="12BA7692"/>
    <w:rsid w:val="12C0739F"/>
    <w:rsid w:val="12C30C3D"/>
    <w:rsid w:val="12C549B5"/>
    <w:rsid w:val="12D746E8"/>
    <w:rsid w:val="12D90460"/>
    <w:rsid w:val="12E070F9"/>
    <w:rsid w:val="12E806A4"/>
    <w:rsid w:val="12E82452"/>
    <w:rsid w:val="12EA12C6"/>
    <w:rsid w:val="12EA7F78"/>
    <w:rsid w:val="12ED3C46"/>
    <w:rsid w:val="12F15453"/>
    <w:rsid w:val="12F17558"/>
    <w:rsid w:val="12F928B1"/>
    <w:rsid w:val="12FE7EC7"/>
    <w:rsid w:val="130152C1"/>
    <w:rsid w:val="13053004"/>
    <w:rsid w:val="13082AF4"/>
    <w:rsid w:val="13143247"/>
    <w:rsid w:val="131E5E73"/>
    <w:rsid w:val="132536A6"/>
    <w:rsid w:val="13286CF2"/>
    <w:rsid w:val="132A2A6A"/>
    <w:rsid w:val="132F6B1C"/>
    <w:rsid w:val="1331204B"/>
    <w:rsid w:val="1332191F"/>
    <w:rsid w:val="13392CAD"/>
    <w:rsid w:val="133B07D3"/>
    <w:rsid w:val="133D279D"/>
    <w:rsid w:val="133E02C4"/>
    <w:rsid w:val="133E2072"/>
    <w:rsid w:val="13444CE1"/>
    <w:rsid w:val="1347361C"/>
    <w:rsid w:val="1347448C"/>
    <w:rsid w:val="13511DA5"/>
    <w:rsid w:val="13541895"/>
    <w:rsid w:val="13561AB1"/>
    <w:rsid w:val="1356560D"/>
    <w:rsid w:val="13573133"/>
    <w:rsid w:val="13645F7C"/>
    <w:rsid w:val="136A10B9"/>
    <w:rsid w:val="13712447"/>
    <w:rsid w:val="137141F5"/>
    <w:rsid w:val="13826402"/>
    <w:rsid w:val="13873A19"/>
    <w:rsid w:val="13897791"/>
    <w:rsid w:val="138A5FE6"/>
    <w:rsid w:val="138F28CD"/>
    <w:rsid w:val="139454AD"/>
    <w:rsid w:val="13985D29"/>
    <w:rsid w:val="1399374C"/>
    <w:rsid w:val="139C59AD"/>
    <w:rsid w:val="139E0D62"/>
    <w:rsid w:val="13A17282"/>
    <w:rsid w:val="13A24CF6"/>
    <w:rsid w:val="13A91BE1"/>
    <w:rsid w:val="13AF4D1D"/>
    <w:rsid w:val="13B50FA2"/>
    <w:rsid w:val="13C06F2A"/>
    <w:rsid w:val="13C46A1B"/>
    <w:rsid w:val="13C702B9"/>
    <w:rsid w:val="13CD5C93"/>
    <w:rsid w:val="13D1434E"/>
    <w:rsid w:val="13DD5D2E"/>
    <w:rsid w:val="13DF3855"/>
    <w:rsid w:val="13DF5603"/>
    <w:rsid w:val="13EB21F9"/>
    <w:rsid w:val="13ED41C3"/>
    <w:rsid w:val="13EE3A98"/>
    <w:rsid w:val="13F05A62"/>
    <w:rsid w:val="13F310AE"/>
    <w:rsid w:val="13F55BF3"/>
    <w:rsid w:val="13F84916"/>
    <w:rsid w:val="13FB39E8"/>
    <w:rsid w:val="13FD017F"/>
    <w:rsid w:val="13FD1F2D"/>
    <w:rsid w:val="140B289C"/>
    <w:rsid w:val="14101C60"/>
    <w:rsid w:val="14157276"/>
    <w:rsid w:val="141F00F5"/>
    <w:rsid w:val="142179C9"/>
    <w:rsid w:val="142B6A9A"/>
    <w:rsid w:val="1432607A"/>
    <w:rsid w:val="14340235"/>
    <w:rsid w:val="14377928"/>
    <w:rsid w:val="143F2545"/>
    <w:rsid w:val="143F60A1"/>
    <w:rsid w:val="14423DE3"/>
    <w:rsid w:val="14432035"/>
    <w:rsid w:val="14447B5C"/>
    <w:rsid w:val="14467430"/>
    <w:rsid w:val="1448764C"/>
    <w:rsid w:val="145002AE"/>
    <w:rsid w:val="14524026"/>
    <w:rsid w:val="1457788F"/>
    <w:rsid w:val="145F04F1"/>
    <w:rsid w:val="145F6743"/>
    <w:rsid w:val="14627FE2"/>
    <w:rsid w:val="146401FE"/>
    <w:rsid w:val="14643D5A"/>
    <w:rsid w:val="146855F8"/>
    <w:rsid w:val="146B50E8"/>
    <w:rsid w:val="146E3766"/>
    <w:rsid w:val="14706BA3"/>
    <w:rsid w:val="14720E4D"/>
    <w:rsid w:val="147E4E1C"/>
    <w:rsid w:val="1481490C"/>
    <w:rsid w:val="14861F22"/>
    <w:rsid w:val="14874B0C"/>
    <w:rsid w:val="148937C0"/>
    <w:rsid w:val="148E0DD7"/>
    <w:rsid w:val="14902DA1"/>
    <w:rsid w:val="14926B19"/>
    <w:rsid w:val="14972381"/>
    <w:rsid w:val="14977C8B"/>
    <w:rsid w:val="14AB1989"/>
    <w:rsid w:val="14AB3737"/>
    <w:rsid w:val="14B051F1"/>
    <w:rsid w:val="14BF5434"/>
    <w:rsid w:val="14C03686"/>
    <w:rsid w:val="14C64A14"/>
    <w:rsid w:val="14CB5B87"/>
    <w:rsid w:val="14D56B3C"/>
    <w:rsid w:val="14E135FC"/>
    <w:rsid w:val="14E46C49"/>
    <w:rsid w:val="14E60C13"/>
    <w:rsid w:val="14E82BDD"/>
    <w:rsid w:val="14EF5D19"/>
    <w:rsid w:val="14EF7AC7"/>
    <w:rsid w:val="14F21366"/>
    <w:rsid w:val="14F670A8"/>
    <w:rsid w:val="14F7697C"/>
    <w:rsid w:val="15086DDB"/>
    <w:rsid w:val="15090375"/>
    <w:rsid w:val="15095FBD"/>
    <w:rsid w:val="151D2886"/>
    <w:rsid w:val="15204125"/>
    <w:rsid w:val="1525173B"/>
    <w:rsid w:val="15284D87"/>
    <w:rsid w:val="152A0479"/>
    <w:rsid w:val="152D239E"/>
    <w:rsid w:val="152F6116"/>
    <w:rsid w:val="15347E88"/>
    <w:rsid w:val="153B4ABB"/>
    <w:rsid w:val="153E45AB"/>
    <w:rsid w:val="15406575"/>
    <w:rsid w:val="1542409B"/>
    <w:rsid w:val="155A1153"/>
    <w:rsid w:val="155F086C"/>
    <w:rsid w:val="156009C5"/>
    <w:rsid w:val="15610299"/>
    <w:rsid w:val="15634011"/>
    <w:rsid w:val="15655FDB"/>
    <w:rsid w:val="15681628"/>
    <w:rsid w:val="156A35F2"/>
    <w:rsid w:val="156D4E90"/>
    <w:rsid w:val="156F6E5A"/>
    <w:rsid w:val="15724254"/>
    <w:rsid w:val="157F6DE2"/>
    <w:rsid w:val="15826B8D"/>
    <w:rsid w:val="15836462"/>
    <w:rsid w:val="158521DA"/>
    <w:rsid w:val="158E72E0"/>
    <w:rsid w:val="1594066F"/>
    <w:rsid w:val="15997A33"/>
    <w:rsid w:val="159D39C7"/>
    <w:rsid w:val="15A12860"/>
    <w:rsid w:val="15A85EC8"/>
    <w:rsid w:val="15B36D47"/>
    <w:rsid w:val="15C32798"/>
    <w:rsid w:val="15CA22E2"/>
    <w:rsid w:val="15CE1DD3"/>
    <w:rsid w:val="15D078F9"/>
    <w:rsid w:val="15D13671"/>
    <w:rsid w:val="15DF5D8E"/>
    <w:rsid w:val="15E22455"/>
    <w:rsid w:val="15E769F0"/>
    <w:rsid w:val="15EC4007"/>
    <w:rsid w:val="15EE4223"/>
    <w:rsid w:val="15F555B1"/>
    <w:rsid w:val="15FB249C"/>
    <w:rsid w:val="15FF01DE"/>
    <w:rsid w:val="160457F4"/>
    <w:rsid w:val="160B0931"/>
    <w:rsid w:val="160C28FB"/>
    <w:rsid w:val="160C3677"/>
    <w:rsid w:val="16105F47"/>
    <w:rsid w:val="161D68B6"/>
    <w:rsid w:val="162072CD"/>
    <w:rsid w:val="162163A6"/>
    <w:rsid w:val="16273291"/>
    <w:rsid w:val="162B4B2F"/>
    <w:rsid w:val="162E0AC3"/>
    <w:rsid w:val="16355A10"/>
    <w:rsid w:val="16361726"/>
    <w:rsid w:val="163F05DA"/>
    <w:rsid w:val="1642631D"/>
    <w:rsid w:val="16443E43"/>
    <w:rsid w:val="16465E0D"/>
    <w:rsid w:val="164B6F7F"/>
    <w:rsid w:val="16571DC8"/>
    <w:rsid w:val="165878EE"/>
    <w:rsid w:val="166271D2"/>
    <w:rsid w:val="166718DF"/>
    <w:rsid w:val="166C5148"/>
    <w:rsid w:val="166E7112"/>
    <w:rsid w:val="16702E8A"/>
    <w:rsid w:val="16704C38"/>
    <w:rsid w:val="1675224E"/>
    <w:rsid w:val="167D1103"/>
    <w:rsid w:val="167D7355"/>
    <w:rsid w:val="167F30CD"/>
    <w:rsid w:val="169721C5"/>
    <w:rsid w:val="16976668"/>
    <w:rsid w:val="16A13043"/>
    <w:rsid w:val="16A14DF1"/>
    <w:rsid w:val="16A67991"/>
    <w:rsid w:val="16A82624"/>
    <w:rsid w:val="16A9014A"/>
    <w:rsid w:val="16AA639C"/>
    <w:rsid w:val="16AB5C70"/>
    <w:rsid w:val="16B0772A"/>
    <w:rsid w:val="16B9038D"/>
    <w:rsid w:val="16BA4105"/>
    <w:rsid w:val="16BE1E47"/>
    <w:rsid w:val="16C136E5"/>
    <w:rsid w:val="16C15493"/>
    <w:rsid w:val="16D276A1"/>
    <w:rsid w:val="16D90A2F"/>
    <w:rsid w:val="16DC59A2"/>
    <w:rsid w:val="16DE1BA1"/>
    <w:rsid w:val="16E82A20"/>
    <w:rsid w:val="16E864A5"/>
    <w:rsid w:val="16F70EB5"/>
    <w:rsid w:val="16F92E7F"/>
    <w:rsid w:val="17035549"/>
    <w:rsid w:val="17045380"/>
    <w:rsid w:val="170A508C"/>
    <w:rsid w:val="170D692B"/>
    <w:rsid w:val="171001C9"/>
    <w:rsid w:val="17103D25"/>
    <w:rsid w:val="17123F41"/>
    <w:rsid w:val="17141A67"/>
    <w:rsid w:val="171C4DC0"/>
    <w:rsid w:val="17253C74"/>
    <w:rsid w:val="17261870"/>
    <w:rsid w:val="172779EC"/>
    <w:rsid w:val="172A128B"/>
    <w:rsid w:val="172A3039"/>
    <w:rsid w:val="172C5003"/>
    <w:rsid w:val="172F064F"/>
    <w:rsid w:val="17312619"/>
    <w:rsid w:val="17321EED"/>
    <w:rsid w:val="17342109"/>
    <w:rsid w:val="173739A8"/>
    <w:rsid w:val="173B3498"/>
    <w:rsid w:val="173E0892"/>
    <w:rsid w:val="173E6AE4"/>
    <w:rsid w:val="17424826"/>
    <w:rsid w:val="174560C4"/>
    <w:rsid w:val="17471E3D"/>
    <w:rsid w:val="17514A69"/>
    <w:rsid w:val="175400B6"/>
    <w:rsid w:val="17544559"/>
    <w:rsid w:val="17546308"/>
    <w:rsid w:val="17591B70"/>
    <w:rsid w:val="1759391E"/>
    <w:rsid w:val="175C6F6A"/>
    <w:rsid w:val="17650515"/>
    <w:rsid w:val="17696CB3"/>
    <w:rsid w:val="176A78D9"/>
    <w:rsid w:val="17716EB9"/>
    <w:rsid w:val="178169D1"/>
    <w:rsid w:val="1787048B"/>
    <w:rsid w:val="17887D5F"/>
    <w:rsid w:val="17942BA8"/>
    <w:rsid w:val="179901BE"/>
    <w:rsid w:val="179E3A27"/>
    <w:rsid w:val="179E57D5"/>
    <w:rsid w:val="17A11CB7"/>
    <w:rsid w:val="17A27073"/>
    <w:rsid w:val="17A32DEB"/>
    <w:rsid w:val="17A821AF"/>
    <w:rsid w:val="17AA5F28"/>
    <w:rsid w:val="17B31280"/>
    <w:rsid w:val="17B46C9D"/>
    <w:rsid w:val="17B943BD"/>
    <w:rsid w:val="17BB6387"/>
    <w:rsid w:val="17BD3EAD"/>
    <w:rsid w:val="17C0399D"/>
    <w:rsid w:val="17C3523B"/>
    <w:rsid w:val="17C52D61"/>
    <w:rsid w:val="17C74D2B"/>
    <w:rsid w:val="17C90AA4"/>
    <w:rsid w:val="17D3547E"/>
    <w:rsid w:val="17D631C0"/>
    <w:rsid w:val="17E53404"/>
    <w:rsid w:val="17F13B56"/>
    <w:rsid w:val="17F673BF"/>
    <w:rsid w:val="17FA5823"/>
    <w:rsid w:val="17FD6AF1"/>
    <w:rsid w:val="18095344"/>
    <w:rsid w:val="180A4567"/>
    <w:rsid w:val="1810280F"/>
    <w:rsid w:val="1811244B"/>
    <w:rsid w:val="1816180F"/>
    <w:rsid w:val="18185587"/>
    <w:rsid w:val="182F467F"/>
    <w:rsid w:val="18381785"/>
    <w:rsid w:val="183A54FD"/>
    <w:rsid w:val="184046AD"/>
    <w:rsid w:val="184408D9"/>
    <w:rsid w:val="184719C8"/>
    <w:rsid w:val="18475E6C"/>
    <w:rsid w:val="18493992"/>
    <w:rsid w:val="184D48BD"/>
    <w:rsid w:val="18512847"/>
    <w:rsid w:val="1853659B"/>
    <w:rsid w:val="185540E5"/>
    <w:rsid w:val="18784278"/>
    <w:rsid w:val="18787DD4"/>
    <w:rsid w:val="187A3B4C"/>
    <w:rsid w:val="187A7FF0"/>
    <w:rsid w:val="1881389E"/>
    <w:rsid w:val="18834860"/>
    <w:rsid w:val="188C387F"/>
    <w:rsid w:val="189270E7"/>
    <w:rsid w:val="18954E2A"/>
    <w:rsid w:val="189B7D05"/>
    <w:rsid w:val="189E6E29"/>
    <w:rsid w:val="189F1804"/>
    <w:rsid w:val="18A8690B"/>
    <w:rsid w:val="18AB1F57"/>
    <w:rsid w:val="18B232E6"/>
    <w:rsid w:val="18B51028"/>
    <w:rsid w:val="18BC4164"/>
    <w:rsid w:val="18BF4CA1"/>
    <w:rsid w:val="18C54E6D"/>
    <w:rsid w:val="18CC3E8C"/>
    <w:rsid w:val="18CE3E98"/>
    <w:rsid w:val="18D72D4C"/>
    <w:rsid w:val="18DA6CE0"/>
    <w:rsid w:val="18DC65B5"/>
    <w:rsid w:val="18DD40DB"/>
    <w:rsid w:val="18E92A80"/>
    <w:rsid w:val="18EB2C9C"/>
    <w:rsid w:val="19056E87"/>
    <w:rsid w:val="1910661F"/>
    <w:rsid w:val="19143FA0"/>
    <w:rsid w:val="19183D6F"/>
    <w:rsid w:val="191F7228"/>
    <w:rsid w:val="19202945"/>
    <w:rsid w:val="192835A8"/>
    <w:rsid w:val="192D0BBE"/>
    <w:rsid w:val="19375EE1"/>
    <w:rsid w:val="193A32DB"/>
    <w:rsid w:val="1945415A"/>
    <w:rsid w:val="194A5C14"/>
    <w:rsid w:val="19566367"/>
    <w:rsid w:val="195A572B"/>
    <w:rsid w:val="195E16BF"/>
    <w:rsid w:val="19687E48"/>
    <w:rsid w:val="196B7938"/>
    <w:rsid w:val="19704F4F"/>
    <w:rsid w:val="19707D4F"/>
    <w:rsid w:val="19801636"/>
    <w:rsid w:val="19810F0A"/>
    <w:rsid w:val="1988673C"/>
    <w:rsid w:val="19962C07"/>
    <w:rsid w:val="199C5D44"/>
    <w:rsid w:val="199C7AF2"/>
    <w:rsid w:val="199E1ABC"/>
    <w:rsid w:val="199E386A"/>
    <w:rsid w:val="19A075E2"/>
    <w:rsid w:val="19B06735"/>
    <w:rsid w:val="19BB441C"/>
    <w:rsid w:val="19C21C4E"/>
    <w:rsid w:val="19C57049"/>
    <w:rsid w:val="19D02EB5"/>
    <w:rsid w:val="19D63004"/>
    <w:rsid w:val="19DB4ABE"/>
    <w:rsid w:val="19E716B5"/>
    <w:rsid w:val="19EA4D01"/>
    <w:rsid w:val="19EA6AAF"/>
    <w:rsid w:val="19F16090"/>
    <w:rsid w:val="19F636A6"/>
    <w:rsid w:val="19F93196"/>
    <w:rsid w:val="19FA13E8"/>
    <w:rsid w:val="19FE255B"/>
    <w:rsid w:val="19FF69FF"/>
    <w:rsid w:val="1A0A07EC"/>
    <w:rsid w:val="1A0C2EC9"/>
    <w:rsid w:val="1A1324AA"/>
    <w:rsid w:val="1A200723"/>
    <w:rsid w:val="1A231FC1"/>
    <w:rsid w:val="1A240213"/>
    <w:rsid w:val="1A2521DD"/>
    <w:rsid w:val="1A253F8B"/>
    <w:rsid w:val="1A27385F"/>
    <w:rsid w:val="1A294472"/>
    <w:rsid w:val="1A2975D8"/>
    <w:rsid w:val="1A385085"/>
    <w:rsid w:val="1A407D3A"/>
    <w:rsid w:val="1A4A39F2"/>
    <w:rsid w:val="1A4C1518"/>
    <w:rsid w:val="1A4E5290"/>
    <w:rsid w:val="1A55661F"/>
    <w:rsid w:val="1A5D3725"/>
    <w:rsid w:val="1A5F2FF9"/>
    <w:rsid w:val="1A606D71"/>
    <w:rsid w:val="1A641B0A"/>
    <w:rsid w:val="1A686637"/>
    <w:rsid w:val="1A6A7BF0"/>
    <w:rsid w:val="1A710F7F"/>
    <w:rsid w:val="1A750A6F"/>
    <w:rsid w:val="1A7C004F"/>
    <w:rsid w:val="1A7D0EB2"/>
    <w:rsid w:val="1A7D3DC7"/>
    <w:rsid w:val="1A8213DE"/>
    <w:rsid w:val="1A846F04"/>
    <w:rsid w:val="1A8567D8"/>
    <w:rsid w:val="1A86686D"/>
    <w:rsid w:val="1A8707A2"/>
    <w:rsid w:val="1A887069"/>
    <w:rsid w:val="1A9133CF"/>
    <w:rsid w:val="1A9609E5"/>
    <w:rsid w:val="1A9703C8"/>
    <w:rsid w:val="1A9C424D"/>
    <w:rsid w:val="1A9F3D3E"/>
    <w:rsid w:val="1A9F789A"/>
    <w:rsid w:val="1AA11864"/>
    <w:rsid w:val="1AAB623F"/>
    <w:rsid w:val="1AAE21D3"/>
    <w:rsid w:val="1AB175CD"/>
    <w:rsid w:val="1AB377E9"/>
    <w:rsid w:val="1ABA0B77"/>
    <w:rsid w:val="1ABF7F3C"/>
    <w:rsid w:val="1AC11F06"/>
    <w:rsid w:val="1AC13CB4"/>
    <w:rsid w:val="1ACB68E1"/>
    <w:rsid w:val="1AD05CA5"/>
    <w:rsid w:val="1AD3781C"/>
    <w:rsid w:val="1ADC6D40"/>
    <w:rsid w:val="1ADE4866"/>
    <w:rsid w:val="1AE14356"/>
    <w:rsid w:val="1AE6371B"/>
    <w:rsid w:val="1AF20311"/>
    <w:rsid w:val="1AF71484"/>
    <w:rsid w:val="1AF8344E"/>
    <w:rsid w:val="1AFE6CB6"/>
    <w:rsid w:val="1B0911B7"/>
    <w:rsid w:val="1B154000"/>
    <w:rsid w:val="1B26620D"/>
    <w:rsid w:val="1B2D759B"/>
    <w:rsid w:val="1B351FAC"/>
    <w:rsid w:val="1B3C333B"/>
    <w:rsid w:val="1B410951"/>
    <w:rsid w:val="1B4641B9"/>
    <w:rsid w:val="1B4A38B5"/>
    <w:rsid w:val="1B5508A0"/>
    <w:rsid w:val="1B5A7C65"/>
    <w:rsid w:val="1B612DA1"/>
    <w:rsid w:val="1B636B19"/>
    <w:rsid w:val="1B6603B7"/>
    <w:rsid w:val="1B697EA8"/>
    <w:rsid w:val="1B723200"/>
    <w:rsid w:val="1B742AD4"/>
    <w:rsid w:val="1B770817"/>
    <w:rsid w:val="1B7725C5"/>
    <w:rsid w:val="1B7900EB"/>
    <w:rsid w:val="1B7A20B5"/>
    <w:rsid w:val="1B822DAD"/>
    <w:rsid w:val="1B8C2514"/>
    <w:rsid w:val="1B8D3B96"/>
    <w:rsid w:val="1B903686"/>
    <w:rsid w:val="1B917B2A"/>
    <w:rsid w:val="1B943177"/>
    <w:rsid w:val="1B974A15"/>
    <w:rsid w:val="1B99078D"/>
    <w:rsid w:val="1B9C202B"/>
    <w:rsid w:val="1B9E5092"/>
    <w:rsid w:val="1B9F38C9"/>
    <w:rsid w:val="1BA809D0"/>
    <w:rsid w:val="1BA86C22"/>
    <w:rsid w:val="1BB05AD7"/>
    <w:rsid w:val="1BB455C7"/>
    <w:rsid w:val="1BB76E65"/>
    <w:rsid w:val="1BBB0703"/>
    <w:rsid w:val="1BBB36B4"/>
    <w:rsid w:val="1BBE4697"/>
    <w:rsid w:val="1BC872C4"/>
    <w:rsid w:val="1BCE2A30"/>
    <w:rsid w:val="1BD17F27"/>
    <w:rsid w:val="1BD21EF1"/>
    <w:rsid w:val="1BE85270"/>
    <w:rsid w:val="1BF14125"/>
    <w:rsid w:val="1BF260EF"/>
    <w:rsid w:val="1BF81957"/>
    <w:rsid w:val="1BFB4FA4"/>
    <w:rsid w:val="1BFF6654"/>
    <w:rsid w:val="1C071B9A"/>
    <w:rsid w:val="1C0A168B"/>
    <w:rsid w:val="1C142509"/>
    <w:rsid w:val="1C1C4F1A"/>
    <w:rsid w:val="1C1D316C"/>
    <w:rsid w:val="1C200EAE"/>
    <w:rsid w:val="1C2344FA"/>
    <w:rsid w:val="1C2838BF"/>
    <w:rsid w:val="1C2C33AF"/>
    <w:rsid w:val="1C2D7127"/>
    <w:rsid w:val="1C2E35CB"/>
    <w:rsid w:val="1C314E69"/>
    <w:rsid w:val="1C316C17"/>
    <w:rsid w:val="1C35495A"/>
    <w:rsid w:val="1C3D736A"/>
    <w:rsid w:val="1C453777"/>
    <w:rsid w:val="1C4921B3"/>
    <w:rsid w:val="1C512E16"/>
    <w:rsid w:val="1C542906"/>
    <w:rsid w:val="1C6012AB"/>
    <w:rsid w:val="1C6C5EA1"/>
    <w:rsid w:val="1C6D70BC"/>
    <w:rsid w:val="1C6E1C1A"/>
    <w:rsid w:val="1C752FA8"/>
    <w:rsid w:val="1C7A207F"/>
    <w:rsid w:val="1C7E25A5"/>
    <w:rsid w:val="1C850D11"/>
    <w:rsid w:val="1C872CDB"/>
    <w:rsid w:val="1C8E406A"/>
    <w:rsid w:val="1C92116A"/>
    <w:rsid w:val="1C960037"/>
    <w:rsid w:val="1C980A44"/>
    <w:rsid w:val="1C9F6277"/>
    <w:rsid w:val="1CA218C3"/>
    <w:rsid w:val="1CA23EF2"/>
    <w:rsid w:val="1CA94A00"/>
    <w:rsid w:val="1CAC44F0"/>
    <w:rsid w:val="1CB02232"/>
    <w:rsid w:val="1CB03FE0"/>
    <w:rsid w:val="1CB87339"/>
    <w:rsid w:val="1CBA4E5F"/>
    <w:rsid w:val="1CBF06C7"/>
    <w:rsid w:val="1CC030A6"/>
    <w:rsid w:val="1CC161ED"/>
    <w:rsid w:val="1CC17F9B"/>
    <w:rsid w:val="1CC3182C"/>
    <w:rsid w:val="1CC41839"/>
    <w:rsid w:val="1CC47A8B"/>
    <w:rsid w:val="1CD3671A"/>
    <w:rsid w:val="1CD37CCF"/>
    <w:rsid w:val="1CE1063D"/>
    <w:rsid w:val="1CE26164"/>
    <w:rsid w:val="1CE4012E"/>
    <w:rsid w:val="1CE912A0"/>
    <w:rsid w:val="1CEB6DC6"/>
    <w:rsid w:val="1CF0262F"/>
    <w:rsid w:val="1CF2284B"/>
    <w:rsid w:val="1CF245F9"/>
    <w:rsid w:val="1CF30371"/>
    <w:rsid w:val="1D0E6F59"/>
    <w:rsid w:val="1D104A7F"/>
    <w:rsid w:val="1D167BBB"/>
    <w:rsid w:val="1D187DD7"/>
    <w:rsid w:val="1D1C78C7"/>
    <w:rsid w:val="1D1E53EE"/>
    <w:rsid w:val="1D2247B2"/>
    <w:rsid w:val="1D2D5631"/>
    <w:rsid w:val="1D4209B0"/>
    <w:rsid w:val="1D440BCC"/>
    <w:rsid w:val="1D4551DD"/>
    <w:rsid w:val="1D5C4168"/>
    <w:rsid w:val="1D646B79"/>
    <w:rsid w:val="1D813BCE"/>
    <w:rsid w:val="1D844E8D"/>
    <w:rsid w:val="1D886D0B"/>
    <w:rsid w:val="1D8D2573"/>
    <w:rsid w:val="1D9751A0"/>
    <w:rsid w:val="1D992CC6"/>
    <w:rsid w:val="1D9B6A3E"/>
    <w:rsid w:val="1DA8115B"/>
    <w:rsid w:val="1DAA6C81"/>
    <w:rsid w:val="1DB44028"/>
    <w:rsid w:val="1DB573D4"/>
    <w:rsid w:val="1DB7139E"/>
    <w:rsid w:val="1DB73B41"/>
    <w:rsid w:val="1DB95116"/>
    <w:rsid w:val="1DBA49EB"/>
    <w:rsid w:val="1DC31AF1"/>
    <w:rsid w:val="1DC35F95"/>
    <w:rsid w:val="1DD67AA7"/>
    <w:rsid w:val="1DDC2BB3"/>
    <w:rsid w:val="1DE2466D"/>
    <w:rsid w:val="1DFE521F"/>
    <w:rsid w:val="1E0C3498"/>
    <w:rsid w:val="1E210532"/>
    <w:rsid w:val="1E2307E2"/>
    <w:rsid w:val="1E2A1B70"/>
    <w:rsid w:val="1E2D1660"/>
    <w:rsid w:val="1E3429EF"/>
    <w:rsid w:val="1E37603B"/>
    <w:rsid w:val="1E470974"/>
    <w:rsid w:val="1E594203"/>
    <w:rsid w:val="1E5E1F8B"/>
    <w:rsid w:val="1E641526"/>
    <w:rsid w:val="1E6A01BF"/>
    <w:rsid w:val="1E707ECB"/>
    <w:rsid w:val="1E733517"/>
    <w:rsid w:val="1E766B63"/>
    <w:rsid w:val="1E796654"/>
    <w:rsid w:val="1E7B6870"/>
    <w:rsid w:val="1E803E86"/>
    <w:rsid w:val="1E8659A4"/>
    <w:rsid w:val="1E876FC3"/>
    <w:rsid w:val="1E8E20FF"/>
    <w:rsid w:val="1E8F40C9"/>
    <w:rsid w:val="1E913C21"/>
    <w:rsid w:val="1E917E41"/>
    <w:rsid w:val="1E9670FF"/>
    <w:rsid w:val="1EA57449"/>
    <w:rsid w:val="1EAA4A5F"/>
    <w:rsid w:val="1EAB0F03"/>
    <w:rsid w:val="1EAE09F3"/>
    <w:rsid w:val="1EB15DEE"/>
    <w:rsid w:val="1EB3656C"/>
    <w:rsid w:val="1EB8717C"/>
    <w:rsid w:val="1ECB3353"/>
    <w:rsid w:val="1ECC70CB"/>
    <w:rsid w:val="1ECD2E93"/>
    <w:rsid w:val="1ECF44C6"/>
    <w:rsid w:val="1ED805F3"/>
    <w:rsid w:val="1ED815CC"/>
    <w:rsid w:val="1EDA17E8"/>
    <w:rsid w:val="1EDB10BC"/>
    <w:rsid w:val="1EE14925"/>
    <w:rsid w:val="1EE937D9"/>
    <w:rsid w:val="1EEB57A3"/>
    <w:rsid w:val="1EED151B"/>
    <w:rsid w:val="1EF87EC0"/>
    <w:rsid w:val="1EFF124F"/>
    <w:rsid w:val="1F010B23"/>
    <w:rsid w:val="1F066139"/>
    <w:rsid w:val="1F0771F7"/>
    <w:rsid w:val="1F09486E"/>
    <w:rsid w:val="1F0D396C"/>
    <w:rsid w:val="1F0E4FEE"/>
    <w:rsid w:val="1F1620F4"/>
    <w:rsid w:val="1F1D3483"/>
    <w:rsid w:val="1F1D58B1"/>
    <w:rsid w:val="1F2B2044"/>
    <w:rsid w:val="1F3856F9"/>
    <w:rsid w:val="1F3F164B"/>
    <w:rsid w:val="1F3F5AEF"/>
    <w:rsid w:val="1F470500"/>
    <w:rsid w:val="1F4825E9"/>
    <w:rsid w:val="1F4B4494"/>
    <w:rsid w:val="1F4E188E"/>
    <w:rsid w:val="1F503858"/>
    <w:rsid w:val="1F52137F"/>
    <w:rsid w:val="1F525822"/>
    <w:rsid w:val="1F5E41C7"/>
    <w:rsid w:val="1F5E5F75"/>
    <w:rsid w:val="1F5F584A"/>
    <w:rsid w:val="1F647304"/>
    <w:rsid w:val="1F6B0692"/>
    <w:rsid w:val="1F770DE5"/>
    <w:rsid w:val="1F8654CC"/>
    <w:rsid w:val="1F890B18"/>
    <w:rsid w:val="1F8976D3"/>
    <w:rsid w:val="1F8C4524"/>
    <w:rsid w:val="1F8E783A"/>
    <w:rsid w:val="1F8F4381"/>
    <w:rsid w:val="1F901EA7"/>
    <w:rsid w:val="1F903C55"/>
    <w:rsid w:val="1F9279CD"/>
    <w:rsid w:val="1F980D5B"/>
    <w:rsid w:val="1FA85442"/>
    <w:rsid w:val="1FAD0CAB"/>
    <w:rsid w:val="1FB97752"/>
    <w:rsid w:val="1FBC4A4A"/>
    <w:rsid w:val="1FBE07C2"/>
    <w:rsid w:val="1FBE0986"/>
    <w:rsid w:val="1FC50859"/>
    <w:rsid w:val="1FD36F7E"/>
    <w:rsid w:val="1FDB75C6"/>
    <w:rsid w:val="1FDE2C12"/>
    <w:rsid w:val="1FE3647B"/>
    <w:rsid w:val="200A1C59"/>
    <w:rsid w:val="200C3C23"/>
    <w:rsid w:val="20146634"/>
    <w:rsid w:val="201C198C"/>
    <w:rsid w:val="20270A5D"/>
    <w:rsid w:val="202C6073"/>
    <w:rsid w:val="20346964"/>
    <w:rsid w:val="20384A18"/>
    <w:rsid w:val="203942EC"/>
    <w:rsid w:val="203F6EF4"/>
    <w:rsid w:val="204213F3"/>
    <w:rsid w:val="20476A09"/>
    <w:rsid w:val="2059498F"/>
    <w:rsid w:val="205D622D"/>
    <w:rsid w:val="20735A50"/>
    <w:rsid w:val="207812B9"/>
    <w:rsid w:val="207F2A26"/>
    <w:rsid w:val="20880DD0"/>
    <w:rsid w:val="208A0FEC"/>
    <w:rsid w:val="208C266E"/>
    <w:rsid w:val="20947775"/>
    <w:rsid w:val="209B4FA7"/>
    <w:rsid w:val="209B6D55"/>
    <w:rsid w:val="209D487B"/>
    <w:rsid w:val="20B3409F"/>
    <w:rsid w:val="20C02C9D"/>
    <w:rsid w:val="20C37337"/>
    <w:rsid w:val="20C52024"/>
    <w:rsid w:val="20CA3197"/>
    <w:rsid w:val="20D12777"/>
    <w:rsid w:val="20D64231"/>
    <w:rsid w:val="20D81004"/>
    <w:rsid w:val="20D81349"/>
    <w:rsid w:val="20DD2ECA"/>
    <w:rsid w:val="20F63F8C"/>
    <w:rsid w:val="21004E0A"/>
    <w:rsid w:val="21093CBF"/>
    <w:rsid w:val="21154D5A"/>
    <w:rsid w:val="21156B08"/>
    <w:rsid w:val="212136FE"/>
    <w:rsid w:val="212705E9"/>
    <w:rsid w:val="212A1E87"/>
    <w:rsid w:val="214B166A"/>
    <w:rsid w:val="214E2429"/>
    <w:rsid w:val="21507B40"/>
    <w:rsid w:val="21511470"/>
    <w:rsid w:val="21514EF5"/>
    <w:rsid w:val="215552ED"/>
    <w:rsid w:val="215A276C"/>
    <w:rsid w:val="216102D0"/>
    <w:rsid w:val="21613AFB"/>
    <w:rsid w:val="216830DB"/>
    <w:rsid w:val="21780E44"/>
    <w:rsid w:val="2181181C"/>
    <w:rsid w:val="21871088"/>
    <w:rsid w:val="21891265"/>
    <w:rsid w:val="218C669E"/>
    <w:rsid w:val="218E68BA"/>
    <w:rsid w:val="219263AA"/>
    <w:rsid w:val="21962254"/>
    <w:rsid w:val="219979C0"/>
    <w:rsid w:val="219F0AC7"/>
    <w:rsid w:val="21A1039B"/>
    <w:rsid w:val="21A32365"/>
    <w:rsid w:val="21A525BC"/>
    <w:rsid w:val="21A659B2"/>
    <w:rsid w:val="21AF0D0A"/>
    <w:rsid w:val="21B04A82"/>
    <w:rsid w:val="21B76AE0"/>
    <w:rsid w:val="21C36564"/>
    <w:rsid w:val="21CD6779"/>
    <w:rsid w:val="21CF4F08"/>
    <w:rsid w:val="21D249F9"/>
    <w:rsid w:val="21D342CD"/>
    <w:rsid w:val="21D44882"/>
    <w:rsid w:val="21D50045"/>
    <w:rsid w:val="21D73DBD"/>
    <w:rsid w:val="21DD6EFA"/>
    <w:rsid w:val="21E14C3C"/>
    <w:rsid w:val="21E57745"/>
    <w:rsid w:val="21F20BF7"/>
    <w:rsid w:val="21F21D45"/>
    <w:rsid w:val="21F259FA"/>
    <w:rsid w:val="21F52495"/>
    <w:rsid w:val="21F66939"/>
    <w:rsid w:val="21FB3F4F"/>
    <w:rsid w:val="21FC3824"/>
    <w:rsid w:val="22010E3A"/>
    <w:rsid w:val="220152DE"/>
    <w:rsid w:val="220646A2"/>
    <w:rsid w:val="22097CEF"/>
    <w:rsid w:val="220A23E4"/>
    <w:rsid w:val="220B3A67"/>
    <w:rsid w:val="220B7F0B"/>
    <w:rsid w:val="22123047"/>
    <w:rsid w:val="22162B37"/>
    <w:rsid w:val="22191C8E"/>
    <w:rsid w:val="221C3EC6"/>
    <w:rsid w:val="221E04CD"/>
    <w:rsid w:val="221E7C3E"/>
    <w:rsid w:val="222221D9"/>
    <w:rsid w:val="22253891"/>
    <w:rsid w:val="2228286B"/>
    <w:rsid w:val="222B1363"/>
    <w:rsid w:val="222C7388"/>
    <w:rsid w:val="2231313E"/>
    <w:rsid w:val="223631D9"/>
    <w:rsid w:val="22396826"/>
    <w:rsid w:val="223B07F0"/>
    <w:rsid w:val="223C00C4"/>
    <w:rsid w:val="22407BB4"/>
    <w:rsid w:val="224A458F"/>
    <w:rsid w:val="224D11D6"/>
    <w:rsid w:val="22511DC1"/>
    <w:rsid w:val="22525B39"/>
    <w:rsid w:val="225E003A"/>
    <w:rsid w:val="22603DB2"/>
    <w:rsid w:val="22631AF5"/>
    <w:rsid w:val="22693063"/>
    <w:rsid w:val="226E2973"/>
    <w:rsid w:val="2277734E"/>
    <w:rsid w:val="22813D29"/>
    <w:rsid w:val="22835CF3"/>
    <w:rsid w:val="22877591"/>
    <w:rsid w:val="229B128E"/>
    <w:rsid w:val="22A00653"/>
    <w:rsid w:val="22A04AF7"/>
    <w:rsid w:val="22A16179"/>
    <w:rsid w:val="22A706A0"/>
    <w:rsid w:val="22A7378F"/>
    <w:rsid w:val="22AA14D2"/>
    <w:rsid w:val="22B12860"/>
    <w:rsid w:val="22B20386"/>
    <w:rsid w:val="22BA5BB9"/>
    <w:rsid w:val="22BF31CF"/>
    <w:rsid w:val="22C95DFC"/>
    <w:rsid w:val="22D622C7"/>
    <w:rsid w:val="22D81D21"/>
    <w:rsid w:val="22DD3655"/>
    <w:rsid w:val="22E03145"/>
    <w:rsid w:val="22E22A19"/>
    <w:rsid w:val="22E42C35"/>
    <w:rsid w:val="22EB3FC4"/>
    <w:rsid w:val="22F05754"/>
    <w:rsid w:val="22F10EAE"/>
    <w:rsid w:val="22F664C5"/>
    <w:rsid w:val="22FD3CF7"/>
    <w:rsid w:val="23007343"/>
    <w:rsid w:val="230961F8"/>
    <w:rsid w:val="230A1F70"/>
    <w:rsid w:val="231B23CF"/>
    <w:rsid w:val="231E77CA"/>
    <w:rsid w:val="23201794"/>
    <w:rsid w:val="23244DE0"/>
    <w:rsid w:val="23254986"/>
    <w:rsid w:val="232748D0"/>
    <w:rsid w:val="23291902"/>
    <w:rsid w:val="232E02C7"/>
    <w:rsid w:val="233652EC"/>
    <w:rsid w:val="23384D2F"/>
    <w:rsid w:val="23405858"/>
    <w:rsid w:val="23411E36"/>
    <w:rsid w:val="23445482"/>
    <w:rsid w:val="234611FA"/>
    <w:rsid w:val="234B6811"/>
    <w:rsid w:val="234E00AF"/>
    <w:rsid w:val="234F5BD5"/>
    <w:rsid w:val="23510E00"/>
    <w:rsid w:val="23594841"/>
    <w:rsid w:val="235A2EF8"/>
    <w:rsid w:val="23645B24"/>
    <w:rsid w:val="23675615"/>
    <w:rsid w:val="236773C3"/>
    <w:rsid w:val="2369138D"/>
    <w:rsid w:val="23694EE9"/>
    <w:rsid w:val="236B6EB3"/>
    <w:rsid w:val="236E69A3"/>
    <w:rsid w:val="23713D9D"/>
    <w:rsid w:val="237A0EA4"/>
    <w:rsid w:val="237B69CA"/>
    <w:rsid w:val="237D5147"/>
    <w:rsid w:val="238166D6"/>
    <w:rsid w:val="23863CED"/>
    <w:rsid w:val="23870928"/>
    <w:rsid w:val="23887A65"/>
    <w:rsid w:val="238B061F"/>
    <w:rsid w:val="238B23D8"/>
    <w:rsid w:val="239857CE"/>
    <w:rsid w:val="239A7798"/>
    <w:rsid w:val="239C52BE"/>
    <w:rsid w:val="239D4B92"/>
    <w:rsid w:val="23A1249F"/>
    <w:rsid w:val="23A44173"/>
    <w:rsid w:val="23A61C99"/>
    <w:rsid w:val="23A6613D"/>
    <w:rsid w:val="23A75A11"/>
    <w:rsid w:val="23A83C63"/>
    <w:rsid w:val="23A979DB"/>
    <w:rsid w:val="23AE6D9F"/>
    <w:rsid w:val="23B5349D"/>
    <w:rsid w:val="23B83C9F"/>
    <w:rsid w:val="23BA5744"/>
    <w:rsid w:val="23BD58B7"/>
    <w:rsid w:val="23C245F9"/>
    <w:rsid w:val="23C40371"/>
    <w:rsid w:val="23C95987"/>
    <w:rsid w:val="23CE11F0"/>
    <w:rsid w:val="23CE2F9E"/>
    <w:rsid w:val="23D22A8E"/>
    <w:rsid w:val="23D5257E"/>
    <w:rsid w:val="23DF164F"/>
    <w:rsid w:val="23DF51AB"/>
    <w:rsid w:val="23ED1676"/>
    <w:rsid w:val="23ED3D6C"/>
    <w:rsid w:val="23ED78C8"/>
    <w:rsid w:val="23EE3640"/>
    <w:rsid w:val="23FC5D5D"/>
    <w:rsid w:val="23FE7D27"/>
    <w:rsid w:val="240510B5"/>
    <w:rsid w:val="241412F8"/>
    <w:rsid w:val="24155071"/>
    <w:rsid w:val="241A4435"/>
    <w:rsid w:val="241C1F5B"/>
    <w:rsid w:val="241C63FF"/>
    <w:rsid w:val="242D4168"/>
    <w:rsid w:val="24305A06"/>
    <w:rsid w:val="24373239"/>
    <w:rsid w:val="24386EC6"/>
    <w:rsid w:val="243F5C4A"/>
    <w:rsid w:val="24596D0B"/>
    <w:rsid w:val="245F009A"/>
    <w:rsid w:val="246062EC"/>
    <w:rsid w:val="246456B0"/>
    <w:rsid w:val="246A1453"/>
    <w:rsid w:val="24751037"/>
    <w:rsid w:val="24763D61"/>
    <w:rsid w:val="24773635"/>
    <w:rsid w:val="2483647E"/>
    <w:rsid w:val="24857B00"/>
    <w:rsid w:val="248F6BD1"/>
    <w:rsid w:val="249B3CCC"/>
    <w:rsid w:val="24A00DDE"/>
    <w:rsid w:val="24A02B8C"/>
    <w:rsid w:val="24A3267C"/>
    <w:rsid w:val="24A65394"/>
    <w:rsid w:val="24A81A41"/>
    <w:rsid w:val="24A85EE5"/>
    <w:rsid w:val="24B84B72"/>
    <w:rsid w:val="24BC729A"/>
    <w:rsid w:val="24CA7C09"/>
    <w:rsid w:val="24D665AE"/>
    <w:rsid w:val="24E231A5"/>
    <w:rsid w:val="24F15196"/>
    <w:rsid w:val="24F20F0E"/>
    <w:rsid w:val="24F609FE"/>
    <w:rsid w:val="24F668CE"/>
    <w:rsid w:val="24FE5B05"/>
    <w:rsid w:val="250F1AC0"/>
    <w:rsid w:val="25115838"/>
    <w:rsid w:val="25186BC6"/>
    <w:rsid w:val="251D54C7"/>
    <w:rsid w:val="251F7F55"/>
    <w:rsid w:val="25205A7B"/>
    <w:rsid w:val="252217F3"/>
    <w:rsid w:val="252A68FA"/>
    <w:rsid w:val="253634F0"/>
    <w:rsid w:val="253B0B07"/>
    <w:rsid w:val="253D662D"/>
    <w:rsid w:val="253F23A5"/>
    <w:rsid w:val="253F4153"/>
    <w:rsid w:val="25493224"/>
    <w:rsid w:val="254C2D14"/>
    <w:rsid w:val="254C6870"/>
    <w:rsid w:val="25513E86"/>
    <w:rsid w:val="255319AC"/>
    <w:rsid w:val="255A2BC0"/>
    <w:rsid w:val="255D0A7D"/>
    <w:rsid w:val="2560231B"/>
    <w:rsid w:val="256C0CC0"/>
    <w:rsid w:val="256E78ED"/>
    <w:rsid w:val="256F255E"/>
    <w:rsid w:val="25744C7A"/>
    <w:rsid w:val="257637B2"/>
    <w:rsid w:val="257A162F"/>
    <w:rsid w:val="257B7155"/>
    <w:rsid w:val="25853522"/>
    <w:rsid w:val="25861D82"/>
    <w:rsid w:val="25902C01"/>
    <w:rsid w:val="25924AD2"/>
    <w:rsid w:val="25956469"/>
    <w:rsid w:val="25973F8F"/>
    <w:rsid w:val="259A3A7F"/>
    <w:rsid w:val="259F4BF2"/>
    <w:rsid w:val="25A55F80"/>
    <w:rsid w:val="25A641D2"/>
    <w:rsid w:val="25AC5561"/>
    <w:rsid w:val="25AC730F"/>
    <w:rsid w:val="25C271E7"/>
    <w:rsid w:val="25C428AA"/>
    <w:rsid w:val="25C603D0"/>
    <w:rsid w:val="25C97EC1"/>
    <w:rsid w:val="25D6438C"/>
    <w:rsid w:val="25DC7BF4"/>
    <w:rsid w:val="25DD5432"/>
    <w:rsid w:val="25E116AE"/>
    <w:rsid w:val="25E1345C"/>
    <w:rsid w:val="25E22D30"/>
    <w:rsid w:val="25E35426"/>
    <w:rsid w:val="25E92311"/>
    <w:rsid w:val="25EC6708"/>
    <w:rsid w:val="25F25669"/>
    <w:rsid w:val="25F74A2E"/>
    <w:rsid w:val="25FA62CC"/>
    <w:rsid w:val="26013AFE"/>
    <w:rsid w:val="26025181"/>
    <w:rsid w:val="2609650F"/>
    <w:rsid w:val="260D24A3"/>
    <w:rsid w:val="261451ED"/>
    <w:rsid w:val="261B31D1"/>
    <w:rsid w:val="2628108B"/>
    <w:rsid w:val="2629095F"/>
    <w:rsid w:val="262B2929"/>
    <w:rsid w:val="262D044F"/>
    <w:rsid w:val="262D66A1"/>
    <w:rsid w:val="262F241A"/>
    <w:rsid w:val="26306192"/>
    <w:rsid w:val="263067C0"/>
    <w:rsid w:val="26325A66"/>
    <w:rsid w:val="263E440B"/>
    <w:rsid w:val="263F63D5"/>
    <w:rsid w:val="264A1001"/>
    <w:rsid w:val="265D7BB2"/>
    <w:rsid w:val="26606A77"/>
    <w:rsid w:val="26633E71"/>
    <w:rsid w:val="26657A78"/>
    <w:rsid w:val="266F0A68"/>
    <w:rsid w:val="267225B5"/>
    <w:rsid w:val="267267AA"/>
    <w:rsid w:val="26795443"/>
    <w:rsid w:val="267A11BB"/>
    <w:rsid w:val="2683711D"/>
    <w:rsid w:val="26865DB2"/>
    <w:rsid w:val="268C786C"/>
    <w:rsid w:val="268D0EEE"/>
    <w:rsid w:val="26914E82"/>
    <w:rsid w:val="26936BE5"/>
    <w:rsid w:val="26964247"/>
    <w:rsid w:val="26B26BA7"/>
    <w:rsid w:val="26B446CD"/>
    <w:rsid w:val="26BE72FA"/>
    <w:rsid w:val="26C2328E"/>
    <w:rsid w:val="26C863CA"/>
    <w:rsid w:val="26CF59AB"/>
    <w:rsid w:val="26D62895"/>
    <w:rsid w:val="26D7660D"/>
    <w:rsid w:val="26D905D7"/>
    <w:rsid w:val="26E34FB2"/>
    <w:rsid w:val="26EB3E67"/>
    <w:rsid w:val="26EF3957"/>
    <w:rsid w:val="26F23447"/>
    <w:rsid w:val="26F251F5"/>
    <w:rsid w:val="26F7280B"/>
    <w:rsid w:val="26F86CAF"/>
    <w:rsid w:val="26FB67A0"/>
    <w:rsid w:val="26FD2518"/>
    <w:rsid w:val="270D1AB7"/>
    <w:rsid w:val="27111B1F"/>
    <w:rsid w:val="27182EAE"/>
    <w:rsid w:val="27196C26"/>
    <w:rsid w:val="27271343"/>
    <w:rsid w:val="27281650"/>
    <w:rsid w:val="272C4BAB"/>
    <w:rsid w:val="272F6449"/>
    <w:rsid w:val="27343A60"/>
    <w:rsid w:val="273870AC"/>
    <w:rsid w:val="27400656"/>
    <w:rsid w:val="27457A1B"/>
    <w:rsid w:val="27475541"/>
    <w:rsid w:val="274F43F6"/>
    <w:rsid w:val="275163C0"/>
    <w:rsid w:val="2753038A"/>
    <w:rsid w:val="27565784"/>
    <w:rsid w:val="275D2FB6"/>
    <w:rsid w:val="27675BE3"/>
    <w:rsid w:val="276C4FA7"/>
    <w:rsid w:val="276E6F72"/>
    <w:rsid w:val="27734588"/>
    <w:rsid w:val="27895B59"/>
    <w:rsid w:val="278B5528"/>
    <w:rsid w:val="278B7B24"/>
    <w:rsid w:val="278E3170"/>
    <w:rsid w:val="279537B9"/>
    <w:rsid w:val="279938C3"/>
    <w:rsid w:val="279B3ADF"/>
    <w:rsid w:val="27A26C1B"/>
    <w:rsid w:val="27A6495D"/>
    <w:rsid w:val="27AB1F74"/>
    <w:rsid w:val="27AC1848"/>
    <w:rsid w:val="27AF30E6"/>
    <w:rsid w:val="27B61F24"/>
    <w:rsid w:val="27B64475"/>
    <w:rsid w:val="27B70919"/>
    <w:rsid w:val="27C546B8"/>
    <w:rsid w:val="27C748D4"/>
    <w:rsid w:val="27CA7205"/>
    <w:rsid w:val="27CC3C98"/>
    <w:rsid w:val="27D326C2"/>
    <w:rsid w:val="27D8263D"/>
    <w:rsid w:val="27D86AE1"/>
    <w:rsid w:val="27DC212D"/>
    <w:rsid w:val="27E64D5A"/>
    <w:rsid w:val="27E965F8"/>
    <w:rsid w:val="27EB6814"/>
    <w:rsid w:val="27EC60E8"/>
    <w:rsid w:val="27EE00B2"/>
    <w:rsid w:val="27F07987"/>
    <w:rsid w:val="27F154AD"/>
    <w:rsid w:val="27F46EC8"/>
    <w:rsid w:val="27F531EF"/>
    <w:rsid w:val="28081174"/>
    <w:rsid w:val="28094EEC"/>
    <w:rsid w:val="280D12AA"/>
    <w:rsid w:val="281318C7"/>
    <w:rsid w:val="28177609"/>
    <w:rsid w:val="2818512F"/>
    <w:rsid w:val="28213FE4"/>
    <w:rsid w:val="28247630"/>
    <w:rsid w:val="2835183D"/>
    <w:rsid w:val="28373807"/>
    <w:rsid w:val="283A50A6"/>
    <w:rsid w:val="283F446A"/>
    <w:rsid w:val="284321AC"/>
    <w:rsid w:val="28445F24"/>
    <w:rsid w:val="284B2E0F"/>
    <w:rsid w:val="284D302B"/>
    <w:rsid w:val="2852419D"/>
    <w:rsid w:val="2858552C"/>
    <w:rsid w:val="285919D0"/>
    <w:rsid w:val="285C501C"/>
    <w:rsid w:val="28620159"/>
    <w:rsid w:val="286345FC"/>
    <w:rsid w:val="28655BFD"/>
    <w:rsid w:val="28681C13"/>
    <w:rsid w:val="286839C1"/>
    <w:rsid w:val="28686473"/>
    <w:rsid w:val="2869714F"/>
    <w:rsid w:val="28697739"/>
    <w:rsid w:val="286D547B"/>
    <w:rsid w:val="286E6AFD"/>
    <w:rsid w:val="28773C04"/>
    <w:rsid w:val="28846321"/>
    <w:rsid w:val="28862099"/>
    <w:rsid w:val="28884063"/>
    <w:rsid w:val="28885E11"/>
    <w:rsid w:val="288A0E44"/>
    <w:rsid w:val="288D3427"/>
    <w:rsid w:val="289D5B3C"/>
    <w:rsid w:val="28A10C81"/>
    <w:rsid w:val="28B46C06"/>
    <w:rsid w:val="28B766F6"/>
    <w:rsid w:val="28BC1F5F"/>
    <w:rsid w:val="28C01A4F"/>
    <w:rsid w:val="28C130D1"/>
    <w:rsid w:val="28C52679"/>
    <w:rsid w:val="28C66939"/>
    <w:rsid w:val="28C80903"/>
    <w:rsid w:val="28CC03F4"/>
    <w:rsid w:val="28D10507"/>
    <w:rsid w:val="28D42E04"/>
    <w:rsid w:val="28D70B46"/>
    <w:rsid w:val="28D76D98"/>
    <w:rsid w:val="28DF17A9"/>
    <w:rsid w:val="28E16B4E"/>
    <w:rsid w:val="28E62B38"/>
    <w:rsid w:val="28EC2844"/>
    <w:rsid w:val="28ED3EC6"/>
    <w:rsid w:val="28F9286B"/>
    <w:rsid w:val="29087CEA"/>
    <w:rsid w:val="29220014"/>
    <w:rsid w:val="29275693"/>
    <w:rsid w:val="292A6617"/>
    <w:rsid w:val="292C2C40"/>
    <w:rsid w:val="292F01D5"/>
    <w:rsid w:val="29387837"/>
    <w:rsid w:val="29470581"/>
    <w:rsid w:val="294A30C6"/>
    <w:rsid w:val="294A3612"/>
    <w:rsid w:val="294D2BB7"/>
    <w:rsid w:val="295613B7"/>
    <w:rsid w:val="29581C87"/>
    <w:rsid w:val="295959FF"/>
    <w:rsid w:val="295C2DFA"/>
    <w:rsid w:val="29622B06"/>
    <w:rsid w:val="2964687E"/>
    <w:rsid w:val="29657F00"/>
    <w:rsid w:val="296A3769"/>
    <w:rsid w:val="297D524A"/>
    <w:rsid w:val="297E7214"/>
    <w:rsid w:val="298962E5"/>
    <w:rsid w:val="299802D6"/>
    <w:rsid w:val="299B6018"/>
    <w:rsid w:val="299F78B6"/>
    <w:rsid w:val="29A0718A"/>
    <w:rsid w:val="29A22F02"/>
    <w:rsid w:val="29AC3D81"/>
    <w:rsid w:val="29B46328"/>
    <w:rsid w:val="29B570DA"/>
    <w:rsid w:val="29BA46F0"/>
    <w:rsid w:val="29BD1AEA"/>
    <w:rsid w:val="29C27101"/>
    <w:rsid w:val="29C4731D"/>
    <w:rsid w:val="29C56BF1"/>
    <w:rsid w:val="29CC7F7F"/>
    <w:rsid w:val="29D60DFE"/>
    <w:rsid w:val="29DB4666"/>
    <w:rsid w:val="29DF7CB3"/>
    <w:rsid w:val="29E03A2B"/>
    <w:rsid w:val="29E17ECF"/>
    <w:rsid w:val="29E35D39"/>
    <w:rsid w:val="29E76B67"/>
    <w:rsid w:val="29E96D83"/>
    <w:rsid w:val="29EE6148"/>
    <w:rsid w:val="29F01EC0"/>
    <w:rsid w:val="29F319B0"/>
    <w:rsid w:val="29F66FE5"/>
    <w:rsid w:val="29F87F6A"/>
    <w:rsid w:val="29FA4AED"/>
    <w:rsid w:val="2A104310"/>
    <w:rsid w:val="2A17569E"/>
    <w:rsid w:val="2A1F27A5"/>
    <w:rsid w:val="2A30050E"/>
    <w:rsid w:val="2A355B25"/>
    <w:rsid w:val="2A361562"/>
    <w:rsid w:val="2A36189D"/>
    <w:rsid w:val="2A3A75DF"/>
    <w:rsid w:val="2A443FBA"/>
    <w:rsid w:val="2A46706A"/>
    <w:rsid w:val="2A490E0C"/>
    <w:rsid w:val="2A4B17EC"/>
    <w:rsid w:val="2A5B774D"/>
    <w:rsid w:val="2A64465C"/>
    <w:rsid w:val="2A6E7289"/>
    <w:rsid w:val="2A6F54DA"/>
    <w:rsid w:val="2A704DAF"/>
    <w:rsid w:val="2A750617"/>
    <w:rsid w:val="2A77438F"/>
    <w:rsid w:val="2A7D74CC"/>
    <w:rsid w:val="2A7E3970"/>
    <w:rsid w:val="2A8D3BB3"/>
    <w:rsid w:val="2A924D25"/>
    <w:rsid w:val="2A944F41"/>
    <w:rsid w:val="2A994305"/>
    <w:rsid w:val="2A9D36CA"/>
    <w:rsid w:val="2AA333D6"/>
    <w:rsid w:val="2AAD1B5F"/>
    <w:rsid w:val="2ABB0720"/>
    <w:rsid w:val="2ABC1DA2"/>
    <w:rsid w:val="2ABC6246"/>
    <w:rsid w:val="2ABF7AE4"/>
    <w:rsid w:val="2ACA2711"/>
    <w:rsid w:val="2ACB0237"/>
    <w:rsid w:val="2ACE1AD5"/>
    <w:rsid w:val="2ACF5F79"/>
    <w:rsid w:val="2AD01CF1"/>
    <w:rsid w:val="2AD25A69"/>
    <w:rsid w:val="2ADA171D"/>
    <w:rsid w:val="2ADB491E"/>
    <w:rsid w:val="2AE15CAC"/>
    <w:rsid w:val="2AE65071"/>
    <w:rsid w:val="2AE8528D"/>
    <w:rsid w:val="2AF027CC"/>
    <w:rsid w:val="2AF7102C"/>
    <w:rsid w:val="2AF7727E"/>
    <w:rsid w:val="2B0100FD"/>
    <w:rsid w:val="2B057BED"/>
    <w:rsid w:val="2B0A0D5F"/>
    <w:rsid w:val="2B0D4CF3"/>
    <w:rsid w:val="2B0F45C8"/>
    <w:rsid w:val="2B1240B8"/>
    <w:rsid w:val="2B1971F4"/>
    <w:rsid w:val="2B1A4D1A"/>
    <w:rsid w:val="2B2160A9"/>
    <w:rsid w:val="2B287437"/>
    <w:rsid w:val="2B2A31B0"/>
    <w:rsid w:val="2B2D7144"/>
    <w:rsid w:val="2B3758CC"/>
    <w:rsid w:val="2B3B53BD"/>
    <w:rsid w:val="2B3E6C5B"/>
    <w:rsid w:val="2B42499D"/>
    <w:rsid w:val="2B44339C"/>
    <w:rsid w:val="2B4645B4"/>
    <w:rsid w:val="2B477146"/>
    <w:rsid w:val="2B4D50F0"/>
    <w:rsid w:val="2B524FB3"/>
    <w:rsid w:val="2B536BAA"/>
    <w:rsid w:val="2B563FA5"/>
    <w:rsid w:val="2B5B780D"/>
    <w:rsid w:val="2B5E554F"/>
    <w:rsid w:val="2B606BD1"/>
    <w:rsid w:val="2B7408CF"/>
    <w:rsid w:val="2B836D64"/>
    <w:rsid w:val="2B852ADC"/>
    <w:rsid w:val="2B8813BD"/>
    <w:rsid w:val="2B8A00F2"/>
    <w:rsid w:val="2B8A4EDC"/>
    <w:rsid w:val="2B980A61"/>
    <w:rsid w:val="2B98280F"/>
    <w:rsid w:val="2B996587"/>
    <w:rsid w:val="2B9B5E5B"/>
    <w:rsid w:val="2BA2368E"/>
    <w:rsid w:val="2BA2543C"/>
    <w:rsid w:val="2BA47406"/>
    <w:rsid w:val="2BAC0068"/>
    <w:rsid w:val="2BAF1907"/>
    <w:rsid w:val="2BB05DAB"/>
    <w:rsid w:val="2BB67139"/>
    <w:rsid w:val="2BB673E4"/>
    <w:rsid w:val="2BC01D66"/>
    <w:rsid w:val="2BC41856"/>
    <w:rsid w:val="2BC43604"/>
    <w:rsid w:val="2BC76C50"/>
    <w:rsid w:val="2BDD6474"/>
    <w:rsid w:val="2BDF21EC"/>
    <w:rsid w:val="2BE21CDC"/>
    <w:rsid w:val="2BE75544"/>
    <w:rsid w:val="2BEF61A7"/>
    <w:rsid w:val="2BF57C61"/>
    <w:rsid w:val="2BFA7026"/>
    <w:rsid w:val="2BFD2672"/>
    <w:rsid w:val="2BFF288E"/>
    <w:rsid w:val="2BFF63EA"/>
    <w:rsid w:val="2C022E1A"/>
    <w:rsid w:val="2C091017"/>
    <w:rsid w:val="2C0A4D8F"/>
    <w:rsid w:val="2C0B1233"/>
    <w:rsid w:val="2C267E1B"/>
    <w:rsid w:val="2C287B4F"/>
    <w:rsid w:val="2C2B3683"/>
    <w:rsid w:val="2C3818FC"/>
    <w:rsid w:val="2C3F2C8B"/>
    <w:rsid w:val="2C41055E"/>
    <w:rsid w:val="2C4209CD"/>
    <w:rsid w:val="2C4604BD"/>
    <w:rsid w:val="2C4E2ECE"/>
    <w:rsid w:val="2C5B55EB"/>
    <w:rsid w:val="2C614B13"/>
    <w:rsid w:val="2C666469"/>
    <w:rsid w:val="2C695F59"/>
    <w:rsid w:val="2C714E0E"/>
    <w:rsid w:val="2C7212B2"/>
    <w:rsid w:val="2C730B86"/>
    <w:rsid w:val="2C732934"/>
    <w:rsid w:val="2C752B50"/>
    <w:rsid w:val="2C772424"/>
    <w:rsid w:val="2C7F39CF"/>
    <w:rsid w:val="2C864D5D"/>
    <w:rsid w:val="2C892A42"/>
    <w:rsid w:val="2C923702"/>
    <w:rsid w:val="2C950AFD"/>
    <w:rsid w:val="2C9805ED"/>
    <w:rsid w:val="2C9D688B"/>
    <w:rsid w:val="2CA64AB8"/>
    <w:rsid w:val="2CA927FA"/>
    <w:rsid w:val="2CA945A8"/>
    <w:rsid w:val="2CAC6A50"/>
    <w:rsid w:val="2CB573F1"/>
    <w:rsid w:val="2CC02625"/>
    <w:rsid w:val="2CC118F2"/>
    <w:rsid w:val="2CC65B7E"/>
    <w:rsid w:val="2CC82C80"/>
    <w:rsid w:val="2CCE2260"/>
    <w:rsid w:val="2CD47877"/>
    <w:rsid w:val="2CD63C1A"/>
    <w:rsid w:val="2CD65813"/>
    <w:rsid w:val="2CDE24A4"/>
    <w:rsid w:val="2CE51A84"/>
    <w:rsid w:val="2CE61358"/>
    <w:rsid w:val="2CE657FC"/>
    <w:rsid w:val="2CE74B9F"/>
    <w:rsid w:val="2CF021D7"/>
    <w:rsid w:val="2CF0667B"/>
    <w:rsid w:val="2CF5626A"/>
    <w:rsid w:val="2CF73565"/>
    <w:rsid w:val="2CFB648A"/>
    <w:rsid w:val="2CFC0B7C"/>
    <w:rsid w:val="2D12039F"/>
    <w:rsid w:val="2D15504B"/>
    <w:rsid w:val="2D17253C"/>
    <w:rsid w:val="2D173C07"/>
    <w:rsid w:val="2D1759B5"/>
    <w:rsid w:val="2D200D0E"/>
    <w:rsid w:val="2D370B60"/>
    <w:rsid w:val="2D3C541C"/>
    <w:rsid w:val="2D447FB6"/>
    <w:rsid w:val="2D452523"/>
    <w:rsid w:val="2D46629B"/>
    <w:rsid w:val="2D4F514F"/>
    <w:rsid w:val="2D510EC7"/>
    <w:rsid w:val="2D5269EE"/>
    <w:rsid w:val="2D5664DE"/>
    <w:rsid w:val="2D5704A8"/>
    <w:rsid w:val="2D5B3AF4"/>
    <w:rsid w:val="2D5C786C"/>
    <w:rsid w:val="2D5E1836"/>
    <w:rsid w:val="2D621327"/>
    <w:rsid w:val="2D74105A"/>
    <w:rsid w:val="2D7711A5"/>
    <w:rsid w:val="2D7746A6"/>
    <w:rsid w:val="2D7A7EDE"/>
    <w:rsid w:val="2D834DF9"/>
    <w:rsid w:val="2D850B71"/>
    <w:rsid w:val="2D8800B2"/>
    <w:rsid w:val="2D880661"/>
    <w:rsid w:val="2D8868B3"/>
    <w:rsid w:val="2D8F7C42"/>
    <w:rsid w:val="2D9459BD"/>
    <w:rsid w:val="2DA01E4F"/>
    <w:rsid w:val="2DA27975"/>
    <w:rsid w:val="2DB31B82"/>
    <w:rsid w:val="2DB8624C"/>
    <w:rsid w:val="2DBF0527"/>
    <w:rsid w:val="2DC45FE3"/>
    <w:rsid w:val="2DC5530F"/>
    <w:rsid w:val="2DC55411"/>
    <w:rsid w:val="2DC7118A"/>
    <w:rsid w:val="2DCF003E"/>
    <w:rsid w:val="2DCF44E2"/>
    <w:rsid w:val="2DD438A6"/>
    <w:rsid w:val="2DD45655"/>
    <w:rsid w:val="2DDB2E87"/>
    <w:rsid w:val="2DDB3F6C"/>
    <w:rsid w:val="2DDD275B"/>
    <w:rsid w:val="2DE55AB4"/>
    <w:rsid w:val="2DEE4968"/>
    <w:rsid w:val="2DF06932"/>
    <w:rsid w:val="2E0979F4"/>
    <w:rsid w:val="2E132621"/>
    <w:rsid w:val="2E141EF5"/>
    <w:rsid w:val="2E20089A"/>
    <w:rsid w:val="2E2153F7"/>
    <w:rsid w:val="2E232138"/>
    <w:rsid w:val="2E262354"/>
    <w:rsid w:val="2E2A1718"/>
    <w:rsid w:val="2E2B796A"/>
    <w:rsid w:val="2E2F6D2F"/>
    <w:rsid w:val="2E33681F"/>
    <w:rsid w:val="2E3E0F1F"/>
    <w:rsid w:val="2E3F6F72"/>
    <w:rsid w:val="2E422F06"/>
    <w:rsid w:val="2E474078"/>
    <w:rsid w:val="2E496043"/>
    <w:rsid w:val="2E50117F"/>
    <w:rsid w:val="2E5A1FFE"/>
    <w:rsid w:val="2E5C3FC8"/>
    <w:rsid w:val="2E662DF3"/>
    <w:rsid w:val="2E6966E5"/>
    <w:rsid w:val="2E826747"/>
    <w:rsid w:val="2E903C71"/>
    <w:rsid w:val="2E913546"/>
    <w:rsid w:val="2E9372BE"/>
    <w:rsid w:val="2E953036"/>
    <w:rsid w:val="2E9A064C"/>
    <w:rsid w:val="2E9D1EEA"/>
    <w:rsid w:val="2EAB0AAB"/>
    <w:rsid w:val="2EB15996"/>
    <w:rsid w:val="2EB21E3A"/>
    <w:rsid w:val="2EB57234"/>
    <w:rsid w:val="2EB86D24"/>
    <w:rsid w:val="2EB931C8"/>
    <w:rsid w:val="2EBA1EDB"/>
    <w:rsid w:val="2ED26038"/>
    <w:rsid w:val="2ED51684"/>
    <w:rsid w:val="2EDB303F"/>
    <w:rsid w:val="2EDC6EB7"/>
    <w:rsid w:val="2EE63891"/>
    <w:rsid w:val="2EE713B8"/>
    <w:rsid w:val="2EEB6188"/>
    <w:rsid w:val="2EEB70FA"/>
    <w:rsid w:val="2EEE0998"/>
    <w:rsid w:val="2EF37D5C"/>
    <w:rsid w:val="2EF51D26"/>
    <w:rsid w:val="2EF85217"/>
    <w:rsid w:val="2EFF6701"/>
    <w:rsid w:val="2F000DF7"/>
    <w:rsid w:val="2F01691D"/>
    <w:rsid w:val="2F124686"/>
    <w:rsid w:val="2F154177"/>
    <w:rsid w:val="2F191EB9"/>
    <w:rsid w:val="2F230642"/>
    <w:rsid w:val="2F260132"/>
    <w:rsid w:val="2F2A5E74"/>
    <w:rsid w:val="2F2D14C0"/>
    <w:rsid w:val="2F3165EC"/>
    <w:rsid w:val="2F340AA1"/>
    <w:rsid w:val="2F34284F"/>
    <w:rsid w:val="2F3C5CA8"/>
    <w:rsid w:val="2F3E191F"/>
    <w:rsid w:val="2F416D1A"/>
    <w:rsid w:val="2F452CAE"/>
    <w:rsid w:val="2F4800A8"/>
    <w:rsid w:val="2F4A1B88"/>
    <w:rsid w:val="2F4B1946"/>
    <w:rsid w:val="2F4D56BE"/>
    <w:rsid w:val="2F633134"/>
    <w:rsid w:val="2F652D29"/>
    <w:rsid w:val="2F792957"/>
    <w:rsid w:val="2F7B222C"/>
    <w:rsid w:val="2F7B66D0"/>
    <w:rsid w:val="2F7C3537"/>
    <w:rsid w:val="2F8135BA"/>
    <w:rsid w:val="2F822AF3"/>
    <w:rsid w:val="2F8310E0"/>
    <w:rsid w:val="2F832EF4"/>
    <w:rsid w:val="2F8734F2"/>
    <w:rsid w:val="2F875074"/>
    <w:rsid w:val="2F8C4439"/>
    <w:rsid w:val="2F8F5CD7"/>
    <w:rsid w:val="2F9037FD"/>
    <w:rsid w:val="2F9A4B34"/>
    <w:rsid w:val="2F9B0B20"/>
    <w:rsid w:val="2FA15A0A"/>
    <w:rsid w:val="2FAC6889"/>
    <w:rsid w:val="2FAF0127"/>
    <w:rsid w:val="2FB41BE1"/>
    <w:rsid w:val="2FBB4D1E"/>
    <w:rsid w:val="2FC35FA3"/>
    <w:rsid w:val="2FCA6D0F"/>
    <w:rsid w:val="2FD8767E"/>
    <w:rsid w:val="2FD951A4"/>
    <w:rsid w:val="2FDB716E"/>
    <w:rsid w:val="2FDD2EE6"/>
    <w:rsid w:val="2FDE6C5E"/>
    <w:rsid w:val="2FE14059"/>
    <w:rsid w:val="2FEC4ED7"/>
    <w:rsid w:val="30000983"/>
    <w:rsid w:val="3002294D"/>
    <w:rsid w:val="30093CDB"/>
    <w:rsid w:val="300C37CC"/>
    <w:rsid w:val="30121DFF"/>
    <w:rsid w:val="30183F1E"/>
    <w:rsid w:val="30191A45"/>
    <w:rsid w:val="301B756B"/>
    <w:rsid w:val="30226B4B"/>
    <w:rsid w:val="30240B15"/>
    <w:rsid w:val="30281C88"/>
    <w:rsid w:val="30342E59"/>
    <w:rsid w:val="3034687E"/>
    <w:rsid w:val="30360848"/>
    <w:rsid w:val="30395C43"/>
    <w:rsid w:val="303F76FD"/>
    <w:rsid w:val="3045283A"/>
    <w:rsid w:val="3049232A"/>
    <w:rsid w:val="30564A47"/>
    <w:rsid w:val="305B7641"/>
    <w:rsid w:val="306B6744"/>
    <w:rsid w:val="306C426A"/>
    <w:rsid w:val="306E7FE2"/>
    <w:rsid w:val="307153DD"/>
    <w:rsid w:val="30766E97"/>
    <w:rsid w:val="307A0735"/>
    <w:rsid w:val="307F7AFA"/>
    <w:rsid w:val="3082583C"/>
    <w:rsid w:val="308E5F8F"/>
    <w:rsid w:val="3091782D"/>
    <w:rsid w:val="309A5723"/>
    <w:rsid w:val="309C68FD"/>
    <w:rsid w:val="309F3091"/>
    <w:rsid w:val="30AA4FAA"/>
    <w:rsid w:val="30AD0B0B"/>
    <w:rsid w:val="30B11C7D"/>
    <w:rsid w:val="30B31E99"/>
    <w:rsid w:val="30B44357"/>
    <w:rsid w:val="30BA3228"/>
    <w:rsid w:val="30BC6FA0"/>
    <w:rsid w:val="30BD4AC6"/>
    <w:rsid w:val="30C21DFA"/>
    <w:rsid w:val="30C3032E"/>
    <w:rsid w:val="30C714A1"/>
    <w:rsid w:val="30CD2F5B"/>
    <w:rsid w:val="30D065A7"/>
    <w:rsid w:val="30D37E45"/>
    <w:rsid w:val="30D836AE"/>
    <w:rsid w:val="30E16A06"/>
    <w:rsid w:val="30E3277E"/>
    <w:rsid w:val="30E97669"/>
    <w:rsid w:val="30EB0406"/>
    <w:rsid w:val="30EB1633"/>
    <w:rsid w:val="30EB23FA"/>
    <w:rsid w:val="30F1651D"/>
    <w:rsid w:val="30F30B8C"/>
    <w:rsid w:val="30F524B2"/>
    <w:rsid w:val="30FD3114"/>
    <w:rsid w:val="30FD4EC2"/>
    <w:rsid w:val="310E5321"/>
    <w:rsid w:val="310F4C68"/>
    <w:rsid w:val="311346E6"/>
    <w:rsid w:val="311A5A74"/>
    <w:rsid w:val="311C359A"/>
    <w:rsid w:val="31215055"/>
    <w:rsid w:val="31224929"/>
    <w:rsid w:val="312608BD"/>
    <w:rsid w:val="312B1A2F"/>
    <w:rsid w:val="31326BD3"/>
    <w:rsid w:val="3135093F"/>
    <w:rsid w:val="31376626"/>
    <w:rsid w:val="313C3C3D"/>
    <w:rsid w:val="31440D43"/>
    <w:rsid w:val="31462D0D"/>
    <w:rsid w:val="31464ABB"/>
    <w:rsid w:val="31506F45"/>
    <w:rsid w:val="31572824"/>
    <w:rsid w:val="315E1E05"/>
    <w:rsid w:val="31615451"/>
    <w:rsid w:val="316867E0"/>
    <w:rsid w:val="316E7B6E"/>
    <w:rsid w:val="317258B0"/>
    <w:rsid w:val="31736C24"/>
    <w:rsid w:val="31741628"/>
    <w:rsid w:val="31750EFD"/>
    <w:rsid w:val="3179279B"/>
    <w:rsid w:val="317C228B"/>
    <w:rsid w:val="317C672F"/>
    <w:rsid w:val="31807FCD"/>
    <w:rsid w:val="318135CB"/>
    <w:rsid w:val="31847007"/>
    <w:rsid w:val="31864EB8"/>
    <w:rsid w:val="318B24CE"/>
    <w:rsid w:val="318F6462"/>
    <w:rsid w:val="31992E3D"/>
    <w:rsid w:val="319A0963"/>
    <w:rsid w:val="31A041CB"/>
    <w:rsid w:val="31A43590"/>
    <w:rsid w:val="31A517E2"/>
    <w:rsid w:val="31A87524"/>
    <w:rsid w:val="31AD4B3A"/>
    <w:rsid w:val="31B53264"/>
    <w:rsid w:val="31B5579D"/>
    <w:rsid w:val="31C3435E"/>
    <w:rsid w:val="31CD0D39"/>
    <w:rsid w:val="31D9148B"/>
    <w:rsid w:val="31E06CBE"/>
    <w:rsid w:val="31E16592"/>
    <w:rsid w:val="31E50C02"/>
    <w:rsid w:val="31E56082"/>
    <w:rsid w:val="31EA3699"/>
    <w:rsid w:val="320329AC"/>
    <w:rsid w:val="321150C9"/>
    <w:rsid w:val="322272D6"/>
    <w:rsid w:val="322275CF"/>
    <w:rsid w:val="3227669B"/>
    <w:rsid w:val="322946C9"/>
    <w:rsid w:val="322C1F03"/>
    <w:rsid w:val="32333292"/>
    <w:rsid w:val="32396127"/>
    <w:rsid w:val="323B0398"/>
    <w:rsid w:val="323B04A4"/>
    <w:rsid w:val="323B2435"/>
    <w:rsid w:val="32430FFB"/>
    <w:rsid w:val="32452FC5"/>
    <w:rsid w:val="324A4137"/>
    <w:rsid w:val="32505B7F"/>
    <w:rsid w:val="32582CF8"/>
    <w:rsid w:val="325A6A70"/>
    <w:rsid w:val="326E6078"/>
    <w:rsid w:val="326F1DF0"/>
    <w:rsid w:val="326F71AB"/>
    <w:rsid w:val="32747406"/>
    <w:rsid w:val="327B0795"/>
    <w:rsid w:val="328F5FEE"/>
    <w:rsid w:val="32935ADE"/>
    <w:rsid w:val="32963EC4"/>
    <w:rsid w:val="329A50BF"/>
    <w:rsid w:val="32A93554"/>
    <w:rsid w:val="32AA2E28"/>
    <w:rsid w:val="32AF737A"/>
    <w:rsid w:val="32BB6DE3"/>
    <w:rsid w:val="32C24615"/>
    <w:rsid w:val="32C263C3"/>
    <w:rsid w:val="32C739DA"/>
    <w:rsid w:val="32CC3AE8"/>
    <w:rsid w:val="32D56359"/>
    <w:rsid w:val="32DD144F"/>
    <w:rsid w:val="32EC51EE"/>
    <w:rsid w:val="32F26CA9"/>
    <w:rsid w:val="32F83B93"/>
    <w:rsid w:val="32FA790B"/>
    <w:rsid w:val="330B38C7"/>
    <w:rsid w:val="331035D3"/>
    <w:rsid w:val="33154745"/>
    <w:rsid w:val="33174961"/>
    <w:rsid w:val="3317670F"/>
    <w:rsid w:val="33264BA4"/>
    <w:rsid w:val="33291F9F"/>
    <w:rsid w:val="332E1CAB"/>
    <w:rsid w:val="332E6D57"/>
    <w:rsid w:val="333746BC"/>
    <w:rsid w:val="33380434"/>
    <w:rsid w:val="33386686"/>
    <w:rsid w:val="333A7FDD"/>
    <w:rsid w:val="333C43C8"/>
    <w:rsid w:val="333C7D1C"/>
    <w:rsid w:val="334119DE"/>
    <w:rsid w:val="33460DA3"/>
    <w:rsid w:val="334B460B"/>
    <w:rsid w:val="335214F5"/>
    <w:rsid w:val="33525999"/>
    <w:rsid w:val="33576B0C"/>
    <w:rsid w:val="33621DF2"/>
    <w:rsid w:val="33635A54"/>
    <w:rsid w:val="3364747B"/>
    <w:rsid w:val="33664257"/>
    <w:rsid w:val="336731F6"/>
    <w:rsid w:val="33680D19"/>
    <w:rsid w:val="337A6C9E"/>
    <w:rsid w:val="33802506"/>
    <w:rsid w:val="338E62A6"/>
    <w:rsid w:val="339064C2"/>
    <w:rsid w:val="33955886"/>
    <w:rsid w:val="339715FE"/>
    <w:rsid w:val="33A04957"/>
    <w:rsid w:val="33A15FD9"/>
    <w:rsid w:val="33A3446E"/>
    <w:rsid w:val="33AF4B9A"/>
    <w:rsid w:val="33B71CA0"/>
    <w:rsid w:val="33B91574"/>
    <w:rsid w:val="33BF2903"/>
    <w:rsid w:val="33C5616B"/>
    <w:rsid w:val="33CF6FEA"/>
    <w:rsid w:val="33D4015C"/>
    <w:rsid w:val="33D53ED4"/>
    <w:rsid w:val="33D740F0"/>
    <w:rsid w:val="33DC1707"/>
    <w:rsid w:val="33E10ACB"/>
    <w:rsid w:val="33E505BB"/>
    <w:rsid w:val="33E67E90"/>
    <w:rsid w:val="33E83C08"/>
    <w:rsid w:val="33EA5BD2"/>
    <w:rsid w:val="3408616B"/>
    <w:rsid w:val="3409025B"/>
    <w:rsid w:val="341669C7"/>
    <w:rsid w:val="3422536C"/>
    <w:rsid w:val="342B1D46"/>
    <w:rsid w:val="342C61EA"/>
    <w:rsid w:val="342D3D10"/>
    <w:rsid w:val="343926B5"/>
    <w:rsid w:val="34441786"/>
    <w:rsid w:val="3454129D"/>
    <w:rsid w:val="34552B86"/>
    <w:rsid w:val="34563E84"/>
    <w:rsid w:val="345E036E"/>
    <w:rsid w:val="346239BA"/>
    <w:rsid w:val="34637732"/>
    <w:rsid w:val="34684D49"/>
    <w:rsid w:val="346A0AC1"/>
    <w:rsid w:val="346E6803"/>
    <w:rsid w:val="34713BFD"/>
    <w:rsid w:val="347F6565"/>
    <w:rsid w:val="3489363D"/>
    <w:rsid w:val="348C6C89"/>
    <w:rsid w:val="349B3370"/>
    <w:rsid w:val="349D49F2"/>
    <w:rsid w:val="34A246FE"/>
    <w:rsid w:val="34AC732B"/>
    <w:rsid w:val="34B21B0F"/>
    <w:rsid w:val="34B63D06"/>
    <w:rsid w:val="34B85CD0"/>
    <w:rsid w:val="34B955A4"/>
    <w:rsid w:val="34BB756E"/>
    <w:rsid w:val="34BF705E"/>
    <w:rsid w:val="34C74165"/>
    <w:rsid w:val="34C826ED"/>
    <w:rsid w:val="34C84AAA"/>
    <w:rsid w:val="34C91C8B"/>
    <w:rsid w:val="34D32B0A"/>
    <w:rsid w:val="34DA3E98"/>
    <w:rsid w:val="34DF14AF"/>
    <w:rsid w:val="34E6283D"/>
    <w:rsid w:val="34EB7E53"/>
    <w:rsid w:val="34F07218"/>
    <w:rsid w:val="34F34F5A"/>
    <w:rsid w:val="34F52A80"/>
    <w:rsid w:val="34F62354"/>
    <w:rsid w:val="34FC3E0F"/>
    <w:rsid w:val="34FF745B"/>
    <w:rsid w:val="350C3926"/>
    <w:rsid w:val="350D601C"/>
    <w:rsid w:val="35154ED0"/>
    <w:rsid w:val="35170C48"/>
    <w:rsid w:val="35215623"/>
    <w:rsid w:val="35227EF9"/>
    <w:rsid w:val="352E7D40"/>
    <w:rsid w:val="35301D0A"/>
    <w:rsid w:val="3538296D"/>
    <w:rsid w:val="353F5AA9"/>
    <w:rsid w:val="354510AB"/>
    <w:rsid w:val="3546508A"/>
    <w:rsid w:val="35471FCB"/>
    <w:rsid w:val="35507CB7"/>
    <w:rsid w:val="35521C81"/>
    <w:rsid w:val="35571045"/>
    <w:rsid w:val="355A0B35"/>
    <w:rsid w:val="355A6D87"/>
    <w:rsid w:val="355C2AFF"/>
    <w:rsid w:val="355E6877"/>
    <w:rsid w:val="355F439E"/>
    <w:rsid w:val="356279EA"/>
    <w:rsid w:val="35645510"/>
    <w:rsid w:val="35702107"/>
    <w:rsid w:val="357065AB"/>
    <w:rsid w:val="357F234A"/>
    <w:rsid w:val="35873781"/>
    <w:rsid w:val="358B0CEF"/>
    <w:rsid w:val="358D7245"/>
    <w:rsid w:val="358E07DF"/>
    <w:rsid w:val="358E6A31"/>
    <w:rsid w:val="35973B37"/>
    <w:rsid w:val="35A87AF3"/>
    <w:rsid w:val="35B244CD"/>
    <w:rsid w:val="35B446E9"/>
    <w:rsid w:val="35B53FBD"/>
    <w:rsid w:val="35C44201"/>
    <w:rsid w:val="35D501BC"/>
    <w:rsid w:val="35E36D7D"/>
    <w:rsid w:val="35EA010B"/>
    <w:rsid w:val="35EB5C31"/>
    <w:rsid w:val="35EB79DF"/>
    <w:rsid w:val="35FB4B84"/>
    <w:rsid w:val="35FC7E3E"/>
    <w:rsid w:val="36056CF3"/>
    <w:rsid w:val="36070CBD"/>
    <w:rsid w:val="360F36CE"/>
    <w:rsid w:val="361138EA"/>
    <w:rsid w:val="36121410"/>
    <w:rsid w:val="36174C78"/>
    <w:rsid w:val="36201D7F"/>
    <w:rsid w:val="36203B2D"/>
    <w:rsid w:val="36251143"/>
    <w:rsid w:val="36274EBB"/>
    <w:rsid w:val="363110F3"/>
    <w:rsid w:val="363B44C3"/>
    <w:rsid w:val="363C648D"/>
    <w:rsid w:val="363E0457"/>
    <w:rsid w:val="364315C9"/>
    <w:rsid w:val="3647730B"/>
    <w:rsid w:val="36486BE0"/>
    <w:rsid w:val="365437D6"/>
    <w:rsid w:val="36554CBE"/>
    <w:rsid w:val="36592B9B"/>
    <w:rsid w:val="36603F29"/>
    <w:rsid w:val="36624145"/>
    <w:rsid w:val="36653C36"/>
    <w:rsid w:val="366559E4"/>
    <w:rsid w:val="3668693C"/>
    <w:rsid w:val="367125DA"/>
    <w:rsid w:val="36745C27"/>
    <w:rsid w:val="36794FEB"/>
    <w:rsid w:val="367E2601"/>
    <w:rsid w:val="36806379"/>
    <w:rsid w:val="3687595A"/>
    <w:rsid w:val="36A04C6E"/>
    <w:rsid w:val="36A06A1C"/>
    <w:rsid w:val="36A74536"/>
    <w:rsid w:val="36A90A1A"/>
    <w:rsid w:val="36AE1139"/>
    <w:rsid w:val="36B129D7"/>
    <w:rsid w:val="36B85B13"/>
    <w:rsid w:val="36BA5D2F"/>
    <w:rsid w:val="36C26992"/>
    <w:rsid w:val="36C46BAE"/>
    <w:rsid w:val="36C50230"/>
    <w:rsid w:val="36CA3A99"/>
    <w:rsid w:val="36CC15BF"/>
    <w:rsid w:val="36CC7811"/>
    <w:rsid w:val="36CF10AF"/>
    <w:rsid w:val="36D36DF1"/>
    <w:rsid w:val="36DA0180"/>
    <w:rsid w:val="36EA5EE9"/>
    <w:rsid w:val="36EB413B"/>
    <w:rsid w:val="36FF1994"/>
    <w:rsid w:val="36FF7BE6"/>
    <w:rsid w:val="37046FAB"/>
    <w:rsid w:val="37054AD1"/>
    <w:rsid w:val="370A0339"/>
    <w:rsid w:val="371C0798"/>
    <w:rsid w:val="371F3DE4"/>
    <w:rsid w:val="37217B5C"/>
    <w:rsid w:val="372413FB"/>
    <w:rsid w:val="37265173"/>
    <w:rsid w:val="372E5DD5"/>
    <w:rsid w:val="37392328"/>
    <w:rsid w:val="373A6E70"/>
    <w:rsid w:val="373D24BC"/>
    <w:rsid w:val="3744384B"/>
    <w:rsid w:val="374675C3"/>
    <w:rsid w:val="374B6987"/>
    <w:rsid w:val="37503F9E"/>
    <w:rsid w:val="37506F8C"/>
    <w:rsid w:val="3756532C"/>
    <w:rsid w:val="375717D0"/>
    <w:rsid w:val="3757357E"/>
    <w:rsid w:val="37660D8E"/>
    <w:rsid w:val="37695060"/>
    <w:rsid w:val="376C5AC1"/>
    <w:rsid w:val="3771317E"/>
    <w:rsid w:val="37734130"/>
    <w:rsid w:val="377A3CF0"/>
    <w:rsid w:val="377A54BF"/>
    <w:rsid w:val="377B5084"/>
    <w:rsid w:val="377C4D93"/>
    <w:rsid w:val="377F4883"/>
    <w:rsid w:val="3781684D"/>
    <w:rsid w:val="378B76CC"/>
    <w:rsid w:val="37906A90"/>
    <w:rsid w:val="37991DE9"/>
    <w:rsid w:val="379C4C58"/>
    <w:rsid w:val="379F6CD3"/>
    <w:rsid w:val="37A27B7C"/>
    <w:rsid w:val="37A661A0"/>
    <w:rsid w:val="37A66786"/>
    <w:rsid w:val="37A97B52"/>
    <w:rsid w:val="37AB1B1C"/>
    <w:rsid w:val="37AF33BA"/>
    <w:rsid w:val="37B671A6"/>
    <w:rsid w:val="37B7401D"/>
    <w:rsid w:val="37CD3840"/>
    <w:rsid w:val="37DA41AF"/>
    <w:rsid w:val="37DD15AA"/>
    <w:rsid w:val="37ED5C91"/>
    <w:rsid w:val="37F52D97"/>
    <w:rsid w:val="37F94635"/>
    <w:rsid w:val="37FB65FF"/>
    <w:rsid w:val="38044D88"/>
    <w:rsid w:val="38060B00"/>
    <w:rsid w:val="38082ACA"/>
    <w:rsid w:val="38174ABC"/>
    <w:rsid w:val="381C47C8"/>
    <w:rsid w:val="381E5E4A"/>
    <w:rsid w:val="381F1BC2"/>
    <w:rsid w:val="382130D3"/>
    <w:rsid w:val="382E0F74"/>
    <w:rsid w:val="3830058E"/>
    <w:rsid w:val="38334452"/>
    <w:rsid w:val="3836588A"/>
    <w:rsid w:val="383C2774"/>
    <w:rsid w:val="38417D8A"/>
    <w:rsid w:val="3844411C"/>
    <w:rsid w:val="3848736B"/>
    <w:rsid w:val="38543F62"/>
    <w:rsid w:val="385C2E16"/>
    <w:rsid w:val="385C6972"/>
    <w:rsid w:val="38613F89"/>
    <w:rsid w:val="3862667F"/>
    <w:rsid w:val="38685317"/>
    <w:rsid w:val="387737AC"/>
    <w:rsid w:val="38803573"/>
    <w:rsid w:val="388760E5"/>
    <w:rsid w:val="38966328"/>
    <w:rsid w:val="38983E4E"/>
    <w:rsid w:val="389C3213"/>
    <w:rsid w:val="389E6F8B"/>
    <w:rsid w:val="38A00F55"/>
    <w:rsid w:val="38A26A7B"/>
    <w:rsid w:val="38A547BD"/>
    <w:rsid w:val="38AA5930"/>
    <w:rsid w:val="38AD5420"/>
    <w:rsid w:val="38B467AE"/>
    <w:rsid w:val="38C74734"/>
    <w:rsid w:val="38C904AC"/>
    <w:rsid w:val="38CC1D4A"/>
    <w:rsid w:val="38CD7870"/>
    <w:rsid w:val="38CE5AC2"/>
    <w:rsid w:val="38D37F4B"/>
    <w:rsid w:val="38DE1A7D"/>
    <w:rsid w:val="38DF7CCF"/>
    <w:rsid w:val="38E52E0C"/>
    <w:rsid w:val="38E91E85"/>
    <w:rsid w:val="38EC7CF6"/>
    <w:rsid w:val="38EF77E6"/>
    <w:rsid w:val="38F60B75"/>
    <w:rsid w:val="38F90665"/>
    <w:rsid w:val="38FB43DD"/>
    <w:rsid w:val="3905700A"/>
    <w:rsid w:val="390908A8"/>
    <w:rsid w:val="390B1759"/>
    <w:rsid w:val="390B2A81"/>
    <w:rsid w:val="390E5784"/>
    <w:rsid w:val="3911775D"/>
    <w:rsid w:val="39202096"/>
    <w:rsid w:val="3925145A"/>
    <w:rsid w:val="392F4087"/>
    <w:rsid w:val="393022D9"/>
    <w:rsid w:val="39332945"/>
    <w:rsid w:val="393D0552"/>
    <w:rsid w:val="394B7113"/>
    <w:rsid w:val="394C2E8B"/>
    <w:rsid w:val="395D6E46"/>
    <w:rsid w:val="39602492"/>
    <w:rsid w:val="3971469F"/>
    <w:rsid w:val="39761CB6"/>
    <w:rsid w:val="397B107A"/>
    <w:rsid w:val="39807C34"/>
    <w:rsid w:val="398402F3"/>
    <w:rsid w:val="399C796E"/>
    <w:rsid w:val="399E62C8"/>
    <w:rsid w:val="39A64349"/>
    <w:rsid w:val="39A763EE"/>
    <w:rsid w:val="39B5458C"/>
    <w:rsid w:val="39B8138C"/>
    <w:rsid w:val="39B90520"/>
    <w:rsid w:val="39BB5301"/>
    <w:rsid w:val="39BC3B6C"/>
    <w:rsid w:val="39C26CA9"/>
    <w:rsid w:val="39CD7B28"/>
    <w:rsid w:val="39CE38A0"/>
    <w:rsid w:val="39D215E2"/>
    <w:rsid w:val="39D92970"/>
    <w:rsid w:val="39DC23CA"/>
    <w:rsid w:val="39E3734B"/>
    <w:rsid w:val="39E44E71"/>
    <w:rsid w:val="39E76710"/>
    <w:rsid w:val="39F552D0"/>
    <w:rsid w:val="39FC040D"/>
    <w:rsid w:val="39FE23D7"/>
    <w:rsid w:val="3A00614F"/>
    <w:rsid w:val="3A173499"/>
    <w:rsid w:val="3A26548A"/>
    <w:rsid w:val="3A266CCC"/>
    <w:rsid w:val="3A2D6818"/>
    <w:rsid w:val="3A347BA7"/>
    <w:rsid w:val="3A371445"/>
    <w:rsid w:val="3A3E27D3"/>
    <w:rsid w:val="3A410516"/>
    <w:rsid w:val="3A445910"/>
    <w:rsid w:val="3A451DB4"/>
    <w:rsid w:val="3A4A561C"/>
    <w:rsid w:val="3A500759"/>
    <w:rsid w:val="3A570AD9"/>
    <w:rsid w:val="3A573895"/>
    <w:rsid w:val="3A59760D"/>
    <w:rsid w:val="3A5B15D7"/>
    <w:rsid w:val="3A5C0EAC"/>
    <w:rsid w:val="3A60099C"/>
    <w:rsid w:val="3A6366DE"/>
    <w:rsid w:val="3A685AA2"/>
    <w:rsid w:val="3A7206CF"/>
    <w:rsid w:val="3A79380C"/>
    <w:rsid w:val="3A7E4542"/>
    <w:rsid w:val="3A8328DC"/>
    <w:rsid w:val="3A836438"/>
    <w:rsid w:val="3A856654"/>
    <w:rsid w:val="3A8723CC"/>
    <w:rsid w:val="3A8D5259"/>
    <w:rsid w:val="3A916ECC"/>
    <w:rsid w:val="3A96260F"/>
    <w:rsid w:val="3A9E14C4"/>
    <w:rsid w:val="3A9E3272"/>
    <w:rsid w:val="3AA52853"/>
    <w:rsid w:val="3AAF1923"/>
    <w:rsid w:val="3AB24F6F"/>
    <w:rsid w:val="3AB900AC"/>
    <w:rsid w:val="3ABB02C8"/>
    <w:rsid w:val="3AC16F61"/>
    <w:rsid w:val="3AC54CA3"/>
    <w:rsid w:val="3AC7092A"/>
    <w:rsid w:val="3AC727C9"/>
    <w:rsid w:val="3AD6236B"/>
    <w:rsid w:val="3AD76784"/>
    <w:rsid w:val="3AE25855"/>
    <w:rsid w:val="3AE74C19"/>
    <w:rsid w:val="3AEC11B5"/>
    <w:rsid w:val="3AFE1F63"/>
    <w:rsid w:val="3B077069"/>
    <w:rsid w:val="3B0774FE"/>
    <w:rsid w:val="3B082DE1"/>
    <w:rsid w:val="3B181276"/>
    <w:rsid w:val="3B247C1B"/>
    <w:rsid w:val="3B255741"/>
    <w:rsid w:val="3B2C087E"/>
    <w:rsid w:val="3B2F7ED1"/>
    <w:rsid w:val="3B381919"/>
    <w:rsid w:val="3B392F9B"/>
    <w:rsid w:val="3B3D0CDD"/>
    <w:rsid w:val="3B464036"/>
    <w:rsid w:val="3B4C7172"/>
    <w:rsid w:val="3B4E2EEA"/>
    <w:rsid w:val="3B4E6A46"/>
    <w:rsid w:val="3B53405D"/>
    <w:rsid w:val="3B540F72"/>
    <w:rsid w:val="3B5D3DA9"/>
    <w:rsid w:val="3B691AD2"/>
    <w:rsid w:val="3B697D24"/>
    <w:rsid w:val="3B6A5780"/>
    <w:rsid w:val="3B6B584A"/>
    <w:rsid w:val="3B714E2B"/>
    <w:rsid w:val="3B732951"/>
    <w:rsid w:val="3B8A37F6"/>
    <w:rsid w:val="3B8C57C0"/>
    <w:rsid w:val="3B8F069E"/>
    <w:rsid w:val="3B903503"/>
    <w:rsid w:val="3B90705F"/>
    <w:rsid w:val="3B9C3C56"/>
    <w:rsid w:val="3B9F54F4"/>
    <w:rsid w:val="3BA40D5C"/>
    <w:rsid w:val="3BAB20EB"/>
    <w:rsid w:val="3BAB3E99"/>
    <w:rsid w:val="3BBA0580"/>
    <w:rsid w:val="3BC625F4"/>
    <w:rsid w:val="3BC74A4B"/>
    <w:rsid w:val="3BC96A15"/>
    <w:rsid w:val="3BCB453B"/>
    <w:rsid w:val="3BCD02B3"/>
    <w:rsid w:val="3BD056AD"/>
    <w:rsid w:val="3BDA652C"/>
    <w:rsid w:val="3BDF3B42"/>
    <w:rsid w:val="3BE253E0"/>
    <w:rsid w:val="3BE41159"/>
    <w:rsid w:val="3BE82DC5"/>
    <w:rsid w:val="3BEB24E7"/>
    <w:rsid w:val="3BF27D19"/>
    <w:rsid w:val="3BF3370C"/>
    <w:rsid w:val="3BFA4E20"/>
    <w:rsid w:val="3BFC64A2"/>
    <w:rsid w:val="3C011622"/>
    <w:rsid w:val="3C0161AE"/>
    <w:rsid w:val="3C0812EB"/>
    <w:rsid w:val="3C0E4427"/>
    <w:rsid w:val="3C101F4E"/>
    <w:rsid w:val="3C1852A6"/>
    <w:rsid w:val="3C1E0B0E"/>
    <w:rsid w:val="3C21415B"/>
    <w:rsid w:val="3C2B6D87"/>
    <w:rsid w:val="3C3245BA"/>
    <w:rsid w:val="3C335C3C"/>
    <w:rsid w:val="3C3519B4"/>
    <w:rsid w:val="3C395948"/>
    <w:rsid w:val="3C3E2F5F"/>
    <w:rsid w:val="3C3E4D0D"/>
    <w:rsid w:val="3C413199"/>
    <w:rsid w:val="3C423589"/>
    <w:rsid w:val="3C4446EB"/>
    <w:rsid w:val="3C4D4F50"/>
    <w:rsid w:val="3C4E2A76"/>
    <w:rsid w:val="3C53008C"/>
    <w:rsid w:val="3C5738CA"/>
    <w:rsid w:val="3C5E53AF"/>
    <w:rsid w:val="3C6A5B02"/>
    <w:rsid w:val="3C6F136A"/>
    <w:rsid w:val="3C720E5A"/>
    <w:rsid w:val="3C7324DC"/>
    <w:rsid w:val="3C756255"/>
    <w:rsid w:val="3C7C75E3"/>
    <w:rsid w:val="3C805325"/>
    <w:rsid w:val="3C835B1D"/>
    <w:rsid w:val="3C875E4E"/>
    <w:rsid w:val="3C88242C"/>
    <w:rsid w:val="3C8D7A42"/>
    <w:rsid w:val="3C917532"/>
    <w:rsid w:val="3CA46597"/>
    <w:rsid w:val="3CA803D8"/>
    <w:rsid w:val="3CAC611A"/>
    <w:rsid w:val="3CAD3C40"/>
    <w:rsid w:val="3CB412C2"/>
    <w:rsid w:val="3CB7061B"/>
    <w:rsid w:val="3CBA010B"/>
    <w:rsid w:val="3CC66AB0"/>
    <w:rsid w:val="3CC72F54"/>
    <w:rsid w:val="3CD016DD"/>
    <w:rsid w:val="3CDC4526"/>
    <w:rsid w:val="3CDC62D4"/>
    <w:rsid w:val="3CDD2778"/>
    <w:rsid w:val="3CEA6C43"/>
    <w:rsid w:val="3CEB6517"/>
    <w:rsid w:val="3CEC4769"/>
    <w:rsid w:val="3CF03B2D"/>
    <w:rsid w:val="3CF278A5"/>
    <w:rsid w:val="3CF6463A"/>
    <w:rsid w:val="3CFB4FDE"/>
    <w:rsid w:val="3CFC24D2"/>
    <w:rsid w:val="3D0221DE"/>
    <w:rsid w:val="3D037D04"/>
    <w:rsid w:val="3D053A7C"/>
    <w:rsid w:val="3D073351"/>
    <w:rsid w:val="3D0C4E0B"/>
    <w:rsid w:val="3D0D40C6"/>
    <w:rsid w:val="3D141F11"/>
    <w:rsid w:val="3D163594"/>
    <w:rsid w:val="3D2739F3"/>
    <w:rsid w:val="3D2757A1"/>
    <w:rsid w:val="3D3B749E"/>
    <w:rsid w:val="3D3D3216"/>
    <w:rsid w:val="3D45031D"/>
    <w:rsid w:val="3D453E79"/>
    <w:rsid w:val="3D495F07"/>
    <w:rsid w:val="3D4E0F7F"/>
    <w:rsid w:val="3D5B369C"/>
    <w:rsid w:val="3D6407A3"/>
    <w:rsid w:val="3D670293"/>
    <w:rsid w:val="3D6F7148"/>
    <w:rsid w:val="3D7D3613"/>
    <w:rsid w:val="3D850719"/>
    <w:rsid w:val="3D89645B"/>
    <w:rsid w:val="3D8E3A72"/>
    <w:rsid w:val="3D8E5820"/>
    <w:rsid w:val="3D8E75CE"/>
    <w:rsid w:val="3D8F1598"/>
    <w:rsid w:val="3D8F4E37"/>
    <w:rsid w:val="3D9372DA"/>
    <w:rsid w:val="3D954E00"/>
    <w:rsid w:val="3D9D1F07"/>
    <w:rsid w:val="3DAE1A1E"/>
    <w:rsid w:val="3DB159B2"/>
    <w:rsid w:val="3DC2538F"/>
    <w:rsid w:val="3DC47494"/>
    <w:rsid w:val="3DCC459A"/>
    <w:rsid w:val="3DCE530E"/>
    <w:rsid w:val="3DD1395F"/>
    <w:rsid w:val="3DDC2A2F"/>
    <w:rsid w:val="3DDC47DD"/>
    <w:rsid w:val="3DF007AE"/>
    <w:rsid w:val="3E021D6A"/>
    <w:rsid w:val="3E0930F8"/>
    <w:rsid w:val="3E10092B"/>
    <w:rsid w:val="3E1622ED"/>
    <w:rsid w:val="3E1A3557"/>
    <w:rsid w:val="3E1C1B38"/>
    <w:rsid w:val="3E210442"/>
    <w:rsid w:val="3E29379B"/>
    <w:rsid w:val="3E295549"/>
    <w:rsid w:val="3E2B12C1"/>
    <w:rsid w:val="3E2B7513"/>
    <w:rsid w:val="3E2E7003"/>
    <w:rsid w:val="3E391C30"/>
    <w:rsid w:val="3E43485C"/>
    <w:rsid w:val="3E43589F"/>
    <w:rsid w:val="3E4B54BF"/>
    <w:rsid w:val="3E4D1237"/>
    <w:rsid w:val="3E570308"/>
    <w:rsid w:val="3E6B790F"/>
    <w:rsid w:val="3E6F5651"/>
    <w:rsid w:val="3E703177"/>
    <w:rsid w:val="3E703A7C"/>
    <w:rsid w:val="3E7762B4"/>
    <w:rsid w:val="3E7F33BB"/>
    <w:rsid w:val="3E8135D7"/>
    <w:rsid w:val="3E8310FD"/>
    <w:rsid w:val="3E952BDE"/>
    <w:rsid w:val="3E98013E"/>
    <w:rsid w:val="3E9E1A93"/>
    <w:rsid w:val="3E9F580B"/>
    <w:rsid w:val="3EA6303D"/>
    <w:rsid w:val="3EAE7E7B"/>
    <w:rsid w:val="3EB562E1"/>
    <w:rsid w:val="3EB92D70"/>
    <w:rsid w:val="3EBC3B56"/>
    <w:rsid w:val="3EC60FE9"/>
    <w:rsid w:val="3EC7548D"/>
    <w:rsid w:val="3EC84D62"/>
    <w:rsid w:val="3ECC2AA4"/>
    <w:rsid w:val="3ECD4126"/>
    <w:rsid w:val="3ED951C1"/>
    <w:rsid w:val="3EE6343A"/>
    <w:rsid w:val="3EE651E8"/>
    <w:rsid w:val="3EE8423E"/>
    <w:rsid w:val="3EEA117C"/>
    <w:rsid w:val="3EEC4EF4"/>
    <w:rsid w:val="3EF21DDE"/>
    <w:rsid w:val="3EF913BF"/>
    <w:rsid w:val="3F051B12"/>
    <w:rsid w:val="3F1735F3"/>
    <w:rsid w:val="3F205BBA"/>
    <w:rsid w:val="3F253F62"/>
    <w:rsid w:val="3F255D10"/>
    <w:rsid w:val="3F283A52"/>
    <w:rsid w:val="3F3146B5"/>
    <w:rsid w:val="3F340649"/>
    <w:rsid w:val="3F3E5024"/>
    <w:rsid w:val="3F403DC1"/>
    <w:rsid w:val="3F473ED8"/>
    <w:rsid w:val="3F4A39C9"/>
    <w:rsid w:val="3F4E1470"/>
    <w:rsid w:val="3F5E56C6"/>
    <w:rsid w:val="3F6251B6"/>
    <w:rsid w:val="3F634A8A"/>
    <w:rsid w:val="3F6525B0"/>
    <w:rsid w:val="3F6C7DE3"/>
    <w:rsid w:val="3F6F51DD"/>
    <w:rsid w:val="3F72393E"/>
    <w:rsid w:val="3F7B1DD4"/>
    <w:rsid w:val="3F854A01"/>
    <w:rsid w:val="3F870779"/>
    <w:rsid w:val="3F9D1D4A"/>
    <w:rsid w:val="3F9D61EE"/>
    <w:rsid w:val="3FA118A5"/>
    <w:rsid w:val="3FAA26B9"/>
    <w:rsid w:val="3FB53538"/>
    <w:rsid w:val="3FB62E0C"/>
    <w:rsid w:val="3FB83028"/>
    <w:rsid w:val="3FBF6165"/>
    <w:rsid w:val="3FC30E51"/>
    <w:rsid w:val="3FC512A1"/>
    <w:rsid w:val="3FC65745"/>
    <w:rsid w:val="3FC7326B"/>
    <w:rsid w:val="3FCA68B7"/>
    <w:rsid w:val="3FCB2D5B"/>
    <w:rsid w:val="3FD06369"/>
    <w:rsid w:val="3FD47305"/>
    <w:rsid w:val="3FD6050A"/>
    <w:rsid w:val="3FDC31A6"/>
    <w:rsid w:val="3FDE3EE5"/>
    <w:rsid w:val="3FDF05B5"/>
    <w:rsid w:val="3FE67B95"/>
    <w:rsid w:val="3FF43934"/>
    <w:rsid w:val="3FF878C8"/>
    <w:rsid w:val="3FFB4CC3"/>
    <w:rsid w:val="3FFF2A05"/>
    <w:rsid w:val="3FFF47B3"/>
    <w:rsid w:val="4000052B"/>
    <w:rsid w:val="40026051"/>
    <w:rsid w:val="40061FE5"/>
    <w:rsid w:val="400718BA"/>
    <w:rsid w:val="400B3158"/>
    <w:rsid w:val="400C5122"/>
    <w:rsid w:val="400E0E9A"/>
    <w:rsid w:val="400E49F6"/>
    <w:rsid w:val="401144E6"/>
    <w:rsid w:val="401279AA"/>
    <w:rsid w:val="401364B0"/>
    <w:rsid w:val="401A15ED"/>
    <w:rsid w:val="40271F5C"/>
    <w:rsid w:val="40273D0A"/>
    <w:rsid w:val="402C1320"/>
    <w:rsid w:val="402C30CE"/>
    <w:rsid w:val="40356427"/>
    <w:rsid w:val="403A3A3D"/>
    <w:rsid w:val="40491ED2"/>
    <w:rsid w:val="404B17A6"/>
    <w:rsid w:val="404D19C2"/>
    <w:rsid w:val="40534AFF"/>
    <w:rsid w:val="40556AC9"/>
    <w:rsid w:val="406140E4"/>
    <w:rsid w:val="406228F9"/>
    <w:rsid w:val="406330B9"/>
    <w:rsid w:val="40642868"/>
    <w:rsid w:val="40692574"/>
    <w:rsid w:val="406E1939"/>
    <w:rsid w:val="4070746C"/>
    <w:rsid w:val="407249CF"/>
    <w:rsid w:val="40866C82"/>
    <w:rsid w:val="40896772"/>
    <w:rsid w:val="408B6047"/>
    <w:rsid w:val="40923879"/>
    <w:rsid w:val="40953369"/>
    <w:rsid w:val="40972C3D"/>
    <w:rsid w:val="40986038"/>
    <w:rsid w:val="409A272E"/>
    <w:rsid w:val="409E221E"/>
    <w:rsid w:val="409F5F96"/>
    <w:rsid w:val="40B21825"/>
    <w:rsid w:val="40B45A31"/>
    <w:rsid w:val="40B51316"/>
    <w:rsid w:val="40B557B9"/>
    <w:rsid w:val="40B732E0"/>
    <w:rsid w:val="40BB2DD0"/>
    <w:rsid w:val="40BF2194"/>
    <w:rsid w:val="40BF3F42"/>
    <w:rsid w:val="40C477AB"/>
    <w:rsid w:val="40C61775"/>
    <w:rsid w:val="40C63523"/>
    <w:rsid w:val="40D07EFD"/>
    <w:rsid w:val="40D24EFC"/>
    <w:rsid w:val="40DC1869"/>
    <w:rsid w:val="40DE261A"/>
    <w:rsid w:val="40ED4F53"/>
    <w:rsid w:val="40F167F2"/>
    <w:rsid w:val="40F63E08"/>
    <w:rsid w:val="40F736DC"/>
    <w:rsid w:val="40FA31CC"/>
    <w:rsid w:val="410302D3"/>
    <w:rsid w:val="410F0A26"/>
    <w:rsid w:val="41175B2C"/>
    <w:rsid w:val="41250249"/>
    <w:rsid w:val="41263FEF"/>
    <w:rsid w:val="412A5860"/>
    <w:rsid w:val="41313092"/>
    <w:rsid w:val="41320BB8"/>
    <w:rsid w:val="413606A8"/>
    <w:rsid w:val="41384420"/>
    <w:rsid w:val="413B5CBF"/>
    <w:rsid w:val="414A5F02"/>
    <w:rsid w:val="415428DD"/>
    <w:rsid w:val="41594397"/>
    <w:rsid w:val="415D5C35"/>
    <w:rsid w:val="415E19AD"/>
    <w:rsid w:val="416074D3"/>
    <w:rsid w:val="416666BA"/>
    <w:rsid w:val="41676AB4"/>
    <w:rsid w:val="416C40CA"/>
    <w:rsid w:val="416D5307"/>
    <w:rsid w:val="41770ACF"/>
    <w:rsid w:val="4177481D"/>
    <w:rsid w:val="41784420"/>
    <w:rsid w:val="41792343"/>
    <w:rsid w:val="41792C41"/>
    <w:rsid w:val="417B430D"/>
    <w:rsid w:val="417E5BAB"/>
    <w:rsid w:val="41866D93"/>
    <w:rsid w:val="41895373"/>
    <w:rsid w:val="418C651A"/>
    <w:rsid w:val="419158DF"/>
    <w:rsid w:val="419378A9"/>
    <w:rsid w:val="41967399"/>
    <w:rsid w:val="41984EBF"/>
    <w:rsid w:val="419D5C78"/>
    <w:rsid w:val="41A07CDB"/>
    <w:rsid w:val="41A15A7A"/>
    <w:rsid w:val="41A53138"/>
    <w:rsid w:val="41A74FDC"/>
    <w:rsid w:val="41AD023F"/>
    <w:rsid w:val="41BC157F"/>
    <w:rsid w:val="41C23CEA"/>
    <w:rsid w:val="41C31810"/>
    <w:rsid w:val="41C77552"/>
    <w:rsid w:val="41D13F2D"/>
    <w:rsid w:val="41D34149"/>
    <w:rsid w:val="41D35EF7"/>
    <w:rsid w:val="41DD0B24"/>
    <w:rsid w:val="41E00614"/>
    <w:rsid w:val="41E2438C"/>
    <w:rsid w:val="41E53E7C"/>
    <w:rsid w:val="41E55C2A"/>
    <w:rsid w:val="41E81277"/>
    <w:rsid w:val="41EC6FB9"/>
    <w:rsid w:val="41EF0857"/>
    <w:rsid w:val="41EF2605"/>
    <w:rsid w:val="41F12821"/>
    <w:rsid w:val="41F320F5"/>
    <w:rsid w:val="420460B1"/>
    <w:rsid w:val="42051E29"/>
    <w:rsid w:val="420F4A55"/>
    <w:rsid w:val="42114C71"/>
    <w:rsid w:val="42140B1B"/>
    <w:rsid w:val="42162288"/>
    <w:rsid w:val="42165DE4"/>
    <w:rsid w:val="421B0902"/>
    <w:rsid w:val="42293D69"/>
    <w:rsid w:val="422B5D33"/>
    <w:rsid w:val="422C5607"/>
    <w:rsid w:val="4230334A"/>
    <w:rsid w:val="423C1CEE"/>
    <w:rsid w:val="42440BA3"/>
    <w:rsid w:val="42452E8B"/>
    <w:rsid w:val="424E1A22"/>
    <w:rsid w:val="424F6B0E"/>
    <w:rsid w:val="42533248"/>
    <w:rsid w:val="425C6541"/>
    <w:rsid w:val="4262511D"/>
    <w:rsid w:val="426478A4"/>
    <w:rsid w:val="4269685C"/>
    <w:rsid w:val="426C3C56"/>
    <w:rsid w:val="42723962"/>
    <w:rsid w:val="427F7E2D"/>
    <w:rsid w:val="428471F1"/>
    <w:rsid w:val="42862F6A"/>
    <w:rsid w:val="428A1FC5"/>
    <w:rsid w:val="42937435"/>
    <w:rsid w:val="429E4757"/>
    <w:rsid w:val="42A21EEC"/>
    <w:rsid w:val="42A258CA"/>
    <w:rsid w:val="42B21FB1"/>
    <w:rsid w:val="42BD2703"/>
    <w:rsid w:val="42BF022A"/>
    <w:rsid w:val="42CE22CA"/>
    <w:rsid w:val="42D55C9F"/>
    <w:rsid w:val="42D77C69"/>
    <w:rsid w:val="42D9753D"/>
    <w:rsid w:val="42DF267A"/>
    <w:rsid w:val="42DF6B1E"/>
    <w:rsid w:val="42E12896"/>
    <w:rsid w:val="42E1533E"/>
    <w:rsid w:val="42E45EE2"/>
    <w:rsid w:val="42ED123B"/>
    <w:rsid w:val="42F11BFD"/>
    <w:rsid w:val="42F205FF"/>
    <w:rsid w:val="42F36125"/>
    <w:rsid w:val="43056584"/>
    <w:rsid w:val="430F7515"/>
    <w:rsid w:val="43144A19"/>
    <w:rsid w:val="43170066"/>
    <w:rsid w:val="431A7B56"/>
    <w:rsid w:val="431B2271"/>
    <w:rsid w:val="431F6F1A"/>
    <w:rsid w:val="432B1D63"/>
    <w:rsid w:val="432B3B11"/>
    <w:rsid w:val="433230F1"/>
    <w:rsid w:val="43452E25"/>
    <w:rsid w:val="43482915"/>
    <w:rsid w:val="43487189"/>
    <w:rsid w:val="434A043B"/>
    <w:rsid w:val="4352109E"/>
    <w:rsid w:val="435326DA"/>
    <w:rsid w:val="4359067E"/>
    <w:rsid w:val="4364538A"/>
    <w:rsid w:val="437234EE"/>
    <w:rsid w:val="43790D20"/>
    <w:rsid w:val="4391606A"/>
    <w:rsid w:val="43917E18"/>
    <w:rsid w:val="43923B90"/>
    <w:rsid w:val="439671DC"/>
    <w:rsid w:val="43A538C3"/>
    <w:rsid w:val="43AA2C88"/>
    <w:rsid w:val="43AE09CA"/>
    <w:rsid w:val="43B34232"/>
    <w:rsid w:val="43B41D58"/>
    <w:rsid w:val="43B6162D"/>
    <w:rsid w:val="43B81849"/>
    <w:rsid w:val="43BB4E95"/>
    <w:rsid w:val="43BC29BB"/>
    <w:rsid w:val="43BE6733"/>
    <w:rsid w:val="43C97F97"/>
    <w:rsid w:val="43D30430"/>
    <w:rsid w:val="43DD305D"/>
    <w:rsid w:val="43DD4E0B"/>
    <w:rsid w:val="43E268C5"/>
    <w:rsid w:val="43E75C8A"/>
    <w:rsid w:val="43F81C45"/>
    <w:rsid w:val="43F860E9"/>
    <w:rsid w:val="43FA3C0F"/>
    <w:rsid w:val="44024872"/>
    <w:rsid w:val="44044A8E"/>
    <w:rsid w:val="441445A5"/>
    <w:rsid w:val="4416031D"/>
    <w:rsid w:val="441B5933"/>
    <w:rsid w:val="44240FD0"/>
    <w:rsid w:val="44337121"/>
    <w:rsid w:val="443469F5"/>
    <w:rsid w:val="44394C85"/>
    <w:rsid w:val="444529B0"/>
    <w:rsid w:val="44466E54"/>
    <w:rsid w:val="444B0F20"/>
    <w:rsid w:val="44564BBE"/>
    <w:rsid w:val="445826E4"/>
    <w:rsid w:val="445B0426"/>
    <w:rsid w:val="445B21D4"/>
    <w:rsid w:val="445D5F4C"/>
    <w:rsid w:val="44617EC6"/>
    <w:rsid w:val="44623562"/>
    <w:rsid w:val="44632243"/>
    <w:rsid w:val="446612A5"/>
    <w:rsid w:val="447B0A98"/>
    <w:rsid w:val="44811263"/>
    <w:rsid w:val="4485753A"/>
    <w:rsid w:val="4487285F"/>
    <w:rsid w:val="44896D41"/>
    <w:rsid w:val="448B0D0B"/>
    <w:rsid w:val="448C05DF"/>
    <w:rsid w:val="448E07FB"/>
    <w:rsid w:val="44913E48"/>
    <w:rsid w:val="4492209A"/>
    <w:rsid w:val="44983428"/>
    <w:rsid w:val="449D27EC"/>
    <w:rsid w:val="44B518E4"/>
    <w:rsid w:val="44B738AE"/>
    <w:rsid w:val="44B813D4"/>
    <w:rsid w:val="44BF2763"/>
    <w:rsid w:val="44C1472D"/>
    <w:rsid w:val="44C935E1"/>
    <w:rsid w:val="44CE29A6"/>
    <w:rsid w:val="44D0671E"/>
    <w:rsid w:val="44D206E8"/>
    <w:rsid w:val="44D37FBC"/>
    <w:rsid w:val="44D41F9A"/>
    <w:rsid w:val="44D52979"/>
    <w:rsid w:val="44D83825"/>
    <w:rsid w:val="44DD5933"/>
    <w:rsid w:val="44DF1057"/>
    <w:rsid w:val="44E623E5"/>
    <w:rsid w:val="44F05012"/>
    <w:rsid w:val="44F7014F"/>
    <w:rsid w:val="44FC7D16"/>
    <w:rsid w:val="44FE772F"/>
    <w:rsid w:val="44FF0DB1"/>
    <w:rsid w:val="44FF5255"/>
    <w:rsid w:val="44FF64F9"/>
    <w:rsid w:val="45010FCD"/>
    <w:rsid w:val="45085EB8"/>
    <w:rsid w:val="45102FBE"/>
    <w:rsid w:val="45196317"/>
    <w:rsid w:val="451F76A5"/>
    <w:rsid w:val="45216F7A"/>
    <w:rsid w:val="45244CBC"/>
    <w:rsid w:val="45252301"/>
    <w:rsid w:val="452C56B4"/>
    <w:rsid w:val="45310096"/>
    <w:rsid w:val="45390767"/>
    <w:rsid w:val="453D0B35"/>
    <w:rsid w:val="453E7AC9"/>
    <w:rsid w:val="453F38A4"/>
    <w:rsid w:val="453F5652"/>
    <w:rsid w:val="45486BFC"/>
    <w:rsid w:val="454A4722"/>
    <w:rsid w:val="454A74FC"/>
    <w:rsid w:val="454D4212"/>
    <w:rsid w:val="454F3AE7"/>
    <w:rsid w:val="45521167"/>
    <w:rsid w:val="45596713"/>
    <w:rsid w:val="455C6204"/>
    <w:rsid w:val="455E1F7C"/>
    <w:rsid w:val="45603F46"/>
    <w:rsid w:val="45667082"/>
    <w:rsid w:val="45684BA8"/>
    <w:rsid w:val="456B6447"/>
    <w:rsid w:val="4574354D"/>
    <w:rsid w:val="45766F3D"/>
    <w:rsid w:val="4577128F"/>
    <w:rsid w:val="45790B64"/>
    <w:rsid w:val="457E617A"/>
    <w:rsid w:val="458D2861"/>
    <w:rsid w:val="458D51A8"/>
    <w:rsid w:val="45921C25"/>
    <w:rsid w:val="45997458"/>
    <w:rsid w:val="459B31D0"/>
    <w:rsid w:val="45B55914"/>
    <w:rsid w:val="45B7168C"/>
    <w:rsid w:val="45B778DE"/>
    <w:rsid w:val="45BE6EBE"/>
    <w:rsid w:val="45CE07A3"/>
    <w:rsid w:val="45CF69D6"/>
    <w:rsid w:val="45D466E2"/>
    <w:rsid w:val="45D73ADC"/>
    <w:rsid w:val="45E306D3"/>
    <w:rsid w:val="45EC3A2B"/>
    <w:rsid w:val="45ED3300"/>
    <w:rsid w:val="45EF52CA"/>
    <w:rsid w:val="45F60406"/>
    <w:rsid w:val="461145B6"/>
    <w:rsid w:val="46162856"/>
    <w:rsid w:val="461940F5"/>
    <w:rsid w:val="461D3BE5"/>
    <w:rsid w:val="461D5993"/>
    <w:rsid w:val="462036D5"/>
    <w:rsid w:val="46222FA9"/>
    <w:rsid w:val="462E7BA0"/>
    <w:rsid w:val="462F3918"/>
    <w:rsid w:val="46326F64"/>
    <w:rsid w:val="46366A55"/>
    <w:rsid w:val="46470C62"/>
    <w:rsid w:val="465515D1"/>
    <w:rsid w:val="46560EA5"/>
    <w:rsid w:val="465869CB"/>
    <w:rsid w:val="465B295F"/>
    <w:rsid w:val="465D66D7"/>
    <w:rsid w:val="465F41FD"/>
    <w:rsid w:val="466A4950"/>
    <w:rsid w:val="466F1F67"/>
    <w:rsid w:val="4670640B"/>
    <w:rsid w:val="46794B93"/>
    <w:rsid w:val="467F03FC"/>
    <w:rsid w:val="468974CC"/>
    <w:rsid w:val="468A3DC6"/>
    <w:rsid w:val="468C48C7"/>
    <w:rsid w:val="46902629"/>
    <w:rsid w:val="46911EDD"/>
    <w:rsid w:val="46983965"/>
    <w:rsid w:val="469D2F78"/>
    <w:rsid w:val="469F284C"/>
    <w:rsid w:val="46A2233C"/>
    <w:rsid w:val="46A55988"/>
    <w:rsid w:val="46A63BDA"/>
    <w:rsid w:val="46A9191C"/>
    <w:rsid w:val="46AB7443"/>
    <w:rsid w:val="46B129DB"/>
    <w:rsid w:val="46B5322B"/>
    <w:rsid w:val="46BD0F24"/>
    <w:rsid w:val="46BD2CD2"/>
    <w:rsid w:val="46C027C2"/>
    <w:rsid w:val="46C16C66"/>
    <w:rsid w:val="46C2478C"/>
    <w:rsid w:val="46C2744B"/>
    <w:rsid w:val="46C93D6D"/>
    <w:rsid w:val="46C978C9"/>
    <w:rsid w:val="46CE4EDF"/>
    <w:rsid w:val="46D02A05"/>
    <w:rsid w:val="46D06EA9"/>
    <w:rsid w:val="46DA1AD6"/>
    <w:rsid w:val="46E464B1"/>
    <w:rsid w:val="46E91D19"/>
    <w:rsid w:val="46EE37D3"/>
    <w:rsid w:val="46F012F9"/>
    <w:rsid w:val="46FA2178"/>
    <w:rsid w:val="46FC7C9E"/>
    <w:rsid w:val="46FD57C4"/>
    <w:rsid w:val="46FE3A16"/>
    <w:rsid w:val="47013507"/>
    <w:rsid w:val="4707219F"/>
    <w:rsid w:val="47094169"/>
    <w:rsid w:val="470D5A07"/>
    <w:rsid w:val="471548BC"/>
    <w:rsid w:val="47370CD6"/>
    <w:rsid w:val="473867FC"/>
    <w:rsid w:val="473B07C3"/>
    <w:rsid w:val="47433201"/>
    <w:rsid w:val="47462CC7"/>
    <w:rsid w:val="47486A40"/>
    <w:rsid w:val="474D04FA"/>
    <w:rsid w:val="474D22A8"/>
    <w:rsid w:val="474E2445"/>
    <w:rsid w:val="47501D98"/>
    <w:rsid w:val="47523D62"/>
    <w:rsid w:val="47531516"/>
    <w:rsid w:val="475A49C5"/>
    <w:rsid w:val="475C24EB"/>
    <w:rsid w:val="475F1FDB"/>
    <w:rsid w:val="475F706F"/>
    <w:rsid w:val="4760647F"/>
    <w:rsid w:val="47637D1D"/>
    <w:rsid w:val="47646C1E"/>
    <w:rsid w:val="476E221E"/>
    <w:rsid w:val="47743CD8"/>
    <w:rsid w:val="477737C9"/>
    <w:rsid w:val="477912EF"/>
    <w:rsid w:val="4779309D"/>
    <w:rsid w:val="478832E0"/>
    <w:rsid w:val="478C7274"/>
    <w:rsid w:val="478D08F6"/>
    <w:rsid w:val="47947ED7"/>
    <w:rsid w:val="479A3013"/>
    <w:rsid w:val="479C04F0"/>
    <w:rsid w:val="47A508CD"/>
    <w:rsid w:val="47A83982"/>
    <w:rsid w:val="47B02834"/>
    <w:rsid w:val="47BC11DC"/>
    <w:rsid w:val="47BE31A6"/>
    <w:rsid w:val="47BF45D4"/>
    <w:rsid w:val="47C06F1E"/>
    <w:rsid w:val="47C46FB6"/>
    <w:rsid w:val="47C702AC"/>
    <w:rsid w:val="47CD5197"/>
    <w:rsid w:val="47D12ED9"/>
    <w:rsid w:val="47D97FDF"/>
    <w:rsid w:val="47DB5B06"/>
    <w:rsid w:val="47DE2186"/>
    <w:rsid w:val="47F163FC"/>
    <w:rsid w:val="47FD7147"/>
    <w:rsid w:val="480A1F47"/>
    <w:rsid w:val="48147269"/>
    <w:rsid w:val="48183D4F"/>
    <w:rsid w:val="48194880"/>
    <w:rsid w:val="481B4154"/>
    <w:rsid w:val="481E1E96"/>
    <w:rsid w:val="481E5F6E"/>
    <w:rsid w:val="4820176A"/>
    <w:rsid w:val="48205C0E"/>
    <w:rsid w:val="48221986"/>
    <w:rsid w:val="48253225"/>
    <w:rsid w:val="48254FD3"/>
    <w:rsid w:val="48265531"/>
    <w:rsid w:val="482C45B3"/>
    <w:rsid w:val="48313978"/>
    <w:rsid w:val="4832149E"/>
    <w:rsid w:val="48335942"/>
    <w:rsid w:val="48455675"/>
    <w:rsid w:val="484713ED"/>
    <w:rsid w:val="4851401A"/>
    <w:rsid w:val="485B27A2"/>
    <w:rsid w:val="485E04E5"/>
    <w:rsid w:val="485F6737"/>
    <w:rsid w:val="48627FD5"/>
    <w:rsid w:val="48653621"/>
    <w:rsid w:val="48671147"/>
    <w:rsid w:val="486D24D6"/>
    <w:rsid w:val="48735D3E"/>
    <w:rsid w:val="487675DC"/>
    <w:rsid w:val="487877F8"/>
    <w:rsid w:val="487970CD"/>
    <w:rsid w:val="488241D3"/>
    <w:rsid w:val="48896395"/>
    <w:rsid w:val="489F4D85"/>
    <w:rsid w:val="489F6B33"/>
    <w:rsid w:val="48A42047"/>
    <w:rsid w:val="48A979B2"/>
    <w:rsid w:val="48AE321A"/>
    <w:rsid w:val="48B06F92"/>
    <w:rsid w:val="48B40105"/>
    <w:rsid w:val="48BA1BBF"/>
    <w:rsid w:val="48BF2D31"/>
    <w:rsid w:val="48C52312"/>
    <w:rsid w:val="48D33241"/>
    <w:rsid w:val="48D662CD"/>
    <w:rsid w:val="48E42798"/>
    <w:rsid w:val="48F14EB5"/>
    <w:rsid w:val="48F7696F"/>
    <w:rsid w:val="48FA1FBB"/>
    <w:rsid w:val="48FC21D7"/>
    <w:rsid w:val="48FF5824"/>
    <w:rsid w:val="49115557"/>
    <w:rsid w:val="493279A7"/>
    <w:rsid w:val="493556E9"/>
    <w:rsid w:val="49357497"/>
    <w:rsid w:val="493C25D4"/>
    <w:rsid w:val="493E459E"/>
    <w:rsid w:val="49417BEA"/>
    <w:rsid w:val="49423962"/>
    <w:rsid w:val="49443F56"/>
    <w:rsid w:val="49470F79"/>
    <w:rsid w:val="49496A9F"/>
    <w:rsid w:val="495279EA"/>
    <w:rsid w:val="495A0CAC"/>
    <w:rsid w:val="495E079C"/>
    <w:rsid w:val="495F62C2"/>
    <w:rsid w:val="496164DE"/>
    <w:rsid w:val="49634005"/>
    <w:rsid w:val="49686565"/>
    <w:rsid w:val="49697141"/>
    <w:rsid w:val="4972249A"/>
    <w:rsid w:val="4977360C"/>
    <w:rsid w:val="4981448B"/>
    <w:rsid w:val="49843F7B"/>
    <w:rsid w:val="49865F45"/>
    <w:rsid w:val="498F64FC"/>
    <w:rsid w:val="49900B72"/>
    <w:rsid w:val="49956188"/>
    <w:rsid w:val="49997A26"/>
    <w:rsid w:val="499C12C5"/>
    <w:rsid w:val="49A44445"/>
    <w:rsid w:val="49A62143"/>
    <w:rsid w:val="49AE0344"/>
    <w:rsid w:val="49B04D70"/>
    <w:rsid w:val="49B26D3A"/>
    <w:rsid w:val="49B45646"/>
    <w:rsid w:val="49B760FE"/>
    <w:rsid w:val="49C34AA3"/>
    <w:rsid w:val="49CA4084"/>
    <w:rsid w:val="49CA7BE0"/>
    <w:rsid w:val="49E36EF3"/>
    <w:rsid w:val="49E50EBD"/>
    <w:rsid w:val="49E8275C"/>
    <w:rsid w:val="49E8450A"/>
    <w:rsid w:val="49EA2030"/>
    <w:rsid w:val="49EF5898"/>
    <w:rsid w:val="49FB423D"/>
    <w:rsid w:val="49FC7FB5"/>
    <w:rsid w:val="4A031344"/>
    <w:rsid w:val="4A0E7992"/>
    <w:rsid w:val="4A130577"/>
    <w:rsid w:val="4A1452FF"/>
    <w:rsid w:val="4A1470AD"/>
    <w:rsid w:val="4A17094B"/>
    <w:rsid w:val="4A1751F5"/>
    <w:rsid w:val="4A1B043B"/>
    <w:rsid w:val="4A201EF6"/>
    <w:rsid w:val="4A225C6E"/>
    <w:rsid w:val="4A286FFC"/>
    <w:rsid w:val="4A2A4B22"/>
    <w:rsid w:val="4A2C0CE9"/>
    <w:rsid w:val="4A2F2139"/>
    <w:rsid w:val="4A331C29"/>
    <w:rsid w:val="4A484FA8"/>
    <w:rsid w:val="4A534079"/>
    <w:rsid w:val="4A5751EC"/>
    <w:rsid w:val="4A5E47CC"/>
    <w:rsid w:val="4A630034"/>
    <w:rsid w:val="4A6A3171"/>
    <w:rsid w:val="4A6C58D0"/>
    <w:rsid w:val="4A6F4C2B"/>
    <w:rsid w:val="4A722025"/>
    <w:rsid w:val="4A783AE0"/>
    <w:rsid w:val="4A7A7858"/>
    <w:rsid w:val="4A800BE6"/>
    <w:rsid w:val="4A875AD1"/>
    <w:rsid w:val="4A895CED"/>
    <w:rsid w:val="4A8C30E7"/>
    <w:rsid w:val="4A8F0E29"/>
    <w:rsid w:val="4A9401EE"/>
    <w:rsid w:val="4A9455FE"/>
    <w:rsid w:val="4AA46683"/>
    <w:rsid w:val="4AA85A47"/>
    <w:rsid w:val="4AAA5C63"/>
    <w:rsid w:val="4AAE12AF"/>
    <w:rsid w:val="4AB22B4F"/>
    <w:rsid w:val="4ABB1C1E"/>
    <w:rsid w:val="4ABB577A"/>
    <w:rsid w:val="4ABF34BD"/>
    <w:rsid w:val="4AC42881"/>
    <w:rsid w:val="4AC62A9D"/>
    <w:rsid w:val="4ACA61F8"/>
    <w:rsid w:val="4ACF7478"/>
    <w:rsid w:val="4AD35E1A"/>
    <w:rsid w:val="4AD36F68"/>
    <w:rsid w:val="4AEC627C"/>
    <w:rsid w:val="4AEE5B50"/>
    <w:rsid w:val="4AEE78FE"/>
    <w:rsid w:val="4AFD3FE5"/>
    <w:rsid w:val="4AFF1B0B"/>
    <w:rsid w:val="4B0C247A"/>
    <w:rsid w:val="4B117A90"/>
    <w:rsid w:val="4B187071"/>
    <w:rsid w:val="4B19711F"/>
    <w:rsid w:val="4B1A76AD"/>
    <w:rsid w:val="4B1B26BD"/>
    <w:rsid w:val="4B1B446B"/>
    <w:rsid w:val="4B221C9D"/>
    <w:rsid w:val="4B320132"/>
    <w:rsid w:val="4B335C59"/>
    <w:rsid w:val="4B35377F"/>
    <w:rsid w:val="4B3A6FE7"/>
    <w:rsid w:val="4B3C2D5F"/>
    <w:rsid w:val="4B447E66"/>
    <w:rsid w:val="4B46773A"/>
    <w:rsid w:val="4B4B11F4"/>
    <w:rsid w:val="4B4E6EB7"/>
    <w:rsid w:val="4B5005B9"/>
    <w:rsid w:val="4B517E8D"/>
    <w:rsid w:val="4B6422B6"/>
    <w:rsid w:val="4B6978CC"/>
    <w:rsid w:val="4B7778F3"/>
    <w:rsid w:val="4B7C315C"/>
    <w:rsid w:val="4B7C7600"/>
    <w:rsid w:val="4B7F0E9E"/>
    <w:rsid w:val="4B897627"/>
    <w:rsid w:val="4B8B15F1"/>
    <w:rsid w:val="4B8D35BB"/>
    <w:rsid w:val="4B8F7333"/>
    <w:rsid w:val="4B9106E2"/>
    <w:rsid w:val="4B920BD1"/>
    <w:rsid w:val="4B9A1834"/>
    <w:rsid w:val="4B9A7A86"/>
    <w:rsid w:val="4B9C1A50"/>
    <w:rsid w:val="4B9C55AC"/>
    <w:rsid w:val="4B9E1324"/>
    <w:rsid w:val="4BA17066"/>
    <w:rsid w:val="4BA32DDE"/>
    <w:rsid w:val="4BA86969"/>
    <w:rsid w:val="4BAB1C93"/>
    <w:rsid w:val="4BB01057"/>
    <w:rsid w:val="4BB24DCF"/>
    <w:rsid w:val="4BB70638"/>
    <w:rsid w:val="4BC30B5B"/>
    <w:rsid w:val="4BC92119"/>
    <w:rsid w:val="4BD42F98"/>
    <w:rsid w:val="4BD5286C"/>
    <w:rsid w:val="4BD56D10"/>
    <w:rsid w:val="4BD74836"/>
    <w:rsid w:val="4BDC3BFA"/>
    <w:rsid w:val="4BE13907"/>
    <w:rsid w:val="4BE3142D"/>
    <w:rsid w:val="4BF278C2"/>
    <w:rsid w:val="4BF44CFB"/>
    <w:rsid w:val="4BF52F0E"/>
    <w:rsid w:val="4BF566D2"/>
    <w:rsid w:val="4BF61160"/>
    <w:rsid w:val="4BFE6021"/>
    <w:rsid w:val="4C046D6C"/>
    <w:rsid w:val="4C0D0258"/>
    <w:rsid w:val="4C107D48"/>
    <w:rsid w:val="4C1710D6"/>
    <w:rsid w:val="4C180391"/>
    <w:rsid w:val="4C1B0BC7"/>
    <w:rsid w:val="4C207F8B"/>
    <w:rsid w:val="4C251A45"/>
    <w:rsid w:val="4C2537F3"/>
    <w:rsid w:val="4C265483"/>
    <w:rsid w:val="4C2757BD"/>
    <w:rsid w:val="4C373527"/>
    <w:rsid w:val="4C382E4C"/>
    <w:rsid w:val="4C3B3017"/>
    <w:rsid w:val="4C40062D"/>
    <w:rsid w:val="4C4079E1"/>
    <w:rsid w:val="4C416153"/>
    <w:rsid w:val="4C433C79"/>
    <w:rsid w:val="4C447326"/>
    <w:rsid w:val="4C465518"/>
    <w:rsid w:val="4C4F0870"/>
    <w:rsid w:val="4C583BC9"/>
    <w:rsid w:val="4C5B7215"/>
    <w:rsid w:val="4C5C2F8D"/>
    <w:rsid w:val="4C5C7C01"/>
    <w:rsid w:val="4C6065D9"/>
    <w:rsid w:val="4C675BBA"/>
    <w:rsid w:val="4C681932"/>
    <w:rsid w:val="4C6C1422"/>
    <w:rsid w:val="4C7B3413"/>
    <w:rsid w:val="4C800A2A"/>
    <w:rsid w:val="4C811DF7"/>
    <w:rsid w:val="4C8229F4"/>
    <w:rsid w:val="4C935C0E"/>
    <w:rsid w:val="4C9444D5"/>
    <w:rsid w:val="4C96024D"/>
    <w:rsid w:val="4C9646F1"/>
    <w:rsid w:val="4C9B1D07"/>
    <w:rsid w:val="4C9B5863"/>
    <w:rsid w:val="4C9D15DC"/>
    <w:rsid w:val="4C9E35A6"/>
    <w:rsid w:val="4CA566E2"/>
    <w:rsid w:val="4CA94424"/>
    <w:rsid w:val="4CA961D2"/>
    <w:rsid w:val="4CAA0A32"/>
    <w:rsid w:val="4CAC181F"/>
    <w:rsid w:val="4CB46925"/>
    <w:rsid w:val="4CB63F69"/>
    <w:rsid w:val="4CB86415"/>
    <w:rsid w:val="4CBD3A2C"/>
    <w:rsid w:val="4CC43E58"/>
    <w:rsid w:val="4CCA7EF7"/>
    <w:rsid w:val="4CD6689C"/>
    <w:rsid w:val="4CE23492"/>
    <w:rsid w:val="4CE87C0B"/>
    <w:rsid w:val="4CEA2347"/>
    <w:rsid w:val="4CEF5BAF"/>
    <w:rsid w:val="4CF17B79"/>
    <w:rsid w:val="4CF431C6"/>
    <w:rsid w:val="4CF5766A"/>
    <w:rsid w:val="4CF80F08"/>
    <w:rsid w:val="4CFB69E7"/>
    <w:rsid w:val="4D01600E"/>
    <w:rsid w:val="4D01701D"/>
    <w:rsid w:val="4D0470DF"/>
    <w:rsid w:val="4D057181"/>
    <w:rsid w:val="4D0A4797"/>
    <w:rsid w:val="4D13189E"/>
    <w:rsid w:val="4D185106"/>
    <w:rsid w:val="4D1869E5"/>
    <w:rsid w:val="4D2A6BE7"/>
    <w:rsid w:val="4D2C4DA5"/>
    <w:rsid w:val="4D2D7740"/>
    <w:rsid w:val="4D2E492A"/>
    <w:rsid w:val="4D3006A2"/>
    <w:rsid w:val="4D302450"/>
    <w:rsid w:val="4D3161C8"/>
    <w:rsid w:val="4D33015A"/>
    <w:rsid w:val="4D341814"/>
    <w:rsid w:val="4D3637DE"/>
    <w:rsid w:val="4D36558C"/>
    <w:rsid w:val="4D3857A8"/>
    <w:rsid w:val="4D3A32CE"/>
    <w:rsid w:val="4D423F31"/>
    <w:rsid w:val="4D4330E2"/>
    <w:rsid w:val="4D466E92"/>
    <w:rsid w:val="4D493511"/>
    <w:rsid w:val="4D510618"/>
    <w:rsid w:val="4D5A3970"/>
    <w:rsid w:val="4D5D520F"/>
    <w:rsid w:val="4D5F0F87"/>
    <w:rsid w:val="4D602609"/>
    <w:rsid w:val="4D65181E"/>
    <w:rsid w:val="4D706CF0"/>
    <w:rsid w:val="4D7F0CE1"/>
    <w:rsid w:val="4D7F33D7"/>
    <w:rsid w:val="4D853821"/>
    <w:rsid w:val="4D8602C2"/>
    <w:rsid w:val="4D926C66"/>
    <w:rsid w:val="4D981DA3"/>
    <w:rsid w:val="4D9F3131"/>
    <w:rsid w:val="4DA30E74"/>
    <w:rsid w:val="4DA644C0"/>
    <w:rsid w:val="4DA70C5D"/>
    <w:rsid w:val="4DAB1AD6"/>
    <w:rsid w:val="4DAB5CEC"/>
    <w:rsid w:val="4DB36BDD"/>
    <w:rsid w:val="4DB43081"/>
    <w:rsid w:val="4DB72B71"/>
    <w:rsid w:val="4DB96143"/>
    <w:rsid w:val="4DBE3EFF"/>
    <w:rsid w:val="4DC82688"/>
    <w:rsid w:val="4DD03C33"/>
    <w:rsid w:val="4DE1199C"/>
    <w:rsid w:val="4DE1374A"/>
    <w:rsid w:val="4DE3426F"/>
    <w:rsid w:val="4DE60D60"/>
    <w:rsid w:val="4DE82D2A"/>
    <w:rsid w:val="4DEA6AA2"/>
    <w:rsid w:val="4DEB3FAD"/>
    <w:rsid w:val="4DF01BDF"/>
    <w:rsid w:val="4DF0398D"/>
    <w:rsid w:val="4DFC4A28"/>
    <w:rsid w:val="4E0A0EF3"/>
    <w:rsid w:val="4E127DA7"/>
    <w:rsid w:val="4E192EE4"/>
    <w:rsid w:val="4E1C4782"/>
    <w:rsid w:val="4E1E4ED1"/>
    <w:rsid w:val="4E263853"/>
    <w:rsid w:val="4E2875CB"/>
    <w:rsid w:val="4E2B70BB"/>
    <w:rsid w:val="4E2D496A"/>
    <w:rsid w:val="4E3C6BD2"/>
    <w:rsid w:val="4E3F420A"/>
    <w:rsid w:val="4E4361B3"/>
    <w:rsid w:val="4E467A51"/>
    <w:rsid w:val="4E4B32B9"/>
    <w:rsid w:val="4E4E112E"/>
    <w:rsid w:val="4E4F6905"/>
    <w:rsid w:val="4E5008D0"/>
    <w:rsid w:val="4E5263F6"/>
    <w:rsid w:val="4E5C7274"/>
    <w:rsid w:val="4E5E53A4"/>
    <w:rsid w:val="4E601F7A"/>
    <w:rsid w:val="4E6F6FA8"/>
    <w:rsid w:val="4E76148B"/>
    <w:rsid w:val="4E7C3473"/>
    <w:rsid w:val="4E824F2D"/>
    <w:rsid w:val="4E831552"/>
    <w:rsid w:val="4E872A00"/>
    <w:rsid w:val="4E8862BB"/>
    <w:rsid w:val="4E915170"/>
    <w:rsid w:val="4E9B5FEF"/>
    <w:rsid w:val="4E9E5ADF"/>
    <w:rsid w:val="4E9F63D1"/>
    <w:rsid w:val="4EB8094F"/>
    <w:rsid w:val="4EB96475"/>
    <w:rsid w:val="4ECE0172"/>
    <w:rsid w:val="4ECF5C98"/>
    <w:rsid w:val="4ED67027"/>
    <w:rsid w:val="4EDE7C89"/>
    <w:rsid w:val="4EE07EA5"/>
    <w:rsid w:val="4EE47996"/>
    <w:rsid w:val="4EE72FE2"/>
    <w:rsid w:val="4EE80B08"/>
    <w:rsid w:val="4EEA4880"/>
    <w:rsid w:val="4EF24070"/>
    <w:rsid w:val="4EF31987"/>
    <w:rsid w:val="4EF32993"/>
    <w:rsid w:val="4EF92D15"/>
    <w:rsid w:val="4F074CB9"/>
    <w:rsid w:val="4F082F58"/>
    <w:rsid w:val="4F083BE4"/>
    <w:rsid w:val="4F0E67C1"/>
    <w:rsid w:val="4F1B2C8C"/>
    <w:rsid w:val="4F1D0262"/>
    <w:rsid w:val="4F253B0A"/>
    <w:rsid w:val="4F2C30EB"/>
    <w:rsid w:val="4F31425D"/>
    <w:rsid w:val="4F4641AC"/>
    <w:rsid w:val="4F4E3061"/>
    <w:rsid w:val="4F626B0C"/>
    <w:rsid w:val="4F672375"/>
    <w:rsid w:val="4F6F4D85"/>
    <w:rsid w:val="4F781E8C"/>
    <w:rsid w:val="4F7A5B51"/>
    <w:rsid w:val="4F7D3946"/>
    <w:rsid w:val="4F846A83"/>
    <w:rsid w:val="4F876573"/>
    <w:rsid w:val="4F8E345D"/>
    <w:rsid w:val="4F90367A"/>
    <w:rsid w:val="4F912F4E"/>
    <w:rsid w:val="4F9357B9"/>
    <w:rsid w:val="4F943D47"/>
    <w:rsid w:val="4F975D19"/>
    <w:rsid w:val="4F98252E"/>
    <w:rsid w:val="4F9A0054"/>
    <w:rsid w:val="4F9C1546"/>
    <w:rsid w:val="4F9C3DCC"/>
    <w:rsid w:val="4F9D5D96"/>
    <w:rsid w:val="4FB76E58"/>
    <w:rsid w:val="4FBC621D"/>
    <w:rsid w:val="4FBE01E7"/>
    <w:rsid w:val="4FBF5D0D"/>
    <w:rsid w:val="4FC11A85"/>
    <w:rsid w:val="4FCE41A2"/>
    <w:rsid w:val="4FD07F1A"/>
    <w:rsid w:val="4FD85027"/>
    <w:rsid w:val="4FDA66A3"/>
    <w:rsid w:val="4FDC241B"/>
    <w:rsid w:val="4FDD6193"/>
    <w:rsid w:val="4FE17A31"/>
    <w:rsid w:val="4FE65048"/>
    <w:rsid w:val="4FE6773D"/>
    <w:rsid w:val="4FE94B38"/>
    <w:rsid w:val="4FF37764"/>
    <w:rsid w:val="4FF84D7B"/>
    <w:rsid w:val="4FF9121F"/>
    <w:rsid w:val="4FFF6109"/>
    <w:rsid w:val="50055E16"/>
    <w:rsid w:val="50086BD8"/>
    <w:rsid w:val="500B71A4"/>
    <w:rsid w:val="500F0A42"/>
    <w:rsid w:val="50106568"/>
    <w:rsid w:val="50146059"/>
    <w:rsid w:val="50152BF0"/>
    <w:rsid w:val="50191308"/>
    <w:rsid w:val="5023629C"/>
    <w:rsid w:val="502512CE"/>
    <w:rsid w:val="50266110"/>
    <w:rsid w:val="502D711A"/>
    <w:rsid w:val="502E69EF"/>
    <w:rsid w:val="503A35E5"/>
    <w:rsid w:val="50502E09"/>
    <w:rsid w:val="505446A7"/>
    <w:rsid w:val="50566671"/>
    <w:rsid w:val="5060304C"/>
    <w:rsid w:val="506863A4"/>
    <w:rsid w:val="506A3ECB"/>
    <w:rsid w:val="50722D7F"/>
    <w:rsid w:val="50792360"/>
    <w:rsid w:val="50854860"/>
    <w:rsid w:val="508825A3"/>
    <w:rsid w:val="508B3E41"/>
    <w:rsid w:val="509074BA"/>
    <w:rsid w:val="5095081C"/>
    <w:rsid w:val="50966A6E"/>
    <w:rsid w:val="5099655E"/>
    <w:rsid w:val="50A82C45"/>
    <w:rsid w:val="50BC224C"/>
    <w:rsid w:val="50C03AEB"/>
    <w:rsid w:val="50C3182D"/>
    <w:rsid w:val="50CC6933"/>
    <w:rsid w:val="50D43A3A"/>
    <w:rsid w:val="50D94BAC"/>
    <w:rsid w:val="50E7551B"/>
    <w:rsid w:val="50FB2D75"/>
    <w:rsid w:val="51020A7D"/>
    <w:rsid w:val="510A120A"/>
    <w:rsid w:val="510A2FB8"/>
    <w:rsid w:val="51121E6C"/>
    <w:rsid w:val="511856D5"/>
    <w:rsid w:val="511B51C5"/>
    <w:rsid w:val="511D718F"/>
    <w:rsid w:val="511E4CB5"/>
    <w:rsid w:val="511E6A63"/>
    <w:rsid w:val="51254295"/>
    <w:rsid w:val="512E4EF8"/>
    <w:rsid w:val="5139564B"/>
    <w:rsid w:val="514069D9"/>
    <w:rsid w:val="51493AE0"/>
    <w:rsid w:val="514E7348"/>
    <w:rsid w:val="51597A9B"/>
    <w:rsid w:val="515D3A2F"/>
    <w:rsid w:val="51600E2A"/>
    <w:rsid w:val="51624BA2"/>
    <w:rsid w:val="516721B8"/>
    <w:rsid w:val="516927BD"/>
    <w:rsid w:val="51750D79"/>
    <w:rsid w:val="5176064D"/>
    <w:rsid w:val="517B2107"/>
    <w:rsid w:val="517D7C2E"/>
    <w:rsid w:val="51825244"/>
    <w:rsid w:val="51864D34"/>
    <w:rsid w:val="51870AAC"/>
    <w:rsid w:val="518C651F"/>
    <w:rsid w:val="518D05C9"/>
    <w:rsid w:val="519136D9"/>
    <w:rsid w:val="51932FAD"/>
    <w:rsid w:val="51935AB4"/>
    <w:rsid w:val="519E469F"/>
    <w:rsid w:val="519F7BA4"/>
    <w:rsid w:val="51A74CAA"/>
    <w:rsid w:val="51A946CE"/>
    <w:rsid w:val="51AB479B"/>
    <w:rsid w:val="51AB6549"/>
    <w:rsid w:val="51AC0513"/>
    <w:rsid w:val="51AE7DE7"/>
    <w:rsid w:val="51BD627C"/>
    <w:rsid w:val="51CA7013"/>
    <w:rsid w:val="51CC4711"/>
    <w:rsid w:val="51D35A9F"/>
    <w:rsid w:val="51D6733E"/>
    <w:rsid w:val="51DC4954"/>
    <w:rsid w:val="51DD247A"/>
    <w:rsid w:val="51E7154B"/>
    <w:rsid w:val="51E732F9"/>
    <w:rsid w:val="51F223CA"/>
    <w:rsid w:val="51F53C68"/>
    <w:rsid w:val="520619D1"/>
    <w:rsid w:val="52094756"/>
    <w:rsid w:val="520C4A59"/>
    <w:rsid w:val="52132340"/>
    <w:rsid w:val="521A1920"/>
    <w:rsid w:val="522602C5"/>
    <w:rsid w:val="52262073"/>
    <w:rsid w:val="52377DDC"/>
    <w:rsid w:val="52397FF8"/>
    <w:rsid w:val="523A3584"/>
    <w:rsid w:val="52412A09"/>
    <w:rsid w:val="5245699D"/>
    <w:rsid w:val="52462715"/>
    <w:rsid w:val="525057AA"/>
    <w:rsid w:val="525745C2"/>
    <w:rsid w:val="52595FA5"/>
    <w:rsid w:val="525A1D1D"/>
    <w:rsid w:val="526112FD"/>
    <w:rsid w:val="52614E59"/>
    <w:rsid w:val="52621300"/>
    <w:rsid w:val="52636E23"/>
    <w:rsid w:val="52662470"/>
    <w:rsid w:val="526861E8"/>
    <w:rsid w:val="52754DA9"/>
    <w:rsid w:val="527B23BF"/>
    <w:rsid w:val="528154FB"/>
    <w:rsid w:val="52866DEB"/>
    <w:rsid w:val="528B1ED6"/>
    <w:rsid w:val="528B637A"/>
    <w:rsid w:val="528F4686"/>
    <w:rsid w:val="52914064"/>
    <w:rsid w:val="52946FDD"/>
    <w:rsid w:val="52974D1F"/>
    <w:rsid w:val="52976ACD"/>
    <w:rsid w:val="529945F3"/>
    <w:rsid w:val="529A65BD"/>
    <w:rsid w:val="529C40E3"/>
    <w:rsid w:val="529F5982"/>
    <w:rsid w:val="52AF02BB"/>
    <w:rsid w:val="52B33145"/>
    <w:rsid w:val="52BE405A"/>
    <w:rsid w:val="52C13B4A"/>
    <w:rsid w:val="52CF270B"/>
    <w:rsid w:val="52D675F5"/>
    <w:rsid w:val="52D7511B"/>
    <w:rsid w:val="52D90E94"/>
    <w:rsid w:val="52D970E6"/>
    <w:rsid w:val="52DC6BD6"/>
    <w:rsid w:val="52E55A8A"/>
    <w:rsid w:val="52E635B0"/>
    <w:rsid w:val="52E86762"/>
    <w:rsid w:val="52EA12F3"/>
    <w:rsid w:val="52F061DD"/>
    <w:rsid w:val="52F17136"/>
    <w:rsid w:val="52F8470B"/>
    <w:rsid w:val="52FB705C"/>
    <w:rsid w:val="52FE08FA"/>
    <w:rsid w:val="53057EDB"/>
    <w:rsid w:val="53095C1D"/>
    <w:rsid w:val="530D6D8F"/>
    <w:rsid w:val="530E3233"/>
    <w:rsid w:val="530F6FAB"/>
    <w:rsid w:val="53193986"/>
    <w:rsid w:val="531D3476"/>
    <w:rsid w:val="5338205E"/>
    <w:rsid w:val="53397B84"/>
    <w:rsid w:val="53476745"/>
    <w:rsid w:val="534C5B09"/>
    <w:rsid w:val="534D53DE"/>
    <w:rsid w:val="534E30E0"/>
    <w:rsid w:val="535968FA"/>
    <w:rsid w:val="53620E89"/>
    <w:rsid w:val="53634C01"/>
    <w:rsid w:val="53690469"/>
    <w:rsid w:val="537961D3"/>
    <w:rsid w:val="53837051"/>
    <w:rsid w:val="53843A63"/>
    <w:rsid w:val="538916F6"/>
    <w:rsid w:val="538B4884"/>
    <w:rsid w:val="538C05FC"/>
    <w:rsid w:val="538C2DD7"/>
    <w:rsid w:val="5394125E"/>
    <w:rsid w:val="53990623"/>
    <w:rsid w:val="539A4AC7"/>
    <w:rsid w:val="539B25ED"/>
    <w:rsid w:val="539D6365"/>
    <w:rsid w:val="53A019B1"/>
    <w:rsid w:val="53A45945"/>
    <w:rsid w:val="53A771E4"/>
    <w:rsid w:val="53AB0A82"/>
    <w:rsid w:val="53B11E10"/>
    <w:rsid w:val="53B4545D"/>
    <w:rsid w:val="53B84F4D"/>
    <w:rsid w:val="53C47D96"/>
    <w:rsid w:val="53CE4770"/>
    <w:rsid w:val="53D27C3B"/>
    <w:rsid w:val="53E21FCA"/>
    <w:rsid w:val="53E421E6"/>
    <w:rsid w:val="53F1220D"/>
    <w:rsid w:val="53F341D7"/>
    <w:rsid w:val="53FD32A8"/>
    <w:rsid w:val="53FD48A4"/>
    <w:rsid w:val="53FD5799"/>
    <w:rsid w:val="54063F0A"/>
    <w:rsid w:val="540D34EB"/>
    <w:rsid w:val="54102FDB"/>
    <w:rsid w:val="54106B37"/>
    <w:rsid w:val="541128AF"/>
    <w:rsid w:val="54161C73"/>
    <w:rsid w:val="54183C3E"/>
    <w:rsid w:val="541B6CC5"/>
    <w:rsid w:val="54232D0E"/>
    <w:rsid w:val="5428733F"/>
    <w:rsid w:val="543640C4"/>
    <w:rsid w:val="543A3BB4"/>
    <w:rsid w:val="5445003E"/>
    <w:rsid w:val="54492049"/>
    <w:rsid w:val="544D7D8B"/>
    <w:rsid w:val="54556C40"/>
    <w:rsid w:val="545729B8"/>
    <w:rsid w:val="545804DE"/>
    <w:rsid w:val="545A4256"/>
    <w:rsid w:val="54613836"/>
    <w:rsid w:val="546450D5"/>
    <w:rsid w:val="5471430A"/>
    <w:rsid w:val="54714874"/>
    <w:rsid w:val="54745318"/>
    <w:rsid w:val="54754BEC"/>
    <w:rsid w:val="54776BB6"/>
    <w:rsid w:val="547F1F0F"/>
    <w:rsid w:val="54837309"/>
    <w:rsid w:val="54880DC3"/>
    <w:rsid w:val="548A4B3B"/>
    <w:rsid w:val="548E3F00"/>
    <w:rsid w:val="549534E0"/>
    <w:rsid w:val="54971006"/>
    <w:rsid w:val="549A0AF6"/>
    <w:rsid w:val="549E4143"/>
    <w:rsid w:val="54B03E76"/>
    <w:rsid w:val="54B97065"/>
    <w:rsid w:val="54BA6AA3"/>
    <w:rsid w:val="54BC281B"/>
    <w:rsid w:val="54C94F38"/>
    <w:rsid w:val="54CD2C7A"/>
    <w:rsid w:val="54D1276A"/>
    <w:rsid w:val="54DA5359"/>
    <w:rsid w:val="54DA7145"/>
    <w:rsid w:val="54E26CD8"/>
    <w:rsid w:val="54E3249D"/>
    <w:rsid w:val="54F55D2D"/>
    <w:rsid w:val="54F71AA5"/>
    <w:rsid w:val="54FC530D"/>
    <w:rsid w:val="550146D2"/>
    <w:rsid w:val="55020B76"/>
    <w:rsid w:val="550541C2"/>
    <w:rsid w:val="5507618C"/>
    <w:rsid w:val="550D12C8"/>
    <w:rsid w:val="5516227B"/>
    <w:rsid w:val="5523289A"/>
    <w:rsid w:val="55264138"/>
    <w:rsid w:val="552A59D6"/>
    <w:rsid w:val="552C177F"/>
    <w:rsid w:val="552D3719"/>
    <w:rsid w:val="5532240D"/>
    <w:rsid w:val="555851BD"/>
    <w:rsid w:val="555C7B5A"/>
    <w:rsid w:val="555E420D"/>
    <w:rsid w:val="55603AEE"/>
    <w:rsid w:val="5560764A"/>
    <w:rsid w:val="55634C68"/>
    <w:rsid w:val="5563538C"/>
    <w:rsid w:val="55674B95"/>
    <w:rsid w:val="556C4241"/>
    <w:rsid w:val="556C5FEF"/>
    <w:rsid w:val="556F1F83"/>
    <w:rsid w:val="557D644E"/>
    <w:rsid w:val="55821CB6"/>
    <w:rsid w:val="558F1CDD"/>
    <w:rsid w:val="559A7000"/>
    <w:rsid w:val="55A16F92"/>
    <w:rsid w:val="55A7171D"/>
    <w:rsid w:val="55A734CB"/>
    <w:rsid w:val="55A75279"/>
    <w:rsid w:val="55AC0AE1"/>
    <w:rsid w:val="55AC6AAE"/>
    <w:rsid w:val="55AE6607"/>
    <w:rsid w:val="55B160F8"/>
    <w:rsid w:val="55B17EA6"/>
    <w:rsid w:val="55B300C2"/>
    <w:rsid w:val="55B41744"/>
    <w:rsid w:val="55BF0815"/>
    <w:rsid w:val="55BF6A67"/>
    <w:rsid w:val="55C5424A"/>
    <w:rsid w:val="55C951EF"/>
    <w:rsid w:val="55CA0D6F"/>
    <w:rsid w:val="55CC1183"/>
    <w:rsid w:val="55CE0A58"/>
    <w:rsid w:val="55D818D6"/>
    <w:rsid w:val="55DB13C7"/>
    <w:rsid w:val="55E24503"/>
    <w:rsid w:val="55E262B1"/>
    <w:rsid w:val="55E361E2"/>
    <w:rsid w:val="55E62245"/>
    <w:rsid w:val="55EE4C56"/>
    <w:rsid w:val="55F06C20"/>
    <w:rsid w:val="55F27CF7"/>
    <w:rsid w:val="55F52488"/>
    <w:rsid w:val="55F54236"/>
    <w:rsid w:val="55FD133D"/>
    <w:rsid w:val="560C1580"/>
    <w:rsid w:val="560C77D2"/>
    <w:rsid w:val="56101070"/>
    <w:rsid w:val="56102E1E"/>
    <w:rsid w:val="5613290E"/>
    <w:rsid w:val="561623FF"/>
    <w:rsid w:val="56187F25"/>
    <w:rsid w:val="561A3C9D"/>
    <w:rsid w:val="561D19DF"/>
    <w:rsid w:val="56260894"/>
    <w:rsid w:val="562763BA"/>
    <w:rsid w:val="562913EC"/>
    <w:rsid w:val="562A36FF"/>
    <w:rsid w:val="562A71CE"/>
    <w:rsid w:val="562C39D0"/>
    <w:rsid w:val="5630526E"/>
    <w:rsid w:val="56382AF5"/>
    <w:rsid w:val="563D3E2F"/>
    <w:rsid w:val="563D798B"/>
    <w:rsid w:val="564136DC"/>
    <w:rsid w:val="56462CE4"/>
    <w:rsid w:val="564E7DEA"/>
    <w:rsid w:val="56554CD5"/>
    <w:rsid w:val="56665134"/>
    <w:rsid w:val="5668404C"/>
    <w:rsid w:val="566B44F9"/>
    <w:rsid w:val="566B62A7"/>
    <w:rsid w:val="56717635"/>
    <w:rsid w:val="56777341"/>
    <w:rsid w:val="56777AE0"/>
    <w:rsid w:val="567C04B4"/>
    <w:rsid w:val="567C6706"/>
    <w:rsid w:val="56837A94"/>
    <w:rsid w:val="568630E0"/>
    <w:rsid w:val="568A7C35"/>
    <w:rsid w:val="568F468B"/>
    <w:rsid w:val="56905D0D"/>
    <w:rsid w:val="569577C7"/>
    <w:rsid w:val="56981066"/>
    <w:rsid w:val="569E48CE"/>
    <w:rsid w:val="56A4475D"/>
    <w:rsid w:val="56AD68BF"/>
    <w:rsid w:val="56B0015D"/>
    <w:rsid w:val="56B440F1"/>
    <w:rsid w:val="56B45E9F"/>
    <w:rsid w:val="56B90D23"/>
    <w:rsid w:val="56BA5480"/>
    <w:rsid w:val="56C02A96"/>
    <w:rsid w:val="56C449A6"/>
    <w:rsid w:val="56D227CA"/>
    <w:rsid w:val="56D46542"/>
    <w:rsid w:val="56DC0F52"/>
    <w:rsid w:val="56DD7C0E"/>
    <w:rsid w:val="56DE116E"/>
    <w:rsid w:val="56DE1AFD"/>
    <w:rsid w:val="56E04EE6"/>
    <w:rsid w:val="56E542AB"/>
    <w:rsid w:val="56E83D9B"/>
    <w:rsid w:val="56E9366F"/>
    <w:rsid w:val="56EC7A9B"/>
    <w:rsid w:val="56ED7603"/>
    <w:rsid w:val="56F00EA2"/>
    <w:rsid w:val="56F270DD"/>
    <w:rsid w:val="56F444EE"/>
    <w:rsid w:val="56FA587C"/>
    <w:rsid w:val="56FC15F5"/>
    <w:rsid w:val="56FD5545"/>
    <w:rsid w:val="56FF2E93"/>
    <w:rsid w:val="570F1328"/>
    <w:rsid w:val="571050A0"/>
    <w:rsid w:val="57174680"/>
    <w:rsid w:val="57212E09"/>
    <w:rsid w:val="57234DD3"/>
    <w:rsid w:val="57256D9D"/>
    <w:rsid w:val="57284198"/>
    <w:rsid w:val="572A6725"/>
    <w:rsid w:val="572B1EDA"/>
    <w:rsid w:val="572D5C52"/>
    <w:rsid w:val="57330987"/>
    <w:rsid w:val="57462870"/>
    <w:rsid w:val="5748116E"/>
    <w:rsid w:val="574B60D8"/>
    <w:rsid w:val="574B719F"/>
    <w:rsid w:val="574C257C"/>
    <w:rsid w:val="575431DF"/>
    <w:rsid w:val="57544F8D"/>
    <w:rsid w:val="57580F21"/>
    <w:rsid w:val="57650F48"/>
    <w:rsid w:val="57672F12"/>
    <w:rsid w:val="57686C8A"/>
    <w:rsid w:val="576A0C54"/>
    <w:rsid w:val="576A2A02"/>
    <w:rsid w:val="57711FE2"/>
    <w:rsid w:val="57713D91"/>
    <w:rsid w:val="5774562F"/>
    <w:rsid w:val="5778511F"/>
    <w:rsid w:val="57790E97"/>
    <w:rsid w:val="577C44E3"/>
    <w:rsid w:val="57811AFA"/>
    <w:rsid w:val="57882E88"/>
    <w:rsid w:val="579139FB"/>
    <w:rsid w:val="57A37CC2"/>
    <w:rsid w:val="57A71560"/>
    <w:rsid w:val="57AA1051"/>
    <w:rsid w:val="57AA72A2"/>
    <w:rsid w:val="57B958F8"/>
    <w:rsid w:val="57BF1DE0"/>
    <w:rsid w:val="57C55E8A"/>
    <w:rsid w:val="57C92E92"/>
    <w:rsid w:val="57CE2F91"/>
    <w:rsid w:val="57CF0AB7"/>
    <w:rsid w:val="57D61E46"/>
    <w:rsid w:val="57DA7B88"/>
    <w:rsid w:val="57DB56AE"/>
    <w:rsid w:val="57E97DCB"/>
    <w:rsid w:val="57EE718F"/>
    <w:rsid w:val="57F00051"/>
    <w:rsid w:val="57F329F7"/>
    <w:rsid w:val="57F4051E"/>
    <w:rsid w:val="58020E8D"/>
    <w:rsid w:val="580249E9"/>
    <w:rsid w:val="580469B3"/>
    <w:rsid w:val="580F5357"/>
    <w:rsid w:val="581666E6"/>
    <w:rsid w:val="581A4428"/>
    <w:rsid w:val="5827444F"/>
    <w:rsid w:val="58296419"/>
    <w:rsid w:val="583152CE"/>
    <w:rsid w:val="583354EA"/>
    <w:rsid w:val="58360B36"/>
    <w:rsid w:val="583628E4"/>
    <w:rsid w:val="58380D08"/>
    <w:rsid w:val="583B614D"/>
    <w:rsid w:val="583D0117"/>
    <w:rsid w:val="583D3C73"/>
    <w:rsid w:val="583F5C3D"/>
    <w:rsid w:val="58417C07"/>
    <w:rsid w:val="5842572D"/>
    <w:rsid w:val="584274DB"/>
    <w:rsid w:val="58443253"/>
    <w:rsid w:val="58492617"/>
    <w:rsid w:val="584C2108"/>
    <w:rsid w:val="584F7E8A"/>
    <w:rsid w:val="58531B77"/>
    <w:rsid w:val="58555460"/>
    <w:rsid w:val="585A2A77"/>
    <w:rsid w:val="58615BB3"/>
    <w:rsid w:val="5866141B"/>
    <w:rsid w:val="58690F0C"/>
    <w:rsid w:val="58692CBA"/>
    <w:rsid w:val="586F083E"/>
    <w:rsid w:val="587F6039"/>
    <w:rsid w:val="58906498"/>
    <w:rsid w:val="58A14202"/>
    <w:rsid w:val="58A40196"/>
    <w:rsid w:val="58A41F44"/>
    <w:rsid w:val="58A61818"/>
    <w:rsid w:val="58A837E2"/>
    <w:rsid w:val="58B13598"/>
    <w:rsid w:val="58B32187"/>
    <w:rsid w:val="58B425AE"/>
    <w:rsid w:val="58B8779D"/>
    <w:rsid w:val="58C22DDC"/>
    <w:rsid w:val="58C46142"/>
    <w:rsid w:val="58D2260D"/>
    <w:rsid w:val="58D43DEB"/>
    <w:rsid w:val="58DC16DE"/>
    <w:rsid w:val="58E6153D"/>
    <w:rsid w:val="58E97957"/>
    <w:rsid w:val="58ED38EB"/>
    <w:rsid w:val="58FE1654"/>
    <w:rsid w:val="590824D3"/>
    <w:rsid w:val="590B1FC3"/>
    <w:rsid w:val="591250FF"/>
    <w:rsid w:val="591B0458"/>
    <w:rsid w:val="591C0E16"/>
    <w:rsid w:val="592941F7"/>
    <w:rsid w:val="592F0511"/>
    <w:rsid w:val="593C3F2A"/>
    <w:rsid w:val="5943350B"/>
    <w:rsid w:val="59457ED8"/>
    <w:rsid w:val="594F1EAF"/>
    <w:rsid w:val="5954396A"/>
    <w:rsid w:val="595474C6"/>
    <w:rsid w:val="59562159"/>
    <w:rsid w:val="59633BAD"/>
    <w:rsid w:val="596A4F3B"/>
    <w:rsid w:val="596A6CE9"/>
    <w:rsid w:val="596D4A2C"/>
    <w:rsid w:val="596F60AE"/>
    <w:rsid w:val="59725B9E"/>
    <w:rsid w:val="59747B68"/>
    <w:rsid w:val="597638E0"/>
    <w:rsid w:val="597731B4"/>
    <w:rsid w:val="597A2D45"/>
    <w:rsid w:val="597A4F3F"/>
    <w:rsid w:val="59835FFD"/>
    <w:rsid w:val="59853B23"/>
    <w:rsid w:val="598D4786"/>
    <w:rsid w:val="5999137D"/>
    <w:rsid w:val="599975CF"/>
    <w:rsid w:val="599C0E6D"/>
    <w:rsid w:val="59A23698"/>
    <w:rsid w:val="59A246D5"/>
    <w:rsid w:val="59AF0BA0"/>
    <w:rsid w:val="59B12B6A"/>
    <w:rsid w:val="59B2243E"/>
    <w:rsid w:val="59B368E2"/>
    <w:rsid w:val="59B66275"/>
    <w:rsid w:val="59B91A1F"/>
    <w:rsid w:val="59BB12F3"/>
    <w:rsid w:val="59BB7545"/>
    <w:rsid w:val="59C77C98"/>
    <w:rsid w:val="59CC3500"/>
    <w:rsid w:val="59D94E1E"/>
    <w:rsid w:val="59E00D5A"/>
    <w:rsid w:val="59EC3BA2"/>
    <w:rsid w:val="59F40CA9"/>
    <w:rsid w:val="5A074538"/>
    <w:rsid w:val="5A0802B0"/>
    <w:rsid w:val="5A0E58C7"/>
    <w:rsid w:val="5A0F1E00"/>
    <w:rsid w:val="5A13112F"/>
    <w:rsid w:val="5A160C1F"/>
    <w:rsid w:val="5A225816"/>
    <w:rsid w:val="5A24333C"/>
    <w:rsid w:val="5A252C10"/>
    <w:rsid w:val="5A3D6C9C"/>
    <w:rsid w:val="5A405C9C"/>
    <w:rsid w:val="5A4532B2"/>
    <w:rsid w:val="5A47702B"/>
    <w:rsid w:val="5A4C4641"/>
    <w:rsid w:val="5A4C5140"/>
    <w:rsid w:val="5A504131"/>
    <w:rsid w:val="5A551748"/>
    <w:rsid w:val="5A5D684E"/>
    <w:rsid w:val="5A61633E"/>
    <w:rsid w:val="5A715E56"/>
    <w:rsid w:val="5A7476F4"/>
    <w:rsid w:val="5A78158C"/>
    <w:rsid w:val="5A7B164E"/>
    <w:rsid w:val="5A7C4F26"/>
    <w:rsid w:val="5A8913F1"/>
    <w:rsid w:val="5A8C2C8F"/>
    <w:rsid w:val="5A8E4C59"/>
    <w:rsid w:val="5A971D60"/>
    <w:rsid w:val="5A981634"/>
    <w:rsid w:val="5A9B2ED2"/>
    <w:rsid w:val="5A9C6C38"/>
    <w:rsid w:val="5A9C7376"/>
    <w:rsid w:val="5A9D30EE"/>
    <w:rsid w:val="5AA20705"/>
    <w:rsid w:val="5AA80549"/>
    <w:rsid w:val="5AB04BD0"/>
    <w:rsid w:val="5AB52C6E"/>
    <w:rsid w:val="5ABA15AB"/>
    <w:rsid w:val="5AC32B55"/>
    <w:rsid w:val="5ACC12DE"/>
    <w:rsid w:val="5ACC7530"/>
    <w:rsid w:val="5ACD39D4"/>
    <w:rsid w:val="5ACD5782"/>
    <w:rsid w:val="5AD54636"/>
    <w:rsid w:val="5AD85ED5"/>
    <w:rsid w:val="5ADA7E9F"/>
    <w:rsid w:val="5AE64A95"/>
    <w:rsid w:val="5AEE56F8"/>
    <w:rsid w:val="5AF26F96"/>
    <w:rsid w:val="5AF70A51"/>
    <w:rsid w:val="5AFA409D"/>
    <w:rsid w:val="5B0311A3"/>
    <w:rsid w:val="5B0867BA"/>
    <w:rsid w:val="5B152C85"/>
    <w:rsid w:val="5B174C4F"/>
    <w:rsid w:val="5B215ACE"/>
    <w:rsid w:val="5B2630E4"/>
    <w:rsid w:val="5B2829B8"/>
    <w:rsid w:val="5B3042EC"/>
    <w:rsid w:val="5B321A89"/>
    <w:rsid w:val="5B323837"/>
    <w:rsid w:val="5B392E17"/>
    <w:rsid w:val="5B3E6680"/>
    <w:rsid w:val="5B3F5F54"/>
    <w:rsid w:val="5B4067A6"/>
    <w:rsid w:val="5B527A35"/>
    <w:rsid w:val="5B547C51"/>
    <w:rsid w:val="5B5A4B3C"/>
    <w:rsid w:val="5B5B0FE0"/>
    <w:rsid w:val="5B5E63DA"/>
    <w:rsid w:val="5B5F5C30"/>
    <w:rsid w:val="5B61236E"/>
    <w:rsid w:val="5B637E94"/>
    <w:rsid w:val="5B662814"/>
    <w:rsid w:val="5B6B6D49"/>
    <w:rsid w:val="5B6E1487"/>
    <w:rsid w:val="5B707F92"/>
    <w:rsid w:val="5B791466"/>
    <w:rsid w:val="5B7F5B48"/>
    <w:rsid w:val="5B800A46"/>
    <w:rsid w:val="5B8F47E5"/>
    <w:rsid w:val="5B920779"/>
    <w:rsid w:val="5B977B3E"/>
    <w:rsid w:val="5B9B762E"/>
    <w:rsid w:val="5BA069F2"/>
    <w:rsid w:val="5BA26C0E"/>
    <w:rsid w:val="5BAC183B"/>
    <w:rsid w:val="5BAD7361"/>
    <w:rsid w:val="5BB029AE"/>
    <w:rsid w:val="5BB406F0"/>
    <w:rsid w:val="5BBA55DA"/>
    <w:rsid w:val="5BBE331C"/>
    <w:rsid w:val="5BC85F49"/>
    <w:rsid w:val="5BCA3A6F"/>
    <w:rsid w:val="5BD14DFE"/>
    <w:rsid w:val="5BD743DE"/>
    <w:rsid w:val="5BDE39BF"/>
    <w:rsid w:val="5BDE5B94"/>
    <w:rsid w:val="5BE07737"/>
    <w:rsid w:val="5BE663CF"/>
    <w:rsid w:val="5BE70AC5"/>
    <w:rsid w:val="5BEC7F89"/>
    <w:rsid w:val="5BF22FC6"/>
    <w:rsid w:val="5BF5277C"/>
    <w:rsid w:val="5BF979BC"/>
    <w:rsid w:val="5BFE196B"/>
    <w:rsid w:val="5BFE7BBD"/>
    <w:rsid w:val="5C07081F"/>
    <w:rsid w:val="5C084598"/>
    <w:rsid w:val="5C0A47B4"/>
    <w:rsid w:val="5C0D7E00"/>
    <w:rsid w:val="5C0F5926"/>
    <w:rsid w:val="5C163158"/>
    <w:rsid w:val="5C180C7F"/>
    <w:rsid w:val="5C186ED1"/>
    <w:rsid w:val="5C190553"/>
    <w:rsid w:val="5C246C89"/>
    <w:rsid w:val="5C2515ED"/>
    <w:rsid w:val="5C272C70"/>
    <w:rsid w:val="5C2D3FFE"/>
    <w:rsid w:val="5C341831"/>
    <w:rsid w:val="5C387805"/>
    <w:rsid w:val="5C3B671B"/>
    <w:rsid w:val="5C3F445D"/>
    <w:rsid w:val="5C441A74"/>
    <w:rsid w:val="5C4952DC"/>
    <w:rsid w:val="5C4A4BB0"/>
    <w:rsid w:val="5C4C6B7A"/>
    <w:rsid w:val="5C4E46A0"/>
    <w:rsid w:val="5C552EE6"/>
    <w:rsid w:val="5C5872CD"/>
    <w:rsid w:val="5C593045"/>
    <w:rsid w:val="5C5F065B"/>
    <w:rsid w:val="5C6043D4"/>
    <w:rsid w:val="5C642116"/>
    <w:rsid w:val="5C6739B4"/>
    <w:rsid w:val="5C6E4D42"/>
    <w:rsid w:val="5C6F18FC"/>
    <w:rsid w:val="5C732359"/>
    <w:rsid w:val="5C7659A5"/>
    <w:rsid w:val="5C82214D"/>
    <w:rsid w:val="5C82259C"/>
    <w:rsid w:val="5C8400C2"/>
    <w:rsid w:val="5C841E70"/>
    <w:rsid w:val="5C8457D3"/>
    <w:rsid w:val="5C855BE8"/>
    <w:rsid w:val="5C891B7C"/>
    <w:rsid w:val="5C93440A"/>
    <w:rsid w:val="5C93495D"/>
    <w:rsid w:val="5C936557"/>
    <w:rsid w:val="5C9A177C"/>
    <w:rsid w:val="5CA2679A"/>
    <w:rsid w:val="5CA442C0"/>
    <w:rsid w:val="5CA95D7B"/>
    <w:rsid w:val="5CB0535B"/>
    <w:rsid w:val="5CB63FF4"/>
    <w:rsid w:val="5CBA0400"/>
    <w:rsid w:val="5CBA1D36"/>
    <w:rsid w:val="5CBA7F88"/>
    <w:rsid w:val="5CBC3D00"/>
    <w:rsid w:val="5CBF10FA"/>
    <w:rsid w:val="5CC04E72"/>
    <w:rsid w:val="5CC61D78"/>
    <w:rsid w:val="5CCC3817"/>
    <w:rsid w:val="5CCE3A33"/>
    <w:rsid w:val="5CD5091E"/>
    <w:rsid w:val="5CD821BC"/>
    <w:rsid w:val="5CE84AF5"/>
    <w:rsid w:val="5CEB6393"/>
    <w:rsid w:val="5CEE5E83"/>
    <w:rsid w:val="5CF1327E"/>
    <w:rsid w:val="5CF76AE6"/>
    <w:rsid w:val="5CF8641C"/>
    <w:rsid w:val="5CFA65D6"/>
    <w:rsid w:val="5CFD7E74"/>
    <w:rsid w:val="5D013E49"/>
    <w:rsid w:val="5D1706B9"/>
    <w:rsid w:val="5D192F00"/>
    <w:rsid w:val="5D1F428F"/>
    <w:rsid w:val="5D292A17"/>
    <w:rsid w:val="5D303DA6"/>
    <w:rsid w:val="5D335644"/>
    <w:rsid w:val="5D3A2E77"/>
    <w:rsid w:val="5D3F048D"/>
    <w:rsid w:val="5D4930BA"/>
    <w:rsid w:val="5D4A130C"/>
    <w:rsid w:val="5D4D2BAA"/>
    <w:rsid w:val="5D4E247E"/>
    <w:rsid w:val="5D4F6922"/>
    <w:rsid w:val="5D50269A"/>
    <w:rsid w:val="5D521F6E"/>
    <w:rsid w:val="5D526412"/>
    <w:rsid w:val="5D557CB0"/>
    <w:rsid w:val="5D5C2DED"/>
    <w:rsid w:val="5D656AC5"/>
    <w:rsid w:val="5D665A1A"/>
    <w:rsid w:val="5D683540"/>
    <w:rsid w:val="5D6F2B20"/>
    <w:rsid w:val="5D704AEA"/>
    <w:rsid w:val="5D720862"/>
    <w:rsid w:val="5D722610"/>
    <w:rsid w:val="5D72616D"/>
    <w:rsid w:val="5D775E79"/>
    <w:rsid w:val="5D7A09BD"/>
    <w:rsid w:val="5D7E0546"/>
    <w:rsid w:val="5D8440F2"/>
    <w:rsid w:val="5D902A97"/>
    <w:rsid w:val="5D9E3405"/>
    <w:rsid w:val="5DA36C6E"/>
    <w:rsid w:val="5DA64068"/>
    <w:rsid w:val="5DAA3B58"/>
    <w:rsid w:val="5DAF73C1"/>
    <w:rsid w:val="5DBC7D30"/>
    <w:rsid w:val="5DC145E1"/>
    <w:rsid w:val="5DC15346"/>
    <w:rsid w:val="5DC25383"/>
    <w:rsid w:val="5DC32E6C"/>
    <w:rsid w:val="5DC80482"/>
    <w:rsid w:val="5DCD7847"/>
    <w:rsid w:val="5DD07337"/>
    <w:rsid w:val="5DD706C5"/>
    <w:rsid w:val="5DDB6408"/>
    <w:rsid w:val="5DE828D3"/>
    <w:rsid w:val="5DEC23C3"/>
    <w:rsid w:val="5DF43025"/>
    <w:rsid w:val="5DFB4772"/>
    <w:rsid w:val="5DFC07D3"/>
    <w:rsid w:val="5DFC1EDA"/>
    <w:rsid w:val="5E0E058B"/>
    <w:rsid w:val="5E1B4A56"/>
    <w:rsid w:val="5E1E62F4"/>
    <w:rsid w:val="5E224037"/>
    <w:rsid w:val="5E2558D5"/>
    <w:rsid w:val="5E2C6C63"/>
    <w:rsid w:val="5E2D4789"/>
    <w:rsid w:val="5E323B4E"/>
    <w:rsid w:val="5E343D6A"/>
    <w:rsid w:val="5E355E51"/>
    <w:rsid w:val="5E36363E"/>
    <w:rsid w:val="5E3653EC"/>
    <w:rsid w:val="5E3C677A"/>
    <w:rsid w:val="5E4E6BDA"/>
    <w:rsid w:val="5E4F4700"/>
    <w:rsid w:val="5E604B5F"/>
    <w:rsid w:val="5E6C3504"/>
    <w:rsid w:val="5E781BA7"/>
    <w:rsid w:val="5E785A05"/>
    <w:rsid w:val="5E794778"/>
    <w:rsid w:val="5E7D74BF"/>
    <w:rsid w:val="5E7F76D7"/>
    <w:rsid w:val="5E810B9A"/>
    <w:rsid w:val="5E8545C5"/>
    <w:rsid w:val="5E8C14B0"/>
    <w:rsid w:val="5E93283E"/>
    <w:rsid w:val="5E9465B6"/>
    <w:rsid w:val="5E9A1E1F"/>
    <w:rsid w:val="5E9B7945"/>
    <w:rsid w:val="5EAA1E65"/>
    <w:rsid w:val="5EAB402C"/>
    <w:rsid w:val="5EAC1B52"/>
    <w:rsid w:val="5EAC7607"/>
    <w:rsid w:val="5EAE7678"/>
    <w:rsid w:val="5EB7471A"/>
    <w:rsid w:val="5EB804F7"/>
    <w:rsid w:val="5EBD5B0D"/>
    <w:rsid w:val="5EC023C8"/>
    <w:rsid w:val="5EC40C4A"/>
    <w:rsid w:val="5ECA1FD8"/>
    <w:rsid w:val="5ECB647C"/>
    <w:rsid w:val="5EDA221B"/>
    <w:rsid w:val="5EDD61AF"/>
    <w:rsid w:val="5EDF3CD6"/>
    <w:rsid w:val="5EE4753E"/>
    <w:rsid w:val="5EE83548"/>
    <w:rsid w:val="5EEB4428"/>
    <w:rsid w:val="5EEC01A1"/>
    <w:rsid w:val="5EEE5CC7"/>
    <w:rsid w:val="5EF62DCD"/>
    <w:rsid w:val="5EF64B7B"/>
    <w:rsid w:val="5EFF1C82"/>
    <w:rsid w:val="5F013C4C"/>
    <w:rsid w:val="5F04373C"/>
    <w:rsid w:val="5F092B01"/>
    <w:rsid w:val="5F0C25F1"/>
    <w:rsid w:val="5F1A2F60"/>
    <w:rsid w:val="5F1A4D0E"/>
    <w:rsid w:val="5F1C2834"/>
    <w:rsid w:val="5F1D47FE"/>
    <w:rsid w:val="5F1F0576"/>
    <w:rsid w:val="5F223BC2"/>
    <w:rsid w:val="5F227E41"/>
    <w:rsid w:val="5F245B8C"/>
    <w:rsid w:val="5F2B2A77"/>
    <w:rsid w:val="5F337B7D"/>
    <w:rsid w:val="5F3B6A32"/>
    <w:rsid w:val="5F403B22"/>
    <w:rsid w:val="5F4955F3"/>
    <w:rsid w:val="5F526256"/>
    <w:rsid w:val="5F557AF4"/>
    <w:rsid w:val="5F5875E4"/>
    <w:rsid w:val="5F5F75FA"/>
    <w:rsid w:val="5F6917F1"/>
    <w:rsid w:val="5F6B30AD"/>
    <w:rsid w:val="5F6D12E1"/>
    <w:rsid w:val="5F775CBC"/>
    <w:rsid w:val="5F7F2DC3"/>
    <w:rsid w:val="5F8108E9"/>
    <w:rsid w:val="5F8B1768"/>
    <w:rsid w:val="5F950838"/>
    <w:rsid w:val="5F9525E6"/>
    <w:rsid w:val="5F954394"/>
    <w:rsid w:val="5F9A19AB"/>
    <w:rsid w:val="5F9F32F8"/>
    <w:rsid w:val="5FA85000"/>
    <w:rsid w:val="5FAB3BB8"/>
    <w:rsid w:val="5FAD5B82"/>
    <w:rsid w:val="5FAE5456"/>
    <w:rsid w:val="5FB213EA"/>
    <w:rsid w:val="5FB23198"/>
    <w:rsid w:val="5FB40CBE"/>
    <w:rsid w:val="5FB46F10"/>
    <w:rsid w:val="5FB54A36"/>
    <w:rsid w:val="5FBC7B73"/>
    <w:rsid w:val="5FC30F01"/>
    <w:rsid w:val="5FC5111D"/>
    <w:rsid w:val="5FC9520A"/>
    <w:rsid w:val="5FCB4F59"/>
    <w:rsid w:val="5FCF3D4A"/>
    <w:rsid w:val="5FD02094"/>
    <w:rsid w:val="5FD10DCB"/>
    <w:rsid w:val="5FD17AC2"/>
    <w:rsid w:val="5FE07D05"/>
    <w:rsid w:val="5FE13A7D"/>
    <w:rsid w:val="5FE1582B"/>
    <w:rsid w:val="5FE33352"/>
    <w:rsid w:val="5FE570CA"/>
    <w:rsid w:val="5FED41D0"/>
    <w:rsid w:val="5FF23595"/>
    <w:rsid w:val="5FF4555F"/>
    <w:rsid w:val="600339F4"/>
    <w:rsid w:val="6005776C"/>
    <w:rsid w:val="600B28A8"/>
    <w:rsid w:val="601C4AB5"/>
    <w:rsid w:val="602045A6"/>
    <w:rsid w:val="60363DC9"/>
    <w:rsid w:val="60432042"/>
    <w:rsid w:val="60433DF0"/>
    <w:rsid w:val="6045400C"/>
    <w:rsid w:val="60457B68"/>
    <w:rsid w:val="604A1623"/>
    <w:rsid w:val="6054424F"/>
    <w:rsid w:val="60597AB8"/>
    <w:rsid w:val="60624BBE"/>
    <w:rsid w:val="6065645C"/>
    <w:rsid w:val="60673F83"/>
    <w:rsid w:val="606F1089"/>
    <w:rsid w:val="606F2E37"/>
    <w:rsid w:val="60787F3E"/>
    <w:rsid w:val="607E307A"/>
    <w:rsid w:val="60803296"/>
    <w:rsid w:val="60822B6A"/>
    <w:rsid w:val="60830691"/>
    <w:rsid w:val="60843A73"/>
    <w:rsid w:val="608F34D9"/>
    <w:rsid w:val="60916947"/>
    <w:rsid w:val="60964052"/>
    <w:rsid w:val="60996106"/>
    <w:rsid w:val="60997EB4"/>
    <w:rsid w:val="609D5BF6"/>
    <w:rsid w:val="60A07495"/>
    <w:rsid w:val="60A704F0"/>
    <w:rsid w:val="60BE791B"/>
    <w:rsid w:val="60C2740B"/>
    <w:rsid w:val="60C767CF"/>
    <w:rsid w:val="60CE7B5E"/>
    <w:rsid w:val="60D64C64"/>
    <w:rsid w:val="60DD2497"/>
    <w:rsid w:val="60DD4245"/>
    <w:rsid w:val="60DF620F"/>
    <w:rsid w:val="60E27AAD"/>
    <w:rsid w:val="60E530F9"/>
    <w:rsid w:val="60F33A68"/>
    <w:rsid w:val="60F43F81"/>
    <w:rsid w:val="60FB0B6F"/>
    <w:rsid w:val="60FB46CB"/>
    <w:rsid w:val="60FD6695"/>
    <w:rsid w:val="60FF41BB"/>
    <w:rsid w:val="610712C2"/>
    <w:rsid w:val="6109328C"/>
    <w:rsid w:val="61097364"/>
    <w:rsid w:val="611063C8"/>
    <w:rsid w:val="61120392"/>
    <w:rsid w:val="61181721"/>
    <w:rsid w:val="611D2893"/>
    <w:rsid w:val="611E4E94"/>
    <w:rsid w:val="612956DC"/>
    <w:rsid w:val="613064F2"/>
    <w:rsid w:val="61333E65"/>
    <w:rsid w:val="614147D4"/>
    <w:rsid w:val="61446072"/>
    <w:rsid w:val="614E6EF1"/>
    <w:rsid w:val="61565DA5"/>
    <w:rsid w:val="615A5587"/>
    <w:rsid w:val="61646714"/>
    <w:rsid w:val="616E7593"/>
    <w:rsid w:val="61734BA9"/>
    <w:rsid w:val="617821BF"/>
    <w:rsid w:val="617A5F38"/>
    <w:rsid w:val="6183303E"/>
    <w:rsid w:val="61870A0B"/>
    <w:rsid w:val="618E3791"/>
    <w:rsid w:val="61946FF9"/>
    <w:rsid w:val="61A92379"/>
    <w:rsid w:val="61B53A89"/>
    <w:rsid w:val="61B76844"/>
    <w:rsid w:val="61BC3E5A"/>
    <w:rsid w:val="61C176C2"/>
    <w:rsid w:val="61C3168D"/>
    <w:rsid w:val="61C827FF"/>
    <w:rsid w:val="61C84EF5"/>
    <w:rsid w:val="61CD250B"/>
    <w:rsid w:val="61D70C94"/>
    <w:rsid w:val="61DA0784"/>
    <w:rsid w:val="61E41603"/>
    <w:rsid w:val="61E84C4F"/>
    <w:rsid w:val="61EA6C19"/>
    <w:rsid w:val="61EF4230"/>
    <w:rsid w:val="61F25ACE"/>
    <w:rsid w:val="61F31362"/>
    <w:rsid w:val="61F45CEA"/>
    <w:rsid w:val="61F77588"/>
    <w:rsid w:val="61F96E5C"/>
    <w:rsid w:val="61FB0E26"/>
    <w:rsid w:val="620121B5"/>
    <w:rsid w:val="620852F1"/>
    <w:rsid w:val="62092E18"/>
    <w:rsid w:val="620D0B5A"/>
    <w:rsid w:val="62153F79"/>
    <w:rsid w:val="621912AD"/>
    <w:rsid w:val="621A6DD3"/>
    <w:rsid w:val="62233ED9"/>
    <w:rsid w:val="62344338"/>
    <w:rsid w:val="62347E94"/>
    <w:rsid w:val="62373E29"/>
    <w:rsid w:val="624004A9"/>
    <w:rsid w:val="62436329"/>
    <w:rsid w:val="624502F4"/>
    <w:rsid w:val="62481B02"/>
    <w:rsid w:val="62487DE4"/>
    <w:rsid w:val="624A3B5C"/>
    <w:rsid w:val="624F1172"/>
    <w:rsid w:val="625247BE"/>
    <w:rsid w:val="62540537"/>
    <w:rsid w:val="62571DD5"/>
    <w:rsid w:val="625C563D"/>
    <w:rsid w:val="626F5370"/>
    <w:rsid w:val="6271733B"/>
    <w:rsid w:val="62782477"/>
    <w:rsid w:val="62796BC4"/>
    <w:rsid w:val="62816E52"/>
    <w:rsid w:val="62864468"/>
    <w:rsid w:val="6287090C"/>
    <w:rsid w:val="628801E0"/>
    <w:rsid w:val="62913539"/>
    <w:rsid w:val="629341F9"/>
    <w:rsid w:val="62966DA1"/>
    <w:rsid w:val="6299419B"/>
    <w:rsid w:val="629B7F14"/>
    <w:rsid w:val="62A414BE"/>
    <w:rsid w:val="62A50D92"/>
    <w:rsid w:val="62A768B8"/>
    <w:rsid w:val="62AD7C47"/>
    <w:rsid w:val="62B17737"/>
    <w:rsid w:val="62B20DAE"/>
    <w:rsid w:val="62B72874"/>
    <w:rsid w:val="62B912F6"/>
    <w:rsid w:val="62BB05B6"/>
    <w:rsid w:val="62C531E2"/>
    <w:rsid w:val="62D17DD9"/>
    <w:rsid w:val="62D376AD"/>
    <w:rsid w:val="62D52568"/>
    <w:rsid w:val="62DE3608"/>
    <w:rsid w:val="62E418BB"/>
    <w:rsid w:val="62EB31E4"/>
    <w:rsid w:val="62EE098B"/>
    <w:rsid w:val="62F35FA1"/>
    <w:rsid w:val="62F615EE"/>
    <w:rsid w:val="630006BE"/>
    <w:rsid w:val="630261E5"/>
    <w:rsid w:val="63041F5D"/>
    <w:rsid w:val="63057A83"/>
    <w:rsid w:val="630930CF"/>
    <w:rsid w:val="631A1780"/>
    <w:rsid w:val="631A67C1"/>
    <w:rsid w:val="631D6B7A"/>
    <w:rsid w:val="631F28F3"/>
    <w:rsid w:val="632223E3"/>
    <w:rsid w:val="6324615B"/>
    <w:rsid w:val="63251ED3"/>
    <w:rsid w:val="632748F0"/>
    <w:rsid w:val="63275C4B"/>
    <w:rsid w:val="632E2B36"/>
    <w:rsid w:val="63312626"/>
    <w:rsid w:val="63343EC4"/>
    <w:rsid w:val="6335216A"/>
    <w:rsid w:val="633640E0"/>
    <w:rsid w:val="63365E8E"/>
    <w:rsid w:val="63375355"/>
    <w:rsid w:val="63422A85"/>
    <w:rsid w:val="634405AB"/>
    <w:rsid w:val="63472E3E"/>
    <w:rsid w:val="63555685"/>
    <w:rsid w:val="635822A8"/>
    <w:rsid w:val="635A29F5"/>
    <w:rsid w:val="635A7DCF"/>
    <w:rsid w:val="635D166D"/>
    <w:rsid w:val="63640C4D"/>
    <w:rsid w:val="6367712A"/>
    <w:rsid w:val="636B2628"/>
    <w:rsid w:val="63732C3E"/>
    <w:rsid w:val="637846F9"/>
    <w:rsid w:val="637A3FCD"/>
    <w:rsid w:val="638210D3"/>
    <w:rsid w:val="638766EA"/>
    <w:rsid w:val="638C2CB2"/>
    <w:rsid w:val="63901A42"/>
    <w:rsid w:val="639037F0"/>
    <w:rsid w:val="63972DD1"/>
    <w:rsid w:val="639C3F43"/>
    <w:rsid w:val="63A63014"/>
    <w:rsid w:val="63A76588"/>
    <w:rsid w:val="63A86D8C"/>
    <w:rsid w:val="63B079EF"/>
    <w:rsid w:val="63C416EC"/>
    <w:rsid w:val="63C4349A"/>
    <w:rsid w:val="63CB2A7A"/>
    <w:rsid w:val="63E15DFA"/>
    <w:rsid w:val="63E36016"/>
    <w:rsid w:val="63E61662"/>
    <w:rsid w:val="63E63410"/>
    <w:rsid w:val="63EB2C7A"/>
    <w:rsid w:val="63EB4ECB"/>
    <w:rsid w:val="63EE0517"/>
    <w:rsid w:val="63EF49BB"/>
    <w:rsid w:val="63F21DB5"/>
    <w:rsid w:val="63F55D49"/>
    <w:rsid w:val="63F773CC"/>
    <w:rsid w:val="63F83144"/>
    <w:rsid w:val="640027B0"/>
    <w:rsid w:val="6401024A"/>
    <w:rsid w:val="64030466"/>
    <w:rsid w:val="640D6BEF"/>
    <w:rsid w:val="64175CC0"/>
    <w:rsid w:val="6419559B"/>
    <w:rsid w:val="641E2BAA"/>
    <w:rsid w:val="641F6922"/>
    <w:rsid w:val="642A59F3"/>
    <w:rsid w:val="643C1282"/>
    <w:rsid w:val="64410F8F"/>
    <w:rsid w:val="6441132E"/>
    <w:rsid w:val="64412D3D"/>
    <w:rsid w:val="644D7933"/>
    <w:rsid w:val="64504D2E"/>
    <w:rsid w:val="645111D2"/>
    <w:rsid w:val="64520AA6"/>
    <w:rsid w:val="645C36D2"/>
    <w:rsid w:val="6461518D"/>
    <w:rsid w:val="646D768E"/>
    <w:rsid w:val="6470717E"/>
    <w:rsid w:val="6477050C"/>
    <w:rsid w:val="647E189B"/>
    <w:rsid w:val="64833355"/>
    <w:rsid w:val="64852C29"/>
    <w:rsid w:val="648669A1"/>
    <w:rsid w:val="64874BF3"/>
    <w:rsid w:val="6488096B"/>
    <w:rsid w:val="648D7D30"/>
    <w:rsid w:val="649015CE"/>
    <w:rsid w:val="64970BAF"/>
    <w:rsid w:val="64986E00"/>
    <w:rsid w:val="649B069F"/>
    <w:rsid w:val="649C61C5"/>
    <w:rsid w:val="64AA2690"/>
    <w:rsid w:val="64B41760"/>
    <w:rsid w:val="64B702F7"/>
    <w:rsid w:val="64B8069F"/>
    <w:rsid w:val="64B928D3"/>
    <w:rsid w:val="64BD6867"/>
    <w:rsid w:val="64C179D9"/>
    <w:rsid w:val="64C23E7D"/>
    <w:rsid w:val="64C9520C"/>
    <w:rsid w:val="64CE2822"/>
    <w:rsid w:val="64CF0348"/>
    <w:rsid w:val="64D94D23"/>
    <w:rsid w:val="64DB3EFD"/>
    <w:rsid w:val="64DD4813"/>
    <w:rsid w:val="64E31C15"/>
    <w:rsid w:val="64E42046"/>
    <w:rsid w:val="64EB7C27"/>
    <w:rsid w:val="64EC4A56"/>
    <w:rsid w:val="64FB113D"/>
    <w:rsid w:val="65051FBC"/>
    <w:rsid w:val="650A312E"/>
    <w:rsid w:val="650A75D2"/>
    <w:rsid w:val="650E7A25"/>
    <w:rsid w:val="651346D9"/>
    <w:rsid w:val="65150451"/>
    <w:rsid w:val="65183A9D"/>
    <w:rsid w:val="651E6BDA"/>
    <w:rsid w:val="65290E15"/>
    <w:rsid w:val="65293EFC"/>
    <w:rsid w:val="652E32C1"/>
    <w:rsid w:val="6530528B"/>
    <w:rsid w:val="65363F24"/>
    <w:rsid w:val="65393A14"/>
    <w:rsid w:val="653D3504"/>
    <w:rsid w:val="653F727C"/>
    <w:rsid w:val="65491EA9"/>
    <w:rsid w:val="65493C57"/>
    <w:rsid w:val="654F3237"/>
    <w:rsid w:val="65514D61"/>
    <w:rsid w:val="65586590"/>
    <w:rsid w:val="655A2308"/>
    <w:rsid w:val="655D5954"/>
    <w:rsid w:val="65635506"/>
    <w:rsid w:val="65661CED"/>
    <w:rsid w:val="6572031E"/>
    <w:rsid w:val="657F3B1C"/>
    <w:rsid w:val="657F6D5B"/>
    <w:rsid w:val="65896749"/>
    <w:rsid w:val="65901886"/>
    <w:rsid w:val="65A25A5D"/>
    <w:rsid w:val="65A417D5"/>
    <w:rsid w:val="65A43583"/>
    <w:rsid w:val="65AB66C0"/>
    <w:rsid w:val="65AC068A"/>
    <w:rsid w:val="65B23EF2"/>
    <w:rsid w:val="65B37C6A"/>
    <w:rsid w:val="65BC6B1F"/>
    <w:rsid w:val="65C43C25"/>
    <w:rsid w:val="65D200F0"/>
    <w:rsid w:val="65D5198E"/>
    <w:rsid w:val="65D57BE0"/>
    <w:rsid w:val="65DC2D1D"/>
    <w:rsid w:val="65DE4CE7"/>
    <w:rsid w:val="65E120E1"/>
    <w:rsid w:val="65E676F8"/>
    <w:rsid w:val="65E816C2"/>
    <w:rsid w:val="66061B48"/>
    <w:rsid w:val="661974A2"/>
    <w:rsid w:val="661C1C7B"/>
    <w:rsid w:val="661E1587"/>
    <w:rsid w:val="662144F3"/>
    <w:rsid w:val="66246472"/>
    <w:rsid w:val="662D3578"/>
    <w:rsid w:val="662D5327"/>
    <w:rsid w:val="662E109F"/>
    <w:rsid w:val="66304E17"/>
    <w:rsid w:val="664408C2"/>
    <w:rsid w:val="664D7777"/>
    <w:rsid w:val="664E34EF"/>
    <w:rsid w:val="66544FA9"/>
    <w:rsid w:val="666176C6"/>
    <w:rsid w:val="666351EC"/>
    <w:rsid w:val="66636F9A"/>
    <w:rsid w:val="66682803"/>
    <w:rsid w:val="666F593F"/>
    <w:rsid w:val="667473F9"/>
    <w:rsid w:val="667967BE"/>
    <w:rsid w:val="667C62AE"/>
    <w:rsid w:val="667C658D"/>
    <w:rsid w:val="667F18FA"/>
    <w:rsid w:val="66833198"/>
    <w:rsid w:val="66860EDB"/>
    <w:rsid w:val="669058B5"/>
    <w:rsid w:val="66976C44"/>
    <w:rsid w:val="669B6734"/>
    <w:rsid w:val="66A15D14"/>
    <w:rsid w:val="66AA6977"/>
    <w:rsid w:val="66B94E0C"/>
    <w:rsid w:val="66BC2B4E"/>
    <w:rsid w:val="66C20165"/>
    <w:rsid w:val="66CA0E88"/>
    <w:rsid w:val="66CD08B8"/>
    <w:rsid w:val="66CF63DE"/>
    <w:rsid w:val="66D6776C"/>
    <w:rsid w:val="66DE0D17"/>
    <w:rsid w:val="66E0683D"/>
    <w:rsid w:val="66EA407D"/>
    <w:rsid w:val="66EC3434"/>
    <w:rsid w:val="66F10A4A"/>
    <w:rsid w:val="66F145A6"/>
    <w:rsid w:val="66F26570"/>
    <w:rsid w:val="66F75934"/>
    <w:rsid w:val="66F95B50"/>
    <w:rsid w:val="66FD73EF"/>
    <w:rsid w:val="67286252"/>
    <w:rsid w:val="672A7AB8"/>
    <w:rsid w:val="672E57FA"/>
    <w:rsid w:val="673D77EB"/>
    <w:rsid w:val="673E5311"/>
    <w:rsid w:val="674072DB"/>
    <w:rsid w:val="674212A6"/>
    <w:rsid w:val="674342E3"/>
    <w:rsid w:val="67455F68"/>
    <w:rsid w:val="6747066A"/>
    <w:rsid w:val="67491CFC"/>
    <w:rsid w:val="675608AD"/>
    <w:rsid w:val="67580AC9"/>
    <w:rsid w:val="676236F6"/>
    <w:rsid w:val="67656D42"/>
    <w:rsid w:val="676B07FC"/>
    <w:rsid w:val="676B6FB9"/>
    <w:rsid w:val="676C3B8F"/>
    <w:rsid w:val="676C6322"/>
    <w:rsid w:val="676D68B5"/>
    <w:rsid w:val="67706CC4"/>
    <w:rsid w:val="67713939"/>
    <w:rsid w:val="677D408C"/>
    <w:rsid w:val="677F6056"/>
    <w:rsid w:val="67835311"/>
    <w:rsid w:val="6784366C"/>
    <w:rsid w:val="67901FF6"/>
    <w:rsid w:val="6790696E"/>
    <w:rsid w:val="6799705A"/>
    <w:rsid w:val="67A1421E"/>
    <w:rsid w:val="67A45ABC"/>
    <w:rsid w:val="67A61834"/>
    <w:rsid w:val="67B33F51"/>
    <w:rsid w:val="67BF46A4"/>
    <w:rsid w:val="67BF6452"/>
    <w:rsid w:val="67C65A33"/>
    <w:rsid w:val="67CE48E7"/>
    <w:rsid w:val="67D0240D"/>
    <w:rsid w:val="67D068B1"/>
    <w:rsid w:val="67D16185"/>
    <w:rsid w:val="67D31EFE"/>
    <w:rsid w:val="67D5211A"/>
    <w:rsid w:val="67DF0EB0"/>
    <w:rsid w:val="67DF4D46"/>
    <w:rsid w:val="67E1461B"/>
    <w:rsid w:val="67E67E83"/>
    <w:rsid w:val="67E90433"/>
    <w:rsid w:val="67EB7247"/>
    <w:rsid w:val="67F00D02"/>
    <w:rsid w:val="67F26828"/>
    <w:rsid w:val="67F500C6"/>
    <w:rsid w:val="67F51E74"/>
    <w:rsid w:val="67FB3202"/>
    <w:rsid w:val="68040309"/>
    <w:rsid w:val="680447AD"/>
    <w:rsid w:val="68091DC3"/>
    <w:rsid w:val="68112A26"/>
    <w:rsid w:val="681542C4"/>
    <w:rsid w:val="6817628E"/>
    <w:rsid w:val="681C2B17"/>
    <w:rsid w:val="68224C33"/>
    <w:rsid w:val="68262975"/>
    <w:rsid w:val="682B1D3A"/>
    <w:rsid w:val="68355788"/>
    <w:rsid w:val="6837248C"/>
    <w:rsid w:val="683D1E50"/>
    <w:rsid w:val="68437083"/>
    <w:rsid w:val="68570D81"/>
    <w:rsid w:val="68576637"/>
    <w:rsid w:val="685A617B"/>
    <w:rsid w:val="686B0388"/>
    <w:rsid w:val="686D7935"/>
    <w:rsid w:val="687E455F"/>
    <w:rsid w:val="688C5948"/>
    <w:rsid w:val="688E4077"/>
    <w:rsid w:val="68925915"/>
    <w:rsid w:val="68993147"/>
    <w:rsid w:val="689C6793"/>
    <w:rsid w:val="689E69AF"/>
    <w:rsid w:val="68A044D6"/>
    <w:rsid w:val="68AA0EB0"/>
    <w:rsid w:val="68B161D3"/>
    <w:rsid w:val="68BC5088"/>
    <w:rsid w:val="68C61A62"/>
    <w:rsid w:val="68C7351D"/>
    <w:rsid w:val="68CA1553"/>
    <w:rsid w:val="68CE7E74"/>
    <w:rsid w:val="68D128E1"/>
    <w:rsid w:val="68D221B5"/>
    <w:rsid w:val="68DB550E"/>
    <w:rsid w:val="68DC3034"/>
    <w:rsid w:val="68E5013A"/>
    <w:rsid w:val="68E72104"/>
    <w:rsid w:val="68EA39A3"/>
    <w:rsid w:val="68EC14C9"/>
    <w:rsid w:val="68EF2D67"/>
    <w:rsid w:val="68F6059A"/>
    <w:rsid w:val="68F95994"/>
    <w:rsid w:val="690A5DF3"/>
    <w:rsid w:val="690D7691"/>
    <w:rsid w:val="691E2803"/>
    <w:rsid w:val="69201173"/>
    <w:rsid w:val="692549DB"/>
    <w:rsid w:val="692844CB"/>
    <w:rsid w:val="69382960"/>
    <w:rsid w:val="693B5FAC"/>
    <w:rsid w:val="693B7D5A"/>
    <w:rsid w:val="694035C3"/>
    <w:rsid w:val="694110E9"/>
    <w:rsid w:val="69423BC9"/>
    <w:rsid w:val="6942558D"/>
    <w:rsid w:val="69450BD9"/>
    <w:rsid w:val="69474951"/>
    <w:rsid w:val="6953779A"/>
    <w:rsid w:val="69564B94"/>
    <w:rsid w:val="69643755"/>
    <w:rsid w:val="69674FF3"/>
    <w:rsid w:val="696A6892"/>
    <w:rsid w:val="696E0130"/>
    <w:rsid w:val="696F3EA8"/>
    <w:rsid w:val="697119CE"/>
    <w:rsid w:val="69731BEA"/>
    <w:rsid w:val="697B284D"/>
    <w:rsid w:val="69821E2D"/>
    <w:rsid w:val="698971FF"/>
    <w:rsid w:val="698E07D2"/>
    <w:rsid w:val="699224B1"/>
    <w:rsid w:val="69A04061"/>
    <w:rsid w:val="69A2602B"/>
    <w:rsid w:val="69A91168"/>
    <w:rsid w:val="69AC2A06"/>
    <w:rsid w:val="69AE49D0"/>
    <w:rsid w:val="69B61AD7"/>
    <w:rsid w:val="69BB533F"/>
    <w:rsid w:val="69BB5960"/>
    <w:rsid w:val="69BB70ED"/>
    <w:rsid w:val="69BF098B"/>
    <w:rsid w:val="69BF6BDD"/>
    <w:rsid w:val="69C45FA2"/>
    <w:rsid w:val="69CA10DE"/>
    <w:rsid w:val="69CB37D4"/>
    <w:rsid w:val="69D56401"/>
    <w:rsid w:val="69DC778F"/>
    <w:rsid w:val="69E46644"/>
    <w:rsid w:val="69EB79D2"/>
    <w:rsid w:val="69EE74C3"/>
    <w:rsid w:val="69F06D97"/>
    <w:rsid w:val="69F34AD9"/>
    <w:rsid w:val="69F47280"/>
    <w:rsid w:val="69F61ED3"/>
    <w:rsid w:val="6A107439"/>
    <w:rsid w:val="6A116D0D"/>
    <w:rsid w:val="6A152CA1"/>
    <w:rsid w:val="6A1D56B2"/>
    <w:rsid w:val="6A1F767C"/>
    <w:rsid w:val="6A211646"/>
    <w:rsid w:val="6A242EE4"/>
    <w:rsid w:val="6A2B6021"/>
    <w:rsid w:val="6A2D7FEB"/>
    <w:rsid w:val="6A301889"/>
    <w:rsid w:val="6A3053E5"/>
    <w:rsid w:val="6A356EA0"/>
    <w:rsid w:val="6A3A656D"/>
    <w:rsid w:val="6A3F387A"/>
    <w:rsid w:val="6A42336B"/>
    <w:rsid w:val="6A4315BC"/>
    <w:rsid w:val="6A4470E3"/>
    <w:rsid w:val="6A505A87"/>
    <w:rsid w:val="6A507835"/>
    <w:rsid w:val="6A521800"/>
    <w:rsid w:val="6A527A52"/>
    <w:rsid w:val="6A5512F0"/>
    <w:rsid w:val="6A55256E"/>
    <w:rsid w:val="6A55309E"/>
    <w:rsid w:val="6A584189"/>
    <w:rsid w:val="6A5A4448"/>
    <w:rsid w:val="6A5C61DA"/>
    <w:rsid w:val="6A5D01A4"/>
    <w:rsid w:val="6A5D1F52"/>
    <w:rsid w:val="6A5E63F6"/>
    <w:rsid w:val="6A626CD7"/>
    <w:rsid w:val="6A6432E1"/>
    <w:rsid w:val="6A687275"/>
    <w:rsid w:val="6A6B28C1"/>
    <w:rsid w:val="6A731776"/>
    <w:rsid w:val="6A75729C"/>
    <w:rsid w:val="6A771266"/>
    <w:rsid w:val="6A843983"/>
    <w:rsid w:val="6A890F99"/>
    <w:rsid w:val="6AAB7162"/>
    <w:rsid w:val="6AAD6A36"/>
    <w:rsid w:val="6AB204F0"/>
    <w:rsid w:val="6AC36259"/>
    <w:rsid w:val="6AC567C3"/>
    <w:rsid w:val="6AC95741"/>
    <w:rsid w:val="6ACB7804"/>
    <w:rsid w:val="6ACC6440"/>
    <w:rsid w:val="6AD42215"/>
    <w:rsid w:val="6ADC556D"/>
    <w:rsid w:val="6AE663EC"/>
    <w:rsid w:val="6AEC2B47"/>
    <w:rsid w:val="6AF208ED"/>
    <w:rsid w:val="6AF64881"/>
    <w:rsid w:val="6AF87C73"/>
    <w:rsid w:val="6AFA59F3"/>
    <w:rsid w:val="6AFB3C45"/>
    <w:rsid w:val="6AFC176B"/>
    <w:rsid w:val="6AFE3735"/>
    <w:rsid w:val="6AFE54E3"/>
    <w:rsid w:val="6B024592"/>
    <w:rsid w:val="6B0C5E52"/>
    <w:rsid w:val="6B0D1BCA"/>
    <w:rsid w:val="6B234F4A"/>
    <w:rsid w:val="6B262A87"/>
    <w:rsid w:val="6B286A04"/>
    <w:rsid w:val="6B2D7B77"/>
    <w:rsid w:val="6B321631"/>
    <w:rsid w:val="6B32518D"/>
    <w:rsid w:val="6B340F05"/>
    <w:rsid w:val="6B431148"/>
    <w:rsid w:val="6B43383E"/>
    <w:rsid w:val="6B482C03"/>
    <w:rsid w:val="6B4A0729"/>
    <w:rsid w:val="6B4D0219"/>
    <w:rsid w:val="6B5275DD"/>
    <w:rsid w:val="6B5477F9"/>
    <w:rsid w:val="6B5D66AE"/>
    <w:rsid w:val="6B621F16"/>
    <w:rsid w:val="6B6E08BB"/>
    <w:rsid w:val="6B712159"/>
    <w:rsid w:val="6B715CB5"/>
    <w:rsid w:val="6B735ED1"/>
    <w:rsid w:val="6B737C7F"/>
    <w:rsid w:val="6B785296"/>
    <w:rsid w:val="6B7D0AFE"/>
    <w:rsid w:val="6B851761"/>
    <w:rsid w:val="6B8645AC"/>
    <w:rsid w:val="6B8E2D0B"/>
    <w:rsid w:val="6B930322"/>
    <w:rsid w:val="6B9320D0"/>
    <w:rsid w:val="6B96396E"/>
    <w:rsid w:val="6B9B3981"/>
    <w:rsid w:val="6BA047ED"/>
    <w:rsid w:val="6BA53BB1"/>
    <w:rsid w:val="6BAF2C82"/>
    <w:rsid w:val="6BB12556"/>
    <w:rsid w:val="6BB67B6C"/>
    <w:rsid w:val="6BB81B36"/>
    <w:rsid w:val="6BBD714D"/>
    <w:rsid w:val="6BC32289"/>
    <w:rsid w:val="6BC36E8E"/>
    <w:rsid w:val="6BC8789F"/>
    <w:rsid w:val="6BCB7ABB"/>
    <w:rsid w:val="6BD66460"/>
    <w:rsid w:val="6BDA5F51"/>
    <w:rsid w:val="6BE04BE9"/>
    <w:rsid w:val="6BE20961"/>
    <w:rsid w:val="6BE7241B"/>
    <w:rsid w:val="6BE75F78"/>
    <w:rsid w:val="6BE972F0"/>
    <w:rsid w:val="6BF16DF6"/>
    <w:rsid w:val="6BF54B38"/>
    <w:rsid w:val="6BF568E6"/>
    <w:rsid w:val="6BFB5EC7"/>
    <w:rsid w:val="6BFB7C75"/>
    <w:rsid w:val="6C027255"/>
    <w:rsid w:val="6C042FCD"/>
    <w:rsid w:val="6C0E79A8"/>
    <w:rsid w:val="6C122F13"/>
    <w:rsid w:val="6C150D37"/>
    <w:rsid w:val="6C156F89"/>
    <w:rsid w:val="6C157B27"/>
    <w:rsid w:val="6C1A634D"/>
    <w:rsid w:val="6C1B20C5"/>
    <w:rsid w:val="6C1B3E73"/>
    <w:rsid w:val="6C20148A"/>
    <w:rsid w:val="6C2216A6"/>
    <w:rsid w:val="6C2B67AC"/>
    <w:rsid w:val="6C376EFF"/>
    <w:rsid w:val="6C3A254B"/>
    <w:rsid w:val="6C3B62C3"/>
    <w:rsid w:val="6C3F4006"/>
    <w:rsid w:val="6C4038DA"/>
    <w:rsid w:val="6C417D7E"/>
    <w:rsid w:val="6C472EBA"/>
    <w:rsid w:val="6C474C68"/>
    <w:rsid w:val="6C4E5FF7"/>
    <w:rsid w:val="6C4F7438"/>
    <w:rsid w:val="6C521811"/>
    <w:rsid w:val="6C57134F"/>
    <w:rsid w:val="6C5740F9"/>
    <w:rsid w:val="6C5A499B"/>
    <w:rsid w:val="6C5B5F14"/>
    <w:rsid w:val="6C5E5AB6"/>
    <w:rsid w:val="6C726189"/>
    <w:rsid w:val="6C783074"/>
    <w:rsid w:val="6C830396"/>
    <w:rsid w:val="6C83461C"/>
    <w:rsid w:val="6C891725"/>
    <w:rsid w:val="6C89702F"/>
    <w:rsid w:val="6C8D2FC3"/>
    <w:rsid w:val="6C983716"/>
    <w:rsid w:val="6CA16A6E"/>
    <w:rsid w:val="6CA259B8"/>
    <w:rsid w:val="6CA67BE1"/>
    <w:rsid w:val="6CA9147F"/>
    <w:rsid w:val="6CAB51F7"/>
    <w:rsid w:val="6CB26586"/>
    <w:rsid w:val="6CB93DB8"/>
    <w:rsid w:val="6CBA6410"/>
    <w:rsid w:val="6CC62031"/>
    <w:rsid w:val="6CC71BC8"/>
    <w:rsid w:val="6CCB7647"/>
    <w:rsid w:val="6CD72490"/>
    <w:rsid w:val="6CDE737B"/>
    <w:rsid w:val="6CE60925"/>
    <w:rsid w:val="6CE7542D"/>
    <w:rsid w:val="6CF3094C"/>
    <w:rsid w:val="6CF50B68"/>
    <w:rsid w:val="6CFF5543"/>
    <w:rsid w:val="6D013069"/>
    <w:rsid w:val="6D0C7C9A"/>
    <w:rsid w:val="6D12171A"/>
    <w:rsid w:val="6D17288C"/>
    <w:rsid w:val="6D184E6C"/>
    <w:rsid w:val="6D1C60F5"/>
    <w:rsid w:val="6D1F1741"/>
    <w:rsid w:val="6D2A0812"/>
    <w:rsid w:val="6D2B26D1"/>
    <w:rsid w:val="6D2F407A"/>
    <w:rsid w:val="6D323B6A"/>
    <w:rsid w:val="6D350F65"/>
    <w:rsid w:val="6D374CDD"/>
    <w:rsid w:val="6D392803"/>
    <w:rsid w:val="6D401DE3"/>
    <w:rsid w:val="6D57712D"/>
    <w:rsid w:val="6D583572"/>
    <w:rsid w:val="6D702546"/>
    <w:rsid w:val="6D77157D"/>
    <w:rsid w:val="6D7970A3"/>
    <w:rsid w:val="6D8141AA"/>
    <w:rsid w:val="6D8333A6"/>
    <w:rsid w:val="6D91263F"/>
    <w:rsid w:val="6D940381"/>
    <w:rsid w:val="6DA00AD4"/>
    <w:rsid w:val="6DAF0D17"/>
    <w:rsid w:val="6DB12CE1"/>
    <w:rsid w:val="6DB14177"/>
    <w:rsid w:val="6DB30807"/>
    <w:rsid w:val="6DB523BB"/>
    <w:rsid w:val="6DBD3434"/>
    <w:rsid w:val="6DC01176"/>
    <w:rsid w:val="6DC074CE"/>
    <w:rsid w:val="6DC36570"/>
    <w:rsid w:val="6DCA3DA3"/>
    <w:rsid w:val="6DCA6045"/>
    <w:rsid w:val="6DCC3677"/>
    <w:rsid w:val="6DCE3893"/>
    <w:rsid w:val="6DD16EDF"/>
    <w:rsid w:val="6DD54C21"/>
    <w:rsid w:val="6DDB1B0C"/>
    <w:rsid w:val="6DDB5FB0"/>
    <w:rsid w:val="6DDB7D5E"/>
    <w:rsid w:val="6DE07122"/>
    <w:rsid w:val="6DE44E65"/>
    <w:rsid w:val="6DE50BDD"/>
    <w:rsid w:val="6DEC1F6B"/>
    <w:rsid w:val="6DF1132F"/>
    <w:rsid w:val="6DF36E56"/>
    <w:rsid w:val="6DF606F4"/>
    <w:rsid w:val="6DF64B98"/>
    <w:rsid w:val="6DF901E4"/>
    <w:rsid w:val="6DFA4688"/>
    <w:rsid w:val="6DFB5D0A"/>
    <w:rsid w:val="6DFD1A82"/>
    <w:rsid w:val="6E0077C5"/>
    <w:rsid w:val="6E096679"/>
    <w:rsid w:val="6E0C43BB"/>
    <w:rsid w:val="6E0E5A3E"/>
    <w:rsid w:val="6E0F7A08"/>
    <w:rsid w:val="6E11552E"/>
    <w:rsid w:val="6E160D96"/>
    <w:rsid w:val="6E184B0E"/>
    <w:rsid w:val="6E1B63AC"/>
    <w:rsid w:val="6E272FA3"/>
    <w:rsid w:val="6E274D51"/>
    <w:rsid w:val="6E296D1B"/>
    <w:rsid w:val="6E331948"/>
    <w:rsid w:val="6E3D1D91"/>
    <w:rsid w:val="6E3F209B"/>
    <w:rsid w:val="6E4476B1"/>
    <w:rsid w:val="6E4678CD"/>
    <w:rsid w:val="6E4B4EE4"/>
    <w:rsid w:val="6E4C0C5C"/>
    <w:rsid w:val="6E4E0530"/>
    <w:rsid w:val="6E531FEA"/>
    <w:rsid w:val="6E5518BE"/>
    <w:rsid w:val="6E5813AF"/>
    <w:rsid w:val="6E5B49FB"/>
    <w:rsid w:val="6E680B4E"/>
    <w:rsid w:val="6E6C6C08"/>
    <w:rsid w:val="6E7855AD"/>
    <w:rsid w:val="6E7F2DDF"/>
    <w:rsid w:val="6E82467D"/>
    <w:rsid w:val="6E8757F0"/>
    <w:rsid w:val="6E8C2E06"/>
    <w:rsid w:val="6E8E3022"/>
    <w:rsid w:val="6E927F5A"/>
    <w:rsid w:val="6E957F0D"/>
    <w:rsid w:val="6E963C85"/>
    <w:rsid w:val="6EA75E92"/>
    <w:rsid w:val="6EAD16FA"/>
    <w:rsid w:val="6EB04D47"/>
    <w:rsid w:val="6EB74327"/>
    <w:rsid w:val="6EBA3E17"/>
    <w:rsid w:val="6EC801D0"/>
    <w:rsid w:val="6ED00F45"/>
    <w:rsid w:val="6ED35967"/>
    <w:rsid w:val="6ED554AF"/>
    <w:rsid w:val="6ED70525"/>
    <w:rsid w:val="6ED749C9"/>
    <w:rsid w:val="6ED76777"/>
    <w:rsid w:val="6ED816BC"/>
    <w:rsid w:val="6ED924EF"/>
    <w:rsid w:val="6EDA0016"/>
    <w:rsid w:val="6EDF562C"/>
    <w:rsid w:val="6EE13152"/>
    <w:rsid w:val="6EE423D3"/>
    <w:rsid w:val="6EE64C0C"/>
    <w:rsid w:val="6EE67BF2"/>
    <w:rsid w:val="6EEB5D7F"/>
    <w:rsid w:val="6EF235B1"/>
    <w:rsid w:val="6F094457"/>
    <w:rsid w:val="6F0B01CF"/>
    <w:rsid w:val="6F0B4673"/>
    <w:rsid w:val="6F1352D6"/>
    <w:rsid w:val="6F1654F2"/>
    <w:rsid w:val="6F190B3E"/>
    <w:rsid w:val="6F282B2F"/>
    <w:rsid w:val="6F285225"/>
    <w:rsid w:val="6F2968A7"/>
    <w:rsid w:val="6F2E3EBD"/>
    <w:rsid w:val="6F327E52"/>
    <w:rsid w:val="6F345978"/>
    <w:rsid w:val="6F3B4F58"/>
    <w:rsid w:val="6F3B6D06"/>
    <w:rsid w:val="6F40431D"/>
    <w:rsid w:val="6F457B85"/>
    <w:rsid w:val="6F4E54A4"/>
    <w:rsid w:val="6F4E7F01"/>
    <w:rsid w:val="6F543924"/>
    <w:rsid w:val="6F547DC8"/>
    <w:rsid w:val="6F5778B8"/>
    <w:rsid w:val="6F593630"/>
    <w:rsid w:val="6F5B1156"/>
    <w:rsid w:val="6F60676D"/>
    <w:rsid w:val="6F6618A9"/>
    <w:rsid w:val="6F667AFB"/>
    <w:rsid w:val="6F6D2C38"/>
    <w:rsid w:val="6F773AB6"/>
    <w:rsid w:val="6F7D6FD7"/>
    <w:rsid w:val="6F7E6BF3"/>
    <w:rsid w:val="6F8166E3"/>
    <w:rsid w:val="6F887A72"/>
    <w:rsid w:val="6FA83C70"/>
    <w:rsid w:val="6FB2689C"/>
    <w:rsid w:val="6FB30EF7"/>
    <w:rsid w:val="6FB676E1"/>
    <w:rsid w:val="6FBD3BBF"/>
    <w:rsid w:val="6FBF33A9"/>
    <w:rsid w:val="6FC0720B"/>
    <w:rsid w:val="6FC14D32"/>
    <w:rsid w:val="6FCC795E"/>
    <w:rsid w:val="6FCF08EA"/>
    <w:rsid w:val="6FD61C0D"/>
    <w:rsid w:val="6FD74555"/>
    <w:rsid w:val="6FD9207B"/>
    <w:rsid w:val="6FDD774B"/>
    <w:rsid w:val="6FEC0000"/>
    <w:rsid w:val="6FEF5D43"/>
    <w:rsid w:val="6FF11ABB"/>
    <w:rsid w:val="6FF45107"/>
    <w:rsid w:val="6FF670D1"/>
    <w:rsid w:val="70096E04"/>
    <w:rsid w:val="700D71E2"/>
    <w:rsid w:val="700F0F78"/>
    <w:rsid w:val="70182BA3"/>
    <w:rsid w:val="70194B6E"/>
    <w:rsid w:val="701D465E"/>
    <w:rsid w:val="702552C0"/>
    <w:rsid w:val="70310109"/>
    <w:rsid w:val="70311EB7"/>
    <w:rsid w:val="70333E81"/>
    <w:rsid w:val="703419A7"/>
    <w:rsid w:val="70381498"/>
    <w:rsid w:val="70384FF4"/>
    <w:rsid w:val="70390D6C"/>
    <w:rsid w:val="703D061A"/>
    <w:rsid w:val="703F6AE8"/>
    <w:rsid w:val="70480FAF"/>
    <w:rsid w:val="704A2F79"/>
    <w:rsid w:val="705838E8"/>
    <w:rsid w:val="705A140E"/>
    <w:rsid w:val="705A7660"/>
    <w:rsid w:val="705C33D8"/>
    <w:rsid w:val="705D4A5A"/>
    <w:rsid w:val="70622071"/>
    <w:rsid w:val="70623689"/>
    <w:rsid w:val="7064228D"/>
    <w:rsid w:val="70645DE9"/>
    <w:rsid w:val="706E4EB9"/>
    <w:rsid w:val="70741534"/>
    <w:rsid w:val="70763D6E"/>
    <w:rsid w:val="70766FB9"/>
    <w:rsid w:val="70787AE6"/>
    <w:rsid w:val="70822713"/>
    <w:rsid w:val="70862203"/>
    <w:rsid w:val="70874311"/>
    <w:rsid w:val="70877D29"/>
    <w:rsid w:val="708C3591"/>
    <w:rsid w:val="708F6BDE"/>
    <w:rsid w:val="709911F1"/>
    <w:rsid w:val="70A24B63"/>
    <w:rsid w:val="70A64653"/>
    <w:rsid w:val="70AE3508"/>
    <w:rsid w:val="70B76860"/>
    <w:rsid w:val="70BF3967"/>
    <w:rsid w:val="70C42D2B"/>
    <w:rsid w:val="70C8281B"/>
    <w:rsid w:val="70D2369A"/>
    <w:rsid w:val="70D25448"/>
    <w:rsid w:val="70D72A5F"/>
    <w:rsid w:val="70D94A29"/>
    <w:rsid w:val="70DF7B65"/>
    <w:rsid w:val="70E21403"/>
    <w:rsid w:val="70EB475C"/>
    <w:rsid w:val="70FC0717"/>
    <w:rsid w:val="70FC24C5"/>
    <w:rsid w:val="70FC4273"/>
    <w:rsid w:val="71044E9D"/>
    <w:rsid w:val="710B2708"/>
    <w:rsid w:val="710D46D2"/>
    <w:rsid w:val="710D477B"/>
    <w:rsid w:val="71125845"/>
    <w:rsid w:val="7113780F"/>
    <w:rsid w:val="711C66C3"/>
    <w:rsid w:val="7121017E"/>
    <w:rsid w:val="71235C9B"/>
    <w:rsid w:val="71297032"/>
    <w:rsid w:val="71347EB1"/>
    <w:rsid w:val="71357785"/>
    <w:rsid w:val="713779A1"/>
    <w:rsid w:val="713A7397"/>
    <w:rsid w:val="713F23B2"/>
    <w:rsid w:val="71436346"/>
    <w:rsid w:val="7148395C"/>
    <w:rsid w:val="71502811"/>
    <w:rsid w:val="71520337"/>
    <w:rsid w:val="71542301"/>
    <w:rsid w:val="715E0A8A"/>
    <w:rsid w:val="71607830"/>
    <w:rsid w:val="716167CC"/>
    <w:rsid w:val="716562BC"/>
    <w:rsid w:val="71662034"/>
    <w:rsid w:val="71663DE2"/>
    <w:rsid w:val="716873B8"/>
    <w:rsid w:val="717402AD"/>
    <w:rsid w:val="717464FF"/>
    <w:rsid w:val="7177183D"/>
    <w:rsid w:val="717E2EDA"/>
    <w:rsid w:val="718350B3"/>
    <w:rsid w:val="718E34F8"/>
    <w:rsid w:val="718F3339"/>
    <w:rsid w:val="7194566A"/>
    <w:rsid w:val="719679BC"/>
    <w:rsid w:val="719C15B2"/>
    <w:rsid w:val="719E18AD"/>
    <w:rsid w:val="71C34D91"/>
    <w:rsid w:val="71C70D25"/>
    <w:rsid w:val="71CD5C10"/>
    <w:rsid w:val="71D23226"/>
    <w:rsid w:val="71D3338E"/>
    <w:rsid w:val="71DD22F7"/>
    <w:rsid w:val="71E01DE7"/>
    <w:rsid w:val="71E60A7F"/>
    <w:rsid w:val="71EC42E8"/>
    <w:rsid w:val="71ED7CDB"/>
    <w:rsid w:val="71F25676"/>
    <w:rsid w:val="71F47640"/>
    <w:rsid w:val="71F92EA9"/>
    <w:rsid w:val="71F96A05"/>
    <w:rsid w:val="720A29C0"/>
    <w:rsid w:val="72121874"/>
    <w:rsid w:val="721B4BCD"/>
    <w:rsid w:val="72231CD3"/>
    <w:rsid w:val="722C0B88"/>
    <w:rsid w:val="722C2936"/>
    <w:rsid w:val="72330169"/>
    <w:rsid w:val="72363208"/>
    <w:rsid w:val="723839D1"/>
    <w:rsid w:val="723B0DCB"/>
    <w:rsid w:val="724F4877"/>
    <w:rsid w:val="7258372B"/>
    <w:rsid w:val="72587BCF"/>
    <w:rsid w:val="725956F5"/>
    <w:rsid w:val="72596B53"/>
    <w:rsid w:val="725F0F5E"/>
    <w:rsid w:val="72646574"/>
    <w:rsid w:val="72671BC0"/>
    <w:rsid w:val="726E2F4F"/>
    <w:rsid w:val="726E73F3"/>
    <w:rsid w:val="727442DD"/>
    <w:rsid w:val="727644F9"/>
    <w:rsid w:val="727D3192"/>
    <w:rsid w:val="728179EA"/>
    <w:rsid w:val="72834520"/>
    <w:rsid w:val="7298446F"/>
    <w:rsid w:val="72A03324"/>
    <w:rsid w:val="72A5093A"/>
    <w:rsid w:val="72AA7CFF"/>
    <w:rsid w:val="72B91FED"/>
    <w:rsid w:val="72BE7843"/>
    <w:rsid w:val="72BF19FC"/>
    <w:rsid w:val="72BF7C4E"/>
    <w:rsid w:val="72C07522"/>
    <w:rsid w:val="72C139C6"/>
    <w:rsid w:val="72C214EC"/>
    <w:rsid w:val="72C41013"/>
    <w:rsid w:val="72DB435C"/>
    <w:rsid w:val="72DF209E"/>
    <w:rsid w:val="72E0000C"/>
    <w:rsid w:val="72F01BB6"/>
    <w:rsid w:val="72F07E08"/>
    <w:rsid w:val="72F53670"/>
    <w:rsid w:val="72F83160"/>
    <w:rsid w:val="72FD0776"/>
    <w:rsid w:val="7306587D"/>
    <w:rsid w:val="730833A3"/>
    <w:rsid w:val="730851A1"/>
    <w:rsid w:val="73090EC9"/>
    <w:rsid w:val="730B69EF"/>
    <w:rsid w:val="73117D7E"/>
    <w:rsid w:val="73155AC0"/>
    <w:rsid w:val="731743ED"/>
    <w:rsid w:val="731C7EB7"/>
    <w:rsid w:val="731D4975"/>
    <w:rsid w:val="731F693F"/>
    <w:rsid w:val="7320549F"/>
    <w:rsid w:val="73256740"/>
    <w:rsid w:val="73272065"/>
    <w:rsid w:val="732B0E40"/>
    <w:rsid w:val="732E6B82"/>
    <w:rsid w:val="7338355D"/>
    <w:rsid w:val="733F48EB"/>
    <w:rsid w:val="73426189"/>
    <w:rsid w:val="73487C44"/>
    <w:rsid w:val="734E2D80"/>
    <w:rsid w:val="73520AC2"/>
    <w:rsid w:val="735859AD"/>
    <w:rsid w:val="735C549D"/>
    <w:rsid w:val="73691968"/>
    <w:rsid w:val="73740A39"/>
    <w:rsid w:val="7375655F"/>
    <w:rsid w:val="737722D7"/>
    <w:rsid w:val="737F2F3A"/>
    <w:rsid w:val="738549F4"/>
    <w:rsid w:val="738844E4"/>
    <w:rsid w:val="738A025C"/>
    <w:rsid w:val="73903399"/>
    <w:rsid w:val="739C1D3D"/>
    <w:rsid w:val="739F35DC"/>
    <w:rsid w:val="73A429A0"/>
    <w:rsid w:val="73A52833"/>
    <w:rsid w:val="73A56E44"/>
    <w:rsid w:val="73A806E2"/>
    <w:rsid w:val="73B21561"/>
    <w:rsid w:val="73B70925"/>
    <w:rsid w:val="73B9644B"/>
    <w:rsid w:val="73BB0416"/>
    <w:rsid w:val="73D46CB4"/>
    <w:rsid w:val="73D47729"/>
    <w:rsid w:val="73DC213A"/>
    <w:rsid w:val="73DC3D05"/>
    <w:rsid w:val="73DD4830"/>
    <w:rsid w:val="73DD5195"/>
    <w:rsid w:val="73DE4104"/>
    <w:rsid w:val="73ED6265"/>
    <w:rsid w:val="73FB2F08"/>
    <w:rsid w:val="74075409"/>
    <w:rsid w:val="74161F6C"/>
    <w:rsid w:val="741D2E7E"/>
    <w:rsid w:val="742324ED"/>
    <w:rsid w:val="742A7349"/>
    <w:rsid w:val="742F2BB2"/>
    <w:rsid w:val="743326A2"/>
    <w:rsid w:val="74364FA8"/>
    <w:rsid w:val="743957DE"/>
    <w:rsid w:val="743C3497"/>
    <w:rsid w:val="743E4BA3"/>
    <w:rsid w:val="744D4DE6"/>
    <w:rsid w:val="74542618"/>
    <w:rsid w:val="74550902"/>
    <w:rsid w:val="745B39A7"/>
    <w:rsid w:val="745D14CD"/>
    <w:rsid w:val="74600FBD"/>
    <w:rsid w:val="7463285B"/>
    <w:rsid w:val="74690259"/>
    <w:rsid w:val="7472484C"/>
    <w:rsid w:val="747800B5"/>
    <w:rsid w:val="747F3B8D"/>
    <w:rsid w:val="74836A59"/>
    <w:rsid w:val="74842EFD"/>
    <w:rsid w:val="74890514"/>
    <w:rsid w:val="748C1DB2"/>
    <w:rsid w:val="748E5B2A"/>
    <w:rsid w:val="748E78D8"/>
    <w:rsid w:val="749E5641"/>
    <w:rsid w:val="749F7D37"/>
    <w:rsid w:val="74AB2BB3"/>
    <w:rsid w:val="74B15375"/>
    <w:rsid w:val="74B56C9F"/>
    <w:rsid w:val="74B65081"/>
    <w:rsid w:val="74B82BA7"/>
    <w:rsid w:val="74B86703"/>
    <w:rsid w:val="74BA691F"/>
    <w:rsid w:val="74C05C56"/>
    <w:rsid w:val="74D13C69"/>
    <w:rsid w:val="74D13E3E"/>
    <w:rsid w:val="74D80B53"/>
    <w:rsid w:val="74DB0643"/>
    <w:rsid w:val="74E7523A"/>
    <w:rsid w:val="74E92D60"/>
    <w:rsid w:val="74EA0887"/>
    <w:rsid w:val="74F35D48"/>
    <w:rsid w:val="74F51705"/>
    <w:rsid w:val="74F57957"/>
    <w:rsid w:val="74FA6D1C"/>
    <w:rsid w:val="750000AA"/>
    <w:rsid w:val="750758DC"/>
    <w:rsid w:val="750E7F6F"/>
    <w:rsid w:val="75181898"/>
    <w:rsid w:val="75183646"/>
    <w:rsid w:val="7521074C"/>
    <w:rsid w:val="75226B23"/>
    <w:rsid w:val="7524023C"/>
    <w:rsid w:val="75287D2D"/>
    <w:rsid w:val="752B78DD"/>
    <w:rsid w:val="752E10BB"/>
    <w:rsid w:val="753541F8"/>
    <w:rsid w:val="75371D1E"/>
    <w:rsid w:val="753D12FE"/>
    <w:rsid w:val="753D4E5A"/>
    <w:rsid w:val="753F1341"/>
    <w:rsid w:val="75422471"/>
    <w:rsid w:val="754A743D"/>
    <w:rsid w:val="754E52B9"/>
    <w:rsid w:val="75510906"/>
    <w:rsid w:val="75581C94"/>
    <w:rsid w:val="755D72AA"/>
    <w:rsid w:val="755F0D67"/>
    <w:rsid w:val="75616D9B"/>
    <w:rsid w:val="75680129"/>
    <w:rsid w:val="756A0D0D"/>
    <w:rsid w:val="756B5E6B"/>
    <w:rsid w:val="757545F4"/>
    <w:rsid w:val="75774810"/>
    <w:rsid w:val="757C3BD5"/>
    <w:rsid w:val="758111EB"/>
    <w:rsid w:val="75882579"/>
    <w:rsid w:val="758D5DE2"/>
    <w:rsid w:val="7592164A"/>
    <w:rsid w:val="759251A6"/>
    <w:rsid w:val="75970A0E"/>
    <w:rsid w:val="75A1188D"/>
    <w:rsid w:val="75AD1FE0"/>
    <w:rsid w:val="75AD3D8E"/>
    <w:rsid w:val="75B07D22"/>
    <w:rsid w:val="75B42D5B"/>
    <w:rsid w:val="75C14E11"/>
    <w:rsid w:val="75C31803"/>
    <w:rsid w:val="75C37A55"/>
    <w:rsid w:val="75C8506C"/>
    <w:rsid w:val="75CE1F56"/>
    <w:rsid w:val="75D457BF"/>
    <w:rsid w:val="75DC4673"/>
    <w:rsid w:val="75DE488F"/>
    <w:rsid w:val="75E02E27"/>
    <w:rsid w:val="75E17EDC"/>
    <w:rsid w:val="75E33C54"/>
    <w:rsid w:val="75E4177A"/>
    <w:rsid w:val="75EB2B08"/>
    <w:rsid w:val="75EF43A6"/>
    <w:rsid w:val="75F95225"/>
    <w:rsid w:val="75FC6AC3"/>
    <w:rsid w:val="76051E1C"/>
    <w:rsid w:val="760A5684"/>
    <w:rsid w:val="760D2A7F"/>
    <w:rsid w:val="761B33ED"/>
    <w:rsid w:val="76200A04"/>
    <w:rsid w:val="762A1882"/>
    <w:rsid w:val="762B1157"/>
    <w:rsid w:val="76360227"/>
    <w:rsid w:val="763969A8"/>
    <w:rsid w:val="76397D18"/>
    <w:rsid w:val="76397F86"/>
    <w:rsid w:val="763D7808"/>
    <w:rsid w:val="76422779"/>
    <w:rsid w:val="76432944"/>
    <w:rsid w:val="76515EBE"/>
    <w:rsid w:val="76522B87"/>
    <w:rsid w:val="765863F0"/>
    <w:rsid w:val="765B1A3C"/>
    <w:rsid w:val="7662101C"/>
    <w:rsid w:val="766234D3"/>
    <w:rsid w:val="766703E1"/>
    <w:rsid w:val="76755608"/>
    <w:rsid w:val="76777C07"/>
    <w:rsid w:val="767945B8"/>
    <w:rsid w:val="767E397C"/>
    <w:rsid w:val="7682346D"/>
    <w:rsid w:val="76854D0B"/>
    <w:rsid w:val="768A0573"/>
    <w:rsid w:val="769413F2"/>
    <w:rsid w:val="7694670B"/>
    <w:rsid w:val="769F401E"/>
    <w:rsid w:val="76A35191"/>
    <w:rsid w:val="76AC04E9"/>
    <w:rsid w:val="76B01A68"/>
    <w:rsid w:val="76B35692"/>
    <w:rsid w:val="76B37ACA"/>
    <w:rsid w:val="76B4114C"/>
    <w:rsid w:val="76B41F4F"/>
    <w:rsid w:val="76B455F0"/>
    <w:rsid w:val="76C07AF1"/>
    <w:rsid w:val="76C375E1"/>
    <w:rsid w:val="76C70E7F"/>
    <w:rsid w:val="76C92E49"/>
    <w:rsid w:val="76D37824"/>
    <w:rsid w:val="76D90BB3"/>
    <w:rsid w:val="76DB2B7D"/>
    <w:rsid w:val="76E557A9"/>
    <w:rsid w:val="76EF6628"/>
    <w:rsid w:val="76F8372F"/>
    <w:rsid w:val="76FD0D45"/>
    <w:rsid w:val="76FE0619"/>
    <w:rsid w:val="76FF28E3"/>
    <w:rsid w:val="770245AD"/>
    <w:rsid w:val="770A5210"/>
    <w:rsid w:val="770C2D36"/>
    <w:rsid w:val="770D60E9"/>
    <w:rsid w:val="77100A78"/>
    <w:rsid w:val="771147F0"/>
    <w:rsid w:val="77163BB5"/>
    <w:rsid w:val="772C162A"/>
    <w:rsid w:val="7730111A"/>
    <w:rsid w:val="77334767"/>
    <w:rsid w:val="77364257"/>
    <w:rsid w:val="7736551B"/>
    <w:rsid w:val="77383D41"/>
    <w:rsid w:val="773A3D47"/>
    <w:rsid w:val="773E7242"/>
    <w:rsid w:val="77400C32"/>
    <w:rsid w:val="774B103F"/>
    <w:rsid w:val="774E334F"/>
    <w:rsid w:val="77505319"/>
    <w:rsid w:val="77512E3F"/>
    <w:rsid w:val="77521091"/>
    <w:rsid w:val="77536BB7"/>
    <w:rsid w:val="7755292F"/>
    <w:rsid w:val="776112D4"/>
    <w:rsid w:val="77613082"/>
    <w:rsid w:val="77640DC4"/>
    <w:rsid w:val="77654CD8"/>
    <w:rsid w:val="77664B3C"/>
    <w:rsid w:val="776D5ECB"/>
    <w:rsid w:val="776E4808"/>
    <w:rsid w:val="7771703D"/>
    <w:rsid w:val="7772528F"/>
    <w:rsid w:val="77756B2D"/>
    <w:rsid w:val="77790191"/>
    <w:rsid w:val="777C7EBC"/>
    <w:rsid w:val="77882D05"/>
    <w:rsid w:val="7789082B"/>
    <w:rsid w:val="778D168F"/>
    <w:rsid w:val="77903967"/>
    <w:rsid w:val="77935205"/>
    <w:rsid w:val="77A613DD"/>
    <w:rsid w:val="77AB07A1"/>
    <w:rsid w:val="77B84C6C"/>
    <w:rsid w:val="77BC650A"/>
    <w:rsid w:val="77C43611"/>
    <w:rsid w:val="77C84A1B"/>
    <w:rsid w:val="77D71596"/>
    <w:rsid w:val="77D93560"/>
    <w:rsid w:val="77E12415"/>
    <w:rsid w:val="77E45A61"/>
    <w:rsid w:val="77E837A3"/>
    <w:rsid w:val="77EB3293"/>
    <w:rsid w:val="77F9775E"/>
    <w:rsid w:val="77FB78AA"/>
    <w:rsid w:val="78006D3F"/>
    <w:rsid w:val="780305DD"/>
    <w:rsid w:val="780879A1"/>
    <w:rsid w:val="780F6F82"/>
    <w:rsid w:val="78112CFA"/>
    <w:rsid w:val="78155243"/>
    <w:rsid w:val="781E0F73"/>
    <w:rsid w:val="7820118F"/>
    <w:rsid w:val="782609B5"/>
    <w:rsid w:val="78281DF2"/>
    <w:rsid w:val="782B3690"/>
    <w:rsid w:val="782F4F2E"/>
    <w:rsid w:val="783267CC"/>
    <w:rsid w:val="783C790D"/>
    <w:rsid w:val="78411105"/>
    <w:rsid w:val="78414C61"/>
    <w:rsid w:val="78485282"/>
    <w:rsid w:val="78485FF0"/>
    <w:rsid w:val="784A620C"/>
    <w:rsid w:val="784B788E"/>
    <w:rsid w:val="78592882"/>
    <w:rsid w:val="785D6C46"/>
    <w:rsid w:val="786848E4"/>
    <w:rsid w:val="786B1CDE"/>
    <w:rsid w:val="786D3CA8"/>
    <w:rsid w:val="787212BF"/>
    <w:rsid w:val="7872306D"/>
    <w:rsid w:val="78727511"/>
    <w:rsid w:val="78774B27"/>
    <w:rsid w:val="787C3EEC"/>
    <w:rsid w:val="787E1A12"/>
    <w:rsid w:val="787E5EB6"/>
    <w:rsid w:val="78836DD1"/>
    <w:rsid w:val="788A03B6"/>
    <w:rsid w:val="788D60F9"/>
    <w:rsid w:val="78941235"/>
    <w:rsid w:val="78A27DF6"/>
    <w:rsid w:val="78A376CA"/>
    <w:rsid w:val="78A43B6E"/>
    <w:rsid w:val="78A7540C"/>
    <w:rsid w:val="78AE679B"/>
    <w:rsid w:val="78AF2513"/>
    <w:rsid w:val="78B47B29"/>
    <w:rsid w:val="78B673FD"/>
    <w:rsid w:val="78B74F24"/>
    <w:rsid w:val="78C87131"/>
    <w:rsid w:val="78CA2EA9"/>
    <w:rsid w:val="78CE2999"/>
    <w:rsid w:val="78CE71F9"/>
    <w:rsid w:val="78D36201"/>
    <w:rsid w:val="78D930EC"/>
    <w:rsid w:val="78DB6E64"/>
    <w:rsid w:val="78DE0702"/>
    <w:rsid w:val="78DE6A69"/>
    <w:rsid w:val="78E35D19"/>
    <w:rsid w:val="78E51A91"/>
    <w:rsid w:val="78E55F35"/>
    <w:rsid w:val="78F30652"/>
    <w:rsid w:val="78F41CD4"/>
    <w:rsid w:val="78F46178"/>
    <w:rsid w:val="78FD327E"/>
    <w:rsid w:val="79022643"/>
    <w:rsid w:val="790659EB"/>
    <w:rsid w:val="79077C59"/>
    <w:rsid w:val="790E0E19"/>
    <w:rsid w:val="790E7239"/>
    <w:rsid w:val="79104D9A"/>
    <w:rsid w:val="79116D2A"/>
    <w:rsid w:val="79144124"/>
    <w:rsid w:val="791F1447"/>
    <w:rsid w:val="79200D1B"/>
    <w:rsid w:val="792151BF"/>
    <w:rsid w:val="79287C02"/>
    <w:rsid w:val="792F0F5E"/>
    <w:rsid w:val="79352A18"/>
    <w:rsid w:val="793B3DA7"/>
    <w:rsid w:val="7943641D"/>
    <w:rsid w:val="79450781"/>
    <w:rsid w:val="79490272"/>
    <w:rsid w:val="79507852"/>
    <w:rsid w:val="79532E9E"/>
    <w:rsid w:val="79534C4C"/>
    <w:rsid w:val="79537342"/>
    <w:rsid w:val="79602813"/>
    <w:rsid w:val="79605479"/>
    <w:rsid w:val="79621333"/>
    <w:rsid w:val="79694470"/>
    <w:rsid w:val="796C21B2"/>
    <w:rsid w:val="796C5D0E"/>
    <w:rsid w:val="79733540"/>
    <w:rsid w:val="797A48CF"/>
    <w:rsid w:val="798412AA"/>
    <w:rsid w:val="798504CD"/>
    <w:rsid w:val="79872B48"/>
    <w:rsid w:val="79876FEC"/>
    <w:rsid w:val="799B52C3"/>
    <w:rsid w:val="79A47B9E"/>
    <w:rsid w:val="79A656C4"/>
    <w:rsid w:val="79A90D10"/>
    <w:rsid w:val="79AE27CB"/>
    <w:rsid w:val="79B3393D"/>
    <w:rsid w:val="79B778D1"/>
    <w:rsid w:val="79BA462A"/>
    <w:rsid w:val="79BC4EE7"/>
    <w:rsid w:val="79C36276"/>
    <w:rsid w:val="79D00993"/>
    <w:rsid w:val="79D40FAF"/>
    <w:rsid w:val="79DA711C"/>
    <w:rsid w:val="79DE4E5E"/>
    <w:rsid w:val="79DF0BD6"/>
    <w:rsid w:val="79DF4732"/>
    <w:rsid w:val="79E65AC0"/>
    <w:rsid w:val="79EB30D7"/>
    <w:rsid w:val="79ED50A1"/>
    <w:rsid w:val="79EE2BC7"/>
    <w:rsid w:val="79F0693F"/>
    <w:rsid w:val="79F53F55"/>
    <w:rsid w:val="79FA5A10"/>
    <w:rsid w:val="79FC7092"/>
    <w:rsid w:val="79FF6B82"/>
    <w:rsid w:val="7A0F14BB"/>
    <w:rsid w:val="7A170370"/>
    <w:rsid w:val="7A187C44"/>
    <w:rsid w:val="7A195E96"/>
    <w:rsid w:val="7A205476"/>
    <w:rsid w:val="7A214D4A"/>
    <w:rsid w:val="7A2860D9"/>
    <w:rsid w:val="7A38211D"/>
    <w:rsid w:val="7A396538"/>
    <w:rsid w:val="7A3B22B0"/>
    <w:rsid w:val="7A40171D"/>
    <w:rsid w:val="7A410F49"/>
    <w:rsid w:val="7A441A53"/>
    <w:rsid w:val="7A4B0019"/>
    <w:rsid w:val="7A5073DE"/>
    <w:rsid w:val="7A610C64"/>
    <w:rsid w:val="7A6335B5"/>
    <w:rsid w:val="7A683453"/>
    <w:rsid w:val="7A6D1D3E"/>
    <w:rsid w:val="7A6F3D08"/>
    <w:rsid w:val="7A747570"/>
    <w:rsid w:val="7A7632E8"/>
    <w:rsid w:val="7A794B87"/>
    <w:rsid w:val="7A8D23E0"/>
    <w:rsid w:val="7A923E9A"/>
    <w:rsid w:val="7A94376E"/>
    <w:rsid w:val="7A992B33"/>
    <w:rsid w:val="7A9B68AB"/>
    <w:rsid w:val="7A9E639B"/>
    <w:rsid w:val="7AA53BCD"/>
    <w:rsid w:val="7AAB101F"/>
    <w:rsid w:val="7AAC6D0A"/>
    <w:rsid w:val="7AB14320"/>
    <w:rsid w:val="7AB21E46"/>
    <w:rsid w:val="7AB83901"/>
    <w:rsid w:val="7AB94608"/>
    <w:rsid w:val="7AC06311"/>
    <w:rsid w:val="7AC51B7A"/>
    <w:rsid w:val="7AC73B44"/>
    <w:rsid w:val="7ACB268D"/>
    <w:rsid w:val="7AD63D87"/>
    <w:rsid w:val="7ADB75EF"/>
    <w:rsid w:val="7AE00762"/>
    <w:rsid w:val="7AE20296"/>
    <w:rsid w:val="7AED1DB7"/>
    <w:rsid w:val="7B0056BD"/>
    <w:rsid w:val="7B0408F4"/>
    <w:rsid w:val="7B0703E4"/>
    <w:rsid w:val="7B0E1773"/>
    <w:rsid w:val="7B12083D"/>
    <w:rsid w:val="7B18439F"/>
    <w:rsid w:val="7B1A0118"/>
    <w:rsid w:val="7B252618"/>
    <w:rsid w:val="7B2C39A7"/>
    <w:rsid w:val="7B2E3BC3"/>
    <w:rsid w:val="7B2F3497"/>
    <w:rsid w:val="7B430CF1"/>
    <w:rsid w:val="7B570210"/>
    <w:rsid w:val="7B58479C"/>
    <w:rsid w:val="7B590514"/>
    <w:rsid w:val="7B5D0004"/>
    <w:rsid w:val="7B5E2180"/>
    <w:rsid w:val="7B5E34A6"/>
    <w:rsid w:val="7B630A59"/>
    <w:rsid w:val="7B674907"/>
    <w:rsid w:val="7B6E0463"/>
    <w:rsid w:val="7B7517F2"/>
    <w:rsid w:val="7B7610C6"/>
    <w:rsid w:val="7B762E74"/>
    <w:rsid w:val="7B784E3E"/>
    <w:rsid w:val="7B7C1EA8"/>
    <w:rsid w:val="7B8228A1"/>
    <w:rsid w:val="7B8437E3"/>
    <w:rsid w:val="7B883570"/>
    <w:rsid w:val="7B8A1033"/>
    <w:rsid w:val="7B8E4662"/>
    <w:rsid w:val="7B902188"/>
    <w:rsid w:val="7B95154C"/>
    <w:rsid w:val="7B9A3006"/>
    <w:rsid w:val="7B9A4DB4"/>
    <w:rsid w:val="7B9D6653"/>
    <w:rsid w:val="7B9F23CB"/>
    <w:rsid w:val="7BA07EF1"/>
    <w:rsid w:val="7BA2010D"/>
    <w:rsid w:val="7BA43E85"/>
    <w:rsid w:val="7BA55C3B"/>
    <w:rsid w:val="7BA9149B"/>
    <w:rsid w:val="7BA93249"/>
    <w:rsid w:val="7BAB0D70"/>
    <w:rsid w:val="7BB57E40"/>
    <w:rsid w:val="7BB75966"/>
    <w:rsid w:val="7BBD0AA3"/>
    <w:rsid w:val="7BC6204D"/>
    <w:rsid w:val="7BC95036"/>
    <w:rsid w:val="7BCE2CB0"/>
    <w:rsid w:val="7BD858DD"/>
    <w:rsid w:val="7BDA3403"/>
    <w:rsid w:val="7BDA5A10"/>
    <w:rsid w:val="7BEB1B11"/>
    <w:rsid w:val="7BEE5100"/>
    <w:rsid w:val="7BEF5047"/>
    <w:rsid w:val="7BF81ADB"/>
    <w:rsid w:val="7BFA5853"/>
    <w:rsid w:val="7BFD5343"/>
    <w:rsid w:val="7C02295A"/>
    <w:rsid w:val="7C036DFE"/>
    <w:rsid w:val="7C042B76"/>
    <w:rsid w:val="7C06069C"/>
    <w:rsid w:val="7C09018C"/>
    <w:rsid w:val="7C09515A"/>
    <w:rsid w:val="7C2366FD"/>
    <w:rsid w:val="7C286864"/>
    <w:rsid w:val="7C2B3C5E"/>
    <w:rsid w:val="7C2D79D7"/>
    <w:rsid w:val="7C2F48EF"/>
    <w:rsid w:val="7C3D3992"/>
    <w:rsid w:val="7C466CEA"/>
    <w:rsid w:val="7C482A62"/>
    <w:rsid w:val="7C4B2553"/>
    <w:rsid w:val="7C5036C5"/>
    <w:rsid w:val="7C596A1E"/>
    <w:rsid w:val="7C605FFE"/>
    <w:rsid w:val="7C6453C2"/>
    <w:rsid w:val="7C662EE9"/>
    <w:rsid w:val="7C683105"/>
    <w:rsid w:val="7C6B7A54"/>
    <w:rsid w:val="7C6D24C9"/>
    <w:rsid w:val="7C725D31"/>
    <w:rsid w:val="7C741AA9"/>
    <w:rsid w:val="7C745605"/>
    <w:rsid w:val="7C765821"/>
    <w:rsid w:val="7C7970C0"/>
    <w:rsid w:val="7C7E6484"/>
    <w:rsid w:val="7C8021FC"/>
    <w:rsid w:val="7C86358B"/>
    <w:rsid w:val="7C885555"/>
    <w:rsid w:val="7C8B294F"/>
    <w:rsid w:val="7CA0464C"/>
    <w:rsid w:val="7CA13F21"/>
    <w:rsid w:val="7CAB2FF1"/>
    <w:rsid w:val="7CB225D2"/>
    <w:rsid w:val="7CB41EA6"/>
    <w:rsid w:val="7CB93960"/>
    <w:rsid w:val="7CBC6FAC"/>
    <w:rsid w:val="7CBD65A1"/>
    <w:rsid w:val="7CBE4AD3"/>
    <w:rsid w:val="7CCA791B"/>
    <w:rsid w:val="7CCB71F0"/>
    <w:rsid w:val="7CD10CAA"/>
    <w:rsid w:val="7CD442F6"/>
    <w:rsid w:val="7CD460A4"/>
    <w:rsid w:val="7CD6006E"/>
    <w:rsid w:val="7CE107C1"/>
    <w:rsid w:val="7CEC7892"/>
    <w:rsid w:val="7CED7166"/>
    <w:rsid w:val="7CF624BE"/>
    <w:rsid w:val="7CF90201"/>
    <w:rsid w:val="7CFE5817"/>
    <w:rsid w:val="7D0050EB"/>
    <w:rsid w:val="7D0A66E9"/>
    <w:rsid w:val="7D0C3A90"/>
    <w:rsid w:val="7D0D7808"/>
    <w:rsid w:val="7D0E5A5A"/>
    <w:rsid w:val="7D1110A6"/>
    <w:rsid w:val="7D1B0177"/>
    <w:rsid w:val="7D2C40E1"/>
    <w:rsid w:val="7D2F3C22"/>
    <w:rsid w:val="7D32101D"/>
    <w:rsid w:val="7D360B0D"/>
    <w:rsid w:val="7D364FB1"/>
    <w:rsid w:val="7D384885"/>
    <w:rsid w:val="7D3F20B7"/>
    <w:rsid w:val="7D423956"/>
    <w:rsid w:val="7D4D5E56"/>
    <w:rsid w:val="7D530391"/>
    <w:rsid w:val="7D5947FB"/>
    <w:rsid w:val="7D5A0C9F"/>
    <w:rsid w:val="7D641B1E"/>
    <w:rsid w:val="7D666DDE"/>
    <w:rsid w:val="7D67516A"/>
    <w:rsid w:val="7D676F18"/>
    <w:rsid w:val="7D710BAB"/>
    <w:rsid w:val="7D747887"/>
    <w:rsid w:val="7D7653AD"/>
    <w:rsid w:val="7D781125"/>
    <w:rsid w:val="7D796C4C"/>
    <w:rsid w:val="7D7D79ED"/>
    <w:rsid w:val="7D80622C"/>
    <w:rsid w:val="7D876960"/>
    <w:rsid w:val="7D9817C8"/>
    <w:rsid w:val="7D9C12B8"/>
    <w:rsid w:val="7DA22646"/>
    <w:rsid w:val="7DA261A2"/>
    <w:rsid w:val="7DA737B9"/>
    <w:rsid w:val="7DA939D5"/>
    <w:rsid w:val="7DAC5273"/>
    <w:rsid w:val="7DB14637"/>
    <w:rsid w:val="7DB36601"/>
    <w:rsid w:val="7DBD4D8A"/>
    <w:rsid w:val="7DC600E3"/>
    <w:rsid w:val="7DC720AD"/>
    <w:rsid w:val="7DCA74A7"/>
    <w:rsid w:val="7DCB56F9"/>
    <w:rsid w:val="7DCE343B"/>
    <w:rsid w:val="7DD520D4"/>
    <w:rsid w:val="7DD83452"/>
    <w:rsid w:val="7DDF6300"/>
    <w:rsid w:val="7DEB5D9B"/>
    <w:rsid w:val="7DF369FE"/>
    <w:rsid w:val="7DF54524"/>
    <w:rsid w:val="7DF804B8"/>
    <w:rsid w:val="7E024E93"/>
    <w:rsid w:val="7E0E3838"/>
    <w:rsid w:val="7E186464"/>
    <w:rsid w:val="7E192908"/>
    <w:rsid w:val="7E221091"/>
    <w:rsid w:val="7E2B263C"/>
    <w:rsid w:val="7E2B6198"/>
    <w:rsid w:val="7E2C0E04"/>
    <w:rsid w:val="7E2D7A48"/>
    <w:rsid w:val="7E3D748B"/>
    <w:rsid w:val="7E4D4360"/>
    <w:rsid w:val="7E4F632A"/>
    <w:rsid w:val="7E5356EF"/>
    <w:rsid w:val="7E5A7940"/>
    <w:rsid w:val="7E5B093A"/>
    <w:rsid w:val="7E5C27F5"/>
    <w:rsid w:val="7E5E2B88"/>
    <w:rsid w:val="7E611BB9"/>
    <w:rsid w:val="7E655B4E"/>
    <w:rsid w:val="7E6671D0"/>
    <w:rsid w:val="7E6E42D6"/>
    <w:rsid w:val="7E7B3547"/>
    <w:rsid w:val="7E8835EA"/>
    <w:rsid w:val="7E8A55B4"/>
    <w:rsid w:val="7E924469"/>
    <w:rsid w:val="7E9401E1"/>
    <w:rsid w:val="7E971A7F"/>
    <w:rsid w:val="7E991353"/>
    <w:rsid w:val="7E9957F7"/>
    <w:rsid w:val="7E9E4BBC"/>
    <w:rsid w:val="7EA36676"/>
    <w:rsid w:val="7EA47CF8"/>
    <w:rsid w:val="7EA5419C"/>
    <w:rsid w:val="7EB20667"/>
    <w:rsid w:val="7EB50157"/>
    <w:rsid w:val="7EBC7738"/>
    <w:rsid w:val="7EC02D84"/>
    <w:rsid w:val="7EC42148"/>
    <w:rsid w:val="7EC46D37"/>
    <w:rsid w:val="7EDC56E4"/>
    <w:rsid w:val="7EE03426"/>
    <w:rsid w:val="7EE04732"/>
    <w:rsid w:val="7EE277E1"/>
    <w:rsid w:val="7EEB3B79"/>
    <w:rsid w:val="7EF02F3D"/>
    <w:rsid w:val="7F016EF9"/>
    <w:rsid w:val="7F0215EE"/>
    <w:rsid w:val="7F0703A8"/>
    <w:rsid w:val="7F08297D"/>
    <w:rsid w:val="7F1B620C"/>
    <w:rsid w:val="7F1F3F5C"/>
    <w:rsid w:val="7F2166F1"/>
    <w:rsid w:val="7F25708B"/>
    <w:rsid w:val="7F2A2A1C"/>
    <w:rsid w:val="7F3948E4"/>
    <w:rsid w:val="7F3D43D5"/>
    <w:rsid w:val="7F4A08A0"/>
    <w:rsid w:val="7F4E65E2"/>
    <w:rsid w:val="7F5C0499"/>
    <w:rsid w:val="7F5D4A77"/>
    <w:rsid w:val="7F5E3AC2"/>
    <w:rsid w:val="7F62208D"/>
    <w:rsid w:val="7F651B7D"/>
    <w:rsid w:val="7F673200"/>
    <w:rsid w:val="7F6A2CF0"/>
    <w:rsid w:val="7F6D7B9F"/>
    <w:rsid w:val="7F79363F"/>
    <w:rsid w:val="7F800765"/>
    <w:rsid w:val="7F810F7F"/>
    <w:rsid w:val="7F930498"/>
    <w:rsid w:val="7F9D1317"/>
    <w:rsid w:val="7F9F508F"/>
    <w:rsid w:val="7FA426A6"/>
    <w:rsid w:val="7FA501CC"/>
    <w:rsid w:val="7FA75CF2"/>
    <w:rsid w:val="7FAC3308"/>
    <w:rsid w:val="7FB623D9"/>
    <w:rsid w:val="7FB83A5B"/>
    <w:rsid w:val="7FB87EFF"/>
    <w:rsid w:val="7FCA378E"/>
    <w:rsid w:val="7FD10FC1"/>
    <w:rsid w:val="7FD34D39"/>
    <w:rsid w:val="7FDD5BB8"/>
    <w:rsid w:val="7FDE37F0"/>
    <w:rsid w:val="7FE26D2A"/>
    <w:rsid w:val="7FE934FA"/>
    <w:rsid w:val="7FF07699"/>
    <w:rsid w:val="7FF32C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semiHidden="0" w:name="List Number 3"/>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0" w:semiHidden="0"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63"/>
    <w:qFormat/>
    <w:uiPriority w:val="99"/>
    <w:pPr>
      <w:snapToGrid w:val="0"/>
      <w:spacing w:before="120" w:after="120" w:line="360" w:lineRule="auto"/>
      <w:jc w:val="center"/>
      <w:outlineLvl w:val="0"/>
    </w:pPr>
    <w:rPr>
      <w:rFonts w:ascii="Calibri" w:hAnsi="宋体" w:cs="Calibri"/>
      <w:b/>
      <w:bCs/>
      <w:color w:val="000000"/>
      <w:sz w:val="30"/>
      <w:szCs w:val="30"/>
    </w:rPr>
  </w:style>
  <w:style w:type="paragraph" w:styleId="4">
    <w:name w:val="heading 2"/>
    <w:basedOn w:val="1"/>
    <w:next w:val="1"/>
    <w:link w:val="64"/>
    <w:qFormat/>
    <w:uiPriority w:val="99"/>
    <w:pPr>
      <w:keepNext/>
      <w:keepLines/>
      <w:spacing w:before="260" w:after="260" w:line="413" w:lineRule="auto"/>
      <w:outlineLvl w:val="1"/>
    </w:pPr>
    <w:rPr>
      <w:rFonts w:ascii="Arial" w:hAnsi="Arial" w:eastAsia="黑体" w:cs="Arial"/>
      <w:b/>
      <w:bCs/>
      <w:sz w:val="32"/>
      <w:szCs w:val="32"/>
    </w:rPr>
  </w:style>
  <w:style w:type="paragraph" w:styleId="5">
    <w:name w:val="heading 3"/>
    <w:basedOn w:val="1"/>
    <w:next w:val="1"/>
    <w:link w:val="65"/>
    <w:qFormat/>
    <w:uiPriority w:val="99"/>
    <w:pPr>
      <w:keepNext/>
      <w:keepLines/>
      <w:adjustRightInd w:val="0"/>
      <w:spacing w:before="260" w:after="260" w:line="416" w:lineRule="atLeast"/>
      <w:textAlignment w:val="baseline"/>
      <w:outlineLvl w:val="2"/>
    </w:pPr>
    <w:rPr>
      <w:rFonts w:ascii="Calibri" w:hAnsi="Calibri" w:cs="Calibri"/>
      <w:b/>
      <w:bCs/>
      <w:kern w:val="0"/>
      <w:sz w:val="32"/>
      <w:szCs w:val="32"/>
    </w:rPr>
  </w:style>
  <w:style w:type="paragraph" w:styleId="6">
    <w:name w:val="heading 4"/>
    <w:basedOn w:val="1"/>
    <w:next w:val="1"/>
    <w:link w:val="66"/>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8"/>
    <w:link w:val="67"/>
    <w:qFormat/>
    <w:uiPriority w:val="99"/>
    <w:pPr>
      <w:keepNext/>
      <w:keepLines/>
      <w:numPr>
        <w:ilvl w:val="4"/>
        <w:numId w:val="1"/>
      </w:numPr>
      <w:spacing w:before="280" w:after="290" w:line="372" w:lineRule="auto"/>
      <w:outlineLvl w:val="4"/>
    </w:pPr>
    <w:rPr>
      <w:rFonts w:ascii="Calibri" w:hAnsi="Calibri" w:cs="Calibri"/>
      <w:b/>
      <w:bCs/>
      <w:sz w:val="28"/>
      <w:szCs w:val="28"/>
    </w:rPr>
  </w:style>
  <w:style w:type="paragraph" w:styleId="9">
    <w:name w:val="heading 6"/>
    <w:basedOn w:val="1"/>
    <w:next w:val="8"/>
    <w:link w:val="68"/>
    <w:qFormat/>
    <w:uiPriority w:val="99"/>
    <w:pPr>
      <w:keepNext/>
      <w:keepLines/>
      <w:numPr>
        <w:ilvl w:val="5"/>
        <w:numId w:val="1"/>
      </w:numPr>
      <w:spacing w:before="240" w:after="64" w:line="317" w:lineRule="auto"/>
      <w:outlineLvl w:val="5"/>
    </w:pPr>
    <w:rPr>
      <w:rFonts w:ascii="Arial" w:hAnsi="Arial" w:eastAsia="黑体" w:cs="Arial"/>
      <w:b/>
      <w:bCs/>
      <w:sz w:val="24"/>
      <w:szCs w:val="24"/>
    </w:rPr>
  </w:style>
  <w:style w:type="paragraph" w:styleId="10">
    <w:name w:val="heading 7"/>
    <w:basedOn w:val="1"/>
    <w:next w:val="8"/>
    <w:link w:val="69"/>
    <w:qFormat/>
    <w:uiPriority w:val="99"/>
    <w:pPr>
      <w:keepNext/>
      <w:keepLines/>
      <w:numPr>
        <w:ilvl w:val="6"/>
        <w:numId w:val="1"/>
      </w:numPr>
      <w:spacing w:before="240" w:after="64" w:line="317" w:lineRule="auto"/>
      <w:outlineLvl w:val="6"/>
    </w:pPr>
    <w:rPr>
      <w:rFonts w:ascii="Calibri" w:hAnsi="Calibri" w:cs="Calibri"/>
      <w:b/>
      <w:bCs/>
      <w:sz w:val="24"/>
      <w:szCs w:val="24"/>
    </w:rPr>
  </w:style>
  <w:style w:type="paragraph" w:styleId="11">
    <w:name w:val="heading 8"/>
    <w:basedOn w:val="1"/>
    <w:next w:val="8"/>
    <w:link w:val="70"/>
    <w:qFormat/>
    <w:uiPriority w:val="99"/>
    <w:pPr>
      <w:keepNext/>
      <w:keepLines/>
      <w:numPr>
        <w:ilvl w:val="7"/>
        <w:numId w:val="1"/>
      </w:numPr>
      <w:spacing w:before="240" w:after="64" w:line="317" w:lineRule="auto"/>
      <w:outlineLvl w:val="7"/>
    </w:pPr>
    <w:rPr>
      <w:rFonts w:ascii="Arial" w:hAnsi="Arial" w:eastAsia="黑体" w:cs="Arial"/>
      <w:sz w:val="24"/>
      <w:szCs w:val="24"/>
    </w:rPr>
  </w:style>
  <w:style w:type="paragraph" w:styleId="12">
    <w:name w:val="heading 9"/>
    <w:basedOn w:val="1"/>
    <w:next w:val="8"/>
    <w:link w:val="71"/>
    <w:qFormat/>
    <w:uiPriority w:val="99"/>
    <w:pPr>
      <w:keepNext/>
      <w:keepLines/>
      <w:numPr>
        <w:ilvl w:val="8"/>
        <w:numId w:val="1"/>
      </w:numPr>
      <w:spacing w:before="240" w:after="64" w:line="317" w:lineRule="auto"/>
      <w:outlineLvl w:val="8"/>
    </w:pPr>
    <w:rPr>
      <w:rFonts w:ascii="Arial" w:hAnsi="Arial" w:eastAsia="黑体" w:cs="Arial"/>
    </w:rPr>
  </w:style>
  <w:style w:type="character" w:default="1" w:styleId="52">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6"/>
    <w:qFormat/>
    <w:uiPriority w:val="99"/>
    <w:pPr>
      <w:spacing w:after="120"/>
    </w:pPr>
    <w:rPr>
      <w:rFonts w:ascii="Calibri" w:hAnsi="Calibri" w:cs="Calibri"/>
      <w:sz w:val="28"/>
      <w:szCs w:val="28"/>
    </w:rPr>
  </w:style>
  <w:style w:type="paragraph" w:styleId="8">
    <w:name w:val="Normal Indent"/>
    <w:basedOn w:val="1"/>
    <w:link w:val="135"/>
    <w:qFormat/>
    <w:uiPriority w:val="99"/>
    <w:pPr>
      <w:ind w:firstLine="420"/>
    </w:pPr>
  </w:style>
  <w:style w:type="paragraph" w:styleId="13">
    <w:name w:val="toc 7"/>
    <w:basedOn w:val="1"/>
    <w:next w:val="1"/>
    <w:semiHidden/>
    <w:qFormat/>
    <w:uiPriority w:val="99"/>
    <w:pPr>
      <w:ind w:left="1260"/>
      <w:jc w:val="left"/>
    </w:pPr>
    <w:rPr>
      <w:sz w:val="18"/>
      <w:szCs w:val="18"/>
    </w:rPr>
  </w:style>
  <w:style w:type="paragraph" w:styleId="14">
    <w:name w:val="List Number"/>
    <w:basedOn w:val="1"/>
    <w:qFormat/>
    <w:uiPriority w:val="99"/>
    <w:pPr>
      <w:widowControl/>
      <w:tabs>
        <w:tab w:val="left" w:pos="454"/>
        <w:tab w:val="left" w:pos="720"/>
      </w:tabs>
      <w:spacing w:afterLines="50"/>
      <w:ind w:left="454" w:hanging="284"/>
      <w:jc w:val="left"/>
    </w:pPr>
    <w:rPr>
      <w:kern w:val="0"/>
      <w:sz w:val="24"/>
      <w:szCs w:val="24"/>
    </w:rPr>
  </w:style>
  <w:style w:type="paragraph" w:styleId="15">
    <w:name w:val="caption"/>
    <w:basedOn w:val="1"/>
    <w:next w:val="1"/>
    <w:qFormat/>
    <w:uiPriority w:val="99"/>
    <w:pPr>
      <w:spacing w:before="152" w:after="160"/>
    </w:pPr>
    <w:rPr>
      <w:rFonts w:ascii="Arial" w:hAnsi="Arial" w:eastAsia="黑体" w:cs="Arial"/>
      <w:sz w:val="20"/>
      <w:szCs w:val="20"/>
    </w:rPr>
  </w:style>
  <w:style w:type="paragraph" w:styleId="16">
    <w:name w:val="Document Map"/>
    <w:basedOn w:val="1"/>
    <w:link w:val="73"/>
    <w:semiHidden/>
    <w:qFormat/>
    <w:uiPriority w:val="99"/>
    <w:pPr>
      <w:shd w:val="clear" w:color="auto" w:fill="000080"/>
    </w:pPr>
    <w:rPr>
      <w:rFonts w:ascii="Calibri" w:hAnsi="Calibri" w:cs="Calibri"/>
      <w:shd w:val="clear" w:color="auto" w:fill="000080"/>
    </w:rPr>
  </w:style>
  <w:style w:type="paragraph" w:styleId="17">
    <w:name w:val="annotation text"/>
    <w:basedOn w:val="1"/>
    <w:link w:val="74"/>
    <w:semiHidden/>
    <w:qFormat/>
    <w:uiPriority w:val="99"/>
    <w:pPr>
      <w:jc w:val="left"/>
    </w:pPr>
    <w:rPr>
      <w:rFonts w:ascii="Calibri" w:hAnsi="Calibri" w:cs="Calibri"/>
    </w:rPr>
  </w:style>
  <w:style w:type="paragraph" w:styleId="18">
    <w:name w:val="Body Text 3"/>
    <w:basedOn w:val="1"/>
    <w:link w:val="75"/>
    <w:qFormat/>
    <w:uiPriority w:val="99"/>
    <w:pPr>
      <w:snapToGrid w:val="0"/>
      <w:spacing w:before="50" w:after="50"/>
    </w:pPr>
    <w:rPr>
      <w:rFonts w:ascii="Calibri" w:hAnsi="宋体" w:eastAsia="仿宋_GB2312" w:cs="Calibri"/>
      <w:b/>
      <w:bCs/>
      <w:sz w:val="24"/>
      <w:szCs w:val="24"/>
    </w:rPr>
  </w:style>
  <w:style w:type="paragraph" w:styleId="19">
    <w:name w:val="Body Text Indent"/>
    <w:basedOn w:val="1"/>
    <w:next w:val="20"/>
    <w:link w:val="77"/>
    <w:qFormat/>
    <w:uiPriority w:val="99"/>
    <w:pPr>
      <w:spacing w:line="200" w:lineRule="exact"/>
      <w:ind w:firstLine="301"/>
    </w:pPr>
    <w:rPr>
      <w:rFonts w:ascii="宋体" w:hAnsi="Courier New" w:cs="宋体"/>
      <w:spacing w:val="-4"/>
      <w:sz w:val="18"/>
      <w:szCs w:val="18"/>
    </w:rPr>
  </w:style>
  <w:style w:type="paragraph" w:styleId="20">
    <w:name w:val="envelope return"/>
    <w:basedOn w:val="1"/>
    <w:unhideWhenUsed/>
    <w:qFormat/>
    <w:locked/>
    <w:uiPriority w:val="99"/>
    <w:pPr>
      <w:snapToGrid w:val="0"/>
    </w:pPr>
    <w:rPr>
      <w:rFonts w:asciiTheme="majorHAnsi" w:hAnsiTheme="majorHAnsi" w:eastAsiaTheme="majorEastAsia" w:cstheme="majorBidi"/>
    </w:rPr>
  </w:style>
  <w:style w:type="paragraph" w:styleId="21">
    <w:name w:val="List Number 3"/>
    <w:basedOn w:val="1"/>
    <w:qFormat/>
    <w:uiPriority w:val="99"/>
    <w:pPr>
      <w:tabs>
        <w:tab w:val="left" w:pos="1200"/>
      </w:tabs>
      <w:ind w:left="1200" w:hanging="360"/>
    </w:pPr>
  </w:style>
  <w:style w:type="paragraph" w:styleId="22">
    <w:name w:val="List 2"/>
    <w:basedOn w:val="1"/>
    <w:qFormat/>
    <w:uiPriority w:val="99"/>
    <w:pPr>
      <w:ind w:left="100" w:leftChars="200" w:hanging="200" w:hangingChars="200"/>
    </w:pPr>
    <w:rPr>
      <w:sz w:val="28"/>
      <w:szCs w:val="28"/>
    </w:rPr>
  </w:style>
  <w:style w:type="paragraph" w:styleId="23">
    <w:name w:val="Block Text"/>
    <w:basedOn w:val="1"/>
    <w:qFormat/>
    <w:locked/>
    <w:uiPriority w:val="99"/>
    <w:pPr>
      <w:adjustRightInd w:val="0"/>
      <w:spacing w:line="300" w:lineRule="auto"/>
      <w:ind w:left="958" w:right="-120" w:rightChars="-120"/>
      <w:jc w:val="left"/>
    </w:pPr>
    <w:rPr>
      <w:rFonts w:ascii="宋体" w:hAnsi="宋体" w:cs="宋体"/>
      <w:sz w:val="28"/>
      <w:szCs w:val="28"/>
    </w:rPr>
  </w:style>
  <w:style w:type="paragraph" w:styleId="24">
    <w:name w:val="toc 5"/>
    <w:basedOn w:val="1"/>
    <w:next w:val="1"/>
    <w:semiHidden/>
    <w:qFormat/>
    <w:uiPriority w:val="99"/>
    <w:pPr>
      <w:ind w:left="840"/>
      <w:jc w:val="left"/>
    </w:pPr>
    <w:rPr>
      <w:sz w:val="18"/>
      <w:szCs w:val="18"/>
    </w:rPr>
  </w:style>
  <w:style w:type="paragraph" w:styleId="25">
    <w:name w:val="toc 3"/>
    <w:basedOn w:val="1"/>
    <w:next w:val="1"/>
    <w:qFormat/>
    <w:uiPriority w:val="39"/>
    <w:pPr>
      <w:ind w:left="420"/>
      <w:jc w:val="left"/>
    </w:pPr>
    <w:rPr>
      <w:i/>
      <w:iCs/>
      <w:sz w:val="20"/>
      <w:szCs w:val="20"/>
    </w:rPr>
  </w:style>
  <w:style w:type="paragraph" w:styleId="26">
    <w:name w:val="Plain Text"/>
    <w:basedOn w:val="1"/>
    <w:link w:val="120"/>
    <w:qFormat/>
    <w:uiPriority w:val="99"/>
    <w:pPr>
      <w:spacing w:beforeLines="50" w:afterLines="50" w:line="400" w:lineRule="exact"/>
    </w:pPr>
    <w:rPr>
      <w:rFonts w:ascii="宋体" w:hAnsi="Courier New" w:cs="宋体"/>
      <w:sz w:val="24"/>
      <w:szCs w:val="24"/>
    </w:rPr>
  </w:style>
  <w:style w:type="paragraph" w:styleId="27">
    <w:name w:val="toc 8"/>
    <w:basedOn w:val="1"/>
    <w:next w:val="1"/>
    <w:semiHidden/>
    <w:qFormat/>
    <w:uiPriority w:val="99"/>
    <w:pPr>
      <w:ind w:left="1470"/>
      <w:jc w:val="left"/>
    </w:pPr>
    <w:rPr>
      <w:sz w:val="18"/>
      <w:szCs w:val="18"/>
    </w:rPr>
  </w:style>
  <w:style w:type="paragraph" w:styleId="28">
    <w:name w:val="Date"/>
    <w:basedOn w:val="1"/>
    <w:next w:val="1"/>
    <w:link w:val="78"/>
    <w:qFormat/>
    <w:uiPriority w:val="99"/>
    <w:pPr>
      <w:ind w:left="2500" w:leftChars="2500"/>
    </w:pPr>
    <w:rPr>
      <w:rFonts w:ascii="Calibri" w:hAnsi="Calibri" w:eastAsia="楷体_GB2312" w:cs="Calibri"/>
      <w:sz w:val="32"/>
      <w:szCs w:val="32"/>
    </w:rPr>
  </w:style>
  <w:style w:type="paragraph" w:styleId="29">
    <w:name w:val="Body Text Indent 2"/>
    <w:basedOn w:val="1"/>
    <w:link w:val="79"/>
    <w:qFormat/>
    <w:uiPriority w:val="99"/>
    <w:pPr>
      <w:snapToGrid w:val="0"/>
      <w:ind w:firstLine="542" w:firstLineChars="225"/>
    </w:pPr>
    <w:rPr>
      <w:rFonts w:ascii="仿宋_GB2312" w:hAnsi="宋体" w:cs="仿宋_GB2312"/>
      <w:b/>
      <w:bCs/>
      <w:color w:val="000000"/>
      <w:sz w:val="24"/>
      <w:szCs w:val="24"/>
    </w:rPr>
  </w:style>
  <w:style w:type="paragraph" w:styleId="30">
    <w:name w:val="endnote text"/>
    <w:basedOn w:val="1"/>
    <w:link w:val="80"/>
    <w:semiHidden/>
    <w:qFormat/>
    <w:uiPriority w:val="99"/>
    <w:pPr>
      <w:snapToGrid w:val="0"/>
      <w:jc w:val="left"/>
    </w:pPr>
    <w:rPr>
      <w:rFonts w:ascii="Calibri" w:hAnsi="Calibri" w:cs="Calibri"/>
    </w:rPr>
  </w:style>
  <w:style w:type="paragraph" w:styleId="31">
    <w:name w:val="Balloon Text"/>
    <w:basedOn w:val="1"/>
    <w:link w:val="81"/>
    <w:semiHidden/>
    <w:qFormat/>
    <w:uiPriority w:val="99"/>
    <w:rPr>
      <w:rFonts w:ascii="Calibri" w:hAnsi="Calibri" w:cs="Calibri"/>
      <w:sz w:val="18"/>
      <w:szCs w:val="18"/>
    </w:rPr>
  </w:style>
  <w:style w:type="paragraph" w:styleId="32">
    <w:name w:val="footer"/>
    <w:basedOn w:val="1"/>
    <w:link w:val="82"/>
    <w:qFormat/>
    <w:uiPriority w:val="99"/>
    <w:pPr>
      <w:tabs>
        <w:tab w:val="center" w:pos="4153"/>
        <w:tab w:val="right" w:pos="8306"/>
      </w:tabs>
      <w:snapToGrid w:val="0"/>
      <w:jc w:val="left"/>
    </w:pPr>
    <w:rPr>
      <w:rFonts w:ascii="Calibri" w:hAnsi="Calibri" w:eastAsia="黑体" w:cs="Calibri"/>
      <w:kern w:val="0"/>
      <w:sz w:val="18"/>
      <w:szCs w:val="18"/>
    </w:rPr>
  </w:style>
  <w:style w:type="paragraph" w:styleId="33">
    <w:name w:val="header"/>
    <w:basedOn w:val="1"/>
    <w:link w:val="83"/>
    <w:qFormat/>
    <w:uiPriority w:val="99"/>
    <w:pPr>
      <w:pBdr>
        <w:bottom w:val="single" w:color="auto" w:sz="6" w:space="1"/>
      </w:pBdr>
      <w:tabs>
        <w:tab w:val="center" w:pos="4153"/>
        <w:tab w:val="right" w:pos="8306"/>
      </w:tabs>
      <w:snapToGrid w:val="0"/>
      <w:jc w:val="center"/>
    </w:pPr>
    <w:rPr>
      <w:rFonts w:ascii="Calibri" w:hAnsi="Calibri" w:eastAsia="仿宋_GB2312" w:cs="Calibri"/>
      <w:sz w:val="18"/>
      <w:szCs w:val="18"/>
    </w:rPr>
  </w:style>
  <w:style w:type="paragraph" w:styleId="34">
    <w:name w:val="toc 1"/>
    <w:basedOn w:val="1"/>
    <w:next w:val="1"/>
    <w:qFormat/>
    <w:uiPriority w:val="39"/>
  </w:style>
  <w:style w:type="paragraph" w:styleId="35">
    <w:name w:val="toc 4"/>
    <w:basedOn w:val="1"/>
    <w:next w:val="1"/>
    <w:semiHidden/>
    <w:qFormat/>
    <w:uiPriority w:val="99"/>
    <w:pPr>
      <w:ind w:left="630"/>
      <w:jc w:val="left"/>
    </w:pPr>
    <w:rPr>
      <w:sz w:val="18"/>
      <w:szCs w:val="18"/>
    </w:rPr>
  </w:style>
  <w:style w:type="paragraph" w:styleId="36">
    <w:name w:val="Subtitle"/>
    <w:basedOn w:val="1"/>
    <w:next w:val="1"/>
    <w:link w:val="84"/>
    <w:qFormat/>
    <w:uiPriority w:val="99"/>
    <w:pPr>
      <w:spacing w:before="240" w:after="60" w:line="312" w:lineRule="auto"/>
      <w:jc w:val="center"/>
      <w:outlineLvl w:val="1"/>
    </w:pPr>
    <w:rPr>
      <w:rFonts w:ascii="Cambria" w:hAnsi="Cambria" w:cs="Cambria"/>
      <w:b/>
      <w:bCs/>
      <w:kern w:val="28"/>
      <w:sz w:val="32"/>
      <w:szCs w:val="32"/>
    </w:rPr>
  </w:style>
  <w:style w:type="paragraph" w:styleId="37">
    <w:name w:val="List"/>
    <w:basedOn w:val="1"/>
    <w:qFormat/>
    <w:uiPriority w:val="99"/>
    <w:pPr>
      <w:ind w:left="200" w:hanging="200" w:hangingChars="200"/>
    </w:pPr>
    <w:rPr>
      <w:sz w:val="28"/>
      <w:szCs w:val="28"/>
    </w:rPr>
  </w:style>
  <w:style w:type="paragraph" w:styleId="38">
    <w:name w:val="footnote text"/>
    <w:basedOn w:val="1"/>
    <w:link w:val="85"/>
    <w:semiHidden/>
    <w:qFormat/>
    <w:uiPriority w:val="99"/>
    <w:pPr>
      <w:snapToGrid w:val="0"/>
      <w:jc w:val="left"/>
    </w:pPr>
    <w:rPr>
      <w:rFonts w:ascii="Calibri" w:hAnsi="Calibri" w:cs="Calibri"/>
      <w:sz w:val="18"/>
      <w:szCs w:val="18"/>
    </w:rPr>
  </w:style>
  <w:style w:type="paragraph" w:styleId="39">
    <w:name w:val="toc 6"/>
    <w:basedOn w:val="1"/>
    <w:next w:val="1"/>
    <w:semiHidden/>
    <w:qFormat/>
    <w:uiPriority w:val="99"/>
    <w:pPr>
      <w:ind w:left="1050"/>
      <w:jc w:val="left"/>
    </w:pPr>
    <w:rPr>
      <w:sz w:val="18"/>
      <w:szCs w:val="18"/>
    </w:rPr>
  </w:style>
  <w:style w:type="paragraph" w:styleId="40">
    <w:name w:val="Body Text Indent 3"/>
    <w:basedOn w:val="1"/>
    <w:link w:val="86"/>
    <w:qFormat/>
    <w:uiPriority w:val="99"/>
    <w:pPr>
      <w:snapToGrid w:val="0"/>
      <w:ind w:firstLine="480" w:firstLineChars="200"/>
      <w:jc w:val="left"/>
    </w:pPr>
    <w:rPr>
      <w:rFonts w:ascii="仿宋_GB2312" w:hAnsi="宋体" w:eastAsia="仿宋_GB2312" w:cs="仿宋_GB2312"/>
      <w:color w:val="000000"/>
      <w:sz w:val="24"/>
      <w:szCs w:val="24"/>
    </w:rPr>
  </w:style>
  <w:style w:type="paragraph" w:styleId="41">
    <w:name w:val="toc 2"/>
    <w:basedOn w:val="1"/>
    <w:next w:val="1"/>
    <w:qFormat/>
    <w:uiPriority w:val="39"/>
    <w:pPr>
      <w:ind w:left="210"/>
      <w:jc w:val="left"/>
    </w:pPr>
    <w:rPr>
      <w:smallCaps/>
      <w:sz w:val="20"/>
      <w:szCs w:val="20"/>
    </w:rPr>
  </w:style>
  <w:style w:type="paragraph" w:styleId="42">
    <w:name w:val="toc 9"/>
    <w:basedOn w:val="1"/>
    <w:next w:val="1"/>
    <w:semiHidden/>
    <w:qFormat/>
    <w:uiPriority w:val="99"/>
    <w:pPr>
      <w:ind w:left="1680"/>
      <w:jc w:val="left"/>
    </w:pPr>
    <w:rPr>
      <w:sz w:val="18"/>
      <w:szCs w:val="18"/>
    </w:rPr>
  </w:style>
  <w:style w:type="paragraph" w:styleId="43">
    <w:name w:val="Body Text 2"/>
    <w:basedOn w:val="1"/>
    <w:link w:val="87"/>
    <w:qFormat/>
    <w:uiPriority w:val="99"/>
    <w:pPr>
      <w:widowControl/>
      <w:snapToGrid w:val="0"/>
      <w:spacing w:before="50" w:afterLines="50" w:line="400" w:lineRule="exact"/>
      <w:jc w:val="left"/>
    </w:pPr>
    <w:rPr>
      <w:rFonts w:ascii="宋体" w:hAnsi="宋体" w:cs="宋体"/>
      <w:color w:val="000000"/>
      <w:sz w:val="24"/>
      <w:szCs w:val="24"/>
    </w:rPr>
  </w:style>
  <w:style w:type="paragraph" w:styleId="44">
    <w:name w:val="Normal (Web)"/>
    <w:basedOn w:val="1"/>
    <w:qFormat/>
    <w:uiPriority w:val="99"/>
    <w:pPr>
      <w:widowControl/>
      <w:spacing w:before="100" w:beforeAutospacing="1" w:after="100" w:afterAutospacing="1"/>
      <w:jc w:val="left"/>
    </w:pPr>
    <w:rPr>
      <w:kern w:val="0"/>
      <w:sz w:val="24"/>
      <w:szCs w:val="24"/>
    </w:rPr>
  </w:style>
  <w:style w:type="paragraph" w:styleId="45">
    <w:name w:val="Title"/>
    <w:basedOn w:val="1"/>
    <w:next w:val="1"/>
    <w:link w:val="88"/>
    <w:qFormat/>
    <w:uiPriority w:val="10"/>
    <w:pPr>
      <w:spacing w:before="240" w:after="60"/>
      <w:jc w:val="center"/>
      <w:outlineLvl w:val="0"/>
    </w:pPr>
    <w:rPr>
      <w:rFonts w:ascii="Cambria" w:hAnsi="Cambria" w:cs="Cambria"/>
      <w:b/>
      <w:bCs/>
      <w:sz w:val="32"/>
      <w:szCs w:val="32"/>
    </w:rPr>
  </w:style>
  <w:style w:type="paragraph" w:styleId="46">
    <w:name w:val="annotation subject"/>
    <w:basedOn w:val="17"/>
    <w:next w:val="17"/>
    <w:link w:val="89"/>
    <w:semiHidden/>
    <w:qFormat/>
    <w:uiPriority w:val="99"/>
    <w:rPr>
      <w:b/>
      <w:bCs/>
    </w:rPr>
  </w:style>
  <w:style w:type="paragraph" w:styleId="47">
    <w:name w:val="Body Text First Indent"/>
    <w:basedOn w:val="2"/>
    <w:next w:val="39"/>
    <w:link w:val="90"/>
    <w:qFormat/>
    <w:uiPriority w:val="99"/>
    <w:pPr>
      <w:ind w:firstLine="420" w:firstLineChars="100"/>
    </w:pPr>
    <w:rPr>
      <w:sz w:val="21"/>
      <w:szCs w:val="21"/>
    </w:rPr>
  </w:style>
  <w:style w:type="paragraph" w:styleId="48">
    <w:name w:val="Body Text First Indent 2"/>
    <w:basedOn w:val="19"/>
    <w:next w:val="1"/>
    <w:link w:val="91"/>
    <w:qFormat/>
    <w:uiPriority w:val="99"/>
    <w:pPr>
      <w:spacing w:after="120" w:line="240" w:lineRule="auto"/>
      <w:ind w:left="420" w:leftChars="200" w:firstLine="420" w:firstLineChars="200"/>
    </w:pPr>
    <w:rPr>
      <w:rFonts w:ascii="Times New Roman" w:hAnsi="Times New Roman" w:cs="Times New Roman"/>
      <w:spacing w:val="0"/>
      <w:sz w:val="21"/>
      <w:szCs w:val="21"/>
    </w:r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1">
    <w:name w:val="Table Elegant"/>
    <w:basedOn w:val="49"/>
    <w:qFormat/>
    <w:locked/>
    <w:uiPriority w:val="0"/>
    <w:pPr>
      <w:widowControl w:val="0"/>
      <w:jc w:val="both"/>
    </w:pPr>
    <w:rPr>
      <w:rFonts w:ascii="Times New Roman" w:hAnsi="Times New Roman" w:eastAsia="宋体" w:cs="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53">
    <w:name w:val="Strong"/>
    <w:basedOn w:val="52"/>
    <w:qFormat/>
    <w:uiPriority w:val="99"/>
    <w:rPr>
      <w:b/>
      <w:bCs/>
    </w:rPr>
  </w:style>
  <w:style w:type="character" w:styleId="54">
    <w:name w:val="page number"/>
    <w:basedOn w:val="52"/>
    <w:qFormat/>
    <w:uiPriority w:val="99"/>
  </w:style>
  <w:style w:type="character" w:styleId="55">
    <w:name w:val="FollowedHyperlink"/>
    <w:basedOn w:val="52"/>
    <w:qFormat/>
    <w:uiPriority w:val="99"/>
    <w:rPr>
      <w:color w:val="800080"/>
      <w:u w:val="single"/>
    </w:rPr>
  </w:style>
  <w:style w:type="character" w:styleId="56">
    <w:name w:val="Emphasis"/>
    <w:basedOn w:val="52"/>
    <w:qFormat/>
    <w:uiPriority w:val="99"/>
    <w:rPr>
      <w:i/>
      <w:iCs/>
    </w:rPr>
  </w:style>
  <w:style w:type="character" w:styleId="57">
    <w:name w:val="Hyperlink"/>
    <w:basedOn w:val="52"/>
    <w:qFormat/>
    <w:uiPriority w:val="99"/>
    <w:rPr>
      <w:color w:val="0000FF"/>
      <w:u w:val="single"/>
    </w:rPr>
  </w:style>
  <w:style w:type="character" w:styleId="58">
    <w:name w:val="annotation reference"/>
    <w:basedOn w:val="52"/>
    <w:semiHidden/>
    <w:qFormat/>
    <w:uiPriority w:val="99"/>
    <w:rPr>
      <w:sz w:val="21"/>
      <w:szCs w:val="21"/>
    </w:rPr>
  </w:style>
  <w:style w:type="paragraph" w:customStyle="1" w:styleId="59">
    <w:name w:val="首行缩进"/>
    <w:basedOn w:val="1"/>
    <w:qFormat/>
    <w:uiPriority w:val="99"/>
    <w:pPr>
      <w:spacing w:line="360" w:lineRule="auto"/>
      <w:ind w:firstLine="480" w:firstLineChars="200"/>
    </w:pPr>
    <w:rPr>
      <w:sz w:val="24"/>
      <w:szCs w:val="22"/>
      <w:lang w:val="zh-CN"/>
    </w:rPr>
  </w:style>
  <w:style w:type="paragraph" w:customStyle="1" w:styleId="60">
    <w:name w:val="表格文字"/>
    <w:basedOn w:val="19"/>
    <w:next w:val="2"/>
    <w:qFormat/>
    <w:uiPriority w:val="0"/>
    <w:pPr>
      <w:adjustRightInd w:val="0"/>
      <w:spacing w:line="420" w:lineRule="atLeast"/>
      <w:textAlignment w:val="baseline"/>
    </w:pPr>
    <w:rPr>
      <w:szCs w:val="24"/>
    </w:rPr>
  </w:style>
  <w:style w:type="paragraph" w:customStyle="1" w:styleId="61">
    <w:name w:val="UserStyle_0"/>
    <w:basedOn w:val="1"/>
    <w:qFormat/>
    <w:uiPriority w:val="0"/>
    <w:pPr>
      <w:spacing w:line="360" w:lineRule="auto"/>
      <w:ind w:firstLine="361"/>
    </w:pPr>
    <w:rPr>
      <w:rFonts w:ascii="宋体" w:hAnsi="宋体"/>
    </w:rPr>
  </w:style>
  <w:style w:type="paragraph" w:customStyle="1" w:styleId="62">
    <w:name w:val="样式3"/>
    <w:basedOn w:val="26"/>
    <w:qFormat/>
    <w:uiPriority w:val="99"/>
    <w:pPr>
      <w:numPr>
        <w:ilvl w:val="0"/>
        <w:numId w:val="1"/>
      </w:numPr>
      <w:tabs>
        <w:tab w:val="left" w:pos="420"/>
      </w:tabs>
      <w:spacing w:line="360" w:lineRule="auto"/>
      <w:ind w:left="0" w:firstLine="883" w:firstLineChars="200"/>
      <w:jc w:val="left"/>
    </w:pPr>
    <w:rPr>
      <w:sz w:val="28"/>
      <w:szCs w:val="28"/>
    </w:rPr>
  </w:style>
  <w:style w:type="character" w:customStyle="1" w:styleId="63">
    <w:name w:val="标题 1 Char"/>
    <w:basedOn w:val="52"/>
    <w:link w:val="3"/>
    <w:qFormat/>
    <w:locked/>
    <w:uiPriority w:val="99"/>
    <w:rPr>
      <w:rFonts w:hAnsi="宋体"/>
      <w:b/>
      <w:bCs/>
      <w:color w:val="000000"/>
      <w:kern w:val="2"/>
      <w:sz w:val="30"/>
      <w:szCs w:val="30"/>
    </w:rPr>
  </w:style>
  <w:style w:type="character" w:customStyle="1" w:styleId="64">
    <w:name w:val="标题 2 Char"/>
    <w:basedOn w:val="52"/>
    <w:link w:val="4"/>
    <w:qFormat/>
    <w:locked/>
    <w:uiPriority w:val="99"/>
    <w:rPr>
      <w:rFonts w:ascii="Arial" w:hAnsi="Arial" w:eastAsia="黑体" w:cs="Arial"/>
      <w:b/>
      <w:bCs/>
      <w:kern w:val="2"/>
      <w:sz w:val="32"/>
      <w:szCs w:val="32"/>
    </w:rPr>
  </w:style>
  <w:style w:type="character" w:customStyle="1" w:styleId="65">
    <w:name w:val="标题 3 Char"/>
    <w:basedOn w:val="52"/>
    <w:link w:val="5"/>
    <w:qFormat/>
    <w:locked/>
    <w:uiPriority w:val="99"/>
    <w:rPr>
      <w:b/>
      <w:bCs/>
      <w:sz w:val="32"/>
      <w:szCs w:val="32"/>
    </w:rPr>
  </w:style>
  <w:style w:type="character" w:customStyle="1" w:styleId="66">
    <w:name w:val="标题 4 Char"/>
    <w:basedOn w:val="52"/>
    <w:link w:val="6"/>
    <w:qFormat/>
    <w:locked/>
    <w:uiPriority w:val="99"/>
    <w:rPr>
      <w:rFonts w:ascii="Arial" w:hAnsi="Arial" w:eastAsia="黑体" w:cs="Arial"/>
      <w:b/>
      <w:bCs/>
      <w:kern w:val="2"/>
      <w:sz w:val="28"/>
      <w:szCs w:val="28"/>
    </w:rPr>
  </w:style>
  <w:style w:type="character" w:customStyle="1" w:styleId="67">
    <w:name w:val="标题 5 Char"/>
    <w:basedOn w:val="52"/>
    <w:link w:val="7"/>
    <w:qFormat/>
    <w:locked/>
    <w:uiPriority w:val="99"/>
    <w:rPr>
      <w:rFonts w:ascii="Calibri" w:hAnsi="Calibri" w:cs="Calibri"/>
      <w:b/>
      <w:bCs/>
      <w:sz w:val="28"/>
      <w:szCs w:val="28"/>
    </w:rPr>
  </w:style>
  <w:style w:type="character" w:customStyle="1" w:styleId="68">
    <w:name w:val="标题 6 Char"/>
    <w:basedOn w:val="52"/>
    <w:link w:val="9"/>
    <w:qFormat/>
    <w:locked/>
    <w:uiPriority w:val="99"/>
    <w:rPr>
      <w:rFonts w:ascii="Arial" w:hAnsi="Arial" w:eastAsia="黑体" w:cs="Arial"/>
      <w:b/>
      <w:bCs/>
      <w:sz w:val="24"/>
      <w:szCs w:val="24"/>
    </w:rPr>
  </w:style>
  <w:style w:type="character" w:customStyle="1" w:styleId="69">
    <w:name w:val="标题 7 Char"/>
    <w:basedOn w:val="52"/>
    <w:link w:val="10"/>
    <w:qFormat/>
    <w:locked/>
    <w:uiPriority w:val="99"/>
    <w:rPr>
      <w:rFonts w:ascii="Calibri" w:hAnsi="Calibri" w:cs="Calibri"/>
      <w:b/>
      <w:bCs/>
      <w:sz w:val="24"/>
      <w:szCs w:val="24"/>
    </w:rPr>
  </w:style>
  <w:style w:type="character" w:customStyle="1" w:styleId="70">
    <w:name w:val="标题 8 Char"/>
    <w:basedOn w:val="52"/>
    <w:link w:val="11"/>
    <w:qFormat/>
    <w:locked/>
    <w:uiPriority w:val="99"/>
    <w:rPr>
      <w:rFonts w:ascii="Arial" w:hAnsi="Arial" w:eastAsia="黑体" w:cs="Arial"/>
      <w:sz w:val="24"/>
      <w:szCs w:val="24"/>
    </w:rPr>
  </w:style>
  <w:style w:type="character" w:customStyle="1" w:styleId="71">
    <w:name w:val="标题 9 Char"/>
    <w:basedOn w:val="52"/>
    <w:link w:val="12"/>
    <w:qFormat/>
    <w:locked/>
    <w:uiPriority w:val="99"/>
    <w:rPr>
      <w:rFonts w:ascii="Arial" w:hAnsi="Arial" w:eastAsia="黑体" w:cs="Arial"/>
      <w:szCs w:val="21"/>
    </w:rPr>
  </w:style>
  <w:style w:type="character" w:customStyle="1" w:styleId="72">
    <w:name w:val="Plain Text Char"/>
    <w:basedOn w:val="52"/>
    <w:qFormat/>
    <w:locked/>
    <w:uiPriority w:val="99"/>
    <w:rPr>
      <w:rFonts w:ascii="宋体" w:hAnsi="Courier New" w:eastAsia="宋体" w:cs="宋体"/>
      <w:sz w:val="21"/>
      <w:szCs w:val="21"/>
    </w:rPr>
  </w:style>
  <w:style w:type="character" w:customStyle="1" w:styleId="73">
    <w:name w:val="文档结构图 Char"/>
    <w:basedOn w:val="52"/>
    <w:link w:val="16"/>
    <w:qFormat/>
    <w:locked/>
    <w:uiPriority w:val="99"/>
    <w:rPr>
      <w:kern w:val="2"/>
      <w:sz w:val="24"/>
      <w:szCs w:val="24"/>
      <w:shd w:val="clear" w:color="auto" w:fill="000080"/>
    </w:rPr>
  </w:style>
  <w:style w:type="character" w:customStyle="1" w:styleId="74">
    <w:name w:val="批注文字 Char"/>
    <w:basedOn w:val="52"/>
    <w:link w:val="17"/>
    <w:qFormat/>
    <w:locked/>
    <w:uiPriority w:val="99"/>
    <w:rPr>
      <w:kern w:val="2"/>
      <w:sz w:val="24"/>
      <w:szCs w:val="24"/>
    </w:rPr>
  </w:style>
  <w:style w:type="character" w:customStyle="1" w:styleId="75">
    <w:name w:val="正文文本 3 Char"/>
    <w:basedOn w:val="52"/>
    <w:link w:val="18"/>
    <w:qFormat/>
    <w:locked/>
    <w:uiPriority w:val="99"/>
    <w:rPr>
      <w:rFonts w:hAnsi="宋体" w:eastAsia="仿宋_GB2312"/>
      <w:b/>
      <w:bCs/>
      <w:kern w:val="2"/>
      <w:sz w:val="24"/>
      <w:szCs w:val="24"/>
    </w:rPr>
  </w:style>
  <w:style w:type="character" w:customStyle="1" w:styleId="76">
    <w:name w:val="正文文本 Char1"/>
    <w:basedOn w:val="52"/>
    <w:link w:val="2"/>
    <w:qFormat/>
    <w:locked/>
    <w:uiPriority w:val="99"/>
    <w:rPr>
      <w:kern w:val="2"/>
      <w:sz w:val="24"/>
      <w:szCs w:val="24"/>
    </w:rPr>
  </w:style>
  <w:style w:type="character" w:customStyle="1" w:styleId="77">
    <w:name w:val="正文文本缩进 Char"/>
    <w:basedOn w:val="52"/>
    <w:link w:val="19"/>
    <w:qFormat/>
    <w:locked/>
    <w:uiPriority w:val="99"/>
    <w:rPr>
      <w:rFonts w:ascii="宋体" w:hAnsi="Courier New" w:cs="宋体"/>
      <w:spacing w:val="-4"/>
      <w:kern w:val="2"/>
      <w:sz w:val="18"/>
      <w:szCs w:val="18"/>
    </w:rPr>
  </w:style>
  <w:style w:type="character" w:customStyle="1" w:styleId="78">
    <w:name w:val="日期 Char"/>
    <w:basedOn w:val="52"/>
    <w:link w:val="28"/>
    <w:qFormat/>
    <w:locked/>
    <w:uiPriority w:val="99"/>
    <w:rPr>
      <w:rFonts w:eastAsia="楷体_GB2312"/>
      <w:kern w:val="2"/>
      <w:sz w:val="32"/>
      <w:szCs w:val="32"/>
    </w:rPr>
  </w:style>
  <w:style w:type="character" w:customStyle="1" w:styleId="79">
    <w:name w:val="正文文本缩进 2 Char"/>
    <w:basedOn w:val="52"/>
    <w:link w:val="29"/>
    <w:qFormat/>
    <w:locked/>
    <w:uiPriority w:val="99"/>
    <w:rPr>
      <w:rFonts w:ascii="仿宋_GB2312" w:hAnsi="宋体" w:cs="仿宋_GB2312"/>
      <w:b/>
      <w:bCs/>
      <w:color w:val="000000"/>
      <w:kern w:val="2"/>
      <w:sz w:val="24"/>
      <w:szCs w:val="24"/>
    </w:rPr>
  </w:style>
  <w:style w:type="character" w:customStyle="1" w:styleId="80">
    <w:name w:val="尾注文本 Char"/>
    <w:basedOn w:val="52"/>
    <w:link w:val="30"/>
    <w:qFormat/>
    <w:locked/>
    <w:uiPriority w:val="99"/>
    <w:rPr>
      <w:kern w:val="2"/>
      <w:sz w:val="24"/>
      <w:szCs w:val="24"/>
    </w:rPr>
  </w:style>
  <w:style w:type="character" w:customStyle="1" w:styleId="81">
    <w:name w:val="批注框文本 Char"/>
    <w:basedOn w:val="52"/>
    <w:link w:val="31"/>
    <w:qFormat/>
    <w:locked/>
    <w:uiPriority w:val="99"/>
    <w:rPr>
      <w:kern w:val="2"/>
      <w:sz w:val="18"/>
      <w:szCs w:val="18"/>
    </w:rPr>
  </w:style>
  <w:style w:type="character" w:customStyle="1" w:styleId="82">
    <w:name w:val="页脚 Char"/>
    <w:basedOn w:val="52"/>
    <w:link w:val="32"/>
    <w:qFormat/>
    <w:locked/>
    <w:uiPriority w:val="99"/>
    <w:rPr>
      <w:rFonts w:eastAsia="黑体"/>
      <w:snapToGrid w:val="0"/>
      <w:sz w:val="18"/>
      <w:szCs w:val="18"/>
      <w:lang w:val="en-US" w:eastAsia="zh-CN"/>
    </w:rPr>
  </w:style>
  <w:style w:type="character" w:customStyle="1" w:styleId="83">
    <w:name w:val="页眉 Char"/>
    <w:basedOn w:val="52"/>
    <w:link w:val="33"/>
    <w:qFormat/>
    <w:locked/>
    <w:uiPriority w:val="99"/>
    <w:rPr>
      <w:rFonts w:eastAsia="仿宋_GB2312"/>
      <w:kern w:val="2"/>
      <w:sz w:val="18"/>
      <w:szCs w:val="18"/>
    </w:rPr>
  </w:style>
  <w:style w:type="character" w:customStyle="1" w:styleId="84">
    <w:name w:val="副标题 Char"/>
    <w:basedOn w:val="52"/>
    <w:link w:val="36"/>
    <w:qFormat/>
    <w:locked/>
    <w:uiPriority w:val="99"/>
    <w:rPr>
      <w:rFonts w:ascii="Cambria" w:hAnsi="Cambria" w:cs="Cambria"/>
      <w:b/>
      <w:bCs/>
      <w:kern w:val="28"/>
      <w:sz w:val="32"/>
      <w:szCs w:val="32"/>
    </w:rPr>
  </w:style>
  <w:style w:type="character" w:customStyle="1" w:styleId="85">
    <w:name w:val="脚注文本 Char"/>
    <w:basedOn w:val="52"/>
    <w:link w:val="38"/>
    <w:qFormat/>
    <w:locked/>
    <w:uiPriority w:val="99"/>
    <w:rPr>
      <w:kern w:val="2"/>
      <w:sz w:val="18"/>
      <w:szCs w:val="18"/>
    </w:rPr>
  </w:style>
  <w:style w:type="character" w:customStyle="1" w:styleId="86">
    <w:name w:val="正文文本缩进 3 Char"/>
    <w:basedOn w:val="52"/>
    <w:link w:val="40"/>
    <w:qFormat/>
    <w:locked/>
    <w:uiPriority w:val="99"/>
    <w:rPr>
      <w:rFonts w:ascii="仿宋_GB2312" w:hAnsi="宋体" w:eastAsia="仿宋_GB2312" w:cs="仿宋_GB2312"/>
      <w:color w:val="000000"/>
      <w:kern w:val="2"/>
      <w:sz w:val="24"/>
      <w:szCs w:val="24"/>
    </w:rPr>
  </w:style>
  <w:style w:type="character" w:customStyle="1" w:styleId="87">
    <w:name w:val="正文文本 2 Char"/>
    <w:basedOn w:val="52"/>
    <w:link w:val="43"/>
    <w:qFormat/>
    <w:locked/>
    <w:uiPriority w:val="99"/>
    <w:rPr>
      <w:rFonts w:ascii="宋体" w:eastAsia="宋体" w:cs="宋体"/>
      <w:color w:val="000000"/>
      <w:kern w:val="2"/>
      <w:sz w:val="24"/>
      <w:szCs w:val="24"/>
    </w:rPr>
  </w:style>
  <w:style w:type="character" w:customStyle="1" w:styleId="88">
    <w:name w:val="标题 Char"/>
    <w:basedOn w:val="52"/>
    <w:link w:val="45"/>
    <w:qFormat/>
    <w:locked/>
    <w:uiPriority w:val="10"/>
    <w:rPr>
      <w:rFonts w:ascii="Cambria" w:hAnsi="Cambria" w:cs="Cambria"/>
      <w:b/>
      <w:bCs/>
      <w:kern w:val="2"/>
      <w:sz w:val="32"/>
      <w:szCs w:val="32"/>
    </w:rPr>
  </w:style>
  <w:style w:type="character" w:customStyle="1" w:styleId="89">
    <w:name w:val="批注主题 Char"/>
    <w:basedOn w:val="74"/>
    <w:link w:val="46"/>
    <w:qFormat/>
    <w:locked/>
    <w:uiPriority w:val="99"/>
    <w:rPr>
      <w:b/>
      <w:bCs/>
      <w:kern w:val="2"/>
      <w:sz w:val="24"/>
      <w:szCs w:val="24"/>
    </w:rPr>
  </w:style>
  <w:style w:type="character" w:customStyle="1" w:styleId="90">
    <w:name w:val="正文首行缩进 Char1"/>
    <w:basedOn w:val="76"/>
    <w:link w:val="47"/>
    <w:qFormat/>
    <w:locked/>
    <w:uiPriority w:val="99"/>
    <w:rPr>
      <w:kern w:val="2"/>
      <w:sz w:val="24"/>
      <w:szCs w:val="24"/>
    </w:rPr>
  </w:style>
  <w:style w:type="character" w:customStyle="1" w:styleId="91">
    <w:name w:val="正文首行缩进 2 Char"/>
    <w:basedOn w:val="77"/>
    <w:link w:val="48"/>
    <w:qFormat/>
    <w:locked/>
    <w:uiPriority w:val="99"/>
    <w:rPr>
      <w:rFonts w:ascii="宋体" w:hAnsi="Courier New" w:cs="宋体"/>
      <w:spacing w:val="-4"/>
      <w:kern w:val="2"/>
      <w:sz w:val="21"/>
      <w:szCs w:val="21"/>
    </w:rPr>
  </w:style>
  <w:style w:type="character" w:customStyle="1" w:styleId="92">
    <w:name w:val="纯文本 字符"/>
    <w:qFormat/>
    <w:locked/>
    <w:uiPriority w:val="99"/>
    <w:rPr>
      <w:rFonts w:ascii="宋体" w:hAnsi="Courier New" w:cs="宋体"/>
      <w:kern w:val="2"/>
    </w:rPr>
  </w:style>
  <w:style w:type="character" w:customStyle="1" w:styleId="93">
    <w:name w:val="标题 字符"/>
    <w:qFormat/>
    <w:uiPriority w:val="99"/>
    <w:rPr>
      <w:rFonts w:ascii="等线 Light" w:eastAsia="等线 Light" w:cs="等线 Light"/>
      <w:b/>
      <w:bCs/>
      <w:kern w:val="2"/>
      <w:sz w:val="32"/>
      <w:szCs w:val="32"/>
    </w:rPr>
  </w:style>
  <w:style w:type="character" w:customStyle="1" w:styleId="94">
    <w:name w:val="font14zd"/>
    <w:basedOn w:val="52"/>
    <w:qFormat/>
    <w:uiPriority w:val="99"/>
  </w:style>
  <w:style w:type="character" w:customStyle="1" w:styleId="95">
    <w:name w:val="批注文字 Char1"/>
    <w:qFormat/>
    <w:locked/>
    <w:uiPriority w:val="99"/>
    <w:rPr>
      <w:rFonts w:ascii="Times New Roman" w:hAnsi="Times New Roman" w:eastAsia="宋体" w:cs="Times New Roman"/>
      <w:sz w:val="20"/>
      <w:szCs w:val="20"/>
    </w:rPr>
  </w:style>
  <w:style w:type="character" w:customStyle="1" w:styleId="96">
    <w:name w:val="尾注文本 Char1"/>
    <w:qFormat/>
    <w:uiPriority w:val="99"/>
    <w:rPr>
      <w:kern w:val="2"/>
      <w:sz w:val="24"/>
      <w:szCs w:val="24"/>
    </w:rPr>
  </w:style>
  <w:style w:type="character" w:customStyle="1" w:styleId="97">
    <w:name w:val="列出段落 Char1"/>
    <w:link w:val="98"/>
    <w:qFormat/>
    <w:locked/>
    <w:uiPriority w:val="99"/>
    <w:rPr>
      <w:rFonts w:ascii="Calibri" w:hAnsi="Calibri" w:cs="Calibri"/>
      <w:kern w:val="2"/>
      <w:sz w:val="22"/>
      <w:szCs w:val="22"/>
    </w:rPr>
  </w:style>
  <w:style w:type="paragraph" w:customStyle="1" w:styleId="98">
    <w:name w:val="列出段落11"/>
    <w:basedOn w:val="1"/>
    <w:link w:val="97"/>
    <w:qFormat/>
    <w:uiPriority w:val="99"/>
    <w:pPr>
      <w:ind w:firstLine="420" w:firstLineChars="200"/>
    </w:pPr>
    <w:rPr>
      <w:rFonts w:ascii="Calibri" w:hAnsi="Calibri" w:cs="Calibri"/>
      <w:sz w:val="22"/>
      <w:szCs w:val="22"/>
    </w:rPr>
  </w:style>
  <w:style w:type="character" w:customStyle="1" w:styleId="99">
    <w:name w:val="页码1"/>
    <w:qFormat/>
    <w:uiPriority w:val="99"/>
  </w:style>
  <w:style w:type="character" w:customStyle="1" w:styleId="100">
    <w:name w:val="样式 标题 1合同标题卷标题H1h1Level 1 Topic HeadingH11H12H111H13H1... Char Char"/>
    <w:qFormat/>
    <w:uiPriority w:val="99"/>
    <w:rPr>
      <w:rFonts w:ascii="宋体" w:hAnsi="宋体" w:eastAsia="宋体" w:cs="宋体"/>
      <w:b/>
      <w:bCs/>
      <w:kern w:val="44"/>
      <w:sz w:val="44"/>
      <w:szCs w:val="44"/>
      <w:lang w:val="en-US" w:eastAsia="zh-CN"/>
    </w:rPr>
  </w:style>
  <w:style w:type="character" w:customStyle="1" w:styleId="101">
    <w:name w:val="样式 正文缩进 + 首行缩进:  2 字符 Char"/>
    <w:link w:val="102"/>
    <w:qFormat/>
    <w:locked/>
    <w:uiPriority w:val="99"/>
    <w:rPr>
      <w:sz w:val="24"/>
      <w:szCs w:val="24"/>
    </w:rPr>
  </w:style>
  <w:style w:type="paragraph" w:customStyle="1" w:styleId="102">
    <w:name w:val="样式 正文缩进 + 首行缩进:  2 字符"/>
    <w:basedOn w:val="8"/>
    <w:link w:val="101"/>
    <w:qFormat/>
    <w:uiPriority w:val="99"/>
    <w:pPr>
      <w:spacing w:after="80" w:line="360" w:lineRule="auto"/>
      <w:ind w:firstLine="480" w:firstLineChars="200"/>
    </w:pPr>
    <w:rPr>
      <w:kern w:val="0"/>
      <w:sz w:val="24"/>
      <w:szCs w:val="24"/>
    </w:rPr>
  </w:style>
  <w:style w:type="character" w:customStyle="1" w:styleId="103">
    <w:name w:val="样式 标题 1合同标题卷标题H1h1Level 1 Topic HeadingH11H12H111H13H1... Char"/>
    <w:qFormat/>
    <w:uiPriority w:val="99"/>
    <w:rPr>
      <w:rFonts w:ascii="宋体" w:hAnsi="宋体" w:eastAsia="宋体" w:cs="宋体"/>
      <w:b/>
      <w:bCs/>
      <w:kern w:val="44"/>
      <w:sz w:val="44"/>
      <w:szCs w:val="44"/>
      <w:lang w:val="en-US" w:eastAsia="zh-CN"/>
    </w:rPr>
  </w:style>
  <w:style w:type="character" w:customStyle="1" w:styleId="104">
    <w:name w:val="文档正文 Char"/>
    <w:link w:val="105"/>
    <w:qFormat/>
    <w:locked/>
    <w:uiPriority w:val="99"/>
    <w:rPr>
      <w:rFonts w:ascii="Arial" w:hAnsi="Arial" w:cs="Arial"/>
      <w:sz w:val="24"/>
      <w:szCs w:val="24"/>
    </w:rPr>
  </w:style>
  <w:style w:type="paragraph" w:customStyle="1" w:styleId="105">
    <w:name w:val="文档正文"/>
    <w:basedOn w:val="1"/>
    <w:link w:val="104"/>
    <w:qFormat/>
    <w:uiPriority w:val="99"/>
    <w:rPr>
      <w:rFonts w:ascii="Arial" w:hAnsi="Arial" w:cs="Arial"/>
      <w:kern w:val="0"/>
      <w:sz w:val="24"/>
      <w:szCs w:val="24"/>
    </w:rPr>
  </w:style>
  <w:style w:type="character" w:customStyle="1" w:styleId="106">
    <w:name w:val="页脚 字符"/>
    <w:qFormat/>
    <w:uiPriority w:val="99"/>
    <w:rPr>
      <w:rFonts w:ascii="Tahoma" w:hAnsi="Tahoma" w:eastAsia="微软雅黑" w:cs="Tahoma"/>
      <w:sz w:val="18"/>
      <w:szCs w:val="18"/>
    </w:rPr>
  </w:style>
  <w:style w:type="character" w:customStyle="1" w:styleId="107">
    <w:name w:val="font21"/>
    <w:basedOn w:val="52"/>
    <w:qFormat/>
    <w:uiPriority w:val="99"/>
    <w:rPr>
      <w:rFonts w:ascii="微软雅黑" w:hAnsi="微软雅黑" w:eastAsia="微软雅黑" w:cs="微软雅黑"/>
      <w:color w:val="auto"/>
      <w:sz w:val="18"/>
      <w:szCs w:val="18"/>
      <w:u w:val="none"/>
    </w:rPr>
  </w:style>
  <w:style w:type="character" w:customStyle="1" w:styleId="108">
    <w:name w:val="04-正文 Char Char"/>
    <w:link w:val="109"/>
    <w:qFormat/>
    <w:locked/>
    <w:uiPriority w:val="99"/>
    <w:rPr>
      <w:sz w:val="24"/>
      <w:szCs w:val="24"/>
    </w:rPr>
  </w:style>
  <w:style w:type="paragraph" w:customStyle="1" w:styleId="109">
    <w:name w:val="04-正文"/>
    <w:basedOn w:val="1"/>
    <w:link w:val="108"/>
    <w:qFormat/>
    <w:uiPriority w:val="99"/>
    <w:pPr>
      <w:spacing w:line="360" w:lineRule="exact"/>
      <w:ind w:firstLine="420"/>
    </w:pPr>
    <w:rPr>
      <w:kern w:val="0"/>
      <w:sz w:val="24"/>
      <w:szCs w:val="24"/>
    </w:rPr>
  </w:style>
  <w:style w:type="character" w:customStyle="1" w:styleId="110">
    <w:name w:val="未处理的提及1"/>
    <w:qFormat/>
    <w:uiPriority w:val="99"/>
    <w:rPr>
      <w:color w:val="auto"/>
      <w:shd w:val="clear" w:color="auto" w:fill="auto"/>
    </w:rPr>
  </w:style>
  <w:style w:type="character" w:customStyle="1" w:styleId="111">
    <w:name w:val="text1"/>
    <w:qFormat/>
    <w:uiPriority w:val="99"/>
    <w:rPr>
      <w:color w:val="000000"/>
      <w:sz w:val="24"/>
      <w:szCs w:val="24"/>
    </w:rPr>
  </w:style>
  <w:style w:type="character" w:customStyle="1" w:styleId="112">
    <w:name w:val="段 Char"/>
    <w:link w:val="113"/>
    <w:qFormat/>
    <w:locked/>
    <w:uiPriority w:val="99"/>
    <w:rPr>
      <w:rFonts w:ascii="宋体" w:cs="宋体"/>
      <w:sz w:val="21"/>
      <w:szCs w:val="21"/>
      <w:lang w:val="en-US" w:eastAsia="zh-CN"/>
    </w:rPr>
  </w:style>
  <w:style w:type="paragraph" w:customStyle="1" w:styleId="113">
    <w:name w:val="段"/>
    <w:link w:val="112"/>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114">
    <w:name w:val="title_emph1"/>
    <w:qFormat/>
    <w:uiPriority w:val="99"/>
    <w:rPr>
      <w:rFonts w:ascii="Arial" w:hAnsi="Arial" w:cs="Arial"/>
      <w:b/>
      <w:bCs/>
      <w:sz w:val="18"/>
      <w:szCs w:val="18"/>
    </w:rPr>
  </w:style>
  <w:style w:type="character" w:customStyle="1" w:styleId="115">
    <w:name w:val="标题 41"/>
    <w:qFormat/>
    <w:uiPriority w:val="99"/>
  </w:style>
  <w:style w:type="character" w:customStyle="1" w:styleId="116">
    <w:name w:val="apple-style-span"/>
    <w:qFormat/>
    <w:uiPriority w:val="99"/>
  </w:style>
  <w:style w:type="character" w:customStyle="1" w:styleId="117">
    <w:name w:val="04-正文 Char"/>
    <w:qFormat/>
    <w:uiPriority w:val="99"/>
    <w:rPr>
      <w:rFonts w:eastAsia="仿宋"/>
      <w:kern w:val="2"/>
      <w:sz w:val="24"/>
      <w:szCs w:val="24"/>
    </w:rPr>
  </w:style>
  <w:style w:type="character" w:customStyle="1" w:styleId="118">
    <w:name w:val="纯文本 Char1"/>
    <w:qFormat/>
    <w:uiPriority w:val="99"/>
    <w:rPr>
      <w:rFonts w:ascii="宋体" w:hAnsi="Courier New" w:eastAsia="宋体" w:cs="宋体"/>
      <w:kern w:val="2"/>
      <w:sz w:val="21"/>
      <w:szCs w:val="21"/>
    </w:rPr>
  </w:style>
  <w:style w:type="character" w:customStyle="1" w:styleId="119">
    <w:name w:val="m_171"/>
    <w:qFormat/>
    <w:uiPriority w:val="99"/>
  </w:style>
  <w:style w:type="character" w:customStyle="1" w:styleId="120">
    <w:name w:val="纯文本 Char"/>
    <w:link w:val="26"/>
    <w:qFormat/>
    <w:locked/>
    <w:uiPriority w:val="99"/>
    <w:rPr>
      <w:rFonts w:ascii="宋体" w:hAnsi="Courier New" w:eastAsia="宋体" w:cs="宋体"/>
      <w:kern w:val="2"/>
      <w:sz w:val="24"/>
      <w:szCs w:val="24"/>
      <w:lang w:val="en-US" w:eastAsia="zh-CN"/>
    </w:rPr>
  </w:style>
  <w:style w:type="character" w:customStyle="1" w:styleId="121">
    <w:name w:val="aa1"/>
    <w:basedOn w:val="52"/>
    <w:qFormat/>
    <w:uiPriority w:val="99"/>
  </w:style>
  <w:style w:type="character" w:customStyle="1" w:styleId="122">
    <w:name w:val="www序号1) Char"/>
    <w:link w:val="123"/>
    <w:qFormat/>
    <w:locked/>
    <w:uiPriority w:val="99"/>
    <w:rPr>
      <w:sz w:val="24"/>
      <w:szCs w:val="24"/>
    </w:rPr>
  </w:style>
  <w:style w:type="paragraph" w:customStyle="1" w:styleId="123">
    <w:name w:val="www序号1)"/>
    <w:basedOn w:val="1"/>
    <w:link w:val="122"/>
    <w:qFormat/>
    <w:uiPriority w:val="99"/>
    <w:pPr>
      <w:tabs>
        <w:tab w:val="left" w:pos="2160"/>
      </w:tabs>
      <w:ind w:left="2160" w:hanging="420"/>
    </w:pPr>
    <w:rPr>
      <w:kern w:val="0"/>
      <w:sz w:val="24"/>
      <w:szCs w:val="24"/>
    </w:rPr>
  </w:style>
  <w:style w:type="character" w:customStyle="1" w:styleId="124">
    <w:name w:val="JD1-正文 Char"/>
    <w:link w:val="125"/>
    <w:qFormat/>
    <w:locked/>
    <w:uiPriority w:val="99"/>
    <w:rPr>
      <w:rFonts w:ascii="宋体" w:hAnsi="宋体" w:eastAsia="仿宋_GB2312" w:cs="宋体"/>
      <w:kern w:val="2"/>
      <w:sz w:val="24"/>
      <w:szCs w:val="24"/>
      <w:lang w:val="zh-CN"/>
    </w:rPr>
  </w:style>
  <w:style w:type="paragraph" w:customStyle="1" w:styleId="125">
    <w:name w:val="JD1-正文"/>
    <w:basedOn w:val="1"/>
    <w:link w:val="124"/>
    <w:qFormat/>
    <w:uiPriority w:val="99"/>
    <w:pPr>
      <w:spacing w:line="360" w:lineRule="auto"/>
      <w:ind w:firstLine="480"/>
      <w:jc w:val="left"/>
    </w:pPr>
    <w:rPr>
      <w:rFonts w:ascii="宋体" w:hAnsi="宋体" w:eastAsia="仿宋_GB2312" w:cs="宋体"/>
      <w:sz w:val="24"/>
      <w:szCs w:val="24"/>
      <w:lang w:val="zh-CN"/>
    </w:rPr>
  </w:style>
  <w:style w:type="character" w:customStyle="1" w:styleId="126">
    <w:name w:val="apple-converted-space"/>
    <w:basedOn w:val="52"/>
    <w:qFormat/>
    <w:uiPriority w:val="99"/>
  </w:style>
  <w:style w:type="character" w:customStyle="1" w:styleId="127">
    <w:name w:val="en"/>
    <w:basedOn w:val="52"/>
    <w:qFormat/>
    <w:uiPriority w:val="99"/>
  </w:style>
  <w:style w:type="character" w:customStyle="1" w:styleId="128">
    <w:name w:val="H4"/>
    <w:qFormat/>
    <w:uiPriority w:val="99"/>
  </w:style>
  <w:style w:type="character" w:customStyle="1" w:styleId="129">
    <w:name w:val="正文缩进 Char"/>
    <w:qFormat/>
    <w:locked/>
    <w:uiPriority w:val="99"/>
    <w:rPr>
      <w:kern w:val="2"/>
      <w:sz w:val="21"/>
      <w:szCs w:val="21"/>
    </w:rPr>
  </w:style>
  <w:style w:type="character" w:customStyle="1" w:styleId="130">
    <w:name w:val="Table Text Char Char Char Char"/>
    <w:qFormat/>
    <w:uiPriority w:val="99"/>
    <w:rPr>
      <w:rFonts w:ascii="Arial" w:hAnsi="Arial" w:eastAsia="宋体" w:cs="Arial"/>
      <w:kern w:val="2"/>
      <w:sz w:val="18"/>
      <w:szCs w:val="18"/>
      <w:lang w:val="en-US" w:eastAsia="zh-CN"/>
    </w:rPr>
  </w:style>
  <w:style w:type="character" w:customStyle="1" w:styleId="131">
    <w:name w:val="批注框文本 字符"/>
    <w:qFormat/>
    <w:uiPriority w:val="99"/>
    <w:rPr>
      <w:rFonts w:ascii="Tahoma" w:hAnsi="Tahoma" w:eastAsia="微软雅黑" w:cs="Tahoma"/>
      <w:sz w:val="18"/>
      <w:szCs w:val="18"/>
    </w:rPr>
  </w:style>
  <w:style w:type="character" w:customStyle="1" w:styleId="132">
    <w:name w:val="_正文段落 Char"/>
    <w:link w:val="133"/>
    <w:qFormat/>
    <w:locked/>
    <w:uiPriority w:val="99"/>
    <w:rPr>
      <w:rFonts w:ascii="宋体" w:hAnsi="宋体" w:eastAsia="仿宋_GB2312" w:cs="宋体"/>
      <w:sz w:val="24"/>
      <w:szCs w:val="24"/>
    </w:rPr>
  </w:style>
  <w:style w:type="paragraph" w:customStyle="1" w:styleId="133">
    <w:name w:val="_正文段落"/>
    <w:basedOn w:val="1"/>
    <w:link w:val="132"/>
    <w:qFormat/>
    <w:uiPriority w:val="99"/>
    <w:pPr>
      <w:spacing w:beforeLines="15" w:afterLines="15" w:line="360" w:lineRule="auto"/>
      <w:ind w:firstLine="480" w:firstLineChars="200"/>
    </w:pPr>
    <w:rPr>
      <w:rFonts w:ascii="宋体" w:hAnsi="宋体" w:eastAsia="仿宋_GB2312" w:cs="宋体"/>
      <w:kern w:val="0"/>
      <w:sz w:val="24"/>
      <w:szCs w:val="24"/>
    </w:rPr>
  </w:style>
  <w:style w:type="character" w:customStyle="1" w:styleId="134">
    <w:name w:val="列出段落 Char"/>
    <w:qFormat/>
    <w:uiPriority w:val="99"/>
    <w:rPr>
      <w:rFonts w:ascii="Calibri" w:hAnsi="Calibri" w:eastAsia="宋体" w:cs="Calibri"/>
    </w:rPr>
  </w:style>
  <w:style w:type="character" w:customStyle="1" w:styleId="135">
    <w:name w:val="正文缩进 Char1"/>
    <w:link w:val="8"/>
    <w:qFormat/>
    <w:locked/>
    <w:uiPriority w:val="99"/>
    <w:rPr>
      <w:kern w:val="2"/>
      <w:sz w:val="21"/>
      <w:szCs w:val="21"/>
    </w:rPr>
  </w:style>
  <w:style w:type="character" w:customStyle="1" w:styleId="136">
    <w:name w:val="m_491"/>
    <w:qFormat/>
    <w:uiPriority w:val="99"/>
  </w:style>
  <w:style w:type="character" w:customStyle="1" w:styleId="137">
    <w:name w:val="m_391"/>
    <w:qFormat/>
    <w:uiPriority w:val="99"/>
  </w:style>
  <w:style w:type="character" w:customStyle="1" w:styleId="138">
    <w:name w:val="副标题 Char1"/>
    <w:qFormat/>
    <w:uiPriority w:val="99"/>
    <w:rPr>
      <w:rFonts w:ascii="Cambria" w:hAnsi="Cambria" w:cs="Cambria"/>
      <w:b/>
      <w:bCs/>
      <w:kern w:val="28"/>
      <w:sz w:val="32"/>
      <w:szCs w:val="32"/>
    </w:rPr>
  </w:style>
  <w:style w:type="character" w:customStyle="1" w:styleId="139">
    <w:name w:val="页眉 字符"/>
    <w:qFormat/>
    <w:uiPriority w:val="99"/>
    <w:rPr>
      <w:rFonts w:ascii="Tahoma" w:hAnsi="Tahoma" w:eastAsia="微软雅黑" w:cs="Tahoma"/>
      <w:sz w:val="18"/>
      <w:szCs w:val="18"/>
    </w:rPr>
  </w:style>
  <w:style w:type="character" w:customStyle="1" w:styleId="140">
    <w:name w:val="正文首行缩进 Char"/>
    <w:qFormat/>
    <w:uiPriority w:val="99"/>
    <w:rPr>
      <w:kern w:val="2"/>
      <w:sz w:val="24"/>
      <w:szCs w:val="24"/>
    </w:rPr>
  </w:style>
  <w:style w:type="character" w:customStyle="1" w:styleId="141">
    <w:name w:val="m_01"/>
    <w:qFormat/>
    <w:uiPriority w:val="99"/>
  </w:style>
  <w:style w:type="character" w:customStyle="1" w:styleId="142">
    <w:name w:val="m_461"/>
    <w:qFormat/>
    <w:uiPriority w:val="99"/>
  </w:style>
  <w:style w:type="character" w:customStyle="1" w:styleId="143">
    <w:name w:val="脚注文本 Char1"/>
    <w:qFormat/>
    <w:uiPriority w:val="99"/>
    <w:rPr>
      <w:kern w:val="2"/>
      <w:sz w:val="18"/>
      <w:szCs w:val="18"/>
    </w:rPr>
  </w:style>
  <w:style w:type="character" w:customStyle="1" w:styleId="144">
    <w:name w:val="正文文本 Char"/>
    <w:qFormat/>
    <w:uiPriority w:val="99"/>
    <w:rPr>
      <w:kern w:val="2"/>
      <w:sz w:val="24"/>
      <w:szCs w:val="24"/>
    </w:rPr>
  </w:style>
  <w:style w:type="character" w:customStyle="1" w:styleId="145">
    <w:name w:val="文档结构图 Char1"/>
    <w:qFormat/>
    <w:uiPriority w:val="99"/>
    <w:rPr>
      <w:rFonts w:ascii="宋体" w:cs="宋体"/>
      <w:kern w:val="2"/>
      <w:sz w:val="18"/>
      <w:szCs w:val="18"/>
    </w:rPr>
  </w:style>
  <w:style w:type="character" w:customStyle="1" w:styleId="146">
    <w:name w:val="二级标题 Char"/>
    <w:link w:val="147"/>
    <w:qFormat/>
    <w:locked/>
    <w:uiPriority w:val="99"/>
    <w:rPr>
      <w:rFonts w:ascii="宋体" w:eastAsia="宋体" w:cs="宋体"/>
      <w:b/>
      <w:bCs/>
      <w:sz w:val="30"/>
      <w:szCs w:val="30"/>
      <w:lang w:val="zh-CN"/>
    </w:rPr>
  </w:style>
  <w:style w:type="paragraph" w:customStyle="1" w:styleId="147">
    <w:name w:val="二级标题"/>
    <w:basedOn w:val="4"/>
    <w:link w:val="146"/>
    <w:qFormat/>
    <w:uiPriority w:val="99"/>
    <w:pPr>
      <w:adjustRightInd w:val="0"/>
      <w:spacing w:beforeLines="50" w:after="0" w:line="360" w:lineRule="auto"/>
      <w:jc w:val="left"/>
      <w:textAlignment w:val="baseline"/>
    </w:pPr>
    <w:rPr>
      <w:rFonts w:ascii="宋体" w:hAnsi="Times New Roman" w:eastAsia="宋体" w:cs="宋体"/>
      <w:kern w:val="0"/>
      <w:sz w:val="30"/>
      <w:szCs w:val="30"/>
      <w:lang w:val="zh-CN"/>
    </w:rPr>
  </w:style>
  <w:style w:type="character" w:customStyle="1" w:styleId="148">
    <w:name w:val="标题 1 Char Char"/>
    <w:basedOn w:val="52"/>
    <w:qFormat/>
    <w:uiPriority w:val="99"/>
    <w:rPr>
      <w:rFonts w:eastAsia="宋体"/>
      <w:b/>
      <w:bCs/>
      <w:spacing w:val="-2"/>
      <w:sz w:val="24"/>
      <w:szCs w:val="24"/>
      <w:lang w:val="en-US" w:eastAsia="zh-CN"/>
    </w:rPr>
  </w:style>
  <w:style w:type="character" w:customStyle="1" w:styleId="149">
    <w:name w:val="m_51"/>
    <w:qFormat/>
    <w:uiPriority w:val="99"/>
  </w:style>
  <w:style w:type="character" w:customStyle="1" w:styleId="150">
    <w:name w:val="z21"/>
    <w:qFormat/>
    <w:uiPriority w:val="99"/>
    <w:rPr>
      <w:color w:val="000000"/>
      <w:sz w:val="18"/>
      <w:szCs w:val="18"/>
    </w:rPr>
  </w:style>
  <w:style w:type="character" w:customStyle="1" w:styleId="151">
    <w:name w:val="a41"/>
    <w:qFormat/>
    <w:uiPriority w:val="99"/>
    <w:rPr>
      <w:color w:val="auto"/>
      <w:sz w:val="26"/>
      <w:szCs w:val="26"/>
    </w:rPr>
  </w:style>
  <w:style w:type="character" w:customStyle="1" w:styleId="152">
    <w:name w:val="2.1样式 Char"/>
    <w:link w:val="153"/>
    <w:qFormat/>
    <w:locked/>
    <w:uiPriority w:val="99"/>
    <w:rPr>
      <w:rFonts w:ascii="Arial" w:hAnsi="Arial" w:eastAsia="黑体" w:cs="Arial"/>
      <w:b/>
      <w:bCs/>
      <w:kern w:val="0"/>
      <w:sz w:val="32"/>
      <w:szCs w:val="32"/>
    </w:rPr>
  </w:style>
  <w:style w:type="paragraph" w:customStyle="1" w:styleId="153">
    <w:name w:val="2.1样式"/>
    <w:basedOn w:val="4"/>
    <w:link w:val="152"/>
    <w:qFormat/>
    <w:uiPriority w:val="99"/>
    <w:pPr>
      <w:numPr>
        <w:ilvl w:val="0"/>
        <w:numId w:val="2"/>
      </w:numPr>
      <w:spacing w:line="416" w:lineRule="auto"/>
    </w:pPr>
    <w:rPr>
      <w:kern w:val="0"/>
    </w:rPr>
  </w:style>
  <w:style w:type="character" w:customStyle="1" w:styleId="154">
    <w:name w:val="bookmark-item"/>
    <w:qFormat/>
    <w:uiPriority w:val="99"/>
  </w:style>
  <w:style w:type="paragraph" w:customStyle="1" w:styleId="155">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56">
    <w:name w:val="Char Char Char Char Char Char"/>
    <w:basedOn w:val="1"/>
    <w:qFormat/>
    <w:uiPriority w:val="99"/>
    <w:pPr>
      <w:ind w:firstLine="200" w:firstLineChars="200"/>
    </w:pPr>
    <w:rPr>
      <w:rFonts w:ascii="Tahoma" w:hAnsi="Tahoma" w:cs="Tahoma"/>
      <w:sz w:val="24"/>
      <w:szCs w:val="24"/>
    </w:rPr>
  </w:style>
  <w:style w:type="paragraph" w:customStyle="1" w:styleId="157">
    <w:name w:val="Note Level 1"/>
    <w:basedOn w:val="1"/>
    <w:qFormat/>
    <w:uiPriority w:val="99"/>
    <w:pPr>
      <w:keepNext/>
      <w:tabs>
        <w:tab w:val="left" w:pos="1200"/>
      </w:tabs>
      <w:ind w:left="450" w:hanging="450"/>
      <w:outlineLvl w:val="0"/>
    </w:pPr>
    <w:rPr>
      <w:rFonts w:ascii="宋体" w:hAnsi="Cambria" w:cs="宋体"/>
      <w:sz w:val="24"/>
      <w:szCs w:val="24"/>
    </w:rPr>
  </w:style>
  <w:style w:type="paragraph" w:customStyle="1" w:styleId="158">
    <w:name w:val="Normal New New New New New New New New New New New New New New New New New New New New New New New New New New New New New New New New New New New New New New New New New New New New New New New New New New New New New New New New New New New New New N"/>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159">
    <w:name w:val="33-1级列表编号-1"/>
    <w:basedOn w:val="1"/>
    <w:next w:val="1"/>
    <w:qFormat/>
    <w:uiPriority w:val="99"/>
    <w:pPr>
      <w:numPr>
        <w:ilvl w:val="0"/>
        <w:numId w:val="3"/>
      </w:numPr>
      <w:adjustRightInd w:val="0"/>
      <w:spacing w:line="360" w:lineRule="exact"/>
    </w:pPr>
  </w:style>
  <w:style w:type="paragraph" w:customStyle="1" w:styleId="160">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61">
    <w:name w:val="正文空2格  1."/>
    <w:basedOn w:val="1"/>
    <w:qFormat/>
    <w:uiPriority w:val="99"/>
    <w:pPr>
      <w:adjustRightInd w:val="0"/>
      <w:spacing w:line="360" w:lineRule="auto"/>
      <w:ind w:firstLine="480" w:firstLineChars="200"/>
      <w:textAlignment w:val="baseline"/>
    </w:pPr>
    <w:rPr>
      <w:rFonts w:ascii="宋体" w:eastAsia="仿宋" w:cs="宋体"/>
      <w:kern w:val="0"/>
      <w:sz w:val="28"/>
      <w:szCs w:val="28"/>
    </w:rPr>
  </w:style>
  <w:style w:type="paragraph" w:customStyle="1" w:styleId="162">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3">
    <w:name w:val="Char Char Char Char Char Char1"/>
    <w:basedOn w:val="1"/>
    <w:qFormat/>
    <w:uiPriority w:val="99"/>
    <w:pPr>
      <w:ind w:firstLine="200" w:firstLineChars="200"/>
    </w:pPr>
    <w:rPr>
      <w:rFonts w:ascii="Tahoma" w:hAnsi="Tahoma" w:cs="Tahoma"/>
      <w:sz w:val="24"/>
      <w:szCs w:val="24"/>
    </w:rPr>
  </w:style>
  <w:style w:type="paragraph" w:customStyle="1" w:styleId="164">
    <w:name w:val="para"/>
    <w:basedOn w:val="1"/>
    <w:qFormat/>
    <w:uiPriority w:val="99"/>
    <w:pPr>
      <w:widowControl/>
      <w:adjustRightInd w:val="0"/>
      <w:spacing w:before="160" w:line="360" w:lineRule="auto"/>
      <w:ind w:firstLine="425"/>
      <w:textAlignment w:val="baseline"/>
    </w:pPr>
    <w:rPr>
      <w:kern w:val="0"/>
      <w:sz w:val="24"/>
      <w:szCs w:val="24"/>
      <w:lang w:eastAsia="en-US"/>
    </w:rPr>
  </w:style>
  <w:style w:type="paragraph" w:customStyle="1" w:styleId="165">
    <w:name w:val="Note Level 9"/>
    <w:basedOn w:val="1"/>
    <w:qFormat/>
    <w:uiPriority w:val="99"/>
    <w:pPr>
      <w:keepNext/>
      <w:numPr>
        <w:ilvl w:val="8"/>
        <w:numId w:val="4"/>
      </w:numPr>
      <w:tabs>
        <w:tab w:val="left" w:pos="1200"/>
      </w:tabs>
      <w:ind w:left="3780" w:hanging="420"/>
      <w:outlineLvl w:val="8"/>
    </w:pPr>
    <w:rPr>
      <w:rFonts w:ascii="宋体" w:hAnsi="Cambria" w:cs="宋体"/>
      <w:sz w:val="24"/>
      <w:szCs w:val="24"/>
    </w:rPr>
  </w:style>
  <w:style w:type="paragraph" w:customStyle="1" w:styleId="166">
    <w:name w:val="xl25"/>
    <w:basedOn w:val="1"/>
    <w:qFormat/>
    <w:uiPriority w:val="99"/>
    <w:pPr>
      <w:widowControl/>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67">
    <w:name w:val="Note Level 7"/>
    <w:basedOn w:val="1"/>
    <w:qFormat/>
    <w:uiPriority w:val="99"/>
    <w:pPr>
      <w:keepNext/>
      <w:numPr>
        <w:ilvl w:val="6"/>
        <w:numId w:val="4"/>
      </w:numPr>
      <w:tabs>
        <w:tab w:val="left" w:pos="1200"/>
      </w:tabs>
      <w:ind w:left="2940" w:hanging="420"/>
      <w:outlineLvl w:val="6"/>
    </w:pPr>
    <w:rPr>
      <w:rFonts w:ascii="宋体" w:hAnsi="Cambria" w:cs="宋体"/>
      <w:sz w:val="24"/>
      <w:szCs w:val="24"/>
    </w:rPr>
  </w:style>
  <w:style w:type="paragraph" w:customStyle="1" w:styleId="168">
    <w:name w:val="xl62"/>
    <w:basedOn w:val="1"/>
    <w:qFormat/>
    <w:uiPriority w:val="99"/>
    <w:pPr>
      <w:widowControl/>
      <w:pBdr>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169">
    <w:name w:val="xl9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70">
    <w:name w:val="Char"/>
    <w:basedOn w:val="1"/>
    <w:qFormat/>
    <w:uiPriority w:val="99"/>
    <w:pPr>
      <w:ind w:firstLine="200" w:firstLineChars="200"/>
    </w:pPr>
    <w:rPr>
      <w:rFonts w:ascii="Tahoma" w:hAnsi="Tahoma" w:cs="Tahoma"/>
      <w:sz w:val="24"/>
      <w:szCs w:val="24"/>
    </w:rPr>
  </w:style>
  <w:style w:type="paragraph" w:customStyle="1" w:styleId="171">
    <w:name w:val="xl24"/>
    <w:basedOn w:val="1"/>
    <w:qFormat/>
    <w:uiPriority w:val="99"/>
    <w:pPr>
      <w:widowControl/>
      <w:spacing w:before="100" w:beforeAutospacing="1" w:after="100" w:afterAutospacing="1"/>
      <w:jc w:val="center"/>
      <w:textAlignment w:val="center"/>
    </w:pPr>
    <w:rPr>
      <w:rFonts w:ascii="宋体" w:hAnsi="宋体" w:cs="宋体"/>
      <w:kern w:val="0"/>
      <w:sz w:val="24"/>
      <w:szCs w:val="24"/>
    </w:rPr>
  </w:style>
  <w:style w:type="paragraph" w:customStyle="1" w:styleId="172">
    <w:name w:val="xl81"/>
    <w:basedOn w:val="1"/>
    <w:qFormat/>
    <w:uiPriority w:val="99"/>
    <w:pPr>
      <w:widowControl/>
      <w:pBdr>
        <w:top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73">
    <w:name w:val="xl8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74">
    <w:name w:val="标准小三"/>
    <w:basedOn w:val="1"/>
    <w:qFormat/>
    <w:uiPriority w:val="99"/>
    <w:pPr>
      <w:spacing w:line="700" w:lineRule="exact"/>
      <w:ind w:firstLine="200" w:firstLineChars="200"/>
    </w:pPr>
    <w:rPr>
      <w:rFonts w:ascii="宋体" w:hAnsi="Arial" w:eastAsia="仿宋_GB2312" w:cs="宋体"/>
      <w:kern w:val="0"/>
      <w:sz w:val="30"/>
      <w:szCs w:val="30"/>
    </w:rPr>
  </w:style>
  <w:style w:type="paragraph" w:customStyle="1" w:styleId="175">
    <w:name w:val="正文－恩普"/>
    <w:basedOn w:val="8"/>
    <w:qFormat/>
    <w:uiPriority w:val="99"/>
    <w:pPr>
      <w:widowControl/>
      <w:spacing w:afterLines="50" w:line="360" w:lineRule="auto"/>
      <w:ind w:firstLine="480" w:firstLineChars="200"/>
      <w:jc w:val="left"/>
    </w:pPr>
    <w:rPr>
      <w:kern w:val="0"/>
      <w:sz w:val="24"/>
      <w:szCs w:val="24"/>
    </w:rPr>
  </w:style>
  <w:style w:type="paragraph" w:customStyle="1" w:styleId="176">
    <w:name w:val="_Style 116"/>
    <w:basedOn w:val="1"/>
    <w:next w:val="1"/>
    <w:qFormat/>
    <w:uiPriority w:val="99"/>
    <w:pPr>
      <w:spacing w:line="360" w:lineRule="auto"/>
      <w:ind w:firstLine="600"/>
    </w:pPr>
    <w:rPr>
      <w:sz w:val="24"/>
      <w:szCs w:val="24"/>
    </w:rPr>
  </w:style>
  <w:style w:type="paragraph" w:customStyle="1" w:styleId="177">
    <w:name w:val="样式 标题 1合同标题卷标题H1h1Level 1 Topic HeadingH11H12H111H13H1..."/>
    <w:qFormat/>
    <w:uiPriority w:val="99"/>
    <w:rPr>
      <w:rFonts w:ascii="宋体" w:hAnsi="宋体" w:eastAsia="宋体" w:cs="宋体"/>
      <w:b/>
      <w:bCs/>
      <w:kern w:val="44"/>
      <w:sz w:val="24"/>
      <w:szCs w:val="24"/>
      <w:lang w:val="en-US" w:eastAsia="zh-CN" w:bidi="ar-SA"/>
    </w:rPr>
  </w:style>
  <w:style w:type="paragraph" w:customStyle="1" w:styleId="178">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styleId="179">
    <w:name w:val="No Spacing"/>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180">
    <w:name w:val="xl4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81">
    <w:name w:val="xl4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182">
    <w:name w:val="列出段落1"/>
    <w:basedOn w:val="1"/>
    <w:qFormat/>
    <w:uiPriority w:val="99"/>
    <w:pPr>
      <w:ind w:firstLine="420" w:firstLineChars="200"/>
    </w:pPr>
  </w:style>
  <w:style w:type="paragraph" w:customStyle="1" w:styleId="183">
    <w:name w:val="xl8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184">
    <w:name w:val="p19"/>
    <w:basedOn w:val="1"/>
    <w:qFormat/>
    <w:uiPriority w:val="99"/>
    <w:pPr>
      <w:widowControl/>
      <w:snapToGrid w:val="0"/>
      <w:spacing w:before="60" w:after="120" w:line="360" w:lineRule="auto"/>
      <w:ind w:firstLine="420"/>
    </w:pPr>
    <w:rPr>
      <w:rFonts w:ascii="宋体" w:hAnsi="宋体" w:cs="宋体"/>
      <w:color w:val="000000"/>
      <w:kern w:val="0"/>
      <w:sz w:val="24"/>
      <w:szCs w:val="24"/>
    </w:rPr>
  </w:style>
  <w:style w:type="paragraph" w:customStyle="1" w:styleId="185">
    <w:name w:val="Char2"/>
    <w:basedOn w:val="1"/>
    <w:qFormat/>
    <w:uiPriority w:val="99"/>
    <w:rPr>
      <w:rFonts w:ascii="仿宋_GB2312" w:eastAsia="仿宋_GB2312" w:cs="仿宋_GB2312"/>
      <w:b/>
      <w:bCs/>
      <w:sz w:val="32"/>
      <w:szCs w:val="32"/>
    </w:rPr>
  </w:style>
  <w:style w:type="paragraph" w:customStyle="1" w:styleId="186">
    <w:name w:val="font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7">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8">
    <w:name w:val="font9"/>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189">
    <w:name w:val="样式 标题 3 + 左侧:  0 厘米 首行缩进:  0 厘米"/>
    <w:basedOn w:val="5"/>
    <w:qFormat/>
    <w:uiPriority w:val="99"/>
    <w:pPr>
      <w:tabs>
        <w:tab w:val="left" w:pos="720"/>
      </w:tabs>
      <w:adjustRightInd/>
      <w:spacing w:before="240" w:after="120" w:line="520" w:lineRule="atLeast"/>
      <w:ind w:left="267" w:leftChars="267" w:hanging="57" w:hangingChars="57"/>
      <w:textAlignment w:val="auto"/>
    </w:pPr>
    <w:rPr>
      <w:kern w:val="24"/>
      <w:sz w:val="28"/>
      <w:szCs w:val="28"/>
    </w:rPr>
  </w:style>
  <w:style w:type="paragraph" w:customStyle="1" w:styleId="190">
    <w:name w:val="样式 标题 1 + 两端对齐"/>
    <w:basedOn w:val="4"/>
    <w:next w:val="4"/>
    <w:qFormat/>
    <w:uiPriority w:val="99"/>
    <w:pPr>
      <w:autoSpaceDE w:val="0"/>
      <w:autoSpaceDN w:val="0"/>
      <w:adjustRightInd w:val="0"/>
      <w:spacing w:before="340" w:after="330" w:line="240" w:lineRule="auto"/>
      <w:jc w:val="center"/>
    </w:pPr>
    <w:rPr>
      <w:rFonts w:ascii="汉鼎简细圆" w:hAnsi="Times New Roman" w:eastAsia="宋体" w:cs="汉鼎简细圆"/>
      <w:kern w:val="44"/>
      <w:sz w:val="28"/>
      <w:szCs w:val="28"/>
    </w:rPr>
  </w:style>
  <w:style w:type="paragraph" w:customStyle="1" w:styleId="191">
    <w:name w:val="修订1"/>
    <w:qFormat/>
    <w:uiPriority w:val="99"/>
    <w:rPr>
      <w:rFonts w:ascii="Times New Roman" w:hAnsi="Times New Roman" w:eastAsia="宋体" w:cs="Times New Roman"/>
      <w:kern w:val="2"/>
      <w:sz w:val="21"/>
      <w:szCs w:val="21"/>
      <w:lang w:val="en-US" w:eastAsia="zh-CN" w:bidi="ar-SA"/>
    </w:rPr>
  </w:style>
  <w:style w:type="paragraph" w:customStyle="1" w:styleId="192">
    <w:name w:val="样式 标题 3 +"/>
    <w:basedOn w:val="5"/>
    <w:qFormat/>
    <w:uiPriority w:val="99"/>
    <w:pPr>
      <w:adjustRightInd/>
      <w:spacing w:line="416" w:lineRule="auto"/>
      <w:jc w:val="center"/>
      <w:textAlignment w:val="auto"/>
    </w:pPr>
    <w:rPr>
      <w:sz w:val="28"/>
      <w:szCs w:val="28"/>
    </w:rPr>
  </w:style>
  <w:style w:type="paragraph" w:customStyle="1" w:styleId="193">
    <w:name w:val="xl9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94">
    <w:name w:val="样式 样式 样式 标题 2 + 左  1 字符 + 左侧:  1 字符 + 左  0 字符"/>
    <w:basedOn w:val="1"/>
    <w:qFormat/>
    <w:uiPriority w:val="99"/>
    <w:pPr>
      <w:keepNext/>
      <w:keepLines/>
      <w:spacing w:before="120" w:after="120" w:line="520" w:lineRule="atLeast"/>
      <w:outlineLvl w:val="1"/>
    </w:pPr>
    <w:rPr>
      <w:b/>
      <w:bCs/>
      <w:sz w:val="24"/>
      <w:szCs w:val="24"/>
    </w:rPr>
  </w:style>
  <w:style w:type="paragraph" w:customStyle="1" w:styleId="195">
    <w:name w:val="正文文字缩进4字符"/>
    <w:basedOn w:val="1"/>
    <w:next w:val="8"/>
    <w:qFormat/>
    <w:uiPriority w:val="99"/>
    <w:pPr>
      <w:ind w:firstLine="420" w:firstLineChars="200"/>
    </w:pPr>
  </w:style>
  <w:style w:type="paragraph" w:customStyle="1" w:styleId="196">
    <w:name w:val="Char1"/>
    <w:basedOn w:val="1"/>
    <w:qFormat/>
    <w:uiPriority w:val="99"/>
    <w:rPr>
      <w:rFonts w:ascii="Tahoma" w:hAnsi="Tahoma" w:cs="Tahoma"/>
      <w:sz w:val="24"/>
      <w:szCs w:val="24"/>
    </w:rPr>
  </w:style>
  <w:style w:type="paragraph" w:customStyle="1" w:styleId="197">
    <w:name w:val="List Paragraph1"/>
    <w:basedOn w:val="1"/>
    <w:qFormat/>
    <w:uiPriority w:val="99"/>
    <w:pPr>
      <w:ind w:firstLine="420" w:firstLineChars="200"/>
    </w:pPr>
    <w:rPr>
      <w:rFonts w:ascii="Calibri" w:hAnsi="Calibri" w:cs="Calibri"/>
    </w:rPr>
  </w:style>
  <w:style w:type="paragraph" w:customStyle="1" w:styleId="198">
    <w:name w:val="xl4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19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0">
    <w:name w:val="xl9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01">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02">
    <w:name w:val="40-表格首行"/>
    <w:basedOn w:val="1"/>
    <w:next w:val="1"/>
    <w:qFormat/>
    <w:uiPriority w:val="99"/>
    <w:pPr>
      <w:spacing w:line="200" w:lineRule="exact"/>
      <w:jc w:val="center"/>
    </w:pPr>
    <w:rPr>
      <w:rFonts w:eastAsia="微软雅黑"/>
      <w:b/>
      <w:bCs/>
      <w:color w:val="000000"/>
      <w:kern w:val="0"/>
      <w:sz w:val="18"/>
      <w:szCs w:val="18"/>
    </w:rPr>
  </w:style>
  <w:style w:type="paragraph" w:customStyle="1" w:styleId="203">
    <w:name w:val="xl5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04">
    <w:name w:val="Char11"/>
    <w:basedOn w:val="1"/>
    <w:qFormat/>
    <w:uiPriority w:val="99"/>
    <w:rPr>
      <w:rFonts w:ascii="Tahoma" w:hAnsi="Tahoma" w:cs="Tahoma"/>
      <w:sz w:val="24"/>
      <w:szCs w:val="24"/>
    </w:rPr>
  </w:style>
  <w:style w:type="paragraph" w:customStyle="1" w:styleId="205">
    <w:name w:val="正文-列出段落"/>
    <w:basedOn w:val="1"/>
    <w:next w:val="1"/>
    <w:qFormat/>
    <w:uiPriority w:val="99"/>
    <w:pPr>
      <w:spacing w:line="360" w:lineRule="auto"/>
    </w:pPr>
    <w:rPr>
      <w:rFonts w:ascii="微软雅黑" w:hAnsi="微软雅黑" w:eastAsia="微软雅黑" w:cs="微软雅黑"/>
      <w:b/>
      <w:bCs/>
      <w:sz w:val="24"/>
      <w:szCs w:val="24"/>
    </w:rPr>
  </w:style>
  <w:style w:type="paragraph" w:customStyle="1" w:styleId="206">
    <w:name w:val="TOC 标题1"/>
    <w:basedOn w:val="3"/>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07">
    <w:name w:val="xl92"/>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208">
    <w:name w:val="xl61"/>
    <w:basedOn w:val="1"/>
    <w:qFormat/>
    <w:uiPriority w:val="99"/>
    <w:pPr>
      <w:widowControl/>
      <w:shd w:val="clear" w:color="auto" w:fill="FFFFFF"/>
      <w:spacing w:before="100" w:beforeAutospacing="1" w:after="100" w:afterAutospacing="1"/>
      <w:jc w:val="center"/>
      <w:textAlignment w:val="center"/>
    </w:pPr>
    <w:rPr>
      <w:rFonts w:ascii="Arial Unicode MS" w:hAnsi="Arial Unicode MS" w:cs="Arial Unicode MS"/>
      <w:b/>
      <w:bCs/>
      <w:kern w:val="0"/>
      <w:sz w:val="36"/>
      <w:szCs w:val="36"/>
    </w:rPr>
  </w:style>
  <w:style w:type="paragraph" w:customStyle="1" w:styleId="209">
    <w:name w:val="列表段落1"/>
    <w:basedOn w:val="1"/>
    <w:qFormat/>
    <w:uiPriority w:val="99"/>
    <w:pPr>
      <w:ind w:firstLine="420" w:firstLineChars="200"/>
    </w:pPr>
  </w:style>
  <w:style w:type="paragraph" w:customStyle="1" w:styleId="210">
    <w:name w:val="xl77"/>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11">
    <w:name w:val="xl68"/>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212">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13">
    <w:name w:val="Normal New New New New New New New New New New New New New New New New New New New New New New New New New New New New New New New New New New New New New New New New New New New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14">
    <w:name w:val="正文段"/>
    <w:basedOn w:val="1"/>
    <w:qFormat/>
    <w:uiPriority w:val="99"/>
    <w:pPr>
      <w:widowControl/>
      <w:snapToGrid w:val="0"/>
      <w:spacing w:afterLines="50"/>
      <w:ind w:firstLine="200" w:firstLineChars="200"/>
    </w:pPr>
    <w:rPr>
      <w:kern w:val="0"/>
      <w:sz w:val="24"/>
      <w:szCs w:val="24"/>
    </w:rPr>
  </w:style>
  <w:style w:type="paragraph" w:customStyle="1" w:styleId="215">
    <w:name w:val="四号正文"/>
    <w:basedOn w:val="1"/>
    <w:qFormat/>
    <w:uiPriority w:val="99"/>
    <w:pPr>
      <w:spacing w:line="360" w:lineRule="auto"/>
      <w:ind w:firstLine="560" w:firstLineChars="200"/>
    </w:pPr>
    <w:rPr>
      <w:sz w:val="28"/>
      <w:szCs w:val="28"/>
    </w:rPr>
  </w:style>
  <w:style w:type="paragraph" w:customStyle="1" w:styleId="216">
    <w:name w:val="列项◆（三级）"/>
    <w:basedOn w:val="1"/>
    <w:qFormat/>
    <w:uiPriority w:val="99"/>
    <w:pPr>
      <w:numPr>
        <w:ilvl w:val="2"/>
        <w:numId w:val="5"/>
      </w:numPr>
      <w:ind w:firstLine="0"/>
    </w:pPr>
    <w:rPr>
      <w:rFonts w:ascii="宋体" w:cs="宋体"/>
    </w:rPr>
  </w:style>
  <w:style w:type="paragraph" w:customStyle="1" w:styleId="217">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18">
    <w:name w:val="Note Level 8"/>
    <w:basedOn w:val="1"/>
    <w:qFormat/>
    <w:uiPriority w:val="99"/>
    <w:pPr>
      <w:keepNext/>
      <w:numPr>
        <w:ilvl w:val="7"/>
        <w:numId w:val="4"/>
      </w:numPr>
      <w:tabs>
        <w:tab w:val="left" w:pos="1200"/>
      </w:tabs>
      <w:ind w:left="3360" w:hanging="420"/>
      <w:outlineLvl w:val="7"/>
    </w:pPr>
    <w:rPr>
      <w:rFonts w:ascii="宋体" w:hAnsi="Cambria" w:cs="宋体"/>
      <w:sz w:val="24"/>
      <w:szCs w:val="24"/>
    </w:rPr>
  </w:style>
  <w:style w:type="paragraph" w:customStyle="1" w:styleId="219">
    <w:name w:val="Table Text Char Char"/>
    <w:qFormat/>
    <w:uiPriority w:val="99"/>
    <w:pPr>
      <w:snapToGrid w:val="0"/>
      <w:spacing w:before="80" w:after="80"/>
    </w:pPr>
    <w:rPr>
      <w:rFonts w:ascii="Arial" w:hAnsi="Arial" w:eastAsia="宋体" w:cs="Arial"/>
      <w:kern w:val="2"/>
      <w:sz w:val="18"/>
      <w:szCs w:val="18"/>
      <w:lang w:val="en-US" w:eastAsia="zh-CN" w:bidi="ar-SA"/>
    </w:rPr>
  </w:style>
  <w:style w:type="paragraph" w:customStyle="1" w:styleId="220">
    <w:name w:val="列出段落1111"/>
    <w:basedOn w:val="1"/>
    <w:qFormat/>
    <w:uiPriority w:val="99"/>
    <w:pPr>
      <w:ind w:firstLine="420" w:firstLineChars="200"/>
    </w:pPr>
    <w:rPr>
      <w:rFonts w:ascii="Calibri" w:hAnsi="Calibri" w:cs="Calibri"/>
    </w:rPr>
  </w:style>
  <w:style w:type="paragraph" w:customStyle="1" w:styleId="221">
    <w:name w:val="xl54"/>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22">
    <w:name w:val="xl7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23">
    <w:name w:val="Note Level 4"/>
    <w:basedOn w:val="1"/>
    <w:qFormat/>
    <w:uiPriority w:val="99"/>
    <w:pPr>
      <w:keepNext/>
      <w:numPr>
        <w:ilvl w:val="3"/>
        <w:numId w:val="4"/>
      </w:numPr>
      <w:tabs>
        <w:tab w:val="left" w:pos="1200"/>
      </w:tabs>
      <w:ind w:left="1680" w:hanging="420"/>
      <w:outlineLvl w:val="3"/>
    </w:pPr>
    <w:rPr>
      <w:rFonts w:ascii="宋体" w:hAnsi="Cambria" w:cs="宋体"/>
      <w:sz w:val="24"/>
      <w:szCs w:val="24"/>
    </w:rPr>
  </w:style>
  <w:style w:type="paragraph" w:customStyle="1" w:styleId="224">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5">
    <w:name w:val="样式1"/>
    <w:basedOn w:val="6"/>
    <w:qFormat/>
    <w:uiPriority w:val="99"/>
  </w:style>
  <w:style w:type="paragraph" w:customStyle="1" w:styleId="226">
    <w:name w:val="TOC 标题2"/>
    <w:basedOn w:val="3"/>
    <w:next w:val="1"/>
    <w:qFormat/>
    <w:uiPriority w:val="99"/>
    <w:pPr>
      <w:pageBreakBefore/>
      <w:widowControl/>
      <w:snapToGrid/>
      <w:spacing w:before="240" w:after="0" w:line="259" w:lineRule="auto"/>
      <w:jc w:val="left"/>
      <w:outlineLvl w:val="9"/>
    </w:pPr>
    <w:rPr>
      <w:rFonts w:ascii="Cambria" w:hAnsi="Cambria" w:cs="Cambria"/>
      <w:b w:val="0"/>
      <w:bCs w:val="0"/>
      <w:color w:val="365F91"/>
      <w:kern w:val="0"/>
      <w:sz w:val="32"/>
      <w:szCs w:val="32"/>
    </w:rPr>
  </w:style>
  <w:style w:type="paragraph" w:customStyle="1" w:styleId="227">
    <w:name w:val="Char3"/>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28">
    <w:name w:val="xl65"/>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29">
    <w:name w:val="xl52"/>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30">
    <w:name w:val="bi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1">
    <w:name w:val="无间隔1"/>
    <w:qFormat/>
    <w:uiPriority w:val="0"/>
    <w:pPr>
      <w:widowControl w:val="0"/>
      <w:spacing w:line="360" w:lineRule="auto"/>
      <w:jc w:val="both"/>
    </w:pPr>
    <w:rPr>
      <w:rFonts w:ascii="宋体" w:hAnsi="Calibri" w:eastAsia="宋体" w:cs="宋体"/>
      <w:kern w:val="2"/>
      <w:sz w:val="24"/>
      <w:szCs w:val="24"/>
      <w:lang w:val="en-US" w:eastAsia="zh-CN" w:bidi="ar-SA"/>
    </w:rPr>
  </w:style>
  <w:style w:type="paragraph" w:customStyle="1" w:styleId="232">
    <w:name w:val="Note Level 2"/>
    <w:basedOn w:val="1"/>
    <w:qFormat/>
    <w:uiPriority w:val="99"/>
    <w:pPr>
      <w:keepNext/>
      <w:numPr>
        <w:ilvl w:val="1"/>
        <w:numId w:val="4"/>
      </w:numPr>
      <w:tabs>
        <w:tab w:val="left" w:pos="1200"/>
      </w:tabs>
      <w:ind w:left="840" w:hanging="420"/>
      <w:outlineLvl w:val="1"/>
    </w:pPr>
    <w:rPr>
      <w:rFonts w:ascii="宋体" w:hAnsi="Cambria" w:cs="宋体"/>
      <w:sz w:val="24"/>
      <w:szCs w:val="24"/>
    </w:rPr>
  </w:style>
  <w:style w:type="paragraph" w:customStyle="1" w:styleId="233">
    <w:name w:val="此正文"/>
    <w:basedOn w:val="1"/>
    <w:qFormat/>
    <w:uiPriority w:val="99"/>
    <w:pPr>
      <w:spacing w:line="360" w:lineRule="auto"/>
      <w:ind w:firstLine="200" w:firstLineChars="200"/>
    </w:pPr>
    <w:rPr>
      <w:sz w:val="24"/>
      <w:szCs w:val="24"/>
    </w:rPr>
  </w:style>
  <w:style w:type="paragraph" w:customStyle="1" w:styleId="234">
    <w:name w:val="Note Level 6"/>
    <w:basedOn w:val="1"/>
    <w:qFormat/>
    <w:uiPriority w:val="99"/>
    <w:pPr>
      <w:keepNext/>
      <w:numPr>
        <w:ilvl w:val="5"/>
        <w:numId w:val="4"/>
      </w:numPr>
      <w:tabs>
        <w:tab w:val="left" w:pos="1200"/>
      </w:tabs>
      <w:ind w:left="2520" w:hanging="420"/>
      <w:outlineLvl w:val="5"/>
    </w:pPr>
    <w:rPr>
      <w:rFonts w:ascii="宋体" w:hAnsi="Cambria" w:cs="宋体"/>
      <w:sz w:val="24"/>
      <w:szCs w:val="24"/>
    </w:rPr>
  </w:style>
  <w:style w:type="paragraph" w:customStyle="1" w:styleId="235">
    <w:name w:val="xl73"/>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36">
    <w:name w:val="xl93"/>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37">
    <w:name w:val="xl8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238">
    <w:name w:val="xl78"/>
    <w:basedOn w:val="1"/>
    <w:qFormat/>
    <w:uiPriority w:val="99"/>
    <w:pPr>
      <w:widowControl/>
      <w:pBdr>
        <w:top w:val="single" w:color="auto" w:sz="4" w:space="0"/>
        <w:bottom w:val="single" w:color="auto" w:sz="4" w:space="0"/>
      </w:pBdr>
      <w:shd w:val="clear" w:color="auto" w:fill="FFFFFF"/>
      <w:spacing w:before="100" w:beforeAutospacing="1" w:after="100" w:afterAutospacing="1"/>
      <w:jc w:val="right"/>
      <w:textAlignment w:val="center"/>
    </w:pPr>
    <w:rPr>
      <w:rFonts w:ascii="Arial Unicode MS" w:hAnsi="Arial Unicode MS" w:cs="Arial Unicode MS"/>
      <w:kern w:val="0"/>
      <w:sz w:val="24"/>
      <w:szCs w:val="24"/>
    </w:rPr>
  </w:style>
  <w:style w:type="paragraph" w:customStyle="1" w:styleId="239">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40">
    <w:name w:val="xl3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41">
    <w:name w:val="列项●（二级）"/>
    <w:qFormat/>
    <w:uiPriority w:val="99"/>
    <w:pPr>
      <w:numPr>
        <w:ilvl w:val="1"/>
        <w:numId w:val="5"/>
      </w:numPr>
      <w:tabs>
        <w:tab w:val="left" w:pos="840"/>
      </w:tabs>
      <w:jc w:val="both"/>
    </w:pPr>
    <w:rPr>
      <w:rFonts w:ascii="宋体" w:hAnsi="Times New Roman" w:eastAsia="宋体" w:cs="宋体"/>
      <w:sz w:val="21"/>
      <w:szCs w:val="21"/>
      <w:lang w:val="en-US" w:eastAsia="zh-CN" w:bidi="ar-SA"/>
    </w:rPr>
  </w:style>
  <w:style w:type="paragraph" w:customStyle="1" w:styleId="242">
    <w:name w:val="证文"/>
    <w:basedOn w:val="1"/>
    <w:qFormat/>
    <w:uiPriority w:val="99"/>
    <w:pPr>
      <w:spacing w:line="360" w:lineRule="auto"/>
    </w:pPr>
    <w:rPr>
      <w:sz w:val="24"/>
      <w:szCs w:val="24"/>
    </w:rPr>
  </w:style>
  <w:style w:type="paragraph" w:customStyle="1" w:styleId="243">
    <w:name w:val="标准正文"/>
    <w:basedOn w:val="1"/>
    <w:qFormat/>
    <w:uiPriority w:val="99"/>
    <w:pPr>
      <w:spacing w:line="240" w:lineRule="atLeast"/>
      <w:ind w:firstLine="200" w:firstLineChars="200"/>
    </w:pPr>
  </w:style>
  <w:style w:type="paragraph" w:customStyle="1" w:styleId="244">
    <w:name w:val="Normal New New New New New New New New New New New New New New New New"/>
    <w:qFormat/>
    <w:uiPriority w:val="99"/>
    <w:pPr>
      <w:widowControl w:val="0"/>
      <w:jc w:val="both"/>
    </w:pPr>
    <w:rPr>
      <w:rFonts w:ascii="Times New Roman" w:hAnsi="Times New Roman" w:eastAsia="宋体" w:cs="Times New Roman"/>
      <w:kern w:val="2"/>
      <w:sz w:val="28"/>
      <w:szCs w:val="28"/>
      <w:lang w:val="en-US" w:eastAsia="zh-CN" w:bidi="ar-SA"/>
    </w:rPr>
  </w:style>
  <w:style w:type="paragraph" w:customStyle="1" w:styleId="245">
    <w:name w:val="xl72"/>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6">
    <w:name w:val="xl4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47">
    <w:name w:val="xl8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48">
    <w:name w:val="文字"/>
    <w:basedOn w:val="1"/>
    <w:qFormat/>
    <w:uiPriority w:val="99"/>
    <w:pPr>
      <w:tabs>
        <w:tab w:val="left" w:pos="8520"/>
      </w:tabs>
      <w:spacing w:line="312" w:lineRule="auto"/>
      <w:ind w:right="-210" w:firstLine="556"/>
    </w:pPr>
    <w:rPr>
      <w:rFonts w:ascii="宋体" w:cs="宋体"/>
      <w:sz w:val="28"/>
      <w:szCs w:val="28"/>
    </w:rPr>
  </w:style>
  <w:style w:type="paragraph" w:customStyle="1" w:styleId="249">
    <w:name w:val="_Style 2"/>
    <w:qFormat/>
    <w:uiPriority w:val="99"/>
    <w:pPr>
      <w:widowControl w:val="0"/>
      <w:spacing w:line="360" w:lineRule="auto"/>
    </w:pPr>
    <w:rPr>
      <w:rFonts w:ascii="Times New Roman" w:hAnsi="Times New Roman" w:eastAsia="宋体" w:cs="Times New Roman"/>
      <w:kern w:val="2"/>
      <w:sz w:val="21"/>
      <w:szCs w:val="21"/>
      <w:lang w:val="en-US" w:eastAsia="zh-CN" w:bidi="ar-SA"/>
    </w:rPr>
  </w:style>
  <w:style w:type="paragraph" w:customStyle="1" w:styleId="250">
    <w:name w:val="正文文本缩进1"/>
    <w:basedOn w:val="1"/>
    <w:qFormat/>
    <w:uiPriority w:val="99"/>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s="宋体"/>
      <w:color w:val="000000"/>
      <w:sz w:val="24"/>
      <w:szCs w:val="24"/>
    </w:rPr>
  </w:style>
  <w:style w:type="paragraph" w:customStyle="1" w:styleId="251">
    <w:name w:val="42-表格数字"/>
    <w:next w:val="1"/>
    <w:qFormat/>
    <w:uiPriority w:val="99"/>
    <w:pPr>
      <w:jc w:val="center"/>
      <w:textAlignment w:val="center"/>
    </w:pPr>
    <w:rPr>
      <w:rFonts w:ascii="Times New Roman" w:hAnsi="Times New Roman" w:eastAsia="微软雅黑" w:cs="Times New Roman"/>
      <w:color w:val="000000"/>
      <w:sz w:val="18"/>
      <w:szCs w:val="18"/>
      <w:lang w:val="en-US" w:eastAsia="zh-CN" w:bidi="ar-SA"/>
    </w:rPr>
  </w:style>
  <w:style w:type="paragraph" w:customStyle="1" w:styleId="252">
    <w:name w:val="xl4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kern w:val="0"/>
      <w:sz w:val="24"/>
      <w:szCs w:val="24"/>
    </w:rPr>
  </w:style>
  <w:style w:type="paragraph" w:customStyle="1" w:styleId="253">
    <w:name w:val="ZJ正文"/>
    <w:basedOn w:val="1"/>
    <w:qFormat/>
    <w:uiPriority w:val="99"/>
    <w:pPr>
      <w:spacing w:line="360" w:lineRule="auto"/>
      <w:ind w:firstLine="480" w:firstLineChars="200"/>
    </w:pPr>
    <w:rPr>
      <w:sz w:val="24"/>
      <w:szCs w:val="24"/>
    </w:rPr>
  </w:style>
  <w:style w:type="paragraph" w:customStyle="1" w:styleId="254">
    <w:name w:val="Char1 Char Char Char"/>
    <w:basedOn w:val="1"/>
    <w:qFormat/>
    <w:uiPriority w:val="99"/>
    <w:pPr>
      <w:tabs>
        <w:tab w:val="left" w:pos="420"/>
      </w:tabs>
      <w:ind w:left="420" w:hanging="420"/>
    </w:pPr>
    <w:rPr>
      <w:rFonts w:ascii="Tahoma" w:hAnsi="Tahoma" w:cs="Tahoma"/>
      <w:sz w:val="24"/>
      <w:szCs w:val="24"/>
    </w:rPr>
  </w:style>
  <w:style w:type="paragraph" w:customStyle="1" w:styleId="255">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56">
    <w:name w:val="表内文字"/>
    <w:basedOn w:val="1"/>
    <w:qFormat/>
    <w:uiPriority w:val="99"/>
    <w:pPr>
      <w:tabs>
        <w:tab w:val="left" w:pos="1418"/>
      </w:tabs>
      <w:spacing w:line="360" w:lineRule="auto"/>
      <w:jc w:val="center"/>
    </w:pPr>
    <w:rPr>
      <w:rFonts w:ascii="仿宋_GB2312" w:eastAsia="仿宋_GB2312" w:cs="仿宋_GB2312"/>
      <w:spacing w:val="-20"/>
      <w:kern w:val="0"/>
      <w:sz w:val="24"/>
      <w:szCs w:val="24"/>
    </w:rPr>
  </w:style>
  <w:style w:type="paragraph" w:customStyle="1" w:styleId="257">
    <w:name w:val="列出段落111"/>
    <w:basedOn w:val="1"/>
    <w:qFormat/>
    <w:uiPriority w:val="99"/>
    <w:pPr>
      <w:spacing w:line="360" w:lineRule="auto"/>
      <w:ind w:firstLine="420" w:firstLineChars="200"/>
    </w:pPr>
    <w:rPr>
      <w:rFonts w:ascii="Calibri" w:hAnsi="Calibri" w:cs="Calibri"/>
    </w:rPr>
  </w:style>
  <w:style w:type="paragraph" w:customStyle="1" w:styleId="258">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color w:val="000000"/>
      <w:kern w:val="0"/>
      <w:sz w:val="24"/>
      <w:szCs w:val="24"/>
    </w:rPr>
  </w:style>
  <w:style w:type="paragraph" w:customStyle="1" w:styleId="259">
    <w:name w:val="标准正文缩进"/>
    <w:basedOn w:val="1"/>
    <w:qFormat/>
    <w:uiPriority w:val="99"/>
    <w:pPr>
      <w:spacing w:line="300" w:lineRule="auto"/>
      <w:ind w:firstLine="200" w:firstLineChars="200"/>
      <w:jc w:val="left"/>
    </w:pPr>
    <w:rPr>
      <w:rFonts w:eastAsia="PMingLiUfalt"/>
      <w:sz w:val="24"/>
      <w:szCs w:val="24"/>
    </w:rPr>
  </w:style>
  <w:style w:type="paragraph" w:customStyle="1" w:styleId="260">
    <w:name w:val="Note Level 5"/>
    <w:basedOn w:val="1"/>
    <w:qFormat/>
    <w:uiPriority w:val="99"/>
    <w:pPr>
      <w:keepNext/>
      <w:numPr>
        <w:ilvl w:val="4"/>
        <w:numId w:val="2"/>
      </w:numPr>
      <w:tabs>
        <w:tab w:val="left" w:pos="1200"/>
      </w:tabs>
      <w:ind w:left="2100" w:hanging="420"/>
      <w:outlineLvl w:val="4"/>
    </w:pPr>
    <w:rPr>
      <w:rFonts w:ascii="宋体" w:hAnsi="Cambria" w:cs="宋体"/>
      <w:sz w:val="24"/>
      <w:szCs w:val="24"/>
    </w:rPr>
  </w:style>
  <w:style w:type="paragraph" w:customStyle="1" w:styleId="261">
    <w:name w:val="font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62">
    <w:name w:val="WPSOffice手动目录 1"/>
    <w:qFormat/>
    <w:uiPriority w:val="99"/>
    <w:rPr>
      <w:rFonts w:ascii="Calibri" w:hAnsi="Calibri" w:eastAsia="宋体" w:cs="Calibri"/>
      <w:lang w:val="en-US" w:eastAsia="zh-CN" w:bidi="ar-SA"/>
    </w:rPr>
  </w:style>
  <w:style w:type="paragraph" w:customStyle="1" w:styleId="263">
    <w:name w:val="font7"/>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264">
    <w:name w:val="xl29"/>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65">
    <w:name w:val="列出段落111111"/>
    <w:basedOn w:val="1"/>
    <w:qFormat/>
    <w:uiPriority w:val="99"/>
    <w:pPr>
      <w:spacing w:line="360" w:lineRule="auto"/>
      <w:ind w:firstLine="420" w:firstLineChars="200"/>
    </w:pPr>
    <w:rPr>
      <w:rFonts w:ascii="Calibri" w:hAnsi="Calibri" w:cs="Calibri"/>
    </w:rPr>
  </w:style>
  <w:style w:type="paragraph" w:customStyle="1" w:styleId="266">
    <w:name w:val="p18"/>
    <w:basedOn w:val="1"/>
    <w:qFormat/>
    <w:uiPriority w:val="99"/>
    <w:pPr>
      <w:widowControl/>
    </w:pPr>
    <w:rPr>
      <w:kern w:val="0"/>
      <w:sz w:val="24"/>
      <w:szCs w:val="24"/>
    </w:rPr>
  </w:style>
  <w:style w:type="paragraph" w:customStyle="1" w:styleId="267">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b/>
      <w:bCs/>
      <w:kern w:val="0"/>
      <w:sz w:val="24"/>
      <w:szCs w:val="24"/>
    </w:rPr>
  </w:style>
  <w:style w:type="paragraph" w:customStyle="1" w:styleId="268">
    <w:name w:val="样式 标题 3 +1"/>
    <w:basedOn w:val="5"/>
    <w:qFormat/>
    <w:uiPriority w:val="99"/>
    <w:pPr>
      <w:adjustRightInd/>
      <w:spacing w:line="416" w:lineRule="auto"/>
      <w:jc w:val="center"/>
      <w:textAlignment w:val="auto"/>
    </w:pPr>
    <w:rPr>
      <w:sz w:val="28"/>
      <w:szCs w:val="28"/>
    </w:rPr>
  </w:style>
  <w:style w:type="paragraph" w:customStyle="1" w:styleId="269">
    <w:name w:val="xl63"/>
    <w:basedOn w:val="1"/>
    <w:qFormat/>
    <w:uiPriority w:val="99"/>
    <w:pPr>
      <w:widowControl/>
      <w:pBdr>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0">
    <w:name w:val="xl4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71">
    <w:name w:val="xl50"/>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72">
    <w:name w:val="Note Level 3"/>
    <w:basedOn w:val="1"/>
    <w:qFormat/>
    <w:uiPriority w:val="99"/>
    <w:pPr>
      <w:keepNext/>
      <w:numPr>
        <w:ilvl w:val="2"/>
        <w:numId w:val="6"/>
      </w:numPr>
      <w:tabs>
        <w:tab w:val="left" w:pos="1200"/>
      </w:tabs>
      <w:ind w:left="1260" w:hanging="420"/>
      <w:outlineLvl w:val="2"/>
    </w:pPr>
    <w:rPr>
      <w:rFonts w:ascii="宋体" w:hAnsi="Cambria" w:cs="宋体"/>
      <w:sz w:val="24"/>
      <w:szCs w:val="24"/>
    </w:rPr>
  </w:style>
  <w:style w:type="paragraph" w:customStyle="1" w:styleId="273">
    <w:name w:val="xl7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74">
    <w:name w:val="43-表格正文"/>
    <w:basedOn w:val="1"/>
    <w:next w:val="1"/>
    <w:qFormat/>
    <w:uiPriority w:val="99"/>
    <w:pPr>
      <w:jc w:val="left"/>
    </w:pPr>
    <w:rPr>
      <w:rFonts w:eastAsia="微软雅黑"/>
      <w:sz w:val="18"/>
      <w:szCs w:val="18"/>
    </w:rPr>
  </w:style>
  <w:style w:type="paragraph" w:customStyle="1" w:styleId="275">
    <w:name w:val="5"/>
    <w:basedOn w:val="1"/>
    <w:next w:val="1"/>
    <w:qFormat/>
    <w:uiPriority w:val="99"/>
  </w:style>
  <w:style w:type="paragraph" w:customStyle="1" w:styleId="276">
    <w:name w:val="xl6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77">
    <w:name w:val="xl31"/>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78">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kern w:val="0"/>
      <w:sz w:val="24"/>
      <w:szCs w:val="24"/>
    </w:rPr>
  </w:style>
  <w:style w:type="paragraph" w:customStyle="1" w:styleId="279">
    <w:name w:val="xl64"/>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280">
    <w:name w:val="Char1 Char Char Char Char Char"/>
    <w:basedOn w:val="1"/>
    <w:qFormat/>
    <w:uiPriority w:val="99"/>
    <w:rPr>
      <w:rFonts w:ascii="仿宋_GB2312" w:eastAsia="仿宋_GB2312" w:cs="仿宋_GB2312"/>
      <w:sz w:val="24"/>
      <w:szCs w:val="24"/>
    </w:rPr>
  </w:style>
  <w:style w:type="paragraph" w:customStyle="1" w:styleId="281">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82">
    <w:name w:val="TOC 标题3"/>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83">
    <w:name w:val="正文 New New New New"/>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284">
    <w:name w:val="xl4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285">
    <w:name w:val="标准小四"/>
    <w:basedOn w:val="1"/>
    <w:qFormat/>
    <w:uiPriority w:val="99"/>
    <w:pPr>
      <w:spacing w:line="360" w:lineRule="auto"/>
      <w:ind w:firstLine="480" w:firstLineChars="200"/>
    </w:pPr>
    <w:rPr>
      <w:rFonts w:ascii="Arial" w:hAnsi="Arial" w:cs="Arial"/>
      <w:sz w:val="24"/>
      <w:szCs w:val="24"/>
    </w:rPr>
  </w:style>
  <w:style w:type="paragraph" w:customStyle="1" w:styleId="286">
    <w:name w:val="font13"/>
    <w:basedOn w:val="1"/>
    <w:qFormat/>
    <w:uiPriority w:val="99"/>
    <w:pPr>
      <w:widowControl/>
      <w:spacing w:before="100" w:beforeAutospacing="1" w:after="100" w:afterAutospacing="1"/>
      <w:jc w:val="left"/>
    </w:pPr>
    <w:rPr>
      <w:b/>
      <w:bCs/>
      <w:kern w:val="0"/>
      <w:sz w:val="24"/>
      <w:szCs w:val="24"/>
    </w:rPr>
  </w:style>
  <w:style w:type="paragraph" w:customStyle="1" w:styleId="287">
    <w:name w:val="Char Char Char Char Char Char Char Char Char Char Char Char1 Char"/>
    <w:basedOn w:val="16"/>
    <w:qFormat/>
    <w:uiPriority w:val="99"/>
    <w:rPr>
      <w:rFonts w:ascii="Tahoma" w:hAnsi="Tahoma" w:cs="Tahoma"/>
      <w:sz w:val="24"/>
      <w:szCs w:val="24"/>
    </w:rPr>
  </w:style>
  <w:style w:type="paragraph" w:customStyle="1" w:styleId="288">
    <w:name w:val="xl5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kern w:val="0"/>
      <w:sz w:val="24"/>
      <w:szCs w:val="24"/>
    </w:rPr>
  </w:style>
  <w:style w:type="paragraph" w:customStyle="1" w:styleId="289">
    <w:name w:val="xl3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color w:val="000000"/>
      <w:kern w:val="0"/>
      <w:sz w:val="24"/>
      <w:szCs w:val="24"/>
    </w:rPr>
  </w:style>
  <w:style w:type="paragraph" w:customStyle="1" w:styleId="290">
    <w:name w:val="Normal Char"/>
    <w:basedOn w:val="1"/>
    <w:qFormat/>
    <w:uiPriority w:val="99"/>
    <w:pPr>
      <w:suppressAutoHyphens/>
      <w:autoSpaceDE w:val="0"/>
      <w:jc w:val="left"/>
    </w:pPr>
    <w:rPr>
      <w:rFonts w:ascii="Thorndale" w:hAnsi="Thorndale" w:cs="Thorndale"/>
      <w:color w:val="000000"/>
      <w:kern w:val="0"/>
      <w:sz w:val="20"/>
      <w:szCs w:val="20"/>
      <w:lang w:val="hu-HU"/>
    </w:rPr>
  </w:style>
  <w:style w:type="paragraph" w:customStyle="1" w:styleId="291">
    <w:name w:val="font1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92">
    <w:name w:val="xl51"/>
    <w:basedOn w:val="1"/>
    <w:qFormat/>
    <w:uiPriority w:val="99"/>
    <w:pPr>
      <w:widowControl/>
      <w:pBdr>
        <w:top w:val="single" w:color="auto" w:sz="4" w:space="0"/>
        <w:bottom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3">
    <w:name w:val="xl95"/>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Arial Unicode MS" w:hAnsi="Arial Unicode MS" w:cs="Arial Unicode MS"/>
      <w:kern w:val="0"/>
      <w:sz w:val="24"/>
      <w:szCs w:val="24"/>
    </w:rPr>
  </w:style>
  <w:style w:type="paragraph" w:customStyle="1" w:styleId="294">
    <w:name w:val="xl74"/>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295">
    <w:name w:val="ZJGIS-五级标题"/>
    <w:basedOn w:val="7"/>
    <w:qFormat/>
    <w:uiPriority w:val="99"/>
    <w:pPr>
      <w:tabs>
        <w:tab w:val="left" w:pos="992"/>
        <w:tab w:val="clear" w:pos="2100"/>
      </w:tabs>
      <w:spacing w:before="120" w:after="120" w:line="240" w:lineRule="auto"/>
      <w:ind w:left="0" w:firstLine="0"/>
    </w:pPr>
  </w:style>
  <w:style w:type="paragraph" w:customStyle="1" w:styleId="296">
    <w:name w:val="xl56"/>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297">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color w:val="000000"/>
      <w:kern w:val="0"/>
      <w:sz w:val="24"/>
      <w:szCs w:val="24"/>
    </w:rPr>
  </w:style>
  <w:style w:type="paragraph" w:customStyle="1" w:styleId="298">
    <w:name w:val="xl34"/>
    <w:basedOn w:val="1"/>
    <w:qFormat/>
    <w:uiPriority w:val="99"/>
    <w:pPr>
      <w:widowControl/>
      <w:spacing w:before="100" w:beforeAutospacing="1" w:after="100" w:afterAutospacing="1"/>
      <w:jc w:val="center"/>
    </w:pPr>
    <w:rPr>
      <w:rFonts w:ascii="Arial Unicode MS" w:hAnsi="Arial Unicode MS" w:cs="Arial Unicode MS"/>
      <w:kern w:val="0"/>
      <w:sz w:val="24"/>
      <w:szCs w:val="24"/>
    </w:rPr>
  </w:style>
  <w:style w:type="paragraph" w:customStyle="1" w:styleId="299">
    <w:name w:val="xl5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Arial Unicode MS" w:hAnsi="Arial Unicode MS" w:cs="Arial Unicode MS"/>
      <w:kern w:val="0"/>
      <w:sz w:val="24"/>
      <w:szCs w:val="24"/>
    </w:rPr>
  </w:style>
  <w:style w:type="paragraph" w:customStyle="1" w:styleId="300">
    <w:name w:val="xl4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kern w:val="0"/>
      <w:sz w:val="24"/>
      <w:szCs w:val="24"/>
    </w:rPr>
  </w:style>
  <w:style w:type="paragraph" w:customStyle="1" w:styleId="301">
    <w:name w:val="自由格式 A"/>
    <w:qFormat/>
    <w:uiPriority w:val="99"/>
    <w:rPr>
      <w:rFonts w:ascii="Helvetica" w:hAnsi="Helvetica" w:eastAsia="宋体" w:cs="Helvetica"/>
      <w:color w:val="000000"/>
      <w:sz w:val="24"/>
      <w:szCs w:val="24"/>
      <w:lang w:val="en-US" w:eastAsia="zh-CN" w:bidi="ar-SA"/>
    </w:rPr>
  </w:style>
  <w:style w:type="paragraph" w:customStyle="1" w:styleId="302">
    <w:name w:val="纯文本1"/>
    <w:basedOn w:val="1"/>
    <w:qFormat/>
    <w:uiPriority w:val="99"/>
    <w:pPr>
      <w:spacing w:beforeLines="50" w:afterLines="50" w:line="400" w:lineRule="exact"/>
    </w:pPr>
    <w:rPr>
      <w:rFonts w:ascii="宋体" w:hAnsi="Courier New" w:cs="宋体"/>
      <w:sz w:val="24"/>
      <w:szCs w:val="24"/>
    </w:rPr>
  </w:style>
  <w:style w:type="paragraph" w:customStyle="1" w:styleId="303">
    <w:name w:val="默认段落字体 Para Char Char Char Char Char Char Char Char Char1 Char Char Char Char"/>
    <w:basedOn w:val="1"/>
    <w:qFormat/>
    <w:uiPriority w:val="99"/>
    <w:rPr>
      <w:rFonts w:ascii="Tahoma" w:hAnsi="Tahoma" w:cs="Tahoma"/>
      <w:sz w:val="24"/>
      <w:szCs w:val="24"/>
    </w:rPr>
  </w:style>
  <w:style w:type="paragraph" w:customStyle="1" w:styleId="304">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5">
    <w:name w:val="Char1 Char"/>
    <w:basedOn w:val="1"/>
    <w:qFormat/>
    <w:uiPriority w:val="99"/>
    <w:pPr>
      <w:tabs>
        <w:tab w:val="left" w:pos="360"/>
      </w:tabs>
      <w:spacing w:line="360" w:lineRule="auto"/>
    </w:pPr>
    <w:rPr>
      <w:sz w:val="24"/>
      <w:szCs w:val="24"/>
    </w:rPr>
  </w:style>
  <w:style w:type="paragraph" w:customStyle="1" w:styleId="306">
    <w:name w:val="列表段落2"/>
    <w:basedOn w:val="1"/>
    <w:qFormat/>
    <w:uiPriority w:val="99"/>
    <w:pPr>
      <w:ind w:firstLine="420" w:firstLineChars="200"/>
    </w:pPr>
    <w:rPr>
      <w:rFonts w:ascii="Calibri" w:hAnsi="Calibri" w:cs="Calibri"/>
    </w:rPr>
  </w:style>
  <w:style w:type="paragraph" w:customStyle="1" w:styleId="307">
    <w:name w:val="xl57"/>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08">
    <w:name w:val="font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09">
    <w:name w:val="正文1"/>
    <w:qFormat/>
    <w:uiPriority w:val="99"/>
    <w:pPr>
      <w:jc w:val="both"/>
    </w:pPr>
    <w:rPr>
      <w:rFonts w:ascii="等线" w:hAnsi="等线" w:eastAsia="宋体" w:cs="等线"/>
      <w:kern w:val="2"/>
      <w:sz w:val="21"/>
      <w:szCs w:val="21"/>
      <w:lang w:val="en-US" w:eastAsia="zh-CN" w:bidi="ar-SA"/>
    </w:rPr>
  </w:style>
  <w:style w:type="paragraph" w:customStyle="1" w:styleId="310">
    <w:name w:val="xl67"/>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b/>
      <w:bCs/>
      <w:kern w:val="0"/>
      <w:sz w:val="24"/>
      <w:szCs w:val="24"/>
    </w:rPr>
  </w:style>
  <w:style w:type="paragraph" w:customStyle="1" w:styleId="311">
    <w:name w:val="xl71"/>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12">
    <w:name w:val="列表段落21"/>
    <w:basedOn w:val="1"/>
    <w:qFormat/>
    <w:uiPriority w:val="99"/>
    <w:pPr>
      <w:widowControl/>
      <w:spacing w:after="160" w:line="259" w:lineRule="auto"/>
      <w:ind w:left="720"/>
      <w:jc w:val="left"/>
    </w:pPr>
    <w:rPr>
      <w:kern w:val="0"/>
      <w:sz w:val="22"/>
      <w:szCs w:val="22"/>
    </w:rPr>
  </w:style>
  <w:style w:type="paragraph" w:customStyle="1" w:styleId="313">
    <w:name w:val="_Style 222"/>
    <w:basedOn w:val="1"/>
    <w:next w:val="306"/>
    <w:qFormat/>
    <w:uiPriority w:val="99"/>
    <w:pPr>
      <w:ind w:firstLine="420" w:firstLineChars="200"/>
    </w:pPr>
    <w:rPr>
      <w:rFonts w:ascii="Calibri" w:hAnsi="Calibri" w:cs="Calibri"/>
    </w:rPr>
  </w:style>
  <w:style w:type="paragraph" w:customStyle="1" w:styleId="314">
    <w:name w:val="xl6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pPr>
    <w:rPr>
      <w:rFonts w:ascii="Arial Unicode MS" w:hAnsi="Arial Unicode MS" w:cs="Arial Unicode MS"/>
      <w:b/>
      <w:bCs/>
      <w:kern w:val="0"/>
      <w:sz w:val="24"/>
      <w:szCs w:val="24"/>
    </w:rPr>
  </w:style>
  <w:style w:type="paragraph" w:customStyle="1" w:styleId="315">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6">
    <w:name w:val="xl9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kern w:val="0"/>
      <w:sz w:val="24"/>
      <w:szCs w:val="24"/>
    </w:rPr>
  </w:style>
  <w:style w:type="paragraph" w:customStyle="1" w:styleId="317">
    <w:name w:val="xl53"/>
    <w:basedOn w:val="1"/>
    <w:qFormat/>
    <w:uiPriority w:val="99"/>
    <w:pPr>
      <w:widowControl/>
      <w:pBdr>
        <w:left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18">
    <w:name w:val="xl9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19">
    <w:name w:val="xl60"/>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0">
    <w:name w:val="xl9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21">
    <w:name w:val="WPSOffice手动目录 2"/>
    <w:qFormat/>
    <w:uiPriority w:val="99"/>
    <w:pPr>
      <w:ind w:left="200" w:leftChars="200"/>
    </w:pPr>
    <w:rPr>
      <w:rFonts w:ascii="Calibri" w:hAnsi="Calibri" w:eastAsia="宋体" w:cs="Calibri"/>
      <w:lang w:val="en-US" w:eastAsia="zh-CN" w:bidi="ar-SA"/>
    </w:rPr>
  </w:style>
  <w:style w:type="paragraph" w:customStyle="1" w:styleId="322">
    <w:name w:val="font11"/>
    <w:basedOn w:val="1"/>
    <w:qFormat/>
    <w:uiPriority w:val="99"/>
    <w:pPr>
      <w:widowControl/>
      <w:spacing w:before="100" w:beforeAutospacing="1" w:after="100" w:afterAutospacing="1"/>
      <w:jc w:val="left"/>
    </w:pPr>
    <w:rPr>
      <w:kern w:val="0"/>
      <w:sz w:val="24"/>
      <w:szCs w:val="24"/>
    </w:rPr>
  </w:style>
  <w:style w:type="paragraph" w:customStyle="1" w:styleId="323">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324">
    <w:name w:val="ZJGIS-四级标题"/>
    <w:basedOn w:val="6"/>
    <w:qFormat/>
    <w:uiPriority w:val="99"/>
    <w:pPr>
      <w:spacing w:before="120" w:after="120" w:line="240" w:lineRule="auto"/>
    </w:pPr>
    <w:rPr>
      <w:rFonts w:eastAsia="仿宋_GB2312"/>
    </w:rPr>
  </w:style>
  <w:style w:type="paragraph" w:customStyle="1" w:styleId="325">
    <w:name w:val="_Style 1"/>
    <w:basedOn w:val="1"/>
    <w:qFormat/>
    <w:uiPriority w:val="99"/>
    <w:pPr>
      <w:ind w:firstLine="420" w:firstLineChars="200"/>
    </w:pPr>
    <w:rPr>
      <w:rFonts w:ascii="Calibri" w:hAnsi="Calibri" w:cs="Calibri"/>
    </w:rPr>
  </w:style>
  <w:style w:type="paragraph" w:customStyle="1" w:styleId="326">
    <w:name w:val="xl76"/>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27">
    <w:name w:val="xl84"/>
    <w:basedOn w:val="1"/>
    <w:qFormat/>
    <w:uiPriority w:val="99"/>
    <w:pPr>
      <w:widowControl/>
      <w:shd w:val="clear" w:color="auto" w:fill="FFFFFF"/>
      <w:spacing w:before="100" w:beforeAutospacing="1" w:after="100" w:afterAutospacing="1"/>
      <w:jc w:val="left"/>
      <w:textAlignment w:val="center"/>
    </w:pPr>
    <w:rPr>
      <w:kern w:val="0"/>
      <w:sz w:val="24"/>
      <w:szCs w:val="24"/>
    </w:rPr>
  </w:style>
  <w:style w:type="paragraph" w:customStyle="1" w:styleId="328">
    <w:name w:val="列项——（一级）"/>
    <w:qFormat/>
    <w:uiPriority w:val="99"/>
    <w:pPr>
      <w:widowControl w:val="0"/>
      <w:ind w:left="1118" w:hanging="408"/>
      <w:jc w:val="both"/>
    </w:pPr>
    <w:rPr>
      <w:rFonts w:ascii="宋体" w:hAnsi="Times New Roman" w:eastAsia="宋体" w:cs="宋体"/>
      <w:sz w:val="21"/>
      <w:szCs w:val="21"/>
      <w:lang w:val="en-US" w:eastAsia="zh-CN" w:bidi="ar-SA"/>
    </w:rPr>
  </w:style>
  <w:style w:type="paragraph" w:customStyle="1" w:styleId="329">
    <w:name w:val="地址内"/>
    <w:basedOn w:val="1"/>
    <w:qFormat/>
    <w:uiPriority w:val="99"/>
  </w:style>
  <w:style w:type="paragraph" w:customStyle="1" w:styleId="330">
    <w:name w:val="Item List in Table"/>
    <w:qFormat/>
    <w:uiPriority w:val="99"/>
    <w:pPr>
      <w:numPr>
        <w:ilvl w:val="0"/>
        <w:numId w:val="7"/>
      </w:numPr>
      <w:tabs>
        <w:tab w:val="left" w:pos="1260"/>
      </w:tabs>
      <w:spacing w:before="40" w:after="40"/>
      <w:jc w:val="both"/>
    </w:pPr>
    <w:rPr>
      <w:rFonts w:ascii="Arial" w:hAnsi="Arial" w:eastAsia="宋体" w:cs="Arial"/>
      <w:sz w:val="18"/>
      <w:szCs w:val="18"/>
      <w:lang w:val="en-US" w:eastAsia="zh-CN" w:bidi="ar-SA"/>
    </w:rPr>
  </w:style>
  <w:style w:type="paragraph" w:customStyle="1" w:styleId="331">
    <w:name w:val="xl3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4"/>
      <w:szCs w:val="24"/>
    </w:rPr>
  </w:style>
  <w:style w:type="paragraph" w:customStyle="1" w:styleId="332">
    <w:name w:val="xl94"/>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cs="Arial Unicode MS"/>
      <w:kern w:val="0"/>
      <w:sz w:val="24"/>
      <w:szCs w:val="24"/>
    </w:rPr>
  </w:style>
  <w:style w:type="paragraph" w:customStyle="1" w:styleId="333">
    <w:name w:val="p0"/>
    <w:basedOn w:val="1"/>
    <w:qFormat/>
    <w:uiPriority w:val="99"/>
    <w:pPr>
      <w:widowControl/>
      <w:snapToGrid w:val="0"/>
      <w:spacing w:line="312" w:lineRule="atLeast"/>
    </w:pPr>
    <w:rPr>
      <w:kern w:val="0"/>
    </w:rPr>
  </w:style>
  <w:style w:type="paragraph" w:customStyle="1" w:styleId="334">
    <w:name w:val="列出段落2"/>
    <w:basedOn w:val="1"/>
    <w:qFormat/>
    <w:uiPriority w:val="99"/>
    <w:pPr>
      <w:spacing w:line="360" w:lineRule="auto"/>
      <w:ind w:firstLine="420" w:firstLineChars="200"/>
    </w:pPr>
    <w:rPr>
      <w:sz w:val="24"/>
      <w:szCs w:val="24"/>
    </w:rPr>
  </w:style>
  <w:style w:type="paragraph" w:styleId="335">
    <w:name w:val="List Paragraph"/>
    <w:basedOn w:val="1"/>
    <w:qFormat/>
    <w:uiPriority w:val="34"/>
    <w:pPr>
      <w:ind w:firstLine="420" w:firstLineChars="200"/>
    </w:pPr>
  </w:style>
  <w:style w:type="paragraph" w:customStyle="1" w:styleId="336">
    <w:name w:val="修订2"/>
    <w:hidden/>
    <w:qFormat/>
    <w:uiPriority w:val="99"/>
    <w:rPr>
      <w:rFonts w:ascii="Times New Roman" w:hAnsi="Times New Roman" w:eastAsia="宋体" w:cs="Times New Roman"/>
      <w:kern w:val="2"/>
      <w:sz w:val="21"/>
      <w:szCs w:val="21"/>
      <w:lang w:val="en-US" w:eastAsia="zh-CN" w:bidi="ar-SA"/>
    </w:rPr>
  </w:style>
  <w:style w:type="character" w:customStyle="1" w:styleId="337">
    <w:name w:val="NormalCharacter"/>
    <w:semiHidden/>
    <w:qFormat/>
    <w:uiPriority w:val="99"/>
  </w:style>
  <w:style w:type="paragraph" w:customStyle="1" w:styleId="338">
    <w:name w:val="Char5"/>
    <w:basedOn w:val="1"/>
    <w:qFormat/>
    <w:uiPriority w:val="99"/>
    <w:pPr>
      <w:tabs>
        <w:tab w:val="left" w:pos="840"/>
      </w:tabs>
      <w:ind w:left="840" w:hanging="420"/>
    </w:pPr>
    <w:rPr>
      <w:kern w:val="0"/>
      <w:sz w:val="24"/>
      <w:szCs w:val="24"/>
    </w:rPr>
  </w:style>
  <w:style w:type="paragraph" w:customStyle="1" w:styleId="339">
    <w:name w:val="Char4"/>
    <w:basedOn w:val="1"/>
    <w:qFormat/>
    <w:uiPriority w:val="99"/>
    <w:pPr>
      <w:tabs>
        <w:tab w:val="left" w:pos="840"/>
      </w:tabs>
      <w:ind w:left="840" w:hanging="420"/>
    </w:pPr>
    <w:rPr>
      <w:kern w:val="0"/>
      <w:sz w:val="24"/>
      <w:szCs w:val="24"/>
    </w:rPr>
  </w:style>
  <w:style w:type="character" w:customStyle="1" w:styleId="340">
    <w:name w:val="未处理的提及2"/>
    <w:basedOn w:val="52"/>
    <w:semiHidden/>
    <w:unhideWhenUsed/>
    <w:qFormat/>
    <w:uiPriority w:val="99"/>
    <w:rPr>
      <w:color w:val="605E5C"/>
      <w:shd w:val="clear" w:color="auto" w:fill="E1DFDD"/>
    </w:rPr>
  </w:style>
  <w:style w:type="paragraph" w:customStyle="1" w:styleId="341">
    <w:name w:val="修订3"/>
    <w:hidden/>
    <w:unhideWhenUsed/>
    <w:qFormat/>
    <w:uiPriority w:val="99"/>
    <w:rPr>
      <w:rFonts w:ascii="Times New Roman" w:hAnsi="Times New Roman" w:eastAsia="宋体" w:cs="Times New Roman"/>
      <w:kern w:val="2"/>
      <w:sz w:val="21"/>
      <w:szCs w:val="21"/>
      <w:lang w:val="en-US" w:eastAsia="zh-CN" w:bidi="ar-SA"/>
    </w:rPr>
  </w:style>
  <w:style w:type="paragraph" w:customStyle="1" w:styleId="34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43">
    <w:name w:val="179"/>
    <w:basedOn w:val="1"/>
    <w:qFormat/>
    <w:uiPriority w:val="0"/>
    <w:pPr>
      <w:ind w:firstLine="420" w:firstLineChars="200"/>
    </w:pPr>
    <w:rPr>
      <w:szCs w:val="22"/>
    </w:rPr>
  </w:style>
  <w:style w:type="character" w:customStyle="1" w:styleId="344">
    <w:name w:val="font51"/>
    <w:basedOn w:val="52"/>
    <w:qFormat/>
    <w:uiPriority w:val="0"/>
    <w:rPr>
      <w:rFonts w:hint="eastAsia" w:ascii="宋体" w:hAnsi="宋体" w:eastAsia="宋体" w:cs="宋体"/>
      <w:color w:val="000000"/>
      <w:sz w:val="24"/>
      <w:szCs w:val="24"/>
      <w:u w:val="none"/>
    </w:rPr>
  </w:style>
  <w:style w:type="character" w:customStyle="1" w:styleId="345">
    <w:name w:val="font31"/>
    <w:basedOn w:val="52"/>
    <w:qFormat/>
    <w:uiPriority w:val="0"/>
    <w:rPr>
      <w:rFonts w:hint="default" w:ascii="Times New Roman" w:hAnsi="Times New Roman" w:cs="Times New Roman"/>
      <w:color w:val="000000"/>
      <w:sz w:val="24"/>
      <w:szCs w:val="24"/>
      <w:u w:val="none"/>
    </w:rPr>
  </w:style>
  <w:style w:type="character" w:customStyle="1" w:styleId="346">
    <w:name w:val="font41"/>
    <w:basedOn w:val="52"/>
    <w:qFormat/>
    <w:uiPriority w:val="0"/>
    <w:rPr>
      <w:rFonts w:hint="eastAsia" w:ascii="宋体" w:hAnsi="宋体" w:eastAsia="宋体" w:cs="宋体"/>
      <w:color w:val="000000"/>
      <w:sz w:val="24"/>
      <w:szCs w:val="24"/>
      <w:u w:val="none"/>
    </w:rPr>
  </w:style>
  <w:style w:type="character" w:customStyle="1" w:styleId="347">
    <w:name w:val="font91"/>
    <w:basedOn w:val="52"/>
    <w:qFormat/>
    <w:uiPriority w:val="0"/>
    <w:rPr>
      <w:rFonts w:hint="eastAsia" w:ascii="微软雅黑" w:hAnsi="微软雅黑" w:eastAsia="微软雅黑" w:cs="微软雅黑"/>
      <w:color w:val="000000"/>
      <w:sz w:val="22"/>
      <w:szCs w:val="22"/>
      <w:u w:val="none"/>
    </w:rPr>
  </w:style>
  <w:style w:type="character" w:customStyle="1" w:styleId="348">
    <w:name w:val="font101"/>
    <w:basedOn w:val="52"/>
    <w:qFormat/>
    <w:uiPriority w:val="0"/>
    <w:rPr>
      <w:rFonts w:ascii="Arial Unicode MS" w:hAnsi="Arial Unicode MS" w:eastAsia="Arial Unicode MS" w:cs="Arial Unicode M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3CE8B-E432-407D-AC48-F9AE1DDD95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31809</Words>
  <Characters>34726</Characters>
  <Lines>53</Lines>
  <Paragraphs>65</Paragraphs>
  <TotalTime>7</TotalTime>
  <ScaleCrop>false</ScaleCrop>
  <LinksUpToDate>false</LinksUpToDate>
  <CharactersWithSpaces>37625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2021-06-07T07:56:00Z</dcterms:created>
  <dc:creator>cqhac</dc:creator>
  <cp:lastModifiedBy>三三</cp:lastModifiedBy>
  <cp:lastPrinted>2022-06-09T00:47:00Z</cp:lastPrinted>
  <dcterms:modified xsi:type="dcterms:W3CDTF">2023-10-23T07:27:21Z</dcterms:modified>
  <dc:title>丽水市人民医院采购全自动特定蛋白分析系统及配套和便携彩超项目</dc:title>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24978D220D954B87BC9AA961C3AEF947_13</vt:lpwstr>
  </property>
</Properties>
</file>