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40549">
      <w:pPr>
        <w:spacing w:line="360" w:lineRule="auto"/>
        <w:jc w:val="center"/>
        <w:rPr>
          <w:rFonts w:hint="eastAsia" w:ascii="宋体" w:hAnsi="宋体" w:eastAsia="宋体" w:cs="宋体"/>
          <w:b/>
          <w:color w:val="auto"/>
          <w:sz w:val="24"/>
          <w:highlight w:val="none"/>
          <w:lang w:eastAsia="zh-CN"/>
        </w:rPr>
      </w:pPr>
    </w:p>
    <w:p w14:paraId="1E097E17">
      <w:pPr>
        <w:spacing w:line="360" w:lineRule="auto"/>
        <w:jc w:val="center"/>
        <w:rPr>
          <w:rFonts w:ascii="宋体" w:hAnsi="宋体" w:cs="宋体"/>
          <w:b/>
          <w:color w:val="auto"/>
          <w:sz w:val="24"/>
          <w:highlight w:val="none"/>
        </w:rPr>
      </w:pPr>
    </w:p>
    <w:p w14:paraId="7D4F80F5">
      <w:pPr>
        <w:kinsoku/>
        <w:wordWrap/>
        <w:overflowPunct/>
        <w:topLinePunct w:val="0"/>
        <w:bidi w:val="0"/>
        <w:adjustRightInd/>
        <w:spacing w:line="360" w:lineRule="auto"/>
        <w:jc w:val="center"/>
        <w:outlineLvl w:val="9"/>
        <w:rPr>
          <w:rFonts w:hint="eastAsia" w:ascii="宋体" w:hAnsi="宋体" w:eastAsia="宋体" w:cs="宋体"/>
          <w:color w:val="auto"/>
          <w:sz w:val="48"/>
          <w:szCs w:val="48"/>
          <w:highlight w:val="none"/>
        </w:rPr>
      </w:pPr>
    </w:p>
    <w:p w14:paraId="06E9C665">
      <w:pPr>
        <w:kinsoku/>
        <w:wordWrap/>
        <w:overflowPunct/>
        <w:topLinePunct w:val="0"/>
        <w:bidi w:val="0"/>
        <w:adjustRightInd/>
        <w:spacing w:line="360" w:lineRule="auto"/>
        <w:jc w:val="center"/>
        <w:outlineLvl w:val="9"/>
        <w:rPr>
          <w:rFonts w:hint="default" w:ascii="宋体" w:hAnsi="宋体" w:eastAsia="宋体" w:cs="宋体"/>
          <w:color w:val="auto"/>
          <w:sz w:val="48"/>
          <w:szCs w:val="48"/>
          <w:highlight w:val="none"/>
          <w:lang w:val="en-US" w:eastAsia="zh-CN"/>
        </w:rPr>
      </w:pPr>
      <w:r>
        <w:rPr>
          <w:rFonts w:hint="eastAsia" w:ascii="宋体" w:hAnsi="宋体" w:eastAsia="宋体" w:cs="宋体"/>
          <w:color w:val="auto"/>
          <w:sz w:val="48"/>
          <w:szCs w:val="48"/>
          <w:highlight w:val="none"/>
        </w:rPr>
        <w:t xml:space="preserve">招标文件 </w:t>
      </w:r>
      <w:r>
        <w:rPr>
          <w:rFonts w:hint="eastAsia" w:ascii="宋体" w:hAnsi="宋体" w:eastAsia="宋体" w:cs="宋体"/>
          <w:color w:val="auto"/>
          <w:sz w:val="48"/>
          <w:szCs w:val="48"/>
          <w:highlight w:val="none"/>
          <w:lang w:eastAsia="zh-CN"/>
        </w:rPr>
        <w:t>（</w:t>
      </w:r>
      <w:r>
        <w:rPr>
          <w:rFonts w:hint="eastAsia" w:ascii="宋体" w:hAnsi="宋体" w:eastAsia="宋体" w:cs="宋体"/>
          <w:color w:val="auto"/>
          <w:sz w:val="48"/>
          <w:szCs w:val="48"/>
          <w:highlight w:val="none"/>
          <w:lang w:val="en-US" w:eastAsia="zh-CN"/>
        </w:rPr>
        <w:t>服务）</w:t>
      </w:r>
    </w:p>
    <w:p w14:paraId="0469B477">
      <w:pPr>
        <w:kinsoku/>
        <w:wordWrap/>
        <w:overflowPunct/>
        <w:topLinePunct w:val="0"/>
        <w:bidi w:val="0"/>
        <w:adjustRightInd/>
        <w:spacing w:line="360" w:lineRule="auto"/>
        <w:jc w:val="center"/>
        <w:outlineLvl w:val="9"/>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0158AE67">
      <w:pPr>
        <w:kinsoku/>
        <w:wordWrap/>
        <w:overflowPunct/>
        <w:topLinePunct w:val="0"/>
        <w:bidi w:val="0"/>
        <w:snapToGrid w:val="0"/>
        <w:spacing w:line="360" w:lineRule="auto"/>
        <w:jc w:val="left"/>
        <w:outlineLvl w:val="9"/>
        <w:rPr>
          <w:rFonts w:hint="eastAsia" w:ascii="宋体" w:hAnsi="宋体" w:eastAsia="宋体" w:cs="宋体"/>
          <w:color w:val="auto"/>
          <w:sz w:val="30"/>
          <w:szCs w:val="30"/>
          <w:highlight w:val="none"/>
        </w:rPr>
      </w:pPr>
    </w:p>
    <w:p w14:paraId="75E3711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32"/>
          <w:szCs w:val="32"/>
          <w:highlight w:val="none"/>
        </w:rPr>
      </w:pPr>
    </w:p>
    <w:p w14:paraId="039C2D2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default" w:ascii="宋体" w:hAnsi="宋体" w:eastAsia="宋体" w:cs="宋体"/>
          <w:color w:val="auto"/>
          <w:sz w:val="32"/>
          <w:szCs w:val="32"/>
          <w:highlight w:val="none"/>
          <w:lang w:val="en-US" w:eastAsia="zh-CN"/>
        </w:rPr>
      </w:pPr>
      <w:bookmarkStart w:id="0" w:name="_Toc13131"/>
      <w:r>
        <w:rPr>
          <w:rFonts w:hint="eastAsia" w:ascii="宋体" w:hAnsi="宋体" w:eastAsia="宋体" w:cs="宋体"/>
          <w:color w:val="auto"/>
          <w:sz w:val="32"/>
          <w:szCs w:val="32"/>
          <w:highlight w:val="none"/>
        </w:rPr>
        <w:t>项目编号</w:t>
      </w:r>
      <w:r>
        <w:rPr>
          <w:rFonts w:hint="eastAsia" w:ascii="宋体" w:hAnsi="宋体" w:cs="宋体"/>
          <w:color w:val="auto"/>
          <w:sz w:val="32"/>
          <w:szCs w:val="32"/>
          <w:highlight w:val="none"/>
          <w:lang w:eastAsia="zh-CN"/>
        </w:rPr>
        <w:t>：</w:t>
      </w:r>
      <w:bookmarkEnd w:id="0"/>
      <w:r>
        <w:rPr>
          <w:rFonts w:hint="eastAsia" w:ascii="宋体" w:hAnsi="宋体" w:cs="宋体"/>
          <w:color w:val="auto"/>
          <w:sz w:val="32"/>
          <w:szCs w:val="32"/>
          <w:highlight w:val="none"/>
          <w:lang w:eastAsia="zh-CN"/>
        </w:rPr>
        <w:t>2025NBHSWT304-1</w:t>
      </w:r>
    </w:p>
    <w:p w14:paraId="49CFD2B8">
      <w:pPr>
        <w:kinsoku/>
        <w:wordWrap/>
        <w:overflowPunct/>
        <w:topLinePunct w:val="0"/>
        <w:bidi w:val="0"/>
        <w:snapToGrid w:val="0"/>
        <w:spacing w:line="360" w:lineRule="auto"/>
        <w:jc w:val="left"/>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项目名称：</w:t>
      </w:r>
      <w:r>
        <w:rPr>
          <w:rFonts w:hint="eastAsia" w:ascii="宋体" w:hAnsi="宋体" w:cs="宋体"/>
          <w:color w:val="auto"/>
          <w:sz w:val="32"/>
          <w:szCs w:val="32"/>
          <w:highlight w:val="none"/>
          <w:lang w:eastAsia="zh-CN"/>
        </w:rPr>
        <w:t>宁波市海曙区第三医院导医等服务外包项目（重）</w:t>
      </w:r>
    </w:p>
    <w:p w14:paraId="1FE33D9D">
      <w:pPr>
        <w:kinsoku/>
        <w:wordWrap/>
        <w:overflowPunct/>
        <w:topLinePunct w:val="0"/>
        <w:bidi w:val="0"/>
        <w:spacing w:line="360" w:lineRule="auto"/>
        <w:jc w:val="center"/>
        <w:outlineLvl w:val="9"/>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644FB508">
      <w:pPr>
        <w:kinsoku/>
        <w:wordWrap/>
        <w:overflowPunct/>
        <w:topLinePunct w:val="0"/>
        <w:bidi w:val="0"/>
        <w:spacing w:line="360" w:lineRule="auto"/>
        <w:jc w:val="center"/>
        <w:outlineLvl w:val="9"/>
        <w:rPr>
          <w:rFonts w:ascii="宋体" w:hAnsi="宋体" w:eastAsia="宋体" w:cs="宋体"/>
          <w:b/>
          <w:color w:val="auto"/>
          <w:sz w:val="44"/>
          <w:szCs w:val="44"/>
          <w:highlight w:val="none"/>
        </w:rPr>
      </w:pPr>
    </w:p>
    <w:p w14:paraId="37DB2268">
      <w:pPr>
        <w:kinsoku/>
        <w:wordWrap/>
        <w:overflowPunct/>
        <w:topLinePunct w:val="0"/>
        <w:bidi w:val="0"/>
        <w:spacing w:line="360" w:lineRule="auto"/>
        <w:jc w:val="center"/>
        <w:outlineLvl w:val="9"/>
        <w:rPr>
          <w:rFonts w:ascii="宋体" w:hAnsi="宋体" w:eastAsia="宋体" w:cs="宋体"/>
          <w:color w:val="auto"/>
          <w:sz w:val="24"/>
          <w:highlight w:val="none"/>
        </w:rPr>
      </w:pPr>
    </w:p>
    <w:p w14:paraId="193E6DF8">
      <w:pPr>
        <w:kinsoku/>
        <w:wordWrap/>
        <w:overflowPunct/>
        <w:topLinePunct w:val="0"/>
        <w:bidi w:val="0"/>
        <w:spacing w:line="360" w:lineRule="auto"/>
        <w:outlineLvl w:val="9"/>
        <w:rPr>
          <w:rFonts w:ascii="宋体" w:hAnsi="宋体" w:eastAsia="宋体" w:cs="宋体"/>
          <w:color w:val="auto"/>
          <w:sz w:val="32"/>
          <w:szCs w:val="32"/>
          <w:highlight w:val="none"/>
        </w:rPr>
      </w:pPr>
    </w:p>
    <w:p w14:paraId="167A5187">
      <w:pPr>
        <w:kinsoku/>
        <w:wordWrap/>
        <w:overflowPunct/>
        <w:topLinePunct w:val="0"/>
        <w:bidi w:val="0"/>
        <w:spacing w:line="360" w:lineRule="auto"/>
        <w:jc w:val="center"/>
        <w:outlineLvl w:val="9"/>
        <w:rPr>
          <w:rFonts w:hint="eastAsia" w:ascii="宋体" w:hAnsi="宋体" w:eastAsia="宋体" w:cs="宋体"/>
          <w:bCs/>
          <w:color w:val="auto"/>
          <w:sz w:val="32"/>
          <w:szCs w:val="32"/>
          <w:highlight w:val="none"/>
        </w:rPr>
      </w:pPr>
    </w:p>
    <w:p w14:paraId="0CC07C0A">
      <w:pPr>
        <w:kinsoku/>
        <w:wordWrap/>
        <w:overflowPunct/>
        <w:topLinePunct w:val="0"/>
        <w:bidi w:val="0"/>
        <w:spacing w:line="360" w:lineRule="auto"/>
        <w:jc w:val="center"/>
        <w:outlineLvl w:val="0"/>
        <w:rPr>
          <w:rFonts w:hint="eastAsia" w:ascii="宋体" w:hAnsi="宋体" w:eastAsia="宋体" w:cs="宋体"/>
          <w:bCs/>
          <w:color w:val="auto"/>
          <w:sz w:val="32"/>
          <w:szCs w:val="32"/>
          <w:highlight w:val="none"/>
          <w:lang w:eastAsia="zh-CN"/>
        </w:rPr>
      </w:pPr>
      <w:bookmarkStart w:id="1" w:name="_Toc13160"/>
      <w:r>
        <w:rPr>
          <w:rFonts w:hint="eastAsia" w:ascii="宋体" w:hAnsi="宋体" w:eastAsia="宋体" w:cs="宋体"/>
          <w:bCs/>
          <w:color w:val="auto"/>
          <w:sz w:val="32"/>
          <w:szCs w:val="32"/>
          <w:highlight w:val="none"/>
        </w:rPr>
        <w:t>采购人：</w:t>
      </w:r>
      <w:bookmarkEnd w:id="1"/>
      <w:r>
        <w:rPr>
          <w:rFonts w:hint="eastAsia" w:ascii="宋体" w:hAnsi="宋体" w:cs="宋体"/>
          <w:bCs/>
          <w:color w:val="auto"/>
          <w:sz w:val="32"/>
          <w:szCs w:val="32"/>
          <w:highlight w:val="none"/>
          <w:lang w:eastAsia="zh-CN"/>
        </w:rPr>
        <w:t>宁波市海曙区第三医院</w:t>
      </w:r>
    </w:p>
    <w:p w14:paraId="61B1CA49">
      <w:pPr>
        <w:kinsoku/>
        <w:wordWrap/>
        <w:overflowPunct/>
        <w:topLinePunct w:val="0"/>
        <w:bidi w:val="0"/>
        <w:spacing w:line="360" w:lineRule="auto"/>
        <w:jc w:val="center"/>
        <w:outlineLvl w:val="9"/>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采购代理机构：宁波中基国际招标有限公司</w:t>
      </w:r>
    </w:p>
    <w:p w14:paraId="5B4088B8">
      <w:pPr>
        <w:kinsoku/>
        <w:wordWrap/>
        <w:overflowPunct/>
        <w:topLinePunct w:val="0"/>
        <w:bidi w:val="0"/>
        <w:snapToGrid w:val="0"/>
        <w:spacing w:line="360" w:lineRule="auto"/>
        <w:jc w:val="center"/>
        <w:outlineLvl w:val="9"/>
        <w:rPr>
          <w:rFonts w:hint="eastAsia" w:ascii="宋体" w:hAnsi="宋体" w:eastAsia="宋体" w:cs="宋体"/>
          <w:bCs/>
          <w:color w:val="auto"/>
          <w:sz w:val="32"/>
          <w:szCs w:val="32"/>
          <w:highlight w:val="none"/>
        </w:rPr>
      </w:pPr>
    </w:p>
    <w:p w14:paraId="719FBC9C">
      <w:pPr>
        <w:snapToGrid w:val="0"/>
        <w:spacing w:line="360" w:lineRule="auto"/>
        <w:jc w:val="center"/>
        <w:rPr>
          <w:rFonts w:ascii="宋体" w:hAnsi="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p>
    <w:p w14:paraId="566E69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2" w:name="_Hlt67893495"/>
      <w:bookmarkEnd w:id="2"/>
    </w:p>
    <w:p w14:paraId="55D8498F">
      <w:pPr>
        <w:pStyle w:val="634"/>
        <w:outlineLvl w:val="9"/>
        <w:rPr>
          <w:color w:val="auto"/>
          <w:highlight w:val="none"/>
        </w:rPr>
      </w:pPr>
    </w:p>
    <w:sdt>
      <w:sdtPr>
        <w:rPr>
          <w:rFonts w:ascii="宋体" w:hAnsi="宋体" w:eastAsia="宋体" w:cs="Times New Roman"/>
          <w:color w:val="auto"/>
          <w:kern w:val="2"/>
          <w:sz w:val="21"/>
          <w:szCs w:val="24"/>
          <w:highlight w:val="none"/>
          <w:lang w:val="en-US" w:eastAsia="zh-CN" w:bidi="ar-SA"/>
        </w:rPr>
        <w:id w:val="147455968"/>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2EEFDDBE">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b/>
              <w:color w:val="auto"/>
              <w:sz w:val="48"/>
              <w:szCs w:val="48"/>
              <w:highlight w:val="none"/>
            </w:rPr>
            <w:t>目</w:t>
          </w:r>
          <w:r>
            <w:rPr>
              <w:rFonts w:hint="eastAsia" w:ascii="宋体" w:hAnsi="宋体" w:eastAsia="宋体" w:cs="宋体"/>
              <w:b/>
              <w:color w:val="auto"/>
              <w:sz w:val="48"/>
              <w:szCs w:val="48"/>
              <w:highlight w:val="none"/>
              <w:lang w:val="en-US" w:eastAsia="zh-CN"/>
            </w:rPr>
            <w:t xml:space="preserve">  </w:t>
          </w:r>
          <w:r>
            <w:rPr>
              <w:rFonts w:hint="eastAsia" w:ascii="宋体" w:hAnsi="宋体" w:eastAsia="宋体" w:cs="宋体"/>
              <w:b/>
              <w:color w:val="auto"/>
              <w:sz w:val="48"/>
              <w:szCs w:val="48"/>
              <w:highlight w:val="none"/>
            </w:rPr>
            <w:t>录</w:t>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p>
        <w:p w14:paraId="26D9168C">
          <w:pPr>
            <w:pStyle w:val="964"/>
            <w:keepNext w:val="0"/>
            <w:keepLines w:val="0"/>
            <w:pageBreakBefore w:val="0"/>
            <w:tabs>
              <w:tab w:val="right" w:leader="dot" w:pos="9070"/>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_Toc12416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第一部分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_Toc12416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36E7370">
          <w:pPr>
            <w:pStyle w:val="964"/>
            <w:keepNext w:val="0"/>
            <w:keepLines w:val="0"/>
            <w:pageBreakBefore w:val="0"/>
            <w:tabs>
              <w:tab w:val="right" w:leader="dot" w:pos="9070"/>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_Toc10724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_Toc10724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ACB4DAC">
          <w:pPr>
            <w:pStyle w:val="964"/>
            <w:keepNext w:val="0"/>
            <w:keepLines w:val="0"/>
            <w:pageBreakBefore w:val="0"/>
            <w:tabs>
              <w:tab w:val="right" w:leader="dot" w:pos="9070"/>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_Toc32002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_Toc32002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62C7BA9">
          <w:pPr>
            <w:pStyle w:val="964"/>
            <w:keepNext w:val="0"/>
            <w:keepLines w:val="0"/>
            <w:pageBreakBefore w:val="0"/>
            <w:tabs>
              <w:tab w:val="right" w:leader="dot" w:pos="9070"/>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_Toc29935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_Toc29935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25DBBA0">
          <w:pPr>
            <w:pStyle w:val="964"/>
            <w:keepNext w:val="0"/>
            <w:keepLines w:val="0"/>
            <w:pageBreakBefore w:val="0"/>
            <w:tabs>
              <w:tab w:val="right" w:leader="dot" w:pos="9070"/>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_Toc23544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_Toc23544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7EA54E9">
          <w:pPr>
            <w:pStyle w:val="964"/>
            <w:keepNext w:val="0"/>
            <w:keepLines w:val="0"/>
            <w:pageBreakBefore w:val="0"/>
            <w:tabs>
              <w:tab w:val="right" w:leader="dot" w:pos="9070"/>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_Toc75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_Toc75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39</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CE4E390">
          <w:pPr>
            <w:keepNext w:val="0"/>
            <w:keepLines w:val="0"/>
            <w:pageBreakBefore w:val="0"/>
            <w:kinsoku/>
            <w:wordWrap/>
            <w:overflowPunct/>
            <w:topLinePunct w:val="0"/>
            <w:autoSpaceDE/>
            <w:autoSpaceDN/>
            <w:bidi w:val="0"/>
            <w:snapToGrid/>
            <w:spacing w:line="360" w:lineRule="auto"/>
            <w:textAlignment w:val="auto"/>
            <w:rPr>
              <w:color w:val="auto"/>
              <w:highlight w:val="none"/>
            </w:rPr>
          </w:pPr>
          <w:r>
            <w:rPr>
              <w:rFonts w:hint="eastAsia" w:ascii="宋体" w:hAnsi="宋体" w:eastAsia="宋体" w:cs="宋体"/>
              <w:color w:val="auto"/>
              <w:sz w:val="32"/>
              <w:szCs w:val="32"/>
              <w:highlight w:val="none"/>
            </w:rPr>
            <w:fldChar w:fldCharType="end"/>
          </w:r>
        </w:p>
      </w:sdtContent>
    </w:sdt>
    <w:p w14:paraId="33C4A45F">
      <w:pPr>
        <w:spacing w:line="360" w:lineRule="auto"/>
        <w:ind w:firstLine="549" w:firstLineChars="229"/>
        <w:rPr>
          <w:rFonts w:ascii="宋体" w:hAnsi="宋体" w:cs="宋体"/>
          <w:color w:val="auto"/>
          <w:sz w:val="24"/>
          <w:highlight w:val="none"/>
        </w:rPr>
      </w:pPr>
      <w:bookmarkStart w:id="3" w:name="_Toc91899869"/>
    </w:p>
    <w:p w14:paraId="3923D25F">
      <w:pPr>
        <w:spacing w:line="360" w:lineRule="auto"/>
        <w:ind w:firstLine="549" w:firstLineChars="229"/>
        <w:rPr>
          <w:rFonts w:ascii="宋体" w:hAnsi="宋体" w:cs="宋体"/>
          <w:color w:val="auto"/>
          <w:sz w:val="24"/>
          <w:highlight w:val="none"/>
        </w:rPr>
      </w:pPr>
    </w:p>
    <w:p w14:paraId="16BFCA97">
      <w:pPr>
        <w:spacing w:line="360" w:lineRule="auto"/>
        <w:ind w:firstLine="549" w:firstLineChars="229"/>
        <w:rPr>
          <w:rFonts w:ascii="宋体" w:hAnsi="宋体" w:cs="宋体"/>
          <w:color w:val="auto"/>
          <w:sz w:val="24"/>
          <w:highlight w:val="none"/>
        </w:rPr>
      </w:pPr>
    </w:p>
    <w:p w14:paraId="10264058">
      <w:pPr>
        <w:spacing w:line="360" w:lineRule="auto"/>
        <w:ind w:firstLine="549" w:firstLineChars="229"/>
        <w:rPr>
          <w:rFonts w:ascii="宋体" w:hAnsi="宋体" w:cs="宋体"/>
          <w:color w:val="auto"/>
          <w:sz w:val="24"/>
          <w:highlight w:val="none"/>
        </w:rPr>
      </w:pPr>
    </w:p>
    <w:p w14:paraId="0FF265BA">
      <w:pPr>
        <w:spacing w:line="360" w:lineRule="auto"/>
        <w:ind w:firstLine="549" w:firstLineChars="229"/>
        <w:rPr>
          <w:rFonts w:ascii="宋体" w:hAnsi="宋体" w:cs="宋体"/>
          <w:color w:val="auto"/>
          <w:sz w:val="24"/>
          <w:highlight w:val="none"/>
        </w:rPr>
      </w:pPr>
    </w:p>
    <w:p w14:paraId="3624A162">
      <w:pPr>
        <w:spacing w:line="360" w:lineRule="auto"/>
        <w:ind w:firstLine="549" w:firstLineChars="229"/>
        <w:rPr>
          <w:rFonts w:ascii="宋体" w:hAnsi="宋体" w:cs="宋体"/>
          <w:color w:val="auto"/>
          <w:sz w:val="24"/>
          <w:highlight w:val="none"/>
        </w:rPr>
      </w:pPr>
    </w:p>
    <w:p w14:paraId="5BE5572C">
      <w:pPr>
        <w:spacing w:line="360" w:lineRule="auto"/>
        <w:ind w:firstLine="549" w:firstLineChars="229"/>
        <w:rPr>
          <w:rFonts w:ascii="宋体" w:hAnsi="宋体" w:cs="宋体"/>
          <w:color w:val="auto"/>
          <w:sz w:val="24"/>
          <w:highlight w:val="none"/>
        </w:rPr>
      </w:pPr>
    </w:p>
    <w:p w14:paraId="770D20EB">
      <w:pPr>
        <w:spacing w:line="360" w:lineRule="auto"/>
        <w:ind w:firstLine="549" w:firstLineChars="229"/>
        <w:rPr>
          <w:rFonts w:ascii="宋体" w:hAnsi="宋体" w:cs="宋体"/>
          <w:color w:val="auto"/>
          <w:sz w:val="24"/>
          <w:highlight w:val="none"/>
        </w:rPr>
      </w:pPr>
    </w:p>
    <w:p w14:paraId="46B036A0">
      <w:pPr>
        <w:spacing w:line="360" w:lineRule="auto"/>
        <w:ind w:firstLine="549" w:firstLineChars="229"/>
        <w:rPr>
          <w:rFonts w:ascii="宋体" w:hAnsi="宋体" w:cs="宋体"/>
          <w:color w:val="auto"/>
          <w:sz w:val="24"/>
          <w:highlight w:val="none"/>
        </w:rPr>
      </w:pPr>
    </w:p>
    <w:p w14:paraId="35C2774C">
      <w:pPr>
        <w:spacing w:line="360" w:lineRule="auto"/>
        <w:ind w:firstLine="549" w:firstLineChars="229"/>
        <w:rPr>
          <w:rFonts w:ascii="宋体" w:hAnsi="宋体" w:cs="宋体"/>
          <w:color w:val="auto"/>
          <w:sz w:val="24"/>
          <w:highlight w:val="none"/>
        </w:rPr>
      </w:pPr>
    </w:p>
    <w:p w14:paraId="569B374E">
      <w:pPr>
        <w:spacing w:line="360" w:lineRule="auto"/>
        <w:ind w:firstLine="549" w:firstLineChars="229"/>
        <w:rPr>
          <w:rFonts w:ascii="宋体" w:hAnsi="宋体" w:cs="宋体"/>
          <w:color w:val="auto"/>
          <w:sz w:val="24"/>
          <w:highlight w:val="none"/>
        </w:rPr>
      </w:pPr>
    </w:p>
    <w:p w14:paraId="32746C4A">
      <w:pPr>
        <w:spacing w:line="360" w:lineRule="auto"/>
        <w:ind w:firstLine="549" w:firstLineChars="229"/>
        <w:rPr>
          <w:rFonts w:ascii="宋体" w:hAnsi="宋体" w:cs="宋体"/>
          <w:color w:val="auto"/>
          <w:sz w:val="24"/>
          <w:highlight w:val="none"/>
        </w:rPr>
      </w:pPr>
    </w:p>
    <w:p w14:paraId="71386651">
      <w:pPr>
        <w:spacing w:line="360" w:lineRule="auto"/>
        <w:rPr>
          <w:rFonts w:ascii="宋体" w:hAnsi="宋体" w:cs="宋体"/>
          <w:color w:val="auto"/>
          <w:sz w:val="24"/>
          <w:highlight w:val="none"/>
        </w:rPr>
      </w:pPr>
    </w:p>
    <w:bookmarkEnd w:id="3"/>
    <w:p w14:paraId="7B1A6C0A">
      <w:pPr>
        <w:adjustRightInd/>
        <w:spacing w:line="360" w:lineRule="auto"/>
        <w:jc w:val="center"/>
        <w:outlineLvl w:val="9"/>
        <w:rPr>
          <w:rFonts w:hint="eastAsia" w:ascii="宋体" w:hAnsi="宋体" w:cs="宋体"/>
          <w:b/>
          <w:color w:val="auto"/>
          <w:sz w:val="36"/>
          <w:szCs w:val="20"/>
          <w:highlight w:val="none"/>
        </w:rPr>
        <w:sectPr>
          <w:headerReference r:id="rId3" w:type="default"/>
          <w:footerReference r:id="rId4" w:type="even"/>
          <w:pgSz w:w="11906" w:h="16838"/>
          <w:pgMar w:top="680" w:right="1418" w:bottom="468" w:left="1418" w:header="851" w:footer="992" w:gutter="0"/>
          <w:cols w:space="720" w:num="1"/>
          <w:titlePg/>
          <w:docGrid w:linePitch="312" w:charSpace="0"/>
        </w:sectPr>
      </w:pPr>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p>
    <w:p w14:paraId="59E706D9">
      <w:pPr>
        <w:adjustRightInd/>
        <w:spacing w:line="360" w:lineRule="auto"/>
        <w:jc w:val="center"/>
        <w:outlineLvl w:val="0"/>
        <w:rPr>
          <w:rFonts w:ascii="宋体" w:hAnsi="宋体" w:cs="宋体"/>
          <w:b/>
          <w:color w:val="auto"/>
          <w:sz w:val="36"/>
          <w:szCs w:val="20"/>
          <w:highlight w:val="none"/>
        </w:rPr>
      </w:pPr>
      <w:bookmarkStart w:id="11" w:name="_Toc12416"/>
      <w:r>
        <w:rPr>
          <w:rFonts w:hint="eastAsia" w:ascii="宋体" w:hAnsi="宋体" w:cs="宋体"/>
          <w:b/>
          <w:color w:val="auto"/>
          <w:sz w:val="36"/>
          <w:szCs w:val="20"/>
          <w:highlight w:val="none"/>
        </w:rPr>
        <w:t>第一部分 招标公告</w:t>
      </w:r>
      <w:bookmarkEnd w:id="11"/>
    </w:p>
    <w:p w14:paraId="54A1290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B2F32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（宁波市海曙区第三医院导医等服务外包项目（重）</w:t>
      </w:r>
      <w:r>
        <w:rPr>
          <w:rFonts w:hint="eastAsia" w:ascii="宋体" w:hAnsi="宋体" w:cs="宋体"/>
          <w:color w:val="auto"/>
          <w:sz w:val="24"/>
          <w:highlight w:val="none"/>
        </w:rPr>
        <w:t>招标项目的潜在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eastAsia="zh-CN"/>
        </w:rPr>
        <w:t>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CB45824">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144F235">
      <w:pPr>
        <w:keepNext w:val="0"/>
        <w:keepLines w:val="0"/>
        <w:pageBreakBefore w:val="0"/>
        <w:kinsoku/>
        <w:wordWrap/>
        <w:overflowPunct/>
        <w:topLinePunct w:val="0"/>
        <w:autoSpaceDE/>
        <w:autoSpaceDN/>
        <w:bidi w:val="0"/>
        <w:adjustRightInd w:val="0"/>
        <w:snapToGrid/>
        <w:spacing w:line="360" w:lineRule="auto"/>
        <w:textAlignment w:val="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2025NBHSWT304-1</w:t>
      </w:r>
    </w:p>
    <w:p w14:paraId="2F3718A0">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宁波市海曙区第三医院导医等服务外包项目（重）</w:t>
      </w:r>
    </w:p>
    <w:p w14:paraId="0972878A">
      <w:pPr>
        <w:keepNext w:val="0"/>
        <w:keepLines w:val="0"/>
        <w:pageBreakBefore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u w:val="none"/>
          <w:lang w:val="en-US" w:eastAsia="zh-CN"/>
        </w:rPr>
        <w:t>1600000</w:t>
      </w:r>
      <w:r>
        <w:rPr>
          <w:rFonts w:hint="eastAsia" w:ascii="宋体" w:hAnsi="宋体" w:cs="宋体"/>
          <w:b w:val="0"/>
          <w:bCs/>
          <w:color w:val="auto"/>
          <w:sz w:val="24"/>
          <w:highlight w:val="none"/>
          <w:u w:val="none"/>
          <w:lang w:eastAsia="zh-CN"/>
        </w:rPr>
        <w:t>.</w:t>
      </w:r>
      <w:r>
        <w:rPr>
          <w:rFonts w:hint="eastAsia" w:ascii="宋体" w:hAnsi="宋体" w:cs="宋体"/>
          <w:b w:val="0"/>
          <w:bCs/>
          <w:color w:val="auto"/>
          <w:sz w:val="24"/>
          <w:highlight w:val="none"/>
          <w:lang w:eastAsia="zh-CN"/>
        </w:rPr>
        <w:t>00</w:t>
      </w:r>
    </w:p>
    <w:p w14:paraId="7DF92BE4">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1600000</w:t>
      </w:r>
      <w:r>
        <w:rPr>
          <w:rFonts w:hint="eastAsia" w:ascii="宋体" w:hAnsi="宋体" w:cs="宋体"/>
          <w:b w:val="0"/>
          <w:bCs/>
          <w:color w:val="auto"/>
          <w:sz w:val="24"/>
          <w:highlight w:val="none"/>
          <w:lang w:eastAsia="zh-CN"/>
        </w:rPr>
        <w:t>.00</w:t>
      </w:r>
    </w:p>
    <w:p w14:paraId="12B79BF6">
      <w:pPr>
        <w:keepNext w:val="0"/>
        <w:keepLines w:val="0"/>
        <w:pageBreakBefore w:val="0"/>
        <w:kinsoku/>
        <w:wordWrap/>
        <w:overflowPunct/>
        <w:topLinePunct w:val="0"/>
        <w:autoSpaceDE/>
        <w:autoSpaceDN/>
        <w:bidi w:val="0"/>
        <w:adjustRightInd w:val="0"/>
        <w:snapToGrid/>
        <w:spacing w:line="360" w:lineRule="auto"/>
        <w:ind w:left="479" w:leftChars="228" w:firstLine="0" w:firstLineChars="0"/>
        <w:textAlignment w:val="auto"/>
        <w:rPr>
          <w:rFonts w:hint="default" w:asciiTheme="minorEastAsia" w:hAnsiTheme="minorEastAsia" w:eastAsiaTheme="minorEastAsia"/>
          <w:b w:val="0"/>
          <w:bCs/>
          <w:color w:val="auto"/>
          <w:sz w:val="24"/>
          <w:highlight w:val="none"/>
          <w:lang w:val="en-US" w:eastAsia="zh-CN"/>
        </w:rPr>
      </w:pPr>
      <w:r>
        <w:rPr>
          <w:rFonts w:hint="eastAsia" w:ascii="宋体" w:hAnsi="宋体" w:eastAsia="宋体" w:cs="宋体"/>
          <w:b/>
          <w:color w:val="auto"/>
          <w:sz w:val="24"/>
          <w:highlight w:val="none"/>
        </w:rPr>
        <w:t>采购</w:t>
      </w:r>
      <w:r>
        <w:rPr>
          <w:rFonts w:hint="eastAsia" w:asciiTheme="minorEastAsia" w:hAnsiTheme="minorEastAsia" w:eastAsiaTheme="minorEastAsia"/>
          <w:b/>
          <w:color w:val="auto"/>
          <w:sz w:val="24"/>
          <w:highlight w:val="none"/>
        </w:rPr>
        <w:t>需求：</w:t>
      </w:r>
      <w:r>
        <w:rPr>
          <w:rFonts w:hint="eastAsia" w:asciiTheme="minorEastAsia" w:hAnsiTheme="minorEastAsia" w:eastAsiaTheme="minorEastAsia"/>
          <w:b w:val="0"/>
          <w:bCs/>
          <w:color w:val="auto"/>
          <w:sz w:val="24"/>
          <w:highlight w:val="none"/>
          <w:lang w:val="en-US" w:eastAsia="zh-CN"/>
        </w:rPr>
        <w:br w:type="textWrapping"/>
      </w:r>
      <w:r>
        <w:rPr>
          <w:rFonts w:hint="eastAsia" w:asciiTheme="minorEastAsia" w:hAnsiTheme="minorEastAsia" w:eastAsiaTheme="minorEastAsia"/>
          <w:b/>
          <w:bCs w:val="0"/>
          <w:color w:val="auto"/>
          <w:sz w:val="24"/>
          <w:highlight w:val="none"/>
          <w:lang w:val="en-US" w:eastAsia="zh-CN"/>
        </w:rPr>
        <w:t>标项名称：</w:t>
      </w:r>
      <w:r>
        <w:rPr>
          <w:rFonts w:hint="eastAsia" w:ascii="宋体" w:hAnsi="宋体" w:cs="宋体"/>
          <w:color w:val="auto"/>
          <w:sz w:val="24"/>
          <w:highlight w:val="none"/>
          <w:lang w:eastAsia="zh-CN"/>
        </w:rPr>
        <w:t>宁波市海曙区第三医院导医等服务外包项目</w:t>
      </w:r>
    </w:p>
    <w:p w14:paraId="03A27AC0">
      <w:pPr>
        <w:pStyle w:val="129"/>
        <w:keepNext w:val="0"/>
        <w:keepLines w:val="0"/>
        <w:pageBreakBefore w:val="0"/>
        <w:kinsoku/>
        <w:wordWrap/>
        <w:overflowPunct/>
        <w:topLinePunct w:val="0"/>
        <w:autoSpaceDE/>
        <w:autoSpaceDN/>
        <w:bidi w:val="0"/>
        <w:adjustRightInd w:val="0"/>
        <w:snapToGrid/>
        <w:spacing w:before="0" w:line="360" w:lineRule="auto"/>
        <w:ind w:left="479" w:leftChars="228" w:firstLine="0" w:firstLineChars="0"/>
        <w:textAlignment w:val="auto"/>
        <w:outlineLvl w:val="2"/>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bCs w:val="0"/>
          <w:color w:val="auto"/>
          <w:sz w:val="24"/>
          <w:highlight w:val="none"/>
          <w:lang w:val="en-US" w:eastAsia="zh-CN"/>
        </w:rPr>
        <w:t>数量：</w:t>
      </w:r>
      <w:r>
        <w:rPr>
          <w:rFonts w:hint="eastAsia" w:asciiTheme="minorEastAsia" w:hAnsiTheme="minorEastAsia" w:eastAsiaTheme="minorEastAsia"/>
          <w:b w:val="0"/>
          <w:bCs/>
          <w:color w:val="auto"/>
          <w:sz w:val="24"/>
          <w:highlight w:val="none"/>
          <w:lang w:val="en-US" w:eastAsia="zh-CN"/>
        </w:rPr>
        <w:t>1项</w:t>
      </w:r>
    </w:p>
    <w:p w14:paraId="677F8DA3">
      <w:pPr>
        <w:pStyle w:val="129"/>
        <w:keepNext w:val="0"/>
        <w:keepLines w:val="0"/>
        <w:pageBreakBefore w:val="0"/>
        <w:kinsoku/>
        <w:wordWrap/>
        <w:overflowPunct/>
        <w:topLinePunct w:val="0"/>
        <w:autoSpaceDE/>
        <w:autoSpaceDN/>
        <w:bidi w:val="0"/>
        <w:adjustRightInd w:val="0"/>
        <w:snapToGrid/>
        <w:spacing w:before="0" w:line="360" w:lineRule="auto"/>
        <w:ind w:left="479" w:leftChars="228" w:firstLine="0" w:firstLineChars="0"/>
        <w:textAlignment w:val="auto"/>
        <w:outlineLvl w:val="2"/>
        <w:rPr>
          <w:rFonts w:hint="eastAsia"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bCs w:val="0"/>
          <w:color w:val="auto"/>
          <w:sz w:val="24"/>
          <w:highlight w:val="none"/>
          <w:lang w:val="en-US" w:eastAsia="zh-CN"/>
        </w:rPr>
        <w:t>预算金额（元）：1600000.00</w:t>
      </w:r>
    </w:p>
    <w:p w14:paraId="27EB4F31">
      <w:pPr>
        <w:pStyle w:val="129"/>
        <w:keepNext w:val="0"/>
        <w:keepLines w:val="0"/>
        <w:pageBreakBefore w:val="0"/>
        <w:kinsoku/>
        <w:wordWrap/>
        <w:overflowPunct/>
        <w:topLinePunct w:val="0"/>
        <w:autoSpaceDE/>
        <w:autoSpaceDN/>
        <w:bidi w:val="0"/>
        <w:adjustRightInd w:val="0"/>
        <w:snapToGrid/>
        <w:spacing w:before="0" w:line="360" w:lineRule="auto"/>
        <w:ind w:left="19" w:leftChars="9" w:firstLine="460" w:firstLineChars="191"/>
        <w:textAlignment w:val="auto"/>
        <w:outlineLvl w:val="2"/>
        <w:rPr>
          <w:rFonts w:hint="default" w:ascii="宋体" w:hAnsi="宋体" w:cs="宋体"/>
          <w:b/>
          <w:color w:val="auto"/>
          <w:highlight w:val="none"/>
          <w:lang w:val="en-US" w:eastAsia="zh-CN"/>
        </w:rPr>
      </w:pPr>
      <w:r>
        <w:rPr>
          <w:rFonts w:hint="eastAsia" w:asciiTheme="minorEastAsia" w:hAnsiTheme="minorEastAsia" w:eastAsiaTheme="minorEastAsia"/>
          <w:b/>
          <w:bCs w:val="0"/>
          <w:color w:val="auto"/>
          <w:sz w:val="24"/>
          <w:highlight w:val="none"/>
          <w:lang w:val="en-US" w:eastAsia="zh-CN"/>
        </w:rPr>
        <w:t>简要规格描述或项目基本概况介绍、用途</w:t>
      </w:r>
      <w:r>
        <w:rPr>
          <w:rFonts w:hint="eastAsia" w:asciiTheme="minorEastAsia" w:hAnsiTheme="minorEastAsia" w:eastAsiaTheme="minorEastAsia"/>
          <w:b w:val="0"/>
          <w:bCs/>
          <w:color w:val="auto"/>
          <w:sz w:val="24"/>
          <w:highlight w:val="none"/>
          <w:lang w:val="en-US" w:eastAsia="zh-CN"/>
        </w:rPr>
        <w:t>：具体以招标文件第三部分采购需求为准，供应商可点击本公告下方“浏览采购文件”查看采购需求。</w:t>
      </w:r>
    </w:p>
    <w:p w14:paraId="51B5DBDA">
      <w:pPr>
        <w:pStyle w:val="129"/>
        <w:keepNext w:val="0"/>
        <w:keepLines w:val="0"/>
        <w:pageBreakBefore w:val="0"/>
        <w:kinsoku/>
        <w:wordWrap/>
        <w:overflowPunct/>
        <w:topLinePunct w:val="0"/>
        <w:autoSpaceDE/>
        <w:autoSpaceDN/>
        <w:bidi w:val="0"/>
        <w:adjustRightInd w:val="0"/>
        <w:snapToGrid/>
        <w:spacing w:before="0" w:line="360" w:lineRule="auto"/>
        <w:ind w:firstLine="482"/>
        <w:textAlignment w:val="auto"/>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highlight w:val="none"/>
          <w:lang w:val="en-US" w:eastAsia="zh-CN"/>
        </w:rPr>
        <w:t>自合同签订之日起三年。合同须一年一签，采购人根据中标人在上一阶段合同履约、考核情况及财政资金审批情况决定是否续签。</w:t>
      </w:r>
    </w:p>
    <w:p w14:paraId="17DDE5A7">
      <w:pPr>
        <w:pStyle w:val="2"/>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hAnsi="宋体" w:eastAsia="宋体" w:cs="宋体"/>
          <w:b/>
          <w:color w:val="auto"/>
          <w:sz w:val="24"/>
          <w:highlight w:val="none"/>
          <w:lang w:val="en-US" w:eastAsia="zh-CN"/>
        </w:rPr>
      </w:pPr>
      <w:r>
        <w:rPr>
          <w:rFonts w:hint="eastAsia" w:hAnsi="宋体" w:cs="宋体"/>
          <w:b/>
          <w:color w:val="auto"/>
          <w:sz w:val="24"/>
          <w:highlight w:val="none"/>
          <w:lang w:val="en-US" w:eastAsia="zh-CN"/>
        </w:rPr>
        <w:t>备注：</w:t>
      </w:r>
      <w:r>
        <w:rPr>
          <w:rFonts w:hint="eastAsia" w:hAnsi="宋体" w:cs="宋体"/>
          <w:b w:val="0"/>
          <w:bCs/>
          <w:color w:val="auto"/>
          <w:sz w:val="24"/>
          <w:highlight w:val="none"/>
          <w:lang w:val="en-US" w:eastAsia="zh-CN"/>
        </w:rPr>
        <w:t>（1）组成联合体的成员（含联合体牵头人）数量不超过2个。</w:t>
      </w:r>
    </w:p>
    <w:p w14:paraId="34F61D5B">
      <w:pPr>
        <w:pStyle w:val="2"/>
        <w:keepNext w:val="0"/>
        <w:keepLines w:val="0"/>
        <w:pageBreakBefore w:val="0"/>
        <w:kinsoku/>
        <w:wordWrap/>
        <w:overflowPunct/>
        <w:topLinePunct w:val="0"/>
        <w:autoSpaceDE/>
        <w:autoSpaceDN/>
        <w:bidi w:val="0"/>
        <w:adjustRightInd w:val="0"/>
        <w:snapToGrid/>
        <w:spacing w:line="360" w:lineRule="auto"/>
        <w:ind w:firstLine="480"/>
        <w:textAlignment w:val="auto"/>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2D4C2F1">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09F682C">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、中国政府采购网（www.ccgp.gov.cn）列入失信被执行人、重大税收违法案件当事人名单（重大税收违法失信主体）、政府采购严重违法失信行为记录名单；</w:t>
      </w:r>
    </w:p>
    <w:p w14:paraId="237DD0C2">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w:t>
      </w:r>
      <w:r>
        <w:rPr>
          <w:rFonts w:hint="eastAsia" w:ascii="宋体" w:hAnsi="宋体" w:eastAsia="宋体" w:cs="宋体"/>
          <w:snapToGrid w:val="0"/>
          <w:color w:val="auto"/>
          <w:kern w:val="28"/>
          <w:sz w:val="24"/>
          <w:szCs w:val="20"/>
          <w:highlight w:val="none"/>
        </w:rPr>
        <w:t>联合体</w:t>
      </w:r>
      <w:r>
        <w:rPr>
          <w:rFonts w:hint="eastAsia" w:ascii="宋体" w:hAnsi="宋体" w:cs="宋体"/>
          <w:snapToGrid w:val="0"/>
          <w:color w:val="auto"/>
          <w:kern w:val="28"/>
          <w:sz w:val="24"/>
          <w:szCs w:val="20"/>
          <w:highlight w:val="none"/>
        </w:rPr>
        <w:t>形式投标的，提供联合协议；</w:t>
      </w:r>
    </w:p>
    <w:p w14:paraId="13FB139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13B5DB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无（注：不得限制大中型企业与小微企业组成联合体参与投标）；</w:t>
      </w:r>
    </w:p>
    <w:p w14:paraId="438C886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2C091A2">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08A4A1B6">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27A1FE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57A3B0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C80554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5D6D52E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B69F458">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3351232">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04</w:t>
      </w:r>
      <w:r>
        <w:rPr>
          <w:rFonts w:hint="eastAsia" w:ascii="宋体" w:hAnsi="宋体" w:eastAsia="宋体" w:cs="宋体"/>
          <w:color w:val="auto"/>
          <w:sz w:val="24"/>
          <w:highlight w:val="none"/>
          <w:lang w:eastAsia="zh-CN"/>
        </w:rPr>
        <w:t>日至</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eastAsia="zh-CN"/>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51E90E16">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431F58B7">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C99C06D">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14:paraId="403D7048">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C7B44E6">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24</w:t>
      </w:r>
      <w:r>
        <w:rPr>
          <w:rFonts w:hint="eastAsia" w:ascii="宋体" w:hAnsi="宋体" w:eastAsia="宋体" w:cs="宋体"/>
          <w:color w:val="auto"/>
          <w:sz w:val="24"/>
          <w:highlight w:val="none"/>
          <w:lang w:eastAsia="zh-CN"/>
        </w:rPr>
        <w:t>日</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lang w:eastAsia="zh-CN"/>
        </w:rPr>
        <w:t>点</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lang w:eastAsia="zh-CN"/>
        </w:rPr>
        <w:t>分00秒</w:t>
      </w:r>
      <w:r>
        <w:rPr>
          <w:rFonts w:hint="eastAsia" w:ascii="宋体" w:hAnsi="宋体" w:cs="宋体"/>
          <w:color w:val="auto"/>
          <w:sz w:val="24"/>
          <w:highlight w:val="none"/>
        </w:rPr>
        <w:t>（北京时间）</w:t>
      </w:r>
    </w:p>
    <w:p w14:paraId="6EBADE25">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lang w:eastAsia="zh-CN"/>
        </w:rPr>
        <w:t>宁波市海曙区营商环境服务中心</w:t>
      </w:r>
      <w:r>
        <w:rPr>
          <w:rFonts w:hint="eastAsia" w:asciiTheme="minorEastAsia" w:hAnsiTheme="minorEastAsia" w:eastAsiaTheme="minorEastAsia"/>
          <w:color w:val="auto"/>
          <w:sz w:val="24"/>
          <w:highlight w:val="none"/>
        </w:rPr>
        <w:t>二楼开标室（</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宁波市海曙区气象路58号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南门上</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]。政府采购云平台（http://www.zcygov.cn/）。</w:t>
      </w:r>
    </w:p>
    <w:p w14:paraId="0D247272">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07月24</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分00秒</w:t>
      </w:r>
    </w:p>
    <w:p w14:paraId="5091CD4B">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lang w:eastAsia="zh-CN"/>
        </w:rPr>
        <w:t>宁波市海曙区营商环境服务中心</w:t>
      </w:r>
      <w:r>
        <w:rPr>
          <w:rFonts w:hint="eastAsia" w:asciiTheme="minorEastAsia" w:hAnsiTheme="minorEastAsia" w:eastAsiaTheme="minorEastAsia"/>
          <w:color w:val="auto"/>
          <w:sz w:val="24"/>
          <w:highlight w:val="none"/>
        </w:rPr>
        <w:t>二楼开标室（</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宁波市海曙区气象路58号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南门上</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]。政府采购云平台（http://www.zcygov.cn/）。</w:t>
      </w:r>
    </w:p>
    <w:p w14:paraId="3068048D">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B7CF53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E8775B9">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3382A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5C2F6C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273C246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29EED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4.其他事项：</w:t>
      </w:r>
    </w:p>
    <w:p w14:paraId="26E407D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6F5F792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4"/>
          <w:highlight w:val="none"/>
          <w:lang w:eastAsia="zh-CN"/>
        </w:rPr>
        <w:t>（文件后缀为：bfbs）</w:t>
      </w:r>
      <w:r>
        <w:rPr>
          <w:rFonts w:hint="eastAsia" w:ascii="宋体" w:hAnsi="宋体" w:cs="宋体"/>
          <w:color w:val="auto"/>
          <w:sz w:val="24"/>
          <w:highlight w:val="none"/>
        </w:rPr>
        <w:t>的制作、存储、密封详见招标文件第二部分第15点—“备份投标文件”；⑨投标文件的解密：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w:t>
      </w:r>
    </w:p>
    <w:p w14:paraId="1FF1EFA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053980E5">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海曙区“政采贷”助力中小企业金融服务，有需要的中标（成交）供应商请于网站http://haishu.nbggzy.cn/tzgg/360383.jhtml办理具体业务。</w:t>
      </w:r>
    </w:p>
    <w:p w14:paraId="5A8BE5B1">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本《第一部分  招标公告》中二、申请人的资格要求：第一条中的“重大税收违法案件当事人名单”即为“重大税收违法失信主体”。</w:t>
      </w:r>
    </w:p>
    <w:p w14:paraId="603DD44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本公告发布媒体：浙江政府采购网（zfcg.czt.zj.gov.cn）、浙江省公共资源交易服务平台（https://ggzy.zj.gov.cn）、宁波政府采购</w:t>
      </w:r>
      <w:r>
        <w:rPr>
          <w:rFonts w:hint="eastAsia" w:cs="宋体" w:asciiTheme="minorEastAsia" w:hAnsiTheme="minorEastAsia" w:eastAsiaTheme="minorEastAsia"/>
          <w:color w:val="auto"/>
          <w:sz w:val="24"/>
          <w:highlight w:val="none"/>
          <w:lang w:val="en-US" w:eastAsia="zh-CN"/>
        </w:rPr>
        <w:t>网</w:t>
      </w:r>
      <w:r>
        <w:rPr>
          <w:rFonts w:hint="eastAsia" w:cs="宋体" w:asciiTheme="minorEastAsia" w:hAnsiTheme="minorEastAsia" w:eastAsiaTheme="minorEastAsia"/>
          <w:color w:val="auto"/>
          <w:sz w:val="24"/>
          <w:highlight w:val="none"/>
        </w:rPr>
        <w:t>(https://zfcg.czj.ningbo.gov.cn/)、宁波市公共资源交易电子服务系统（甬易阳光）（https://jyxt.zwb.ningbo.gov.cn:4011/website/home）、宁波中基国际招标有限公司网（www.cbbidding.com）。</w:t>
      </w:r>
    </w:p>
    <w:p w14:paraId="2265B32A">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48A32F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1.采购人信息</w:t>
      </w:r>
    </w:p>
    <w:p w14:paraId="486D61E9">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名    称：</w:t>
      </w:r>
      <w:r>
        <w:rPr>
          <w:rFonts w:hint="eastAsia" w:ascii="宋体" w:hAnsi="宋体" w:cs="宋体"/>
          <w:color w:val="auto"/>
          <w:sz w:val="24"/>
          <w:highlight w:val="none"/>
          <w:lang w:val="en-US" w:eastAsia="zh-CN"/>
        </w:rPr>
        <w:t>宁波市海曙区第三医院</w:t>
      </w:r>
    </w:p>
    <w:p w14:paraId="06B58677">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地    址：宁波市海曙区集士港镇香雪路1027号</w:t>
      </w:r>
    </w:p>
    <w:p w14:paraId="7977E54C">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传    真：/</w:t>
      </w:r>
    </w:p>
    <w:p w14:paraId="1C440370">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项目联系人（询问）：陈</w:t>
      </w:r>
      <w:r>
        <w:rPr>
          <w:rFonts w:hint="eastAsia" w:ascii="宋体" w:hAnsi="宋体" w:cs="宋体"/>
          <w:color w:val="auto"/>
          <w:sz w:val="24"/>
          <w:highlight w:val="none"/>
          <w:lang w:val="en-US" w:eastAsia="zh-CN"/>
        </w:rPr>
        <w:t>老师</w:t>
      </w:r>
    </w:p>
    <w:p w14:paraId="4201E774">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项目联系方式（询问）：0574-55011399</w:t>
      </w:r>
    </w:p>
    <w:p w14:paraId="7D081B58">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质疑联系人：王老师</w:t>
      </w:r>
    </w:p>
    <w:p w14:paraId="7B539A0B">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质疑联系方式：0574-55014302</w:t>
      </w:r>
    </w:p>
    <w:p w14:paraId="74EEC468">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2.采购代理机构信息</w:t>
      </w:r>
    </w:p>
    <w:p w14:paraId="1265931D">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名    称：宁波中基国际招标有限公司</w:t>
      </w:r>
    </w:p>
    <w:p w14:paraId="3C173509">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地    址：宁波市鄞州区天童南路666号中基大厦19楼</w:t>
      </w:r>
    </w:p>
    <w:p w14:paraId="4F8AEFE1">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传    真：</w:t>
      </w:r>
      <w:r>
        <w:rPr>
          <w:rFonts w:hint="eastAsia" w:ascii="宋体" w:hAnsi="宋体" w:cs="宋体"/>
          <w:color w:val="auto"/>
          <w:sz w:val="24"/>
          <w:highlight w:val="none"/>
          <w:lang w:val="en-US" w:eastAsia="zh-CN"/>
        </w:rPr>
        <w:t>/</w:t>
      </w:r>
      <w:bookmarkStart w:id="420" w:name="_GoBack"/>
      <w:bookmarkEnd w:id="420"/>
    </w:p>
    <w:p w14:paraId="41313042">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项目联系人（询问）：</w:t>
      </w:r>
      <w:r>
        <w:rPr>
          <w:rFonts w:hint="eastAsia" w:ascii="宋体" w:hAnsi="宋体" w:cs="宋体"/>
          <w:color w:val="auto"/>
          <w:sz w:val="24"/>
          <w:highlight w:val="none"/>
          <w:lang w:val="en-US" w:eastAsia="zh-CN"/>
        </w:rPr>
        <w:t>史宇骁、周旭坤</w:t>
      </w:r>
    </w:p>
    <w:p w14:paraId="2F06D335">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cs="宋体"/>
          <w:color w:val="auto"/>
          <w:sz w:val="24"/>
          <w:highlight w:val="none"/>
          <w:lang w:val="en-US" w:eastAsia="zh-CN"/>
        </w:rPr>
      </w:pPr>
      <w:r>
        <w:rPr>
          <w:rFonts w:hint="default" w:ascii="宋体" w:hAnsi="宋体" w:cs="宋体"/>
          <w:color w:val="auto"/>
          <w:sz w:val="24"/>
          <w:highlight w:val="none"/>
          <w:lang w:val="en-US" w:eastAsia="zh-CN"/>
        </w:rPr>
        <w:t>项目联系方式（询问）：0574-8742</w:t>
      </w:r>
      <w:r>
        <w:rPr>
          <w:rFonts w:hint="eastAsia" w:ascii="宋体" w:hAnsi="宋体" w:cs="宋体"/>
          <w:color w:val="auto"/>
          <w:sz w:val="24"/>
          <w:highlight w:val="none"/>
          <w:lang w:val="en-US" w:eastAsia="zh-CN"/>
        </w:rPr>
        <w:t>3275</w:t>
      </w:r>
    </w:p>
    <w:p w14:paraId="1399D874">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质疑联系人：</w:t>
      </w:r>
      <w:r>
        <w:rPr>
          <w:rFonts w:hint="eastAsia" w:ascii="宋体" w:hAnsi="宋体" w:cs="宋体"/>
          <w:color w:val="auto"/>
          <w:sz w:val="24"/>
          <w:highlight w:val="none"/>
          <w:lang w:val="en-US" w:eastAsia="zh-CN"/>
        </w:rPr>
        <w:t>孔晖</w:t>
      </w:r>
    </w:p>
    <w:p w14:paraId="51271C15">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质疑联系方式：0574-87425</w:t>
      </w:r>
      <w:r>
        <w:rPr>
          <w:rFonts w:hint="eastAsia" w:ascii="宋体" w:hAnsi="宋体" w:cs="宋体"/>
          <w:color w:val="auto"/>
          <w:sz w:val="24"/>
          <w:highlight w:val="none"/>
          <w:lang w:val="en-US" w:eastAsia="zh-CN"/>
        </w:rPr>
        <w:t>279</w:t>
      </w:r>
    </w:p>
    <w:p w14:paraId="59989EB6">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3.同级政府采购监督管理部门：</w:t>
      </w:r>
    </w:p>
    <w:p w14:paraId="6A080CA6">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名    称：宁波市海曙区政府采购管理办公室</w:t>
      </w:r>
    </w:p>
    <w:p w14:paraId="1901F894">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地    址：宁波市海曙区大梁街48号天之海大厦</w:t>
      </w:r>
      <w:r>
        <w:rPr>
          <w:rFonts w:hint="eastAsia" w:ascii="宋体" w:hAnsi="宋体" w:cs="宋体"/>
          <w:color w:val="auto"/>
          <w:sz w:val="24"/>
          <w:highlight w:val="none"/>
          <w:lang w:val="en-US" w:eastAsia="zh-CN"/>
        </w:rPr>
        <w:t>二楼</w:t>
      </w:r>
    </w:p>
    <w:p w14:paraId="593020E3">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传    真：/</w:t>
      </w:r>
    </w:p>
    <w:p w14:paraId="3274B5E5">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联</w:t>
      </w:r>
      <w:r>
        <w:rPr>
          <w:rFonts w:hint="eastAsia" w:ascii="宋体" w:hAnsi="宋体" w:cs="宋体"/>
          <w:color w:val="auto"/>
          <w:sz w:val="24"/>
          <w:highlight w:val="none"/>
          <w:lang w:val="en-US" w:eastAsia="zh-CN"/>
        </w:rPr>
        <w:t xml:space="preserve"> </w:t>
      </w:r>
      <w:r>
        <w:rPr>
          <w:rFonts w:hint="default" w:ascii="宋体" w:hAnsi="宋体" w:cs="宋体"/>
          <w:color w:val="auto"/>
          <w:sz w:val="24"/>
          <w:highlight w:val="none"/>
          <w:lang w:val="en-US" w:eastAsia="zh-CN"/>
        </w:rPr>
        <w:t>系</w:t>
      </w:r>
      <w:r>
        <w:rPr>
          <w:rFonts w:hint="eastAsia" w:ascii="宋体" w:hAnsi="宋体" w:cs="宋体"/>
          <w:color w:val="auto"/>
          <w:sz w:val="24"/>
          <w:highlight w:val="none"/>
          <w:lang w:val="en-US" w:eastAsia="zh-CN"/>
        </w:rPr>
        <w:t xml:space="preserve"> </w:t>
      </w:r>
      <w:r>
        <w:rPr>
          <w:rFonts w:hint="default" w:ascii="宋体" w:hAnsi="宋体" w:cs="宋体"/>
          <w:color w:val="auto"/>
          <w:sz w:val="24"/>
          <w:highlight w:val="none"/>
          <w:lang w:val="en-US" w:eastAsia="zh-CN"/>
        </w:rPr>
        <w:t>人：</w:t>
      </w:r>
      <w:r>
        <w:rPr>
          <w:rFonts w:hint="eastAsia" w:ascii="宋体" w:hAnsi="宋体" w:cs="宋体"/>
          <w:color w:val="auto"/>
          <w:sz w:val="24"/>
          <w:highlight w:val="none"/>
          <w:lang w:val="en-US" w:eastAsia="zh-CN"/>
        </w:rPr>
        <w:t>王</w:t>
      </w:r>
      <w:r>
        <w:rPr>
          <w:rFonts w:hint="default" w:ascii="宋体" w:hAnsi="宋体" w:cs="宋体"/>
          <w:color w:val="auto"/>
          <w:sz w:val="24"/>
          <w:highlight w:val="none"/>
          <w:lang w:val="en-US" w:eastAsia="zh-CN"/>
        </w:rPr>
        <w:t>老师</w:t>
      </w:r>
    </w:p>
    <w:p w14:paraId="33BD68F1">
      <w:pPr>
        <w:keepNext w:val="0"/>
        <w:keepLines w:val="0"/>
        <w:pageBreakBefore w:val="0"/>
        <w:kinsoku/>
        <w:wordWrap/>
        <w:overflowPunct/>
        <w:topLinePunct w:val="0"/>
        <w:autoSpaceDE/>
        <w:autoSpaceDN/>
        <w:bidi w:val="0"/>
        <w:adjustRightInd w:val="0"/>
        <w:snapToGrid/>
        <w:spacing w:line="360" w:lineRule="auto"/>
        <w:ind w:firstLine="480"/>
        <w:textAlignment w:val="auto"/>
        <w:outlineLvl w:val="0"/>
        <w:rPr>
          <w:rFonts w:hint="default" w:ascii="宋体" w:hAnsi="宋体" w:cs="宋体"/>
          <w:color w:val="auto"/>
          <w:sz w:val="24"/>
          <w:highlight w:val="none"/>
          <w:lang w:val="en-US" w:eastAsia="zh-CN"/>
        </w:rPr>
      </w:pPr>
      <w:bookmarkStart w:id="12" w:name="_Toc25379"/>
      <w:r>
        <w:rPr>
          <w:rFonts w:hint="default" w:ascii="宋体" w:hAnsi="宋体" w:cs="宋体"/>
          <w:color w:val="auto"/>
          <w:sz w:val="24"/>
          <w:highlight w:val="none"/>
          <w:lang w:val="en-US" w:eastAsia="zh-CN"/>
        </w:rPr>
        <w:t>投诉电话：</w:t>
      </w:r>
      <w:bookmarkEnd w:id="12"/>
      <w:r>
        <w:rPr>
          <w:rFonts w:hint="default" w:ascii="宋体" w:hAnsi="宋体" w:cs="宋体"/>
          <w:color w:val="auto"/>
          <w:sz w:val="24"/>
          <w:highlight w:val="none"/>
          <w:lang w:val="en-US" w:eastAsia="zh-CN"/>
        </w:rPr>
        <w:t>0574-87297540</w:t>
      </w:r>
    </w:p>
    <w:p w14:paraId="0362CD9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p>
    <w:p w14:paraId="2461528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55F32D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C66859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439EC4A">
      <w:pPr>
        <w:adjustRightInd/>
        <w:spacing w:line="360" w:lineRule="auto"/>
        <w:jc w:val="center"/>
        <w:outlineLvl w:val="0"/>
        <w:rPr>
          <w:rFonts w:ascii="宋体" w:hAnsi="宋体" w:cs="宋体"/>
          <w:b/>
          <w:color w:val="auto"/>
          <w:sz w:val="36"/>
          <w:szCs w:val="20"/>
          <w:highlight w:val="none"/>
        </w:rPr>
      </w:pPr>
      <w:bookmarkStart w:id="13" w:name="_Toc10724"/>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bookmarkEnd w:id="9"/>
      <w:bookmarkEnd w:id="13"/>
    </w:p>
    <w:p w14:paraId="4D04253B">
      <w:pPr>
        <w:adjustRightInd/>
        <w:spacing w:line="360" w:lineRule="auto"/>
        <w:ind w:firstLine="3845" w:firstLineChars="1197"/>
        <w:outlineLvl w:val="0"/>
        <w:rPr>
          <w:rFonts w:ascii="宋体" w:hAnsi="宋体" w:cs="宋体"/>
          <w:b/>
          <w:color w:val="auto"/>
          <w:sz w:val="32"/>
          <w:szCs w:val="20"/>
          <w:highlight w:val="none"/>
        </w:rPr>
      </w:pPr>
      <w:bookmarkStart w:id="14" w:name="_Toc6933"/>
      <w:r>
        <w:rPr>
          <w:rFonts w:hint="eastAsia" w:ascii="宋体" w:hAnsi="宋体" w:cs="宋体"/>
          <w:b/>
          <w:color w:val="auto"/>
          <w:sz w:val="32"/>
          <w:szCs w:val="20"/>
          <w:highlight w:val="none"/>
        </w:rPr>
        <w:t>前附表</w:t>
      </w:r>
      <w:bookmarkEnd w:id="14"/>
    </w:p>
    <w:tbl>
      <w:tblPr>
        <w:tblStyle w:val="62"/>
        <w:tblW w:w="92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33"/>
      </w:tblGrid>
      <w:tr w14:paraId="29BDE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1117A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1BF27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733" w:type="dxa"/>
            <w:tcBorders>
              <w:top w:val="single" w:color="000000" w:sz="8" w:space="0"/>
              <w:left w:val="single" w:color="000000" w:sz="2" w:space="0"/>
              <w:bottom w:val="single" w:color="000000" w:sz="8" w:space="0"/>
              <w:right w:val="single" w:color="000000" w:sz="8" w:space="0"/>
            </w:tcBorders>
            <w:vAlign w:val="center"/>
          </w:tcPr>
          <w:p w14:paraId="1A9AD5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EB98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23B17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7B62B4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733" w:type="dxa"/>
            <w:tcBorders>
              <w:top w:val="single" w:color="000000" w:sz="8" w:space="0"/>
              <w:left w:val="single" w:color="000000" w:sz="2" w:space="0"/>
              <w:bottom w:val="single" w:color="000000" w:sz="8" w:space="0"/>
              <w:right w:val="single" w:color="000000" w:sz="8" w:space="0"/>
            </w:tcBorders>
            <w:vAlign w:val="center"/>
          </w:tcPr>
          <w:p w14:paraId="7F3C4B15">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服务类。</w:t>
            </w:r>
          </w:p>
        </w:tc>
      </w:tr>
      <w:tr w14:paraId="7D34A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C69F5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16572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733" w:type="dxa"/>
            <w:tcBorders>
              <w:top w:val="single" w:color="000000" w:sz="8" w:space="0"/>
              <w:left w:val="single" w:color="000000" w:sz="2" w:space="0"/>
              <w:bottom w:val="single" w:color="000000" w:sz="8" w:space="0"/>
              <w:right w:val="single" w:color="000000" w:sz="8" w:space="0"/>
            </w:tcBorders>
            <w:vAlign w:val="center"/>
          </w:tcPr>
          <w:p w14:paraId="313706D0">
            <w:pPr>
              <w:numPr>
                <w:ilvl w:val="0"/>
                <w:numId w:val="0"/>
              </w:numPr>
              <w:snapToGrid w:val="0"/>
              <w:spacing w:line="360" w:lineRule="auto"/>
              <w:rPr>
                <w:rFonts w:ascii="宋体" w:hAnsi="宋体" w:eastAsia="宋体" w:cs="宋体"/>
                <w:color w:val="auto"/>
                <w:kern w:val="0"/>
                <w:sz w:val="24"/>
                <w:highlight w:val="none"/>
              </w:rPr>
            </w:pPr>
            <w:r>
              <w:rPr>
                <w:rFonts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highlight w:val="none"/>
              </w:rPr>
              <w:t>本项目为非专门面向中小企业采购；</w:t>
            </w:r>
          </w:p>
          <w:p w14:paraId="4140244B">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ascii="宋体" w:hAnsi="宋体" w:eastAsia="宋体" w:cs="宋体"/>
                <w:color w:val="auto"/>
                <w:highlight w:val="none"/>
                <w:lang w:val="en-US"/>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标的：</w:t>
            </w:r>
            <w:r>
              <w:rPr>
                <w:rFonts w:hint="eastAsia" w:ascii="宋体" w:hAnsi="宋体" w:cs="宋体"/>
                <w:color w:val="auto"/>
                <w:sz w:val="24"/>
                <w:highlight w:val="none"/>
                <w:u w:val="single"/>
                <w:lang w:eastAsia="zh-CN"/>
              </w:rPr>
              <w:t>宁波市海曙区第三医院导医等服务外包项目</w:t>
            </w:r>
            <w:r>
              <w:rPr>
                <w:rFonts w:hint="eastAsia" w:ascii="宋体" w:hAnsi="宋体" w:eastAsia="宋体" w:cs="宋体"/>
                <w:color w:val="auto"/>
                <w:kern w:val="0"/>
                <w:sz w:val="24"/>
                <w:highlight w:val="none"/>
              </w:rPr>
              <w:t>，属于</w:t>
            </w:r>
            <w:r>
              <w:rPr>
                <w:rFonts w:hint="eastAsia" w:ascii="宋体" w:hAnsi="宋体" w:cs="宋体"/>
                <w:color w:val="auto"/>
                <w:kern w:val="0"/>
                <w:sz w:val="24"/>
                <w:highlight w:val="none"/>
                <w:u w:val="single"/>
                <w:lang w:eastAsia="zh-CN"/>
              </w:rPr>
              <w:t>其他未列明行业</w:t>
            </w:r>
            <w:r>
              <w:rPr>
                <w:rFonts w:hint="eastAsia" w:ascii="宋体" w:hAnsi="宋体" w:eastAsia="宋体" w:cs="宋体"/>
                <w:color w:val="auto"/>
                <w:kern w:val="0"/>
                <w:sz w:val="24"/>
                <w:highlight w:val="none"/>
              </w:rPr>
              <w:t>。</w:t>
            </w:r>
          </w:p>
        </w:tc>
      </w:tr>
      <w:tr w14:paraId="1E945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CDCB9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B697E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33" w:type="dxa"/>
            <w:tcBorders>
              <w:top w:val="single" w:color="000000" w:sz="8" w:space="0"/>
              <w:left w:val="single" w:color="000000" w:sz="2" w:space="0"/>
              <w:bottom w:val="single" w:color="000000" w:sz="8" w:space="0"/>
              <w:right w:val="single" w:color="000000" w:sz="8" w:space="0"/>
            </w:tcBorders>
            <w:vAlign w:val="center"/>
          </w:tcPr>
          <w:p w14:paraId="0FAE0004">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E9AAD96">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B4DB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27288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55C85B3">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733" w:type="dxa"/>
            <w:tcBorders>
              <w:top w:val="single" w:color="000000" w:sz="8" w:space="0"/>
              <w:left w:val="single" w:color="000000" w:sz="2" w:space="0"/>
              <w:bottom w:val="single" w:color="000000" w:sz="8" w:space="0"/>
              <w:right w:val="single" w:color="000000" w:sz="8" w:space="0"/>
            </w:tcBorders>
            <w:vAlign w:val="center"/>
          </w:tcPr>
          <w:p w14:paraId="5477EE1C">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7EA61AC0">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5773B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60FBE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589E6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33" w:type="dxa"/>
            <w:tcBorders>
              <w:top w:val="single" w:color="000000" w:sz="8" w:space="0"/>
              <w:left w:val="single" w:color="000000" w:sz="2" w:space="0"/>
              <w:bottom w:val="single" w:color="000000" w:sz="8" w:space="0"/>
              <w:right w:val="single" w:color="000000" w:sz="8" w:space="0"/>
            </w:tcBorders>
            <w:vAlign w:val="center"/>
          </w:tcPr>
          <w:p w14:paraId="4A3BDBDA">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A46983D">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CC8E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0F1A9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6C913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733" w:type="dxa"/>
            <w:tcBorders>
              <w:top w:val="single" w:color="000000" w:sz="8" w:space="0"/>
              <w:left w:val="single" w:color="000000" w:sz="2" w:space="0"/>
              <w:bottom w:val="single" w:color="000000" w:sz="8" w:space="0"/>
              <w:right w:val="single" w:color="000000" w:sz="8" w:space="0"/>
            </w:tcBorders>
            <w:vAlign w:val="center"/>
          </w:tcPr>
          <w:p w14:paraId="3BCA7D98">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308466D">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302F1752">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EA98368">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27121BE">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39772BC">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282D269">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47049577">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2899490">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14:paraId="4D8A1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CFAE0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0C52B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733" w:type="dxa"/>
            <w:tcBorders>
              <w:top w:val="single" w:color="000000" w:sz="8" w:space="0"/>
              <w:left w:val="single" w:color="000000" w:sz="2" w:space="0"/>
              <w:bottom w:val="single" w:color="000000" w:sz="8" w:space="0"/>
              <w:right w:val="single" w:color="000000" w:sz="8" w:space="0"/>
            </w:tcBorders>
            <w:vAlign w:val="center"/>
          </w:tcPr>
          <w:p w14:paraId="003228DB">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22C6067">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756D10D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供应商进行方案讲解演示。每个供应商时间不超过20（编制时可根据项目情况进行调整）分钟，讲解次序以投标文件解密时间先后次序为准，讲解演示人员不超过3（编制时可根据项目情况进行调整）人。讲解演示结束后按要求解答评标委员会提问。</w:t>
            </w:r>
          </w:p>
          <w:p w14:paraId="18258BF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364709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01EF774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方式二：评标现场讲解演示。现场讲解地点为       ，讲解演示所用电脑等设备由供应商自备。现场讲解演示人员进场时提供讲解人员名单（加盖公章或授权代表签名）及身份证明，否则不得讲解演示。</w:t>
            </w:r>
          </w:p>
          <w:p w14:paraId="1F5EA8A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620D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290BB7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8B497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6733" w:type="dxa"/>
            <w:tcBorders>
              <w:top w:val="single" w:color="000000" w:sz="8" w:space="0"/>
              <w:left w:val="single" w:color="000000" w:sz="2" w:space="0"/>
              <w:bottom w:val="single" w:color="auto" w:sz="4" w:space="0"/>
              <w:right w:val="single" w:color="000000" w:sz="8" w:space="0"/>
            </w:tcBorders>
            <w:vAlign w:val="center"/>
          </w:tcPr>
          <w:p w14:paraId="72D6EA47">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24C1454">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57745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3BFA1C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9BCDB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p>
        </w:tc>
        <w:tc>
          <w:tcPr>
            <w:tcW w:w="6733" w:type="dxa"/>
            <w:tcBorders>
              <w:top w:val="single" w:color="auto" w:sz="4" w:space="0"/>
              <w:left w:val="single" w:color="000000" w:sz="2" w:space="0"/>
              <w:bottom w:val="single" w:color="000000" w:sz="8" w:space="0"/>
              <w:right w:val="single" w:color="000000" w:sz="8" w:space="0"/>
            </w:tcBorders>
            <w:vAlign w:val="center"/>
          </w:tcPr>
          <w:p w14:paraId="1C12129F">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53D7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EF3E2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6C4FB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733" w:type="dxa"/>
            <w:tcBorders>
              <w:top w:val="single" w:color="000000" w:sz="8" w:space="0"/>
              <w:left w:val="single" w:color="000000" w:sz="2" w:space="0"/>
              <w:bottom w:val="single" w:color="000000" w:sz="8" w:space="0"/>
              <w:right w:val="single" w:color="000000" w:sz="8" w:space="0"/>
            </w:tcBorders>
            <w:vAlign w:val="center"/>
          </w:tcPr>
          <w:p w14:paraId="22C8D80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A84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0BF27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BB21D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733" w:type="dxa"/>
            <w:tcBorders>
              <w:top w:val="single" w:color="000000" w:sz="8" w:space="0"/>
              <w:left w:val="single" w:color="000000" w:sz="2" w:space="0"/>
              <w:bottom w:val="single" w:color="000000" w:sz="8" w:space="0"/>
              <w:right w:val="single" w:color="000000" w:sz="8" w:space="0"/>
            </w:tcBorders>
            <w:vAlign w:val="center"/>
          </w:tcPr>
          <w:p w14:paraId="476F478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投标文件中价格全部采用人民币报价。招标文件未列明，而供应商认为必需的费用也需列入报价。</w:t>
            </w:r>
          </w:p>
          <w:p w14:paraId="56166C7F">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default" w:ascii="宋体" w:hAnsi="宋体" w:eastAsia="宋体" w:cs="宋体"/>
                <w:b w:val="0"/>
                <w:bCs/>
                <w:color w:val="auto"/>
                <w:kern w:val="0"/>
                <w:sz w:val="24"/>
                <w:highlight w:val="none"/>
                <w:lang w:val="en-US" w:eastAsia="zh-CN"/>
              </w:rPr>
            </w:pPr>
            <w:r>
              <w:rPr>
                <w:rFonts w:hint="eastAsia" w:ascii="宋体" w:hAnsi="宋体" w:cs="宋体"/>
                <w:b w:val="0"/>
                <w:bCs/>
                <w:color w:val="auto"/>
                <w:kern w:val="0"/>
                <w:sz w:val="24"/>
                <w:highlight w:val="none"/>
                <w:lang w:val="zh-CN"/>
              </w:rPr>
              <w:t>本项目投标报价须是完成本项目的所有费用，</w:t>
            </w:r>
            <w:r>
              <w:rPr>
                <w:rFonts w:hint="eastAsia" w:ascii="宋体" w:hAnsi="宋体" w:cs="宋体"/>
                <w:b w:val="0"/>
                <w:bCs/>
                <w:color w:val="auto"/>
                <w:kern w:val="0"/>
                <w:sz w:val="24"/>
                <w:highlight w:val="none"/>
                <w:lang w:val="zh-CN" w:eastAsia="zh-CN"/>
              </w:rPr>
              <w:t>包括但不限于所有工作人员工资【包括人员工资、各类福利和补贴（如高温补贴、加班补贴、体检等）、社保】、人身意外伤害险，人员工作服费、管理费、税金，利润等各项应有的费用，即完成本项目服务涉及的全部费用。</w:t>
            </w:r>
          </w:p>
          <w:p w14:paraId="7E627E6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490253D">
            <w:pPr>
              <w:snapToGrid w:val="0"/>
              <w:spacing w:line="360" w:lineRule="auto"/>
              <w:ind w:firstLine="241" w:firstLineChars="100"/>
              <w:jc w:val="left"/>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56DBE406">
            <w:pPr>
              <w:snapToGrid w:val="0"/>
              <w:spacing w:line="360" w:lineRule="auto"/>
              <w:ind w:firstLine="241" w:firstLineChars="100"/>
              <w:jc w:val="left"/>
              <w:rPr>
                <w:rFonts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3FC85AAD">
            <w:pPr>
              <w:spacing w:line="360" w:lineRule="auto"/>
              <w:ind w:firstLine="241" w:firstLineChars="100"/>
              <w:rPr>
                <w:rFonts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210D1B8D">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ascii="宋体" w:hAnsi="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7FDF4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00DD29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657C8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733" w:type="dxa"/>
            <w:tcBorders>
              <w:top w:val="single" w:color="000000" w:sz="8" w:space="0"/>
              <w:left w:val="single" w:color="000000" w:sz="2" w:space="0"/>
              <w:right w:val="single" w:color="000000" w:sz="8" w:space="0"/>
            </w:tcBorders>
            <w:vAlign w:val="center"/>
          </w:tcPr>
          <w:p w14:paraId="35D61A5C">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3E60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6B1F4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AEF23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备份投标文件送达</w:t>
            </w:r>
            <w:r>
              <w:rPr>
                <w:rFonts w:hint="eastAsia" w:ascii="宋体" w:hAnsi="宋体" w:cs="宋体"/>
                <w:b/>
                <w:color w:val="auto"/>
                <w:sz w:val="24"/>
                <w:highlight w:val="none"/>
                <w:lang w:val="en-US" w:eastAsia="zh-CN"/>
              </w:rPr>
              <w:t>时间、</w:t>
            </w:r>
            <w:r>
              <w:rPr>
                <w:rFonts w:hint="eastAsia" w:ascii="宋体" w:hAnsi="宋体" w:cs="宋体"/>
                <w:b/>
                <w:color w:val="auto"/>
                <w:sz w:val="24"/>
                <w:highlight w:val="none"/>
              </w:rPr>
              <w:t xml:space="preserve">地点和签收人员 </w:t>
            </w:r>
          </w:p>
        </w:tc>
        <w:tc>
          <w:tcPr>
            <w:tcW w:w="6733" w:type="dxa"/>
            <w:tcBorders>
              <w:top w:val="single" w:color="000000" w:sz="8" w:space="0"/>
              <w:left w:val="single" w:color="000000" w:sz="2" w:space="0"/>
              <w:bottom w:val="single" w:color="000000" w:sz="8" w:space="0"/>
              <w:right w:val="single" w:color="000000" w:sz="8" w:space="0"/>
            </w:tcBorders>
            <w:vAlign w:val="center"/>
          </w:tcPr>
          <w:p w14:paraId="0CB8BC29">
            <w:pPr>
              <w:pStyle w:val="3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供应商可以准备U盘存储的电子备份投标文件1份（可以与方案讲解演示U盘一起存储），按政府采购云平台要求制作的电子备份投标文件，以用于异常情况处理。</w:t>
            </w:r>
          </w:p>
          <w:p w14:paraId="0CE5678E">
            <w:pPr>
              <w:pStyle w:val="3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如提供备份投标文件的，应于投标文件提交（上传）截止时间前当日，将以U盘存储的电子备份投标文件密封，递交至</w:t>
            </w:r>
            <w:r>
              <w:rPr>
                <w:rFonts w:hint="eastAsia" w:cs="宋体" w:asciiTheme="minorEastAsia" w:hAnsiTheme="minorEastAsia" w:eastAsiaTheme="minorEastAsia"/>
                <w:color w:val="auto"/>
                <w:kern w:val="28"/>
                <w:sz w:val="24"/>
                <w:szCs w:val="24"/>
                <w:highlight w:val="none"/>
                <w:u w:val="single"/>
                <w:lang w:val="en-US" w:eastAsia="zh-CN"/>
              </w:rPr>
              <w:t>宁波市海曙区营商环境服务中心二楼开标室（南门上，宁波市海曙区气象路58号）</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7C585A59">
            <w:pPr>
              <w:pStyle w:val="3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供应商可采用邮寄（含快递）方式递交备份投标文件。</w:t>
            </w:r>
          </w:p>
          <w:p w14:paraId="0EA8336E">
            <w:pPr>
              <w:pStyle w:val="3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3514698C">
            <w:pPr>
              <w:pStyle w:val="3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拟在开标前一个工作日16:00前到件的邮寄地址为：</w:t>
            </w:r>
            <w:r>
              <w:rPr>
                <w:rFonts w:hint="eastAsia" w:cs="宋体" w:asciiTheme="minorEastAsia" w:hAnsiTheme="minorEastAsia" w:eastAsiaTheme="minorEastAsia"/>
                <w:color w:val="auto"/>
                <w:kern w:val="28"/>
                <w:sz w:val="24"/>
                <w:szCs w:val="24"/>
                <w:highlight w:val="none"/>
                <w:u w:val="single"/>
                <w:lang w:val="en-US" w:eastAsia="zh-CN"/>
              </w:rPr>
              <w:t>宁波市鄞州区天童南路666号中基大厦19楼业务六部</w:t>
            </w:r>
            <w:r>
              <w:rPr>
                <w:rFonts w:hint="eastAsia" w:cs="宋体" w:asciiTheme="minorEastAsia" w:hAnsiTheme="minorEastAsia" w:eastAsiaTheme="minorEastAsia"/>
                <w:color w:val="auto"/>
                <w:kern w:val="28"/>
                <w:sz w:val="24"/>
                <w:szCs w:val="24"/>
                <w:highlight w:val="none"/>
                <w:lang w:val="en-US" w:eastAsia="zh-CN"/>
              </w:rPr>
              <w:t>；</w:t>
            </w:r>
          </w:p>
          <w:p w14:paraId="642DFF08">
            <w:pPr>
              <w:pStyle w:val="3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w:t>
            </w:r>
            <w:r>
              <w:rPr>
                <w:rFonts w:hint="eastAsia" w:cs="宋体" w:asciiTheme="minorEastAsia" w:hAnsiTheme="minorEastAsia" w:eastAsiaTheme="minorEastAsia"/>
                <w:color w:val="auto"/>
                <w:kern w:val="28"/>
                <w:sz w:val="24"/>
                <w:szCs w:val="24"/>
                <w:highlight w:val="none"/>
                <w:u w:val="single"/>
                <w:lang w:val="en-US" w:eastAsia="zh-CN"/>
              </w:rPr>
              <w:t>史宇骁</w:t>
            </w:r>
            <w:r>
              <w:rPr>
                <w:rFonts w:hint="eastAsia" w:cs="宋体" w:asciiTheme="minorEastAsia" w:hAnsiTheme="minorEastAsia" w:eastAsiaTheme="minorEastAsia"/>
                <w:color w:val="auto"/>
                <w:kern w:val="28"/>
                <w:sz w:val="24"/>
                <w:szCs w:val="24"/>
                <w:highlight w:val="none"/>
                <w:lang w:val="en-US" w:eastAsia="zh-CN"/>
              </w:rPr>
              <w:t xml:space="preserve">   联系方式：</w:t>
            </w:r>
            <w:r>
              <w:rPr>
                <w:rFonts w:hint="eastAsia" w:cs="宋体" w:asciiTheme="minorEastAsia" w:hAnsiTheme="minorEastAsia" w:eastAsiaTheme="minorEastAsia"/>
                <w:color w:val="auto"/>
                <w:kern w:val="28"/>
                <w:sz w:val="24"/>
                <w:szCs w:val="24"/>
                <w:highlight w:val="none"/>
                <w:u w:val="single"/>
                <w:lang w:val="en-US" w:eastAsia="zh-CN"/>
              </w:rPr>
              <w:t>0574-87423275</w:t>
            </w:r>
          </w:p>
          <w:p w14:paraId="35119397">
            <w:pPr>
              <w:pStyle w:val="3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629E1025">
            <w:pPr>
              <w:pStyle w:val="32"/>
              <w:keepNext w:val="0"/>
              <w:keepLines w:val="0"/>
              <w:pageBreakBefore w:val="0"/>
              <w:widowControl w:val="0"/>
              <w:kinsoku/>
              <w:wordWrap/>
              <w:overflowPunct/>
              <w:topLinePunct w:val="0"/>
              <w:autoSpaceDE/>
              <w:autoSpaceDN/>
              <w:bidi w:val="0"/>
              <w:adjustRightInd w:val="0"/>
              <w:spacing w:line="240" w:lineRule="auto"/>
              <w:textAlignment w:val="auto"/>
              <w:rPr>
                <w:rFonts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w:t>
            </w:r>
            <w:r>
              <w:rPr>
                <w:rFonts w:hint="eastAsia" w:cs="宋体" w:asciiTheme="minorEastAsia" w:hAnsiTheme="minorEastAsia" w:eastAsiaTheme="minorEastAsia"/>
                <w:b/>
                <w:color w:val="auto"/>
                <w:sz w:val="24"/>
                <w:szCs w:val="24"/>
                <w:highlight w:val="none"/>
                <w:lang w:eastAsia="zh-CN"/>
              </w:rPr>
              <w:t>投标文件</w:t>
            </w:r>
            <w:r>
              <w:rPr>
                <w:rFonts w:hint="eastAsia" w:cs="宋体" w:asciiTheme="minorEastAsia" w:hAnsiTheme="minorEastAsia" w:eastAsiaTheme="minorEastAsia"/>
                <w:b/>
                <w:color w:val="auto"/>
                <w:sz w:val="24"/>
                <w:szCs w:val="24"/>
                <w:highlight w:val="none"/>
              </w:rPr>
              <w:t>。</w:t>
            </w:r>
          </w:p>
        </w:tc>
      </w:tr>
      <w:tr w14:paraId="00871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218B1F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95DD6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733" w:type="dxa"/>
            <w:tcBorders>
              <w:top w:val="single" w:color="000000" w:sz="8" w:space="0"/>
              <w:left w:val="single" w:color="000000" w:sz="2" w:space="0"/>
              <w:bottom w:val="single" w:color="000000" w:sz="8" w:space="0"/>
              <w:right w:val="single" w:color="000000" w:sz="8" w:space="0"/>
            </w:tcBorders>
            <w:vAlign w:val="center"/>
          </w:tcPr>
          <w:p w14:paraId="0FEA4D09">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C56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000000" w:sz="8" w:space="0"/>
              <w:bottom w:val="single" w:color="auto" w:sz="4" w:space="0"/>
              <w:right w:val="single" w:color="000000" w:sz="2" w:space="0"/>
            </w:tcBorders>
          </w:tcPr>
          <w:p w14:paraId="7E0022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10ED1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p>
        </w:tc>
        <w:tc>
          <w:tcPr>
            <w:tcW w:w="6733" w:type="dxa"/>
            <w:tcBorders>
              <w:top w:val="single" w:color="000000" w:sz="8" w:space="0"/>
              <w:left w:val="single" w:color="000000" w:sz="2" w:space="0"/>
              <w:bottom w:val="single" w:color="auto" w:sz="4" w:space="0"/>
              <w:right w:val="single" w:color="000000" w:sz="8" w:space="0"/>
            </w:tcBorders>
            <w:vAlign w:val="center"/>
          </w:tcPr>
          <w:p w14:paraId="62927E36">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5B56C71">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0676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FBF1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8881F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中标</w:t>
            </w:r>
            <w:r>
              <w:rPr>
                <w:rFonts w:hint="eastAsia" w:ascii="宋体" w:hAnsi="宋体" w:cs="宋体"/>
                <w:b/>
                <w:color w:val="auto"/>
                <w:sz w:val="24"/>
                <w:highlight w:val="none"/>
              </w:rPr>
              <w:t>服务费</w:t>
            </w:r>
          </w:p>
        </w:tc>
        <w:tc>
          <w:tcPr>
            <w:tcW w:w="6733" w:type="dxa"/>
            <w:tcBorders>
              <w:top w:val="single" w:color="auto" w:sz="4" w:space="0"/>
              <w:left w:val="single" w:color="auto" w:sz="4" w:space="0"/>
              <w:bottom w:val="single" w:color="auto" w:sz="4" w:space="0"/>
              <w:right w:val="single" w:color="auto" w:sz="4" w:space="0"/>
            </w:tcBorders>
            <w:vAlign w:val="center"/>
          </w:tcPr>
          <w:p w14:paraId="2DFC0AED">
            <w:pPr>
              <w:keepNext w:val="0"/>
              <w:keepLines w:val="0"/>
              <w:pageBreakBefore w:val="0"/>
              <w:widowControl w:val="0"/>
              <w:suppressLineNumbers w:val="0"/>
              <w:shd w:val="clear"/>
              <w:kinsoku/>
              <w:wordWrap/>
              <w:overflowPunct/>
              <w:topLinePunct w:val="0"/>
              <w:autoSpaceDE/>
              <w:autoSpaceDN/>
              <w:bidi w:val="0"/>
              <w:spacing w:before="0" w:beforeLines="0" w:beforeAutospacing="0" w:after="0" w:afterLines="0" w:afterAutospacing="0" w:line="24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招标代理服务费的收取标准（服务标准）：采购代理机构按下表中服务招标标准</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80%，以</w:t>
            </w:r>
            <w:r>
              <w:rPr>
                <w:rFonts w:hint="eastAsia" w:ascii="宋体" w:hAnsi="宋体" w:cs="宋体"/>
                <w:color w:val="auto"/>
                <w:kern w:val="2"/>
                <w:sz w:val="24"/>
                <w:szCs w:val="24"/>
                <w:highlight w:val="none"/>
                <w:lang w:val="en-US" w:eastAsia="zh-CN" w:bidi="ar-SA"/>
              </w:rPr>
              <w:t>中标总</w:t>
            </w:r>
            <w:r>
              <w:rPr>
                <w:rFonts w:hint="eastAsia" w:ascii="宋体" w:hAnsi="宋体" w:eastAsia="宋体" w:cs="宋体"/>
                <w:color w:val="auto"/>
                <w:kern w:val="2"/>
                <w:sz w:val="24"/>
                <w:szCs w:val="24"/>
                <w:highlight w:val="none"/>
                <w:lang w:val="en-US" w:eastAsia="zh-CN" w:bidi="ar-SA"/>
              </w:rPr>
              <w:t>金额为基准，向中标人收取招标代理服务费。</w:t>
            </w:r>
          </w:p>
          <w:tbl>
            <w:tblPr>
              <w:tblStyle w:val="62"/>
              <w:tblW w:w="6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18"/>
              <w:gridCol w:w="1572"/>
              <w:gridCol w:w="1491"/>
              <w:gridCol w:w="1457"/>
            </w:tblGrid>
            <w:tr w14:paraId="50092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4" w:hRule="atLeast"/>
                <w:jc w:val="center"/>
              </w:trPr>
              <w:tc>
                <w:tcPr>
                  <w:tcW w:w="1818"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5FA80B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firstLine="0" w:firstLineChars="0"/>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服费类型</w:t>
                  </w:r>
                </w:p>
                <w:p w14:paraId="52C3E3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金额（万元）</w:t>
                  </w:r>
                </w:p>
              </w:tc>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EA915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货物招标</w:t>
                  </w:r>
                </w:p>
              </w:tc>
              <w:tc>
                <w:tcPr>
                  <w:tcW w:w="149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E3521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服务招标</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EEE12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工程招标</w:t>
                  </w:r>
                </w:p>
              </w:tc>
            </w:tr>
            <w:tr w14:paraId="4C6C1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jc w:val="center"/>
              </w:trPr>
              <w:tc>
                <w:tcPr>
                  <w:tcW w:w="181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8A96B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100以下</w:t>
                  </w:r>
                </w:p>
              </w:tc>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11DE7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1.5%</w:t>
                  </w:r>
                </w:p>
              </w:tc>
              <w:tc>
                <w:tcPr>
                  <w:tcW w:w="149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A3E6B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1.5%</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ABDFD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p>
              </w:tc>
            </w:tr>
            <w:tr w14:paraId="3AB39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jc w:val="center"/>
              </w:trPr>
              <w:tc>
                <w:tcPr>
                  <w:tcW w:w="181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C12CC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100-500</w:t>
                  </w:r>
                </w:p>
              </w:tc>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E7D10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w:t>
                  </w:r>
                </w:p>
              </w:tc>
              <w:tc>
                <w:tcPr>
                  <w:tcW w:w="149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D2926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0.8%</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52789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0.7%</w:t>
                  </w:r>
                </w:p>
              </w:tc>
            </w:tr>
          </w:tbl>
          <w:p w14:paraId="7469CBBA">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接到本公司通知后5个工作日内向本招标公司支付</w:t>
            </w:r>
            <w:r>
              <w:rPr>
                <w:rFonts w:hint="eastAsia" w:ascii="宋体" w:hAnsi="宋体" w:eastAsia="宋体" w:cs="宋体"/>
                <w:color w:val="auto"/>
                <w:sz w:val="24"/>
                <w:szCs w:val="24"/>
                <w:highlight w:val="none"/>
                <w:lang w:eastAsia="zh-CN"/>
              </w:rPr>
              <w:t>招标代理服务费</w:t>
            </w:r>
            <w:r>
              <w:rPr>
                <w:rFonts w:hint="eastAsia" w:ascii="宋体" w:hAnsi="宋体" w:eastAsia="宋体" w:cs="宋体"/>
                <w:color w:val="auto"/>
                <w:sz w:val="24"/>
                <w:szCs w:val="24"/>
                <w:highlight w:val="none"/>
              </w:rPr>
              <w:t>，并领取中标通知书。</w:t>
            </w:r>
            <w:r>
              <w:rPr>
                <w:rFonts w:hint="eastAsia" w:ascii="宋体" w:hAnsi="宋体" w:eastAsia="宋体" w:cs="宋体"/>
                <w:color w:val="auto"/>
                <w:sz w:val="24"/>
                <w:szCs w:val="24"/>
                <w:highlight w:val="none"/>
                <w:lang w:eastAsia="zh-CN"/>
              </w:rPr>
              <w:t>招标代理服务费</w:t>
            </w:r>
            <w:r>
              <w:rPr>
                <w:rFonts w:hint="eastAsia" w:ascii="宋体" w:hAnsi="宋体" w:eastAsia="宋体" w:cs="宋体"/>
                <w:color w:val="auto"/>
                <w:sz w:val="24"/>
                <w:szCs w:val="24"/>
                <w:highlight w:val="none"/>
              </w:rPr>
              <w:t>只收现金、银行票汇款、电汇款。</w:t>
            </w:r>
          </w:p>
          <w:p w14:paraId="00807102">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关于本次采购的服务费请汇入以下账户：</w:t>
            </w:r>
          </w:p>
          <w:p w14:paraId="489ABAF8">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开户银行：宁波银行科技支行</w:t>
            </w:r>
          </w:p>
          <w:p w14:paraId="0E7967CD">
            <w:pPr>
              <w:keepNext w:val="0"/>
              <w:keepLines w:val="0"/>
              <w:pageBreakBefore w:val="0"/>
              <w:widowControl w:val="0"/>
              <w:shd w:val="clear"/>
              <w:kinsoku/>
              <w:wordWrap/>
              <w:overflowPunct/>
              <w:topLinePunct w:val="0"/>
              <w:autoSpaceDE/>
              <w:autoSpaceDN/>
              <w:bidi w:val="0"/>
              <w:adjustRightInd w:val="0"/>
              <w:spacing w:line="240" w:lineRule="auto"/>
              <w:textAlignment w:val="auto"/>
              <w:outlineLvl w:val="9"/>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账    号：31010122000005488</w:t>
            </w:r>
          </w:p>
          <w:p w14:paraId="243CFB16">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cs="Arial" w:asciiTheme="minorEastAsia" w:hAnsiTheme="minorEastAsia" w:eastAsiaTheme="minorEastAsia"/>
                <w:color w:val="auto"/>
                <w:kern w:val="0"/>
                <w:sz w:val="24"/>
                <w:highlight w:val="none"/>
              </w:rPr>
            </w:pPr>
            <w:r>
              <w:rPr>
                <w:rFonts w:hint="eastAsia" w:ascii="宋体" w:hAnsi="宋体" w:eastAsia="宋体" w:cs="宋体"/>
                <w:i w:val="0"/>
                <w:iCs w:val="0"/>
                <w:color w:val="auto"/>
                <w:sz w:val="24"/>
                <w:szCs w:val="24"/>
                <w:highlight w:val="none"/>
                <w:u w:val="none"/>
                <w:lang w:val="en-US" w:eastAsia="zh-CN"/>
              </w:rPr>
              <w:t>户    名：宁波中基国际招标有限公司</w:t>
            </w:r>
          </w:p>
        </w:tc>
      </w:tr>
    </w:tbl>
    <w:p w14:paraId="7EB60E76">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bookmarkEnd w:id="10"/>
    <w:p w14:paraId="68766A34">
      <w:pPr>
        <w:adjustRightInd/>
        <w:spacing w:line="360" w:lineRule="auto"/>
        <w:ind w:firstLine="3845" w:firstLineChars="1197"/>
        <w:outlineLvl w:val="0"/>
        <w:rPr>
          <w:rFonts w:ascii="宋体" w:hAnsi="宋体" w:cs="宋体"/>
          <w:b/>
          <w:color w:val="auto"/>
          <w:sz w:val="32"/>
          <w:szCs w:val="20"/>
          <w:highlight w:val="none"/>
        </w:rPr>
      </w:pPr>
      <w:bookmarkStart w:id="15" w:name="_Toc4823"/>
      <w:bookmarkStart w:id="16" w:name="第三部分"/>
      <w:bookmarkStart w:id="17" w:name="_Toc164416483"/>
      <w:r>
        <w:rPr>
          <w:rFonts w:hint="eastAsia" w:ascii="宋体" w:hAnsi="宋体" w:cs="宋体"/>
          <w:b/>
          <w:color w:val="auto"/>
          <w:sz w:val="32"/>
          <w:szCs w:val="20"/>
          <w:highlight w:val="none"/>
        </w:rPr>
        <w:t>一、总则</w:t>
      </w:r>
      <w:bookmarkEnd w:id="15"/>
    </w:p>
    <w:p w14:paraId="75AF156D">
      <w:pPr>
        <w:snapToGrid w:val="0"/>
        <w:spacing w:beforeLines="0" w:afterLines="0" w:line="360" w:lineRule="auto"/>
        <w:ind w:firstLine="361" w:firstLineChars="150"/>
        <w:jc w:val="left"/>
        <w:rPr>
          <w:rFonts w:hint="eastAsia" w:ascii="宋体" w:hAnsi="宋体" w:cs="宋体"/>
          <w:b/>
          <w:color w:val="auto"/>
          <w:sz w:val="24"/>
          <w:szCs w:val="24"/>
        </w:rPr>
      </w:pPr>
      <w:bookmarkStart w:id="18" w:name="_Hlt74729768"/>
      <w:bookmarkEnd w:id="18"/>
      <w:bookmarkStart w:id="19" w:name="_Hlt75236101"/>
      <w:bookmarkEnd w:id="19"/>
      <w:bookmarkStart w:id="20" w:name="_Hlt74714665"/>
      <w:bookmarkEnd w:id="20"/>
      <w:bookmarkStart w:id="21" w:name="_Hlt68073093"/>
      <w:bookmarkEnd w:id="21"/>
      <w:bookmarkStart w:id="22" w:name="_Hlt74730295"/>
      <w:bookmarkEnd w:id="22"/>
      <w:bookmarkStart w:id="23" w:name="_Hlt68403820"/>
      <w:bookmarkEnd w:id="23"/>
      <w:bookmarkStart w:id="24" w:name="_Hlt75236011"/>
      <w:bookmarkEnd w:id="24"/>
      <w:bookmarkStart w:id="25" w:name="_Hlt75236290"/>
      <w:bookmarkEnd w:id="25"/>
      <w:bookmarkStart w:id="26" w:name="_Hlt68072998"/>
      <w:bookmarkEnd w:id="26"/>
      <w:bookmarkStart w:id="27" w:name="_Hlt68057669"/>
      <w:bookmarkEnd w:id="27"/>
      <w:bookmarkStart w:id="28" w:name="_Hlt68072990"/>
      <w:bookmarkEnd w:id="28"/>
      <w:bookmarkStart w:id="29" w:name="_Hlt74707468"/>
      <w:bookmarkEnd w:id="29"/>
      <w:r>
        <w:rPr>
          <w:rFonts w:hint="eastAsia" w:ascii="宋体" w:hAnsi="宋体" w:cs="宋体"/>
          <w:b/>
          <w:color w:val="auto"/>
          <w:sz w:val="24"/>
          <w:szCs w:val="24"/>
        </w:rPr>
        <w:t>1. 适用范围</w:t>
      </w:r>
    </w:p>
    <w:p w14:paraId="55A390E5">
      <w:pPr>
        <w:spacing w:beforeLines="0" w:afterLines="0" w:line="360" w:lineRule="auto"/>
        <w:ind w:leftChars="200" w:firstLine="360" w:firstLineChars="150"/>
        <w:rPr>
          <w:rFonts w:hint="eastAsia" w:ascii="宋体" w:hAnsi="宋体" w:cs="宋体"/>
          <w:color w:val="auto"/>
          <w:sz w:val="24"/>
          <w:szCs w:val="24"/>
        </w:rPr>
      </w:pPr>
      <w:r>
        <w:rPr>
          <w:rFonts w:hint="eastAsia" w:ascii="宋体" w:hAnsi="宋体" w:cs="宋体"/>
          <w:color w:val="auto"/>
          <w:sz w:val="24"/>
          <w:szCs w:val="24"/>
        </w:rPr>
        <w:t>本招标文件适用于该项目的招标、投标、开标、资格审查及信用信息查询、评标、定标、合同、验收等行为（法律、法规另有规定的，从其规定）。</w:t>
      </w:r>
    </w:p>
    <w:p w14:paraId="43C27042">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2.定义</w:t>
      </w:r>
    </w:p>
    <w:p w14:paraId="503E5496">
      <w:pPr>
        <w:spacing w:beforeLines="0" w:afterLines="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2.1 “采购人”系指招标公告中载明的本项目的采购人。</w:t>
      </w:r>
    </w:p>
    <w:p w14:paraId="546E6081">
      <w:pPr>
        <w:spacing w:beforeLines="0" w:afterLines="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2.2 “采购代理机构”系指招标公告中载明的本项目的采购代理机构。</w:t>
      </w:r>
    </w:p>
    <w:p w14:paraId="08A5150D">
      <w:pPr>
        <w:spacing w:beforeLines="0" w:afterLines="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2.3 “投标人”系指响应招标、参加投标竞争的法人、其他组织或者自然人。</w:t>
      </w:r>
    </w:p>
    <w:p w14:paraId="6FE69AAE">
      <w:pPr>
        <w:spacing w:beforeLines="0" w:afterLines="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2.4 “负责人”系指法人企业的法定负责人，或其他组织为法律、行政法规规定代表单位行使职权的主要负责人，或自然人本人。</w:t>
      </w:r>
    </w:p>
    <w:p w14:paraId="280DDD3A">
      <w:pPr>
        <w:spacing w:beforeLines="0" w:afterLines="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259496">
      <w:pPr>
        <w:spacing w:beforeLines="0" w:afterLines="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2.6“电子交易平台”系指本项目政府采购活动所依托的政府采购云平台（https://www.zcygov.cn/）。</w:t>
      </w:r>
    </w:p>
    <w:p w14:paraId="111EC3F3">
      <w:pPr>
        <w:spacing w:beforeLines="0" w:afterLines="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2.7 “▲” 系指实质性要求条款，“</w:t>
      </w:r>
      <w:r>
        <w:rPr>
          <w:rFonts w:hint="default" w:ascii="Wingdings" w:hAnsi="Wingdings" w:cs="宋体"/>
          <w:color w:val="auto"/>
          <w:kern w:val="0"/>
          <w:sz w:val="24"/>
          <w:szCs w:val="24"/>
        </w:rPr>
        <w:t></w:t>
      </w:r>
      <w:r>
        <w:rPr>
          <w:rFonts w:hint="eastAsia" w:ascii="宋体" w:hAnsi="宋体" w:cs="宋体"/>
          <w:color w:val="auto"/>
          <w:sz w:val="24"/>
          <w:szCs w:val="24"/>
        </w:rPr>
        <w:t>” 系指适用本项目的要求，“</w:t>
      </w:r>
      <w:r>
        <w:rPr>
          <w:rFonts w:hint="eastAsia" w:ascii="宋体" w:hAnsi="宋体" w:cs="宋体"/>
          <w:color w:val="auto"/>
          <w:kern w:val="0"/>
          <w:sz w:val="24"/>
          <w:szCs w:val="24"/>
        </w:rPr>
        <w:t>☐</w:t>
      </w:r>
      <w:r>
        <w:rPr>
          <w:rFonts w:hint="eastAsia" w:ascii="宋体" w:hAnsi="宋体" w:cs="宋体"/>
          <w:color w:val="auto"/>
          <w:sz w:val="24"/>
          <w:szCs w:val="24"/>
        </w:rPr>
        <w:t>” 系指不适用本项目的要求。</w:t>
      </w:r>
    </w:p>
    <w:p w14:paraId="42D8E706">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3. 采购项目需要落实的政府采购政策</w:t>
      </w:r>
    </w:p>
    <w:p w14:paraId="144B99BA">
      <w:pPr>
        <w:spacing w:beforeLines="0" w:afterLines="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szCs w:val="24"/>
        </w:rPr>
        <w:t>优先采购向我国企业转让技术、与我国企业签订消化吸收再创新方案的供应商的进口产品</w:t>
      </w:r>
      <w:r>
        <w:rPr>
          <w:rFonts w:hint="eastAsia" w:ascii="宋体" w:hAnsi="宋体" w:cs="宋体"/>
          <w:color w:val="auto"/>
          <w:sz w:val="24"/>
          <w:szCs w:val="24"/>
        </w:rPr>
        <w:t>。</w:t>
      </w:r>
    </w:p>
    <w:p w14:paraId="316ED2E3">
      <w:pPr>
        <w:spacing w:beforeLines="0" w:afterLines="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3.2 支持绿色发展</w:t>
      </w:r>
    </w:p>
    <w:p w14:paraId="44127A23">
      <w:pPr>
        <w:spacing w:beforeLines="0" w:afterLines="0" w:line="360" w:lineRule="auto"/>
        <w:ind w:leftChars="100" w:firstLine="480" w:firstLineChars="200"/>
        <w:rPr>
          <w:rFonts w:hint="eastAsia" w:ascii="宋体" w:hAnsi="宋体" w:cs="宋体"/>
          <w:b/>
          <w:color w:val="auto"/>
          <w:sz w:val="24"/>
          <w:szCs w:val="24"/>
        </w:rPr>
      </w:pPr>
      <w:r>
        <w:rPr>
          <w:rFonts w:hint="eastAsia" w:ascii="宋体" w:hAnsi="宋体" w:cs="宋体"/>
          <w:color w:val="auto"/>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szCs w:val="24"/>
        </w:rPr>
        <w:t>▲采购人拟采购的产品属于政府强制采购的节能产品品目清单范围的，投标人相应的投标产品未获得国家确定的认证机构出具的、处于有效期之内的节能产品认证证书的，投标无效。</w:t>
      </w:r>
    </w:p>
    <w:p w14:paraId="7F5C68C0">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3.2.2 修缮、装修类项目采购建材的，采购人应将绿色建筑和绿色建材性能、指标等作为实质性条件纳入招标文件和合同。</w:t>
      </w:r>
    </w:p>
    <w:p w14:paraId="3F7A3C51">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35092A0">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07DF93E">
      <w:pPr>
        <w:spacing w:beforeLines="0" w:afterLines="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3.3支持中小企业发展</w:t>
      </w:r>
    </w:p>
    <w:p w14:paraId="393A6A1F">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DFC833">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符合中小企业划分标准的个体工商户，在政府采购活动中视同中小企业。</w:t>
      </w:r>
    </w:p>
    <w:p w14:paraId="662A28C0">
      <w:pPr>
        <w:spacing w:beforeLines="0" w:afterLines="0" w:line="360" w:lineRule="auto"/>
        <w:ind w:leftChars="100" w:firstLine="480" w:firstLineChars="200"/>
        <w:rPr>
          <w:rFonts w:hint="eastAsia" w:ascii="宋体" w:hAnsi="宋体" w:cs="宋体"/>
          <w:color w:val="auto"/>
          <w:kern w:val="0"/>
          <w:sz w:val="24"/>
          <w:szCs w:val="24"/>
        </w:rPr>
      </w:pPr>
      <w:r>
        <w:rPr>
          <w:rFonts w:hint="eastAsia" w:ascii="宋体" w:hAnsi="宋体" w:cs="宋体"/>
          <w:color w:val="auto"/>
          <w:sz w:val="24"/>
          <w:szCs w:val="24"/>
        </w:rPr>
        <w:t>3.3.2</w:t>
      </w:r>
      <w:r>
        <w:rPr>
          <w:rFonts w:hint="eastAsia" w:ascii="宋体" w:hAnsi="宋体" w:cs="宋体"/>
          <w:color w:val="auto"/>
          <w:kern w:val="0"/>
          <w:sz w:val="24"/>
          <w:szCs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381D4E2">
      <w:pPr>
        <w:spacing w:beforeLines="0" w:afterLines="0" w:line="360" w:lineRule="auto"/>
        <w:ind w:leftChars="100"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以联合体形式参加政府采购活动，联合体各方均为中小企业的，联合体视同中小企业。其中，联合体各方均为小微企业的，联合体视同小微企业。</w:t>
      </w:r>
    </w:p>
    <w:p w14:paraId="36CCC5B6">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E07048B">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3.3.4符合《关于促进残疾人就业政府采购政策的通知》（财库〔2017〕141号）规定的条件并提供《残疾人福利性单位声明函》（附件1）的残疾人福利性单位视同小型、微型企业；</w:t>
      </w:r>
    </w:p>
    <w:p w14:paraId="55BEFD9A">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CCB789">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DCAB3DF">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3.3.7中小企业享受扶持政策获得政府采购合同的，小微企业不得将合同分包给大中型企业，中型企业不得将合同分包给大型企业。</w:t>
      </w:r>
    </w:p>
    <w:p w14:paraId="420D1364">
      <w:pPr>
        <w:spacing w:beforeLines="0" w:afterLines="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3.4支持创新发展</w:t>
      </w:r>
    </w:p>
    <w:p w14:paraId="7CB46868">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3.4.1 采购人优先采购被认定为首台套产品和“制造精品”的自主创新产品。</w:t>
      </w:r>
    </w:p>
    <w:p w14:paraId="43A26836">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FBC8977">
      <w:pPr>
        <w:spacing w:beforeLines="0" w:afterLines="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3.5平等对待内外资企业和符合条件的破产重整企业</w:t>
      </w:r>
    </w:p>
    <w:p w14:paraId="5F555833">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平等对待内外资企业和符合条件的破产重整企业，切实保障企业公平竞争，平等维护企业的合法利益。</w:t>
      </w:r>
    </w:p>
    <w:p w14:paraId="5A7DD3B7">
      <w:pPr>
        <w:spacing w:beforeLines="0" w:afterLines="0" w:line="360" w:lineRule="auto"/>
        <w:ind w:leftChars="100" w:firstLine="482" w:firstLineChars="200"/>
        <w:rPr>
          <w:rFonts w:hint="eastAsia" w:ascii="宋体" w:hAnsi="宋体" w:cs="宋体"/>
          <w:b/>
          <w:color w:val="auto"/>
          <w:sz w:val="24"/>
          <w:szCs w:val="24"/>
        </w:rPr>
      </w:pPr>
      <w:r>
        <w:rPr>
          <w:rFonts w:hint="eastAsia" w:ascii="宋体" w:hAnsi="宋体" w:cs="宋体"/>
          <w:b/>
          <w:color w:val="auto"/>
          <w:sz w:val="24"/>
          <w:szCs w:val="24"/>
        </w:rPr>
        <w:t>4. 询问、质疑、投诉</w:t>
      </w:r>
    </w:p>
    <w:p w14:paraId="35D6C573">
      <w:pPr>
        <w:spacing w:beforeLines="0" w:afterLines="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571856">
      <w:pPr>
        <w:spacing w:beforeLines="0" w:afterLines="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4.2供应商询问</w:t>
      </w:r>
    </w:p>
    <w:p w14:paraId="0E63BC41">
      <w:pPr>
        <w:autoSpaceDE w:val="0"/>
        <w:autoSpaceDN w:val="0"/>
        <w:spacing w:beforeLines="0" w:afterLines="0" w:line="360" w:lineRule="auto"/>
        <w:ind w:firstLine="480" w:firstLineChars="200"/>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028D371">
      <w:pPr>
        <w:spacing w:beforeLines="0" w:afterLines="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4.3供应商质疑</w:t>
      </w:r>
    </w:p>
    <w:p w14:paraId="098228AE">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lang w:val="zh-CN"/>
        </w:rPr>
        <w:t>4.3</w:t>
      </w:r>
      <w:r>
        <w:rPr>
          <w:rFonts w:hint="eastAsia" w:ascii="宋体" w:hAnsi="宋体" w:cs="宋体"/>
          <w:color w:val="auto"/>
          <w:sz w:val="24"/>
          <w:szCs w:val="24"/>
        </w:rPr>
        <w:t>.1提出质疑的供应商应当是参与所质疑项目采购活动的供应商。潜在供应商已依法获取其可质疑的招标文件的，可以对该文件提出质疑。</w:t>
      </w:r>
    </w:p>
    <w:p w14:paraId="11CB0440">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lang w:val="zh-CN"/>
        </w:rPr>
        <w:t>4.3</w:t>
      </w:r>
      <w:r>
        <w:rPr>
          <w:rFonts w:hint="eastAsia" w:ascii="宋体" w:hAnsi="宋体" w:cs="宋体"/>
          <w:color w:val="auto"/>
          <w:sz w:val="24"/>
          <w:szCs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FA154D">
      <w:pPr>
        <w:spacing w:beforeLines="0" w:afterLines="0" w:line="360" w:lineRule="auto"/>
        <w:ind w:leftChars="2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4.3.2.1对招标文件提出质疑的，质疑期限为供应商获得招标文件之日或者招标文件公告期限届满之日起计算。</w:t>
      </w:r>
    </w:p>
    <w:p w14:paraId="4AB60E26">
      <w:pPr>
        <w:spacing w:beforeLines="0" w:afterLines="0" w:line="360" w:lineRule="auto"/>
        <w:ind w:leftChars="2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4.3.2.2对采购过程提出质疑的，质疑期限为各采购程序环节结束之日起计算。</w:t>
      </w:r>
    </w:p>
    <w:p w14:paraId="0AE56990">
      <w:pPr>
        <w:spacing w:beforeLines="0" w:afterLines="0" w:line="360" w:lineRule="auto"/>
        <w:ind w:leftChars="2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4.3.2.3对采购结果提出质疑的，质疑期限自采购结果公告期限届满之日起计算。</w:t>
      </w:r>
    </w:p>
    <w:p w14:paraId="3620B8FE">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4.3.3</w:t>
      </w:r>
      <w:r>
        <w:rPr>
          <w:rFonts w:hint="eastAsia" w:ascii="宋体" w:hAnsi="宋体" w:cs="宋体"/>
          <w:color w:val="auto"/>
          <w:sz w:val="24"/>
          <w:szCs w:val="24"/>
        </w:rPr>
        <w:t>供应商提出质疑应当提交质疑函和必要的证明材料。质疑函应当包括下列内容：</w:t>
      </w:r>
    </w:p>
    <w:p w14:paraId="7AF41E2D">
      <w:pPr>
        <w:spacing w:beforeLines="0" w:afterLines="0" w:line="360" w:lineRule="auto"/>
        <w:ind w:leftChars="2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4.3.3.1供应商的姓名或者名称、地址、邮编、联系人及联系电话；</w:t>
      </w:r>
    </w:p>
    <w:p w14:paraId="7AA7433D">
      <w:pPr>
        <w:spacing w:beforeLines="0" w:afterLines="0" w:line="360" w:lineRule="auto"/>
        <w:ind w:leftChars="2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4.3.3.2质疑项目的名称、编号；</w:t>
      </w:r>
    </w:p>
    <w:p w14:paraId="23821E0A">
      <w:pPr>
        <w:spacing w:beforeLines="0" w:afterLines="0" w:line="360" w:lineRule="auto"/>
        <w:ind w:leftChars="2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4.3.3.3具体、明确的质疑事项和与质疑事项相关的请求；</w:t>
      </w:r>
    </w:p>
    <w:p w14:paraId="15813BA8">
      <w:pPr>
        <w:spacing w:beforeLines="0" w:afterLines="0" w:line="360" w:lineRule="auto"/>
        <w:ind w:leftChars="2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4.3.3.4事实依据；</w:t>
      </w:r>
    </w:p>
    <w:p w14:paraId="7C26D029">
      <w:pPr>
        <w:spacing w:beforeLines="0" w:afterLines="0" w:line="360" w:lineRule="auto"/>
        <w:ind w:leftChars="2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4.3.3.5必要的法律依据；</w:t>
      </w:r>
    </w:p>
    <w:p w14:paraId="2E51194A">
      <w:pPr>
        <w:spacing w:beforeLines="0" w:afterLines="0" w:line="360" w:lineRule="auto"/>
        <w:ind w:leftChars="2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4.3.3.6提出质疑的日期。</w:t>
      </w:r>
    </w:p>
    <w:p w14:paraId="1B055DED">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14:paraId="2133B886">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质疑函范本及制作说明详见附件2。</w:t>
      </w:r>
    </w:p>
    <w:p w14:paraId="087D30D5">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4.3.4对同一采购程序环节的质疑，供应商须在法定质疑期内一次性提出。</w:t>
      </w:r>
    </w:p>
    <w:p w14:paraId="1F3D9F18">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lang w:val="zh-CN"/>
        </w:rPr>
        <w:t>4.3</w:t>
      </w:r>
      <w:r>
        <w:rPr>
          <w:rFonts w:hint="eastAsia" w:ascii="宋体" w:hAnsi="宋体" w:cs="宋体"/>
          <w:color w:val="auto"/>
          <w:sz w:val="24"/>
          <w:szCs w:val="24"/>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11D75D7A">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lang w:val="zh-CN"/>
        </w:rPr>
        <w:t>4.3</w:t>
      </w:r>
      <w:r>
        <w:rPr>
          <w:rFonts w:hint="eastAsia" w:ascii="宋体" w:hAnsi="宋体" w:cs="宋体"/>
          <w:color w:val="auto"/>
          <w:sz w:val="24"/>
          <w:szCs w:val="24"/>
        </w:rPr>
        <w:t>.6询问或者质疑事项可能影响采购结果的，采购人应当暂停签订合同，已经签订合同的，应当中止履行合同。</w:t>
      </w:r>
    </w:p>
    <w:p w14:paraId="7C1D5B82">
      <w:pPr>
        <w:spacing w:beforeLines="0" w:afterLines="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4.4供应商投诉</w:t>
      </w:r>
    </w:p>
    <w:p w14:paraId="7BB431AE">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53C34CC1">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4.4.2供应商投诉的事项不得超出已质疑事项的范围，基于质疑答复内容提出的投诉事项除外。</w:t>
      </w:r>
    </w:p>
    <w:p w14:paraId="4D4DC818">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4.4.3供应商投诉应当有明确的请求和必要的证明材料。</w:t>
      </w:r>
    </w:p>
    <w:p w14:paraId="36AA7E04">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4.4.4以联合体形式参加政府采购活动的，其投诉应当由组成联合体的所有供应商共同提出。</w:t>
      </w:r>
    </w:p>
    <w:p w14:paraId="1F8497F0">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4.4.5投诉材料寄送相关信息详见《第一部分  招标公告》。</w:t>
      </w:r>
    </w:p>
    <w:p w14:paraId="07F39B7E">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投诉书范本及制作说明详见附件3。</w:t>
      </w:r>
    </w:p>
    <w:p w14:paraId="48FCC2F9">
      <w:pPr>
        <w:pStyle w:val="129"/>
        <w:snapToGrid w:val="0"/>
        <w:spacing w:before="0" w:beforeLines="0" w:afterLines="0"/>
        <w:ind w:firstLine="360"/>
        <w:rPr>
          <w:rFonts w:hint="eastAsia" w:ascii="宋体" w:hAnsi="宋体" w:cs="宋体"/>
          <w:color w:val="auto"/>
          <w:sz w:val="18"/>
          <w:szCs w:val="18"/>
        </w:rPr>
      </w:pPr>
    </w:p>
    <w:p w14:paraId="6FFC6282">
      <w:pPr>
        <w:adjustRightInd/>
        <w:spacing w:beforeLines="0" w:afterLines="0" w:line="360" w:lineRule="auto"/>
        <w:jc w:val="center"/>
        <w:rPr>
          <w:rFonts w:hint="eastAsia" w:ascii="宋体" w:hAnsi="宋体" w:cs="宋体"/>
          <w:b/>
          <w:color w:val="auto"/>
          <w:sz w:val="32"/>
          <w:szCs w:val="20"/>
        </w:rPr>
      </w:pPr>
      <w:r>
        <w:rPr>
          <w:rFonts w:hint="eastAsia" w:ascii="宋体" w:hAnsi="宋体" w:cs="宋体"/>
          <w:b/>
          <w:color w:val="auto"/>
          <w:sz w:val="32"/>
          <w:szCs w:val="20"/>
        </w:rPr>
        <w:t>二、招标文件的构成、澄清、修改</w:t>
      </w:r>
    </w:p>
    <w:p w14:paraId="263F5F25">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5．招标文件的构成</w:t>
      </w:r>
    </w:p>
    <w:p w14:paraId="2A511C95">
      <w:pPr>
        <w:spacing w:beforeLines="0" w:afterLines="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5.1 招标文件包括下列文件及附件：</w:t>
      </w:r>
    </w:p>
    <w:p w14:paraId="070360D7">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5.1.1招标公告；</w:t>
      </w:r>
    </w:p>
    <w:p w14:paraId="466DE502">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5.1.2投标人须知；</w:t>
      </w:r>
    </w:p>
    <w:p w14:paraId="14674C24">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5.1.3采购需求；</w:t>
      </w:r>
    </w:p>
    <w:p w14:paraId="14C719B5">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5.1.4评标办法；</w:t>
      </w:r>
    </w:p>
    <w:p w14:paraId="07806447">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5.1.5拟签订的合同文本；</w:t>
      </w:r>
    </w:p>
    <w:p w14:paraId="3AD1D98D">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5.1.6应提交的有关格式范例。</w:t>
      </w:r>
    </w:p>
    <w:p w14:paraId="273E62D6">
      <w:pPr>
        <w:spacing w:beforeLines="0" w:afterLines="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5.2与本项目有关的澄清或者修改的内容为招标文件的组成部分。</w:t>
      </w:r>
    </w:p>
    <w:p w14:paraId="0AC65C26">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6. 招标文件的澄清、修改</w:t>
      </w:r>
    </w:p>
    <w:p w14:paraId="005E6713">
      <w:pPr>
        <w:spacing w:beforeLines="0" w:afterLines="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6.1已获取招标文件的潜在投标人，若有问题需要澄清，应于投标截止时间前，以书面形式向采购代理机构提出。</w:t>
      </w:r>
    </w:p>
    <w:p w14:paraId="652C7AC3">
      <w:pPr>
        <w:spacing w:beforeLines="0" w:afterLines="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6F452D9">
      <w:pPr>
        <w:adjustRightInd/>
        <w:spacing w:beforeLines="0" w:afterLines="0" w:line="360" w:lineRule="auto"/>
        <w:jc w:val="center"/>
        <w:rPr>
          <w:rFonts w:hint="eastAsia" w:ascii="宋体" w:hAnsi="宋体" w:cs="宋体"/>
          <w:b/>
          <w:color w:val="auto"/>
          <w:sz w:val="30"/>
          <w:szCs w:val="20"/>
        </w:rPr>
      </w:pPr>
      <w:r>
        <w:rPr>
          <w:rFonts w:hint="eastAsia" w:ascii="宋体" w:hAnsi="宋体" w:cs="宋体"/>
          <w:b/>
          <w:color w:val="auto"/>
          <w:sz w:val="30"/>
          <w:szCs w:val="20"/>
        </w:rPr>
        <w:t>三、投标</w:t>
      </w:r>
    </w:p>
    <w:p w14:paraId="5EBC8D26">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7. 招标文件的获取</w:t>
      </w:r>
    </w:p>
    <w:p w14:paraId="541ED939">
      <w:pPr>
        <w:spacing w:beforeLines="0" w:afterLines="0" w:line="360" w:lineRule="auto"/>
        <w:ind w:firstLine="480" w:firstLineChars="200"/>
        <w:rPr>
          <w:rFonts w:hint="eastAsia" w:ascii="宋体" w:hAnsi="宋体" w:cs="宋体"/>
          <w:snapToGrid w:val="0"/>
          <w:color w:val="auto"/>
          <w:kern w:val="28"/>
          <w:sz w:val="24"/>
          <w:szCs w:val="24"/>
        </w:rPr>
      </w:pPr>
      <w:r>
        <w:rPr>
          <w:rFonts w:hint="eastAsia" w:ascii="宋体" w:hAnsi="宋体" w:cs="宋体"/>
          <w:snapToGrid w:val="0"/>
          <w:color w:val="auto"/>
          <w:kern w:val="28"/>
          <w:sz w:val="24"/>
          <w:szCs w:val="24"/>
        </w:rPr>
        <w:t>详见招标公告中获取招标文件的时间期限、地点、方式及招标文件售价。</w:t>
      </w:r>
    </w:p>
    <w:p w14:paraId="70DBA7D1">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8.开标前答疑会或现场考察</w:t>
      </w:r>
    </w:p>
    <w:p w14:paraId="5C9BBBFF">
      <w:pPr>
        <w:spacing w:beforeLines="0" w:afterLines="0" w:line="360" w:lineRule="auto"/>
        <w:ind w:firstLine="480" w:firstLineChars="200"/>
        <w:rPr>
          <w:rFonts w:hint="eastAsia" w:ascii="宋体" w:hAnsi="宋体" w:cs="宋体"/>
          <w:snapToGrid w:val="0"/>
          <w:color w:val="auto"/>
          <w:kern w:val="28"/>
          <w:sz w:val="24"/>
          <w:szCs w:val="24"/>
        </w:rPr>
      </w:pPr>
      <w:r>
        <w:rPr>
          <w:rFonts w:hint="eastAsia" w:ascii="宋体" w:hAnsi="宋体" w:cs="宋体"/>
          <w:snapToGrid w:val="0"/>
          <w:color w:val="auto"/>
          <w:kern w:val="28"/>
          <w:sz w:val="24"/>
          <w:szCs w:val="24"/>
        </w:rPr>
        <w:t>采购人组织潜在投标人现场考察或者召开开标前答疑会的，潜在投标人按第二部分投标人须知前附表的规定参加现场考察或者开标前答疑会。</w:t>
      </w:r>
    </w:p>
    <w:p w14:paraId="419B4F05">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9.投标保证金</w:t>
      </w:r>
    </w:p>
    <w:p w14:paraId="56C4932D">
      <w:pPr>
        <w:spacing w:beforeLines="0" w:afterLines="0" w:line="360" w:lineRule="auto"/>
        <w:ind w:firstLine="480" w:firstLineChars="200"/>
        <w:rPr>
          <w:rFonts w:hint="eastAsia" w:ascii="宋体" w:hAnsi="宋体" w:cs="宋体"/>
          <w:snapToGrid w:val="0"/>
          <w:color w:val="auto"/>
          <w:kern w:val="28"/>
          <w:sz w:val="24"/>
          <w:szCs w:val="24"/>
        </w:rPr>
      </w:pPr>
      <w:r>
        <w:rPr>
          <w:rFonts w:hint="eastAsia" w:ascii="宋体" w:hAnsi="宋体" w:cs="宋体"/>
          <w:snapToGrid w:val="0"/>
          <w:color w:val="auto"/>
          <w:kern w:val="28"/>
          <w:sz w:val="24"/>
          <w:szCs w:val="24"/>
        </w:rPr>
        <w:t>本项目不需缴纳投标保证金。</w:t>
      </w:r>
    </w:p>
    <w:p w14:paraId="1937D6EF">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10. 投标文件的语言</w:t>
      </w:r>
    </w:p>
    <w:p w14:paraId="39ECF2C2">
      <w:pPr>
        <w:spacing w:beforeLines="0" w:afterLines="0" w:line="360" w:lineRule="auto"/>
        <w:ind w:firstLine="480" w:firstLineChars="200"/>
        <w:rPr>
          <w:rFonts w:hint="eastAsia" w:ascii="宋体" w:hAnsi="宋体" w:cs="宋体"/>
          <w:snapToGrid w:val="0"/>
          <w:color w:val="auto"/>
          <w:kern w:val="28"/>
          <w:sz w:val="24"/>
          <w:szCs w:val="24"/>
          <w:lang w:val="zh-CN"/>
        </w:rPr>
      </w:pPr>
      <w:r>
        <w:rPr>
          <w:rFonts w:hint="eastAsia" w:ascii="宋体" w:hAnsi="宋体" w:cs="宋体"/>
          <w:snapToGrid w:val="0"/>
          <w:color w:val="auto"/>
          <w:kern w:val="28"/>
          <w:sz w:val="24"/>
          <w:szCs w:val="24"/>
        </w:rPr>
        <w:t>投标文件及投标人与采购有关的来往通知、函件和文件均应使用中文。</w:t>
      </w:r>
    </w:p>
    <w:p w14:paraId="14BE2D01">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11. 投标文件的组成</w:t>
      </w:r>
    </w:p>
    <w:p w14:paraId="6CF24389">
      <w:pPr>
        <w:snapToGrid w:val="0"/>
        <w:spacing w:beforeLines="0" w:afterLines="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11.1</w:t>
      </w:r>
      <w:r>
        <w:rPr>
          <w:rFonts w:hint="eastAsia" w:ascii="宋体" w:hAnsi="宋体" w:cs="宋体"/>
          <w:b/>
          <w:color w:val="auto"/>
          <w:sz w:val="24"/>
          <w:szCs w:val="24"/>
        </w:rPr>
        <w:t>资格文件</w:t>
      </w:r>
      <w:r>
        <w:rPr>
          <w:rFonts w:hint="eastAsia" w:ascii="宋体" w:hAnsi="宋体" w:cs="宋体"/>
          <w:color w:val="auto"/>
          <w:sz w:val="24"/>
          <w:szCs w:val="24"/>
        </w:rPr>
        <w:t>：</w:t>
      </w:r>
    </w:p>
    <w:p w14:paraId="17B460D2">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11.1.1符合参加政府采购活动应当具备的一般条件的承诺函；</w:t>
      </w:r>
    </w:p>
    <w:p w14:paraId="2766818B">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11.1.2联合协议（如果有)；</w:t>
      </w:r>
    </w:p>
    <w:p w14:paraId="3578E65B">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11.1.3落实政府采购政策需满足的资格要求（如果有)；</w:t>
      </w:r>
    </w:p>
    <w:p w14:paraId="79E64982">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11.1.4本项目的特定资格要求（如果有)。</w:t>
      </w:r>
    </w:p>
    <w:p w14:paraId="65F0B1A9">
      <w:pPr>
        <w:snapToGrid w:val="0"/>
        <w:spacing w:beforeLines="0" w:afterLines="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11.</w:t>
      </w:r>
      <w:r>
        <w:rPr>
          <w:rFonts w:hint="eastAsia" w:ascii="宋体" w:hAnsi="宋体" w:cs="宋体"/>
          <w:color w:val="auto"/>
          <w:sz w:val="24"/>
          <w:szCs w:val="24"/>
        </w:rPr>
        <w:t>2</w:t>
      </w:r>
      <w:r>
        <w:rPr>
          <w:rFonts w:hint="eastAsia" w:ascii="宋体" w:hAnsi="宋体" w:cs="宋体"/>
          <w:color w:val="auto"/>
          <w:sz w:val="24"/>
          <w:szCs w:val="24"/>
          <w:lang w:val="zh-CN"/>
        </w:rPr>
        <w:t xml:space="preserve">  </w:t>
      </w:r>
      <w:r>
        <w:rPr>
          <w:rFonts w:hint="eastAsia" w:ascii="宋体" w:hAnsi="宋体" w:cs="宋体"/>
          <w:color w:val="auto"/>
          <w:sz w:val="24"/>
          <w:szCs w:val="24"/>
        </w:rPr>
        <w:t>商务技术</w:t>
      </w:r>
      <w:r>
        <w:rPr>
          <w:rFonts w:hint="eastAsia" w:ascii="宋体" w:hAnsi="宋体" w:cs="宋体"/>
          <w:color w:val="auto"/>
          <w:sz w:val="24"/>
          <w:szCs w:val="24"/>
          <w:lang w:val="zh-CN"/>
        </w:rPr>
        <w:t>文件：</w:t>
      </w:r>
    </w:p>
    <w:p w14:paraId="2BB37448">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 xml:space="preserve">11.2.1投标函； </w:t>
      </w:r>
    </w:p>
    <w:p w14:paraId="0156139E">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11.2.2授权委托书或法定代表人（单位负责人、自然人本人）身份证明；</w:t>
      </w:r>
    </w:p>
    <w:p w14:paraId="1CAAA530">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11.2.3分包意向协议（如果有)；</w:t>
      </w:r>
    </w:p>
    <w:p w14:paraId="5D261078">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11.2.4符合性审查资料；</w:t>
      </w:r>
    </w:p>
    <w:p w14:paraId="456E3298">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11.2.5评标标准相应的商务技术资料；</w:t>
      </w:r>
    </w:p>
    <w:p w14:paraId="31148E7B">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11.2.6商务技术偏离表；</w:t>
      </w:r>
    </w:p>
    <w:p w14:paraId="325ED2DB">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11.2.</w:t>
      </w:r>
      <w:r>
        <w:rPr>
          <w:rFonts w:hint="eastAsia" w:ascii="宋体" w:hAnsi="宋体" w:cs="宋体"/>
          <w:color w:val="auto"/>
          <w:sz w:val="24"/>
          <w:szCs w:val="24"/>
        </w:rPr>
        <w:t>7</w:t>
      </w:r>
      <w:r>
        <w:rPr>
          <w:rFonts w:hint="eastAsia" w:ascii="宋体" w:hAnsi="宋体" w:cs="宋体"/>
          <w:color w:val="auto"/>
          <w:sz w:val="24"/>
          <w:szCs w:val="24"/>
          <w:lang w:val="zh-CN"/>
        </w:rPr>
        <w:t>政府采购供应商廉洁自律承诺书；</w:t>
      </w:r>
    </w:p>
    <w:p w14:paraId="752D1A02">
      <w:pPr>
        <w:snapToGrid w:val="0"/>
        <w:spacing w:beforeLines="0" w:afterLines="0" w:line="360" w:lineRule="auto"/>
        <w:ind w:firstLine="480" w:firstLineChars="200"/>
        <w:rPr>
          <w:rFonts w:hint="eastAsia" w:ascii="宋体" w:hAnsi="宋体" w:cs="宋体"/>
          <w:color w:val="auto"/>
          <w:sz w:val="24"/>
          <w:szCs w:val="24"/>
          <w:u w:val="single"/>
          <w:lang w:val="zh-CN"/>
        </w:rPr>
      </w:pPr>
      <w:r>
        <w:rPr>
          <w:rFonts w:hint="eastAsia" w:ascii="宋体" w:hAnsi="宋体" w:cs="宋体"/>
          <w:color w:val="auto"/>
          <w:kern w:val="0"/>
          <w:sz w:val="24"/>
          <w:szCs w:val="24"/>
          <w:lang w:val="zh-CN"/>
        </w:rPr>
        <w:t>11.</w:t>
      </w:r>
      <w:r>
        <w:rPr>
          <w:rFonts w:hint="eastAsia" w:ascii="宋体" w:hAnsi="宋体" w:cs="宋体"/>
          <w:color w:val="auto"/>
          <w:kern w:val="0"/>
          <w:sz w:val="24"/>
          <w:szCs w:val="24"/>
        </w:rPr>
        <w:t>3</w:t>
      </w:r>
      <w:r>
        <w:rPr>
          <w:rFonts w:hint="eastAsia" w:ascii="宋体" w:hAnsi="宋体" w:cs="宋体"/>
          <w:b/>
          <w:color w:val="auto"/>
          <w:sz w:val="24"/>
          <w:szCs w:val="24"/>
        </w:rPr>
        <w:t>报价文件：</w:t>
      </w:r>
      <w:r>
        <w:rPr>
          <w:rFonts w:hint="eastAsia" w:ascii="宋体" w:hAnsi="宋体" w:cs="宋体"/>
          <w:color w:val="auto"/>
          <w:sz w:val="24"/>
          <w:szCs w:val="24"/>
        </w:rPr>
        <w:t xml:space="preserve"> </w:t>
      </w:r>
    </w:p>
    <w:p w14:paraId="296EEBCF">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11.3.1开标一览表（报价表）；</w:t>
      </w:r>
    </w:p>
    <w:p w14:paraId="5C6BBCAF">
      <w:pPr>
        <w:spacing w:beforeLines="0" w:afterLines="0" w:line="360" w:lineRule="auto"/>
        <w:ind w:leftChars="100"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zh-CN"/>
        </w:rPr>
        <w:t>11.3.</w:t>
      </w:r>
      <w:r>
        <w:rPr>
          <w:rFonts w:hint="eastAsia" w:ascii="宋体" w:hAnsi="宋体" w:cs="宋体"/>
          <w:color w:val="auto"/>
          <w:sz w:val="24"/>
          <w:szCs w:val="24"/>
          <w:lang w:val="zh-CN" w:eastAsia="zh-CN"/>
        </w:rPr>
        <w:t>2</w:t>
      </w:r>
      <w:r>
        <w:rPr>
          <w:rFonts w:hint="eastAsia" w:ascii="宋体" w:hAnsi="宋体" w:cs="宋体"/>
          <w:color w:val="auto"/>
          <w:sz w:val="24"/>
          <w:szCs w:val="24"/>
          <w:lang w:val="zh-CN"/>
        </w:rPr>
        <w:t>投标分项报价表</w:t>
      </w:r>
      <w:r>
        <w:rPr>
          <w:rFonts w:hint="eastAsia" w:ascii="宋体" w:hAnsi="宋体" w:cs="宋体"/>
          <w:color w:val="auto"/>
          <w:sz w:val="24"/>
          <w:szCs w:val="24"/>
          <w:lang w:val="zh-CN" w:eastAsia="zh-CN"/>
        </w:rPr>
        <w:t>；</w:t>
      </w:r>
    </w:p>
    <w:p w14:paraId="2D4AEDCB">
      <w:pPr>
        <w:spacing w:beforeLines="0" w:afterLines="0" w:line="360" w:lineRule="auto"/>
        <w:ind w:leftChars="100"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11.3.3报价情况说明（如供应商报价低于项目预算50%的，应当提交本文档，详细阐述不影响产品质量或者诚信履约的具体原因）。</w:t>
      </w:r>
    </w:p>
    <w:p w14:paraId="766A5468">
      <w:pPr>
        <w:spacing w:beforeLines="0" w:afterLines="0" w:line="360" w:lineRule="auto"/>
        <w:ind w:leftChars="100" w:firstLine="482" w:firstLineChars="200"/>
        <w:rPr>
          <w:rFonts w:hint="eastAsia" w:ascii="宋体" w:hAnsi="宋体" w:cs="宋体"/>
          <w:b/>
          <w:color w:val="auto"/>
          <w:sz w:val="24"/>
          <w:szCs w:val="24"/>
        </w:rPr>
      </w:pPr>
      <w:r>
        <w:rPr>
          <w:rFonts w:hint="eastAsia" w:ascii="宋体" w:hAnsi="宋体" w:cs="宋体"/>
          <w:b/>
          <w:color w:val="auto"/>
          <w:sz w:val="24"/>
          <w:szCs w:val="24"/>
        </w:rPr>
        <w:t>投标文件含有采购人不能接受的附加条件的，投标无效；</w:t>
      </w:r>
    </w:p>
    <w:p w14:paraId="073C948D">
      <w:pPr>
        <w:spacing w:beforeLines="0" w:afterLines="0" w:line="360" w:lineRule="auto"/>
        <w:ind w:leftChars="100" w:firstLine="482" w:firstLineChars="200"/>
        <w:rPr>
          <w:rFonts w:hint="eastAsia" w:ascii="宋体" w:hAnsi="宋体" w:cs="宋体"/>
          <w:b/>
          <w:color w:val="auto"/>
          <w:sz w:val="24"/>
          <w:szCs w:val="24"/>
        </w:rPr>
      </w:pPr>
      <w:r>
        <w:rPr>
          <w:rFonts w:hint="eastAsia" w:ascii="宋体" w:hAnsi="宋体" w:cs="宋体"/>
          <w:b/>
          <w:color w:val="auto"/>
          <w:sz w:val="24"/>
          <w:szCs w:val="24"/>
        </w:rPr>
        <w:t>投标人提供虚假材料投标的，投标无效。</w:t>
      </w:r>
    </w:p>
    <w:p w14:paraId="01711C94">
      <w:pPr>
        <w:spacing w:beforeLines="0" w:afterLines="0" w:line="360" w:lineRule="auto"/>
        <w:ind w:leftChars="100" w:firstLine="482" w:firstLineChars="200"/>
        <w:rPr>
          <w:rFonts w:hint="eastAsia" w:ascii="宋体" w:hAnsi="宋体" w:cs="宋体"/>
          <w:b/>
          <w:color w:val="auto"/>
          <w:sz w:val="24"/>
          <w:szCs w:val="21"/>
        </w:rPr>
      </w:pPr>
      <w:r>
        <w:rPr>
          <w:rFonts w:hint="eastAsia" w:ascii="宋体" w:hAnsi="宋体" w:cs="宋体"/>
          <w:b/>
          <w:color w:val="auto"/>
          <w:sz w:val="24"/>
          <w:szCs w:val="24"/>
        </w:rPr>
        <w:t>注：投标人可事先在公开官网查询、核对相关证书和报告内容，确保投标（响应）文件资料准确无误。投标人应对投标文件中材料的真实性、合法性负责。</w:t>
      </w:r>
    </w:p>
    <w:p w14:paraId="5474E4BC">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12</w:t>
      </w:r>
      <w:r>
        <w:rPr>
          <w:rFonts w:hint="eastAsia" w:ascii="宋体" w:hAnsi="宋体" w:cs="宋体"/>
          <w:b/>
          <w:color w:val="auto"/>
          <w:sz w:val="24"/>
          <w:szCs w:val="24"/>
          <w:lang w:val="zh-CN"/>
        </w:rPr>
        <w:t xml:space="preserve">. </w:t>
      </w:r>
      <w:r>
        <w:rPr>
          <w:rFonts w:hint="eastAsia" w:ascii="宋体" w:hAnsi="宋体" w:cs="宋体"/>
          <w:b/>
          <w:color w:val="auto"/>
          <w:sz w:val="24"/>
          <w:szCs w:val="24"/>
        </w:rPr>
        <w:t>投标文件的编制</w:t>
      </w:r>
    </w:p>
    <w:p w14:paraId="56D2879C">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072644D">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E6AB553">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12.3使用“政采云电子交易客户端”需要提前申领CA数字证书，申领流程请自行前往“浙江政府采购网-下载专区-电子交易客户端-CA驱动和申领流程”进行查阅。</w:t>
      </w:r>
    </w:p>
    <w:p w14:paraId="6985A5D2">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13.投标文件的签署、盖章</w:t>
      </w:r>
    </w:p>
    <w:p w14:paraId="00DE9B94">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13.1投标文件按照招标文件第六部分格式要求进行签署、盖章。</w:t>
      </w:r>
      <w:r>
        <w:rPr>
          <w:rFonts w:hint="eastAsia" w:ascii="宋体" w:hAnsi="宋体" w:cs="宋体"/>
          <w:b/>
          <w:color w:val="auto"/>
          <w:kern w:val="0"/>
          <w:sz w:val="24"/>
          <w:szCs w:val="24"/>
          <w:lang w:val="zh-CN"/>
        </w:rPr>
        <w:t>▲投标人的投标文件未按照招标文件要求签署、盖章的，其投标无效。</w:t>
      </w:r>
    </w:p>
    <w:p w14:paraId="37324609">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13.2为确保网上操作合法、有效和安全，投标人应当在投标截止时间前完成在“政府采购云平台”的身份认证，确保在电子投标过程中能够对相关数据电文进行加密和使用电子签名。</w:t>
      </w:r>
    </w:p>
    <w:p w14:paraId="2586B858">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13.3招标文件对投标文件签署、盖章的要求适用于电子签名。</w:t>
      </w:r>
    </w:p>
    <w:p w14:paraId="575216C3">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14. 投标文件的提交、补充、修改、撤回</w:t>
      </w:r>
    </w:p>
    <w:p w14:paraId="59EBD7F2">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7024B8">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14.2电子交易平台收到投标文件，将妥善保存并即时向供应商发出确认回执通知。在投标截止时间前，除供应商补充、修改或者撤回投标文件外，任何单位和个人不得解密或提取投标文件。</w:t>
      </w:r>
    </w:p>
    <w:p w14:paraId="20D89AF5">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14.3采购人、采购代理机构可以视情况延长投标文件提交的截止时间。在上述情况下，采购代理机构与投标人以前在投标截止期方面的全部权利、责任和义务，将适用于延长至新的投标截止期。</w:t>
      </w:r>
    </w:p>
    <w:p w14:paraId="3A156801">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15.备份投标文件（文件后缀为：bfbs）</w:t>
      </w:r>
    </w:p>
    <w:p w14:paraId="115950DD">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15.1投标人在电子交易平台传输递交投标文件后，还可以在投标截止时间前直接提交或者以快递方式递交备份投标文件1份，</w:t>
      </w:r>
      <w:r>
        <w:rPr>
          <w:rFonts w:hint="eastAsia" w:ascii="宋体" w:hAnsi="宋体" w:cs="宋体"/>
          <w:b/>
          <w:color w:val="auto"/>
          <w:kern w:val="0"/>
          <w:sz w:val="24"/>
          <w:szCs w:val="24"/>
          <w:lang w:val="zh-CN"/>
        </w:rPr>
        <w:t>但采购人、采购代理机构不强制或变相强制投标人提交备份投标文件。</w:t>
      </w:r>
    </w:p>
    <w:p w14:paraId="0FA18C27">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15.2备份投标文件须在“政采云投标客户端”制作生成，并储存在</w:t>
      </w:r>
      <w:r>
        <w:rPr>
          <w:rFonts w:hint="eastAsia" w:ascii="宋体" w:hAnsi="宋体" w:cs="宋体"/>
          <w:color w:val="auto"/>
          <w:kern w:val="0"/>
          <w:sz w:val="24"/>
          <w:szCs w:val="24"/>
        </w:rPr>
        <w:t>U</w:t>
      </w:r>
      <w:r>
        <w:rPr>
          <w:rFonts w:hint="eastAsia" w:ascii="宋体" w:hAnsi="宋体" w:cs="宋体"/>
          <w:color w:val="auto"/>
          <w:kern w:val="0"/>
          <w:sz w:val="24"/>
          <w:szCs w:val="24"/>
          <w:lang w:val="zh-CN"/>
        </w:rPr>
        <w:t>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color w:val="auto"/>
          <w:kern w:val="0"/>
          <w:sz w:val="24"/>
          <w:szCs w:val="24"/>
          <w:lang w:val="zh-CN"/>
        </w:rPr>
        <w:t>不符合上述制作、存储、密封规定的备份投标文件将被视为无效或者被拒绝接收。</w:t>
      </w:r>
    </w:p>
    <w:p w14:paraId="7B7721C6">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15.3直接提交备份投标文件的，投标人应于投标截止时间前在招标文件第二部分投标人须知前附表规定的备份投标文件送达地点将备份投标文件提交给采购代理机构，采购代理机构将拒绝接受逾期送达的备份投标文件。</w:t>
      </w:r>
    </w:p>
    <w:p w14:paraId="429E38BA">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15.4以快递方式递交备份投标文件的，投标人应先将备份投标文件按要求密封和标记，再进行快递包装后邮寄。备份投标文件须在第二部分投标人须知前附表规定的备份投标文件送达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8335CA4">
      <w:pPr>
        <w:snapToGrid w:val="0"/>
        <w:spacing w:beforeLines="0" w:afterLines="0" w:line="360" w:lineRule="auto"/>
        <w:ind w:firstLine="482" w:firstLineChars="200"/>
        <w:rPr>
          <w:rFonts w:hint="eastAsia" w:ascii="宋体" w:hAnsi="宋体" w:cs="宋体"/>
          <w:b/>
          <w:color w:val="auto"/>
          <w:kern w:val="0"/>
          <w:sz w:val="24"/>
          <w:szCs w:val="24"/>
          <w:lang w:val="zh-CN"/>
        </w:rPr>
      </w:pPr>
      <w:r>
        <w:rPr>
          <w:rFonts w:hint="eastAsia" w:ascii="宋体" w:hAnsi="宋体" w:cs="宋体"/>
          <w:b/>
          <w:color w:val="auto"/>
          <w:kern w:val="0"/>
          <w:sz w:val="24"/>
          <w:szCs w:val="24"/>
          <w:lang w:val="zh-CN"/>
        </w:rPr>
        <w:t>15.5投标人仅提交备份投标文件，未在电子交易平台传输递交投标文件的，投标无效。</w:t>
      </w:r>
    </w:p>
    <w:p w14:paraId="4393117F">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16.投标文件的无效处理</w:t>
      </w:r>
    </w:p>
    <w:p w14:paraId="0B336A9B">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有招标文件第四部分4.2规定的情形之一的，投标无效。</w:t>
      </w:r>
    </w:p>
    <w:p w14:paraId="08689CA3">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17.投标有效期</w:t>
      </w:r>
    </w:p>
    <w:p w14:paraId="6032B79E">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17.1投标有效期为从提交投标文件的截止之日起90天。</w:t>
      </w:r>
      <w:r>
        <w:rPr>
          <w:rFonts w:hint="eastAsia" w:ascii="宋体" w:hAnsi="宋体" w:cs="宋体"/>
          <w:b/>
          <w:color w:val="auto"/>
          <w:kern w:val="0"/>
          <w:sz w:val="24"/>
          <w:szCs w:val="24"/>
          <w:lang w:val="zh-CN"/>
        </w:rPr>
        <w:t>▲投标人的投标文件中承诺的投标有效期少于招标文件中载明的投标有效期的，投标无效。</w:t>
      </w:r>
    </w:p>
    <w:p w14:paraId="392BFF7A">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17.2投标文件合格投递后，自投标截止日期起，在投标有效期内有效。</w:t>
      </w:r>
    </w:p>
    <w:p w14:paraId="7F3A8899">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17.3在原定投标有效期满之前，如果出现特殊情况，采购代理机构可以以书面形式通知投标人延长投标有效期。投标人同意延长的，不得要求或被允许修改其投标文件，投标人拒绝延长的，其投标无效。</w:t>
      </w:r>
    </w:p>
    <w:p w14:paraId="0C697167">
      <w:pPr>
        <w:pStyle w:val="129"/>
        <w:spacing w:before="0" w:beforeLines="0" w:afterLines="0"/>
        <w:ind w:firstLine="1928" w:firstLineChars="600"/>
        <w:rPr>
          <w:rFonts w:hint="eastAsia" w:ascii="宋体" w:hAnsi="宋体" w:cs="宋体"/>
          <w:b/>
          <w:color w:val="auto"/>
          <w:sz w:val="32"/>
          <w:szCs w:val="20"/>
        </w:rPr>
      </w:pPr>
      <w:r>
        <w:rPr>
          <w:rFonts w:hint="eastAsia" w:ascii="宋体" w:hAnsi="宋体" w:cs="宋体"/>
          <w:b/>
          <w:color w:val="auto"/>
          <w:sz w:val="32"/>
          <w:szCs w:val="20"/>
        </w:rPr>
        <w:t>四、开标、资格审查与信用信息查询</w:t>
      </w:r>
    </w:p>
    <w:p w14:paraId="424F018E">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 xml:space="preserve">18.开标 </w:t>
      </w:r>
    </w:p>
    <w:p w14:paraId="1FCB6003">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18.1采购代理机构按照招标文件规定的时间通过电子交易平台组织开标，所有投标人均应当准时在线参加。投标人不足3家的，不得开标。</w:t>
      </w:r>
    </w:p>
    <w:p w14:paraId="1285E411">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18.2开标时，电子交易平台按开标时间自动提取所有投标文件。采购代理机构依托电子交易平台发起开始解密指令，投标人按照平台提示和招标文件的规定在半小时内完成在线解密。</w:t>
      </w:r>
    </w:p>
    <w:p w14:paraId="1B0D5832">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18.2.1具体开标程序：</w:t>
      </w:r>
    </w:p>
    <w:p w14:paraId="743ABE9B">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第一阶段：</w:t>
      </w:r>
    </w:p>
    <w:p w14:paraId="05D23F05">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（1）投标截止时间后，供应商登录政府采购云平台，用“项目采购-开标评标”功能对电子投标文件进行在线解密，在线解密电子投标文件时间为开标时间后30分钟内。</w:t>
      </w:r>
    </w:p>
    <w:p w14:paraId="51F7B89E">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（2）在政府采购云平台开启已解密供应商的“资格文件、商务技术文件”，并做开标记录；</w:t>
      </w:r>
    </w:p>
    <w:p w14:paraId="67244CF2">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第二阶段：</w:t>
      </w:r>
    </w:p>
    <w:p w14:paraId="7E47E0BD">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（1）在政府采购云平台宣告第一阶段评审无效供应商名单及理由；</w:t>
      </w:r>
    </w:p>
    <w:p w14:paraId="2C180933">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（2）公布经第一阶段评审符合招标文件要求的供应商的商务技术得分情况；</w:t>
      </w:r>
    </w:p>
    <w:p w14:paraId="7435D9AF">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（3）在政府采购云平台开启除第一阶段无效标外的供应商的“报价文件”，并做开标记录；</w:t>
      </w:r>
    </w:p>
    <w:p w14:paraId="5AB24D9D">
      <w:pPr>
        <w:spacing w:beforeLines="0" w:afterLines="0" w:line="360" w:lineRule="auto"/>
        <w:ind w:leftChars="100" w:firstLine="480" w:firstLineChars="200"/>
        <w:rPr>
          <w:rFonts w:hint="eastAsia" w:ascii="宋体" w:hAnsi="宋体" w:cs="宋体"/>
          <w:color w:val="auto"/>
          <w:sz w:val="24"/>
          <w:szCs w:val="24"/>
        </w:rPr>
      </w:pPr>
      <w:r>
        <w:rPr>
          <w:rFonts w:hint="eastAsia" w:ascii="宋体" w:hAnsi="宋体" w:cs="宋体"/>
          <w:color w:val="auto"/>
          <w:sz w:val="24"/>
          <w:szCs w:val="24"/>
        </w:rPr>
        <w:t>（4）在政府采购云平台公布评审结果。</w:t>
      </w:r>
    </w:p>
    <w:p w14:paraId="690C1D5C">
      <w:pPr>
        <w:spacing w:beforeLines="0" w:afterLines="0" w:line="360" w:lineRule="auto"/>
        <w:ind w:leftChars="100" w:firstLine="480" w:firstLineChars="200"/>
        <w:rPr>
          <w:rFonts w:hint="eastAsia" w:ascii="宋体" w:hAnsi="宋体" w:cs="宋体"/>
          <w:color w:val="auto"/>
          <w:kern w:val="0"/>
          <w:sz w:val="24"/>
          <w:szCs w:val="24"/>
          <w:lang w:val="zh-CN"/>
        </w:rPr>
      </w:pPr>
      <w:r>
        <w:rPr>
          <w:rFonts w:hint="eastAsia" w:ascii="宋体" w:hAnsi="宋体" w:cs="宋体"/>
          <w:color w:val="auto"/>
          <w:sz w:val="24"/>
          <w:szCs w:val="24"/>
        </w:rPr>
        <w:t>（5）开标会议结束。</w:t>
      </w:r>
    </w:p>
    <w:p w14:paraId="03FA2E62">
      <w:pPr>
        <w:snapToGrid w:val="0"/>
        <w:spacing w:beforeLines="0" w:afterLines="0" w:line="360" w:lineRule="auto"/>
        <w:ind w:firstLine="482" w:firstLineChars="200"/>
        <w:rPr>
          <w:rFonts w:hint="eastAsia" w:ascii="宋体" w:hAnsi="宋体" w:cs="宋体"/>
          <w:b/>
          <w:color w:val="auto"/>
          <w:sz w:val="24"/>
          <w:szCs w:val="24"/>
          <w:lang w:val="zh-CN"/>
        </w:rPr>
      </w:pPr>
      <w:r>
        <w:rPr>
          <w:rFonts w:hint="eastAsia" w:ascii="宋体" w:hAnsi="宋体" w:cs="宋体"/>
          <w:b/>
          <w:color w:val="auto"/>
          <w:kern w:val="0"/>
          <w:sz w:val="24"/>
          <w:szCs w:val="24"/>
          <w:lang w:val="zh-CN"/>
        </w:rPr>
        <w:t>18.3投标文件未按时解密，投标人提供了备份投标文件的，以备份投标文件作为依据，否则视为投标文件撤回。投标文件已按时解密的，备份投标文件自动失效。</w:t>
      </w:r>
    </w:p>
    <w:p w14:paraId="0DA17A3D">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19.资格审查</w:t>
      </w:r>
    </w:p>
    <w:p w14:paraId="361B5CDF">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19.</w:t>
      </w:r>
      <w:r>
        <w:rPr>
          <w:rFonts w:hint="eastAsia" w:ascii="宋体" w:hAnsi="宋体" w:cs="宋体"/>
          <w:color w:val="auto"/>
          <w:kern w:val="0"/>
          <w:sz w:val="24"/>
          <w:szCs w:val="24"/>
        </w:rPr>
        <w:t>1</w:t>
      </w:r>
      <w:r>
        <w:rPr>
          <w:rFonts w:hint="eastAsia" w:ascii="宋体" w:hAnsi="宋体" w:cs="宋体"/>
          <w:color w:val="auto"/>
          <w:kern w:val="0"/>
          <w:sz w:val="24"/>
          <w:szCs w:val="24"/>
          <w:lang w:val="zh-CN"/>
        </w:rPr>
        <w:t>采购人或采购代理机构依据法律法规和招标文件的规定，对投标人的资格进行审查。</w:t>
      </w:r>
    </w:p>
    <w:p w14:paraId="3BBC9E66">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19.</w:t>
      </w:r>
      <w:r>
        <w:rPr>
          <w:rFonts w:hint="eastAsia" w:ascii="宋体" w:hAnsi="宋体" w:cs="宋体"/>
          <w:color w:val="auto"/>
          <w:kern w:val="0"/>
          <w:sz w:val="24"/>
          <w:szCs w:val="24"/>
        </w:rPr>
        <w:t>2</w:t>
      </w:r>
      <w:r>
        <w:rPr>
          <w:rFonts w:hint="eastAsia" w:ascii="宋体" w:hAnsi="宋体" w:cs="宋体"/>
          <w:color w:val="auto"/>
          <w:kern w:val="0"/>
          <w:sz w:val="24"/>
          <w:szCs w:val="24"/>
          <w:lang w:val="zh-CN"/>
        </w:rPr>
        <w:t>投标人未按照招标文件要求提供与资格条件相应的有效资格证明材料的，视为投标人不具备招标文件中规定的资格要求，其投标无效。</w:t>
      </w:r>
    </w:p>
    <w:p w14:paraId="07ED584A">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19.</w:t>
      </w:r>
      <w:r>
        <w:rPr>
          <w:rFonts w:hint="eastAsia" w:ascii="宋体" w:hAnsi="宋体" w:cs="宋体"/>
          <w:color w:val="auto"/>
          <w:kern w:val="0"/>
          <w:sz w:val="24"/>
          <w:szCs w:val="24"/>
        </w:rPr>
        <w:t>3</w:t>
      </w:r>
      <w:r>
        <w:rPr>
          <w:rFonts w:hint="eastAsia" w:ascii="宋体" w:hAnsi="宋体" w:cs="宋体"/>
          <w:color w:val="auto"/>
          <w:kern w:val="0"/>
          <w:sz w:val="24"/>
          <w:szCs w:val="24"/>
          <w:lang w:val="zh-CN"/>
        </w:rPr>
        <w:t>对未通过资格审查的投标人，采购人或采购代理机构告知其未通过的原因。</w:t>
      </w:r>
    </w:p>
    <w:p w14:paraId="05A04892">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19.</w:t>
      </w:r>
      <w:r>
        <w:rPr>
          <w:rFonts w:hint="eastAsia" w:ascii="宋体" w:hAnsi="宋体" w:cs="宋体"/>
          <w:color w:val="auto"/>
          <w:kern w:val="0"/>
          <w:sz w:val="24"/>
          <w:szCs w:val="24"/>
        </w:rPr>
        <w:t>4</w:t>
      </w:r>
      <w:r>
        <w:rPr>
          <w:rFonts w:hint="eastAsia" w:ascii="宋体" w:hAnsi="宋体" w:cs="宋体"/>
          <w:color w:val="auto"/>
          <w:kern w:val="0"/>
          <w:sz w:val="24"/>
          <w:szCs w:val="24"/>
          <w:lang w:val="zh-CN"/>
        </w:rPr>
        <w:t>合格投标人不足3家的，不再评标。</w:t>
      </w:r>
    </w:p>
    <w:p w14:paraId="570884E9">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20.信用信息查询</w:t>
      </w:r>
    </w:p>
    <w:p w14:paraId="2C57E9EF">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20.1信用信息查询渠道及截止时间：采购代理机构将在资格审查时通过“信用中国”网站(www.creditchina.gov.cn)、中国政府采购网(www.ccgp.gov.cn)渠道查询投标人接受资格时的信用记录。</w:t>
      </w:r>
    </w:p>
    <w:p w14:paraId="29148236">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20.2信用信息查询记录和证据留存的具体方式：现场查询的投标人的信用记录、查询结果经确认后将与采购文件一起存档。</w:t>
      </w:r>
    </w:p>
    <w:p w14:paraId="43974D9E">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20.3信用信息的使用规则：经查询列入失信被执行人名单、重大税收违法案件当事人名单（</w:t>
      </w:r>
      <w:r>
        <w:rPr>
          <w:rFonts w:hint="eastAsia" w:ascii="宋体" w:hAnsi="宋体" w:cs="宋体"/>
          <w:color w:val="auto"/>
          <w:kern w:val="0"/>
          <w:sz w:val="24"/>
          <w:szCs w:val="24"/>
        </w:rPr>
        <w:t>重大税收违法失信主体</w:t>
      </w:r>
      <w:r>
        <w:rPr>
          <w:rFonts w:hint="eastAsia" w:ascii="宋体" w:hAnsi="宋体" w:cs="宋体"/>
          <w:color w:val="auto"/>
          <w:kern w:val="0"/>
          <w:sz w:val="24"/>
          <w:szCs w:val="24"/>
          <w:lang w:val="zh-CN"/>
        </w:rPr>
        <w:t>）、政府采购严重违法失信行为记录名单的投标人将被拒绝参与政府采购活动。</w:t>
      </w:r>
    </w:p>
    <w:p w14:paraId="769C2E80">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389C63D">
      <w:pPr>
        <w:snapToGrid w:val="0"/>
        <w:spacing w:beforeLines="0" w:afterLines="0" w:line="360" w:lineRule="auto"/>
        <w:jc w:val="center"/>
        <w:rPr>
          <w:rFonts w:hint="eastAsia" w:ascii="宋体" w:hAnsi="宋体" w:cs="宋体"/>
          <w:b/>
          <w:color w:val="auto"/>
          <w:sz w:val="36"/>
          <w:szCs w:val="36"/>
        </w:rPr>
      </w:pPr>
      <w:r>
        <w:rPr>
          <w:rFonts w:hint="eastAsia" w:ascii="宋体" w:hAnsi="宋体" w:cs="宋体"/>
          <w:b/>
          <w:color w:val="auto"/>
          <w:sz w:val="36"/>
          <w:szCs w:val="36"/>
        </w:rPr>
        <w:t>五、评标</w:t>
      </w:r>
    </w:p>
    <w:p w14:paraId="4DFD001D">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21.</w:t>
      </w:r>
      <w:r>
        <w:rPr>
          <w:rFonts w:hint="eastAsia" w:ascii="宋体" w:hAnsi="宋体" w:cs="宋体"/>
          <w:color w:val="auto"/>
          <w:sz w:val="21"/>
          <w:szCs w:val="24"/>
        </w:rPr>
        <w:t xml:space="preserve"> </w:t>
      </w:r>
      <w:r>
        <w:rPr>
          <w:rFonts w:hint="eastAsia" w:ascii="宋体" w:hAnsi="宋体" w:cs="宋体"/>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szCs w:val="24"/>
        </w:rPr>
        <w:t>详见招标文件第四部分评标办法。</w:t>
      </w:r>
    </w:p>
    <w:p w14:paraId="512E74EB">
      <w:pPr>
        <w:snapToGrid w:val="0"/>
        <w:spacing w:beforeLines="0" w:afterLines="0" w:line="360" w:lineRule="auto"/>
        <w:jc w:val="center"/>
        <w:rPr>
          <w:rFonts w:hint="eastAsia" w:ascii="宋体" w:hAnsi="宋体" w:cs="宋体"/>
          <w:b/>
          <w:color w:val="auto"/>
          <w:sz w:val="36"/>
          <w:szCs w:val="36"/>
        </w:rPr>
      </w:pPr>
      <w:r>
        <w:rPr>
          <w:rFonts w:hint="eastAsia" w:ascii="宋体" w:hAnsi="宋体" w:cs="宋体"/>
          <w:b/>
          <w:color w:val="auto"/>
          <w:sz w:val="36"/>
          <w:szCs w:val="36"/>
        </w:rPr>
        <w:t>六、定 标</w:t>
      </w:r>
    </w:p>
    <w:p w14:paraId="7DD83C1D">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22. 确定中标供应商</w:t>
      </w:r>
    </w:p>
    <w:p w14:paraId="67B49D42">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kern w:val="0"/>
          <w:sz w:val="24"/>
          <w:szCs w:val="24"/>
        </w:rPr>
        <w:t>5</w:t>
      </w:r>
      <w:r>
        <w:rPr>
          <w:rFonts w:hint="eastAsia" w:ascii="宋体" w:hAnsi="宋体" w:cs="宋体"/>
          <w:color w:val="auto"/>
          <w:kern w:val="0"/>
          <w:sz w:val="24"/>
          <w:szCs w:val="24"/>
          <w:lang w:val="zh-CN"/>
        </w:rPr>
        <w:t>个工作日内在线确定中标或者成交供应商。中标、成交通知书和中标、成交结果公告应当在规定时间内同时发出。</w:t>
      </w:r>
      <w:r>
        <w:rPr>
          <w:rFonts w:hint="eastAsia" w:ascii="宋体" w:hAnsi="宋体" w:cs="宋体"/>
          <w:b/>
          <w:color w:val="auto"/>
          <w:kern w:val="0"/>
          <w:sz w:val="24"/>
          <w:szCs w:val="24"/>
        </w:rPr>
        <w:t>注：</w:t>
      </w:r>
      <w:r>
        <w:rPr>
          <w:rFonts w:hint="eastAsia" w:ascii="宋体" w:hAnsi="宋体" w:cs="宋体"/>
          <w:b/>
          <w:color w:val="auto"/>
          <w:kern w:val="0"/>
          <w:sz w:val="24"/>
          <w:szCs w:val="24"/>
          <w:lang w:val="zh-CN"/>
        </w:rPr>
        <w:t>按评审后得分由高到低顺序确定</w:t>
      </w:r>
      <w:r>
        <w:rPr>
          <w:rFonts w:hint="eastAsia" w:ascii="宋体" w:hAnsi="宋体" w:cs="宋体"/>
          <w:b/>
          <w:color w:val="auto"/>
          <w:kern w:val="0"/>
          <w:sz w:val="24"/>
          <w:szCs w:val="24"/>
        </w:rPr>
        <w:t>1</w:t>
      </w:r>
      <w:r>
        <w:rPr>
          <w:rFonts w:hint="eastAsia" w:ascii="宋体" w:hAnsi="宋体" w:cs="宋体"/>
          <w:b/>
          <w:color w:val="auto"/>
          <w:kern w:val="0"/>
          <w:sz w:val="24"/>
          <w:szCs w:val="24"/>
          <w:lang w:val="zh-CN"/>
        </w:rPr>
        <w:t>名中标人。</w:t>
      </w:r>
    </w:p>
    <w:p w14:paraId="202825FF">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23. 中标通知与中标结果公告</w:t>
      </w:r>
    </w:p>
    <w:p w14:paraId="16F891F9">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23.1自中标人确定之日起2个工作日内，采购代理机构通过电子交易平台向中标人发出中标通知书，同时编制发布采购结果公告。采购代理机构也可以以纸质形式进行中标通知。</w:t>
      </w:r>
    </w:p>
    <w:p w14:paraId="6109ECDE">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30" w:name="_Hlk101184471"/>
      <w:r>
        <w:rPr>
          <w:rFonts w:hint="eastAsia" w:ascii="宋体" w:hAnsi="宋体" w:cs="宋体"/>
          <w:color w:val="auto"/>
          <w:kern w:val="0"/>
          <w:sz w:val="24"/>
          <w:szCs w:val="24"/>
          <w:lang w:val="zh-CN"/>
        </w:rPr>
        <w:t>资格审查情况、评审专家抽取规则、符合性审查情况、</w:t>
      </w:r>
      <w:bookmarkEnd w:id="30"/>
      <w:r>
        <w:rPr>
          <w:rFonts w:hint="eastAsia" w:ascii="宋体" w:hAnsi="宋体" w:cs="宋体"/>
          <w:color w:val="auto"/>
          <w:kern w:val="0"/>
          <w:sz w:val="24"/>
          <w:szCs w:val="24"/>
          <w:lang w:val="zh-CN"/>
        </w:rPr>
        <w:t>未中标情况说明、中标公告期限以及评审专家名单、评分汇总及明细。</w:t>
      </w:r>
    </w:p>
    <w:p w14:paraId="706D3EA1">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23.3公告期限为1个工作日。</w:t>
      </w:r>
    </w:p>
    <w:p w14:paraId="6A2D3D58">
      <w:pPr>
        <w:snapToGrid w:val="0"/>
        <w:spacing w:beforeLines="0" w:afterLines="0" w:line="360" w:lineRule="auto"/>
        <w:ind w:left="120" w:leftChars="57" w:firstLine="482" w:firstLineChars="150"/>
        <w:jc w:val="center"/>
        <w:rPr>
          <w:rFonts w:hint="eastAsia" w:ascii="宋体" w:hAnsi="宋体" w:cs="宋体"/>
          <w:b/>
          <w:color w:val="auto"/>
          <w:sz w:val="32"/>
          <w:szCs w:val="24"/>
        </w:rPr>
      </w:pPr>
      <w:r>
        <w:rPr>
          <w:rFonts w:hint="eastAsia" w:ascii="宋体" w:hAnsi="宋体" w:cs="宋体"/>
          <w:b/>
          <w:color w:val="auto"/>
          <w:sz w:val="32"/>
          <w:szCs w:val="24"/>
        </w:rPr>
        <w:t>七、合同授予</w:t>
      </w:r>
    </w:p>
    <w:p w14:paraId="6AD6DB45">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 xml:space="preserve">24. </w:t>
      </w:r>
      <w:r>
        <w:rPr>
          <w:rFonts w:hint="eastAsia" w:ascii="宋体" w:hAnsi="宋体" w:cs="宋体"/>
          <w:color w:val="auto"/>
          <w:sz w:val="24"/>
          <w:szCs w:val="24"/>
        </w:rPr>
        <w:t>合同主要条款详见第五部分拟签订的合同文本。</w:t>
      </w:r>
    </w:p>
    <w:p w14:paraId="13DE37EF">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25. 合同的签订</w:t>
      </w:r>
    </w:p>
    <w:p w14:paraId="0EAA8B3A">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6425F5C4">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25.2中标人按规定的日期、时间、地点，由法定代表人或其授权代表与采购人代表签订合同。如中标人为联合体的，由联合体成员各方法定代表人或其授权代表与采购人代表签订合同。</w:t>
      </w:r>
    </w:p>
    <w:p w14:paraId="0768FE57">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25.3如签订合同并生效后，供应商无故拒绝或延期，除按照合同条款处理外，列入不良行为记录一次，并给予通报。</w:t>
      </w:r>
    </w:p>
    <w:p w14:paraId="288F6825">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25.4中标供应商拒绝与采购人签订合同的，采购人可以按照评审报告推荐的中标或者成交候选人名单排序，确定下一候选人为中标供应商，也可以重新开展政府采购活动。</w:t>
      </w:r>
    </w:p>
    <w:p w14:paraId="375A976A">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25.5采购合同由采购人与中标供应商根据招标文件、投标文件等内容签订，</w:t>
      </w:r>
      <w:r>
        <w:rPr>
          <w:rFonts w:hint="eastAsia" w:ascii="宋体" w:hAnsi="宋体" w:cs="宋体"/>
          <w:color w:val="auto"/>
          <w:kern w:val="0"/>
          <w:sz w:val="24"/>
          <w:szCs w:val="24"/>
        </w:rPr>
        <w:t>并进行</w:t>
      </w:r>
      <w:r>
        <w:rPr>
          <w:rFonts w:hint="eastAsia" w:ascii="宋体" w:hAnsi="宋体" w:cs="宋体"/>
          <w:color w:val="auto"/>
          <w:kern w:val="0"/>
          <w:sz w:val="24"/>
          <w:szCs w:val="24"/>
          <w:lang w:val="zh-CN"/>
        </w:rPr>
        <w:t>备案。</w:t>
      </w:r>
    </w:p>
    <w:p w14:paraId="119ED002">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26. 履约保证金</w:t>
      </w:r>
    </w:p>
    <w:p w14:paraId="4127B54D">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76D99F4">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供应商</w:t>
      </w:r>
      <w:r>
        <w:rPr>
          <w:rFonts w:hint="eastAsia" w:ascii="宋体" w:hAnsi="宋体" w:cs="宋体"/>
          <w:color w:val="auto"/>
          <w:kern w:val="0"/>
          <w:sz w:val="24"/>
          <w:szCs w:val="24"/>
        </w:rPr>
        <w:t>可</w:t>
      </w:r>
      <w:r>
        <w:rPr>
          <w:rFonts w:hint="eastAsia" w:ascii="宋体" w:hAnsi="宋体" w:cs="宋体"/>
          <w:color w:val="auto"/>
          <w:kern w:val="0"/>
          <w:sz w:val="24"/>
          <w:szCs w:val="24"/>
          <w:lang w:val="zh-CN"/>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0682D27">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27.预付款</w:t>
      </w:r>
    </w:p>
    <w:p w14:paraId="65C6F92C">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cs="宋体"/>
          <w:color w:val="auto"/>
          <w:kern w:val="0"/>
          <w:sz w:val="24"/>
          <w:szCs w:val="24"/>
        </w:rPr>
        <w:t>7</w:t>
      </w:r>
      <w:r>
        <w:rPr>
          <w:rFonts w:hint="eastAsia" w:ascii="宋体" w:hAnsi="宋体" w:cs="宋体"/>
          <w:color w:val="auto"/>
          <w:kern w:val="0"/>
          <w:sz w:val="24"/>
          <w:szCs w:val="24"/>
          <w:lang w:val="zh-CN"/>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C64458F">
      <w:pPr>
        <w:snapToGrid w:val="0"/>
        <w:spacing w:beforeLines="0" w:afterLines="0" w:line="360" w:lineRule="auto"/>
        <w:ind w:firstLine="3357" w:firstLineChars="1045"/>
        <w:rPr>
          <w:rFonts w:hint="eastAsia" w:ascii="宋体" w:hAnsi="宋体" w:cs="宋体"/>
          <w:b/>
          <w:color w:val="auto"/>
          <w:sz w:val="24"/>
          <w:szCs w:val="24"/>
        </w:rPr>
      </w:pPr>
      <w:r>
        <w:rPr>
          <w:rFonts w:hint="eastAsia" w:ascii="宋体" w:hAnsi="宋体" w:cs="宋体"/>
          <w:b/>
          <w:color w:val="auto"/>
          <w:sz w:val="32"/>
          <w:szCs w:val="24"/>
        </w:rPr>
        <w:t>八、电子交易活动的中止</w:t>
      </w:r>
    </w:p>
    <w:p w14:paraId="22749454">
      <w:pPr>
        <w:snapToGrid w:val="0"/>
        <w:spacing w:beforeLines="0" w:afterLines="0" w:line="360" w:lineRule="auto"/>
        <w:ind w:firstLine="361" w:firstLineChars="150"/>
        <w:jc w:val="left"/>
        <w:rPr>
          <w:rFonts w:hint="eastAsia" w:ascii="宋体" w:hAnsi="宋体" w:cs="宋体"/>
          <w:color w:val="auto"/>
          <w:sz w:val="21"/>
          <w:szCs w:val="24"/>
        </w:rPr>
      </w:pPr>
      <w:r>
        <w:rPr>
          <w:rFonts w:hint="eastAsia" w:ascii="宋体" w:hAnsi="宋体" w:cs="宋体"/>
          <w:b/>
          <w:color w:val="auto"/>
          <w:sz w:val="24"/>
          <w:szCs w:val="24"/>
        </w:rPr>
        <w:t>28. 电子交易活动的中止。</w:t>
      </w:r>
      <w:r>
        <w:rPr>
          <w:rFonts w:hint="eastAsia" w:ascii="宋体" w:hAnsi="宋体" w:cs="宋体"/>
          <w:color w:val="auto"/>
          <w:sz w:val="21"/>
          <w:szCs w:val="24"/>
        </w:rPr>
        <w:t>采购过程中出现以下情形，导致电子交易平台无法正常运行，或者无法保证电子交易的公平、公正和安全时，采购代理机构可中止电子交易活动：</w:t>
      </w:r>
    </w:p>
    <w:p w14:paraId="2398C7F3">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 xml:space="preserve">28.1电子交易平台发生故障而无法登录访问的； </w:t>
      </w:r>
    </w:p>
    <w:p w14:paraId="0CFA9397">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28.2电子交易平台应用或数据库出现错误，不能进行正常操作的；</w:t>
      </w:r>
    </w:p>
    <w:p w14:paraId="66F2CAA4">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28.3电子交易平台发现严重安全漏洞，有潜在泄密危险的；</w:t>
      </w:r>
    </w:p>
    <w:p w14:paraId="2A6A2026">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 xml:space="preserve">28.4病毒发作导致不能进行正常操作的； </w:t>
      </w:r>
    </w:p>
    <w:p w14:paraId="1960F44A">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28.5其他无法保证电子交易的公平、公正和安全的情况。</w:t>
      </w:r>
    </w:p>
    <w:p w14:paraId="1BE0D5A7">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 xml:space="preserve"> 29.出现以上情形，不影响采购公平、公正性的，采购组织机构可以待上述情形消除后继续组织电子交易活动；影响或可能影响采购公平、公正性的，应当重新采购。</w:t>
      </w:r>
    </w:p>
    <w:p w14:paraId="6AE53B3C">
      <w:pPr>
        <w:snapToGrid w:val="0"/>
        <w:spacing w:beforeLines="0" w:afterLines="0" w:line="360" w:lineRule="auto"/>
        <w:ind w:left="120" w:leftChars="57" w:firstLine="482" w:firstLineChars="150"/>
        <w:jc w:val="center"/>
        <w:rPr>
          <w:rFonts w:hint="eastAsia" w:ascii="宋体" w:hAnsi="宋体" w:cs="宋体"/>
          <w:b/>
          <w:color w:val="auto"/>
          <w:sz w:val="32"/>
          <w:szCs w:val="24"/>
        </w:rPr>
      </w:pPr>
      <w:r>
        <w:rPr>
          <w:rFonts w:hint="eastAsia" w:ascii="宋体" w:hAnsi="宋体" w:cs="宋体"/>
          <w:b/>
          <w:color w:val="auto"/>
          <w:sz w:val="32"/>
          <w:szCs w:val="24"/>
        </w:rPr>
        <w:t>九、验收</w:t>
      </w:r>
    </w:p>
    <w:p w14:paraId="7F6AE5AC">
      <w:pPr>
        <w:snapToGrid w:val="0"/>
        <w:spacing w:beforeLines="0" w:afterLines="0" w:line="360" w:lineRule="auto"/>
        <w:ind w:firstLine="361" w:firstLineChars="150"/>
        <w:jc w:val="left"/>
        <w:rPr>
          <w:rFonts w:hint="eastAsia" w:ascii="宋体" w:hAnsi="宋体" w:cs="宋体"/>
          <w:b/>
          <w:color w:val="auto"/>
          <w:sz w:val="24"/>
          <w:szCs w:val="24"/>
        </w:rPr>
      </w:pPr>
      <w:r>
        <w:rPr>
          <w:rFonts w:hint="eastAsia" w:ascii="宋体" w:hAnsi="宋体" w:cs="宋体"/>
          <w:b/>
          <w:color w:val="auto"/>
          <w:sz w:val="24"/>
          <w:szCs w:val="24"/>
        </w:rPr>
        <w:t>30.验收</w:t>
      </w:r>
    </w:p>
    <w:p w14:paraId="1A798743">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A77D77">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30.2采购人可以邀请参加本项目的其他投标人或者第三方机构参与验收。参与验收的投标人或者第三方机构的意见作为验收书的参考资料一并存档。</w:t>
      </w:r>
    </w:p>
    <w:p w14:paraId="0E31A1E2">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8E9AA9">
      <w:pPr>
        <w:snapToGrid w:val="0"/>
        <w:spacing w:beforeLines="0" w:afterLines="0"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554BD8E">
      <w:pPr>
        <w:tabs>
          <w:tab w:val="left" w:pos="0"/>
        </w:tabs>
        <w:spacing w:line="360" w:lineRule="auto"/>
        <w:ind w:firstLine="480"/>
        <w:rPr>
          <w:rFonts w:ascii="宋体" w:hAnsi="宋体" w:cs="宋体"/>
          <w:color w:val="auto"/>
          <w:kern w:val="0"/>
          <w:sz w:val="24"/>
          <w:highlight w:val="none"/>
        </w:rPr>
      </w:pPr>
    </w:p>
    <w:p w14:paraId="39C3DA46">
      <w:pPr>
        <w:pStyle w:val="4"/>
        <w:outlineLvl w:val="9"/>
        <w:rPr>
          <w:color w:val="auto"/>
          <w:highlight w:val="none"/>
        </w:rPr>
        <w:sectPr>
          <w:footerReference r:id="rId6" w:type="first"/>
          <w:footerReference r:id="rId5" w:type="default"/>
          <w:pgSz w:w="11906" w:h="16838"/>
          <w:pgMar w:top="680" w:right="1418" w:bottom="468" w:left="1418" w:header="851" w:footer="992" w:gutter="0"/>
          <w:pgNumType w:fmt="decimal" w:start="1"/>
          <w:cols w:space="720" w:num="1"/>
          <w:titlePg/>
          <w:docGrid w:linePitch="312" w:charSpace="0"/>
        </w:sectPr>
      </w:pPr>
    </w:p>
    <w:bookmarkEnd w:id="16"/>
    <w:bookmarkEnd w:id="17"/>
    <w:p w14:paraId="4321E28B">
      <w:pPr>
        <w:spacing w:line="360" w:lineRule="auto"/>
        <w:jc w:val="center"/>
        <w:outlineLvl w:val="0"/>
        <w:rPr>
          <w:rFonts w:ascii="宋体" w:hAnsi="宋体" w:cs="宋体"/>
          <w:b/>
          <w:color w:val="auto"/>
          <w:sz w:val="36"/>
          <w:szCs w:val="36"/>
          <w:highlight w:val="none"/>
        </w:rPr>
      </w:pPr>
      <w:bookmarkStart w:id="31" w:name="_Toc32002"/>
      <w:bookmarkStart w:id="32" w:name="第四部分"/>
      <w:r>
        <w:rPr>
          <w:rFonts w:hint="eastAsia" w:ascii="宋体" w:hAnsi="宋体" w:cs="宋体"/>
          <w:b/>
          <w:color w:val="auto"/>
          <w:sz w:val="36"/>
          <w:szCs w:val="36"/>
          <w:highlight w:val="none"/>
        </w:rPr>
        <w:t>第三部分   采购需求</w:t>
      </w:r>
      <w:bookmarkEnd w:id="31"/>
    </w:p>
    <w:p w14:paraId="38BC1D44">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一、重要商务要求一览表</w:t>
      </w:r>
    </w:p>
    <w:tbl>
      <w:tblPr>
        <w:tblStyle w:val="62"/>
        <w:tblW w:w="88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3"/>
        <w:gridCol w:w="7090"/>
      </w:tblGrid>
      <w:tr w14:paraId="1C420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14:paraId="797BC148">
            <w:pPr>
              <w:widowControl/>
              <w:adjustRightInd/>
              <w:spacing w:line="360" w:lineRule="auto"/>
              <w:jc w:val="center"/>
              <w:rPr>
                <w:rFonts w:hint="eastAsia" w:ascii="宋体" w:hAnsi="宋体" w:eastAsia="宋体" w:cs="宋体"/>
                <w:b/>
                <w:bCs/>
                <w:color w:val="auto"/>
                <w:kern w:val="0"/>
                <w:szCs w:val="21"/>
                <w:highlight w:val="none"/>
              </w:rPr>
            </w:pPr>
            <w:bookmarkStart w:id="33" w:name="_Toc513103337"/>
            <w:r>
              <w:rPr>
                <w:rFonts w:hint="eastAsia" w:ascii="宋体" w:hAnsi="宋体" w:eastAsia="宋体" w:cs="宋体"/>
                <w:b/>
                <w:bCs/>
                <w:color w:val="auto"/>
                <w:kern w:val="0"/>
                <w:szCs w:val="21"/>
                <w:highlight w:val="none"/>
              </w:rPr>
              <w:t>项目</w:t>
            </w:r>
          </w:p>
        </w:tc>
        <w:tc>
          <w:tcPr>
            <w:tcW w:w="7090" w:type="dxa"/>
            <w:tcBorders>
              <w:top w:val="single" w:color="auto" w:sz="4" w:space="0"/>
              <w:left w:val="single" w:color="auto" w:sz="4" w:space="0"/>
              <w:bottom w:val="single" w:color="auto" w:sz="4" w:space="0"/>
              <w:right w:val="single" w:color="auto" w:sz="4" w:space="0"/>
            </w:tcBorders>
            <w:noWrap w:val="0"/>
            <w:vAlign w:val="center"/>
          </w:tcPr>
          <w:p w14:paraId="0E822278">
            <w:pPr>
              <w:widowControl/>
              <w:adjustRightInd/>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要 求 </w:t>
            </w:r>
          </w:p>
        </w:tc>
      </w:tr>
      <w:tr w14:paraId="17D8E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14:paraId="31801BB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合同履约期限</w:t>
            </w:r>
            <w:r>
              <w:rPr>
                <w:rFonts w:hint="eastAsia" w:ascii="宋体" w:hAnsi="宋体" w:cs="宋体"/>
                <w:color w:val="auto"/>
                <w:kern w:val="0"/>
                <w:szCs w:val="21"/>
                <w:highlight w:val="none"/>
                <w:lang w:val="en-US" w:eastAsia="zh-CN"/>
              </w:rPr>
              <w:t>及地点</w:t>
            </w:r>
          </w:p>
        </w:tc>
        <w:tc>
          <w:tcPr>
            <w:tcW w:w="7090" w:type="dxa"/>
            <w:tcBorders>
              <w:top w:val="single" w:color="auto" w:sz="4" w:space="0"/>
              <w:left w:val="single" w:color="auto" w:sz="4" w:space="0"/>
              <w:bottom w:val="single" w:color="auto" w:sz="4" w:space="0"/>
              <w:right w:val="single" w:color="auto" w:sz="4" w:space="0"/>
            </w:tcBorders>
            <w:noWrap w:val="0"/>
            <w:vAlign w:val="center"/>
          </w:tcPr>
          <w:p w14:paraId="09FAE70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（1）合同履行期限：详见第一部分 招标公告。</w:t>
            </w:r>
          </w:p>
          <w:p w14:paraId="610E970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（2）实施地点：海曙区</w:t>
            </w:r>
            <w:r>
              <w:rPr>
                <w:rFonts w:hint="eastAsia" w:ascii="宋体" w:hAnsi="宋体" w:cs="宋体"/>
                <w:color w:val="auto"/>
                <w:kern w:val="0"/>
                <w:szCs w:val="20"/>
                <w:highlight w:val="none"/>
                <w:lang w:val="en-US" w:eastAsia="zh-CN"/>
              </w:rPr>
              <w:t>第三医院</w:t>
            </w:r>
            <w:r>
              <w:rPr>
                <w:rFonts w:hint="eastAsia" w:ascii="宋体" w:hAnsi="宋体" w:eastAsia="宋体" w:cs="宋体"/>
                <w:color w:val="auto"/>
                <w:kern w:val="0"/>
                <w:szCs w:val="20"/>
                <w:highlight w:val="none"/>
                <w:lang w:val="en-US" w:eastAsia="zh-CN"/>
              </w:rPr>
              <w:t>采购人指定地点。</w:t>
            </w:r>
          </w:p>
        </w:tc>
      </w:tr>
      <w:tr w14:paraId="38AAF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14:paraId="30350D2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2、付款方式</w:t>
            </w:r>
          </w:p>
        </w:tc>
        <w:tc>
          <w:tcPr>
            <w:tcW w:w="7090" w:type="dxa"/>
            <w:tcBorders>
              <w:top w:val="single" w:color="auto" w:sz="4" w:space="0"/>
              <w:left w:val="single" w:color="auto" w:sz="4" w:space="0"/>
              <w:bottom w:val="single" w:color="auto" w:sz="4" w:space="0"/>
              <w:right w:val="single" w:color="auto" w:sz="4" w:space="0"/>
            </w:tcBorders>
            <w:noWrap w:val="0"/>
            <w:vAlign w:val="center"/>
          </w:tcPr>
          <w:p w14:paraId="27083BBA">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cs="宋体"/>
                <w:color w:val="auto"/>
                <w:kern w:val="0"/>
                <w:szCs w:val="20"/>
                <w:highlight w:val="none"/>
                <w:lang w:val="en-US" w:eastAsia="zh-CN"/>
              </w:rPr>
            </w:pPr>
            <w:r>
              <w:rPr>
                <w:rFonts w:hint="eastAsia" w:ascii="宋体" w:hAnsi="宋体" w:cs="宋体"/>
                <w:color w:val="auto"/>
                <w:kern w:val="0"/>
                <w:szCs w:val="20"/>
                <w:highlight w:val="none"/>
                <w:lang w:val="en-US" w:eastAsia="zh-CN"/>
              </w:rPr>
              <w:t>按月支付结算；每月月初核对上个月的人员费用。</w:t>
            </w:r>
          </w:p>
          <w:p w14:paraId="0A47D266">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cs="宋体"/>
                <w:color w:val="auto"/>
                <w:kern w:val="0"/>
                <w:szCs w:val="20"/>
                <w:highlight w:val="none"/>
                <w:lang w:val="en-US" w:eastAsia="zh-CN"/>
              </w:rPr>
            </w:pPr>
            <w:r>
              <w:rPr>
                <w:rFonts w:hint="eastAsia" w:ascii="宋体" w:hAnsi="宋体" w:cs="宋体"/>
                <w:color w:val="auto"/>
                <w:kern w:val="0"/>
                <w:szCs w:val="20"/>
                <w:highlight w:val="none"/>
                <w:lang w:val="en-US" w:eastAsia="zh-CN"/>
              </w:rPr>
              <w:t>采购人在收到中标人提供的合法发票后七个工作日内支付上个月度的服务费用。</w:t>
            </w:r>
          </w:p>
          <w:p w14:paraId="59F87C8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color w:val="auto"/>
                <w:kern w:val="0"/>
                <w:szCs w:val="20"/>
                <w:highlight w:val="none"/>
                <w:lang w:val="en-US" w:eastAsia="zh-CN"/>
              </w:rPr>
            </w:pPr>
            <w:r>
              <w:rPr>
                <w:rFonts w:hint="eastAsia" w:ascii="宋体" w:hAnsi="宋体" w:cs="宋体"/>
                <w:color w:val="auto"/>
                <w:kern w:val="0"/>
                <w:szCs w:val="20"/>
                <w:highlight w:val="none"/>
                <w:lang w:val="en-US" w:eastAsia="zh-CN"/>
              </w:rPr>
              <w:t>中标人未开具发票、不足额开票或者开具发票不符合规定的，采购人有权迟延付款且无需承担违约责任。</w:t>
            </w:r>
          </w:p>
        </w:tc>
      </w:tr>
      <w:tr w14:paraId="08B6A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14:paraId="33E722D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、履约保证金</w:t>
            </w:r>
          </w:p>
        </w:tc>
        <w:tc>
          <w:tcPr>
            <w:tcW w:w="7090" w:type="dxa"/>
            <w:tcBorders>
              <w:top w:val="single" w:color="auto" w:sz="4" w:space="0"/>
              <w:left w:val="single" w:color="auto" w:sz="4" w:space="0"/>
              <w:bottom w:val="single" w:color="auto" w:sz="4" w:space="0"/>
              <w:right w:val="single" w:color="auto" w:sz="4" w:space="0"/>
            </w:tcBorders>
            <w:noWrap w:val="0"/>
            <w:vAlign w:val="center"/>
          </w:tcPr>
          <w:p w14:paraId="04CD347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Cs w:val="20"/>
                <w:highlight w:val="none"/>
                <w:lang w:val="en-US" w:eastAsia="zh-CN"/>
              </w:rPr>
            </w:pPr>
            <w:r>
              <w:rPr>
                <w:rFonts w:hint="eastAsia" w:ascii="宋体" w:hAnsi="宋体" w:cs="宋体"/>
                <w:color w:val="auto"/>
                <w:kern w:val="0"/>
                <w:szCs w:val="20"/>
                <w:highlight w:val="none"/>
                <w:lang w:val="en-US" w:eastAsia="zh-CN"/>
              </w:rPr>
              <w:t>本项目不适用。</w:t>
            </w:r>
          </w:p>
        </w:tc>
      </w:tr>
      <w:tr w14:paraId="17913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14:paraId="1B10BBE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、合同终止</w:t>
            </w:r>
          </w:p>
        </w:tc>
        <w:tc>
          <w:tcPr>
            <w:tcW w:w="7090" w:type="dxa"/>
            <w:tcBorders>
              <w:top w:val="single" w:color="auto" w:sz="4" w:space="0"/>
              <w:left w:val="single" w:color="auto" w:sz="4" w:space="0"/>
              <w:bottom w:val="single" w:color="auto" w:sz="4" w:space="0"/>
              <w:right w:val="single" w:color="auto" w:sz="4" w:space="0"/>
            </w:tcBorders>
            <w:noWrap w:val="0"/>
            <w:vAlign w:val="center"/>
          </w:tcPr>
          <w:p w14:paraId="713DE5D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中标人在合同有效期内，不得无理由终止合同，确有特殊情况的，须提前向采购人提出书面申请，经采购人同意后，方可终止合同。因中标人不能保证工作质量，或发生重大差错事故的，采购人可有权终止协议，中标人承担全部责任。</w:t>
            </w:r>
          </w:p>
        </w:tc>
      </w:tr>
      <w:tr w14:paraId="4DBBC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14:paraId="0807C8B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5、其他说明</w:t>
            </w:r>
          </w:p>
        </w:tc>
        <w:tc>
          <w:tcPr>
            <w:tcW w:w="7090" w:type="dxa"/>
            <w:tcBorders>
              <w:top w:val="single" w:color="auto" w:sz="4" w:space="0"/>
              <w:left w:val="single" w:color="auto" w:sz="4" w:space="0"/>
              <w:bottom w:val="single" w:color="auto" w:sz="4" w:space="0"/>
              <w:right w:val="single" w:color="auto" w:sz="4" w:space="0"/>
            </w:tcBorders>
            <w:noWrap w:val="0"/>
            <w:vAlign w:val="center"/>
          </w:tcPr>
          <w:p w14:paraId="1933C7D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lang w:val="en-US" w:eastAsia="zh-CN"/>
              </w:rPr>
              <w:t>如需</w:t>
            </w:r>
            <w:r>
              <w:rPr>
                <w:rFonts w:hint="eastAsia" w:ascii="宋体" w:hAnsi="宋体" w:cs="宋体"/>
                <w:color w:val="auto"/>
                <w:kern w:val="0"/>
                <w:szCs w:val="20"/>
                <w:highlight w:val="none"/>
                <w:lang w:val="en-US" w:eastAsia="zh-CN"/>
              </w:rPr>
              <w:t>调整服务</w:t>
            </w:r>
            <w:r>
              <w:rPr>
                <w:rFonts w:hint="eastAsia" w:ascii="宋体" w:hAnsi="宋体" w:eastAsia="宋体" w:cs="宋体"/>
                <w:color w:val="auto"/>
                <w:kern w:val="0"/>
                <w:szCs w:val="20"/>
                <w:highlight w:val="none"/>
                <w:lang w:val="en-US" w:eastAsia="zh-CN"/>
              </w:rPr>
              <w:t>范围</w:t>
            </w:r>
            <w:r>
              <w:rPr>
                <w:rFonts w:hint="eastAsia" w:ascii="宋体" w:hAnsi="宋体" w:cs="宋体"/>
                <w:color w:val="auto"/>
                <w:kern w:val="0"/>
                <w:szCs w:val="20"/>
                <w:highlight w:val="none"/>
                <w:lang w:val="en-US" w:eastAsia="zh-CN"/>
              </w:rPr>
              <w:t>要求增加岗位人数的</w:t>
            </w:r>
            <w:r>
              <w:rPr>
                <w:rFonts w:hint="eastAsia" w:ascii="宋体" w:hAnsi="宋体" w:eastAsia="宋体" w:cs="宋体"/>
                <w:color w:val="auto"/>
                <w:kern w:val="0"/>
                <w:szCs w:val="20"/>
                <w:highlight w:val="none"/>
                <w:lang w:val="en-US" w:eastAsia="zh-CN"/>
              </w:rPr>
              <w:t>，</w:t>
            </w:r>
            <w:r>
              <w:rPr>
                <w:rFonts w:hint="eastAsia" w:ascii="宋体" w:hAnsi="宋体" w:cs="宋体"/>
                <w:color w:val="auto"/>
                <w:kern w:val="0"/>
                <w:szCs w:val="20"/>
                <w:highlight w:val="none"/>
                <w:lang w:val="en-US" w:eastAsia="zh-CN"/>
              </w:rPr>
              <w:t>由中标人向采购人提出书面申请，经采购人审核同意后，增加相应服务费用</w:t>
            </w:r>
            <w:r>
              <w:rPr>
                <w:rFonts w:hint="eastAsia" w:ascii="宋体" w:hAnsi="宋体" w:eastAsia="宋体" w:cs="宋体"/>
                <w:color w:val="auto"/>
                <w:kern w:val="0"/>
                <w:szCs w:val="20"/>
                <w:highlight w:val="none"/>
                <w:lang w:val="en-US" w:eastAsia="zh-CN"/>
              </w:rPr>
              <w:t>。如在合同执行期间，遇到社保缴费基数、比例及最低工资标准上调，则中标人须及时对合同中的人员工资相应部分按实际情况予以调整，确保用工合法，</w:t>
            </w:r>
            <w:r>
              <w:rPr>
                <w:rFonts w:hint="eastAsia" w:ascii="宋体" w:hAnsi="宋体" w:cs="宋体"/>
                <w:color w:val="auto"/>
                <w:kern w:val="0"/>
                <w:szCs w:val="20"/>
                <w:highlight w:val="none"/>
                <w:lang w:val="en-US" w:eastAsia="zh-CN"/>
              </w:rPr>
              <w:t>总体服务经费不变</w:t>
            </w:r>
            <w:r>
              <w:rPr>
                <w:rFonts w:hint="eastAsia" w:ascii="宋体" w:hAnsi="宋体" w:eastAsia="宋体" w:cs="宋体"/>
                <w:color w:val="auto"/>
                <w:kern w:val="0"/>
                <w:szCs w:val="20"/>
                <w:highlight w:val="none"/>
                <w:lang w:val="en-US" w:eastAsia="zh-CN"/>
              </w:rPr>
              <w:t>。</w:t>
            </w:r>
          </w:p>
        </w:tc>
      </w:tr>
      <w:bookmarkEnd w:id="33"/>
    </w:tbl>
    <w:p w14:paraId="273B0252">
      <w:pPr>
        <w:numPr>
          <w:ilvl w:val="0"/>
          <w:numId w:val="0"/>
        </w:numPr>
        <w:spacing w:beforeLines="0" w:afterLines="0" w:line="360" w:lineRule="auto"/>
        <w:rPr>
          <w:rFonts w:hint="eastAsia" w:ascii="宋体" w:hAnsi="宋体" w:cs="宋体"/>
          <w:b/>
          <w:sz w:val="21"/>
          <w:szCs w:val="21"/>
          <w:lang w:val="en-US" w:eastAsia="zh-CN"/>
        </w:rPr>
      </w:pPr>
    </w:p>
    <w:p w14:paraId="0986B93F">
      <w:pPr>
        <w:numPr>
          <w:ilvl w:val="0"/>
          <w:numId w:val="0"/>
        </w:numPr>
        <w:spacing w:beforeLines="0" w:afterLines="0" w:line="360" w:lineRule="auto"/>
        <w:rPr>
          <w:rFonts w:hint="eastAsia" w:ascii="宋体" w:hAnsi="宋体" w:eastAsia="宋体" w:cs="宋体"/>
          <w:b/>
          <w:sz w:val="21"/>
          <w:szCs w:val="21"/>
        </w:rPr>
      </w:pPr>
      <w:r>
        <w:rPr>
          <w:rFonts w:hint="eastAsia" w:ascii="宋体" w:hAnsi="宋体" w:cs="宋体"/>
          <w:b/>
          <w:sz w:val="21"/>
          <w:szCs w:val="21"/>
          <w:lang w:val="en-US" w:eastAsia="zh-CN"/>
        </w:rPr>
        <w:t>二、</w:t>
      </w:r>
      <w:r>
        <w:rPr>
          <w:rFonts w:hint="eastAsia" w:ascii="宋体" w:hAnsi="宋体" w:eastAsia="宋体" w:cs="宋体"/>
          <w:b/>
          <w:sz w:val="21"/>
          <w:szCs w:val="21"/>
        </w:rPr>
        <w:t>采购需求</w:t>
      </w:r>
    </w:p>
    <w:p w14:paraId="3FAB2D46">
      <w:pPr>
        <w:pStyle w:val="61"/>
        <w:spacing w:beforeLines="0" w:after="0" w:line="360" w:lineRule="auto"/>
        <w:ind w:left="0" w:leftChars="0" w:firstLine="0" w:firstLineChars="0"/>
        <w:rPr>
          <w:rFonts w:hint="eastAsia" w:ascii="宋体" w:hAnsi="宋体" w:cs="宋体"/>
          <w:b/>
          <w:kern w:val="0"/>
          <w:sz w:val="21"/>
          <w:szCs w:val="21"/>
        </w:rPr>
      </w:pPr>
      <w:r>
        <w:rPr>
          <w:rFonts w:hint="eastAsia" w:ascii="宋体" w:hAnsi="宋体" w:cs="宋体"/>
          <w:b/>
          <w:kern w:val="0"/>
          <w:sz w:val="21"/>
          <w:szCs w:val="21"/>
        </w:rPr>
        <w:t>（一）总体服务要求</w:t>
      </w:r>
    </w:p>
    <w:p w14:paraId="5AA96893">
      <w:pPr>
        <w:pStyle w:val="61"/>
        <w:spacing w:beforeLines="0" w:after="0" w:line="360" w:lineRule="auto"/>
        <w:ind w:left="0" w:leftChars="0" w:firstLine="420" w:firstLineChars="200"/>
        <w:rPr>
          <w:rFonts w:hint="eastAsia" w:ascii="宋体" w:hAnsi="宋体" w:cs="宋体"/>
          <w:b w:val="0"/>
          <w:bCs/>
          <w:kern w:val="0"/>
          <w:sz w:val="21"/>
          <w:szCs w:val="21"/>
        </w:rPr>
      </w:pPr>
      <w:r>
        <w:rPr>
          <w:rFonts w:hint="eastAsia" w:ascii="宋体" w:hAnsi="宋体" w:cs="宋体"/>
          <w:b w:val="0"/>
          <w:bCs/>
          <w:kern w:val="0"/>
          <w:sz w:val="21"/>
          <w:szCs w:val="21"/>
          <w:lang w:val="en-US" w:eastAsia="zh-CN"/>
        </w:rPr>
        <w:t>为优化服务流程，改善服务模式</w:t>
      </w:r>
      <w:r>
        <w:rPr>
          <w:rFonts w:hint="eastAsia" w:cs="宋体"/>
          <w:b w:val="0"/>
          <w:bCs/>
          <w:kern w:val="0"/>
          <w:sz w:val="21"/>
          <w:szCs w:val="21"/>
          <w:lang w:val="en-US" w:eastAsia="zh-CN"/>
        </w:rPr>
        <w:t>，</w:t>
      </w:r>
      <w:r>
        <w:rPr>
          <w:rFonts w:hint="eastAsia" w:ascii="宋体" w:hAnsi="宋体" w:cs="宋体"/>
          <w:b w:val="0"/>
          <w:bCs/>
          <w:kern w:val="0"/>
          <w:sz w:val="21"/>
          <w:szCs w:val="21"/>
        </w:rPr>
        <w:t>进行专业化管理</w:t>
      </w:r>
      <w:r>
        <w:rPr>
          <w:rFonts w:hint="eastAsia" w:ascii="宋体" w:hAnsi="宋体" w:cs="宋体"/>
          <w:b w:val="0"/>
          <w:bCs/>
          <w:kern w:val="0"/>
          <w:sz w:val="21"/>
          <w:szCs w:val="21"/>
          <w:lang w:eastAsia="zh-CN"/>
        </w:rPr>
        <w:t>，</w:t>
      </w:r>
      <w:r>
        <w:rPr>
          <w:rFonts w:hint="eastAsia" w:ascii="宋体" w:hAnsi="宋体" w:cs="宋体"/>
          <w:b w:val="0"/>
          <w:bCs/>
          <w:kern w:val="0"/>
          <w:sz w:val="21"/>
          <w:szCs w:val="21"/>
          <w:lang w:val="en-US" w:eastAsia="zh-CN"/>
        </w:rPr>
        <w:t>达到医院专心做医疗的目标。</w:t>
      </w:r>
    </w:p>
    <w:p w14:paraId="4B5D5354">
      <w:pPr>
        <w:pStyle w:val="61"/>
        <w:spacing w:beforeLines="0" w:after="0" w:line="360" w:lineRule="auto"/>
        <w:ind w:left="0" w:leftChars="0" w:firstLine="0" w:firstLineChars="0"/>
        <w:rPr>
          <w:rFonts w:hint="eastAsia" w:ascii="宋体" w:hAnsi="宋体" w:eastAsia="宋体"/>
          <w:b/>
          <w:sz w:val="21"/>
          <w:szCs w:val="21"/>
        </w:rPr>
      </w:pPr>
      <w:r>
        <w:rPr>
          <w:rFonts w:hint="eastAsia" w:ascii="宋体" w:hAnsi="宋体" w:eastAsia="宋体"/>
          <w:b/>
          <w:sz w:val="21"/>
          <w:szCs w:val="21"/>
        </w:rPr>
        <w:t>（二）人员岗位要求</w:t>
      </w:r>
    </w:p>
    <w:tbl>
      <w:tblPr>
        <w:tblStyle w:val="62"/>
        <w:tblW w:w="8857" w:type="dxa"/>
        <w:tblInd w:w="-2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51"/>
        <w:gridCol w:w="809"/>
        <w:gridCol w:w="3811"/>
        <w:gridCol w:w="1786"/>
      </w:tblGrid>
      <w:tr w14:paraId="6B38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4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CB8EB39">
            <w:pPr>
              <w:spacing w:beforeLines="0" w:afterLines="0"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岗位</w:t>
            </w:r>
          </w:p>
        </w:tc>
        <w:tc>
          <w:tcPr>
            <w:tcW w:w="8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58F2E87">
            <w:pPr>
              <w:spacing w:beforeLines="0" w:afterLines="0" w:line="360" w:lineRule="auto"/>
              <w:jc w:val="center"/>
              <w:textAlignment w:val="center"/>
              <w:rPr>
                <w:rFonts w:hint="eastAsia" w:ascii="宋体" w:hAnsi="宋体" w:eastAsia="宋体" w:cs="宋体"/>
                <w:b/>
                <w:sz w:val="21"/>
                <w:szCs w:val="21"/>
                <w:lang w:bidi="ar"/>
              </w:rPr>
            </w:pPr>
            <w:r>
              <w:rPr>
                <w:rFonts w:hint="eastAsia" w:ascii="宋体" w:hAnsi="宋体" w:eastAsia="宋体" w:cs="宋体"/>
                <w:b/>
                <w:sz w:val="21"/>
                <w:szCs w:val="21"/>
                <w:lang w:bidi="ar"/>
              </w:rPr>
              <w:t>人数</w:t>
            </w:r>
          </w:p>
        </w:tc>
        <w:tc>
          <w:tcPr>
            <w:tcW w:w="381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D968E68">
            <w:pPr>
              <w:spacing w:beforeLines="0" w:afterLines="0" w:line="360" w:lineRule="auto"/>
              <w:jc w:val="center"/>
              <w:textAlignment w:val="center"/>
              <w:rPr>
                <w:rFonts w:hint="eastAsia" w:ascii="宋体" w:hAnsi="宋体" w:eastAsia="宋体" w:cs="宋体"/>
                <w:b/>
                <w:sz w:val="21"/>
                <w:szCs w:val="21"/>
                <w:lang w:bidi="ar"/>
              </w:rPr>
            </w:pPr>
            <w:r>
              <w:rPr>
                <w:rFonts w:hint="eastAsia" w:ascii="宋体" w:hAnsi="宋体" w:eastAsia="宋体" w:cs="宋体"/>
                <w:b/>
                <w:sz w:val="21"/>
                <w:szCs w:val="21"/>
                <w:lang w:bidi="ar"/>
              </w:rPr>
              <w:t>工作内容</w:t>
            </w:r>
          </w:p>
        </w:tc>
        <w:tc>
          <w:tcPr>
            <w:tcW w:w="178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4FF7011">
            <w:pPr>
              <w:spacing w:beforeLines="0" w:afterLines="0" w:line="360" w:lineRule="auto"/>
              <w:jc w:val="center"/>
              <w:textAlignment w:val="center"/>
              <w:rPr>
                <w:rFonts w:hint="eastAsia" w:ascii="宋体" w:hAnsi="宋体" w:eastAsia="宋体" w:cs="宋体"/>
                <w:b/>
                <w:sz w:val="21"/>
                <w:szCs w:val="21"/>
                <w:lang w:bidi="ar"/>
              </w:rPr>
            </w:pPr>
            <w:r>
              <w:rPr>
                <w:rFonts w:hint="eastAsia" w:ascii="宋体" w:hAnsi="宋体" w:eastAsia="宋体" w:cs="宋体"/>
                <w:b/>
                <w:sz w:val="21"/>
                <w:szCs w:val="21"/>
                <w:lang w:bidi="ar"/>
              </w:rPr>
              <w:t>工作时间</w:t>
            </w:r>
          </w:p>
        </w:tc>
      </w:tr>
      <w:tr w14:paraId="2B3D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4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A04E9CC">
            <w:pPr>
              <w:spacing w:beforeLines="0" w:afterLines="0"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中药库辅助人员</w:t>
            </w:r>
          </w:p>
        </w:tc>
        <w:tc>
          <w:tcPr>
            <w:tcW w:w="8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5E33829">
            <w:pPr>
              <w:spacing w:beforeLines="0" w:afterLines="0" w:line="360" w:lineRule="auto"/>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381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95FACD0">
            <w:pPr>
              <w:spacing w:beforeLines="0" w:afterLines="0" w:line="360" w:lineRule="auto"/>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中药搬运，堆放、整理</w:t>
            </w:r>
          </w:p>
        </w:tc>
        <w:tc>
          <w:tcPr>
            <w:tcW w:w="1786" w:type="dxa"/>
            <w:vMerge w:val="restart"/>
            <w:tcBorders>
              <w:top w:val="single" w:color="000000" w:sz="4" w:space="0"/>
              <w:left w:val="single" w:color="000000" w:sz="4" w:space="0"/>
              <w:right w:val="single" w:color="000000" w:sz="4" w:space="0"/>
              <w:tl2br w:val="nil"/>
              <w:tr2bl w:val="nil"/>
            </w:tcBorders>
            <w:noWrap/>
            <w:tcMar>
              <w:top w:w="15" w:type="dxa"/>
              <w:left w:w="15" w:type="dxa"/>
              <w:right w:w="15" w:type="dxa"/>
            </w:tcMar>
            <w:vAlign w:val="center"/>
          </w:tcPr>
          <w:p w14:paraId="1EAF8287">
            <w:pPr>
              <w:spacing w:beforeLines="0" w:afterLines="0"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上午8:00--11:30</w:t>
            </w:r>
          </w:p>
          <w:p w14:paraId="7534BD72">
            <w:pPr>
              <w:spacing w:beforeLines="0" w:afterLines="0" w:line="360" w:lineRule="auto"/>
              <w:jc w:val="center"/>
              <w:textAlignment w:val="center"/>
              <w:rPr>
                <w:rFonts w:hint="eastAsia" w:ascii="宋体" w:hAnsi="宋体" w:eastAsia="宋体" w:cs="宋体"/>
                <w:sz w:val="21"/>
                <w:szCs w:val="21"/>
                <w:lang w:bidi="ar"/>
              </w:rPr>
            </w:pPr>
            <w:r>
              <w:rPr>
                <w:rFonts w:hint="eastAsia" w:ascii="宋体" w:hAnsi="宋体" w:eastAsia="宋体" w:cs="宋体"/>
                <w:sz w:val="21"/>
                <w:szCs w:val="21"/>
              </w:rPr>
              <w:t>下午13:00--16:30</w:t>
            </w:r>
          </w:p>
        </w:tc>
      </w:tr>
      <w:tr w14:paraId="0942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4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26FE7D8">
            <w:pPr>
              <w:spacing w:beforeLines="0" w:afterLines="0"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中药房辅助人员</w:t>
            </w:r>
          </w:p>
        </w:tc>
        <w:tc>
          <w:tcPr>
            <w:tcW w:w="8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093975D">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1</w:t>
            </w:r>
          </w:p>
        </w:tc>
        <w:tc>
          <w:tcPr>
            <w:tcW w:w="381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E3F12E6">
            <w:pPr>
              <w:spacing w:beforeLines="0" w:afterLines="0" w:line="360" w:lineRule="auto"/>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中药房辅助性工作</w:t>
            </w:r>
          </w:p>
        </w:tc>
        <w:tc>
          <w:tcPr>
            <w:tcW w:w="1786" w:type="dxa"/>
            <w:vMerge w:val="continue"/>
            <w:tcBorders>
              <w:left w:val="single" w:color="000000" w:sz="4" w:space="0"/>
              <w:right w:val="single" w:color="000000" w:sz="4" w:space="0"/>
              <w:tl2br w:val="nil"/>
              <w:tr2bl w:val="nil"/>
            </w:tcBorders>
            <w:noWrap/>
            <w:tcMar>
              <w:top w:w="15" w:type="dxa"/>
              <w:left w:w="15" w:type="dxa"/>
              <w:right w:w="15" w:type="dxa"/>
            </w:tcMar>
            <w:vAlign w:val="center"/>
          </w:tcPr>
          <w:p w14:paraId="3AD0324B">
            <w:pPr>
              <w:spacing w:beforeLines="0" w:afterLines="0" w:line="360" w:lineRule="auto"/>
              <w:jc w:val="center"/>
              <w:textAlignment w:val="center"/>
              <w:rPr>
                <w:rFonts w:hint="eastAsia" w:ascii="宋体" w:hAnsi="宋体" w:eastAsia="宋体" w:cs="宋体"/>
                <w:sz w:val="21"/>
                <w:szCs w:val="21"/>
                <w:lang w:bidi="ar"/>
              </w:rPr>
            </w:pPr>
          </w:p>
        </w:tc>
      </w:tr>
      <w:tr w14:paraId="6849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4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F9BBC49">
            <w:pPr>
              <w:spacing w:beforeLines="0" w:afterLines="0"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体检中心辅助人员</w:t>
            </w:r>
          </w:p>
        </w:tc>
        <w:tc>
          <w:tcPr>
            <w:tcW w:w="8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B30C195">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1</w:t>
            </w:r>
          </w:p>
        </w:tc>
        <w:tc>
          <w:tcPr>
            <w:tcW w:w="381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354B78B">
            <w:pPr>
              <w:spacing w:beforeLines="0" w:afterLines="0" w:line="360" w:lineRule="auto"/>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体检中心辅助性工作</w:t>
            </w:r>
          </w:p>
        </w:tc>
        <w:tc>
          <w:tcPr>
            <w:tcW w:w="1786" w:type="dxa"/>
            <w:vMerge w:val="continue"/>
            <w:tcBorders>
              <w:left w:val="single" w:color="000000" w:sz="4" w:space="0"/>
              <w:right w:val="single" w:color="000000" w:sz="4" w:space="0"/>
              <w:tl2br w:val="nil"/>
              <w:tr2bl w:val="nil"/>
            </w:tcBorders>
            <w:noWrap/>
            <w:tcMar>
              <w:top w:w="15" w:type="dxa"/>
              <w:left w:w="15" w:type="dxa"/>
              <w:right w:w="15" w:type="dxa"/>
            </w:tcMar>
            <w:vAlign w:val="center"/>
          </w:tcPr>
          <w:p w14:paraId="293593B9">
            <w:pPr>
              <w:spacing w:beforeLines="0" w:afterLines="0" w:line="360" w:lineRule="auto"/>
              <w:jc w:val="center"/>
              <w:textAlignment w:val="center"/>
              <w:rPr>
                <w:rFonts w:hint="eastAsia" w:ascii="宋体" w:hAnsi="宋体" w:eastAsia="宋体" w:cs="宋体"/>
                <w:sz w:val="21"/>
                <w:szCs w:val="21"/>
                <w:lang w:bidi="ar"/>
              </w:rPr>
            </w:pPr>
          </w:p>
        </w:tc>
      </w:tr>
      <w:tr w14:paraId="6C071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4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EBBACED">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B超室辅助人员</w:t>
            </w:r>
          </w:p>
        </w:tc>
        <w:tc>
          <w:tcPr>
            <w:tcW w:w="8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46DF664">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3</w:t>
            </w:r>
          </w:p>
        </w:tc>
        <w:tc>
          <w:tcPr>
            <w:tcW w:w="381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DAA75CC">
            <w:pPr>
              <w:spacing w:beforeLines="0" w:afterLines="0" w:line="360" w:lineRule="auto"/>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B超室辅助性工作</w:t>
            </w:r>
          </w:p>
        </w:tc>
        <w:tc>
          <w:tcPr>
            <w:tcW w:w="1786" w:type="dxa"/>
            <w:vMerge w:val="continue"/>
            <w:tcBorders>
              <w:left w:val="single" w:color="000000" w:sz="4" w:space="0"/>
              <w:right w:val="single" w:color="000000" w:sz="4" w:space="0"/>
              <w:tl2br w:val="nil"/>
              <w:tr2bl w:val="nil"/>
            </w:tcBorders>
            <w:noWrap/>
            <w:tcMar>
              <w:top w:w="15" w:type="dxa"/>
              <w:left w:w="15" w:type="dxa"/>
              <w:right w:w="15" w:type="dxa"/>
            </w:tcMar>
            <w:vAlign w:val="center"/>
          </w:tcPr>
          <w:p w14:paraId="393054D6">
            <w:pPr>
              <w:spacing w:beforeLines="0" w:afterLines="0" w:line="360" w:lineRule="auto"/>
              <w:jc w:val="center"/>
              <w:textAlignment w:val="center"/>
              <w:rPr>
                <w:rFonts w:hint="eastAsia" w:ascii="宋体" w:hAnsi="宋体" w:eastAsia="宋体" w:cs="宋体"/>
                <w:sz w:val="21"/>
                <w:szCs w:val="21"/>
                <w:lang w:bidi="ar"/>
              </w:rPr>
            </w:pPr>
          </w:p>
        </w:tc>
      </w:tr>
      <w:tr w14:paraId="379DF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4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7410A2E">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B超登记员</w:t>
            </w:r>
          </w:p>
        </w:tc>
        <w:tc>
          <w:tcPr>
            <w:tcW w:w="8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65CB49D">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1</w:t>
            </w:r>
          </w:p>
        </w:tc>
        <w:tc>
          <w:tcPr>
            <w:tcW w:w="381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E58385B">
            <w:pPr>
              <w:spacing w:beforeLines="0" w:afterLines="0" w:line="360" w:lineRule="auto"/>
              <w:jc w:val="center"/>
              <w:textAlignment w:val="center"/>
              <w:rPr>
                <w:rFonts w:hint="default" w:ascii="宋体" w:hAnsi="宋体" w:eastAsia="宋体" w:cs="宋体"/>
                <w:sz w:val="21"/>
                <w:szCs w:val="21"/>
                <w:lang w:val="en-US" w:eastAsia="zh-CN" w:bidi="ar"/>
              </w:rPr>
            </w:pPr>
            <w:r>
              <w:rPr>
                <w:rFonts w:hint="eastAsia" w:ascii="宋体" w:hAnsi="宋体" w:eastAsia="宋体" w:cs="宋体"/>
                <w:sz w:val="21"/>
                <w:szCs w:val="21"/>
                <w:lang w:bidi="ar"/>
              </w:rPr>
              <w:t>B超</w:t>
            </w:r>
            <w:r>
              <w:rPr>
                <w:rFonts w:hint="eastAsia" w:ascii="宋体" w:hAnsi="宋体" w:eastAsia="宋体" w:cs="宋体"/>
                <w:sz w:val="21"/>
                <w:szCs w:val="21"/>
                <w:lang w:val="en-US" w:eastAsia="zh-CN" w:bidi="ar"/>
              </w:rPr>
              <w:t>登记工作</w:t>
            </w:r>
          </w:p>
        </w:tc>
        <w:tc>
          <w:tcPr>
            <w:tcW w:w="1786" w:type="dxa"/>
            <w:vMerge w:val="continue"/>
            <w:tcBorders>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14:paraId="774F8552">
            <w:pPr>
              <w:spacing w:beforeLines="0" w:afterLines="0" w:line="360" w:lineRule="auto"/>
              <w:jc w:val="center"/>
              <w:textAlignment w:val="center"/>
              <w:rPr>
                <w:rFonts w:hint="eastAsia" w:ascii="宋体" w:hAnsi="宋体" w:eastAsia="宋体" w:cs="宋体"/>
                <w:sz w:val="21"/>
                <w:szCs w:val="21"/>
                <w:lang w:bidi="ar"/>
              </w:rPr>
            </w:pPr>
          </w:p>
        </w:tc>
      </w:tr>
      <w:tr w14:paraId="671A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4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D1ACEE2">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内镜中心登记</w:t>
            </w:r>
          </w:p>
        </w:tc>
        <w:tc>
          <w:tcPr>
            <w:tcW w:w="8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62782B9">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1</w:t>
            </w:r>
          </w:p>
        </w:tc>
        <w:tc>
          <w:tcPr>
            <w:tcW w:w="381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9EC9A34">
            <w:pPr>
              <w:spacing w:beforeLines="0" w:afterLines="0" w:line="360" w:lineRule="auto"/>
              <w:jc w:val="center"/>
              <w:textAlignment w:val="center"/>
              <w:rPr>
                <w:rFonts w:hint="default" w:ascii="宋体" w:hAnsi="宋体" w:eastAsia="宋体" w:cs="宋体"/>
                <w:sz w:val="21"/>
                <w:szCs w:val="21"/>
                <w:lang w:val="en-US" w:bidi="ar"/>
              </w:rPr>
            </w:pPr>
            <w:r>
              <w:rPr>
                <w:rFonts w:hint="eastAsia" w:ascii="宋体" w:hAnsi="宋体" w:eastAsia="宋体" w:cs="宋体"/>
                <w:sz w:val="21"/>
                <w:szCs w:val="21"/>
                <w:lang w:val="en-US" w:eastAsia="zh-CN" w:bidi="ar"/>
              </w:rPr>
              <w:t>内镜中心登记工作</w:t>
            </w:r>
          </w:p>
        </w:tc>
        <w:tc>
          <w:tcPr>
            <w:tcW w:w="1786" w:type="dxa"/>
            <w:vMerge w:val="continue"/>
            <w:tcBorders>
              <w:top w:val="single" w:color="auto"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14:paraId="0DDE149C">
            <w:pPr>
              <w:spacing w:beforeLines="0" w:afterLines="0" w:line="360" w:lineRule="auto"/>
              <w:jc w:val="center"/>
              <w:textAlignment w:val="center"/>
              <w:rPr>
                <w:rFonts w:hint="eastAsia" w:ascii="宋体" w:hAnsi="宋体" w:eastAsia="宋体" w:cs="宋体"/>
                <w:sz w:val="21"/>
                <w:szCs w:val="21"/>
                <w:lang w:bidi="ar"/>
              </w:rPr>
            </w:pPr>
          </w:p>
        </w:tc>
      </w:tr>
      <w:tr w14:paraId="23CB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4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4FDBE64">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放射科登记</w:t>
            </w:r>
          </w:p>
        </w:tc>
        <w:tc>
          <w:tcPr>
            <w:tcW w:w="8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691F6F2">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1</w:t>
            </w:r>
          </w:p>
        </w:tc>
        <w:tc>
          <w:tcPr>
            <w:tcW w:w="381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74FED55">
            <w:pPr>
              <w:spacing w:beforeLines="0" w:afterLines="0" w:line="360" w:lineRule="auto"/>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val="en-US" w:eastAsia="zh-CN" w:bidi="ar"/>
              </w:rPr>
              <w:t>放射科登记工作</w:t>
            </w:r>
          </w:p>
        </w:tc>
        <w:tc>
          <w:tcPr>
            <w:tcW w:w="1786" w:type="dxa"/>
            <w:vMerge w:val="continue"/>
            <w:tcBorders>
              <w:top w:val="single" w:color="auto"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14:paraId="78992AB2">
            <w:pPr>
              <w:spacing w:beforeLines="0" w:afterLines="0" w:line="360" w:lineRule="auto"/>
              <w:jc w:val="center"/>
              <w:textAlignment w:val="center"/>
              <w:rPr>
                <w:rFonts w:hint="eastAsia" w:ascii="宋体" w:hAnsi="宋体" w:eastAsia="宋体" w:cs="宋体"/>
                <w:sz w:val="21"/>
                <w:szCs w:val="21"/>
                <w:lang w:bidi="ar"/>
              </w:rPr>
            </w:pPr>
          </w:p>
        </w:tc>
      </w:tr>
      <w:tr w14:paraId="27EAD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4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BAA87C2">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白岳社区辅助人员</w:t>
            </w:r>
          </w:p>
        </w:tc>
        <w:tc>
          <w:tcPr>
            <w:tcW w:w="8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E6D96E0">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1</w:t>
            </w:r>
          </w:p>
        </w:tc>
        <w:tc>
          <w:tcPr>
            <w:tcW w:w="381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C6F8C2D">
            <w:pPr>
              <w:spacing w:beforeLines="0" w:afterLines="0" w:line="360" w:lineRule="auto"/>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卫生保洁等工作</w:t>
            </w:r>
          </w:p>
        </w:tc>
        <w:tc>
          <w:tcPr>
            <w:tcW w:w="1786" w:type="dxa"/>
            <w:vMerge w:val="continue"/>
            <w:tcBorders>
              <w:top w:val="single" w:color="auto"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14:paraId="0D585A7B">
            <w:pPr>
              <w:spacing w:beforeLines="0" w:afterLines="0" w:line="360" w:lineRule="auto"/>
              <w:jc w:val="center"/>
              <w:textAlignment w:val="center"/>
              <w:rPr>
                <w:rFonts w:hint="eastAsia" w:ascii="宋体" w:hAnsi="宋体" w:eastAsia="宋体" w:cs="宋体"/>
                <w:sz w:val="21"/>
                <w:szCs w:val="21"/>
                <w:lang w:bidi="ar"/>
              </w:rPr>
            </w:pPr>
          </w:p>
        </w:tc>
      </w:tr>
      <w:tr w14:paraId="685C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4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4E9A91B">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胃镜室辅助人员</w:t>
            </w:r>
          </w:p>
        </w:tc>
        <w:tc>
          <w:tcPr>
            <w:tcW w:w="8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EE289B5">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1</w:t>
            </w:r>
          </w:p>
        </w:tc>
        <w:tc>
          <w:tcPr>
            <w:tcW w:w="381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B72A752">
            <w:pPr>
              <w:spacing w:beforeLines="0" w:afterLines="0" w:line="360" w:lineRule="auto"/>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胃镜室辅助性工作</w:t>
            </w:r>
          </w:p>
        </w:tc>
        <w:tc>
          <w:tcPr>
            <w:tcW w:w="1786" w:type="dxa"/>
            <w:vMerge w:val="continue"/>
            <w:tcBorders>
              <w:top w:val="single" w:color="auto"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14:paraId="4273DB52">
            <w:pPr>
              <w:spacing w:beforeLines="0" w:afterLines="0" w:line="360" w:lineRule="auto"/>
              <w:jc w:val="center"/>
              <w:textAlignment w:val="center"/>
              <w:rPr>
                <w:rFonts w:hint="eastAsia" w:ascii="宋体" w:hAnsi="宋体" w:eastAsia="宋体" w:cs="宋体"/>
                <w:sz w:val="21"/>
                <w:szCs w:val="21"/>
                <w:lang w:bidi="ar"/>
              </w:rPr>
            </w:pPr>
          </w:p>
        </w:tc>
      </w:tr>
      <w:tr w14:paraId="328B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45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14:paraId="76F6701C">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胃镜室导医</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14:paraId="1067747B">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1</w:t>
            </w:r>
          </w:p>
        </w:tc>
        <w:tc>
          <w:tcPr>
            <w:tcW w:w="381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14:paraId="7D0360BB">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bidi="ar"/>
              </w:rPr>
              <w:t>就诊病人引导、询问、登记</w:t>
            </w:r>
          </w:p>
        </w:tc>
        <w:tc>
          <w:tcPr>
            <w:tcW w:w="1786" w:type="dxa"/>
            <w:vMerge w:val="continue"/>
            <w:tcBorders>
              <w:top w:val="single" w:color="auto"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14:paraId="303EC19E">
            <w:pPr>
              <w:spacing w:beforeLines="0" w:afterLines="0" w:line="360" w:lineRule="auto"/>
              <w:jc w:val="center"/>
              <w:textAlignment w:val="center"/>
              <w:rPr>
                <w:rFonts w:hint="eastAsia" w:ascii="宋体" w:hAnsi="宋体" w:eastAsia="宋体" w:cs="宋体"/>
                <w:sz w:val="21"/>
                <w:szCs w:val="21"/>
                <w:lang w:bidi="ar"/>
              </w:rPr>
            </w:pPr>
          </w:p>
        </w:tc>
      </w:tr>
      <w:tr w14:paraId="36D1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4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52C87F4">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大厅导医</w:t>
            </w:r>
          </w:p>
        </w:tc>
        <w:tc>
          <w:tcPr>
            <w:tcW w:w="8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990662F">
            <w:pPr>
              <w:spacing w:beforeLines="0" w:afterLines="0" w:line="360" w:lineRule="auto"/>
              <w:jc w:val="center"/>
              <w:textAlignment w:val="center"/>
              <w:rPr>
                <w:rFonts w:hint="default" w:ascii="宋体" w:hAnsi="宋体" w:eastAsia="宋体" w:cs="宋体"/>
                <w:sz w:val="21"/>
                <w:szCs w:val="21"/>
                <w:lang w:val="en-US" w:eastAsia="zh-CN" w:bidi="ar"/>
              </w:rPr>
            </w:pPr>
            <w:r>
              <w:rPr>
                <w:rFonts w:hint="eastAsia" w:ascii="宋体" w:hAnsi="宋体" w:cs="宋体"/>
                <w:sz w:val="21"/>
                <w:szCs w:val="21"/>
                <w:lang w:val="en-US" w:eastAsia="zh-CN" w:bidi="ar"/>
              </w:rPr>
              <w:t>5</w:t>
            </w:r>
          </w:p>
        </w:tc>
        <w:tc>
          <w:tcPr>
            <w:tcW w:w="381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735DBDF">
            <w:pPr>
              <w:spacing w:beforeLines="0" w:afterLines="0" w:line="360" w:lineRule="auto"/>
              <w:jc w:val="center"/>
              <w:textAlignment w:val="center"/>
              <w:rPr>
                <w:rFonts w:hint="default" w:ascii="宋体" w:hAnsi="宋体" w:eastAsia="宋体" w:cs="宋体"/>
                <w:sz w:val="21"/>
                <w:szCs w:val="21"/>
                <w:lang w:val="en-US" w:eastAsia="zh-CN" w:bidi="ar"/>
              </w:rPr>
            </w:pPr>
            <w:r>
              <w:rPr>
                <w:rFonts w:hint="eastAsia" w:ascii="宋体" w:hAnsi="宋体" w:eastAsia="宋体" w:cs="宋体"/>
                <w:sz w:val="21"/>
                <w:szCs w:val="21"/>
                <w:lang w:bidi="ar"/>
              </w:rPr>
              <w:t>就诊病人引导、询问、登记</w:t>
            </w:r>
            <w:r>
              <w:rPr>
                <w:rFonts w:hint="eastAsia" w:ascii="宋体" w:hAnsi="宋体" w:cs="宋体"/>
                <w:sz w:val="21"/>
                <w:szCs w:val="21"/>
                <w:lang w:eastAsia="zh-CN" w:bidi="ar"/>
              </w:rPr>
              <w:t>，</w:t>
            </w:r>
            <w:r>
              <w:rPr>
                <w:rFonts w:hint="eastAsia" w:ascii="宋体" w:hAnsi="宋体" w:cs="宋体"/>
                <w:sz w:val="21"/>
                <w:szCs w:val="21"/>
                <w:lang w:val="en-US" w:eastAsia="zh-CN" w:bidi="ar"/>
              </w:rPr>
              <w:t>其中一名兼职项目经理，熟悉医院服务管理专业知识，具备较强的沟通协调能力</w:t>
            </w:r>
          </w:p>
        </w:tc>
        <w:tc>
          <w:tcPr>
            <w:tcW w:w="1786" w:type="dxa"/>
            <w:vMerge w:val="continue"/>
            <w:tcBorders>
              <w:top w:val="single" w:color="auto"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14:paraId="1CB3C924">
            <w:pPr>
              <w:spacing w:beforeLines="0" w:afterLines="0" w:line="360" w:lineRule="auto"/>
              <w:jc w:val="center"/>
              <w:textAlignment w:val="center"/>
              <w:rPr>
                <w:rFonts w:hint="eastAsia" w:ascii="宋体" w:hAnsi="宋体" w:eastAsia="宋体" w:cs="宋体"/>
                <w:sz w:val="21"/>
                <w:szCs w:val="21"/>
                <w:lang w:bidi="ar"/>
              </w:rPr>
            </w:pPr>
          </w:p>
        </w:tc>
      </w:tr>
      <w:tr w14:paraId="50A06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45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14:paraId="493196B3">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西药房导医</w:t>
            </w:r>
          </w:p>
        </w:tc>
        <w:tc>
          <w:tcPr>
            <w:tcW w:w="8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14:paraId="40CC00AB">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1</w:t>
            </w:r>
          </w:p>
        </w:tc>
        <w:tc>
          <w:tcPr>
            <w:tcW w:w="381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tcMar>
              <w:top w:w="15" w:type="dxa"/>
              <w:left w:w="15" w:type="dxa"/>
              <w:right w:w="15" w:type="dxa"/>
            </w:tcMar>
            <w:vAlign w:val="center"/>
          </w:tcPr>
          <w:p w14:paraId="79C8011C">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bidi="ar"/>
              </w:rPr>
              <w:t>就诊病人引导、询问、登记</w:t>
            </w:r>
          </w:p>
        </w:tc>
        <w:tc>
          <w:tcPr>
            <w:tcW w:w="1786" w:type="dxa"/>
            <w:vMerge w:val="continue"/>
            <w:tcBorders>
              <w:top w:val="single" w:color="auto"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14:paraId="07B0F3BB">
            <w:pPr>
              <w:spacing w:beforeLines="0" w:afterLines="0" w:line="360" w:lineRule="auto"/>
              <w:jc w:val="center"/>
              <w:textAlignment w:val="center"/>
              <w:rPr>
                <w:rFonts w:hint="eastAsia" w:ascii="宋体" w:hAnsi="宋体" w:eastAsia="宋体" w:cs="宋体"/>
                <w:sz w:val="21"/>
                <w:szCs w:val="21"/>
                <w:lang w:bidi="ar"/>
              </w:rPr>
            </w:pPr>
          </w:p>
        </w:tc>
      </w:tr>
      <w:tr w14:paraId="3FEF1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4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460C384F">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内科导医</w:t>
            </w:r>
          </w:p>
        </w:tc>
        <w:tc>
          <w:tcPr>
            <w:tcW w:w="8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1A9DE03">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1</w:t>
            </w:r>
          </w:p>
        </w:tc>
        <w:tc>
          <w:tcPr>
            <w:tcW w:w="381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32FC86B">
            <w:pPr>
              <w:spacing w:beforeLines="0" w:afterLines="0" w:line="360" w:lineRule="auto"/>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就诊病人引导、询问、登记</w:t>
            </w:r>
          </w:p>
        </w:tc>
        <w:tc>
          <w:tcPr>
            <w:tcW w:w="1786" w:type="dxa"/>
            <w:vMerge w:val="continue"/>
            <w:tcBorders>
              <w:top w:val="single" w:color="auto"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14:paraId="2EAA0786">
            <w:pPr>
              <w:spacing w:beforeLines="0" w:afterLines="0" w:line="360" w:lineRule="auto"/>
              <w:jc w:val="center"/>
              <w:textAlignment w:val="center"/>
              <w:rPr>
                <w:rFonts w:hint="eastAsia" w:ascii="宋体" w:hAnsi="宋体" w:eastAsia="宋体" w:cs="宋体"/>
                <w:sz w:val="21"/>
                <w:szCs w:val="21"/>
                <w:lang w:bidi="ar"/>
              </w:rPr>
            </w:pPr>
          </w:p>
        </w:tc>
      </w:tr>
      <w:tr w14:paraId="1E259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4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5C224B4">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外科导医</w:t>
            </w:r>
          </w:p>
        </w:tc>
        <w:tc>
          <w:tcPr>
            <w:tcW w:w="8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BD75B57">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1</w:t>
            </w:r>
          </w:p>
        </w:tc>
        <w:tc>
          <w:tcPr>
            <w:tcW w:w="381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CB7107D">
            <w:pPr>
              <w:spacing w:beforeLines="0" w:afterLines="0" w:line="360" w:lineRule="auto"/>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就诊病人引导、询问、登记</w:t>
            </w:r>
          </w:p>
        </w:tc>
        <w:tc>
          <w:tcPr>
            <w:tcW w:w="1786" w:type="dxa"/>
            <w:vMerge w:val="continue"/>
            <w:tcBorders>
              <w:top w:val="single" w:color="auto"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14:paraId="70F89D76">
            <w:pPr>
              <w:spacing w:beforeLines="0" w:afterLines="0" w:line="360" w:lineRule="auto"/>
              <w:jc w:val="center"/>
              <w:textAlignment w:val="center"/>
              <w:rPr>
                <w:rFonts w:hint="eastAsia" w:ascii="宋体" w:hAnsi="宋体" w:eastAsia="宋体" w:cs="宋体"/>
                <w:sz w:val="21"/>
                <w:szCs w:val="21"/>
                <w:lang w:bidi="ar"/>
              </w:rPr>
            </w:pPr>
          </w:p>
        </w:tc>
      </w:tr>
      <w:tr w14:paraId="73CAC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4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420A55F">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化验室工作人员</w:t>
            </w:r>
          </w:p>
        </w:tc>
        <w:tc>
          <w:tcPr>
            <w:tcW w:w="8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9135E59">
            <w:pPr>
              <w:spacing w:beforeLines="0" w:afterLines="0" w:line="360" w:lineRule="auto"/>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381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039AF57">
            <w:pPr>
              <w:spacing w:beforeLines="0" w:afterLines="0" w:line="360" w:lineRule="auto"/>
              <w:jc w:val="center"/>
              <w:textAlignment w:val="center"/>
              <w:rPr>
                <w:rFonts w:hint="default" w:ascii="宋体" w:hAnsi="宋体" w:eastAsia="宋体" w:cs="宋体"/>
                <w:sz w:val="21"/>
                <w:szCs w:val="21"/>
                <w:lang w:val="en-US" w:bidi="ar"/>
              </w:rPr>
            </w:pPr>
            <w:r>
              <w:rPr>
                <w:rFonts w:hint="eastAsia" w:ascii="宋体" w:hAnsi="宋体" w:eastAsia="宋体" w:cs="宋体"/>
                <w:sz w:val="21"/>
                <w:szCs w:val="21"/>
                <w:lang w:val="en-US" w:eastAsia="zh-CN" w:bidi="ar"/>
              </w:rPr>
              <w:t>化验室工作</w:t>
            </w:r>
          </w:p>
        </w:tc>
        <w:tc>
          <w:tcPr>
            <w:tcW w:w="1786" w:type="dxa"/>
            <w:vMerge w:val="continue"/>
            <w:tcBorders>
              <w:top w:val="single" w:color="auto"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14:paraId="74517165">
            <w:pPr>
              <w:spacing w:beforeLines="0" w:afterLines="0" w:line="360" w:lineRule="auto"/>
              <w:jc w:val="center"/>
              <w:textAlignment w:val="center"/>
              <w:rPr>
                <w:rFonts w:hint="eastAsia" w:ascii="宋体" w:hAnsi="宋体" w:eastAsia="宋体" w:cs="宋体"/>
                <w:sz w:val="21"/>
                <w:szCs w:val="21"/>
                <w:lang w:bidi="ar"/>
              </w:rPr>
            </w:pPr>
          </w:p>
        </w:tc>
      </w:tr>
      <w:tr w14:paraId="42FF1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4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38363D9F">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明馨服务站工作人员</w:t>
            </w:r>
          </w:p>
        </w:tc>
        <w:tc>
          <w:tcPr>
            <w:tcW w:w="8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2FF9128C">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1</w:t>
            </w:r>
          </w:p>
        </w:tc>
        <w:tc>
          <w:tcPr>
            <w:tcW w:w="381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1662844">
            <w:pPr>
              <w:spacing w:beforeLines="0" w:afterLines="0" w:line="360" w:lineRule="auto"/>
              <w:jc w:val="center"/>
              <w:textAlignment w:val="center"/>
              <w:rPr>
                <w:rFonts w:hint="default" w:ascii="宋体" w:hAnsi="宋体" w:eastAsia="宋体" w:cs="宋体"/>
                <w:sz w:val="21"/>
                <w:szCs w:val="21"/>
                <w:lang w:val="en-US" w:bidi="ar"/>
              </w:rPr>
            </w:pPr>
            <w:r>
              <w:rPr>
                <w:rFonts w:hint="eastAsia" w:ascii="宋体" w:hAnsi="宋体" w:eastAsia="宋体" w:cs="宋体"/>
                <w:sz w:val="21"/>
                <w:szCs w:val="21"/>
                <w:lang w:val="en-US" w:eastAsia="zh-CN" w:bidi="ar"/>
              </w:rPr>
              <w:t>明馨服务站工作</w:t>
            </w:r>
          </w:p>
        </w:tc>
        <w:tc>
          <w:tcPr>
            <w:tcW w:w="1786" w:type="dxa"/>
            <w:vMerge w:val="continue"/>
            <w:tcBorders>
              <w:top w:val="single" w:color="auto"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14:paraId="4137A595">
            <w:pPr>
              <w:spacing w:beforeLines="0" w:afterLines="0" w:line="360" w:lineRule="auto"/>
              <w:jc w:val="center"/>
              <w:textAlignment w:val="center"/>
              <w:rPr>
                <w:rFonts w:hint="eastAsia" w:ascii="宋体" w:hAnsi="宋体" w:eastAsia="宋体" w:cs="宋体"/>
                <w:sz w:val="21"/>
                <w:szCs w:val="21"/>
                <w:lang w:bidi="ar"/>
              </w:rPr>
            </w:pPr>
          </w:p>
        </w:tc>
      </w:tr>
      <w:tr w14:paraId="23D2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4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3554A8B">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财务工作人员</w:t>
            </w:r>
          </w:p>
        </w:tc>
        <w:tc>
          <w:tcPr>
            <w:tcW w:w="8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51CC0F53">
            <w:pPr>
              <w:spacing w:beforeLines="0" w:afterLines="0" w:line="360" w:lineRule="auto"/>
              <w:jc w:val="center"/>
              <w:textAlignment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1</w:t>
            </w:r>
          </w:p>
        </w:tc>
        <w:tc>
          <w:tcPr>
            <w:tcW w:w="381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1BAFA85">
            <w:pPr>
              <w:spacing w:beforeLines="0" w:afterLines="0" w:line="360" w:lineRule="auto"/>
              <w:jc w:val="center"/>
              <w:textAlignment w:val="center"/>
              <w:rPr>
                <w:rFonts w:hint="default" w:ascii="宋体" w:hAnsi="宋体" w:eastAsia="宋体" w:cs="宋体"/>
                <w:sz w:val="21"/>
                <w:szCs w:val="21"/>
                <w:lang w:val="en-US" w:bidi="ar"/>
              </w:rPr>
            </w:pPr>
            <w:r>
              <w:rPr>
                <w:rFonts w:hint="eastAsia" w:ascii="宋体" w:hAnsi="宋体" w:eastAsia="宋体" w:cs="宋体"/>
                <w:sz w:val="21"/>
                <w:szCs w:val="21"/>
                <w:lang w:val="en-US" w:eastAsia="zh-CN" w:bidi="ar"/>
              </w:rPr>
              <w:t>医院财务工作</w:t>
            </w:r>
          </w:p>
        </w:tc>
        <w:tc>
          <w:tcPr>
            <w:tcW w:w="1786" w:type="dxa"/>
            <w:vMerge w:val="continue"/>
            <w:tcBorders>
              <w:top w:val="single" w:color="auto"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14:paraId="02BB69FF">
            <w:pPr>
              <w:spacing w:beforeLines="0" w:afterLines="0" w:line="360" w:lineRule="auto"/>
              <w:jc w:val="center"/>
              <w:textAlignment w:val="center"/>
              <w:rPr>
                <w:rFonts w:hint="eastAsia" w:ascii="宋体" w:hAnsi="宋体" w:eastAsia="宋体" w:cs="宋体"/>
                <w:sz w:val="21"/>
                <w:szCs w:val="21"/>
                <w:lang w:bidi="ar"/>
              </w:rPr>
            </w:pPr>
          </w:p>
        </w:tc>
      </w:tr>
      <w:tr w14:paraId="561CE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24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7B04EF06">
            <w:pPr>
              <w:spacing w:beforeLines="0" w:afterLines="0" w:line="360" w:lineRule="auto"/>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合计</w:t>
            </w:r>
          </w:p>
        </w:tc>
        <w:tc>
          <w:tcPr>
            <w:tcW w:w="8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BE6CD35">
            <w:pPr>
              <w:spacing w:beforeLines="0" w:afterLines="0" w:line="360" w:lineRule="auto"/>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bidi="ar"/>
              </w:rPr>
              <w:t>2</w:t>
            </w:r>
            <w:r>
              <w:rPr>
                <w:rFonts w:hint="eastAsia" w:ascii="宋体" w:hAnsi="宋体" w:eastAsia="宋体" w:cs="宋体"/>
                <w:sz w:val="21"/>
                <w:szCs w:val="21"/>
                <w:lang w:val="en-US" w:eastAsia="zh-CN" w:bidi="ar"/>
              </w:rPr>
              <w:t>3</w:t>
            </w:r>
          </w:p>
        </w:tc>
        <w:tc>
          <w:tcPr>
            <w:tcW w:w="381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6268E79F">
            <w:pPr>
              <w:spacing w:beforeLines="0" w:afterLines="0" w:line="360" w:lineRule="auto"/>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w:t>
            </w:r>
          </w:p>
        </w:tc>
        <w:tc>
          <w:tcPr>
            <w:tcW w:w="1786" w:type="dxa"/>
            <w:tcBorders>
              <w:top w:val="single" w:color="auto"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019E747A">
            <w:pPr>
              <w:spacing w:beforeLines="0" w:afterLines="0" w:line="360" w:lineRule="auto"/>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w:t>
            </w:r>
          </w:p>
        </w:tc>
      </w:tr>
    </w:tbl>
    <w:p w14:paraId="16CA3F67">
      <w:pPr>
        <w:pStyle w:val="61"/>
        <w:spacing w:beforeLines="0" w:after="0" w:line="360" w:lineRule="auto"/>
        <w:ind w:left="0" w:leftChars="0"/>
        <w:rPr>
          <w:rFonts w:hint="eastAsia" w:ascii="宋体" w:hAnsi="宋体" w:eastAsia="宋体"/>
          <w:sz w:val="21"/>
          <w:szCs w:val="21"/>
        </w:rPr>
      </w:pPr>
      <w:r>
        <w:rPr>
          <w:rFonts w:hint="eastAsia" w:ascii="Times New Roman" w:hAnsi="宋体" w:eastAsia="宋体" w:cs="仿宋_GB2312"/>
          <w:sz w:val="21"/>
          <w:szCs w:val="21"/>
        </w:rPr>
        <w:t>备注：本表要求的人员数量配置为最低人员数量。（项目实施过程中，如有出入，以实际需求人数为准，并按实结算）</w:t>
      </w:r>
    </w:p>
    <w:p w14:paraId="0BE21C57">
      <w:pPr>
        <w:pStyle w:val="61"/>
        <w:spacing w:beforeLines="0" w:after="0" w:line="360" w:lineRule="auto"/>
        <w:ind w:left="0" w:leftChars="0" w:firstLine="0" w:firstLineChars="0"/>
        <w:rPr>
          <w:rFonts w:hint="eastAsia" w:ascii="宋体" w:hAnsi="宋体" w:eastAsia="宋体"/>
          <w:b/>
          <w:sz w:val="21"/>
          <w:szCs w:val="21"/>
        </w:rPr>
      </w:pPr>
      <w:r>
        <w:rPr>
          <w:rFonts w:hint="eastAsia" w:ascii="宋体" w:hAnsi="宋体" w:eastAsia="宋体"/>
          <w:b/>
          <w:sz w:val="21"/>
          <w:szCs w:val="21"/>
        </w:rPr>
        <w:t>（三）岗位要求</w:t>
      </w:r>
    </w:p>
    <w:p w14:paraId="4D06AA60">
      <w:pPr>
        <w:pStyle w:val="61"/>
        <w:spacing w:beforeLines="0" w:after="0" w:line="360" w:lineRule="auto"/>
        <w:ind w:left="0" w:leftChars="0"/>
        <w:rPr>
          <w:rFonts w:hint="eastAsia" w:ascii="宋体" w:hAnsi="宋体" w:eastAsia="宋体"/>
          <w:sz w:val="21"/>
          <w:szCs w:val="21"/>
          <w:lang w:eastAsia="zh-CN"/>
        </w:rPr>
      </w:pPr>
      <w:r>
        <w:rPr>
          <w:rFonts w:hint="eastAsia" w:ascii="宋体" w:hAnsi="宋体" w:eastAsia="宋体"/>
          <w:sz w:val="21"/>
          <w:szCs w:val="21"/>
        </w:rPr>
        <w:t>1、遵守</w:t>
      </w:r>
      <w:r>
        <w:rPr>
          <w:rFonts w:hint="eastAsia" w:ascii="宋体" w:hAnsi="宋体" w:eastAsia="宋体"/>
          <w:sz w:val="21"/>
          <w:szCs w:val="21"/>
          <w:lang w:val="en-US" w:eastAsia="zh-CN"/>
        </w:rPr>
        <w:t>院方</w:t>
      </w:r>
      <w:r>
        <w:rPr>
          <w:rFonts w:hint="eastAsia" w:ascii="宋体" w:hAnsi="宋体" w:eastAsia="宋体"/>
          <w:sz w:val="21"/>
          <w:szCs w:val="21"/>
        </w:rPr>
        <w:t>工作纪律和有关规章制度，无违法犯罪记录</w:t>
      </w:r>
      <w:r>
        <w:rPr>
          <w:rFonts w:hint="eastAsia" w:ascii="宋体" w:hAnsi="宋体" w:eastAsia="宋体"/>
          <w:sz w:val="21"/>
          <w:szCs w:val="21"/>
          <w:lang w:eastAsia="zh-CN"/>
        </w:rPr>
        <w:t>；</w:t>
      </w:r>
    </w:p>
    <w:p w14:paraId="5DA98590">
      <w:pPr>
        <w:pStyle w:val="61"/>
        <w:spacing w:beforeLines="0" w:after="0" w:line="360" w:lineRule="auto"/>
        <w:ind w:left="0" w:leftChars="0"/>
        <w:rPr>
          <w:rFonts w:hint="eastAsia" w:ascii="宋体" w:hAnsi="宋体" w:eastAsia="宋体"/>
          <w:sz w:val="21"/>
          <w:szCs w:val="21"/>
        </w:rPr>
      </w:pPr>
      <w:r>
        <w:rPr>
          <w:rFonts w:hint="eastAsia" w:ascii="宋体" w:hAnsi="宋体" w:eastAsia="宋体"/>
          <w:sz w:val="21"/>
          <w:szCs w:val="21"/>
        </w:rPr>
        <w:t>2、身体健康，品行端正，责任心强，吃苦耐劳；</w:t>
      </w:r>
    </w:p>
    <w:p w14:paraId="1174386D">
      <w:pPr>
        <w:pStyle w:val="61"/>
        <w:spacing w:beforeLines="0" w:after="0" w:line="360" w:lineRule="auto"/>
        <w:ind w:left="0" w:leftChars="0"/>
        <w:rPr>
          <w:rFonts w:hint="eastAsia" w:ascii="宋体" w:hAnsi="宋体" w:eastAsia="宋体"/>
          <w:sz w:val="21"/>
          <w:szCs w:val="21"/>
          <w:lang w:eastAsia="zh-CN"/>
        </w:rPr>
      </w:pPr>
      <w:r>
        <w:rPr>
          <w:rFonts w:hint="eastAsia" w:ascii="宋体" w:hAnsi="宋体" w:eastAsia="宋体"/>
          <w:sz w:val="21"/>
          <w:szCs w:val="21"/>
        </w:rPr>
        <w:t>3、年龄满18周岁以上50周岁以下</w:t>
      </w:r>
      <w:r>
        <w:rPr>
          <w:rFonts w:hint="eastAsia"/>
          <w:sz w:val="21"/>
          <w:szCs w:val="21"/>
          <w:lang w:eastAsia="zh-CN"/>
        </w:rPr>
        <w:t>，</w:t>
      </w:r>
      <w:r>
        <w:rPr>
          <w:rFonts w:hint="eastAsia" w:ascii="宋体" w:hAnsi="宋体" w:eastAsia="宋体"/>
          <w:sz w:val="21"/>
          <w:szCs w:val="21"/>
        </w:rPr>
        <w:t>有护士或其他医学相关背景专业证书优先</w:t>
      </w:r>
      <w:r>
        <w:rPr>
          <w:rFonts w:hint="eastAsia"/>
          <w:sz w:val="21"/>
          <w:szCs w:val="21"/>
          <w:lang w:eastAsia="zh-CN"/>
        </w:rPr>
        <w:t>；</w:t>
      </w:r>
    </w:p>
    <w:p w14:paraId="40A9A327">
      <w:pPr>
        <w:pStyle w:val="61"/>
        <w:spacing w:beforeLines="0" w:after="0" w:line="360" w:lineRule="auto"/>
        <w:ind w:left="0" w:leftChars="0"/>
        <w:rPr>
          <w:rFonts w:hint="eastAsia" w:ascii="宋体" w:hAnsi="宋体" w:eastAsia="宋体"/>
          <w:sz w:val="21"/>
          <w:szCs w:val="21"/>
          <w:lang w:eastAsia="zh-CN"/>
        </w:rPr>
      </w:pPr>
      <w:r>
        <w:rPr>
          <w:rFonts w:hint="eastAsia" w:ascii="宋体" w:hAnsi="宋体" w:eastAsia="宋体"/>
          <w:sz w:val="21"/>
          <w:szCs w:val="21"/>
        </w:rPr>
        <w:t>4、</w:t>
      </w:r>
      <w:r>
        <w:rPr>
          <w:rFonts w:hint="eastAsia" w:ascii="宋体" w:hAnsi="宋体" w:eastAsia="宋体"/>
          <w:sz w:val="21"/>
          <w:szCs w:val="21"/>
          <w:lang w:val="en-US" w:eastAsia="zh-CN"/>
        </w:rPr>
        <w:t>要求</w:t>
      </w:r>
      <w:r>
        <w:rPr>
          <w:rFonts w:hint="eastAsia" w:ascii="宋体" w:hAnsi="宋体" w:eastAsia="宋体"/>
          <w:sz w:val="21"/>
          <w:szCs w:val="21"/>
        </w:rPr>
        <w:t>高中及学历以上</w:t>
      </w:r>
      <w:r>
        <w:rPr>
          <w:rFonts w:hint="eastAsia" w:ascii="宋体" w:hAnsi="宋体" w:eastAsia="宋体"/>
          <w:sz w:val="21"/>
          <w:szCs w:val="21"/>
          <w:lang w:eastAsia="zh-CN"/>
        </w:rPr>
        <w:t>，</w:t>
      </w:r>
      <w:r>
        <w:rPr>
          <w:rFonts w:hint="eastAsia" w:ascii="宋体" w:hAnsi="宋体" w:eastAsia="宋体"/>
          <w:sz w:val="21"/>
          <w:szCs w:val="21"/>
        </w:rPr>
        <w:t>熟悉电脑操作</w:t>
      </w:r>
      <w:r>
        <w:rPr>
          <w:rFonts w:hint="eastAsia" w:ascii="宋体" w:hAnsi="宋体" w:eastAsia="宋体"/>
          <w:sz w:val="21"/>
          <w:szCs w:val="21"/>
          <w:lang w:eastAsia="zh-CN"/>
        </w:rPr>
        <w:t>；</w:t>
      </w:r>
    </w:p>
    <w:p w14:paraId="408DD92F">
      <w:pPr>
        <w:pStyle w:val="61"/>
        <w:spacing w:beforeLines="0" w:after="0" w:line="360" w:lineRule="auto"/>
        <w:ind w:left="0" w:leftChars="0"/>
        <w:rPr>
          <w:rFonts w:hint="eastAsia" w:ascii="宋体" w:hAnsi="宋体" w:eastAsia="宋体"/>
          <w:sz w:val="21"/>
          <w:szCs w:val="21"/>
          <w:lang w:eastAsia="zh-CN"/>
        </w:rPr>
      </w:pPr>
      <w:r>
        <w:rPr>
          <w:rFonts w:hint="eastAsia" w:ascii="宋体" w:hAnsi="宋体" w:eastAsia="宋体"/>
          <w:sz w:val="21"/>
          <w:szCs w:val="21"/>
        </w:rPr>
        <w:t>5、统一着装上岗，服装需要经过院方审核</w:t>
      </w:r>
      <w:r>
        <w:rPr>
          <w:rFonts w:hint="eastAsia"/>
          <w:sz w:val="21"/>
          <w:szCs w:val="21"/>
          <w:lang w:eastAsia="zh-CN"/>
        </w:rPr>
        <w:t>；</w:t>
      </w:r>
    </w:p>
    <w:p w14:paraId="70ECEA48">
      <w:pPr>
        <w:pStyle w:val="61"/>
        <w:spacing w:beforeLines="0" w:after="0" w:line="360" w:lineRule="auto"/>
        <w:ind w:left="0" w:leftChars="0"/>
        <w:rPr>
          <w:rFonts w:hint="eastAsia" w:ascii="宋体" w:hAnsi="宋体" w:eastAsia="宋体"/>
          <w:sz w:val="21"/>
          <w:szCs w:val="21"/>
          <w:lang w:eastAsia="zh-CN"/>
        </w:rPr>
      </w:pPr>
      <w:r>
        <w:rPr>
          <w:rFonts w:hint="eastAsia" w:ascii="宋体" w:hAnsi="宋体" w:eastAsia="宋体"/>
          <w:sz w:val="21"/>
          <w:szCs w:val="21"/>
        </w:rPr>
        <w:t>6、供应商需承诺中标后所有岗位人员于合同签订后一周内到岗</w:t>
      </w:r>
      <w:r>
        <w:rPr>
          <w:rFonts w:hint="eastAsia"/>
          <w:sz w:val="21"/>
          <w:szCs w:val="21"/>
          <w:lang w:eastAsia="zh-CN"/>
        </w:rPr>
        <w:t>；</w:t>
      </w:r>
    </w:p>
    <w:p w14:paraId="4F8937F9">
      <w:pPr>
        <w:pStyle w:val="61"/>
        <w:spacing w:beforeLines="0" w:after="0" w:line="360" w:lineRule="auto"/>
        <w:ind w:left="0" w:leftChars="0"/>
        <w:rPr>
          <w:rFonts w:hint="eastAsia" w:ascii="宋体" w:hAnsi="宋体" w:eastAsia="宋体"/>
          <w:sz w:val="21"/>
          <w:szCs w:val="21"/>
          <w:lang w:val="en-US" w:eastAsia="zh-CN"/>
        </w:rPr>
      </w:pPr>
      <w:r>
        <w:rPr>
          <w:rFonts w:hint="eastAsia" w:ascii="宋体" w:hAnsi="宋体" w:eastAsia="宋体"/>
          <w:sz w:val="21"/>
          <w:szCs w:val="21"/>
          <w:lang w:val="en-US" w:eastAsia="zh-CN"/>
        </w:rPr>
        <w:t>7、保质保量完成医院其它指令性工作。</w:t>
      </w:r>
    </w:p>
    <w:p w14:paraId="3EBA17D9">
      <w:pPr>
        <w:pStyle w:val="61"/>
        <w:spacing w:beforeLines="0"/>
        <w:ind w:left="0" w:leftChars="0" w:firstLine="0" w:firstLineChars="0"/>
        <w:rPr>
          <w:rFonts w:hint="eastAsia" w:ascii="宋体" w:hAnsi="宋体" w:eastAsia="宋体"/>
          <w:b/>
          <w:sz w:val="21"/>
          <w:szCs w:val="21"/>
        </w:rPr>
      </w:pPr>
      <w:r>
        <w:rPr>
          <w:rFonts w:hint="eastAsia" w:ascii="宋体" w:hAnsi="宋体" w:eastAsia="宋体"/>
          <w:b/>
          <w:sz w:val="21"/>
          <w:szCs w:val="21"/>
        </w:rPr>
        <w:t>（四）服务要求</w:t>
      </w:r>
    </w:p>
    <w:p w14:paraId="6B4B4212">
      <w:pPr>
        <w:pStyle w:val="61"/>
        <w:spacing w:beforeLines="0" w:after="0" w:line="360" w:lineRule="auto"/>
        <w:ind w:left="0" w:leftChars="0"/>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供应商</w:t>
      </w:r>
      <w:r>
        <w:rPr>
          <w:rFonts w:hint="eastAsia" w:ascii="宋体" w:hAnsi="宋体" w:eastAsia="宋体"/>
          <w:sz w:val="21"/>
          <w:szCs w:val="21"/>
        </w:rPr>
        <w:t>以服务外包的形式提供服务，并负责服务外包人员劳动人事关系管理职能工作，其中包括办理服务外包人员入职手续、人事档案管理、户口接收托管工作、职称评定、从业资格认定、缴纳各种社会保险、劳资纠纷和工伤意外处理等人事管理工作。</w:t>
      </w:r>
    </w:p>
    <w:p w14:paraId="13DCBD47">
      <w:pPr>
        <w:pStyle w:val="61"/>
        <w:spacing w:beforeLines="0" w:after="0" w:line="360" w:lineRule="auto"/>
        <w:ind w:left="0" w:leftChars="0"/>
        <w:rPr>
          <w:rFonts w:hint="eastAsia" w:ascii="宋体" w:hAnsi="宋体" w:eastAsia="宋体"/>
          <w:sz w:val="21"/>
          <w:szCs w:val="21"/>
        </w:rPr>
      </w:pPr>
      <w:r>
        <w:rPr>
          <w:rFonts w:hint="eastAsia" w:ascii="宋体" w:hAnsi="宋体" w:eastAsia="宋体"/>
          <w:sz w:val="21"/>
          <w:szCs w:val="21"/>
        </w:rPr>
        <w:t>2、采购人对服务外包人员在业务工作上进行归口管理。</w:t>
      </w:r>
    </w:p>
    <w:p w14:paraId="0AE7C546">
      <w:pPr>
        <w:pStyle w:val="61"/>
        <w:spacing w:beforeLines="0" w:after="0" w:line="360" w:lineRule="auto"/>
        <w:ind w:left="0" w:leftChars="0"/>
        <w:rPr>
          <w:rFonts w:hint="eastAsia" w:ascii="宋体" w:hAnsi="宋体" w:eastAsia="宋体"/>
          <w:sz w:val="21"/>
          <w:szCs w:val="21"/>
        </w:rPr>
      </w:pPr>
      <w:r>
        <w:rPr>
          <w:rFonts w:hint="eastAsia" w:ascii="宋体" w:hAnsi="宋体" w:eastAsia="宋体"/>
          <w:sz w:val="21"/>
          <w:szCs w:val="21"/>
        </w:rPr>
        <w:t>3、工作内容：</w:t>
      </w:r>
    </w:p>
    <w:p w14:paraId="54EF5446">
      <w:pPr>
        <w:pStyle w:val="61"/>
        <w:numPr>
          <w:ilvl w:val="0"/>
          <w:numId w:val="0"/>
        </w:numPr>
        <w:spacing w:beforeLines="0" w:after="0" w:line="360" w:lineRule="auto"/>
        <w:ind w:left="420" w:leftChars="0"/>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lang w:eastAsia="zh-CN"/>
        </w:rPr>
        <w:t>）</w:t>
      </w:r>
      <w:r>
        <w:rPr>
          <w:rFonts w:hint="eastAsia" w:ascii="宋体" w:hAnsi="宋体" w:eastAsia="宋体"/>
          <w:sz w:val="21"/>
          <w:szCs w:val="21"/>
        </w:rPr>
        <w:t>用工入职手续的办理。</w:t>
      </w:r>
    </w:p>
    <w:p w14:paraId="6BEDC4D3">
      <w:pPr>
        <w:pStyle w:val="61"/>
        <w:numPr>
          <w:ilvl w:val="0"/>
          <w:numId w:val="0"/>
        </w:numPr>
        <w:spacing w:beforeLines="0" w:after="0" w:line="360" w:lineRule="auto"/>
        <w:ind w:left="420" w:leftChars="0"/>
        <w:rPr>
          <w:rFonts w:hint="eastAsia"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lang w:eastAsia="zh-CN"/>
        </w:rPr>
        <w:t>）</w:t>
      </w:r>
      <w:r>
        <w:rPr>
          <w:rFonts w:hint="eastAsia" w:ascii="宋体" w:hAnsi="宋体" w:eastAsia="宋体"/>
          <w:sz w:val="21"/>
          <w:szCs w:val="21"/>
        </w:rPr>
        <w:t>签订劳动合同。</w:t>
      </w:r>
    </w:p>
    <w:p w14:paraId="19CDB8A0">
      <w:pPr>
        <w:pStyle w:val="61"/>
        <w:numPr>
          <w:ilvl w:val="0"/>
          <w:numId w:val="0"/>
        </w:numPr>
        <w:spacing w:beforeLines="0" w:after="0" w:line="360" w:lineRule="auto"/>
        <w:ind w:left="420" w:leftChars="0"/>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接转确定人员的人事档案、社会保险关系。</w:t>
      </w:r>
    </w:p>
    <w:p w14:paraId="79B9E154">
      <w:pPr>
        <w:pStyle w:val="61"/>
        <w:numPr>
          <w:ilvl w:val="0"/>
          <w:numId w:val="0"/>
        </w:numPr>
        <w:spacing w:beforeLines="0" w:after="0" w:line="360" w:lineRule="auto"/>
        <w:ind w:left="420" w:leftChars="0"/>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接转党（团）组织关系，并进行管理。</w:t>
      </w:r>
    </w:p>
    <w:p w14:paraId="5264DC7B">
      <w:pPr>
        <w:pStyle w:val="61"/>
        <w:numPr>
          <w:ilvl w:val="0"/>
          <w:numId w:val="0"/>
        </w:numPr>
        <w:spacing w:beforeLines="0" w:after="0" w:line="360" w:lineRule="auto"/>
        <w:ind w:left="420" w:leftChars="0"/>
        <w:rPr>
          <w:rFonts w:hint="eastAsia" w:ascii="宋体" w:hAnsi="宋体" w:eastAsia="宋体"/>
          <w:sz w:val="21"/>
          <w:szCs w:val="21"/>
        </w:rPr>
      </w:pPr>
      <w:r>
        <w:rPr>
          <w:rFonts w:hint="eastAsia" w:ascii="宋体" w:hAnsi="宋体" w:eastAsia="宋体"/>
          <w:sz w:val="21"/>
          <w:szCs w:val="21"/>
          <w:lang w:val="en-US" w:eastAsia="zh-CN"/>
        </w:rPr>
        <w:t>5）</w:t>
      </w:r>
      <w:r>
        <w:rPr>
          <w:rFonts w:hint="eastAsia" w:ascii="宋体" w:hAnsi="宋体" w:eastAsia="宋体"/>
          <w:sz w:val="21"/>
          <w:szCs w:val="21"/>
        </w:rPr>
        <w:t>代扣缴个人所得税。</w:t>
      </w:r>
    </w:p>
    <w:p w14:paraId="10E12155">
      <w:pPr>
        <w:pStyle w:val="61"/>
        <w:numPr>
          <w:ilvl w:val="0"/>
          <w:numId w:val="0"/>
        </w:numPr>
        <w:spacing w:beforeLines="0" w:after="0" w:line="360" w:lineRule="auto"/>
        <w:ind w:left="420" w:leftChars="0"/>
        <w:rPr>
          <w:rFonts w:hint="eastAsia" w:ascii="宋体" w:hAnsi="宋体" w:eastAsia="宋体"/>
          <w:sz w:val="21"/>
          <w:szCs w:val="21"/>
        </w:rPr>
      </w:pPr>
      <w:r>
        <w:rPr>
          <w:rFonts w:hint="eastAsia" w:ascii="宋体" w:hAnsi="宋体" w:eastAsia="宋体"/>
          <w:sz w:val="21"/>
          <w:szCs w:val="21"/>
          <w:lang w:val="en-US" w:eastAsia="zh-CN"/>
        </w:rPr>
        <w:t>6）</w:t>
      </w:r>
      <w:r>
        <w:rPr>
          <w:rFonts w:hint="eastAsia" w:ascii="宋体" w:hAnsi="宋体" w:eastAsia="宋体"/>
          <w:sz w:val="21"/>
          <w:szCs w:val="21"/>
        </w:rPr>
        <w:t>交纳各类社会保险金。</w:t>
      </w:r>
    </w:p>
    <w:p w14:paraId="5B059EBB">
      <w:pPr>
        <w:pStyle w:val="61"/>
        <w:numPr>
          <w:ilvl w:val="0"/>
          <w:numId w:val="0"/>
        </w:numPr>
        <w:spacing w:beforeLines="0" w:after="0" w:line="360" w:lineRule="auto"/>
        <w:ind w:left="420" w:leftChars="0"/>
        <w:rPr>
          <w:rFonts w:hint="eastAsia" w:ascii="宋体" w:hAnsi="宋体" w:eastAsia="宋体"/>
          <w:sz w:val="21"/>
          <w:szCs w:val="21"/>
          <w:highlight w:val="none"/>
        </w:rPr>
      </w:pPr>
      <w:r>
        <w:rPr>
          <w:rFonts w:hint="eastAsia" w:ascii="宋体" w:hAnsi="宋体" w:eastAsia="宋体"/>
          <w:sz w:val="21"/>
          <w:szCs w:val="21"/>
          <w:highlight w:val="none"/>
          <w:lang w:val="en-US" w:eastAsia="zh-CN"/>
        </w:rPr>
        <w:t>7）</w:t>
      </w:r>
      <w:r>
        <w:rPr>
          <w:rFonts w:hint="eastAsia" w:ascii="宋体" w:hAnsi="宋体" w:eastAsia="宋体"/>
          <w:sz w:val="21"/>
          <w:szCs w:val="21"/>
          <w:highlight w:val="none"/>
        </w:rPr>
        <w:t>服务外包人员节日慰问、福利由中标人自行决定发放标准。</w:t>
      </w:r>
    </w:p>
    <w:p w14:paraId="6A678F15">
      <w:pPr>
        <w:pStyle w:val="61"/>
        <w:numPr>
          <w:ilvl w:val="0"/>
          <w:numId w:val="0"/>
        </w:numPr>
        <w:spacing w:beforeLines="0" w:after="0" w:line="360" w:lineRule="auto"/>
        <w:ind w:left="420" w:leftChars="0"/>
        <w:rPr>
          <w:rFonts w:hint="eastAsia" w:ascii="宋体" w:hAnsi="宋体" w:eastAsia="宋体"/>
          <w:sz w:val="21"/>
          <w:szCs w:val="21"/>
          <w:highlight w:val="none"/>
        </w:rPr>
      </w:pPr>
      <w:r>
        <w:rPr>
          <w:rFonts w:hint="eastAsia" w:ascii="宋体" w:hAnsi="宋体" w:eastAsia="宋体"/>
          <w:sz w:val="21"/>
          <w:szCs w:val="21"/>
          <w:highlight w:val="none"/>
          <w:lang w:val="en-US" w:eastAsia="zh-CN"/>
        </w:rPr>
        <w:t>8）</w:t>
      </w:r>
      <w:r>
        <w:rPr>
          <w:rFonts w:hint="eastAsia" w:ascii="宋体" w:hAnsi="宋体" w:eastAsia="宋体"/>
          <w:sz w:val="21"/>
          <w:szCs w:val="21"/>
          <w:highlight w:val="none"/>
        </w:rPr>
        <w:t>跟踪办理工伤事故。</w:t>
      </w:r>
    </w:p>
    <w:p w14:paraId="3C4F2ECC">
      <w:pPr>
        <w:pStyle w:val="61"/>
        <w:numPr>
          <w:ilvl w:val="0"/>
          <w:numId w:val="0"/>
        </w:numPr>
        <w:spacing w:beforeLines="0" w:after="0" w:line="360" w:lineRule="auto"/>
        <w:ind w:left="420" w:leftChars="0"/>
        <w:rPr>
          <w:rFonts w:hint="eastAsia" w:ascii="宋体" w:hAnsi="宋体" w:eastAsia="宋体"/>
          <w:sz w:val="21"/>
          <w:szCs w:val="21"/>
          <w:highlight w:val="none"/>
        </w:rPr>
      </w:pPr>
      <w:r>
        <w:rPr>
          <w:rFonts w:hint="eastAsia" w:ascii="宋体" w:hAnsi="宋体" w:eastAsia="宋体"/>
          <w:sz w:val="21"/>
          <w:szCs w:val="21"/>
          <w:highlight w:val="none"/>
          <w:lang w:val="en-US" w:eastAsia="zh-CN"/>
        </w:rPr>
        <w:t>9）</w:t>
      </w:r>
      <w:r>
        <w:rPr>
          <w:rFonts w:hint="eastAsia" w:ascii="宋体" w:hAnsi="宋体" w:eastAsia="宋体"/>
          <w:sz w:val="21"/>
          <w:szCs w:val="21"/>
          <w:highlight w:val="none"/>
        </w:rPr>
        <w:t>出具服务外包人员的各类人事证明。</w:t>
      </w:r>
    </w:p>
    <w:p w14:paraId="5AD72708">
      <w:pPr>
        <w:pStyle w:val="61"/>
        <w:numPr>
          <w:ilvl w:val="0"/>
          <w:numId w:val="0"/>
        </w:numPr>
        <w:spacing w:beforeLines="0" w:after="0" w:line="360" w:lineRule="auto"/>
        <w:ind w:left="420" w:leftChars="0"/>
        <w:rPr>
          <w:rFonts w:hint="eastAsia" w:ascii="宋体" w:hAnsi="宋体" w:eastAsia="宋体"/>
          <w:sz w:val="21"/>
          <w:szCs w:val="21"/>
          <w:highlight w:val="none"/>
        </w:rPr>
      </w:pPr>
      <w:r>
        <w:rPr>
          <w:rFonts w:hint="eastAsia" w:ascii="宋体" w:hAnsi="宋体" w:eastAsia="宋体"/>
          <w:sz w:val="21"/>
          <w:szCs w:val="21"/>
          <w:highlight w:val="none"/>
          <w:lang w:val="en-US" w:eastAsia="zh-CN"/>
        </w:rPr>
        <w:t>10）</w:t>
      </w:r>
      <w:r>
        <w:rPr>
          <w:rFonts w:hint="eastAsia" w:ascii="宋体" w:hAnsi="宋体" w:eastAsia="宋体"/>
          <w:sz w:val="21"/>
          <w:szCs w:val="21"/>
          <w:highlight w:val="none"/>
        </w:rPr>
        <w:t>服务外包人员劳动纠纷处理。</w:t>
      </w:r>
    </w:p>
    <w:p w14:paraId="12987E37">
      <w:pPr>
        <w:pStyle w:val="61"/>
        <w:numPr>
          <w:ilvl w:val="0"/>
          <w:numId w:val="0"/>
        </w:numPr>
        <w:spacing w:beforeLines="0" w:after="0" w:line="360" w:lineRule="auto"/>
        <w:ind w:left="420" w:leftChars="0"/>
        <w:rPr>
          <w:rFonts w:hint="eastAsia" w:ascii="宋体" w:hAnsi="宋体" w:eastAsia="宋体"/>
          <w:sz w:val="21"/>
          <w:szCs w:val="21"/>
          <w:highlight w:val="none"/>
        </w:rPr>
      </w:pPr>
      <w:r>
        <w:rPr>
          <w:rFonts w:hint="eastAsia" w:ascii="宋体" w:hAnsi="宋体" w:eastAsia="宋体"/>
          <w:sz w:val="21"/>
          <w:szCs w:val="21"/>
          <w:highlight w:val="none"/>
          <w:lang w:val="en-US" w:eastAsia="zh-CN"/>
        </w:rPr>
        <w:t>11）</w:t>
      </w:r>
      <w:r>
        <w:rPr>
          <w:rFonts w:hint="eastAsia" w:ascii="宋体" w:hAnsi="宋体" w:eastAsia="宋体"/>
          <w:sz w:val="21"/>
          <w:szCs w:val="21"/>
          <w:highlight w:val="none"/>
        </w:rPr>
        <w:t>解除、终止劳动合同处理。</w:t>
      </w:r>
    </w:p>
    <w:p w14:paraId="29D98A3B">
      <w:pPr>
        <w:pStyle w:val="61"/>
        <w:numPr>
          <w:ilvl w:val="0"/>
          <w:numId w:val="0"/>
        </w:numPr>
        <w:spacing w:beforeLines="0" w:after="0" w:line="360" w:lineRule="auto"/>
        <w:ind w:left="420" w:leftChars="0"/>
        <w:rPr>
          <w:rFonts w:hint="eastAsia" w:ascii="宋体" w:hAnsi="宋体" w:eastAsia="宋体"/>
          <w:sz w:val="21"/>
          <w:szCs w:val="21"/>
          <w:highlight w:val="none"/>
        </w:rPr>
      </w:pPr>
      <w:r>
        <w:rPr>
          <w:rFonts w:hint="eastAsia" w:ascii="宋体" w:hAnsi="宋体" w:eastAsia="宋体"/>
          <w:sz w:val="21"/>
          <w:szCs w:val="21"/>
          <w:highlight w:val="none"/>
          <w:lang w:val="en-US" w:eastAsia="zh-CN"/>
        </w:rPr>
        <w:t>12）</w:t>
      </w:r>
      <w:r>
        <w:rPr>
          <w:rFonts w:hint="eastAsia" w:ascii="宋体" w:hAnsi="宋体" w:eastAsia="宋体"/>
          <w:sz w:val="21"/>
          <w:szCs w:val="21"/>
          <w:highlight w:val="none"/>
        </w:rPr>
        <w:t>工伤死亡赔偿。</w:t>
      </w:r>
    </w:p>
    <w:p w14:paraId="6EC8BCD5">
      <w:pPr>
        <w:pStyle w:val="61"/>
        <w:numPr>
          <w:ilvl w:val="0"/>
          <w:numId w:val="0"/>
        </w:numPr>
        <w:spacing w:beforeLines="0" w:after="0" w:line="360" w:lineRule="auto"/>
        <w:ind w:left="420" w:leftChars="0"/>
        <w:rPr>
          <w:rFonts w:hint="eastAsia" w:ascii="宋体" w:hAnsi="宋体" w:eastAsia="宋体"/>
          <w:sz w:val="21"/>
          <w:szCs w:val="21"/>
          <w:highlight w:val="none"/>
        </w:rPr>
      </w:pPr>
      <w:r>
        <w:rPr>
          <w:rFonts w:hint="eastAsia" w:ascii="宋体" w:hAnsi="宋体" w:eastAsia="宋体"/>
          <w:sz w:val="21"/>
          <w:szCs w:val="21"/>
          <w:highlight w:val="none"/>
          <w:lang w:val="en-US" w:eastAsia="zh-CN"/>
        </w:rPr>
        <w:t>13）</w:t>
      </w:r>
      <w:r>
        <w:rPr>
          <w:rFonts w:hint="eastAsia" w:ascii="宋体" w:hAnsi="宋体" w:eastAsia="宋体"/>
          <w:sz w:val="21"/>
          <w:szCs w:val="21"/>
          <w:highlight w:val="none"/>
        </w:rPr>
        <w:t>工伤事故赔偿。</w:t>
      </w:r>
    </w:p>
    <w:p w14:paraId="04852876">
      <w:pPr>
        <w:pStyle w:val="61"/>
        <w:numPr>
          <w:ilvl w:val="0"/>
          <w:numId w:val="0"/>
        </w:numPr>
        <w:spacing w:beforeLines="0" w:after="0" w:line="360" w:lineRule="auto"/>
        <w:ind w:left="420" w:leftChars="0"/>
        <w:rPr>
          <w:rFonts w:hint="eastAsia" w:ascii="宋体" w:hAnsi="宋体" w:eastAsia="宋体"/>
          <w:sz w:val="21"/>
          <w:szCs w:val="21"/>
          <w:highlight w:val="none"/>
        </w:rPr>
      </w:pPr>
      <w:r>
        <w:rPr>
          <w:rFonts w:hint="eastAsia" w:ascii="宋体" w:hAnsi="宋体" w:eastAsia="宋体"/>
          <w:sz w:val="21"/>
          <w:szCs w:val="21"/>
          <w:highlight w:val="none"/>
          <w:lang w:val="en-US" w:eastAsia="zh-CN"/>
        </w:rPr>
        <w:t>14）</w:t>
      </w:r>
      <w:r>
        <w:rPr>
          <w:rFonts w:hint="eastAsia" w:ascii="宋体" w:hAnsi="宋体" w:eastAsia="宋体"/>
          <w:sz w:val="21"/>
          <w:szCs w:val="21"/>
          <w:highlight w:val="none"/>
        </w:rPr>
        <w:t>与服务外包人员解除劳动关系补偿金，由中标人承担。</w:t>
      </w:r>
    </w:p>
    <w:p w14:paraId="03798254">
      <w:pPr>
        <w:pStyle w:val="61"/>
        <w:spacing w:beforeLines="0" w:after="0" w:line="360" w:lineRule="auto"/>
        <w:ind w:left="0" w:leftChars="0"/>
        <w:rPr>
          <w:rFonts w:hint="eastAsia" w:ascii="宋体" w:hAnsi="宋体" w:eastAsia="宋体"/>
          <w:sz w:val="21"/>
          <w:szCs w:val="21"/>
          <w:highlight w:val="none"/>
        </w:rPr>
      </w:pPr>
      <w:r>
        <w:rPr>
          <w:rFonts w:hint="eastAsia" w:ascii="宋体" w:hAnsi="宋体" w:eastAsia="宋体"/>
          <w:sz w:val="21"/>
          <w:szCs w:val="21"/>
          <w:highlight w:val="none"/>
        </w:rPr>
        <w:t>4、中标人应依法为服务外包人员办理社会保险，为员工购买医疗、工伤、养老、失业保险，缴费标准养老保险。服务期限内，国家、省、市对缴费标准有新的政策规定，则须按新的规定进行调整。</w:t>
      </w:r>
    </w:p>
    <w:p w14:paraId="73033D43">
      <w:pPr>
        <w:pStyle w:val="61"/>
        <w:spacing w:beforeLines="0" w:after="0" w:line="360" w:lineRule="auto"/>
        <w:ind w:left="0" w:leftChars="0"/>
        <w:rPr>
          <w:rFonts w:hint="eastAsia" w:ascii="宋体" w:hAnsi="宋体" w:eastAsia="宋体"/>
          <w:sz w:val="21"/>
          <w:szCs w:val="21"/>
          <w:highlight w:val="none"/>
        </w:rPr>
      </w:pPr>
      <w:r>
        <w:rPr>
          <w:rFonts w:hint="eastAsia" w:ascii="宋体" w:hAnsi="宋体" w:eastAsia="宋体"/>
          <w:sz w:val="21"/>
          <w:szCs w:val="21"/>
          <w:highlight w:val="none"/>
        </w:rPr>
        <w:t>5、服务外包人员节假日、年（休）假、加班等有关情况由中标人负责支付。</w:t>
      </w:r>
    </w:p>
    <w:p w14:paraId="7AC315CF">
      <w:pPr>
        <w:pStyle w:val="61"/>
        <w:spacing w:beforeLines="0" w:after="0" w:line="360" w:lineRule="auto"/>
        <w:ind w:left="0" w:leftChars="0"/>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6、工作时间：按采购人岗位实际情况安排。</w:t>
      </w:r>
    </w:p>
    <w:p w14:paraId="1551F428">
      <w:pPr>
        <w:pStyle w:val="61"/>
        <w:spacing w:beforeLines="0" w:after="0" w:line="360" w:lineRule="auto"/>
        <w:ind w:left="0" w:leftChars="0"/>
        <w:rPr>
          <w:rFonts w:hint="eastAsia" w:ascii="宋体" w:hAnsi="宋体" w:eastAsia="宋体"/>
          <w:sz w:val="21"/>
          <w:szCs w:val="21"/>
          <w:highlight w:val="none"/>
        </w:rPr>
      </w:pPr>
      <w:r>
        <w:rPr>
          <w:rFonts w:hint="eastAsia" w:ascii="宋体" w:hAnsi="宋体" w:eastAsia="宋体"/>
          <w:sz w:val="21"/>
          <w:szCs w:val="21"/>
          <w:highlight w:val="none"/>
          <w:lang w:val="en-US" w:eastAsia="zh-CN"/>
        </w:rPr>
        <w:t>7</w:t>
      </w:r>
      <w:r>
        <w:rPr>
          <w:rFonts w:hint="eastAsia" w:ascii="宋体" w:hAnsi="宋体" w:eastAsia="宋体"/>
          <w:sz w:val="21"/>
          <w:szCs w:val="21"/>
          <w:highlight w:val="none"/>
        </w:rPr>
        <w:t>、涉及本项目的人员费用（包括但不限于人员工资，社保费用、福利费用、节假日加班费用、管理费、税费、残疾人就业保障金、中标服务费等）应全部考虑在内。</w:t>
      </w:r>
    </w:p>
    <w:p w14:paraId="3E90E5D7">
      <w:pPr>
        <w:pStyle w:val="61"/>
        <w:spacing w:beforeLines="0" w:after="0" w:line="360" w:lineRule="auto"/>
        <w:ind w:left="0" w:leftChars="0"/>
        <w:rPr>
          <w:rFonts w:hint="eastAsia" w:ascii="宋体" w:hAnsi="宋体" w:eastAsia="宋体"/>
          <w:sz w:val="21"/>
          <w:szCs w:val="21"/>
          <w:highlight w:val="none"/>
        </w:rPr>
      </w:pPr>
      <w:r>
        <w:rPr>
          <w:rFonts w:hint="eastAsia" w:ascii="宋体" w:hAnsi="宋体" w:eastAsia="宋体"/>
          <w:sz w:val="21"/>
          <w:szCs w:val="21"/>
          <w:highlight w:val="none"/>
          <w:lang w:val="en-US" w:eastAsia="zh-CN"/>
        </w:rPr>
        <w:t>8、</w:t>
      </w:r>
      <w:r>
        <w:rPr>
          <w:rFonts w:hint="eastAsia" w:ascii="宋体" w:hAnsi="宋体" w:eastAsia="宋体"/>
          <w:sz w:val="21"/>
          <w:szCs w:val="21"/>
          <w:highlight w:val="none"/>
        </w:rPr>
        <w:t>按照政府部门有关政策应缴纳的发票税金由中标人承担。</w:t>
      </w:r>
    </w:p>
    <w:p w14:paraId="4E2753D4">
      <w:pPr>
        <w:pStyle w:val="61"/>
        <w:spacing w:beforeLines="0" w:after="0" w:line="360" w:lineRule="auto"/>
        <w:ind w:left="0" w:leftChars="0"/>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9</w:t>
      </w:r>
      <w:r>
        <w:rPr>
          <w:rFonts w:hint="eastAsia" w:ascii="宋体" w:hAnsi="宋体" w:eastAsia="宋体"/>
          <w:sz w:val="21"/>
          <w:szCs w:val="21"/>
          <w:highlight w:val="none"/>
        </w:rPr>
        <w:t>、服务外包人员,关于发放高温补贴，须按当地政府规定标准执行</w:t>
      </w:r>
      <w:r>
        <w:rPr>
          <w:rFonts w:hint="eastAsia"/>
          <w:sz w:val="21"/>
          <w:szCs w:val="21"/>
          <w:highlight w:val="none"/>
          <w:lang w:eastAsia="zh-CN"/>
        </w:rPr>
        <w:t>。</w:t>
      </w:r>
    </w:p>
    <w:p w14:paraId="5FC6D7BC">
      <w:pPr>
        <w:pStyle w:val="61"/>
        <w:spacing w:beforeLines="0" w:after="0" w:line="360" w:lineRule="auto"/>
        <w:ind w:left="0" w:leftChars="0"/>
        <w:rPr>
          <w:rFonts w:hint="eastAsia" w:ascii="宋体" w:hAnsi="宋体" w:eastAsia="宋体"/>
          <w:sz w:val="21"/>
          <w:szCs w:val="21"/>
          <w:highlight w:val="none"/>
          <w:lang w:eastAsia="zh-CN"/>
        </w:rPr>
      </w:pPr>
      <w:r>
        <w:rPr>
          <w:rFonts w:hint="eastAsia" w:ascii="宋体" w:hAnsi="宋体" w:eastAsia="宋体"/>
          <w:sz w:val="21"/>
          <w:szCs w:val="21"/>
          <w:highlight w:val="none"/>
        </w:rPr>
        <w:t>1</w:t>
      </w:r>
      <w:r>
        <w:rPr>
          <w:rFonts w:hint="eastAsia" w:ascii="宋体" w:hAnsi="宋体" w:eastAsia="宋体"/>
          <w:sz w:val="21"/>
          <w:szCs w:val="21"/>
          <w:highlight w:val="none"/>
          <w:lang w:val="en-US" w:eastAsia="zh-CN"/>
        </w:rPr>
        <w:t>0</w:t>
      </w:r>
      <w:r>
        <w:rPr>
          <w:rFonts w:hint="eastAsia" w:ascii="宋体" w:hAnsi="宋体" w:eastAsia="宋体"/>
          <w:sz w:val="21"/>
          <w:szCs w:val="21"/>
          <w:highlight w:val="none"/>
        </w:rPr>
        <w:t>、关于员工的福利发放：（春节、开门利是、中秋节）慰问等，由中标人自行决定发放标准</w:t>
      </w:r>
      <w:r>
        <w:rPr>
          <w:rFonts w:hint="eastAsia"/>
          <w:sz w:val="21"/>
          <w:szCs w:val="21"/>
          <w:highlight w:val="none"/>
          <w:lang w:eastAsia="zh-CN"/>
        </w:rPr>
        <w:t>。</w:t>
      </w:r>
    </w:p>
    <w:p w14:paraId="103B677B">
      <w:pPr>
        <w:pStyle w:val="61"/>
        <w:spacing w:beforeLines="0" w:after="0" w:line="360" w:lineRule="auto"/>
        <w:ind w:left="0" w:leftChars="0"/>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1</w:t>
      </w:r>
      <w:r>
        <w:rPr>
          <w:rFonts w:hint="eastAsia" w:ascii="宋体" w:hAnsi="宋体" w:eastAsia="宋体"/>
          <w:sz w:val="21"/>
          <w:szCs w:val="21"/>
        </w:rPr>
        <w:t>、关于加班费：服务外包人员如需加班，以补休或支付加班费的方式解决，支付加班费则依据岗位工资标准支付（税费另计），应由中标人以开发票方式交由采购人支付加班费用。</w:t>
      </w:r>
    </w:p>
    <w:p w14:paraId="6E937FB3">
      <w:pPr>
        <w:pStyle w:val="61"/>
        <w:spacing w:beforeLines="0"/>
        <w:ind w:left="0" w:leftChars="0" w:firstLine="0" w:firstLineChars="0"/>
        <w:rPr>
          <w:rFonts w:hint="eastAsia" w:ascii="宋体" w:hAnsi="宋体" w:eastAsia="宋体"/>
          <w:sz w:val="21"/>
          <w:szCs w:val="21"/>
        </w:rPr>
      </w:pPr>
      <w:r>
        <w:rPr>
          <w:rFonts w:hint="eastAsia" w:ascii="宋体" w:hAnsi="宋体" w:eastAsia="宋体"/>
          <w:b/>
          <w:sz w:val="21"/>
          <w:szCs w:val="21"/>
        </w:rPr>
        <w:t>（五）其他要求</w:t>
      </w:r>
    </w:p>
    <w:p w14:paraId="7F541DAA">
      <w:pPr>
        <w:pStyle w:val="61"/>
        <w:spacing w:beforeLines="0" w:after="0" w:line="360" w:lineRule="auto"/>
        <w:ind w:left="0" w:leftChars="0"/>
        <w:rPr>
          <w:rFonts w:hint="eastAsia" w:ascii="宋体" w:hAnsi="宋体" w:eastAsia="宋体"/>
          <w:sz w:val="21"/>
          <w:szCs w:val="21"/>
        </w:rPr>
      </w:pPr>
      <w:r>
        <w:rPr>
          <w:rFonts w:hint="eastAsia" w:ascii="宋体" w:hAnsi="宋体" w:eastAsia="宋体"/>
          <w:sz w:val="21"/>
          <w:szCs w:val="21"/>
        </w:rPr>
        <w:t>1、原工作人员自愿留下的，中标人应该优先聘用原工作人员。</w:t>
      </w:r>
    </w:p>
    <w:p w14:paraId="2C0DC5ED">
      <w:pPr>
        <w:pStyle w:val="61"/>
        <w:spacing w:beforeLines="0" w:after="0" w:line="360" w:lineRule="auto"/>
        <w:ind w:left="0" w:leftChars="0"/>
        <w:rPr>
          <w:rFonts w:hint="eastAsia" w:ascii="宋体" w:hAnsi="宋体" w:eastAsia="宋体"/>
          <w:sz w:val="21"/>
          <w:szCs w:val="21"/>
        </w:rPr>
      </w:pPr>
      <w:r>
        <w:rPr>
          <w:rFonts w:hint="eastAsia" w:ascii="宋体" w:hAnsi="宋体" w:eastAsia="宋体"/>
          <w:sz w:val="21"/>
          <w:szCs w:val="21"/>
        </w:rPr>
        <w:t>2、中标人做好转接工作，与服务外包人员签订劳动合同，且将劳动合同交给采购人备案。</w:t>
      </w:r>
    </w:p>
    <w:p w14:paraId="53654042">
      <w:pPr>
        <w:pStyle w:val="61"/>
        <w:spacing w:beforeLines="0" w:after="0" w:line="360" w:lineRule="auto"/>
        <w:ind w:left="0" w:leftChars="0"/>
        <w:rPr>
          <w:rFonts w:hint="eastAsia" w:ascii="宋体" w:hAnsi="宋体" w:eastAsia="宋体"/>
          <w:sz w:val="21"/>
          <w:szCs w:val="21"/>
        </w:rPr>
      </w:pPr>
      <w:r>
        <w:rPr>
          <w:rFonts w:hint="eastAsia" w:ascii="宋体" w:hAnsi="宋体" w:eastAsia="宋体"/>
          <w:sz w:val="21"/>
          <w:szCs w:val="21"/>
        </w:rPr>
        <w:t>3、中标人不得随意更换服务外包人员，如需更换的，则必须征求采购人意见，经试用符合要求方可更换。</w:t>
      </w:r>
    </w:p>
    <w:p w14:paraId="0D3003A0">
      <w:pPr>
        <w:pStyle w:val="61"/>
        <w:spacing w:beforeLines="0" w:after="0" w:line="360" w:lineRule="auto"/>
        <w:ind w:left="0" w:leftChars="0"/>
        <w:rPr>
          <w:rFonts w:hint="eastAsia" w:ascii="宋体" w:hAnsi="宋体" w:eastAsia="宋体"/>
          <w:sz w:val="21"/>
          <w:szCs w:val="21"/>
        </w:rPr>
      </w:pPr>
      <w:r>
        <w:rPr>
          <w:rFonts w:hint="eastAsia" w:ascii="宋体" w:hAnsi="宋体" w:eastAsia="宋体"/>
          <w:sz w:val="21"/>
          <w:szCs w:val="21"/>
        </w:rPr>
        <w:t>4、中标人有义务做好服务外包人员的岗前培训工作。</w:t>
      </w:r>
    </w:p>
    <w:p w14:paraId="189A3EA8">
      <w:pPr>
        <w:pStyle w:val="61"/>
        <w:spacing w:beforeLines="0" w:after="0" w:line="360" w:lineRule="auto"/>
        <w:ind w:left="0" w:leftChars="0"/>
        <w:rPr>
          <w:rFonts w:hint="eastAsia" w:ascii="宋体" w:hAnsi="宋体" w:eastAsia="宋体" w:cs="Times New Roman"/>
          <w:sz w:val="21"/>
          <w:szCs w:val="21"/>
          <w:lang w:eastAsia="zh-CN"/>
        </w:rPr>
      </w:pPr>
      <w:r>
        <w:rPr>
          <w:rFonts w:hint="eastAsia" w:ascii="宋体" w:hAnsi="宋体" w:eastAsia="宋体" w:cs="Times New Roman"/>
          <w:sz w:val="21"/>
          <w:szCs w:val="21"/>
        </w:rPr>
        <w:t>5、在中标人服务过程中，采购人有权实施监督检查</w:t>
      </w:r>
      <w:r>
        <w:rPr>
          <w:rFonts w:hint="eastAsia" w:cs="Times New Roman"/>
          <w:sz w:val="21"/>
          <w:szCs w:val="21"/>
          <w:lang w:eastAsia="zh-CN"/>
        </w:rPr>
        <w:t>，</w:t>
      </w:r>
    </w:p>
    <w:p w14:paraId="45DDF670">
      <w:pPr>
        <w:pStyle w:val="61"/>
        <w:spacing w:beforeLines="0" w:after="0" w:line="360" w:lineRule="auto"/>
        <w:ind w:left="0" w:leftChars="0"/>
        <w:rPr>
          <w:rFonts w:hint="eastAsia" w:ascii="宋体" w:hAnsi="宋体" w:eastAsia="宋体" w:cs="Times New Roman"/>
          <w:sz w:val="21"/>
          <w:szCs w:val="21"/>
        </w:rPr>
      </w:pPr>
      <w:r>
        <w:rPr>
          <w:rFonts w:hint="eastAsia" w:ascii="宋体" w:hAnsi="宋体" w:eastAsia="宋体" w:cs="Times New Roman"/>
          <w:sz w:val="21"/>
          <w:szCs w:val="21"/>
        </w:rPr>
        <w:t>6、在服务期限内，采购人有权随时对服务外包人员进行岗位调配和更换，中标人在收到采购人书面通知30天内免费更换。</w:t>
      </w:r>
    </w:p>
    <w:p w14:paraId="02F97823">
      <w:pPr>
        <w:pStyle w:val="61"/>
        <w:spacing w:beforeLines="0" w:after="0" w:line="360" w:lineRule="auto"/>
        <w:ind w:left="0" w:leftChars="0"/>
        <w:rPr>
          <w:rFonts w:hint="eastAsia" w:ascii="宋体" w:hAnsi="宋体" w:eastAsia="宋体" w:cs="Times New Roman"/>
          <w:sz w:val="21"/>
          <w:szCs w:val="21"/>
        </w:rPr>
      </w:pPr>
      <w:r>
        <w:rPr>
          <w:rFonts w:hint="eastAsia" w:ascii="宋体" w:hAnsi="宋体" w:eastAsia="宋体" w:cs="Times New Roman"/>
          <w:sz w:val="21"/>
          <w:szCs w:val="21"/>
        </w:rPr>
        <w:t>7、为确保招聘的服务外包人员确能胜任采购人的工作岗位，服务外包人员须经采购人审核确认后方能上岗。未经采购人审核确认的人员，采购人不接受其服务外包，中标人与其签订劳动合同而承担的法律责任和因此造成的一切损失与采购人无关。</w:t>
      </w:r>
    </w:p>
    <w:p w14:paraId="24D3DA28">
      <w:pPr>
        <w:pStyle w:val="61"/>
        <w:spacing w:beforeLines="0" w:after="0" w:line="360" w:lineRule="auto"/>
        <w:ind w:left="0" w:leftChars="0"/>
        <w:rPr>
          <w:rFonts w:hint="eastAsia" w:ascii="宋体" w:hAnsi="宋体" w:eastAsia="宋体"/>
          <w:sz w:val="21"/>
          <w:szCs w:val="21"/>
        </w:rPr>
      </w:pPr>
      <w:r>
        <w:rPr>
          <w:rFonts w:hint="eastAsia" w:ascii="宋体" w:hAnsi="宋体" w:eastAsia="宋体"/>
          <w:sz w:val="21"/>
          <w:szCs w:val="21"/>
        </w:rPr>
        <w:t>8、采购人具有督促、监督中标人按有关劳动法规为派驻采购人的服务外包人员办理劳动合同、社会保险及薪酬发放、个人所得税等权利。</w:t>
      </w:r>
    </w:p>
    <w:p w14:paraId="21B983CF">
      <w:pPr>
        <w:pStyle w:val="61"/>
        <w:spacing w:beforeLines="0" w:after="0" w:line="360" w:lineRule="auto"/>
        <w:ind w:left="0" w:leftChars="0"/>
        <w:rPr>
          <w:rFonts w:hint="eastAsia" w:ascii="宋体" w:hAnsi="宋体" w:eastAsia="宋体"/>
          <w:sz w:val="21"/>
          <w:szCs w:val="21"/>
          <w:highlight w:val="none"/>
        </w:rPr>
      </w:pPr>
      <w:r>
        <w:rPr>
          <w:rFonts w:hint="eastAsia" w:ascii="宋体" w:hAnsi="宋体" w:eastAsia="宋体"/>
          <w:sz w:val="21"/>
          <w:szCs w:val="21"/>
          <w:highlight w:val="none"/>
        </w:rPr>
        <w:t>9、中标人应及时处理和协调采购人与服务外包人员之间的工作管理纠纷。协议有效期间，中标人应作为第一责任人处理劳资纠纷，采购人可视情况予以协助。</w:t>
      </w:r>
    </w:p>
    <w:p w14:paraId="110B27AB">
      <w:pPr>
        <w:pStyle w:val="61"/>
        <w:spacing w:beforeLines="0" w:after="0" w:line="360" w:lineRule="auto"/>
        <w:ind w:left="0" w:leftChars="0"/>
        <w:rPr>
          <w:rFonts w:hint="eastAsia" w:ascii="宋体" w:hAnsi="宋体" w:eastAsia="宋体"/>
          <w:sz w:val="21"/>
          <w:szCs w:val="21"/>
          <w:highlight w:val="none"/>
        </w:rPr>
      </w:pPr>
      <w:r>
        <w:rPr>
          <w:rFonts w:hint="eastAsia" w:ascii="宋体" w:hAnsi="宋体" w:eastAsia="宋体"/>
          <w:sz w:val="21"/>
          <w:szCs w:val="21"/>
          <w:highlight w:val="none"/>
        </w:rPr>
        <w:t>10、因人员辞职而需新招聘员工的，招聘工作</w:t>
      </w:r>
      <w:r>
        <w:rPr>
          <w:rFonts w:hint="eastAsia"/>
          <w:sz w:val="21"/>
          <w:szCs w:val="21"/>
          <w:highlight w:val="none"/>
          <w:lang w:val="en-US" w:eastAsia="zh-CN"/>
        </w:rPr>
        <w:t>方案</w:t>
      </w:r>
      <w:r>
        <w:rPr>
          <w:rFonts w:hint="eastAsia" w:ascii="宋体" w:hAnsi="宋体" w:eastAsia="宋体"/>
          <w:sz w:val="21"/>
          <w:szCs w:val="21"/>
          <w:highlight w:val="none"/>
        </w:rPr>
        <w:t>以及由此产生的相关费用由中标人负责。</w:t>
      </w:r>
    </w:p>
    <w:p w14:paraId="7519D5CF">
      <w:pPr>
        <w:pStyle w:val="61"/>
        <w:spacing w:beforeLines="0" w:after="0" w:line="360" w:lineRule="auto"/>
        <w:ind w:left="0" w:left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11、所有外包人员在合同期间的安全事故全部由中标人负责。</w:t>
      </w:r>
    </w:p>
    <w:p w14:paraId="6B76B05E">
      <w:pPr>
        <w:pStyle w:val="61"/>
        <w:spacing w:beforeLines="0" w:after="0" w:line="360" w:lineRule="auto"/>
        <w:ind w:left="0" w:left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如遇政策性变故，或政府行为需终止合同，中标人需无条件服从。</w:t>
      </w:r>
    </w:p>
    <w:p w14:paraId="00BF4335">
      <w:pPr>
        <w:pStyle w:val="61"/>
        <w:spacing w:beforeLines="0" w:after="0" w:line="360" w:lineRule="auto"/>
        <w:ind w:left="0" w:leftChars="0"/>
        <w:rPr>
          <w:rFonts w:hint="eastAsia" w:ascii="宋体" w:hAnsi="宋体" w:eastAsia="宋体"/>
          <w:color w:val="auto"/>
          <w:sz w:val="21"/>
          <w:szCs w:val="21"/>
          <w:highlight w:val="none"/>
        </w:rPr>
      </w:pPr>
      <w:r>
        <w:rPr>
          <w:rFonts w:hint="eastAsia"/>
          <w:color w:val="auto"/>
          <w:sz w:val="21"/>
          <w:szCs w:val="21"/>
          <w:highlight w:val="none"/>
          <w:lang w:val="en-US" w:eastAsia="zh-CN"/>
        </w:rPr>
        <w:t>13、院方</w:t>
      </w:r>
      <w:r>
        <w:rPr>
          <w:rFonts w:hint="eastAsia" w:ascii="宋体" w:hAnsi="宋体" w:eastAsia="宋体"/>
          <w:color w:val="auto"/>
          <w:sz w:val="21"/>
          <w:szCs w:val="21"/>
          <w:highlight w:val="none"/>
        </w:rPr>
        <w:t>不安排上岗人员的住宿。</w:t>
      </w:r>
    </w:p>
    <w:p w14:paraId="137E5E42">
      <w:pPr>
        <w:pStyle w:val="61"/>
        <w:spacing w:beforeLines="0" w:after="0" w:line="360" w:lineRule="auto"/>
        <w:ind w:left="0" w:leftChars="0"/>
        <w:rPr>
          <w:rFonts w:hint="eastAsia" w:ascii="宋体" w:hAnsi="宋体" w:eastAsia="宋体"/>
          <w:sz w:val="21"/>
          <w:szCs w:val="21"/>
        </w:rPr>
      </w:pPr>
      <w:r>
        <w:rPr>
          <w:rFonts w:hint="eastAsia" w:ascii="宋体" w:hAnsi="宋体" w:eastAsia="宋体"/>
          <w:sz w:val="21"/>
          <w:szCs w:val="21"/>
        </w:rPr>
        <w:t>1</w:t>
      </w:r>
      <w:r>
        <w:rPr>
          <w:rFonts w:hint="eastAsia"/>
          <w:sz w:val="21"/>
          <w:szCs w:val="21"/>
          <w:lang w:val="en-US" w:eastAsia="zh-CN"/>
        </w:rPr>
        <w:t>4</w:t>
      </w:r>
      <w:r>
        <w:rPr>
          <w:rFonts w:hint="eastAsia" w:ascii="宋体" w:hAnsi="宋体" w:eastAsia="宋体"/>
          <w:sz w:val="21"/>
          <w:szCs w:val="21"/>
        </w:rPr>
        <w:t>、罚则：</w:t>
      </w:r>
    </w:p>
    <w:p w14:paraId="3E28602D">
      <w:pPr>
        <w:pStyle w:val="61"/>
        <w:spacing w:beforeLines="0" w:after="0" w:line="360" w:lineRule="auto"/>
        <w:ind w:left="0" w:leftChars="0"/>
        <w:rPr>
          <w:rFonts w:hint="eastAsia" w:ascii="宋体" w:hAnsi="宋体" w:eastAsia="宋体"/>
          <w:sz w:val="21"/>
          <w:szCs w:val="21"/>
        </w:rPr>
      </w:pPr>
      <w:r>
        <w:rPr>
          <w:rFonts w:hint="eastAsia" w:ascii="宋体" w:hAnsi="宋体" w:eastAsia="宋体"/>
          <w:sz w:val="21"/>
          <w:szCs w:val="21"/>
        </w:rPr>
        <w:t>1</w:t>
      </w:r>
      <w:r>
        <w:rPr>
          <w:rFonts w:hint="eastAsia"/>
          <w:sz w:val="21"/>
          <w:szCs w:val="21"/>
          <w:lang w:val="en-US" w:eastAsia="zh-CN"/>
        </w:rPr>
        <w:t>4</w:t>
      </w:r>
      <w:r>
        <w:rPr>
          <w:rFonts w:hint="eastAsia" w:ascii="宋体" w:hAnsi="宋体" w:eastAsia="宋体"/>
          <w:sz w:val="21"/>
          <w:szCs w:val="21"/>
        </w:rPr>
        <w:t>.1、若中标人在签订合同并生效后30天内未能配齐符合采购人需求的人员，则视为中标人主动违约，采购人有权终止合同。</w:t>
      </w:r>
    </w:p>
    <w:p w14:paraId="6A6F8078">
      <w:pPr>
        <w:pStyle w:val="61"/>
        <w:spacing w:beforeLines="0" w:after="0" w:line="360" w:lineRule="auto"/>
        <w:ind w:left="0" w:leftChars="0"/>
        <w:rPr>
          <w:rFonts w:hint="eastAsia" w:ascii="宋体" w:hAnsi="宋体" w:eastAsia="宋体"/>
          <w:sz w:val="21"/>
          <w:szCs w:val="21"/>
        </w:rPr>
      </w:pPr>
      <w:r>
        <w:rPr>
          <w:rFonts w:hint="eastAsia" w:ascii="宋体" w:hAnsi="宋体" w:eastAsia="宋体"/>
          <w:sz w:val="21"/>
          <w:szCs w:val="21"/>
        </w:rPr>
        <w:t>1</w:t>
      </w:r>
      <w:r>
        <w:rPr>
          <w:rFonts w:hint="eastAsia"/>
          <w:sz w:val="21"/>
          <w:szCs w:val="21"/>
          <w:lang w:val="en-US" w:eastAsia="zh-CN"/>
        </w:rPr>
        <w:t>4</w:t>
      </w:r>
      <w:r>
        <w:rPr>
          <w:rFonts w:hint="eastAsia" w:ascii="宋体" w:hAnsi="宋体" w:eastAsia="宋体"/>
          <w:sz w:val="21"/>
          <w:szCs w:val="21"/>
        </w:rPr>
        <w:t>.2、在服务期间，服务外包人员因为调走、辞职或被中标人辞退等原因导致服务外包人员不足的，而中标人在30天内未能及时补齐符合项目要求的服务外包人员时，则视为中标人主动违约，采购人有权扣除相关费用并进行处罚。</w:t>
      </w:r>
    </w:p>
    <w:p w14:paraId="169961D2">
      <w:pPr>
        <w:pStyle w:val="61"/>
        <w:spacing w:beforeLines="0" w:after="0" w:line="360" w:lineRule="auto"/>
        <w:ind w:left="0" w:leftChars="0"/>
        <w:rPr>
          <w:sz w:val="21"/>
          <w:szCs w:val="21"/>
        </w:rPr>
      </w:pPr>
      <w:r>
        <w:rPr>
          <w:rFonts w:hint="eastAsia" w:ascii="宋体" w:hAnsi="宋体" w:eastAsia="宋体"/>
          <w:sz w:val="21"/>
          <w:szCs w:val="21"/>
        </w:rPr>
        <w:t>1</w:t>
      </w:r>
      <w:r>
        <w:rPr>
          <w:rFonts w:hint="eastAsia"/>
          <w:sz w:val="21"/>
          <w:szCs w:val="21"/>
          <w:lang w:val="en-US" w:eastAsia="zh-CN"/>
        </w:rPr>
        <w:t>4</w:t>
      </w:r>
      <w:r>
        <w:rPr>
          <w:rFonts w:hint="eastAsia" w:ascii="宋体" w:hAnsi="宋体" w:eastAsia="宋体"/>
          <w:sz w:val="21"/>
          <w:szCs w:val="21"/>
        </w:rPr>
        <w:t>.3、因中标人安排的服务外包人员违反采购人内部管理制度、蓄意破坏设备设施、违反工作规程造成重大事故的，一经查实，采购人有权进行处罚，责令中标人赔偿损失，情节严重的依法追究中标人法律责任。</w:t>
      </w:r>
    </w:p>
    <w:p w14:paraId="4E0AF5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kern w:val="2"/>
          <w:sz w:val="21"/>
          <w:szCs w:val="21"/>
          <w:highlight w:val="none"/>
          <w:lang w:val="en-US" w:eastAsia="zh-CN"/>
        </w:rPr>
      </w:pPr>
      <w:r>
        <w:rPr>
          <w:rFonts w:hint="eastAsia" w:asciiTheme="minorEastAsia" w:hAnsiTheme="minorEastAsia" w:eastAsiaTheme="minorEastAsia" w:cstheme="minorEastAsia"/>
          <w:b/>
          <w:bCs/>
          <w:color w:val="auto"/>
          <w:kern w:val="2"/>
          <w:sz w:val="21"/>
          <w:szCs w:val="21"/>
          <w:highlight w:val="none"/>
          <w:lang w:val="en-US" w:eastAsia="zh-CN"/>
        </w:rPr>
        <w:t>三、投标要求</w:t>
      </w:r>
    </w:p>
    <w:p w14:paraId="1A9EA0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color w:val="auto"/>
          <w:kern w:val="0"/>
          <w:sz w:val="24"/>
          <w:szCs w:val="24"/>
          <w:highlight w:val="none"/>
          <w:lang w:val="en-US" w:eastAsia="zh-CN"/>
        </w:rPr>
      </w:pPr>
      <w:r>
        <w:rPr>
          <w:rFonts w:hint="eastAsia" w:ascii="宋体" w:hAnsi="宋体" w:eastAsia="宋体" w:cs="宋体"/>
          <w:b w:val="0"/>
          <w:bCs w:val="0"/>
          <w:color w:val="auto"/>
          <w:kern w:val="2"/>
          <w:sz w:val="21"/>
          <w:szCs w:val="21"/>
          <w:highlight w:val="none"/>
          <w:lang w:val="en-US" w:eastAsia="zh-CN"/>
        </w:rPr>
        <w:t>供应商需根据项目具体要求，提供详细的</w:t>
      </w:r>
      <w:r>
        <w:rPr>
          <w:rFonts w:hint="eastAsia" w:ascii="宋体" w:hAnsi="宋体" w:cs="宋体"/>
          <w:b w:val="0"/>
          <w:bCs w:val="0"/>
          <w:color w:val="auto"/>
          <w:kern w:val="2"/>
          <w:sz w:val="21"/>
          <w:szCs w:val="21"/>
          <w:highlight w:val="none"/>
          <w:lang w:val="en-US" w:eastAsia="zh-CN"/>
        </w:rPr>
        <w:t>项目理解</w:t>
      </w:r>
      <w:r>
        <w:rPr>
          <w:rFonts w:hint="eastAsia" w:ascii="宋体" w:hAnsi="宋体" w:eastAsia="宋体" w:cs="宋体"/>
          <w:b w:val="0"/>
          <w:bCs w:val="0"/>
          <w:color w:val="auto"/>
          <w:kern w:val="2"/>
          <w:sz w:val="21"/>
          <w:szCs w:val="21"/>
          <w:highlight w:val="none"/>
          <w:lang w:val="en-US" w:eastAsia="zh-CN"/>
        </w:rPr>
        <w:t>、实施方案及计划安排和整体管理服务方案</w:t>
      </w:r>
      <w:r>
        <w:rPr>
          <w:rFonts w:hint="eastAsia" w:ascii="宋体" w:hAnsi="宋体" w:cs="宋体"/>
          <w:b w:val="0"/>
          <w:bCs w:val="0"/>
          <w:color w:val="auto"/>
          <w:kern w:val="2"/>
          <w:sz w:val="21"/>
          <w:szCs w:val="21"/>
          <w:highlight w:val="none"/>
          <w:lang w:val="en-US" w:eastAsia="zh-CN"/>
        </w:rPr>
        <w:t>、针对本项目的重难点及解决措施、招聘方案、纠纷处理方案、应急预案措施、人员情况、质量保证措施、员工培训方案、服务便捷性、合理化建议、认证证书、业绩等。</w:t>
      </w:r>
    </w:p>
    <w:p w14:paraId="4FE59F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p>
    <w:p w14:paraId="779A9FE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br w:type="page"/>
      </w:r>
    </w:p>
    <w:p w14:paraId="31B4F2EB">
      <w:pPr>
        <w:spacing w:line="360" w:lineRule="auto"/>
        <w:jc w:val="center"/>
        <w:outlineLvl w:val="0"/>
        <w:rPr>
          <w:rFonts w:ascii="宋体" w:hAnsi="宋体" w:cs="宋体"/>
          <w:b/>
          <w:color w:val="auto"/>
          <w:sz w:val="36"/>
          <w:szCs w:val="36"/>
          <w:highlight w:val="none"/>
        </w:rPr>
      </w:pPr>
      <w:bookmarkStart w:id="34" w:name="_Toc29935"/>
      <w:r>
        <w:rPr>
          <w:rFonts w:hint="eastAsia" w:ascii="宋体" w:hAnsi="宋体" w:cs="宋体"/>
          <w:b/>
          <w:color w:val="auto"/>
          <w:sz w:val="36"/>
          <w:szCs w:val="36"/>
          <w:highlight w:val="none"/>
        </w:rPr>
        <w:t xml:space="preserve">第四部分   </w:t>
      </w:r>
      <w:bookmarkStart w:id="35" w:name="_Toc184308053"/>
      <w:bookmarkEnd w:id="35"/>
      <w:bookmarkStart w:id="36" w:name="_Toc184312127"/>
      <w:bookmarkEnd w:id="36"/>
      <w:bookmarkStart w:id="37" w:name="_Toc184312120"/>
      <w:bookmarkEnd w:id="37"/>
      <w:bookmarkStart w:id="38" w:name="_Toc184314432"/>
      <w:bookmarkEnd w:id="38"/>
      <w:bookmarkStart w:id="39" w:name="_Toc184314420"/>
      <w:bookmarkEnd w:id="39"/>
      <w:bookmarkStart w:id="40" w:name="_Toc184312082"/>
      <w:bookmarkEnd w:id="40"/>
      <w:bookmarkStart w:id="41" w:name="_Toc184313243"/>
      <w:bookmarkEnd w:id="41"/>
      <w:bookmarkStart w:id="42" w:name="_Toc184314462"/>
      <w:bookmarkEnd w:id="42"/>
      <w:bookmarkStart w:id="43" w:name="_Toc184310284"/>
      <w:bookmarkEnd w:id="43"/>
      <w:bookmarkStart w:id="44" w:name="_Toc184310344"/>
      <w:bookmarkEnd w:id="44"/>
      <w:bookmarkStart w:id="45" w:name="_Toc184312094"/>
      <w:bookmarkEnd w:id="45"/>
      <w:bookmarkStart w:id="46" w:name="_Toc184314435"/>
      <w:bookmarkEnd w:id="46"/>
      <w:bookmarkStart w:id="47" w:name="_Toc184310318"/>
      <w:bookmarkEnd w:id="47"/>
      <w:bookmarkStart w:id="48" w:name="_Toc184310282"/>
      <w:bookmarkEnd w:id="48"/>
      <w:bookmarkStart w:id="49" w:name="_Toc184312134"/>
      <w:bookmarkEnd w:id="49"/>
      <w:bookmarkStart w:id="50" w:name="_Toc184308090"/>
      <w:bookmarkEnd w:id="50"/>
      <w:bookmarkStart w:id="51" w:name="_Toc184313273"/>
      <w:bookmarkEnd w:id="51"/>
      <w:bookmarkStart w:id="52" w:name="_Toc184308071"/>
      <w:bookmarkEnd w:id="52"/>
      <w:bookmarkStart w:id="53" w:name="_Toc184310324"/>
      <w:bookmarkEnd w:id="53"/>
      <w:bookmarkStart w:id="54" w:name="_Toc184314429"/>
      <w:bookmarkEnd w:id="54"/>
      <w:bookmarkStart w:id="55" w:name="_Toc184308091"/>
      <w:bookmarkEnd w:id="55"/>
      <w:bookmarkStart w:id="56" w:name="_Toc184313264"/>
      <w:bookmarkEnd w:id="56"/>
      <w:bookmarkStart w:id="57" w:name="_Toc184308052"/>
      <w:bookmarkEnd w:id="57"/>
      <w:bookmarkStart w:id="58" w:name="_Toc184310297"/>
      <w:bookmarkEnd w:id="58"/>
      <w:bookmarkStart w:id="59" w:name="_Toc184308103"/>
      <w:bookmarkEnd w:id="59"/>
      <w:bookmarkStart w:id="60" w:name="_Toc184312075"/>
      <w:bookmarkEnd w:id="60"/>
      <w:bookmarkStart w:id="61" w:name="_Toc184310307"/>
      <w:bookmarkEnd w:id="61"/>
      <w:bookmarkStart w:id="62" w:name="_Toc184312093"/>
      <w:bookmarkEnd w:id="62"/>
      <w:bookmarkStart w:id="63" w:name="_Toc184310308"/>
      <w:bookmarkEnd w:id="63"/>
      <w:bookmarkStart w:id="64" w:name="_Toc184313258"/>
      <w:bookmarkEnd w:id="64"/>
      <w:bookmarkStart w:id="65" w:name="_Toc184313281"/>
      <w:bookmarkEnd w:id="65"/>
      <w:bookmarkStart w:id="66" w:name="_Toc184308048"/>
      <w:bookmarkEnd w:id="66"/>
      <w:bookmarkStart w:id="67" w:name="_Toc184310274"/>
      <w:bookmarkEnd w:id="67"/>
      <w:bookmarkStart w:id="68" w:name="_Toc184308107"/>
      <w:bookmarkEnd w:id="68"/>
      <w:bookmarkStart w:id="69" w:name="_Toc184312092"/>
      <w:bookmarkEnd w:id="69"/>
      <w:bookmarkStart w:id="70" w:name="_Toc184312091"/>
      <w:bookmarkEnd w:id="70"/>
      <w:bookmarkStart w:id="71" w:name="_Toc184314472"/>
      <w:bookmarkEnd w:id="71"/>
      <w:bookmarkStart w:id="72" w:name="_Toc184310336"/>
      <w:bookmarkEnd w:id="72"/>
      <w:bookmarkStart w:id="73" w:name="_Toc184308063"/>
      <w:bookmarkEnd w:id="73"/>
      <w:bookmarkStart w:id="74" w:name="_Toc184308096"/>
      <w:bookmarkEnd w:id="74"/>
      <w:bookmarkStart w:id="75" w:name="_Toc184308084"/>
      <w:bookmarkEnd w:id="75"/>
      <w:bookmarkStart w:id="76" w:name="_Toc184313307"/>
      <w:bookmarkEnd w:id="76"/>
      <w:bookmarkStart w:id="77" w:name="_Toc184312106"/>
      <w:bookmarkEnd w:id="77"/>
      <w:bookmarkStart w:id="78" w:name="_Toc184308041"/>
      <w:bookmarkEnd w:id="78"/>
      <w:bookmarkStart w:id="79" w:name="_Toc184310277"/>
      <w:bookmarkEnd w:id="79"/>
      <w:bookmarkStart w:id="80" w:name="_Toc184310341"/>
      <w:bookmarkEnd w:id="80"/>
      <w:bookmarkStart w:id="81" w:name="_Toc184314456"/>
      <w:bookmarkEnd w:id="81"/>
      <w:bookmarkStart w:id="82" w:name="_Toc184310292"/>
      <w:bookmarkEnd w:id="82"/>
      <w:bookmarkStart w:id="83" w:name="_Toc184313244"/>
      <w:bookmarkEnd w:id="83"/>
      <w:bookmarkStart w:id="84" w:name="_Toc184308074"/>
      <w:bookmarkEnd w:id="84"/>
      <w:bookmarkStart w:id="85" w:name="_Toc184314453"/>
      <w:bookmarkEnd w:id="85"/>
      <w:bookmarkStart w:id="86" w:name="_Toc184308100"/>
      <w:bookmarkEnd w:id="86"/>
      <w:bookmarkStart w:id="87" w:name="_Toc184314438"/>
      <w:bookmarkEnd w:id="87"/>
      <w:bookmarkStart w:id="88" w:name="_Toc184312089"/>
      <w:bookmarkEnd w:id="88"/>
      <w:bookmarkStart w:id="89" w:name="_Toc184310286"/>
      <w:bookmarkEnd w:id="89"/>
      <w:bookmarkStart w:id="90" w:name="_Toc184314422"/>
      <w:bookmarkEnd w:id="90"/>
      <w:bookmarkStart w:id="91" w:name="_Toc184308055"/>
      <w:bookmarkEnd w:id="91"/>
      <w:bookmarkStart w:id="92" w:name="_Toc184313257"/>
      <w:bookmarkEnd w:id="92"/>
      <w:bookmarkStart w:id="93" w:name="_Toc184314471"/>
      <w:bookmarkEnd w:id="93"/>
      <w:bookmarkStart w:id="94" w:name="_Toc184314434"/>
      <w:bookmarkEnd w:id="94"/>
      <w:bookmarkStart w:id="95" w:name="_Toc184310295"/>
      <w:bookmarkEnd w:id="95"/>
      <w:bookmarkStart w:id="96" w:name="_Toc184310293"/>
      <w:bookmarkEnd w:id="96"/>
      <w:bookmarkStart w:id="97" w:name="_Toc184313308"/>
      <w:bookmarkEnd w:id="97"/>
      <w:bookmarkStart w:id="98" w:name="_Toc184310300"/>
      <w:bookmarkEnd w:id="98"/>
      <w:bookmarkStart w:id="99" w:name="_Toc184313288"/>
      <w:bookmarkEnd w:id="99"/>
      <w:bookmarkStart w:id="100" w:name="_Toc184314444"/>
      <w:bookmarkEnd w:id="100"/>
      <w:bookmarkStart w:id="101" w:name="_Toc184314461"/>
      <w:bookmarkEnd w:id="101"/>
      <w:bookmarkStart w:id="102" w:name="_Toc184310328"/>
      <w:bookmarkEnd w:id="102"/>
      <w:bookmarkStart w:id="103" w:name="_Toc184314424"/>
      <w:bookmarkEnd w:id="103"/>
      <w:bookmarkStart w:id="104" w:name="_Toc184310280"/>
      <w:bookmarkEnd w:id="104"/>
      <w:bookmarkStart w:id="105" w:name="_Toc184313280"/>
      <w:bookmarkEnd w:id="105"/>
      <w:bookmarkStart w:id="106" w:name="_Toc184312133"/>
      <w:bookmarkEnd w:id="106"/>
      <w:bookmarkStart w:id="107" w:name="_Toc184313278"/>
      <w:bookmarkEnd w:id="107"/>
      <w:bookmarkStart w:id="108" w:name="_Toc184312101"/>
      <w:bookmarkEnd w:id="108"/>
      <w:bookmarkStart w:id="109" w:name="_Toc184312125"/>
      <w:bookmarkEnd w:id="109"/>
      <w:bookmarkStart w:id="110" w:name="_Toc184314476"/>
      <w:bookmarkEnd w:id="110"/>
      <w:bookmarkStart w:id="111" w:name="_Toc184313247"/>
      <w:bookmarkEnd w:id="111"/>
      <w:bookmarkStart w:id="112" w:name="_Toc184314459"/>
      <w:bookmarkEnd w:id="112"/>
      <w:bookmarkStart w:id="113" w:name="_Toc184308094"/>
      <w:bookmarkEnd w:id="113"/>
      <w:bookmarkStart w:id="114" w:name="_Toc184312116"/>
      <w:bookmarkEnd w:id="114"/>
      <w:bookmarkStart w:id="115" w:name="_Toc184312069"/>
      <w:bookmarkEnd w:id="115"/>
      <w:bookmarkStart w:id="116" w:name="_Toc184308062"/>
      <w:bookmarkEnd w:id="116"/>
      <w:bookmarkStart w:id="117" w:name="_Toc184313253"/>
      <w:bookmarkEnd w:id="117"/>
      <w:bookmarkStart w:id="118" w:name="_Toc184312068"/>
      <w:bookmarkEnd w:id="118"/>
      <w:bookmarkStart w:id="119" w:name="_Toc184314419"/>
      <w:bookmarkEnd w:id="119"/>
      <w:bookmarkStart w:id="120" w:name="_Toc184308051"/>
      <w:bookmarkEnd w:id="120"/>
      <w:bookmarkStart w:id="121" w:name="_Toc184313289"/>
      <w:bookmarkEnd w:id="121"/>
      <w:bookmarkStart w:id="122" w:name="_Toc184314458"/>
      <w:bookmarkEnd w:id="122"/>
      <w:bookmarkStart w:id="123" w:name="_Toc184310290"/>
      <w:bookmarkEnd w:id="123"/>
      <w:bookmarkStart w:id="124" w:name="_Toc184313286"/>
      <w:bookmarkEnd w:id="124"/>
      <w:bookmarkStart w:id="125" w:name="_Toc184312109"/>
      <w:bookmarkEnd w:id="125"/>
      <w:bookmarkStart w:id="126" w:name="_Toc184310291"/>
      <w:bookmarkEnd w:id="126"/>
      <w:bookmarkStart w:id="127" w:name="_Toc184312081"/>
      <w:bookmarkEnd w:id="127"/>
      <w:bookmarkStart w:id="128" w:name="_Toc184314415"/>
      <w:bookmarkEnd w:id="128"/>
      <w:bookmarkStart w:id="129" w:name="_Toc184312073"/>
      <w:bookmarkEnd w:id="129"/>
      <w:bookmarkStart w:id="130" w:name="_Toc184312139"/>
      <w:bookmarkEnd w:id="130"/>
      <w:bookmarkStart w:id="131" w:name="_Toc184312080"/>
      <w:bookmarkEnd w:id="131"/>
      <w:bookmarkStart w:id="132" w:name="_Toc184308081"/>
      <w:bookmarkEnd w:id="132"/>
      <w:bookmarkStart w:id="133" w:name="_Toc184314481"/>
      <w:bookmarkEnd w:id="133"/>
      <w:bookmarkStart w:id="134" w:name="_Toc184308078"/>
      <w:bookmarkEnd w:id="134"/>
      <w:bookmarkStart w:id="135" w:name="_Toc184310335"/>
      <w:bookmarkEnd w:id="135"/>
      <w:bookmarkStart w:id="136" w:name="_Toc184312129"/>
      <w:bookmarkEnd w:id="136"/>
      <w:bookmarkStart w:id="137" w:name="_Toc184312085"/>
      <w:bookmarkEnd w:id="137"/>
      <w:bookmarkStart w:id="138" w:name="_Toc184312128"/>
      <w:bookmarkEnd w:id="138"/>
      <w:bookmarkStart w:id="139" w:name="_Toc184314437"/>
      <w:bookmarkEnd w:id="139"/>
      <w:bookmarkStart w:id="140" w:name="_Toc184310306"/>
      <w:bookmarkEnd w:id="140"/>
      <w:bookmarkStart w:id="141" w:name="_Toc184310275"/>
      <w:bookmarkEnd w:id="141"/>
      <w:bookmarkStart w:id="142" w:name="_Toc184312098"/>
      <w:bookmarkEnd w:id="142"/>
      <w:bookmarkStart w:id="143" w:name="_Toc184310272"/>
      <w:bookmarkEnd w:id="143"/>
      <w:bookmarkStart w:id="144" w:name="_Toc184310320"/>
      <w:bookmarkEnd w:id="144"/>
      <w:bookmarkStart w:id="145" w:name="_Toc184308104"/>
      <w:bookmarkEnd w:id="145"/>
      <w:bookmarkStart w:id="146" w:name="_Toc184310337"/>
      <w:bookmarkEnd w:id="146"/>
      <w:bookmarkStart w:id="147" w:name="_Toc184313300"/>
      <w:bookmarkEnd w:id="147"/>
      <w:bookmarkStart w:id="148" w:name="_Toc184314466"/>
      <w:bookmarkEnd w:id="148"/>
      <w:bookmarkStart w:id="149" w:name="_Toc184312136"/>
      <w:bookmarkEnd w:id="149"/>
      <w:bookmarkStart w:id="150" w:name="_Toc184310302"/>
      <w:bookmarkEnd w:id="150"/>
      <w:bookmarkStart w:id="151" w:name="_Toc184310276"/>
      <w:bookmarkEnd w:id="151"/>
      <w:bookmarkStart w:id="152" w:name="_Toc184314439"/>
      <w:bookmarkEnd w:id="152"/>
      <w:bookmarkStart w:id="153" w:name="_Toc184308045"/>
      <w:bookmarkEnd w:id="153"/>
      <w:bookmarkStart w:id="154" w:name="_Toc184313302"/>
      <w:bookmarkEnd w:id="154"/>
      <w:bookmarkStart w:id="155" w:name="_Toc184308080"/>
      <w:bookmarkEnd w:id="155"/>
      <w:bookmarkStart w:id="156" w:name="_Toc184312103"/>
      <w:bookmarkEnd w:id="156"/>
      <w:bookmarkStart w:id="157" w:name="_Toc184312107"/>
      <w:bookmarkEnd w:id="157"/>
      <w:bookmarkStart w:id="158" w:name="_Toc184308058"/>
      <w:bookmarkEnd w:id="158"/>
      <w:bookmarkStart w:id="159" w:name="_Toc184313259"/>
      <w:bookmarkEnd w:id="159"/>
      <w:bookmarkStart w:id="160" w:name="_Toc184313248"/>
      <w:bookmarkEnd w:id="160"/>
      <w:bookmarkStart w:id="161" w:name="_Toc184312086"/>
      <w:bookmarkEnd w:id="161"/>
      <w:bookmarkStart w:id="162" w:name="_Toc184310319"/>
      <w:bookmarkEnd w:id="162"/>
      <w:bookmarkStart w:id="163" w:name="_Toc184314477"/>
      <w:bookmarkEnd w:id="163"/>
      <w:bookmarkStart w:id="164" w:name="_Toc184310311"/>
      <w:bookmarkEnd w:id="164"/>
      <w:bookmarkStart w:id="165" w:name="_Toc184312090"/>
      <w:bookmarkEnd w:id="165"/>
      <w:bookmarkStart w:id="166" w:name="_Toc184310289"/>
      <w:bookmarkEnd w:id="166"/>
      <w:bookmarkStart w:id="167" w:name="_Toc184312114"/>
      <w:bookmarkEnd w:id="167"/>
      <w:bookmarkStart w:id="168" w:name="_Toc184314445"/>
      <w:bookmarkEnd w:id="168"/>
      <w:bookmarkStart w:id="169" w:name="_Toc184313294"/>
      <w:bookmarkEnd w:id="169"/>
      <w:bookmarkStart w:id="170" w:name="_Toc184314427"/>
      <w:bookmarkEnd w:id="170"/>
      <w:bookmarkStart w:id="171" w:name="_Toc184313282"/>
      <w:bookmarkEnd w:id="171"/>
      <w:bookmarkStart w:id="172" w:name="_Toc184313261"/>
      <w:bookmarkEnd w:id="172"/>
      <w:bookmarkStart w:id="173" w:name="_Toc184314450"/>
      <w:bookmarkEnd w:id="173"/>
      <w:bookmarkStart w:id="174" w:name="_Toc184308088"/>
      <w:bookmarkEnd w:id="174"/>
      <w:bookmarkStart w:id="175" w:name="_Toc184308093"/>
      <w:bookmarkEnd w:id="175"/>
      <w:bookmarkStart w:id="176" w:name="_Toc184314443"/>
      <w:bookmarkEnd w:id="176"/>
      <w:bookmarkStart w:id="177" w:name="_Toc184314469"/>
      <w:bookmarkEnd w:id="177"/>
      <w:bookmarkStart w:id="178" w:name="_Toc184308057"/>
      <w:bookmarkEnd w:id="178"/>
      <w:bookmarkStart w:id="179" w:name="_Toc184310287"/>
      <w:bookmarkEnd w:id="179"/>
      <w:bookmarkStart w:id="180" w:name="_Toc184313292"/>
      <w:bookmarkEnd w:id="180"/>
      <w:bookmarkStart w:id="181" w:name="_Toc184314425"/>
      <w:bookmarkEnd w:id="181"/>
      <w:bookmarkStart w:id="182" w:name="_Toc184308044"/>
      <w:bookmarkEnd w:id="182"/>
      <w:bookmarkStart w:id="183" w:name="_Toc184308054"/>
      <w:bookmarkEnd w:id="183"/>
      <w:bookmarkStart w:id="184" w:name="_Toc184314447"/>
      <w:bookmarkEnd w:id="184"/>
      <w:bookmarkStart w:id="185" w:name="_Toc184314468"/>
      <w:bookmarkEnd w:id="185"/>
      <w:bookmarkStart w:id="186" w:name="_Toc184313284"/>
      <w:bookmarkEnd w:id="186"/>
      <w:bookmarkStart w:id="187" w:name="_Toc184308105"/>
      <w:bookmarkEnd w:id="187"/>
      <w:bookmarkStart w:id="188" w:name="_Toc184308102"/>
      <w:bookmarkEnd w:id="188"/>
      <w:bookmarkStart w:id="189" w:name="_Toc184314480"/>
      <w:bookmarkEnd w:id="189"/>
      <w:bookmarkStart w:id="190" w:name="_Toc184313246"/>
      <w:bookmarkEnd w:id="190"/>
      <w:bookmarkStart w:id="191" w:name="_Toc184312112"/>
      <w:bookmarkEnd w:id="191"/>
      <w:bookmarkStart w:id="192" w:name="_Toc184314423"/>
      <w:bookmarkEnd w:id="192"/>
      <w:bookmarkStart w:id="193" w:name="_Toc184310281"/>
      <w:bookmarkEnd w:id="193"/>
      <w:bookmarkStart w:id="194" w:name="_Toc184314460"/>
      <w:bookmarkEnd w:id="194"/>
      <w:bookmarkStart w:id="195" w:name="_Toc184313290"/>
      <w:bookmarkEnd w:id="195"/>
      <w:bookmarkStart w:id="196" w:name="_Toc184313309"/>
      <w:bookmarkEnd w:id="196"/>
      <w:bookmarkStart w:id="197" w:name="_Toc184313241"/>
      <w:bookmarkEnd w:id="197"/>
      <w:bookmarkStart w:id="198" w:name="_Toc184310321"/>
      <w:bookmarkEnd w:id="198"/>
      <w:bookmarkStart w:id="199" w:name="_Toc184312126"/>
      <w:bookmarkEnd w:id="199"/>
      <w:bookmarkStart w:id="200" w:name="_Toc184310333"/>
      <w:bookmarkEnd w:id="200"/>
      <w:bookmarkStart w:id="201" w:name="_Toc184313275"/>
      <w:bookmarkEnd w:id="201"/>
      <w:bookmarkStart w:id="202" w:name="_Toc184308066"/>
      <w:bookmarkEnd w:id="202"/>
      <w:bookmarkStart w:id="203" w:name="_Toc184310317"/>
      <w:bookmarkEnd w:id="203"/>
      <w:bookmarkStart w:id="204" w:name="_Toc184312119"/>
      <w:bookmarkEnd w:id="204"/>
      <w:bookmarkStart w:id="205" w:name="_Toc184314457"/>
      <w:bookmarkEnd w:id="205"/>
      <w:bookmarkStart w:id="206" w:name="_Toc184308042"/>
      <w:bookmarkEnd w:id="206"/>
      <w:bookmarkStart w:id="207" w:name="_Toc184308069"/>
      <w:bookmarkEnd w:id="207"/>
      <w:bookmarkStart w:id="208" w:name="_Toc184312072"/>
      <w:bookmarkEnd w:id="208"/>
      <w:bookmarkStart w:id="209" w:name="_Toc184308037"/>
      <w:bookmarkEnd w:id="209"/>
      <w:bookmarkStart w:id="210" w:name="_Toc184308082"/>
      <w:bookmarkEnd w:id="210"/>
      <w:bookmarkStart w:id="211" w:name="_Toc184308047"/>
      <w:bookmarkEnd w:id="211"/>
      <w:bookmarkStart w:id="212" w:name="_Toc184312123"/>
      <w:bookmarkEnd w:id="212"/>
      <w:bookmarkStart w:id="213" w:name="_Toc184314449"/>
      <w:bookmarkEnd w:id="213"/>
      <w:bookmarkStart w:id="214" w:name="_Toc184313293"/>
      <w:bookmarkEnd w:id="214"/>
      <w:bookmarkStart w:id="215" w:name="_Toc184310330"/>
      <w:bookmarkEnd w:id="215"/>
      <w:bookmarkStart w:id="216" w:name="_Toc184314482"/>
      <w:bookmarkEnd w:id="216"/>
      <w:bookmarkStart w:id="217" w:name="_Toc184308049"/>
      <w:bookmarkEnd w:id="217"/>
      <w:bookmarkStart w:id="218" w:name="_Toc184308040"/>
      <w:bookmarkEnd w:id="218"/>
      <w:bookmarkStart w:id="219" w:name="_Toc184314416"/>
      <w:bookmarkEnd w:id="219"/>
      <w:bookmarkStart w:id="220" w:name="_Toc184310331"/>
      <w:bookmarkEnd w:id="220"/>
      <w:bookmarkStart w:id="221" w:name="_Toc184313256"/>
      <w:bookmarkEnd w:id="221"/>
      <w:bookmarkStart w:id="222" w:name="_Toc184310310"/>
      <w:bookmarkEnd w:id="222"/>
      <w:bookmarkStart w:id="223" w:name="_Toc184310332"/>
      <w:bookmarkEnd w:id="223"/>
      <w:bookmarkStart w:id="224" w:name="_Toc184313263"/>
      <w:bookmarkEnd w:id="224"/>
      <w:bookmarkStart w:id="225" w:name="_Toc184313255"/>
      <w:bookmarkEnd w:id="225"/>
      <w:bookmarkStart w:id="226" w:name="_Toc184314455"/>
      <w:bookmarkEnd w:id="226"/>
      <w:bookmarkStart w:id="227" w:name="_Toc184314474"/>
      <w:bookmarkEnd w:id="227"/>
      <w:bookmarkStart w:id="228" w:name="_Toc184312070"/>
      <w:bookmarkEnd w:id="228"/>
      <w:bookmarkStart w:id="229" w:name="_Toc184308106"/>
      <w:bookmarkEnd w:id="229"/>
      <w:bookmarkStart w:id="230" w:name="_Toc184313295"/>
      <w:bookmarkEnd w:id="230"/>
      <w:bookmarkStart w:id="231" w:name="_Toc184313291"/>
      <w:bookmarkEnd w:id="231"/>
      <w:bookmarkStart w:id="232" w:name="_Toc184308065"/>
      <w:bookmarkEnd w:id="232"/>
      <w:bookmarkStart w:id="233" w:name="_Toc184312096"/>
      <w:bookmarkEnd w:id="233"/>
      <w:bookmarkStart w:id="234" w:name="_Toc184313287"/>
      <w:bookmarkEnd w:id="234"/>
      <w:bookmarkStart w:id="235" w:name="_Toc184308038"/>
      <w:bookmarkEnd w:id="235"/>
      <w:bookmarkStart w:id="236" w:name="_Toc184312131"/>
      <w:bookmarkEnd w:id="236"/>
      <w:bookmarkStart w:id="237" w:name="_Toc184308075"/>
      <w:bookmarkEnd w:id="237"/>
      <w:bookmarkStart w:id="238" w:name="_Toc184313242"/>
      <w:bookmarkEnd w:id="238"/>
      <w:bookmarkStart w:id="239" w:name="_Toc184314446"/>
      <w:bookmarkEnd w:id="239"/>
      <w:bookmarkStart w:id="240" w:name="_Toc184314463"/>
      <w:bookmarkEnd w:id="240"/>
      <w:bookmarkStart w:id="241" w:name="_Toc184312115"/>
      <w:bookmarkEnd w:id="241"/>
      <w:bookmarkStart w:id="242" w:name="_Toc184308036"/>
      <w:bookmarkEnd w:id="242"/>
      <w:bookmarkStart w:id="243" w:name="_Toc184313240"/>
      <w:bookmarkEnd w:id="243"/>
      <w:bookmarkStart w:id="244" w:name="_Toc184312108"/>
      <w:bookmarkEnd w:id="244"/>
      <w:bookmarkStart w:id="245" w:name="_Toc184313297"/>
      <w:bookmarkEnd w:id="245"/>
      <w:bookmarkStart w:id="246" w:name="_Toc184310305"/>
      <w:bookmarkEnd w:id="246"/>
      <w:bookmarkStart w:id="247" w:name="_Toc184312121"/>
      <w:bookmarkEnd w:id="247"/>
      <w:bookmarkStart w:id="248" w:name="_Toc184310329"/>
      <w:bookmarkEnd w:id="248"/>
      <w:bookmarkStart w:id="249" w:name="_Toc184314475"/>
      <w:bookmarkEnd w:id="249"/>
      <w:bookmarkStart w:id="250" w:name="_Toc184310273"/>
      <w:bookmarkEnd w:id="250"/>
      <w:bookmarkStart w:id="251" w:name="_Toc184312135"/>
      <w:bookmarkEnd w:id="251"/>
      <w:bookmarkStart w:id="252" w:name="_Toc184312099"/>
      <w:bookmarkEnd w:id="252"/>
      <w:bookmarkStart w:id="253" w:name="_Toc184314436"/>
      <w:bookmarkEnd w:id="253"/>
      <w:bookmarkStart w:id="254" w:name="_Toc184308064"/>
      <w:bookmarkEnd w:id="254"/>
      <w:bookmarkStart w:id="255" w:name="_Toc184313306"/>
      <w:bookmarkEnd w:id="255"/>
      <w:bookmarkStart w:id="256" w:name="_Toc184310334"/>
      <w:bookmarkEnd w:id="256"/>
      <w:bookmarkStart w:id="257" w:name="_Toc184308083"/>
      <w:bookmarkEnd w:id="257"/>
      <w:bookmarkStart w:id="258" w:name="_Toc184314465"/>
      <w:bookmarkEnd w:id="258"/>
      <w:bookmarkStart w:id="259" w:name="_Toc184313269"/>
      <w:bookmarkEnd w:id="259"/>
      <w:bookmarkStart w:id="260" w:name="_Toc184312117"/>
      <w:bookmarkEnd w:id="260"/>
      <w:bookmarkStart w:id="261" w:name="_Toc184310285"/>
      <w:bookmarkEnd w:id="261"/>
      <w:bookmarkStart w:id="262" w:name="_Toc184308097"/>
      <w:bookmarkEnd w:id="262"/>
      <w:bookmarkStart w:id="263" w:name="_Toc184310279"/>
      <w:bookmarkEnd w:id="263"/>
      <w:bookmarkStart w:id="264" w:name="_Toc184308089"/>
      <w:bookmarkEnd w:id="264"/>
      <w:bookmarkStart w:id="265" w:name="_Toc184313305"/>
      <w:bookmarkEnd w:id="265"/>
      <w:bookmarkStart w:id="266" w:name="_Toc184308056"/>
      <w:bookmarkEnd w:id="266"/>
      <w:bookmarkStart w:id="267" w:name="_Toc184308061"/>
      <w:bookmarkEnd w:id="267"/>
      <w:bookmarkStart w:id="268" w:name="_Toc184308068"/>
      <w:bookmarkEnd w:id="268"/>
      <w:bookmarkStart w:id="269" w:name="_Toc184314467"/>
      <w:bookmarkEnd w:id="269"/>
      <w:bookmarkStart w:id="270" w:name="_Toc184312118"/>
      <w:bookmarkEnd w:id="270"/>
      <w:bookmarkStart w:id="271" w:name="_Toc184313299"/>
      <w:bookmarkEnd w:id="271"/>
      <w:bookmarkStart w:id="272" w:name="_Toc184312088"/>
      <w:bookmarkEnd w:id="272"/>
      <w:bookmarkStart w:id="273" w:name="_Toc184314410"/>
      <w:bookmarkEnd w:id="273"/>
      <w:bookmarkStart w:id="274" w:name="_Toc184313298"/>
      <w:bookmarkEnd w:id="274"/>
      <w:bookmarkStart w:id="275" w:name="_Toc184314433"/>
      <w:bookmarkEnd w:id="275"/>
      <w:bookmarkStart w:id="276" w:name="_Toc184314413"/>
      <w:bookmarkEnd w:id="276"/>
      <w:bookmarkStart w:id="277" w:name="_Toc184313249"/>
      <w:bookmarkEnd w:id="277"/>
      <w:bookmarkStart w:id="278" w:name="_Toc184313268"/>
      <w:bookmarkEnd w:id="278"/>
      <w:bookmarkStart w:id="279" w:name="_Toc184308108"/>
      <w:bookmarkEnd w:id="279"/>
      <w:bookmarkStart w:id="280" w:name="_Toc184313250"/>
      <w:bookmarkEnd w:id="280"/>
      <w:bookmarkStart w:id="281" w:name="_Toc184310342"/>
      <w:bookmarkEnd w:id="281"/>
      <w:bookmarkStart w:id="282" w:name="_Toc184312097"/>
      <w:bookmarkEnd w:id="282"/>
      <w:bookmarkStart w:id="283" w:name="_Toc184308050"/>
      <w:bookmarkEnd w:id="283"/>
      <w:bookmarkStart w:id="284" w:name="_Toc184313303"/>
      <w:bookmarkEnd w:id="284"/>
      <w:bookmarkStart w:id="285" w:name="_Toc184312111"/>
      <w:bookmarkEnd w:id="285"/>
      <w:bookmarkStart w:id="286" w:name="_Toc184310283"/>
      <w:bookmarkEnd w:id="286"/>
      <w:bookmarkStart w:id="287" w:name="_Toc184310312"/>
      <w:bookmarkEnd w:id="287"/>
      <w:bookmarkStart w:id="288" w:name="_Toc184308067"/>
      <w:bookmarkEnd w:id="288"/>
      <w:bookmarkStart w:id="289" w:name="_Toc184310343"/>
      <w:bookmarkEnd w:id="289"/>
      <w:bookmarkStart w:id="290" w:name="_Toc184310278"/>
      <w:bookmarkEnd w:id="290"/>
      <w:bookmarkStart w:id="291" w:name="_Toc184310313"/>
      <w:bookmarkEnd w:id="291"/>
      <w:bookmarkStart w:id="292" w:name="_Toc184308099"/>
      <w:bookmarkEnd w:id="292"/>
      <w:bookmarkStart w:id="293" w:name="_Toc184312067"/>
      <w:bookmarkEnd w:id="293"/>
      <w:bookmarkStart w:id="294" w:name="_Toc184310339"/>
      <w:bookmarkEnd w:id="294"/>
      <w:bookmarkStart w:id="295" w:name="_Toc184313266"/>
      <w:bookmarkEnd w:id="295"/>
      <w:bookmarkStart w:id="296" w:name="_Toc184308092"/>
      <w:bookmarkEnd w:id="296"/>
      <w:bookmarkStart w:id="297" w:name="_Toc184314428"/>
      <w:bookmarkEnd w:id="297"/>
      <w:bookmarkStart w:id="298" w:name="_Toc184313277"/>
      <w:bookmarkEnd w:id="298"/>
      <w:bookmarkStart w:id="299" w:name="_Toc184314442"/>
      <w:bookmarkEnd w:id="299"/>
      <w:bookmarkStart w:id="300" w:name="_Toc184314448"/>
      <w:bookmarkEnd w:id="300"/>
      <w:bookmarkStart w:id="301" w:name="_Toc184308073"/>
      <w:bookmarkEnd w:id="301"/>
      <w:bookmarkStart w:id="302" w:name="_Toc184314411"/>
      <w:bookmarkEnd w:id="302"/>
      <w:bookmarkStart w:id="303" w:name="_Toc184314431"/>
      <w:bookmarkEnd w:id="303"/>
      <w:bookmarkStart w:id="304" w:name="_Toc184314440"/>
      <w:bookmarkEnd w:id="304"/>
      <w:bookmarkStart w:id="305" w:name="_Toc184314441"/>
      <w:bookmarkEnd w:id="305"/>
      <w:bookmarkStart w:id="306" w:name="_Toc184308086"/>
      <w:bookmarkEnd w:id="306"/>
      <w:bookmarkStart w:id="307" w:name="_Toc184310326"/>
      <w:bookmarkEnd w:id="307"/>
      <w:bookmarkStart w:id="308" w:name="_Toc184308077"/>
      <w:bookmarkEnd w:id="308"/>
      <w:bookmarkStart w:id="309" w:name="_Toc184308070"/>
      <w:bookmarkEnd w:id="309"/>
      <w:bookmarkStart w:id="310" w:name="_Toc184313270"/>
      <w:bookmarkEnd w:id="310"/>
      <w:bookmarkStart w:id="311" w:name="_Toc184308060"/>
      <w:bookmarkEnd w:id="311"/>
      <w:bookmarkStart w:id="312" w:name="_Toc184313283"/>
      <w:bookmarkEnd w:id="312"/>
      <w:bookmarkStart w:id="313" w:name="_Toc184310303"/>
      <w:bookmarkEnd w:id="313"/>
      <w:bookmarkStart w:id="314" w:name="_Toc184313238"/>
      <w:bookmarkEnd w:id="314"/>
      <w:bookmarkStart w:id="315" w:name="_Toc184313274"/>
      <w:bookmarkEnd w:id="315"/>
      <w:bookmarkStart w:id="316" w:name="_Toc184314421"/>
      <w:bookmarkEnd w:id="316"/>
      <w:bookmarkStart w:id="317" w:name="_Toc184313296"/>
      <w:bookmarkEnd w:id="317"/>
      <w:bookmarkStart w:id="318" w:name="_Toc184313304"/>
      <w:bookmarkEnd w:id="318"/>
      <w:bookmarkStart w:id="319" w:name="_Toc184312079"/>
      <w:bookmarkEnd w:id="319"/>
      <w:bookmarkStart w:id="320" w:name="_Toc184313310"/>
      <w:bookmarkEnd w:id="320"/>
      <w:bookmarkStart w:id="321" w:name="_Toc184312074"/>
      <w:bookmarkEnd w:id="321"/>
      <w:bookmarkStart w:id="322" w:name="_Toc184308059"/>
      <w:bookmarkEnd w:id="322"/>
      <w:bookmarkStart w:id="323" w:name="_Toc184314418"/>
      <w:bookmarkEnd w:id="323"/>
      <w:bookmarkStart w:id="324" w:name="_Toc184313267"/>
      <w:bookmarkEnd w:id="324"/>
      <w:bookmarkStart w:id="325" w:name="_Toc184313262"/>
      <w:bookmarkEnd w:id="325"/>
      <w:bookmarkStart w:id="326" w:name="_Toc184310315"/>
      <w:bookmarkEnd w:id="326"/>
      <w:bookmarkStart w:id="327" w:name="_Toc184310309"/>
      <w:bookmarkEnd w:id="327"/>
      <w:bookmarkStart w:id="328" w:name="_Toc184314426"/>
      <w:bookmarkEnd w:id="328"/>
      <w:bookmarkStart w:id="329" w:name="_Toc184312084"/>
      <w:bookmarkEnd w:id="329"/>
      <w:bookmarkStart w:id="330" w:name="_Toc184313272"/>
      <w:bookmarkEnd w:id="330"/>
      <w:bookmarkStart w:id="331" w:name="_Toc184313285"/>
      <w:bookmarkEnd w:id="331"/>
      <w:bookmarkStart w:id="332" w:name="_Toc184314464"/>
      <w:bookmarkEnd w:id="332"/>
      <w:bookmarkStart w:id="333" w:name="_Toc184310288"/>
      <w:bookmarkEnd w:id="333"/>
      <w:bookmarkStart w:id="334" w:name="_Toc184313252"/>
      <w:bookmarkEnd w:id="334"/>
      <w:bookmarkStart w:id="335" w:name="_Toc184308072"/>
      <w:bookmarkEnd w:id="335"/>
      <w:bookmarkStart w:id="336" w:name="_Toc184312077"/>
      <w:bookmarkEnd w:id="336"/>
      <w:bookmarkStart w:id="337" w:name="_Toc184312083"/>
      <w:bookmarkEnd w:id="337"/>
      <w:bookmarkStart w:id="338" w:name="_Toc184313265"/>
      <w:bookmarkEnd w:id="338"/>
      <w:bookmarkStart w:id="339" w:name="_Toc184312113"/>
      <w:bookmarkEnd w:id="339"/>
      <w:bookmarkStart w:id="340" w:name="_Toc184313260"/>
      <w:bookmarkEnd w:id="340"/>
      <w:bookmarkStart w:id="341" w:name="_Toc184312132"/>
      <w:bookmarkEnd w:id="341"/>
      <w:bookmarkStart w:id="342" w:name="_Toc184310296"/>
      <w:bookmarkEnd w:id="342"/>
      <w:bookmarkStart w:id="343" w:name="_Toc184312138"/>
      <w:bookmarkEnd w:id="343"/>
      <w:bookmarkStart w:id="344" w:name="_Toc184310304"/>
      <w:bookmarkEnd w:id="344"/>
      <w:bookmarkStart w:id="345" w:name="_Toc184314412"/>
      <w:bookmarkEnd w:id="345"/>
      <w:bookmarkStart w:id="346" w:name="_Toc184313245"/>
      <w:bookmarkEnd w:id="346"/>
      <w:bookmarkStart w:id="347" w:name="_Toc184313251"/>
      <w:bookmarkEnd w:id="347"/>
      <w:bookmarkStart w:id="348" w:name="_Toc184314451"/>
      <w:bookmarkEnd w:id="348"/>
      <w:bookmarkStart w:id="349" w:name="_Toc184312100"/>
      <w:bookmarkEnd w:id="349"/>
      <w:bookmarkStart w:id="350" w:name="_Toc184313301"/>
      <w:bookmarkEnd w:id="350"/>
      <w:bookmarkStart w:id="351" w:name="_Toc184308085"/>
      <w:bookmarkEnd w:id="351"/>
      <w:bookmarkStart w:id="352" w:name="_Toc184313276"/>
      <w:bookmarkEnd w:id="352"/>
      <w:bookmarkStart w:id="353" w:name="_Toc184312105"/>
      <w:bookmarkEnd w:id="353"/>
      <w:bookmarkStart w:id="354" w:name="_Toc184313254"/>
      <w:bookmarkEnd w:id="354"/>
      <w:bookmarkStart w:id="355" w:name="_Toc184308087"/>
      <w:bookmarkEnd w:id="355"/>
      <w:bookmarkStart w:id="356" w:name="_Toc184314478"/>
      <w:bookmarkEnd w:id="356"/>
      <w:bookmarkStart w:id="357" w:name="_Toc184314470"/>
      <w:bookmarkEnd w:id="357"/>
      <w:bookmarkStart w:id="358" w:name="_Toc184310316"/>
      <w:bookmarkEnd w:id="358"/>
      <w:bookmarkStart w:id="359" w:name="_Toc184308101"/>
      <w:bookmarkEnd w:id="359"/>
      <w:bookmarkStart w:id="360" w:name="_Toc184314479"/>
      <w:bookmarkEnd w:id="360"/>
      <w:bookmarkStart w:id="361" w:name="_Toc184312071"/>
      <w:bookmarkEnd w:id="361"/>
      <w:bookmarkStart w:id="362" w:name="_Toc184310323"/>
      <w:bookmarkEnd w:id="362"/>
      <w:bookmarkStart w:id="363" w:name="_Toc184310301"/>
      <w:bookmarkEnd w:id="363"/>
      <w:bookmarkStart w:id="364" w:name="_Toc184308046"/>
      <w:bookmarkEnd w:id="364"/>
      <w:bookmarkStart w:id="365" w:name="_Toc184310338"/>
      <w:bookmarkEnd w:id="365"/>
      <w:bookmarkStart w:id="366" w:name="_Toc184310340"/>
      <w:bookmarkEnd w:id="366"/>
      <w:bookmarkStart w:id="367" w:name="_Toc184314452"/>
      <w:bookmarkEnd w:id="367"/>
      <w:bookmarkStart w:id="368" w:name="_Toc184312078"/>
      <w:bookmarkEnd w:id="368"/>
      <w:bookmarkStart w:id="369" w:name="_Toc184312124"/>
      <w:bookmarkEnd w:id="369"/>
      <w:bookmarkStart w:id="370" w:name="_Toc184312110"/>
      <w:bookmarkEnd w:id="370"/>
      <w:bookmarkStart w:id="371" w:name="_Toc184312137"/>
      <w:bookmarkEnd w:id="371"/>
      <w:bookmarkStart w:id="372" w:name="_Toc184314454"/>
      <w:bookmarkEnd w:id="372"/>
      <w:bookmarkStart w:id="373" w:name="_Toc184308079"/>
      <w:bookmarkEnd w:id="373"/>
      <w:bookmarkStart w:id="374" w:name="_Toc184310327"/>
      <w:bookmarkEnd w:id="374"/>
      <w:bookmarkStart w:id="375" w:name="_Toc184314473"/>
      <w:bookmarkEnd w:id="375"/>
      <w:bookmarkStart w:id="376" w:name="_Toc184314414"/>
      <w:bookmarkEnd w:id="376"/>
      <w:bookmarkStart w:id="377" w:name="_Toc184312076"/>
      <w:bookmarkEnd w:id="377"/>
      <w:bookmarkStart w:id="378" w:name="_Toc184308095"/>
      <w:bookmarkEnd w:id="378"/>
      <w:bookmarkStart w:id="379" w:name="_Toc184312122"/>
      <w:bookmarkEnd w:id="379"/>
      <w:bookmarkStart w:id="380" w:name="_Toc184313239"/>
      <w:bookmarkEnd w:id="380"/>
      <w:bookmarkStart w:id="381" w:name="_Toc184312095"/>
      <w:bookmarkEnd w:id="381"/>
      <w:bookmarkStart w:id="382" w:name="_Toc184312130"/>
      <w:bookmarkEnd w:id="382"/>
      <w:bookmarkStart w:id="383" w:name="_Toc184310325"/>
      <w:bookmarkEnd w:id="383"/>
      <w:bookmarkStart w:id="384" w:name="_Toc184308043"/>
      <w:bookmarkEnd w:id="384"/>
      <w:bookmarkStart w:id="385" w:name="_Toc184314417"/>
      <w:bookmarkEnd w:id="385"/>
      <w:bookmarkStart w:id="386" w:name="_Toc184308039"/>
      <w:bookmarkEnd w:id="386"/>
      <w:bookmarkStart w:id="387" w:name="_Toc184308098"/>
      <w:bookmarkEnd w:id="387"/>
      <w:bookmarkStart w:id="388" w:name="_Toc184310322"/>
      <w:bookmarkEnd w:id="388"/>
      <w:bookmarkStart w:id="389" w:name="_Toc184312087"/>
      <w:bookmarkEnd w:id="389"/>
      <w:bookmarkStart w:id="390" w:name="_Toc184312102"/>
      <w:bookmarkEnd w:id="390"/>
      <w:bookmarkStart w:id="391" w:name="_Toc184312104"/>
      <w:bookmarkEnd w:id="391"/>
      <w:bookmarkStart w:id="392" w:name="_Toc184308076"/>
      <w:bookmarkEnd w:id="392"/>
      <w:bookmarkStart w:id="393" w:name="_Toc184310298"/>
      <w:bookmarkEnd w:id="393"/>
      <w:bookmarkStart w:id="394" w:name="_Toc184310314"/>
      <w:bookmarkEnd w:id="394"/>
      <w:bookmarkStart w:id="395" w:name="_Toc184314430"/>
      <w:bookmarkEnd w:id="395"/>
      <w:bookmarkStart w:id="396" w:name="_Toc184310294"/>
      <w:bookmarkEnd w:id="396"/>
      <w:bookmarkStart w:id="397" w:name="_Toc184310299"/>
      <w:bookmarkEnd w:id="397"/>
      <w:bookmarkStart w:id="398" w:name="_Toc184313271"/>
      <w:bookmarkEnd w:id="398"/>
      <w:bookmarkStart w:id="399" w:name="_Toc184313279"/>
      <w:bookmarkEnd w:id="399"/>
      <w:r>
        <w:rPr>
          <w:rFonts w:hint="eastAsia" w:ascii="宋体" w:hAnsi="宋体" w:cs="宋体"/>
          <w:b/>
          <w:color w:val="auto"/>
          <w:sz w:val="36"/>
          <w:szCs w:val="36"/>
          <w:highlight w:val="none"/>
        </w:rPr>
        <w:t>评标办法</w:t>
      </w:r>
      <w:bookmarkEnd w:id="34"/>
    </w:p>
    <w:p w14:paraId="35E8ACFB">
      <w:pPr>
        <w:snapToGrid w:val="0"/>
        <w:spacing w:line="360" w:lineRule="auto"/>
        <w:jc w:val="center"/>
        <w:rPr>
          <w:rFonts w:hint="eastAsia" w:ascii="宋体" w:hAnsi="宋体" w:eastAsia="宋体" w:cs="宋体"/>
          <w:b/>
          <w:color w:val="auto"/>
          <w:sz w:val="32"/>
          <w:szCs w:val="20"/>
          <w:highlight w:val="none"/>
          <w:lang w:eastAsia="zh-CN"/>
        </w:rPr>
      </w:pPr>
      <w:r>
        <w:rPr>
          <w:rFonts w:hint="eastAsia" w:ascii="宋体" w:hAnsi="宋体" w:cs="宋体"/>
          <w:b/>
          <w:color w:val="auto"/>
          <w:sz w:val="32"/>
          <w:szCs w:val="20"/>
          <w:highlight w:val="none"/>
        </w:rPr>
        <w:t>评标办法前附表</w:t>
      </w:r>
    </w:p>
    <w:tbl>
      <w:tblPr>
        <w:tblStyle w:val="62"/>
        <w:tblW w:w="93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3"/>
        <w:gridCol w:w="1101"/>
        <w:gridCol w:w="747"/>
        <w:gridCol w:w="6158"/>
        <w:gridCol w:w="725"/>
      </w:tblGrid>
      <w:tr w14:paraId="4D7CAC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74" w:type="dxa"/>
            <w:gridSpan w:val="2"/>
            <w:noWrap w:val="0"/>
            <w:vAlign w:val="center"/>
          </w:tcPr>
          <w:p w14:paraId="15767360">
            <w:pPr>
              <w:snapToGrid w:val="0"/>
              <w:spacing w:line="360" w:lineRule="auto"/>
              <w:jc w:val="center"/>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评审内容</w:t>
            </w:r>
          </w:p>
        </w:tc>
        <w:tc>
          <w:tcPr>
            <w:tcW w:w="747" w:type="dxa"/>
            <w:noWrap w:val="0"/>
            <w:vAlign w:val="center"/>
          </w:tcPr>
          <w:p w14:paraId="2797A2B5">
            <w:pPr>
              <w:snapToGrid w:val="0"/>
              <w:spacing w:line="360" w:lineRule="auto"/>
              <w:jc w:val="center"/>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分数</w:t>
            </w:r>
          </w:p>
        </w:tc>
        <w:tc>
          <w:tcPr>
            <w:tcW w:w="6158" w:type="dxa"/>
            <w:noWrap w:val="0"/>
            <w:vAlign w:val="center"/>
          </w:tcPr>
          <w:p w14:paraId="42685254">
            <w:pPr>
              <w:snapToGrid w:val="0"/>
              <w:spacing w:line="360" w:lineRule="auto"/>
              <w:jc w:val="center"/>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评分标准</w:t>
            </w:r>
          </w:p>
        </w:tc>
        <w:tc>
          <w:tcPr>
            <w:tcW w:w="725" w:type="dxa"/>
            <w:noWrap w:val="0"/>
            <w:vAlign w:val="center"/>
          </w:tcPr>
          <w:p w14:paraId="30157E6C">
            <w:pPr>
              <w:snapToGrid w:val="0"/>
              <w:spacing w:line="360" w:lineRule="auto"/>
              <w:jc w:val="center"/>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备注</w:t>
            </w:r>
          </w:p>
        </w:tc>
      </w:tr>
      <w:tr w14:paraId="0B591A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7" w:hRule="atLeast"/>
          <w:jc w:val="center"/>
        </w:trPr>
        <w:tc>
          <w:tcPr>
            <w:tcW w:w="1674" w:type="dxa"/>
            <w:gridSpan w:val="2"/>
            <w:noWrap w:val="0"/>
            <w:vAlign w:val="center"/>
          </w:tcPr>
          <w:p w14:paraId="2637D556">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价格分</w:t>
            </w:r>
          </w:p>
        </w:tc>
        <w:tc>
          <w:tcPr>
            <w:tcW w:w="747" w:type="dxa"/>
            <w:noWrap w:val="0"/>
            <w:vAlign w:val="center"/>
          </w:tcPr>
          <w:p w14:paraId="12F56C3F">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15</w:t>
            </w:r>
            <w:r>
              <w:rPr>
                <w:rFonts w:hint="eastAsia" w:ascii="宋体" w:hAnsi="宋体" w:cs="宋体"/>
                <w:b w:val="0"/>
                <w:bCs/>
                <w:color w:val="auto"/>
                <w:sz w:val="21"/>
                <w:szCs w:val="21"/>
                <w:highlight w:val="none"/>
              </w:rPr>
              <w:t>分</w:t>
            </w:r>
          </w:p>
        </w:tc>
        <w:tc>
          <w:tcPr>
            <w:tcW w:w="6158" w:type="dxa"/>
            <w:noWrap w:val="0"/>
            <w:vAlign w:val="center"/>
          </w:tcPr>
          <w:p w14:paraId="4FDD2798">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评标基准价指的是满足招标文件要求且最低的参与评审的价格。</w:t>
            </w:r>
          </w:p>
          <w:p w14:paraId="6FE08AA7">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参与评审的价格=投标报价-小微企业价格扣除优惠值（如有）。</w:t>
            </w:r>
          </w:p>
          <w:p w14:paraId="44D95C98">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参与评审的价格为评标基准价的其价格得分得满分1</w:t>
            </w:r>
            <w:r>
              <w:rPr>
                <w:rFonts w:hint="eastAsia" w:ascii="宋体" w:hAnsi="宋体" w:cs="宋体"/>
                <w:b w:val="0"/>
                <w:bCs/>
                <w:color w:val="auto"/>
                <w:sz w:val="21"/>
                <w:szCs w:val="21"/>
                <w:highlight w:val="none"/>
                <w:lang w:val="en-US" w:eastAsia="zh-CN"/>
              </w:rPr>
              <w:t>5</w:t>
            </w:r>
            <w:r>
              <w:rPr>
                <w:rFonts w:hint="eastAsia" w:ascii="宋体" w:hAnsi="宋体" w:cs="宋体"/>
                <w:b w:val="0"/>
                <w:bCs/>
                <w:color w:val="auto"/>
                <w:sz w:val="21"/>
                <w:szCs w:val="21"/>
                <w:highlight w:val="none"/>
              </w:rPr>
              <w:t>分。</w:t>
            </w:r>
          </w:p>
          <w:p w14:paraId="0717076E">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其他</w:t>
            </w:r>
            <w:r>
              <w:rPr>
                <w:rFonts w:hint="eastAsia" w:ascii="宋体" w:hAnsi="宋体" w:cs="宋体"/>
                <w:b w:val="0"/>
                <w:bCs/>
                <w:color w:val="auto"/>
                <w:sz w:val="21"/>
                <w:szCs w:val="21"/>
                <w:highlight w:val="none"/>
                <w:lang w:eastAsia="zh-CN"/>
              </w:rPr>
              <w:t>供应商</w:t>
            </w:r>
            <w:r>
              <w:rPr>
                <w:rFonts w:hint="eastAsia" w:ascii="宋体" w:hAnsi="宋体" w:cs="宋体"/>
                <w:b w:val="0"/>
                <w:bCs/>
                <w:color w:val="auto"/>
                <w:sz w:val="21"/>
                <w:szCs w:val="21"/>
                <w:highlight w:val="none"/>
              </w:rPr>
              <w:t>价格得分按照下列公式计算：</w:t>
            </w:r>
          </w:p>
          <w:p w14:paraId="2FAABB99">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价格得分=（评标基准价/各</w:t>
            </w:r>
            <w:r>
              <w:rPr>
                <w:rFonts w:hint="eastAsia" w:ascii="宋体" w:hAnsi="宋体" w:cs="宋体"/>
                <w:b w:val="0"/>
                <w:bCs/>
                <w:color w:val="auto"/>
                <w:sz w:val="21"/>
                <w:szCs w:val="21"/>
                <w:highlight w:val="none"/>
                <w:lang w:eastAsia="zh-CN"/>
              </w:rPr>
              <w:t>供应商</w:t>
            </w:r>
            <w:r>
              <w:rPr>
                <w:rFonts w:hint="eastAsia" w:ascii="宋体" w:hAnsi="宋体" w:cs="宋体"/>
                <w:b w:val="0"/>
                <w:bCs/>
                <w:color w:val="auto"/>
                <w:sz w:val="21"/>
                <w:szCs w:val="21"/>
                <w:highlight w:val="none"/>
              </w:rPr>
              <w:t>参与评审的价格）×1</w:t>
            </w:r>
            <w:r>
              <w:rPr>
                <w:rFonts w:hint="eastAsia" w:ascii="宋体" w:hAnsi="宋体" w:cs="宋体"/>
                <w:b w:val="0"/>
                <w:bCs/>
                <w:color w:val="auto"/>
                <w:sz w:val="21"/>
                <w:szCs w:val="21"/>
                <w:highlight w:val="none"/>
                <w:lang w:val="en-US" w:eastAsia="zh-CN"/>
              </w:rPr>
              <w:t>5</w:t>
            </w:r>
            <w:r>
              <w:rPr>
                <w:rFonts w:hint="eastAsia" w:ascii="宋体" w:hAnsi="宋体" w:cs="宋体"/>
                <w:b w:val="0"/>
                <w:bCs/>
                <w:color w:val="auto"/>
                <w:sz w:val="21"/>
                <w:szCs w:val="21"/>
                <w:highlight w:val="none"/>
              </w:rPr>
              <w:t>%×100。</w:t>
            </w:r>
          </w:p>
        </w:tc>
        <w:tc>
          <w:tcPr>
            <w:tcW w:w="725" w:type="dxa"/>
            <w:noWrap w:val="0"/>
            <w:vAlign w:val="center"/>
          </w:tcPr>
          <w:p w14:paraId="359A3CE8">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客观评审</w:t>
            </w:r>
          </w:p>
        </w:tc>
      </w:tr>
      <w:tr w14:paraId="02975A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573" w:type="dxa"/>
            <w:vMerge w:val="restart"/>
            <w:noWrap w:val="0"/>
            <w:vAlign w:val="center"/>
          </w:tcPr>
          <w:p w14:paraId="4CB8A22F">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商务技术</w:t>
            </w:r>
            <w:r>
              <w:rPr>
                <w:rFonts w:hint="eastAsia" w:ascii="宋体" w:hAnsi="宋体" w:cs="宋体"/>
                <w:b w:val="0"/>
                <w:bCs/>
                <w:color w:val="auto"/>
                <w:sz w:val="21"/>
                <w:szCs w:val="21"/>
                <w:highlight w:val="none"/>
              </w:rPr>
              <w:t>分</w:t>
            </w:r>
            <w:r>
              <w:rPr>
                <w:rFonts w:hint="eastAsia" w:ascii="宋体" w:hAnsi="宋体" w:cs="宋体"/>
                <w:b w:val="0"/>
                <w:bCs/>
                <w:color w:val="auto"/>
                <w:sz w:val="21"/>
                <w:szCs w:val="21"/>
                <w:highlight w:val="none"/>
                <w:lang w:val="en-US" w:eastAsia="zh-CN"/>
              </w:rPr>
              <w:t>85</w:t>
            </w:r>
            <w:r>
              <w:rPr>
                <w:rFonts w:hint="eastAsia" w:ascii="宋体" w:hAnsi="宋体" w:cs="宋体"/>
                <w:b w:val="0"/>
                <w:bCs/>
                <w:color w:val="auto"/>
                <w:sz w:val="21"/>
                <w:szCs w:val="21"/>
                <w:highlight w:val="none"/>
              </w:rPr>
              <w:t>分</w:t>
            </w:r>
          </w:p>
        </w:tc>
        <w:tc>
          <w:tcPr>
            <w:tcW w:w="1101" w:type="dxa"/>
            <w:noWrap w:val="0"/>
            <w:vAlign w:val="center"/>
          </w:tcPr>
          <w:p w14:paraId="10638437">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项目理解</w:t>
            </w:r>
          </w:p>
        </w:tc>
        <w:tc>
          <w:tcPr>
            <w:tcW w:w="747" w:type="dxa"/>
            <w:noWrap w:val="0"/>
            <w:vAlign w:val="center"/>
          </w:tcPr>
          <w:p w14:paraId="5ED9D2F6">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5分</w:t>
            </w:r>
          </w:p>
        </w:tc>
        <w:tc>
          <w:tcPr>
            <w:tcW w:w="6158" w:type="dxa"/>
            <w:noWrap w:val="0"/>
            <w:vAlign w:val="center"/>
          </w:tcPr>
          <w:p w14:paraId="5EC9696F">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根据本项目的分析理解程度，针对服务提出的工作思路、工作方案进行评议：</w:t>
            </w:r>
          </w:p>
          <w:p w14:paraId="425DA21B">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项目理解分析透彻、提出方案有针对性和可操作性的，得5分；</w:t>
            </w:r>
          </w:p>
          <w:p w14:paraId="47E77090">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项目理解分析基本明确、提出相应解决方案基本合理的，得3分；</w:t>
            </w:r>
          </w:p>
          <w:p w14:paraId="0E63112A">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项目理解差、解决方案缺乏针对性和可操作性不够合理的，得1分；</w:t>
            </w:r>
          </w:p>
          <w:p w14:paraId="5E7CEB4F">
            <w:pPr>
              <w:snapToGrid w:val="0"/>
              <w:spacing w:line="360" w:lineRule="auto"/>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未提供不得分。</w:t>
            </w:r>
          </w:p>
        </w:tc>
        <w:tc>
          <w:tcPr>
            <w:tcW w:w="725" w:type="dxa"/>
            <w:noWrap w:val="0"/>
            <w:vAlign w:val="center"/>
          </w:tcPr>
          <w:p w14:paraId="4FDA4B80">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主观评审</w:t>
            </w:r>
          </w:p>
        </w:tc>
      </w:tr>
      <w:tr w14:paraId="6AB5C8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60" w:hRule="atLeast"/>
          <w:jc w:val="center"/>
        </w:trPr>
        <w:tc>
          <w:tcPr>
            <w:tcW w:w="573" w:type="dxa"/>
            <w:vMerge w:val="continue"/>
            <w:noWrap w:val="0"/>
            <w:vAlign w:val="center"/>
          </w:tcPr>
          <w:p w14:paraId="50898B6B">
            <w:pPr>
              <w:snapToGrid w:val="0"/>
              <w:spacing w:line="360" w:lineRule="auto"/>
              <w:jc w:val="center"/>
              <w:rPr>
                <w:rFonts w:hint="eastAsia" w:ascii="宋体" w:hAnsi="宋体" w:cs="宋体"/>
                <w:b w:val="0"/>
                <w:bCs/>
                <w:color w:val="auto"/>
                <w:sz w:val="21"/>
                <w:szCs w:val="21"/>
                <w:highlight w:val="none"/>
              </w:rPr>
            </w:pPr>
          </w:p>
        </w:tc>
        <w:tc>
          <w:tcPr>
            <w:tcW w:w="1101" w:type="dxa"/>
            <w:noWrap w:val="0"/>
            <w:vAlign w:val="center"/>
          </w:tcPr>
          <w:p w14:paraId="1BAC6E8F">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实施方案及计划安排</w:t>
            </w:r>
          </w:p>
        </w:tc>
        <w:tc>
          <w:tcPr>
            <w:tcW w:w="747" w:type="dxa"/>
            <w:noWrap w:val="0"/>
            <w:vAlign w:val="center"/>
          </w:tcPr>
          <w:p w14:paraId="3A649B54">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5分</w:t>
            </w:r>
          </w:p>
        </w:tc>
        <w:tc>
          <w:tcPr>
            <w:tcW w:w="6158" w:type="dxa"/>
            <w:noWrap w:val="0"/>
            <w:vAlign w:val="center"/>
          </w:tcPr>
          <w:p w14:paraId="2AB9CA04">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针对本项目制定的具体实施过程的方案、时间节点把控、工作计划安排等进行评议：</w:t>
            </w:r>
          </w:p>
          <w:p w14:paraId="6A4141E1">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内容详实，完全结合医院相关管理工作制、符合实际需求，工作计划编排合理的得5分；</w:t>
            </w:r>
          </w:p>
          <w:p w14:paraId="716C9D0D">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内容详细，基本符合项目实际情况，能结合医院相关管理工作制度和流程、工作计划编排合理但稍有瑕疵的得3分；</w:t>
            </w:r>
          </w:p>
          <w:p w14:paraId="176B02D8">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内容简单、不完整、笼统，存在较多的不足，计划安排设计有欠缺、可行性差的得1分；</w:t>
            </w:r>
          </w:p>
          <w:p w14:paraId="41CEED5F">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未提供不得分。</w:t>
            </w:r>
          </w:p>
        </w:tc>
        <w:tc>
          <w:tcPr>
            <w:tcW w:w="725" w:type="dxa"/>
            <w:noWrap w:val="0"/>
            <w:vAlign w:val="center"/>
          </w:tcPr>
          <w:p w14:paraId="6A969D50">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主观评审</w:t>
            </w:r>
          </w:p>
        </w:tc>
      </w:tr>
      <w:tr w14:paraId="01528B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14:paraId="1C248162">
            <w:pPr>
              <w:snapToGrid w:val="0"/>
              <w:spacing w:line="360" w:lineRule="auto"/>
              <w:jc w:val="center"/>
              <w:rPr>
                <w:rFonts w:hint="eastAsia" w:ascii="宋体" w:hAnsi="宋体" w:cs="宋体"/>
                <w:b w:val="0"/>
                <w:bCs/>
                <w:color w:val="auto"/>
                <w:sz w:val="21"/>
                <w:szCs w:val="21"/>
                <w:highlight w:val="none"/>
              </w:rPr>
            </w:pPr>
          </w:p>
        </w:tc>
        <w:tc>
          <w:tcPr>
            <w:tcW w:w="1101" w:type="dxa"/>
            <w:noWrap w:val="0"/>
            <w:vAlign w:val="center"/>
          </w:tcPr>
          <w:p w14:paraId="1EE4B183">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整体管理服务方案</w:t>
            </w:r>
          </w:p>
        </w:tc>
        <w:tc>
          <w:tcPr>
            <w:tcW w:w="747" w:type="dxa"/>
            <w:noWrap w:val="0"/>
            <w:vAlign w:val="center"/>
          </w:tcPr>
          <w:p w14:paraId="61A0496A">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5分</w:t>
            </w:r>
          </w:p>
        </w:tc>
        <w:tc>
          <w:tcPr>
            <w:tcW w:w="6158" w:type="dxa"/>
            <w:noWrap w:val="0"/>
            <w:vAlign w:val="center"/>
          </w:tcPr>
          <w:p w14:paraId="6F995021">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针对本项目制定的管理服务制度和目标，对管理服务措施和目标进行评议：</w:t>
            </w:r>
          </w:p>
          <w:p w14:paraId="2AC219C4">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管理服务制度规范，举措全面、操作性强，管理服务目标切合本项目要求，得5分；</w:t>
            </w:r>
          </w:p>
          <w:p w14:paraId="4B8C3EEE">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管理服务措施基本规范，举措基本齐全、操作性一般，管理服务目标基本切合本项目要求，得3分；</w:t>
            </w:r>
          </w:p>
          <w:p w14:paraId="3B6EA6CF">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管理服务制度和举措差，管理服务目标不符合本项目要求，得1分；</w:t>
            </w:r>
          </w:p>
          <w:p w14:paraId="36098176">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未提供不得分。</w:t>
            </w:r>
          </w:p>
        </w:tc>
        <w:tc>
          <w:tcPr>
            <w:tcW w:w="725" w:type="dxa"/>
            <w:noWrap w:val="0"/>
            <w:vAlign w:val="center"/>
          </w:tcPr>
          <w:p w14:paraId="3492618D">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主观评审</w:t>
            </w:r>
          </w:p>
        </w:tc>
      </w:tr>
      <w:tr w14:paraId="7BCD4C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14:paraId="302860FE">
            <w:pPr>
              <w:snapToGrid w:val="0"/>
              <w:spacing w:line="360" w:lineRule="auto"/>
              <w:jc w:val="center"/>
              <w:rPr>
                <w:rFonts w:hint="eastAsia" w:ascii="宋体" w:hAnsi="宋体" w:cs="宋体"/>
                <w:b w:val="0"/>
                <w:bCs/>
                <w:color w:val="auto"/>
                <w:sz w:val="21"/>
                <w:szCs w:val="21"/>
                <w:highlight w:val="none"/>
              </w:rPr>
            </w:pPr>
          </w:p>
        </w:tc>
        <w:tc>
          <w:tcPr>
            <w:tcW w:w="1101" w:type="dxa"/>
            <w:vMerge w:val="restart"/>
            <w:noWrap w:val="0"/>
            <w:vAlign w:val="center"/>
          </w:tcPr>
          <w:p w14:paraId="5DD3DC16">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针对本项目的重难点及解决措施</w:t>
            </w:r>
          </w:p>
        </w:tc>
        <w:tc>
          <w:tcPr>
            <w:tcW w:w="747" w:type="dxa"/>
            <w:noWrap w:val="0"/>
            <w:vAlign w:val="center"/>
          </w:tcPr>
          <w:p w14:paraId="2DF190D7">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5</w:t>
            </w:r>
            <w:r>
              <w:rPr>
                <w:rFonts w:hint="eastAsia" w:ascii="宋体" w:hAnsi="宋体" w:cs="宋体"/>
                <w:b w:val="0"/>
                <w:bCs/>
                <w:color w:val="auto"/>
                <w:sz w:val="21"/>
                <w:szCs w:val="21"/>
                <w:highlight w:val="none"/>
              </w:rPr>
              <w:t>分</w:t>
            </w:r>
          </w:p>
        </w:tc>
        <w:tc>
          <w:tcPr>
            <w:tcW w:w="6158" w:type="dxa"/>
            <w:noWrap w:val="0"/>
            <w:vAlign w:val="center"/>
          </w:tcPr>
          <w:p w14:paraId="6A492FBC">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针对本项目</w:t>
            </w:r>
            <w:r>
              <w:rPr>
                <w:rFonts w:hint="eastAsia" w:ascii="宋体" w:hAnsi="宋体" w:cs="宋体"/>
                <w:b w:val="0"/>
                <w:bCs/>
                <w:color w:val="auto"/>
                <w:sz w:val="21"/>
                <w:szCs w:val="21"/>
                <w:highlight w:val="none"/>
                <w:lang w:val="en-US" w:eastAsia="zh-CN"/>
              </w:rPr>
              <w:t>外包的</w:t>
            </w:r>
            <w:r>
              <w:rPr>
                <w:rFonts w:hint="eastAsia" w:ascii="宋体" w:hAnsi="宋体" w:cs="宋体"/>
                <w:b w:val="0"/>
                <w:bCs/>
                <w:color w:val="auto"/>
                <w:sz w:val="21"/>
                <w:szCs w:val="21"/>
                <w:highlight w:val="none"/>
              </w:rPr>
              <w:t>熟悉程度、现状考察、调研后提出的的重点、难点，从符合实际的情况、内容全面情况进行评议：</w:t>
            </w:r>
          </w:p>
          <w:p w14:paraId="30EA5509">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重难点分析符合实际的情况、内容全面，得5分；</w:t>
            </w:r>
          </w:p>
          <w:p w14:paraId="6260D58F">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重难点分析与实际的情况切合度一般、内容一般，得</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分；</w:t>
            </w:r>
          </w:p>
          <w:p w14:paraId="4F576BFF">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重难点分析不够切合实际的情况、内容不够全面，得</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分；</w:t>
            </w:r>
          </w:p>
          <w:p w14:paraId="103C2CA9">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未提供的不得分。</w:t>
            </w:r>
          </w:p>
        </w:tc>
        <w:tc>
          <w:tcPr>
            <w:tcW w:w="725" w:type="dxa"/>
            <w:noWrap w:val="0"/>
            <w:vAlign w:val="center"/>
          </w:tcPr>
          <w:p w14:paraId="625927FB">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主观评审</w:t>
            </w:r>
          </w:p>
        </w:tc>
      </w:tr>
      <w:tr w14:paraId="78A32A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14:paraId="32702E06">
            <w:pPr>
              <w:snapToGrid w:val="0"/>
              <w:spacing w:line="360" w:lineRule="auto"/>
              <w:jc w:val="center"/>
              <w:rPr>
                <w:rFonts w:hint="eastAsia" w:ascii="宋体" w:hAnsi="宋体" w:cs="宋体"/>
                <w:b w:val="0"/>
                <w:bCs/>
                <w:color w:val="auto"/>
                <w:sz w:val="21"/>
                <w:szCs w:val="21"/>
                <w:highlight w:val="none"/>
              </w:rPr>
            </w:pPr>
          </w:p>
        </w:tc>
        <w:tc>
          <w:tcPr>
            <w:tcW w:w="1101" w:type="dxa"/>
            <w:vMerge w:val="continue"/>
            <w:noWrap w:val="0"/>
            <w:vAlign w:val="center"/>
          </w:tcPr>
          <w:p w14:paraId="7D70F63E">
            <w:pPr>
              <w:snapToGrid w:val="0"/>
              <w:spacing w:line="360" w:lineRule="auto"/>
              <w:jc w:val="center"/>
              <w:rPr>
                <w:rFonts w:hint="eastAsia" w:ascii="宋体" w:hAnsi="宋体" w:cs="宋体"/>
                <w:b w:val="0"/>
                <w:bCs/>
                <w:color w:val="auto"/>
                <w:sz w:val="21"/>
                <w:szCs w:val="21"/>
                <w:highlight w:val="none"/>
              </w:rPr>
            </w:pPr>
          </w:p>
        </w:tc>
        <w:tc>
          <w:tcPr>
            <w:tcW w:w="747" w:type="dxa"/>
            <w:noWrap w:val="0"/>
            <w:vAlign w:val="center"/>
          </w:tcPr>
          <w:p w14:paraId="54ECD7A4">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5</w:t>
            </w:r>
            <w:r>
              <w:rPr>
                <w:rFonts w:hint="eastAsia" w:ascii="宋体" w:hAnsi="宋体" w:cs="宋体"/>
                <w:b w:val="0"/>
                <w:bCs/>
                <w:color w:val="auto"/>
                <w:sz w:val="21"/>
                <w:szCs w:val="21"/>
                <w:highlight w:val="none"/>
              </w:rPr>
              <w:t>分</w:t>
            </w:r>
          </w:p>
        </w:tc>
        <w:tc>
          <w:tcPr>
            <w:tcW w:w="6158" w:type="dxa"/>
            <w:noWrap w:val="0"/>
            <w:vAlign w:val="center"/>
          </w:tcPr>
          <w:p w14:paraId="740C444A">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（2）针对本项目外包的重点、难点的解决措施，从对项目现场情况的掌握程度、措施的针对方法等进行评议：</w:t>
            </w:r>
          </w:p>
          <w:p w14:paraId="052081AB">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重难点掌握程度详尽、解决方法及措施可行，得5分；</w:t>
            </w:r>
          </w:p>
          <w:p w14:paraId="2F46D920">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重难点掌握程度一般、解决方法及措施可行性一般，得3分；</w:t>
            </w:r>
          </w:p>
          <w:p w14:paraId="013F33C4">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重难点掌握程度不够详尽、解决方法及措施不够可行，得1分；</w:t>
            </w:r>
          </w:p>
          <w:p w14:paraId="48F0D795">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未提供的不得分。</w:t>
            </w:r>
          </w:p>
        </w:tc>
        <w:tc>
          <w:tcPr>
            <w:tcW w:w="725" w:type="dxa"/>
            <w:noWrap w:val="0"/>
            <w:vAlign w:val="center"/>
          </w:tcPr>
          <w:p w14:paraId="3383CAB3">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主观评审</w:t>
            </w:r>
          </w:p>
        </w:tc>
      </w:tr>
      <w:tr w14:paraId="432423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18" w:hRule="atLeast"/>
          <w:jc w:val="center"/>
        </w:trPr>
        <w:tc>
          <w:tcPr>
            <w:tcW w:w="573" w:type="dxa"/>
            <w:vMerge w:val="continue"/>
            <w:noWrap w:val="0"/>
            <w:vAlign w:val="center"/>
          </w:tcPr>
          <w:p w14:paraId="306B6D44">
            <w:pPr>
              <w:snapToGrid w:val="0"/>
              <w:spacing w:line="360" w:lineRule="auto"/>
              <w:jc w:val="center"/>
              <w:rPr>
                <w:rFonts w:hint="eastAsia" w:ascii="宋体" w:hAnsi="宋体" w:cs="宋体"/>
                <w:b w:val="0"/>
                <w:bCs/>
                <w:color w:val="auto"/>
                <w:sz w:val="21"/>
                <w:szCs w:val="21"/>
                <w:highlight w:val="none"/>
              </w:rPr>
            </w:pPr>
          </w:p>
        </w:tc>
        <w:tc>
          <w:tcPr>
            <w:tcW w:w="1101" w:type="dxa"/>
            <w:noWrap w:val="0"/>
            <w:vAlign w:val="center"/>
          </w:tcPr>
          <w:p w14:paraId="3FADF661">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招聘方案</w:t>
            </w:r>
          </w:p>
        </w:tc>
        <w:tc>
          <w:tcPr>
            <w:tcW w:w="747" w:type="dxa"/>
            <w:noWrap w:val="0"/>
            <w:vAlign w:val="center"/>
          </w:tcPr>
          <w:p w14:paraId="3AF58435">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5分</w:t>
            </w:r>
          </w:p>
        </w:tc>
        <w:tc>
          <w:tcPr>
            <w:tcW w:w="6158" w:type="dxa"/>
            <w:noWrap w:val="0"/>
            <w:vAlign w:val="center"/>
          </w:tcPr>
          <w:p w14:paraId="7F97D234">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针对本项目提供的招聘方案（包括招聘渠道、招聘要求、人员背景调查、人员入离职手续办理）：</w:t>
            </w:r>
          </w:p>
          <w:p w14:paraId="7DD75D0B">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内容完全结合医院实际情况，内容详实，可操作性强的得5分；</w:t>
            </w:r>
          </w:p>
          <w:p w14:paraId="551C5573">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内容基本符合医院实际情况，招聘方案基本完整，但存在一定缺陷有待改进的得3分；</w:t>
            </w:r>
          </w:p>
          <w:p w14:paraId="735F0FB8">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内容不完整，内容分析不充分，与本项目实际需求有差距的得1分；</w:t>
            </w:r>
          </w:p>
          <w:p w14:paraId="3D11ACC7">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未提供的不得分。</w:t>
            </w:r>
          </w:p>
        </w:tc>
        <w:tc>
          <w:tcPr>
            <w:tcW w:w="725" w:type="dxa"/>
            <w:noWrap w:val="0"/>
            <w:vAlign w:val="center"/>
          </w:tcPr>
          <w:p w14:paraId="3E318751">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主观评审</w:t>
            </w:r>
          </w:p>
        </w:tc>
      </w:tr>
      <w:tr w14:paraId="64DF9E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14:paraId="6923F1B5">
            <w:pPr>
              <w:snapToGrid w:val="0"/>
              <w:spacing w:line="360" w:lineRule="auto"/>
              <w:jc w:val="center"/>
              <w:rPr>
                <w:rFonts w:hint="eastAsia" w:ascii="宋体" w:hAnsi="宋体" w:cs="宋体"/>
                <w:b w:val="0"/>
                <w:bCs/>
                <w:color w:val="auto"/>
                <w:sz w:val="21"/>
                <w:szCs w:val="21"/>
                <w:highlight w:val="none"/>
              </w:rPr>
            </w:pPr>
          </w:p>
        </w:tc>
        <w:tc>
          <w:tcPr>
            <w:tcW w:w="1101" w:type="dxa"/>
            <w:noWrap w:val="0"/>
            <w:vAlign w:val="center"/>
          </w:tcPr>
          <w:p w14:paraId="69DC8CF2">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纠纷处理方案</w:t>
            </w:r>
          </w:p>
        </w:tc>
        <w:tc>
          <w:tcPr>
            <w:tcW w:w="747" w:type="dxa"/>
            <w:noWrap w:val="0"/>
            <w:vAlign w:val="center"/>
          </w:tcPr>
          <w:p w14:paraId="3630C7E1">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5分</w:t>
            </w:r>
          </w:p>
        </w:tc>
        <w:tc>
          <w:tcPr>
            <w:tcW w:w="6158" w:type="dxa"/>
            <w:noWrap w:val="0"/>
            <w:vAlign w:val="center"/>
          </w:tcPr>
          <w:p w14:paraId="635936B4">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针对本项目提供的纠纷处理方案（包括处理人员劳动争议、纠纷、人员安全事故处理、仲裁、诉讼事宜）进行评议：</w:t>
            </w:r>
          </w:p>
          <w:p w14:paraId="11C8F88D">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各项服务承诺能与采购人实际相结合，能提供实质性承诺及保障措施，能有效保证纠纷处理妥善解决的得5分；</w:t>
            </w:r>
          </w:p>
          <w:p w14:paraId="714174C7">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各项服务承诺与采购人实际欠符合，承诺及保障欠符合医院纠纷处理需要，不够满足采购人要求的得3分；</w:t>
            </w:r>
          </w:p>
          <w:p w14:paraId="5C56EF32">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纠纷处理方案与采购人实际需求存在巨大偏差，会严重影响医院声誉的得1分。</w:t>
            </w:r>
          </w:p>
          <w:p w14:paraId="65B3B7E5">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未提供的不得分。</w:t>
            </w:r>
          </w:p>
        </w:tc>
        <w:tc>
          <w:tcPr>
            <w:tcW w:w="725" w:type="dxa"/>
            <w:noWrap w:val="0"/>
            <w:vAlign w:val="center"/>
          </w:tcPr>
          <w:p w14:paraId="2985E0BB">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主观评审</w:t>
            </w:r>
          </w:p>
        </w:tc>
      </w:tr>
      <w:tr w14:paraId="62D07F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14:paraId="14CFDA52">
            <w:pPr>
              <w:snapToGrid w:val="0"/>
              <w:spacing w:line="360" w:lineRule="auto"/>
              <w:jc w:val="center"/>
              <w:rPr>
                <w:rFonts w:hint="eastAsia" w:ascii="宋体" w:hAnsi="宋体" w:cs="宋体"/>
                <w:b w:val="0"/>
                <w:bCs/>
                <w:color w:val="auto"/>
                <w:sz w:val="21"/>
                <w:szCs w:val="21"/>
                <w:highlight w:val="none"/>
              </w:rPr>
            </w:pPr>
          </w:p>
        </w:tc>
        <w:tc>
          <w:tcPr>
            <w:tcW w:w="1101" w:type="dxa"/>
            <w:noWrap w:val="0"/>
            <w:vAlign w:val="center"/>
          </w:tcPr>
          <w:p w14:paraId="38AB1753">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应急预案措施</w:t>
            </w:r>
          </w:p>
        </w:tc>
        <w:tc>
          <w:tcPr>
            <w:tcW w:w="747" w:type="dxa"/>
            <w:noWrap w:val="0"/>
            <w:vAlign w:val="center"/>
          </w:tcPr>
          <w:p w14:paraId="6C6A4E37">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5分</w:t>
            </w:r>
          </w:p>
        </w:tc>
        <w:tc>
          <w:tcPr>
            <w:tcW w:w="6158" w:type="dxa"/>
            <w:noWrap w:val="0"/>
            <w:vAlign w:val="center"/>
          </w:tcPr>
          <w:p w14:paraId="06BE9C22">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针对</w:t>
            </w:r>
            <w:r>
              <w:rPr>
                <w:rFonts w:hint="eastAsia" w:ascii="宋体" w:hAnsi="宋体" w:cs="宋体"/>
                <w:b w:val="0"/>
                <w:bCs/>
                <w:color w:val="auto"/>
                <w:sz w:val="21"/>
                <w:szCs w:val="21"/>
                <w:highlight w:val="none"/>
              </w:rPr>
              <w:t>本项目提供的应</w:t>
            </w:r>
            <w:r>
              <w:rPr>
                <w:rFonts w:hint="eastAsia" w:ascii="宋体" w:hAnsi="宋体" w:cs="宋体"/>
                <w:b w:val="0"/>
                <w:bCs/>
                <w:color w:val="auto"/>
                <w:sz w:val="21"/>
                <w:szCs w:val="21"/>
                <w:highlight w:val="none"/>
                <w:lang w:val="en-US" w:eastAsia="zh-CN"/>
              </w:rPr>
              <w:t>预案措施等</w:t>
            </w:r>
            <w:r>
              <w:rPr>
                <w:rFonts w:hint="eastAsia" w:ascii="宋体" w:hAnsi="宋体" w:cs="宋体"/>
                <w:b w:val="0"/>
                <w:bCs/>
                <w:color w:val="auto"/>
                <w:sz w:val="21"/>
                <w:szCs w:val="21"/>
                <w:highlight w:val="none"/>
              </w:rPr>
              <w:t>进行评议：</w:t>
            </w:r>
          </w:p>
          <w:p w14:paraId="592DFD2B">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重大</w:t>
            </w:r>
            <w:r>
              <w:rPr>
                <w:rFonts w:hint="eastAsia" w:ascii="宋体" w:hAnsi="宋体" w:cs="宋体"/>
                <w:b w:val="0"/>
                <w:bCs/>
                <w:color w:val="auto"/>
                <w:sz w:val="21"/>
                <w:szCs w:val="21"/>
                <w:highlight w:val="none"/>
                <w:lang w:val="en-US" w:eastAsia="zh-CN"/>
              </w:rPr>
              <w:t>预案、</w:t>
            </w:r>
            <w:r>
              <w:rPr>
                <w:rFonts w:hint="eastAsia" w:ascii="宋体" w:hAnsi="宋体" w:cs="宋体"/>
                <w:b w:val="0"/>
                <w:bCs/>
                <w:color w:val="auto"/>
                <w:sz w:val="21"/>
                <w:szCs w:val="21"/>
                <w:highlight w:val="none"/>
              </w:rPr>
              <w:t>突发情况内容描述清晰，得5分；</w:t>
            </w:r>
          </w:p>
          <w:p w14:paraId="4632BEB1">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重大</w:t>
            </w:r>
            <w:r>
              <w:rPr>
                <w:rFonts w:hint="eastAsia" w:ascii="宋体" w:hAnsi="宋体" w:cs="宋体"/>
                <w:b w:val="0"/>
                <w:bCs/>
                <w:color w:val="auto"/>
                <w:sz w:val="21"/>
                <w:szCs w:val="21"/>
                <w:highlight w:val="none"/>
                <w:lang w:val="en-US" w:eastAsia="zh-CN"/>
              </w:rPr>
              <w:t>预案、</w:t>
            </w:r>
            <w:r>
              <w:rPr>
                <w:rFonts w:hint="eastAsia" w:ascii="宋体" w:hAnsi="宋体" w:cs="宋体"/>
                <w:b w:val="0"/>
                <w:bCs/>
                <w:color w:val="auto"/>
                <w:sz w:val="21"/>
                <w:szCs w:val="21"/>
                <w:highlight w:val="none"/>
              </w:rPr>
              <w:t>突发情况内容描述基本清晰，得3分；</w:t>
            </w:r>
          </w:p>
          <w:p w14:paraId="63D5E2B7">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重大</w:t>
            </w:r>
            <w:r>
              <w:rPr>
                <w:rFonts w:hint="eastAsia" w:ascii="宋体" w:hAnsi="宋体" w:cs="宋体"/>
                <w:b w:val="0"/>
                <w:bCs/>
                <w:color w:val="auto"/>
                <w:sz w:val="21"/>
                <w:szCs w:val="21"/>
                <w:highlight w:val="none"/>
                <w:lang w:val="en-US" w:eastAsia="zh-CN"/>
              </w:rPr>
              <w:t>预案、</w:t>
            </w:r>
            <w:r>
              <w:rPr>
                <w:rFonts w:hint="eastAsia" w:ascii="宋体" w:hAnsi="宋体" w:cs="宋体"/>
                <w:b w:val="0"/>
                <w:bCs/>
                <w:color w:val="auto"/>
                <w:sz w:val="21"/>
                <w:szCs w:val="21"/>
                <w:highlight w:val="none"/>
              </w:rPr>
              <w:t>突发情况内容描述模糊，得1分；</w:t>
            </w:r>
          </w:p>
          <w:p w14:paraId="569612A2">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未提供的不得分。</w:t>
            </w:r>
          </w:p>
        </w:tc>
        <w:tc>
          <w:tcPr>
            <w:tcW w:w="725" w:type="dxa"/>
            <w:noWrap w:val="0"/>
            <w:vAlign w:val="center"/>
          </w:tcPr>
          <w:p w14:paraId="1D6F661A">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主观评审</w:t>
            </w:r>
          </w:p>
        </w:tc>
      </w:tr>
      <w:tr w14:paraId="7790E4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14:paraId="50883D24">
            <w:pPr>
              <w:snapToGrid w:val="0"/>
              <w:spacing w:line="360" w:lineRule="auto"/>
              <w:jc w:val="center"/>
              <w:rPr>
                <w:rFonts w:hint="eastAsia" w:ascii="宋体" w:hAnsi="宋体" w:cs="宋体"/>
                <w:b w:val="0"/>
                <w:bCs/>
                <w:color w:val="auto"/>
                <w:sz w:val="21"/>
                <w:szCs w:val="21"/>
                <w:highlight w:val="none"/>
              </w:rPr>
            </w:pPr>
          </w:p>
        </w:tc>
        <w:tc>
          <w:tcPr>
            <w:tcW w:w="1101" w:type="dxa"/>
            <w:vMerge w:val="restart"/>
            <w:noWrap w:val="0"/>
            <w:vAlign w:val="center"/>
          </w:tcPr>
          <w:p w14:paraId="5CCB1497">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人员情况</w:t>
            </w:r>
          </w:p>
        </w:tc>
        <w:tc>
          <w:tcPr>
            <w:tcW w:w="747" w:type="dxa"/>
            <w:noWrap w:val="0"/>
            <w:vAlign w:val="center"/>
          </w:tcPr>
          <w:p w14:paraId="05084640">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4</w:t>
            </w:r>
            <w:r>
              <w:rPr>
                <w:rFonts w:hint="eastAsia" w:ascii="宋体" w:hAnsi="宋体" w:cs="宋体"/>
                <w:b w:val="0"/>
                <w:bCs/>
                <w:color w:val="auto"/>
                <w:sz w:val="21"/>
                <w:szCs w:val="21"/>
                <w:highlight w:val="none"/>
              </w:rPr>
              <w:t>分</w:t>
            </w:r>
          </w:p>
        </w:tc>
        <w:tc>
          <w:tcPr>
            <w:tcW w:w="6158" w:type="dxa"/>
            <w:noWrap w:val="0"/>
            <w:vAlign w:val="center"/>
          </w:tcPr>
          <w:p w14:paraId="02234BFC">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rPr>
              <w:t>（1）</w:t>
            </w:r>
            <w:r>
              <w:rPr>
                <w:rFonts w:hint="eastAsia" w:ascii="宋体" w:hAnsi="宋体" w:cs="宋体"/>
                <w:b w:val="0"/>
                <w:bCs/>
                <w:color w:val="auto"/>
                <w:sz w:val="21"/>
                <w:szCs w:val="21"/>
                <w:highlight w:val="none"/>
                <w:lang w:val="en-US" w:eastAsia="zh-CN"/>
              </w:rPr>
              <w:t>项目经理：具有本科及以上学历的得2分；具有医院管理经验的（提供相关盖章证明材料）得2分。</w:t>
            </w:r>
          </w:p>
          <w:p w14:paraId="02206F5F">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注：投标文件中需提供证书复印件及供应商为其交纳的开标前近三个月任意一个月的社保证明并加盖公章。</w:t>
            </w:r>
          </w:p>
        </w:tc>
        <w:tc>
          <w:tcPr>
            <w:tcW w:w="725" w:type="dxa"/>
            <w:noWrap w:val="0"/>
            <w:vAlign w:val="center"/>
          </w:tcPr>
          <w:p w14:paraId="7E103B72">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客观评审</w:t>
            </w:r>
          </w:p>
        </w:tc>
      </w:tr>
      <w:tr w14:paraId="51189E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14:paraId="68D2CC50">
            <w:pPr>
              <w:snapToGrid w:val="0"/>
              <w:spacing w:line="360" w:lineRule="auto"/>
              <w:jc w:val="center"/>
              <w:rPr>
                <w:rFonts w:hint="eastAsia" w:ascii="宋体" w:hAnsi="宋体" w:cs="宋体"/>
                <w:b w:val="0"/>
                <w:bCs/>
                <w:color w:val="auto"/>
                <w:sz w:val="21"/>
                <w:szCs w:val="21"/>
                <w:highlight w:val="none"/>
              </w:rPr>
            </w:pPr>
          </w:p>
        </w:tc>
        <w:tc>
          <w:tcPr>
            <w:tcW w:w="1101" w:type="dxa"/>
            <w:vMerge w:val="continue"/>
            <w:noWrap w:val="0"/>
            <w:vAlign w:val="center"/>
          </w:tcPr>
          <w:p w14:paraId="64BDDEED">
            <w:pPr>
              <w:snapToGrid w:val="0"/>
              <w:spacing w:line="360" w:lineRule="auto"/>
              <w:jc w:val="center"/>
              <w:rPr>
                <w:rFonts w:hint="eastAsia" w:ascii="宋体" w:hAnsi="宋体" w:cs="宋体"/>
                <w:b w:val="0"/>
                <w:bCs/>
                <w:color w:val="auto"/>
                <w:sz w:val="21"/>
                <w:szCs w:val="21"/>
                <w:highlight w:val="none"/>
              </w:rPr>
            </w:pPr>
          </w:p>
        </w:tc>
        <w:tc>
          <w:tcPr>
            <w:tcW w:w="747" w:type="dxa"/>
            <w:noWrap w:val="0"/>
            <w:vAlign w:val="center"/>
          </w:tcPr>
          <w:p w14:paraId="5A80E6A2">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5</w:t>
            </w:r>
            <w:r>
              <w:rPr>
                <w:rFonts w:hint="eastAsia" w:ascii="宋体" w:hAnsi="宋体" w:cs="宋体"/>
                <w:b w:val="0"/>
                <w:bCs/>
                <w:color w:val="auto"/>
                <w:sz w:val="21"/>
                <w:szCs w:val="21"/>
                <w:highlight w:val="none"/>
              </w:rPr>
              <w:t>分</w:t>
            </w:r>
          </w:p>
        </w:tc>
        <w:tc>
          <w:tcPr>
            <w:tcW w:w="6158" w:type="dxa"/>
            <w:noWrap w:val="0"/>
            <w:vAlign w:val="center"/>
          </w:tcPr>
          <w:p w14:paraId="51578A4A">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（2）针对本项目提供管理团队成员方案进行评议：</w:t>
            </w:r>
          </w:p>
          <w:p w14:paraId="6C09D4C5">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管理团队人员配置合理，有较强的人员监督管理意识，人员素质整体良好且经验丰富，能完全满足采购人需求的5分；</w:t>
            </w:r>
          </w:p>
          <w:p w14:paraId="2139B728">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管理团队人员配置不够完善，但能确保在合同期内完成监督管理任务的得3分；</w:t>
            </w:r>
          </w:p>
          <w:p w14:paraId="4816E3D3">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管理团队能确保完成任务，但人员质量良莠不齐，经验上略有欠缺的得2分；</w:t>
            </w:r>
          </w:p>
          <w:p w14:paraId="76B91D51">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未提供管理人员成员清单，但有相关内容的得1分。</w:t>
            </w:r>
          </w:p>
          <w:p w14:paraId="3DA94B54">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未提供的不得分。</w:t>
            </w:r>
          </w:p>
        </w:tc>
        <w:tc>
          <w:tcPr>
            <w:tcW w:w="725" w:type="dxa"/>
            <w:noWrap w:val="0"/>
            <w:vAlign w:val="center"/>
          </w:tcPr>
          <w:p w14:paraId="35F9B4B0">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主观评审</w:t>
            </w:r>
          </w:p>
        </w:tc>
      </w:tr>
      <w:tr w14:paraId="231A57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573" w:type="dxa"/>
            <w:vMerge w:val="continue"/>
            <w:noWrap w:val="0"/>
            <w:vAlign w:val="center"/>
          </w:tcPr>
          <w:p w14:paraId="7121B6C1">
            <w:pPr>
              <w:snapToGrid w:val="0"/>
              <w:spacing w:line="360" w:lineRule="auto"/>
              <w:jc w:val="center"/>
              <w:rPr>
                <w:rFonts w:hint="eastAsia" w:ascii="宋体" w:hAnsi="宋体" w:cs="宋体"/>
                <w:b w:val="0"/>
                <w:bCs/>
                <w:color w:val="auto"/>
                <w:sz w:val="21"/>
                <w:szCs w:val="21"/>
                <w:highlight w:val="none"/>
              </w:rPr>
            </w:pPr>
          </w:p>
        </w:tc>
        <w:tc>
          <w:tcPr>
            <w:tcW w:w="1101" w:type="dxa"/>
            <w:vMerge w:val="continue"/>
            <w:noWrap w:val="0"/>
            <w:vAlign w:val="center"/>
          </w:tcPr>
          <w:p w14:paraId="396E70EC">
            <w:pPr>
              <w:snapToGrid w:val="0"/>
              <w:spacing w:line="360" w:lineRule="auto"/>
              <w:jc w:val="center"/>
              <w:rPr>
                <w:rFonts w:hint="eastAsia" w:ascii="宋体" w:hAnsi="宋体" w:cs="宋体"/>
                <w:b w:val="0"/>
                <w:bCs/>
                <w:color w:val="auto"/>
                <w:sz w:val="21"/>
                <w:szCs w:val="21"/>
                <w:highlight w:val="none"/>
              </w:rPr>
            </w:pPr>
          </w:p>
        </w:tc>
        <w:tc>
          <w:tcPr>
            <w:tcW w:w="747" w:type="dxa"/>
            <w:noWrap w:val="0"/>
            <w:vAlign w:val="center"/>
          </w:tcPr>
          <w:p w14:paraId="1E37BBB7">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5</w:t>
            </w:r>
            <w:r>
              <w:rPr>
                <w:rFonts w:hint="eastAsia" w:ascii="宋体" w:hAnsi="宋体" w:cs="宋体"/>
                <w:b w:val="0"/>
                <w:bCs/>
                <w:color w:val="auto"/>
                <w:sz w:val="21"/>
                <w:szCs w:val="21"/>
                <w:highlight w:val="none"/>
              </w:rPr>
              <w:t>分</w:t>
            </w:r>
          </w:p>
        </w:tc>
        <w:tc>
          <w:tcPr>
            <w:tcW w:w="6158" w:type="dxa"/>
            <w:noWrap w:val="0"/>
            <w:vAlign w:val="center"/>
          </w:tcPr>
          <w:p w14:paraId="014C8238">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针对</w:t>
            </w:r>
            <w:r>
              <w:rPr>
                <w:rFonts w:hint="eastAsia" w:ascii="宋体" w:hAnsi="宋体" w:cs="宋体"/>
                <w:b w:val="0"/>
                <w:bCs/>
                <w:color w:val="auto"/>
                <w:sz w:val="21"/>
                <w:szCs w:val="21"/>
                <w:highlight w:val="none"/>
              </w:rPr>
              <w:t>本项目的员工稳定性方案进行评议：</w:t>
            </w:r>
          </w:p>
          <w:p w14:paraId="7C86B141">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奖惩制度规范、福利待遇明确、能有效保障员工权益、绩效考核制度健全，可以有效实施的得5分；</w:t>
            </w:r>
          </w:p>
          <w:p w14:paraId="7FAD1F9B">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奖惩制度、绩效考核制度完整、有利管理，福利待遇基本能保证员工权益的得3分；</w:t>
            </w:r>
          </w:p>
          <w:p w14:paraId="1E8E6C2A">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未能明确阐述各项福利待遇，奖惩制度、考核制度存在缺陷，有待改进的得2分；</w:t>
            </w:r>
          </w:p>
          <w:p w14:paraId="4C4B92F4">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未提供服务奖惩制度规范、福利待遇，实行上略有欠缺的得1分；</w:t>
            </w:r>
          </w:p>
          <w:p w14:paraId="1A0BB3E2">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未提供的不得分。</w:t>
            </w:r>
          </w:p>
        </w:tc>
        <w:tc>
          <w:tcPr>
            <w:tcW w:w="725" w:type="dxa"/>
            <w:noWrap w:val="0"/>
            <w:vAlign w:val="center"/>
          </w:tcPr>
          <w:p w14:paraId="5C31941E">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主观评审</w:t>
            </w:r>
          </w:p>
        </w:tc>
      </w:tr>
      <w:tr w14:paraId="019E33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573" w:type="dxa"/>
            <w:vMerge w:val="continue"/>
            <w:noWrap w:val="0"/>
            <w:vAlign w:val="center"/>
          </w:tcPr>
          <w:p w14:paraId="0CD536C7">
            <w:pPr>
              <w:snapToGrid w:val="0"/>
              <w:spacing w:line="360" w:lineRule="auto"/>
              <w:jc w:val="center"/>
              <w:rPr>
                <w:rFonts w:hint="eastAsia" w:ascii="宋体" w:hAnsi="宋体" w:cs="宋体"/>
                <w:b w:val="0"/>
                <w:bCs/>
                <w:color w:val="auto"/>
                <w:sz w:val="21"/>
                <w:szCs w:val="21"/>
                <w:highlight w:val="none"/>
              </w:rPr>
            </w:pPr>
          </w:p>
        </w:tc>
        <w:tc>
          <w:tcPr>
            <w:tcW w:w="1101" w:type="dxa"/>
            <w:vMerge w:val="continue"/>
            <w:noWrap w:val="0"/>
            <w:vAlign w:val="center"/>
          </w:tcPr>
          <w:p w14:paraId="7735A5D8">
            <w:pPr>
              <w:snapToGrid w:val="0"/>
              <w:spacing w:line="360" w:lineRule="auto"/>
              <w:jc w:val="center"/>
              <w:rPr>
                <w:rFonts w:hint="eastAsia" w:ascii="宋体" w:hAnsi="宋体" w:cs="宋体"/>
                <w:b w:val="0"/>
                <w:bCs/>
                <w:color w:val="auto"/>
                <w:sz w:val="21"/>
                <w:szCs w:val="21"/>
                <w:highlight w:val="none"/>
              </w:rPr>
            </w:pPr>
          </w:p>
        </w:tc>
        <w:tc>
          <w:tcPr>
            <w:tcW w:w="747" w:type="dxa"/>
            <w:noWrap w:val="0"/>
            <w:vAlign w:val="center"/>
          </w:tcPr>
          <w:p w14:paraId="18C4B93E">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5分</w:t>
            </w:r>
          </w:p>
        </w:tc>
        <w:tc>
          <w:tcPr>
            <w:tcW w:w="6158" w:type="dxa"/>
            <w:noWrap w:val="0"/>
            <w:vAlign w:val="center"/>
          </w:tcPr>
          <w:p w14:paraId="3C6C2BAE">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4</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针对本项目项目人员</w:t>
            </w:r>
            <w:r>
              <w:rPr>
                <w:rFonts w:hint="eastAsia" w:ascii="宋体" w:hAnsi="宋体" w:cs="宋体"/>
                <w:b w:val="0"/>
                <w:bCs/>
                <w:color w:val="auto"/>
                <w:sz w:val="21"/>
                <w:szCs w:val="21"/>
                <w:highlight w:val="none"/>
                <w:lang w:val="en-US" w:eastAsia="zh-CN"/>
              </w:rPr>
              <w:t>的</w:t>
            </w:r>
            <w:r>
              <w:rPr>
                <w:rFonts w:hint="eastAsia" w:ascii="宋体" w:hAnsi="宋体" w:cs="宋体"/>
                <w:b w:val="0"/>
                <w:bCs/>
                <w:color w:val="auto"/>
                <w:sz w:val="21"/>
                <w:szCs w:val="21"/>
                <w:highlight w:val="none"/>
              </w:rPr>
              <w:t>衔接方案进行评议：</w:t>
            </w:r>
          </w:p>
          <w:p w14:paraId="53482FD2">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项目人员衔接方案切合实际，能确保医院正常运营，不会打乱医院现有人员工作的得5分；</w:t>
            </w:r>
          </w:p>
          <w:p w14:paraId="3E5A3475">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项目人员衔接方案存在一定风险，有可能会影响医院正常运营，但不会打乱医院原有人员工作的得3分；</w:t>
            </w:r>
          </w:p>
          <w:p w14:paraId="1A0D6077">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项目人员衔接方案存在一定风险，有可能会影响医院正常运营，且会打乱医院原有人员工作的得2分；</w:t>
            </w:r>
          </w:p>
          <w:p w14:paraId="0CB5C154">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项目人员衔接方案存在巨大风险，会严重扰乱医院秩序得1分；</w:t>
            </w:r>
          </w:p>
          <w:p w14:paraId="717B9128">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未提供的不得分。</w:t>
            </w:r>
          </w:p>
        </w:tc>
        <w:tc>
          <w:tcPr>
            <w:tcW w:w="725" w:type="dxa"/>
            <w:noWrap w:val="0"/>
            <w:vAlign w:val="center"/>
          </w:tcPr>
          <w:p w14:paraId="0AA00B74">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主观评审</w:t>
            </w:r>
          </w:p>
        </w:tc>
      </w:tr>
      <w:tr w14:paraId="2DD943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573" w:type="dxa"/>
            <w:vMerge w:val="continue"/>
            <w:noWrap w:val="0"/>
            <w:vAlign w:val="center"/>
          </w:tcPr>
          <w:p w14:paraId="536C3AAD">
            <w:pPr>
              <w:snapToGrid w:val="0"/>
              <w:spacing w:line="360" w:lineRule="auto"/>
              <w:jc w:val="center"/>
              <w:rPr>
                <w:rFonts w:hint="eastAsia" w:ascii="宋体" w:hAnsi="宋体" w:cs="宋体"/>
                <w:b w:val="0"/>
                <w:bCs/>
                <w:color w:val="auto"/>
                <w:sz w:val="21"/>
                <w:szCs w:val="21"/>
                <w:highlight w:val="none"/>
              </w:rPr>
            </w:pPr>
          </w:p>
        </w:tc>
        <w:tc>
          <w:tcPr>
            <w:tcW w:w="1101" w:type="dxa"/>
            <w:noWrap w:val="0"/>
            <w:vAlign w:val="center"/>
          </w:tcPr>
          <w:p w14:paraId="3EE6B496">
            <w:pPr>
              <w:snapToGrid w:val="0"/>
              <w:spacing w:line="360" w:lineRule="auto"/>
              <w:jc w:val="center"/>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质量保证措施</w:t>
            </w:r>
          </w:p>
        </w:tc>
        <w:tc>
          <w:tcPr>
            <w:tcW w:w="747" w:type="dxa"/>
            <w:noWrap w:val="0"/>
            <w:vAlign w:val="center"/>
          </w:tcPr>
          <w:p w14:paraId="71ED4F2D">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5分</w:t>
            </w:r>
          </w:p>
        </w:tc>
        <w:tc>
          <w:tcPr>
            <w:tcW w:w="6158" w:type="dxa"/>
            <w:noWrap w:val="0"/>
            <w:vAlign w:val="center"/>
          </w:tcPr>
          <w:p w14:paraId="534C0CE2">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根据供应商提供的质量保证措施进行评议：</w:t>
            </w:r>
          </w:p>
          <w:p w14:paraId="4BC9E62B">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保证措施全面及流程合理且满足项目要求的，得5分；</w:t>
            </w:r>
          </w:p>
          <w:p w14:paraId="672B777B">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保证措施基本全面及流程基本合理且基本满足项目要求的，得3分；</w:t>
            </w:r>
          </w:p>
          <w:p w14:paraId="1FB5CE9B">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保证措施不全面及流程不合理且不满足项目要求的，得1分；</w:t>
            </w:r>
          </w:p>
          <w:p w14:paraId="3D3F58C1">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未提供的不得分。</w:t>
            </w:r>
          </w:p>
        </w:tc>
        <w:tc>
          <w:tcPr>
            <w:tcW w:w="725" w:type="dxa"/>
            <w:noWrap w:val="0"/>
            <w:vAlign w:val="center"/>
          </w:tcPr>
          <w:p w14:paraId="1B56EF2F">
            <w:pPr>
              <w:snapToGrid w:val="0"/>
              <w:spacing w:line="360" w:lineRule="auto"/>
              <w:jc w:val="center"/>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主观评审</w:t>
            </w:r>
          </w:p>
        </w:tc>
      </w:tr>
      <w:tr w14:paraId="2C616F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 w:hRule="atLeast"/>
          <w:jc w:val="center"/>
        </w:trPr>
        <w:tc>
          <w:tcPr>
            <w:tcW w:w="573" w:type="dxa"/>
            <w:vMerge w:val="continue"/>
            <w:noWrap w:val="0"/>
            <w:vAlign w:val="center"/>
          </w:tcPr>
          <w:p w14:paraId="190E5BCA">
            <w:pPr>
              <w:snapToGrid w:val="0"/>
              <w:spacing w:line="360" w:lineRule="auto"/>
              <w:jc w:val="center"/>
              <w:rPr>
                <w:rFonts w:hint="eastAsia" w:ascii="宋体" w:hAnsi="宋体" w:cs="宋体"/>
                <w:b w:val="0"/>
                <w:bCs/>
                <w:color w:val="auto"/>
                <w:sz w:val="21"/>
                <w:szCs w:val="21"/>
                <w:highlight w:val="none"/>
              </w:rPr>
            </w:pPr>
          </w:p>
        </w:tc>
        <w:tc>
          <w:tcPr>
            <w:tcW w:w="1101" w:type="dxa"/>
            <w:vMerge w:val="restart"/>
            <w:noWrap w:val="0"/>
            <w:vAlign w:val="center"/>
          </w:tcPr>
          <w:p w14:paraId="29F0939A">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员工培训方案</w:t>
            </w:r>
          </w:p>
        </w:tc>
        <w:tc>
          <w:tcPr>
            <w:tcW w:w="747" w:type="dxa"/>
            <w:noWrap w:val="0"/>
            <w:vAlign w:val="center"/>
          </w:tcPr>
          <w:p w14:paraId="132E412B">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5</w:t>
            </w:r>
            <w:r>
              <w:rPr>
                <w:rFonts w:hint="eastAsia" w:ascii="宋体" w:hAnsi="宋体" w:cs="宋体"/>
                <w:b w:val="0"/>
                <w:bCs/>
                <w:color w:val="auto"/>
                <w:sz w:val="21"/>
                <w:szCs w:val="21"/>
                <w:highlight w:val="none"/>
              </w:rPr>
              <w:t>分</w:t>
            </w:r>
          </w:p>
        </w:tc>
        <w:tc>
          <w:tcPr>
            <w:tcW w:w="6158" w:type="dxa"/>
            <w:noWrap w:val="0"/>
            <w:vAlign w:val="center"/>
          </w:tcPr>
          <w:p w14:paraId="3DECB2D8">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根据</w:t>
            </w:r>
            <w:r>
              <w:rPr>
                <w:rFonts w:hint="eastAsia" w:ascii="宋体" w:hAnsi="宋体" w:cs="宋体"/>
                <w:b w:val="0"/>
                <w:bCs/>
                <w:color w:val="auto"/>
                <w:sz w:val="21"/>
                <w:szCs w:val="21"/>
                <w:highlight w:val="none"/>
                <w:lang w:eastAsia="zh-CN"/>
              </w:rPr>
              <w:t>供应商</w:t>
            </w:r>
            <w:r>
              <w:rPr>
                <w:rFonts w:hint="eastAsia" w:ascii="宋体" w:hAnsi="宋体" w:cs="宋体"/>
                <w:b w:val="0"/>
                <w:bCs/>
                <w:color w:val="auto"/>
                <w:sz w:val="21"/>
                <w:szCs w:val="21"/>
                <w:highlight w:val="none"/>
              </w:rPr>
              <w:t>提供的培训内容进行评议：</w:t>
            </w:r>
          </w:p>
          <w:p w14:paraId="1C585A2A">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培训内容全面且满足项目要求的，得5分；</w:t>
            </w:r>
          </w:p>
          <w:p w14:paraId="7BA16C6F">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培训内容基本全面且基本满足项目要求的，得3分；</w:t>
            </w:r>
          </w:p>
          <w:p w14:paraId="1D1EDF0C">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培训内容不全面且不满足项目要求的，得1分；</w:t>
            </w:r>
          </w:p>
          <w:p w14:paraId="380F967F">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未提供的不得分。</w:t>
            </w:r>
          </w:p>
        </w:tc>
        <w:tc>
          <w:tcPr>
            <w:tcW w:w="725" w:type="dxa"/>
            <w:noWrap w:val="0"/>
            <w:vAlign w:val="center"/>
          </w:tcPr>
          <w:p w14:paraId="3B566919">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主观评审</w:t>
            </w:r>
          </w:p>
        </w:tc>
      </w:tr>
      <w:tr w14:paraId="4DD9EA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 w:hRule="atLeast"/>
          <w:jc w:val="center"/>
        </w:trPr>
        <w:tc>
          <w:tcPr>
            <w:tcW w:w="573" w:type="dxa"/>
            <w:vMerge w:val="continue"/>
            <w:noWrap w:val="0"/>
            <w:vAlign w:val="center"/>
          </w:tcPr>
          <w:p w14:paraId="18CCDABC">
            <w:pPr>
              <w:snapToGrid w:val="0"/>
              <w:spacing w:line="360" w:lineRule="auto"/>
              <w:jc w:val="center"/>
              <w:rPr>
                <w:rFonts w:hint="eastAsia" w:ascii="宋体" w:hAnsi="宋体" w:cs="宋体"/>
                <w:b w:val="0"/>
                <w:bCs/>
                <w:color w:val="auto"/>
                <w:sz w:val="21"/>
                <w:szCs w:val="21"/>
                <w:highlight w:val="none"/>
              </w:rPr>
            </w:pPr>
          </w:p>
        </w:tc>
        <w:tc>
          <w:tcPr>
            <w:tcW w:w="1101" w:type="dxa"/>
            <w:vMerge w:val="continue"/>
            <w:noWrap w:val="0"/>
            <w:vAlign w:val="center"/>
          </w:tcPr>
          <w:p w14:paraId="4B7A32A1">
            <w:pPr>
              <w:snapToGrid w:val="0"/>
              <w:spacing w:line="360" w:lineRule="auto"/>
              <w:jc w:val="center"/>
              <w:rPr>
                <w:rFonts w:hint="eastAsia" w:ascii="宋体" w:hAnsi="宋体" w:cs="宋体"/>
                <w:b w:val="0"/>
                <w:bCs/>
                <w:color w:val="auto"/>
                <w:sz w:val="21"/>
                <w:szCs w:val="21"/>
                <w:highlight w:val="none"/>
              </w:rPr>
            </w:pPr>
          </w:p>
        </w:tc>
        <w:tc>
          <w:tcPr>
            <w:tcW w:w="747" w:type="dxa"/>
            <w:noWrap w:val="0"/>
            <w:vAlign w:val="center"/>
          </w:tcPr>
          <w:p w14:paraId="263140BA">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5分</w:t>
            </w:r>
          </w:p>
        </w:tc>
        <w:tc>
          <w:tcPr>
            <w:tcW w:w="6158" w:type="dxa"/>
            <w:noWrap w:val="0"/>
            <w:vAlign w:val="center"/>
          </w:tcPr>
          <w:p w14:paraId="588618C0">
            <w:pPr>
              <w:snapToGrid w:val="0"/>
              <w:spacing w:line="360" w:lineRule="auto"/>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根据</w:t>
            </w:r>
            <w:r>
              <w:rPr>
                <w:rFonts w:hint="eastAsia" w:ascii="宋体" w:hAnsi="宋体" w:cs="宋体"/>
                <w:b w:val="0"/>
                <w:bCs/>
                <w:color w:val="auto"/>
                <w:sz w:val="21"/>
                <w:szCs w:val="21"/>
                <w:highlight w:val="none"/>
                <w:lang w:eastAsia="zh-CN"/>
              </w:rPr>
              <w:t>供应商</w:t>
            </w:r>
            <w:r>
              <w:rPr>
                <w:rFonts w:hint="eastAsia" w:ascii="宋体" w:hAnsi="宋体" w:cs="宋体"/>
                <w:b w:val="0"/>
                <w:bCs/>
                <w:color w:val="auto"/>
                <w:sz w:val="21"/>
                <w:szCs w:val="21"/>
                <w:highlight w:val="none"/>
              </w:rPr>
              <w:t>提供的培训计划进行评议</w:t>
            </w:r>
            <w:r>
              <w:rPr>
                <w:rFonts w:hint="eastAsia" w:ascii="宋体" w:hAnsi="宋体" w:cs="宋体"/>
                <w:b w:val="0"/>
                <w:bCs/>
                <w:color w:val="auto"/>
                <w:sz w:val="21"/>
                <w:szCs w:val="21"/>
                <w:highlight w:val="none"/>
                <w:lang w:eastAsia="zh-CN"/>
              </w:rPr>
              <w:t>：</w:t>
            </w:r>
          </w:p>
          <w:p w14:paraId="5460F10A">
            <w:pPr>
              <w:snapToGrid w:val="0"/>
              <w:spacing w:line="360" w:lineRule="auto"/>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培训计划合理且满足项目要求的，得5分；</w:t>
            </w:r>
          </w:p>
          <w:p w14:paraId="552C74EF">
            <w:pPr>
              <w:snapToGrid w:val="0"/>
              <w:spacing w:line="360" w:lineRule="auto"/>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培训计划基本合理且基本满足项目要求的，得3分；</w:t>
            </w:r>
          </w:p>
          <w:p w14:paraId="145556F2">
            <w:pPr>
              <w:snapToGrid w:val="0"/>
              <w:spacing w:line="360" w:lineRule="auto"/>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培训计划不合理且不满足项目要求的，得1分；</w:t>
            </w:r>
          </w:p>
          <w:p w14:paraId="6B419F12">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未提供的不得分。</w:t>
            </w:r>
          </w:p>
        </w:tc>
        <w:tc>
          <w:tcPr>
            <w:tcW w:w="725" w:type="dxa"/>
            <w:noWrap w:val="0"/>
            <w:vAlign w:val="center"/>
          </w:tcPr>
          <w:p w14:paraId="3917DEF4">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主观评审</w:t>
            </w:r>
          </w:p>
        </w:tc>
      </w:tr>
      <w:tr w14:paraId="5D60A0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 w:hRule="atLeast"/>
          <w:jc w:val="center"/>
        </w:trPr>
        <w:tc>
          <w:tcPr>
            <w:tcW w:w="573" w:type="dxa"/>
            <w:vMerge w:val="continue"/>
            <w:noWrap w:val="0"/>
            <w:vAlign w:val="center"/>
          </w:tcPr>
          <w:p w14:paraId="5D9301AC">
            <w:pPr>
              <w:snapToGrid w:val="0"/>
              <w:spacing w:line="360" w:lineRule="auto"/>
              <w:jc w:val="center"/>
              <w:rPr>
                <w:rFonts w:hint="eastAsia" w:ascii="宋体" w:hAnsi="宋体" w:cs="宋体"/>
                <w:b w:val="0"/>
                <w:bCs/>
                <w:color w:val="auto"/>
                <w:sz w:val="21"/>
                <w:szCs w:val="21"/>
                <w:highlight w:val="none"/>
              </w:rPr>
            </w:pPr>
          </w:p>
        </w:tc>
        <w:tc>
          <w:tcPr>
            <w:tcW w:w="1101" w:type="dxa"/>
            <w:noWrap w:val="0"/>
            <w:vAlign w:val="center"/>
          </w:tcPr>
          <w:p w14:paraId="007F990D">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服务便捷性</w:t>
            </w:r>
          </w:p>
        </w:tc>
        <w:tc>
          <w:tcPr>
            <w:tcW w:w="747" w:type="dxa"/>
            <w:noWrap w:val="0"/>
            <w:vAlign w:val="center"/>
          </w:tcPr>
          <w:p w14:paraId="7C802F90">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5分</w:t>
            </w:r>
          </w:p>
        </w:tc>
        <w:tc>
          <w:tcPr>
            <w:tcW w:w="6158" w:type="dxa"/>
            <w:noWrap w:val="0"/>
            <w:vAlign w:val="center"/>
          </w:tcPr>
          <w:p w14:paraId="1D3A2E53">
            <w:pPr>
              <w:snapToGrid w:val="0"/>
              <w:spacing w:line="360" w:lineRule="auto"/>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针对本项目</w:t>
            </w:r>
            <w:r>
              <w:rPr>
                <w:rFonts w:hint="eastAsia" w:ascii="宋体" w:hAnsi="宋体" w:cs="宋体"/>
                <w:b w:val="0"/>
                <w:bCs/>
                <w:color w:val="auto"/>
                <w:sz w:val="21"/>
                <w:szCs w:val="21"/>
                <w:highlight w:val="none"/>
                <w:lang w:val="en-US" w:eastAsia="zh-CN"/>
              </w:rPr>
              <w:t>提供的服务便捷性说明、响应时间</w:t>
            </w:r>
            <w:r>
              <w:rPr>
                <w:rFonts w:hint="eastAsia" w:ascii="宋体" w:hAnsi="宋体" w:cs="宋体"/>
                <w:b w:val="0"/>
                <w:bCs/>
                <w:color w:val="auto"/>
                <w:sz w:val="21"/>
                <w:szCs w:val="21"/>
                <w:highlight w:val="none"/>
                <w:lang w:eastAsia="zh-CN"/>
              </w:rPr>
              <w:t>等进行评议：</w:t>
            </w:r>
          </w:p>
          <w:p w14:paraId="6DFAFCCE">
            <w:pPr>
              <w:snapToGrid w:val="0"/>
              <w:spacing w:line="360" w:lineRule="auto"/>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措施切实可行、</w:t>
            </w:r>
            <w:r>
              <w:rPr>
                <w:rFonts w:hint="eastAsia" w:ascii="宋体" w:hAnsi="宋体" w:cs="宋体"/>
                <w:b w:val="0"/>
                <w:bCs/>
                <w:color w:val="auto"/>
                <w:sz w:val="21"/>
                <w:szCs w:val="21"/>
                <w:highlight w:val="none"/>
                <w:lang w:val="en-US" w:eastAsia="zh-CN"/>
              </w:rPr>
              <w:t>服务便捷</w:t>
            </w:r>
            <w:r>
              <w:rPr>
                <w:rFonts w:hint="eastAsia" w:ascii="宋体" w:hAnsi="宋体" w:cs="宋体"/>
                <w:b w:val="0"/>
                <w:bCs/>
                <w:color w:val="auto"/>
                <w:sz w:val="21"/>
                <w:szCs w:val="21"/>
                <w:highlight w:val="none"/>
                <w:lang w:eastAsia="zh-CN"/>
              </w:rPr>
              <w:t>的，得</w:t>
            </w:r>
            <w:r>
              <w:rPr>
                <w:rFonts w:hint="eastAsia" w:ascii="宋体" w:hAnsi="宋体" w:cs="宋体"/>
                <w:b w:val="0"/>
                <w:bCs/>
                <w:color w:val="auto"/>
                <w:sz w:val="21"/>
                <w:szCs w:val="21"/>
                <w:highlight w:val="none"/>
                <w:lang w:val="en-US" w:eastAsia="zh-CN"/>
              </w:rPr>
              <w:t>5</w:t>
            </w:r>
            <w:r>
              <w:rPr>
                <w:rFonts w:hint="eastAsia" w:ascii="宋体" w:hAnsi="宋体" w:cs="宋体"/>
                <w:b w:val="0"/>
                <w:bCs/>
                <w:color w:val="auto"/>
                <w:sz w:val="21"/>
                <w:szCs w:val="21"/>
                <w:highlight w:val="none"/>
                <w:lang w:eastAsia="zh-CN"/>
              </w:rPr>
              <w:t>分；</w:t>
            </w:r>
          </w:p>
          <w:p w14:paraId="165FC273">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方案时效性、针对性与采购人实际欠符合，不够满足采购人要求的得3分；</w:t>
            </w:r>
          </w:p>
          <w:p w14:paraId="2026B502">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方案与采购人实际需求存在巨大偏差，会严重影医院人员运转的得1分。</w:t>
            </w:r>
          </w:p>
          <w:p w14:paraId="103A9CCC">
            <w:pPr>
              <w:snapToGrid w:val="0"/>
              <w:spacing w:line="360" w:lineRule="auto"/>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未提供的不得分。</w:t>
            </w:r>
          </w:p>
        </w:tc>
        <w:tc>
          <w:tcPr>
            <w:tcW w:w="725" w:type="dxa"/>
            <w:noWrap w:val="0"/>
            <w:vAlign w:val="center"/>
          </w:tcPr>
          <w:p w14:paraId="199EAF17">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主观评审</w:t>
            </w:r>
          </w:p>
        </w:tc>
      </w:tr>
      <w:tr w14:paraId="198E62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 w:hRule="atLeast"/>
          <w:jc w:val="center"/>
        </w:trPr>
        <w:tc>
          <w:tcPr>
            <w:tcW w:w="573" w:type="dxa"/>
            <w:vMerge w:val="continue"/>
            <w:noWrap w:val="0"/>
            <w:vAlign w:val="center"/>
          </w:tcPr>
          <w:p w14:paraId="01A8039A">
            <w:pPr>
              <w:snapToGrid w:val="0"/>
              <w:spacing w:line="360" w:lineRule="auto"/>
              <w:jc w:val="center"/>
              <w:rPr>
                <w:rFonts w:hint="eastAsia" w:ascii="宋体" w:hAnsi="宋体" w:cs="宋体"/>
                <w:b w:val="0"/>
                <w:bCs/>
                <w:color w:val="auto"/>
                <w:sz w:val="21"/>
                <w:szCs w:val="21"/>
                <w:highlight w:val="none"/>
              </w:rPr>
            </w:pPr>
          </w:p>
        </w:tc>
        <w:tc>
          <w:tcPr>
            <w:tcW w:w="1101" w:type="dxa"/>
            <w:noWrap w:val="0"/>
            <w:vAlign w:val="center"/>
          </w:tcPr>
          <w:p w14:paraId="40E78A76">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合理化建议</w:t>
            </w:r>
          </w:p>
        </w:tc>
        <w:tc>
          <w:tcPr>
            <w:tcW w:w="747" w:type="dxa"/>
            <w:noWrap w:val="0"/>
            <w:vAlign w:val="center"/>
          </w:tcPr>
          <w:p w14:paraId="0F6C6366">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1分</w:t>
            </w:r>
          </w:p>
        </w:tc>
        <w:tc>
          <w:tcPr>
            <w:tcW w:w="6158" w:type="dxa"/>
            <w:noWrap w:val="0"/>
            <w:vAlign w:val="center"/>
          </w:tcPr>
          <w:p w14:paraId="097916C8">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根据供应商针对本项目提出的合理化建议进行评议。</w:t>
            </w:r>
          </w:p>
        </w:tc>
        <w:tc>
          <w:tcPr>
            <w:tcW w:w="725" w:type="dxa"/>
            <w:noWrap w:val="0"/>
            <w:vAlign w:val="center"/>
          </w:tcPr>
          <w:p w14:paraId="7B23933C">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主观评审</w:t>
            </w:r>
          </w:p>
        </w:tc>
      </w:tr>
      <w:tr w14:paraId="11F23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573" w:type="dxa"/>
            <w:vMerge w:val="continue"/>
            <w:noWrap w:val="0"/>
            <w:vAlign w:val="center"/>
          </w:tcPr>
          <w:p w14:paraId="3C9CF78E">
            <w:pPr>
              <w:snapToGrid w:val="0"/>
              <w:spacing w:line="360" w:lineRule="auto"/>
              <w:jc w:val="center"/>
              <w:rPr>
                <w:rFonts w:hint="eastAsia" w:ascii="宋体" w:hAnsi="宋体" w:cs="宋体"/>
                <w:b w:val="0"/>
                <w:bCs/>
                <w:color w:val="auto"/>
                <w:sz w:val="21"/>
                <w:szCs w:val="21"/>
                <w:highlight w:val="none"/>
              </w:rPr>
            </w:pPr>
          </w:p>
        </w:tc>
        <w:tc>
          <w:tcPr>
            <w:tcW w:w="1101" w:type="dxa"/>
            <w:noWrap w:val="0"/>
            <w:vAlign w:val="center"/>
          </w:tcPr>
          <w:p w14:paraId="34A39727">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认证证书</w:t>
            </w:r>
          </w:p>
        </w:tc>
        <w:tc>
          <w:tcPr>
            <w:tcW w:w="747" w:type="dxa"/>
            <w:noWrap w:val="0"/>
            <w:vAlign w:val="center"/>
          </w:tcPr>
          <w:p w14:paraId="4BB18E39">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4</w:t>
            </w:r>
            <w:r>
              <w:rPr>
                <w:rFonts w:hint="eastAsia" w:ascii="宋体" w:hAnsi="宋体" w:cs="宋体"/>
                <w:b w:val="0"/>
                <w:bCs/>
                <w:color w:val="auto"/>
                <w:sz w:val="21"/>
                <w:szCs w:val="21"/>
                <w:highlight w:val="none"/>
              </w:rPr>
              <w:t>分</w:t>
            </w:r>
          </w:p>
        </w:tc>
        <w:tc>
          <w:tcPr>
            <w:tcW w:w="6158" w:type="dxa"/>
            <w:noWrap w:val="0"/>
            <w:vAlign w:val="center"/>
          </w:tcPr>
          <w:p w14:paraId="251F3FD8">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eastAsia="zh-CN"/>
              </w:rPr>
              <w:t>供应商</w:t>
            </w:r>
            <w:r>
              <w:rPr>
                <w:rFonts w:hint="eastAsia" w:ascii="宋体" w:hAnsi="宋体" w:cs="宋体"/>
                <w:b w:val="0"/>
                <w:bCs/>
                <w:color w:val="auto"/>
                <w:sz w:val="21"/>
                <w:szCs w:val="21"/>
                <w:highlight w:val="none"/>
              </w:rPr>
              <w:t>具有质量管理体系认证证书、环境管理体系认证证书、职业健康安全管理体系认证证书</w:t>
            </w:r>
            <w:r>
              <w:rPr>
                <w:rFonts w:hint="eastAsia" w:ascii="宋体" w:hAnsi="宋体" w:cs="宋体"/>
                <w:b w:val="0"/>
                <w:bCs/>
                <w:color w:val="auto"/>
                <w:sz w:val="21"/>
                <w:szCs w:val="21"/>
                <w:highlight w:val="none"/>
                <w:lang w:eastAsia="zh-CN"/>
              </w:rPr>
              <w:t>、信息安全管理体系认证证书</w:t>
            </w:r>
            <w:r>
              <w:rPr>
                <w:rFonts w:hint="eastAsia" w:ascii="宋体" w:hAnsi="宋体" w:cs="宋体"/>
                <w:b w:val="0"/>
                <w:bCs/>
                <w:color w:val="auto"/>
                <w:sz w:val="21"/>
                <w:szCs w:val="21"/>
                <w:highlight w:val="none"/>
              </w:rPr>
              <w:t>，每有1个得1分，最高得</w:t>
            </w:r>
            <w:r>
              <w:rPr>
                <w:rFonts w:hint="eastAsia" w:ascii="宋体" w:hAnsi="宋体" w:cs="宋体"/>
                <w:b w:val="0"/>
                <w:bCs/>
                <w:color w:val="auto"/>
                <w:sz w:val="21"/>
                <w:szCs w:val="21"/>
                <w:highlight w:val="none"/>
                <w:lang w:val="en-US" w:eastAsia="zh-CN"/>
              </w:rPr>
              <w:t>4</w:t>
            </w:r>
            <w:r>
              <w:rPr>
                <w:rFonts w:hint="eastAsia" w:ascii="宋体" w:hAnsi="宋体" w:cs="宋体"/>
                <w:b w:val="0"/>
                <w:bCs/>
                <w:color w:val="auto"/>
                <w:sz w:val="21"/>
                <w:szCs w:val="21"/>
                <w:highlight w:val="none"/>
              </w:rPr>
              <w:t>分。</w:t>
            </w:r>
          </w:p>
          <w:p w14:paraId="693E8275">
            <w:pPr>
              <w:snapToGrid w:val="0"/>
              <w:spacing w:line="360" w:lineRule="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注：投标文件中提供全国认证认可信息公共服务平台（http://cx.cnca.cn/CertECloud/result/skipResultList）的网站查询截图（截图内容应能体现相应评审内容）及有效的证书复印件加盖公章。</w:t>
            </w:r>
          </w:p>
        </w:tc>
        <w:tc>
          <w:tcPr>
            <w:tcW w:w="725" w:type="dxa"/>
            <w:noWrap w:val="0"/>
            <w:vAlign w:val="center"/>
          </w:tcPr>
          <w:p w14:paraId="7ED4EF42">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客观评议</w:t>
            </w:r>
          </w:p>
        </w:tc>
      </w:tr>
      <w:tr w14:paraId="5D8CBC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573" w:type="dxa"/>
            <w:vMerge w:val="continue"/>
            <w:noWrap w:val="0"/>
            <w:vAlign w:val="center"/>
          </w:tcPr>
          <w:p w14:paraId="2BE5021C">
            <w:pPr>
              <w:snapToGrid w:val="0"/>
              <w:spacing w:line="360" w:lineRule="auto"/>
              <w:jc w:val="center"/>
              <w:rPr>
                <w:rFonts w:hint="eastAsia" w:ascii="宋体" w:hAnsi="宋体" w:cs="宋体"/>
                <w:b w:val="0"/>
                <w:bCs/>
                <w:color w:val="auto"/>
                <w:sz w:val="21"/>
                <w:szCs w:val="21"/>
                <w:highlight w:val="none"/>
              </w:rPr>
            </w:pPr>
          </w:p>
        </w:tc>
        <w:tc>
          <w:tcPr>
            <w:tcW w:w="1101" w:type="dxa"/>
            <w:noWrap w:val="0"/>
            <w:vAlign w:val="center"/>
          </w:tcPr>
          <w:p w14:paraId="0C56E35D">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rPr>
              <w:t>业绩</w:t>
            </w:r>
          </w:p>
        </w:tc>
        <w:tc>
          <w:tcPr>
            <w:tcW w:w="747" w:type="dxa"/>
            <w:noWrap w:val="0"/>
            <w:vAlign w:val="center"/>
          </w:tcPr>
          <w:p w14:paraId="6E2B0978">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eastAsia="zh-CN"/>
              </w:rPr>
              <w:t>分</w:t>
            </w:r>
          </w:p>
        </w:tc>
        <w:tc>
          <w:tcPr>
            <w:tcW w:w="6158" w:type="dxa"/>
            <w:noWrap w:val="0"/>
            <w:vAlign w:val="center"/>
          </w:tcPr>
          <w:p w14:paraId="5F3CEDCB">
            <w:pPr>
              <w:snapToGrid w:val="0"/>
              <w:spacing w:line="360" w:lineRule="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eastAsia="zh-CN"/>
              </w:rPr>
              <w:t>自202</w:t>
            </w: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eastAsia="zh-CN"/>
              </w:rPr>
              <w:t>年1月1日以来（以合同签订时间为准），供应商具有同类项目业绩的，每提供一个得</w:t>
            </w:r>
            <w:r>
              <w:rPr>
                <w:rFonts w:hint="eastAsia" w:ascii="宋体" w:hAnsi="宋体" w:cs="宋体"/>
                <w:b w:val="0"/>
                <w:bCs/>
                <w:color w:val="auto"/>
                <w:sz w:val="21"/>
                <w:szCs w:val="21"/>
                <w:highlight w:val="none"/>
                <w:lang w:val="en-US" w:eastAsia="zh-CN"/>
              </w:rPr>
              <w:t>0.5</w:t>
            </w:r>
            <w:r>
              <w:rPr>
                <w:rFonts w:hint="eastAsia" w:ascii="宋体" w:hAnsi="宋体" w:cs="宋体"/>
                <w:b w:val="0"/>
                <w:bCs/>
                <w:color w:val="auto"/>
                <w:sz w:val="21"/>
                <w:szCs w:val="21"/>
                <w:highlight w:val="none"/>
                <w:lang w:eastAsia="zh-CN"/>
              </w:rPr>
              <w:t>分，最高得1分。（同一招标项目不同年份的合同不重复计分；附中标通知书、合同复印件，中标通知书及合同中不能体现评分内容的还需提供业主或主管部门出具的证明等其他资料复印件加盖公章）。</w:t>
            </w:r>
          </w:p>
        </w:tc>
        <w:tc>
          <w:tcPr>
            <w:tcW w:w="725" w:type="dxa"/>
            <w:noWrap w:val="0"/>
            <w:vAlign w:val="center"/>
          </w:tcPr>
          <w:p w14:paraId="5B9591EE">
            <w:pPr>
              <w:snapToGrid w:val="0"/>
              <w:spacing w:line="36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客观评审</w:t>
            </w:r>
          </w:p>
        </w:tc>
      </w:tr>
      <w:tr w14:paraId="33B8A0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79" w:type="dxa"/>
            <w:gridSpan w:val="4"/>
            <w:noWrap w:val="0"/>
            <w:vAlign w:val="center"/>
          </w:tcPr>
          <w:p w14:paraId="071C4E94">
            <w:pPr>
              <w:snapToGrid w:val="0"/>
              <w:spacing w:line="36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合计（100分）</w:t>
            </w:r>
          </w:p>
        </w:tc>
        <w:tc>
          <w:tcPr>
            <w:tcW w:w="725" w:type="dxa"/>
            <w:noWrap w:val="0"/>
            <w:vAlign w:val="center"/>
          </w:tcPr>
          <w:p w14:paraId="7C65E25C">
            <w:pPr>
              <w:snapToGrid w:val="0"/>
              <w:spacing w:line="360" w:lineRule="auto"/>
              <w:jc w:val="center"/>
              <w:rPr>
                <w:rFonts w:hint="eastAsia" w:ascii="宋体" w:hAnsi="宋体" w:cs="宋体"/>
                <w:b w:val="0"/>
                <w:bCs/>
                <w:color w:val="auto"/>
                <w:sz w:val="21"/>
                <w:szCs w:val="21"/>
                <w:highlight w:val="none"/>
                <w:lang w:val="en-US" w:eastAsia="zh-CN"/>
              </w:rPr>
            </w:pPr>
          </w:p>
        </w:tc>
      </w:tr>
    </w:tbl>
    <w:p w14:paraId="149E1FAA">
      <w:pPr>
        <w:snapToGrid w:val="0"/>
        <w:spacing w:line="360" w:lineRule="auto"/>
        <w:rPr>
          <w:rFonts w:hint="eastAsia" w:ascii="宋体" w:hAnsi="宋体" w:cs="宋体"/>
          <w:color w:val="auto"/>
          <w:sz w:val="20"/>
          <w:szCs w:val="20"/>
          <w:highlight w:val="none"/>
          <w:shd w:val="clear" w:color="auto" w:fill="FFFFFF"/>
        </w:rPr>
      </w:pPr>
      <w:r>
        <w:rPr>
          <w:rFonts w:hint="eastAsia" w:ascii="宋体" w:hAnsi="宋体" w:cs="宋体"/>
          <w:b w:val="0"/>
          <w:bCs/>
          <w:color w:val="auto"/>
          <w:sz w:val="24"/>
          <w:highlight w:val="none"/>
        </w:rPr>
        <w:t>备注：</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编制投标文件（商务技术文件部分）时，建议按此目录（序号和内容）提供评标标准相应的商务技术资料</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、小数点后保留</w:t>
      </w:r>
      <w:r>
        <w:rPr>
          <w:rFonts w:hint="eastAsia" w:ascii="宋体" w:hAnsi="宋体" w:cs="宋体"/>
          <w:b w:val="0"/>
          <w:bCs/>
          <w:color w:val="auto"/>
          <w:sz w:val="24"/>
          <w:highlight w:val="none"/>
          <w:lang w:val="en-US" w:eastAsia="zh-CN"/>
        </w:rPr>
        <w:t>一</w:t>
      </w:r>
      <w:r>
        <w:rPr>
          <w:rFonts w:hint="eastAsia" w:ascii="宋体" w:hAnsi="宋体" w:eastAsia="宋体" w:cs="宋体"/>
          <w:b w:val="0"/>
          <w:bCs/>
          <w:color w:val="auto"/>
          <w:sz w:val="24"/>
          <w:highlight w:val="none"/>
        </w:rPr>
        <w:t>位数。</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、各评标委员会成员自行按以上参考分值评分。</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、重大事件由评标委员会集体讨论，应当按照少数服从多数的原则作出结论。</w:t>
      </w:r>
    </w:p>
    <w:p w14:paraId="6C8F7C7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8F8B8D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为中标候选人的评标方法。</w:t>
      </w:r>
    </w:p>
    <w:p w14:paraId="175B3127">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77D8F3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5097C1D">
      <w:pPr>
        <w:spacing w:line="360" w:lineRule="auto"/>
        <w:outlineLvl w:val="0"/>
        <w:rPr>
          <w:rFonts w:ascii="宋体" w:hAnsi="宋体" w:cs="宋体"/>
          <w:b/>
          <w:color w:val="auto"/>
          <w:sz w:val="36"/>
          <w:szCs w:val="36"/>
          <w:highlight w:val="none"/>
        </w:rPr>
      </w:pPr>
      <w:bookmarkStart w:id="400" w:name="_Toc7450"/>
      <w:r>
        <w:rPr>
          <w:rFonts w:hint="eastAsia" w:ascii="宋体" w:hAnsi="宋体" w:cs="宋体"/>
          <w:b/>
          <w:color w:val="auto"/>
          <w:sz w:val="36"/>
          <w:szCs w:val="36"/>
          <w:highlight w:val="none"/>
        </w:rPr>
        <w:t>三、评标程序</w:t>
      </w:r>
      <w:bookmarkEnd w:id="400"/>
    </w:p>
    <w:p w14:paraId="2D8AE96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的投标文件进行符合性审查，以确定其是否满足招标文件的实质性要求。不满足招标文件的实质性要求的，投标无效。</w:t>
      </w:r>
    </w:p>
    <w:p w14:paraId="65E0B57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60F436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4B29283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21881F2">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6EFE3A3">
      <w:pPr>
        <w:pStyle w:val="129"/>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6EFDA9AF">
      <w:pPr>
        <w:pStyle w:val="129"/>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11C64836">
      <w:pPr>
        <w:pStyle w:val="129"/>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04E5B9B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E4F9518">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确认后产生约束力。</w:t>
      </w:r>
    </w:p>
    <w:p w14:paraId="2382425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222BBC1">
      <w:pPr>
        <w:pStyle w:val="129"/>
        <w:spacing w:before="0"/>
        <w:ind w:firstLine="480"/>
        <w:rPr>
          <w:rFonts w:ascii="宋体" w:hAnsi="宋体" w:cs="宋体"/>
          <w:color w:val="auto"/>
          <w:kern w:val="0"/>
          <w:szCs w:val="24"/>
          <w:highlight w:val="none"/>
        </w:rPr>
      </w:pPr>
      <w:r>
        <w:rPr>
          <w:rFonts w:hint="eastAsia" w:ascii="宋体" w:hAnsi="宋体" w:cs="宋体"/>
          <w:color w:val="auto"/>
          <w:kern w:val="0"/>
          <w:sz w:val="24"/>
          <w:highlight w:val="none"/>
        </w:rPr>
        <w:t>3.4.3</w:t>
      </w:r>
      <w:r>
        <w:rPr>
          <w:rFonts w:hint="eastAsia" w:ascii="宋体" w:hAnsi="宋体" w:cs="宋体"/>
          <w:color w:val="auto"/>
          <w:kern w:val="0"/>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9EB30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若投标报价也相同，则由采购人或者评标委员会抽签决定顺序。投标文件满足招标文件全部实质性要求，且按照评审因素的量化指标评审得分最高的供应商为排名第一的中标候选人。</w:t>
      </w:r>
      <w:r>
        <w:rPr>
          <w:rFonts w:hint="eastAsia" w:ascii="宋体" w:hAnsi="宋体" w:cs="宋体"/>
          <w:b/>
          <w:bCs/>
          <w:color w:val="auto"/>
          <w:kern w:val="0"/>
          <w:sz w:val="24"/>
          <w:highlight w:val="none"/>
        </w:rPr>
        <w:t>注：有效投标供应商数量等于3家时，中标候选人数量为1家；有效投标供应商数量等于4家时，中标候选人数量为2家；有效投标供应商数量大于等于5家时，中标候选人数量为3家。</w:t>
      </w:r>
    </w:p>
    <w:p w14:paraId="5619E5F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获得中标人推荐资格；评审得分相同的，采取随机抽取方式确定，其他同品牌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不作为中标候选人。</w:t>
      </w:r>
    </w:p>
    <w:p w14:paraId="6AD1A8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DD3F70">
      <w:pPr>
        <w:widowControl/>
        <w:shd w:val="clear" w:color="auto"/>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4AE750D">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w:t>
      </w:r>
      <w:r>
        <w:rPr>
          <w:rFonts w:hint="eastAsia" w:ascii="宋体" w:hAnsi="宋体" w:cs="宋体"/>
          <w:color w:val="auto"/>
          <w:kern w:val="0"/>
          <w:szCs w:val="24"/>
          <w:highlight w:val="none"/>
          <w:lang w:eastAsia="zh-CN"/>
        </w:rPr>
        <w:t>复印件</w:t>
      </w:r>
      <w:r>
        <w:rPr>
          <w:rFonts w:hint="eastAsia" w:ascii="宋体" w:hAnsi="宋体" w:cs="宋体"/>
          <w:color w:val="auto"/>
          <w:kern w:val="0"/>
          <w:szCs w:val="24"/>
          <w:highlight w:val="none"/>
        </w:rPr>
        <w:t>。给予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的澄清、说明或者补正不得超出投标文件的范围或者改变投标文件的实质性内容。</w:t>
      </w:r>
    </w:p>
    <w:p w14:paraId="60C3552D">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809C00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w:t>
      </w:r>
    </w:p>
    <w:p w14:paraId="47C0F6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FD5589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相应的投标产品未获得国家确定的认证机构出具的、处于有效期之内的节能产品认证证书的；</w:t>
      </w:r>
    </w:p>
    <w:p w14:paraId="54E08C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1C40AB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594BC64">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4.2.6投标文件出现不是唯一的、有选择性投标报价的</w:t>
      </w:r>
      <w:r>
        <w:rPr>
          <w:rFonts w:hint="eastAsia" w:ascii="宋体" w:hAnsi="宋体" w:cs="宋体"/>
          <w:color w:val="auto"/>
          <w:kern w:val="0"/>
          <w:sz w:val="24"/>
          <w:highlight w:val="none"/>
          <w:lang w:eastAsia="zh-CN"/>
        </w:rPr>
        <w:t>；</w:t>
      </w:r>
    </w:p>
    <w:p w14:paraId="5FBD260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14:paraId="1195481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4.2.8报价明显低于其他通过符合性审查供应商的报价（低于项目预算50%的），有可能影响产品质量或者不能诚信履约的，未能按要求提供书面说明或者提交相关证明材料，不能证明其报价合理性的；</w:t>
      </w:r>
    </w:p>
    <w:p w14:paraId="4D9B4CB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提供虚假材料投标的；</w:t>
      </w:r>
    </w:p>
    <w:p w14:paraId="12BB27B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14:paraId="6A7D8C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仅提交备份投标文件，未在电子交易平台传输递交投标文件的，投标无效；</w:t>
      </w:r>
    </w:p>
    <w:p w14:paraId="0D4680A2">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 xml:space="preserve"> 投标文件不满足招标文件</w:t>
      </w:r>
      <w:r>
        <w:rPr>
          <w:rFonts w:hint="eastAsia" w:ascii="宋体" w:hAnsi="宋体" w:eastAsia="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14:paraId="5C15E44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3法律法规</w:t>
      </w:r>
      <w:r>
        <w:rPr>
          <w:rFonts w:hint="eastAsia" w:ascii="宋体" w:hAnsi="宋体" w:eastAsia="宋体" w:cs="宋体"/>
          <w:color w:val="auto"/>
          <w:kern w:val="0"/>
          <w:sz w:val="24"/>
          <w:highlight w:val="none"/>
        </w:rPr>
        <w:t>、规章（适用本市的）及省级以上规范性文件（适用本市的）规定的其他无效情形。</w:t>
      </w:r>
    </w:p>
    <w:p w14:paraId="3BBA570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4.2.1</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上传投标文件同一网卡地址、同一IP地址的为无效标。</w:t>
      </w:r>
    </w:p>
    <w:p w14:paraId="4DFDDC52">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BA02478">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229FB24">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C7DEDB0">
      <w:pPr>
        <w:pStyle w:val="24"/>
        <w:snapToGrid w:val="0"/>
        <w:spacing w:line="360" w:lineRule="auto"/>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14:paraId="1488580B">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641D15F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3B2CF53D">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ED882A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FDD2162">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DD99260">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5003595">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19FFA2A">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835C799">
      <w:pPr>
        <w:pStyle w:val="24"/>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2"/>
      <w:bookmarkStart w:id="401" w:name="_Toc86217003"/>
      <w:bookmarkStart w:id="402" w:name="第五部分"/>
    </w:p>
    <w:p w14:paraId="13AC2B4F">
      <w:pPr>
        <w:widowControl/>
        <w:adjustRightInd/>
        <w:ind w:firstLine="2168" w:firstLineChars="600"/>
        <w:jc w:val="left"/>
        <w:rPr>
          <w:rFonts w:hint="eastAsia" w:ascii="宋体" w:hAnsi="宋体" w:cs="宋体"/>
          <w:b/>
          <w:color w:val="auto"/>
          <w:sz w:val="36"/>
          <w:szCs w:val="36"/>
          <w:highlight w:val="none"/>
        </w:rPr>
        <w:sectPr>
          <w:headerReference r:id="rId7" w:type="default"/>
          <w:footerReference r:id="rId8" w:type="default"/>
          <w:pgSz w:w="11907" w:h="16840"/>
          <w:pgMar w:top="1474" w:right="1814" w:bottom="1474" w:left="1814" w:header="851" w:footer="851" w:gutter="0"/>
          <w:pgNumType w:fmt="decimal"/>
          <w:cols w:space="720" w:num="1"/>
        </w:sectPr>
      </w:pPr>
    </w:p>
    <w:p w14:paraId="442F0238">
      <w:pPr>
        <w:widowControl/>
        <w:adjustRightInd/>
        <w:ind w:firstLine="2168" w:firstLineChars="600"/>
        <w:jc w:val="left"/>
        <w:outlineLvl w:val="0"/>
        <w:rPr>
          <w:rFonts w:ascii="宋体" w:hAnsi="宋体" w:cs="宋体"/>
          <w:b/>
          <w:color w:val="auto"/>
          <w:sz w:val="36"/>
          <w:szCs w:val="36"/>
          <w:highlight w:val="none"/>
        </w:rPr>
      </w:pPr>
      <w:bookmarkStart w:id="403" w:name="_Toc23544"/>
      <w:r>
        <w:rPr>
          <w:rFonts w:hint="eastAsia" w:ascii="宋体" w:hAnsi="宋体" w:cs="宋体"/>
          <w:b/>
          <w:color w:val="auto"/>
          <w:sz w:val="36"/>
          <w:szCs w:val="36"/>
          <w:highlight w:val="none"/>
        </w:rPr>
        <w:t>第五部分 拟签订的合同文本</w:t>
      </w:r>
      <w:bookmarkEnd w:id="403"/>
    </w:p>
    <w:p w14:paraId="3699FB8B">
      <w:pPr>
        <w:widowControl/>
        <w:adjustRightInd/>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（本合同条款为参考格式，具体由甲乙双方协商签订，与前款冲突之处以前款约定为准）</w:t>
      </w:r>
    </w:p>
    <w:p w14:paraId="13D58741">
      <w:pPr>
        <w:widowControl/>
        <w:adjustRightInd/>
        <w:ind w:firstLine="420" w:firstLineChars="200"/>
        <w:jc w:val="left"/>
        <w:rPr>
          <w:rFonts w:hint="eastAsia" w:ascii="宋体" w:hAnsi="宋体" w:eastAsia="宋体" w:cs="宋体"/>
          <w:color w:val="auto"/>
          <w:kern w:val="0"/>
          <w:sz w:val="21"/>
          <w:szCs w:val="21"/>
          <w:highlight w:val="none"/>
          <w:lang w:val="en-US" w:eastAsia="zh-CN" w:bidi="ar-SA"/>
        </w:rPr>
      </w:pPr>
    </w:p>
    <w:p w14:paraId="09266C2D">
      <w:pPr>
        <w:widowControl w:val="0"/>
        <w:adjustRightInd/>
        <w:spacing w:line="360" w:lineRule="atLeast"/>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（以下简称甲方）</w:t>
      </w:r>
    </w:p>
    <w:p w14:paraId="274B369A">
      <w:pPr>
        <w:widowControl w:val="0"/>
        <w:adjustRightInd/>
        <w:spacing w:line="360" w:lineRule="atLeast"/>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（以下简称乙方）</w:t>
      </w:r>
    </w:p>
    <w:p w14:paraId="440211EA">
      <w:pPr>
        <w:widowControl w:val="0"/>
        <w:adjustRightInd/>
        <w:spacing w:line="360" w:lineRule="atLeast"/>
        <w:jc w:val="both"/>
        <w:rPr>
          <w:rFonts w:hint="eastAsia" w:ascii="宋体" w:hAnsi="宋体" w:eastAsia="宋体" w:cs="宋体"/>
          <w:color w:val="auto"/>
          <w:kern w:val="2"/>
          <w:sz w:val="21"/>
          <w:szCs w:val="21"/>
          <w:highlight w:val="none"/>
        </w:rPr>
      </w:pPr>
    </w:p>
    <w:p w14:paraId="7F80BE01">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根据《中华人民共和国政府采购法</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中华人民共和国政府采购法实施条例</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政府采购货物和服务招标投标管理办法》等法律法规，</w:t>
      </w:r>
      <w:r>
        <w:rPr>
          <w:rFonts w:hint="eastAsia" w:ascii="宋体" w:hAnsi="宋体" w:cs="宋体"/>
          <w:color w:val="auto"/>
          <w:kern w:val="0"/>
          <w:szCs w:val="21"/>
          <w:highlight w:val="none"/>
          <w:u w:val="single"/>
          <w:lang w:val="en-US" w:eastAsia="zh-CN"/>
        </w:rPr>
        <w:t>宁波市海曙区第三医院导医等服务外包项目（重）</w:t>
      </w: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）于</w:t>
      </w:r>
      <w:r>
        <w:rPr>
          <w:rFonts w:hint="eastAsia" w:ascii="宋体" w:hAnsi="宋体" w:eastAsia="宋体" w:cs="宋体"/>
          <w:color w:val="auto"/>
          <w:kern w:val="0"/>
          <w:szCs w:val="21"/>
          <w:highlight w:val="none"/>
          <w:lang w:val="en-US" w:eastAsia="zh-CN"/>
        </w:rPr>
        <w:t>202</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年    月   日，在</w:t>
      </w:r>
      <w:r>
        <w:rPr>
          <w:rFonts w:hint="eastAsia" w:ascii="宋体" w:hAnsi="宋体" w:cs="宋体"/>
          <w:color w:val="auto"/>
          <w:kern w:val="0"/>
          <w:szCs w:val="21"/>
          <w:highlight w:val="none"/>
          <w:u w:val="single"/>
          <w:lang w:eastAsia="zh-CN"/>
        </w:rPr>
        <w:t>宁波市海曙区营商环境服务中心</w:t>
      </w:r>
      <w:r>
        <w:rPr>
          <w:rFonts w:hint="eastAsia" w:ascii="宋体" w:hAnsi="宋体" w:eastAsia="宋体" w:cs="宋体"/>
          <w:color w:val="auto"/>
          <w:kern w:val="0"/>
          <w:szCs w:val="21"/>
          <w:highlight w:val="none"/>
        </w:rPr>
        <w:t>进行公开招标，确定由乙方中标。按照《中华人民共和国民法典》的有关规定，在自愿、平等、公平、诚信的基础上，经双方协商一致，签订本合同。</w:t>
      </w:r>
    </w:p>
    <w:p w14:paraId="33BAAC69">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下述文件作为附件，是合同的一部分，并与本合同一起阅读和解释：</w:t>
      </w:r>
    </w:p>
    <w:p w14:paraId="3869016F">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a.招标文件；</w:t>
      </w:r>
    </w:p>
    <w:p w14:paraId="12E595A4">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b.投标文件及澄清文件；</w:t>
      </w:r>
    </w:p>
    <w:p w14:paraId="6BCC33C8">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c.中标通知书；</w:t>
      </w:r>
    </w:p>
    <w:p w14:paraId="25CD709C">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上述文件与合同若有不一致之处，优先次序第一应为合同、第二应为附件</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附件的优先次序为 c,b,a)。</w:t>
      </w:r>
    </w:p>
    <w:p w14:paraId="54F429A9">
      <w:pPr>
        <w:widowControl/>
        <w:adjustRightInd/>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一、项目名称、</w:t>
      </w:r>
      <w:r>
        <w:rPr>
          <w:rFonts w:hint="eastAsia" w:ascii="宋体" w:hAnsi="宋体" w:eastAsia="宋体" w:cs="宋体"/>
          <w:b/>
          <w:bCs/>
          <w:color w:val="auto"/>
          <w:kern w:val="0"/>
          <w:szCs w:val="21"/>
          <w:highlight w:val="none"/>
          <w:lang w:eastAsia="zh-CN"/>
        </w:rPr>
        <w:t>工期</w:t>
      </w:r>
      <w:r>
        <w:rPr>
          <w:rFonts w:hint="eastAsia" w:ascii="宋体" w:hAnsi="宋体" w:eastAsia="宋体" w:cs="宋体"/>
          <w:b/>
          <w:bCs/>
          <w:color w:val="auto"/>
          <w:kern w:val="0"/>
          <w:szCs w:val="21"/>
          <w:highlight w:val="none"/>
        </w:rPr>
        <w:t>、服务内容</w:t>
      </w:r>
    </w:p>
    <w:p w14:paraId="0FCA627D">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1.1项目名称：</w:t>
      </w:r>
      <w:r>
        <w:rPr>
          <w:rFonts w:hint="eastAsia" w:ascii="宋体" w:hAnsi="宋体" w:cs="宋体"/>
          <w:color w:val="auto"/>
          <w:kern w:val="0"/>
          <w:szCs w:val="21"/>
          <w:highlight w:val="none"/>
          <w:lang w:val="en-US" w:eastAsia="zh-CN"/>
        </w:rPr>
        <w:t>宁波市海曙区第三医院导医等服务外包项目（重）</w:t>
      </w:r>
    </w:p>
    <w:p w14:paraId="05E5F63C">
      <w:pPr>
        <w:widowControl/>
        <w:adjustRightInd/>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1.2合同履约期限：</w:t>
      </w:r>
      <w:r>
        <w:rPr>
          <w:rFonts w:hint="eastAsia" w:ascii="宋体" w:hAnsi="宋体" w:eastAsia="宋体" w:cs="宋体"/>
          <w:color w:val="auto"/>
          <w:kern w:val="0"/>
          <w:szCs w:val="21"/>
          <w:highlight w:val="none"/>
          <w:lang w:val="en-US" w:eastAsia="zh-CN"/>
        </w:rPr>
        <w:t>三年。合同须一年一签，</w:t>
      </w:r>
      <w:r>
        <w:rPr>
          <w:rFonts w:hint="eastAsia" w:ascii="宋体" w:hAnsi="宋体" w:cs="宋体"/>
          <w:color w:val="auto"/>
          <w:kern w:val="0"/>
          <w:szCs w:val="21"/>
          <w:highlight w:val="none"/>
          <w:lang w:val="en-US" w:eastAsia="zh-CN"/>
        </w:rPr>
        <w:t>甲方</w:t>
      </w:r>
      <w:r>
        <w:rPr>
          <w:rFonts w:hint="eastAsia" w:ascii="宋体" w:hAnsi="宋体" w:eastAsia="宋体" w:cs="宋体"/>
          <w:color w:val="auto"/>
          <w:kern w:val="0"/>
          <w:szCs w:val="21"/>
          <w:highlight w:val="none"/>
          <w:lang w:val="en-US" w:eastAsia="zh-CN"/>
        </w:rPr>
        <w:t>根据</w:t>
      </w:r>
      <w:r>
        <w:rPr>
          <w:rFonts w:hint="eastAsia" w:ascii="宋体" w:hAnsi="宋体" w:cs="宋体"/>
          <w:color w:val="auto"/>
          <w:kern w:val="0"/>
          <w:szCs w:val="21"/>
          <w:highlight w:val="none"/>
          <w:lang w:val="en-US" w:eastAsia="zh-CN"/>
        </w:rPr>
        <w:t>乙方</w:t>
      </w:r>
      <w:r>
        <w:rPr>
          <w:rFonts w:hint="eastAsia" w:ascii="宋体" w:hAnsi="宋体" w:eastAsia="宋体" w:cs="宋体"/>
          <w:color w:val="auto"/>
          <w:kern w:val="0"/>
          <w:szCs w:val="21"/>
          <w:highlight w:val="none"/>
          <w:lang w:val="en-US" w:eastAsia="zh-CN"/>
        </w:rPr>
        <w:t>在上一阶段合同履约、考核情况及财政资金审批情况决定是否续签。</w:t>
      </w:r>
    </w:p>
    <w:p w14:paraId="7DACF2FE">
      <w:pPr>
        <w:widowControl/>
        <w:adjustRightInd/>
        <w:spacing w:line="360" w:lineRule="auto"/>
        <w:ind w:firstLine="420" w:firstLineChars="200"/>
        <w:jc w:val="left"/>
        <w:rPr>
          <w:rFonts w:hint="default" w:ascii="宋体" w:hAnsi="宋体" w:eastAsia="宋体" w:cs="宋体"/>
          <w:color w:val="auto"/>
          <w:kern w:val="0"/>
          <w:szCs w:val="21"/>
          <w:highlight w:val="none"/>
          <w:lang w:val="en-US"/>
        </w:rPr>
      </w:pPr>
      <w:r>
        <w:rPr>
          <w:rFonts w:hint="eastAsia" w:ascii="宋体" w:hAnsi="宋体" w:cs="宋体"/>
          <w:color w:val="auto"/>
          <w:kern w:val="0"/>
          <w:szCs w:val="21"/>
          <w:highlight w:val="none"/>
          <w:lang w:val="en-US" w:eastAsia="zh-CN"/>
        </w:rPr>
        <w:t>第一年自</w:t>
      </w:r>
      <w:r>
        <w:rPr>
          <w:rFonts w:hint="eastAsia" w:ascii="宋体" w:hAnsi="宋体" w:cs="宋体"/>
          <w:color w:val="auto"/>
          <w:kern w:val="0"/>
          <w:szCs w:val="21"/>
          <w:highlight w:val="none"/>
          <w:u w:val="single"/>
          <w:lang w:val="en-US" w:eastAsia="zh-CN"/>
        </w:rPr>
        <w:t>2025年  月  日-2026年  月  日止。</w:t>
      </w:r>
    </w:p>
    <w:p w14:paraId="56C39546">
      <w:pPr>
        <w:widowControl/>
        <w:tabs>
          <w:tab w:val="left" w:pos="0"/>
        </w:tabs>
        <w:adjustRightInd/>
        <w:spacing w:line="360" w:lineRule="auto"/>
        <w:ind w:firstLine="420" w:firstLineChars="200"/>
        <w:jc w:val="left"/>
        <w:rPr>
          <w:rFonts w:hint="default" w:ascii="宋体" w:hAnsi="宋体" w:eastAsia="宋体" w:cs="Times New Roman"/>
          <w:color w:val="auto"/>
          <w:kern w:val="0"/>
          <w:szCs w:val="20"/>
          <w:highlight w:val="none"/>
          <w:lang w:val="en-US"/>
        </w:rPr>
      </w:pPr>
      <w:r>
        <w:rPr>
          <w:rFonts w:hint="eastAsia" w:ascii="宋体" w:hAnsi="宋体" w:eastAsia="宋体" w:cs="宋体"/>
          <w:color w:val="auto"/>
          <w:kern w:val="0"/>
          <w:szCs w:val="21"/>
          <w:highlight w:val="none"/>
        </w:rPr>
        <w:t>1.3服务内容：</w:t>
      </w:r>
      <w:r>
        <w:rPr>
          <w:rFonts w:hint="eastAsia" w:ascii="宋体" w:hAnsi="宋体" w:eastAsia="宋体" w:cs="宋体"/>
          <w:color w:val="auto"/>
          <w:kern w:val="0"/>
          <w:szCs w:val="21"/>
          <w:highlight w:val="none"/>
          <w:lang w:val="en-US" w:eastAsia="zh-CN"/>
        </w:rPr>
        <w:t>按</w:t>
      </w:r>
      <w:r>
        <w:rPr>
          <w:rFonts w:hint="eastAsia" w:ascii="宋体" w:hAnsi="宋体" w:cs="宋体"/>
          <w:color w:val="auto"/>
          <w:kern w:val="0"/>
          <w:szCs w:val="21"/>
          <w:highlight w:val="none"/>
          <w:lang w:val="en-US" w:eastAsia="zh-CN"/>
        </w:rPr>
        <w:t>宁波市海曙区第三医院</w:t>
      </w:r>
      <w:r>
        <w:rPr>
          <w:rFonts w:hint="eastAsia" w:ascii="宋体" w:hAnsi="宋体" w:eastAsia="宋体" w:cs="宋体"/>
          <w:color w:val="auto"/>
          <w:kern w:val="0"/>
          <w:szCs w:val="21"/>
          <w:highlight w:val="none"/>
          <w:lang w:val="en-US" w:eastAsia="zh-CN"/>
        </w:rPr>
        <w:t>确定的服务需求</w:t>
      </w:r>
      <w:r>
        <w:rPr>
          <w:rFonts w:hint="eastAsia" w:ascii="宋体" w:hAnsi="宋体" w:cs="宋体"/>
          <w:color w:val="auto"/>
          <w:kern w:val="0"/>
          <w:szCs w:val="21"/>
          <w:highlight w:val="none"/>
          <w:lang w:val="en-US" w:eastAsia="zh-CN"/>
        </w:rPr>
        <w:t>，提供导医等服务外包</w:t>
      </w:r>
      <w:r>
        <w:rPr>
          <w:rFonts w:hint="eastAsia" w:ascii="宋体" w:hAnsi="宋体" w:eastAsia="宋体" w:cs="宋体"/>
          <w:color w:val="auto"/>
          <w:kern w:val="0"/>
          <w:szCs w:val="21"/>
          <w:highlight w:val="none"/>
          <w:lang w:val="en-US" w:eastAsia="zh-CN"/>
        </w:rPr>
        <w:t>。</w:t>
      </w:r>
    </w:p>
    <w:p w14:paraId="455980AA">
      <w:pPr>
        <w:widowControl/>
        <w:adjustRightInd/>
        <w:spacing w:line="360" w:lineRule="auto"/>
        <w:ind w:firstLine="422" w:firstLineChars="200"/>
        <w:jc w:val="left"/>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二、合同金额</w:t>
      </w:r>
    </w:p>
    <w:p w14:paraId="3D1EC7F3">
      <w:pPr>
        <w:widowControl/>
        <w:adjustRightInd/>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2.1本合同金额为：</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元</w:t>
      </w:r>
      <w:r>
        <w:rPr>
          <w:rFonts w:hint="eastAsia" w:ascii="宋体" w:hAnsi="宋体" w:cs="宋体"/>
          <w:color w:val="auto"/>
          <w:kern w:val="0"/>
          <w:szCs w:val="21"/>
          <w:highlight w:val="none"/>
          <w:lang w:val="en-US" w:eastAsia="zh-CN"/>
        </w:rPr>
        <w:t>/年</w:t>
      </w:r>
      <w:r>
        <w:rPr>
          <w:rFonts w:ascii="宋体" w:hAnsi="宋体" w:eastAsia="宋体" w:cs="宋体"/>
          <w:color w:val="auto"/>
          <w:kern w:val="0"/>
          <w:szCs w:val="21"/>
          <w:highlight w:val="none"/>
        </w:rPr>
        <w:t>（￥</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元</w:t>
      </w:r>
      <w:r>
        <w:rPr>
          <w:rFonts w:hint="eastAsia" w:ascii="宋体" w:hAnsi="宋体" w:eastAsia="宋体" w:cs="宋体"/>
          <w:color w:val="auto"/>
          <w:kern w:val="0"/>
          <w:szCs w:val="21"/>
          <w:highlight w:val="none"/>
          <w:lang w:val="en-US" w:eastAsia="zh-CN"/>
        </w:rPr>
        <w:t>/年</w:t>
      </w:r>
      <w:r>
        <w:rPr>
          <w:rFonts w:ascii="宋体" w:hAnsi="宋体" w:eastAsia="宋体" w:cs="宋体"/>
          <w:color w:val="auto"/>
          <w:kern w:val="0"/>
          <w:szCs w:val="21"/>
          <w:highlight w:val="none"/>
        </w:rPr>
        <w:t>）。</w:t>
      </w:r>
    </w:p>
    <w:p w14:paraId="3FA8D0DF">
      <w:pPr>
        <w:widowControl/>
        <w:adjustRightInd/>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三、</w:t>
      </w:r>
      <w:r>
        <w:rPr>
          <w:rFonts w:hint="eastAsia" w:ascii="宋体" w:hAnsi="宋体" w:eastAsia="宋体" w:cs="宋体"/>
          <w:b/>
          <w:bCs/>
          <w:color w:val="auto"/>
          <w:kern w:val="0"/>
          <w:szCs w:val="21"/>
          <w:highlight w:val="none"/>
          <w:lang w:val="en-US" w:eastAsia="zh-CN"/>
        </w:rPr>
        <w:t>服务</w:t>
      </w:r>
      <w:r>
        <w:rPr>
          <w:rFonts w:hint="eastAsia" w:ascii="宋体" w:hAnsi="宋体" w:cs="宋体"/>
          <w:b/>
          <w:bCs/>
          <w:color w:val="auto"/>
          <w:kern w:val="0"/>
          <w:szCs w:val="21"/>
          <w:highlight w:val="none"/>
          <w:lang w:val="en-US" w:eastAsia="zh-CN"/>
        </w:rPr>
        <w:t>要求</w:t>
      </w:r>
      <w:r>
        <w:rPr>
          <w:rFonts w:hint="eastAsia" w:ascii="宋体" w:hAnsi="宋体" w:eastAsia="宋体" w:cs="宋体"/>
          <w:b/>
          <w:bCs/>
          <w:color w:val="auto"/>
          <w:kern w:val="0"/>
          <w:szCs w:val="21"/>
          <w:highlight w:val="none"/>
        </w:rPr>
        <w:t xml:space="preserve"> </w:t>
      </w:r>
    </w:p>
    <w:p w14:paraId="325E427A">
      <w:pPr>
        <w:widowControl/>
        <w:adjustRightInd/>
        <w:spacing w:line="360" w:lineRule="auto"/>
        <w:ind w:firstLine="420" w:firstLineChars="200"/>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3.1 </w:t>
      </w:r>
      <w:r>
        <w:rPr>
          <w:rFonts w:hint="eastAsia" w:ascii="宋体" w:hAnsi="宋体" w:cs="宋体"/>
          <w:color w:val="auto"/>
          <w:kern w:val="0"/>
          <w:szCs w:val="21"/>
          <w:highlight w:val="none"/>
          <w:lang w:val="en-US" w:eastAsia="zh-CN"/>
        </w:rPr>
        <w:t>人员要求</w:t>
      </w:r>
    </w:p>
    <w:p w14:paraId="0F866771">
      <w:pPr>
        <w:widowControl/>
        <w:adjustRightInd/>
        <w:spacing w:line="360" w:lineRule="auto"/>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 岗位要求</w:t>
      </w:r>
    </w:p>
    <w:p w14:paraId="77F2EC7D">
      <w:pPr>
        <w:widowControl/>
        <w:adjustRightInd/>
        <w:spacing w:line="360" w:lineRule="auto"/>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 服务要求</w:t>
      </w:r>
    </w:p>
    <w:p w14:paraId="27D32F84">
      <w:pPr>
        <w:widowControl/>
        <w:adjustRightInd/>
        <w:spacing w:line="360" w:lineRule="auto"/>
        <w:ind w:firstLine="420" w:firstLineChars="200"/>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3.4 其他要求</w:t>
      </w:r>
    </w:p>
    <w:p w14:paraId="6C652DE8">
      <w:pPr>
        <w:widowControl/>
        <w:adjustRightInd/>
        <w:spacing w:line="360" w:lineRule="auto"/>
        <w:ind w:firstLine="422" w:firstLineChars="200"/>
        <w:jc w:val="left"/>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四、履约保证金</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本项目不适用</w:t>
      </w:r>
    </w:p>
    <w:p w14:paraId="2E91C3DA">
      <w:pPr>
        <w:widowControl/>
        <w:adjustRightInd/>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五、转包或分包 </w:t>
      </w:r>
    </w:p>
    <w:p w14:paraId="14EA2FF7">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5.1本合同范围的服务，应由乙方直接提供，不得转让他人；</w:t>
      </w:r>
    </w:p>
    <w:p w14:paraId="78200D45">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5.2 除非得到甲方的书面同意，乙方不得部分分包给他人。甲方有绝对权力阻止分包。</w:t>
      </w:r>
    </w:p>
    <w:p w14:paraId="1DE0E7E9">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5.3如有转让和未经甲方同意的分包行为，甲方有权单方面解除本合同，并要求乙方赔偿因此而造成的损失。</w:t>
      </w:r>
    </w:p>
    <w:p w14:paraId="7B98880A">
      <w:pPr>
        <w:widowControl/>
        <w:adjustRightInd/>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六、</w:t>
      </w:r>
      <w:r>
        <w:rPr>
          <w:rFonts w:hint="eastAsia" w:ascii="宋体" w:hAnsi="宋体" w:cs="宋体"/>
          <w:b/>
          <w:bCs/>
          <w:color w:val="auto"/>
          <w:kern w:val="0"/>
          <w:szCs w:val="21"/>
          <w:highlight w:val="none"/>
          <w:lang w:val="en-US" w:eastAsia="zh-CN"/>
        </w:rPr>
        <w:t>付款</w:t>
      </w:r>
      <w:r>
        <w:rPr>
          <w:rFonts w:hint="eastAsia" w:ascii="宋体" w:hAnsi="宋体" w:eastAsia="宋体" w:cs="宋体"/>
          <w:b/>
          <w:bCs/>
          <w:color w:val="auto"/>
          <w:kern w:val="0"/>
          <w:szCs w:val="21"/>
          <w:highlight w:val="none"/>
        </w:rPr>
        <w:t>方式</w:t>
      </w:r>
    </w:p>
    <w:p w14:paraId="408E91B1">
      <w:pPr>
        <w:widowControl/>
        <w:adjustRightInd/>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按月支付结算；每月月初核对上个月的人员费用。</w:t>
      </w:r>
    </w:p>
    <w:p w14:paraId="2C1F0161">
      <w:pPr>
        <w:widowControl/>
        <w:adjustRightInd/>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乙方</w:t>
      </w:r>
      <w:r>
        <w:rPr>
          <w:rFonts w:hint="eastAsia" w:ascii="宋体" w:hAnsi="宋体" w:eastAsia="宋体" w:cs="宋体"/>
          <w:color w:val="auto"/>
          <w:kern w:val="0"/>
          <w:szCs w:val="21"/>
          <w:highlight w:val="none"/>
          <w:lang w:val="en-US" w:eastAsia="zh-CN"/>
        </w:rPr>
        <w:t>未开具发票、不足额开票或者开具发票不符合规定的，</w:t>
      </w:r>
      <w:r>
        <w:rPr>
          <w:rFonts w:hint="eastAsia" w:ascii="宋体" w:hAnsi="宋体" w:cs="宋体"/>
          <w:color w:val="auto"/>
          <w:kern w:val="0"/>
          <w:szCs w:val="21"/>
          <w:highlight w:val="none"/>
          <w:lang w:val="en-US" w:eastAsia="zh-CN"/>
        </w:rPr>
        <w:t>甲方</w:t>
      </w:r>
      <w:r>
        <w:rPr>
          <w:rFonts w:hint="eastAsia" w:ascii="宋体" w:hAnsi="宋体" w:eastAsia="宋体" w:cs="宋体"/>
          <w:color w:val="auto"/>
          <w:kern w:val="0"/>
          <w:szCs w:val="21"/>
          <w:highlight w:val="none"/>
          <w:lang w:val="en-US" w:eastAsia="zh-CN"/>
        </w:rPr>
        <w:t>有权迟延付款且无需承担违约责任。</w:t>
      </w:r>
    </w:p>
    <w:p w14:paraId="13CC5C98">
      <w:pPr>
        <w:widowControl/>
        <w:adjustRightInd/>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七、税</w:t>
      </w:r>
    </w:p>
    <w:p w14:paraId="769BFEE3">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7.1本合同执行中相关的一切税费均由乙方负担。</w:t>
      </w:r>
    </w:p>
    <w:p w14:paraId="15CDD8C1">
      <w:pPr>
        <w:widowControl/>
        <w:adjustRightInd/>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八、违约责任</w:t>
      </w:r>
      <w:r>
        <w:rPr>
          <w:rFonts w:hint="eastAsia" w:ascii="宋体" w:hAnsi="宋体" w:cs="宋体"/>
          <w:b/>
          <w:bCs/>
          <w:color w:val="auto"/>
          <w:kern w:val="0"/>
          <w:szCs w:val="21"/>
          <w:highlight w:val="none"/>
          <w:lang w:eastAsia="zh-CN"/>
        </w:rPr>
        <w:t>及其他</w:t>
      </w:r>
      <w:r>
        <w:rPr>
          <w:rFonts w:hint="eastAsia" w:ascii="宋体" w:hAnsi="宋体" w:eastAsia="宋体" w:cs="宋体"/>
          <w:b/>
          <w:bCs/>
          <w:color w:val="auto"/>
          <w:kern w:val="0"/>
          <w:szCs w:val="21"/>
          <w:highlight w:val="none"/>
        </w:rPr>
        <w:t xml:space="preserve"> </w:t>
      </w:r>
    </w:p>
    <w:p w14:paraId="62425331">
      <w:pPr>
        <w:widowControl/>
        <w:adjustRightInd/>
        <w:spacing w:line="360" w:lineRule="auto"/>
        <w:ind w:left="210" w:leftChars="100"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8.1甲方无正当理由拒收接受服务的，甲方向乙方偿付合同款项百分之五作为违约金。</w:t>
      </w:r>
    </w:p>
    <w:p w14:paraId="1C20196B">
      <w:pPr>
        <w:widowControl/>
        <w:adjustRightInd/>
        <w:spacing w:line="360" w:lineRule="auto"/>
        <w:ind w:left="210" w:leftChars="100"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8.2甲方无故逾期验收和办理款项支付手续的，甲方应按逾期付款总额每日万分之五向乙方支付违约金。</w:t>
      </w:r>
    </w:p>
    <w:p w14:paraId="146F8FEB">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8.3乙方逾期提供服务的，每日向甲方支付千分之六违约金。逾期超过约定日期10个工作日不能提供服务的，甲方可解除本合同。乙方因逾期交付或因其他违约行为导致甲方解除合同的，乙方应向甲方支付合同总值5%的违约金，如造成甲方损失超过违约金的，超出部分由乙方继续承担赔偿责任。</w:t>
      </w:r>
    </w:p>
    <w:p w14:paraId="15AF26E0">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8.4在合同约定的服务期内，如乙方提供的服务无法满足甲方的需要或未达到投标承诺的标准，经甲方指出后仍未有改进的，甲方可单方解除合同，由此造成甲方的一切损失均由乙方承担，履约保证金全额不予退还。</w:t>
      </w:r>
    </w:p>
    <w:p w14:paraId="7F08021A">
      <w:pPr>
        <w:widowControl/>
        <w:adjustRightInd/>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九、不可抗力事件处理 </w:t>
      </w:r>
    </w:p>
    <w:p w14:paraId="2090F85D">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9.1在合同有效期内，任何一方因不可抗力事件导致不能履行合同，则合同履行期可延长，其延长期与不可抗力影响期相同。</w:t>
      </w:r>
    </w:p>
    <w:p w14:paraId="4ECEC71B">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9.2不可抗力事件发生后，应立即通知对方，并寄送有关权威机构出具的证明。</w:t>
      </w:r>
    </w:p>
    <w:p w14:paraId="5564E4EE">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9.3不可抗力事件延续120 天以上，双方应通过友好协商，确定是否继续履行合同。</w:t>
      </w:r>
    </w:p>
    <w:p w14:paraId="59660774">
      <w:pPr>
        <w:widowControl/>
        <w:adjustRightInd/>
        <w:spacing w:line="360" w:lineRule="auto"/>
        <w:ind w:firstLine="422" w:firstLineChars="200"/>
        <w:jc w:val="left"/>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十、</w:t>
      </w:r>
      <w:r>
        <w:rPr>
          <w:rFonts w:hint="eastAsia" w:ascii="宋体" w:hAnsi="宋体" w:cs="宋体"/>
          <w:b/>
          <w:bCs/>
          <w:color w:val="auto"/>
          <w:kern w:val="0"/>
          <w:szCs w:val="21"/>
          <w:highlight w:val="none"/>
          <w:lang w:val="en-US" w:eastAsia="zh-CN"/>
        </w:rPr>
        <w:t>争议处理</w:t>
      </w:r>
    </w:p>
    <w:p w14:paraId="7F9F114D">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10.1双方在执行合同中所发生的一切争议，应通过协商解决。如协商不成，可向合同签订地法院起诉，合同签订地在此约定为宁波市海曙区。</w:t>
      </w:r>
    </w:p>
    <w:p w14:paraId="56EF26DE">
      <w:pPr>
        <w:widowControl/>
        <w:adjustRightInd/>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十一、合同生效</w:t>
      </w:r>
      <w:r>
        <w:rPr>
          <w:rFonts w:hint="eastAsia" w:ascii="宋体" w:hAnsi="宋体" w:cs="宋体"/>
          <w:b/>
          <w:bCs/>
          <w:color w:val="auto"/>
          <w:kern w:val="0"/>
          <w:szCs w:val="21"/>
          <w:highlight w:val="none"/>
          <w:lang w:eastAsia="zh-CN"/>
        </w:rPr>
        <w:t>及其他</w:t>
      </w:r>
    </w:p>
    <w:p w14:paraId="41E80FE7">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11.1合同经双方法定代表人或授权委托代理人签字并加盖单位公章后生效。</w:t>
      </w:r>
    </w:p>
    <w:p w14:paraId="0FD386DE">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11.2合同执行中涉及采购资金和采购内容修改或补充的，须经财政部门审批，并签书面补充协议报政府采购监督管理部门备案，方可作为主合同不可分割的一部分。</w:t>
      </w:r>
    </w:p>
    <w:p w14:paraId="5D12AE26">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11.3本合同招标文件、乙方投标文件及投标澄清或承诺，作为合同附件，对合同条款具有补充作用，具有同等法律效力。</w:t>
      </w:r>
    </w:p>
    <w:p w14:paraId="39347012">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11.4本合同未尽事宜，遵照《中华人民共和国民法典》有关条文执行。</w:t>
      </w:r>
    </w:p>
    <w:p w14:paraId="0390E1E0">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 本合同正本一式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份，具有同等法律效力，甲乙双方各执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份，备案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w:t>
      </w:r>
    </w:p>
    <w:p w14:paraId="6D247BC0">
      <w:pPr>
        <w:widowControl/>
        <w:adjustRightInd/>
        <w:spacing w:line="360" w:lineRule="auto"/>
        <w:ind w:firstLine="420" w:firstLineChars="200"/>
        <w:jc w:val="left"/>
        <w:rPr>
          <w:rFonts w:hint="eastAsia" w:ascii="宋体" w:hAnsi="宋体" w:eastAsia="宋体" w:cs="宋体"/>
          <w:color w:val="auto"/>
          <w:kern w:val="0"/>
          <w:szCs w:val="21"/>
          <w:highlight w:val="none"/>
        </w:rPr>
      </w:pPr>
    </w:p>
    <w:p w14:paraId="1A396AE3">
      <w:pPr>
        <w:widowControl/>
        <w:adjustRightInd/>
        <w:spacing w:line="360" w:lineRule="auto"/>
        <w:ind w:firstLine="420" w:firstLineChars="200"/>
        <w:jc w:val="left"/>
        <w:rPr>
          <w:rFonts w:hint="eastAsia" w:ascii="宋体" w:hAnsi="宋体" w:eastAsia="宋体" w:cs="宋体"/>
          <w:color w:val="auto"/>
          <w:kern w:val="0"/>
          <w:szCs w:val="21"/>
          <w:highlight w:val="none"/>
        </w:rPr>
      </w:pPr>
    </w:p>
    <w:p w14:paraId="3915765B">
      <w:pPr>
        <w:widowControl/>
        <w:adjustRightInd/>
        <w:spacing w:line="360" w:lineRule="auto"/>
        <w:ind w:firstLine="420" w:firstLineChars="200"/>
        <w:jc w:val="left"/>
        <w:rPr>
          <w:rFonts w:hint="eastAsia" w:ascii="宋体" w:hAnsi="宋体" w:eastAsia="宋体" w:cs="宋体"/>
          <w:color w:val="auto"/>
          <w:kern w:val="0"/>
          <w:szCs w:val="21"/>
          <w:highlight w:val="none"/>
        </w:rPr>
      </w:pPr>
    </w:p>
    <w:p w14:paraId="0F5C2539">
      <w:pPr>
        <w:widowControl/>
        <w:adjustRightInd/>
        <w:spacing w:line="360" w:lineRule="auto"/>
        <w:ind w:firstLine="420" w:firstLineChars="200"/>
        <w:jc w:val="left"/>
        <w:rPr>
          <w:rFonts w:hint="eastAsia" w:ascii="宋体" w:hAnsi="宋体" w:eastAsia="宋体" w:cs="宋体"/>
          <w:color w:val="auto"/>
          <w:kern w:val="0"/>
          <w:szCs w:val="21"/>
          <w:highlight w:val="none"/>
        </w:rPr>
      </w:pPr>
    </w:p>
    <w:p w14:paraId="7F61F310">
      <w:pPr>
        <w:widowControl/>
        <w:adjustRightInd/>
        <w:spacing w:line="360" w:lineRule="auto"/>
        <w:ind w:firstLine="420" w:firstLineChars="200"/>
        <w:jc w:val="left"/>
        <w:rPr>
          <w:rFonts w:hint="eastAsia" w:ascii="宋体" w:hAnsi="宋体" w:eastAsia="宋体" w:cs="宋体"/>
          <w:color w:val="auto"/>
          <w:kern w:val="0"/>
          <w:szCs w:val="21"/>
          <w:highlight w:val="none"/>
        </w:rPr>
      </w:pPr>
    </w:p>
    <w:p w14:paraId="6745A361">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甲方（公章）：                            乙方（公章）：</w:t>
      </w:r>
    </w:p>
    <w:p w14:paraId="35C3C8A5">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                                   地 址：</w:t>
      </w:r>
    </w:p>
    <w:p w14:paraId="6E710A54">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                               法定代表人：</w:t>
      </w:r>
    </w:p>
    <w:p w14:paraId="03D32374">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委托代理人：                               委托代理人： </w:t>
      </w:r>
    </w:p>
    <w:p w14:paraId="342E8D47">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                                    电 话：</w:t>
      </w:r>
    </w:p>
    <w:p w14:paraId="484B8E27">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                                    传 真：</w:t>
      </w:r>
    </w:p>
    <w:p w14:paraId="2EE3A769">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                                 开户银行：</w:t>
      </w:r>
    </w:p>
    <w:p w14:paraId="04C9D9AC">
      <w:pPr>
        <w:widowControl/>
        <w:adjustRightInd/>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账</w:t>
      </w:r>
      <w:r>
        <w:rPr>
          <w:rFonts w:hint="eastAsia" w:ascii="宋体" w:hAnsi="宋体" w:eastAsia="宋体" w:cs="宋体"/>
          <w:color w:val="auto"/>
          <w:kern w:val="0"/>
          <w:szCs w:val="21"/>
          <w:highlight w:val="none"/>
        </w:rPr>
        <w:t xml:space="preserve"> 号：                                    </w:t>
      </w:r>
      <w:r>
        <w:rPr>
          <w:rFonts w:hint="eastAsia" w:ascii="宋体" w:hAnsi="宋体" w:eastAsia="宋体" w:cs="宋体"/>
          <w:color w:val="auto"/>
          <w:kern w:val="0"/>
          <w:szCs w:val="21"/>
          <w:highlight w:val="none"/>
          <w:lang w:eastAsia="zh-CN"/>
        </w:rPr>
        <w:t>账</w:t>
      </w:r>
      <w:r>
        <w:rPr>
          <w:rFonts w:hint="eastAsia" w:ascii="宋体" w:hAnsi="宋体" w:eastAsia="宋体" w:cs="宋体"/>
          <w:color w:val="auto"/>
          <w:kern w:val="0"/>
          <w:szCs w:val="21"/>
          <w:highlight w:val="none"/>
        </w:rPr>
        <w:t xml:space="preserve"> 号： </w:t>
      </w:r>
    </w:p>
    <w:p w14:paraId="1D6581CB">
      <w:pPr>
        <w:spacing w:line="360" w:lineRule="auto"/>
        <w:ind w:firstLine="420" w:firstLineChars="200"/>
        <w:rPr>
          <w:rFonts w:hint="eastAsia" w:ascii="宋体" w:hAnsi="宋体" w:eastAsia="宋体" w:cs="宋体"/>
          <w:color w:val="auto"/>
          <w:szCs w:val="21"/>
          <w:highlight w:val="none"/>
        </w:rPr>
        <w:sectPr>
          <w:headerReference r:id="rId10" w:type="first"/>
          <w:footerReference r:id="rId12" w:type="first"/>
          <w:headerReference r:id="rId9" w:type="default"/>
          <w:footerReference r:id="rId11" w:type="default"/>
          <w:pgSz w:w="11906" w:h="16838"/>
          <w:pgMar w:top="1304" w:right="1797" w:bottom="1247" w:left="1797" w:header="851" w:footer="851" w:gutter="0"/>
          <w:pgBorders w:offsetFrom="page">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kern w:val="0"/>
          <w:szCs w:val="21"/>
          <w:highlight w:val="none"/>
        </w:rPr>
        <w:t xml:space="preserve">邮政编码：                                 邮政编码： </w:t>
      </w:r>
    </w:p>
    <w:p w14:paraId="614F187D">
      <w:pPr>
        <w:widowControl w:val="0"/>
        <w:adjustRightInd/>
        <w:spacing w:line="360" w:lineRule="auto"/>
        <w:ind w:firstLine="482" w:firstLineChars="200"/>
        <w:jc w:val="both"/>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附件1：</w:t>
      </w:r>
    </w:p>
    <w:p w14:paraId="123DFF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color w:val="auto"/>
          <w:kern w:val="2"/>
          <w:sz w:val="24"/>
          <w:szCs w:val="24"/>
          <w:highlight w:val="none"/>
          <w:lang w:eastAsia="zh-CN"/>
        </w:rPr>
      </w:pPr>
      <w:r>
        <w:rPr>
          <w:rFonts w:hint="eastAsia" w:ascii="宋体" w:hAnsi="宋体" w:eastAsia="宋体" w:cs="Times New Roman"/>
          <w:b/>
          <w:color w:val="auto"/>
          <w:kern w:val="2"/>
          <w:sz w:val="24"/>
          <w:szCs w:val="24"/>
          <w:highlight w:val="none"/>
        </w:rPr>
        <w:t>安全责任</w:t>
      </w:r>
      <w:r>
        <w:rPr>
          <w:rFonts w:hint="eastAsia" w:ascii="宋体" w:hAnsi="宋体" w:eastAsia="宋体" w:cs="Times New Roman"/>
          <w:b/>
          <w:color w:val="auto"/>
          <w:kern w:val="2"/>
          <w:sz w:val="24"/>
          <w:szCs w:val="24"/>
          <w:highlight w:val="none"/>
          <w:lang w:val="en-US" w:eastAsia="zh-CN"/>
        </w:rPr>
        <w:t>合同</w:t>
      </w:r>
    </w:p>
    <w:p w14:paraId="03C787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甲方：</w:t>
      </w:r>
      <w:r>
        <w:rPr>
          <w:rFonts w:hint="eastAsia" w:ascii="宋体" w:hAnsi="宋体" w:eastAsia="宋体" w:cs="宋体"/>
          <w:bCs/>
          <w:color w:val="auto"/>
          <w:kern w:val="2"/>
          <w:sz w:val="21"/>
          <w:szCs w:val="21"/>
          <w:highlight w:val="none"/>
          <w:u w:val="single"/>
          <w:lang w:val="en-US" w:eastAsia="zh-CN"/>
        </w:rPr>
        <w:t xml:space="preserve">                      </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rPr>
        <w:t>（以下简称甲方）</w:t>
      </w:r>
    </w:p>
    <w:p w14:paraId="66A9E4D3">
      <w:pPr>
        <w:widowControl w:val="0"/>
        <w:adjustRightInd/>
        <w:spacing w:line="360" w:lineRule="auto"/>
        <w:ind w:firstLine="420" w:firstLineChars="200"/>
        <w:jc w:val="both"/>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乙方：</w:t>
      </w:r>
      <w:r>
        <w:rPr>
          <w:rFonts w:hint="eastAsia" w:ascii="宋体" w:hAnsi="宋体" w:eastAsia="宋体" w:cs="宋体"/>
          <w:bCs/>
          <w:color w:val="auto"/>
          <w:kern w:val="2"/>
          <w:sz w:val="21"/>
          <w:szCs w:val="21"/>
          <w:highlight w:val="none"/>
          <w:u w:val="single"/>
          <w:lang w:val="en-US" w:eastAsia="zh-CN"/>
        </w:rPr>
        <w:t xml:space="preserve">                      </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rPr>
        <w:t>（以下简称乙方）</w:t>
      </w:r>
    </w:p>
    <w:p w14:paraId="0C502231">
      <w:pPr>
        <w:widowControl w:val="0"/>
        <w:adjustRightInd/>
        <w:spacing w:line="360"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为了进一步贯彻落实“安全第一，预防为主”的方针，全面落实乙方安全责任，强化安全管理，有效遏制重、特大事故的发生，维护工作和生活秩序，特签订安全责任</w:t>
      </w:r>
      <w:r>
        <w:rPr>
          <w:rFonts w:hint="eastAsia" w:ascii="宋体" w:hAnsi="宋体" w:eastAsia="宋体" w:cs="宋体"/>
          <w:color w:val="auto"/>
          <w:kern w:val="2"/>
          <w:sz w:val="21"/>
          <w:szCs w:val="21"/>
          <w:highlight w:val="none"/>
          <w:lang w:val="en-US" w:eastAsia="zh-CN"/>
        </w:rPr>
        <w:t>合同</w:t>
      </w:r>
      <w:r>
        <w:rPr>
          <w:rFonts w:hint="eastAsia" w:ascii="宋体" w:hAnsi="宋体" w:eastAsia="宋体" w:cs="宋体"/>
          <w:color w:val="auto"/>
          <w:kern w:val="2"/>
          <w:sz w:val="21"/>
          <w:szCs w:val="21"/>
          <w:highlight w:val="none"/>
        </w:rPr>
        <w:t>。</w:t>
      </w:r>
    </w:p>
    <w:p w14:paraId="6EA88B24">
      <w:pPr>
        <w:widowControl w:val="0"/>
        <w:adjustRightInd/>
        <w:spacing w:line="360"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一、责任归属：日常管理及生产经营发生的一切安全事故，责任由乙方自行承担，甲方在事故处理中只起协助调解作用，不承担任何责任。</w:t>
      </w:r>
    </w:p>
    <w:p w14:paraId="5F8E3677">
      <w:pPr>
        <w:widowControl w:val="0"/>
        <w:adjustRightInd/>
        <w:spacing w:line="360"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二、责任对象：乙方的法人代表是安全生产第一责任人，对该公司安全生产工作负全面责任。</w:t>
      </w:r>
    </w:p>
    <w:p w14:paraId="69E34194">
      <w:pPr>
        <w:widowControl w:val="0"/>
        <w:adjustRightInd/>
        <w:spacing w:line="360"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三、责任目标</w:t>
      </w:r>
    </w:p>
    <w:p w14:paraId="377CC53D">
      <w:pPr>
        <w:widowControl w:val="0"/>
        <w:adjustRightInd/>
        <w:spacing w:line="360"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建立健全安全责任制，制定并落实各项安全规章制度。</w:t>
      </w:r>
    </w:p>
    <w:p w14:paraId="53E96427">
      <w:pPr>
        <w:widowControl w:val="0"/>
        <w:adjustRightInd/>
        <w:spacing w:line="360"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2．对所有符合参加人身意外伤害保险的人员统一进行参保（社会保险参保人员除外）；</w:t>
      </w:r>
    </w:p>
    <w:p w14:paraId="7EE61D3C">
      <w:pPr>
        <w:widowControl w:val="0"/>
        <w:adjustRightInd/>
        <w:spacing w:line="360"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不发生</w:t>
      </w:r>
      <w:r>
        <w:rPr>
          <w:rFonts w:ascii="宋体" w:hAnsi="宋体" w:eastAsia="宋体" w:cs="宋体"/>
          <w:color w:val="auto"/>
          <w:kern w:val="2"/>
          <w:sz w:val="21"/>
          <w:szCs w:val="21"/>
          <w:highlight w:val="none"/>
        </w:rPr>
        <w:t>重伤及以上人身伤亡事故</w:t>
      </w:r>
      <w:r>
        <w:rPr>
          <w:rFonts w:hint="eastAsia" w:ascii="宋体" w:hAnsi="宋体" w:eastAsia="宋体" w:cs="宋体"/>
          <w:color w:val="auto"/>
          <w:kern w:val="2"/>
          <w:sz w:val="21"/>
          <w:szCs w:val="21"/>
          <w:highlight w:val="none"/>
        </w:rPr>
        <w:t>；</w:t>
      </w:r>
    </w:p>
    <w:p w14:paraId="7CFB404C">
      <w:pPr>
        <w:widowControl w:val="0"/>
        <w:adjustRightInd/>
        <w:spacing w:line="360"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w:t>
      </w:r>
      <w:r>
        <w:rPr>
          <w:rFonts w:ascii="宋体" w:hAnsi="宋体" w:eastAsia="宋体" w:cs="宋体"/>
          <w:color w:val="auto"/>
          <w:kern w:val="2"/>
          <w:sz w:val="21"/>
          <w:szCs w:val="21"/>
          <w:highlight w:val="none"/>
        </w:rPr>
        <w:t>年度人身轻伤事故率不超过</w:t>
      </w:r>
      <w:r>
        <w:rPr>
          <w:rFonts w:hint="eastAsia" w:ascii="宋体" w:hAnsi="宋体" w:eastAsia="宋体" w:cs="宋体"/>
          <w:color w:val="auto"/>
          <w:kern w:val="2"/>
          <w:sz w:val="21"/>
          <w:szCs w:val="21"/>
          <w:highlight w:val="none"/>
          <w:lang w:val="en-US" w:eastAsia="zh-CN"/>
        </w:rPr>
        <w:t>服务人员</w:t>
      </w:r>
      <w:r>
        <w:rPr>
          <w:rFonts w:hint="eastAsia" w:ascii="宋体" w:hAnsi="宋体" w:eastAsia="宋体" w:cs="宋体"/>
          <w:color w:val="auto"/>
          <w:kern w:val="2"/>
          <w:sz w:val="21"/>
          <w:szCs w:val="21"/>
          <w:highlight w:val="none"/>
        </w:rPr>
        <w:t>总人数</w:t>
      </w:r>
      <w:r>
        <w:rPr>
          <w:rFonts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rPr>
        <w:t>3%；</w:t>
      </w:r>
    </w:p>
    <w:p w14:paraId="7772031B">
      <w:pPr>
        <w:widowControl w:val="0"/>
        <w:adjustRightInd/>
        <w:spacing w:line="360"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．保证辖区内不发生消防</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卫生、食品安全</w:t>
      </w:r>
      <w:r>
        <w:rPr>
          <w:rFonts w:hint="eastAsia" w:ascii="宋体" w:hAnsi="宋体" w:eastAsia="宋体" w:cs="宋体"/>
          <w:color w:val="auto"/>
          <w:kern w:val="2"/>
          <w:sz w:val="21"/>
          <w:szCs w:val="21"/>
          <w:highlight w:val="none"/>
        </w:rPr>
        <w:t>等安全</w:t>
      </w:r>
      <w:r>
        <w:rPr>
          <w:rFonts w:ascii="宋体" w:hAnsi="宋体" w:eastAsia="宋体" w:cs="宋体"/>
          <w:color w:val="auto"/>
          <w:kern w:val="2"/>
          <w:sz w:val="21"/>
          <w:szCs w:val="21"/>
          <w:highlight w:val="none"/>
        </w:rPr>
        <w:t>事故；</w:t>
      </w:r>
    </w:p>
    <w:p w14:paraId="4B6FBAA2">
      <w:pPr>
        <w:widowControl w:val="0"/>
        <w:adjustRightInd/>
        <w:spacing w:line="360"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．不发生</w:t>
      </w:r>
      <w:r>
        <w:rPr>
          <w:rFonts w:ascii="宋体" w:hAnsi="宋体" w:eastAsia="宋体" w:cs="宋体"/>
          <w:color w:val="auto"/>
          <w:kern w:val="2"/>
          <w:sz w:val="21"/>
          <w:szCs w:val="21"/>
          <w:highlight w:val="none"/>
        </w:rPr>
        <w:t>大面积传染病事件；</w:t>
      </w:r>
    </w:p>
    <w:p w14:paraId="691B6A15">
      <w:pPr>
        <w:widowControl w:val="0"/>
        <w:adjustRightInd/>
        <w:spacing w:line="360"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w:t>
      </w:r>
      <w:r>
        <w:rPr>
          <w:rFonts w:ascii="宋体" w:hAnsi="宋体" w:eastAsia="宋体" w:cs="宋体"/>
          <w:color w:val="auto"/>
          <w:kern w:val="2"/>
          <w:sz w:val="21"/>
          <w:szCs w:val="21"/>
          <w:highlight w:val="none"/>
        </w:rPr>
        <w:t>不发生</w:t>
      </w:r>
      <w:r>
        <w:rPr>
          <w:rFonts w:hint="eastAsia" w:ascii="宋体" w:hAnsi="宋体" w:eastAsia="宋体" w:cs="宋体"/>
          <w:color w:val="auto"/>
          <w:kern w:val="2"/>
          <w:sz w:val="21"/>
          <w:szCs w:val="21"/>
          <w:highlight w:val="none"/>
          <w:lang w:val="en-US" w:eastAsia="zh-CN"/>
        </w:rPr>
        <w:t>重大</w:t>
      </w:r>
      <w:r>
        <w:rPr>
          <w:rFonts w:ascii="宋体" w:hAnsi="宋体" w:eastAsia="宋体" w:cs="宋体"/>
          <w:color w:val="auto"/>
          <w:kern w:val="2"/>
          <w:sz w:val="21"/>
          <w:szCs w:val="21"/>
          <w:highlight w:val="none"/>
        </w:rPr>
        <w:t>设备、机械</w:t>
      </w:r>
      <w:r>
        <w:rPr>
          <w:rFonts w:hint="eastAsia" w:ascii="宋体" w:hAnsi="宋体" w:eastAsia="宋体" w:cs="宋体"/>
          <w:color w:val="auto"/>
          <w:kern w:val="2"/>
          <w:sz w:val="21"/>
          <w:szCs w:val="21"/>
          <w:highlight w:val="none"/>
          <w:lang w:val="en-US" w:eastAsia="zh-CN"/>
        </w:rPr>
        <w:t>等</w:t>
      </w:r>
      <w:r>
        <w:rPr>
          <w:rFonts w:ascii="宋体" w:hAnsi="宋体" w:eastAsia="宋体" w:cs="宋体"/>
          <w:color w:val="auto"/>
          <w:kern w:val="2"/>
          <w:sz w:val="21"/>
          <w:szCs w:val="21"/>
          <w:highlight w:val="none"/>
        </w:rPr>
        <w:t>事故；</w:t>
      </w:r>
    </w:p>
    <w:p w14:paraId="5D10C3DC">
      <w:pPr>
        <w:widowControl w:val="0"/>
        <w:adjustRightInd/>
        <w:spacing w:line="360"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w:t>
      </w:r>
      <w:r>
        <w:rPr>
          <w:rFonts w:ascii="宋体" w:hAnsi="宋体" w:eastAsia="宋体" w:cs="宋体"/>
          <w:color w:val="auto"/>
          <w:kern w:val="2"/>
          <w:sz w:val="21"/>
          <w:szCs w:val="21"/>
          <w:highlight w:val="none"/>
        </w:rPr>
        <w:t>安全</w:t>
      </w:r>
      <w:r>
        <w:rPr>
          <w:rFonts w:hint="eastAsia" w:ascii="宋体" w:hAnsi="宋体" w:eastAsia="宋体" w:cs="宋体"/>
          <w:color w:val="auto"/>
          <w:kern w:val="2"/>
          <w:sz w:val="21"/>
          <w:szCs w:val="21"/>
          <w:highlight w:val="none"/>
          <w:lang w:val="en-US" w:eastAsia="zh-CN"/>
        </w:rPr>
        <w:t>维护</w:t>
      </w:r>
      <w:r>
        <w:rPr>
          <w:rFonts w:ascii="宋体" w:hAnsi="宋体" w:eastAsia="宋体" w:cs="宋体"/>
          <w:color w:val="auto"/>
          <w:kern w:val="2"/>
          <w:sz w:val="21"/>
          <w:szCs w:val="21"/>
          <w:highlight w:val="none"/>
        </w:rPr>
        <w:t>规范率达到100%；</w:t>
      </w:r>
    </w:p>
    <w:p w14:paraId="628DDDE6">
      <w:pPr>
        <w:widowControl w:val="0"/>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．每季度至少召开一次安全工作例会，研究解决安全</w:t>
      </w:r>
      <w:r>
        <w:rPr>
          <w:rFonts w:hint="eastAsia" w:ascii="宋体" w:hAnsi="宋体" w:eastAsia="宋体" w:cs="宋体"/>
          <w:color w:val="auto"/>
          <w:kern w:val="2"/>
          <w:sz w:val="21"/>
          <w:szCs w:val="21"/>
          <w:highlight w:val="none"/>
          <w:lang w:val="en-US" w:eastAsia="zh-CN"/>
        </w:rPr>
        <w:t>管理</w:t>
      </w:r>
      <w:r>
        <w:rPr>
          <w:rFonts w:hint="eastAsia" w:ascii="宋体" w:hAnsi="宋体" w:eastAsia="宋体" w:cs="宋体"/>
          <w:color w:val="auto"/>
          <w:kern w:val="2"/>
          <w:sz w:val="21"/>
          <w:szCs w:val="21"/>
          <w:highlight w:val="none"/>
        </w:rPr>
        <w:t>中的重大问题；每季度至少组织一次全面及专项安全检查，并有检查记录凭证；</w:t>
      </w:r>
    </w:p>
    <w:p w14:paraId="5CCF24D3">
      <w:pPr>
        <w:spacing w:after="120" w:afterLines="0"/>
        <w:ind w:firstLine="420" w:firstLineChars="200"/>
        <w:rPr>
          <w:rFonts w:hint="default" w:ascii="Times New Roman" w:hAnsi="Times New Roman" w:eastAsia="宋体" w:cs="Times New Roman"/>
          <w:color w:val="auto"/>
          <w:sz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10.协助</w:t>
      </w:r>
      <w:r>
        <w:rPr>
          <w:rFonts w:hint="eastAsia" w:ascii="宋体" w:hAnsi="宋体" w:cs="宋体"/>
          <w:color w:val="auto"/>
          <w:kern w:val="2"/>
          <w:sz w:val="21"/>
          <w:szCs w:val="21"/>
          <w:highlight w:val="none"/>
          <w:lang w:val="en-US" w:eastAsia="zh-CN" w:bidi="ar-SA"/>
        </w:rPr>
        <w:t>甲方</w:t>
      </w:r>
      <w:r>
        <w:rPr>
          <w:rFonts w:hint="eastAsia" w:ascii="宋体" w:hAnsi="宋体" w:eastAsia="宋体" w:cs="宋体"/>
          <w:color w:val="auto"/>
          <w:kern w:val="2"/>
          <w:sz w:val="21"/>
          <w:szCs w:val="21"/>
          <w:highlight w:val="none"/>
          <w:lang w:val="en-US" w:eastAsia="zh-CN" w:bidi="ar-SA"/>
        </w:rPr>
        <w:t>做好各级各类安全等方面的检查工作；</w:t>
      </w:r>
    </w:p>
    <w:p w14:paraId="7C69E9B4">
      <w:pPr>
        <w:widowControl w:val="0"/>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．本责任</w:t>
      </w:r>
      <w:r>
        <w:rPr>
          <w:rFonts w:hint="eastAsia" w:ascii="宋体" w:hAnsi="宋体" w:eastAsia="宋体" w:cs="宋体"/>
          <w:color w:val="auto"/>
          <w:kern w:val="2"/>
          <w:sz w:val="21"/>
          <w:szCs w:val="21"/>
          <w:highlight w:val="none"/>
          <w:lang w:val="en-US" w:eastAsia="zh-CN"/>
        </w:rPr>
        <w:t>合同</w:t>
      </w:r>
      <w:r>
        <w:rPr>
          <w:rFonts w:hint="eastAsia" w:ascii="宋体" w:hAnsi="宋体" w:eastAsia="宋体" w:cs="宋体"/>
          <w:color w:val="auto"/>
          <w:kern w:val="2"/>
          <w:sz w:val="21"/>
          <w:szCs w:val="21"/>
          <w:highlight w:val="none"/>
        </w:rPr>
        <w:t>有效期与双方所签订</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合同挂钩，随</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合同时间起讫。</w:t>
      </w:r>
    </w:p>
    <w:p w14:paraId="3FC5A033">
      <w:pPr>
        <w:spacing w:after="120" w:afterLines="0"/>
        <w:rPr>
          <w:rFonts w:hint="default" w:ascii="Times New Roman" w:hAnsi="Times New Roman" w:eastAsia="宋体" w:cs="Times New Roman"/>
          <w:color w:val="auto"/>
          <w:sz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w:t>
      </w:r>
    </w:p>
    <w:p w14:paraId="44775148">
      <w:pPr>
        <w:widowControl w:val="0"/>
        <w:adjustRightInd/>
        <w:spacing w:line="360" w:lineRule="auto"/>
        <w:jc w:val="both"/>
        <w:rPr>
          <w:rFonts w:hint="eastAsia" w:ascii="宋体" w:hAnsi="宋体" w:eastAsia="宋体" w:cs="宋体"/>
          <w:color w:val="auto"/>
          <w:kern w:val="2"/>
          <w:sz w:val="21"/>
          <w:szCs w:val="21"/>
          <w:highlight w:val="none"/>
        </w:rPr>
      </w:pPr>
    </w:p>
    <w:p w14:paraId="6BF5DD38">
      <w:pPr>
        <w:widowControl w:val="0"/>
        <w:adjustRightInd/>
        <w:spacing w:line="360" w:lineRule="auto"/>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      乙方：</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14:paraId="4668BFA9">
      <w:pPr>
        <w:widowControl w:val="0"/>
        <w:adjustRightInd/>
        <w:spacing w:line="360" w:lineRule="auto"/>
        <w:jc w:val="both"/>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法定（授权）代表人：</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rPr>
        <w:t xml:space="preserve">       法定（授权）代表人：</w:t>
      </w:r>
      <w:r>
        <w:rPr>
          <w:rFonts w:hint="eastAsia" w:ascii="宋体" w:hAnsi="宋体" w:eastAsia="宋体" w:cs="宋体"/>
          <w:bCs/>
          <w:color w:val="auto"/>
          <w:kern w:val="2"/>
          <w:sz w:val="21"/>
          <w:szCs w:val="21"/>
          <w:highlight w:val="none"/>
          <w:u w:val="single"/>
        </w:rPr>
        <w:t xml:space="preserve">              </w:t>
      </w:r>
    </w:p>
    <w:p w14:paraId="42A0F77D">
      <w:pPr>
        <w:widowControl w:val="0"/>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年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月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        日期：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年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月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p w14:paraId="4C1C7A75">
      <w:pPr>
        <w:spacing w:line="360" w:lineRule="auto"/>
        <w:ind w:left="-420" w:leftChars="-200" w:right="-420" w:rightChars="-200" w:firstLine="480" w:firstLineChars="200"/>
        <w:jc w:val="center"/>
        <w:outlineLvl w:val="9"/>
        <w:rPr>
          <w:rFonts w:ascii="宋体" w:hAnsi="宋体" w:cs="宋体"/>
          <w:color w:val="auto"/>
          <w:sz w:val="24"/>
          <w:highlight w:val="none"/>
        </w:rPr>
      </w:pPr>
    </w:p>
    <w:p w14:paraId="15080DF8">
      <w:pPr>
        <w:widowControl/>
        <w:adjustRightInd/>
        <w:jc w:val="center"/>
        <w:rPr>
          <w:rFonts w:hint="eastAsia" w:ascii="宋体" w:hAnsi="宋体" w:cs="宋体"/>
          <w:b/>
          <w:color w:val="auto"/>
          <w:sz w:val="36"/>
          <w:szCs w:val="20"/>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bookmarkEnd w:id="401"/>
    <w:bookmarkEnd w:id="402"/>
    <w:p w14:paraId="0CBCBDDA">
      <w:pPr>
        <w:widowControl/>
        <w:adjustRightInd/>
        <w:jc w:val="center"/>
        <w:outlineLvl w:val="0"/>
        <w:rPr>
          <w:rFonts w:ascii="宋体" w:hAnsi="宋体" w:eastAsia="宋体" w:cs="宋体"/>
          <w:b/>
          <w:color w:val="auto"/>
          <w:sz w:val="36"/>
          <w:szCs w:val="20"/>
          <w:highlight w:val="none"/>
        </w:rPr>
      </w:pPr>
      <w:bookmarkStart w:id="404" w:name="_Toc75"/>
      <w:r>
        <w:rPr>
          <w:rFonts w:hint="eastAsia" w:ascii="宋体" w:hAnsi="宋体" w:eastAsia="宋体" w:cs="宋体"/>
          <w:b/>
          <w:color w:val="auto"/>
          <w:sz w:val="36"/>
          <w:szCs w:val="20"/>
          <w:highlight w:val="none"/>
        </w:rPr>
        <w:t>第六部分 应提交的有关格式范例</w:t>
      </w:r>
      <w:bookmarkEnd w:id="404"/>
    </w:p>
    <w:p w14:paraId="22CFD651">
      <w:pPr>
        <w:spacing w:line="360" w:lineRule="auto"/>
        <w:jc w:val="center"/>
        <w:outlineLvl w:val="9"/>
        <w:rPr>
          <w:rFonts w:ascii="宋体" w:hAnsi="宋体" w:eastAsia="宋体" w:cs="宋体"/>
          <w:b/>
          <w:color w:val="auto"/>
          <w:kern w:val="0"/>
          <w:sz w:val="36"/>
          <w:szCs w:val="36"/>
          <w:highlight w:val="none"/>
        </w:rPr>
      </w:pPr>
    </w:p>
    <w:p w14:paraId="5D2A8189">
      <w:pPr>
        <w:spacing w:line="360" w:lineRule="auto"/>
        <w:jc w:val="center"/>
        <w:outlineLvl w:val="0"/>
        <w:rPr>
          <w:rFonts w:ascii="宋体" w:hAnsi="宋体" w:eastAsia="宋体" w:cs="宋体"/>
          <w:b/>
          <w:color w:val="auto"/>
          <w:kern w:val="0"/>
          <w:sz w:val="36"/>
          <w:szCs w:val="36"/>
          <w:highlight w:val="none"/>
        </w:rPr>
      </w:pPr>
      <w:bookmarkStart w:id="405" w:name="_Toc3369"/>
      <w:r>
        <w:rPr>
          <w:rFonts w:hint="eastAsia" w:ascii="宋体" w:hAnsi="宋体" w:eastAsia="宋体" w:cs="宋体"/>
          <w:b/>
          <w:color w:val="auto"/>
          <w:kern w:val="0"/>
          <w:sz w:val="36"/>
          <w:szCs w:val="36"/>
          <w:highlight w:val="none"/>
        </w:rPr>
        <w:t>资格文件部分</w:t>
      </w:r>
      <w:bookmarkEnd w:id="405"/>
    </w:p>
    <w:p w14:paraId="3AB78F78">
      <w:pPr>
        <w:spacing w:line="360" w:lineRule="auto"/>
        <w:jc w:val="center"/>
        <w:outlineLvl w:val="0"/>
        <w:rPr>
          <w:rFonts w:ascii="宋体" w:hAnsi="宋体" w:eastAsia="宋体" w:cs="宋体"/>
          <w:b/>
          <w:color w:val="auto"/>
          <w:kern w:val="0"/>
          <w:sz w:val="36"/>
          <w:szCs w:val="36"/>
          <w:highlight w:val="none"/>
        </w:rPr>
      </w:pPr>
      <w:bookmarkStart w:id="406" w:name="_Toc1188"/>
      <w:r>
        <w:rPr>
          <w:rFonts w:hint="eastAsia" w:ascii="宋体" w:hAnsi="宋体" w:eastAsia="宋体" w:cs="宋体"/>
          <w:b/>
          <w:color w:val="auto"/>
          <w:kern w:val="0"/>
          <w:sz w:val="36"/>
          <w:szCs w:val="36"/>
          <w:highlight w:val="none"/>
        </w:rPr>
        <w:t>目录</w:t>
      </w:r>
      <w:bookmarkEnd w:id="406"/>
    </w:p>
    <w:p w14:paraId="501C9908">
      <w:pPr>
        <w:spacing w:line="360" w:lineRule="auto"/>
        <w:jc w:val="center"/>
        <w:outlineLvl w:val="9"/>
        <w:rPr>
          <w:rFonts w:ascii="宋体" w:hAnsi="宋体" w:eastAsia="宋体" w:cs="宋体"/>
          <w:b/>
          <w:color w:val="auto"/>
          <w:kern w:val="0"/>
          <w:sz w:val="36"/>
          <w:szCs w:val="36"/>
          <w:highlight w:val="none"/>
        </w:rPr>
      </w:pPr>
    </w:p>
    <w:p w14:paraId="2AEC3E16">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032FAEF3">
      <w:pPr>
        <w:snapToGrid w:val="0"/>
        <w:spacing w:line="360" w:lineRule="auto"/>
        <w:rPr>
          <w:rFonts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48271615">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3</w:t>
      </w:r>
      <w:r>
        <w:rPr>
          <w:rFonts w:hint="eastAsia" w:ascii="宋体" w:hAnsi="宋体" w:eastAsia="宋体" w:cs="宋体"/>
          <w:color w:val="auto"/>
          <w:sz w:val="24"/>
          <w:highlight w:val="none"/>
        </w:rPr>
        <w:t>）落实政府采购政策需满足的资格要求………………………………（页码）</w:t>
      </w:r>
    </w:p>
    <w:p w14:paraId="48E4A671">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4</w:t>
      </w:r>
      <w:r>
        <w:rPr>
          <w:rFonts w:hint="eastAsia" w:ascii="宋体" w:hAnsi="宋体" w:eastAsia="宋体" w:cs="宋体"/>
          <w:color w:val="auto"/>
          <w:sz w:val="24"/>
          <w:highlight w:val="none"/>
        </w:rPr>
        <w:t>）本项目的特定资格要求………………………………………………（页码）</w:t>
      </w:r>
    </w:p>
    <w:p w14:paraId="00F113CD">
      <w:pPr>
        <w:snapToGrid w:val="0"/>
        <w:spacing w:line="360" w:lineRule="auto"/>
        <w:ind w:firstLine="480" w:firstLineChars="200"/>
        <w:rPr>
          <w:rFonts w:ascii="宋体" w:hAnsi="宋体" w:eastAsia="宋体" w:cs="宋体"/>
          <w:color w:val="auto"/>
          <w:sz w:val="24"/>
          <w:highlight w:val="none"/>
        </w:rPr>
      </w:pPr>
    </w:p>
    <w:p w14:paraId="01717A9B">
      <w:pPr>
        <w:spacing w:line="360" w:lineRule="auto"/>
        <w:ind w:firstLine="480" w:firstLineChars="200"/>
        <w:rPr>
          <w:rFonts w:ascii="宋体" w:hAnsi="宋体" w:eastAsia="宋体" w:cs="宋体"/>
          <w:color w:val="auto"/>
          <w:sz w:val="24"/>
          <w:highlight w:val="none"/>
        </w:rPr>
      </w:pPr>
    </w:p>
    <w:p w14:paraId="44BD05AD">
      <w:pPr>
        <w:snapToGrid w:val="0"/>
        <w:spacing w:line="360" w:lineRule="auto"/>
        <w:ind w:right="480"/>
        <w:jc w:val="center"/>
        <w:rPr>
          <w:rFonts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14:paraId="6A698C7D">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556F010D">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64A3C5E3">
      <w:pPr>
        <w:snapToGrid w:val="0"/>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6B7C7044">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47DDD50">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61314C3">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23619D7">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E045780">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E05C1AB">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43B47D56">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、中国政府采购网（www.ccgp.gov.cn）列入失信被执行人、重大税收违法案件当事人名单、政府采购严重违法失信行为记录名单。</w:t>
      </w:r>
    </w:p>
    <w:p w14:paraId="57BDC44C">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274F9501">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8AEA55F">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01378ADD">
      <w:pPr>
        <w:snapToGrid w:val="0"/>
        <w:spacing w:line="360" w:lineRule="auto"/>
        <w:ind w:firstLine="5520" w:firstLineChars="2300"/>
        <w:rPr>
          <w:rFonts w:ascii="宋体" w:hAnsi="宋体" w:eastAsia="宋体" w:cs="宋体"/>
          <w:color w:val="auto"/>
          <w:kern w:val="0"/>
          <w:sz w:val="24"/>
          <w:highlight w:val="none"/>
        </w:rPr>
      </w:pP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30158597">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6115C24">
      <w:pPr>
        <w:snapToGrid w:val="0"/>
        <w:spacing w:line="360" w:lineRule="auto"/>
        <w:ind w:right="480"/>
        <w:jc w:val="center"/>
        <w:rPr>
          <w:rFonts w:ascii="宋体" w:hAnsi="宋体" w:eastAsia="宋体" w:cs="宋体"/>
          <w:b/>
          <w:color w:val="auto"/>
          <w:kern w:val="0"/>
          <w:sz w:val="32"/>
          <w:szCs w:val="32"/>
          <w:highlight w:val="none"/>
        </w:rPr>
      </w:pPr>
    </w:p>
    <w:p w14:paraId="468A5FD8">
      <w:pPr>
        <w:snapToGrid w:val="0"/>
        <w:spacing w:line="360" w:lineRule="auto"/>
        <w:ind w:right="480"/>
        <w:jc w:val="center"/>
        <w:rPr>
          <w:rFonts w:ascii="宋体" w:hAnsi="宋体" w:eastAsia="宋体" w:cs="宋体"/>
          <w:b/>
          <w:color w:val="auto"/>
          <w:kern w:val="0"/>
          <w:sz w:val="32"/>
          <w:szCs w:val="32"/>
          <w:highlight w:val="none"/>
        </w:rPr>
      </w:pPr>
    </w:p>
    <w:p w14:paraId="52398681">
      <w:pPr>
        <w:snapToGrid w:val="0"/>
        <w:spacing w:line="360" w:lineRule="auto"/>
        <w:ind w:right="480"/>
        <w:jc w:val="center"/>
        <w:rPr>
          <w:rFonts w:ascii="宋体" w:hAnsi="宋体" w:eastAsia="宋体" w:cs="宋体"/>
          <w:b/>
          <w:color w:val="auto"/>
          <w:kern w:val="0"/>
          <w:sz w:val="32"/>
          <w:szCs w:val="32"/>
          <w:highlight w:val="none"/>
        </w:rPr>
      </w:pPr>
    </w:p>
    <w:p w14:paraId="014799D1">
      <w:pPr>
        <w:rPr>
          <w:rFonts w:ascii="宋体" w:hAnsi="宋体" w:eastAsia="宋体" w:cs="宋体"/>
          <w:color w:val="auto"/>
          <w:highlight w:val="none"/>
        </w:rPr>
      </w:pPr>
    </w:p>
    <w:p w14:paraId="09F24A88">
      <w:pPr>
        <w:snapToGrid w:val="0"/>
        <w:spacing w:line="360" w:lineRule="auto"/>
        <w:ind w:right="480"/>
        <w:jc w:val="center"/>
        <w:rPr>
          <w:rFonts w:ascii="宋体" w:hAnsi="宋体" w:eastAsia="宋体" w:cs="宋体"/>
          <w:b/>
          <w:color w:val="auto"/>
          <w:kern w:val="0"/>
          <w:sz w:val="32"/>
          <w:szCs w:val="32"/>
          <w:highlight w:val="none"/>
        </w:rPr>
      </w:pPr>
    </w:p>
    <w:p w14:paraId="5B54F1FA">
      <w:pPr>
        <w:snapToGrid w:val="0"/>
        <w:spacing w:line="360" w:lineRule="auto"/>
        <w:ind w:right="480"/>
        <w:jc w:val="center"/>
        <w:rPr>
          <w:rFonts w:ascii="宋体" w:hAnsi="宋体" w:eastAsia="宋体" w:cs="宋体"/>
          <w:b/>
          <w:color w:val="auto"/>
          <w:kern w:val="0"/>
          <w:sz w:val="32"/>
          <w:szCs w:val="32"/>
          <w:highlight w:val="none"/>
        </w:rPr>
      </w:pPr>
    </w:p>
    <w:p w14:paraId="7AA5DFE4">
      <w:pPr>
        <w:snapToGrid w:val="0"/>
        <w:spacing w:line="360" w:lineRule="auto"/>
        <w:ind w:right="480"/>
        <w:jc w:val="center"/>
        <w:rPr>
          <w:rFonts w:ascii="宋体" w:hAnsi="宋体" w:eastAsia="宋体" w:cs="宋体"/>
          <w:b/>
          <w:color w:val="auto"/>
          <w:kern w:val="0"/>
          <w:sz w:val="32"/>
          <w:szCs w:val="32"/>
          <w:highlight w:val="none"/>
        </w:rPr>
      </w:pPr>
    </w:p>
    <w:p w14:paraId="15D47AA7">
      <w:pPr>
        <w:widowControl/>
        <w:adjustRightInd/>
        <w:jc w:val="left"/>
        <w:rPr>
          <w:rFonts w:ascii="宋体" w:hAnsi="宋体" w:eastAsia="宋体" w:cs="宋体"/>
          <w:b/>
          <w:color w:val="auto"/>
          <w:kern w:val="0"/>
          <w:sz w:val="32"/>
          <w:szCs w:val="32"/>
          <w:highlight w:val="none"/>
        </w:rPr>
      </w:pPr>
      <w:r>
        <w:rPr>
          <w:rFonts w:ascii="宋体" w:hAnsi="宋体" w:eastAsia="宋体" w:cs="宋体"/>
          <w:b/>
          <w:color w:val="auto"/>
          <w:kern w:val="0"/>
          <w:sz w:val="32"/>
          <w:szCs w:val="32"/>
          <w:highlight w:val="none"/>
        </w:rPr>
        <w:br w:type="page"/>
      </w:r>
    </w:p>
    <w:p w14:paraId="5CDF6F69">
      <w:pPr>
        <w:widowControl/>
        <w:spacing w:line="360" w:lineRule="auto"/>
        <w:ind w:firstLine="643" w:firstLineChars="200"/>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7E851594">
      <w:pPr>
        <w:widowControl/>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w:t>
      </w:r>
      <w:r>
        <w:rPr>
          <w:rFonts w:hint="eastAsia" w:ascii="宋体" w:hAnsi="宋体" w:cs="宋体"/>
          <w:b/>
          <w:color w:val="auto"/>
          <w:sz w:val="24"/>
          <w:highlight w:val="none"/>
          <w:lang w:eastAsia="zh-CN"/>
        </w:rPr>
        <w:t>供应商</w:t>
      </w:r>
      <w:r>
        <w:rPr>
          <w:rFonts w:hint="eastAsia" w:ascii="宋体" w:hAnsi="宋体" w:eastAsia="宋体" w:cs="宋体"/>
          <w:b/>
          <w:color w:val="auto"/>
          <w:sz w:val="24"/>
          <w:highlight w:val="none"/>
        </w:rPr>
        <w:t>不以联合体形式投标的，则不需要提供）]</w:t>
      </w:r>
    </w:p>
    <w:p w14:paraId="3116C64C">
      <w:pPr>
        <w:snapToGrid w:val="0"/>
        <w:spacing w:line="360" w:lineRule="auto"/>
        <w:ind w:right="480"/>
        <w:jc w:val="center"/>
        <w:rPr>
          <w:rFonts w:ascii="宋体" w:hAnsi="宋体" w:eastAsia="宋体" w:cs="宋体"/>
          <w:b/>
          <w:color w:val="auto"/>
          <w:kern w:val="0"/>
          <w:sz w:val="32"/>
          <w:szCs w:val="32"/>
          <w:highlight w:val="none"/>
        </w:rPr>
      </w:pPr>
    </w:p>
    <w:p w14:paraId="0A003246">
      <w:pPr>
        <w:snapToGrid w:val="0"/>
        <w:spacing w:line="360" w:lineRule="auto"/>
        <w:ind w:right="480"/>
        <w:jc w:val="center"/>
        <w:rPr>
          <w:rFonts w:ascii="宋体" w:hAnsi="宋体" w:eastAsia="宋体" w:cs="宋体"/>
          <w:b/>
          <w:color w:val="auto"/>
          <w:kern w:val="0"/>
          <w:sz w:val="32"/>
          <w:szCs w:val="32"/>
          <w:highlight w:val="none"/>
        </w:rPr>
      </w:pPr>
    </w:p>
    <w:p w14:paraId="473D4A32">
      <w:pPr>
        <w:snapToGrid w:val="0"/>
        <w:spacing w:line="360" w:lineRule="auto"/>
        <w:ind w:right="480"/>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19D14B5B">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3324F669">
      <w:pPr>
        <w:snapToGrid w:val="0"/>
        <w:spacing w:before="50" w:after="50" w:line="360" w:lineRule="auto"/>
        <w:ind w:firstLine="472" w:firstLineChars="196"/>
        <w:jc w:val="left"/>
        <w:rPr>
          <w:rFonts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.专门面向中小企业，服务全部由符合政策要求的中小企业（或小微企业）承接的，提供相应的中小企业声明函（</w:t>
      </w:r>
      <w:r>
        <w:rPr>
          <w:rFonts w:hint="eastAsia" w:ascii="宋体" w:hAnsi="宋体" w:cs="宋体"/>
          <w:color w:val="auto"/>
          <w:sz w:val="24"/>
          <w:highlight w:val="none"/>
          <w:lang w:eastAsia="zh-CN"/>
        </w:rPr>
        <w:t>附件6</w:t>
      </w:r>
      <w:r>
        <w:rPr>
          <w:rFonts w:hint="eastAsia" w:ascii="宋体" w:hAnsi="宋体" w:eastAsia="宋体" w:cs="宋体"/>
          <w:color w:val="auto"/>
          <w:sz w:val="24"/>
          <w:highlight w:val="none"/>
        </w:rPr>
        <w:t xml:space="preserve">）。 </w:t>
      </w:r>
    </w:p>
    <w:p w14:paraId="315829AF">
      <w:pPr>
        <w:widowControl/>
        <w:spacing w:line="360" w:lineRule="auto"/>
        <w:ind w:firstLine="480"/>
        <w:jc w:val="left"/>
        <w:rPr>
          <w:rFonts w:ascii="宋体" w:hAnsi="宋体" w:eastAsia="宋体" w:cs="宋体"/>
          <w:color w:val="auto"/>
          <w:sz w:val="24"/>
          <w:highlight w:val="none"/>
        </w:rPr>
      </w:pPr>
    </w:p>
    <w:p w14:paraId="12144F6D">
      <w:pPr>
        <w:widowControl/>
        <w:spacing w:line="360" w:lineRule="auto"/>
        <w:ind w:firstLine="472" w:firstLineChars="196"/>
        <w:jc w:val="left"/>
        <w:rPr>
          <w:rFonts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w:t>
      </w:r>
      <w:r>
        <w:rPr>
          <w:rFonts w:ascii="宋体" w:hAnsi="宋体" w:eastAsia="宋体" w:cs="宋体"/>
          <w:color w:val="auto"/>
          <w:sz w:val="24"/>
          <w:highlight w:val="none"/>
        </w:rPr>
        <w:t>5</w:t>
      </w:r>
      <w:r>
        <w:rPr>
          <w:rFonts w:hint="eastAsia" w:ascii="宋体" w:hAnsi="宋体" w:eastAsia="宋体" w:cs="宋体"/>
          <w:color w:val="auto"/>
          <w:sz w:val="24"/>
          <w:highlight w:val="none"/>
        </w:rPr>
        <w:t>）和中小企业声明函（</w:t>
      </w:r>
      <w:r>
        <w:rPr>
          <w:rFonts w:hint="eastAsia" w:ascii="宋体" w:hAnsi="宋体" w:cs="宋体"/>
          <w:color w:val="auto"/>
          <w:sz w:val="24"/>
          <w:highlight w:val="none"/>
          <w:lang w:eastAsia="zh-CN"/>
        </w:rPr>
        <w:t>附件6</w:t>
      </w:r>
      <w:r>
        <w:rPr>
          <w:rFonts w:hint="eastAsia" w:ascii="宋体" w:hAnsi="宋体" w:eastAsia="宋体" w:cs="宋体"/>
          <w:color w:val="auto"/>
          <w:sz w:val="24"/>
          <w:highlight w:val="none"/>
        </w:rPr>
        <w:t>），联合协议中中小企业合同金额应当达到招标公告载明的比例；如果供应商本身提供所有标的均由中小企业承接的，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6F115D70">
      <w:pPr>
        <w:snapToGrid w:val="0"/>
        <w:spacing w:before="50" w:after="50" w:line="360" w:lineRule="auto"/>
        <w:jc w:val="center"/>
        <w:rPr>
          <w:rFonts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311457D4">
      <w:pPr>
        <w:widowControl/>
        <w:spacing w:line="360" w:lineRule="auto"/>
        <w:ind w:left="150"/>
        <w:jc w:val="center"/>
        <w:rPr>
          <w:rFonts w:ascii="宋体" w:hAnsi="宋体" w:eastAsia="宋体" w:cs="宋体"/>
          <w:b/>
          <w:color w:val="auto"/>
          <w:kern w:val="0"/>
          <w:sz w:val="32"/>
          <w:szCs w:val="32"/>
          <w:highlight w:val="none"/>
        </w:rPr>
      </w:pPr>
    </w:p>
    <w:p w14:paraId="497BCFE2">
      <w:pPr>
        <w:widowControl/>
        <w:spacing w:line="360" w:lineRule="auto"/>
        <w:ind w:left="150"/>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1EC283E8">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1CEFE6A0">
      <w:pPr>
        <w:rPr>
          <w:rFonts w:ascii="宋体" w:hAnsi="宋体" w:eastAsia="宋体" w:cs="宋体"/>
          <w:color w:val="auto"/>
          <w:highlight w:val="none"/>
        </w:rPr>
      </w:pPr>
    </w:p>
    <w:p w14:paraId="6CCFA564">
      <w:pPr>
        <w:snapToGrid w:val="0"/>
        <w:spacing w:line="360" w:lineRule="auto"/>
        <w:ind w:right="480"/>
        <w:jc w:val="center"/>
        <w:rPr>
          <w:rFonts w:ascii="宋体" w:hAnsi="宋体" w:eastAsia="宋体" w:cs="宋体"/>
          <w:b/>
          <w:color w:val="auto"/>
          <w:kern w:val="0"/>
          <w:sz w:val="32"/>
          <w:szCs w:val="32"/>
          <w:highlight w:val="none"/>
        </w:rPr>
      </w:pPr>
    </w:p>
    <w:p w14:paraId="15C7A62D">
      <w:pPr>
        <w:widowControl/>
        <w:adjustRightInd/>
        <w:jc w:val="left"/>
        <w:rPr>
          <w:rFonts w:ascii="宋体" w:hAnsi="宋体" w:eastAsia="宋体" w:cs="宋体"/>
          <w:b/>
          <w:color w:val="auto"/>
          <w:kern w:val="0"/>
          <w:sz w:val="36"/>
          <w:szCs w:val="36"/>
          <w:highlight w:val="none"/>
        </w:rPr>
      </w:pPr>
      <w:r>
        <w:rPr>
          <w:rFonts w:ascii="宋体" w:hAnsi="宋体" w:eastAsia="宋体" w:cs="宋体"/>
          <w:b/>
          <w:color w:val="auto"/>
          <w:kern w:val="0"/>
          <w:sz w:val="36"/>
          <w:szCs w:val="36"/>
          <w:highlight w:val="none"/>
        </w:rPr>
        <w:br w:type="page"/>
      </w:r>
    </w:p>
    <w:p w14:paraId="413B1D5C">
      <w:pPr>
        <w:spacing w:line="360" w:lineRule="auto"/>
        <w:ind w:right="420" w:firstLine="3614" w:firstLineChars="1000"/>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40A01625">
      <w:pPr>
        <w:spacing w:line="360" w:lineRule="auto"/>
        <w:jc w:val="center"/>
        <w:outlineLvl w:val="9"/>
        <w:rPr>
          <w:rFonts w:ascii="宋体" w:hAnsi="宋体" w:eastAsia="宋体" w:cs="宋体"/>
          <w:b/>
          <w:color w:val="auto"/>
          <w:kern w:val="0"/>
          <w:sz w:val="24"/>
          <w:highlight w:val="none"/>
        </w:rPr>
      </w:pPr>
    </w:p>
    <w:p w14:paraId="2079E69B">
      <w:pPr>
        <w:spacing w:line="360" w:lineRule="auto"/>
        <w:jc w:val="center"/>
        <w:outlineLvl w:val="0"/>
        <w:rPr>
          <w:rFonts w:ascii="宋体" w:hAnsi="宋体" w:eastAsia="宋体" w:cs="宋体"/>
          <w:b/>
          <w:color w:val="auto"/>
          <w:kern w:val="0"/>
          <w:sz w:val="28"/>
          <w:szCs w:val="28"/>
          <w:highlight w:val="none"/>
        </w:rPr>
      </w:pPr>
      <w:bookmarkStart w:id="407" w:name="_Toc4453"/>
      <w:r>
        <w:rPr>
          <w:rFonts w:hint="eastAsia" w:ascii="宋体" w:hAnsi="宋体" w:eastAsia="宋体" w:cs="宋体"/>
          <w:b/>
          <w:color w:val="auto"/>
          <w:kern w:val="0"/>
          <w:sz w:val="28"/>
          <w:szCs w:val="28"/>
          <w:highlight w:val="none"/>
        </w:rPr>
        <w:t>目录</w:t>
      </w:r>
      <w:bookmarkEnd w:id="407"/>
    </w:p>
    <w:p w14:paraId="0F58C3D2">
      <w:pPr>
        <w:snapToGrid w:val="0"/>
        <w:spacing w:line="360" w:lineRule="auto"/>
        <w:ind w:left="479" w:leftChars="228"/>
        <w:rPr>
          <w:rFonts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137C17F">
      <w:pPr>
        <w:snapToGrid w:val="0"/>
        <w:spacing w:line="360" w:lineRule="auto"/>
        <w:ind w:left="479" w:leftChars="228"/>
        <w:rPr>
          <w:rFonts w:ascii="宋体" w:hAnsi="宋体" w:eastAsia="宋体" w:cs="宋体"/>
          <w:color w:val="auto"/>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3</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642F31F8">
      <w:pPr>
        <w:snapToGrid w:val="0"/>
        <w:spacing w:line="360" w:lineRule="auto"/>
        <w:ind w:left="479" w:leftChars="228"/>
        <w:rPr>
          <w:rFonts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7AACD2DD">
      <w:pPr>
        <w:tabs>
          <w:tab w:val="left" w:pos="765"/>
        </w:tabs>
        <w:snapToGrid w:val="0"/>
        <w:spacing w:line="360" w:lineRule="auto"/>
        <w:ind w:left="479" w:leftChars="228"/>
        <w:rPr>
          <w:rFonts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ab/>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6BB614E1">
      <w:pPr>
        <w:snapToGrid w:val="0"/>
        <w:spacing w:line="360" w:lineRule="auto"/>
        <w:jc w:val="center"/>
        <w:rPr>
          <w:rFonts w:ascii="宋体" w:hAnsi="宋体" w:eastAsia="宋体" w:cs="宋体"/>
          <w:b/>
          <w:color w:val="auto"/>
          <w:kern w:val="0"/>
          <w:sz w:val="32"/>
          <w:szCs w:val="32"/>
          <w:highlight w:val="none"/>
          <w:lang w:val="zh-CN"/>
        </w:rPr>
      </w:pPr>
    </w:p>
    <w:p w14:paraId="6A5420A1">
      <w:pPr>
        <w:snapToGrid w:val="0"/>
        <w:spacing w:line="360" w:lineRule="auto"/>
        <w:jc w:val="center"/>
        <w:rPr>
          <w:rFonts w:ascii="宋体" w:hAnsi="宋体" w:eastAsia="宋体" w:cs="宋体"/>
          <w:b/>
          <w:color w:val="auto"/>
          <w:kern w:val="0"/>
          <w:sz w:val="32"/>
          <w:szCs w:val="32"/>
          <w:highlight w:val="none"/>
          <w:lang w:val="zh-CN"/>
        </w:rPr>
      </w:pPr>
    </w:p>
    <w:p w14:paraId="2EC2A591">
      <w:pPr>
        <w:snapToGrid w:val="0"/>
        <w:spacing w:line="360" w:lineRule="auto"/>
        <w:jc w:val="center"/>
        <w:rPr>
          <w:rFonts w:ascii="宋体" w:hAnsi="宋体" w:eastAsia="宋体" w:cs="宋体"/>
          <w:b/>
          <w:color w:val="auto"/>
          <w:kern w:val="0"/>
          <w:sz w:val="32"/>
          <w:szCs w:val="32"/>
          <w:highlight w:val="none"/>
          <w:lang w:val="zh-CN"/>
        </w:rPr>
      </w:pPr>
    </w:p>
    <w:p w14:paraId="6F84A965">
      <w:pPr>
        <w:snapToGrid w:val="0"/>
        <w:spacing w:line="360" w:lineRule="auto"/>
        <w:jc w:val="center"/>
        <w:rPr>
          <w:rFonts w:ascii="宋体" w:hAnsi="宋体" w:eastAsia="宋体" w:cs="宋体"/>
          <w:b/>
          <w:color w:val="auto"/>
          <w:kern w:val="0"/>
          <w:sz w:val="32"/>
          <w:szCs w:val="32"/>
          <w:highlight w:val="none"/>
          <w:lang w:val="zh-CN"/>
        </w:rPr>
      </w:pPr>
    </w:p>
    <w:p w14:paraId="7DECC25A">
      <w:pPr>
        <w:snapToGrid w:val="0"/>
        <w:spacing w:line="360" w:lineRule="auto"/>
        <w:jc w:val="center"/>
        <w:rPr>
          <w:rFonts w:ascii="宋体" w:hAnsi="宋体" w:eastAsia="宋体" w:cs="宋体"/>
          <w:b/>
          <w:color w:val="auto"/>
          <w:kern w:val="0"/>
          <w:sz w:val="32"/>
          <w:szCs w:val="32"/>
          <w:highlight w:val="none"/>
          <w:lang w:val="zh-CN"/>
        </w:rPr>
      </w:pPr>
    </w:p>
    <w:p w14:paraId="5AEAFD74">
      <w:pPr>
        <w:snapToGrid w:val="0"/>
        <w:spacing w:line="360" w:lineRule="auto"/>
        <w:jc w:val="center"/>
        <w:rPr>
          <w:rFonts w:ascii="宋体" w:hAnsi="宋体" w:eastAsia="宋体" w:cs="宋体"/>
          <w:b/>
          <w:color w:val="auto"/>
          <w:kern w:val="0"/>
          <w:sz w:val="32"/>
          <w:szCs w:val="32"/>
          <w:highlight w:val="none"/>
          <w:lang w:val="zh-CN"/>
        </w:rPr>
      </w:pPr>
    </w:p>
    <w:p w14:paraId="6E3D9D7F">
      <w:pPr>
        <w:snapToGrid w:val="0"/>
        <w:spacing w:line="360" w:lineRule="auto"/>
        <w:jc w:val="center"/>
        <w:rPr>
          <w:rFonts w:ascii="宋体" w:hAnsi="宋体" w:eastAsia="宋体" w:cs="宋体"/>
          <w:b/>
          <w:color w:val="auto"/>
          <w:kern w:val="0"/>
          <w:sz w:val="32"/>
          <w:szCs w:val="32"/>
          <w:highlight w:val="none"/>
          <w:lang w:val="zh-CN"/>
        </w:rPr>
      </w:pPr>
    </w:p>
    <w:p w14:paraId="7BE7C1CC">
      <w:pPr>
        <w:snapToGrid w:val="0"/>
        <w:spacing w:line="360" w:lineRule="auto"/>
        <w:jc w:val="center"/>
        <w:rPr>
          <w:rFonts w:ascii="宋体" w:hAnsi="宋体" w:eastAsia="宋体" w:cs="宋体"/>
          <w:b/>
          <w:color w:val="auto"/>
          <w:kern w:val="0"/>
          <w:sz w:val="32"/>
          <w:szCs w:val="32"/>
          <w:highlight w:val="none"/>
          <w:lang w:val="zh-CN"/>
        </w:rPr>
      </w:pPr>
    </w:p>
    <w:p w14:paraId="0263666A">
      <w:pPr>
        <w:snapToGrid w:val="0"/>
        <w:spacing w:line="360" w:lineRule="auto"/>
        <w:jc w:val="center"/>
        <w:rPr>
          <w:rFonts w:ascii="宋体" w:hAnsi="宋体" w:eastAsia="宋体" w:cs="宋体"/>
          <w:b/>
          <w:color w:val="auto"/>
          <w:kern w:val="0"/>
          <w:sz w:val="32"/>
          <w:szCs w:val="32"/>
          <w:highlight w:val="none"/>
          <w:lang w:val="zh-CN"/>
        </w:rPr>
      </w:pPr>
    </w:p>
    <w:p w14:paraId="4420DD7B">
      <w:pPr>
        <w:snapToGrid w:val="0"/>
        <w:spacing w:line="360" w:lineRule="auto"/>
        <w:jc w:val="center"/>
        <w:rPr>
          <w:rFonts w:ascii="宋体" w:hAnsi="宋体" w:eastAsia="宋体" w:cs="宋体"/>
          <w:b/>
          <w:color w:val="auto"/>
          <w:kern w:val="0"/>
          <w:sz w:val="32"/>
          <w:szCs w:val="32"/>
          <w:highlight w:val="none"/>
          <w:lang w:val="zh-CN"/>
        </w:rPr>
      </w:pPr>
    </w:p>
    <w:p w14:paraId="148E038F">
      <w:pPr>
        <w:snapToGrid w:val="0"/>
        <w:spacing w:line="360" w:lineRule="auto"/>
        <w:jc w:val="center"/>
        <w:rPr>
          <w:rFonts w:ascii="宋体" w:hAnsi="宋体" w:eastAsia="宋体" w:cs="宋体"/>
          <w:b/>
          <w:color w:val="auto"/>
          <w:kern w:val="0"/>
          <w:sz w:val="32"/>
          <w:szCs w:val="32"/>
          <w:highlight w:val="none"/>
          <w:lang w:val="zh-CN"/>
        </w:rPr>
      </w:pPr>
    </w:p>
    <w:p w14:paraId="5E87B865">
      <w:pPr>
        <w:snapToGrid w:val="0"/>
        <w:spacing w:line="360" w:lineRule="auto"/>
        <w:jc w:val="center"/>
        <w:rPr>
          <w:rFonts w:ascii="宋体" w:hAnsi="宋体" w:eastAsia="宋体" w:cs="宋体"/>
          <w:b/>
          <w:color w:val="auto"/>
          <w:kern w:val="0"/>
          <w:sz w:val="32"/>
          <w:szCs w:val="32"/>
          <w:highlight w:val="none"/>
          <w:lang w:val="zh-CN"/>
        </w:rPr>
      </w:pPr>
    </w:p>
    <w:p w14:paraId="05F5A227">
      <w:pPr>
        <w:rPr>
          <w:rFonts w:ascii="宋体" w:hAnsi="宋体" w:eastAsia="宋体" w:cs="宋体"/>
          <w:b/>
          <w:color w:val="auto"/>
          <w:kern w:val="0"/>
          <w:sz w:val="32"/>
          <w:szCs w:val="32"/>
          <w:highlight w:val="none"/>
          <w:lang w:val="zh-CN"/>
        </w:rPr>
      </w:pPr>
    </w:p>
    <w:p w14:paraId="71420C24">
      <w:pPr>
        <w:widowControl/>
        <w:adjustRightInd/>
        <w:jc w:val="left"/>
        <w:rPr>
          <w:rFonts w:ascii="宋体" w:hAnsi="宋体" w:eastAsia="宋体" w:cs="宋体"/>
          <w:b/>
          <w:color w:val="auto"/>
          <w:kern w:val="0"/>
          <w:sz w:val="32"/>
          <w:szCs w:val="32"/>
          <w:highlight w:val="none"/>
        </w:rPr>
      </w:pPr>
      <w:r>
        <w:rPr>
          <w:rFonts w:ascii="宋体" w:hAnsi="宋体" w:eastAsia="宋体" w:cs="宋体"/>
          <w:b/>
          <w:color w:val="auto"/>
          <w:kern w:val="0"/>
          <w:sz w:val="32"/>
          <w:szCs w:val="32"/>
          <w:highlight w:val="none"/>
        </w:rPr>
        <w:br w:type="page"/>
      </w:r>
    </w:p>
    <w:p w14:paraId="6B829443">
      <w:pPr>
        <w:snapToGrid w:val="0"/>
        <w:spacing w:line="360" w:lineRule="auto"/>
        <w:jc w:val="center"/>
        <w:outlineLvl w:val="0"/>
        <w:rPr>
          <w:rFonts w:ascii="宋体" w:hAnsi="宋体" w:eastAsia="宋体" w:cs="宋体"/>
          <w:b/>
          <w:color w:val="auto"/>
          <w:sz w:val="32"/>
          <w:szCs w:val="32"/>
          <w:highlight w:val="none"/>
        </w:rPr>
      </w:pPr>
      <w:bookmarkStart w:id="408" w:name="_Toc26938"/>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bookmarkEnd w:id="408"/>
    </w:p>
    <w:p w14:paraId="486BE74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1E1B8BF2">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我方参加你方组织的（项目名称）【招标编号：（采购编号）】招标的有关活动，并对此项目进行投标。为此：</w:t>
      </w:r>
    </w:p>
    <w:p w14:paraId="3DA5493A">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1、我方承诺投标有效期从提交投标文件的截止之日起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天（不少于90天），本投标文件在投标有效期满之前均具有约束力。</w:t>
      </w:r>
    </w:p>
    <w:p w14:paraId="5F58901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2、我方的投标文件包括以下内容：</w:t>
      </w:r>
    </w:p>
    <w:p w14:paraId="5BA101E3">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2.1资格文件：</w:t>
      </w:r>
    </w:p>
    <w:p w14:paraId="417EA556">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2.1.1符合参加政府采购活动应当具备的一般条件的承诺函；</w:t>
      </w:r>
    </w:p>
    <w:p w14:paraId="13CF9155">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2.1.2联合协议</w:t>
      </w:r>
      <w:bookmarkStart w:id="409" w:name="_Hlk101257010"/>
      <w:r>
        <w:rPr>
          <w:rFonts w:hint="eastAsia" w:ascii="宋体" w:hAnsi="宋体" w:eastAsia="宋体" w:cs="宋体"/>
          <w:color w:val="auto"/>
          <w:sz w:val="24"/>
          <w:szCs w:val="24"/>
          <w:highlight w:val="none"/>
        </w:rPr>
        <w:t>（如果有）</w:t>
      </w:r>
      <w:bookmarkEnd w:id="409"/>
      <w:r>
        <w:rPr>
          <w:rFonts w:hint="eastAsia" w:ascii="宋体" w:hAnsi="宋体" w:eastAsia="宋体" w:cs="宋体"/>
          <w:color w:val="auto"/>
          <w:sz w:val="24"/>
          <w:szCs w:val="24"/>
          <w:highlight w:val="none"/>
        </w:rPr>
        <w:t>；</w:t>
      </w:r>
    </w:p>
    <w:p w14:paraId="4B2A79FE">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2.1.3落实政府采购政策需满足的资格要求（如果有）；</w:t>
      </w:r>
    </w:p>
    <w:p w14:paraId="036E8DDF">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2.1.4本项目的特定资格要求（如果有）。</w:t>
      </w:r>
    </w:p>
    <w:p w14:paraId="736D846B">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649A094D">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2.2.1投标函；</w:t>
      </w:r>
      <w:r>
        <w:rPr>
          <w:rFonts w:hint="eastAsia" w:ascii="宋体" w:hAnsi="宋体" w:eastAsia="宋体" w:cs="宋体"/>
          <w:color w:val="auto"/>
          <w:sz w:val="24"/>
          <w:szCs w:val="24"/>
          <w:highlight w:val="none"/>
          <w:lang w:val="zh-CN"/>
        </w:rPr>
        <w:t xml:space="preserve"> </w:t>
      </w:r>
    </w:p>
    <w:p w14:paraId="22542131">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2.2.2授权委托书或法定代表人（单位负责人）身份证明；</w:t>
      </w:r>
    </w:p>
    <w:p w14:paraId="793BD6C5">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符合性审查资料；</w:t>
      </w:r>
    </w:p>
    <w:p w14:paraId="4C70F82C">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评标标准相应的商务技术资料；</w:t>
      </w:r>
    </w:p>
    <w:p w14:paraId="6045FBD3">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商务技术偏离表；</w:t>
      </w:r>
    </w:p>
    <w:p w14:paraId="1FADFA3D">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政府采购供应商廉洁自律承诺书；</w:t>
      </w:r>
    </w:p>
    <w:p w14:paraId="76EEF08B">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3报价文件</w:t>
      </w:r>
    </w:p>
    <w:p w14:paraId="40CC7296">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2.3.1开标一览表（报价表）；</w:t>
      </w:r>
    </w:p>
    <w:p w14:paraId="5617889A">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2.3.2</w:t>
      </w:r>
      <w:r>
        <w:rPr>
          <w:rFonts w:hint="eastAsia" w:ascii="宋体" w:hAnsi="宋体" w:eastAsia="宋体" w:cs="宋体"/>
          <w:color w:val="auto"/>
          <w:sz w:val="24"/>
          <w:szCs w:val="24"/>
          <w:highlight w:val="none"/>
          <w:lang w:val="en-US" w:eastAsia="zh-CN"/>
        </w:rPr>
        <w:t>投标分项报价表</w:t>
      </w:r>
      <w:r>
        <w:rPr>
          <w:rFonts w:hint="eastAsia" w:ascii="宋体" w:hAnsi="宋体" w:cs="宋体"/>
          <w:color w:val="auto"/>
          <w:sz w:val="24"/>
          <w:szCs w:val="24"/>
          <w:highlight w:val="none"/>
          <w:lang w:val="en-US" w:eastAsia="zh-CN"/>
        </w:rPr>
        <w:t>；</w:t>
      </w:r>
    </w:p>
    <w:p w14:paraId="1A1A930E">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2.3.3</w:t>
      </w:r>
      <w:r>
        <w:rPr>
          <w:rFonts w:hint="eastAsia" w:ascii="宋体" w:hAnsi="宋体" w:eastAsia="宋体" w:cs="宋体"/>
          <w:color w:val="auto"/>
          <w:sz w:val="24"/>
          <w:szCs w:val="24"/>
          <w:highlight w:val="none"/>
        </w:rPr>
        <w:t>中小企业声明函（如果有）。</w:t>
      </w:r>
    </w:p>
    <w:p w14:paraId="0AEF293B">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3、我方承诺除商务技术偏离表列出的偏离外，我方响应招标文件的全部要求。对投标文件中材料的真实性、合法性负责，积极配合采购人、采购代理机构复核投标文件中的资料。</w:t>
      </w:r>
    </w:p>
    <w:p w14:paraId="4ACC6FD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4、如我方中标，我方承诺：</w:t>
      </w:r>
    </w:p>
    <w:p w14:paraId="364A9D02">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4.1在收到中标通知书后，在中标通知书规定的期限内与你方签订合同； </w:t>
      </w:r>
    </w:p>
    <w:p w14:paraId="1BA03975">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4.2在签订合同时不向你方提出附加条件； </w:t>
      </w:r>
    </w:p>
    <w:p w14:paraId="6DB27C01">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4.3按照招标文件要求提交履约保证金； </w:t>
      </w:r>
    </w:p>
    <w:p w14:paraId="5319ABC8">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4.4在合同约定的期限内完成合同规定的全部义务。 </w:t>
      </w:r>
    </w:p>
    <w:p w14:paraId="1ACA86BD">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w:t>
      </w:r>
      <w:r>
        <w:rPr>
          <w:rFonts w:hint="eastAsia" w:cs="宋体" w:asciiTheme="minorEastAsia" w:hAnsiTheme="minorEastAsia" w:eastAsiaTheme="minorEastAsia"/>
          <w:color w:val="auto"/>
          <w:sz w:val="24"/>
          <w:szCs w:val="24"/>
          <w:highlight w:val="none"/>
          <w:lang w:val="en-US" w:eastAsia="zh-CN"/>
        </w:rPr>
        <w:t>按照招标文件的规定，在中标后向采购代理机构一次性支付招标代理服务费。</w:t>
      </w:r>
      <w:r>
        <w:rPr>
          <w:rFonts w:hint="eastAsia" w:ascii="宋体" w:hAnsi="宋体" w:cs="宋体"/>
          <w:color w:val="auto"/>
          <w:sz w:val="24"/>
          <w:szCs w:val="24"/>
          <w:highlight w:val="none"/>
        </w:rPr>
        <w:t xml:space="preserve"> </w:t>
      </w:r>
    </w:p>
    <w:p w14:paraId="1FC21598">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5、其他补充说明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B79668F">
      <w:pPr>
        <w:keepNext w:val="0"/>
        <w:keepLines w:val="0"/>
        <w:pageBreakBefore w:val="0"/>
        <w:widowControl w:val="0"/>
        <w:kinsoku/>
        <w:wordWrap/>
        <w:overflowPunct/>
        <w:topLinePunct w:val="0"/>
        <w:autoSpaceDE/>
        <w:autoSpaceDN/>
        <w:bidi w:val="0"/>
        <w:adjustRightInd w:val="0"/>
        <w:spacing w:line="360" w:lineRule="exact"/>
        <w:ind w:firstLine="3600" w:firstLineChars="15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名称（电子签名）：                          </w:t>
      </w:r>
    </w:p>
    <w:p w14:paraId="25AA85DD">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 xml:space="preserve">     日期：  年   月   日</w:t>
      </w:r>
    </w:p>
    <w:p w14:paraId="54AC00BD">
      <w:pPr>
        <w:keepNext w:val="0"/>
        <w:keepLines w:val="0"/>
        <w:pageBreakBefore w:val="0"/>
        <w:widowControl w:val="0"/>
        <w:kinsoku/>
        <w:wordWrap/>
        <w:overflowPunct/>
        <w:topLinePunct w:val="0"/>
        <w:autoSpaceDE/>
        <w:autoSpaceDN/>
        <w:bidi w:val="0"/>
        <w:adjustRightInd w:val="0"/>
        <w:spacing w:line="360" w:lineRule="exact"/>
        <w:ind w:right="420"/>
        <w:textAlignment w:val="auto"/>
        <w:rPr>
          <w:rFonts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注：按本格式和要求提供。</w:t>
      </w:r>
    </w:p>
    <w:p w14:paraId="7DDBEF31">
      <w:pPr>
        <w:jc w:val="center"/>
        <w:rPr>
          <w:rFonts w:hint="eastAsia" w:ascii="宋体" w:hAnsi="宋体" w:eastAsia="宋体" w:cs="宋体"/>
          <w:b/>
          <w:color w:val="auto"/>
          <w:kern w:val="0"/>
          <w:sz w:val="32"/>
          <w:szCs w:val="32"/>
          <w:highlight w:val="none"/>
          <w:lang w:val="zh-CN"/>
        </w:rPr>
      </w:pPr>
    </w:p>
    <w:p w14:paraId="55B3A6D9">
      <w:pPr>
        <w:jc w:val="center"/>
        <w:rPr>
          <w:rFonts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0AA6425A">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D744FE7">
      <w:pPr>
        <w:snapToGrid w:val="0"/>
        <w:spacing w:line="360" w:lineRule="auto"/>
        <w:ind w:firstLine="2872" w:firstLineChars="894"/>
        <w:rPr>
          <w:rFonts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0A2788A6">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E74E500">
      <w:pPr>
        <w:snapToGrid w:val="0"/>
        <w:spacing w:line="360" w:lineRule="auto"/>
        <w:ind w:firstLine="576"/>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67A79819">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C7073D1">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82B2FBA">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5C3A86D0">
      <w:pPr>
        <w:snapToGrid w:val="0"/>
        <w:spacing w:line="36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6C80465">
      <w:pPr>
        <w:snapToGrid w:val="0"/>
        <w:spacing w:line="360" w:lineRule="auto"/>
        <w:rPr>
          <w:rFonts w:ascii="宋体" w:hAnsi="宋体" w:eastAsia="宋体" w:cs="宋体"/>
          <w:color w:val="auto"/>
          <w:sz w:val="24"/>
          <w:highlight w:val="none"/>
        </w:rPr>
      </w:pPr>
    </w:p>
    <w:p w14:paraId="13DABBFA">
      <w:pPr>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4B951B7">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B16B4E9">
      <w:pPr>
        <w:snapToGrid w:val="0"/>
        <w:spacing w:line="360" w:lineRule="auto"/>
        <w:ind w:firstLine="576"/>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4E5AEF3B">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8FE55F9">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441092D">
      <w:pPr>
        <w:jc w:val="center"/>
        <w:rPr>
          <w:rFonts w:ascii="宋体" w:hAnsi="宋体" w:eastAsia="宋体" w:cs="宋体"/>
          <w:b/>
          <w:color w:val="auto"/>
          <w:kern w:val="0"/>
          <w:sz w:val="32"/>
          <w:szCs w:val="32"/>
          <w:highlight w:val="none"/>
        </w:rPr>
      </w:pPr>
    </w:p>
    <w:p w14:paraId="0F7BA24F">
      <w:pPr>
        <w:rPr>
          <w:rFonts w:ascii="宋体" w:hAnsi="宋体" w:eastAsia="宋体" w:cs="宋体"/>
          <w:color w:val="auto"/>
          <w:highlight w:val="none"/>
        </w:rPr>
      </w:pPr>
    </w:p>
    <w:p w14:paraId="26E961C0">
      <w:pPr>
        <w:snapToGrid w:val="0"/>
        <w:spacing w:line="360" w:lineRule="auto"/>
        <w:ind w:firstLine="5040" w:firstLineChars="21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ED132E5">
      <w:pPr>
        <w:snapToGrid w:val="0"/>
        <w:spacing w:line="360" w:lineRule="auto"/>
        <w:ind w:firstLine="5040" w:firstLineChars="21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5DE16CC8">
      <w:pPr>
        <w:snapToGrid w:val="0"/>
        <w:spacing w:line="360" w:lineRule="auto"/>
        <w:ind w:firstLine="5760" w:firstLineChars="2400"/>
        <w:rPr>
          <w:rFonts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A94EA38">
      <w:pPr>
        <w:snapToGrid w:val="0"/>
        <w:spacing w:line="36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E0317FB">
      <w:pPr>
        <w:autoSpaceDE w:val="0"/>
        <w:autoSpaceDN w:val="0"/>
        <w:spacing w:line="360" w:lineRule="auto"/>
        <w:jc w:val="center"/>
        <w:rPr>
          <w:rFonts w:ascii="宋体" w:hAnsi="宋体" w:eastAsia="宋体" w:cs="宋体"/>
          <w:b/>
          <w:color w:val="auto"/>
          <w:kern w:val="0"/>
          <w:sz w:val="32"/>
          <w:szCs w:val="32"/>
          <w:highlight w:val="none"/>
          <w:lang w:val="zh-CN"/>
        </w:rPr>
      </w:pPr>
    </w:p>
    <w:p w14:paraId="4B8728AD">
      <w:pPr>
        <w:autoSpaceDE w:val="0"/>
        <w:autoSpaceDN w:val="0"/>
        <w:spacing w:line="360" w:lineRule="auto"/>
        <w:jc w:val="center"/>
        <w:rPr>
          <w:rFonts w:ascii="宋体" w:hAnsi="宋体" w:eastAsia="宋体" w:cs="宋体"/>
          <w:b/>
          <w:color w:val="auto"/>
          <w:kern w:val="0"/>
          <w:sz w:val="32"/>
          <w:szCs w:val="32"/>
          <w:highlight w:val="none"/>
          <w:lang w:val="zh-CN"/>
        </w:rPr>
      </w:pPr>
    </w:p>
    <w:p w14:paraId="6E8E6EBD">
      <w:pPr>
        <w:autoSpaceDE w:val="0"/>
        <w:autoSpaceDN w:val="0"/>
        <w:spacing w:line="360" w:lineRule="auto"/>
        <w:jc w:val="center"/>
        <w:rPr>
          <w:rFonts w:ascii="宋体" w:hAnsi="宋体" w:eastAsia="宋体" w:cs="宋体"/>
          <w:b/>
          <w:color w:val="auto"/>
          <w:kern w:val="0"/>
          <w:sz w:val="32"/>
          <w:szCs w:val="32"/>
          <w:highlight w:val="none"/>
          <w:lang w:val="zh-CN"/>
        </w:rPr>
      </w:pPr>
    </w:p>
    <w:p w14:paraId="05421031">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07FB7F9">
      <w:pPr>
        <w:autoSpaceDE w:val="0"/>
        <w:autoSpaceDN w:val="0"/>
        <w:spacing w:line="360" w:lineRule="auto"/>
        <w:jc w:val="center"/>
        <w:rPr>
          <w:rFonts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eastAsia="宋体" w:cs="宋体"/>
          <w:b/>
          <w:color w:val="auto"/>
          <w:sz w:val="30"/>
          <w:szCs w:val="30"/>
          <w:highlight w:val="none"/>
        </w:rPr>
        <w:t>参加投标）</w:t>
      </w:r>
    </w:p>
    <w:p w14:paraId="78CF3BBD">
      <w:pPr>
        <w:widowControl w:val="0"/>
        <w:spacing w:line="360" w:lineRule="auto"/>
        <w:jc w:val="both"/>
        <w:rPr>
          <w:rFonts w:ascii="宋体" w:hAnsi="宋体" w:eastAsia="宋体" w:cs="宋体"/>
          <w:bCs/>
          <w:color w:val="auto"/>
          <w:kern w:val="2"/>
          <w:sz w:val="24"/>
          <w:szCs w:val="21"/>
          <w:highlight w:val="none"/>
          <w:lang w:val="en-US" w:eastAsia="zh-CN" w:bidi="ar-SA"/>
        </w:rPr>
      </w:pPr>
      <w:r>
        <w:rPr>
          <w:rFonts w:hint="eastAsia" w:ascii="宋体" w:hAnsi="宋体" w:eastAsia="宋体" w:cs="宋体"/>
          <w:bCs/>
          <w:color w:val="auto"/>
          <w:kern w:val="2"/>
          <w:sz w:val="24"/>
          <w:szCs w:val="21"/>
          <w:highlight w:val="none"/>
          <w:lang w:val="en-US" w:eastAsia="zh-CN" w:bidi="ar-SA"/>
        </w:rPr>
        <w:t>身份证件</w:t>
      </w:r>
      <w:r>
        <w:rPr>
          <w:rFonts w:hint="eastAsia" w:ascii="宋体" w:hAnsi="宋体" w:cs="宋体"/>
          <w:bCs/>
          <w:color w:val="auto"/>
          <w:kern w:val="2"/>
          <w:sz w:val="24"/>
          <w:szCs w:val="21"/>
          <w:highlight w:val="none"/>
          <w:lang w:val="en-US" w:eastAsia="zh-CN" w:bidi="ar-SA"/>
        </w:rPr>
        <w:t>复印件</w:t>
      </w:r>
      <w:r>
        <w:rPr>
          <w:rFonts w:hint="eastAsia" w:ascii="宋体" w:hAnsi="宋体" w:eastAsia="宋体" w:cs="宋体"/>
          <w:bCs/>
          <w:color w:val="auto"/>
          <w:kern w:val="2"/>
          <w:sz w:val="24"/>
          <w:szCs w:val="21"/>
          <w:highlight w:val="none"/>
          <w:lang w:val="en-US" w:eastAsia="zh-CN" w:bidi="ar-SA"/>
        </w:rPr>
        <w:t>：</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D92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1E90A0">
            <w:pPr>
              <w:widowControl w:val="0"/>
              <w:adjustRightInd w:val="0"/>
              <w:spacing w:line="360" w:lineRule="auto"/>
              <w:jc w:val="both"/>
              <w:rPr>
                <w:rFonts w:ascii="宋体" w:hAnsi="宋体" w:eastAsia="宋体" w:cs="宋体"/>
                <w:bCs/>
                <w:color w:val="auto"/>
                <w:kern w:val="2"/>
                <w:sz w:val="24"/>
                <w:szCs w:val="21"/>
                <w:highlight w:val="none"/>
                <w:lang w:val="en-US" w:eastAsia="zh-CN" w:bidi="ar-SA"/>
              </w:rPr>
            </w:pPr>
            <w:r>
              <w:rPr>
                <w:rFonts w:hint="eastAsia" w:ascii="宋体" w:hAnsi="宋体" w:eastAsia="宋体" w:cs="宋体"/>
                <w:bCs/>
                <w:color w:val="auto"/>
                <w:kern w:val="2"/>
                <w:sz w:val="24"/>
                <w:szCs w:val="21"/>
                <w:highlight w:val="none"/>
                <w:lang w:val="en-US" w:eastAsia="zh-CN" w:bidi="ar-SA"/>
              </w:rPr>
              <w:t>正面：                                 反面：</w:t>
            </w:r>
          </w:p>
          <w:p w14:paraId="7B0B071D">
            <w:pPr>
              <w:widowControl w:val="0"/>
              <w:adjustRightInd w:val="0"/>
              <w:spacing w:line="360" w:lineRule="auto"/>
              <w:jc w:val="both"/>
              <w:rPr>
                <w:rFonts w:ascii="宋体" w:hAnsi="宋体" w:eastAsia="宋体" w:cs="宋体"/>
                <w:bCs/>
                <w:color w:val="auto"/>
                <w:kern w:val="2"/>
                <w:sz w:val="24"/>
                <w:szCs w:val="21"/>
                <w:highlight w:val="none"/>
                <w:lang w:val="en-US" w:eastAsia="zh-CN" w:bidi="ar-SA"/>
              </w:rPr>
            </w:pPr>
          </w:p>
        </w:tc>
      </w:tr>
    </w:tbl>
    <w:p w14:paraId="6979BAFF">
      <w:pPr>
        <w:snapToGrid w:val="0"/>
        <w:spacing w:line="360" w:lineRule="auto"/>
        <w:ind w:firstLine="576"/>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471FFBE">
      <w:pPr>
        <w:snapToGrid w:val="0"/>
        <w:spacing w:line="360" w:lineRule="auto"/>
        <w:ind w:firstLine="576"/>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598721EB">
      <w:pPr>
        <w:spacing w:line="360" w:lineRule="auto"/>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8C3EE6B">
      <w:pPr>
        <w:jc w:val="center"/>
        <w:rPr>
          <w:rFonts w:ascii="宋体" w:hAnsi="宋体" w:eastAsia="宋体" w:cs="宋体"/>
          <w:b/>
          <w:color w:val="auto"/>
          <w:kern w:val="0"/>
          <w:sz w:val="32"/>
          <w:szCs w:val="32"/>
          <w:highlight w:val="none"/>
        </w:rPr>
      </w:pPr>
    </w:p>
    <w:p w14:paraId="2BF9D2AA">
      <w:pPr>
        <w:jc w:val="center"/>
        <w:rPr>
          <w:rFonts w:ascii="宋体" w:hAnsi="宋体" w:eastAsia="宋体" w:cs="宋体"/>
          <w:b/>
          <w:color w:val="auto"/>
          <w:kern w:val="0"/>
          <w:sz w:val="32"/>
          <w:szCs w:val="32"/>
          <w:highlight w:val="none"/>
        </w:rPr>
      </w:pPr>
    </w:p>
    <w:p w14:paraId="3D24AD7D">
      <w:pPr>
        <w:jc w:val="center"/>
        <w:rPr>
          <w:rFonts w:ascii="宋体" w:hAnsi="宋体" w:eastAsia="宋体" w:cs="宋体"/>
          <w:b/>
          <w:color w:val="auto"/>
          <w:kern w:val="0"/>
          <w:sz w:val="32"/>
          <w:szCs w:val="32"/>
          <w:highlight w:val="none"/>
        </w:rPr>
      </w:pPr>
    </w:p>
    <w:p w14:paraId="6D7BBC62">
      <w:pPr>
        <w:jc w:val="center"/>
        <w:rPr>
          <w:rFonts w:ascii="宋体" w:hAnsi="宋体" w:eastAsia="宋体" w:cs="宋体"/>
          <w:b/>
          <w:color w:val="auto"/>
          <w:kern w:val="0"/>
          <w:sz w:val="32"/>
          <w:szCs w:val="32"/>
          <w:highlight w:val="none"/>
        </w:rPr>
      </w:pPr>
    </w:p>
    <w:p w14:paraId="027A2CD5">
      <w:pPr>
        <w:jc w:val="center"/>
        <w:rPr>
          <w:rFonts w:ascii="宋体" w:hAnsi="宋体" w:eastAsia="宋体" w:cs="宋体"/>
          <w:b/>
          <w:color w:val="auto"/>
          <w:kern w:val="0"/>
          <w:sz w:val="32"/>
          <w:szCs w:val="32"/>
          <w:highlight w:val="none"/>
        </w:rPr>
      </w:pPr>
    </w:p>
    <w:p w14:paraId="687B6E0E">
      <w:pPr>
        <w:jc w:val="center"/>
        <w:rPr>
          <w:rFonts w:ascii="宋体" w:hAnsi="宋体" w:eastAsia="宋体" w:cs="宋体"/>
          <w:b/>
          <w:color w:val="auto"/>
          <w:kern w:val="0"/>
          <w:sz w:val="32"/>
          <w:szCs w:val="32"/>
          <w:highlight w:val="none"/>
        </w:rPr>
      </w:pPr>
    </w:p>
    <w:p w14:paraId="5E155147">
      <w:pPr>
        <w:jc w:val="center"/>
        <w:rPr>
          <w:rFonts w:ascii="宋体" w:hAnsi="宋体" w:eastAsia="宋体" w:cs="宋体"/>
          <w:b/>
          <w:color w:val="auto"/>
          <w:kern w:val="0"/>
          <w:sz w:val="32"/>
          <w:szCs w:val="32"/>
          <w:highlight w:val="none"/>
        </w:rPr>
      </w:pPr>
    </w:p>
    <w:p w14:paraId="0151CD56">
      <w:pPr>
        <w:jc w:val="center"/>
        <w:rPr>
          <w:rFonts w:ascii="宋体" w:hAnsi="宋体" w:eastAsia="宋体" w:cs="宋体"/>
          <w:b/>
          <w:color w:val="auto"/>
          <w:kern w:val="0"/>
          <w:sz w:val="32"/>
          <w:szCs w:val="32"/>
          <w:highlight w:val="none"/>
        </w:rPr>
      </w:pPr>
    </w:p>
    <w:p w14:paraId="5859E752">
      <w:pPr>
        <w:jc w:val="center"/>
        <w:rPr>
          <w:rFonts w:ascii="宋体" w:hAnsi="宋体" w:eastAsia="宋体" w:cs="宋体"/>
          <w:b/>
          <w:color w:val="auto"/>
          <w:kern w:val="0"/>
          <w:sz w:val="32"/>
          <w:szCs w:val="32"/>
          <w:highlight w:val="none"/>
        </w:rPr>
      </w:pPr>
    </w:p>
    <w:p w14:paraId="0D5D01D1">
      <w:pPr>
        <w:jc w:val="center"/>
        <w:rPr>
          <w:rFonts w:ascii="宋体" w:hAnsi="宋体" w:eastAsia="宋体" w:cs="宋体"/>
          <w:b/>
          <w:color w:val="auto"/>
          <w:kern w:val="0"/>
          <w:sz w:val="32"/>
          <w:szCs w:val="32"/>
          <w:highlight w:val="none"/>
        </w:rPr>
      </w:pPr>
    </w:p>
    <w:p w14:paraId="44F2F560">
      <w:pPr>
        <w:snapToGrid w:val="0"/>
        <w:spacing w:line="360" w:lineRule="auto"/>
        <w:ind w:right="480"/>
        <w:rPr>
          <w:rFonts w:ascii="宋体" w:hAnsi="宋体" w:cs="宋体"/>
          <w:b/>
          <w:color w:val="auto"/>
          <w:kern w:val="0"/>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4782DAC6">
      <w:pPr>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三、符合性审查资料</w:t>
      </w:r>
    </w:p>
    <w:p w14:paraId="334D9C95">
      <w:pPr>
        <w:jc w:val="center"/>
        <w:rPr>
          <w:rFonts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4736"/>
        <w:gridCol w:w="2551"/>
        <w:gridCol w:w="1418"/>
      </w:tblGrid>
      <w:tr w14:paraId="30C2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01" w:type="dxa"/>
            <w:vAlign w:val="center"/>
          </w:tcPr>
          <w:p w14:paraId="75CEAD46">
            <w:pPr>
              <w:snapToGrid w:val="0"/>
              <w:spacing w:line="240" w:lineRule="atLeas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736" w:type="dxa"/>
            <w:vAlign w:val="center"/>
          </w:tcPr>
          <w:p w14:paraId="38FEDEE0">
            <w:pPr>
              <w:snapToGrid w:val="0"/>
              <w:spacing w:line="240" w:lineRule="atLeas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AC27CA2">
            <w:pPr>
              <w:snapToGrid w:val="0"/>
              <w:spacing w:line="240" w:lineRule="atLeas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2621FB62">
            <w:pPr>
              <w:snapToGrid w:val="0"/>
              <w:spacing w:line="240" w:lineRule="atLeas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投标文件中的页码位置</w:t>
            </w:r>
          </w:p>
        </w:tc>
      </w:tr>
      <w:tr w14:paraId="5734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01" w:type="dxa"/>
            <w:vAlign w:val="center"/>
          </w:tcPr>
          <w:p w14:paraId="6C127CA1">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4736" w:type="dxa"/>
            <w:vAlign w:val="center"/>
          </w:tcPr>
          <w:p w14:paraId="0157E3DD">
            <w:pPr>
              <w:spacing w:line="360" w:lineRule="auto"/>
              <w:jc w:val="both"/>
              <w:rPr>
                <w:rFonts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1C794250">
            <w:pPr>
              <w:rPr>
                <w:rFonts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5855E61D">
            <w:pPr>
              <w:rPr>
                <w:rFonts w:ascii="宋体" w:hAnsi="宋体" w:eastAsia="宋体" w:cs="宋体"/>
                <w:color w:val="auto"/>
                <w:sz w:val="24"/>
                <w:highlight w:val="none"/>
              </w:rPr>
            </w:pPr>
          </w:p>
          <w:p w14:paraId="0C9B5157">
            <w:pPr>
              <w:rPr>
                <w:rFonts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B13E652">
            <w:pPr>
              <w:rPr>
                <w:rFonts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D6F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01" w:type="dxa"/>
            <w:vAlign w:val="center"/>
          </w:tcPr>
          <w:p w14:paraId="171E3552">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4736" w:type="dxa"/>
            <w:vAlign w:val="center"/>
          </w:tcPr>
          <w:p w14:paraId="75D23271">
            <w:pPr>
              <w:spacing w:line="360" w:lineRule="auto"/>
              <w:jc w:val="both"/>
              <w:rPr>
                <w:rFonts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6F984AC9">
            <w:pPr>
              <w:rPr>
                <w:rFonts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38A07271">
            <w:pPr>
              <w:rPr>
                <w:rFonts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D1F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01" w:type="dxa"/>
            <w:vAlign w:val="center"/>
          </w:tcPr>
          <w:p w14:paraId="0733AAA0">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4736" w:type="dxa"/>
            <w:vAlign w:val="center"/>
          </w:tcPr>
          <w:p w14:paraId="4CC78C83">
            <w:pPr>
              <w:spacing w:line="360" w:lineRule="auto"/>
              <w:jc w:val="both"/>
              <w:rPr>
                <w:rFonts w:ascii="宋体" w:hAnsi="宋体" w:eastAsia="宋体" w:cs="宋体"/>
                <w:color w:val="auto"/>
                <w:sz w:val="24"/>
                <w:highlight w:val="none"/>
              </w:rPr>
            </w:pPr>
            <w:r>
              <w:rPr>
                <w:rFonts w:hint="eastAsia" w:ascii="宋体" w:hAnsi="宋体" w:eastAsia="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eastAsia="宋体" w:cs="宋体"/>
                <w:color w:val="auto"/>
                <w:sz w:val="24"/>
                <w:highlight w:val="none"/>
              </w:rPr>
              <w:t>实质性要求。</w:t>
            </w:r>
          </w:p>
        </w:tc>
        <w:tc>
          <w:tcPr>
            <w:tcW w:w="2551" w:type="dxa"/>
            <w:vAlign w:val="center"/>
          </w:tcPr>
          <w:p w14:paraId="3491D3CB">
            <w:pPr>
              <w:rPr>
                <w:rFonts w:ascii="宋体" w:hAnsi="宋体" w:eastAsia="宋体" w:cs="宋体"/>
                <w:color w:val="auto"/>
                <w:sz w:val="24"/>
                <w:highlight w:val="none"/>
              </w:rPr>
            </w:pPr>
            <w:r>
              <w:rPr>
                <w:rFonts w:hint="eastAsia" w:ascii="宋体" w:hAnsi="宋体" w:eastAsia="宋体" w:cs="宋体"/>
                <w:color w:val="auto"/>
                <w:kern w:val="0"/>
                <w:sz w:val="24"/>
                <w:highlight w:val="none"/>
              </w:rPr>
              <w:t>招标文件</w:t>
            </w:r>
            <w:r>
              <w:rPr>
                <w:rFonts w:hint="eastAsia" w:ascii="宋体" w:hAnsi="宋体" w:cs="宋体"/>
                <w:color w:val="auto"/>
                <w:kern w:val="0"/>
                <w:sz w:val="24"/>
                <w:highlight w:val="none"/>
                <w:lang w:eastAsia="zh-CN"/>
              </w:rPr>
              <w:t>其他</w:t>
            </w:r>
            <w:r>
              <w:rPr>
                <w:rFonts w:hint="eastAsia" w:ascii="宋体" w:hAnsi="宋体" w:eastAsia="宋体" w:cs="宋体"/>
                <w:color w:val="auto"/>
                <w:kern w:val="0"/>
                <w:sz w:val="24"/>
                <w:highlight w:val="none"/>
              </w:rPr>
              <w:t>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418" w:type="dxa"/>
          </w:tcPr>
          <w:p w14:paraId="260DC521">
            <w:pPr>
              <w:rPr>
                <w:rFonts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353A1DEF">
      <w:pPr>
        <w:spacing w:line="360" w:lineRule="auto"/>
        <w:ind w:right="420"/>
        <w:rPr>
          <w:rFonts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A8D847F">
      <w:pPr>
        <w:jc w:val="center"/>
        <w:rPr>
          <w:rFonts w:ascii="宋体" w:hAnsi="宋体" w:eastAsia="宋体" w:cs="宋体"/>
          <w:b/>
          <w:color w:val="auto"/>
          <w:kern w:val="0"/>
          <w:sz w:val="32"/>
          <w:szCs w:val="32"/>
          <w:highlight w:val="none"/>
        </w:rPr>
      </w:pPr>
    </w:p>
    <w:p w14:paraId="3A0B181E">
      <w:pPr>
        <w:jc w:val="center"/>
        <w:rPr>
          <w:rFonts w:ascii="宋体" w:hAnsi="宋体" w:eastAsia="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、评标标准相应的商务技术资料</w:t>
      </w:r>
    </w:p>
    <w:p w14:paraId="34588083">
      <w:pPr>
        <w:snapToGrid w:val="0"/>
        <w:spacing w:line="360" w:lineRule="auto"/>
        <w:jc w:val="left"/>
        <w:rPr>
          <w:rFonts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20C40203">
      <w:pPr>
        <w:jc w:val="center"/>
        <w:rPr>
          <w:rFonts w:ascii="宋体" w:hAnsi="宋体" w:eastAsia="宋体" w:cs="宋体"/>
          <w:b/>
          <w:color w:val="auto"/>
          <w:kern w:val="0"/>
          <w:sz w:val="32"/>
          <w:szCs w:val="32"/>
          <w:highlight w:val="none"/>
        </w:rPr>
      </w:pPr>
    </w:p>
    <w:p w14:paraId="57DF0527">
      <w:pPr>
        <w:jc w:val="center"/>
        <w:rPr>
          <w:rFonts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6BF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1CE4AC">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01483966">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1BAE01B5">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7D44EB3C">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103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34DA24">
            <w:pPr>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4F2CD26">
            <w:pPr>
              <w:jc w:val="center"/>
              <w:rPr>
                <w:rFonts w:ascii="宋体" w:hAnsi="宋体" w:eastAsia="宋体" w:cs="宋体"/>
                <w:b/>
                <w:color w:val="auto"/>
                <w:kern w:val="0"/>
                <w:sz w:val="32"/>
                <w:szCs w:val="32"/>
                <w:highlight w:val="none"/>
              </w:rPr>
            </w:pPr>
          </w:p>
        </w:tc>
        <w:tc>
          <w:tcPr>
            <w:tcW w:w="3546" w:type="dxa"/>
          </w:tcPr>
          <w:p w14:paraId="34893471">
            <w:pPr>
              <w:jc w:val="center"/>
              <w:rPr>
                <w:rFonts w:ascii="宋体" w:hAnsi="宋体" w:eastAsia="宋体" w:cs="宋体"/>
                <w:b/>
                <w:color w:val="auto"/>
                <w:kern w:val="0"/>
                <w:sz w:val="32"/>
                <w:szCs w:val="32"/>
                <w:highlight w:val="none"/>
              </w:rPr>
            </w:pPr>
          </w:p>
        </w:tc>
        <w:tc>
          <w:tcPr>
            <w:tcW w:w="1276" w:type="dxa"/>
          </w:tcPr>
          <w:p w14:paraId="3451C886">
            <w:pPr>
              <w:jc w:val="center"/>
              <w:rPr>
                <w:rFonts w:ascii="宋体" w:hAnsi="宋体" w:eastAsia="宋体" w:cs="宋体"/>
                <w:b/>
                <w:color w:val="auto"/>
                <w:kern w:val="0"/>
                <w:sz w:val="32"/>
                <w:szCs w:val="32"/>
                <w:highlight w:val="none"/>
              </w:rPr>
            </w:pPr>
          </w:p>
        </w:tc>
      </w:tr>
      <w:tr w14:paraId="35A7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4AC25B">
            <w:pPr>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60CAB190">
            <w:pPr>
              <w:jc w:val="center"/>
              <w:rPr>
                <w:rFonts w:ascii="宋体" w:hAnsi="宋体" w:eastAsia="宋体" w:cs="宋体"/>
                <w:b/>
                <w:color w:val="auto"/>
                <w:kern w:val="0"/>
                <w:sz w:val="32"/>
                <w:szCs w:val="32"/>
                <w:highlight w:val="none"/>
              </w:rPr>
            </w:pPr>
          </w:p>
        </w:tc>
        <w:tc>
          <w:tcPr>
            <w:tcW w:w="3546" w:type="dxa"/>
          </w:tcPr>
          <w:p w14:paraId="54641101">
            <w:pPr>
              <w:jc w:val="center"/>
              <w:rPr>
                <w:rFonts w:ascii="宋体" w:hAnsi="宋体" w:eastAsia="宋体" w:cs="宋体"/>
                <w:b/>
                <w:color w:val="auto"/>
                <w:kern w:val="0"/>
                <w:sz w:val="32"/>
                <w:szCs w:val="32"/>
                <w:highlight w:val="none"/>
              </w:rPr>
            </w:pPr>
          </w:p>
        </w:tc>
        <w:tc>
          <w:tcPr>
            <w:tcW w:w="1276" w:type="dxa"/>
          </w:tcPr>
          <w:p w14:paraId="22C97AAF">
            <w:pPr>
              <w:jc w:val="center"/>
              <w:rPr>
                <w:rFonts w:ascii="宋体" w:hAnsi="宋体" w:eastAsia="宋体" w:cs="宋体"/>
                <w:b/>
                <w:color w:val="auto"/>
                <w:kern w:val="0"/>
                <w:sz w:val="32"/>
                <w:szCs w:val="32"/>
                <w:highlight w:val="none"/>
              </w:rPr>
            </w:pPr>
          </w:p>
        </w:tc>
      </w:tr>
      <w:tr w14:paraId="6F36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485C9B">
            <w:pPr>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ECE6730">
            <w:pPr>
              <w:jc w:val="center"/>
              <w:rPr>
                <w:rFonts w:ascii="宋体" w:hAnsi="宋体" w:eastAsia="宋体" w:cs="宋体"/>
                <w:b/>
                <w:color w:val="auto"/>
                <w:kern w:val="0"/>
                <w:sz w:val="32"/>
                <w:szCs w:val="32"/>
                <w:highlight w:val="none"/>
              </w:rPr>
            </w:pPr>
          </w:p>
        </w:tc>
        <w:tc>
          <w:tcPr>
            <w:tcW w:w="3546" w:type="dxa"/>
          </w:tcPr>
          <w:p w14:paraId="5BEB49DE">
            <w:pPr>
              <w:jc w:val="center"/>
              <w:rPr>
                <w:rFonts w:ascii="宋体" w:hAnsi="宋体" w:eastAsia="宋体" w:cs="宋体"/>
                <w:b/>
                <w:color w:val="auto"/>
                <w:kern w:val="0"/>
                <w:sz w:val="32"/>
                <w:szCs w:val="32"/>
                <w:highlight w:val="none"/>
              </w:rPr>
            </w:pPr>
          </w:p>
        </w:tc>
        <w:tc>
          <w:tcPr>
            <w:tcW w:w="1276" w:type="dxa"/>
          </w:tcPr>
          <w:p w14:paraId="3A6A5988">
            <w:pPr>
              <w:jc w:val="center"/>
              <w:rPr>
                <w:rFonts w:ascii="宋体" w:hAnsi="宋体" w:eastAsia="宋体" w:cs="宋体"/>
                <w:b/>
                <w:color w:val="auto"/>
                <w:kern w:val="0"/>
                <w:sz w:val="32"/>
                <w:szCs w:val="32"/>
                <w:highlight w:val="none"/>
              </w:rPr>
            </w:pPr>
          </w:p>
        </w:tc>
      </w:tr>
    </w:tbl>
    <w:p w14:paraId="367A2AFD">
      <w:pPr>
        <w:jc w:val="left"/>
        <w:rPr>
          <w:rFonts w:ascii="宋体" w:hAnsi="宋体" w:eastAsia="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eastAsia="宋体" w:cs="宋体"/>
          <w:color w:val="auto"/>
          <w:kern w:val="0"/>
          <w:sz w:val="24"/>
          <w:highlight w:val="none"/>
        </w:rPr>
        <w:t>响应招标文件的全部要求</w:t>
      </w:r>
    </w:p>
    <w:p w14:paraId="24335C84">
      <w:pPr>
        <w:jc w:val="center"/>
        <w:rPr>
          <w:rFonts w:ascii="宋体" w:hAnsi="宋体" w:eastAsia="宋体" w:cs="宋体"/>
          <w:b/>
          <w:color w:val="auto"/>
          <w:kern w:val="0"/>
          <w:sz w:val="32"/>
          <w:szCs w:val="32"/>
          <w:highlight w:val="none"/>
        </w:rPr>
      </w:pPr>
    </w:p>
    <w:p w14:paraId="2A138AD6">
      <w:pPr>
        <w:spacing w:line="360" w:lineRule="auto"/>
        <w:ind w:right="420"/>
        <w:rPr>
          <w:rFonts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70D63AB">
      <w:pPr>
        <w:ind w:firstLine="1911" w:firstLineChars="595"/>
        <w:rPr>
          <w:rFonts w:ascii="宋体" w:hAnsi="宋体" w:eastAsia="宋体" w:cs="宋体"/>
          <w:b/>
          <w:bCs/>
          <w:color w:val="auto"/>
          <w:sz w:val="32"/>
          <w:szCs w:val="32"/>
          <w:highlight w:val="none"/>
        </w:rPr>
      </w:pPr>
    </w:p>
    <w:p w14:paraId="3690DC1C">
      <w:pPr>
        <w:widowControl/>
        <w:adjustRightInd/>
        <w:jc w:val="left"/>
        <w:rPr>
          <w:rFonts w:ascii="宋体" w:hAnsi="宋体" w:eastAsia="宋体" w:cs="宋体"/>
          <w:b/>
          <w:bCs/>
          <w:color w:val="auto"/>
          <w:sz w:val="32"/>
          <w:szCs w:val="32"/>
          <w:highlight w:val="none"/>
        </w:rPr>
      </w:pPr>
      <w:r>
        <w:rPr>
          <w:rFonts w:ascii="宋体" w:hAnsi="宋体" w:eastAsia="宋体" w:cs="宋体"/>
          <w:b/>
          <w:bCs/>
          <w:color w:val="auto"/>
          <w:sz w:val="32"/>
          <w:szCs w:val="32"/>
          <w:highlight w:val="none"/>
        </w:rPr>
        <w:br w:type="page"/>
      </w:r>
    </w:p>
    <w:p w14:paraId="5AAAA068">
      <w:pPr>
        <w:ind w:firstLine="1911" w:firstLineChars="595"/>
        <w:rPr>
          <w:rFonts w:ascii="宋体" w:hAnsi="宋体" w:eastAsia="宋体" w:cs="宋体"/>
          <w:b/>
          <w:color w:val="auto"/>
          <w:kern w:val="0"/>
          <w:sz w:val="32"/>
          <w:szCs w:val="32"/>
          <w:highlight w:val="none"/>
        </w:rPr>
      </w:pPr>
      <w:r>
        <w:rPr>
          <w:rFonts w:hint="eastAsia" w:ascii="宋体" w:hAnsi="宋体" w:cs="宋体"/>
          <w:b/>
          <w:bCs/>
          <w:color w:val="auto"/>
          <w:sz w:val="32"/>
          <w:szCs w:val="32"/>
          <w:highlight w:val="none"/>
          <w:lang w:val="en-US" w:eastAsia="zh-CN"/>
        </w:rPr>
        <w:t>六</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04B79BCA">
      <w:pPr>
        <w:snapToGrid w:val="0"/>
        <w:spacing w:line="360" w:lineRule="auto"/>
        <w:rPr>
          <w:rFonts w:ascii="宋体" w:hAnsi="宋体" w:eastAsia="宋体" w:cs="宋体"/>
          <w:color w:val="auto"/>
          <w:sz w:val="24"/>
          <w:highlight w:val="none"/>
        </w:rPr>
      </w:pPr>
    </w:p>
    <w:p w14:paraId="62DC61F1">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E30F772">
      <w:pPr>
        <w:autoSpaceDE w:val="0"/>
        <w:autoSpaceDN w:val="0"/>
        <w:spacing w:line="360" w:lineRule="auto"/>
        <w:ind w:left="2" w:leftChars="1"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5646286C">
      <w:pPr>
        <w:autoSpaceDE w:val="0"/>
        <w:autoSpaceDN w:val="0"/>
        <w:spacing w:line="360" w:lineRule="auto"/>
        <w:ind w:left="2" w:leftChars="1"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DD70110">
      <w:pPr>
        <w:autoSpaceDE w:val="0"/>
        <w:autoSpaceDN w:val="0"/>
        <w:spacing w:line="360" w:lineRule="auto"/>
        <w:ind w:left="2" w:leftChars="1"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61D7A10">
      <w:pPr>
        <w:autoSpaceDE w:val="0"/>
        <w:autoSpaceDN w:val="0"/>
        <w:spacing w:line="360" w:lineRule="auto"/>
        <w:ind w:left="2" w:leftChars="1"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DAFACCB">
      <w:pPr>
        <w:autoSpaceDE w:val="0"/>
        <w:autoSpaceDN w:val="0"/>
        <w:spacing w:line="360" w:lineRule="auto"/>
        <w:ind w:left="2" w:leftChars="1"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FD896FE">
      <w:pPr>
        <w:autoSpaceDE w:val="0"/>
        <w:autoSpaceDN w:val="0"/>
        <w:spacing w:line="360" w:lineRule="auto"/>
        <w:ind w:left="481" w:leftChars="229"/>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4553C7D">
      <w:pPr>
        <w:autoSpaceDE w:val="0"/>
        <w:autoSpaceDN w:val="0"/>
        <w:spacing w:line="360" w:lineRule="auto"/>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6E2DEFB">
      <w:pPr>
        <w:autoSpaceDE w:val="0"/>
        <w:autoSpaceDN w:val="0"/>
        <w:spacing w:line="360" w:lineRule="auto"/>
        <w:ind w:left="0" w:leftChars="0"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07E65655">
      <w:pPr>
        <w:autoSpaceDE w:val="0"/>
        <w:autoSpaceDN w:val="0"/>
        <w:spacing w:line="360" w:lineRule="auto"/>
        <w:ind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E5EBF5C">
      <w:pPr>
        <w:autoSpaceDE w:val="0"/>
        <w:autoSpaceDN w:val="0"/>
        <w:spacing w:line="360" w:lineRule="auto"/>
        <w:ind w:left="2"/>
        <w:jc w:val="left"/>
        <w:rPr>
          <w:rFonts w:ascii="宋体" w:hAnsi="宋体" w:eastAsia="宋体" w:cs="宋体"/>
          <w:color w:val="auto"/>
          <w:kern w:val="0"/>
          <w:sz w:val="24"/>
          <w:highlight w:val="none"/>
          <w:lang w:val="zh-CN"/>
        </w:rPr>
      </w:pPr>
    </w:p>
    <w:p w14:paraId="235F64A9">
      <w:pPr>
        <w:autoSpaceDE w:val="0"/>
        <w:autoSpaceDN w:val="0"/>
        <w:spacing w:line="360" w:lineRule="auto"/>
        <w:ind w:left="2"/>
        <w:jc w:val="left"/>
        <w:rPr>
          <w:rFonts w:ascii="宋体" w:hAnsi="宋体" w:eastAsia="宋体" w:cs="宋体"/>
          <w:color w:val="auto"/>
          <w:kern w:val="0"/>
          <w:sz w:val="24"/>
          <w:highlight w:val="none"/>
          <w:lang w:val="zh-CN"/>
        </w:rPr>
      </w:pPr>
    </w:p>
    <w:p w14:paraId="3C183827">
      <w:pPr>
        <w:autoSpaceDE w:val="0"/>
        <w:autoSpaceDN w:val="0"/>
        <w:spacing w:line="360" w:lineRule="auto"/>
        <w:ind w:left="2"/>
        <w:jc w:val="left"/>
        <w:rPr>
          <w:rFonts w:ascii="宋体" w:hAnsi="宋体" w:eastAsia="宋体" w:cs="宋体"/>
          <w:color w:val="auto"/>
          <w:kern w:val="0"/>
          <w:sz w:val="24"/>
          <w:highlight w:val="none"/>
          <w:lang w:val="zh-CN"/>
        </w:rPr>
      </w:pPr>
    </w:p>
    <w:p w14:paraId="3423E049">
      <w:pPr>
        <w:autoSpaceDE w:val="0"/>
        <w:autoSpaceDN w:val="0"/>
        <w:spacing w:line="360" w:lineRule="auto"/>
        <w:ind w:left="2" w:leftChars="1" w:right="1120" w:firstLine="4560" w:firstLineChars="1900"/>
        <w:jc w:val="lef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7DD203D7">
      <w:pPr>
        <w:spacing w:line="360" w:lineRule="auto"/>
        <w:ind w:left="4620" w:leftChars="2200"/>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2B1CE1C">
      <w:pPr>
        <w:spacing w:line="360" w:lineRule="auto"/>
        <w:jc w:val="center"/>
        <w:rPr>
          <w:rFonts w:ascii="宋体" w:hAnsi="宋体" w:eastAsia="宋体" w:cs="宋体"/>
          <w:b/>
          <w:bCs/>
          <w:color w:val="auto"/>
          <w:sz w:val="24"/>
          <w:highlight w:val="none"/>
        </w:rPr>
      </w:pPr>
    </w:p>
    <w:p w14:paraId="3D787914">
      <w:pPr>
        <w:spacing w:line="360" w:lineRule="auto"/>
        <w:ind w:right="420"/>
        <w:rPr>
          <w:rFonts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A6B3A6E">
      <w:pPr>
        <w:spacing w:line="360" w:lineRule="auto"/>
        <w:jc w:val="center"/>
        <w:rPr>
          <w:rFonts w:ascii="宋体" w:hAnsi="宋体" w:cs="宋体"/>
          <w:b/>
          <w:bCs/>
          <w:color w:val="auto"/>
          <w:sz w:val="24"/>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p>
    <w:p w14:paraId="3D88AD57">
      <w:pPr>
        <w:spacing w:line="360" w:lineRule="auto"/>
        <w:jc w:val="center"/>
        <w:outlineLvl w:val="0"/>
        <w:rPr>
          <w:rFonts w:ascii="宋体" w:hAnsi="宋体" w:eastAsia="宋体" w:cs="宋体"/>
          <w:b/>
          <w:color w:val="auto"/>
          <w:kern w:val="0"/>
          <w:sz w:val="36"/>
          <w:szCs w:val="36"/>
          <w:highlight w:val="none"/>
        </w:rPr>
      </w:pPr>
      <w:bookmarkStart w:id="410" w:name="_Toc8286"/>
      <w:r>
        <w:rPr>
          <w:rFonts w:hint="eastAsia" w:ascii="宋体" w:hAnsi="宋体" w:eastAsia="宋体" w:cs="宋体"/>
          <w:b/>
          <w:color w:val="auto"/>
          <w:kern w:val="0"/>
          <w:sz w:val="36"/>
          <w:szCs w:val="36"/>
          <w:highlight w:val="none"/>
        </w:rPr>
        <w:t>报价文件部分</w:t>
      </w:r>
      <w:bookmarkEnd w:id="410"/>
    </w:p>
    <w:p w14:paraId="72F153EC">
      <w:pPr>
        <w:spacing w:line="360" w:lineRule="auto"/>
        <w:jc w:val="center"/>
        <w:outlineLvl w:val="0"/>
        <w:rPr>
          <w:rFonts w:ascii="宋体" w:hAnsi="宋体" w:eastAsia="宋体" w:cs="宋体"/>
          <w:b/>
          <w:color w:val="auto"/>
          <w:kern w:val="0"/>
          <w:sz w:val="36"/>
          <w:szCs w:val="36"/>
          <w:highlight w:val="none"/>
        </w:rPr>
      </w:pPr>
      <w:bookmarkStart w:id="411" w:name="_Toc21561"/>
      <w:r>
        <w:rPr>
          <w:rFonts w:hint="eastAsia" w:ascii="宋体" w:hAnsi="宋体" w:eastAsia="宋体" w:cs="宋体"/>
          <w:b/>
          <w:color w:val="auto"/>
          <w:kern w:val="0"/>
          <w:sz w:val="36"/>
          <w:szCs w:val="36"/>
          <w:highlight w:val="none"/>
        </w:rPr>
        <w:t>目录</w:t>
      </w:r>
      <w:bookmarkEnd w:id="411"/>
    </w:p>
    <w:p w14:paraId="44FCBDD3">
      <w:pPr>
        <w:spacing w:line="360" w:lineRule="auto"/>
        <w:jc w:val="center"/>
        <w:outlineLvl w:val="9"/>
        <w:rPr>
          <w:rFonts w:ascii="宋体" w:hAnsi="宋体" w:eastAsia="宋体" w:cs="宋体"/>
          <w:b/>
          <w:color w:val="auto"/>
          <w:kern w:val="0"/>
          <w:sz w:val="36"/>
          <w:szCs w:val="36"/>
          <w:highlight w:val="none"/>
        </w:rPr>
      </w:pPr>
    </w:p>
    <w:p w14:paraId="0C682124">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投标分项报价表</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…………………………………………（页码）</w:t>
      </w:r>
    </w:p>
    <w:p w14:paraId="0A5245A4">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22315FB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报价情况说明(如供应商报价低于项目预算50%的，应当提交本文档，详细阐述不影响产品质量或者诚信履约的具体原因</w:t>
      </w:r>
      <w:r>
        <w:rPr>
          <w:rFonts w:hint="eastAsia" w:ascii="宋体" w:hAnsi="宋体" w:eastAsia="宋体" w:cs="宋体"/>
          <w:color w:val="auto"/>
          <w:sz w:val="24"/>
          <w:highlight w:val="none"/>
          <w:lang w:eastAsia="zh-CN"/>
        </w:rPr>
        <w:t>）…………………………………………（页码）</w:t>
      </w:r>
    </w:p>
    <w:p w14:paraId="34B7DD68">
      <w:pPr>
        <w:snapToGrid w:val="0"/>
        <w:spacing w:line="360" w:lineRule="auto"/>
        <w:ind w:right="480"/>
        <w:jc w:val="center"/>
        <w:rPr>
          <w:rFonts w:ascii="宋体" w:hAnsi="宋体" w:eastAsia="宋体" w:cs="宋体"/>
          <w:b/>
          <w:color w:val="auto"/>
          <w:kern w:val="0"/>
          <w:sz w:val="32"/>
          <w:szCs w:val="32"/>
          <w:highlight w:val="none"/>
        </w:rPr>
      </w:pPr>
    </w:p>
    <w:p w14:paraId="44E6B445">
      <w:pPr>
        <w:snapToGrid w:val="0"/>
        <w:spacing w:line="360" w:lineRule="auto"/>
        <w:ind w:right="480"/>
        <w:jc w:val="center"/>
        <w:rPr>
          <w:rFonts w:ascii="宋体" w:hAnsi="宋体" w:eastAsia="宋体" w:cs="宋体"/>
          <w:b/>
          <w:color w:val="auto"/>
          <w:kern w:val="0"/>
          <w:sz w:val="32"/>
          <w:szCs w:val="32"/>
          <w:highlight w:val="none"/>
        </w:rPr>
      </w:pPr>
    </w:p>
    <w:p w14:paraId="4D641385">
      <w:pPr>
        <w:snapToGrid w:val="0"/>
        <w:spacing w:line="360" w:lineRule="auto"/>
        <w:ind w:right="480"/>
        <w:jc w:val="center"/>
        <w:rPr>
          <w:rFonts w:ascii="宋体" w:hAnsi="宋体" w:eastAsia="宋体" w:cs="宋体"/>
          <w:b/>
          <w:color w:val="auto"/>
          <w:kern w:val="0"/>
          <w:sz w:val="32"/>
          <w:szCs w:val="32"/>
          <w:highlight w:val="none"/>
        </w:rPr>
      </w:pPr>
    </w:p>
    <w:p w14:paraId="1407C0B7">
      <w:pPr>
        <w:snapToGrid w:val="0"/>
        <w:spacing w:line="360" w:lineRule="auto"/>
        <w:ind w:right="480"/>
        <w:jc w:val="center"/>
        <w:rPr>
          <w:rFonts w:ascii="宋体" w:hAnsi="宋体" w:eastAsia="宋体" w:cs="宋体"/>
          <w:b/>
          <w:color w:val="auto"/>
          <w:kern w:val="0"/>
          <w:sz w:val="32"/>
          <w:szCs w:val="32"/>
          <w:highlight w:val="none"/>
        </w:rPr>
      </w:pPr>
    </w:p>
    <w:p w14:paraId="210F9B18">
      <w:pPr>
        <w:snapToGrid w:val="0"/>
        <w:spacing w:line="360" w:lineRule="auto"/>
        <w:ind w:right="480"/>
        <w:jc w:val="center"/>
        <w:rPr>
          <w:rFonts w:ascii="宋体" w:hAnsi="宋体" w:eastAsia="宋体" w:cs="宋体"/>
          <w:b/>
          <w:color w:val="auto"/>
          <w:kern w:val="0"/>
          <w:sz w:val="32"/>
          <w:szCs w:val="32"/>
          <w:highlight w:val="none"/>
        </w:rPr>
      </w:pPr>
    </w:p>
    <w:p w14:paraId="05B205A0">
      <w:pPr>
        <w:snapToGrid w:val="0"/>
        <w:spacing w:line="360" w:lineRule="auto"/>
        <w:ind w:right="480"/>
        <w:jc w:val="center"/>
        <w:rPr>
          <w:rFonts w:ascii="宋体" w:hAnsi="宋体" w:eastAsia="宋体" w:cs="宋体"/>
          <w:b/>
          <w:color w:val="auto"/>
          <w:kern w:val="0"/>
          <w:sz w:val="32"/>
          <w:szCs w:val="32"/>
          <w:highlight w:val="none"/>
        </w:rPr>
      </w:pPr>
    </w:p>
    <w:p w14:paraId="7FAD989A">
      <w:pPr>
        <w:snapToGrid w:val="0"/>
        <w:spacing w:line="360" w:lineRule="auto"/>
        <w:ind w:right="480"/>
        <w:jc w:val="center"/>
        <w:rPr>
          <w:rFonts w:ascii="宋体" w:hAnsi="宋体" w:eastAsia="宋体" w:cs="宋体"/>
          <w:b/>
          <w:color w:val="auto"/>
          <w:kern w:val="0"/>
          <w:sz w:val="32"/>
          <w:szCs w:val="32"/>
          <w:highlight w:val="none"/>
        </w:rPr>
      </w:pPr>
    </w:p>
    <w:p w14:paraId="5079AED1">
      <w:pPr>
        <w:snapToGrid w:val="0"/>
        <w:spacing w:line="360" w:lineRule="auto"/>
        <w:ind w:right="480"/>
        <w:jc w:val="center"/>
        <w:rPr>
          <w:rFonts w:ascii="宋体" w:hAnsi="宋体" w:eastAsia="宋体" w:cs="宋体"/>
          <w:b/>
          <w:color w:val="auto"/>
          <w:kern w:val="0"/>
          <w:sz w:val="32"/>
          <w:szCs w:val="32"/>
          <w:highlight w:val="none"/>
        </w:rPr>
      </w:pPr>
    </w:p>
    <w:p w14:paraId="468F72A4">
      <w:pPr>
        <w:snapToGrid w:val="0"/>
        <w:spacing w:line="360" w:lineRule="auto"/>
        <w:ind w:right="480"/>
        <w:jc w:val="center"/>
        <w:rPr>
          <w:rFonts w:ascii="宋体" w:hAnsi="宋体" w:eastAsia="宋体" w:cs="宋体"/>
          <w:b/>
          <w:color w:val="auto"/>
          <w:kern w:val="0"/>
          <w:sz w:val="32"/>
          <w:szCs w:val="32"/>
          <w:highlight w:val="none"/>
        </w:rPr>
      </w:pPr>
    </w:p>
    <w:p w14:paraId="37C4E363">
      <w:pPr>
        <w:snapToGrid w:val="0"/>
        <w:spacing w:line="360" w:lineRule="auto"/>
        <w:ind w:right="480"/>
        <w:jc w:val="center"/>
        <w:rPr>
          <w:rFonts w:ascii="宋体" w:hAnsi="宋体" w:eastAsia="宋体" w:cs="宋体"/>
          <w:b/>
          <w:color w:val="auto"/>
          <w:kern w:val="0"/>
          <w:sz w:val="32"/>
          <w:szCs w:val="32"/>
          <w:highlight w:val="none"/>
        </w:rPr>
      </w:pPr>
    </w:p>
    <w:p w14:paraId="0B3F7F07">
      <w:pPr>
        <w:snapToGrid w:val="0"/>
        <w:spacing w:line="360" w:lineRule="auto"/>
        <w:ind w:right="480"/>
        <w:jc w:val="center"/>
        <w:rPr>
          <w:rFonts w:ascii="宋体" w:hAnsi="宋体" w:eastAsia="宋体" w:cs="宋体"/>
          <w:b/>
          <w:color w:val="auto"/>
          <w:kern w:val="0"/>
          <w:sz w:val="32"/>
          <w:szCs w:val="32"/>
          <w:highlight w:val="none"/>
        </w:rPr>
      </w:pPr>
    </w:p>
    <w:p w14:paraId="353E19D5">
      <w:pPr>
        <w:snapToGrid w:val="0"/>
        <w:spacing w:line="360" w:lineRule="auto"/>
        <w:ind w:right="480"/>
        <w:jc w:val="center"/>
        <w:rPr>
          <w:rFonts w:ascii="宋体" w:hAnsi="宋体" w:eastAsia="宋体" w:cs="宋体"/>
          <w:b/>
          <w:color w:val="auto"/>
          <w:kern w:val="0"/>
          <w:sz w:val="32"/>
          <w:szCs w:val="32"/>
          <w:highlight w:val="none"/>
        </w:rPr>
      </w:pPr>
    </w:p>
    <w:p w14:paraId="08929FB1">
      <w:pPr>
        <w:snapToGrid w:val="0"/>
        <w:spacing w:line="360" w:lineRule="auto"/>
        <w:ind w:right="480"/>
        <w:jc w:val="center"/>
        <w:rPr>
          <w:rFonts w:ascii="宋体" w:hAnsi="宋体" w:eastAsia="宋体" w:cs="宋体"/>
          <w:b/>
          <w:color w:val="auto"/>
          <w:kern w:val="0"/>
          <w:sz w:val="32"/>
          <w:szCs w:val="32"/>
          <w:highlight w:val="none"/>
        </w:rPr>
      </w:pPr>
    </w:p>
    <w:p w14:paraId="272313D9">
      <w:pPr>
        <w:snapToGrid w:val="0"/>
        <w:spacing w:line="360" w:lineRule="auto"/>
        <w:ind w:right="480"/>
        <w:jc w:val="center"/>
        <w:rPr>
          <w:rFonts w:ascii="宋体" w:hAnsi="宋体" w:eastAsia="宋体" w:cs="宋体"/>
          <w:b/>
          <w:color w:val="auto"/>
          <w:kern w:val="0"/>
          <w:sz w:val="32"/>
          <w:szCs w:val="32"/>
          <w:highlight w:val="none"/>
        </w:rPr>
      </w:pPr>
    </w:p>
    <w:p w14:paraId="1FDA36FF">
      <w:pPr>
        <w:keepNext w:val="0"/>
        <w:pageBreakBefore w:val="0"/>
        <w:snapToGrid w:val="0"/>
        <w:spacing w:before="120" w:after="120"/>
        <w:ind w:firstLine="643"/>
        <w:outlineLvl w:val="9"/>
        <w:rPr>
          <w:rFonts w:ascii="宋体" w:hAnsi="宋体" w:eastAsia="宋体" w:cs="宋体"/>
          <w:color w:val="auto"/>
          <w:kern w:val="2"/>
          <w:sz w:val="32"/>
          <w:szCs w:val="32"/>
          <w:highlight w:val="none"/>
        </w:rPr>
        <w:sectPr>
          <w:headerReference r:id="rId26" w:type="first"/>
          <w:footerReference r:id="rId28" w:type="first"/>
          <w:headerReference r:id="rId25" w:type="default"/>
          <w:footerReference r:id="rId27" w:type="default"/>
          <w:pgSz w:w="11906" w:h="16838"/>
          <w:pgMar w:top="1276" w:right="1418" w:bottom="1247" w:left="1418" w:header="851" w:footer="992" w:gutter="0"/>
          <w:cols w:space="720" w:num="1"/>
          <w:titlePg/>
          <w:docGrid w:linePitch="312" w:charSpace="0"/>
        </w:sectPr>
      </w:pPr>
    </w:p>
    <w:p w14:paraId="0EE54D47">
      <w:pPr>
        <w:keepNext w:val="0"/>
        <w:pageBreakBefore w:val="0"/>
        <w:widowControl w:val="0"/>
        <w:adjustRightInd w:val="0"/>
        <w:snapToGrid w:val="0"/>
        <w:spacing w:before="120" w:after="120" w:line="360" w:lineRule="auto"/>
        <w:ind w:firstLine="643"/>
        <w:jc w:val="center"/>
        <w:outlineLvl w:val="9"/>
        <w:rPr>
          <w:rFonts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一、开标一览表（报价表）</w:t>
      </w:r>
    </w:p>
    <w:p w14:paraId="67922E4E">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EA764B7">
      <w:pPr>
        <w:snapToGrid w:val="0"/>
        <w:spacing w:line="360" w:lineRule="auto"/>
        <w:ind w:firstLine="482"/>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1B238503">
      <w:pPr>
        <w:spacing w:line="360" w:lineRule="auto"/>
        <w:jc w:val="center"/>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w:t>
      </w:r>
      <w:r>
        <w:rPr>
          <w:rFonts w:hint="eastAsia" w:ascii="宋体" w:hAnsi="宋体" w:cs="宋体"/>
          <w:b/>
          <w:color w:val="auto"/>
          <w:kern w:val="0"/>
          <w:sz w:val="24"/>
          <w:highlight w:val="none"/>
          <w:lang w:val="zh-CN"/>
        </w:rPr>
        <w:t>（</w:t>
      </w:r>
      <w:r>
        <w:rPr>
          <w:rFonts w:hint="eastAsia" w:ascii="宋体" w:hAnsi="宋体" w:eastAsia="宋体" w:cs="宋体"/>
          <w:b/>
          <w:color w:val="auto"/>
          <w:kern w:val="0"/>
          <w:sz w:val="24"/>
          <w:highlight w:val="none"/>
          <w:lang w:val="zh-CN"/>
        </w:rPr>
        <w:t>单位均为人民币元</w:t>
      </w:r>
      <w:r>
        <w:rPr>
          <w:rFonts w:hint="eastAsia" w:ascii="宋体" w:hAnsi="宋体" w:cs="宋体"/>
          <w:b/>
          <w:color w:val="auto"/>
          <w:kern w:val="0"/>
          <w:sz w:val="24"/>
          <w:highlight w:val="none"/>
          <w:lang w:val="zh-CN"/>
        </w:rPr>
        <w:t>）</w:t>
      </w:r>
    </w:p>
    <w:tbl>
      <w:tblPr>
        <w:tblStyle w:val="62"/>
        <w:tblW w:w="8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3008"/>
        <w:gridCol w:w="4260"/>
      </w:tblGrid>
      <w:tr w14:paraId="07DF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C006216">
            <w:pPr>
              <w:widowControl/>
              <w:adjustRightInd/>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460CBB8">
            <w:pPr>
              <w:widowControl/>
              <w:adjustRightInd/>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内容</w:t>
            </w:r>
          </w:p>
        </w:tc>
        <w:tc>
          <w:tcPr>
            <w:tcW w:w="4260" w:type="dxa"/>
            <w:tcBorders>
              <w:top w:val="single" w:color="auto" w:sz="4" w:space="0"/>
              <w:left w:val="single" w:color="auto" w:sz="4" w:space="0"/>
              <w:bottom w:val="single" w:color="auto" w:sz="4" w:space="0"/>
              <w:right w:val="single" w:color="auto" w:sz="4" w:space="0"/>
            </w:tcBorders>
            <w:noWrap w:val="0"/>
            <w:vAlign w:val="center"/>
          </w:tcPr>
          <w:p w14:paraId="6D48E43B">
            <w:pPr>
              <w:widowControl/>
              <w:adjustRightInd/>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2"/>
                <w:szCs w:val="24"/>
                <w:highlight w:val="none"/>
                <w:lang w:eastAsia="zh-CN"/>
              </w:rPr>
              <w:t>合同履行期限</w:t>
            </w:r>
          </w:p>
        </w:tc>
      </w:tr>
      <w:tr w14:paraId="1A1D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63A704E3">
            <w:pPr>
              <w:widowControl/>
              <w:adjustRightInd/>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22590D84">
            <w:pPr>
              <w:widowControl/>
              <w:adjustRightInd/>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宁波市海曙区第三医院导医等服务外包</w:t>
            </w:r>
          </w:p>
        </w:tc>
        <w:tc>
          <w:tcPr>
            <w:tcW w:w="4260" w:type="dxa"/>
            <w:tcBorders>
              <w:top w:val="single" w:color="auto" w:sz="4" w:space="0"/>
              <w:left w:val="single" w:color="auto" w:sz="4" w:space="0"/>
              <w:bottom w:val="single" w:color="auto" w:sz="4" w:space="0"/>
              <w:right w:val="single" w:color="auto" w:sz="4" w:space="0"/>
            </w:tcBorders>
            <w:noWrap w:val="0"/>
            <w:vAlign w:val="center"/>
          </w:tcPr>
          <w:p w14:paraId="0D0DC238">
            <w:pPr>
              <w:widowControl/>
              <w:adjustRightInd/>
              <w:spacing w:line="360" w:lineRule="auto"/>
              <w:jc w:val="both"/>
              <w:rPr>
                <w:rFonts w:hint="eastAsia" w:ascii="宋体" w:hAnsi="宋体" w:eastAsia="宋体" w:cs="宋体"/>
                <w:bCs/>
                <w:color w:val="auto"/>
                <w:kern w:val="0"/>
                <w:szCs w:val="21"/>
                <w:highlight w:val="none"/>
              </w:rPr>
            </w:pPr>
          </w:p>
        </w:tc>
      </w:tr>
      <w:tr w14:paraId="1F0C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982" w:type="dxa"/>
            <w:gridSpan w:val="2"/>
            <w:tcBorders>
              <w:top w:val="single" w:color="auto" w:sz="4" w:space="0"/>
              <w:left w:val="single" w:color="auto" w:sz="4" w:space="0"/>
              <w:bottom w:val="single" w:color="auto" w:sz="4" w:space="0"/>
              <w:right w:val="single" w:color="auto" w:sz="4" w:space="0"/>
            </w:tcBorders>
            <w:noWrap w:val="0"/>
            <w:vAlign w:val="center"/>
          </w:tcPr>
          <w:p w14:paraId="00688851">
            <w:pPr>
              <w:widowControl/>
              <w:adjustRightInd/>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w:t>
            </w:r>
            <w:r>
              <w:rPr>
                <w:rFonts w:hint="eastAsia" w:ascii="宋体" w:hAnsi="宋体" w:cs="宋体"/>
                <w:color w:val="auto"/>
                <w:kern w:val="0"/>
                <w:szCs w:val="21"/>
                <w:highlight w:val="none"/>
                <w:lang w:val="en-US" w:eastAsia="zh-CN"/>
              </w:rPr>
              <w:t>报</w:t>
            </w:r>
            <w:r>
              <w:rPr>
                <w:rFonts w:hint="eastAsia" w:ascii="宋体" w:hAnsi="宋体" w:eastAsia="宋体" w:cs="宋体"/>
                <w:color w:val="auto"/>
                <w:kern w:val="0"/>
                <w:szCs w:val="21"/>
                <w:highlight w:val="none"/>
                <w:lang w:val="en-US" w:eastAsia="zh-CN"/>
              </w:rPr>
              <w:t>价（元</w:t>
            </w:r>
            <w:r>
              <w:rPr>
                <w:rFonts w:hint="eastAsia" w:ascii="宋体" w:hAnsi="宋体" w:cs="宋体"/>
                <w:color w:val="auto"/>
                <w:kern w:val="0"/>
                <w:szCs w:val="21"/>
                <w:highlight w:val="none"/>
                <w:lang w:val="en-US" w:eastAsia="zh-CN"/>
              </w:rPr>
              <w:t>/年）</w:t>
            </w:r>
          </w:p>
        </w:tc>
        <w:tc>
          <w:tcPr>
            <w:tcW w:w="4260" w:type="dxa"/>
            <w:tcBorders>
              <w:top w:val="single" w:color="auto" w:sz="4" w:space="0"/>
              <w:left w:val="single" w:color="auto" w:sz="4" w:space="0"/>
              <w:bottom w:val="single" w:color="auto" w:sz="4" w:space="0"/>
              <w:right w:val="single" w:color="auto" w:sz="4" w:space="0"/>
            </w:tcBorders>
            <w:noWrap w:val="0"/>
            <w:vAlign w:val="center"/>
          </w:tcPr>
          <w:p w14:paraId="0D333B68">
            <w:pPr>
              <w:widowControl/>
              <w:adjustRightInd/>
              <w:spacing w:line="360" w:lineRule="auto"/>
              <w:jc w:val="both"/>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大写：</w:t>
            </w:r>
          </w:p>
          <w:p w14:paraId="6A2388B1">
            <w:pPr>
              <w:widowControl/>
              <w:adjustRightInd/>
              <w:spacing w:line="360" w:lineRule="auto"/>
              <w:jc w:val="both"/>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小写：</w:t>
            </w:r>
          </w:p>
        </w:tc>
      </w:tr>
      <w:tr w14:paraId="40A4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98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6FD321A">
            <w:pPr>
              <w:widowControl/>
              <w:adjustRightInd/>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投标总价（元</w:t>
            </w:r>
            <w:r>
              <w:rPr>
                <w:rFonts w:hint="eastAsia" w:ascii="宋体" w:hAnsi="宋体" w:cs="宋体"/>
                <w:color w:val="auto"/>
                <w:kern w:val="0"/>
                <w:szCs w:val="21"/>
                <w:highlight w:val="none"/>
                <w:lang w:val="en-US" w:eastAsia="zh-CN"/>
              </w:rPr>
              <w:t>/3年）</w:t>
            </w:r>
          </w:p>
        </w:tc>
        <w:tc>
          <w:tcPr>
            <w:tcW w:w="4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708AF9">
            <w:pPr>
              <w:widowControl/>
              <w:adjustRightInd/>
              <w:spacing w:line="360" w:lineRule="auto"/>
              <w:jc w:val="both"/>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大写：</w:t>
            </w:r>
          </w:p>
          <w:p w14:paraId="53360956">
            <w:pPr>
              <w:widowControl/>
              <w:adjustRightInd/>
              <w:spacing w:line="360" w:lineRule="auto"/>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Cs w:val="21"/>
                <w:highlight w:val="none"/>
                <w:lang w:val="en-US" w:eastAsia="zh-CN"/>
              </w:rPr>
              <w:t>小写：</w:t>
            </w:r>
          </w:p>
        </w:tc>
      </w:tr>
      <w:tr w14:paraId="3F9B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jc w:val="center"/>
        </w:trPr>
        <w:tc>
          <w:tcPr>
            <w:tcW w:w="3982" w:type="dxa"/>
            <w:gridSpan w:val="2"/>
            <w:tcBorders>
              <w:top w:val="single" w:color="auto" w:sz="4" w:space="0"/>
              <w:left w:val="single" w:color="auto" w:sz="4" w:space="0"/>
              <w:bottom w:val="single" w:color="auto" w:sz="4" w:space="0"/>
              <w:right w:val="single" w:color="auto" w:sz="4" w:space="0"/>
            </w:tcBorders>
            <w:noWrap w:val="0"/>
            <w:vAlign w:val="center"/>
          </w:tcPr>
          <w:p w14:paraId="66DFE88C">
            <w:pPr>
              <w:widowControl/>
              <w:adjustRightInd/>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投标声明</w:t>
            </w:r>
          </w:p>
        </w:tc>
        <w:tc>
          <w:tcPr>
            <w:tcW w:w="4260" w:type="dxa"/>
            <w:tcBorders>
              <w:top w:val="single" w:color="auto" w:sz="4" w:space="0"/>
              <w:left w:val="single" w:color="auto" w:sz="4" w:space="0"/>
              <w:bottom w:val="single" w:color="auto" w:sz="4" w:space="0"/>
            </w:tcBorders>
            <w:noWrap w:val="0"/>
            <w:vAlign w:val="center"/>
          </w:tcPr>
          <w:p w14:paraId="4E2E19BC">
            <w:pPr>
              <w:widowControl/>
              <w:adjustRightInd/>
              <w:spacing w:before="240" w:line="360" w:lineRule="auto"/>
              <w:jc w:val="center"/>
              <w:rPr>
                <w:rFonts w:hint="eastAsia" w:ascii="宋体" w:hAnsi="宋体" w:eastAsia="宋体" w:cs="宋体"/>
                <w:color w:val="auto"/>
                <w:kern w:val="0"/>
                <w:szCs w:val="21"/>
                <w:highlight w:val="none"/>
              </w:rPr>
            </w:pPr>
          </w:p>
        </w:tc>
      </w:tr>
    </w:tbl>
    <w:p w14:paraId="36FBD7EC">
      <w:pPr>
        <w:snapToGrid w:val="0"/>
        <w:spacing w:line="360" w:lineRule="auto"/>
        <w:ind w:left="480"/>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93419B9">
      <w:pPr>
        <w:spacing w:line="360" w:lineRule="auto"/>
        <w:ind w:left="-2" w:leftChars="-1" w:firstLine="480" w:firstLineChars="2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需按本表格式填写。</w:t>
      </w:r>
    </w:p>
    <w:p w14:paraId="06651231">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eastAsia="zh-CN"/>
        </w:rPr>
        <w:t>▲</w:t>
      </w: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w:t>
      </w:r>
      <w:r>
        <w:rPr>
          <w:rFonts w:hint="eastAsia" w:ascii="宋体" w:hAnsi="宋体" w:cs="宋体"/>
          <w:b/>
          <w:color w:val="auto"/>
          <w:kern w:val="0"/>
          <w:sz w:val="24"/>
          <w:highlight w:val="none"/>
          <w:lang w:val="zh-CN"/>
        </w:rPr>
        <w:t>供应商</w:t>
      </w:r>
      <w:r>
        <w:rPr>
          <w:rFonts w:hint="eastAsia" w:ascii="宋体" w:hAnsi="宋体" w:eastAsia="宋体" w:cs="宋体"/>
          <w:b/>
          <w:color w:val="auto"/>
          <w:kern w:val="0"/>
          <w:sz w:val="24"/>
          <w:highlight w:val="none"/>
          <w:lang w:val="zh-CN"/>
        </w:rPr>
        <w:t>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w:t>
      </w:r>
      <w:r>
        <w:rPr>
          <w:rFonts w:hint="eastAsia" w:ascii="宋体" w:hAnsi="宋体" w:cs="宋体"/>
          <w:b/>
          <w:color w:val="auto"/>
          <w:kern w:val="0"/>
          <w:sz w:val="24"/>
          <w:highlight w:val="none"/>
          <w:lang w:val="zh-CN"/>
        </w:rPr>
        <w:t>供应商</w:t>
      </w:r>
      <w:r>
        <w:rPr>
          <w:rFonts w:hint="eastAsia" w:ascii="宋体" w:hAnsi="宋体" w:eastAsia="宋体" w:cs="宋体"/>
          <w:b/>
          <w:color w:val="auto"/>
          <w:kern w:val="0"/>
          <w:sz w:val="24"/>
          <w:highlight w:val="none"/>
          <w:lang w:val="zh-CN"/>
        </w:rPr>
        <w:t>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4A4768D2">
      <w:pPr>
        <w:snapToGrid w:val="0"/>
        <w:spacing w:line="360" w:lineRule="auto"/>
        <w:ind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C352383">
      <w:pPr>
        <w:keepNext w:val="0"/>
        <w:pageBreakBefore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A0221BF">
      <w:pPr>
        <w:keepNext w:val="0"/>
        <w:keepLines w:val="0"/>
        <w:pageBreakBefore w:val="0"/>
        <w:widowControl w:val="0"/>
        <w:kinsoku/>
        <w:wordWrap/>
        <w:overflowPunct/>
        <w:topLinePunct w:val="0"/>
        <w:autoSpaceDE/>
        <w:autoSpaceDN/>
        <w:bidi w:val="0"/>
        <w:adjustRightInd w:val="0"/>
        <w:snapToGrid/>
        <w:spacing w:after="120" w:line="360" w:lineRule="auto"/>
        <w:jc w:val="left"/>
        <w:textAlignment w:val="baseline"/>
        <w:outlineLvl w:val="9"/>
        <w:rPr>
          <w:rFonts w:hint="eastAsia" w:ascii="宋体" w:hAnsi="宋体" w:eastAsia="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二</w:t>
      </w:r>
      <w:r>
        <w:rPr>
          <w:rFonts w:hint="eastAsia" w:ascii="宋体" w:hAnsi="宋体" w:eastAsia="宋体" w:cs="宋体"/>
          <w:b/>
          <w:color w:val="auto"/>
          <w:kern w:val="2"/>
          <w:sz w:val="32"/>
          <w:szCs w:val="32"/>
          <w:highlight w:val="none"/>
          <w:lang w:val="en-US" w:eastAsia="zh-CN" w:bidi="ar-SA"/>
        </w:rPr>
        <w:t>、投标分项报价表</w:t>
      </w:r>
    </w:p>
    <w:p w14:paraId="6154552C">
      <w:pPr>
        <w:widowControl/>
        <w:adjustRightInd/>
        <w:snapToGrid w:val="0"/>
        <w:spacing w:before="120" w:beforeLines="50" w:after="50"/>
        <w:jc w:val="center"/>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rPr>
        <w:t>投标分项报价表</w:t>
      </w:r>
    </w:p>
    <w:p w14:paraId="3FB7F474">
      <w:pPr>
        <w:spacing w:after="120" w:afterLines="0"/>
        <w:ind w:left="420" w:leftChars="200"/>
        <w:rPr>
          <w:rFonts w:hint="eastAsia" w:ascii="Times New Roman" w:hAnsi="宋体" w:eastAsia="宋体" w:cs="Times New Roman"/>
          <w:color w:val="auto"/>
          <w:sz w:val="32"/>
          <w:highlight w:val="none"/>
          <w:lang w:val="en-US" w:eastAsia="zh-CN" w:bidi="ar-SA"/>
        </w:rPr>
      </w:pPr>
    </w:p>
    <w:p w14:paraId="15BE2990">
      <w:pPr>
        <w:spacing w:after="120" w:afterLines="0"/>
        <w:ind w:left="1140" w:leftChars="200" w:hanging="720" w:hangingChars="343"/>
        <w:rPr>
          <w:rFonts w:hint="eastAsia" w:ascii="Times New Roman" w:hAnsi="宋体" w:eastAsia="宋体" w:cs="宋体"/>
          <w:color w:val="auto"/>
          <w:sz w:val="21"/>
          <w:highlight w:val="none"/>
          <w:u w:val="single"/>
          <w:lang w:val="en-US" w:eastAsia="zh-CN" w:bidi="ar-SA"/>
        </w:rPr>
      </w:pPr>
      <w:r>
        <w:rPr>
          <w:rFonts w:hint="eastAsia" w:ascii="Times New Roman" w:hAnsi="宋体" w:eastAsia="宋体" w:cs="宋体"/>
          <w:color w:val="auto"/>
          <w:sz w:val="21"/>
          <w:highlight w:val="none"/>
          <w:lang w:val="en-US" w:eastAsia="zh-CN" w:bidi="ar-SA"/>
        </w:rPr>
        <w:t>采购项目名称：</w:t>
      </w:r>
      <w:r>
        <w:rPr>
          <w:rFonts w:hint="eastAsia" w:ascii="Times New Roman" w:hAnsi="宋体" w:eastAsia="宋体" w:cs="宋体"/>
          <w:color w:val="auto"/>
          <w:sz w:val="21"/>
          <w:highlight w:val="none"/>
          <w:u w:val="single"/>
          <w:lang w:val="en-US" w:eastAsia="zh-CN" w:bidi="ar-SA"/>
        </w:rPr>
        <w:t xml:space="preserve">                         </w:t>
      </w:r>
      <w:r>
        <w:rPr>
          <w:rFonts w:hint="eastAsia" w:ascii="Times New Roman" w:hAnsi="宋体" w:eastAsia="宋体" w:cs="宋体"/>
          <w:color w:val="auto"/>
          <w:sz w:val="21"/>
          <w:highlight w:val="none"/>
          <w:lang w:val="en-US" w:eastAsia="zh-CN" w:bidi="ar-SA"/>
        </w:rPr>
        <w:t>项目编号：</w:t>
      </w:r>
      <w:r>
        <w:rPr>
          <w:rFonts w:hint="eastAsia" w:ascii="Times New Roman" w:hAnsi="宋体" w:eastAsia="宋体" w:cs="宋体"/>
          <w:color w:val="auto"/>
          <w:sz w:val="21"/>
          <w:highlight w:val="none"/>
          <w:u w:val="single"/>
          <w:lang w:val="en-US" w:eastAsia="zh-CN" w:bidi="ar-SA"/>
        </w:rPr>
        <w:t xml:space="preserve">                 </w:t>
      </w:r>
      <w:r>
        <w:rPr>
          <w:rFonts w:hint="eastAsia" w:ascii="Times New Roman" w:hAnsi="宋体" w:eastAsia="宋体" w:cs="宋体"/>
          <w:color w:val="auto"/>
          <w:sz w:val="21"/>
          <w:highlight w:val="none"/>
          <w:u w:val="none"/>
          <w:lang w:val="en-US" w:eastAsia="zh-Hans" w:bidi="ar-SA"/>
        </w:rPr>
        <w:t>标项</w:t>
      </w:r>
      <w:r>
        <w:rPr>
          <w:rFonts w:hint="eastAsia" w:ascii="Times New Roman" w:hAnsi="宋体" w:eastAsia="宋体" w:cs="宋体"/>
          <w:color w:val="auto"/>
          <w:sz w:val="21"/>
          <w:highlight w:val="none"/>
          <w:lang w:val="en-US" w:eastAsia="zh-CN" w:bidi="ar-SA"/>
        </w:rPr>
        <w:t>号：</w:t>
      </w:r>
      <w:r>
        <w:rPr>
          <w:rFonts w:hint="eastAsia" w:ascii="Times New Roman" w:hAnsi="宋体" w:eastAsia="宋体" w:cs="宋体"/>
          <w:color w:val="auto"/>
          <w:sz w:val="21"/>
          <w:highlight w:val="none"/>
          <w:u w:val="single"/>
          <w:lang w:val="en-US" w:eastAsia="zh-CN" w:bidi="ar-SA"/>
        </w:rPr>
        <w:t xml:space="preserve"> 一      </w:t>
      </w:r>
    </w:p>
    <w:tbl>
      <w:tblPr>
        <w:tblStyle w:val="62"/>
        <w:tblW w:w="8794" w:type="dxa"/>
        <w:jc w:val="center"/>
        <w:tblLayout w:type="fixed"/>
        <w:tblCellMar>
          <w:top w:w="0" w:type="dxa"/>
          <w:left w:w="108" w:type="dxa"/>
          <w:bottom w:w="0" w:type="dxa"/>
          <w:right w:w="108" w:type="dxa"/>
        </w:tblCellMar>
      </w:tblPr>
      <w:tblGrid>
        <w:gridCol w:w="890"/>
        <w:gridCol w:w="4441"/>
        <w:gridCol w:w="992"/>
        <w:gridCol w:w="1120"/>
        <w:gridCol w:w="1351"/>
      </w:tblGrid>
      <w:tr w14:paraId="5D909368">
        <w:tblPrEx>
          <w:tblCellMar>
            <w:top w:w="0" w:type="dxa"/>
            <w:left w:w="108" w:type="dxa"/>
            <w:bottom w:w="0" w:type="dxa"/>
            <w:right w:w="108" w:type="dxa"/>
          </w:tblCellMar>
        </w:tblPrEx>
        <w:trPr>
          <w:trHeight w:val="673"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14:paraId="63246D00">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r>
              <w:rPr>
                <w:rFonts w:hint="eastAsia" w:ascii="宋体" w:hAnsi="宋体" w:eastAsia="宋体" w:cs="宋体"/>
                <w:color w:val="auto"/>
                <w:kern w:val="0"/>
                <w:szCs w:val="21"/>
                <w:highlight w:val="none"/>
                <w:lang w:bidi="ar"/>
              </w:rPr>
              <w:t>序号</w:t>
            </w:r>
          </w:p>
        </w:tc>
        <w:tc>
          <w:tcPr>
            <w:tcW w:w="4441" w:type="dxa"/>
            <w:tcBorders>
              <w:top w:val="single" w:color="auto" w:sz="4" w:space="0"/>
              <w:left w:val="nil"/>
              <w:bottom w:val="single" w:color="auto" w:sz="4" w:space="0"/>
              <w:right w:val="single" w:color="auto" w:sz="4" w:space="0"/>
            </w:tcBorders>
            <w:noWrap w:val="0"/>
            <w:vAlign w:val="center"/>
          </w:tcPr>
          <w:p w14:paraId="45D26EAB">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val="en-US" w:eastAsia="zh-CN"/>
              </w:rPr>
            </w:pPr>
            <w:r>
              <w:rPr>
                <w:rFonts w:hint="eastAsia" w:ascii="宋体" w:hAnsi="宋体" w:eastAsia="宋体" w:cs="宋体"/>
                <w:color w:val="auto"/>
                <w:spacing w:val="20"/>
                <w:kern w:val="0"/>
                <w:szCs w:val="21"/>
                <w:highlight w:val="none"/>
                <w:lang w:bidi="ar"/>
              </w:rPr>
              <w:t>费用</w:t>
            </w:r>
            <w:r>
              <w:rPr>
                <w:rFonts w:hint="eastAsia" w:ascii="宋体" w:hAnsi="宋体" w:eastAsia="宋体" w:cs="宋体"/>
                <w:color w:val="auto"/>
                <w:spacing w:val="20"/>
                <w:kern w:val="0"/>
                <w:szCs w:val="21"/>
                <w:highlight w:val="none"/>
                <w:lang w:val="en-US" w:eastAsia="zh-CN" w:bidi="ar"/>
              </w:rPr>
              <w:t>类别</w:t>
            </w:r>
          </w:p>
        </w:tc>
        <w:tc>
          <w:tcPr>
            <w:tcW w:w="992" w:type="dxa"/>
            <w:tcBorders>
              <w:top w:val="single" w:color="auto" w:sz="4" w:space="0"/>
              <w:left w:val="nil"/>
              <w:bottom w:val="single" w:color="auto" w:sz="4" w:space="0"/>
              <w:right w:val="single" w:color="auto" w:sz="4" w:space="0"/>
            </w:tcBorders>
            <w:noWrap w:val="0"/>
            <w:vAlign w:val="center"/>
          </w:tcPr>
          <w:p w14:paraId="1544DC82">
            <w:pPr>
              <w:widowControl/>
              <w:adjustRightInd/>
              <w:snapToGrid w:val="0"/>
              <w:spacing w:before="50" w:after="50" w:line="36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数量</w:t>
            </w:r>
          </w:p>
        </w:tc>
        <w:tc>
          <w:tcPr>
            <w:tcW w:w="1120" w:type="dxa"/>
            <w:tcBorders>
              <w:top w:val="single" w:color="auto" w:sz="4" w:space="0"/>
              <w:left w:val="nil"/>
              <w:bottom w:val="single" w:color="auto" w:sz="4" w:space="0"/>
              <w:right w:val="single" w:color="auto" w:sz="4" w:space="0"/>
            </w:tcBorders>
            <w:noWrap w:val="0"/>
            <w:vAlign w:val="center"/>
          </w:tcPr>
          <w:p w14:paraId="3D865B18">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r>
              <w:rPr>
                <w:rFonts w:hint="eastAsia" w:ascii="宋体" w:hAnsi="宋体" w:eastAsia="宋体" w:cs="宋体"/>
                <w:color w:val="auto"/>
                <w:kern w:val="0"/>
                <w:szCs w:val="21"/>
                <w:highlight w:val="none"/>
                <w:lang w:bidi="ar"/>
              </w:rPr>
              <w:t>单价（元）</w:t>
            </w:r>
          </w:p>
        </w:tc>
        <w:tc>
          <w:tcPr>
            <w:tcW w:w="1351" w:type="dxa"/>
            <w:tcBorders>
              <w:top w:val="single" w:color="auto" w:sz="4" w:space="0"/>
              <w:left w:val="nil"/>
              <w:bottom w:val="single" w:color="auto" w:sz="4" w:space="0"/>
              <w:right w:val="single" w:color="auto" w:sz="4" w:space="0"/>
            </w:tcBorders>
            <w:noWrap w:val="0"/>
            <w:vAlign w:val="center"/>
          </w:tcPr>
          <w:p w14:paraId="303F0112">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r>
              <w:rPr>
                <w:rFonts w:hint="eastAsia" w:ascii="宋体" w:hAnsi="宋体" w:eastAsia="宋体" w:cs="宋体"/>
                <w:color w:val="auto"/>
                <w:spacing w:val="20"/>
                <w:kern w:val="0"/>
                <w:szCs w:val="21"/>
                <w:highlight w:val="none"/>
              </w:rPr>
              <w:t>合计</w:t>
            </w:r>
            <w:r>
              <w:rPr>
                <w:rFonts w:hint="eastAsia" w:ascii="宋体" w:hAnsi="宋体" w:eastAsia="宋体" w:cs="宋体"/>
                <w:color w:val="auto"/>
                <w:kern w:val="0"/>
                <w:szCs w:val="21"/>
                <w:highlight w:val="none"/>
                <w:lang w:bidi="ar"/>
              </w:rPr>
              <w:t>（元）</w:t>
            </w:r>
          </w:p>
        </w:tc>
      </w:tr>
      <w:tr w14:paraId="60EEE39E">
        <w:tblPrEx>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14:paraId="1A21D619">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4441" w:type="dxa"/>
            <w:tcBorders>
              <w:top w:val="single" w:color="auto" w:sz="4" w:space="0"/>
              <w:left w:val="nil"/>
              <w:bottom w:val="single" w:color="auto" w:sz="4" w:space="0"/>
              <w:right w:val="single" w:color="auto" w:sz="4" w:space="0"/>
            </w:tcBorders>
            <w:noWrap w:val="0"/>
            <w:vAlign w:val="center"/>
          </w:tcPr>
          <w:p w14:paraId="44E2D9C3">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992" w:type="dxa"/>
            <w:tcBorders>
              <w:top w:val="single" w:color="auto" w:sz="4" w:space="0"/>
              <w:left w:val="nil"/>
              <w:bottom w:val="single" w:color="auto" w:sz="4" w:space="0"/>
              <w:right w:val="single" w:color="auto" w:sz="4" w:space="0"/>
            </w:tcBorders>
            <w:noWrap w:val="0"/>
            <w:vAlign w:val="top"/>
          </w:tcPr>
          <w:p w14:paraId="053889FF">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c>
          <w:tcPr>
            <w:tcW w:w="1120" w:type="dxa"/>
            <w:tcBorders>
              <w:top w:val="single" w:color="auto" w:sz="4" w:space="0"/>
              <w:left w:val="nil"/>
              <w:bottom w:val="single" w:color="auto" w:sz="4" w:space="0"/>
              <w:right w:val="single" w:color="auto" w:sz="4" w:space="0"/>
            </w:tcBorders>
            <w:noWrap w:val="0"/>
            <w:vAlign w:val="top"/>
          </w:tcPr>
          <w:p w14:paraId="457AA3FB">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noWrap w:val="0"/>
            <w:vAlign w:val="top"/>
          </w:tcPr>
          <w:p w14:paraId="60C3F638">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r>
      <w:tr w14:paraId="202BA113">
        <w:tblPrEx>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14:paraId="47704F19">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4441" w:type="dxa"/>
            <w:tcBorders>
              <w:top w:val="single" w:color="auto" w:sz="4" w:space="0"/>
              <w:left w:val="nil"/>
              <w:bottom w:val="single" w:color="auto" w:sz="4" w:space="0"/>
              <w:right w:val="single" w:color="auto" w:sz="4" w:space="0"/>
            </w:tcBorders>
            <w:noWrap w:val="0"/>
            <w:vAlign w:val="center"/>
          </w:tcPr>
          <w:p w14:paraId="769F6F78">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992" w:type="dxa"/>
            <w:tcBorders>
              <w:top w:val="single" w:color="auto" w:sz="4" w:space="0"/>
              <w:left w:val="nil"/>
              <w:bottom w:val="single" w:color="auto" w:sz="4" w:space="0"/>
              <w:right w:val="single" w:color="auto" w:sz="4" w:space="0"/>
            </w:tcBorders>
            <w:noWrap w:val="0"/>
            <w:vAlign w:val="top"/>
          </w:tcPr>
          <w:p w14:paraId="38B1D6AB">
            <w:pPr>
              <w:widowControl/>
              <w:adjustRightInd/>
              <w:snapToGrid w:val="0"/>
              <w:spacing w:before="50" w:after="50" w:line="360" w:lineRule="auto"/>
              <w:jc w:val="center"/>
              <w:rPr>
                <w:rFonts w:hint="default" w:ascii="宋体" w:hAnsi="宋体" w:eastAsia="宋体" w:cs="宋体"/>
                <w:color w:val="auto"/>
                <w:spacing w:val="20"/>
                <w:kern w:val="0"/>
                <w:szCs w:val="21"/>
                <w:highlight w:val="none"/>
                <w:lang w:val="en-US" w:eastAsia="zh-CN"/>
              </w:rPr>
            </w:pPr>
          </w:p>
        </w:tc>
        <w:tc>
          <w:tcPr>
            <w:tcW w:w="1120" w:type="dxa"/>
            <w:tcBorders>
              <w:top w:val="single" w:color="auto" w:sz="4" w:space="0"/>
              <w:left w:val="nil"/>
              <w:bottom w:val="single" w:color="auto" w:sz="4" w:space="0"/>
              <w:right w:val="single" w:color="auto" w:sz="4" w:space="0"/>
            </w:tcBorders>
            <w:noWrap w:val="0"/>
            <w:vAlign w:val="top"/>
          </w:tcPr>
          <w:p w14:paraId="24D2B670">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noWrap w:val="0"/>
            <w:vAlign w:val="top"/>
          </w:tcPr>
          <w:p w14:paraId="267DE5D0">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r>
      <w:tr w14:paraId="237FAE84">
        <w:tblPrEx>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14:paraId="6C7DCE67">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4441" w:type="dxa"/>
            <w:tcBorders>
              <w:top w:val="single" w:color="auto" w:sz="4" w:space="0"/>
              <w:left w:val="nil"/>
              <w:bottom w:val="single" w:color="auto" w:sz="4" w:space="0"/>
              <w:right w:val="single" w:color="auto" w:sz="4" w:space="0"/>
            </w:tcBorders>
            <w:noWrap w:val="0"/>
            <w:vAlign w:val="center"/>
          </w:tcPr>
          <w:p w14:paraId="2F418192">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992" w:type="dxa"/>
            <w:tcBorders>
              <w:top w:val="single" w:color="auto" w:sz="4" w:space="0"/>
              <w:left w:val="nil"/>
              <w:bottom w:val="single" w:color="auto" w:sz="4" w:space="0"/>
              <w:right w:val="single" w:color="auto" w:sz="4" w:space="0"/>
            </w:tcBorders>
            <w:noWrap w:val="0"/>
            <w:vAlign w:val="center"/>
          </w:tcPr>
          <w:p w14:paraId="7B3D6AA8">
            <w:pPr>
              <w:keepNext w:val="0"/>
              <w:keepLines w:val="0"/>
              <w:widowControl/>
              <w:suppressLineNumbers w:val="0"/>
              <w:adjustRightInd/>
              <w:jc w:val="center"/>
              <w:textAlignment w:val="center"/>
              <w:rPr>
                <w:rFonts w:hint="default" w:ascii="宋体" w:hAnsi="宋体" w:eastAsia="宋体" w:cs="宋体"/>
                <w:color w:val="auto"/>
                <w:spacing w:val="20"/>
                <w:kern w:val="0"/>
                <w:szCs w:val="21"/>
                <w:highlight w:val="none"/>
                <w:lang w:val="en-US" w:eastAsia="zh-CN"/>
              </w:rPr>
            </w:pPr>
          </w:p>
        </w:tc>
        <w:tc>
          <w:tcPr>
            <w:tcW w:w="1120" w:type="dxa"/>
            <w:tcBorders>
              <w:top w:val="single" w:color="auto" w:sz="4" w:space="0"/>
              <w:left w:val="nil"/>
              <w:bottom w:val="single" w:color="auto" w:sz="4" w:space="0"/>
              <w:right w:val="single" w:color="auto" w:sz="4" w:space="0"/>
            </w:tcBorders>
            <w:noWrap w:val="0"/>
            <w:vAlign w:val="top"/>
          </w:tcPr>
          <w:p w14:paraId="21FEA1D3">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noWrap w:val="0"/>
            <w:vAlign w:val="top"/>
          </w:tcPr>
          <w:p w14:paraId="3D32898B">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r>
      <w:tr w14:paraId="24E9E095">
        <w:tblPrEx>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14:paraId="6B64651E">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4441" w:type="dxa"/>
            <w:tcBorders>
              <w:top w:val="single" w:color="auto" w:sz="4" w:space="0"/>
              <w:left w:val="nil"/>
              <w:bottom w:val="single" w:color="auto" w:sz="4" w:space="0"/>
              <w:right w:val="single" w:color="auto" w:sz="4" w:space="0"/>
            </w:tcBorders>
            <w:noWrap w:val="0"/>
            <w:vAlign w:val="center"/>
          </w:tcPr>
          <w:p w14:paraId="03F8AD07">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992" w:type="dxa"/>
            <w:tcBorders>
              <w:top w:val="single" w:color="auto" w:sz="4" w:space="0"/>
              <w:left w:val="nil"/>
              <w:bottom w:val="single" w:color="auto" w:sz="4" w:space="0"/>
              <w:right w:val="single" w:color="auto" w:sz="4" w:space="0"/>
            </w:tcBorders>
            <w:noWrap w:val="0"/>
            <w:vAlign w:val="center"/>
          </w:tcPr>
          <w:p w14:paraId="5C23A5BD">
            <w:pPr>
              <w:keepNext w:val="0"/>
              <w:keepLines w:val="0"/>
              <w:widowControl/>
              <w:suppressLineNumbers w:val="0"/>
              <w:adjustRightInd/>
              <w:jc w:val="center"/>
              <w:textAlignment w:val="center"/>
              <w:rPr>
                <w:rFonts w:hint="default" w:ascii="宋体" w:hAnsi="宋体" w:eastAsia="宋体" w:cs="宋体"/>
                <w:color w:val="auto"/>
                <w:spacing w:val="20"/>
                <w:kern w:val="0"/>
                <w:szCs w:val="21"/>
                <w:highlight w:val="none"/>
                <w:lang w:val="en-US" w:eastAsia="zh-CN"/>
              </w:rPr>
            </w:pPr>
          </w:p>
        </w:tc>
        <w:tc>
          <w:tcPr>
            <w:tcW w:w="1120" w:type="dxa"/>
            <w:tcBorders>
              <w:top w:val="single" w:color="auto" w:sz="4" w:space="0"/>
              <w:left w:val="nil"/>
              <w:bottom w:val="single" w:color="auto" w:sz="4" w:space="0"/>
              <w:right w:val="single" w:color="auto" w:sz="4" w:space="0"/>
            </w:tcBorders>
            <w:noWrap w:val="0"/>
            <w:vAlign w:val="top"/>
          </w:tcPr>
          <w:p w14:paraId="3685F5C0">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noWrap w:val="0"/>
            <w:vAlign w:val="top"/>
          </w:tcPr>
          <w:p w14:paraId="2E05B7A3">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r>
      <w:tr w14:paraId="03050BE5">
        <w:tblPrEx>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14:paraId="669D94E8">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4441" w:type="dxa"/>
            <w:tcBorders>
              <w:top w:val="single" w:color="auto" w:sz="4" w:space="0"/>
              <w:left w:val="nil"/>
              <w:bottom w:val="single" w:color="auto" w:sz="4" w:space="0"/>
              <w:right w:val="single" w:color="auto" w:sz="4" w:space="0"/>
            </w:tcBorders>
            <w:noWrap w:val="0"/>
            <w:vAlign w:val="center"/>
          </w:tcPr>
          <w:p w14:paraId="3991A7B2">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992" w:type="dxa"/>
            <w:tcBorders>
              <w:top w:val="single" w:color="auto" w:sz="4" w:space="0"/>
              <w:left w:val="nil"/>
              <w:bottom w:val="single" w:color="auto" w:sz="4" w:space="0"/>
              <w:right w:val="single" w:color="auto" w:sz="4" w:space="0"/>
            </w:tcBorders>
            <w:noWrap w:val="0"/>
            <w:vAlign w:val="center"/>
          </w:tcPr>
          <w:p w14:paraId="10A0BB53">
            <w:pPr>
              <w:keepNext w:val="0"/>
              <w:keepLines w:val="0"/>
              <w:widowControl/>
              <w:suppressLineNumbers w:val="0"/>
              <w:adjustRightInd/>
              <w:jc w:val="center"/>
              <w:textAlignment w:val="center"/>
              <w:rPr>
                <w:rFonts w:hint="default" w:ascii="宋体" w:hAnsi="宋体" w:eastAsia="宋体" w:cs="宋体"/>
                <w:color w:val="auto"/>
                <w:spacing w:val="20"/>
                <w:kern w:val="0"/>
                <w:szCs w:val="21"/>
                <w:highlight w:val="none"/>
                <w:lang w:val="en-US" w:eastAsia="zh-CN"/>
              </w:rPr>
            </w:pPr>
          </w:p>
        </w:tc>
        <w:tc>
          <w:tcPr>
            <w:tcW w:w="1120" w:type="dxa"/>
            <w:tcBorders>
              <w:top w:val="single" w:color="auto" w:sz="4" w:space="0"/>
              <w:left w:val="nil"/>
              <w:bottom w:val="single" w:color="auto" w:sz="4" w:space="0"/>
              <w:right w:val="single" w:color="auto" w:sz="4" w:space="0"/>
            </w:tcBorders>
            <w:noWrap w:val="0"/>
            <w:vAlign w:val="top"/>
          </w:tcPr>
          <w:p w14:paraId="7E6FD08A">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noWrap w:val="0"/>
            <w:vAlign w:val="top"/>
          </w:tcPr>
          <w:p w14:paraId="4F57C310">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r>
      <w:tr w14:paraId="5A9002D2">
        <w:tblPrEx>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14:paraId="33F81324">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4441" w:type="dxa"/>
            <w:tcBorders>
              <w:top w:val="single" w:color="auto" w:sz="4" w:space="0"/>
              <w:left w:val="nil"/>
              <w:bottom w:val="single" w:color="auto" w:sz="4" w:space="0"/>
              <w:right w:val="single" w:color="auto" w:sz="4" w:space="0"/>
            </w:tcBorders>
            <w:noWrap w:val="0"/>
            <w:vAlign w:val="center"/>
          </w:tcPr>
          <w:p w14:paraId="0250ED95">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992" w:type="dxa"/>
            <w:tcBorders>
              <w:top w:val="single" w:color="auto" w:sz="4" w:space="0"/>
              <w:left w:val="nil"/>
              <w:bottom w:val="single" w:color="auto" w:sz="4" w:space="0"/>
              <w:right w:val="single" w:color="auto" w:sz="4" w:space="0"/>
            </w:tcBorders>
            <w:noWrap w:val="0"/>
            <w:vAlign w:val="top"/>
          </w:tcPr>
          <w:p w14:paraId="70F1494E">
            <w:pPr>
              <w:widowControl/>
              <w:adjustRightInd/>
              <w:snapToGrid w:val="0"/>
              <w:spacing w:before="50" w:after="50" w:line="360" w:lineRule="auto"/>
              <w:jc w:val="center"/>
              <w:rPr>
                <w:rFonts w:hint="default" w:ascii="宋体" w:hAnsi="宋体" w:eastAsia="宋体" w:cs="宋体"/>
                <w:color w:val="auto"/>
                <w:spacing w:val="20"/>
                <w:kern w:val="0"/>
                <w:szCs w:val="21"/>
                <w:highlight w:val="none"/>
                <w:lang w:val="en-US" w:eastAsia="zh-CN"/>
              </w:rPr>
            </w:pPr>
          </w:p>
        </w:tc>
        <w:tc>
          <w:tcPr>
            <w:tcW w:w="1120" w:type="dxa"/>
            <w:tcBorders>
              <w:top w:val="single" w:color="auto" w:sz="4" w:space="0"/>
              <w:left w:val="nil"/>
              <w:bottom w:val="single" w:color="auto" w:sz="4" w:space="0"/>
              <w:right w:val="single" w:color="auto" w:sz="4" w:space="0"/>
            </w:tcBorders>
            <w:noWrap w:val="0"/>
            <w:vAlign w:val="top"/>
          </w:tcPr>
          <w:p w14:paraId="375FED61">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noWrap w:val="0"/>
            <w:vAlign w:val="top"/>
          </w:tcPr>
          <w:p w14:paraId="59A6A930">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r>
      <w:tr w14:paraId="6EDC310B">
        <w:tblPrEx>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14:paraId="71189933">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4441" w:type="dxa"/>
            <w:tcBorders>
              <w:top w:val="single" w:color="auto" w:sz="4" w:space="0"/>
              <w:left w:val="nil"/>
              <w:bottom w:val="single" w:color="auto" w:sz="4" w:space="0"/>
              <w:right w:val="single" w:color="auto" w:sz="4" w:space="0"/>
            </w:tcBorders>
            <w:noWrap w:val="0"/>
            <w:vAlign w:val="center"/>
          </w:tcPr>
          <w:p w14:paraId="634FA4BD">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992" w:type="dxa"/>
            <w:tcBorders>
              <w:top w:val="single" w:color="auto" w:sz="4" w:space="0"/>
              <w:left w:val="nil"/>
              <w:bottom w:val="single" w:color="auto" w:sz="4" w:space="0"/>
              <w:right w:val="single" w:color="auto" w:sz="4" w:space="0"/>
            </w:tcBorders>
            <w:noWrap w:val="0"/>
            <w:vAlign w:val="top"/>
          </w:tcPr>
          <w:p w14:paraId="33D02764">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c>
          <w:tcPr>
            <w:tcW w:w="1120" w:type="dxa"/>
            <w:tcBorders>
              <w:top w:val="single" w:color="auto" w:sz="4" w:space="0"/>
              <w:left w:val="nil"/>
              <w:bottom w:val="single" w:color="auto" w:sz="4" w:space="0"/>
              <w:right w:val="single" w:color="auto" w:sz="4" w:space="0"/>
            </w:tcBorders>
            <w:noWrap w:val="0"/>
            <w:vAlign w:val="top"/>
          </w:tcPr>
          <w:p w14:paraId="2A0A3D2D">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noWrap w:val="0"/>
            <w:vAlign w:val="top"/>
          </w:tcPr>
          <w:p w14:paraId="16B20599">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r>
      <w:tr w14:paraId="1A2C8AFC">
        <w:tblPrEx>
          <w:tblCellMar>
            <w:top w:w="0" w:type="dxa"/>
            <w:left w:w="108" w:type="dxa"/>
            <w:bottom w:w="0" w:type="dxa"/>
            <w:right w:w="108" w:type="dxa"/>
          </w:tblCellMar>
        </w:tblPrEx>
        <w:trPr>
          <w:trHeight w:val="369"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14:paraId="501E4BA6">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4441" w:type="dxa"/>
            <w:tcBorders>
              <w:top w:val="single" w:color="auto" w:sz="4" w:space="0"/>
              <w:left w:val="nil"/>
              <w:bottom w:val="single" w:color="auto" w:sz="4" w:space="0"/>
              <w:right w:val="single" w:color="auto" w:sz="4" w:space="0"/>
            </w:tcBorders>
            <w:noWrap w:val="0"/>
            <w:vAlign w:val="center"/>
          </w:tcPr>
          <w:p w14:paraId="3382E38C">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992" w:type="dxa"/>
            <w:tcBorders>
              <w:top w:val="single" w:color="auto" w:sz="4" w:space="0"/>
              <w:left w:val="nil"/>
              <w:bottom w:val="single" w:color="auto" w:sz="4" w:space="0"/>
              <w:right w:val="single" w:color="auto" w:sz="4" w:space="0"/>
            </w:tcBorders>
            <w:noWrap w:val="0"/>
            <w:vAlign w:val="top"/>
          </w:tcPr>
          <w:p w14:paraId="12F7782A">
            <w:pPr>
              <w:widowControl/>
              <w:adjustRightInd/>
              <w:snapToGrid w:val="0"/>
              <w:spacing w:before="50" w:after="50" w:line="360" w:lineRule="auto"/>
              <w:jc w:val="center"/>
              <w:rPr>
                <w:rFonts w:hint="default" w:ascii="宋体" w:hAnsi="宋体" w:eastAsia="宋体" w:cs="宋体"/>
                <w:color w:val="auto"/>
                <w:spacing w:val="20"/>
                <w:kern w:val="0"/>
                <w:szCs w:val="21"/>
                <w:highlight w:val="none"/>
                <w:lang w:val="en-US" w:eastAsia="zh-CN"/>
              </w:rPr>
            </w:pPr>
          </w:p>
        </w:tc>
        <w:tc>
          <w:tcPr>
            <w:tcW w:w="1120" w:type="dxa"/>
            <w:tcBorders>
              <w:top w:val="single" w:color="auto" w:sz="4" w:space="0"/>
              <w:left w:val="nil"/>
              <w:bottom w:val="single" w:color="auto" w:sz="4" w:space="0"/>
              <w:right w:val="single" w:color="auto" w:sz="4" w:space="0"/>
            </w:tcBorders>
            <w:noWrap w:val="0"/>
            <w:vAlign w:val="top"/>
          </w:tcPr>
          <w:p w14:paraId="73AE1AEF">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noWrap w:val="0"/>
            <w:vAlign w:val="top"/>
          </w:tcPr>
          <w:p w14:paraId="22B24BA4">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r>
      <w:tr w14:paraId="2CCAF9EF">
        <w:tblPrEx>
          <w:tblCellMar>
            <w:top w:w="0" w:type="dxa"/>
            <w:left w:w="108" w:type="dxa"/>
            <w:bottom w:w="0" w:type="dxa"/>
            <w:right w:w="108" w:type="dxa"/>
          </w:tblCellMar>
        </w:tblPrEx>
        <w:trPr>
          <w:trHeight w:val="369"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14:paraId="082F656F">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4441" w:type="dxa"/>
            <w:tcBorders>
              <w:top w:val="single" w:color="auto" w:sz="4" w:space="0"/>
              <w:left w:val="nil"/>
              <w:bottom w:val="single" w:color="auto" w:sz="4" w:space="0"/>
              <w:right w:val="single" w:color="auto" w:sz="4" w:space="0"/>
            </w:tcBorders>
            <w:noWrap w:val="0"/>
            <w:vAlign w:val="center"/>
          </w:tcPr>
          <w:p w14:paraId="6F7417E0">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992" w:type="dxa"/>
            <w:tcBorders>
              <w:top w:val="single" w:color="auto" w:sz="4" w:space="0"/>
              <w:left w:val="nil"/>
              <w:bottom w:val="single" w:color="auto" w:sz="4" w:space="0"/>
              <w:right w:val="single" w:color="auto" w:sz="4" w:space="0"/>
            </w:tcBorders>
            <w:noWrap w:val="0"/>
            <w:vAlign w:val="top"/>
          </w:tcPr>
          <w:p w14:paraId="612415DE">
            <w:pPr>
              <w:widowControl/>
              <w:adjustRightInd/>
              <w:snapToGrid w:val="0"/>
              <w:spacing w:before="50" w:after="50" w:line="360" w:lineRule="auto"/>
              <w:jc w:val="center"/>
              <w:rPr>
                <w:rFonts w:hint="default" w:ascii="宋体" w:hAnsi="宋体" w:eastAsia="宋体" w:cs="宋体"/>
                <w:color w:val="auto"/>
                <w:spacing w:val="20"/>
                <w:kern w:val="0"/>
                <w:szCs w:val="21"/>
                <w:highlight w:val="none"/>
                <w:lang w:val="en-US" w:eastAsia="zh-CN"/>
              </w:rPr>
            </w:pPr>
          </w:p>
        </w:tc>
        <w:tc>
          <w:tcPr>
            <w:tcW w:w="1120" w:type="dxa"/>
            <w:tcBorders>
              <w:top w:val="single" w:color="auto" w:sz="4" w:space="0"/>
              <w:left w:val="nil"/>
              <w:bottom w:val="single" w:color="auto" w:sz="4" w:space="0"/>
              <w:right w:val="single" w:color="auto" w:sz="4" w:space="0"/>
            </w:tcBorders>
            <w:noWrap w:val="0"/>
            <w:vAlign w:val="top"/>
          </w:tcPr>
          <w:p w14:paraId="01D1DE06">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noWrap w:val="0"/>
            <w:vAlign w:val="top"/>
          </w:tcPr>
          <w:p w14:paraId="03CE7E79">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r>
      <w:tr w14:paraId="4934146E">
        <w:tblPrEx>
          <w:tblCellMar>
            <w:top w:w="0" w:type="dxa"/>
            <w:left w:w="108" w:type="dxa"/>
            <w:bottom w:w="0" w:type="dxa"/>
            <w:right w:w="108" w:type="dxa"/>
          </w:tblCellMar>
        </w:tblPrEx>
        <w:trPr>
          <w:trHeight w:val="369"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14:paraId="33C1F7A5">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4441" w:type="dxa"/>
            <w:tcBorders>
              <w:top w:val="single" w:color="auto" w:sz="4" w:space="0"/>
              <w:left w:val="nil"/>
              <w:bottom w:val="single" w:color="auto" w:sz="4" w:space="0"/>
              <w:right w:val="single" w:color="auto" w:sz="4" w:space="0"/>
            </w:tcBorders>
            <w:noWrap w:val="0"/>
            <w:vAlign w:val="center"/>
          </w:tcPr>
          <w:p w14:paraId="6AC6A6E7">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992" w:type="dxa"/>
            <w:tcBorders>
              <w:top w:val="single" w:color="auto" w:sz="4" w:space="0"/>
              <w:left w:val="nil"/>
              <w:bottom w:val="single" w:color="auto" w:sz="4" w:space="0"/>
              <w:right w:val="single" w:color="auto" w:sz="4" w:space="0"/>
            </w:tcBorders>
            <w:noWrap w:val="0"/>
            <w:vAlign w:val="top"/>
          </w:tcPr>
          <w:p w14:paraId="37141981">
            <w:pPr>
              <w:widowControl/>
              <w:adjustRightInd/>
              <w:snapToGrid w:val="0"/>
              <w:spacing w:before="50" w:after="50" w:line="360" w:lineRule="auto"/>
              <w:jc w:val="center"/>
              <w:rPr>
                <w:rFonts w:hint="default" w:ascii="宋体" w:hAnsi="宋体" w:eastAsia="宋体" w:cs="宋体"/>
                <w:color w:val="auto"/>
                <w:spacing w:val="20"/>
                <w:kern w:val="0"/>
                <w:szCs w:val="21"/>
                <w:highlight w:val="none"/>
                <w:lang w:val="en-US" w:eastAsia="zh-CN"/>
              </w:rPr>
            </w:pPr>
          </w:p>
        </w:tc>
        <w:tc>
          <w:tcPr>
            <w:tcW w:w="1120" w:type="dxa"/>
            <w:tcBorders>
              <w:top w:val="single" w:color="auto" w:sz="4" w:space="0"/>
              <w:left w:val="nil"/>
              <w:bottom w:val="single" w:color="auto" w:sz="4" w:space="0"/>
              <w:right w:val="single" w:color="auto" w:sz="4" w:space="0"/>
            </w:tcBorders>
            <w:noWrap w:val="0"/>
            <w:vAlign w:val="top"/>
          </w:tcPr>
          <w:p w14:paraId="56FB4001">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noWrap w:val="0"/>
            <w:vAlign w:val="top"/>
          </w:tcPr>
          <w:p w14:paraId="4570C58F">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r>
      <w:tr w14:paraId="69130CD6">
        <w:tblPrEx>
          <w:tblCellMar>
            <w:top w:w="0" w:type="dxa"/>
            <w:left w:w="108" w:type="dxa"/>
            <w:bottom w:w="0" w:type="dxa"/>
            <w:right w:w="108" w:type="dxa"/>
          </w:tblCellMar>
        </w:tblPrEx>
        <w:trPr>
          <w:trHeight w:val="369"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14:paraId="24EEAD55">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4441" w:type="dxa"/>
            <w:tcBorders>
              <w:top w:val="single" w:color="auto" w:sz="4" w:space="0"/>
              <w:left w:val="nil"/>
              <w:bottom w:val="single" w:color="auto" w:sz="4" w:space="0"/>
              <w:right w:val="single" w:color="auto" w:sz="4" w:space="0"/>
            </w:tcBorders>
            <w:noWrap w:val="0"/>
            <w:vAlign w:val="center"/>
          </w:tcPr>
          <w:p w14:paraId="0EE33C3E">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992" w:type="dxa"/>
            <w:tcBorders>
              <w:top w:val="single" w:color="auto" w:sz="4" w:space="0"/>
              <w:left w:val="nil"/>
              <w:bottom w:val="single" w:color="auto" w:sz="4" w:space="0"/>
              <w:right w:val="single" w:color="auto" w:sz="4" w:space="0"/>
            </w:tcBorders>
            <w:noWrap w:val="0"/>
            <w:vAlign w:val="top"/>
          </w:tcPr>
          <w:p w14:paraId="733B2E4B">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c>
          <w:tcPr>
            <w:tcW w:w="1120" w:type="dxa"/>
            <w:tcBorders>
              <w:top w:val="single" w:color="auto" w:sz="4" w:space="0"/>
              <w:left w:val="nil"/>
              <w:bottom w:val="single" w:color="auto" w:sz="4" w:space="0"/>
              <w:right w:val="single" w:color="auto" w:sz="4" w:space="0"/>
            </w:tcBorders>
            <w:noWrap w:val="0"/>
            <w:vAlign w:val="top"/>
          </w:tcPr>
          <w:p w14:paraId="1A98FA44">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noWrap w:val="0"/>
            <w:vAlign w:val="top"/>
          </w:tcPr>
          <w:p w14:paraId="59F85BC9">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r>
      <w:tr w14:paraId="5A2368FE">
        <w:tblPrEx>
          <w:tblCellMar>
            <w:top w:w="0" w:type="dxa"/>
            <w:left w:w="108" w:type="dxa"/>
            <w:bottom w:w="0" w:type="dxa"/>
            <w:right w:w="108" w:type="dxa"/>
          </w:tblCellMar>
        </w:tblPrEx>
        <w:trPr>
          <w:trHeight w:val="369"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14:paraId="216CB036">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4441" w:type="dxa"/>
            <w:tcBorders>
              <w:top w:val="single" w:color="auto" w:sz="4" w:space="0"/>
              <w:left w:val="nil"/>
              <w:bottom w:val="single" w:color="auto" w:sz="4" w:space="0"/>
              <w:right w:val="single" w:color="auto" w:sz="4" w:space="0"/>
            </w:tcBorders>
            <w:noWrap w:val="0"/>
            <w:vAlign w:val="center"/>
          </w:tcPr>
          <w:p w14:paraId="15A1DB89">
            <w:pPr>
              <w:keepNext w:val="0"/>
              <w:keepLines w:val="0"/>
              <w:widowControl/>
              <w:suppressLineNumbers w:val="0"/>
              <w:adjustRightInd/>
              <w:jc w:val="center"/>
              <w:textAlignment w:val="center"/>
              <w:rPr>
                <w:rFonts w:hint="eastAsia" w:ascii="宋体" w:hAnsi="宋体" w:eastAsia="宋体" w:cs="宋体"/>
                <w:color w:val="auto"/>
                <w:spacing w:val="20"/>
                <w:kern w:val="0"/>
                <w:szCs w:val="21"/>
                <w:highlight w:val="none"/>
                <w:lang w:bidi="ar"/>
              </w:rPr>
            </w:pPr>
          </w:p>
        </w:tc>
        <w:tc>
          <w:tcPr>
            <w:tcW w:w="992" w:type="dxa"/>
            <w:tcBorders>
              <w:top w:val="single" w:color="auto" w:sz="4" w:space="0"/>
              <w:left w:val="nil"/>
              <w:bottom w:val="single" w:color="auto" w:sz="4" w:space="0"/>
              <w:right w:val="single" w:color="auto" w:sz="4" w:space="0"/>
            </w:tcBorders>
            <w:noWrap w:val="0"/>
            <w:vAlign w:val="top"/>
          </w:tcPr>
          <w:p w14:paraId="074B1A47">
            <w:pPr>
              <w:widowControl/>
              <w:adjustRightInd/>
              <w:snapToGrid w:val="0"/>
              <w:spacing w:before="50" w:after="50" w:line="360" w:lineRule="auto"/>
              <w:jc w:val="center"/>
              <w:rPr>
                <w:rFonts w:hint="default" w:ascii="宋体" w:hAnsi="宋体" w:eastAsia="宋体" w:cs="宋体"/>
                <w:color w:val="auto"/>
                <w:spacing w:val="20"/>
                <w:kern w:val="0"/>
                <w:szCs w:val="21"/>
                <w:highlight w:val="none"/>
                <w:lang w:val="en-US" w:eastAsia="zh-CN"/>
              </w:rPr>
            </w:pPr>
          </w:p>
        </w:tc>
        <w:tc>
          <w:tcPr>
            <w:tcW w:w="1120" w:type="dxa"/>
            <w:tcBorders>
              <w:top w:val="single" w:color="auto" w:sz="4" w:space="0"/>
              <w:left w:val="nil"/>
              <w:bottom w:val="single" w:color="auto" w:sz="4" w:space="0"/>
              <w:right w:val="single" w:color="auto" w:sz="4" w:space="0"/>
            </w:tcBorders>
            <w:noWrap w:val="0"/>
            <w:vAlign w:val="top"/>
          </w:tcPr>
          <w:p w14:paraId="20513B86">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c>
          <w:tcPr>
            <w:tcW w:w="1351" w:type="dxa"/>
            <w:tcBorders>
              <w:top w:val="single" w:color="auto" w:sz="4" w:space="0"/>
              <w:left w:val="nil"/>
              <w:bottom w:val="single" w:color="auto" w:sz="4" w:space="0"/>
              <w:right w:val="single" w:color="auto" w:sz="4" w:space="0"/>
            </w:tcBorders>
            <w:noWrap w:val="0"/>
            <w:vAlign w:val="top"/>
          </w:tcPr>
          <w:p w14:paraId="260E2278">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r>
      <w:tr w14:paraId="2CE1ACDA">
        <w:tblPrEx>
          <w:tblCellMar>
            <w:top w:w="0" w:type="dxa"/>
            <w:left w:w="108" w:type="dxa"/>
            <w:bottom w:w="0" w:type="dxa"/>
            <w:right w:w="108" w:type="dxa"/>
          </w:tblCellMar>
        </w:tblPrEx>
        <w:trPr>
          <w:trHeight w:val="369"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14:paraId="7866237F">
            <w:pPr>
              <w:keepNext w:val="0"/>
              <w:keepLines w:val="0"/>
              <w:widowControl/>
              <w:suppressLineNumbers w:val="0"/>
              <w:adjustRightInd/>
              <w:jc w:val="center"/>
              <w:textAlignment w:val="center"/>
              <w:rPr>
                <w:rFonts w:hint="default" w:ascii="宋体" w:hAnsi="宋体" w:eastAsia="宋体" w:cs="宋体"/>
                <w:i w:val="0"/>
                <w:color w:val="auto"/>
                <w:kern w:val="0"/>
                <w:sz w:val="21"/>
                <w:szCs w:val="21"/>
                <w:highlight w:val="none"/>
                <w:u w:val="none"/>
                <w:lang w:val="en-US" w:eastAsia="zh-CN" w:bidi="ar"/>
              </w:rPr>
            </w:pPr>
          </w:p>
        </w:tc>
        <w:tc>
          <w:tcPr>
            <w:tcW w:w="4441" w:type="dxa"/>
            <w:tcBorders>
              <w:top w:val="single" w:color="auto" w:sz="4" w:space="0"/>
              <w:left w:val="nil"/>
              <w:bottom w:val="single" w:color="auto" w:sz="4" w:space="0"/>
              <w:right w:val="single" w:color="auto" w:sz="4" w:space="0"/>
            </w:tcBorders>
            <w:noWrap w:val="0"/>
            <w:vAlign w:val="center"/>
          </w:tcPr>
          <w:p w14:paraId="1A5211B5">
            <w:pPr>
              <w:keepNext w:val="0"/>
              <w:keepLines w:val="0"/>
              <w:widowControl/>
              <w:suppressLineNumbers w:val="0"/>
              <w:adjustRightInd/>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992" w:type="dxa"/>
            <w:tcBorders>
              <w:top w:val="single" w:color="auto" w:sz="4" w:space="0"/>
              <w:left w:val="nil"/>
              <w:bottom w:val="single" w:color="auto" w:sz="4" w:space="0"/>
              <w:right w:val="single" w:color="auto" w:sz="4" w:space="0"/>
            </w:tcBorders>
            <w:noWrap w:val="0"/>
            <w:vAlign w:val="top"/>
          </w:tcPr>
          <w:p w14:paraId="26D50D9B">
            <w:pPr>
              <w:widowControl/>
              <w:adjustRightInd/>
              <w:snapToGrid w:val="0"/>
              <w:spacing w:before="50" w:after="50" w:line="360" w:lineRule="auto"/>
              <w:jc w:val="center"/>
              <w:rPr>
                <w:rFonts w:hint="eastAsia" w:ascii="宋体" w:hAnsi="宋体" w:eastAsia="宋体" w:cs="宋体"/>
                <w:color w:val="auto"/>
                <w:spacing w:val="20"/>
                <w:kern w:val="0"/>
                <w:sz w:val="21"/>
                <w:szCs w:val="21"/>
                <w:highlight w:val="none"/>
                <w:lang w:val="en-US" w:eastAsia="zh-CN" w:bidi="ar-SA"/>
              </w:rPr>
            </w:pPr>
          </w:p>
        </w:tc>
        <w:tc>
          <w:tcPr>
            <w:tcW w:w="1120" w:type="dxa"/>
            <w:tcBorders>
              <w:top w:val="single" w:color="auto" w:sz="4" w:space="0"/>
              <w:left w:val="nil"/>
              <w:bottom w:val="single" w:color="auto" w:sz="4" w:space="0"/>
              <w:right w:val="single" w:color="auto" w:sz="4" w:space="0"/>
            </w:tcBorders>
            <w:noWrap w:val="0"/>
            <w:vAlign w:val="top"/>
          </w:tcPr>
          <w:p w14:paraId="4055657E">
            <w:pPr>
              <w:widowControl/>
              <w:adjustRightInd/>
              <w:snapToGrid w:val="0"/>
              <w:spacing w:before="50" w:after="50" w:line="360" w:lineRule="auto"/>
              <w:jc w:val="center"/>
              <w:rPr>
                <w:rFonts w:hint="eastAsia" w:ascii="宋体" w:hAnsi="宋体" w:eastAsia="宋体" w:cs="宋体"/>
                <w:color w:val="auto"/>
                <w:spacing w:val="20"/>
                <w:kern w:val="0"/>
                <w:sz w:val="21"/>
                <w:szCs w:val="21"/>
                <w:highlight w:val="none"/>
                <w:lang w:val="en-US" w:eastAsia="zh-CN" w:bidi="ar-SA"/>
              </w:rPr>
            </w:pPr>
          </w:p>
        </w:tc>
        <w:tc>
          <w:tcPr>
            <w:tcW w:w="1351" w:type="dxa"/>
            <w:tcBorders>
              <w:top w:val="single" w:color="auto" w:sz="4" w:space="0"/>
              <w:left w:val="nil"/>
              <w:bottom w:val="single" w:color="auto" w:sz="4" w:space="0"/>
              <w:right w:val="single" w:color="auto" w:sz="4" w:space="0"/>
            </w:tcBorders>
            <w:noWrap w:val="0"/>
            <w:vAlign w:val="top"/>
          </w:tcPr>
          <w:p w14:paraId="79C409B5">
            <w:pPr>
              <w:widowControl/>
              <w:adjustRightInd/>
              <w:snapToGrid w:val="0"/>
              <w:spacing w:before="50" w:after="50" w:line="360" w:lineRule="auto"/>
              <w:jc w:val="center"/>
              <w:rPr>
                <w:rFonts w:hint="eastAsia" w:ascii="宋体" w:hAnsi="宋体" w:eastAsia="宋体" w:cs="宋体"/>
                <w:color w:val="auto"/>
                <w:spacing w:val="20"/>
                <w:kern w:val="0"/>
                <w:sz w:val="21"/>
                <w:szCs w:val="21"/>
                <w:highlight w:val="none"/>
                <w:lang w:val="en-US" w:eastAsia="zh-CN" w:bidi="ar-SA"/>
              </w:rPr>
            </w:pPr>
          </w:p>
        </w:tc>
      </w:tr>
      <w:tr w14:paraId="7ACDA341">
        <w:tblPrEx>
          <w:tblCellMar>
            <w:top w:w="0" w:type="dxa"/>
            <w:left w:w="108" w:type="dxa"/>
            <w:bottom w:w="0" w:type="dxa"/>
            <w:right w:w="108" w:type="dxa"/>
          </w:tblCellMar>
        </w:tblPrEx>
        <w:trPr>
          <w:jc w:val="center"/>
        </w:trPr>
        <w:tc>
          <w:tcPr>
            <w:tcW w:w="5331" w:type="dxa"/>
            <w:gridSpan w:val="2"/>
            <w:tcBorders>
              <w:top w:val="single" w:color="auto" w:sz="4" w:space="0"/>
              <w:left w:val="single" w:color="auto" w:sz="4" w:space="0"/>
              <w:bottom w:val="single" w:color="auto" w:sz="4" w:space="0"/>
              <w:right w:val="single" w:color="auto" w:sz="4" w:space="0"/>
            </w:tcBorders>
            <w:noWrap w:val="0"/>
            <w:vAlign w:val="center"/>
          </w:tcPr>
          <w:p w14:paraId="46E2C69D">
            <w:pPr>
              <w:widowControl/>
              <w:adjustRightInd/>
              <w:jc w:val="center"/>
              <w:textAlignment w:val="center"/>
              <w:rPr>
                <w:rFonts w:hint="eastAsia" w:ascii="宋体" w:hAnsi="宋体" w:eastAsia="宋体" w:cs="Times New Roman"/>
                <w:b/>
                <w:bCs w:val="0"/>
                <w:color w:val="auto"/>
                <w:kern w:val="0"/>
                <w:szCs w:val="21"/>
                <w:highlight w:val="none"/>
                <w:lang w:val="en-US" w:eastAsia="zh-CN"/>
              </w:rPr>
            </w:pPr>
            <w:r>
              <w:rPr>
                <w:rFonts w:hint="eastAsia" w:ascii="宋体" w:hAnsi="宋体" w:eastAsia="宋体" w:cs="Times New Roman"/>
                <w:b/>
                <w:bCs w:val="0"/>
                <w:color w:val="auto"/>
                <w:kern w:val="0"/>
                <w:szCs w:val="21"/>
                <w:highlight w:val="none"/>
                <w:lang w:val="en-US" w:eastAsia="zh-CN"/>
              </w:rPr>
              <w:t>投标</w:t>
            </w:r>
            <w:r>
              <w:rPr>
                <w:rFonts w:hint="eastAsia" w:ascii="宋体" w:hAnsi="宋体" w:cs="Times New Roman"/>
                <w:b/>
                <w:bCs w:val="0"/>
                <w:color w:val="auto"/>
                <w:kern w:val="0"/>
                <w:szCs w:val="21"/>
                <w:highlight w:val="none"/>
                <w:lang w:val="en-US" w:eastAsia="zh-CN"/>
              </w:rPr>
              <w:t>报</w:t>
            </w:r>
            <w:r>
              <w:rPr>
                <w:rFonts w:hint="eastAsia" w:ascii="宋体" w:hAnsi="宋体" w:eastAsia="宋体" w:cs="Times New Roman"/>
                <w:b/>
                <w:bCs w:val="0"/>
                <w:color w:val="auto"/>
                <w:kern w:val="0"/>
                <w:szCs w:val="21"/>
                <w:highlight w:val="none"/>
                <w:lang w:val="en-US" w:eastAsia="zh-CN"/>
              </w:rPr>
              <w:t>价</w:t>
            </w:r>
            <w:r>
              <w:rPr>
                <w:rFonts w:hint="eastAsia" w:ascii="宋体" w:hAnsi="宋体" w:cs="Times New Roman"/>
                <w:b/>
                <w:bCs w:val="0"/>
                <w:color w:val="auto"/>
                <w:kern w:val="0"/>
                <w:szCs w:val="21"/>
                <w:highlight w:val="none"/>
                <w:lang w:val="en-US" w:eastAsia="zh-CN"/>
              </w:rPr>
              <w:t>（元/年）</w:t>
            </w:r>
          </w:p>
        </w:tc>
        <w:tc>
          <w:tcPr>
            <w:tcW w:w="3463" w:type="dxa"/>
            <w:gridSpan w:val="3"/>
            <w:tcBorders>
              <w:top w:val="single" w:color="auto" w:sz="4" w:space="0"/>
              <w:left w:val="single" w:color="auto" w:sz="4" w:space="0"/>
              <w:bottom w:val="single" w:color="auto" w:sz="4" w:space="0"/>
              <w:right w:val="single" w:color="auto" w:sz="4" w:space="0"/>
            </w:tcBorders>
            <w:noWrap w:val="0"/>
            <w:vAlign w:val="top"/>
          </w:tcPr>
          <w:p w14:paraId="6594D612">
            <w:pPr>
              <w:widowControl/>
              <w:adjustRightInd/>
              <w:snapToGrid w:val="0"/>
              <w:spacing w:before="50" w:after="50" w:line="360" w:lineRule="auto"/>
              <w:jc w:val="center"/>
              <w:rPr>
                <w:rFonts w:hint="eastAsia" w:ascii="宋体" w:hAnsi="宋体" w:eastAsia="宋体" w:cs="宋体"/>
                <w:color w:val="auto"/>
                <w:spacing w:val="20"/>
                <w:kern w:val="0"/>
                <w:szCs w:val="21"/>
                <w:highlight w:val="none"/>
              </w:rPr>
            </w:pPr>
          </w:p>
        </w:tc>
      </w:tr>
    </w:tbl>
    <w:p w14:paraId="29150DEB">
      <w:pPr>
        <w:widowControl/>
        <w:adjustRightInd/>
        <w:ind w:left="420" w:leftChars="200"/>
        <w:jc w:val="left"/>
        <w:rPr>
          <w:rFonts w:hint="eastAsia" w:ascii="Times New Roman" w:hAnsi="宋体" w:eastAsia="宋体" w:cs="宋体"/>
          <w:color w:val="auto"/>
          <w:kern w:val="0"/>
          <w:szCs w:val="20"/>
          <w:highlight w:val="none"/>
        </w:rPr>
      </w:pPr>
      <w:r>
        <w:rPr>
          <w:rFonts w:hint="eastAsia" w:ascii="Times New Roman" w:hAnsi="宋体" w:eastAsia="宋体" w:cs="宋体"/>
          <w:color w:val="auto"/>
          <w:kern w:val="0"/>
          <w:szCs w:val="20"/>
          <w:highlight w:val="none"/>
        </w:rPr>
        <w:t>备注：1）本表格供参考，供应商可根据项目实际情况自拟表格。</w:t>
      </w:r>
    </w:p>
    <w:p w14:paraId="3BD5919B">
      <w:pPr>
        <w:keepNext w:val="0"/>
        <w:pageBreakBefore w:val="0"/>
        <w:widowControl w:val="0"/>
        <w:adjustRightInd w:val="0"/>
        <w:snapToGrid w:val="0"/>
        <w:spacing w:before="120" w:after="120" w:line="360" w:lineRule="auto"/>
        <w:ind w:firstLine="643"/>
        <w:jc w:val="left"/>
        <w:outlineLvl w:val="9"/>
        <w:rPr>
          <w:rFonts w:hint="eastAsia" w:ascii="Times New Roman" w:hAnsi="宋体" w:eastAsia="宋体" w:cs="宋体"/>
          <w:color w:val="auto"/>
          <w:sz w:val="21"/>
          <w:highlight w:val="none"/>
          <w:lang w:val="en-US" w:eastAsia="zh-CN" w:bidi="ar-SA"/>
        </w:rPr>
      </w:pPr>
      <w:r>
        <w:rPr>
          <w:rFonts w:hint="eastAsia" w:ascii="Times New Roman" w:hAnsi="宋体" w:eastAsia="宋体" w:cs="宋体"/>
          <w:color w:val="auto"/>
          <w:sz w:val="21"/>
          <w:highlight w:val="none"/>
          <w:lang w:val="en-US" w:eastAsia="zh-CN" w:bidi="ar-SA"/>
        </w:rPr>
        <w:t xml:space="preserve">供应商名称（电子签名）：                          </w:t>
      </w:r>
    </w:p>
    <w:p w14:paraId="38B51067">
      <w:pPr>
        <w:keepNext w:val="0"/>
        <w:pageBreakBefore w:val="0"/>
        <w:widowControl w:val="0"/>
        <w:adjustRightInd w:val="0"/>
        <w:snapToGrid w:val="0"/>
        <w:spacing w:before="120" w:after="120" w:line="360" w:lineRule="auto"/>
        <w:ind w:firstLine="643"/>
        <w:jc w:val="left"/>
        <w:outlineLvl w:val="9"/>
        <w:rPr>
          <w:rFonts w:hint="default" w:ascii="宋体" w:hAnsi="宋体" w:eastAsia="宋体" w:cs="宋体"/>
          <w:b/>
          <w:color w:val="auto"/>
          <w:kern w:val="2"/>
          <w:sz w:val="32"/>
          <w:szCs w:val="32"/>
          <w:highlight w:val="none"/>
          <w:lang w:val="en-US" w:eastAsia="zh-CN" w:bidi="ar-SA"/>
        </w:rPr>
        <w:sectPr>
          <w:headerReference r:id="rId30" w:type="first"/>
          <w:footerReference r:id="rId33" w:type="first"/>
          <w:headerReference r:id="rId29" w:type="default"/>
          <w:footerReference r:id="rId31" w:type="default"/>
          <w:footerReference r:id="rId32" w:type="even"/>
          <w:pgSz w:w="11906" w:h="16838"/>
          <w:pgMar w:top="1276" w:right="1418" w:bottom="1247" w:left="1418" w:header="851" w:footer="992" w:gutter="0"/>
          <w:pgNumType w:fmt="decimal"/>
          <w:cols w:space="720" w:num="1"/>
          <w:titlePg/>
          <w:docGrid w:linePitch="312" w:charSpace="0"/>
        </w:sectPr>
      </w:pPr>
      <w:r>
        <w:rPr>
          <w:rFonts w:hint="eastAsia" w:ascii="Times New Roman" w:hAnsi="宋体" w:eastAsia="宋体" w:cs="宋体"/>
          <w:color w:val="auto"/>
          <w:sz w:val="21"/>
          <w:highlight w:val="none"/>
          <w:lang w:val="en-US" w:eastAsia="zh-CN" w:bidi="ar-SA"/>
        </w:rPr>
        <w:t xml:space="preserve">     日期：  年   月   日</w:t>
      </w:r>
    </w:p>
    <w:p w14:paraId="17BAF2C8">
      <w:pPr>
        <w:keepNext w:val="0"/>
        <w:pageBreakBefore w:val="0"/>
        <w:widowControl w:val="0"/>
        <w:adjustRightInd w:val="0"/>
        <w:snapToGrid w:val="0"/>
        <w:spacing w:before="120" w:after="120" w:line="360" w:lineRule="auto"/>
        <w:ind w:firstLine="643"/>
        <w:jc w:val="center"/>
        <w:outlineLvl w:val="9"/>
        <w:rPr>
          <w:rFonts w:ascii="宋体" w:hAnsi="宋体" w:eastAsia="宋体" w:cs="宋体"/>
          <w:b/>
          <w:color w:val="auto"/>
          <w:kern w:val="44"/>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三</w:t>
      </w:r>
      <w:r>
        <w:rPr>
          <w:rFonts w:hint="eastAsia" w:ascii="宋体" w:hAnsi="宋体" w:eastAsia="宋体" w:cs="宋体"/>
          <w:b/>
          <w:color w:val="auto"/>
          <w:kern w:val="2"/>
          <w:sz w:val="32"/>
          <w:szCs w:val="32"/>
          <w:highlight w:val="none"/>
          <w:lang w:val="en-US" w:eastAsia="zh-CN" w:bidi="ar-SA"/>
        </w:rPr>
        <w:t>、</w:t>
      </w:r>
      <w:r>
        <w:rPr>
          <w:rFonts w:hint="eastAsia" w:ascii="宋体" w:hAnsi="宋体" w:eastAsia="宋体" w:cs="宋体"/>
          <w:b/>
          <w:color w:val="auto"/>
          <w:kern w:val="44"/>
          <w:sz w:val="32"/>
          <w:szCs w:val="32"/>
          <w:highlight w:val="none"/>
          <w:lang w:val="en-US" w:eastAsia="zh-CN" w:bidi="ar-SA"/>
        </w:rPr>
        <w:t>中小企业声明函（如果有）</w:t>
      </w:r>
    </w:p>
    <w:p w14:paraId="19B269C7">
      <w:pPr>
        <w:widowControl/>
        <w:spacing w:line="360" w:lineRule="auto"/>
        <w:ind w:firstLine="120" w:firstLineChars="50"/>
        <w:jc w:val="left"/>
        <w:rPr>
          <w:rFonts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宋体" w:hAnsi="宋体" w:cs="宋体"/>
          <w:b/>
          <w:color w:val="auto"/>
          <w:sz w:val="24"/>
          <w:highlight w:val="none"/>
          <w:lang w:eastAsia="zh-CN"/>
        </w:rPr>
        <w:t>附件6</w:t>
      </w:r>
      <w:r>
        <w:rPr>
          <w:rFonts w:hint="eastAsia" w:ascii="宋体" w:hAnsi="宋体" w:eastAsia="宋体" w:cs="宋体"/>
          <w:b/>
          <w:color w:val="auto"/>
          <w:sz w:val="24"/>
          <w:highlight w:val="none"/>
        </w:rPr>
        <w:t>）。]</w:t>
      </w:r>
    </w:p>
    <w:p w14:paraId="0D74D076">
      <w:pPr>
        <w:keepNext w:val="0"/>
        <w:pageBreakBefore w:val="0"/>
        <w:widowControl w:val="0"/>
        <w:adjustRightInd w:val="0"/>
        <w:snapToGrid w:val="0"/>
        <w:spacing w:before="120" w:after="120" w:line="360" w:lineRule="auto"/>
        <w:ind w:firstLine="643"/>
        <w:jc w:val="center"/>
        <w:outlineLvl w:val="9"/>
        <w:rPr>
          <w:rFonts w:ascii="宋体" w:hAnsi="宋体" w:eastAsia="宋体" w:cs="宋体"/>
          <w:b w:val="0"/>
          <w:color w:val="auto"/>
          <w:kern w:val="44"/>
          <w:sz w:val="32"/>
          <w:szCs w:val="32"/>
          <w:highlight w:val="none"/>
          <w:lang w:val="en-US" w:eastAsia="zh-CN" w:bidi="ar-SA"/>
        </w:rPr>
      </w:pPr>
    </w:p>
    <w:p w14:paraId="4D7EFC91">
      <w:pPr>
        <w:spacing w:line="360" w:lineRule="auto"/>
        <w:ind w:right="420" w:firstLine="3614" w:firstLineChars="1000"/>
        <w:rPr>
          <w:rFonts w:ascii="宋体" w:hAnsi="宋体" w:eastAsia="宋体" w:cs="宋体"/>
          <w:b/>
          <w:color w:val="auto"/>
          <w:kern w:val="0"/>
          <w:sz w:val="36"/>
          <w:szCs w:val="36"/>
          <w:highlight w:val="none"/>
        </w:rPr>
      </w:pPr>
    </w:p>
    <w:p w14:paraId="234477D9">
      <w:pPr>
        <w:spacing w:line="360" w:lineRule="auto"/>
        <w:ind w:right="420" w:firstLine="3614" w:firstLineChars="1000"/>
        <w:rPr>
          <w:rFonts w:ascii="宋体" w:hAnsi="宋体" w:eastAsia="宋体" w:cs="宋体"/>
          <w:b/>
          <w:color w:val="auto"/>
          <w:kern w:val="0"/>
          <w:sz w:val="36"/>
          <w:szCs w:val="36"/>
          <w:highlight w:val="none"/>
        </w:rPr>
      </w:pPr>
    </w:p>
    <w:p w14:paraId="65E93A97">
      <w:pPr>
        <w:spacing w:line="360" w:lineRule="auto"/>
        <w:ind w:right="420" w:firstLine="3614" w:firstLineChars="1000"/>
        <w:rPr>
          <w:rFonts w:ascii="宋体" w:hAnsi="宋体" w:eastAsia="宋体" w:cs="宋体"/>
          <w:b/>
          <w:color w:val="auto"/>
          <w:kern w:val="0"/>
          <w:sz w:val="36"/>
          <w:szCs w:val="36"/>
          <w:highlight w:val="none"/>
        </w:rPr>
      </w:pPr>
    </w:p>
    <w:p w14:paraId="4A40B1B2">
      <w:pPr>
        <w:spacing w:line="360" w:lineRule="auto"/>
        <w:ind w:right="420" w:firstLine="3614" w:firstLineChars="1000"/>
        <w:rPr>
          <w:rFonts w:ascii="宋体" w:hAnsi="宋体" w:eastAsia="宋体" w:cs="宋体"/>
          <w:b/>
          <w:color w:val="auto"/>
          <w:kern w:val="0"/>
          <w:sz w:val="36"/>
          <w:szCs w:val="36"/>
          <w:highlight w:val="none"/>
        </w:rPr>
      </w:pPr>
    </w:p>
    <w:p w14:paraId="2F33DEA9">
      <w:pPr>
        <w:spacing w:line="360" w:lineRule="auto"/>
        <w:ind w:right="420" w:firstLine="3614" w:firstLineChars="1000"/>
        <w:rPr>
          <w:rFonts w:ascii="宋体" w:hAnsi="宋体" w:eastAsia="宋体" w:cs="宋体"/>
          <w:b/>
          <w:color w:val="auto"/>
          <w:kern w:val="0"/>
          <w:sz w:val="36"/>
          <w:szCs w:val="36"/>
          <w:highlight w:val="none"/>
        </w:rPr>
      </w:pPr>
    </w:p>
    <w:p w14:paraId="30C809D9">
      <w:pPr>
        <w:spacing w:line="360" w:lineRule="auto"/>
        <w:ind w:right="420" w:firstLine="3614" w:firstLineChars="1000"/>
        <w:rPr>
          <w:rFonts w:ascii="宋体" w:hAnsi="宋体" w:eastAsia="宋体" w:cs="宋体"/>
          <w:b/>
          <w:color w:val="auto"/>
          <w:kern w:val="0"/>
          <w:sz w:val="36"/>
          <w:szCs w:val="36"/>
          <w:highlight w:val="none"/>
        </w:rPr>
      </w:pPr>
    </w:p>
    <w:p w14:paraId="2568F1CB">
      <w:pPr>
        <w:spacing w:line="360" w:lineRule="auto"/>
        <w:ind w:right="420" w:firstLine="3614" w:firstLineChars="1000"/>
        <w:rPr>
          <w:rFonts w:ascii="宋体" w:hAnsi="宋体" w:eastAsia="宋体" w:cs="宋体"/>
          <w:b/>
          <w:color w:val="auto"/>
          <w:kern w:val="0"/>
          <w:sz w:val="36"/>
          <w:szCs w:val="36"/>
          <w:highlight w:val="none"/>
        </w:rPr>
      </w:pPr>
    </w:p>
    <w:p w14:paraId="792913DC">
      <w:pPr>
        <w:spacing w:line="360" w:lineRule="auto"/>
        <w:ind w:right="420" w:firstLine="3614" w:firstLineChars="1000"/>
        <w:rPr>
          <w:rFonts w:ascii="宋体" w:hAnsi="宋体" w:eastAsia="宋体" w:cs="宋体"/>
          <w:b/>
          <w:color w:val="auto"/>
          <w:kern w:val="0"/>
          <w:sz w:val="36"/>
          <w:szCs w:val="36"/>
          <w:highlight w:val="none"/>
        </w:rPr>
      </w:pPr>
    </w:p>
    <w:p w14:paraId="0EF4CEFE">
      <w:pPr>
        <w:spacing w:line="360" w:lineRule="auto"/>
        <w:ind w:right="420" w:firstLine="3614" w:firstLineChars="1000"/>
        <w:rPr>
          <w:rFonts w:ascii="宋体" w:hAnsi="宋体" w:eastAsia="宋体" w:cs="宋体"/>
          <w:b/>
          <w:color w:val="auto"/>
          <w:kern w:val="0"/>
          <w:sz w:val="36"/>
          <w:szCs w:val="36"/>
          <w:highlight w:val="none"/>
        </w:rPr>
      </w:pPr>
    </w:p>
    <w:p w14:paraId="343BFC2C">
      <w:pPr>
        <w:spacing w:line="360" w:lineRule="auto"/>
        <w:ind w:right="420" w:firstLine="3614" w:firstLineChars="1000"/>
        <w:rPr>
          <w:rFonts w:ascii="宋体" w:hAnsi="宋体" w:eastAsia="宋体" w:cs="宋体"/>
          <w:b/>
          <w:color w:val="auto"/>
          <w:kern w:val="0"/>
          <w:sz w:val="36"/>
          <w:szCs w:val="36"/>
          <w:highlight w:val="none"/>
        </w:rPr>
      </w:pPr>
    </w:p>
    <w:p w14:paraId="56668E99">
      <w:pPr>
        <w:spacing w:line="360" w:lineRule="auto"/>
        <w:ind w:right="420" w:firstLine="3614" w:firstLineChars="1000"/>
        <w:rPr>
          <w:rFonts w:ascii="宋体" w:hAnsi="宋体" w:eastAsia="宋体" w:cs="宋体"/>
          <w:b/>
          <w:color w:val="auto"/>
          <w:kern w:val="0"/>
          <w:sz w:val="36"/>
          <w:szCs w:val="36"/>
          <w:highlight w:val="none"/>
        </w:rPr>
      </w:pPr>
    </w:p>
    <w:p w14:paraId="3772ED0B">
      <w:pPr>
        <w:spacing w:line="360" w:lineRule="auto"/>
        <w:ind w:right="420" w:firstLine="3614" w:firstLineChars="1000"/>
        <w:rPr>
          <w:rFonts w:ascii="宋体" w:hAnsi="宋体" w:eastAsia="宋体" w:cs="宋体"/>
          <w:b/>
          <w:color w:val="auto"/>
          <w:kern w:val="0"/>
          <w:sz w:val="36"/>
          <w:szCs w:val="36"/>
          <w:highlight w:val="none"/>
        </w:rPr>
      </w:pPr>
    </w:p>
    <w:p w14:paraId="1256DE97">
      <w:pPr>
        <w:spacing w:line="360" w:lineRule="auto"/>
        <w:ind w:right="420" w:firstLine="3614" w:firstLineChars="1000"/>
        <w:rPr>
          <w:rFonts w:ascii="宋体" w:hAnsi="宋体" w:eastAsia="宋体" w:cs="宋体"/>
          <w:b/>
          <w:color w:val="auto"/>
          <w:kern w:val="0"/>
          <w:sz w:val="36"/>
          <w:szCs w:val="36"/>
          <w:highlight w:val="none"/>
        </w:rPr>
      </w:pPr>
    </w:p>
    <w:p w14:paraId="673D4121">
      <w:pPr>
        <w:spacing w:line="360" w:lineRule="auto"/>
        <w:ind w:right="420" w:firstLine="3614" w:firstLineChars="1000"/>
        <w:rPr>
          <w:rFonts w:ascii="宋体" w:hAnsi="宋体" w:eastAsia="宋体" w:cs="宋体"/>
          <w:b/>
          <w:color w:val="auto"/>
          <w:kern w:val="0"/>
          <w:sz w:val="36"/>
          <w:szCs w:val="36"/>
          <w:highlight w:val="none"/>
        </w:rPr>
      </w:pPr>
    </w:p>
    <w:p w14:paraId="6112BEF0">
      <w:pPr>
        <w:spacing w:line="360" w:lineRule="auto"/>
        <w:ind w:right="420" w:firstLine="3614" w:firstLineChars="1000"/>
        <w:rPr>
          <w:rFonts w:ascii="宋体" w:hAnsi="宋体" w:eastAsia="宋体" w:cs="宋体"/>
          <w:b/>
          <w:color w:val="auto"/>
          <w:kern w:val="0"/>
          <w:sz w:val="36"/>
          <w:szCs w:val="36"/>
          <w:highlight w:val="none"/>
        </w:rPr>
      </w:pPr>
    </w:p>
    <w:p w14:paraId="0A1157C7">
      <w:pPr>
        <w:spacing w:line="360" w:lineRule="auto"/>
        <w:ind w:right="420" w:firstLine="3614" w:firstLineChars="1000"/>
        <w:rPr>
          <w:rFonts w:ascii="宋体" w:hAnsi="宋体" w:eastAsia="宋体" w:cs="宋体"/>
          <w:b/>
          <w:color w:val="auto"/>
          <w:kern w:val="0"/>
          <w:sz w:val="36"/>
          <w:szCs w:val="36"/>
          <w:highlight w:val="none"/>
        </w:rPr>
      </w:pPr>
    </w:p>
    <w:p w14:paraId="5B66A6CE">
      <w:pPr>
        <w:keepNext w:val="0"/>
        <w:keepLines w:val="0"/>
        <w:pageBreakBefore/>
        <w:widowControl/>
        <w:adjustRightInd w:val="0"/>
        <w:spacing w:before="100" w:beforeAutospacing="1" w:after="100" w:afterAutospacing="1" w:line="360" w:lineRule="auto"/>
        <w:ind w:left="1290" w:firstLine="3092" w:firstLineChars="700"/>
        <w:jc w:val="both"/>
        <w:outlineLvl w:val="0"/>
        <w:rPr>
          <w:rFonts w:ascii="宋体" w:hAnsi="宋体" w:eastAsia="宋体" w:cs="宋体"/>
          <w:b/>
          <w:bCs/>
          <w:color w:val="auto"/>
          <w:kern w:val="44"/>
          <w:sz w:val="44"/>
          <w:szCs w:val="44"/>
          <w:highlight w:val="none"/>
          <w:lang w:val="en-US" w:eastAsia="zh-CN" w:bidi="ar-SA"/>
        </w:rPr>
      </w:pPr>
      <w:bookmarkStart w:id="412" w:name="_Toc11592"/>
      <w:r>
        <w:rPr>
          <w:rFonts w:hint="eastAsia" w:ascii="宋体" w:hAnsi="宋体" w:eastAsia="宋体" w:cs="宋体"/>
          <w:b/>
          <w:bCs/>
          <w:color w:val="auto"/>
          <w:kern w:val="44"/>
          <w:sz w:val="44"/>
          <w:szCs w:val="44"/>
          <w:highlight w:val="none"/>
          <w:lang w:val="en-US" w:eastAsia="zh-CN" w:bidi="ar-SA"/>
        </w:rPr>
        <w:t>附件</w:t>
      </w:r>
      <w:bookmarkEnd w:id="412"/>
    </w:p>
    <w:p w14:paraId="3B1EB7B9">
      <w:pPr>
        <w:spacing w:line="360" w:lineRule="auto"/>
        <w:rPr>
          <w:rFonts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23F78748">
      <w:pPr>
        <w:spacing w:line="360" w:lineRule="auto"/>
        <w:jc w:val="center"/>
        <w:rPr>
          <w:rFonts w:ascii="宋体" w:hAnsi="宋体" w:eastAsia="宋体" w:cs="宋体"/>
          <w:b/>
          <w:color w:val="auto"/>
          <w:spacing w:val="6"/>
          <w:sz w:val="32"/>
          <w:szCs w:val="32"/>
          <w:highlight w:val="none"/>
        </w:rPr>
      </w:pPr>
      <w:bookmarkStart w:id="413" w:name="OLE_LINK13"/>
      <w:bookmarkStart w:id="414" w:name="OLE_LINK14"/>
      <w:r>
        <w:rPr>
          <w:rFonts w:hint="eastAsia" w:ascii="宋体" w:hAnsi="宋体" w:eastAsia="宋体" w:cs="宋体"/>
          <w:b/>
          <w:color w:val="auto"/>
          <w:spacing w:val="6"/>
          <w:sz w:val="32"/>
          <w:szCs w:val="32"/>
          <w:highlight w:val="none"/>
        </w:rPr>
        <w:t>残疾人福利性单位声明函</w:t>
      </w:r>
    </w:p>
    <w:bookmarkEnd w:id="413"/>
    <w:bookmarkEnd w:id="414"/>
    <w:p w14:paraId="7B5798A4">
      <w:pPr>
        <w:spacing w:line="360" w:lineRule="auto"/>
        <w:rPr>
          <w:rFonts w:ascii="宋体" w:hAnsi="宋体" w:eastAsia="宋体" w:cs="宋体"/>
          <w:b/>
          <w:color w:val="auto"/>
          <w:spacing w:val="6"/>
          <w:sz w:val="30"/>
          <w:szCs w:val="30"/>
          <w:highlight w:val="none"/>
        </w:rPr>
      </w:pPr>
    </w:p>
    <w:p w14:paraId="12903300">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8D3573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E0D0CC0">
      <w:pPr>
        <w:spacing w:line="360" w:lineRule="auto"/>
        <w:ind w:firstLine="480" w:firstLineChars="200"/>
        <w:rPr>
          <w:rFonts w:ascii="宋体" w:hAnsi="宋体" w:eastAsia="宋体" w:cs="宋体"/>
          <w:color w:val="auto"/>
          <w:sz w:val="24"/>
          <w:highlight w:val="none"/>
        </w:rPr>
      </w:pPr>
    </w:p>
    <w:p w14:paraId="1F02150F">
      <w:pPr>
        <w:spacing w:line="360" w:lineRule="auto"/>
        <w:ind w:firstLine="480" w:firstLineChars="200"/>
        <w:rPr>
          <w:rFonts w:ascii="宋体" w:hAnsi="宋体" w:eastAsia="宋体" w:cs="宋体"/>
          <w:color w:val="auto"/>
          <w:sz w:val="24"/>
          <w:highlight w:val="none"/>
        </w:rPr>
      </w:pPr>
    </w:p>
    <w:p w14:paraId="08EDCE96">
      <w:pPr>
        <w:tabs>
          <w:tab w:val="left" w:pos="4860"/>
        </w:tabs>
        <w:spacing w:line="360" w:lineRule="auto"/>
        <w:ind w:right="1560" w:firstLine="480" w:firstLineChars="200"/>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名称（电子签名）</w:t>
      </w:r>
      <w:r>
        <w:rPr>
          <w:rFonts w:hint="eastAsia" w:ascii="宋体" w:hAnsi="宋体" w:eastAsia="宋体" w:cs="宋体"/>
          <w:color w:val="auto"/>
          <w:sz w:val="24"/>
          <w:highlight w:val="none"/>
        </w:rPr>
        <w:t>：</w:t>
      </w:r>
    </w:p>
    <w:p w14:paraId="0B0C7C1C">
      <w:pPr>
        <w:tabs>
          <w:tab w:val="left" w:pos="4860"/>
        </w:tabs>
        <w:spacing w:line="360" w:lineRule="auto"/>
        <w:ind w:right="1560" w:firstLine="480" w:firstLineChars="200"/>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7264A0D8">
      <w:pPr>
        <w:spacing w:line="360" w:lineRule="auto"/>
        <w:ind w:firstLine="480" w:firstLineChars="200"/>
        <w:rPr>
          <w:rFonts w:ascii="宋体" w:hAnsi="宋体" w:eastAsia="宋体" w:cs="宋体"/>
          <w:color w:val="auto"/>
          <w:sz w:val="24"/>
          <w:highlight w:val="none"/>
        </w:rPr>
      </w:pPr>
    </w:p>
    <w:p w14:paraId="267BF38B">
      <w:pPr>
        <w:spacing w:line="360" w:lineRule="auto"/>
        <w:ind w:firstLine="420" w:firstLineChars="200"/>
        <w:rPr>
          <w:rFonts w:ascii="宋体" w:hAnsi="宋体" w:eastAsia="宋体" w:cs="宋体"/>
          <w:color w:val="auto"/>
          <w:highlight w:val="none"/>
        </w:rPr>
      </w:pPr>
    </w:p>
    <w:p w14:paraId="380A9145">
      <w:pPr>
        <w:spacing w:line="360" w:lineRule="auto"/>
        <w:ind w:firstLine="420" w:firstLineChars="200"/>
        <w:rPr>
          <w:rFonts w:ascii="宋体" w:hAnsi="宋体" w:eastAsia="宋体" w:cs="宋体"/>
          <w:color w:val="auto"/>
          <w:highlight w:val="none"/>
        </w:rPr>
      </w:pPr>
    </w:p>
    <w:p w14:paraId="36203EDD">
      <w:pPr>
        <w:spacing w:line="360" w:lineRule="auto"/>
        <w:ind w:firstLine="420" w:firstLineChars="200"/>
        <w:rPr>
          <w:rFonts w:ascii="宋体" w:hAnsi="宋体" w:eastAsia="宋体" w:cs="宋体"/>
          <w:color w:val="auto"/>
          <w:highlight w:val="none"/>
        </w:rPr>
      </w:pPr>
    </w:p>
    <w:p w14:paraId="0B918FD3">
      <w:pPr>
        <w:spacing w:line="360" w:lineRule="auto"/>
        <w:ind w:firstLine="420" w:firstLineChars="200"/>
        <w:rPr>
          <w:rFonts w:ascii="宋体" w:hAnsi="宋体" w:eastAsia="宋体" w:cs="宋体"/>
          <w:color w:val="auto"/>
          <w:highlight w:val="none"/>
        </w:rPr>
      </w:pPr>
    </w:p>
    <w:p w14:paraId="3314629E">
      <w:pPr>
        <w:spacing w:line="360" w:lineRule="auto"/>
        <w:rPr>
          <w:rFonts w:ascii="宋体" w:hAnsi="宋体" w:eastAsia="宋体" w:cs="宋体"/>
          <w:b/>
          <w:color w:val="auto"/>
          <w:sz w:val="24"/>
          <w:highlight w:val="none"/>
        </w:rPr>
      </w:pPr>
    </w:p>
    <w:p w14:paraId="6C9B4A60">
      <w:pPr>
        <w:spacing w:line="360" w:lineRule="auto"/>
        <w:rPr>
          <w:rFonts w:ascii="宋体" w:hAnsi="宋体" w:eastAsia="宋体" w:cs="宋体"/>
          <w:b/>
          <w:color w:val="auto"/>
          <w:sz w:val="24"/>
          <w:highlight w:val="none"/>
        </w:rPr>
      </w:pPr>
    </w:p>
    <w:p w14:paraId="3AD89D8F">
      <w:pPr>
        <w:spacing w:line="360" w:lineRule="auto"/>
        <w:rPr>
          <w:rFonts w:ascii="宋体" w:hAnsi="宋体" w:eastAsia="宋体" w:cs="宋体"/>
          <w:b/>
          <w:color w:val="auto"/>
          <w:sz w:val="24"/>
          <w:highlight w:val="none"/>
        </w:rPr>
      </w:pPr>
    </w:p>
    <w:p w14:paraId="6F1DBE42">
      <w:pPr>
        <w:spacing w:line="360" w:lineRule="auto"/>
        <w:rPr>
          <w:rFonts w:ascii="宋体" w:hAnsi="宋体" w:eastAsia="宋体" w:cs="宋体"/>
          <w:b/>
          <w:color w:val="auto"/>
          <w:sz w:val="24"/>
          <w:highlight w:val="none"/>
        </w:rPr>
      </w:pPr>
    </w:p>
    <w:p w14:paraId="23A5C164">
      <w:pPr>
        <w:spacing w:line="360" w:lineRule="auto"/>
        <w:rPr>
          <w:rFonts w:ascii="宋体" w:hAnsi="宋体" w:eastAsia="宋体" w:cs="宋体"/>
          <w:b/>
          <w:color w:val="auto"/>
          <w:sz w:val="24"/>
          <w:highlight w:val="none"/>
        </w:rPr>
      </w:pPr>
    </w:p>
    <w:p w14:paraId="7C502BFC">
      <w:pPr>
        <w:spacing w:line="360" w:lineRule="auto"/>
        <w:rPr>
          <w:rFonts w:ascii="宋体" w:hAnsi="宋体" w:eastAsia="宋体" w:cs="宋体"/>
          <w:b/>
          <w:color w:val="auto"/>
          <w:sz w:val="24"/>
          <w:highlight w:val="none"/>
        </w:rPr>
      </w:pPr>
    </w:p>
    <w:p w14:paraId="1CFCF64A">
      <w:pPr>
        <w:spacing w:line="360" w:lineRule="auto"/>
        <w:rPr>
          <w:rFonts w:ascii="宋体" w:hAnsi="宋体" w:eastAsia="宋体" w:cs="宋体"/>
          <w:b/>
          <w:color w:val="auto"/>
          <w:sz w:val="24"/>
          <w:highlight w:val="none"/>
        </w:rPr>
      </w:pPr>
    </w:p>
    <w:p w14:paraId="197DAEA3">
      <w:pPr>
        <w:spacing w:line="360" w:lineRule="auto"/>
        <w:rPr>
          <w:rFonts w:ascii="宋体" w:hAnsi="宋体" w:eastAsia="宋体" w:cs="宋体"/>
          <w:b/>
          <w:color w:val="auto"/>
          <w:sz w:val="24"/>
          <w:highlight w:val="none"/>
        </w:rPr>
      </w:pPr>
    </w:p>
    <w:p w14:paraId="58656288">
      <w:pPr>
        <w:spacing w:line="360" w:lineRule="auto"/>
        <w:rPr>
          <w:rFonts w:ascii="宋体" w:hAnsi="宋体" w:eastAsia="宋体" w:cs="宋体"/>
          <w:b/>
          <w:color w:val="auto"/>
          <w:sz w:val="24"/>
          <w:highlight w:val="none"/>
        </w:rPr>
      </w:pPr>
    </w:p>
    <w:p w14:paraId="6C13B6F5">
      <w:pPr>
        <w:spacing w:line="360" w:lineRule="auto"/>
        <w:jc w:val="left"/>
        <w:rPr>
          <w:rFonts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09A85F1B">
      <w:pPr>
        <w:spacing w:line="360" w:lineRule="auto"/>
        <w:jc w:val="center"/>
        <w:rPr>
          <w:rFonts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206EBB3">
      <w:pPr>
        <w:snapToGrid w:val="0"/>
        <w:spacing w:before="240" w:beforeLines="10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EC683FE">
      <w:pPr>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544DDD65">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5E198AD">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C25CDB7">
      <w:pPr>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61CCEF8">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EF887F4">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E997036">
      <w:pPr>
        <w:snapToGrid w:val="0"/>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626E3FA">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750C6B09">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F439EB7">
      <w:pPr>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7BB87A56">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4433A622">
      <w:pPr>
        <w:snapToGrid w:val="0"/>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3A70CF81">
      <w:pPr>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171C829">
      <w:pPr>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611938C">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31410F2">
      <w:pPr>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FC92285">
      <w:pPr>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835BCA4">
      <w:pPr>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2098BD45">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p>
    <w:p w14:paraId="17E4CED4">
      <w:pPr>
        <w:snapToGrid w:val="0"/>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BC17B2E">
      <w:pPr>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890D619">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58983B1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E6EB0FA">
      <w:pPr>
        <w:spacing w:line="360" w:lineRule="auto"/>
        <w:jc w:val="center"/>
        <w:rPr>
          <w:rFonts w:ascii="宋体" w:hAnsi="宋体" w:eastAsia="宋体" w:cs="宋体"/>
          <w:b/>
          <w:bCs/>
          <w:color w:val="auto"/>
          <w:sz w:val="24"/>
          <w:highlight w:val="none"/>
        </w:rPr>
      </w:pPr>
    </w:p>
    <w:p w14:paraId="04CFC9E2">
      <w:pPr>
        <w:spacing w:line="360" w:lineRule="auto"/>
        <w:rPr>
          <w:rFonts w:ascii="宋体" w:hAnsi="宋体" w:eastAsia="宋体" w:cs="宋体"/>
          <w:b/>
          <w:color w:val="auto"/>
          <w:sz w:val="24"/>
          <w:highlight w:val="none"/>
        </w:rPr>
      </w:pPr>
    </w:p>
    <w:p w14:paraId="6990B193">
      <w:pPr>
        <w:spacing w:line="360" w:lineRule="auto"/>
        <w:rPr>
          <w:rFonts w:ascii="宋体" w:hAnsi="宋体" w:eastAsia="宋体" w:cs="宋体"/>
          <w:b/>
          <w:color w:val="auto"/>
          <w:sz w:val="24"/>
          <w:highlight w:val="none"/>
        </w:rPr>
      </w:pPr>
    </w:p>
    <w:p w14:paraId="2EBEAFC0">
      <w:pPr>
        <w:spacing w:line="360" w:lineRule="auto"/>
        <w:rPr>
          <w:rFonts w:ascii="宋体" w:hAnsi="宋体" w:eastAsia="宋体" w:cs="宋体"/>
          <w:b/>
          <w:color w:val="auto"/>
          <w:sz w:val="24"/>
          <w:highlight w:val="none"/>
        </w:rPr>
      </w:pPr>
    </w:p>
    <w:p w14:paraId="6D4FFCDD">
      <w:pP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5EA7153">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1630884">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14A6B4DB">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922BD6E">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385B57A">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74AB6DF">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293E135">
      <w:pPr>
        <w:widowControl/>
        <w:spacing w:line="360" w:lineRule="auto"/>
        <w:ind w:firstLine="600" w:firstLineChars="200"/>
        <w:jc w:val="left"/>
        <w:rPr>
          <w:rFonts w:ascii="宋体" w:hAnsi="宋体" w:eastAsia="宋体" w:cs="宋体"/>
          <w:color w:val="auto"/>
          <w:sz w:val="30"/>
          <w:szCs w:val="30"/>
          <w:highlight w:val="none"/>
        </w:rPr>
      </w:pPr>
    </w:p>
    <w:p w14:paraId="60284F13">
      <w:pPr>
        <w:spacing w:line="360" w:lineRule="auto"/>
        <w:jc w:val="center"/>
        <w:rPr>
          <w:rFonts w:ascii="宋体" w:hAnsi="宋体" w:eastAsia="宋体" w:cs="宋体"/>
          <w:b/>
          <w:color w:val="auto"/>
          <w:spacing w:val="6"/>
          <w:sz w:val="32"/>
          <w:szCs w:val="32"/>
          <w:highlight w:val="none"/>
        </w:rPr>
      </w:pPr>
    </w:p>
    <w:p w14:paraId="612243AA">
      <w:pPr>
        <w:spacing w:line="360" w:lineRule="auto"/>
        <w:jc w:val="center"/>
        <w:rPr>
          <w:rFonts w:ascii="宋体" w:hAnsi="宋体" w:eastAsia="宋体" w:cs="宋体"/>
          <w:b/>
          <w:color w:val="auto"/>
          <w:spacing w:val="6"/>
          <w:sz w:val="32"/>
          <w:szCs w:val="32"/>
          <w:highlight w:val="none"/>
        </w:rPr>
      </w:pPr>
    </w:p>
    <w:p w14:paraId="172169EE">
      <w:pPr>
        <w:spacing w:line="360" w:lineRule="auto"/>
        <w:jc w:val="center"/>
        <w:rPr>
          <w:rFonts w:ascii="宋体" w:hAnsi="宋体" w:eastAsia="宋体" w:cs="宋体"/>
          <w:b/>
          <w:color w:val="auto"/>
          <w:spacing w:val="6"/>
          <w:sz w:val="32"/>
          <w:szCs w:val="32"/>
          <w:highlight w:val="none"/>
        </w:rPr>
      </w:pPr>
    </w:p>
    <w:p w14:paraId="4FD324D6">
      <w:pPr>
        <w:spacing w:line="360" w:lineRule="auto"/>
        <w:jc w:val="center"/>
        <w:rPr>
          <w:rFonts w:ascii="宋体" w:hAnsi="宋体" w:eastAsia="宋体" w:cs="宋体"/>
          <w:b/>
          <w:color w:val="auto"/>
          <w:spacing w:val="6"/>
          <w:sz w:val="32"/>
          <w:szCs w:val="32"/>
          <w:highlight w:val="none"/>
        </w:rPr>
      </w:pPr>
    </w:p>
    <w:p w14:paraId="3B4F9802">
      <w:pPr>
        <w:spacing w:line="360" w:lineRule="auto"/>
        <w:jc w:val="center"/>
        <w:rPr>
          <w:rFonts w:ascii="宋体" w:hAnsi="宋体" w:eastAsia="宋体" w:cs="宋体"/>
          <w:b/>
          <w:color w:val="auto"/>
          <w:spacing w:val="6"/>
          <w:sz w:val="32"/>
          <w:szCs w:val="32"/>
          <w:highlight w:val="none"/>
        </w:rPr>
      </w:pPr>
    </w:p>
    <w:p w14:paraId="5E7D1CC2">
      <w:pPr>
        <w:spacing w:line="360" w:lineRule="auto"/>
        <w:jc w:val="center"/>
        <w:rPr>
          <w:rFonts w:ascii="宋体" w:hAnsi="宋体" w:eastAsia="宋体" w:cs="宋体"/>
          <w:b/>
          <w:color w:val="auto"/>
          <w:spacing w:val="6"/>
          <w:sz w:val="32"/>
          <w:szCs w:val="32"/>
          <w:highlight w:val="none"/>
        </w:rPr>
      </w:pPr>
    </w:p>
    <w:p w14:paraId="27827F16">
      <w:pPr>
        <w:spacing w:line="360" w:lineRule="auto"/>
        <w:jc w:val="center"/>
        <w:rPr>
          <w:rFonts w:ascii="宋体" w:hAnsi="宋体" w:eastAsia="宋体" w:cs="宋体"/>
          <w:b/>
          <w:color w:val="auto"/>
          <w:spacing w:val="6"/>
          <w:sz w:val="32"/>
          <w:szCs w:val="32"/>
          <w:highlight w:val="none"/>
        </w:rPr>
      </w:pPr>
    </w:p>
    <w:p w14:paraId="52F2762E">
      <w:pPr>
        <w:spacing w:line="360" w:lineRule="auto"/>
        <w:jc w:val="center"/>
        <w:rPr>
          <w:rFonts w:ascii="宋体" w:hAnsi="宋体" w:eastAsia="宋体" w:cs="宋体"/>
          <w:b/>
          <w:color w:val="auto"/>
          <w:spacing w:val="6"/>
          <w:sz w:val="32"/>
          <w:szCs w:val="32"/>
          <w:highlight w:val="none"/>
        </w:rPr>
      </w:pPr>
    </w:p>
    <w:p w14:paraId="29EEBC3F">
      <w:pPr>
        <w:spacing w:line="360" w:lineRule="auto"/>
        <w:jc w:val="center"/>
        <w:rPr>
          <w:rFonts w:ascii="宋体" w:hAnsi="宋体" w:eastAsia="宋体" w:cs="宋体"/>
          <w:b/>
          <w:color w:val="auto"/>
          <w:spacing w:val="6"/>
          <w:sz w:val="32"/>
          <w:szCs w:val="32"/>
          <w:highlight w:val="none"/>
        </w:rPr>
      </w:pPr>
    </w:p>
    <w:p w14:paraId="336BE05B">
      <w:pPr>
        <w:spacing w:line="360" w:lineRule="auto"/>
        <w:jc w:val="center"/>
        <w:rPr>
          <w:rFonts w:ascii="宋体" w:hAnsi="宋体" w:eastAsia="宋体" w:cs="宋体"/>
          <w:b/>
          <w:color w:val="auto"/>
          <w:spacing w:val="6"/>
          <w:sz w:val="32"/>
          <w:szCs w:val="32"/>
          <w:highlight w:val="none"/>
        </w:rPr>
      </w:pPr>
    </w:p>
    <w:p w14:paraId="0A2D7153">
      <w:pPr>
        <w:spacing w:line="360" w:lineRule="auto"/>
        <w:jc w:val="center"/>
        <w:rPr>
          <w:rFonts w:ascii="宋体" w:hAnsi="宋体" w:eastAsia="宋体" w:cs="宋体"/>
          <w:b/>
          <w:color w:val="auto"/>
          <w:spacing w:val="6"/>
          <w:sz w:val="32"/>
          <w:szCs w:val="32"/>
          <w:highlight w:val="none"/>
        </w:rPr>
      </w:pPr>
    </w:p>
    <w:p w14:paraId="68E82C61">
      <w:pPr>
        <w:spacing w:line="360" w:lineRule="auto"/>
        <w:jc w:val="center"/>
        <w:rPr>
          <w:rFonts w:ascii="宋体" w:hAnsi="宋体" w:eastAsia="宋体" w:cs="宋体"/>
          <w:b/>
          <w:color w:val="auto"/>
          <w:spacing w:val="6"/>
          <w:sz w:val="32"/>
          <w:szCs w:val="32"/>
          <w:highlight w:val="none"/>
        </w:rPr>
      </w:pPr>
    </w:p>
    <w:p w14:paraId="1708B92F">
      <w:pPr>
        <w:spacing w:line="360" w:lineRule="auto"/>
        <w:jc w:val="left"/>
        <w:rPr>
          <w:rFonts w:ascii="宋体" w:hAnsi="宋体" w:eastAsia="宋体" w:cs="宋体"/>
          <w:b/>
          <w:color w:val="auto"/>
          <w:spacing w:val="6"/>
          <w:sz w:val="32"/>
          <w:szCs w:val="32"/>
          <w:highlight w:val="none"/>
        </w:rPr>
      </w:pPr>
    </w:p>
    <w:p w14:paraId="1E36AF12">
      <w:pPr>
        <w:spacing w:line="360" w:lineRule="auto"/>
        <w:jc w:val="left"/>
        <w:rPr>
          <w:rFonts w:ascii="宋体" w:hAnsi="宋体" w:eastAsia="宋体" w:cs="宋体"/>
          <w:b/>
          <w:color w:val="auto"/>
          <w:spacing w:val="6"/>
          <w:sz w:val="32"/>
          <w:szCs w:val="32"/>
          <w:highlight w:val="none"/>
        </w:rPr>
      </w:pPr>
    </w:p>
    <w:p w14:paraId="7098EB3A">
      <w:pPr>
        <w:spacing w:line="360" w:lineRule="auto"/>
        <w:jc w:val="left"/>
        <w:rPr>
          <w:rFonts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680A8884">
      <w:pPr>
        <w:spacing w:line="360" w:lineRule="auto"/>
        <w:jc w:val="center"/>
        <w:rPr>
          <w:rFonts w:ascii="宋体" w:hAnsi="宋体" w:eastAsia="宋体" w:cs="宋体"/>
          <w:b/>
          <w:color w:val="auto"/>
          <w:sz w:val="24"/>
          <w:highlight w:val="none"/>
        </w:rPr>
      </w:pPr>
    </w:p>
    <w:p w14:paraId="1648D8C4">
      <w:pPr>
        <w:spacing w:line="360" w:lineRule="auto"/>
        <w:jc w:val="center"/>
        <w:rPr>
          <w:rFonts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AA16F48">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7A59677">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3D6DF2E">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B806408">
      <w:pPr>
        <w:tabs>
          <w:tab w:val="left" w:pos="6510"/>
        </w:tabs>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5A98B4F">
      <w:pPr>
        <w:tabs>
          <w:tab w:val="left" w:pos="6510"/>
        </w:tabs>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3A92125">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80704D3">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2DFF42E8">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846B1E4">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A17D4E1">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8B368A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6021475">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E6A078C">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A4A0204">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E289B88">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B514113">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3651345F">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781EA16">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0855F4B">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8F435EB">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3BD4D73">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F90DFCC">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7D102DC">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39EB976">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B39749A">
      <w:pPr>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00718B5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EEA92CF">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1618D4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69FB978">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0063CBD">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4CD4F80">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0E4140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A6A6155">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86FACF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5CE29DA9">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B7B2D4F">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00456E7">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2D3B857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961329A">
      <w:pPr>
        <w:spacing w:line="360" w:lineRule="auto"/>
        <w:rPr>
          <w:rFonts w:ascii="宋体" w:hAnsi="宋体" w:eastAsia="宋体" w:cs="宋体"/>
          <w:b/>
          <w:color w:val="auto"/>
          <w:sz w:val="24"/>
          <w:highlight w:val="none"/>
        </w:rPr>
      </w:pPr>
    </w:p>
    <w:p w14:paraId="64AEB79D">
      <w:pPr>
        <w:spacing w:line="360" w:lineRule="auto"/>
        <w:rPr>
          <w:rFonts w:ascii="宋体" w:hAnsi="宋体" w:eastAsia="宋体" w:cs="宋体"/>
          <w:b/>
          <w:color w:val="auto"/>
          <w:sz w:val="24"/>
          <w:highlight w:val="none"/>
        </w:rPr>
      </w:pPr>
    </w:p>
    <w:p w14:paraId="60479B25">
      <w:pP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BFA616A">
      <w:pPr>
        <w:widowControl/>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DC68753">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13824EBA">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C0DF471">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A83A2F1">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1F41F11">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4AFC4DA5">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A6CC74F">
      <w:pPr>
        <w:spacing w:line="360" w:lineRule="auto"/>
        <w:rPr>
          <w:rFonts w:ascii="宋体" w:hAnsi="宋体" w:eastAsia="宋体" w:cs="宋体"/>
          <w:b/>
          <w:color w:val="auto"/>
          <w:sz w:val="24"/>
          <w:highlight w:val="none"/>
        </w:rPr>
      </w:pPr>
    </w:p>
    <w:p w14:paraId="1E9C1CCC">
      <w:pPr>
        <w:autoSpaceDE w:val="0"/>
        <w:autoSpaceDN w:val="0"/>
        <w:jc w:val="center"/>
        <w:rPr>
          <w:rFonts w:ascii="宋体" w:hAnsi="宋体" w:eastAsia="宋体" w:cs="宋体"/>
          <w:b/>
          <w:color w:val="auto"/>
          <w:spacing w:val="6"/>
          <w:sz w:val="32"/>
          <w:szCs w:val="32"/>
          <w:highlight w:val="none"/>
        </w:rPr>
      </w:pPr>
    </w:p>
    <w:p w14:paraId="29B0102C">
      <w:pPr>
        <w:autoSpaceDE w:val="0"/>
        <w:autoSpaceDN w:val="0"/>
        <w:jc w:val="center"/>
        <w:rPr>
          <w:rFonts w:ascii="宋体" w:hAnsi="宋体" w:eastAsia="宋体" w:cs="宋体"/>
          <w:b/>
          <w:color w:val="auto"/>
          <w:spacing w:val="6"/>
          <w:sz w:val="32"/>
          <w:szCs w:val="32"/>
          <w:highlight w:val="none"/>
        </w:rPr>
      </w:pPr>
    </w:p>
    <w:p w14:paraId="7CBD2DFD">
      <w:pPr>
        <w:autoSpaceDE w:val="0"/>
        <w:autoSpaceDN w:val="0"/>
        <w:jc w:val="center"/>
        <w:rPr>
          <w:rFonts w:hint="eastAsia" w:ascii="宋体" w:hAnsi="宋体" w:eastAsia="宋体" w:cs="宋体"/>
          <w:b/>
          <w:color w:val="auto"/>
          <w:spacing w:val="6"/>
          <w:sz w:val="32"/>
          <w:szCs w:val="32"/>
          <w:highlight w:val="none"/>
        </w:rPr>
        <w:sectPr>
          <w:pgSz w:w="11906" w:h="16838"/>
          <w:pgMar w:top="1276" w:right="1418" w:bottom="1247" w:left="1418" w:header="851" w:footer="992" w:gutter="0"/>
          <w:pgNumType w:fmt="decimal"/>
          <w:cols w:space="720" w:num="1"/>
          <w:titlePg/>
          <w:docGrid w:linePitch="312" w:charSpace="0"/>
        </w:sectPr>
      </w:pPr>
    </w:p>
    <w:p w14:paraId="3F6D0DAA">
      <w:pPr>
        <w:autoSpaceDE w:val="0"/>
        <w:autoSpaceDN w:val="0"/>
        <w:jc w:val="center"/>
        <w:rPr>
          <w:rFonts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693F4854">
      <w:pPr>
        <w:spacing w:line="360" w:lineRule="auto"/>
        <w:rPr>
          <w:rFonts w:ascii="宋体" w:hAnsi="宋体" w:eastAsia="宋体" w:cs="宋体"/>
          <w:color w:val="auto"/>
          <w:sz w:val="24"/>
          <w:highlight w:val="none"/>
          <w:u w:val="single"/>
        </w:rPr>
      </w:pPr>
    </w:p>
    <w:p w14:paraId="3A4D940E">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34281A3E">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FAB7F40">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52087CC">
      <w:pPr>
        <w:spacing w:line="360" w:lineRule="auto"/>
        <w:ind w:firstLine="494"/>
        <w:rPr>
          <w:rFonts w:ascii="宋体" w:hAnsi="宋体" w:eastAsia="宋体" w:cs="宋体"/>
          <w:color w:val="auto"/>
          <w:sz w:val="24"/>
          <w:highlight w:val="none"/>
        </w:rPr>
      </w:pPr>
    </w:p>
    <w:p w14:paraId="77DE66FE">
      <w:pPr>
        <w:spacing w:line="360" w:lineRule="auto"/>
        <w:ind w:firstLine="494"/>
        <w:rPr>
          <w:rFonts w:ascii="宋体" w:hAnsi="宋体" w:eastAsia="宋体" w:cs="宋体"/>
          <w:color w:val="auto"/>
          <w:sz w:val="24"/>
          <w:highlight w:val="none"/>
        </w:rPr>
      </w:pPr>
    </w:p>
    <w:p w14:paraId="21D0D691">
      <w:pPr>
        <w:spacing w:line="360" w:lineRule="auto"/>
        <w:ind w:firstLine="494"/>
        <w:rPr>
          <w:rFonts w:ascii="宋体" w:hAnsi="宋体" w:eastAsia="宋体" w:cs="宋体"/>
          <w:color w:val="auto"/>
          <w:sz w:val="24"/>
          <w:highlight w:val="none"/>
        </w:rPr>
      </w:pPr>
    </w:p>
    <w:p w14:paraId="70029387">
      <w:pPr>
        <w:spacing w:line="360" w:lineRule="auto"/>
        <w:ind w:firstLine="494"/>
        <w:rPr>
          <w:rFonts w:ascii="宋体" w:hAnsi="宋体" w:eastAsia="宋体" w:cs="宋体"/>
          <w:color w:val="auto"/>
          <w:sz w:val="24"/>
          <w:highlight w:val="none"/>
        </w:rPr>
      </w:pPr>
    </w:p>
    <w:p w14:paraId="38AD6CE5">
      <w:pPr>
        <w:spacing w:line="360" w:lineRule="auto"/>
        <w:ind w:right="480" w:firstLine="4080" w:firstLineChars="1700"/>
        <w:rPr>
          <w:rFonts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4790DDC7">
      <w:pPr>
        <w:ind w:right="1440" w:firstLine="494"/>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D5CCCC9">
      <w:pPr>
        <w:rPr>
          <w:rFonts w:ascii="宋体" w:hAnsi="宋体" w:eastAsia="宋体" w:cs="宋体"/>
          <w:color w:val="auto"/>
          <w:sz w:val="24"/>
          <w:highlight w:val="none"/>
        </w:rPr>
      </w:pPr>
      <w:r>
        <w:rPr>
          <w:rFonts w:hint="eastAsia" w:ascii="宋体" w:hAnsi="宋体" w:eastAsia="宋体" w:cs="宋体"/>
          <w:b/>
          <w:bCs/>
          <w:color w:val="auto"/>
          <w:sz w:val="24"/>
          <w:highlight w:val="none"/>
        </w:rPr>
        <w:t>附：</w:t>
      </w:r>
    </w:p>
    <w:p w14:paraId="33CE7C72">
      <w:pPr>
        <w:spacing w:line="360" w:lineRule="auto"/>
        <w:rPr>
          <w:rFonts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2D83358">
                            <w:pPr>
                              <w:jc w:val="center"/>
                              <w:rPr>
                                <w:rFonts w:ascii="Times New Roman" w:hAnsi="Times New Roman" w:eastAsia="宋体" w:cs="Times New Roman"/>
                              </w:rP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2D83358">
                      <w:pPr>
                        <w:jc w:val="center"/>
                        <w:rPr>
                          <w:rFonts w:ascii="Times New Roman" w:hAnsi="Times New Roman" w:eastAsia="宋体" w:cs="Times New Roman"/>
                        </w:rPr>
                      </w:pPr>
                    </w:p>
                  </w:txbxContent>
                </v:textbox>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1543DB6">
                            <w:pPr>
                              <w:jc w:val="center"/>
                              <w:rPr>
                                <w:rFonts w:ascii="Times New Roman" w:hAnsi="Times New Roman" w:eastAsia="宋体" w:cs="Times New Roman"/>
                              </w:rP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1543DB6">
                      <w:pPr>
                        <w:jc w:val="center"/>
                        <w:rPr>
                          <w:rFonts w:ascii="Times New Roman" w:hAnsi="Times New Roman" w:eastAsia="宋体" w:cs="Times New Roman"/>
                        </w:rP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61A3D11A">
      <w:pPr>
        <w:autoSpaceDE w:val="0"/>
        <w:autoSpaceDN w:val="0"/>
        <w:jc w:val="center"/>
        <w:rPr>
          <w:rFonts w:ascii="宋体" w:hAnsi="宋体" w:eastAsia="宋体" w:cs="宋体"/>
          <w:b/>
          <w:color w:val="auto"/>
          <w:spacing w:val="6"/>
          <w:sz w:val="32"/>
          <w:szCs w:val="32"/>
          <w:highlight w:val="none"/>
        </w:rPr>
      </w:pPr>
    </w:p>
    <w:p w14:paraId="489AE4EB">
      <w:pPr>
        <w:autoSpaceDE w:val="0"/>
        <w:autoSpaceDN w:val="0"/>
        <w:jc w:val="center"/>
        <w:rPr>
          <w:rFonts w:ascii="宋体" w:hAnsi="宋体" w:eastAsia="宋体" w:cs="宋体"/>
          <w:b/>
          <w:color w:val="auto"/>
          <w:spacing w:val="6"/>
          <w:sz w:val="32"/>
          <w:szCs w:val="32"/>
          <w:highlight w:val="none"/>
        </w:rPr>
      </w:pPr>
    </w:p>
    <w:p w14:paraId="3754552D">
      <w:pPr>
        <w:autoSpaceDE w:val="0"/>
        <w:autoSpaceDN w:val="0"/>
        <w:jc w:val="center"/>
        <w:rPr>
          <w:rFonts w:ascii="宋体" w:hAnsi="宋体" w:eastAsia="宋体" w:cs="宋体"/>
          <w:b/>
          <w:color w:val="auto"/>
          <w:spacing w:val="6"/>
          <w:sz w:val="32"/>
          <w:szCs w:val="32"/>
          <w:highlight w:val="none"/>
        </w:rPr>
      </w:pPr>
    </w:p>
    <w:p w14:paraId="2C31EF34">
      <w:pPr>
        <w:autoSpaceDE w:val="0"/>
        <w:autoSpaceDN w:val="0"/>
        <w:jc w:val="center"/>
        <w:rPr>
          <w:rFonts w:ascii="宋体" w:hAnsi="宋体" w:eastAsia="宋体" w:cs="宋体"/>
          <w:b/>
          <w:color w:val="auto"/>
          <w:spacing w:val="6"/>
          <w:sz w:val="32"/>
          <w:szCs w:val="32"/>
          <w:highlight w:val="none"/>
        </w:rPr>
      </w:pPr>
    </w:p>
    <w:p w14:paraId="1F21FA29">
      <w:pPr>
        <w:autoSpaceDE w:val="0"/>
        <w:autoSpaceDN w:val="0"/>
        <w:jc w:val="center"/>
        <w:rPr>
          <w:rFonts w:ascii="宋体" w:hAnsi="宋体" w:eastAsia="宋体" w:cs="宋体"/>
          <w:b/>
          <w:color w:val="auto"/>
          <w:spacing w:val="6"/>
          <w:sz w:val="32"/>
          <w:szCs w:val="32"/>
          <w:highlight w:val="none"/>
        </w:rPr>
      </w:pPr>
    </w:p>
    <w:p w14:paraId="431CED0D">
      <w:pPr>
        <w:autoSpaceDE w:val="0"/>
        <w:autoSpaceDN w:val="0"/>
        <w:jc w:val="center"/>
        <w:rPr>
          <w:rFonts w:ascii="宋体" w:hAnsi="宋体" w:eastAsia="宋体" w:cs="宋体"/>
          <w:b/>
          <w:color w:val="auto"/>
          <w:spacing w:val="6"/>
          <w:sz w:val="32"/>
          <w:szCs w:val="32"/>
          <w:highlight w:val="none"/>
        </w:rPr>
      </w:pPr>
    </w:p>
    <w:p w14:paraId="230A1ABD">
      <w:pPr>
        <w:autoSpaceDE w:val="0"/>
        <w:autoSpaceDN w:val="0"/>
        <w:jc w:val="center"/>
        <w:rPr>
          <w:rFonts w:ascii="宋体" w:hAnsi="宋体" w:eastAsia="宋体" w:cs="宋体"/>
          <w:b/>
          <w:color w:val="auto"/>
          <w:spacing w:val="6"/>
          <w:sz w:val="32"/>
          <w:szCs w:val="32"/>
          <w:highlight w:val="none"/>
        </w:rPr>
      </w:pPr>
    </w:p>
    <w:p w14:paraId="55B1F1AF">
      <w:pPr>
        <w:autoSpaceDE w:val="0"/>
        <w:autoSpaceDN w:val="0"/>
        <w:jc w:val="center"/>
        <w:rPr>
          <w:rFonts w:ascii="宋体" w:hAnsi="宋体" w:eastAsia="宋体" w:cs="宋体"/>
          <w:b/>
          <w:color w:val="auto"/>
          <w:spacing w:val="6"/>
          <w:sz w:val="32"/>
          <w:szCs w:val="32"/>
          <w:highlight w:val="none"/>
        </w:rPr>
      </w:pPr>
    </w:p>
    <w:p w14:paraId="087C0445">
      <w:pPr>
        <w:autoSpaceDE w:val="0"/>
        <w:autoSpaceDN w:val="0"/>
        <w:jc w:val="center"/>
        <w:rPr>
          <w:rFonts w:ascii="宋体" w:hAnsi="宋体" w:eastAsia="宋体" w:cs="宋体"/>
          <w:b/>
          <w:color w:val="auto"/>
          <w:spacing w:val="6"/>
          <w:sz w:val="32"/>
          <w:szCs w:val="32"/>
          <w:highlight w:val="none"/>
        </w:rPr>
      </w:pPr>
    </w:p>
    <w:p w14:paraId="3AC80512">
      <w:pPr>
        <w:autoSpaceDE w:val="0"/>
        <w:autoSpaceDN w:val="0"/>
        <w:jc w:val="center"/>
        <w:rPr>
          <w:rFonts w:ascii="宋体" w:hAnsi="宋体" w:eastAsia="宋体" w:cs="宋体"/>
          <w:b/>
          <w:color w:val="auto"/>
          <w:spacing w:val="6"/>
          <w:sz w:val="32"/>
          <w:szCs w:val="32"/>
          <w:highlight w:val="none"/>
        </w:rPr>
      </w:pPr>
    </w:p>
    <w:p w14:paraId="22AFEFDE">
      <w:pPr>
        <w:autoSpaceDE w:val="0"/>
        <w:autoSpaceDN w:val="0"/>
        <w:jc w:val="center"/>
        <w:rPr>
          <w:rFonts w:ascii="宋体" w:hAnsi="宋体" w:eastAsia="宋体" w:cs="宋体"/>
          <w:b/>
          <w:color w:val="auto"/>
          <w:spacing w:val="6"/>
          <w:sz w:val="32"/>
          <w:szCs w:val="32"/>
          <w:highlight w:val="none"/>
        </w:rPr>
      </w:pPr>
    </w:p>
    <w:p w14:paraId="7CD06ADB">
      <w:pPr>
        <w:autoSpaceDE w:val="0"/>
        <w:autoSpaceDN w:val="0"/>
        <w:jc w:val="center"/>
        <w:rPr>
          <w:rFonts w:ascii="宋体" w:hAnsi="宋体" w:eastAsia="宋体" w:cs="宋体"/>
          <w:b/>
          <w:color w:val="auto"/>
          <w:spacing w:val="6"/>
          <w:sz w:val="32"/>
          <w:szCs w:val="32"/>
          <w:highlight w:val="none"/>
        </w:rPr>
      </w:pPr>
    </w:p>
    <w:p w14:paraId="2753E259">
      <w:pPr>
        <w:autoSpaceDE w:val="0"/>
        <w:autoSpaceDN w:val="0"/>
        <w:jc w:val="center"/>
        <w:rPr>
          <w:rFonts w:ascii="宋体" w:hAnsi="宋体" w:eastAsia="宋体" w:cs="宋体"/>
          <w:b/>
          <w:color w:val="auto"/>
          <w:spacing w:val="6"/>
          <w:sz w:val="32"/>
          <w:szCs w:val="32"/>
          <w:highlight w:val="none"/>
        </w:rPr>
      </w:pPr>
    </w:p>
    <w:p w14:paraId="34AF4562">
      <w:pPr>
        <w:autoSpaceDE w:val="0"/>
        <w:autoSpaceDN w:val="0"/>
        <w:jc w:val="center"/>
        <w:rPr>
          <w:rFonts w:ascii="宋体" w:hAnsi="宋体" w:eastAsia="宋体" w:cs="宋体"/>
          <w:b/>
          <w:color w:val="auto"/>
          <w:spacing w:val="6"/>
          <w:sz w:val="32"/>
          <w:szCs w:val="32"/>
          <w:highlight w:val="none"/>
        </w:rPr>
      </w:pPr>
    </w:p>
    <w:p w14:paraId="7BA1F884">
      <w:pPr>
        <w:autoSpaceDE w:val="0"/>
        <w:autoSpaceDN w:val="0"/>
        <w:jc w:val="center"/>
        <w:rPr>
          <w:rFonts w:ascii="宋体" w:hAnsi="宋体" w:eastAsia="宋体" w:cs="宋体"/>
          <w:b/>
          <w:color w:val="auto"/>
          <w:spacing w:val="6"/>
          <w:sz w:val="32"/>
          <w:szCs w:val="32"/>
          <w:highlight w:val="none"/>
        </w:rPr>
      </w:pPr>
    </w:p>
    <w:p w14:paraId="43248954">
      <w:pPr>
        <w:autoSpaceDE w:val="0"/>
        <w:autoSpaceDN w:val="0"/>
        <w:jc w:val="center"/>
        <w:rPr>
          <w:rFonts w:ascii="宋体" w:hAnsi="宋体" w:eastAsia="宋体" w:cs="宋体"/>
          <w:b/>
          <w:color w:val="auto"/>
          <w:spacing w:val="6"/>
          <w:sz w:val="32"/>
          <w:szCs w:val="32"/>
          <w:highlight w:val="none"/>
        </w:rPr>
      </w:pPr>
    </w:p>
    <w:p w14:paraId="119D6985">
      <w:pPr>
        <w:autoSpaceDE w:val="0"/>
        <w:autoSpaceDN w:val="0"/>
        <w:jc w:val="center"/>
        <w:rPr>
          <w:rFonts w:ascii="宋体" w:hAnsi="宋体" w:eastAsia="宋体" w:cs="宋体"/>
          <w:b/>
          <w:color w:val="auto"/>
          <w:spacing w:val="6"/>
          <w:sz w:val="32"/>
          <w:szCs w:val="32"/>
          <w:highlight w:val="none"/>
        </w:rPr>
      </w:pPr>
    </w:p>
    <w:p w14:paraId="286775B0">
      <w:pPr>
        <w:autoSpaceDE w:val="0"/>
        <w:autoSpaceDN w:val="0"/>
        <w:jc w:val="center"/>
        <w:rPr>
          <w:rFonts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w:t>
      </w:r>
      <w:r>
        <w:rPr>
          <w:rFonts w:ascii="宋体" w:hAnsi="宋体" w:eastAsia="宋体" w:cs="宋体"/>
          <w:b/>
          <w:color w:val="auto"/>
          <w:spacing w:val="6"/>
          <w:sz w:val="32"/>
          <w:szCs w:val="32"/>
          <w:highlight w:val="none"/>
        </w:rPr>
        <w:t>5</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lang w:val="zh-CN"/>
        </w:rPr>
        <w:t>联合协议</w:t>
      </w:r>
    </w:p>
    <w:p w14:paraId="3158D37C">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w:t>
      </w:r>
      <w:r>
        <w:rPr>
          <w:rFonts w:hint="eastAsia" w:ascii="宋体" w:hAnsi="宋体" w:cs="宋体"/>
          <w:b/>
          <w:color w:val="auto"/>
          <w:sz w:val="24"/>
          <w:highlight w:val="none"/>
          <w:lang w:eastAsia="zh-CN"/>
        </w:rPr>
        <w:t>供应商</w:t>
      </w:r>
      <w:r>
        <w:rPr>
          <w:rFonts w:hint="eastAsia" w:ascii="宋体" w:hAnsi="宋体" w:eastAsia="宋体" w:cs="宋体"/>
          <w:b/>
          <w:color w:val="auto"/>
          <w:sz w:val="24"/>
          <w:highlight w:val="none"/>
        </w:rPr>
        <w:t>不以联合体形式投标的，则不需要提供）</w:t>
      </w:r>
    </w:p>
    <w:p w14:paraId="600BCE25">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w:t>
      </w: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5AD5DE9F">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0D8AF1F9">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等均对联合投标各方产生约束力。</w:t>
      </w:r>
    </w:p>
    <w:p w14:paraId="78027EC7">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1E7E1F41">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179B488">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w:t>
      </w:r>
      <w:r>
        <w:rPr>
          <w:rFonts w:ascii="宋体" w:hAnsi="宋体" w:eastAsia="宋体" w:cs="宋体"/>
          <w:color w:val="auto"/>
          <w:kern w:val="0"/>
          <w:sz w:val="24"/>
          <w:highlight w:val="none"/>
          <w:u w:val="single"/>
        </w:rPr>
        <w:t>2</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FD4B707">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E1CFE42">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8F635E5">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415" w:name="_Hlk101131882"/>
      <w:r>
        <w:rPr>
          <w:rFonts w:hint="eastAsia" w:ascii="宋体" w:hAnsi="宋体" w:eastAsia="宋体" w:cs="宋体"/>
          <w:color w:val="auto"/>
          <w:kern w:val="0"/>
          <w:sz w:val="24"/>
          <w:highlight w:val="none"/>
          <w:u w:val="single"/>
        </w:rPr>
        <w:t>联合体成员X</w:t>
      </w:r>
      <w:r>
        <w:rPr>
          <w:rFonts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rPr>
        <w:t>……</w:t>
      </w:r>
      <w:bookmarkEnd w:id="415"/>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416"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416"/>
      <w:r>
        <w:rPr>
          <w:rFonts w:hint="eastAsia" w:ascii="宋体" w:hAnsi="宋体" w:eastAsia="宋体" w:cs="宋体"/>
          <w:b/>
          <w:color w:val="auto"/>
          <w:kern w:val="0"/>
          <w:sz w:val="24"/>
          <w:highlight w:val="none"/>
          <w:lang w:val="zh-CN"/>
        </w:rPr>
        <w:t>）</w:t>
      </w:r>
    </w:p>
    <w:p w14:paraId="57FA83A4">
      <w:pPr>
        <w:keepNext w:val="0"/>
        <w:keepLines w:val="0"/>
        <w:pageBreakBefore w:val="0"/>
        <w:kinsoku/>
        <w:wordWrap/>
        <w:overflowPunct/>
        <w:topLinePunct w:val="0"/>
        <w:autoSpaceDE/>
        <w:autoSpaceDN/>
        <w:bidi w:val="0"/>
        <w:adjustRightInd w:val="0"/>
        <w:spacing w:line="288" w:lineRule="auto"/>
        <w:ind w:firstLine="480" w:firstLineChars="200"/>
        <w:textAlignment w:val="auto"/>
        <w:rPr>
          <w:rFonts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17"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417"/>
    </w:p>
    <w:p w14:paraId="5E29FE9D">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365245A7">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324E2449">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1FF789C8">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12C5CFDB">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5C58F7C">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6BA5FE3F">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752D782E">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BAA7249">
      <w:pPr>
        <w:keepNext w:val="0"/>
        <w:keepLines w:val="0"/>
        <w:pageBreakBefore w:val="0"/>
        <w:kinsoku/>
        <w:wordWrap/>
        <w:overflowPunct/>
        <w:topLinePunct w:val="0"/>
        <w:autoSpaceDE/>
        <w:autoSpaceDN/>
        <w:bidi w:val="0"/>
        <w:adjustRightInd w:val="0"/>
        <w:snapToGrid w:val="0"/>
        <w:spacing w:line="288" w:lineRule="auto"/>
        <w:jc w:val="righ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5BF4FD8">
      <w:pPr>
        <w:snapToGrid w:val="0"/>
        <w:spacing w:line="360" w:lineRule="auto"/>
        <w:rPr>
          <w:rFonts w:ascii="宋体" w:hAnsi="宋体" w:eastAsia="宋体" w:cs="宋体"/>
          <w:b/>
          <w:color w:val="auto"/>
          <w:spacing w:val="6"/>
          <w:sz w:val="32"/>
          <w:szCs w:val="32"/>
          <w:highlight w:val="none"/>
        </w:rPr>
      </w:pPr>
      <w:r>
        <w:rPr>
          <w:rFonts w:hint="eastAsia" w:ascii="宋体" w:hAnsi="宋体" w:eastAsia="宋体" w:cs="宋体"/>
          <w:color w:val="auto"/>
          <w:sz w:val="24"/>
          <w:highlight w:val="none"/>
        </w:rPr>
        <w:t>注：按本格式和要求提供。</w:t>
      </w:r>
    </w:p>
    <w:p w14:paraId="07589FA9">
      <w:pPr>
        <w:widowControl/>
        <w:adjustRightInd/>
        <w:jc w:val="left"/>
        <w:rPr>
          <w:rFonts w:ascii="宋体" w:hAnsi="宋体" w:eastAsia="宋体" w:cs="宋体"/>
          <w:b/>
          <w:color w:val="auto"/>
          <w:spacing w:val="6"/>
          <w:sz w:val="32"/>
          <w:szCs w:val="32"/>
          <w:highlight w:val="none"/>
        </w:rPr>
      </w:pPr>
      <w:r>
        <w:rPr>
          <w:rFonts w:ascii="宋体" w:hAnsi="宋体" w:eastAsia="宋体" w:cs="宋体"/>
          <w:b/>
          <w:color w:val="auto"/>
          <w:spacing w:val="6"/>
          <w:sz w:val="32"/>
          <w:szCs w:val="32"/>
          <w:highlight w:val="none"/>
        </w:rPr>
        <w:br w:type="page"/>
      </w:r>
    </w:p>
    <w:p w14:paraId="45C108BA">
      <w:pPr>
        <w:spacing w:line="360" w:lineRule="auto"/>
        <w:jc w:val="left"/>
        <w:outlineLvl w:val="0"/>
        <w:rPr>
          <w:rFonts w:ascii="宋体" w:hAnsi="宋体" w:eastAsia="宋体" w:cs="宋体"/>
          <w:b/>
          <w:color w:val="auto"/>
          <w:sz w:val="36"/>
          <w:szCs w:val="20"/>
          <w:highlight w:val="none"/>
        </w:rPr>
      </w:pPr>
      <w:bookmarkStart w:id="418" w:name="_Toc25473"/>
      <w:r>
        <w:rPr>
          <w:rFonts w:hint="eastAsia" w:ascii="宋体" w:hAnsi="宋体" w:eastAsia="宋体" w:cs="宋体"/>
          <w:b/>
          <w:color w:val="auto"/>
          <w:sz w:val="36"/>
          <w:szCs w:val="20"/>
          <w:highlight w:val="none"/>
        </w:rPr>
        <w:t>附件</w:t>
      </w:r>
      <w:r>
        <w:rPr>
          <w:rFonts w:hint="eastAsia" w:ascii="宋体" w:hAnsi="宋体" w:cs="宋体"/>
          <w:b/>
          <w:color w:val="auto"/>
          <w:sz w:val="36"/>
          <w:szCs w:val="20"/>
          <w:highlight w:val="none"/>
          <w:lang w:val="en-US" w:eastAsia="zh-CN"/>
        </w:rPr>
        <w:t>6</w:t>
      </w:r>
      <w:r>
        <w:rPr>
          <w:rFonts w:hint="eastAsia" w:ascii="宋体" w:hAnsi="宋体" w:eastAsia="宋体" w:cs="宋体"/>
          <w:b/>
          <w:color w:val="auto"/>
          <w:sz w:val="36"/>
          <w:szCs w:val="20"/>
          <w:highlight w:val="none"/>
        </w:rPr>
        <w:t>：中小企业声明函</w:t>
      </w:r>
      <w:bookmarkEnd w:id="418"/>
    </w:p>
    <w:p w14:paraId="077AC03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ascii="宋体" w:hAnsi="宋体" w:eastAsia="宋体" w:cs="宋体"/>
          <w:b/>
          <w:color w:val="auto"/>
          <w:sz w:val="32"/>
          <w:szCs w:val="32"/>
          <w:highlight w:val="none"/>
        </w:rPr>
      </w:pPr>
      <w:bookmarkStart w:id="419" w:name="_Toc20847"/>
      <w:r>
        <w:rPr>
          <w:rFonts w:hint="eastAsia" w:ascii="宋体" w:hAnsi="宋体" w:eastAsia="宋体" w:cs="宋体"/>
          <w:b/>
          <w:color w:val="auto"/>
          <w:sz w:val="32"/>
          <w:szCs w:val="32"/>
          <w:highlight w:val="none"/>
        </w:rPr>
        <w:t>中小企业声明函（服务）</w:t>
      </w:r>
      <w:bookmarkEnd w:id="419"/>
    </w:p>
    <w:p w14:paraId="56777D41">
      <w:pPr>
        <w:keepNext w:val="0"/>
        <w:keepLines w:val="0"/>
        <w:pageBreakBefore w:val="0"/>
        <w:widowControl w:val="0"/>
        <w:kinsoku/>
        <w:wordWrap/>
        <w:overflowPunct/>
        <w:topLinePunct w:val="0"/>
        <w:autoSpaceDE/>
        <w:autoSpaceDN/>
        <w:bidi w:val="0"/>
        <w:adjustRightInd w:val="0"/>
        <w:snapToGrid/>
        <w:spacing w:line="288" w:lineRule="auto"/>
        <w:ind w:firstLine="360" w:firstLineChars="15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采购活动，工程的施工单位全部为符合政策要求的中小企业（或者：服务全部由符合政策要求的中小企业承接）。相关企业（含联合体中的中小企业）的具体情况如下：</w:t>
      </w:r>
    </w:p>
    <w:p w14:paraId="0BFBB559">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宁波市海曙区第三医院导医等服务外包项目</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其他未列明行业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112184DB">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宁波市海曙区第三医院导医等服务外包项目</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其他未列明行业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ED83E2C">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p w14:paraId="23FDDC43">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42C6695">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077BDA4">
      <w:pPr>
        <w:keepNext w:val="0"/>
        <w:keepLines w:val="0"/>
        <w:pageBreakBefore w:val="0"/>
        <w:widowControl w:val="0"/>
        <w:kinsoku/>
        <w:wordWrap/>
        <w:overflowPunct/>
        <w:topLinePunct w:val="0"/>
        <w:autoSpaceDE/>
        <w:autoSpaceDN/>
        <w:bidi w:val="0"/>
        <w:adjustRightInd w:val="0"/>
        <w:snapToGrid/>
        <w:spacing w:line="288" w:lineRule="auto"/>
        <w:ind w:right="1760"/>
        <w:jc w:val="right"/>
        <w:textAlignment w:val="auto"/>
        <w:rPr>
          <w:rFonts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名称（电子签名）：</w:t>
      </w:r>
    </w:p>
    <w:p w14:paraId="23ABD40D">
      <w:pPr>
        <w:keepNext w:val="0"/>
        <w:keepLines w:val="0"/>
        <w:pageBreakBefore w:val="0"/>
        <w:widowControl w:val="0"/>
        <w:kinsoku/>
        <w:wordWrap/>
        <w:overflowPunct/>
        <w:topLinePunct w:val="0"/>
        <w:autoSpaceDE/>
        <w:autoSpaceDN/>
        <w:bidi w:val="0"/>
        <w:adjustRightInd w:val="0"/>
        <w:snapToGrid/>
        <w:spacing w:line="288" w:lineRule="auto"/>
        <w:ind w:right="1120" w:firstLine="4680" w:firstLineChars="195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日 期：</w:t>
      </w:r>
    </w:p>
    <w:p w14:paraId="12C57B86">
      <w:pPr>
        <w:keepNext w:val="0"/>
        <w:keepLines w:val="0"/>
        <w:pageBreakBefore w:val="0"/>
        <w:widowControl w:val="0"/>
        <w:kinsoku/>
        <w:wordWrap/>
        <w:overflowPunct/>
        <w:topLinePunct w:val="0"/>
        <w:autoSpaceDE/>
        <w:autoSpaceDN/>
        <w:bidi w:val="0"/>
        <w:adjustRightInd w:val="0"/>
        <w:snapToGrid/>
        <w:spacing w:line="288" w:lineRule="auto"/>
        <w:ind w:firstLine="310" w:firstLineChars="147"/>
        <w:jc w:val="left"/>
        <w:textAlignment w:val="auto"/>
        <w:rPr>
          <w:rFonts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6831EB2A">
      <w:pPr>
        <w:keepNext w:val="0"/>
        <w:keepLines w:val="0"/>
        <w:pageBreakBefore w:val="0"/>
        <w:widowControl w:val="0"/>
        <w:kinsoku/>
        <w:wordWrap/>
        <w:overflowPunct/>
        <w:topLinePunct w:val="0"/>
        <w:autoSpaceDE/>
        <w:autoSpaceDN/>
        <w:bidi w:val="0"/>
        <w:adjustRightInd w:val="0"/>
        <w:snapToGrid/>
        <w:spacing w:line="288" w:lineRule="auto"/>
        <w:ind w:right="42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注：1、填写要求：①“标的名称”、“采购文件中明确的所属行业”依据招标文件第二部分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76BE6788">
      <w:pPr>
        <w:keepNext w:val="0"/>
        <w:keepLines w:val="0"/>
        <w:pageBreakBefore w:val="0"/>
        <w:widowControl w:val="0"/>
        <w:kinsoku/>
        <w:wordWrap/>
        <w:overflowPunct/>
        <w:topLinePunct w:val="0"/>
        <w:autoSpaceDE/>
        <w:autoSpaceDN/>
        <w:bidi w:val="0"/>
        <w:adjustRightInd w:val="0"/>
        <w:snapToGrid/>
        <w:spacing w:line="288" w:lineRule="auto"/>
        <w:ind w:right="420" w:firstLine="720" w:firstLineChars="3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提供由省级以上监狱管理局、戒毒管理局（含新疆生产建设兵团）出具的属于监狱企业证明文件的，视同为小型和微型企业。</w:t>
      </w:r>
    </w:p>
    <w:p w14:paraId="6E0DEC0F">
      <w:pPr>
        <w:keepNext w:val="0"/>
        <w:keepLines w:val="0"/>
        <w:pageBreakBefore w:val="0"/>
        <w:widowControl w:val="0"/>
        <w:kinsoku/>
        <w:wordWrap/>
        <w:overflowPunct/>
        <w:topLinePunct w:val="0"/>
        <w:autoSpaceDE/>
        <w:autoSpaceDN/>
        <w:bidi w:val="0"/>
        <w:adjustRightInd w:val="0"/>
        <w:snapToGrid/>
        <w:spacing w:line="288" w:lineRule="auto"/>
        <w:ind w:right="420" w:firstLine="720" w:firstLineChars="300"/>
        <w:textAlignment w:val="auto"/>
        <w:rPr>
          <w:rFonts w:ascii="宋体" w:hAnsi="宋体" w:cs="宋体"/>
          <w:bCs/>
          <w:color w:val="auto"/>
          <w:sz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cs="宋体"/>
          <w:color w:val="auto"/>
          <w:sz w:val="24"/>
          <w:highlight w:val="none"/>
          <w:u w:val="single"/>
          <w:lang w:val="en-US" w:eastAsia="zh-CN"/>
        </w:rPr>
        <w:t>其他未列明行业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w:t>
      </w:r>
      <w:r>
        <w:rPr>
          <w:rFonts w:hint="eastAsia" w:ascii="宋体" w:hAnsi="宋体" w:eastAsia="宋体" w:cs="宋体"/>
          <w:color w:val="auto"/>
          <w:kern w:val="2"/>
          <w:sz w:val="24"/>
          <w:szCs w:val="24"/>
          <w:highlight w:val="none"/>
          <w:lang w:val="en-US" w:eastAsia="zh-CN" w:bidi="ar"/>
        </w:rPr>
        <w:t>从业人员300人以下的为中小微型企业。其中，从业人员100人及以上的为中型企业；从业人员10人及以上的为小型企业；从业人员10人以下的为微型企业。</w:t>
      </w: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572D1">
    <w:pPr>
      <w:pStyle w:val="39"/>
      <w:framePr w:wrap="around" w:vAnchor="text" w:hAnchor="margin" w:xAlign="right" w:y="1"/>
      <w:rPr>
        <w:rStyle w:val="72"/>
      </w:rPr>
    </w:pPr>
    <w:r>
      <w:fldChar w:fldCharType="begin"/>
    </w:r>
    <w:r>
      <w:rPr>
        <w:rStyle w:val="72"/>
      </w:rPr>
      <w:instrText xml:space="preserve">PAGE  </w:instrText>
    </w:r>
    <w:r>
      <w:fldChar w:fldCharType="end"/>
    </w:r>
  </w:p>
  <w:p w14:paraId="340D710C">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2C562">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33</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71</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p w14:paraId="057A1B0F">
    <w:pPr>
      <w:rPr>
        <w:rFonts w:ascii="仿宋_GB2312" w:hAnsi="Times New Roman"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ABC85">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55</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71</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p w14:paraId="65A88AA7">
    <w:pPr>
      <w:rPr>
        <w:rFonts w:ascii="仿宋_GB2312" w:hAnsi="Times New Roman" w:eastAsia="仿宋_GB2312" w:cs="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61C36">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53</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71</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p w14:paraId="34F2CD09">
    <w:pPr>
      <w:rPr>
        <w:rFonts w:ascii="仿宋_GB2312" w:hAnsi="Times New Roman" w:eastAsia="仿宋_GB2312" w:cs="Times New Roma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C53FE">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58</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71</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p w14:paraId="093BDB09">
    <w:pPr>
      <w:rPr>
        <w:rFonts w:ascii="仿宋_GB2312" w:hAnsi="Times New Roman" w:eastAsia="仿宋_GB2312" w:cs="Times New Roma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3ECA">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57</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71</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p w14:paraId="6F39DFBB">
    <w:pPr>
      <w:rPr>
        <w:rFonts w:ascii="仿宋_GB2312" w:hAnsi="Times New Roman" w:eastAsia="仿宋_GB2312" w:cs="Times New Roman"/>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16EA1">
    <w:pPr>
      <w:pStyle w:val="39"/>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0D8DC">
                          <w:pPr>
                            <w:pStyle w:val="3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980D8DC">
                    <w:pPr>
                      <w:pStyle w:val="3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F60D3">
    <w:pPr>
      <w:pStyle w:val="39"/>
      <w:framePr w:wrap="around" w:vAnchor="text" w:hAnchor="margin" w:xAlign="right" w:y="1"/>
      <w:rPr>
        <w:rStyle w:val="72"/>
      </w:rPr>
    </w:pPr>
    <w:r>
      <w:fldChar w:fldCharType="begin"/>
    </w:r>
    <w:r>
      <w:rPr>
        <w:rStyle w:val="72"/>
      </w:rPr>
      <w:instrText xml:space="preserve">PAGE  </w:instrText>
    </w:r>
    <w:r>
      <w:fldChar w:fldCharType="end"/>
    </w:r>
  </w:p>
  <w:p w14:paraId="2A28D0D5">
    <w:pPr>
      <w:pStyle w:val="39"/>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7892B">
    <w:pPr>
      <w:pStyle w:val="39"/>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B5286">
                          <w:pPr>
                            <w:pStyle w:val="3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4DB5286">
                    <w:pPr>
                      <w:pStyle w:val="3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9D03">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6CDC4">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66CDC4">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7BB80">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FDFA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CFDFA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8A79F">
    <w:pPr>
      <w:pStyle w:val="39"/>
      <w:jc w:val="center"/>
    </w:pPr>
    <w:r>
      <w:fldChar w:fldCharType="begin"/>
    </w:r>
    <w:r>
      <w:rPr>
        <w:rStyle w:val="72"/>
      </w:rPr>
      <w:instrText xml:space="preserve"> PAGE </w:instrText>
    </w:r>
    <w:r>
      <w:fldChar w:fldCharType="separate"/>
    </w:r>
    <w:r>
      <w:rPr>
        <w:rStyle w:val="72"/>
      </w:rPr>
      <w:t>50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0FFB1">
    <w:pPr>
      <w:widowControl w:val="0"/>
      <w:adjustRightInd/>
      <w:snapToGrid w:val="0"/>
      <w:ind w:right="360" w:firstLine="360"/>
      <w:jc w:val="both"/>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0D0F3F">
                          <w:pPr>
                            <w:widowControl w:val="0"/>
                            <w:adjustRightInd/>
                            <w:snapToGrid w:val="0"/>
                            <w:jc w:val="both"/>
                            <w:rPr>
                              <w:rFonts w:hint="eastAsia" w:ascii="Times New Roman" w:hAnsi="Times New Roman" w:eastAsia="宋体" w:cs="Times New Roman"/>
                              <w:kern w:val="2"/>
                              <w:sz w:val="18"/>
                              <w:szCs w:val="24"/>
                              <w:lang w:val="en-US" w:eastAsia="zh-CN" w:bidi="ar-SA"/>
                            </w:rPr>
                          </w:pPr>
                          <w:r>
                            <w:rPr>
                              <w:rFonts w:hint="eastAsia" w:ascii="Times New Roman" w:hAnsi="Times New Roman" w:eastAsia="宋体" w:cs="Times New Roman"/>
                              <w:kern w:val="2"/>
                              <w:sz w:val="18"/>
                              <w:szCs w:val="24"/>
                              <w:lang w:val="en-US" w:eastAsia="zh-CN" w:bidi="ar-SA"/>
                            </w:rPr>
                            <w:fldChar w:fldCharType="begin"/>
                          </w:r>
                          <w:r>
                            <w:rPr>
                              <w:rFonts w:hint="eastAsia" w:ascii="Times New Roman" w:hAnsi="Times New Roman" w:eastAsia="宋体" w:cs="Times New Roman"/>
                              <w:kern w:val="2"/>
                              <w:sz w:val="18"/>
                              <w:szCs w:val="24"/>
                              <w:lang w:val="en-US" w:eastAsia="zh-CN" w:bidi="ar-SA"/>
                            </w:rPr>
                            <w:instrText xml:space="preserve"> PAGE  \* MERGEFORMAT </w:instrText>
                          </w:r>
                          <w:r>
                            <w:rPr>
                              <w:rFonts w:hint="eastAsia"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49</w:t>
                          </w:r>
                          <w:r>
                            <w:rPr>
                              <w:rFonts w:hint="eastAsia" w:ascii="Times New Roman" w:hAnsi="Times New Roman" w:eastAsia="宋体" w:cs="Times New Roman"/>
                              <w:kern w:val="2"/>
                              <w:sz w:val="18"/>
                              <w:szCs w:val="24"/>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0E0D0F3F">
                    <w:pPr>
                      <w:widowControl w:val="0"/>
                      <w:adjustRightInd/>
                      <w:snapToGrid w:val="0"/>
                      <w:jc w:val="both"/>
                      <w:rPr>
                        <w:rFonts w:hint="eastAsia" w:ascii="Times New Roman" w:hAnsi="Times New Roman" w:eastAsia="宋体" w:cs="Times New Roman"/>
                        <w:kern w:val="2"/>
                        <w:sz w:val="18"/>
                        <w:szCs w:val="24"/>
                        <w:lang w:val="en-US" w:eastAsia="zh-CN" w:bidi="ar-SA"/>
                      </w:rPr>
                    </w:pPr>
                    <w:r>
                      <w:rPr>
                        <w:rFonts w:hint="eastAsia" w:ascii="Times New Roman" w:hAnsi="Times New Roman" w:eastAsia="宋体" w:cs="Times New Roman"/>
                        <w:kern w:val="2"/>
                        <w:sz w:val="18"/>
                        <w:szCs w:val="24"/>
                        <w:lang w:val="en-US" w:eastAsia="zh-CN" w:bidi="ar-SA"/>
                      </w:rPr>
                      <w:fldChar w:fldCharType="begin"/>
                    </w:r>
                    <w:r>
                      <w:rPr>
                        <w:rFonts w:hint="eastAsia" w:ascii="Times New Roman" w:hAnsi="Times New Roman" w:eastAsia="宋体" w:cs="Times New Roman"/>
                        <w:kern w:val="2"/>
                        <w:sz w:val="18"/>
                        <w:szCs w:val="24"/>
                        <w:lang w:val="en-US" w:eastAsia="zh-CN" w:bidi="ar-SA"/>
                      </w:rPr>
                      <w:instrText xml:space="preserve"> PAGE  \* MERGEFORMAT </w:instrText>
                    </w:r>
                    <w:r>
                      <w:rPr>
                        <w:rFonts w:hint="eastAsia"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49</w:t>
                    </w:r>
                    <w:r>
                      <w:rPr>
                        <w:rFonts w:hint="eastAsia"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D639F">
    <w:pPr>
      <w:widowControl w:val="0"/>
      <w:adjustRightInd/>
      <w:snapToGrid w:val="0"/>
      <w:jc w:val="both"/>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3AE5FE">
                          <w:pPr>
                            <w:widowControl w:val="0"/>
                            <w:adjustRightInd/>
                            <w:snapToGrid w:val="0"/>
                            <w:jc w:val="both"/>
                            <w:rPr>
                              <w:rFonts w:hint="eastAsia" w:ascii="Times New Roman" w:hAnsi="Times New Roman" w:eastAsia="宋体" w:cs="Times New Roman"/>
                              <w:kern w:val="2"/>
                              <w:sz w:val="18"/>
                              <w:szCs w:val="24"/>
                              <w:lang w:val="en-US" w:eastAsia="zh-CN" w:bidi="ar-SA"/>
                            </w:rPr>
                          </w:pPr>
                          <w:r>
                            <w:rPr>
                              <w:rFonts w:hint="eastAsia" w:ascii="Times New Roman" w:hAnsi="Times New Roman" w:eastAsia="宋体" w:cs="Times New Roman"/>
                              <w:kern w:val="2"/>
                              <w:sz w:val="18"/>
                              <w:szCs w:val="24"/>
                              <w:lang w:val="en-US" w:eastAsia="zh-CN" w:bidi="ar-SA"/>
                            </w:rPr>
                            <w:fldChar w:fldCharType="begin"/>
                          </w:r>
                          <w:r>
                            <w:rPr>
                              <w:rFonts w:hint="eastAsia" w:ascii="Times New Roman" w:hAnsi="Times New Roman" w:eastAsia="宋体" w:cs="Times New Roman"/>
                              <w:kern w:val="2"/>
                              <w:sz w:val="18"/>
                              <w:szCs w:val="24"/>
                              <w:lang w:val="en-US" w:eastAsia="zh-CN" w:bidi="ar-SA"/>
                            </w:rPr>
                            <w:instrText xml:space="preserve"> PAGE  \* MERGEFORMAT </w:instrText>
                          </w:r>
                          <w:r>
                            <w:rPr>
                              <w:rFonts w:hint="eastAsia"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58</w:t>
                          </w:r>
                          <w:r>
                            <w:rPr>
                              <w:rFonts w:hint="eastAsia" w:ascii="Times New Roman" w:hAnsi="Times New Roman" w:eastAsia="宋体" w:cs="Times New Roman"/>
                              <w:kern w:val="2"/>
                              <w:sz w:val="18"/>
                              <w:szCs w:val="24"/>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243AE5FE">
                    <w:pPr>
                      <w:widowControl w:val="0"/>
                      <w:adjustRightInd/>
                      <w:snapToGrid w:val="0"/>
                      <w:jc w:val="both"/>
                      <w:rPr>
                        <w:rFonts w:hint="eastAsia" w:ascii="Times New Roman" w:hAnsi="Times New Roman" w:eastAsia="宋体" w:cs="Times New Roman"/>
                        <w:kern w:val="2"/>
                        <w:sz w:val="18"/>
                        <w:szCs w:val="24"/>
                        <w:lang w:val="en-US" w:eastAsia="zh-CN" w:bidi="ar-SA"/>
                      </w:rPr>
                    </w:pPr>
                    <w:r>
                      <w:rPr>
                        <w:rFonts w:hint="eastAsia" w:ascii="Times New Roman" w:hAnsi="Times New Roman" w:eastAsia="宋体" w:cs="Times New Roman"/>
                        <w:kern w:val="2"/>
                        <w:sz w:val="18"/>
                        <w:szCs w:val="24"/>
                        <w:lang w:val="en-US" w:eastAsia="zh-CN" w:bidi="ar-SA"/>
                      </w:rPr>
                      <w:fldChar w:fldCharType="begin"/>
                    </w:r>
                    <w:r>
                      <w:rPr>
                        <w:rFonts w:hint="eastAsia" w:ascii="Times New Roman" w:hAnsi="Times New Roman" w:eastAsia="宋体" w:cs="Times New Roman"/>
                        <w:kern w:val="2"/>
                        <w:sz w:val="18"/>
                        <w:szCs w:val="24"/>
                        <w:lang w:val="en-US" w:eastAsia="zh-CN" w:bidi="ar-SA"/>
                      </w:rPr>
                      <w:instrText xml:space="preserve"> PAGE  \* MERGEFORMAT </w:instrText>
                    </w:r>
                    <w:r>
                      <w:rPr>
                        <w:rFonts w:hint="eastAsia"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58</w:t>
                    </w:r>
                    <w:r>
                      <w:rPr>
                        <w:rFonts w:hint="eastAsia"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D94CC">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971D5">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2971D5">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EB572">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D9312">
                          <w:pPr>
                            <w:pStyle w:val="3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2BD9312">
                    <w:pPr>
                      <w:pStyle w:val="3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7A182">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52</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71</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p w14:paraId="5A581F90">
    <w:pPr>
      <w:rPr>
        <w:rFonts w:ascii="仿宋_GB2312" w:hAnsi="Times New Roman" w:eastAsia="仿宋_GB2312"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E77AC">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E2727">
    <w:pPr>
      <w:pStyle w:val="40"/>
      <w:rPr>
        <w:lang w:val="en-US"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06B3">
    <w:pPr>
      <w:rPr>
        <w:rFonts w:ascii="仿宋_GB2312" w:hAnsi="Times New Roman" w:eastAsia="仿宋_GB2312" w:cs="Times New Roman"/>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612C3">
    <w:pPr>
      <w:pStyle w:val="40"/>
      <w:rPr>
        <w:lang w:val="en-US"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1AAD9">
    <w:pPr>
      <w:pStyle w:val="40"/>
      <w:jc w:val="right"/>
      <w:rPr>
        <w:rFonts w:ascii="仿宋_GB2312" w:eastAsia="仿宋_GB2312"/>
        <w:b/>
        <w:i/>
        <w:iCs/>
        <w:u w:val="single"/>
      </w:rPr>
    </w:pPr>
    <w:r>
      <w:t>政府采购公开招标文件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5E182">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DC41B">
    <w:pPr>
      <w:pStyle w:val="4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2EF5">
    <w:pPr>
      <w:widowControl w:val="0"/>
      <w:pBdr>
        <w:bottom w:val="none" w:color="auto" w:sz="0" w:space="0"/>
      </w:pBdr>
      <w:adjustRightInd/>
      <w:snapToGrid w:val="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83561">
    <w:pPr>
      <w:pBdr>
        <w:bottom w:val="none" w:color="auto" w:sz="0" w:space="1"/>
      </w:pBdr>
      <w:snapToGrid w:val="0"/>
      <w:jc w:val="left"/>
      <w:rPr>
        <w:rFonts w:ascii="Times New Roman" w:hAnsi="Times New Roman" w:eastAsia="宋体" w:cs="Times New Roman"/>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2678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61408">
    <w:pPr>
      <w:pStyle w:val="40"/>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C949F">
    <w:pPr>
      <w:widowControl w:val="0"/>
      <w:pBdr>
        <w:bottom w:val="single" w:color="auto" w:sz="6" w:space="1"/>
      </w:pBdr>
      <w:adjustRightInd w:val="0"/>
      <w:snapToGrid w:val="0"/>
      <w:jc w:val="center"/>
      <w:rPr>
        <w:rFonts w:ascii="仿宋_GB2312" w:hAnsi="Times New Roman" w:eastAsia="仿宋_GB2312" w:cs="Times New Roman"/>
        <w:b/>
        <w:i/>
        <w:kern w:val="2"/>
        <w:sz w:val="18"/>
        <w:szCs w:val="18"/>
        <w:u w:val="single"/>
        <w:lang w:val="en-US" w:eastAsia="zh-CN" w:bidi="ar-SA"/>
      </w:rPr>
    </w:pPr>
    <w:r>
      <w:rPr>
        <w:rFonts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 xml:space="preserve">                                                  </w:t>
    </w:r>
    <w:r>
      <w:rPr>
        <w:rFonts w:ascii="Times New Roman" w:hAnsi="Times New Roman" w:eastAsia="宋体"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w:t>
    </w:r>
    <w:r>
      <w:rPr>
        <w:rFonts w:ascii="Times New Roman" w:hAnsi="Times New Roman" w:eastAsia="宋体" w:cs="Times New Roman"/>
        <w:kern w:val="2"/>
        <w:sz w:val="18"/>
        <w:szCs w:val="18"/>
        <w:lang w:val="en-US" w:eastAsia="zh-CN" w:bidi="ar-SA"/>
      </w:rPr>
      <w:t>政府采购公开招标文件</w:t>
    </w:r>
  </w:p>
  <w:p w14:paraId="13CEE619">
    <w:pPr>
      <w:rPr>
        <w:rFonts w:ascii="仿宋_GB2312" w:hAnsi="Times New Roman" w:eastAsia="仿宋_GB2312" w:cs="Times New Roman"/>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73197">
    <w:pPr>
      <w:pStyle w:val="40"/>
      <w:rPr>
        <w:lang w:val="en-US"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3F9E3">
    <w:pPr>
      <w:rPr>
        <w:rFonts w:ascii="仿宋_GB2312" w:hAnsi="Times New Roman" w:eastAsia="仿宋_GB2312" w:cs="Times New Roman"/>
        <w:b/>
        <w:i/>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3F8C"/>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63D"/>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C94"/>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E3E86"/>
    <w:rsid w:val="01D55165"/>
    <w:rsid w:val="01DF6BF8"/>
    <w:rsid w:val="01EC2C57"/>
    <w:rsid w:val="02391DB4"/>
    <w:rsid w:val="025F0711"/>
    <w:rsid w:val="026B2E25"/>
    <w:rsid w:val="02824D4D"/>
    <w:rsid w:val="02DC4B10"/>
    <w:rsid w:val="02DD76CE"/>
    <w:rsid w:val="02E1466A"/>
    <w:rsid w:val="02F36323"/>
    <w:rsid w:val="02F5619C"/>
    <w:rsid w:val="0326446A"/>
    <w:rsid w:val="032D5555"/>
    <w:rsid w:val="036634D2"/>
    <w:rsid w:val="03DD35E4"/>
    <w:rsid w:val="04076900"/>
    <w:rsid w:val="04180FB7"/>
    <w:rsid w:val="041A5A3B"/>
    <w:rsid w:val="042311BA"/>
    <w:rsid w:val="042B157A"/>
    <w:rsid w:val="04870556"/>
    <w:rsid w:val="048F763B"/>
    <w:rsid w:val="049F330E"/>
    <w:rsid w:val="04AA775C"/>
    <w:rsid w:val="04AF1889"/>
    <w:rsid w:val="04B4371C"/>
    <w:rsid w:val="04F66F48"/>
    <w:rsid w:val="05251E14"/>
    <w:rsid w:val="05A16594"/>
    <w:rsid w:val="05A7762D"/>
    <w:rsid w:val="05AD6EA9"/>
    <w:rsid w:val="05E24CD4"/>
    <w:rsid w:val="060A1079"/>
    <w:rsid w:val="060B66D9"/>
    <w:rsid w:val="060E5941"/>
    <w:rsid w:val="06110FAF"/>
    <w:rsid w:val="06461E34"/>
    <w:rsid w:val="06493CA7"/>
    <w:rsid w:val="06514D14"/>
    <w:rsid w:val="065A6178"/>
    <w:rsid w:val="066F1CF3"/>
    <w:rsid w:val="06930BB8"/>
    <w:rsid w:val="06A71811"/>
    <w:rsid w:val="06AD1A86"/>
    <w:rsid w:val="06E567CC"/>
    <w:rsid w:val="06F723B4"/>
    <w:rsid w:val="06FF1A4F"/>
    <w:rsid w:val="07245D42"/>
    <w:rsid w:val="07264C62"/>
    <w:rsid w:val="0779354C"/>
    <w:rsid w:val="07972AF0"/>
    <w:rsid w:val="07AA0018"/>
    <w:rsid w:val="07C1191B"/>
    <w:rsid w:val="07E63C6A"/>
    <w:rsid w:val="08061376"/>
    <w:rsid w:val="08452D77"/>
    <w:rsid w:val="086401F8"/>
    <w:rsid w:val="08751CAA"/>
    <w:rsid w:val="087E4C40"/>
    <w:rsid w:val="08A871D0"/>
    <w:rsid w:val="08D66AD6"/>
    <w:rsid w:val="08DA33A3"/>
    <w:rsid w:val="08E80F13"/>
    <w:rsid w:val="08E9737B"/>
    <w:rsid w:val="091F2D9D"/>
    <w:rsid w:val="09335624"/>
    <w:rsid w:val="0944690F"/>
    <w:rsid w:val="09535675"/>
    <w:rsid w:val="095F057D"/>
    <w:rsid w:val="09642282"/>
    <w:rsid w:val="096D1D28"/>
    <w:rsid w:val="09733572"/>
    <w:rsid w:val="09772C16"/>
    <w:rsid w:val="098353B5"/>
    <w:rsid w:val="099C551D"/>
    <w:rsid w:val="09A92330"/>
    <w:rsid w:val="09B06B87"/>
    <w:rsid w:val="09C13146"/>
    <w:rsid w:val="09E04166"/>
    <w:rsid w:val="0A1C0718"/>
    <w:rsid w:val="0A3E7710"/>
    <w:rsid w:val="0A5B7E63"/>
    <w:rsid w:val="0A89404A"/>
    <w:rsid w:val="0AA374A5"/>
    <w:rsid w:val="0AAB7649"/>
    <w:rsid w:val="0ABC5606"/>
    <w:rsid w:val="0AE218EC"/>
    <w:rsid w:val="0AEB38CD"/>
    <w:rsid w:val="0B30404E"/>
    <w:rsid w:val="0B4C6C14"/>
    <w:rsid w:val="0B547599"/>
    <w:rsid w:val="0B631A88"/>
    <w:rsid w:val="0B683D45"/>
    <w:rsid w:val="0B7B63A2"/>
    <w:rsid w:val="0B7F3F11"/>
    <w:rsid w:val="0B8323F1"/>
    <w:rsid w:val="0B884417"/>
    <w:rsid w:val="0B9A3096"/>
    <w:rsid w:val="0BD643AC"/>
    <w:rsid w:val="0BF6188C"/>
    <w:rsid w:val="0BF73C91"/>
    <w:rsid w:val="0C001BD6"/>
    <w:rsid w:val="0C170175"/>
    <w:rsid w:val="0C571A41"/>
    <w:rsid w:val="0C5C1171"/>
    <w:rsid w:val="0C5E1CBC"/>
    <w:rsid w:val="0C615B50"/>
    <w:rsid w:val="0C8445DA"/>
    <w:rsid w:val="0C87121B"/>
    <w:rsid w:val="0CC007F7"/>
    <w:rsid w:val="0CC311CB"/>
    <w:rsid w:val="0CC617AC"/>
    <w:rsid w:val="0CE618DF"/>
    <w:rsid w:val="0CFE707A"/>
    <w:rsid w:val="0D063BDA"/>
    <w:rsid w:val="0D08375F"/>
    <w:rsid w:val="0D184CFB"/>
    <w:rsid w:val="0D4A7419"/>
    <w:rsid w:val="0D827401"/>
    <w:rsid w:val="0D84094E"/>
    <w:rsid w:val="0D847E39"/>
    <w:rsid w:val="0D8A00E9"/>
    <w:rsid w:val="0D8D589E"/>
    <w:rsid w:val="0DA01C73"/>
    <w:rsid w:val="0DD63300"/>
    <w:rsid w:val="0DF50604"/>
    <w:rsid w:val="0DF702FE"/>
    <w:rsid w:val="0E0525DF"/>
    <w:rsid w:val="0E060E51"/>
    <w:rsid w:val="0E5604B2"/>
    <w:rsid w:val="0E641154"/>
    <w:rsid w:val="0E6D5D79"/>
    <w:rsid w:val="0E7D7110"/>
    <w:rsid w:val="0E9D0089"/>
    <w:rsid w:val="0EB803EE"/>
    <w:rsid w:val="0EF94D4B"/>
    <w:rsid w:val="0F4958DC"/>
    <w:rsid w:val="0F515DF7"/>
    <w:rsid w:val="0F596BA8"/>
    <w:rsid w:val="0F6248D2"/>
    <w:rsid w:val="0F693536"/>
    <w:rsid w:val="0F7B0511"/>
    <w:rsid w:val="0F7B76D9"/>
    <w:rsid w:val="0F816ACD"/>
    <w:rsid w:val="0F9832DB"/>
    <w:rsid w:val="0FA9345E"/>
    <w:rsid w:val="0FBF3FD2"/>
    <w:rsid w:val="0FBF7FF3"/>
    <w:rsid w:val="0FFA1E6E"/>
    <w:rsid w:val="1038137C"/>
    <w:rsid w:val="10516B48"/>
    <w:rsid w:val="10646583"/>
    <w:rsid w:val="107D4B15"/>
    <w:rsid w:val="108A3C80"/>
    <w:rsid w:val="10C26171"/>
    <w:rsid w:val="10E23F93"/>
    <w:rsid w:val="10F33360"/>
    <w:rsid w:val="10FC16EA"/>
    <w:rsid w:val="110F1D40"/>
    <w:rsid w:val="11266F33"/>
    <w:rsid w:val="118963A1"/>
    <w:rsid w:val="11A379BF"/>
    <w:rsid w:val="11A622AD"/>
    <w:rsid w:val="11C6522A"/>
    <w:rsid w:val="11E104CC"/>
    <w:rsid w:val="11E20309"/>
    <w:rsid w:val="121D042A"/>
    <w:rsid w:val="12255233"/>
    <w:rsid w:val="12371157"/>
    <w:rsid w:val="12530213"/>
    <w:rsid w:val="126516D7"/>
    <w:rsid w:val="127723A9"/>
    <w:rsid w:val="12862074"/>
    <w:rsid w:val="12883966"/>
    <w:rsid w:val="129E45B4"/>
    <w:rsid w:val="12D81596"/>
    <w:rsid w:val="12DC04D9"/>
    <w:rsid w:val="13072A44"/>
    <w:rsid w:val="13422BBC"/>
    <w:rsid w:val="135F4BE2"/>
    <w:rsid w:val="139B1A0A"/>
    <w:rsid w:val="139D25C7"/>
    <w:rsid w:val="13BF3CE4"/>
    <w:rsid w:val="13C4740A"/>
    <w:rsid w:val="141008D8"/>
    <w:rsid w:val="14125FE6"/>
    <w:rsid w:val="146D271E"/>
    <w:rsid w:val="14982588"/>
    <w:rsid w:val="149A5AD9"/>
    <w:rsid w:val="14A7619D"/>
    <w:rsid w:val="150536C3"/>
    <w:rsid w:val="150C1963"/>
    <w:rsid w:val="151447A0"/>
    <w:rsid w:val="154A6454"/>
    <w:rsid w:val="15762120"/>
    <w:rsid w:val="15874B6C"/>
    <w:rsid w:val="15996BA8"/>
    <w:rsid w:val="15A90642"/>
    <w:rsid w:val="15BE7B9E"/>
    <w:rsid w:val="164724A2"/>
    <w:rsid w:val="16A8729C"/>
    <w:rsid w:val="16B33777"/>
    <w:rsid w:val="16B54D41"/>
    <w:rsid w:val="16BC70A7"/>
    <w:rsid w:val="16BD6448"/>
    <w:rsid w:val="16C6339E"/>
    <w:rsid w:val="172632C0"/>
    <w:rsid w:val="172F2D79"/>
    <w:rsid w:val="17557BEF"/>
    <w:rsid w:val="17AD6883"/>
    <w:rsid w:val="17D349C1"/>
    <w:rsid w:val="17EA484B"/>
    <w:rsid w:val="1830729E"/>
    <w:rsid w:val="183115D3"/>
    <w:rsid w:val="1870062C"/>
    <w:rsid w:val="18817102"/>
    <w:rsid w:val="18830A15"/>
    <w:rsid w:val="18852B28"/>
    <w:rsid w:val="188B5321"/>
    <w:rsid w:val="19932372"/>
    <w:rsid w:val="19A20DD5"/>
    <w:rsid w:val="19AE03F1"/>
    <w:rsid w:val="19E852CE"/>
    <w:rsid w:val="1A02029D"/>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05CAD"/>
    <w:rsid w:val="1BD75AB8"/>
    <w:rsid w:val="1C0459C2"/>
    <w:rsid w:val="1C1B3B4A"/>
    <w:rsid w:val="1C501C11"/>
    <w:rsid w:val="1C5E0883"/>
    <w:rsid w:val="1C7C75B6"/>
    <w:rsid w:val="1C88086E"/>
    <w:rsid w:val="1D1F41AA"/>
    <w:rsid w:val="1D266CE1"/>
    <w:rsid w:val="1D3963AF"/>
    <w:rsid w:val="1D6A673C"/>
    <w:rsid w:val="1D816BAA"/>
    <w:rsid w:val="1D9247AE"/>
    <w:rsid w:val="1DB567EC"/>
    <w:rsid w:val="1DF51A98"/>
    <w:rsid w:val="1E3D060F"/>
    <w:rsid w:val="1E3F7D2E"/>
    <w:rsid w:val="1E4134E4"/>
    <w:rsid w:val="1E5062B3"/>
    <w:rsid w:val="1E523514"/>
    <w:rsid w:val="1E5A7E63"/>
    <w:rsid w:val="1E714A66"/>
    <w:rsid w:val="1E7E4B31"/>
    <w:rsid w:val="1E802593"/>
    <w:rsid w:val="1E8B6156"/>
    <w:rsid w:val="1EA703CC"/>
    <w:rsid w:val="1EB7330C"/>
    <w:rsid w:val="1EFC79EE"/>
    <w:rsid w:val="1F0A0FF3"/>
    <w:rsid w:val="1F5771FF"/>
    <w:rsid w:val="1F7E4A03"/>
    <w:rsid w:val="1FD52DD5"/>
    <w:rsid w:val="1FE868A9"/>
    <w:rsid w:val="20034907"/>
    <w:rsid w:val="20173E4B"/>
    <w:rsid w:val="204E48BC"/>
    <w:rsid w:val="208921B3"/>
    <w:rsid w:val="20973DEB"/>
    <w:rsid w:val="20B26522"/>
    <w:rsid w:val="20B44310"/>
    <w:rsid w:val="20F14799"/>
    <w:rsid w:val="211116EB"/>
    <w:rsid w:val="216133FC"/>
    <w:rsid w:val="21D56769"/>
    <w:rsid w:val="21E52EF3"/>
    <w:rsid w:val="21FB5D7B"/>
    <w:rsid w:val="22015E94"/>
    <w:rsid w:val="220B1C3D"/>
    <w:rsid w:val="22160DFE"/>
    <w:rsid w:val="221D1D20"/>
    <w:rsid w:val="22334A87"/>
    <w:rsid w:val="229C3379"/>
    <w:rsid w:val="22BE6801"/>
    <w:rsid w:val="233500BF"/>
    <w:rsid w:val="23377FF7"/>
    <w:rsid w:val="236B425F"/>
    <w:rsid w:val="23836192"/>
    <w:rsid w:val="23842A43"/>
    <w:rsid w:val="23901F29"/>
    <w:rsid w:val="239C0061"/>
    <w:rsid w:val="23AA3BD3"/>
    <w:rsid w:val="23B908A4"/>
    <w:rsid w:val="23E95BEF"/>
    <w:rsid w:val="23FD0064"/>
    <w:rsid w:val="241466D8"/>
    <w:rsid w:val="245216A8"/>
    <w:rsid w:val="245375B0"/>
    <w:rsid w:val="24642C0A"/>
    <w:rsid w:val="24A07F95"/>
    <w:rsid w:val="24B22173"/>
    <w:rsid w:val="24B95AD9"/>
    <w:rsid w:val="24BE24DA"/>
    <w:rsid w:val="24CF5825"/>
    <w:rsid w:val="24D663E6"/>
    <w:rsid w:val="24D77F2B"/>
    <w:rsid w:val="24EF1767"/>
    <w:rsid w:val="25184E18"/>
    <w:rsid w:val="258B00E2"/>
    <w:rsid w:val="25905ECE"/>
    <w:rsid w:val="25965FB8"/>
    <w:rsid w:val="25A917A6"/>
    <w:rsid w:val="25BB4B84"/>
    <w:rsid w:val="25BE27CC"/>
    <w:rsid w:val="25F74A5C"/>
    <w:rsid w:val="2628662C"/>
    <w:rsid w:val="262D45DE"/>
    <w:rsid w:val="26871DC8"/>
    <w:rsid w:val="26A53EF9"/>
    <w:rsid w:val="26A94201"/>
    <w:rsid w:val="26AC274F"/>
    <w:rsid w:val="26F443EF"/>
    <w:rsid w:val="27044A29"/>
    <w:rsid w:val="271D34C8"/>
    <w:rsid w:val="275525FD"/>
    <w:rsid w:val="276142BF"/>
    <w:rsid w:val="27783712"/>
    <w:rsid w:val="27907362"/>
    <w:rsid w:val="27A12029"/>
    <w:rsid w:val="281E2337"/>
    <w:rsid w:val="281F6A1F"/>
    <w:rsid w:val="28333E1D"/>
    <w:rsid w:val="28454BD6"/>
    <w:rsid w:val="28455253"/>
    <w:rsid w:val="28551971"/>
    <w:rsid w:val="285B1C53"/>
    <w:rsid w:val="289F7086"/>
    <w:rsid w:val="28C32028"/>
    <w:rsid w:val="28C411E9"/>
    <w:rsid w:val="28CC490F"/>
    <w:rsid w:val="28DE40AA"/>
    <w:rsid w:val="29345E77"/>
    <w:rsid w:val="294C65AD"/>
    <w:rsid w:val="29806583"/>
    <w:rsid w:val="298B3C4C"/>
    <w:rsid w:val="29F26D24"/>
    <w:rsid w:val="29F83490"/>
    <w:rsid w:val="2A080B08"/>
    <w:rsid w:val="2A15033F"/>
    <w:rsid w:val="2A1662C1"/>
    <w:rsid w:val="2A1C7367"/>
    <w:rsid w:val="2A2815FA"/>
    <w:rsid w:val="2A327654"/>
    <w:rsid w:val="2A6D6092"/>
    <w:rsid w:val="2A7724A8"/>
    <w:rsid w:val="2A7D76B4"/>
    <w:rsid w:val="2A86286C"/>
    <w:rsid w:val="2A88352E"/>
    <w:rsid w:val="2AA80AEB"/>
    <w:rsid w:val="2ABA02DC"/>
    <w:rsid w:val="2AD215EC"/>
    <w:rsid w:val="2ADD659C"/>
    <w:rsid w:val="2B0E7AB2"/>
    <w:rsid w:val="2B223791"/>
    <w:rsid w:val="2B2A7904"/>
    <w:rsid w:val="2B437463"/>
    <w:rsid w:val="2B6407D9"/>
    <w:rsid w:val="2B675BC2"/>
    <w:rsid w:val="2B7807EE"/>
    <w:rsid w:val="2BA50BF7"/>
    <w:rsid w:val="2BB334D1"/>
    <w:rsid w:val="2BBF00EC"/>
    <w:rsid w:val="2BC37CFD"/>
    <w:rsid w:val="2BCE7FDF"/>
    <w:rsid w:val="2BD5237F"/>
    <w:rsid w:val="2BE536CE"/>
    <w:rsid w:val="2BE758D9"/>
    <w:rsid w:val="2C09049E"/>
    <w:rsid w:val="2C0A653C"/>
    <w:rsid w:val="2C191F85"/>
    <w:rsid w:val="2C5F50DB"/>
    <w:rsid w:val="2CE82D6F"/>
    <w:rsid w:val="2D343236"/>
    <w:rsid w:val="2D3E3598"/>
    <w:rsid w:val="2D4B565F"/>
    <w:rsid w:val="2D5C23F2"/>
    <w:rsid w:val="2DD15014"/>
    <w:rsid w:val="2DF72DE4"/>
    <w:rsid w:val="2E0220AF"/>
    <w:rsid w:val="2E4B082A"/>
    <w:rsid w:val="2E5D4E86"/>
    <w:rsid w:val="2E5D790B"/>
    <w:rsid w:val="2E9A3C18"/>
    <w:rsid w:val="2EBB0FEE"/>
    <w:rsid w:val="2EC63002"/>
    <w:rsid w:val="2F0A6B38"/>
    <w:rsid w:val="2F227C79"/>
    <w:rsid w:val="2F946CCB"/>
    <w:rsid w:val="2FD25781"/>
    <w:rsid w:val="2FDC745C"/>
    <w:rsid w:val="2FFD7934"/>
    <w:rsid w:val="30733ACD"/>
    <w:rsid w:val="308C3862"/>
    <w:rsid w:val="309379D8"/>
    <w:rsid w:val="30A270F7"/>
    <w:rsid w:val="30DF1478"/>
    <w:rsid w:val="30EC586F"/>
    <w:rsid w:val="314550B7"/>
    <w:rsid w:val="319B0ABF"/>
    <w:rsid w:val="319C6071"/>
    <w:rsid w:val="31AC537E"/>
    <w:rsid w:val="31E3679B"/>
    <w:rsid w:val="31E732FD"/>
    <w:rsid w:val="32517576"/>
    <w:rsid w:val="327E3EF6"/>
    <w:rsid w:val="32931D93"/>
    <w:rsid w:val="32BE5C2C"/>
    <w:rsid w:val="32BF4B25"/>
    <w:rsid w:val="32FB6478"/>
    <w:rsid w:val="33263B3F"/>
    <w:rsid w:val="334D2835"/>
    <w:rsid w:val="336963EB"/>
    <w:rsid w:val="33816EEB"/>
    <w:rsid w:val="338B3AAE"/>
    <w:rsid w:val="33EB55CD"/>
    <w:rsid w:val="33EC4C02"/>
    <w:rsid w:val="340D2360"/>
    <w:rsid w:val="3410665D"/>
    <w:rsid w:val="34211214"/>
    <w:rsid w:val="342E63AB"/>
    <w:rsid w:val="34675AF4"/>
    <w:rsid w:val="34950E68"/>
    <w:rsid w:val="34986E94"/>
    <w:rsid w:val="34AF62C9"/>
    <w:rsid w:val="34CB4388"/>
    <w:rsid w:val="34FA6E12"/>
    <w:rsid w:val="35457E70"/>
    <w:rsid w:val="354D7158"/>
    <w:rsid w:val="358D5588"/>
    <w:rsid w:val="363A3B40"/>
    <w:rsid w:val="363A7792"/>
    <w:rsid w:val="364D7FCD"/>
    <w:rsid w:val="365302AE"/>
    <w:rsid w:val="365E7EEC"/>
    <w:rsid w:val="36607A0A"/>
    <w:rsid w:val="366E227C"/>
    <w:rsid w:val="366F2E0D"/>
    <w:rsid w:val="367B6A5C"/>
    <w:rsid w:val="36A74ADA"/>
    <w:rsid w:val="36AD60D5"/>
    <w:rsid w:val="36B224F9"/>
    <w:rsid w:val="36E06005"/>
    <w:rsid w:val="36EC0CC9"/>
    <w:rsid w:val="36F6277F"/>
    <w:rsid w:val="373F410B"/>
    <w:rsid w:val="376C2447"/>
    <w:rsid w:val="37EE7094"/>
    <w:rsid w:val="38296C89"/>
    <w:rsid w:val="383002EB"/>
    <w:rsid w:val="383450C4"/>
    <w:rsid w:val="3849458F"/>
    <w:rsid w:val="38586797"/>
    <w:rsid w:val="38A00F55"/>
    <w:rsid w:val="38BC0149"/>
    <w:rsid w:val="38D87D1C"/>
    <w:rsid w:val="39327726"/>
    <w:rsid w:val="39636459"/>
    <w:rsid w:val="396B7F6C"/>
    <w:rsid w:val="39830C8C"/>
    <w:rsid w:val="399ED1A6"/>
    <w:rsid w:val="39B417A9"/>
    <w:rsid w:val="39F5713C"/>
    <w:rsid w:val="39FC5695"/>
    <w:rsid w:val="3A006D8E"/>
    <w:rsid w:val="3A2E002F"/>
    <w:rsid w:val="3A3651E5"/>
    <w:rsid w:val="3A744481"/>
    <w:rsid w:val="3A7C699C"/>
    <w:rsid w:val="3A8C7BEF"/>
    <w:rsid w:val="3A906246"/>
    <w:rsid w:val="3A914DB4"/>
    <w:rsid w:val="3AD77510"/>
    <w:rsid w:val="3AFB1ED1"/>
    <w:rsid w:val="3B2349B7"/>
    <w:rsid w:val="3B38059C"/>
    <w:rsid w:val="3B616CFF"/>
    <w:rsid w:val="3B6259F6"/>
    <w:rsid w:val="3B635348"/>
    <w:rsid w:val="3B746125"/>
    <w:rsid w:val="3B976654"/>
    <w:rsid w:val="3BA50323"/>
    <w:rsid w:val="3BC01EFC"/>
    <w:rsid w:val="3BCA786A"/>
    <w:rsid w:val="3BD31E2F"/>
    <w:rsid w:val="3BF15831"/>
    <w:rsid w:val="3C105946"/>
    <w:rsid w:val="3C471448"/>
    <w:rsid w:val="3C5F759A"/>
    <w:rsid w:val="3C6C525A"/>
    <w:rsid w:val="3C85293C"/>
    <w:rsid w:val="3CCD6C33"/>
    <w:rsid w:val="3CCE23CB"/>
    <w:rsid w:val="3CD17D17"/>
    <w:rsid w:val="3CDA46D0"/>
    <w:rsid w:val="3D057566"/>
    <w:rsid w:val="3D3C7F39"/>
    <w:rsid w:val="3D440F09"/>
    <w:rsid w:val="3D4504A0"/>
    <w:rsid w:val="3D4A3425"/>
    <w:rsid w:val="3D8734BB"/>
    <w:rsid w:val="3D9A11D4"/>
    <w:rsid w:val="3DA16D89"/>
    <w:rsid w:val="3DA364BE"/>
    <w:rsid w:val="3DE041CB"/>
    <w:rsid w:val="3E0D48F6"/>
    <w:rsid w:val="3E1868B4"/>
    <w:rsid w:val="3E377251"/>
    <w:rsid w:val="3E42664B"/>
    <w:rsid w:val="3E4B3BB9"/>
    <w:rsid w:val="3E5A7334"/>
    <w:rsid w:val="3E7B5D6B"/>
    <w:rsid w:val="3E843E66"/>
    <w:rsid w:val="3E8F51FE"/>
    <w:rsid w:val="3E926F87"/>
    <w:rsid w:val="3E9A59DE"/>
    <w:rsid w:val="3EAF4836"/>
    <w:rsid w:val="3EBC7762"/>
    <w:rsid w:val="3EC33DFA"/>
    <w:rsid w:val="3F060E16"/>
    <w:rsid w:val="3F1D1096"/>
    <w:rsid w:val="3F2F0234"/>
    <w:rsid w:val="3F6363FE"/>
    <w:rsid w:val="3F756B8F"/>
    <w:rsid w:val="3F816914"/>
    <w:rsid w:val="3F925565"/>
    <w:rsid w:val="3F95482B"/>
    <w:rsid w:val="3FDD8EF7"/>
    <w:rsid w:val="3FF3DD11"/>
    <w:rsid w:val="3FFB29DE"/>
    <w:rsid w:val="4019356B"/>
    <w:rsid w:val="40592157"/>
    <w:rsid w:val="406E1CAE"/>
    <w:rsid w:val="40A0133A"/>
    <w:rsid w:val="40AF2F08"/>
    <w:rsid w:val="40C31A53"/>
    <w:rsid w:val="40FF545D"/>
    <w:rsid w:val="410067C8"/>
    <w:rsid w:val="418F0D2A"/>
    <w:rsid w:val="419A2D5D"/>
    <w:rsid w:val="41AA7055"/>
    <w:rsid w:val="41D01505"/>
    <w:rsid w:val="420177CB"/>
    <w:rsid w:val="42034AFE"/>
    <w:rsid w:val="42474939"/>
    <w:rsid w:val="424C3C57"/>
    <w:rsid w:val="42613FF3"/>
    <w:rsid w:val="42660D96"/>
    <w:rsid w:val="428667D2"/>
    <w:rsid w:val="42CD1CE0"/>
    <w:rsid w:val="42E1381E"/>
    <w:rsid w:val="42ED6459"/>
    <w:rsid w:val="42F9562B"/>
    <w:rsid w:val="42FE58DD"/>
    <w:rsid w:val="43174B3D"/>
    <w:rsid w:val="434B790E"/>
    <w:rsid w:val="4360274F"/>
    <w:rsid w:val="43977AB6"/>
    <w:rsid w:val="43A3342B"/>
    <w:rsid w:val="43C77C27"/>
    <w:rsid w:val="43DE09EE"/>
    <w:rsid w:val="44002FAD"/>
    <w:rsid w:val="442B7D87"/>
    <w:rsid w:val="449101DD"/>
    <w:rsid w:val="44B80844"/>
    <w:rsid w:val="44DE1391"/>
    <w:rsid w:val="451B225C"/>
    <w:rsid w:val="452410C9"/>
    <w:rsid w:val="45317DFB"/>
    <w:rsid w:val="456D3CE4"/>
    <w:rsid w:val="4579042C"/>
    <w:rsid w:val="457F0571"/>
    <w:rsid w:val="45851176"/>
    <w:rsid w:val="45900CC7"/>
    <w:rsid w:val="45931966"/>
    <w:rsid w:val="45C63B94"/>
    <w:rsid w:val="460E7DA5"/>
    <w:rsid w:val="46422483"/>
    <w:rsid w:val="464354AC"/>
    <w:rsid w:val="4659254A"/>
    <w:rsid w:val="465B0637"/>
    <w:rsid w:val="465E3F0D"/>
    <w:rsid w:val="466A16E6"/>
    <w:rsid w:val="46893F2B"/>
    <w:rsid w:val="46B26BE4"/>
    <w:rsid w:val="46C4686E"/>
    <w:rsid w:val="47024B89"/>
    <w:rsid w:val="477B778F"/>
    <w:rsid w:val="478203EC"/>
    <w:rsid w:val="47B025FA"/>
    <w:rsid w:val="4809698F"/>
    <w:rsid w:val="4811697D"/>
    <w:rsid w:val="487A3E25"/>
    <w:rsid w:val="488B5503"/>
    <w:rsid w:val="48937E21"/>
    <w:rsid w:val="489A0361"/>
    <w:rsid w:val="48B94FF3"/>
    <w:rsid w:val="48E37AAB"/>
    <w:rsid w:val="48FD4B4C"/>
    <w:rsid w:val="490779DE"/>
    <w:rsid w:val="490A68E0"/>
    <w:rsid w:val="490D20BF"/>
    <w:rsid w:val="491055FE"/>
    <w:rsid w:val="495F5B3E"/>
    <w:rsid w:val="496F77D7"/>
    <w:rsid w:val="497654FD"/>
    <w:rsid w:val="49A41C77"/>
    <w:rsid w:val="49B64211"/>
    <w:rsid w:val="49E56AF9"/>
    <w:rsid w:val="49F6167F"/>
    <w:rsid w:val="4A064FA0"/>
    <w:rsid w:val="4A16615C"/>
    <w:rsid w:val="4A1C145F"/>
    <w:rsid w:val="4A4424D7"/>
    <w:rsid w:val="4A91224A"/>
    <w:rsid w:val="4AAC4C26"/>
    <w:rsid w:val="4AB82D0F"/>
    <w:rsid w:val="4AEB7664"/>
    <w:rsid w:val="4AFD7C19"/>
    <w:rsid w:val="4B0567D1"/>
    <w:rsid w:val="4B236AAE"/>
    <w:rsid w:val="4B52644A"/>
    <w:rsid w:val="4B5D4B55"/>
    <w:rsid w:val="4B707271"/>
    <w:rsid w:val="4B9739F7"/>
    <w:rsid w:val="4BCA1FA1"/>
    <w:rsid w:val="4BDF25F2"/>
    <w:rsid w:val="4BEE2503"/>
    <w:rsid w:val="4C094894"/>
    <w:rsid w:val="4C17726F"/>
    <w:rsid w:val="4C245A30"/>
    <w:rsid w:val="4C4906A1"/>
    <w:rsid w:val="4C96179F"/>
    <w:rsid w:val="4CB6685F"/>
    <w:rsid w:val="4CC367FE"/>
    <w:rsid w:val="4D077F3C"/>
    <w:rsid w:val="4D123355"/>
    <w:rsid w:val="4D285609"/>
    <w:rsid w:val="4D2A3B31"/>
    <w:rsid w:val="4D312C52"/>
    <w:rsid w:val="4D773B91"/>
    <w:rsid w:val="4D812E59"/>
    <w:rsid w:val="4D905305"/>
    <w:rsid w:val="4D964A72"/>
    <w:rsid w:val="4D9C1254"/>
    <w:rsid w:val="4DB4643E"/>
    <w:rsid w:val="4DF53F08"/>
    <w:rsid w:val="4E355527"/>
    <w:rsid w:val="4E6A7BE3"/>
    <w:rsid w:val="4E793892"/>
    <w:rsid w:val="4E800872"/>
    <w:rsid w:val="4EC569ED"/>
    <w:rsid w:val="4ED50EA1"/>
    <w:rsid w:val="4ED654B1"/>
    <w:rsid w:val="4EEC050C"/>
    <w:rsid w:val="4F104EC3"/>
    <w:rsid w:val="4F47354A"/>
    <w:rsid w:val="4F911C54"/>
    <w:rsid w:val="4FE625E0"/>
    <w:rsid w:val="5021480F"/>
    <w:rsid w:val="507E30D8"/>
    <w:rsid w:val="50962ECB"/>
    <w:rsid w:val="50A42E38"/>
    <w:rsid w:val="50A4577F"/>
    <w:rsid w:val="50B73D1F"/>
    <w:rsid w:val="50BD5BC9"/>
    <w:rsid w:val="50C11EEE"/>
    <w:rsid w:val="50CD4459"/>
    <w:rsid w:val="50E97CFC"/>
    <w:rsid w:val="50FA4028"/>
    <w:rsid w:val="510D65B7"/>
    <w:rsid w:val="511157AB"/>
    <w:rsid w:val="5142540C"/>
    <w:rsid w:val="51462F61"/>
    <w:rsid w:val="516D303B"/>
    <w:rsid w:val="518832C8"/>
    <w:rsid w:val="519D3C50"/>
    <w:rsid w:val="51A0432A"/>
    <w:rsid w:val="51A86090"/>
    <w:rsid w:val="51B7396D"/>
    <w:rsid w:val="52134CFA"/>
    <w:rsid w:val="522E4CC3"/>
    <w:rsid w:val="5244713B"/>
    <w:rsid w:val="52615633"/>
    <w:rsid w:val="526F4DE4"/>
    <w:rsid w:val="52977FD4"/>
    <w:rsid w:val="52A25790"/>
    <w:rsid w:val="52A96B6F"/>
    <w:rsid w:val="52B45975"/>
    <w:rsid w:val="52D94AA4"/>
    <w:rsid w:val="52EA3A62"/>
    <w:rsid w:val="52F50BB8"/>
    <w:rsid w:val="53097272"/>
    <w:rsid w:val="53495D0D"/>
    <w:rsid w:val="53544462"/>
    <w:rsid w:val="5397158E"/>
    <w:rsid w:val="53F555CD"/>
    <w:rsid w:val="54013861"/>
    <w:rsid w:val="54487265"/>
    <w:rsid w:val="544D6070"/>
    <w:rsid w:val="54605E1E"/>
    <w:rsid w:val="546F6672"/>
    <w:rsid w:val="54B3506A"/>
    <w:rsid w:val="54C37475"/>
    <w:rsid w:val="54CA0D16"/>
    <w:rsid w:val="54DD4057"/>
    <w:rsid w:val="54E7490F"/>
    <w:rsid w:val="550764A4"/>
    <w:rsid w:val="550B2BF6"/>
    <w:rsid w:val="550C49A4"/>
    <w:rsid w:val="55214EB5"/>
    <w:rsid w:val="55300233"/>
    <w:rsid w:val="55364EFD"/>
    <w:rsid w:val="554A42CB"/>
    <w:rsid w:val="555D4828"/>
    <w:rsid w:val="557A4C8B"/>
    <w:rsid w:val="558931E1"/>
    <w:rsid w:val="55923347"/>
    <w:rsid w:val="55925180"/>
    <w:rsid w:val="55983B1B"/>
    <w:rsid w:val="55A8376B"/>
    <w:rsid w:val="55CA0070"/>
    <w:rsid w:val="55CF005A"/>
    <w:rsid w:val="55DC0DE9"/>
    <w:rsid w:val="55DC29B6"/>
    <w:rsid w:val="55DD4241"/>
    <w:rsid w:val="566B6D1E"/>
    <w:rsid w:val="56AD4B11"/>
    <w:rsid w:val="56D07350"/>
    <w:rsid w:val="57032A2C"/>
    <w:rsid w:val="570F5219"/>
    <w:rsid w:val="5740094B"/>
    <w:rsid w:val="575D12B5"/>
    <w:rsid w:val="57610A87"/>
    <w:rsid w:val="577B1140"/>
    <w:rsid w:val="577B7F21"/>
    <w:rsid w:val="577F181B"/>
    <w:rsid w:val="57921984"/>
    <w:rsid w:val="579737F0"/>
    <w:rsid w:val="57AB7B30"/>
    <w:rsid w:val="57AF5251"/>
    <w:rsid w:val="57B26373"/>
    <w:rsid w:val="57B63F04"/>
    <w:rsid w:val="57CD20C2"/>
    <w:rsid w:val="57D675AB"/>
    <w:rsid w:val="57D8193B"/>
    <w:rsid w:val="57D95FDD"/>
    <w:rsid w:val="582E65EE"/>
    <w:rsid w:val="588731B6"/>
    <w:rsid w:val="58917D2F"/>
    <w:rsid w:val="5894085C"/>
    <w:rsid w:val="58AE4F0C"/>
    <w:rsid w:val="58B77EC9"/>
    <w:rsid w:val="58B85899"/>
    <w:rsid w:val="58E363A9"/>
    <w:rsid w:val="58E82EC5"/>
    <w:rsid w:val="595E1678"/>
    <w:rsid w:val="596D5BD4"/>
    <w:rsid w:val="597E3DD8"/>
    <w:rsid w:val="59F80043"/>
    <w:rsid w:val="5A09252F"/>
    <w:rsid w:val="5A0B2778"/>
    <w:rsid w:val="5A160C1F"/>
    <w:rsid w:val="5A2A7C7B"/>
    <w:rsid w:val="5A3E2560"/>
    <w:rsid w:val="5A5D3B6E"/>
    <w:rsid w:val="5A637A76"/>
    <w:rsid w:val="5A6D33BA"/>
    <w:rsid w:val="5A792B1F"/>
    <w:rsid w:val="5A874767"/>
    <w:rsid w:val="5AA75D1B"/>
    <w:rsid w:val="5AA85BE2"/>
    <w:rsid w:val="5AAD6F28"/>
    <w:rsid w:val="5AD63A24"/>
    <w:rsid w:val="5B1708CA"/>
    <w:rsid w:val="5B2E1A1D"/>
    <w:rsid w:val="5B843A1C"/>
    <w:rsid w:val="5B873E3F"/>
    <w:rsid w:val="5BC31523"/>
    <w:rsid w:val="5BD65097"/>
    <w:rsid w:val="5BD677A0"/>
    <w:rsid w:val="5C02690E"/>
    <w:rsid w:val="5C196DA7"/>
    <w:rsid w:val="5C2A048C"/>
    <w:rsid w:val="5C557B80"/>
    <w:rsid w:val="5C80234E"/>
    <w:rsid w:val="5C8A680C"/>
    <w:rsid w:val="5CA63ECF"/>
    <w:rsid w:val="5CB13FB3"/>
    <w:rsid w:val="5CB30E8E"/>
    <w:rsid w:val="5CB73B2D"/>
    <w:rsid w:val="5CD57E78"/>
    <w:rsid w:val="5D0C4701"/>
    <w:rsid w:val="5D0F0395"/>
    <w:rsid w:val="5D221076"/>
    <w:rsid w:val="5D2B550E"/>
    <w:rsid w:val="5D397964"/>
    <w:rsid w:val="5D534E7B"/>
    <w:rsid w:val="5D5A391C"/>
    <w:rsid w:val="5D5F10C0"/>
    <w:rsid w:val="5D5F367C"/>
    <w:rsid w:val="5D891B7B"/>
    <w:rsid w:val="5D896CDA"/>
    <w:rsid w:val="5D985423"/>
    <w:rsid w:val="5DAC243C"/>
    <w:rsid w:val="5DAD38EE"/>
    <w:rsid w:val="5DC745AD"/>
    <w:rsid w:val="5E006862"/>
    <w:rsid w:val="5E0207B9"/>
    <w:rsid w:val="5E1834A1"/>
    <w:rsid w:val="5E261785"/>
    <w:rsid w:val="5E4A7017"/>
    <w:rsid w:val="5E552BBA"/>
    <w:rsid w:val="5E611C10"/>
    <w:rsid w:val="5E7A0F3F"/>
    <w:rsid w:val="5EF12841"/>
    <w:rsid w:val="5EFC7377"/>
    <w:rsid w:val="5EFF26F8"/>
    <w:rsid w:val="5F06174D"/>
    <w:rsid w:val="5F2D1B6A"/>
    <w:rsid w:val="5F3A3602"/>
    <w:rsid w:val="5F45733B"/>
    <w:rsid w:val="5F6277C6"/>
    <w:rsid w:val="5F6D0B1D"/>
    <w:rsid w:val="5F8D0B82"/>
    <w:rsid w:val="5FCC5339"/>
    <w:rsid w:val="5FE34A5B"/>
    <w:rsid w:val="5FFE1E36"/>
    <w:rsid w:val="60232584"/>
    <w:rsid w:val="607330CE"/>
    <w:rsid w:val="60825176"/>
    <w:rsid w:val="609F2AC4"/>
    <w:rsid w:val="60CC64DC"/>
    <w:rsid w:val="60FA2EE8"/>
    <w:rsid w:val="61054A27"/>
    <w:rsid w:val="610A52BC"/>
    <w:rsid w:val="6112184F"/>
    <w:rsid w:val="611D2366"/>
    <w:rsid w:val="61421856"/>
    <w:rsid w:val="61470C84"/>
    <w:rsid w:val="615227C4"/>
    <w:rsid w:val="615D47CA"/>
    <w:rsid w:val="61654E3F"/>
    <w:rsid w:val="6182292A"/>
    <w:rsid w:val="619D7122"/>
    <w:rsid w:val="619F7F92"/>
    <w:rsid w:val="61E622DA"/>
    <w:rsid w:val="61F94C26"/>
    <w:rsid w:val="62000E56"/>
    <w:rsid w:val="62492FA9"/>
    <w:rsid w:val="624F3E49"/>
    <w:rsid w:val="62632286"/>
    <w:rsid w:val="626C11F0"/>
    <w:rsid w:val="62885958"/>
    <w:rsid w:val="62B32B7E"/>
    <w:rsid w:val="62C236F2"/>
    <w:rsid w:val="62F40B65"/>
    <w:rsid w:val="62FC2CFE"/>
    <w:rsid w:val="63024505"/>
    <w:rsid w:val="635600A5"/>
    <w:rsid w:val="635B1DB5"/>
    <w:rsid w:val="63711FED"/>
    <w:rsid w:val="63880DDC"/>
    <w:rsid w:val="638D750D"/>
    <w:rsid w:val="63AC6CC0"/>
    <w:rsid w:val="64055776"/>
    <w:rsid w:val="64240056"/>
    <w:rsid w:val="643E143A"/>
    <w:rsid w:val="64491666"/>
    <w:rsid w:val="645124EB"/>
    <w:rsid w:val="648B6EEF"/>
    <w:rsid w:val="64A03F2F"/>
    <w:rsid w:val="64C158BF"/>
    <w:rsid w:val="64CE2EAA"/>
    <w:rsid w:val="653C3090"/>
    <w:rsid w:val="65525F8C"/>
    <w:rsid w:val="65854376"/>
    <w:rsid w:val="658767BE"/>
    <w:rsid w:val="65892531"/>
    <w:rsid w:val="65B40EB0"/>
    <w:rsid w:val="65C84516"/>
    <w:rsid w:val="66195831"/>
    <w:rsid w:val="662E75B1"/>
    <w:rsid w:val="66342C2E"/>
    <w:rsid w:val="663E784C"/>
    <w:rsid w:val="668B6A45"/>
    <w:rsid w:val="669609F8"/>
    <w:rsid w:val="670028AC"/>
    <w:rsid w:val="67011F07"/>
    <w:rsid w:val="672F3F24"/>
    <w:rsid w:val="673E055F"/>
    <w:rsid w:val="67551CE3"/>
    <w:rsid w:val="67621747"/>
    <w:rsid w:val="67A22552"/>
    <w:rsid w:val="67A604B4"/>
    <w:rsid w:val="67B22DCC"/>
    <w:rsid w:val="67BE71AA"/>
    <w:rsid w:val="67D90273"/>
    <w:rsid w:val="67DE5875"/>
    <w:rsid w:val="67E55852"/>
    <w:rsid w:val="67EB1AB4"/>
    <w:rsid w:val="67EC1211"/>
    <w:rsid w:val="67FA1285"/>
    <w:rsid w:val="68551F4F"/>
    <w:rsid w:val="685D29B4"/>
    <w:rsid w:val="687C10C9"/>
    <w:rsid w:val="68840C16"/>
    <w:rsid w:val="68872541"/>
    <w:rsid w:val="68876EFB"/>
    <w:rsid w:val="68884654"/>
    <w:rsid w:val="689F444F"/>
    <w:rsid w:val="68B96DBB"/>
    <w:rsid w:val="68BC6E36"/>
    <w:rsid w:val="68CA2805"/>
    <w:rsid w:val="68E937A3"/>
    <w:rsid w:val="690E0E3D"/>
    <w:rsid w:val="691664E5"/>
    <w:rsid w:val="692C34DE"/>
    <w:rsid w:val="693E15D3"/>
    <w:rsid w:val="69627681"/>
    <w:rsid w:val="69711DB8"/>
    <w:rsid w:val="6977531D"/>
    <w:rsid w:val="69C11987"/>
    <w:rsid w:val="69CC2BFF"/>
    <w:rsid w:val="69FD55B8"/>
    <w:rsid w:val="6A0B1C62"/>
    <w:rsid w:val="6A165325"/>
    <w:rsid w:val="6A2406C8"/>
    <w:rsid w:val="6ABF73A1"/>
    <w:rsid w:val="6ADE0BD1"/>
    <w:rsid w:val="6AE96859"/>
    <w:rsid w:val="6B147746"/>
    <w:rsid w:val="6B24787C"/>
    <w:rsid w:val="6B573233"/>
    <w:rsid w:val="6B5B6274"/>
    <w:rsid w:val="6B935D53"/>
    <w:rsid w:val="6C170751"/>
    <w:rsid w:val="6C196F71"/>
    <w:rsid w:val="6C226FCB"/>
    <w:rsid w:val="6C31226F"/>
    <w:rsid w:val="6C4F762D"/>
    <w:rsid w:val="6C53684F"/>
    <w:rsid w:val="6C552F0B"/>
    <w:rsid w:val="6C8C67B7"/>
    <w:rsid w:val="6C9D744C"/>
    <w:rsid w:val="6D167928"/>
    <w:rsid w:val="6D26299B"/>
    <w:rsid w:val="6D4772EC"/>
    <w:rsid w:val="6D48054D"/>
    <w:rsid w:val="6D9078AF"/>
    <w:rsid w:val="6D9D06E2"/>
    <w:rsid w:val="6D9F6F4F"/>
    <w:rsid w:val="6DAA3FEF"/>
    <w:rsid w:val="6DB81F88"/>
    <w:rsid w:val="6DC0172B"/>
    <w:rsid w:val="6DC2237C"/>
    <w:rsid w:val="6DCB690C"/>
    <w:rsid w:val="6DCE6C37"/>
    <w:rsid w:val="6DD41A5B"/>
    <w:rsid w:val="6DF43C2E"/>
    <w:rsid w:val="6DF51CA3"/>
    <w:rsid w:val="6DF9549E"/>
    <w:rsid w:val="6E3C1CF5"/>
    <w:rsid w:val="6E8335BD"/>
    <w:rsid w:val="6E8E12EF"/>
    <w:rsid w:val="6E972936"/>
    <w:rsid w:val="6ED446C5"/>
    <w:rsid w:val="6F2A7D94"/>
    <w:rsid w:val="6F8331F1"/>
    <w:rsid w:val="6FAE1A09"/>
    <w:rsid w:val="6FD75BF8"/>
    <w:rsid w:val="6FFF002D"/>
    <w:rsid w:val="703F52A1"/>
    <w:rsid w:val="705C1FF8"/>
    <w:rsid w:val="707723D0"/>
    <w:rsid w:val="70F5661B"/>
    <w:rsid w:val="71360107"/>
    <w:rsid w:val="713B688E"/>
    <w:rsid w:val="719B1CDE"/>
    <w:rsid w:val="71D43752"/>
    <w:rsid w:val="71F1796A"/>
    <w:rsid w:val="71F91368"/>
    <w:rsid w:val="72005413"/>
    <w:rsid w:val="720B5784"/>
    <w:rsid w:val="72154626"/>
    <w:rsid w:val="72262B5D"/>
    <w:rsid w:val="72283FF7"/>
    <w:rsid w:val="722E7212"/>
    <w:rsid w:val="723A0474"/>
    <w:rsid w:val="724A43F4"/>
    <w:rsid w:val="725923E4"/>
    <w:rsid w:val="72864BF7"/>
    <w:rsid w:val="729023FC"/>
    <w:rsid w:val="72EE0418"/>
    <w:rsid w:val="73866AA5"/>
    <w:rsid w:val="73AB3D2F"/>
    <w:rsid w:val="73C0646E"/>
    <w:rsid w:val="73D441C0"/>
    <w:rsid w:val="73F66C7D"/>
    <w:rsid w:val="742222F5"/>
    <w:rsid w:val="74476126"/>
    <w:rsid w:val="74706664"/>
    <w:rsid w:val="747143A6"/>
    <w:rsid w:val="747F3682"/>
    <w:rsid w:val="749C4185"/>
    <w:rsid w:val="74C56C34"/>
    <w:rsid w:val="74E4574A"/>
    <w:rsid w:val="75067759"/>
    <w:rsid w:val="752E6DCD"/>
    <w:rsid w:val="7551380D"/>
    <w:rsid w:val="75600BE5"/>
    <w:rsid w:val="7564475C"/>
    <w:rsid w:val="7583797F"/>
    <w:rsid w:val="75D20F1D"/>
    <w:rsid w:val="75DA2C18"/>
    <w:rsid w:val="75F54412"/>
    <w:rsid w:val="760F67F7"/>
    <w:rsid w:val="761D08E0"/>
    <w:rsid w:val="762D29B2"/>
    <w:rsid w:val="765D347C"/>
    <w:rsid w:val="76611C1D"/>
    <w:rsid w:val="76737D35"/>
    <w:rsid w:val="76826699"/>
    <w:rsid w:val="76C87133"/>
    <w:rsid w:val="76CD08D5"/>
    <w:rsid w:val="76DB4B92"/>
    <w:rsid w:val="76EB6545"/>
    <w:rsid w:val="76EFA586"/>
    <w:rsid w:val="76FD013A"/>
    <w:rsid w:val="77052AA4"/>
    <w:rsid w:val="770A2870"/>
    <w:rsid w:val="77136511"/>
    <w:rsid w:val="77340A39"/>
    <w:rsid w:val="77351FD0"/>
    <w:rsid w:val="77472422"/>
    <w:rsid w:val="777F31F2"/>
    <w:rsid w:val="77D1700D"/>
    <w:rsid w:val="77EC04CC"/>
    <w:rsid w:val="783E1615"/>
    <w:rsid w:val="784F5088"/>
    <w:rsid w:val="785B3417"/>
    <w:rsid w:val="78775729"/>
    <w:rsid w:val="78A42DB0"/>
    <w:rsid w:val="78A656AB"/>
    <w:rsid w:val="78B2245C"/>
    <w:rsid w:val="78B332EB"/>
    <w:rsid w:val="78C93DFE"/>
    <w:rsid w:val="78E172CC"/>
    <w:rsid w:val="78EA1D1F"/>
    <w:rsid w:val="78FFD5CA"/>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AB6669"/>
    <w:rsid w:val="7AAE2E99"/>
    <w:rsid w:val="7ABA4368"/>
    <w:rsid w:val="7ABC6B79"/>
    <w:rsid w:val="7AD05746"/>
    <w:rsid w:val="7B113011"/>
    <w:rsid w:val="7B130A4B"/>
    <w:rsid w:val="7B257FFD"/>
    <w:rsid w:val="7B273D20"/>
    <w:rsid w:val="7B343476"/>
    <w:rsid w:val="7B5A2978"/>
    <w:rsid w:val="7B5A7E4C"/>
    <w:rsid w:val="7B667AF9"/>
    <w:rsid w:val="7B7468F8"/>
    <w:rsid w:val="7B94487C"/>
    <w:rsid w:val="7BBFDA05"/>
    <w:rsid w:val="7BEE0103"/>
    <w:rsid w:val="7C093470"/>
    <w:rsid w:val="7C0A0FE4"/>
    <w:rsid w:val="7C254906"/>
    <w:rsid w:val="7C2B1E31"/>
    <w:rsid w:val="7C2D102B"/>
    <w:rsid w:val="7C590818"/>
    <w:rsid w:val="7C7039AD"/>
    <w:rsid w:val="7C7C10F6"/>
    <w:rsid w:val="7C853BEA"/>
    <w:rsid w:val="7C881368"/>
    <w:rsid w:val="7CE27788"/>
    <w:rsid w:val="7CFF73FD"/>
    <w:rsid w:val="7D0C32F1"/>
    <w:rsid w:val="7D0F408D"/>
    <w:rsid w:val="7D203043"/>
    <w:rsid w:val="7D3D7C21"/>
    <w:rsid w:val="7D42559F"/>
    <w:rsid w:val="7D491C6C"/>
    <w:rsid w:val="7D5429C0"/>
    <w:rsid w:val="7D6E6D43"/>
    <w:rsid w:val="7DB57A34"/>
    <w:rsid w:val="7DE60973"/>
    <w:rsid w:val="7DEF0916"/>
    <w:rsid w:val="7E1E5218"/>
    <w:rsid w:val="7E572718"/>
    <w:rsid w:val="7E9A4E1F"/>
    <w:rsid w:val="7EA7723A"/>
    <w:rsid w:val="7EBC05DD"/>
    <w:rsid w:val="7EEB4DC7"/>
    <w:rsid w:val="7EF56FBB"/>
    <w:rsid w:val="7F0768EB"/>
    <w:rsid w:val="7F143BEC"/>
    <w:rsid w:val="7F715AF2"/>
    <w:rsid w:val="7F726531"/>
    <w:rsid w:val="7F886E69"/>
    <w:rsid w:val="7FBBF55D"/>
    <w:rsid w:val="7FC248DA"/>
    <w:rsid w:val="7FDF262B"/>
    <w:rsid w:val="7FFB458A"/>
    <w:rsid w:val="85FDB2DB"/>
    <w:rsid w:val="9BAE8361"/>
    <w:rsid w:val="AD36D5A5"/>
    <w:rsid w:val="ADDDE33B"/>
    <w:rsid w:val="B4F7B609"/>
    <w:rsid w:val="B7ACE41D"/>
    <w:rsid w:val="B9FB63CF"/>
    <w:rsid w:val="BB7FA927"/>
    <w:rsid w:val="BEF79AC1"/>
    <w:rsid w:val="DADECEA2"/>
    <w:rsid w:val="DC6F6B8F"/>
    <w:rsid w:val="DFFDB421"/>
    <w:rsid w:val="DFFF80D9"/>
    <w:rsid w:val="E73FAB17"/>
    <w:rsid w:val="E8BBA1B2"/>
    <w:rsid w:val="EDFF5EC0"/>
    <w:rsid w:val="EEDEC375"/>
    <w:rsid w:val="EF8BFCA8"/>
    <w:rsid w:val="EFBF89B4"/>
    <w:rsid w:val="EFEEAEE3"/>
    <w:rsid w:val="F5FFD31F"/>
    <w:rsid w:val="F6CEA336"/>
    <w:rsid w:val="F70F0494"/>
    <w:rsid w:val="F7E9CB9E"/>
    <w:rsid w:val="FDFEB992"/>
    <w:rsid w:val="FEF3130B"/>
    <w:rsid w:val="FF5D68E2"/>
    <w:rsid w:val="FFD75B05"/>
    <w:rsid w:val="FFFB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2"/>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next w:val="1"/>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3"/>
    <w:basedOn w:val="32"/>
    <w:next w:val="1"/>
    <w:qFormat/>
    <w:uiPriority w:val="0"/>
    <w:pPr>
      <w:tabs>
        <w:tab w:val="left" w:pos="2790"/>
        <w:tab w:val="left" w:pos="4230"/>
      </w:tabs>
      <w:spacing w:before="312" w:beforeLines="100"/>
      <w:jc w:val="left"/>
    </w:p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2"/>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99"/>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2"/>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Body Text First Indent 21"/>
    <w:basedOn w:val="96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63">
    <w:name w:val="Body Text Indent1"/>
    <w:basedOn w:val="1"/>
    <w:next w:val="1"/>
    <w:qFormat/>
    <w:uiPriority w:val="0"/>
    <w:pPr>
      <w:spacing w:after="120" w:afterLines="0"/>
      <w:ind w:left="420" w:leftChars="200"/>
    </w:pPr>
    <w:rPr>
      <w:color w:val="000000"/>
      <w:sz w:val="21"/>
      <w:szCs w:val="21"/>
    </w:rPr>
  </w:style>
  <w:style w:type="paragraph" w:customStyle="1" w:styleId="964">
    <w:name w:val="WPSOffice手动目录 1"/>
    <w:qFormat/>
    <w:uiPriority w:val="0"/>
    <w:pPr>
      <w:ind w:leftChars="0"/>
    </w:pPr>
    <w:rPr>
      <w:rFonts w:ascii="Times New Roman" w:hAnsi="Times New Roman" w:eastAsia="宋体" w:cs="Times New Roman"/>
      <w:sz w:val="20"/>
      <w:szCs w:val="20"/>
    </w:rPr>
  </w:style>
  <w:style w:type="paragraph" w:customStyle="1" w:styleId="965">
    <w:name w:val="BodyText1I2"/>
    <w:basedOn w:val="966"/>
    <w:qFormat/>
    <w:uiPriority w:val="99"/>
    <w:pPr>
      <w:ind w:firstLine="420"/>
    </w:pPr>
  </w:style>
  <w:style w:type="paragraph" w:customStyle="1" w:styleId="966">
    <w:name w:val="BodyTextIndent"/>
    <w:basedOn w:val="1"/>
    <w:qFormat/>
    <w:uiPriority w:val="99"/>
    <w:pPr>
      <w:spacing w:after="120"/>
      <w:ind w:left="420" w:leftChars="200"/>
      <w:textAlignment w:val="baseline"/>
    </w:pPr>
    <w:rPr>
      <w:rFonts w:ascii="Times New Roman" w:hAnsi="Times New Roman" w:cs="Times New Roman"/>
    </w:rPr>
  </w:style>
  <w:style w:type="character" w:customStyle="1" w:styleId="967">
    <w:name w:val="NormalCharacter"/>
    <w:qFormat/>
    <w:uiPriority w:val="99"/>
    <w:rPr>
      <w:rFonts w:ascii="Calibri" w:hAnsi="Calibri" w:eastAsia="宋体" w:cs="Calibri"/>
      <w:kern w:val="2"/>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27586</Words>
  <Characters>29276</Characters>
  <Lines>281</Lines>
  <Paragraphs>79</Paragraphs>
  <TotalTime>1</TotalTime>
  <ScaleCrop>false</ScaleCrop>
  <LinksUpToDate>false</LinksUpToDate>
  <CharactersWithSpaces>30252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西瓜</cp:lastModifiedBy>
  <cp:lastPrinted>2024-07-01T21:58:00Z</cp:lastPrinted>
  <dcterms:modified xsi:type="dcterms:W3CDTF">2025-07-04T06:22:12Z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705A4421C4E640BABCFB525D423FCA1D_13</vt:lpwstr>
  </property>
  <property fmtid="{D5CDD505-2E9C-101B-9397-08002B2CF9AE}" pid="5" name="KSOTemplateDocerSaveRecord">
    <vt:lpwstr>eyJoZGlkIjoiMjUzZjVhMzBlNDU5ZmFlZWVlMzJjY2U3YjJlZGQ0ZGMiLCJ1c2VySWQiOiI0OTU3NjkwOTkifQ==</vt:lpwstr>
  </property>
</Properties>
</file>