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F7BBA"/>
    <w:p w14:paraId="7F8A960D">
      <w:pPr>
        <w:spacing w:line="360" w:lineRule="auto"/>
        <w:jc w:val="center"/>
        <w:rPr>
          <w:rFonts w:ascii="宋体" w:hAnsi="宋体" w:cs="宋体"/>
          <w:b/>
          <w:color w:val="auto"/>
          <w:sz w:val="24"/>
        </w:rPr>
      </w:pPr>
    </w:p>
    <w:p w14:paraId="4CBAEBA9">
      <w:pPr>
        <w:adjustRightInd/>
        <w:spacing w:line="360" w:lineRule="auto"/>
        <w:jc w:val="center"/>
        <w:rPr>
          <w:rFonts w:ascii="宋体" w:hAnsi="宋体" w:cs="宋体"/>
          <w:b/>
          <w:color w:val="auto"/>
          <w:sz w:val="44"/>
          <w:szCs w:val="44"/>
        </w:rPr>
      </w:pPr>
    </w:p>
    <w:p w14:paraId="2E659E63">
      <w:pPr>
        <w:adjustRightInd/>
        <w:spacing w:line="360" w:lineRule="auto"/>
        <w:jc w:val="center"/>
        <w:rPr>
          <w:rFonts w:ascii="宋体" w:hAnsi="宋体" w:cs="宋体"/>
          <w:color w:val="auto"/>
          <w:sz w:val="48"/>
          <w:szCs w:val="48"/>
          <w:highlight w:val="none"/>
        </w:rPr>
      </w:pPr>
      <w:r>
        <w:rPr>
          <w:rFonts w:hint="eastAsia" w:ascii="宋体" w:hAnsi="宋体" w:cs="宋体"/>
          <w:color w:val="auto"/>
          <w:spacing w:val="-6"/>
          <w:sz w:val="48"/>
          <w:szCs w:val="48"/>
          <w:highlight w:val="none"/>
          <w:lang w:eastAsia="zh-CN"/>
        </w:rPr>
        <w:t>海曙区排水管网日常养护项目</w:t>
      </w:r>
    </w:p>
    <w:p w14:paraId="0B920570">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（电子招投标）</w:t>
      </w:r>
    </w:p>
    <w:p w14:paraId="6F520BCA">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w:t>
      </w:r>
      <w:r>
        <w:rPr>
          <w:rFonts w:hint="eastAsia" w:ascii="宋体" w:hAnsi="宋体" w:cs="宋体"/>
          <w:color w:val="auto"/>
          <w:sz w:val="30"/>
          <w:szCs w:val="30"/>
          <w:lang w:eastAsia="zh-CN"/>
        </w:rPr>
        <w:t>2025NBHSWT319</w:t>
      </w:r>
      <w:r>
        <w:rPr>
          <w:rFonts w:hint="eastAsia" w:ascii="宋体" w:hAnsi="宋体" w:cs="宋体"/>
          <w:color w:val="auto"/>
          <w:sz w:val="30"/>
          <w:szCs w:val="30"/>
        </w:rPr>
        <w:t xml:space="preserve">   </w:t>
      </w:r>
    </w:p>
    <w:p w14:paraId="27870466">
      <w:pPr>
        <w:adjustRightInd/>
        <w:spacing w:line="360" w:lineRule="auto"/>
        <w:rPr>
          <w:rFonts w:ascii="宋体" w:hAnsi="宋体" w:cs="宋体"/>
          <w:color w:val="auto"/>
          <w:sz w:val="28"/>
          <w:szCs w:val="20"/>
        </w:rPr>
      </w:pPr>
    </w:p>
    <w:p w14:paraId="2F2F5526">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15D2BF95">
      <w:pPr>
        <w:spacing w:line="360" w:lineRule="auto"/>
        <w:jc w:val="center"/>
        <w:rPr>
          <w:rFonts w:ascii="宋体" w:hAnsi="宋体" w:cs="宋体"/>
          <w:b/>
          <w:color w:val="auto"/>
          <w:sz w:val="44"/>
          <w:szCs w:val="44"/>
        </w:rPr>
      </w:pPr>
    </w:p>
    <w:p w14:paraId="27D4DD6A">
      <w:pPr>
        <w:spacing w:line="360" w:lineRule="auto"/>
        <w:jc w:val="center"/>
        <w:rPr>
          <w:rFonts w:ascii="宋体" w:hAnsi="宋体" w:cs="宋体"/>
          <w:color w:val="auto"/>
          <w:sz w:val="24"/>
        </w:rPr>
      </w:pPr>
    </w:p>
    <w:p w14:paraId="24A03619">
      <w:pPr>
        <w:spacing w:line="360" w:lineRule="auto"/>
        <w:jc w:val="center"/>
        <w:rPr>
          <w:rFonts w:ascii="宋体" w:hAnsi="宋体" w:cs="宋体"/>
          <w:color w:val="auto"/>
          <w:sz w:val="24"/>
        </w:rPr>
      </w:pPr>
    </w:p>
    <w:p w14:paraId="192042C2">
      <w:pPr>
        <w:spacing w:line="360" w:lineRule="auto"/>
        <w:rPr>
          <w:rFonts w:ascii="宋体" w:hAnsi="宋体" w:cs="宋体"/>
          <w:color w:val="auto"/>
          <w:sz w:val="32"/>
          <w:szCs w:val="32"/>
        </w:rPr>
      </w:pPr>
    </w:p>
    <w:p w14:paraId="3279BE83">
      <w:pPr>
        <w:snapToGrid w:val="0"/>
        <w:spacing w:line="360" w:lineRule="auto"/>
        <w:jc w:val="center"/>
        <w:outlineLvl w:val="0"/>
        <w:rPr>
          <w:rFonts w:hint="eastAsia" w:ascii="宋体" w:hAnsi="宋体" w:eastAsia="宋体" w:cs="宋体"/>
          <w:color w:val="auto"/>
          <w:sz w:val="32"/>
          <w:szCs w:val="32"/>
          <w:lang w:eastAsia="zh-CN"/>
        </w:rPr>
      </w:pPr>
      <w:r>
        <w:rPr>
          <w:rFonts w:hint="eastAsia" w:ascii="宋体" w:hAnsi="宋体" w:cs="宋体"/>
          <w:color w:val="auto"/>
          <w:sz w:val="32"/>
          <w:szCs w:val="32"/>
        </w:rPr>
        <w:t>招标人：</w:t>
      </w:r>
      <w:r>
        <w:rPr>
          <w:rFonts w:hint="eastAsia" w:ascii="宋体" w:hAnsi="宋体" w:cs="宋体"/>
          <w:color w:val="auto"/>
          <w:sz w:val="32"/>
          <w:szCs w:val="32"/>
          <w:lang w:eastAsia="zh-CN"/>
        </w:rPr>
        <w:t>宁波市海曙区水务设施管理中心</w:t>
      </w:r>
    </w:p>
    <w:p w14:paraId="75D03B47">
      <w:pPr>
        <w:snapToGrid w:val="0"/>
        <w:spacing w:line="360" w:lineRule="auto"/>
        <w:jc w:val="center"/>
        <w:outlineLvl w:val="0"/>
        <w:rPr>
          <w:rFonts w:ascii="宋体" w:hAnsi="宋体" w:cs="宋体"/>
          <w:bCs/>
          <w:color w:val="auto"/>
          <w:sz w:val="32"/>
          <w:szCs w:val="32"/>
        </w:rPr>
      </w:pPr>
      <w:bookmarkStart w:id="0" w:name="_Toc1544"/>
      <w:r>
        <w:rPr>
          <w:rFonts w:hint="eastAsia" w:ascii="宋体" w:hAnsi="宋体" w:cs="宋体"/>
          <w:bCs/>
          <w:color w:val="auto"/>
          <w:sz w:val="32"/>
          <w:szCs w:val="32"/>
        </w:rPr>
        <w:t>招标代理机构：宁波中基国际招标有限公司</w:t>
      </w:r>
      <w:bookmarkEnd w:id="0"/>
    </w:p>
    <w:p w14:paraId="7C3A06C8">
      <w:pPr>
        <w:snapToGrid w:val="0"/>
        <w:spacing w:line="360" w:lineRule="auto"/>
        <w:jc w:val="center"/>
        <w:rPr>
          <w:rFonts w:hint="eastAsia" w:ascii="宋体" w:hAnsi="宋体" w:cs="宋体"/>
          <w:bCs/>
          <w:color w:val="auto"/>
          <w:sz w:val="32"/>
          <w:szCs w:val="32"/>
        </w:rPr>
      </w:pPr>
    </w:p>
    <w:p w14:paraId="33DDE8DD">
      <w:pPr>
        <w:snapToGrid w:val="0"/>
        <w:spacing w:line="360" w:lineRule="auto"/>
        <w:jc w:val="center"/>
        <w:rPr>
          <w:rFonts w:hint="eastAsia" w:ascii="宋体" w:hAnsi="宋体" w:cs="宋体"/>
          <w:bCs/>
          <w:color w:val="auto"/>
          <w:sz w:val="32"/>
          <w:szCs w:val="32"/>
        </w:rPr>
      </w:pPr>
    </w:p>
    <w:p w14:paraId="4926DD00">
      <w:pPr>
        <w:snapToGrid w:val="0"/>
        <w:spacing w:line="360" w:lineRule="auto"/>
        <w:jc w:val="center"/>
        <w:rPr>
          <w:rFonts w:hint="eastAsia" w:ascii="宋体" w:hAnsi="宋体" w:cs="宋体"/>
          <w:bCs/>
          <w:color w:val="auto"/>
          <w:sz w:val="32"/>
          <w:szCs w:val="32"/>
        </w:rPr>
      </w:pPr>
    </w:p>
    <w:p w14:paraId="6E574FB0">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六</w:t>
      </w:r>
      <w:r>
        <w:rPr>
          <w:rFonts w:hint="eastAsia" w:ascii="宋体" w:hAnsi="宋体" w:cs="宋体"/>
          <w:bCs/>
          <w:color w:val="auto"/>
          <w:sz w:val="32"/>
          <w:szCs w:val="32"/>
        </w:rPr>
        <w:t>月</w:t>
      </w:r>
    </w:p>
    <w:p w14:paraId="37458F06">
      <w:pPr>
        <w:pStyle w:val="636"/>
        <w:outlineLvl w:val="9"/>
        <w:rPr>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p w14:paraId="21D4CF7B">
      <w:pPr>
        <w:pStyle w:val="636"/>
        <w:outlineLvl w:val="9"/>
        <w:rPr>
          <w:color w:val="auto"/>
        </w:rPr>
      </w:pPr>
    </w:p>
    <w:sdt>
      <w:sdtPr>
        <w:rPr>
          <w:rFonts w:hint="eastAsia" w:ascii="宋体" w:hAnsi="宋体" w:cs="宋体"/>
          <w:b/>
          <w:color w:val="auto"/>
          <w:sz w:val="48"/>
          <w:szCs w:val="48"/>
        </w:rPr>
        <w:id w:val="147483532"/>
        <w:docPartObj>
          <w:docPartGallery w:val="Table of Contents"/>
          <w:docPartUnique/>
        </w:docPartObj>
      </w:sdtPr>
      <w:sdtEndPr>
        <w:rPr>
          <w:rFonts w:hint="eastAsia" w:ascii="宋体" w:hAnsi="宋体" w:cs="宋体"/>
          <w:b/>
          <w:color w:val="auto"/>
          <w:sz w:val="48"/>
          <w:szCs w:val="48"/>
        </w:rPr>
      </w:sdtEndPr>
      <w:sdtContent>
        <w:p w14:paraId="6A0BF6CF">
          <w:pPr>
            <w:jc w:val="center"/>
            <w:rPr>
              <w:color w:val="auto"/>
            </w:rPr>
          </w:pPr>
          <w:r>
            <w:rPr>
              <w:rFonts w:hint="eastAsia" w:ascii="宋体" w:hAnsi="宋体" w:cs="宋体"/>
              <w:b/>
              <w:color w:val="auto"/>
              <w:sz w:val="48"/>
              <w:szCs w:val="48"/>
            </w:rPr>
            <w:t>目   录</w:t>
          </w:r>
        </w:p>
        <w:p w14:paraId="68179DA9">
          <w:pPr>
            <w:pStyle w:val="966"/>
            <w:tabs>
              <w:tab w:val="right" w:leader="dot" w:pos="9070"/>
            </w:tabs>
            <w:rPr>
              <w:color w:val="auto"/>
            </w:rPr>
          </w:pPr>
          <w:r>
            <w:rPr>
              <w:color w:val="auto"/>
            </w:rPr>
            <w:fldChar w:fldCharType="begin"/>
          </w:r>
          <w:r>
            <w:rPr>
              <w:color w:val="auto"/>
            </w:rPr>
            <w:instrText xml:space="preserve">TOC \o "1-1" \h \u </w:instrText>
          </w:r>
          <w:r>
            <w:rPr>
              <w:color w:val="auto"/>
            </w:rPr>
            <w:fldChar w:fldCharType="separate"/>
          </w:r>
        </w:p>
        <w:p w14:paraId="75294AE0">
          <w:pPr>
            <w:pStyle w:val="966"/>
            <w:tabs>
              <w:tab w:val="right" w:leader="dot" w:pos="9070"/>
            </w:tabs>
            <w:spacing w:line="360" w:lineRule="auto"/>
            <w:rPr>
              <w:rFonts w:ascii="宋体" w:hAnsi="宋体" w:cs="宋体"/>
              <w:color w:val="auto"/>
              <w:sz w:val="32"/>
              <w:szCs w:val="32"/>
            </w:rPr>
          </w:pPr>
          <w:r>
            <w:rPr>
              <w:color w:val="auto"/>
            </w:rPr>
            <w:fldChar w:fldCharType="begin"/>
          </w:r>
          <w:r>
            <w:rPr>
              <w:color w:val="auto"/>
            </w:rPr>
            <w:instrText xml:space="preserve"> HYPERLINK \l "_Toc19145" </w:instrText>
          </w:r>
          <w:r>
            <w:rPr>
              <w:color w:val="auto"/>
            </w:rPr>
            <w:fldChar w:fldCharType="separate"/>
          </w:r>
          <w:r>
            <w:rPr>
              <w:rFonts w:hint="eastAsia" w:ascii="宋体" w:hAnsi="宋体" w:cs="宋体"/>
              <w:color w:val="auto"/>
              <w:sz w:val="32"/>
              <w:szCs w:val="32"/>
            </w:rPr>
            <w:t>第一部分 招标公告</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_Toc19145 \h </w:instrText>
          </w:r>
          <w:r>
            <w:rPr>
              <w:rFonts w:hint="eastAsia" w:ascii="宋体" w:hAnsi="宋体" w:cs="宋体"/>
              <w:color w:val="auto"/>
              <w:sz w:val="32"/>
              <w:szCs w:val="32"/>
            </w:rPr>
            <w:fldChar w:fldCharType="separate"/>
          </w:r>
          <w:r>
            <w:rPr>
              <w:rFonts w:hint="eastAsia" w:ascii="宋体" w:hAnsi="宋体" w:cs="宋体"/>
              <w:color w:val="auto"/>
              <w:sz w:val="32"/>
              <w:szCs w:val="32"/>
            </w:rPr>
            <w:t>1</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3CC4BE5C">
          <w:pPr>
            <w:pStyle w:val="966"/>
            <w:tabs>
              <w:tab w:val="right" w:leader="dot" w:pos="9070"/>
            </w:tabs>
            <w:spacing w:line="360" w:lineRule="auto"/>
            <w:rPr>
              <w:rFonts w:ascii="宋体" w:hAnsi="宋体" w:cs="宋体"/>
              <w:color w:val="auto"/>
              <w:sz w:val="32"/>
              <w:szCs w:val="32"/>
            </w:rPr>
          </w:pPr>
          <w:r>
            <w:rPr>
              <w:color w:val="auto"/>
            </w:rPr>
            <w:fldChar w:fldCharType="begin"/>
          </w:r>
          <w:r>
            <w:rPr>
              <w:color w:val="auto"/>
            </w:rPr>
            <w:instrText xml:space="preserve"> HYPERLINK \l "_Toc31992" </w:instrText>
          </w:r>
          <w:r>
            <w:rPr>
              <w:color w:val="auto"/>
            </w:rPr>
            <w:fldChar w:fldCharType="separate"/>
          </w:r>
          <w:r>
            <w:rPr>
              <w:rFonts w:hint="eastAsia" w:ascii="宋体" w:hAnsi="宋体" w:cs="宋体"/>
              <w:color w:val="auto"/>
              <w:sz w:val="32"/>
              <w:szCs w:val="32"/>
            </w:rPr>
            <w:t xml:space="preserve">第二部分 </w:t>
          </w:r>
          <w:r>
            <w:rPr>
              <w:rFonts w:hint="eastAsia" w:ascii="宋体" w:hAnsi="宋体" w:cs="宋体"/>
              <w:color w:val="auto"/>
              <w:sz w:val="32"/>
              <w:szCs w:val="32"/>
              <w:lang w:eastAsia="zh-CN"/>
            </w:rPr>
            <w:t>供应商</w:t>
          </w:r>
          <w:r>
            <w:rPr>
              <w:rFonts w:hint="eastAsia" w:ascii="宋体" w:hAnsi="宋体" w:cs="宋体"/>
              <w:color w:val="auto"/>
              <w:sz w:val="32"/>
              <w:szCs w:val="32"/>
            </w:rPr>
            <w:t>须知</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_Toc31992 \h </w:instrText>
          </w:r>
          <w:r>
            <w:rPr>
              <w:rFonts w:hint="eastAsia" w:ascii="宋体" w:hAnsi="宋体" w:cs="宋体"/>
              <w:color w:val="auto"/>
              <w:sz w:val="32"/>
              <w:szCs w:val="32"/>
            </w:rPr>
            <w:fldChar w:fldCharType="separate"/>
          </w:r>
          <w:r>
            <w:rPr>
              <w:rFonts w:hint="eastAsia" w:ascii="宋体" w:hAnsi="宋体" w:cs="宋体"/>
              <w:color w:val="auto"/>
              <w:sz w:val="32"/>
              <w:szCs w:val="32"/>
            </w:rPr>
            <w:t>7</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19745718">
          <w:pPr>
            <w:pStyle w:val="966"/>
            <w:tabs>
              <w:tab w:val="right" w:leader="dot" w:pos="9070"/>
            </w:tabs>
            <w:spacing w:line="360" w:lineRule="auto"/>
            <w:rPr>
              <w:rFonts w:ascii="宋体" w:hAnsi="宋体" w:cs="宋体"/>
              <w:color w:val="auto"/>
              <w:sz w:val="32"/>
              <w:szCs w:val="32"/>
            </w:rPr>
          </w:pPr>
          <w:r>
            <w:rPr>
              <w:color w:val="auto"/>
            </w:rPr>
            <w:fldChar w:fldCharType="begin"/>
          </w:r>
          <w:r>
            <w:rPr>
              <w:color w:val="auto"/>
            </w:rPr>
            <w:instrText xml:space="preserve"> HYPERLINK \l "_Toc25063" </w:instrText>
          </w:r>
          <w:r>
            <w:rPr>
              <w:color w:val="auto"/>
            </w:rPr>
            <w:fldChar w:fldCharType="separate"/>
          </w:r>
          <w:r>
            <w:rPr>
              <w:rFonts w:hint="eastAsia" w:ascii="宋体" w:hAnsi="宋体" w:cs="宋体"/>
              <w:color w:val="auto"/>
              <w:sz w:val="32"/>
              <w:szCs w:val="32"/>
            </w:rPr>
            <w:t>第三部分 采购需求</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_Toc25063 \h </w:instrText>
          </w:r>
          <w:r>
            <w:rPr>
              <w:rFonts w:hint="eastAsia" w:ascii="宋体" w:hAnsi="宋体" w:cs="宋体"/>
              <w:color w:val="auto"/>
              <w:sz w:val="32"/>
              <w:szCs w:val="32"/>
            </w:rPr>
            <w:fldChar w:fldCharType="separate"/>
          </w:r>
          <w:r>
            <w:rPr>
              <w:rFonts w:hint="eastAsia" w:ascii="宋体" w:hAnsi="宋体" w:cs="宋体"/>
              <w:color w:val="auto"/>
              <w:sz w:val="32"/>
              <w:szCs w:val="32"/>
            </w:rPr>
            <w:t>25</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22D25635">
          <w:pPr>
            <w:pStyle w:val="966"/>
            <w:tabs>
              <w:tab w:val="right" w:leader="dot" w:pos="9070"/>
            </w:tabs>
            <w:spacing w:line="360" w:lineRule="auto"/>
            <w:rPr>
              <w:rFonts w:ascii="宋体" w:hAnsi="宋体" w:cs="宋体"/>
              <w:color w:val="auto"/>
              <w:sz w:val="32"/>
              <w:szCs w:val="32"/>
            </w:rPr>
          </w:pPr>
          <w:r>
            <w:rPr>
              <w:color w:val="auto"/>
            </w:rPr>
            <w:fldChar w:fldCharType="begin"/>
          </w:r>
          <w:r>
            <w:rPr>
              <w:color w:val="auto"/>
            </w:rPr>
            <w:instrText xml:space="preserve"> HYPERLINK \l "_Toc19881" </w:instrText>
          </w:r>
          <w:r>
            <w:rPr>
              <w:color w:val="auto"/>
            </w:rPr>
            <w:fldChar w:fldCharType="separate"/>
          </w:r>
          <w:r>
            <w:rPr>
              <w:rFonts w:hint="eastAsia" w:ascii="宋体" w:hAnsi="宋体" w:cs="宋体"/>
              <w:color w:val="auto"/>
              <w:sz w:val="32"/>
              <w:szCs w:val="32"/>
            </w:rPr>
            <w:t>第四部分 评标办法</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_Toc19881 \h </w:instrText>
          </w:r>
          <w:r>
            <w:rPr>
              <w:rFonts w:hint="eastAsia" w:ascii="宋体" w:hAnsi="宋体" w:cs="宋体"/>
              <w:color w:val="auto"/>
              <w:sz w:val="32"/>
              <w:szCs w:val="32"/>
            </w:rPr>
            <w:fldChar w:fldCharType="separate"/>
          </w:r>
          <w:r>
            <w:rPr>
              <w:rFonts w:hint="eastAsia" w:ascii="宋体" w:hAnsi="宋体" w:cs="宋体"/>
              <w:color w:val="auto"/>
              <w:sz w:val="32"/>
              <w:szCs w:val="32"/>
            </w:rPr>
            <w:t>41</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2A9073C2">
          <w:pPr>
            <w:pStyle w:val="966"/>
            <w:tabs>
              <w:tab w:val="right" w:leader="dot" w:pos="9070"/>
            </w:tabs>
            <w:spacing w:line="360" w:lineRule="auto"/>
            <w:rPr>
              <w:rFonts w:ascii="宋体" w:hAnsi="宋体" w:cs="宋体"/>
              <w:color w:val="auto"/>
              <w:sz w:val="32"/>
              <w:szCs w:val="32"/>
            </w:rPr>
          </w:pPr>
          <w:r>
            <w:rPr>
              <w:color w:val="auto"/>
            </w:rPr>
            <w:fldChar w:fldCharType="begin"/>
          </w:r>
          <w:r>
            <w:rPr>
              <w:color w:val="auto"/>
            </w:rPr>
            <w:instrText xml:space="preserve"> HYPERLINK \l "_Toc3448" </w:instrText>
          </w:r>
          <w:r>
            <w:rPr>
              <w:color w:val="auto"/>
            </w:rPr>
            <w:fldChar w:fldCharType="separate"/>
          </w:r>
          <w:r>
            <w:rPr>
              <w:rFonts w:hint="eastAsia" w:ascii="宋体" w:hAnsi="宋体" w:cs="宋体"/>
              <w:color w:val="auto"/>
              <w:sz w:val="32"/>
              <w:szCs w:val="32"/>
            </w:rPr>
            <w:t>第五部分 拟签订的合同文本</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_Toc3448 \h </w:instrText>
          </w:r>
          <w:r>
            <w:rPr>
              <w:rFonts w:hint="eastAsia" w:ascii="宋体" w:hAnsi="宋体" w:cs="宋体"/>
              <w:color w:val="auto"/>
              <w:sz w:val="32"/>
              <w:szCs w:val="32"/>
            </w:rPr>
            <w:fldChar w:fldCharType="separate"/>
          </w:r>
          <w:r>
            <w:rPr>
              <w:rFonts w:hint="eastAsia" w:ascii="宋体" w:hAnsi="宋体" w:cs="宋体"/>
              <w:color w:val="auto"/>
              <w:sz w:val="32"/>
              <w:szCs w:val="32"/>
            </w:rPr>
            <w:t>49</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222C0ED9">
          <w:pPr>
            <w:pStyle w:val="966"/>
            <w:tabs>
              <w:tab w:val="right" w:leader="dot" w:pos="9070"/>
            </w:tabs>
            <w:spacing w:line="360" w:lineRule="auto"/>
            <w:rPr>
              <w:color w:val="auto"/>
            </w:rPr>
          </w:pPr>
          <w:r>
            <w:rPr>
              <w:color w:val="auto"/>
            </w:rPr>
            <w:fldChar w:fldCharType="begin"/>
          </w:r>
          <w:r>
            <w:rPr>
              <w:color w:val="auto"/>
            </w:rPr>
            <w:instrText xml:space="preserve"> HYPERLINK \l "_Toc13049" </w:instrText>
          </w:r>
          <w:r>
            <w:rPr>
              <w:color w:val="auto"/>
            </w:rPr>
            <w:fldChar w:fldCharType="separate"/>
          </w:r>
          <w:r>
            <w:rPr>
              <w:rFonts w:hint="eastAsia" w:ascii="宋体" w:hAnsi="宋体" w:cs="宋体"/>
              <w:color w:val="auto"/>
              <w:sz w:val="32"/>
              <w:szCs w:val="32"/>
            </w:rPr>
            <w:t>第六部分 应提交的有关格式范例</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_Toc13049 \h </w:instrText>
          </w:r>
          <w:r>
            <w:rPr>
              <w:rFonts w:hint="eastAsia" w:ascii="宋体" w:hAnsi="宋体" w:cs="宋体"/>
              <w:color w:val="auto"/>
              <w:sz w:val="32"/>
              <w:szCs w:val="32"/>
            </w:rPr>
            <w:fldChar w:fldCharType="separate"/>
          </w:r>
          <w:r>
            <w:rPr>
              <w:rFonts w:hint="eastAsia" w:ascii="宋体" w:hAnsi="宋体" w:cs="宋体"/>
              <w:color w:val="auto"/>
              <w:sz w:val="32"/>
              <w:szCs w:val="32"/>
            </w:rPr>
            <w:t>62</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060CEDD7">
          <w:pPr>
            <w:rPr>
              <w:color w:val="auto"/>
            </w:rPr>
          </w:pPr>
          <w:r>
            <w:rPr>
              <w:color w:val="auto"/>
            </w:rPr>
            <w:fldChar w:fldCharType="end"/>
          </w:r>
        </w:p>
      </w:sdtContent>
    </w:sdt>
    <w:p w14:paraId="1F641EEC">
      <w:pPr>
        <w:spacing w:line="360" w:lineRule="auto"/>
        <w:rPr>
          <w:rFonts w:ascii="宋体" w:hAnsi="宋体" w:cs="宋体"/>
          <w:color w:val="auto"/>
          <w:sz w:val="24"/>
        </w:rPr>
      </w:pPr>
      <w:bookmarkStart w:id="1" w:name="_Hlt91233176"/>
      <w:bookmarkEnd w:id="1"/>
      <w:bookmarkStart w:id="2" w:name="_Toc91899869"/>
    </w:p>
    <w:bookmarkEnd w:id="2"/>
    <w:p w14:paraId="7BCB186A">
      <w:pPr>
        <w:adjustRightInd/>
        <w:spacing w:line="360" w:lineRule="auto"/>
        <w:jc w:val="center"/>
        <w:outlineLvl w:val="0"/>
        <w:rPr>
          <w:rFonts w:hint="eastAsia" w:ascii="宋体" w:hAnsi="宋体" w:cs="宋体"/>
          <w:b/>
          <w:color w:val="auto"/>
          <w:sz w:val="36"/>
          <w:szCs w:val="20"/>
        </w:rPr>
        <w:sectPr>
          <w:footerReference r:id="rId9" w:type="first"/>
          <w:footerReference r:id="rId8" w:type="default"/>
          <w:pgSz w:w="11906" w:h="16838"/>
          <w:pgMar w:top="680" w:right="1418" w:bottom="468" w:left="1418"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3" w:name="_Hlt74728647"/>
      <w:bookmarkEnd w:id="3"/>
      <w:bookmarkStart w:id="4" w:name="_Hlt74729822"/>
      <w:bookmarkEnd w:id="4"/>
      <w:bookmarkStart w:id="5" w:name="_Hlt74707423"/>
      <w:bookmarkEnd w:id="5"/>
      <w:bookmarkStart w:id="6" w:name="_Hlt74649545"/>
      <w:bookmarkEnd w:id="6"/>
      <w:bookmarkStart w:id="7" w:name="_Toc19145"/>
      <w:bookmarkStart w:id="8" w:name="第二部分"/>
      <w:bookmarkStart w:id="9" w:name="_Toc91899870"/>
      <w:bookmarkStart w:id="10" w:name="_Toc91899871"/>
    </w:p>
    <w:p w14:paraId="4AE9D9F3">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bookmarkEnd w:id="7"/>
    </w:p>
    <w:p w14:paraId="7004967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510E0BE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highlight w:val="none"/>
          <w:u w:val="single"/>
          <w:lang w:eastAsia="zh-CN"/>
        </w:rPr>
        <w:t>海曙区排水管网日常养护项目</w:t>
      </w:r>
      <w:r>
        <w:rPr>
          <w:rFonts w:hint="eastAsia" w:ascii="宋体" w:hAnsi="宋体" w:cs="宋体"/>
          <w:color w:val="auto"/>
          <w:sz w:val="24"/>
        </w:rPr>
        <w:t>招标项目的潜在</w:t>
      </w:r>
      <w:r>
        <w:rPr>
          <w:rFonts w:hint="eastAsia" w:ascii="宋体" w:hAnsi="宋体" w:cs="宋体"/>
          <w:color w:val="auto"/>
          <w:sz w:val="24"/>
          <w:lang w:eastAsia="zh-CN"/>
        </w:rPr>
        <w:t>供应商</w:t>
      </w:r>
      <w:r>
        <w:rPr>
          <w:rFonts w:hint="eastAsia" w:ascii="宋体" w:hAnsi="宋体" w:cs="宋体"/>
          <w:color w:val="auto"/>
          <w:sz w:val="24"/>
        </w:rPr>
        <w:t>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10</w:t>
      </w:r>
      <w:r>
        <w:rPr>
          <w:rFonts w:hint="eastAsia" w:ascii="宋体" w:hAnsi="宋体" w:cs="宋体"/>
          <w:color w:val="auto"/>
          <w:sz w:val="24"/>
          <w:highlight w:val="none"/>
          <w:u w:val="none"/>
        </w:rPr>
        <w:t>日</w:t>
      </w:r>
      <w:r>
        <w:rPr>
          <w:rFonts w:hint="eastAsia" w:ascii="宋体" w:hAnsi="宋体" w:cs="宋体"/>
          <w:color w:val="auto"/>
          <w:sz w:val="24"/>
          <w:highlight w:val="none"/>
          <w:u w:val="none"/>
          <w:lang w:val="en-US" w:eastAsia="zh-CN"/>
        </w:rPr>
        <w:t>09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2752A298">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0C7E5C71">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2025NBHSWT319</w:t>
      </w:r>
      <w:r>
        <w:rPr>
          <w:rFonts w:hint="eastAsia" w:ascii="宋体" w:hAnsi="宋体" w:cs="宋体"/>
          <w:color w:val="auto"/>
          <w:sz w:val="24"/>
        </w:rPr>
        <w:t xml:space="preserve">   </w:t>
      </w:r>
    </w:p>
    <w:p w14:paraId="77F3B3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海曙区排水管网日常养护项目</w:t>
      </w:r>
    </w:p>
    <w:p w14:paraId="6918F98A">
      <w:pPr>
        <w:spacing w:line="360" w:lineRule="auto"/>
        <w:rPr>
          <w:rFonts w:hint="default" w:ascii="宋体" w:hAnsi="宋体" w:eastAsia="宋体" w:cs="宋体"/>
          <w:b w:val="0"/>
          <w:bCs w:val="0"/>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val="0"/>
          <w:bCs w:val="0"/>
          <w:color w:val="auto"/>
          <w:sz w:val="24"/>
          <w:highlight w:val="none"/>
        </w:rPr>
        <w:t xml:space="preserve">  预算金额（元</w:t>
      </w:r>
      <w:r>
        <w:rPr>
          <w:rFonts w:hint="eastAsia" w:ascii="宋体" w:hAnsi="宋体" w:cs="宋体"/>
          <w:b w:val="0"/>
          <w:bCs w:val="0"/>
          <w:color w:val="auto"/>
          <w:sz w:val="24"/>
          <w:highlight w:val="none"/>
          <w:lang w:val="en-US" w:eastAsia="zh-CN"/>
        </w:rPr>
        <w:t>/年</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5382135.00</w:t>
      </w:r>
    </w:p>
    <w:p w14:paraId="39D3D700">
      <w:pPr>
        <w:pStyle w:val="2"/>
        <w:spacing w:line="360" w:lineRule="auto"/>
        <w:ind w:firstLine="48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最高限价（元/年）：标项一：</w:t>
      </w:r>
      <w:r>
        <w:rPr>
          <w:rFonts w:hint="eastAsia" w:hAnsi="宋体" w:cs="宋体"/>
          <w:b w:val="0"/>
          <w:bCs w:val="0"/>
          <w:color w:val="auto"/>
          <w:sz w:val="24"/>
          <w:highlight w:val="none"/>
          <w:lang w:val="en-US" w:eastAsia="zh-CN"/>
        </w:rPr>
        <w:t xml:space="preserve">2786890.00  </w:t>
      </w:r>
      <w:r>
        <w:rPr>
          <w:rFonts w:hint="eastAsia" w:ascii="宋体" w:hAnsi="宋体" w:cs="宋体"/>
          <w:b w:val="0"/>
          <w:bCs w:val="0"/>
          <w:color w:val="auto"/>
          <w:sz w:val="24"/>
          <w:highlight w:val="none"/>
          <w:lang w:val="en-US" w:eastAsia="zh-CN"/>
        </w:rPr>
        <w:t>标项二：</w:t>
      </w:r>
      <w:r>
        <w:rPr>
          <w:rFonts w:hint="eastAsia" w:hAnsi="宋体" w:cs="宋体"/>
          <w:b w:val="0"/>
          <w:bCs w:val="0"/>
          <w:color w:val="auto"/>
          <w:sz w:val="24"/>
          <w:highlight w:val="none"/>
          <w:lang w:val="en-US" w:eastAsia="zh-CN"/>
        </w:rPr>
        <w:t>2595245.00</w:t>
      </w:r>
    </w:p>
    <w:p w14:paraId="3EB9C9AD">
      <w:pPr>
        <w:pStyle w:val="2"/>
        <w:spacing w:line="360" w:lineRule="auto"/>
        <w:ind w:firstLine="48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标项一：海曙区排水管网日常养护项目（一）</w:t>
      </w:r>
    </w:p>
    <w:p w14:paraId="785D8F84">
      <w:pPr>
        <w:pStyle w:val="2"/>
        <w:spacing w:line="360" w:lineRule="auto"/>
        <w:ind w:firstLine="48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预算金额（元/年）：</w:t>
      </w:r>
      <w:r>
        <w:rPr>
          <w:rFonts w:hint="eastAsia" w:hAnsi="宋体" w:cs="宋体"/>
          <w:b w:val="0"/>
          <w:bCs w:val="0"/>
          <w:color w:val="auto"/>
          <w:sz w:val="24"/>
          <w:highlight w:val="none"/>
          <w:lang w:val="en-US" w:eastAsia="zh-CN"/>
        </w:rPr>
        <w:t>2786890</w:t>
      </w:r>
      <w:r>
        <w:rPr>
          <w:rFonts w:hint="eastAsia" w:ascii="宋体" w:hAnsi="宋体" w:cs="宋体"/>
          <w:b w:val="0"/>
          <w:bCs w:val="0"/>
          <w:color w:val="auto"/>
          <w:sz w:val="24"/>
          <w:highlight w:val="none"/>
          <w:lang w:val="en-US" w:eastAsia="zh-CN"/>
        </w:rPr>
        <w:t>.00</w:t>
      </w:r>
    </w:p>
    <w:p w14:paraId="15D3CA99">
      <w:pPr>
        <w:pStyle w:val="2"/>
        <w:spacing w:line="360" w:lineRule="auto"/>
        <w:ind w:firstLine="48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简要规格描述或项目基本概况介绍、用途：养护内容主要包括雨污水检查井、雨水出水口的日常清淤（含倒虹井），管道内部日常疏通清淤、管网运行情况检查、日常巡查（含倒虹管、河道排口）、防汛抗台工作及应急管道检测和非开挖修复作业；具体以招标文件第三部分采购需求为准，供应商可点击本公告下方“浏览采购文件”查看采购需求。</w:t>
      </w:r>
    </w:p>
    <w:p w14:paraId="741A78FD">
      <w:pPr>
        <w:pStyle w:val="2"/>
        <w:spacing w:line="360" w:lineRule="auto"/>
        <w:ind w:firstLine="48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数量：1项</w:t>
      </w:r>
    </w:p>
    <w:p w14:paraId="675F17BA">
      <w:pPr>
        <w:pStyle w:val="2"/>
        <w:spacing w:line="360" w:lineRule="auto"/>
        <w:ind w:firstLine="48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合同履约期限：三年，合同一年一签，采购人根据中标人上一年度的合同履约、考核及财政资金审批情况决定是否续签。</w:t>
      </w:r>
    </w:p>
    <w:p w14:paraId="6412E443">
      <w:pPr>
        <w:pStyle w:val="2"/>
        <w:spacing w:line="360" w:lineRule="auto"/>
        <w:ind w:firstLine="48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备注：/</w:t>
      </w:r>
    </w:p>
    <w:p w14:paraId="4A9E230E">
      <w:pPr>
        <w:pStyle w:val="2"/>
        <w:spacing w:line="360" w:lineRule="auto"/>
        <w:ind w:firstLine="48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标项二：海曙区排水管网日常养护项目（</w:t>
      </w:r>
      <w:r>
        <w:rPr>
          <w:rFonts w:hint="eastAsia" w:hAnsi="宋体" w:cs="宋体"/>
          <w:b w:val="0"/>
          <w:bCs w:val="0"/>
          <w:color w:val="auto"/>
          <w:sz w:val="24"/>
          <w:highlight w:val="none"/>
          <w:lang w:val="en-US" w:eastAsia="zh-CN"/>
        </w:rPr>
        <w:t>二</w:t>
      </w:r>
      <w:r>
        <w:rPr>
          <w:rFonts w:hint="eastAsia" w:ascii="宋体" w:hAnsi="宋体" w:cs="宋体"/>
          <w:b w:val="0"/>
          <w:bCs w:val="0"/>
          <w:color w:val="auto"/>
          <w:sz w:val="24"/>
          <w:highlight w:val="none"/>
          <w:lang w:val="en-US" w:eastAsia="zh-CN"/>
        </w:rPr>
        <w:t>）</w:t>
      </w:r>
    </w:p>
    <w:p w14:paraId="5EAA3216">
      <w:pPr>
        <w:pStyle w:val="2"/>
        <w:spacing w:line="360" w:lineRule="auto"/>
        <w:ind w:firstLine="48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预算金额（元/年）：</w:t>
      </w:r>
      <w:r>
        <w:rPr>
          <w:rFonts w:hint="eastAsia" w:hAnsi="宋体" w:cs="宋体"/>
          <w:b w:val="0"/>
          <w:bCs w:val="0"/>
          <w:color w:val="auto"/>
          <w:sz w:val="24"/>
          <w:highlight w:val="none"/>
          <w:lang w:val="en-US" w:eastAsia="zh-CN"/>
        </w:rPr>
        <w:t>2595245</w:t>
      </w:r>
      <w:r>
        <w:rPr>
          <w:rFonts w:hint="eastAsia" w:ascii="宋体" w:hAnsi="宋体" w:cs="宋体"/>
          <w:b w:val="0"/>
          <w:bCs w:val="0"/>
          <w:color w:val="auto"/>
          <w:sz w:val="24"/>
          <w:highlight w:val="none"/>
          <w:lang w:val="en-US" w:eastAsia="zh-CN"/>
        </w:rPr>
        <w:t>.00</w:t>
      </w:r>
    </w:p>
    <w:p w14:paraId="3A1912A6">
      <w:pPr>
        <w:pStyle w:val="2"/>
        <w:spacing w:line="360" w:lineRule="auto"/>
        <w:ind w:firstLine="48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简要规格描述或项目基本概况介绍、用途：养护内容主要包括雨污水检查井、雨水出水口的日常清淤（含倒虹井），管道内部日常疏通清淤、管网运行情况检查、日常巡查（含倒虹管、河道排口）、防汛抗台工作及应急管道检测和非开挖修复作业。具体以招标文件第三部分采购需求为准，供应商可点击本公告下方“浏览采购文件”查看采购需求。</w:t>
      </w:r>
    </w:p>
    <w:p w14:paraId="1B3D4CF5">
      <w:pPr>
        <w:pStyle w:val="2"/>
        <w:spacing w:line="360" w:lineRule="auto"/>
        <w:ind w:firstLine="48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数量：1项</w:t>
      </w:r>
    </w:p>
    <w:p w14:paraId="73E3AA4D">
      <w:pPr>
        <w:pStyle w:val="2"/>
        <w:spacing w:line="360" w:lineRule="auto"/>
        <w:ind w:firstLine="48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合同履约期限：三年，合同一年一签。采购人根据中标人上一年度的合同履约、考核及财政资金审批情况决定是否续签。</w:t>
      </w:r>
    </w:p>
    <w:p w14:paraId="415DB600">
      <w:pPr>
        <w:pStyle w:val="2"/>
        <w:spacing w:line="360" w:lineRule="auto"/>
        <w:ind w:firstLine="48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备注：/</w:t>
      </w:r>
    </w:p>
    <w:p w14:paraId="56CCC2E3">
      <w:pPr>
        <w:pStyle w:val="2"/>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sdtPr>
        <w:sdtEndPr>
          <w:rPr>
            <w:rFonts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r>
        <w:rPr>
          <w:rFonts w:hint="eastAsia" w:hAnsi="宋体" w:cs="宋体"/>
          <w:b/>
          <w:color w:val="auto"/>
          <w:sz w:val="24"/>
          <w:highlight w:val="none"/>
        </w:rPr>
        <w:t>是；</w:t>
      </w:r>
      <w:sdt>
        <w:sdtPr>
          <w:rPr>
            <w:rFonts w:hAnsi="宋体" w:cs="宋体"/>
            <w:color w:val="auto"/>
            <w:kern w:val="0"/>
            <w:sz w:val="24"/>
            <w:highlight w:val="none"/>
          </w:rPr>
          <w:id w:val="147462079"/>
        </w:sdtPr>
        <w:sdtEndPr>
          <w:rPr>
            <w:rFonts w:hAnsi="宋体" w:cs="宋体"/>
            <w:color w:val="auto"/>
            <w:kern w:val="0"/>
            <w:sz w:val="24"/>
            <w:highlight w:val="none"/>
          </w:rPr>
        </w:sdtEndPr>
        <w:sdtContent>
          <w:sdt>
            <w:sdtPr>
              <w:rPr>
                <w:rFonts w:ascii="Segoe UI Symbol" w:hAnsi="Segoe UI Symbol" w:cs="Segoe UI Symbol"/>
                <w:color w:val="auto"/>
                <w:kern w:val="0"/>
                <w:sz w:val="24"/>
                <w:highlight w:val="none"/>
              </w:rPr>
              <w:id w:val="147479590"/>
            </w:sdtPr>
            <w:sdtEndPr>
              <w:rPr>
                <w:rFonts w:ascii="Segoe UI Symbol" w:hAnsi="Segoe UI Symbol" w:cs="Segoe UI Symbol"/>
                <w:color w:val="auto"/>
                <w:kern w:val="0"/>
                <w:sz w:val="24"/>
                <w:highlight w:val="none"/>
              </w:rPr>
            </w:sdtEndPr>
            <w:sdtContent>
              <w:r>
                <w:rPr>
                  <w:rFonts w:ascii="Segoe UI Symbol" w:hAnsi="Segoe UI Symbol" w:cs="Segoe UI Symbol"/>
                  <w:color w:val="auto"/>
                  <w:kern w:val="0"/>
                  <w:sz w:val="24"/>
                  <w:highlight w:val="none"/>
                </w:rPr>
                <w:sym w:font="Wingdings" w:char="00FE"/>
              </w:r>
            </w:sdtContent>
          </w:sdt>
        </w:sdtContent>
      </w:sdt>
      <w:r>
        <w:rPr>
          <w:rFonts w:hint="eastAsia" w:hAnsi="宋体" w:cs="宋体"/>
          <w:b/>
          <w:color w:val="auto"/>
          <w:sz w:val="24"/>
          <w:highlight w:val="none"/>
        </w:rPr>
        <w:t>否</w:t>
      </w:r>
    </w:p>
    <w:p w14:paraId="0038C9A1">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7B1F1D">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25EB764">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.以联合体形式投标的，提供联合协议(本项目不接受联合体响应或者供应商不以联合体形式响应的，则不需要提供)；</w:t>
      </w:r>
    </w:p>
    <w:p w14:paraId="100BB65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18F2EF8">
      <w:pPr>
        <w:tabs>
          <w:tab w:val="left" w:pos="7638"/>
        </w:tabs>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rPr>
        <w:tab/>
      </w:r>
    </w:p>
    <w:p w14:paraId="7D36203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4215"/>
        </w:sdtPr>
        <w:sdtEndPr>
          <w:rPr>
            <w:rFonts w:hint="eastAsia" w:ascii="宋体" w:hAnsi="宋体" w:cs="宋体"/>
            <w:color w:val="auto"/>
            <w:kern w:val="0"/>
            <w:sz w:val="24"/>
            <w:highlight w:val="none"/>
          </w:rPr>
        </w:sdtEndPr>
        <w:sdtContent>
          <w:sdt>
            <w:sdtPr>
              <w:rPr>
                <w:rFonts w:hint="eastAsia" w:ascii="MS Gothic" w:hAnsi="MS Gothic" w:eastAsia="MS Gothic" w:cs="宋体"/>
                <w:color w:val="auto"/>
                <w:kern w:val="0"/>
                <w:sz w:val="24"/>
                <w:highlight w:val="none"/>
              </w:rPr>
              <w:id w:val="147479672"/>
            </w:sdtPr>
            <w:sdtEndPr>
              <w:rPr>
                <w:rFonts w:hint="eastAsia" w:ascii="MS Gothic" w:hAnsi="MS Gothic" w:eastAsia="MS Gothic" w:cs="宋体"/>
                <w:color w:val="auto"/>
                <w:kern w:val="0"/>
                <w:sz w:val="24"/>
                <w:highlight w:val="none"/>
              </w:rPr>
            </w:sdtEndPr>
            <w:sdtContent>
              <w:r>
                <w:rPr>
                  <w:rFonts w:hint="eastAsia" w:ascii="MS Gothic" w:hAnsi="MS Gothic" w:eastAsia="MS Gothic" w:cs="宋体"/>
                  <w:color w:val="auto"/>
                  <w:kern w:val="0"/>
                  <w:sz w:val="24"/>
                  <w:highlight w:val="none"/>
                </w:rPr>
                <w:sym w:font="Wingdings" w:char="00FE"/>
              </w:r>
            </w:sdtContent>
          </w:sdt>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899DB5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74476"/>
        </w:sdtPr>
        <w:sdtEndPr>
          <w:rPr>
            <w:rFonts w:hint="eastAsia" w:ascii="宋体" w:hAnsi="宋体" w:cs="宋体"/>
            <w:color w:val="auto"/>
            <w:kern w:val="0"/>
            <w:sz w:val="24"/>
            <w:highlight w:val="none"/>
          </w:rPr>
        </w:sdtEndPr>
        <w:sdtContent>
          <w:sdt>
            <w:sdtPr>
              <w:rPr>
                <w:rFonts w:hint="eastAsia" w:ascii="MS Gothic" w:hAnsi="MS Gothic" w:eastAsia="MS Gothic" w:cs="宋体"/>
                <w:color w:val="auto"/>
                <w:kern w:val="0"/>
                <w:sz w:val="24"/>
                <w:highlight w:val="none"/>
              </w:rPr>
              <w:id w:val="147453675"/>
            </w:sdtPr>
            <w:sdtEndPr>
              <w:rPr>
                <w:rFonts w:hint="eastAsia" w:ascii="MS Gothic" w:hAnsi="MS Gothic" w:eastAsia="MS Gothic" w:cs="宋体"/>
                <w:color w:val="auto"/>
                <w:kern w:val="0"/>
                <w:sz w:val="24"/>
                <w:highlight w:val="none"/>
              </w:rPr>
            </w:sdtEndPr>
            <w:sdtContent>
              <w:r>
                <w:rPr>
                  <w:rFonts w:hint="eastAsia" w:ascii="MS Gothic" w:hAnsi="MS Gothic" w:eastAsia="MS Gothic" w:cs="宋体"/>
                  <w:color w:val="auto"/>
                  <w:kern w:val="0"/>
                  <w:sz w:val="24"/>
                  <w:highlight w:val="none"/>
                </w:rPr>
                <w:sym w:font="Wingdings" w:char="00FE"/>
              </w:r>
            </w:sdtContent>
          </w:sdt>
        </w:sdtContent>
      </w:sdt>
      <w:r>
        <w:rPr>
          <w:rFonts w:hint="eastAsia" w:ascii="宋体" w:hAnsi="宋体" w:cs="宋体"/>
          <w:color w:val="auto"/>
          <w:sz w:val="24"/>
          <w:highlight w:val="none"/>
        </w:rPr>
        <w:t>服务全部由符合政策要求的中小企业承接，提供中小企业声明函；</w:t>
      </w:r>
    </w:p>
    <w:p w14:paraId="21E2A9F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8127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54283DA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4303"/>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14A0C8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7070563">
      <w:pPr>
        <w:spacing w:line="360" w:lineRule="auto"/>
        <w:ind w:firstLine="480" w:firstLineChars="200"/>
        <w:rPr>
          <w:rFonts w:hint="eastAsia" w:ascii="宋体" w:hAnsi="宋体" w:eastAsia="宋体" w:cs="宋体"/>
          <w:color w:val="auto"/>
          <w:sz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2E7AA8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4A522B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3703FD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5D4136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7A15AB8">
      <w:pPr>
        <w:spacing w:line="360" w:lineRule="auto"/>
        <w:ind w:firstLine="482" w:firstLineChars="200"/>
        <w:rPr>
          <w:rFonts w:ascii="宋体" w:hAnsi="宋体" w:cs="宋体"/>
          <w:color w:val="auto"/>
          <w:sz w:val="24"/>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w:t>
      </w:r>
      <w:r>
        <w:rPr>
          <w:rFonts w:hint="eastAsia" w:ascii="宋体" w:hAnsi="宋体" w:cs="宋体"/>
          <w:color w:val="auto"/>
          <w:sz w:val="24"/>
        </w:rPr>
        <w:t>gov.cn/在线申请获取采购文件（进入“项目采购”应用，在获取采购文件菜单中选择项目，申请获取采购文件）。</w:t>
      </w:r>
    </w:p>
    <w:p w14:paraId="5AEEA72F">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0</w:t>
      </w:r>
    </w:p>
    <w:p w14:paraId="2833AD9E">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699EB226">
      <w:pPr>
        <w:spacing w:line="360" w:lineRule="auto"/>
        <w:ind w:firstLine="482" w:firstLineChars="200"/>
        <w:rPr>
          <w:rFonts w:ascii="宋体" w:hAnsi="宋体" w:cs="宋体"/>
          <w:color w:val="auto"/>
          <w:sz w:val="24"/>
          <w:highlight w:val="none"/>
          <w:u w:val="none"/>
        </w:rPr>
      </w:pPr>
      <w:r>
        <w:rPr>
          <w:rFonts w:hint="eastAsia" w:ascii="宋体" w:hAnsi="宋体" w:cs="宋体"/>
          <w:b/>
          <w:color w:val="auto"/>
          <w:sz w:val="24"/>
          <w:highlight w:val="none"/>
          <w:u w:val="none"/>
        </w:rPr>
        <w:t>提交投标文件截止时间：</w:t>
      </w:r>
      <w:r>
        <w:rPr>
          <w:rFonts w:hint="eastAsia" w:ascii="宋体" w:hAnsi="宋体" w:cs="宋体"/>
          <w:color w:val="auto"/>
          <w:sz w:val="24"/>
          <w:highlight w:val="none"/>
          <w:u w:val="none"/>
          <w:lang w:eastAsia="zh-CN"/>
        </w:rPr>
        <w:t>2025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07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10</w:t>
      </w:r>
      <w:r>
        <w:rPr>
          <w:rFonts w:hint="eastAsia" w:ascii="宋体" w:hAnsi="宋体" w:cs="宋体"/>
          <w:color w:val="auto"/>
          <w:sz w:val="24"/>
          <w:highlight w:val="none"/>
          <w:u w:val="none"/>
        </w:rPr>
        <w:t>日</w:t>
      </w:r>
      <w:r>
        <w:rPr>
          <w:rFonts w:hint="eastAsia" w:ascii="宋体" w:hAnsi="宋体" w:cs="宋体"/>
          <w:color w:val="auto"/>
          <w:sz w:val="24"/>
          <w:highlight w:val="none"/>
          <w:u w:val="none"/>
          <w:lang w:val="en-US" w:eastAsia="zh-CN"/>
        </w:rPr>
        <w:t>09</w:t>
      </w:r>
      <w:r>
        <w:rPr>
          <w:rFonts w:hint="eastAsia" w:ascii="宋体" w:hAnsi="宋体" w:cs="宋体"/>
          <w:color w:val="auto"/>
          <w:sz w:val="24"/>
          <w:highlight w:val="none"/>
          <w:u w:val="none"/>
        </w:rPr>
        <w:t>点</w:t>
      </w:r>
      <w:r>
        <w:rPr>
          <w:rFonts w:hint="eastAsia" w:ascii="宋体" w:hAnsi="宋体" w:cs="宋体"/>
          <w:color w:val="auto"/>
          <w:sz w:val="24"/>
          <w:highlight w:val="none"/>
          <w:u w:val="none"/>
          <w:lang w:val="en-US" w:eastAsia="zh-CN"/>
        </w:rPr>
        <w:t>00</w:t>
      </w:r>
      <w:r>
        <w:rPr>
          <w:rFonts w:hint="eastAsia" w:ascii="宋体" w:hAnsi="宋体" w:cs="宋体"/>
          <w:color w:val="auto"/>
          <w:sz w:val="24"/>
          <w:highlight w:val="none"/>
          <w:u w:val="none"/>
        </w:rPr>
        <w:t>分</w:t>
      </w:r>
      <w:r>
        <w:rPr>
          <w:rFonts w:hint="eastAsia" w:ascii="宋体" w:hAnsi="宋体" w:cs="宋体"/>
          <w:color w:val="auto"/>
          <w:sz w:val="24"/>
          <w:highlight w:val="none"/>
          <w:u w:val="none"/>
          <w:lang w:val="en-US" w:eastAsia="zh-CN"/>
        </w:rPr>
        <w:t>00</w:t>
      </w:r>
      <w:r>
        <w:rPr>
          <w:rFonts w:hint="eastAsia" w:ascii="宋体" w:hAnsi="宋体" w:cs="宋体"/>
          <w:color w:val="auto"/>
          <w:sz w:val="24"/>
          <w:highlight w:val="none"/>
          <w:u w:val="none"/>
        </w:rPr>
        <w:t>秒（北京时间）</w:t>
      </w:r>
    </w:p>
    <w:p w14:paraId="2F85E3E3">
      <w:pPr>
        <w:spacing w:line="360" w:lineRule="auto"/>
        <w:ind w:firstLine="482" w:firstLineChars="200"/>
        <w:rPr>
          <w:rFonts w:ascii="宋体" w:hAnsi="宋体" w:cs="宋体"/>
          <w:b/>
          <w:color w:val="auto"/>
          <w:sz w:val="24"/>
          <w:highlight w:val="none"/>
          <w:u w:val="none"/>
        </w:rPr>
      </w:pPr>
      <w:r>
        <w:rPr>
          <w:rFonts w:hint="eastAsia" w:ascii="宋体" w:hAnsi="宋体" w:cs="宋体"/>
          <w:b/>
          <w:color w:val="auto"/>
          <w:sz w:val="24"/>
          <w:highlight w:val="none"/>
          <w:u w:val="none"/>
        </w:rPr>
        <w:t>投标地点（网址）：</w:t>
      </w:r>
      <w:r>
        <w:rPr>
          <w:rFonts w:hint="eastAsia" w:ascii="宋体" w:hAnsi="宋体" w:cs="宋体"/>
          <w:color w:val="auto"/>
          <w:sz w:val="24"/>
          <w:highlight w:val="none"/>
          <w:u w:val="none"/>
          <w:lang w:eastAsia="zh-CN"/>
        </w:rPr>
        <w:t>宁波市海曙区营商环境服务中心二楼开标室（</w:t>
      </w:r>
      <w:r>
        <w:rPr>
          <w:rFonts w:hint="eastAsia" w:ascii="宋体" w:hAnsi="宋体" w:cs="宋体"/>
          <w:color w:val="auto"/>
          <w:sz w:val="24"/>
          <w:highlight w:val="none"/>
          <w:u w:val="none"/>
          <w:lang w:val="en-US" w:eastAsia="zh-CN"/>
        </w:rPr>
        <w:t>2</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rPr>
        <w:t xml:space="preserve">[宁波市海曙区气象路58号(南门上)]。政采云平台（https://www.zcygov.cn/） </w:t>
      </w:r>
    </w:p>
    <w:p w14:paraId="49468F8E">
      <w:pPr>
        <w:spacing w:line="360" w:lineRule="auto"/>
        <w:ind w:firstLine="482" w:firstLineChars="200"/>
        <w:rPr>
          <w:rFonts w:ascii="宋体" w:hAnsi="宋体" w:cs="宋体"/>
          <w:bCs/>
          <w:color w:val="auto"/>
          <w:sz w:val="24"/>
          <w:highlight w:val="none"/>
          <w:u w:val="none"/>
        </w:rPr>
      </w:pPr>
      <w:r>
        <w:rPr>
          <w:rFonts w:hint="eastAsia" w:ascii="宋体" w:hAnsi="宋体" w:cs="宋体"/>
          <w:b/>
          <w:color w:val="auto"/>
          <w:sz w:val="24"/>
          <w:highlight w:val="none"/>
          <w:u w:val="none"/>
        </w:rPr>
        <w:t>开标时间：</w:t>
      </w:r>
      <w:r>
        <w:rPr>
          <w:rFonts w:hint="eastAsia" w:ascii="宋体" w:hAnsi="宋体" w:cs="宋体"/>
          <w:color w:val="auto"/>
          <w:sz w:val="24"/>
          <w:highlight w:val="none"/>
          <w:u w:val="none"/>
          <w:lang w:eastAsia="zh-CN"/>
        </w:rPr>
        <w:t>2025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07月10日09</w:t>
      </w:r>
      <w:r>
        <w:rPr>
          <w:rFonts w:hint="eastAsia" w:ascii="宋体" w:hAnsi="宋体" w:cs="宋体"/>
          <w:color w:val="auto"/>
          <w:sz w:val="24"/>
          <w:highlight w:val="none"/>
          <w:u w:val="none"/>
        </w:rPr>
        <w:t>点</w:t>
      </w:r>
      <w:r>
        <w:rPr>
          <w:rFonts w:hint="eastAsia" w:ascii="宋体" w:hAnsi="宋体" w:cs="宋体"/>
          <w:color w:val="auto"/>
          <w:sz w:val="24"/>
          <w:highlight w:val="none"/>
          <w:u w:val="none"/>
          <w:lang w:val="en-US" w:eastAsia="zh-CN"/>
        </w:rPr>
        <w:t>00</w:t>
      </w:r>
      <w:r>
        <w:rPr>
          <w:rFonts w:hint="eastAsia" w:ascii="宋体" w:hAnsi="宋体" w:cs="宋体"/>
          <w:color w:val="auto"/>
          <w:sz w:val="24"/>
          <w:highlight w:val="none"/>
          <w:u w:val="none"/>
        </w:rPr>
        <w:t>分</w:t>
      </w:r>
      <w:r>
        <w:rPr>
          <w:rFonts w:hint="eastAsia" w:ascii="宋体" w:hAnsi="宋体" w:cs="宋体"/>
          <w:color w:val="auto"/>
          <w:sz w:val="24"/>
          <w:highlight w:val="none"/>
          <w:u w:val="none"/>
          <w:lang w:val="en-US" w:eastAsia="zh-CN"/>
        </w:rPr>
        <w:t>00</w:t>
      </w:r>
      <w:r>
        <w:rPr>
          <w:rFonts w:hint="eastAsia" w:ascii="宋体" w:hAnsi="宋体" w:cs="宋体"/>
          <w:color w:val="auto"/>
          <w:sz w:val="24"/>
          <w:highlight w:val="none"/>
          <w:u w:val="none"/>
        </w:rPr>
        <w:t>秒（北京时间）</w:t>
      </w:r>
    </w:p>
    <w:p w14:paraId="7C48B502">
      <w:pPr>
        <w:spacing w:line="360" w:lineRule="auto"/>
        <w:ind w:firstLine="482" w:firstLineChars="200"/>
        <w:rPr>
          <w:rFonts w:ascii="宋体" w:hAnsi="宋体" w:cs="宋体"/>
          <w:color w:val="auto"/>
          <w:sz w:val="24"/>
        </w:rPr>
      </w:pPr>
      <w:r>
        <w:rPr>
          <w:rFonts w:hint="eastAsia" w:ascii="宋体" w:hAnsi="宋体" w:cs="宋体"/>
          <w:b/>
          <w:color w:val="auto"/>
          <w:sz w:val="24"/>
          <w:highlight w:val="none"/>
          <w:u w:val="none"/>
        </w:rPr>
        <w:t>开标地点（网址）：</w:t>
      </w:r>
      <w:r>
        <w:rPr>
          <w:rFonts w:hint="eastAsia" w:ascii="宋体" w:hAnsi="宋体" w:cs="宋体"/>
          <w:color w:val="auto"/>
          <w:sz w:val="24"/>
          <w:highlight w:val="none"/>
          <w:u w:val="none"/>
          <w:lang w:eastAsia="zh-CN"/>
        </w:rPr>
        <w:t>宁波市海曙区营商环境服务中心二楼开标室（</w:t>
      </w:r>
      <w:r>
        <w:rPr>
          <w:rFonts w:hint="eastAsia" w:ascii="宋体" w:hAnsi="宋体" w:cs="宋体"/>
          <w:color w:val="auto"/>
          <w:sz w:val="24"/>
          <w:highlight w:val="none"/>
          <w:u w:val="none"/>
          <w:lang w:val="en-US" w:eastAsia="zh-CN"/>
        </w:rPr>
        <w:t>2</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rPr>
        <w:t>[宁</w:t>
      </w:r>
      <w:r>
        <w:rPr>
          <w:rFonts w:hint="eastAsia" w:ascii="宋体" w:hAnsi="宋体" w:cs="宋体"/>
          <w:color w:val="auto"/>
          <w:sz w:val="24"/>
        </w:rPr>
        <w:t>波市海曙区气象路58号(南门上)]。政采云平台（https://www.zcygov.cn/）</w:t>
      </w:r>
    </w:p>
    <w:p w14:paraId="5B3E030C">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3C4BBEB6">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5D036C22">
      <w:pPr>
        <w:spacing w:line="360" w:lineRule="auto"/>
        <w:rPr>
          <w:rFonts w:ascii="宋体" w:hAnsi="宋体" w:cs="宋体"/>
          <w:b/>
          <w:color w:val="auto"/>
          <w:sz w:val="24"/>
        </w:rPr>
      </w:pPr>
      <w:r>
        <w:rPr>
          <w:rFonts w:hint="eastAsia" w:ascii="宋体" w:hAnsi="宋体" w:cs="宋体"/>
          <w:b/>
          <w:color w:val="auto"/>
          <w:sz w:val="24"/>
        </w:rPr>
        <w:t>六、其他补充事宜</w:t>
      </w:r>
    </w:p>
    <w:p w14:paraId="0200EE3D">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2CC11A69">
      <w:pPr>
        <w:spacing w:line="360" w:lineRule="auto"/>
        <w:ind w:firstLine="480" w:firstLineChars="200"/>
        <w:rPr>
          <w:rFonts w:ascii="宋体" w:hAnsi="宋体" w:cs="宋体"/>
          <w:color w:val="auto"/>
          <w:sz w:val="24"/>
        </w:rPr>
      </w:pPr>
      <w:r>
        <w:rPr>
          <w:rFonts w:hint="eastAsia" w:ascii="宋体" w:hAnsi="宋体" w:cs="宋体"/>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8DA470">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w:t>
      </w:r>
      <w:r>
        <w:rPr>
          <w:rFonts w:hint="eastAsia" w:ascii="宋体" w:hAnsi="宋体" w:cs="宋体"/>
          <w:color w:val="auto"/>
          <w:sz w:val="24"/>
          <w:lang w:eastAsia="zh-CN"/>
        </w:rPr>
        <w:t>招标人</w:t>
      </w:r>
      <w:r>
        <w:rPr>
          <w:rFonts w:hint="eastAsia" w:ascii="宋体" w:hAnsi="宋体" w:cs="宋体"/>
          <w:color w:val="auto"/>
          <w:sz w:val="24"/>
        </w:rPr>
        <w:t>和采购代理机构提出质疑。质疑供应商对</w:t>
      </w:r>
      <w:r>
        <w:rPr>
          <w:rFonts w:hint="eastAsia" w:ascii="宋体" w:hAnsi="宋体" w:cs="宋体"/>
          <w:color w:val="auto"/>
          <w:sz w:val="24"/>
          <w:lang w:eastAsia="zh-CN"/>
        </w:rPr>
        <w:t>招标人</w:t>
      </w:r>
      <w:r>
        <w:rPr>
          <w:rFonts w:hint="eastAsia" w:ascii="宋体" w:hAnsi="宋体" w:cs="宋体"/>
          <w:color w:val="auto"/>
          <w:sz w:val="24"/>
        </w:rPr>
        <w:t>、采购代理机构的答复不满意或者</w:t>
      </w:r>
      <w:r>
        <w:rPr>
          <w:rFonts w:hint="eastAsia" w:ascii="宋体" w:hAnsi="宋体" w:cs="宋体"/>
          <w:color w:val="auto"/>
          <w:sz w:val="24"/>
          <w:lang w:eastAsia="zh-CN"/>
        </w:rPr>
        <w:t>招标人</w:t>
      </w:r>
      <w:r>
        <w:rPr>
          <w:rFonts w:hint="eastAsia" w:ascii="宋体" w:hAnsi="宋体" w:cs="宋体"/>
          <w:color w:val="auto"/>
          <w:sz w:val="24"/>
        </w:rPr>
        <w:t>、采购代理机构未在规定的时间内作出答复的，可以在答复期满后十五个工作日内向同级政府采购监督管理部门投诉。质疑函范本、投诉书范本请到浙江政府采购网下载专区下载。</w:t>
      </w:r>
    </w:p>
    <w:p w14:paraId="5F274A04">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w:t>
      </w:r>
      <w:r>
        <w:rPr>
          <w:rFonts w:hint="eastAsia" w:ascii="宋体" w:hAnsi="宋体" w:cs="宋体"/>
          <w:color w:val="auto"/>
          <w:sz w:val="24"/>
          <w:lang w:eastAsia="zh-CN"/>
        </w:rPr>
        <w:t>招标人</w:t>
      </w:r>
      <w:r>
        <w:rPr>
          <w:rFonts w:hint="eastAsia" w:ascii="宋体" w:hAnsi="宋体" w:cs="宋体"/>
          <w:color w:val="auto"/>
          <w:sz w:val="24"/>
        </w:rPr>
        <w:t>、采购代理机构将依托政采云平台完成本项目的电子交易活动，平台不接受未按上述方式获取招标文件的供应商进行投标活动； ⑥对未按上述方式获取招标文件的供应商对该文件提出的质疑，</w:t>
      </w:r>
      <w:r>
        <w:rPr>
          <w:rFonts w:hint="eastAsia" w:ascii="宋体" w:hAnsi="宋体" w:cs="宋体"/>
          <w:color w:val="auto"/>
          <w:sz w:val="24"/>
          <w:lang w:eastAsia="zh-CN"/>
        </w:rPr>
        <w:t>招标人</w:t>
      </w:r>
      <w:r>
        <w:rPr>
          <w:rFonts w:hint="eastAsia" w:ascii="宋体" w:hAnsi="宋体" w:cs="宋体"/>
          <w:color w:val="auto"/>
          <w:sz w:val="24"/>
        </w:rPr>
        <w:t>或采购代理机构将不予处理；⑦不提供招标文件纸质版；⑧投标文件的传输递交：</w:t>
      </w:r>
      <w:r>
        <w:rPr>
          <w:rFonts w:hint="eastAsia" w:ascii="宋体" w:hAnsi="宋体" w:cs="宋体"/>
          <w:color w:val="auto"/>
          <w:sz w:val="24"/>
          <w:lang w:eastAsia="zh-CN"/>
        </w:rPr>
        <w:t>供应商</w:t>
      </w:r>
      <w:r>
        <w:rPr>
          <w:rFonts w:hint="eastAsia" w:ascii="宋体" w:hAnsi="宋体" w:cs="宋体"/>
          <w:color w:val="auto"/>
          <w:sz w:val="24"/>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w:t>
      </w:r>
      <w:r>
        <w:rPr>
          <w:rFonts w:hint="eastAsia" w:ascii="宋体" w:hAnsi="宋体" w:cs="宋体"/>
          <w:color w:val="auto"/>
          <w:sz w:val="24"/>
          <w:lang w:eastAsia="zh-CN"/>
        </w:rPr>
        <w:t>供应商</w:t>
      </w:r>
      <w:r>
        <w:rPr>
          <w:rFonts w:hint="eastAsia" w:ascii="宋体" w:hAnsi="宋体" w:cs="宋体"/>
          <w:color w:val="auto"/>
          <w:sz w:val="24"/>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宋体" w:hAnsi="宋体" w:cs="宋体"/>
          <w:color w:val="auto"/>
          <w:sz w:val="24"/>
          <w:lang w:eastAsia="zh-CN"/>
        </w:rPr>
        <w:t>供应商</w:t>
      </w:r>
      <w:r>
        <w:rPr>
          <w:rFonts w:hint="eastAsia" w:ascii="宋体" w:hAnsi="宋体" w:cs="宋体"/>
          <w:color w:val="auto"/>
          <w:sz w:val="24"/>
        </w:rPr>
        <w:t>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4）本招标公告中二、申请人的资格要求：第一条中的“重大税收违法案件当事人名单”即为“重大税收违法失信主体”。（5）海曙区“政采贷”助力中小企业金融服务，有需要的中标（成交）供应商请于网站http://haishu.nbggzy.cn/tzgg/360383.jhtml办理具体业务。（6）本公告发布媒体：浙江政府采购网（www.zjzfcg.gov.cn）、浙江省公共资源交易服务平台（zjpubservice.zjzwfw.gov.cn/index.html?citycode=3300）、宁波政府采购(www.nbzfcg.cn)、宁波市公共资源交易电子服务系统（海曙）（http://haishu.nbggzy.cn/）、宁波中基国际招标有限公司网（www.cbbidding.com）。</w:t>
      </w:r>
      <w:r>
        <w:rPr>
          <w:rFonts w:hint="eastAsia" w:ascii="宋体" w:hAnsi="宋体" w:cs="宋体"/>
          <w:color w:val="auto"/>
          <w:sz w:val="24"/>
          <w:lang w:val="en-US" w:eastAsia="zh-CN"/>
        </w:rPr>
        <w:t>（7）本公告发布媒体：中国政府采购网（https://www.ccgp.gov.cn/）、浙江政府采购网（www.zjzfcg.gov.cn）、浙江省公共资源交易服务平台（https://ggzy.zj.gov.cn）、宁波政府采购(www.nbzfcg.cn)、宁波市公共资源交易电子服务系统（甬易阳光）（https://jyxt.zwb.ningbo.gov.cn:4011/website/home）、宁波中基国际招标有限公司网（www.cbbidding.com）。</w:t>
      </w:r>
    </w:p>
    <w:p w14:paraId="7F22D8F8">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3F49BAC1">
      <w:pPr>
        <w:spacing w:line="360" w:lineRule="auto"/>
        <w:rPr>
          <w:rFonts w:ascii="宋体" w:hAnsi="宋体" w:cs="宋体"/>
          <w:color w:val="auto"/>
          <w:sz w:val="24"/>
        </w:rPr>
      </w:pPr>
      <w:r>
        <w:rPr>
          <w:rFonts w:hint="eastAsia" w:ascii="宋体" w:hAnsi="宋体" w:cs="宋体"/>
          <w:color w:val="auto"/>
          <w:sz w:val="24"/>
        </w:rPr>
        <w:t xml:space="preserve">    1.</w:t>
      </w:r>
      <w:r>
        <w:rPr>
          <w:rFonts w:hint="eastAsia" w:ascii="宋体" w:hAnsi="宋体" w:cs="宋体"/>
          <w:color w:val="auto"/>
          <w:sz w:val="24"/>
          <w:lang w:eastAsia="zh-CN"/>
        </w:rPr>
        <w:t>招标人</w:t>
      </w:r>
      <w:r>
        <w:rPr>
          <w:rFonts w:hint="eastAsia" w:ascii="宋体" w:hAnsi="宋体" w:cs="宋体"/>
          <w:color w:val="auto"/>
          <w:sz w:val="24"/>
        </w:rPr>
        <w:t>信息</w:t>
      </w:r>
    </w:p>
    <w:p w14:paraId="3A9849B5">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宁波市海曙区水务设施管理中心</w:t>
      </w:r>
    </w:p>
    <w:p w14:paraId="2E6C2E5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址：浙江省宁波市海曙区中山东路55号</w:t>
      </w:r>
    </w:p>
    <w:p w14:paraId="6FC098A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w:t>
      </w:r>
    </w:p>
    <w:p w14:paraId="619D93C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臧</w:t>
      </w:r>
      <w:r>
        <w:rPr>
          <w:rFonts w:hint="eastAsia" w:ascii="宋体" w:hAnsi="宋体" w:cs="宋体"/>
          <w:color w:val="auto"/>
          <w:sz w:val="24"/>
          <w:highlight w:val="none"/>
        </w:rPr>
        <w:t>老师</w:t>
      </w:r>
    </w:p>
    <w:p w14:paraId="4E5ABC54">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项目联系方式（询问）：0574-</w:t>
      </w:r>
      <w:r>
        <w:rPr>
          <w:rFonts w:hint="eastAsia" w:ascii="宋体" w:hAnsi="宋体" w:cs="宋体"/>
          <w:color w:val="auto"/>
          <w:sz w:val="24"/>
          <w:highlight w:val="none"/>
          <w:lang w:val="en-US" w:eastAsia="zh-CN"/>
        </w:rPr>
        <w:t>55881295</w:t>
      </w:r>
    </w:p>
    <w:p w14:paraId="7730F891">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应老师</w:t>
      </w:r>
    </w:p>
    <w:p w14:paraId="0186CD59">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质疑联系方式：0574-</w:t>
      </w:r>
      <w:r>
        <w:rPr>
          <w:rFonts w:hint="eastAsia" w:ascii="宋体" w:hAnsi="宋体" w:cs="宋体"/>
          <w:color w:val="auto"/>
          <w:sz w:val="24"/>
          <w:highlight w:val="none"/>
          <w:lang w:val="en-US" w:eastAsia="zh-CN"/>
        </w:rPr>
        <w:t>55881299</w:t>
      </w:r>
    </w:p>
    <w:p w14:paraId="3D0635FB">
      <w:pPr>
        <w:spacing w:line="360" w:lineRule="auto"/>
        <w:ind w:firstLine="480" w:firstLineChars="200"/>
        <w:rPr>
          <w:rFonts w:hint="eastAsia" w:ascii="宋体" w:hAnsi="宋体" w:cs="宋体"/>
          <w:color w:val="auto"/>
          <w:sz w:val="24"/>
        </w:rPr>
      </w:pPr>
    </w:p>
    <w:p w14:paraId="2F10CCC3">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2.采购代理机构信息            </w:t>
      </w:r>
    </w:p>
    <w:p w14:paraId="5E2B5FEF">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名    称：宁波中基国际招标有限公司</w:t>
      </w:r>
    </w:p>
    <w:p w14:paraId="32DDC184">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地    址：宁波市鄞州区天童南路666号中基大厦19楼</w:t>
      </w:r>
    </w:p>
    <w:p w14:paraId="219A9EC4">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rPr>
        <w:t>传    真：</w:t>
      </w:r>
      <w:r>
        <w:rPr>
          <w:rFonts w:hint="eastAsia" w:ascii="宋体" w:hAnsi="宋体" w:cs="宋体"/>
          <w:color w:val="auto"/>
          <w:sz w:val="24"/>
          <w:lang w:val="en-US" w:eastAsia="zh-CN"/>
        </w:rPr>
        <w:t>/</w:t>
      </w:r>
    </w:p>
    <w:p w14:paraId="7C8AEC07">
      <w:pPr>
        <w:spacing w:line="360" w:lineRule="auto"/>
        <w:ind w:firstLine="480"/>
        <w:rPr>
          <w:rFonts w:hint="eastAsia" w:ascii="宋体" w:hAnsi="宋体" w:eastAsia="宋体" w:cs="宋体"/>
          <w:color w:val="auto"/>
          <w:sz w:val="24"/>
          <w:lang w:eastAsia="zh-CN"/>
        </w:rPr>
      </w:pPr>
      <w:r>
        <w:rPr>
          <w:rFonts w:hint="eastAsia" w:ascii="宋体" w:hAnsi="宋体" w:eastAsia="宋体" w:cs="宋体"/>
          <w:color w:val="auto"/>
          <w:sz w:val="24"/>
        </w:rPr>
        <w:t>项目联系人（询问）：</w:t>
      </w:r>
      <w:r>
        <w:rPr>
          <w:rFonts w:hint="eastAsia" w:ascii="宋体" w:hAnsi="宋体" w:cs="宋体"/>
          <w:color w:val="auto"/>
          <w:sz w:val="24"/>
          <w:lang w:val="en-US" w:eastAsia="zh-CN"/>
        </w:rPr>
        <w:t>史宇骁、王莹巧</w:t>
      </w:r>
    </w:p>
    <w:p w14:paraId="472CE471">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rPr>
        <w:t>项目联系方式（询问）：0574-8742</w:t>
      </w:r>
      <w:r>
        <w:rPr>
          <w:rFonts w:hint="eastAsia" w:ascii="宋体" w:hAnsi="宋体" w:cs="宋体"/>
          <w:color w:val="auto"/>
          <w:sz w:val="24"/>
          <w:lang w:val="en-US" w:eastAsia="zh-CN"/>
        </w:rPr>
        <w:t>3275</w:t>
      </w:r>
    </w:p>
    <w:p w14:paraId="78017485">
      <w:pPr>
        <w:spacing w:line="360" w:lineRule="auto"/>
        <w:ind w:firstLine="480"/>
        <w:rPr>
          <w:rFonts w:hint="eastAsia" w:ascii="宋体" w:hAnsi="宋体" w:eastAsia="宋体" w:cs="宋体"/>
          <w:color w:val="auto"/>
          <w:sz w:val="24"/>
          <w:lang w:eastAsia="zh-CN"/>
        </w:rPr>
      </w:pPr>
      <w:r>
        <w:rPr>
          <w:rFonts w:hint="eastAsia" w:ascii="宋体" w:hAnsi="宋体" w:eastAsia="宋体" w:cs="宋体"/>
          <w:color w:val="auto"/>
          <w:sz w:val="24"/>
        </w:rPr>
        <w:t>质疑联系人：</w:t>
      </w:r>
      <w:r>
        <w:rPr>
          <w:rFonts w:hint="eastAsia" w:ascii="宋体" w:hAnsi="宋体" w:cs="宋体"/>
          <w:color w:val="auto"/>
          <w:sz w:val="24"/>
          <w:lang w:val="en-US" w:eastAsia="zh-CN"/>
        </w:rPr>
        <w:t>周旭坤</w:t>
      </w:r>
    </w:p>
    <w:p w14:paraId="7F02356D">
      <w:pPr>
        <w:spacing w:line="360" w:lineRule="auto"/>
        <w:ind w:firstLine="480"/>
        <w:rPr>
          <w:rFonts w:hint="eastAsia" w:ascii="宋体" w:hAnsi="宋体" w:cs="宋体"/>
          <w:color w:val="auto"/>
          <w:sz w:val="24"/>
        </w:rPr>
      </w:pPr>
      <w:r>
        <w:rPr>
          <w:rFonts w:hint="eastAsia" w:ascii="宋体" w:hAnsi="宋体" w:eastAsia="宋体" w:cs="宋体"/>
          <w:color w:val="auto"/>
          <w:sz w:val="24"/>
        </w:rPr>
        <w:t>质疑联系方式：0574-8742</w:t>
      </w:r>
      <w:r>
        <w:rPr>
          <w:rFonts w:hint="eastAsia" w:ascii="宋体" w:hAnsi="宋体" w:cs="宋体"/>
          <w:color w:val="auto"/>
          <w:sz w:val="24"/>
          <w:lang w:val="en-US" w:eastAsia="zh-CN"/>
        </w:rPr>
        <w:t>6203</w:t>
      </w:r>
      <w:r>
        <w:rPr>
          <w:rFonts w:hint="eastAsia" w:ascii="宋体" w:hAnsi="宋体" w:eastAsia="宋体" w:cs="宋体"/>
          <w:color w:val="auto"/>
          <w:sz w:val="24"/>
        </w:rPr>
        <w:t xml:space="preserve">  </w:t>
      </w:r>
      <w:r>
        <w:rPr>
          <w:rFonts w:hint="eastAsia" w:ascii="宋体" w:hAnsi="宋体" w:cs="宋体"/>
          <w:color w:val="auto"/>
          <w:sz w:val="24"/>
        </w:rPr>
        <w:t xml:space="preserve">  </w:t>
      </w:r>
    </w:p>
    <w:p w14:paraId="1D6FC2B0">
      <w:pPr>
        <w:spacing w:line="360" w:lineRule="auto"/>
        <w:ind w:firstLine="480"/>
        <w:rPr>
          <w:rFonts w:hint="eastAsia" w:ascii="宋体" w:hAnsi="宋体" w:cs="宋体"/>
          <w:color w:val="auto"/>
          <w:sz w:val="24"/>
        </w:rPr>
      </w:pPr>
    </w:p>
    <w:p w14:paraId="37D935B7">
      <w:pPr>
        <w:spacing w:line="360" w:lineRule="auto"/>
        <w:ind w:firstLine="480"/>
        <w:rPr>
          <w:rFonts w:ascii="宋体" w:hAnsi="宋体" w:cs="宋体"/>
          <w:color w:val="auto"/>
          <w:sz w:val="24"/>
        </w:rPr>
      </w:pPr>
      <w:r>
        <w:rPr>
          <w:rFonts w:hint="eastAsia" w:ascii="宋体" w:hAnsi="宋体" w:cs="宋体"/>
          <w:color w:val="auto"/>
          <w:sz w:val="24"/>
        </w:rPr>
        <w:t xml:space="preserve">3.同级政府采购监督管理部门            </w:t>
      </w:r>
    </w:p>
    <w:p w14:paraId="3F6EB517">
      <w:pPr>
        <w:spacing w:line="360" w:lineRule="auto"/>
        <w:outlineLvl w:val="0"/>
        <w:rPr>
          <w:rFonts w:ascii="宋体" w:hAnsi="宋体" w:cs="宋体"/>
          <w:color w:val="auto"/>
          <w:sz w:val="24"/>
        </w:rPr>
      </w:pPr>
      <w:r>
        <w:rPr>
          <w:rFonts w:hint="eastAsia" w:ascii="宋体" w:hAnsi="宋体" w:cs="宋体"/>
          <w:color w:val="auto"/>
          <w:sz w:val="24"/>
        </w:rPr>
        <w:t xml:space="preserve">    </w:t>
      </w:r>
      <w:bookmarkStart w:id="11" w:name="_Toc2823"/>
      <w:r>
        <w:rPr>
          <w:rFonts w:hint="eastAsia" w:ascii="宋体" w:hAnsi="宋体" w:cs="宋体"/>
          <w:color w:val="auto"/>
          <w:sz w:val="24"/>
        </w:rPr>
        <w:t>名    称：宁波市海曙区采购管理办公室</w:t>
      </w:r>
      <w:bookmarkEnd w:id="11"/>
    </w:p>
    <w:p w14:paraId="3E5FD2A3">
      <w:pPr>
        <w:spacing w:line="360" w:lineRule="auto"/>
        <w:rPr>
          <w:rFonts w:ascii="宋体" w:hAnsi="宋体" w:cs="宋体"/>
          <w:color w:val="auto"/>
          <w:sz w:val="24"/>
        </w:rPr>
      </w:pPr>
      <w:r>
        <w:rPr>
          <w:rFonts w:hint="eastAsia" w:ascii="宋体" w:hAnsi="宋体" w:cs="宋体"/>
          <w:color w:val="auto"/>
          <w:sz w:val="24"/>
        </w:rPr>
        <w:t xml:space="preserve">    地    址：宁波市海曙区大梁街48号天之海大厦 </w:t>
      </w:r>
    </w:p>
    <w:p w14:paraId="43F09E0C">
      <w:pPr>
        <w:spacing w:line="360" w:lineRule="auto"/>
        <w:rPr>
          <w:rFonts w:ascii="宋体" w:hAnsi="宋体" w:cs="宋体"/>
          <w:color w:val="auto"/>
          <w:sz w:val="24"/>
        </w:rPr>
      </w:pPr>
      <w:r>
        <w:rPr>
          <w:rFonts w:hint="eastAsia" w:ascii="宋体" w:hAnsi="宋体" w:cs="宋体"/>
          <w:color w:val="auto"/>
          <w:sz w:val="24"/>
        </w:rPr>
        <w:t xml:space="preserve">    传    真： /</w:t>
      </w:r>
    </w:p>
    <w:p w14:paraId="56F623AC">
      <w:pPr>
        <w:spacing w:line="360" w:lineRule="auto"/>
        <w:rPr>
          <w:rFonts w:ascii="宋体" w:hAnsi="宋体" w:cs="宋体"/>
          <w:color w:val="auto"/>
          <w:sz w:val="24"/>
        </w:rPr>
      </w:pPr>
      <w:r>
        <w:rPr>
          <w:rFonts w:hint="eastAsia" w:ascii="宋体" w:hAnsi="宋体" w:cs="宋体"/>
          <w:color w:val="auto"/>
          <w:sz w:val="24"/>
        </w:rPr>
        <w:t xml:space="preserve">    联系人 ：王老师</w:t>
      </w:r>
    </w:p>
    <w:p w14:paraId="37760345">
      <w:pPr>
        <w:spacing w:line="360" w:lineRule="auto"/>
        <w:ind w:firstLine="480"/>
        <w:rPr>
          <w:rFonts w:ascii="宋体" w:hAnsi="宋体" w:cs="宋体"/>
          <w:color w:val="auto"/>
          <w:sz w:val="24"/>
        </w:rPr>
      </w:pPr>
      <w:r>
        <w:rPr>
          <w:rFonts w:hint="eastAsia" w:ascii="宋体" w:hAnsi="宋体" w:cs="宋体"/>
          <w:color w:val="auto"/>
          <w:sz w:val="24"/>
        </w:rPr>
        <w:t>监督投诉电话： 0574-</w:t>
      </w:r>
      <w:r>
        <w:rPr>
          <w:rFonts w:hint="eastAsia" w:ascii="宋体" w:hAnsi="宋体" w:cs="宋体"/>
          <w:color w:val="auto"/>
          <w:sz w:val="24"/>
          <w:lang w:val="en-US" w:eastAsia="zh-CN"/>
        </w:rPr>
        <w:t>87297540</w:t>
      </w:r>
      <w:r>
        <w:rPr>
          <w:rFonts w:hint="eastAsia" w:ascii="宋体" w:hAnsi="宋体" w:cs="宋体"/>
          <w:color w:val="auto"/>
          <w:sz w:val="24"/>
        </w:rPr>
        <w:t xml:space="preserve"> </w:t>
      </w:r>
    </w:p>
    <w:p w14:paraId="4F1FC09A">
      <w:pPr>
        <w:spacing w:line="360" w:lineRule="auto"/>
        <w:ind w:firstLine="480" w:firstLineChars="200"/>
        <w:rPr>
          <w:rFonts w:hint="eastAsia" w:ascii="宋体" w:hAnsi="宋体" w:cs="宋体"/>
          <w:color w:val="auto"/>
          <w:sz w:val="24"/>
        </w:rPr>
      </w:pPr>
    </w:p>
    <w:p w14:paraId="4989B099">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56B8B95E">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0D9FA347">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51EAAA4B">
      <w:pPr>
        <w:adjustRightInd/>
        <w:spacing w:line="360" w:lineRule="auto"/>
        <w:jc w:val="center"/>
        <w:outlineLvl w:val="0"/>
        <w:rPr>
          <w:rFonts w:ascii="宋体" w:hAnsi="宋体" w:cs="宋体"/>
          <w:b/>
          <w:color w:val="auto"/>
          <w:sz w:val="36"/>
          <w:szCs w:val="20"/>
        </w:rPr>
      </w:pPr>
      <w:bookmarkStart w:id="12" w:name="_Toc31992"/>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w:t>
      </w:r>
      <w:r>
        <w:rPr>
          <w:rFonts w:hint="eastAsia" w:ascii="宋体" w:hAnsi="宋体" w:cs="宋体"/>
          <w:b/>
          <w:color w:val="auto"/>
          <w:sz w:val="36"/>
          <w:szCs w:val="20"/>
          <w:lang w:eastAsia="zh-CN"/>
        </w:rPr>
        <w:t>供应商</w:t>
      </w:r>
      <w:r>
        <w:rPr>
          <w:rFonts w:hint="eastAsia" w:ascii="宋体" w:hAnsi="宋体" w:cs="宋体"/>
          <w:b/>
          <w:color w:val="auto"/>
          <w:sz w:val="36"/>
          <w:szCs w:val="20"/>
        </w:rPr>
        <w:t>须知</w:t>
      </w:r>
      <w:bookmarkEnd w:id="9"/>
      <w:bookmarkEnd w:id="12"/>
    </w:p>
    <w:p w14:paraId="05061BB9">
      <w:pPr>
        <w:adjustRightInd/>
        <w:spacing w:line="360" w:lineRule="auto"/>
        <w:ind w:firstLine="3845" w:firstLineChars="1197"/>
        <w:outlineLvl w:val="0"/>
        <w:rPr>
          <w:rFonts w:ascii="宋体" w:hAnsi="宋体" w:cs="宋体"/>
          <w:b/>
          <w:color w:val="auto"/>
          <w:sz w:val="32"/>
          <w:szCs w:val="20"/>
        </w:rPr>
      </w:pPr>
      <w:bookmarkStart w:id="13" w:name="_Toc13463"/>
      <w:r>
        <w:rPr>
          <w:rFonts w:hint="eastAsia" w:ascii="宋体" w:hAnsi="宋体" w:cs="宋体"/>
          <w:b/>
          <w:color w:val="auto"/>
          <w:sz w:val="32"/>
          <w:szCs w:val="20"/>
        </w:rPr>
        <w:t>前附表</w:t>
      </w:r>
      <w:bookmarkEnd w:id="13"/>
    </w:p>
    <w:tbl>
      <w:tblPr>
        <w:tblStyle w:val="63"/>
        <w:tblW w:w="0" w:type="auto"/>
        <w:tblInd w:w="-19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50"/>
        <w:gridCol w:w="2325"/>
        <w:gridCol w:w="6240"/>
      </w:tblGrid>
      <w:tr w14:paraId="21886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50" w:type="dxa"/>
            <w:tcBorders>
              <w:top w:val="single" w:color="auto" w:sz="4" w:space="0"/>
              <w:left w:val="single" w:color="auto" w:sz="4" w:space="0"/>
              <w:bottom w:val="single" w:color="auto" w:sz="4" w:space="0"/>
              <w:right w:val="single" w:color="auto" w:sz="4" w:space="0"/>
            </w:tcBorders>
          </w:tcPr>
          <w:p w14:paraId="57D8C5C6">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2325" w:type="dxa"/>
            <w:tcBorders>
              <w:top w:val="single" w:color="000000" w:sz="8" w:space="0"/>
              <w:left w:val="single" w:color="auto" w:sz="4" w:space="0"/>
              <w:bottom w:val="single" w:color="000000" w:sz="8" w:space="0"/>
              <w:right w:val="single" w:color="000000" w:sz="8" w:space="0"/>
            </w:tcBorders>
            <w:vAlign w:val="center"/>
          </w:tcPr>
          <w:p w14:paraId="55DD25A5">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240" w:type="dxa"/>
            <w:tcBorders>
              <w:top w:val="single" w:color="000000" w:sz="8" w:space="0"/>
              <w:left w:val="single" w:color="000000" w:sz="2" w:space="0"/>
              <w:bottom w:val="single" w:color="000000" w:sz="8" w:space="0"/>
              <w:right w:val="single" w:color="000000" w:sz="8" w:space="0"/>
            </w:tcBorders>
            <w:vAlign w:val="center"/>
          </w:tcPr>
          <w:p w14:paraId="60357C80">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0EE43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750" w:type="dxa"/>
            <w:tcBorders>
              <w:top w:val="single" w:color="auto" w:sz="4" w:space="0"/>
              <w:left w:val="single" w:color="auto" w:sz="4" w:space="0"/>
              <w:bottom w:val="single" w:color="auto" w:sz="4" w:space="0"/>
              <w:right w:val="single" w:color="auto" w:sz="4" w:space="0"/>
            </w:tcBorders>
            <w:vAlign w:val="center"/>
          </w:tcPr>
          <w:p w14:paraId="3301038C">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2325" w:type="dxa"/>
            <w:tcBorders>
              <w:top w:val="single" w:color="000000" w:sz="8" w:space="0"/>
              <w:left w:val="single" w:color="auto" w:sz="4" w:space="0"/>
              <w:bottom w:val="single" w:color="000000" w:sz="8" w:space="0"/>
              <w:right w:val="single" w:color="000000" w:sz="8" w:space="0"/>
            </w:tcBorders>
            <w:vAlign w:val="center"/>
          </w:tcPr>
          <w:p w14:paraId="023728E0">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6240" w:type="dxa"/>
            <w:tcBorders>
              <w:top w:val="single" w:color="000000" w:sz="8" w:space="0"/>
              <w:left w:val="single" w:color="000000" w:sz="2" w:space="0"/>
              <w:bottom w:val="single" w:color="000000" w:sz="8" w:space="0"/>
              <w:right w:val="single" w:color="000000" w:sz="8" w:space="0"/>
            </w:tcBorders>
            <w:vAlign w:val="center"/>
          </w:tcPr>
          <w:p w14:paraId="380B7725">
            <w:pPr>
              <w:spacing w:line="360" w:lineRule="auto"/>
              <w:rPr>
                <w:rFonts w:ascii="宋体" w:hAnsi="宋体" w:cs="宋体"/>
                <w:color w:val="auto"/>
                <w:sz w:val="24"/>
              </w:rPr>
            </w:pPr>
            <w:r>
              <w:rPr>
                <w:rFonts w:hint="eastAsia" w:ascii="宋体" w:hAnsi="宋体" w:cs="宋体"/>
                <w:color w:val="auto"/>
                <w:sz w:val="24"/>
              </w:rPr>
              <w:t>服务类。</w:t>
            </w:r>
          </w:p>
        </w:tc>
      </w:tr>
      <w:tr w14:paraId="6AD41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5" w:hRule="atLeast"/>
          <w:tblHeader/>
        </w:trPr>
        <w:tc>
          <w:tcPr>
            <w:tcW w:w="750" w:type="dxa"/>
            <w:tcBorders>
              <w:top w:val="single" w:color="auto" w:sz="4" w:space="0"/>
              <w:left w:val="single" w:color="auto" w:sz="4" w:space="0"/>
              <w:bottom w:val="single" w:color="auto" w:sz="4" w:space="0"/>
              <w:right w:val="single" w:color="auto" w:sz="4" w:space="0"/>
            </w:tcBorders>
            <w:vAlign w:val="center"/>
          </w:tcPr>
          <w:p w14:paraId="4F2F7CE0">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2325" w:type="dxa"/>
            <w:tcBorders>
              <w:top w:val="single" w:color="000000" w:sz="8" w:space="0"/>
              <w:left w:val="single" w:color="auto" w:sz="4" w:space="0"/>
              <w:bottom w:val="single" w:color="000000" w:sz="8" w:space="0"/>
              <w:right w:val="single" w:color="000000" w:sz="8" w:space="0"/>
            </w:tcBorders>
            <w:vAlign w:val="center"/>
          </w:tcPr>
          <w:p w14:paraId="01334327">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240" w:type="dxa"/>
            <w:tcBorders>
              <w:top w:val="single" w:color="000000" w:sz="8" w:space="0"/>
              <w:left w:val="single" w:color="000000" w:sz="2" w:space="0"/>
              <w:bottom w:val="single" w:color="000000" w:sz="8" w:space="0"/>
              <w:right w:val="single" w:color="000000" w:sz="8" w:space="0"/>
            </w:tcBorders>
            <w:vAlign w:val="center"/>
          </w:tcPr>
          <w:p w14:paraId="56E9EF54">
            <w:pPr>
              <w:snapToGrid w:val="0"/>
              <w:spacing w:beforeLines="0" w:afterLines="0"/>
              <w:jc w:val="left"/>
              <w:rPr>
                <w:rFonts w:hint="default" w:ascii="宋体" w:hAnsi="宋体" w:cs="宋体"/>
                <w:color w:val="auto"/>
                <w:kern w:val="0"/>
                <w:sz w:val="24"/>
                <w:szCs w:val="24"/>
                <w:u w:val="single"/>
              </w:rPr>
            </w:pPr>
            <w:r>
              <w:rPr>
                <w:rFonts w:hint="default" w:ascii="宋体" w:hAnsi="宋体" w:cs="宋体"/>
                <w:color w:val="auto"/>
                <w:kern w:val="0"/>
                <w:sz w:val="24"/>
                <w:szCs w:val="24"/>
              </w:rPr>
              <w:t>标项一、标项二标的：</w:t>
            </w:r>
            <w:r>
              <w:rPr>
                <w:rFonts w:hint="default" w:ascii="宋体" w:hAnsi="宋体" w:cs="宋体"/>
                <w:color w:val="auto"/>
                <w:kern w:val="0"/>
                <w:sz w:val="24"/>
                <w:szCs w:val="24"/>
                <w:u w:val="single"/>
              </w:rPr>
              <w:t>排水管网日常养护</w:t>
            </w:r>
            <w:r>
              <w:rPr>
                <w:rFonts w:hint="default" w:ascii="宋体" w:hAnsi="宋体" w:cs="宋体"/>
                <w:color w:val="auto"/>
                <w:kern w:val="0"/>
                <w:sz w:val="24"/>
                <w:szCs w:val="24"/>
              </w:rPr>
              <w:t>，属于</w:t>
            </w:r>
            <w:r>
              <w:rPr>
                <w:rFonts w:hint="default" w:ascii="宋体" w:hAnsi="宋体" w:cs="宋体"/>
                <w:color w:val="auto"/>
                <w:kern w:val="0"/>
                <w:sz w:val="24"/>
                <w:szCs w:val="24"/>
                <w:u w:val="single"/>
              </w:rPr>
              <w:t>其他未列明行业。</w:t>
            </w:r>
          </w:p>
          <w:p w14:paraId="1BE1923D">
            <w:pPr>
              <w:snapToGrid w:val="0"/>
              <w:spacing w:line="360" w:lineRule="auto"/>
              <w:jc w:val="left"/>
              <w:rPr>
                <w:rFonts w:hint="default" w:ascii="宋体" w:hAnsi="宋体" w:cs="宋体"/>
                <w:color w:val="auto"/>
                <w:kern w:val="0"/>
                <w:sz w:val="24"/>
                <w:szCs w:val="24"/>
              </w:rPr>
            </w:pPr>
            <w:r>
              <w:rPr>
                <w:rFonts w:hint="default" w:ascii="宋体" w:hAnsi="宋体" w:cs="宋体"/>
                <w:color w:val="auto"/>
                <w:kern w:val="0"/>
                <w:sz w:val="24"/>
                <w:szCs w:val="24"/>
              </w:rPr>
              <w:t>注：从业人员300人以下的为中小微型企业。其中，从业人员100人及以上的为中型企业；从业人员10人及以上的为小型企业；从业人员10人以下的为微型企业。</w:t>
            </w:r>
          </w:p>
          <w:p w14:paraId="5E767159">
            <w:pPr>
              <w:snapToGrid w:val="0"/>
              <w:spacing w:line="360" w:lineRule="auto"/>
              <w:jc w:val="left"/>
              <w:rPr>
                <w:rFonts w:hint="eastAsia" w:eastAsia="宋体"/>
                <w:color w:val="auto"/>
                <w:lang w:eastAsia="zh-CN"/>
              </w:rPr>
            </w:pPr>
            <w:r>
              <w:rPr>
                <w:rFonts w:hint="default" w:ascii="宋体" w:hAnsi="宋体" w:cs="宋体"/>
                <w:color w:val="auto"/>
                <w:kern w:val="0"/>
                <w:sz w:val="24"/>
                <w:szCs w:val="24"/>
              </w:rPr>
              <w:t>本项目专门面向中小企业采购。</w:t>
            </w:r>
          </w:p>
        </w:tc>
      </w:tr>
      <w:tr w14:paraId="0E513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50" w:type="dxa"/>
            <w:tcBorders>
              <w:top w:val="single" w:color="auto" w:sz="4" w:space="0"/>
              <w:left w:val="single" w:color="auto" w:sz="4" w:space="0"/>
              <w:bottom w:val="single" w:color="auto" w:sz="4" w:space="0"/>
              <w:right w:val="single" w:color="auto" w:sz="4" w:space="0"/>
            </w:tcBorders>
            <w:vAlign w:val="center"/>
          </w:tcPr>
          <w:p w14:paraId="69DB7E62">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2325" w:type="dxa"/>
            <w:tcBorders>
              <w:top w:val="single" w:color="000000" w:sz="8" w:space="0"/>
              <w:left w:val="single" w:color="auto" w:sz="4" w:space="0"/>
              <w:bottom w:val="single" w:color="000000" w:sz="8" w:space="0"/>
              <w:right w:val="single" w:color="000000" w:sz="8" w:space="0"/>
            </w:tcBorders>
            <w:vAlign w:val="center"/>
          </w:tcPr>
          <w:p w14:paraId="3C37A1DE">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240" w:type="dxa"/>
            <w:tcBorders>
              <w:top w:val="single" w:color="000000" w:sz="8" w:space="0"/>
              <w:left w:val="single" w:color="000000" w:sz="2" w:space="0"/>
              <w:bottom w:val="single" w:color="000000" w:sz="8" w:space="0"/>
              <w:right w:val="single" w:color="000000" w:sz="8" w:space="0"/>
            </w:tcBorders>
            <w:vAlign w:val="center"/>
          </w:tcPr>
          <w:p w14:paraId="230356D7">
            <w:pPr>
              <w:spacing w:line="360" w:lineRule="auto"/>
              <w:rPr>
                <w:rFonts w:ascii="宋体" w:hAnsi="宋体" w:cs="宋体"/>
                <w:color w:val="auto"/>
                <w:kern w:val="0"/>
                <w:sz w:val="24"/>
              </w:rPr>
            </w:pPr>
            <w:sdt>
              <w:sdtPr>
                <w:rPr>
                  <w:rFonts w:hint="eastAsia" w:ascii="宋体" w:hAnsi="宋体" w:cs="宋体"/>
                  <w:color w:val="auto"/>
                  <w:kern w:val="0"/>
                  <w:sz w:val="24"/>
                </w:rPr>
                <w:id w:val="147459724"/>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60359966">
            <w:pPr>
              <w:spacing w:line="360" w:lineRule="auto"/>
              <w:rPr>
                <w:rFonts w:ascii="宋体" w:hAnsi="宋体" w:cs="宋体"/>
                <w:color w:val="auto"/>
              </w:rPr>
            </w:pPr>
            <w:sdt>
              <w:sdtPr>
                <w:rPr>
                  <w:rFonts w:hint="eastAsia" w:ascii="宋体" w:hAnsi="宋体" w:cs="宋体"/>
                  <w:color w:val="auto"/>
                  <w:kern w:val="0"/>
                  <w:sz w:val="24"/>
                </w:rPr>
                <w:id w:val="147480472"/>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088E5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50" w:type="dxa"/>
            <w:tcBorders>
              <w:top w:val="single" w:color="auto" w:sz="4" w:space="0"/>
              <w:left w:val="single" w:color="auto" w:sz="4" w:space="0"/>
              <w:bottom w:val="single" w:color="auto" w:sz="4" w:space="0"/>
              <w:right w:val="single" w:color="auto" w:sz="4" w:space="0"/>
            </w:tcBorders>
            <w:vAlign w:val="center"/>
          </w:tcPr>
          <w:p w14:paraId="54E7B9D0">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2325" w:type="dxa"/>
            <w:tcBorders>
              <w:top w:val="single" w:color="000000" w:sz="8" w:space="0"/>
              <w:left w:val="single" w:color="auto" w:sz="4" w:space="0"/>
              <w:bottom w:val="single" w:color="000000" w:sz="8" w:space="0"/>
              <w:right w:val="single" w:color="000000" w:sz="8" w:space="0"/>
            </w:tcBorders>
            <w:vAlign w:val="center"/>
          </w:tcPr>
          <w:p w14:paraId="7F4609E0">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240" w:type="dxa"/>
            <w:tcBorders>
              <w:top w:val="single" w:color="000000" w:sz="8" w:space="0"/>
              <w:left w:val="single" w:color="000000" w:sz="2" w:space="0"/>
              <w:bottom w:val="single" w:color="000000" w:sz="8" w:space="0"/>
              <w:right w:val="single" w:color="000000" w:sz="8" w:space="0"/>
            </w:tcBorders>
            <w:vAlign w:val="center"/>
          </w:tcPr>
          <w:p w14:paraId="7D25D3CC">
            <w:pPr>
              <w:spacing w:line="360" w:lineRule="auto"/>
              <w:rPr>
                <w:rFonts w:ascii="宋体" w:hAnsi="宋体" w:cs="宋体"/>
                <w:color w:val="auto"/>
                <w:sz w:val="24"/>
              </w:rPr>
            </w:pPr>
            <w:sdt>
              <w:sdtPr>
                <w:rPr>
                  <w:rFonts w:hint="eastAsia" w:ascii="宋体" w:hAnsi="宋体" w:cs="宋体"/>
                  <w:color w:val="auto"/>
                  <w:kern w:val="0"/>
                  <w:sz w:val="24"/>
                </w:rPr>
                <w:id w:val="147466062"/>
              </w:sdtPr>
              <w:sdtEndPr>
                <w:rPr>
                  <w:rFonts w:hint="eastAsia" w:ascii="宋体" w:hAnsi="宋体" w:cs="宋体"/>
                  <w:color w:val="auto"/>
                  <w:kern w:val="0"/>
                  <w:sz w:val="24"/>
                </w:rPr>
              </w:sdtEndPr>
              <w:sdtContent>
                <w:sdt>
                  <w:sdtPr>
                    <w:rPr>
                      <w:rFonts w:hint="eastAsia" w:ascii="MS Gothic" w:hAnsi="MS Gothic" w:cs="宋体"/>
                      <w:color w:val="auto"/>
                      <w:kern w:val="0"/>
                      <w:sz w:val="24"/>
                    </w:rPr>
                    <w:id w:val="824785537"/>
                  </w:sdtPr>
                  <w:sdtEndPr>
                    <w:rPr>
                      <w:rFonts w:hint="eastAsia" w:ascii="MS Gothic" w:hAnsi="MS Gothic" w:cs="宋体"/>
                      <w:color w:val="auto"/>
                      <w:kern w:val="0"/>
                      <w:sz w:val="24"/>
                    </w:rPr>
                  </w:sdtEndPr>
                  <w:sdtContent>
                    <w:r>
                      <w:rPr>
                        <w:rFonts w:hint="eastAsia" w:ascii="MS Gothic" w:hAnsi="MS Gothic" w:cs="宋体"/>
                        <w:color w:val="auto"/>
                        <w:kern w:val="0"/>
                        <w:sz w:val="24"/>
                      </w:rPr>
                      <w:sym w:font="Wingdings" w:char="00FE"/>
                    </w:r>
                  </w:sdtContent>
                </w:sdt>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lang w:val="en-US" w:eastAsia="zh-CN"/>
              </w:rPr>
              <w:t xml:space="preserve">      </w:t>
            </w:r>
            <w:r>
              <w:rPr>
                <w:rFonts w:hint="eastAsia" w:ascii="宋体" w:hAnsi="宋体" w:cs="宋体"/>
                <w:color w:val="auto"/>
                <w:sz w:val="24"/>
              </w:rPr>
              <w:t>工作分包。</w:t>
            </w:r>
          </w:p>
          <w:p w14:paraId="266214D1">
            <w:pPr>
              <w:spacing w:line="360" w:lineRule="auto"/>
              <w:rPr>
                <w:rFonts w:ascii="宋体" w:hAnsi="宋体" w:cs="宋体"/>
                <w:color w:val="auto"/>
                <w:sz w:val="24"/>
              </w:rPr>
            </w:pPr>
            <w:sdt>
              <w:sdtPr>
                <w:rPr>
                  <w:rFonts w:hint="eastAsia" w:ascii="宋体" w:hAnsi="宋体" w:cs="宋体"/>
                  <w:color w:val="auto"/>
                  <w:kern w:val="0"/>
                  <w:sz w:val="24"/>
                </w:rPr>
                <w:id w:val="147462637"/>
              </w:sdtPr>
              <w:sdtEndPr>
                <w:rPr>
                  <w:rFonts w:hint="eastAsia" w:ascii="宋体" w:hAnsi="宋体" w:cs="宋体"/>
                  <w:color w:val="auto"/>
                  <w:kern w:val="0"/>
                  <w:sz w:val="24"/>
                </w:rPr>
              </w:sdtEndPr>
              <w:sdtContent>
                <w:r>
                  <w:rPr>
                    <w:rFonts w:ascii="Wingdings" w:hAnsi="Wingdings" w:cs="宋体"/>
                    <w:color w:val="auto"/>
                    <w:kern w:val="0"/>
                    <w:sz w:val="24"/>
                  </w:rPr>
                  <w:sym w:font="Wingdings" w:char="00A8"/>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tc>
      </w:tr>
      <w:tr w14:paraId="24F36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50" w:type="dxa"/>
            <w:tcBorders>
              <w:top w:val="single" w:color="auto" w:sz="4" w:space="0"/>
              <w:left w:val="single" w:color="auto" w:sz="4" w:space="0"/>
              <w:bottom w:val="single" w:color="auto" w:sz="4" w:space="0"/>
              <w:right w:val="single" w:color="auto" w:sz="4" w:space="0"/>
            </w:tcBorders>
            <w:vAlign w:val="center"/>
          </w:tcPr>
          <w:p w14:paraId="65555BCB">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2325" w:type="dxa"/>
            <w:tcBorders>
              <w:top w:val="single" w:color="000000" w:sz="8" w:space="0"/>
              <w:left w:val="single" w:color="auto" w:sz="4" w:space="0"/>
              <w:bottom w:val="single" w:color="000000" w:sz="8" w:space="0"/>
              <w:right w:val="single" w:color="000000" w:sz="8" w:space="0"/>
            </w:tcBorders>
            <w:vAlign w:val="center"/>
          </w:tcPr>
          <w:p w14:paraId="4138738A">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240" w:type="dxa"/>
            <w:tcBorders>
              <w:top w:val="single" w:color="000000" w:sz="8" w:space="0"/>
              <w:left w:val="single" w:color="000000" w:sz="2" w:space="0"/>
              <w:bottom w:val="single" w:color="000000" w:sz="8" w:space="0"/>
              <w:right w:val="single" w:color="000000" w:sz="8" w:space="0"/>
            </w:tcBorders>
            <w:vAlign w:val="center"/>
          </w:tcPr>
          <w:p w14:paraId="35541AB0">
            <w:pPr>
              <w:spacing w:line="360" w:lineRule="auto"/>
              <w:rPr>
                <w:rFonts w:ascii="宋体" w:hAnsi="宋体" w:cs="宋体"/>
                <w:color w:val="auto"/>
                <w:sz w:val="24"/>
              </w:rPr>
            </w:pPr>
            <w:sdt>
              <w:sdtPr>
                <w:rPr>
                  <w:rFonts w:hint="eastAsia" w:ascii="宋体" w:hAnsi="宋体" w:cs="宋体"/>
                  <w:color w:val="auto"/>
                  <w:kern w:val="0"/>
                  <w:sz w:val="24"/>
                </w:rPr>
                <w:id w:val="147469788"/>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14:paraId="0B443F0C">
            <w:pPr>
              <w:spacing w:line="360" w:lineRule="auto"/>
              <w:rPr>
                <w:rFonts w:ascii="宋体" w:hAnsi="宋体" w:cs="宋体"/>
                <w:color w:val="auto"/>
                <w:sz w:val="24"/>
                <w:szCs w:val="20"/>
              </w:rPr>
            </w:pPr>
            <w:sdt>
              <w:sdtPr>
                <w:rPr>
                  <w:rFonts w:hint="eastAsia" w:ascii="宋体" w:hAnsi="宋体" w:cs="宋体"/>
                  <w:color w:val="auto"/>
                  <w:kern w:val="0"/>
                  <w:sz w:val="24"/>
                </w:rPr>
                <w:id w:val="147477370"/>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23565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50" w:type="dxa"/>
            <w:tcBorders>
              <w:top w:val="single" w:color="auto" w:sz="4" w:space="0"/>
              <w:left w:val="single" w:color="auto" w:sz="4" w:space="0"/>
              <w:bottom w:val="single" w:color="auto" w:sz="4" w:space="0"/>
              <w:right w:val="single" w:color="auto" w:sz="4" w:space="0"/>
            </w:tcBorders>
            <w:vAlign w:val="center"/>
          </w:tcPr>
          <w:p w14:paraId="587DB570">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2325" w:type="dxa"/>
            <w:tcBorders>
              <w:top w:val="single" w:color="000000" w:sz="8" w:space="0"/>
              <w:left w:val="single" w:color="auto" w:sz="4" w:space="0"/>
              <w:bottom w:val="single" w:color="000000" w:sz="8" w:space="0"/>
              <w:right w:val="single" w:color="000000" w:sz="8" w:space="0"/>
            </w:tcBorders>
            <w:vAlign w:val="center"/>
          </w:tcPr>
          <w:p w14:paraId="713F0CA8">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240" w:type="dxa"/>
            <w:tcBorders>
              <w:top w:val="single" w:color="000000" w:sz="8" w:space="0"/>
              <w:left w:val="single" w:color="000000" w:sz="2" w:space="0"/>
              <w:bottom w:val="single" w:color="000000" w:sz="8" w:space="0"/>
              <w:right w:val="single" w:color="000000" w:sz="8" w:space="0"/>
            </w:tcBorders>
            <w:vAlign w:val="center"/>
          </w:tcPr>
          <w:p w14:paraId="2EAAC1F3">
            <w:pPr>
              <w:spacing w:line="360" w:lineRule="auto"/>
              <w:rPr>
                <w:rFonts w:ascii="宋体" w:hAnsi="宋体" w:cs="宋体"/>
                <w:color w:val="auto"/>
                <w:sz w:val="24"/>
              </w:rPr>
            </w:pPr>
            <w:sdt>
              <w:sdtPr>
                <w:rPr>
                  <w:rFonts w:hint="eastAsia" w:ascii="宋体" w:hAnsi="宋体" w:cs="宋体"/>
                  <w:color w:val="auto"/>
                  <w:kern w:val="0"/>
                  <w:sz w:val="24"/>
                </w:rPr>
                <w:id w:val="147455988"/>
              </w:sdtPr>
              <w:sdtEndPr>
                <w:rPr>
                  <w:rFonts w:hint="eastAsia" w:ascii="宋体" w:hAnsi="宋体" w:cs="宋体"/>
                  <w:color w:val="auto"/>
                  <w:kern w:val="0"/>
                  <w:sz w:val="24"/>
                </w:rPr>
              </w:sdtEndPr>
              <w:sdtContent>
                <w:r>
                  <w:rPr>
                    <w:rFonts w:ascii="Wingdings" w:hAnsi="Wingdings" w:eastAsia="MS Gothic" w:cs="宋体"/>
                    <w:color w:val="auto"/>
                    <w:kern w:val="0"/>
                    <w:sz w:val="24"/>
                  </w:rPr>
                  <w:sym w:font="Wingdings" w:char="00FE"/>
                </w:r>
              </w:sdtContent>
            </w:sdt>
            <w:r>
              <w:rPr>
                <w:rFonts w:hint="eastAsia" w:ascii="宋体" w:hAnsi="宋体" w:cs="宋体"/>
                <w:color w:val="auto"/>
                <w:kern w:val="0"/>
                <w:sz w:val="24"/>
              </w:rPr>
              <w:t>A</w:t>
            </w:r>
            <w:r>
              <w:rPr>
                <w:rFonts w:hint="eastAsia" w:ascii="宋体" w:hAnsi="宋体" w:cs="宋体"/>
                <w:color w:val="auto"/>
                <w:sz w:val="24"/>
              </w:rPr>
              <w:t>不要求提供。</w:t>
            </w:r>
          </w:p>
          <w:p w14:paraId="79A9D114">
            <w:pPr>
              <w:spacing w:line="360" w:lineRule="auto"/>
              <w:rPr>
                <w:rFonts w:ascii="宋体" w:hAnsi="宋体" w:cs="宋体"/>
                <w:color w:val="auto"/>
                <w:kern w:val="0"/>
                <w:sz w:val="24"/>
              </w:rPr>
            </w:pPr>
            <w:sdt>
              <w:sdtPr>
                <w:rPr>
                  <w:rFonts w:hint="eastAsia" w:ascii="宋体" w:hAnsi="宋体" w:cs="宋体"/>
                  <w:color w:val="auto"/>
                  <w:kern w:val="0"/>
                  <w:sz w:val="24"/>
                </w:rPr>
                <w:id w:val="1026831988"/>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47F55B3A">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0297F9B5">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0F71CAA5">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392A5F59">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51F3E35E">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w:t>
            </w:r>
            <w:r>
              <w:rPr>
                <w:rFonts w:hint="eastAsia" w:ascii="宋体" w:hAnsi="宋体" w:cs="宋体"/>
                <w:color w:val="auto"/>
                <w:sz w:val="24"/>
                <w:lang w:eastAsia="zh-CN"/>
              </w:rPr>
              <w:t>供应商</w:t>
            </w:r>
            <w:r>
              <w:rPr>
                <w:rFonts w:hint="eastAsia" w:ascii="宋体" w:hAnsi="宋体" w:cs="宋体"/>
                <w:color w:val="auto"/>
                <w:sz w:val="24"/>
              </w:rPr>
              <w:t>在上述时间内提供样品并按规定位置安装完毕。超过截止时间的，</w:t>
            </w:r>
            <w:r>
              <w:rPr>
                <w:rFonts w:hint="eastAsia" w:ascii="宋体" w:hAnsi="宋体" w:cs="宋体"/>
                <w:color w:val="auto"/>
                <w:sz w:val="24"/>
                <w:lang w:eastAsia="zh-CN"/>
              </w:rPr>
              <w:t>招标人</w:t>
            </w:r>
            <w:r>
              <w:rPr>
                <w:rFonts w:hint="eastAsia" w:ascii="宋体" w:hAnsi="宋体" w:cs="宋体"/>
                <w:color w:val="auto"/>
                <w:sz w:val="24"/>
              </w:rPr>
              <w:t>或采购代理机构将不予接收，并将清场并封闭样品现场。</w:t>
            </w:r>
          </w:p>
          <w:p w14:paraId="5CF3FDB8">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w:t>
            </w:r>
            <w:r>
              <w:rPr>
                <w:rFonts w:hint="eastAsia" w:ascii="宋体" w:hAnsi="宋体" w:cs="宋体"/>
                <w:color w:val="auto"/>
                <w:sz w:val="24"/>
                <w:lang w:eastAsia="zh-CN"/>
              </w:rPr>
              <w:t>招标人</w:t>
            </w:r>
            <w:r>
              <w:rPr>
                <w:rFonts w:hint="eastAsia" w:ascii="宋体" w:hAnsi="宋体" w:cs="宋体"/>
                <w:color w:val="auto"/>
                <w:sz w:val="24"/>
              </w:rPr>
              <w:t>、采购代理机构将通知未中标人在规定的时间内取回，逾期未取回的，</w:t>
            </w:r>
            <w:r>
              <w:rPr>
                <w:rFonts w:hint="eastAsia" w:ascii="宋体" w:hAnsi="宋体" w:cs="宋体"/>
                <w:color w:val="auto"/>
                <w:sz w:val="24"/>
                <w:lang w:eastAsia="zh-CN"/>
              </w:rPr>
              <w:t>招标人</w:t>
            </w:r>
            <w:r>
              <w:rPr>
                <w:rFonts w:hint="eastAsia" w:ascii="宋体" w:hAnsi="宋体" w:cs="宋体"/>
                <w:color w:val="auto"/>
                <w:sz w:val="24"/>
              </w:rPr>
              <w:t>、采购代理机构不负保管义务；对于中标人提供的样品，</w:t>
            </w:r>
            <w:r>
              <w:rPr>
                <w:rFonts w:hint="eastAsia" w:ascii="宋体" w:hAnsi="宋体" w:cs="宋体"/>
                <w:color w:val="auto"/>
                <w:sz w:val="24"/>
                <w:lang w:eastAsia="zh-CN"/>
              </w:rPr>
              <w:t>招标人</w:t>
            </w:r>
            <w:r>
              <w:rPr>
                <w:rFonts w:hint="eastAsia" w:ascii="宋体" w:hAnsi="宋体" w:cs="宋体"/>
                <w:color w:val="auto"/>
                <w:sz w:val="24"/>
              </w:rPr>
              <w:t>将进行保管、封存，并作为履约验收的参考。</w:t>
            </w:r>
          </w:p>
          <w:p w14:paraId="5D349BE9">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w:t>
            </w:r>
            <w:r>
              <w:rPr>
                <w:rFonts w:hint="eastAsia" w:ascii="宋体" w:hAnsi="宋体" w:cs="宋体"/>
                <w:color w:val="auto"/>
                <w:sz w:val="24"/>
                <w:lang w:eastAsia="zh-CN"/>
              </w:rPr>
              <w:t>供应商</w:t>
            </w:r>
            <w:r>
              <w:rPr>
                <w:rFonts w:hint="eastAsia" w:ascii="宋体" w:hAnsi="宋体" w:cs="宋体"/>
                <w:color w:val="auto"/>
                <w:sz w:val="24"/>
              </w:rPr>
              <w:t>自理。</w:t>
            </w:r>
          </w:p>
        </w:tc>
      </w:tr>
      <w:tr w14:paraId="5ED57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50" w:type="dxa"/>
            <w:tcBorders>
              <w:top w:val="single" w:color="auto" w:sz="4" w:space="0"/>
              <w:left w:val="single" w:color="auto" w:sz="4" w:space="0"/>
              <w:bottom w:val="single" w:color="auto" w:sz="4" w:space="0"/>
              <w:right w:val="single" w:color="auto" w:sz="4" w:space="0"/>
            </w:tcBorders>
            <w:vAlign w:val="center"/>
          </w:tcPr>
          <w:p w14:paraId="1177FEFD">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2325" w:type="dxa"/>
            <w:tcBorders>
              <w:top w:val="single" w:color="000000" w:sz="8" w:space="0"/>
              <w:left w:val="single" w:color="auto" w:sz="4" w:space="0"/>
              <w:bottom w:val="single" w:color="000000" w:sz="8" w:space="0"/>
              <w:right w:val="single" w:color="000000" w:sz="8" w:space="0"/>
            </w:tcBorders>
            <w:vAlign w:val="center"/>
          </w:tcPr>
          <w:p w14:paraId="35D8232F">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240" w:type="dxa"/>
            <w:tcBorders>
              <w:top w:val="single" w:color="000000" w:sz="8" w:space="0"/>
              <w:left w:val="single" w:color="000000" w:sz="2" w:space="0"/>
              <w:bottom w:val="single" w:color="000000" w:sz="8" w:space="0"/>
              <w:right w:val="single" w:color="000000" w:sz="8" w:space="0"/>
            </w:tcBorders>
            <w:vAlign w:val="center"/>
          </w:tcPr>
          <w:p w14:paraId="2F806B53">
            <w:pPr>
              <w:spacing w:line="360" w:lineRule="auto"/>
              <w:rPr>
                <w:rFonts w:ascii="宋体" w:hAnsi="宋体" w:cs="宋体"/>
                <w:color w:val="auto"/>
                <w:sz w:val="24"/>
              </w:rPr>
            </w:pPr>
            <w:sdt>
              <w:sdtPr>
                <w:rPr>
                  <w:rFonts w:hint="eastAsia" w:ascii="宋体" w:hAnsi="宋体" w:cs="宋体"/>
                  <w:color w:val="auto"/>
                  <w:kern w:val="0"/>
                  <w:sz w:val="24"/>
                </w:rPr>
                <w:id w:val="147463639"/>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14:paraId="1AF095AD">
            <w:pPr>
              <w:spacing w:line="360" w:lineRule="auto"/>
              <w:rPr>
                <w:rFonts w:ascii="宋体" w:hAnsi="宋体" w:cs="宋体"/>
                <w:color w:val="auto"/>
                <w:kern w:val="0"/>
                <w:sz w:val="24"/>
              </w:rPr>
            </w:pPr>
            <w:sdt>
              <w:sdtPr>
                <w:rPr>
                  <w:rFonts w:hint="eastAsia" w:ascii="宋体" w:hAnsi="宋体" w:cs="宋体"/>
                  <w:color w:val="auto"/>
                  <w:kern w:val="0"/>
                  <w:sz w:val="24"/>
                </w:rPr>
                <w:id w:val="1174071719"/>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0E6B1D90">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w:t>
            </w:r>
            <w:r>
              <w:rPr>
                <w:rFonts w:hint="eastAsia" w:ascii="宋体" w:hAnsi="宋体" w:cs="宋体"/>
                <w:color w:val="auto"/>
                <w:kern w:val="0"/>
                <w:sz w:val="24"/>
                <w:lang w:eastAsia="zh-CN"/>
              </w:rPr>
              <w:t>供应商</w:t>
            </w:r>
            <w:r>
              <w:rPr>
                <w:rFonts w:hint="eastAsia" w:ascii="宋体" w:hAnsi="宋体" w:cs="宋体"/>
                <w:color w:val="auto"/>
                <w:kern w:val="0"/>
                <w:sz w:val="24"/>
              </w:rPr>
              <w:t>进行方案讲解演示。每个</w:t>
            </w:r>
            <w:r>
              <w:rPr>
                <w:rFonts w:hint="eastAsia" w:ascii="宋体" w:hAnsi="宋体" w:cs="宋体"/>
                <w:color w:val="auto"/>
                <w:kern w:val="0"/>
                <w:sz w:val="24"/>
                <w:lang w:eastAsia="zh-CN"/>
              </w:rPr>
              <w:t>供应商</w:t>
            </w:r>
            <w:r>
              <w:rPr>
                <w:rFonts w:hint="eastAsia" w:ascii="宋体" w:hAnsi="宋体" w:cs="宋体"/>
                <w:color w:val="auto"/>
                <w:kern w:val="0"/>
                <w:sz w:val="24"/>
              </w:rPr>
              <w:t>时间不超过</w:t>
            </w:r>
            <w:r>
              <w:rPr>
                <w:rFonts w:hint="eastAsia" w:ascii="宋体" w:hAnsi="宋体" w:cs="宋体"/>
                <w:color w:val="auto"/>
                <w:kern w:val="0"/>
                <w:sz w:val="24"/>
                <w:u w:val="single"/>
              </w:rPr>
              <w:t>20（编制时可根据项目情况进行调整）</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3（编制时可根据项目情况进行调整）</w:t>
            </w:r>
            <w:r>
              <w:rPr>
                <w:rFonts w:hint="eastAsia" w:ascii="宋体" w:hAnsi="宋体" w:cs="宋体"/>
                <w:color w:val="auto"/>
                <w:kern w:val="0"/>
                <w:sz w:val="24"/>
              </w:rPr>
              <w:t>人。讲解演示结束后按要求解答评标委员会提问。</w:t>
            </w:r>
          </w:p>
          <w:p w14:paraId="4233E2AA">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17BFF73A">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w:t>
            </w:r>
            <w:r>
              <w:rPr>
                <w:rFonts w:hint="eastAsia" w:ascii="宋体" w:hAnsi="宋体" w:cs="宋体"/>
                <w:color w:val="auto"/>
                <w:kern w:val="0"/>
                <w:sz w:val="24"/>
                <w:lang w:eastAsia="zh-CN"/>
              </w:rPr>
              <w:t>供应商</w:t>
            </w:r>
            <w:r>
              <w:rPr>
                <w:rFonts w:hint="eastAsia" w:ascii="宋体" w:hAnsi="宋体" w:cs="宋体"/>
                <w:color w:val="auto"/>
                <w:kern w:val="0"/>
                <w:sz w:val="24"/>
              </w:rPr>
              <w:t>根据政采云平台操作要求做好准备工作，提前完善软硬件配置环境。</w:t>
            </w:r>
          </w:p>
          <w:p w14:paraId="7441B721">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w:t>
            </w:r>
            <w:r>
              <w:rPr>
                <w:rFonts w:hint="eastAsia" w:ascii="宋体" w:hAnsi="宋体" w:cs="宋体"/>
                <w:color w:val="auto"/>
                <w:kern w:val="0"/>
                <w:sz w:val="24"/>
                <w:lang w:eastAsia="zh-CN"/>
              </w:rPr>
              <w:t>供应商</w:t>
            </w:r>
            <w:r>
              <w:rPr>
                <w:rFonts w:hint="eastAsia" w:ascii="宋体" w:hAnsi="宋体" w:cs="宋体"/>
                <w:color w:val="auto"/>
                <w:kern w:val="0"/>
                <w:sz w:val="24"/>
              </w:rPr>
              <w:t>自备。现场讲解演示人员进场时提供讲解人员名单（加盖公章或授权代表签名）及身份证明，否则不得讲解演示。</w:t>
            </w:r>
          </w:p>
          <w:p w14:paraId="00731B84">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w:t>
            </w:r>
            <w:r>
              <w:rPr>
                <w:rFonts w:hint="eastAsia" w:ascii="宋体" w:hAnsi="宋体" w:cs="宋体"/>
                <w:color w:val="auto"/>
                <w:kern w:val="0"/>
                <w:sz w:val="24"/>
                <w:lang w:eastAsia="zh-CN"/>
              </w:rPr>
              <w:t>供应商</w:t>
            </w:r>
            <w:r>
              <w:rPr>
                <w:rFonts w:hint="eastAsia" w:ascii="宋体" w:hAnsi="宋体" w:cs="宋体"/>
                <w:color w:val="auto"/>
                <w:kern w:val="0"/>
                <w:sz w:val="24"/>
              </w:rPr>
              <w:t>自身原因导致无法演示或者演示效果不理想的，责任自负。因平台原因导致本项目方案讲解演示环节无法顺利开展，按照《浙江省政府采购项目电子交易管理暂行办法》相关规定执行。</w:t>
            </w:r>
          </w:p>
        </w:tc>
      </w:tr>
      <w:tr w14:paraId="04DBF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50" w:type="dxa"/>
            <w:vMerge w:val="restart"/>
            <w:tcBorders>
              <w:top w:val="single" w:color="auto" w:sz="4" w:space="0"/>
              <w:left w:val="single" w:color="auto" w:sz="4" w:space="0"/>
              <w:right w:val="single" w:color="auto" w:sz="4" w:space="0"/>
            </w:tcBorders>
            <w:vAlign w:val="center"/>
          </w:tcPr>
          <w:p w14:paraId="61C7EE33">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2325" w:type="dxa"/>
            <w:vMerge w:val="restart"/>
            <w:tcBorders>
              <w:top w:val="single" w:color="000000" w:sz="8" w:space="0"/>
              <w:left w:val="single" w:color="auto" w:sz="4" w:space="0"/>
              <w:right w:val="single" w:color="000000" w:sz="8" w:space="0"/>
            </w:tcBorders>
            <w:vAlign w:val="center"/>
          </w:tcPr>
          <w:p w14:paraId="37777082">
            <w:pPr>
              <w:snapToGrid w:val="0"/>
              <w:spacing w:line="360" w:lineRule="auto"/>
              <w:jc w:val="center"/>
              <w:rPr>
                <w:rFonts w:ascii="宋体" w:hAnsi="宋体" w:cs="宋体"/>
                <w:b/>
                <w:color w:val="auto"/>
                <w:sz w:val="24"/>
              </w:rPr>
            </w:pPr>
            <w:r>
              <w:rPr>
                <w:rFonts w:hint="eastAsia" w:ascii="宋体" w:hAnsi="宋体" w:cs="宋体"/>
                <w:b/>
                <w:color w:val="auto"/>
                <w:sz w:val="24"/>
                <w:lang w:eastAsia="zh-CN"/>
              </w:rPr>
              <w:t>供应商</w:t>
            </w:r>
            <w:r>
              <w:rPr>
                <w:rFonts w:hint="eastAsia" w:ascii="宋体" w:hAnsi="宋体" w:cs="宋体"/>
                <w:b/>
                <w:color w:val="auto"/>
                <w:sz w:val="24"/>
              </w:rPr>
              <w:t>应当提供的资格、资信证明文件</w:t>
            </w:r>
          </w:p>
        </w:tc>
        <w:tc>
          <w:tcPr>
            <w:tcW w:w="6240" w:type="dxa"/>
            <w:tcBorders>
              <w:top w:val="single" w:color="000000" w:sz="8" w:space="0"/>
              <w:left w:val="single" w:color="000000" w:sz="2" w:space="0"/>
              <w:bottom w:val="single" w:color="auto" w:sz="4" w:space="0"/>
              <w:right w:val="single" w:color="000000" w:sz="8" w:space="0"/>
            </w:tcBorders>
            <w:vAlign w:val="center"/>
          </w:tcPr>
          <w:p w14:paraId="212AB907">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416E258F">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供应商未提供有效的资格证明文件的，视为供应商不具备招标文件中规定的资格要求，投标无效。</w:t>
            </w:r>
          </w:p>
        </w:tc>
      </w:tr>
      <w:tr w14:paraId="30758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50" w:type="dxa"/>
            <w:vMerge w:val="continue"/>
            <w:tcBorders>
              <w:left w:val="single" w:color="auto" w:sz="4" w:space="0"/>
              <w:bottom w:val="single" w:color="auto" w:sz="4" w:space="0"/>
              <w:right w:val="single" w:color="auto" w:sz="4" w:space="0"/>
            </w:tcBorders>
            <w:vAlign w:val="center"/>
          </w:tcPr>
          <w:p w14:paraId="21D56EBA">
            <w:pPr>
              <w:snapToGrid w:val="0"/>
              <w:spacing w:line="360" w:lineRule="auto"/>
              <w:jc w:val="center"/>
              <w:rPr>
                <w:rFonts w:ascii="宋体" w:hAnsi="宋体" w:cs="宋体"/>
                <w:color w:val="auto"/>
                <w:sz w:val="24"/>
              </w:rPr>
            </w:pPr>
          </w:p>
        </w:tc>
        <w:tc>
          <w:tcPr>
            <w:tcW w:w="2325" w:type="dxa"/>
            <w:vMerge w:val="continue"/>
            <w:tcBorders>
              <w:left w:val="single" w:color="auto" w:sz="4" w:space="0"/>
              <w:bottom w:val="single" w:color="000000" w:sz="8" w:space="0"/>
              <w:right w:val="single" w:color="000000" w:sz="8" w:space="0"/>
            </w:tcBorders>
            <w:vAlign w:val="center"/>
          </w:tcPr>
          <w:p w14:paraId="74A959A1">
            <w:pPr>
              <w:snapToGrid w:val="0"/>
              <w:spacing w:line="360" w:lineRule="auto"/>
              <w:jc w:val="center"/>
              <w:rPr>
                <w:rFonts w:ascii="宋体" w:hAnsi="宋体" w:cs="宋体"/>
                <w:b/>
                <w:color w:val="auto"/>
                <w:sz w:val="24"/>
              </w:rPr>
            </w:pPr>
          </w:p>
        </w:tc>
        <w:tc>
          <w:tcPr>
            <w:tcW w:w="6240" w:type="dxa"/>
            <w:tcBorders>
              <w:top w:val="single" w:color="auto" w:sz="4" w:space="0"/>
              <w:left w:val="single" w:color="000000" w:sz="2" w:space="0"/>
              <w:bottom w:val="single" w:color="000000" w:sz="8" w:space="0"/>
              <w:right w:val="single" w:color="000000" w:sz="8" w:space="0"/>
            </w:tcBorders>
            <w:vAlign w:val="center"/>
          </w:tcPr>
          <w:p w14:paraId="7352AE19">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36A3F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50" w:type="dxa"/>
            <w:tcBorders>
              <w:top w:val="single" w:color="auto" w:sz="4" w:space="0"/>
              <w:left w:val="single" w:color="000000" w:sz="8" w:space="0"/>
              <w:bottom w:val="single" w:color="auto" w:sz="4" w:space="0"/>
              <w:right w:val="single" w:color="000000" w:sz="2" w:space="0"/>
            </w:tcBorders>
            <w:vAlign w:val="center"/>
          </w:tcPr>
          <w:p w14:paraId="0F18B88B">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2325" w:type="dxa"/>
            <w:tcBorders>
              <w:top w:val="single" w:color="000000" w:sz="8" w:space="0"/>
              <w:left w:val="single" w:color="000000" w:sz="2" w:space="0"/>
              <w:bottom w:val="single" w:color="000000" w:sz="8" w:space="0"/>
              <w:right w:val="single" w:color="000000" w:sz="8" w:space="0"/>
            </w:tcBorders>
            <w:vAlign w:val="center"/>
          </w:tcPr>
          <w:p w14:paraId="191A4AD5">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240" w:type="dxa"/>
            <w:tcBorders>
              <w:top w:val="single" w:color="000000" w:sz="8" w:space="0"/>
              <w:left w:val="single" w:color="000000" w:sz="2" w:space="0"/>
              <w:bottom w:val="single" w:color="000000" w:sz="8" w:space="0"/>
              <w:right w:val="single" w:color="000000" w:sz="8" w:space="0"/>
            </w:tcBorders>
            <w:vAlign w:val="center"/>
          </w:tcPr>
          <w:p w14:paraId="3616104C">
            <w:pPr>
              <w:snapToGrid w:val="0"/>
              <w:spacing w:line="360" w:lineRule="auto"/>
              <w:rPr>
                <w:rFonts w:ascii="宋体" w:hAnsi="宋体" w:cs="宋体"/>
                <w:color w:val="auto"/>
              </w:rPr>
            </w:pPr>
            <w:r>
              <w:rPr>
                <w:rFonts w:hint="eastAsia" w:ascii="宋体" w:hAnsi="宋体" w:cs="宋体"/>
                <w:color w:val="auto"/>
                <w:kern w:val="0"/>
                <w:sz w:val="24"/>
                <w:lang w:eastAsia="zh-CN"/>
              </w:rPr>
              <w:t>招标人</w:t>
            </w:r>
            <w:r>
              <w:rPr>
                <w:rFonts w:hint="eastAsia" w:ascii="宋体" w:hAnsi="宋体" w:cs="宋体"/>
                <w:color w:val="auto"/>
                <w:kern w:val="0"/>
                <w:sz w:val="24"/>
              </w:rPr>
              <w:t>拟采购的产品属于品目清单范围的，</w:t>
            </w:r>
            <w:r>
              <w:rPr>
                <w:rFonts w:hint="eastAsia" w:ascii="宋体" w:hAnsi="宋体" w:cs="宋体"/>
                <w:color w:val="auto"/>
                <w:kern w:val="0"/>
                <w:sz w:val="24"/>
                <w:lang w:eastAsia="zh-CN"/>
              </w:rPr>
              <w:t>招标人</w:t>
            </w:r>
            <w:r>
              <w:rPr>
                <w:rFonts w:hint="eastAsia" w:ascii="宋体" w:hAnsi="宋体" w:cs="宋体"/>
                <w:color w:val="auto"/>
                <w:kern w:val="0"/>
                <w:sz w:val="24"/>
              </w:rPr>
              <w:t>及其委托的采购代理机构将依据国家确定的认证机构出具的、处于有效期之内的节能产品、环境标志产品认证证书，对获得证书的产品实施政府优先采购或强制采购。</w:t>
            </w:r>
          </w:p>
        </w:tc>
      </w:tr>
      <w:tr w14:paraId="584C4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50" w:type="dxa"/>
            <w:tcBorders>
              <w:top w:val="single" w:color="auto" w:sz="4" w:space="0"/>
              <w:left w:val="single" w:color="000000" w:sz="8" w:space="0"/>
              <w:bottom w:val="single" w:color="auto" w:sz="4" w:space="0"/>
              <w:right w:val="single" w:color="000000" w:sz="2" w:space="0"/>
            </w:tcBorders>
            <w:vAlign w:val="center"/>
          </w:tcPr>
          <w:p w14:paraId="349FF543">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2325" w:type="dxa"/>
            <w:tcBorders>
              <w:top w:val="single" w:color="000000" w:sz="8" w:space="0"/>
              <w:left w:val="single" w:color="000000" w:sz="2" w:space="0"/>
              <w:bottom w:val="single" w:color="000000" w:sz="8" w:space="0"/>
              <w:right w:val="single" w:color="000000" w:sz="8" w:space="0"/>
            </w:tcBorders>
            <w:vAlign w:val="center"/>
          </w:tcPr>
          <w:p w14:paraId="4D5735C0">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240" w:type="dxa"/>
            <w:tcBorders>
              <w:top w:val="single" w:color="000000" w:sz="8" w:space="0"/>
              <w:left w:val="single" w:color="000000" w:sz="2" w:space="0"/>
              <w:bottom w:val="single" w:color="000000" w:sz="8" w:space="0"/>
              <w:right w:val="single" w:color="000000" w:sz="8" w:space="0"/>
            </w:tcBorders>
            <w:vAlign w:val="center"/>
          </w:tcPr>
          <w:p w14:paraId="55C8EC4E">
            <w:pPr>
              <w:snapToGrid w:val="0"/>
              <w:spacing w:line="360" w:lineRule="auto"/>
              <w:jc w:val="left"/>
              <w:rPr>
                <w:rFonts w:hint="eastAsia" w:ascii="宋体" w:hAnsi="宋体" w:cs="宋体"/>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w:t>
            </w:r>
            <w:r>
              <w:rPr>
                <w:rFonts w:hint="eastAsia" w:ascii="宋体" w:hAnsi="宋体" w:cs="宋体"/>
                <w:b/>
                <w:bCs/>
                <w:color w:val="auto"/>
                <w:sz w:val="24"/>
                <w:lang w:eastAsia="zh-CN"/>
              </w:rPr>
              <w:t>供应商</w:t>
            </w:r>
            <w:r>
              <w:rPr>
                <w:rFonts w:hint="eastAsia" w:ascii="宋体" w:hAnsi="宋体" w:cs="宋体"/>
                <w:b/>
                <w:bCs/>
                <w:color w:val="auto"/>
                <w:sz w:val="24"/>
              </w:rPr>
              <w:t>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投标文件中价格全部采用人民币报价。招标文件未列明，而供应商认为必需的费用也需列入报价。</w:t>
            </w:r>
          </w:p>
          <w:p w14:paraId="17EE3C56">
            <w:pPr>
              <w:snapToGrid w:val="0"/>
              <w:spacing w:line="360" w:lineRule="auto"/>
              <w:jc w:val="left"/>
              <w:rPr>
                <w:rFonts w:hint="eastAsia" w:ascii="宋体" w:hAnsi="宋体" w:eastAsia="宋体" w:cs="宋体"/>
                <w:color w:val="auto"/>
                <w:kern w:val="0"/>
                <w:sz w:val="24"/>
                <w:lang w:val="zh-CN"/>
              </w:rPr>
            </w:pPr>
            <w:r>
              <w:rPr>
                <w:rFonts w:hint="eastAsia" w:ascii="宋体" w:hAnsi="宋体" w:cs="宋体"/>
                <w:color w:val="auto"/>
                <w:kern w:val="0"/>
                <w:sz w:val="24"/>
                <w:lang w:val="zh-CN"/>
              </w:rPr>
              <w:t>投</w:t>
            </w:r>
            <w:r>
              <w:rPr>
                <w:rFonts w:hint="eastAsia" w:ascii="宋体" w:hAnsi="宋体" w:eastAsia="宋体" w:cs="宋体"/>
                <w:color w:val="auto"/>
                <w:kern w:val="0"/>
                <w:sz w:val="24"/>
                <w:lang w:val="zh-CN"/>
              </w:rPr>
              <w:t>标报价须是</w:t>
            </w:r>
            <w:r>
              <w:rPr>
                <w:rFonts w:hint="eastAsia" w:ascii="宋体" w:hAnsi="宋体" w:eastAsia="宋体" w:cs="宋体"/>
                <w:color w:val="auto"/>
                <w:kern w:val="0"/>
                <w:sz w:val="24"/>
                <w:lang w:val="zh-CN" w:eastAsia="zh-CN"/>
              </w:rPr>
              <w:t>年度投标总价为完成完整一个年度海曙区排水管网日常养护服务的含税人民币报价，应包括</w:t>
            </w:r>
            <w:r>
              <w:rPr>
                <w:rFonts w:hint="eastAsia" w:ascii="宋体" w:hAnsi="宋体" w:eastAsia="宋体" w:cs="宋体"/>
                <w:color w:val="auto"/>
                <w:kern w:val="0"/>
                <w:sz w:val="24"/>
                <w:lang w:val="zh-CN"/>
              </w:rPr>
              <w:t>完成招标内容所提供的服务过程中涉及的所有费用（包括完成本服务项目的直接费、间接费、利润、税金、风险费等所有费用）</w:t>
            </w:r>
          </w:p>
          <w:p w14:paraId="31732B54">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不论投标结果如何，供应商均应自行承担所有与投标有关的全部费用。</w:t>
            </w:r>
          </w:p>
          <w:p w14:paraId="324D7FEE">
            <w:pPr>
              <w:snapToGrid w:val="0"/>
              <w:spacing w:line="360" w:lineRule="auto"/>
              <w:jc w:val="left"/>
              <w:rPr>
                <w:rFonts w:hint="eastAsia" w:ascii="宋体" w:hAnsi="宋体" w:cs="宋体"/>
                <w:b w:val="0"/>
                <w:bCs/>
                <w:color w:val="auto"/>
                <w:kern w:val="0"/>
                <w:sz w:val="24"/>
                <w:lang w:val="zh-CN" w:eastAsia="zh-CN"/>
              </w:rPr>
            </w:pPr>
            <w:r>
              <w:rPr>
                <w:rFonts w:hint="eastAsia" w:ascii="宋体" w:hAnsi="宋体" w:cs="宋体"/>
                <w:b w:val="0"/>
                <w:bCs/>
                <w:color w:val="auto"/>
                <w:kern w:val="0"/>
                <w:sz w:val="24"/>
                <w:lang w:val="zh-CN"/>
              </w:rPr>
              <w:t>合同履行期间，综合单价不因市场因素和政策因素的变动而调整；新接收、移交道路新增或减少设施量费用经采购人确认签字同意后进行相应调整。</w:t>
            </w:r>
          </w:p>
          <w:p w14:paraId="3C795479">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017491CD">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24B56716">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w:t>
            </w:r>
            <w:r>
              <w:rPr>
                <w:rFonts w:hint="eastAsia" w:ascii="宋体" w:hAnsi="宋体" w:cs="宋体"/>
                <w:b/>
                <w:color w:val="auto"/>
                <w:kern w:val="0"/>
                <w:sz w:val="24"/>
                <w:lang w:val="en-US" w:eastAsia="zh-CN"/>
              </w:rPr>
              <w:t>总价或单价</w:t>
            </w:r>
            <w:r>
              <w:rPr>
                <w:rFonts w:hint="eastAsia" w:ascii="宋体" w:hAnsi="宋体" w:cs="宋体"/>
                <w:b/>
                <w:color w:val="auto"/>
                <w:kern w:val="0"/>
                <w:sz w:val="24"/>
                <w:lang w:val="zh-CN"/>
              </w:rPr>
              <w:t>）的；</w:t>
            </w:r>
          </w:p>
          <w:p w14:paraId="7AF3A7C3">
            <w:pPr>
              <w:spacing w:line="360" w:lineRule="auto"/>
              <w:ind w:firstLine="241" w:firstLineChars="100"/>
              <w:rPr>
                <w:rFonts w:hint="eastAsia" w:ascii="宋体" w:hAnsi="宋体" w:eastAsia="宋体" w:cs="宋体"/>
                <w:b/>
                <w:color w:val="auto"/>
                <w:sz w:val="24"/>
                <w:lang w:eastAsia="zh-CN"/>
              </w:rPr>
            </w:pPr>
            <w:r>
              <w:rPr>
                <w:rFonts w:hint="eastAsia" w:ascii="宋体" w:hAnsi="宋体" w:cs="宋体"/>
                <w:b/>
                <w:color w:val="auto"/>
                <w:kern w:val="0"/>
                <w:sz w:val="24"/>
              </w:rPr>
              <w:t>报价明显低于其他通过符合性审查</w:t>
            </w:r>
            <w:r>
              <w:rPr>
                <w:rFonts w:hint="eastAsia" w:ascii="宋体" w:hAnsi="宋体" w:cs="宋体"/>
                <w:b/>
                <w:color w:val="auto"/>
                <w:kern w:val="0"/>
                <w:sz w:val="24"/>
                <w:lang w:eastAsia="zh-CN"/>
              </w:rPr>
              <w:t>供应商</w:t>
            </w:r>
            <w:r>
              <w:rPr>
                <w:rFonts w:hint="eastAsia" w:ascii="宋体" w:hAnsi="宋体" w:cs="宋体"/>
                <w:b/>
                <w:color w:val="auto"/>
                <w:kern w:val="0"/>
                <w:sz w:val="24"/>
              </w:rPr>
              <w:t>的报价，有可能影响产品质量或者不能诚信履约的，未能按要求提供书面说明或者提交相关证明材料证明其报价合理性的</w:t>
            </w:r>
            <w:r>
              <w:rPr>
                <w:rFonts w:hint="eastAsia" w:ascii="宋体" w:hAnsi="宋体" w:cs="宋体"/>
                <w:b/>
                <w:color w:val="auto"/>
                <w:sz w:val="24"/>
                <w:szCs w:val="21"/>
                <w:lang w:eastAsia="zh-CN"/>
              </w:rPr>
              <w:t>；</w:t>
            </w:r>
          </w:p>
          <w:p w14:paraId="42C5ED16">
            <w:pPr>
              <w:spacing w:line="360" w:lineRule="auto"/>
              <w:ind w:firstLine="241" w:firstLineChars="100"/>
              <w:rPr>
                <w:rFonts w:ascii="宋体" w:hAnsi="宋体" w:cs="宋体"/>
                <w:color w:val="auto"/>
                <w:sz w:val="24"/>
              </w:rPr>
            </w:pPr>
            <w:r>
              <w:rPr>
                <w:rFonts w:hint="eastAsia" w:ascii="宋体" w:hAnsi="宋体" w:cs="宋体"/>
                <w:b/>
                <w:color w:val="auto"/>
                <w:kern w:val="0"/>
                <w:sz w:val="24"/>
                <w:lang w:eastAsia="zh-CN"/>
              </w:rPr>
              <w:t>供应商</w:t>
            </w:r>
            <w:r>
              <w:rPr>
                <w:rFonts w:hint="eastAsia" w:ascii="宋体" w:hAnsi="宋体" w:cs="宋体"/>
                <w:b/>
                <w:color w:val="auto"/>
                <w:kern w:val="0"/>
                <w:sz w:val="24"/>
              </w:rPr>
              <w:t>对根据修正原则修正后的报价不确认的</w:t>
            </w:r>
            <w:r>
              <w:rPr>
                <w:rFonts w:hint="eastAsia" w:ascii="宋体" w:hAnsi="宋体" w:cs="宋体"/>
                <w:b/>
                <w:color w:val="auto"/>
                <w:sz w:val="24"/>
              </w:rPr>
              <w:t>。</w:t>
            </w:r>
          </w:p>
        </w:tc>
      </w:tr>
      <w:tr w14:paraId="2C8E3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50" w:type="dxa"/>
            <w:tcBorders>
              <w:top w:val="single" w:color="auto" w:sz="4" w:space="0"/>
              <w:left w:val="single" w:color="000000" w:sz="8" w:space="0"/>
              <w:right w:val="single" w:color="000000" w:sz="2" w:space="0"/>
            </w:tcBorders>
            <w:vAlign w:val="center"/>
          </w:tcPr>
          <w:p w14:paraId="488A43D9">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2325" w:type="dxa"/>
            <w:tcBorders>
              <w:top w:val="single" w:color="000000" w:sz="8" w:space="0"/>
              <w:left w:val="single" w:color="000000" w:sz="2" w:space="0"/>
              <w:right w:val="single" w:color="000000" w:sz="8" w:space="0"/>
            </w:tcBorders>
            <w:vAlign w:val="center"/>
          </w:tcPr>
          <w:p w14:paraId="696A3CF5">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240" w:type="dxa"/>
            <w:tcBorders>
              <w:top w:val="single" w:color="000000" w:sz="8" w:space="0"/>
              <w:left w:val="single" w:color="000000" w:sz="2" w:space="0"/>
              <w:right w:val="single" w:color="000000" w:sz="8" w:space="0"/>
            </w:tcBorders>
            <w:vAlign w:val="center"/>
          </w:tcPr>
          <w:p w14:paraId="69492D59">
            <w:pPr>
              <w:spacing w:line="360" w:lineRule="auto"/>
              <w:ind w:firstLine="240" w:firstLineChars="1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DE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750" w:type="dxa"/>
            <w:tcBorders>
              <w:top w:val="single" w:color="auto" w:sz="4" w:space="0"/>
              <w:left w:val="single" w:color="000000" w:sz="8" w:space="0"/>
              <w:bottom w:val="single" w:color="auto" w:sz="4" w:space="0"/>
              <w:right w:val="single" w:color="000000" w:sz="2" w:space="0"/>
            </w:tcBorders>
            <w:vAlign w:val="center"/>
          </w:tcPr>
          <w:p w14:paraId="3509B2E6">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2325" w:type="dxa"/>
            <w:tcBorders>
              <w:top w:val="single" w:color="000000" w:sz="8" w:space="0"/>
              <w:left w:val="single" w:color="000000" w:sz="2" w:space="0"/>
              <w:bottom w:val="single" w:color="000000" w:sz="8" w:space="0"/>
              <w:right w:val="single" w:color="000000" w:sz="8" w:space="0"/>
            </w:tcBorders>
            <w:vAlign w:val="center"/>
          </w:tcPr>
          <w:p w14:paraId="6FC4A742">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备份投标文件送达时间、地点和签收人员 </w:t>
            </w:r>
          </w:p>
        </w:tc>
        <w:tc>
          <w:tcPr>
            <w:tcW w:w="6240" w:type="dxa"/>
            <w:tcBorders>
              <w:top w:val="single" w:color="000000" w:sz="8" w:space="0"/>
              <w:left w:val="single" w:color="000000" w:sz="2" w:space="0"/>
              <w:bottom w:val="single" w:color="000000" w:sz="8" w:space="0"/>
              <w:right w:val="single" w:color="000000" w:sz="8" w:space="0"/>
            </w:tcBorders>
            <w:vAlign w:val="center"/>
          </w:tcPr>
          <w:p w14:paraId="1DBA344C">
            <w:pPr>
              <w:pStyle w:val="33"/>
              <w:spacing w:line="360" w:lineRule="auto"/>
              <w:rPr>
                <w:rFonts w:hAnsi="宋体" w:cs="宋体"/>
                <w:color w:val="auto"/>
                <w:sz w:val="24"/>
                <w:szCs w:val="24"/>
              </w:rPr>
            </w:pPr>
            <w:r>
              <w:rPr>
                <w:rFonts w:hint="eastAsia" w:hAnsi="宋体" w:cs="宋体"/>
                <w:color w:val="auto"/>
                <w:sz w:val="24"/>
              </w:rPr>
              <w:t>（1）</w:t>
            </w:r>
            <w:r>
              <w:rPr>
                <w:rFonts w:hint="eastAsia" w:hAnsi="宋体" w:cs="宋体"/>
                <w:color w:val="auto"/>
                <w:sz w:val="24"/>
                <w:szCs w:val="24"/>
              </w:rPr>
              <w:t>直接提交备份投标文件的：</w:t>
            </w:r>
          </w:p>
          <w:p w14:paraId="4CBA474E">
            <w:pPr>
              <w:pStyle w:val="33"/>
              <w:spacing w:line="360" w:lineRule="auto"/>
              <w:rPr>
                <w:rFonts w:hAnsi="宋体" w:cs="宋体"/>
                <w:color w:val="auto"/>
                <w:sz w:val="24"/>
                <w:szCs w:val="24"/>
              </w:rPr>
            </w:pPr>
            <w:r>
              <w:rPr>
                <w:rFonts w:hint="eastAsia" w:hAnsi="宋体" w:cs="宋体"/>
                <w:color w:val="auto"/>
                <w:kern w:val="28"/>
                <w:sz w:val="24"/>
                <w:szCs w:val="24"/>
              </w:rPr>
              <w:t>备份投标文件送达地点：</w:t>
            </w:r>
            <w:r>
              <w:rPr>
                <w:rFonts w:hint="eastAsia" w:hAnsi="宋体" w:cs="宋体"/>
                <w:color w:val="auto"/>
                <w:kern w:val="28"/>
                <w:sz w:val="24"/>
                <w:szCs w:val="24"/>
                <w:highlight w:val="none"/>
                <w:u w:val="single"/>
                <w:lang w:eastAsia="zh-CN"/>
              </w:rPr>
              <w:t>宁波市海曙区营商环境服务中心</w:t>
            </w:r>
            <w:r>
              <w:rPr>
                <w:rFonts w:hint="eastAsia" w:hAnsi="宋体" w:cs="宋体"/>
                <w:color w:val="auto"/>
                <w:kern w:val="28"/>
                <w:sz w:val="24"/>
                <w:szCs w:val="24"/>
                <w:u w:val="single"/>
              </w:rPr>
              <w:t>二楼开标室[宁波市海曙区气象路58号(南门上)]。</w:t>
            </w:r>
          </w:p>
          <w:p w14:paraId="0A51B222">
            <w:pPr>
              <w:pStyle w:val="33"/>
              <w:spacing w:line="360" w:lineRule="auto"/>
              <w:rPr>
                <w:rFonts w:hAnsi="宋体" w:cs="宋体"/>
                <w:color w:val="auto"/>
                <w:sz w:val="24"/>
                <w:szCs w:val="24"/>
              </w:rPr>
            </w:pPr>
            <w:r>
              <w:rPr>
                <w:rFonts w:hint="eastAsia" w:hAnsi="宋体" w:cs="宋体"/>
                <w:color w:val="auto"/>
                <w:kern w:val="28"/>
                <w:sz w:val="24"/>
                <w:szCs w:val="24"/>
              </w:rPr>
              <w:t>（2）</w:t>
            </w:r>
            <w:r>
              <w:rPr>
                <w:rFonts w:hint="eastAsia" w:hAnsi="宋体" w:cs="宋体"/>
                <w:color w:val="auto"/>
                <w:sz w:val="24"/>
                <w:szCs w:val="24"/>
              </w:rPr>
              <w:t>以邮政快递方式递交备份投标文件的：</w:t>
            </w:r>
          </w:p>
          <w:p w14:paraId="64802A9B">
            <w:pPr>
              <w:pStyle w:val="33"/>
              <w:spacing w:line="360" w:lineRule="auto"/>
              <w:rPr>
                <w:rFonts w:hAnsi="宋体" w:cs="宋体"/>
                <w:color w:val="auto"/>
                <w:kern w:val="28"/>
                <w:sz w:val="24"/>
                <w:szCs w:val="24"/>
              </w:rPr>
            </w:pPr>
            <w:r>
              <w:rPr>
                <w:rFonts w:hint="eastAsia" w:hAnsi="宋体" w:cs="宋体"/>
                <w:snapToGrid/>
                <w:color w:val="auto"/>
                <w:sz w:val="24"/>
                <w:szCs w:val="24"/>
              </w:rPr>
              <w:t>备份投标文件送达</w:t>
            </w:r>
            <w:r>
              <w:rPr>
                <w:rFonts w:hint="eastAsia" w:hAnsi="宋体" w:cs="宋体"/>
                <w:color w:val="auto"/>
                <w:sz w:val="24"/>
                <w:szCs w:val="24"/>
              </w:rPr>
              <w:t>截止时间：</w:t>
            </w:r>
            <w:r>
              <w:rPr>
                <w:rFonts w:hint="eastAsia" w:hAnsi="宋体" w:cs="宋体"/>
                <w:color w:val="auto"/>
                <w:sz w:val="24"/>
                <w:szCs w:val="24"/>
                <w:u w:val="single"/>
              </w:rPr>
              <w:t>开标时间前一个工作日的16:00止。</w:t>
            </w:r>
          </w:p>
          <w:p w14:paraId="0AFC1E1D">
            <w:pPr>
              <w:pStyle w:val="33"/>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宁波市鄞州区天童南路666号中基大厦19楼业务六部 </w:t>
            </w:r>
            <w:r>
              <w:rPr>
                <w:rFonts w:hint="eastAsia" w:hAnsi="宋体" w:cs="宋体"/>
                <w:color w:val="auto"/>
                <w:kern w:val="28"/>
                <w:sz w:val="24"/>
                <w:szCs w:val="24"/>
              </w:rPr>
              <w:t>；备份投标文件签收人员</w:t>
            </w:r>
            <w:r>
              <w:rPr>
                <w:rFonts w:hint="eastAsia" w:hAnsi="宋体" w:cs="宋体"/>
                <w:color w:val="auto"/>
                <w:kern w:val="28"/>
                <w:sz w:val="24"/>
                <w:szCs w:val="24"/>
                <w:lang w:eastAsia="zh-CN"/>
              </w:rPr>
              <w:t>：</w:t>
            </w:r>
            <w:r>
              <w:rPr>
                <w:rFonts w:hint="eastAsia" w:hAnsi="宋体" w:cs="宋体"/>
                <w:color w:val="auto"/>
                <w:kern w:val="28"/>
                <w:sz w:val="24"/>
                <w:szCs w:val="24"/>
                <w:u w:val="single"/>
                <w:lang w:val="en-US" w:eastAsia="zh-CN"/>
              </w:rPr>
              <w:t>史宇骁</w:t>
            </w:r>
            <w:r>
              <w:rPr>
                <w:rFonts w:hint="eastAsia" w:hAnsi="宋体" w:cs="宋体"/>
                <w:color w:val="auto"/>
                <w:kern w:val="28"/>
                <w:sz w:val="24"/>
                <w:szCs w:val="24"/>
                <w:u w:val="none"/>
                <w:lang w:val="en-US" w:eastAsia="zh-CN"/>
              </w:rPr>
              <w:t>；</w:t>
            </w:r>
            <w:r>
              <w:rPr>
                <w:rFonts w:hint="eastAsia" w:hAnsi="宋体" w:cs="宋体"/>
                <w:color w:val="auto"/>
                <w:kern w:val="28"/>
                <w:sz w:val="24"/>
                <w:szCs w:val="24"/>
              </w:rPr>
              <w:t>联系电话：</w:t>
            </w:r>
            <w:r>
              <w:rPr>
                <w:rFonts w:hint="eastAsia" w:hAnsi="宋体" w:cs="宋体"/>
                <w:color w:val="auto"/>
                <w:sz w:val="24"/>
                <w:u w:val="single"/>
              </w:rPr>
              <w:t>0574-8742</w:t>
            </w:r>
            <w:r>
              <w:rPr>
                <w:rFonts w:hint="eastAsia" w:hAnsi="宋体" w:cs="宋体"/>
                <w:color w:val="auto"/>
                <w:sz w:val="24"/>
                <w:u w:val="single"/>
                <w:lang w:val="en-US" w:eastAsia="zh-CN"/>
              </w:rPr>
              <w:t>3275</w:t>
            </w:r>
            <w:r>
              <w:rPr>
                <w:rFonts w:hint="eastAsia" w:hAnsi="宋体" w:cs="宋体"/>
                <w:color w:val="auto"/>
                <w:sz w:val="24"/>
                <w:szCs w:val="24"/>
              </w:rPr>
              <w:t>。</w:t>
            </w:r>
            <w:r>
              <w:rPr>
                <w:rFonts w:hint="eastAsia" w:hAnsi="宋体" w:cs="宋体"/>
                <w:b/>
                <w:color w:val="auto"/>
                <w:sz w:val="24"/>
                <w:szCs w:val="24"/>
                <w:lang w:eastAsia="zh-CN"/>
              </w:rPr>
              <w:t>招标人</w:t>
            </w:r>
            <w:r>
              <w:rPr>
                <w:rFonts w:hint="eastAsia" w:hAnsi="宋体" w:cs="宋体"/>
                <w:b/>
                <w:color w:val="auto"/>
                <w:sz w:val="24"/>
                <w:szCs w:val="24"/>
              </w:rPr>
              <w:t>、采购代理机构不强制或变相强制</w:t>
            </w:r>
            <w:r>
              <w:rPr>
                <w:rFonts w:hint="eastAsia" w:hAnsi="宋体" w:cs="宋体"/>
                <w:b/>
                <w:color w:val="auto"/>
                <w:sz w:val="24"/>
                <w:szCs w:val="24"/>
                <w:lang w:eastAsia="zh-CN"/>
              </w:rPr>
              <w:t>供应商</w:t>
            </w:r>
            <w:r>
              <w:rPr>
                <w:rFonts w:hint="eastAsia" w:hAnsi="宋体" w:cs="宋体"/>
                <w:b/>
                <w:color w:val="auto"/>
                <w:sz w:val="24"/>
                <w:szCs w:val="24"/>
              </w:rPr>
              <w:t>提交备份投标文件。</w:t>
            </w:r>
          </w:p>
        </w:tc>
      </w:tr>
      <w:tr w14:paraId="7565F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50" w:type="dxa"/>
            <w:vMerge w:val="restart"/>
            <w:tcBorders>
              <w:top w:val="single" w:color="auto" w:sz="4" w:space="0"/>
              <w:left w:val="single" w:color="000000" w:sz="8" w:space="0"/>
              <w:right w:val="single" w:color="000000" w:sz="2" w:space="0"/>
            </w:tcBorders>
            <w:vAlign w:val="center"/>
          </w:tcPr>
          <w:p w14:paraId="603EA73E">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2325" w:type="dxa"/>
            <w:vMerge w:val="restart"/>
            <w:tcBorders>
              <w:top w:val="single" w:color="000000" w:sz="8" w:space="0"/>
              <w:left w:val="single" w:color="000000" w:sz="2" w:space="0"/>
              <w:right w:val="single" w:color="000000" w:sz="8" w:space="0"/>
            </w:tcBorders>
            <w:vAlign w:val="center"/>
          </w:tcPr>
          <w:p w14:paraId="50ABA4E1">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240" w:type="dxa"/>
            <w:tcBorders>
              <w:top w:val="single" w:color="000000" w:sz="8" w:space="0"/>
              <w:left w:val="single" w:color="000000" w:sz="2" w:space="0"/>
              <w:bottom w:val="single" w:color="000000" w:sz="8" w:space="0"/>
              <w:right w:val="single" w:color="000000" w:sz="8" w:space="0"/>
            </w:tcBorders>
            <w:vAlign w:val="center"/>
          </w:tcPr>
          <w:p w14:paraId="6F727CCF">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443E0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50" w:type="dxa"/>
            <w:vMerge w:val="continue"/>
            <w:tcBorders>
              <w:left w:val="single" w:color="000000" w:sz="8" w:space="0"/>
              <w:bottom w:val="single" w:color="auto" w:sz="4" w:space="0"/>
              <w:right w:val="single" w:color="000000" w:sz="2" w:space="0"/>
            </w:tcBorders>
          </w:tcPr>
          <w:p w14:paraId="7858EA87">
            <w:pPr>
              <w:snapToGrid w:val="0"/>
              <w:spacing w:line="360" w:lineRule="auto"/>
              <w:jc w:val="center"/>
              <w:rPr>
                <w:rFonts w:ascii="宋体" w:hAnsi="宋体" w:cs="宋体"/>
                <w:color w:val="auto"/>
                <w:sz w:val="24"/>
              </w:rPr>
            </w:pPr>
          </w:p>
        </w:tc>
        <w:tc>
          <w:tcPr>
            <w:tcW w:w="2325" w:type="dxa"/>
            <w:vMerge w:val="continue"/>
            <w:tcBorders>
              <w:left w:val="single" w:color="000000" w:sz="2" w:space="0"/>
              <w:bottom w:val="single" w:color="auto" w:sz="4" w:space="0"/>
              <w:right w:val="single" w:color="000000" w:sz="8" w:space="0"/>
            </w:tcBorders>
            <w:vAlign w:val="center"/>
          </w:tcPr>
          <w:p w14:paraId="099F6314">
            <w:pPr>
              <w:snapToGrid w:val="0"/>
              <w:spacing w:line="360" w:lineRule="auto"/>
              <w:jc w:val="center"/>
              <w:rPr>
                <w:rFonts w:ascii="宋体" w:hAnsi="宋体" w:cs="宋体"/>
                <w:b/>
                <w:color w:val="auto"/>
                <w:sz w:val="24"/>
              </w:rPr>
            </w:pPr>
          </w:p>
        </w:tc>
        <w:tc>
          <w:tcPr>
            <w:tcW w:w="6240" w:type="dxa"/>
            <w:tcBorders>
              <w:top w:val="single" w:color="000000" w:sz="8" w:space="0"/>
              <w:left w:val="single" w:color="000000" w:sz="2" w:space="0"/>
              <w:bottom w:val="single" w:color="auto" w:sz="4" w:space="0"/>
              <w:right w:val="single" w:color="000000" w:sz="8" w:space="0"/>
            </w:tcBorders>
            <w:vAlign w:val="center"/>
          </w:tcPr>
          <w:p w14:paraId="709BC65E">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47456072"/>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562D0423">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47452537"/>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00A8"/>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62A7C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50" w:type="dxa"/>
            <w:tcBorders>
              <w:top w:val="single" w:color="auto" w:sz="4" w:space="0"/>
              <w:left w:val="single" w:color="auto" w:sz="4" w:space="0"/>
              <w:bottom w:val="single" w:color="auto" w:sz="4" w:space="0"/>
              <w:right w:val="single" w:color="auto" w:sz="4" w:space="0"/>
            </w:tcBorders>
            <w:vAlign w:val="center"/>
          </w:tcPr>
          <w:p w14:paraId="272F8712">
            <w:pPr>
              <w:snapToGrid w:val="0"/>
              <w:spacing w:line="360" w:lineRule="auto"/>
              <w:jc w:val="center"/>
              <w:rPr>
                <w:rFonts w:ascii="宋体" w:hAnsi="宋体" w:cs="宋体"/>
                <w:color w:val="auto"/>
                <w:sz w:val="24"/>
              </w:rPr>
            </w:pPr>
            <w:r>
              <w:rPr>
                <w:rFonts w:hint="eastAsia" w:ascii="宋体" w:hAnsi="宋体" w:cs="宋体"/>
                <w:color w:val="auto"/>
                <w:sz w:val="24"/>
              </w:rPr>
              <w:t>14</w:t>
            </w:r>
          </w:p>
        </w:tc>
        <w:tc>
          <w:tcPr>
            <w:tcW w:w="2325" w:type="dxa"/>
            <w:tcBorders>
              <w:top w:val="single" w:color="auto" w:sz="4" w:space="0"/>
              <w:left w:val="single" w:color="auto" w:sz="4" w:space="0"/>
              <w:bottom w:val="single" w:color="auto" w:sz="4" w:space="0"/>
              <w:right w:val="single" w:color="auto" w:sz="4" w:space="0"/>
            </w:tcBorders>
            <w:vAlign w:val="center"/>
          </w:tcPr>
          <w:p w14:paraId="7BEEA3AB">
            <w:pPr>
              <w:snapToGrid w:val="0"/>
              <w:spacing w:line="360" w:lineRule="auto"/>
              <w:jc w:val="center"/>
              <w:rPr>
                <w:rFonts w:ascii="宋体" w:hAnsi="宋体" w:cs="宋体"/>
                <w:b/>
                <w:color w:val="auto"/>
                <w:sz w:val="24"/>
              </w:rPr>
            </w:pPr>
            <w:r>
              <w:rPr>
                <w:rFonts w:hint="eastAsia" w:ascii="宋体" w:hAnsi="宋体" w:cs="宋体"/>
                <w:b/>
                <w:color w:val="auto"/>
                <w:sz w:val="24"/>
              </w:rPr>
              <w:t>中标服务费</w:t>
            </w:r>
          </w:p>
        </w:tc>
        <w:tc>
          <w:tcPr>
            <w:tcW w:w="6240" w:type="dxa"/>
            <w:tcBorders>
              <w:top w:val="single" w:color="auto" w:sz="4" w:space="0"/>
              <w:left w:val="single" w:color="auto" w:sz="4" w:space="0"/>
              <w:bottom w:val="single" w:color="auto" w:sz="4" w:space="0"/>
              <w:right w:val="single" w:color="auto" w:sz="4" w:space="0"/>
            </w:tcBorders>
            <w:vAlign w:val="center"/>
          </w:tcPr>
          <w:p w14:paraId="06E5A52C">
            <w:pPr>
              <w:spacing w:line="360" w:lineRule="auto"/>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rPr>
              <w:t>招标代理服务费的收取标准：</w:t>
            </w:r>
            <w:r>
              <w:rPr>
                <w:rFonts w:hint="eastAsia" w:cs="Arial" w:asciiTheme="minorEastAsia" w:hAnsiTheme="minorEastAsia" w:eastAsiaTheme="minorEastAsia"/>
                <w:color w:val="auto"/>
                <w:kern w:val="0"/>
                <w:sz w:val="24"/>
                <w:highlight w:val="none"/>
                <w:lang w:val="en-US" w:eastAsia="zh-CN"/>
              </w:rPr>
              <w:t>采购代理向标项一中标人收取招标代理服务费20350.00元；向标项二中标人收取招标代理服务费19010.00元。</w:t>
            </w:r>
          </w:p>
          <w:p w14:paraId="5E0D2366">
            <w:pPr>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备注：（1）中标服务费按差额定率累进法计算；（2）中标服务费只收现金、银行票汇款、电汇款。</w:t>
            </w:r>
          </w:p>
          <w:p w14:paraId="7BA6BD4B">
            <w:pPr>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备注：中标服务费只收现金、银行票汇款、电汇款。汇入以下账户：</w:t>
            </w:r>
          </w:p>
          <w:p w14:paraId="706BF2A4">
            <w:pPr>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开户银行： 宁波银行科技支行</w:t>
            </w:r>
          </w:p>
          <w:p w14:paraId="455FD09E">
            <w:pPr>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账    号： 31010122000005488</w:t>
            </w:r>
          </w:p>
          <w:p w14:paraId="68476F60">
            <w:pPr>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户    名： 宁波中基国际招标有限公司</w:t>
            </w:r>
          </w:p>
        </w:tc>
      </w:tr>
    </w:tbl>
    <w:p w14:paraId="45A14E99">
      <w:pPr>
        <w:snapToGrid w:val="0"/>
        <w:spacing w:line="360" w:lineRule="auto"/>
        <w:jc w:val="center"/>
        <w:rPr>
          <w:rFonts w:ascii="宋体" w:hAnsi="宋体" w:cs="宋体"/>
          <w:b/>
          <w:color w:val="auto"/>
          <w:sz w:val="32"/>
          <w:szCs w:val="20"/>
        </w:rPr>
      </w:pPr>
    </w:p>
    <w:bookmarkEnd w:id="10"/>
    <w:p w14:paraId="036EADC7">
      <w:pPr>
        <w:adjustRightInd/>
        <w:spacing w:line="360" w:lineRule="auto"/>
        <w:ind w:firstLine="3845" w:firstLineChars="1197"/>
        <w:outlineLvl w:val="0"/>
        <w:rPr>
          <w:rFonts w:hint="eastAsia" w:ascii="宋体" w:hAnsi="宋体" w:cs="宋体"/>
          <w:b/>
          <w:color w:val="auto"/>
          <w:sz w:val="32"/>
          <w:szCs w:val="20"/>
        </w:rPr>
      </w:pPr>
      <w:bookmarkStart w:id="14" w:name="_Toc13593"/>
      <w:bookmarkStart w:id="15" w:name="_Toc164416483"/>
      <w:bookmarkStart w:id="16" w:name="第三部分"/>
    </w:p>
    <w:p w14:paraId="6EE54569">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bookmarkEnd w:id="14"/>
    </w:p>
    <w:p w14:paraId="57B8D4C6">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61C667F1">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05CC7A05">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w:t>
      </w:r>
      <w:bookmarkStart w:id="17" w:name="_Toc3683"/>
      <w:r>
        <w:rPr>
          <w:rFonts w:hint="eastAsia" w:ascii="宋体" w:hAnsi="宋体" w:cs="宋体"/>
          <w:b/>
          <w:color w:val="auto"/>
          <w:sz w:val="24"/>
        </w:rPr>
        <w:t>2.定义</w:t>
      </w:r>
      <w:bookmarkEnd w:id="17"/>
    </w:p>
    <w:p w14:paraId="1EC99F0F">
      <w:pPr>
        <w:spacing w:line="360" w:lineRule="auto"/>
        <w:ind w:firstLine="480" w:firstLineChars="200"/>
        <w:rPr>
          <w:rFonts w:ascii="宋体" w:hAnsi="宋体" w:cs="宋体"/>
          <w:color w:val="auto"/>
          <w:sz w:val="24"/>
        </w:rPr>
      </w:pPr>
      <w:r>
        <w:rPr>
          <w:rFonts w:hint="eastAsia" w:ascii="宋体" w:hAnsi="宋体" w:cs="宋体"/>
          <w:color w:val="auto"/>
          <w:sz w:val="24"/>
        </w:rPr>
        <w:t>2.1 “</w:t>
      </w:r>
      <w:r>
        <w:rPr>
          <w:rFonts w:hint="eastAsia" w:ascii="宋体" w:hAnsi="宋体" w:cs="宋体"/>
          <w:color w:val="auto"/>
          <w:sz w:val="24"/>
          <w:lang w:eastAsia="zh-CN"/>
        </w:rPr>
        <w:t>招标人</w:t>
      </w:r>
      <w:r>
        <w:rPr>
          <w:rFonts w:hint="eastAsia" w:ascii="宋体" w:hAnsi="宋体" w:cs="宋体"/>
          <w:color w:val="auto"/>
          <w:sz w:val="24"/>
        </w:rPr>
        <w:t>”系指招标公告中载明的本项目的</w:t>
      </w:r>
      <w:r>
        <w:rPr>
          <w:rFonts w:hint="eastAsia" w:ascii="宋体" w:hAnsi="宋体" w:cs="宋体"/>
          <w:color w:val="auto"/>
          <w:sz w:val="24"/>
          <w:lang w:eastAsia="zh-CN"/>
        </w:rPr>
        <w:t>招标人</w:t>
      </w:r>
      <w:r>
        <w:rPr>
          <w:rFonts w:hint="eastAsia" w:ascii="宋体" w:hAnsi="宋体" w:cs="宋体"/>
          <w:color w:val="auto"/>
          <w:sz w:val="24"/>
        </w:rPr>
        <w:t>。</w:t>
      </w:r>
    </w:p>
    <w:p w14:paraId="1FA4947F">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22D2B855">
      <w:pPr>
        <w:spacing w:line="360" w:lineRule="auto"/>
        <w:ind w:firstLine="480" w:firstLineChars="200"/>
        <w:rPr>
          <w:rFonts w:ascii="宋体" w:hAnsi="宋体" w:cs="宋体"/>
          <w:color w:val="auto"/>
          <w:sz w:val="24"/>
        </w:rPr>
      </w:pPr>
      <w:r>
        <w:rPr>
          <w:rFonts w:hint="eastAsia" w:ascii="宋体" w:hAnsi="宋体" w:cs="宋体"/>
          <w:color w:val="auto"/>
          <w:sz w:val="24"/>
        </w:rPr>
        <w:t>2.3 “</w:t>
      </w:r>
      <w:r>
        <w:rPr>
          <w:rFonts w:hint="eastAsia" w:ascii="宋体" w:hAnsi="宋体" w:cs="宋体"/>
          <w:color w:val="auto"/>
          <w:sz w:val="24"/>
          <w:lang w:eastAsia="zh-CN"/>
        </w:rPr>
        <w:t>供应商</w:t>
      </w:r>
      <w:r>
        <w:rPr>
          <w:rFonts w:hint="eastAsia" w:ascii="宋体" w:hAnsi="宋体" w:cs="宋体"/>
          <w:color w:val="auto"/>
          <w:sz w:val="24"/>
        </w:rPr>
        <w:t>”系指是指响应招标、参加投标竞争的法人、其他组织或者自然人。</w:t>
      </w:r>
    </w:p>
    <w:p w14:paraId="7DF5509C">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7163ED0B">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C593A6">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2FF9ECAE">
      <w:pPr>
        <w:spacing w:line="360" w:lineRule="auto"/>
        <w:ind w:firstLine="480" w:firstLineChars="200"/>
        <w:rPr>
          <w:rFonts w:ascii="宋体" w:hAnsi="宋体" w:cs="宋体"/>
          <w:color w:val="auto"/>
          <w:sz w:val="24"/>
        </w:rPr>
      </w:pPr>
      <w:r>
        <w:rPr>
          <w:rFonts w:hint="eastAsia" w:ascii="宋体" w:hAnsi="宋体" w:cs="宋体"/>
          <w:color w:val="auto"/>
          <w:sz w:val="24"/>
        </w:rPr>
        <w:t>2.7 “</w:t>
      </w:r>
      <w:r>
        <w:rPr>
          <w:rFonts w:hint="eastAsia" w:ascii="宋体" w:hAnsi="宋体" w:cs="宋体"/>
          <w:color w:val="auto"/>
          <w:sz w:val="24"/>
          <w:lang w:eastAsia="zh-CN"/>
        </w:rPr>
        <w:t>★</w:t>
      </w:r>
      <w:r>
        <w:rPr>
          <w:rFonts w:hint="eastAsia" w:ascii="宋体" w:hAnsi="宋体" w:cs="宋体"/>
          <w:color w:val="auto"/>
          <w:sz w:val="24"/>
        </w:rPr>
        <w:t>” 系指实质性要求条款，“</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27BAC73F">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67E772A8">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w:t>
      </w:r>
      <w:r>
        <w:rPr>
          <w:rFonts w:hint="eastAsia" w:ascii="宋体" w:hAnsi="宋体" w:cs="宋体"/>
          <w:color w:val="auto"/>
          <w:sz w:val="24"/>
          <w:lang w:eastAsia="zh-CN"/>
        </w:rPr>
        <w:t>招标人</w:t>
      </w:r>
      <w:r>
        <w:rPr>
          <w:rFonts w:hint="eastAsia" w:ascii="宋体" w:hAnsi="宋体" w:cs="宋体"/>
          <w:color w:val="auto"/>
          <w:sz w:val="24"/>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ascii="宋体" w:hAnsi="宋体" w:cs="宋体"/>
          <w:color w:val="auto"/>
          <w:sz w:val="24"/>
          <w:lang w:eastAsia="zh-CN"/>
        </w:rPr>
        <w:t>招标人</w:t>
      </w:r>
      <w:r>
        <w:rPr>
          <w:rFonts w:hint="eastAsia" w:ascii="宋体" w:hAnsi="宋体" w:cs="宋体"/>
          <w:color w:val="auto"/>
          <w:sz w:val="24"/>
        </w:rPr>
        <w:t>、采购代理机构不会对其加以限制，仍将按照公平竞争原则实施采购）；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7AF7D113">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012235BD">
      <w:pPr>
        <w:spacing w:line="360" w:lineRule="auto"/>
        <w:ind w:firstLine="480" w:firstLineChars="200"/>
        <w:rPr>
          <w:rFonts w:ascii="宋体" w:hAnsi="宋体" w:cs="宋体"/>
          <w:b/>
          <w:color w:val="auto"/>
          <w:sz w:val="24"/>
        </w:rPr>
      </w:pPr>
      <w:r>
        <w:rPr>
          <w:rFonts w:hint="eastAsia" w:ascii="宋体" w:hAnsi="宋体" w:cs="宋体"/>
          <w:color w:val="auto"/>
          <w:sz w:val="24"/>
        </w:rPr>
        <w:t>3.2.1</w:t>
      </w:r>
      <w:r>
        <w:rPr>
          <w:rFonts w:hint="eastAsia" w:ascii="宋体" w:hAnsi="宋体" w:cs="宋体"/>
          <w:color w:val="auto"/>
          <w:sz w:val="24"/>
          <w:lang w:eastAsia="zh-CN"/>
        </w:rPr>
        <w:t>招标人</w:t>
      </w:r>
      <w:r>
        <w:rPr>
          <w:rFonts w:hint="eastAsia" w:ascii="宋体" w:hAnsi="宋体" w:cs="宋体"/>
          <w:color w:val="auto"/>
          <w:sz w:val="24"/>
        </w:rPr>
        <w:t>拟采购的产品属于品目清单范围的，</w:t>
      </w:r>
      <w:r>
        <w:rPr>
          <w:rFonts w:hint="eastAsia" w:ascii="宋体" w:hAnsi="宋体" w:cs="宋体"/>
          <w:color w:val="auto"/>
          <w:sz w:val="24"/>
          <w:lang w:eastAsia="zh-CN"/>
        </w:rPr>
        <w:t>招标人</w:t>
      </w:r>
      <w:r>
        <w:rPr>
          <w:rFonts w:hint="eastAsia" w:ascii="宋体" w:hAnsi="宋体" w:cs="宋体"/>
          <w:color w:val="auto"/>
          <w:sz w:val="24"/>
        </w:rPr>
        <w:t>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sz w:val="24"/>
          <w:lang w:eastAsia="zh-CN"/>
        </w:rPr>
        <w:t>供应商</w:t>
      </w:r>
      <w:r>
        <w:rPr>
          <w:rFonts w:hint="eastAsia" w:ascii="宋体" w:hAnsi="宋体" w:cs="宋体"/>
          <w:color w:val="auto"/>
          <w:sz w:val="24"/>
        </w:rPr>
        <w:t>须按招标文件要求提供相关产品认证证书。</w:t>
      </w:r>
      <w:r>
        <w:rPr>
          <w:rFonts w:hint="eastAsia" w:ascii="宋体" w:hAnsi="宋体" w:cs="宋体"/>
          <w:b/>
          <w:color w:val="auto"/>
          <w:sz w:val="24"/>
          <w:lang w:eastAsia="zh-CN"/>
        </w:rPr>
        <w:t>★招标人</w:t>
      </w:r>
      <w:r>
        <w:rPr>
          <w:rFonts w:hint="eastAsia" w:ascii="宋体" w:hAnsi="宋体" w:cs="宋体"/>
          <w:b/>
          <w:color w:val="auto"/>
          <w:sz w:val="24"/>
        </w:rPr>
        <w:t>拟采购的产品属于政府强制采购的节能产品品目清单范围的，</w:t>
      </w:r>
      <w:r>
        <w:rPr>
          <w:rFonts w:hint="eastAsia" w:ascii="宋体" w:hAnsi="宋体" w:cs="宋体"/>
          <w:b/>
          <w:color w:val="auto"/>
          <w:sz w:val="24"/>
          <w:lang w:eastAsia="zh-CN"/>
        </w:rPr>
        <w:t>供应商</w:t>
      </w:r>
      <w:r>
        <w:rPr>
          <w:rFonts w:hint="eastAsia" w:ascii="宋体" w:hAnsi="宋体" w:cs="宋体"/>
          <w:b/>
          <w:color w:val="auto"/>
          <w:sz w:val="24"/>
        </w:rPr>
        <w:t>相应的投标产品未获得国家确定的认证机构出具的、处于有效期之内的节能产品认证证书的，投标无效。</w:t>
      </w:r>
    </w:p>
    <w:p w14:paraId="38C29D6A">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w:t>
      </w:r>
      <w:r>
        <w:rPr>
          <w:rFonts w:hint="eastAsia" w:ascii="宋体" w:hAnsi="宋体" w:cs="宋体"/>
          <w:color w:val="auto"/>
          <w:sz w:val="24"/>
          <w:lang w:eastAsia="zh-CN"/>
        </w:rPr>
        <w:t>招标人</w:t>
      </w:r>
      <w:r>
        <w:rPr>
          <w:rFonts w:hint="eastAsia" w:ascii="宋体" w:hAnsi="宋体" w:cs="宋体"/>
          <w:color w:val="auto"/>
          <w:sz w:val="24"/>
        </w:rPr>
        <w:t>应将绿色建筑和绿色建材性能、指标等作为实质性条件纳入招标文件和合同。</w:t>
      </w:r>
    </w:p>
    <w:p w14:paraId="3623E2F3">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0638D3C">
      <w:pPr>
        <w:spacing w:line="360" w:lineRule="auto"/>
        <w:ind w:firstLine="480" w:firstLineChars="200"/>
        <w:rPr>
          <w:rFonts w:ascii="宋体" w:hAnsi="宋体" w:cs="宋体"/>
          <w:color w:val="auto"/>
          <w:sz w:val="24"/>
        </w:rPr>
      </w:pPr>
      <w:r>
        <w:rPr>
          <w:rFonts w:ascii="宋体" w:hAnsi="宋体" w:cs="宋体"/>
          <w:color w:val="auto"/>
          <w:sz w:val="24"/>
        </w:rPr>
        <w:t xml:space="preserve">3.2.4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D3EDB1F">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530D5BD2">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5B45A3A">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36D9137F">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w:t>
      </w:r>
      <w:r>
        <w:rPr>
          <w:rFonts w:hint="eastAsia" w:ascii="宋体" w:hAnsi="宋体" w:cs="宋体"/>
          <w:color w:val="auto"/>
          <w:kern w:val="0"/>
          <w:sz w:val="24"/>
          <w:lang w:eastAsia="zh-CN"/>
        </w:rPr>
        <w:t>供应商</w:t>
      </w:r>
      <w:r>
        <w:rPr>
          <w:rFonts w:hint="eastAsia" w:ascii="宋体" w:hAnsi="宋体" w:cs="宋体"/>
          <w:color w:val="auto"/>
          <w:kern w:val="0"/>
          <w:sz w:val="24"/>
        </w:rPr>
        <w:t>提供的货物、工程或者服务符合下列情形的，享受中小企业扶持政策：在服务采购项目中，服务由中小企业承接，即提供服务的人员为中小企业依照《中华人民共和国劳动合同法》订立劳动合同的从业人员。</w:t>
      </w:r>
    </w:p>
    <w:p w14:paraId="5F305E1F">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4A012CB6">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BA489BD">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51C9D9CA">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EE7CC69">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w:t>
      </w:r>
      <w:r>
        <w:rPr>
          <w:rFonts w:hint="eastAsia" w:ascii="宋体" w:hAnsi="宋体" w:cs="宋体"/>
          <w:color w:val="auto"/>
          <w:sz w:val="24"/>
          <w:lang w:eastAsia="zh-CN"/>
        </w:rPr>
        <w:t>供应商</w:t>
      </w:r>
      <w:r>
        <w:rPr>
          <w:rFonts w:hint="eastAsia" w:ascii="宋体" w:hAnsi="宋体" w:cs="宋体"/>
          <w:color w:val="auto"/>
          <w:sz w:val="24"/>
        </w:rPr>
        <w:t>应按照招标文件格式要求提供《中小企业声明函》，</w:t>
      </w:r>
      <w:r>
        <w:rPr>
          <w:rFonts w:hint="eastAsia" w:ascii="宋体" w:hAnsi="宋体" w:cs="宋体"/>
          <w:color w:val="auto"/>
          <w:sz w:val="24"/>
          <w:lang w:eastAsia="zh-CN"/>
        </w:rPr>
        <w:t>供应商</w:t>
      </w:r>
      <w:r>
        <w:rPr>
          <w:rFonts w:hint="eastAsia" w:ascii="宋体" w:hAnsi="宋体" w:cs="宋体"/>
          <w:color w:val="auto"/>
          <w:sz w:val="24"/>
        </w:rPr>
        <w:t>提供的《中小企业声明函》与实际情况不符的，不享受中小企业扶持政策。声明内容不实的，属于提供虚假材料谋取中标、成交的，依法承担法律责任。</w:t>
      </w:r>
    </w:p>
    <w:p w14:paraId="61BCB4DD">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0694C38A">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755A1BC7">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lang w:eastAsia="zh-CN"/>
        </w:rPr>
        <w:t>招标人</w:t>
      </w:r>
      <w:r>
        <w:rPr>
          <w:rFonts w:hint="eastAsia" w:ascii="宋体" w:hAnsi="宋体" w:cs="宋体"/>
          <w:color w:val="auto"/>
          <w:sz w:val="24"/>
        </w:rPr>
        <w:t>优先采购被认定为首台套产品和“制造精品”的自主创新产品。</w:t>
      </w:r>
    </w:p>
    <w:p w14:paraId="2092A0E6">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7B4E680D">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14:paraId="40EA364D">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14:paraId="5CEBE29E">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C4C78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470C1680">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招标人或者采购代理机构应当在3个工作日内对供应商依法提出的询问作出答复，但答复的内容不得涉及商业秘密。供应商提出的询问超出招标人对采购代理机构委托授权范围的，采购代理机构应当告知供应商向招标人提出。</w:t>
      </w:r>
    </w:p>
    <w:p w14:paraId="7A2C09EB">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19039FC3">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1E910CFE">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w:t>
      </w:r>
      <w:r>
        <w:rPr>
          <w:rFonts w:hint="eastAsia" w:hAnsi="宋体" w:cs="宋体"/>
          <w:color w:val="auto"/>
          <w:sz w:val="24"/>
          <w:lang w:eastAsia="zh-CN"/>
        </w:rPr>
        <w:t>招标人</w:t>
      </w:r>
      <w:r>
        <w:rPr>
          <w:rFonts w:hint="eastAsia" w:hAnsi="宋体" w:cs="宋体"/>
          <w:color w:val="auto"/>
          <w:sz w:val="24"/>
        </w:rPr>
        <w:t>或者采购代理机构提出质疑，否则，</w:t>
      </w:r>
      <w:r>
        <w:rPr>
          <w:rFonts w:hint="eastAsia" w:hAnsi="宋体" w:cs="宋体"/>
          <w:color w:val="auto"/>
          <w:sz w:val="24"/>
          <w:lang w:eastAsia="zh-CN"/>
        </w:rPr>
        <w:t>招标人</w:t>
      </w:r>
      <w:r>
        <w:rPr>
          <w:rFonts w:hint="eastAsia" w:hAnsi="宋体" w:cs="宋体"/>
          <w:color w:val="auto"/>
          <w:sz w:val="24"/>
        </w:rPr>
        <w:t>或者采购代理机构不予受理：</w:t>
      </w:r>
    </w:p>
    <w:p w14:paraId="68F09D51">
      <w:pPr>
        <w:pStyle w:val="2"/>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A8D0CD7">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6CCB34A2">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63E38A53">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5542AE58">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68DBA124">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68BFE64A">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2F8C7B29">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71E54A8C">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234ED1DB">
      <w:pPr>
        <w:pStyle w:val="888"/>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426C5E49">
      <w:pPr>
        <w:pStyle w:val="888"/>
        <w:snapToGrid w:val="0"/>
        <w:spacing w:after="240" w:afterAutospacing="0" w:line="360" w:lineRule="auto"/>
        <w:ind w:firstLine="400"/>
        <w:contextualSpacing/>
        <w:rPr>
          <w:color w:val="auto"/>
        </w:rPr>
      </w:pPr>
      <w:r>
        <w:rPr>
          <w:rFonts w:hint="eastAsia"/>
          <w:color w:val="auto"/>
        </w:rPr>
        <w:t>质疑函范本及制作说明详见附件2。</w:t>
      </w:r>
    </w:p>
    <w:p w14:paraId="469A9A6D">
      <w:pPr>
        <w:pStyle w:val="888"/>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060A6672">
      <w:pPr>
        <w:pStyle w:val="888"/>
        <w:snapToGrid w:val="0"/>
        <w:spacing w:after="240" w:afterAutospacing="0" w:line="360" w:lineRule="auto"/>
        <w:ind w:firstLine="400"/>
        <w:contextualSpacing/>
        <w:rPr>
          <w:color w:val="auto"/>
        </w:rPr>
      </w:pPr>
      <w:r>
        <w:rPr>
          <w:rFonts w:hint="eastAsia"/>
          <w:color w:val="auto"/>
          <w:lang w:val="zh-CN"/>
        </w:rPr>
        <w:t>4.3</w:t>
      </w:r>
      <w:r>
        <w:rPr>
          <w:rFonts w:hint="eastAsia"/>
          <w:color w:val="auto"/>
        </w:rPr>
        <w:t>.5</w:t>
      </w:r>
      <w:r>
        <w:rPr>
          <w:rFonts w:hint="eastAsia"/>
          <w:color w:val="auto"/>
          <w:lang w:eastAsia="zh-CN"/>
        </w:rPr>
        <w:t>招标人</w:t>
      </w:r>
      <w:r>
        <w:rPr>
          <w:rFonts w:hint="eastAsia"/>
          <w:color w:val="auto"/>
        </w:rPr>
        <w:t>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rPr>
        <w:t>根据《浙江省财政厅关于进一步加强政府采购公平竞争打造最优营商环境的通知》（浙财采监〔</w:t>
      </w:r>
      <w:r>
        <w:rPr>
          <w:rFonts w:asciiTheme="minorEastAsia" w:hAnsiTheme="minorEastAsia" w:eastAsiaTheme="minorEastAsia"/>
          <w:color w:val="auto"/>
        </w:rPr>
        <w:t>2021〕</w:t>
      </w:r>
      <w:r>
        <w:rPr>
          <w:rFonts w:hint="eastAsia" w:asciiTheme="minorEastAsia" w:hAnsiTheme="minorEastAsia" w:eastAsiaTheme="minorEastAsia"/>
          <w:color w:val="auto"/>
        </w:rPr>
        <w:t>22</w:t>
      </w:r>
      <w:r>
        <w:rPr>
          <w:rFonts w:asciiTheme="minorEastAsia" w:hAnsiTheme="minorEastAsia" w:eastAsiaTheme="minorEastAsia"/>
          <w:color w:val="auto"/>
        </w:rPr>
        <w:t>号）</w:t>
      </w:r>
      <w:r>
        <w:rPr>
          <w:rFonts w:hint="eastAsia"/>
          <w:color w:val="auto"/>
        </w:rPr>
        <w:t>,</w:t>
      </w:r>
      <w:r>
        <w:rPr>
          <w:rFonts w:hint="eastAsia"/>
          <w:color w:val="auto"/>
          <w:lang w:eastAsia="zh-CN"/>
        </w:rPr>
        <w:t>招标人</w:t>
      </w:r>
      <w:r>
        <w:rPr>
          <w:rFonts w:hint="eastAsia"/>
          <w:color w:val="auto"/>
        </w:rPr>
        <w:t>或者采购代理机构在质疑回复后5个工作日内，在浙江政府采购网的“其他公告”栏目公开质疑答复，答复内容应当完整。质疑函作为附件上传。</w:t>
      </w:r>
    </w:p>
    <w:p w14:paraId="5161F893">
      <w:pPr>
        <w:pStyle w:val="888"/>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w:t>
      </w:r>
      <w:r>
        <w:rPr>
          <w:rFonts w:hint="eastAsia"/>
          <w:color w:val="auto"/>
          <w:lang w:eastAsia="zh-CN"/>
        </w:rPr>
        <w:t>招标人</w:t>
      </w:r>
      <w:r>
        <w:rPr>
          <w:rFonts w:hint="eastAsia"/>
          <w:color w:val="auto"/>
        </w:rPr>
        <w:t>应当暂停签订合同，已经签订合同的，应当中止履行合同。</w:t>
      </w:r>
    </w:p>
    <w:p w14:paraId="23675B4E">
      <w:pPr>
        <w:pStyle w:val="888"/>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7DCB71F0">
      <w:pPr>
        <w:pStyle w:val="888"/>
        <w:snapToGrid w:val="0"/>
        <w:spacing w:after="240" w:afterAutospacing="0" w:line="360" w:lineRule="auto"/>
        <w:ind w:firstLine="400"/>
        <w:contextualSpacing/>
        <w:rPr>
          <w:color w:val="auto"/>
        </w:rPr>
      </w:pPr>
      <w:r>
        <w:rPr>
          <w:rFonts w:hint="eastAsia"/>
          <w:color w:val="auto"/>
        </w:rPr>
        <w:t>4.4.1质疑供应商对</w:t>
      </w:r>
      <w:r>
        <w:rPr>
          <w:rFonts w:hint="eastAsia"/>
          <w:color w:val="auto"/>
          <w:lang w:eastAsia="zh-CN"/>
        </w:rPr>
        <w:t>招标人</w:t>
      </w:r>
      <w:r>
        <w:rPr>
          <w:rFonts w:hint="eastAsia"/>
          <w:color w:val="auto"/>
        </w:rPr>
        <w:t>、采购代理机构的答复不满意或者</w:t>
      </w:r>
      <w:r>
        <w:rPr>
          <w:rFonts w:hint="eastAsia"/>
          <w:color w:val="auto"/>
          <w:lang w:eastAsia="zh-CN"/>
        </w:rPr>
        <w:t>招标人</w:t>
      </w:r>
      <w:r>
        <w:rPr>
          <w:rFonts w:hint="eastAsia"/>
          <w:color w:val="auto"/>
        </w:rPr>
        <w:t>、采购代理机构未在规定的时间内作出答复的，可以在答复期满后十五个工作日内向同级政府采购监督管理部门提出投诉。</w:t>
      </w:r>
    </w:p>
    <w:p w14:paraId="317168A3">
      <w:pPr>
        <w:pStyle w:val="888"/>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6C5CCC01">
      <w:pPr>
        <w:pStyle w:val="888"/>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7C1CF60F">
      <w:pPr>
        <w:pStyle w:val="888"/>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34570859">
      <w:pPr>
        <w:pStyle w:val="888"/>
        <w:snapToGrid w:val="0"/>
        <w:spacing w:after="240" w:afterAutospacing="0" w:line="360" w:lineRule="auto"/>
        <w:ind w:firstLine="400"/>
        <w:contextualSpacing/>
        <w:rPr>
          <w:color w:val="auto"/>
        </w:rPr>
      </w:pPr>
      <w:r>
        <w:rPr>
          <w:rFonts w:hint="eastAsia"/>
          <w:color w:val="auto"/>
        </w:rPr>
        <w:t>4.4.5</w:t>
      </w:r>
      <w:r>
        <w:rPr>
          <w:rFonts w:hint="eastAsia"/>
          <w:color w:val="auto"/>
          <w:lang w:val="zh-CN"/>
        </w:rPr>
        <w:t>投诉材料寄送相关信息详见《第一部分  招标公告》。</w:t>
      </w:r>
    </w:p>
    <w:p w14:paraId="034BBF50">
      <w:pPr>
        <w:pStyle w:val="888"/>
        <w:snapToGrid w:val="0"/>
        <w:spacing w:after="240" w:afterAutospacing="0" w:line="360" w:lineRule="auto"/>
        <w:ind w:firstLine="400"/>
        <w:contextualSpacing/>
        <w:rPr>
          <w:color w:val="auto"/>
        </w:rPr>
      </w:pPr>
      <w:r>
        <w:rPr>
          <w:rFonts w:hint="eastAsia"/>
          <w:color w:val="auto"/>
        </w:rPr>
        <w:t>投诉书范本及制作说明详见附件3。</w:t>
      </w:r>
    </w:p>
    <w:p w14:paraId="557F5722">
      <w:pPr>
        <w:pStyle w:val="131"/>
        <w:snapToGrid w:val="0"/>
        <w:spacing w:before="0"/>
        <w:ind w:firstLine="360"/>
        <w:rPr>
          <w:rFonts w:ascii="宋体" w:hAnsi="宋体" w:cs="宋体"/>
          <w:color w:val="auto"/>
          <w:sz w:val="18"/>
          <w:szCs w:val="18"/>
        </w:rPr>
      </w:pPr>
    </w:p>
    <w:p w14:paraId="64BF5C18">
      <w:pPr>
        <w:adjustRightInd/>
        <w:spacing w:line="360" w:lineRule="auto"/>
        <w:jc w:val="center"/>
        <w:outlineLvl w:val="0"/>
        <w:rPr>
          <w:rFonts w:ascii="宋体" w:hAnsi="宋体" w:cs="宋体"/>
          <w:b/>
          <w:color w:val="auto"/>
          <w:sz w:val="32"/>
          <w:szCs w:val="20"/>
        </w:rPr>
      </w:pPr>
      <w:bookmarkStart w:id="18" w:name="_Toc16193"/>
      <w:r>
        <w:rPr>
          <w:rFonts w:hint="eastAsia" w:ascii="宋体" w:hAnsi="宋体" w:cs="宋体"/>
          <w:b/>
          <w:color w:val="auto"/>
          <w:sz w:val="32"/>
          <w:szCs w:val="20"/>
        </w:rPr>
        <w:t>二、招标文件的构成、澄清、修改</w:t>
      </w:r>
      <w:bookmarkEnd w:id="18"/>
    </w:p>
    <w:p w14:paraId="0A80E1F9">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14:paraId="47C0EA9D">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04D74579">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05AB40AF">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w:t>
      </w:r>
      <w:r>
        <w:rPr>
          <w:rFonts w:hint="eastAsia" w:hAnsi="宋体" w:cs="宋体"/>
          <w:color w:val="auto"/>
          <w:sz w:val="24"/>
          <w:szCs w:val="24"/>
          <w:lang w:eastAsia="zh-CN"/>
        </w:rPr>
        <w:t>供应商</w:t>
      </w:r>
      <w:r>
        <w:rPr>
          <w:rFonts w:hint="eastAsia" w:hAnsi="宋体" w:cs="宋体"/>
          <w:color w:val="auto"/>
          <w:sz w:val="24"/>
          <w:szCs w:val="24"/>
        </w:rPr>
        <w:t>须知；</w:t>
      </w:r>
    </w:p>
    <w:p w14:paraId="23824F76">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392F29E5">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758E969F">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0A4E38E3">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11A18D21">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53A2C592">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14:paraId="6D9D41AC">
      <w:pPr>
        <w:pStyle w:val="131"/>
        <w:snapToGrid w:val="0"/>
        <w:spacing w:before="0"/>
        <w:ind w:firstLine="480"/>
        <w:rPr>
          <w:rFonts w:ascii="宋体" w:hAnsi="宋体" w:cs="宋体"/>
          <w:color w:val="auto"/>
        </w:rPr>
      </w:pPr>
      <w:r>
        <w:rPr>
          <w:rFonts w:hint="eastAsia" w:ascii="宋体" w:hAnsi="宋体" w:cs="宋体"/>
          <w:color w:val="auto"/>
        </w:rPr>
        <w:t>6.1已获取招标文件的潜在</w:t>
      </w:r>
      <w:r>
        <w:rPr>
          <w:rFonts w:hint="eastAsia" w:ascii="宋体" w:hAnsi="宋体" w:cs="宋体"/>
          <w:color w:val="auto"/>
          <w:lang w:eastAsia="zh-CN"/>
        </w:rPr>
        <w:t>供应商</w:t>
      </w:r>
      <w:r>
        <w:rPr>
          <w:rFonts w:hint="eastAsia" w:ascii="宋体" w:hAnsi="宋体" w:cs="宋体"/>
          <w:color w:val="auto"/>
        </w:rPr>
        <w:t>，若有问题需要澄清，应于投标截止时间前，以书面形式向采购代理机构提出。</w:t>
      </w:r>
    </w:p>
    <w:p w14:paraId="7C02FBD9">
      <w:pPr>
        <w:pStyle w:val="131"/>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w:t>
      </w:r>
      <w:r>
        <w:rPr>
          <w:rFonts w:hint="eastAsia" w:ascii="宋体" w:hAnsi="宋体" w:cs="宋体"/>
          <w:color w:val="auto"/>
          <w:lang w:eastAsia="zh-CN"/>
        </w:rPr>
        <w:t>供应商</w:t>
      </w:r>
      <w:r>
        <w:rPr>
          <w:rFonts w:hint="eastAsia" w:ascii="宋体" w:hAnsi="宋体" w:cs="宋体"/>
          <w:color w:val="auto"/>
        </w:rPr>
        <w:t>。依法应当公告的，将按规定公告，同时视情况延长投标截止时间和开标时间。该澄清或者修改的内容为招标文件的组成部分。</w:t>
      </w:r>
    </w:p>
    <w:p w14:paraId="30D83B18">
      <w:pPr>
        <w:pStyle w:val="23"/>
        <w:rPr>
          <w:rFonts w:hAnsi="宋体" w:cs="宋体"/>
          <w:color w:val="auto"/>
          <w:sz w:val="18"/>
          <w:szCs w:val="18"/>
          <w:lang w:val="en-US"/>
        </w:rPr>
      </w:pPr>
      <w:r>
        <w:rPr>
          <w:rFonts w:hint="eastAsia" w:hAnsi="宋体" w:cs="宋体"/>
          <w:color w:val="auto"/>
          <w:szCs w:val="24"/>
          <w:lang w:val="en-US"/>
        </w:rPr>
        <w:t xml:space="preserve">    </w:t>
      </w:r>
    </w:p>
    <w:p w14:paraId="088E6C3A">
      <w:pPr>
        <w:adjustRightInd/>
        <w:spacing w:line="360" w:lineRule="auto"/>
        <w:jc w:val="center"/>
        <w:outlineLvl w:val="0"/>
        <w:rPr>
          <w:rFonts w:ascii="宋体" w:hAnsi="宋体" w:cs="宋体"/>
          <w:b/>
          <w:color w:val="auto"/>
          <w:sz w:val="30"/>
          <w:szCs w:val="20"/>
        </w:rPr>
      </w:pPr>
      <w:bookmarkStart w:id="19" w:name="_Toc20198"/>
      <w:r>
        <w:rPr>
          <w:rFonts w:hint="eastAsia" w:ascii="宋体" w:hAnsi="宋体" w:cs="宋体"/>
          <w:b/>
          <w:color w:val="auto"/>
          <w:sz w:val="30"/>
          <w:szCs w:val="20"/>
        </w:rPr>
        <w:t>三、投标</w:t>
      </w:r>
      <w:bookmarkEnd w:id="19"/>
    </w:p>
    <w:p w14:paraId="00C60623">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14:paraId="11966457">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56416FA1">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4F439434">
      <w:pPr>
        <w:pStyle w:val="33"/>
        <w:spacing w:line="360" w:lineRule="auto"/>
        <w:ind w:firstLine="480" w:firstLineChars="200"/>
        <w:rPr>
          <w:rFonts w:hAnsi="宋体" w:cs="宋体"/>
          <w:color w:val="auto"/>
          <w:sz w:val="24"/>
          <w:szCs w:val="24"/>
        </w:rPr>
      </w:pPr>
      <w:r>
        <w:rPr>
          <w:rFonts w:hint="eastAsia" w:hAnsi="宋体" w:cs="宋体"/>
          <w:color w:val="auto"/>
          <w:sz w:val="24"/>
          <w:szCs w:val="24"/>
          <w:lang w:eastAsia="zh-CN"/>
        </w:rPr>
        <w:t>招标人</w:t>
      </w:r>
      <w:r>
        <w:rPr>
          <w:rFonts w:hint="eastAsia" w:hAnsi="宋体" w:cs="宋体"/>
          <w:color w:val="auto"/>
          <w:sz w:val="24"/>
          <w:szCs w:val="24"/>
        </w:rPr>
        <w:t>组织潜在</w:t>
      </w:r>
      <w:r>
        <w:rPr>
          <w:rFonts w:hint="eastAsia" w:hAnsi="宋体" w:cs="宋体"/>
          <w:color w:val="auto"/>
          <w:sz w:val="24"/>
          <w:szCs w:val="24"/>
          <w:lang w:eastAsia="zh-CN"/>
        </w:rPr>
        <w:t>供应商</w:t>
      </w:r>
      <w:r>
        <w:rPr>
          <w:rFonts w:hint="eastAsia" w:hAnsi="宋体" w:cs="宋体"/>
          <w:color w:val="auto"/>
          <w:sz w:val="24"/>
          <w:szCs w:val="24"/>
        </w:rPr>
        <w:t>现场考察或者召开开标前答疑会的，潜在</w:t>
      </w:r>
      <w:r>
        <w:rPr>
          <w:rFonts w:hint="eastAsia" w:hAnsi="宋体" w:cs="宋体"/>
          <w:color w:val="auto"/>
          <w:sz w:val="24"/>
          <w:szCs w:val="24"/>
          <w:lang w:eastAsia="zh-CN"/>
        </w:rPr>
        <w:t>供应商</w:t>
      </w:r>
      <w:r>
        <w:rPr>
          <w:rFonts w:hint="eastAsia" w:hAnsi="宋体" w:cs="宋体"/>
          <w:color w:val="auto"/>
          <w:sz w:val="24"/>
          <w:szCs w:val="24"/>
        </w:rPr>
        <w:t>按第二部分</w:t>
      </w:r>
      <w:r>
        <w:rPr>
          <w:rFonts w:hint="eastAsia" w:hAnsi="宋体" w:cs="宋体"/>
          <w:color w:val="auto"/>
          <w:sz w:val="24"/>
          <w:szCs w:val="24"/>
          <w:lang w:eastAsia="zh-CN"/>
        </w:rPr>
        <w:t>供应商</w:t>
      </w:r>
      <w:r>
        <w:rPr>
          <w:rFonts w:hint="eastAsia" w:hAnsi="宋体" w:cs="宋体"/>
          <w:color w:val="auto"/>
          <w:sz w:val="24"/>
          <w:szCs w:val="24"/>
        </w:rPr>
        <w:t>须知前附表的规定参加现场考察或者开标前答疑会。</w:t>
      </w:r>
    </w:p>
    <w:p w14:paraId="6173FB79">
      <w:pPr>
        <w:pStyle w:val="33"/>
        <w:spacing w:line="360" w:lineRule="auto"/>
        <w:rPr>
          <w:rFonts w:hAnsi="宋体" w:cs="宋体"/>
          <w:b/>
          <w:color w:val="auto"/>
          <w:szCs w:val="24"/>
        </w:rPr>
      </w:pPr>
      <w:r>
        <w:rPr>
          <w:rFonts w:hint="eastAsia" w:hAnsi="宋体" w:cs="宋体"/>
          <w:b/>
          <w:color w:val="auto"/>
          <w:kern w:val="28"/>
          <w:sz w:val="24"/>
          <w:szCs w:val="24"/>
        </w:rPr>
        <w:t>9.投标保证金</w:t>
      </w:r>
    </w:p>
    <w:p w14:paraId="013CB9B6">
      <w:pPr>
        <w:pStyle w:val="2"/>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D0B3F79">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14:paraId="6E92A4B5">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w:t>
      </w:r>
      <w:r>
        <w:rPr>
          <w:rFonts w:hint="eastAsia" w:ascii="宋体" w:hAnsi="宋体" w:cs="宋体"/>
          <w:color w:val="auto"/>
          <w:sz w:val="24"/>
          <w:lang w:eastAsia="zh-CN"/>
        </w:rPr>
        <w:t>供应商</w:t>
      </w:r>
      <w:r>
        <w:rPr>
          <w:rFonts w:hint="eastAsia" w:ascii="宋体" w:hAnsi="宋体" w:cs="宋体"/>
          <w:color w:val="auto"/>
          <w:sz w:val="24"/>
        </w:rPr>
        <w:t>与采购有关的来往通知、函件和文件均应使用中文。</w:t>
      </w:r>
    </w:p>
    <w:p w14:paraId="42F9D31C">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14:paraId="045D33E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6D0234B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11.1.1符合参加政府采购活动应当具备的一般条件的承诺函；</w:t>
      </w:r>
    </w:p>
    <w:p w14:paraId="67960CC6">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11.1.2联合协议（如果有)；</w:t>
      </w:r>
    </w:p>
    <w:p w14:paraId="314B80AC">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11.1.3落实政府采购政策需满足的资格要求（如果有)；</w:t>
      </w:r>
    </w:p>
    <w:p w14:paraId="219CA1C0">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11.1.4本项目的特定资格要求（如果有)。</w:t>
      </w:r>
    </w:p>
    <w:p w14:paraId="2CBFFA62">
      <w:pPr>
        <w:snapToGrid w:val="0"/>
        <w:spacing w:line="360" w:lineRule="auto"/>
        <w:ind w:firstLine="960" w:firstLineChars="4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11.1.5中小企业声明函。</w:t>
      </w:r>
    </w:p>
    <w:p w14:paraId="03AE325B">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14A321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3E1C14B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1564A6E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FE6539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7B146F7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5A5D22E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商务技术偏离表；</w:t>
      </w:r>
    </w:p>
    <w:p w14:paraId="1B047217">
      <w:pPr>
        <w:snapToGrid w:val="0"/>
        <w:spacing w:line="360" w:lineRule="auto"/>
        <w:ind w:firstLine="960" w:firstLineChars="400"/>
        <w:rPr>
          <w:rFonts w:hint="eastAsia"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p>
    <w:p w14:paraId="1A71565D">
      <w:pPr>
        <w:snapToGrid w:val="0"/>
        <w:spacing w:line="360" w:lineRule="auto"/>
        <w:ind w:firstLine="960" w:firstLineChars="400"/>
        <w:rPr>
          <w:rFonts w:hint="default" w:ascii="宋体" w:hAnsi="宋体" w:eastAsia="宋体" w:cs="宋体"/>
          <w:color w:val="auto"/>
          <w:sz w:val="24"/>
          <w:lang w:val="en-US" w:eastAsia="zh-CN"/>
        </w:rPr>
      </w:pPr>
      <w:r>
        <w:rPr>
          <w:rFonts w:hint="eastAsia" w:ascii="宋体" w:hAnsi="宋体" w:cs="宋体"/>
          <w:color w:val="auto"/>
          <w:sz w:val="24"/>
          <w:lang w:val="zh-CN"/>
        </w:rPr>
        <w:t>11.2.</w:t>
      </w:r>
      <w:r>
        <w:rPr>
          <w:rFonts w:hint="eastAsia" w:ascii="宋体" w:hAnsi="宋体" w:cs="宋体"/>
          <w:color w:val="auto"/>
          <w:sz w:val="24"/>
          <w:lang w:val="en-US" w:eastAsia="zh-CN"/>
        </w:rPr>
        <w:t>8承诺函。</w:t>
      </w:r>
    </w:p>
    <w:p w14:paraId="3E3FD7CA">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3DAE9DD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21F699E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2</w:t>
      </w:r>
      <w:r>
        <w:rPr>
          <w:rFonts w:hint="eastAsia" w:ascii="宋体" w:hAnsi="宋体" w:cs="宋体"/>
          <w:color w:val="auto"/>
          <w:sz w:val="24"/>
        </w:rPr>
        <w:t>投标分项报价表。</w:t>
      </w:r>
    </w:p>
    <w:p w14:paraId="42403302">
      <w:pPr>
        <w:snapToGrid w:val="0"/>
        <w:spacing w:beforeLines="0" w:afterLines="0" w:line="360" w:lineRule="auto"/>
        <w:ind w:firstLine="960" w:firstLineChars="400"/>
        <w:rPr>
          <w:rFonts w:hint="default" w:ascii="宋体" w:hAnsi="宋体" w:cs="宋体"/>
          <w:color w:val="auto"/>
          <w:sz w:val="24"/>
          <w:szCs w:val="24"/>
        </w:rPr>
      </w:pPr>
      <w:bookmarkStart w:id="20" w:name="_Toc28654"/>
      <w:r>
        <w:rPr>
          <w:rFonts w:hint="default" w:ascii="宋体" w:hAnsi="宋体" w:cs="宋体"/>
          <w:color w:val="auto"/>
          <w:sz w:val="24"/>
          <w:szCs w:val="24"/>
        </w:rPr>
        <w:t>11.3.3报价情况说明（如供应商报价低于项目预算50%的，应当提交本文档，详细阐述不影响产品质量或者诚信履约的具体原因。</w:t>
      </w:r>
    </w:p>
    <w:p w14:paraId="2FBE48E3">
      <w:pPr>
        <w:spacing w:beforeLines="0" w:afterLines="0" w:line="360" w:lineRule="auto"/>
        <w:ind w:firstLine="723" w:firstLineChars="300"/>
        <w:rPr>
          <w:rFonts w:hint="default" w:ascii="宋体" w:hAnsi="宋体" w:cs="宋体"/>
          <w:b/>
          <w:color w:val="auto"/>
          <w:sz w:val="24"/>
          <w:szCs w:val="24"/>
        </w:rPr>
      </w:pPr>
      <w:r>
        <w:rPr>
          <w:rFonts w:hint="default" w:ascii="宋体" w:hAnsi="宋体" w:cs="宋体"/>
          <w:b/>
          <w:color w:val="auto"/>
          <w:sz w:val="24"/>
          <w:szCs w:val="24"/>
        </w:rPr>
        <w:t>投标文件含有招标人不能接受的附加条件的，投标无效；</w:t>
      </w:r>
    </w:p>
    <w:p w14:paraId="7B042707">
      <w:pPr>
        <w:spacing w:beforeLines="0" w:afterLines="0" w:line="360" w:lineRule="auto"/>
        <w:ind w:firstLine="723" w:firstLineChars="300"/>
        <w:rPr>
          <w:rFonts w:hint="default" w:ascii="宋体" w:hAnsi="宋体" w:cs="宋体"/>
          <w:b/>
          <w:color w:val="auto"/>
          <w:sz w:val="24"/>
          <w:szCs w:val="24"/>
        </w:rPr>
      </w:pPr>
      <w:r>
        <w:rPr>
          <w:rFonts w:hint="default" w:ascii="宋体" w:hAnsi="宋体" w:cs="宋体"/>
          <w:b/>
          <w:color w:val="auto"/>
          <w:sz w:val="24"/>
          <w:szCs w:val="24"/>
        </w:rPr>
        <w:t>供应商提供虚假材料投标的，投标无效。</w:t>
      </w:r>
    </w:p>
    <w:p w14:paraId="773E2C32">
      <w:pPr>
        <w:spacing w:beforeLines="0" w:afterLines="0" w:line="360" w:lineRule="auto"/>
        <w:ind w:firstLine="723" w:firstLineChars="300"/>
        <w:rPr>
          <w:rFonts w:hint="default" w:ascii="宋体" w:hAnsi="宋体" w:cs="宋体"/>
          <w:b/>
          <w:color w:val="auto"/>
          <w:sz w:val="24"/>
          <w:szCs w:val="21"/>
        </w:rPr>
      </w:pPr>
      <w:r>
        <w:rPr>
          <w:rFonts w:hint="default" w:ascii="宋体" w:hAnsi="宋体" w:cs="宋体"/>
          <w:b/>
          <w:sz w:val="24"/>
          <w:szCs w:val="24"/>
        </w:rPr>
        <w:t>注：</w:t>
      </w:r>
      <w:r>
        <w:rPr>
          <w:rFonts w:hint="eastAsia" w:ascii="宋体" w:hAnsi="宋体" w:cs="宋体"/>
          <w:b/>
          <w:sz w:val="24"/>
          <w:szCs w:val="24"/>
          <w:lang w:val="en-US" w:eastAsia="zh-CN"/>
        </w:rPr>
        <w:t>供应商</w:t>
      </w:r>
      <w:r>
        <w:rPr>
          <w:rFonts w:hint="default" w:ascii="宋体" w:hAnsi="宋体" w:cs="宋体"/>
          <w:b/>
          <w:sz w:val="24"/>
          <w:szCs w:val="24"/>
        </w:rPr>
        <w:t>可事先在公开官网查询、核对相关证书和报告内容，确保投标（响应）文件资料准确无误。</w:t>
      </w:r>
      <w:r>
        <w:rPr>
          <w:rFonts w:hint="default" w:ascii="宋体" w:hAnsi="宋体" w:cs="宋体"/>
          <w:b/>
          <w:sz w:val="24"/>
          <w:szCs w:val="24"/>
          <w:lang w:val="en-US" w:eastAsia="zh-CN"/>
        </w:rPr>
        <w:t>供应商</w:t>
      </w:r>
      <w:r>
        <w:rPr>
          <w:rFonts w:hint="default" w:ascii="宋体" w:hAnsi="宋体" w:cs="宋体"/>
          <w:b/>
          <w:sz w:val="24"/>
          <w:szCs w:val="24"/>
        </w:rPr>
        <w:t>应对投标文件中材料的真实性、合法性负责。</w:t>
      </w:r>
    </w:p>
    <w:p w14:paraId="2FB6DFD9">
      <w:pPr>
        <w:pStyle w:val="13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bookmarkEnd w:id="20"/>
    </w:p>
    <w:p w14:paraId="4CA0B040">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07970CB6">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016958C8">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75BB1577">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5A93A9E5">
      <w:pPr>
        <w:pStyle w:val="131"/>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lang w:eastAsia="zh-CN"/>
        </w:rPr>
        <w:t>★供应商</w:t>
      </w:r>
      <w:r>
        <w:rPr>
          <w:rFonts w:hint="eastAsia" w:ascii="宋体" w:hAnsi="宋体" w:cs="宋体"/>
          <w:b/>
          <w:color w:val="auto"/>
        </w:rPr>
        <w:t>的投标文件未按照招标文件要求签署、盖章的，其投标无效</w:t>
      </w:r>
      <w:r>
        <w:rPr>
          <w:rFonts w:hint="eastAsia" w:ascii="宋体" w:hAnsi="宋体" w:cs="宋体"/>
          <w:color w:val="auto"/>
          <w:szCs w:val="24"/>
        </w:rPr>
        <w:t>。</w:t>
      </w:r>
    </w:p>
    <w:p w14:paraId="304574C3">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w:t>
      </w:r>
      <w:r>
        <w:rPr>
          <w:rFonts w:hint="eastAsia" w:ascii="宋体" w:hAnsi="宋体" w:cs="宋体"/>
          <w:color w:val="auto"/>
          <w:lang w:eastAsia="zh-CN"/>
        </w:rPr>
        <w:t>供应商</w:t>
      </w:r>
      <w:r>
        <w:rPr>
          <w:rFonts w:hint="eastAsia" w:ascii="宋体" w:hAnsi="宋体" w:cs="宋体"/>
          <w:color w:val="auto"/>
        </w:rPr>
        <w:t>应当在投标截止时间前完成在“政府采购云平台”的身份认证，确保在电子投标过程中能够对相关数据电文进行加密和使用电子签名。</w:t>
      </w:r>
    </w:p>
    <w:p w14:paraId="29C30EEB">
      <w:pPr>
        <w:pStyle w:val="131"/>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50F35EFF">
      <w:pPr>
        <w:pStyle w:val="131"/>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7970F776">
      <w:pPr>
        <w:pStyle w:val="131"/>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FABC22">
      <w:pPr>
        <w:pStyle w:val="131"/>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4873A5AF">
      <w:pPr>
        <w:pStyle w:val="131"/>
        <w:spacing w:before="0"/>
        <w:ind w:firstLine="480"/>
        <w:rPr>
          <w:rFonts w:ascii="宋体" w:hAnsi="宋体" w:cs="宋体"/>
          <w:color w:val="auto"/>
          <w:szCs w:val="24"/>
        </w:rPr>
      </w:pPr>
      <w:r>
        <w:rPr>
          <w:rFonts w:hint="eastAsia" w:ascii="宋体" w:hAnsi="宋体" w:cs="宋体"/>
          <w:color w:val="auto"/>
          <w:szCs w:val="24"/>
        </w:rPr>
        <w:t>14.3</w:t>
      </w:r>
      <w:r>
        <w:rPr>
          <w:rFonts w:hint="eastAsia" w:ascii="宋体" w:hAnsi="宋体" w:cs="宋体"/>
          <w:color w:val="auto"/>
          <w:szCs w:val="24"/>
          <w:lang w:eastAsia="zh-CN"/>
        </w:rPr>
        <w:t>招标人</w:t>
      </w:r>
      <w:r>
        <w:rPr>
          <w:rFonts w:hint="eastAsia" w:ascii="宋体" w:hAnsi="宋体" w:cs="宋体"/>
          <w:color w:val="auto"/>
          <w:szCs w:val="24"/>
        </w:rPr>
        <w:t>、采购代理机构可以视情况延长投标文件提交的截止时间。在上述情况下，采购代理机构与</w:t>
      </w:r>
      <w:r>
        <w:rPr>
          <w:rFonts w:hint="eastAsia" w:ascii="宋体" w:hAnsi="宋体" w:cs="宋体"/>
          <w:color w:val="auto"/>
          <w:szCs w:val="24"/>
          <w:lang w:eastAsia="zh-CN"/>
        </w:rPr>
        <w:t>供应商</w:t>
      </w:r>
      <w:r>
        <w:rPr>
          <w:rFonts w:hint="eastAsia" w:ascii="宋体" w:hAnsi="宋体" w:cs="宋体"/>
          <w:color w:val="auto"/>
          <w:szCs w:val="24"/>
        </w:rPr>
        <w:t>以前在投标截止期方面的全部权利、责任和义务，将适用于延长至新的投标截止期。</w:t>
      </w:r>
    </w:p>
    <w:p w14:paraId="46A4D02C">
      <w:pPr>
        <w:pStyle w:val="33"/>
        <w:spacing w:line="360" w:lineRule="auto"/>
        <w:rPr>
          <w:rFonts w:hAnsi="宋体" w:cs="宋体"/>
          <w:b/>
          <w:color w:val="auto"/>
          <w:sz w:val="24"/>
          <w:szCs w:val="24"/>
        </w:rPr>
      </w:pPr>
      <w:r>
        <w:rPr>
          <w:rFonts w:hint="eastAsia" w:hAnsi="宋体" w:cs="宋体"/>
          <w:b/>
          <w:color w:val="auto"/>
          <w:sz w:val="24"/>
          <w:szCs w:val="24"/>
        </w:rPr>
        <w:t>15.备份投标文件（文件后缀为：bfbs）</w:t>
      </w:r>
    </w:p>
    <w:p w14:paraId="56799902">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w:t>
      </w:r>
      <w:r>
        <w:rPr>
          <w:rFonts w:hint="eastAsia" w:hAnsi="宋体" w:cs="宋体"/>
          <w:color w:val="auto"/>
          <w:sz w:val="24"/>
          <w:szCs w:val="24"/>
          <w:lang w:eastAsia="zh-CN"/>
        </w:rPr>
        <w:t>供应商</w:t>
      </w:r>
      <w:r>
        <w:rPr>
          <w:rFonts w:hint="eastAsia" w:hAnsi="宋体" w:cs="宋体"/>
          <w:color w:val="auto"/>
          <w:sz w:val="24"/>
          <w:szCs w:val="24"/>
        </w:rPr>
        <w:t>在电子交易平台传输递交投标文件后，还可以在投标截止时间前直接提交或者以邮政快递方式递交备份投标文件1份，</w:t>
      </w:r>
      <w:r>
        <w:rPr>
          <w:rFonts w:hint="eastAsia" w:hAnsi="宋体" w:cs="宋体"/>
          <w:b/>
          <w:color w:val="auto"/>
          <w:sz w:val="24"/>
          <w:szCs w:val="24"/>
        </w:rPr>
        <w:t>但</w:t>
      </w:r>
      <w:r>
        <w:rPr>
          <w:rFonts w:hint="eastAsia" w:hAnsi="宋体" w:cs="宋体"/>
          <w:b/>
          <w:color w:val="auto"/>
          <w:sz w:val="24"/>
          <w:szCs w:val="24"/>
          <w:lang w:eastAsia="zh-CN"/>
        </w:rPr>
        <w:t>招标人</w:t>
      </w:r>
      <w:r>
        <w:rPr>
          <w:rFonts w:hint="eastAsia" w:hAnsi="宋体" w:cs="宋体"/>
          <w:b/>
          <w:color w:val="auto"/>
          <w:sz w:val="24"/>
          <w:szCs w:val="24"/>
        </w:rPr>
        <w:t>、采购代理机构不强制或变相强制</w:t>
      </w:r>
      <w:r>
        <w:rPr>
          <w:rFonts w:hint="eastAsia" w:hAnsi="宋体" w:cs="宋体"/>
          <w:b/>
          <w:color w:val="auto"/>
          <w:sz w:val="24"/>
          <w:szCs w:val="24"/>
          <w:lang w:eastAsia="zh-CN"/>
        </w:rPr>
        <w:t>供应商</w:t>
      </w:r>
      <w:r>
        <w:rPr>
          <w:rFonts w:hint="eastAsia" w:hAnsi="宋体" w:cs="宋体"/>
          <w:b/>
          <w:color w:val="auto"/>
          <w:sz w:val="24"/>
          <w:szCs w:val="24"/>
        </w:rPr>
        <w:t>提交备份投标文件。</w:t>
      </w:r>
    </w:p>
    <w:p w14:paraId="07DC1EB0">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U盘</w:t>
      </w:r>
      <w:r>
        <w:rPr>
          <w:rFonts w:hint="eastAsia" w:hAnsi="宋体" w:cs="宋体"/>
          <w:color w:val="auto"/>
          <w:sz w:val="24"/>
          <w:szCs w:val="24"/>
        </w:rPr>
        <w:t>中。备份投标文件应当密封包装并在包装上加盖公章并注明投标项目名称，</w:t>
      </w:r>
      <w:r>
        <w:rPr>
          <w:rFonts w:hint="eastAsia" w:hAnsi="宋体" w:cs="宋体"/>
          <w:color w:val="auto"/>
          <w:sz w:val="24"/>
          <w:szCs w:val="24"/>
          <w:lang w:eastAsia="zh-CN"/>
        </w:rPr>
        <w:t>供应商</w:t>
      </w:r>
      <w:r>
        <w:rPr>
          <w:rFonts w:hint="eastAsia" w:hAnsi="宋体" w:cs="宋体"/>
          <w:color w:val="auto"/>
          <w:sz w:val="24"/>
          <w:szCs w:val="24"/>
        </w:rPr>
        <w:t>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33190F53">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w:t>
      </w:r>
      <w:r>
        <w:rPr>
          <w:rFonts w:hint="eastAsia" w:hAnsi="宋体" w:cs="宋体"/>
          <w:color w:val="auto"/>
          <w:sz w:val="24"/>
          <w:szCs w:val="24"/>
          <w:lang w:eastAsia="zh-CN"/>
        </w:rPr>
        <w:t>供应商</w:t>
      </w:r>
      <w:r>
        <w:rPr>
          <w:rFonts w:hint="eastAsia" w:hAnsi="宋体" w:cs="宋体"/>
          <w:color w:val="auto"/>
          <w:sz w:val="24"/>
          <w:szCs w:val="24"/>
        </w:rPr>
        <w:t>应于投标截止时间前在</w:t>
      </w:r>
      <w:r>
        <w:rPr>
          <w:rFonts w:hint="eastAsia" w:hAnsi="宋体" w:cs="宋体"/>
          <w:snapToGrid/>
          <w:color w:val="auto"/>
          <w:sz w:val="24"/>
          <w:szCs w:val="24"/>
        </w:rPr>
        <w:t>招标文件第二部分</w:t>
      </w:r>
      <w:r>
        <w:rPr>
          <w:rFonts w:hint="eastAsia" w:hAnsi="宋体" w:cs="宋体"/>
          <w:snapToGrid/>
          <w:color w:val="auto"/>
          <w:sz w:val="24"/>
          <w:szCs w:val="24"/>
          <w:lang w:eastAsia="zh-CN"/>
        </w:rPr>
        <w:t>供应商</w:t>
      </w:r>
      <w:r>
        <w:rPr>
          <w:rFonts w:hint="eastAsia" w:hAnsi="宋体" w:cs="宋体"/>
          <w:snapToGrid/>
          <w:color w:val="auto"/>
          <w:sz w:val="24"/>
          <w:szCs w:val="24"/>
        </w:rPr>
        <w:t>须知前附表规定的备份投标文件送达地点</w:t>
      </w:r>
      <w:r>
        <w:rPr>
          <w:rFonts w:hint="eastAsia" w:hAnsi="宋体" w:cs="宋体"/>
          <w:color w:val="auto"/>
          <w:sz w:val="24"/>
          <w:szCs w:val="24"/>
        </w:rPr>
        <w:t>将备份投标文件提交给采购代理机构，采购代理机构将拒绝接受逾期送达的备份投标文件。</w:t>
      </w:r>
    </w:p>
    <w:p w14:paraId="7FB5E67C">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w:t>
      </w:r>
      <w:r>
        <w:rPr>
          <w:rFonts w:hint="eastAsia" w:hAnsi="宋体" w:cs="宋体"/>
          <w:color w:val="auto"/>
          <w:sz w:val="24"/>
          <w:szCs w:val="24"/>
          <w:lang w:eastAsia="zh-CN"/>
        </w:rPr>
        <w:t>供应商</w:t>
      </w:r>
      <w:r>
        <w:rPr>
          <w:rFonts w:hint="eastAsia" w:hAnsi="宋体" w:cs="宋体"/>
          <w:color w:val="auto"/>
          <w:sz w:val="24"/>
          <w:szCs w:val="24"/>
        </w:rPr>
        <w:t>应先将备份投标文件按要求密封和标记，再进行邮政快递包装后邮寄。备份投标文件须在</w:t>
      </w:r>
      <w:r>
        <w:rPr>
          <w:rFonts w:hint="eastAsia" w:hAnsi="宋体" w:cs="宋体"/>
          <w:snapToGrid/>
          <w:color w:val="auto"/>
          <w:sz w:val="24"/>
          <w:szCs w:val="24"/>
        </w:rPr>
        <w:t>第二部分</w:t>
      </w:r>
      <w:r>
        <w:rPr>
          <w:rFonts w:hint="eastAsia" w:hAnsi="宋体" w:cs="宋体"/>
          <w:snapToGrid/>
          <w:color w:val="auto"/>
          <w:sz w:val="24"/>
          <w:szCs w:val="24"/>
          <w:lang w:eastAsia="zh-CN"/>
        </w:rPr>
        <w:t>供应商</w:t>
      </w:r>
      <w:r>
        <w:rPr>
          <w:rFonts w:hint="eastAsia" w:hAnsi="宋体" w:cs="宋体"/>
          <w:snapToGrid/>
          <w:color w:val="auto"/>
          <w:sz w:val="24"/>
          <w:szCs w:val="24"/>
        </w:rPr>
        <w:t>须知前附表规定的备份投标文件送达</w:t>
      </w:r>
      <w:r>
        <w:rPr>
          <w:rFonts w:hint="eastAsia" w:hAnsi="宋体" w:cs="宋体"/>
          <w:color w:val="auto"/>
          <w:sz w:val="24"/>
          <w:szCs w:val="24"/>
        </w:rPr>
        <w:t>截止时间之前送达</w:t>
      </w:r>
      <w:r>
        <w:rPr>
          <w:rFonts w:hint="eastAsia" w:hAnsi="宋体" w:cs="宋体"/>
          <w:snapToGrid/>
          <w:color w:val="auto"/>
          <w:sz w:val="24"/>
          <w:szCs w:val="24"/>
        </w:rPr>
        <w:t>招标文件第二部分</w:t>
      </w:r>
      <w:r>
        <w:rPr>
          <w:rFonts w:hint="eastAsia" w:hAnsi="宋体" w:cs="宋体"/>
          <w:snapToGrid/>
          <w:color w:val="auto"/>
          <w:sz w:val="24"/>
          <w:szCs w:val="24"/>
          <w:lang w:eastAsia="zh-CN"/>
        </w:rPr>
        <w:t>供应商</w:t>
      </w:r>
      <w:r>
        <w:rPr>
          <w:rFonts w:hint="eastAsia" w:hAnsi="宋体" w:cs="宋体"/>
          <w:snapToGrid/>
          <w:color w:val="auto"/>
          <w:sz w:val="24"/>
          <w:szCs w:val="24"/>
        </w:rPr>
        <w:t>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w:t>
      </w:r>
      <w:r>
        <w:rPr>
          <w:rFonts w:hint="eastAsia" w:hAnsi="宋体" w:cs="宋体"/>
          <w:color w:val="auto"/>
          <w:sz w:val="24"/>
          <w:szCs w:val="24"/>
          <w:lang w:eastAsia="zh-CN"/>
        </w:rPr>
        <w:t>供应商</w:t>
      </w:r>
      <w:r>
        <w:rPr>
          <w:rFonts w:hint="eastAsia" w:hAnsi="宋体" w:cs="宋体"/>
          <w:color w:val="auto"/>
          <w:sz w:val="24"/>
          <w:szCs w:val="24"/>
        </w:rPr>
        <w:t>自行负责。</w:t>
      </w:r>
    </w:p>
    <w:p w14:paraId="41B10775">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w:t>
      </w:r>
      <w:r>
        <w:rPr>
          <w:rFonts w:hint="eastAsia" w:hAnsi="宋体" w:cs="宋体"/>
          <w:b/>
          <w:color w:val="auto"/>
          <w:sz w:val="24"/>
          <w:szCs w:val="24"/>
          <w:lang w:eastAsia="zh-CN"/>
        </w:rPr>
        <w:t>供应商</w:t>
      </w:r>
      <w:r>
        <w:rPr>
          <w:rFonts w:hint="eastAsia" w:hAnsi="宋体" w:cs="宋体"/>
          <w:b/>
          <w:color w:val="auto"/>
          <w:sz w:val="24"/>
          <w:szCs w:val="24"/>
        </w:rPr>
        <w:t>仅提交备份投标文件，未在电子交易平台传输递交投标文件的，投标无效。</w:t>
      </w:r>
    </w:p>
    <w:p w14:paraId="4C17FD04">
      <w:pPr>
        <w:pStyle w:val="131"/>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5FD8BB8F">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5A0AF9BE">
      <w:pPr>
        <w:pStyle w:val="131"/>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5A2E762D">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color w:val="auto"/>
          <w:sz w:val="24"/>
          <w:szCs w:val="20"/>
          <w:lang w:eastAsia="zh-CN"/>
        </w:rPr>
        <w:t>★</w:t>
      </w:r>
      <w:r>
        <w:rPr>
          <w:rFonts w:hint="eastAsia" w:ascii="宋体" w:hAnsi="宋体" w:cs="宋体"/>
          <w:b/>
          <w:color w:val="auto"/>
          <w:sz w:val="24"/>
          <w:szCs w:val="20"/>
          <w:lang w:eastAsia="zh-CN"/>
        </w:rPr>
        <w:t>供应商</w:t>
      </w:r>
      <w:r>
        <w:rPr>
          <w:rFonts w:hint="eastAsia" w:ascii="宋体" w:hAnsi="宋体" w:cs="宋体"/>
          <w:b/>
          <w:color w:val="auto"/>
          <w:sz w:val="24"/>
          <w:szCs w:val="20"/>
        </w:rPr>
        <w:t>的投标文件中承</w:t>
      </w:r>
      <w:r>
        <w:rPr>
          <w:rFonts w:hint="eastAsia" w:ascii="宋体" w:hAnsi="宋体" w:cs="宋体"/>
          <w:b/>
          <w:color w:val="auto"/>
          <w:sz w:val="24"/>
          <w:szCs w:val="21"/>
        </w:rPr>
        <w:t>诺的投标有效期少于招标文件中载明的投标有效期的，投标无效。</w:t>
      </w:r>
    </w:p>
    <w:p w14:paraId="1EE47897">
      <w:pPr>
        <w:pStyle w:val="131"/>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64EBCF57">
      <w:pPr>
        <w:pStyle w:val="131"/>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w:t>
      </w:r>
      <w:r>
        <w:rPr>
          <w:rFonts w:hint="eastAsia" w:ascii="宋体" w:hAnsi="宋体" w:cs="宋体"/>
          <w:color w:val="auto"/>
          <w:lang w:eastAsia="zh-CN"/>
        </w:rPr>
        <w:t>供应商</w:t>
      </w:r>
      <w:r>
        <w:rPr>
          <w:rFonts w:hint="eastAsia" w:ascii="宋体" w:hAnsi="宋体" w:cs="宋体"/>
          <w:color w:val="auto"/>
        </w:rPr>
        <w:t>延长投标有效期。</w:t>
      </w:r>
      <w:r>
        <w:rPr>
          <w:rFonts w:hint="eastAsia" w:ascii="宋体" w:hAnsi="宋体" w:cs="宋体"/>
          <w:color w:val="auto"/>
          <w:lang w:eastAsia="zh-CN"/>
        </w:rPr>
        <w:t>供应商</w:t>
      </w:r>
      <w:r>
        <w:rPr>
          <w:rFonts w:hint="eastAsia" w:ascii="宋体" w:hAnsi="宋体" w:cs="宋体"/>
          <w:color w:val="auto"/>
        </w:rPr>
        <w:t>同意延长的，不得要求或被允许修改其投标文件，</w:t>
      </w:r>
      <w:r>
        <w:rPr>
          <w:rFonts w:hint="eastAsia" w:ascii="宋体" w:hAnsi="宋体" w:cs="宋体"/>
          <w:color w:val="auto"/>
          <w:lang w:eastAsia="zh-CN"/>
        </w:rPr>
        <w:t>供应商</w:t>
      </w:r>
      <w:r>
        <w:rPr>
          <w:rFonts w:hint="eastAsia" w:ascii="宋体" w:hAnsi="宋体" w:cs="宋体"/>
          <w:color w:val="auto"/>
        </w:rPr>
        <w:t>拒绝延长的，其投标无效。</w:t>
      </w:r>
    </w:p>
    <w:p w14:paraId="1AB640C7">
      <w:pPr>
        <w:pStyle w:val="131"/>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10F09874">
      <w:pPr>
        <w:pStyle w:val="556"/>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72598716">
      <w:pPr>
        <w:pStyle w:val="556"/>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w:t>
      </w:r>
      <w:r>
        <w:rPr>
          <w:rFonts w:hint="eastAsia" w:ascii="宋体" w:hAnsi="宋体" w:cs="宋体"/>
          <w:color w:val="auto"/>
          <w:sz w:val="24"/>
          <w:lang w:eastAsia="zh-CN"/>
        </w:rPr>
        <w:t>供应商</w:t>
      </w:r>
      <w:r>
        <w:rPr>
          <w:rFonts w:hint="eastAsia" w:ascii="宋体" w:hAnsi="宋体" w:cs="宋体"/>
          <w:color w:val="auto"/>
          <w:sz w:val="24"/>
        </w:rPr>
        <w:t>均应当准时在线参加。</w:t>
      </w:r>
      <w:r>
        <w:rPr>
          <w:rFonts w:hint="eastAsia" w:ascii="宋体" w:hAnsi="宋体" w:cs="宋体"/>
          <w:color w:val="auto"/>
          <w:sz w:val="24"/>
          <w:lang w:eastAsia="zh-CN"/>
        </w:rPr>
        <w:t>供应商</w:t>
      </w:r>
      <w:r>
        <w:rPr>
          <w:rFonts w:hint="eastAsia" w:ascii="宋体" w:hAnsi="宋体" w:cs="宋体"/>
          <w:color w:val="auto"/>
          <w:sz w:val="24"/>
        </w:rPr>
        <w:t>不足3家的，不得开标。</w:t>
      </w:r>
    </w:p>
    <w:p w14:paraId="24838584">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w:t>
      </w:r>
      <w:r>
        <w:rPr>
          <w:rFonts w:hint="eastAsia" w:ascii="宋体" w:hAnsi="宋体" w:cs="宋体"/>
          <w:color w:val="auto"/>
          <w:sz w:val="24"/>
          <w:lang w:eastAsia="zh-CN"/>
        </w:rPr>
        <w:t>供应商</w:t>
      </w:r>
      <w:r>
        <w:rPr>
          <w:rFonts w:hint="eastAsia" w:ascii="宋体" w:hAnsi="宋体" w:cs="宋体"/>
          <w:color w:val="auto"/>
          <w:sz w:val="24"/>
        </w:rPr>
        <w:t>按照平台提示和招标文件的规定在半小时内完成在线解密。</w:t>
      </w:r>
    </w:p>
    <w:p w14:paraId="3E14E627">
      <w:pPr>
        <w:pStyle w:val="556"/>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18.2.1具体开标程序：</w:t>
      </w:r>
    </w:p>
    <w:p w14:paraId="4A9D1203">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第一阶段：</w:t>
      </w:r>
    </w:p>
    <w:p w14:paraId="4E9E5ECA">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投标截止时间后，供应商登录政府采购云平台，用“项目采购-开标评标”功能对电子投标文件进行在线解密，在线解密电子投标文件时间为开标时间后30分钟内。</w:t>
      </w:r>
    </w:p>
    <w:p w14:paraId="2725FCDA">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在政府采购云平台开启已解密供应商的“资格文件、商务技术文件”，并做开标记录；</w:t>
      </w:r>
    </w:p>
    <w:p w14:paraId="331E2D3F">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第二阶段：</w:t>
      </w:r>
    </w:p>
    <w:p w14:paraId="6AA115FC">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（1）在政府采购云平台宣告第一阶段评审无效供应商名单及理由；</w:t>
      </w:r>
    </w:p>
    <w:p w14:paraId="5ABB3B84">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（2）公布经第一阶段评审符合招标文件要求的供应商的商务技术得分情况；</w:t>
      </w:r>
    </w:p>
    <w:p w14:paraId="2CCB1ADB">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（3）在政府采购云平台开启除第一阶段无效标外的供应商的“报价文件”，并做开标记录；</w:t>
      </w:r>
    </w:p>
    <w:p w14:paraId="1BC8A725">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（4）在政府采购云平台公布评审结果。</w:t>
      </w:r>
    </w:p>
    <w:p w14:paraId="6F9CCF06">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（5）开标会议结束。</w:t>
      </w:r>
    </w:p>
    <w:p w14:paraId="4040E840">
      <w:pPr>
        <w:pStyle w:val="556"/>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w:t>
      </w:r>
      <w:r>
        <w:rPr>
          <w:rFonts w:hint="eastAsia" w:ascii="宋体" w:hAnsi="宋体" w:cs="宋体"/>
          <w:b/>
          <w:color w:val="auto"/>
          <w:sz w:val="24"/>
          <w:lang w:eastAsia="zh-CN"/>
        </w:rPr>
        <w:t>供应商</w:t>
      </w:r>
      <w:r>
        <w:rPr>
          <w:rFonts w:hint="eastAsia" w:ascii="宋体" w:hAnsi="宋体" w:cs="宋体"/>
          <w:b/>
          <w:color w:val="auto"/>
          <w:sz w:val="24"/>
        </w:rPr>
        <w:t>提供了备份投标文件的，以备份投标文件作为依据，否则视为投标文件撤回。投标文件已按时解密的，备份投标文件自动失效。</w:t>
      </w:r>
    </w:p>
    <w:p w14:paraId="6177D355">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71B6EF7F">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lang w:eastAsia="zh-CN"/>
        </w:rPr>
        <w:t>招标人</w:t>
      </w:r>
      <w:r>
        <w:rPr>
          <w:rFonts w:hint="eastAsia" w:ascii="宋体" w:hAnsi="宋体" w:cs="宋体"/>
          <w:color w:val="auto"/>
          <w:sz w:val="24"/>
        </w:rPr>
        <w:t>或采购代理机构依据法律法规和招标文件的规定，对</w:t>
      </w:r>
      <w:r>
        <w:rPr>
          <w:rFonts w:hint="eastAsia" w:ascii="宋体" w:hAnsi="宋体" w:cs="宋体"/>
          <w:color w:val="auto"/>
          <w:sz w:val="24"/>
          <w:lang w:eastAsia="zh-CN"/>
        </w:rPr>
        <w:t>供应商</w:t>
      </w:r>
      <w:r>
        <w:rPr>
          <w:rFonts w:hint="eastAsia" w:ascii="宋体" w:hAnsi="宋体" w:cs="宋体"/>
          <w:color w:val="auto"/>
          <w:sz w:val="24"/>
        </w:rPr>
        <w:t>的资格进行审查。</w:t>
      </w:r>
    </w:p>
    <w:p w14:paraId="3E289A5F">
      <w:pPr>
        <w:pStyle w:val="131"/>
        <w:spacing w:before="0"/>
        <w:ind w:firstLine="480"/>
        <w:rPr>
          <w:rFonts w:ascii="宋体" w:hAnsi="宋体" w:cs="宋体"/>
          <w:color w:val="auto"/>
        </w:rPr>
      </w:pPr>
      <w:r>
        <w:rPr>
          <w:rFonts w:hint="eastAsia" w:ascii="宋体" w:hAnsi="宋体" w:cs="宋体"/>
          <w:color w:val="auto"/>
          <w:kern w:val="0"/>
          <w:szCs w:val="24"/>
        </w:rPr>
        <w:t>19.2</w:t>
      </w:r>
      <w:r>
        <w:rPr>
          <w:rFonts w:hint="eastAsia" w:ascii="宋体" w:hAnsi="宋体" w:cs="宋体"/>
          <w:color w:val="auto"/>
          <w:kern w:val="0"/>
          <w:szCs w:val="24"/>
          <w:lang w:eastAsia="zh-CN"/>
        </w:rPr>
        <w:t>供应商</w:t>
      </w:r>
      <w:r>
        <w:rPr>
          <w:rFonts w:hint="eastAsia" w:ascii="宋体" w:hAnsi="宋体" w:cs="宋体"/>
          <w:color w:val="auto"/>
          <w:kern w:val="0"/>
          <w:szCs w:val="24"/>
        </w:rPr>
        <w:t>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lang w:eastAsia="zh-CN"/>
        </w:rPr>
        <w:t>供应商</w:t>
      </w:r>
      <w:r>
        <w:rPr>
          <w:rFonts w:hint="eastAsia" w:ascii="宋体" w:hAnsi="宋体" w:cs="宋体"/>
          <w:color w:val="auto"/>
        </w:rPr>
        <w:t>不具备招标文件中规定的资格要求，其投标无效。</w:t>
      </w:r>
    </w:p>
    <w:p w14:paraId="51D6F91C">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w:t>
      </w:r>
      <w:r>
        <w:rPr>
          <w:rFonts w:hint="eastAsia" w:ascii="宋体" w:hAnsi="宋体" w:cs="宋体"/>
          <w:color w:val="auto"/>
          <w:lang w:eastAsia="zh-CN"/>
        </w:rPr>
        <w:t>供应商</w:t>
      </w:r>
      <w:r>
        <w:rPr>
          <w:rFonts w:hint="eastAsia" w:ascii="宋体" w:hAnsi="宋体" w:cs="宋体"/>
          <w:color w:val="auto"/>
        </w:rPr>
        <w:t>，</w:t>
      </w:r>
      <w:r>
        <w:rPr>
          <w:rFonts w:hint="eastAsia" w:ascii="宋体" w:hAnsi="宋体" w:cs="宋体"/>
          <w:color w:val="auto"/>
          <w:lang w:eastAsia="zh-CN"/>
        </w:rPr>
        <w:t>招标人</w:t>
      </w:r>
      <w:r>
        <w:rPr>
          <w:rFonts w:hint="eastAsia" w:ascii="宋体" w:hAnsi="宋体" w:cs="宋体"/>
          <w:color w:val="auto"/>
        </w:rPr>
        <w:t>或采购代理机构告知其未通过的原因。</w:t>
      </w:r>
    </w:p>
    <w:p w14:paraId="27ED64DA">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w:t>
      </w:r>
      <w:r>
        <w:rPr>
          <w:rFonts w:hint="eastAsia" w:ascii="宋体" w:hAnsi="宋体" w:cs="宋体"/>
          <w:color w:val="auto"/>
          <w:lang w:eastAsia="zh-CN"/>
        </w:rPr>
        <w:t>供应商</w:t>
      </w:r>
      <w:r>
        <w:rPr>
          <w:rFonts w:hint="eastAsia" w:ascii="宋体" w:hAnsi="宋体" w:cs="宋体"/>
          <w:color w:val="auto"/>
        </w:rPr>
        <w:t>不足3家的，不再评标。</w:t>
      </w:r>
    </w:p>
    <w:p w14:paraId="6F635C3F">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2588DA66">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w:t>
      </w:r>
      <w:r>
        <w:rPr>
          <w:rFonts w:hint="eastAsia" w:ascii="宋体" w:hAnsi="宋体" w:cs="宋体"/>
          <w:color w:val="auto"/>
          <w:kern w:val="0"/>
          <w:szCs w:val="24"/>
          <w:lang w:eastAsia="zh-CN"/>
        </w:rPr>
        <w:t>供应商</w:t>
      </w:r>
      <w:r>
        <w:rPr>
          <w:rFonts w:hint="eastAsia" w:ascii="宋体" w:hAnsi="宋体" w:cs="宋体"/>
          <w:color w:val="auto"/>
          <w:kern w:val="0"/>
          <w:szCs w:val="24"/>
        </w:rPr>
        <w:t>接受资格时的信用记录。</w:t>
      </w:r>
    </w:p>
    <w:p w14:paraId="4F317766">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w:t>
      </w:r>
      <w:r>
        <w:rPr>
          <w:rFonts w:hint="eastAsia" w:ascii="宋体" w:hAnsi="宋体" w:cs="宋体"/>
          <w:color w:val="auto"/>
          <w:kern w:val="0"/>
          <w:szCs w:val="24"/>
          <w:lang w:eastAsia="zh-CN"/>
        </w:rPr>
        <w:t>供应商</w:t>
      </w:r>
      <w:r>
        <w:rPr>
          <w:rFonts w:hint="eastAsia" w:ascii="宋体" w:hAnsi="宋体" w:cs="宋体"/>
          <w:color w:val="auto"/>
          <w:kern w:val="0"/>
          <w:szCs w:val="24"/>
        </w:rPr>
        <w:t>的信用记录、查询结果经确认后将与采购文件一起存档。</w:t>
      </w:r>
    </w:p>
    <w:p w14:paraId="4EF303B2">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w:t>
      </w:r>
      <w:r>
        <w:rPr>
          <w:rFonts w:hint="eastAsia" w:ascii="宋体" w:hAnsi="宋体" w:cs="宋体"/>
          <w:color w:val="auto"/>
        </w:rPr>
        <w:t>重大税收违法失信主体</w:t>
      </w:r>
      <w:r>
        <w:rPr>
          <w:rFonts w:hint="eastAsia" w:ascii="宋体" w:hAnsi="宋体" w:cs="宋体"/>
          <w:color w:val="auto"/>
          <w:kern w:val="0"/>
          <w:szCs w:val="24"/>
        </w:rPr>
        <w:t>）、政府采购严重违法失信行为记录名单的</w:t>
      </w:r>
      <w:r>
        <w:rPr>
          <w:rFonts w:hint="eastAsia" w:ascii="宋体" w:hAnsi="宋体" w:cs="宋体"/>
          <w:color w:val="auto"/>
          <w:kern w:val="0"/>
          <w:szCs w:val="24"/>
          <w:lang w:eastAsia="zh-CN"/>
        </w:rPr>
        <w:t>供应商</w:t>
      </w:r>
      <w:r>
        <w:rPr>
          <w:rFonts w:hint="eastAsia" w:ascii="宋体" w:hAnsi="宋体" w:cs="宋体"/>
          <w:color w:val="auto"/>
          <w:kern w:val="0"/>
          <w:szCs w:val="24"/>
        </w:rPr>
        <w:t>将被拒绝参与政府采购活动。</w:t>
      </w:r>
    </w:p>
    <w:p w14:paraId="512268B8">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503ACB7D">
      <w:pPr>
        <w:pStyle w:val="131"/>
        <w:spacing w:before="0"/>
        <w:ind w:firstLine="0" w:firstLineChars="0"/>
        <w:rPr>
          <w:rFonts w:ascii="宋体" w:hAnsi="宋体" w:cs="宋体"/>
          <w:color w:val="auto"/>
          <w:kern w:val="0"/>
          <w:szCs w:val="24"/>
        </w:rPr>
      </w:pPr>
    </w:p>
    <w:p w14:paraId="1166A2C5">
      <w:pPr>
        <w:snapToGrid w:val="0"/>
        <w:spacing w:line="360" w:lineRule="auto"/>
        <w:jc w:val="center"/>
        <w:outlineLvl w:val="0"/>
        <w:rPr>
          <w:rFonts w:ascii="宋体" w:hAnsi="宋体" w:cs="宋体"/>
          <w:b/>
          <w:color w:val="auto"/>
          <w:sz w:val="36"/>
          <w:szCs w:val="36"/>
        </w:rPr>
      </w:pPr>
      <w:bookmarkStart w:id="21" w:name="_Toc14563"/>
      <w:r>
        <w:rPr>
          <w:rFonts w:hint="eastAsia" w:ascii="宋体" w:hAnsi="宋体" w:cs="宋体"/>
          <w:b/>
          <w:color w:val="auto"/>
          <w:sz w:val="36"/>
          <w:szCs w:val="36"/>
        </w:rPr>
        <w:t>五、评标</w:t>
      </w:r>
      <w:bookmarkEnd w:id="21"/>
    </w:p>
    <w:p w14:paraId="5AC19CE6">
      <w:pPr>
        <w:spacing w:line="360" w:lineRule="auto"/>
        <w:rPr>
          <w:rFonts w:ascii="宋体" w:hAnsi="宋体" w:cs="宋体"/>
          <w:b/>
          <w:color w:val="auto"/>
          <w:sz w:val="24"/>
        </w:rPr>
      </w:pPr>
      <w:bookmarkStart w:id="22"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w:t>
      </w:r>
      <w:r>
        <w:rPr>
          <w:rFonts w:hint="eastAsia" w:ascii="宋体" w:hAnsi="宋体" w:cs="宋体"/>
          <w:color w:val="auto"/>
          <w:sz w:val="24"/>
          <w:lang w:eastAsia="zh-CN"/>
        </w:rPr>
        <w:t>供应商</w:t>
      </w:r>
      <w:r>
        <w:rPr>
          <w:rFonts w:hint="eastAsia" w:ascii="宋体" w:hAnsi="宋体" w:cs="宋体"/>
          <w:color w:val="auto"/>
          <w:sz w:val="24"/>
        </w:rPr>
        <w:t>对招标文件的响应情况。对实质上响应招标文件的</w:t>
      </w:r>
      <w:r>
        <w:rPr>
          <w:rFonts w:hint="eastAsia" w:ascii="宋体" w:hAnsi="宋体" w:cs="宋体"/>
          <w:color w:val="auto"/>
          <w:sz w:val="24"/>
          <w:lang w:eastAsia="zh-CN"/>
        </w:rPr>
        <w:t>供应商</w:t>
      </w:r>
      <w:r>
        <w:rPr>
          <w:rFonts w:hint="eastAsia" w:ascii="宋体" w:hAnsi="宋体" w:cs="宋体"/>
          <w:color w:val="auto"/>
          <w:sz w:val="24"/>
        </w:rPr>
        <w:t>，按照评审因素的量化指标排出推荐中标的</w:t>
      </w:r>
      <w:r>
        <w:rPr>
          <w:rFonts w:hint="eastAsia" w:ascii="宋体" w:hAnsi="宋体" w:cs="宋体"/>
          <w:color w:val="auto"/>
          <w:sz w:val="24"/>
          <w:lang w:eastAsia="zh-CN"/>
        </w:rPr>
        <w:t>供应商</w:t>
      </w:r>
      <w:r>
        <w:rPr>
          <w:rFonts w:hint="eastAsia" w:ascii="宋体" w:hAnsi="宋体" w:cs="宋体"/>
          <w:color w:val="auto"/>
          <w:sz w:val="24"/>
        </w:rPr>
        <w:t>的先后顺序，并按顺序提出授标建议。</w:t>
      </w:r>
      <w:r>
        <w:rPr>
          <w:rFonts w:hint="eastAsia" w:ascii="宋体" w:hAnsi="宋体" w:cs="宋体"/>
          <w:b/>
          <w:color w:val="auto"/>
          <w:sz w:val="24"/>
        </w:rPr>
        <w:t>详见招标文件第四部分评标办法。</w:t>
      </w:r>
    </w:p>
    <w:p w14:paraId="2057657E">
      <w:pPr>
        <w:spacing w:line="360" w:lineRule="auto"/>
        <w:rPr>
          <w:rFonts w:ascii="宋体" w:hAnsi="宋体" w:cs="宋体"/>
          <w:b/>
          <w:color w:val="auto"/>
          <w:sz w:val="24"/>
        </w:rPr>
      </w:pPr>
    </w:p>
    <w:p w14:paraId="0F385942">
      <w:pPr>
        <w:snapToGrid w:val="0"/>
        <w:spacing w:line="360" w:lineRule="auto"/>
        <w:jc w:val="center"/>
        <w:outlineLvl w:val="0"/>
        <w:rPr>
          <w:rFonts w:ascii="宋体" w:hAnsi="宋体" w:cs="宋体"/>
          <w:b/>
          <w:color w:val="auto"/>
          <w:sz w:val="36"/>
          <w:szCs w:val="36"/>
        </w:rPr>
      </w:pPr>
      <w:bookmarkStart w:id="23" w:name="_Toc17932"/>
      <w:r>
        <w:rPr>
          <w:rFonts w:hint="eastAsia" w:ascii="宋体" w:hAnsi="宋体" w:cs="宋体"/>
          <w:b/>
          <w:color w:val="auto"/>
          <w:sz w:val="36"/>
          <w:szCs w:val="36"/>
        </w:rPr>
        <w:t>六、定 标</w:t>
      </w:r>
      <w:bookmarkEnd w:id="23"/>
    </w:p>
    <w:p w14:paraId="368AC7AA">
      <w:pPr>
        <w:pStyle w:val="25"/>
        <w:spacing w:line="360" w:lineRule="auto"/>
        <w:ind w:left="479" w:hanging="479" w:hangingChars="199"/>
        <w:rPr>
          <w:rFonts w:cs="宋体"/>
          <w:b/>
          <w:color w:val="auto"/>
        </w:rPr>
      </w:pPr>
      <w:r>
        <w:rPr>
          <w:rFonts w:hint="eastAsia" w:cs="宋体"/>
          <w:b/>
          <w:color w:val="auto"/>
        </w:rPr>
        <w:t>22. 确定中标供应商</w:t>
      </w:r>
    </w:p>
    <w:p w14:paraId="350F9AA1">
      <w:pPr>
        <w:pStyle w:val="131"/>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w:t>
      </w:r>
      <w:r>
        <w:rPr>
          <w:rFonts w:hint="eastAsia" w:ascii="宋体" w:hAnsi="宋体" w:cs="宋体"/>
          <w:color w:val="auto"/>
          <w:szCs w:val="24"/>
          <w:lang w:eastAsia="zh-CN"/>
        </w:rPr>
        <w:t>招标人</w:t>
      </w:r>
      <w:r>
        <w:rPr>
          <w:rFonts w:hint="eastAsia" w:ascii="宋体" w:hAnsi="宋体" w:cs="宋体"/>
          <w:color w:val="auto"/>
          <w:szCs w:val="24"/>
        </w:rPr>
        <w:t>。采购单位应当自收到评审报告之日起5个工作日内在线确定中标或者</w:t>
      </w:r>
      <w:r>
        <w:rPr>
          <w:rFonts w:hint="eastAsia" w:ascii="宋体" w:hAnsi="宋体" w:cs="宋体"/>
          <w:color w:val="auto"/>
          <w:szCs w:val="24"/>
          <w:lang w:eastAsia="zh-CN"/>
        </w:rPr>
        <w:t>中标人</w:t>
      </w:r>
      <w:r>
        <w:rPr>
          <w:rFonts w:hint="eastAsia" w:ascii="宋体" w:hAnsi="宋体" w:cs="宋体"/>
          <w:color w:val="auto"/>
          <w:szCs w:val="24"/>
        </w:rPr>
        <w:t>。中标、成交通知书和中标、成交结果公告应当在规定时间内同时发出。</w:t>
      </w:r>
      <w:r>
        <w:rPr>
          <w:rFonts w:hint="eastAsia" w:ascii="宋体" w:hAnsi="宋体" w:cs="宋体"/>
          <w:b/>
          <w:bCs/>
          <w:color w:val="auto"/>
          <w:szCs w:val="24"/>
          <w:lang w:val="en-US" w:eastAsia="zh-CN"/>
        </w:rPr>
        <w:t>注：各标项各确认一名中标供应商。</w:t>
      </w:r>
    </w:p>
    <w:p w14:paraId="096D30BA">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689AF2A9">
      <w:pPr>
        <w:widowControl/>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w:t>
      </w:r>
    </w:p>
    <w:p w14:paraId="79B8B711">
      <w:pPr>
        <w:widowControl/>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w:t>
      </w:r>
      <w:r>
        <w:rPr>
          <w:rFonts w:hint="eastAsia" w:ascii="宋体" w:hAnsi="宋体" w:cs="宋体"/>
          <w:color w:val="auto"/>
          <w:sz w:val="24"/>
          <w:lang w:eastAsia="zh-CN"/>
        </w:rPr>
        <w:t>招标人</w:t>
      </w:r>
      <w:r>
        <w:rPr>
          <w:rFonts w:hint="eastAsia" w:ascii="宋体" w:hAnsi="宋体" w:cs="宋体"/>
          <w:color w:val="auto"/>
          <w:sz w:val="24"/>
        </w:rPr>
        <w:t>及其委托的采购代理机构的名称、地址、联系方式，项目名称和项目编号，中标人名称、地址和中标金额，主要中标标的的名称、服务范围、服务要求、服务时间、服务标准，开标记录、</w:t>
      </w:r>
      <w:bookmarkStart w:id="24" w:name="_Hlk101184471"/>
      <w:r>
        <w:rPr>
          <w:rFonts w:hint="eastAsia" w:ascii="宋体" w:hAnsi="宋体" w:cs="宋体"/>
          <w:color w:val="auto"/>
          <w:sz w:val="24"/>
        </w:rPr>
        <w:t>资格审查情况、评审专家抽取规则、符合性审查情况、</w:t>
      </w:r>
      <w:bookmarkEnd w:id="24"/>
      <w:r>
        <w:rPr>
          <w:rFonts w:hint="eastAsia" w:ascii="宋体" w:hAnsi="宋体" w:cs="宋体"/>
          <w:color w:val="auto"/>
          <w:sz w:val="24"/>
        </w:rPr>
        <w:t>未中标情况说明、中标公告期限以及评审专家名单、评分汇总及明细。</w:t>
      </w:r>
    </w:p>
    <w:p w14:paraId="15525D21">
      <w:pPr>
        <w:widowControl/>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27C42297">
      <w:pPr>
        <w:snapToGrid w:val="0"/>
        <w:spacing w:line="360" w:lineRule="auto"/>
        <w:ind w:left="120" w:leftChars="57" w:firstLine="482" w:firstLineChars="150"/>
        <w:jc w:val="center"/>
        <w:rPr>
          <w:rFonts w:ascii="宋体" w:hAnsi="宋体" w:cs="宋体"/>
          <w:b/>
          <w:color w:val="auto"/>
          <w:sz w:val="32"/>
        </w:rPr>
      </w:pPr>
    </w:p>
    <w:p w14:paraId="19D1CAAF">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7C977934">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44002449">
      <w:pPr>
        <w:pStyle w:val="25"/>
        <w:spacing w:line="360" w:lineRule="auto"/>
        <w:ind w:left="479" w:hanging="479" w:hangingChars="199"/>
        <w:rPr>
          <w:rFonts w:cs="宋体"/>
          <w:b/>
          <w:color w:val="auto"/>
        </w:rPr>
      </w:pPr>
      <w:r>
        <w:rPr>
          <w:rFonts w:hint="eastAsia" w:cs="宋体"/>
          <w:b/>
          <w:color w:val="auto"/>
        </w:rPr>
        <w:t>25. 合同的签订</w:t>
      </w:r>
    </w:p>
    <w:p w14:paraId="4E40853E">
      <w:pPr>
        <w:widowControl/>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w:t>
      </w:r>
      <w:r>
        <w:rPr>
          <w:rFonts w:hint="eastAsia" w:ascii="宋体" w:hAnsi="宋体" w:cs="宋体"/>
          <w:color w:val="auto"/>
          <w:kern w:val="0"/>
          <w:sz w:val="24"/>
          <w:lang w:eastAsia="zh-CN"/>
        </w:rPr>
        <w:t>招标人</w:t>
      </w:r>
      <w:r>
        <w:rPr>
          <w:rFonts w:hint="eastAsia" w:ascii="宋体" w:hAnsi="宋体" w:cs="宋体"/>
          <w:color w:val="auto"/>
          <w:kern w:val="0"/>
          <w:sz w:val="24"/>
        </w:rPr>
        <w:t>与中标人应当通过电子交易平台在中标通知书发出之日起三十日内，按照招标文件确定的事项签订政府采购合同，并在签订之日起2个工作日内将政府采购合同在浙江政府采购网上公告。鼓励有条件的</w:t>
      </w:r>
      <w:r>
        <w:rPr>
          <w:rFonts w:hint="eastAsia" w:ascii="宋体" w:hAnsi="宋体" w:cs="宋体"/>
          <w:color w:val="auto"/>
          <w:kern w:val="0"/>
          <w:sz w:val="24"/>
          <w:lang w:eastAsia="zh-CN"/>
        </w:rPr>
        <w:t>招标人</w:t>
      </w:r>
      <w:r>
        <w:rPr>
          <w:rFonts w:hint="eastAsia" w:ascii="宋体" w:hAnsi="宋体" w:cs="宋体"/>
          <w:color w:val="auto"/>
          <w:kern w:val="0"/>
          <w:sz w:val="24"/>
        </w:rPr>
        <w:t>视情缩减采购合同签订时限，提高采购效率，杜绝“冷、硬、横、推”等不当行为。</w:t>
      </w:r>
    </w:p>
    <w:p w14:paraId="5A31FD69">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25.2中标人按规定的日期、时间、地点，由法定代表人或其授权代表与招标人代表签订合同。如中标人为联合体的，由联合体成员各方法定代表人或其授权代表与招标人代表签订合同。</w:t>
      </w:r>
    </w:p>
    <w:p w14:paraId="020D5205">
      <w:pPr>
        <w:pStyle w:val="131"/>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5F31A419">
      <w:pPr>
        <w:pStyle w:val="131"/>
        <w:snapToGrid w:val="0"/>
        <w:spacing w:before="0"/>
        <w:ind w:firstLine="480"/>
        <w:rPr>
          <w:rFonts w:ascii="宋体" w:hAnsi="宋体" w:cs="宋体"/>
          <w:color w:val="auto"/>
        </w:rPr>
      </w:pPr>
      <w:r>
        <w:rPr>
          <w:rFonts w:hint="eastAsia" w:ascii="宋体" w:hAnsi="宋体" w:cs="宋体"/>
          <w:color w:val="auto"/>
        </w:rPr>
        <w:t>25.4中标供应商拒绝与</w:t>
      </w:r>
      <w:r>
        <w:rPr>
          <w:rFonts w:hint="eastAsia" w:ascii="宋体" w:hAnsi="宋体" w:cs="宋体"/>
          <w:color w:val="auto"/>
          <w:lang w:eastAsia="zh-CN"/>
        </w:rPr>
        <w:t>招标人</w:t>
      </w:r>
      <w:r>
        <w:rPr>
          <w:rFonts w:hint="eastAsia" w:ascii="宋体" w:hAnsi="宋体" w:cs="宋体"/>
          <w:color w:val="auto"/>
        </w:rPr>
        <w:t>签订合同的，</w:t>
      </w:r>
      <w:r>
        <w:rPr>
          <w:rFonts w:hint="eastAsia" w:ascii="宋体" w:hAnsi="宋体" w:cs="宋体"/>
          <w:color w:val="auto"/>
          <w:lang w:eastAsia="zh-CN"/>
        </w:rPr>
        <w:t>招标人</w:t>
      </w:r>
      <w:r>
        <w:rPr>
          <w:rFonts w:hint="eastAsia" w:ascii="宋体" w:hAnsi="宋体" w:cs="宋体"/>
          <w:color w:val="auto"/>
        </w:rPr>
        <w:t>可以按照评审报告推荐的中标或者成交候选人名单排序，确定下一候选人为中标供应商，也可以重新开展政府采购活动。</w:t>
      </w:r>
    </w:p>
    <w:p w14:paraId="591AE67C">
      <w:pPr>
        <w:pStyle w:val="131"/>
        <w:snapToGrid w:val="0"/>
        <w:spacing w:before="0" w:after="120"/>
        <w:ind w:firstLine="480"/>
        <w:rPr>
          <w:rFonts w:ascii="宋体" w:hAnsi="宋体" w:cs="宋体"/>
          <w:color w:val="auto"/>
        </w:rPr>
      </w:pPr>
      <w:r>
        <w:rPr>
          <w:rFonts w:hint="eastAsia" w:ascii="宋体" w:hAnsi="宋体" w:cs="宋体"/>
          <w:color w:val="auto"/>
        </w:rPr>
        <w:t>25.5采购合同由</w:t>
      </w:r>
      <w:r>
        <w:rPr>
          <w:rFonts w:hint="eastAsia" w:ascii="宋体" w:hAnsi="宋体" w:cs="宋体"/>
          <w:color w:val="auto"/>
          <w:lang w:eastAsia="zh-CN"/>
        </w:rPr>
        <w:t>招标人</w:t>
      </w:r>
      <w:r>
        <w:rPr>
          <w:rFonts w:hint="eastAsia" w:ascii="宋体" w:hAnsi="宋体" w:cs="宋体"/>
          <w:color w:val="auto"/>
        </w:rPr>
        <w:t>与中标供应商根据招标文件、投标文件等内容通过政府采购电子交易平台在线签订，自动备案。（由</w:t>
      </w:r>
      <w:r>
        <w:rPr>
          <w:rFonts w:hint="eastAsia" w:ascii="宋体" w:hAnsi="宋体" w:cs="宋体"/>
          <w:color w:val="auto"/>
          <w:lang w:eastAsia="zh-CN"/>
        </w:rPr>
        <w:t>招标人</w:t>
      </w:r>
      <w:r>
        <w:rPr>
          <w:rFonts w:hint="eastAsia" w:ascii="宋体" w:hAnsi="宋体" w:cs="宋体"/>
          <w:color w:val="auto"/>
        </w:rPr>
        <w:t>自行选择线上签订或线下签订）</w:t>
      </w:r>
    </w:p>
    <w:p w14:paraId="061AC001">
      <w:pPr>
        <w:pStyle w:val="25"/>
        <w:spacing w:line="360" w:lineRule="auto"/>
        <w:ind w:left="479" w:hanging="479" w:hangingChars="199"/>
        <w:rPr>
          <w:rFonts w:cs="宋体"/>
          <w:b/>
          <w:color w:val="auto"/>
        </w:rPr>
      </w:pPr>
      <w:r>
        <w:rPr>
          <w:rFonts w:hint="eastAsia" w:cs="宋体"/>
          <w:b/>
          <w:color w:val="auto"/>
        </w:rPr>
        <w:t>26. 履约保证金</w:t>
      </w:r>
    </w:p>
    <w:p w14:paraId="28ACAD2E">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w:t>
      </w:r>
      <w:r>
        <w:rPr>
          <w:rFonts w:hint="eastAsia" w:ascii="宋体" w:hAnsi="宋体" w:cs="宋体"/>
          <w:color w:val="auto"/>
          <w:sz w:val="24"/>
          <w:lang w:eastAsia="zh-CN"/>
        </w:rPr>
        <w:t>招标人</w:t>
      </w:r>
      <w:r>
        <w:rPr>
          <w:rFonts w:hint="eastAsia" w:ascii="宋体" w:hAnsi="宋体" w:cs="宋体"/>
          <w:color w:val="auto"/>
          <w:sz w:val="24"/>
        </w:rPr>
        <w:t>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2189C410">
      <w:pPr>
        <w:pStyle w:val="4"/>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CB9271E">
      <w:pPr>
        <w:pStyle w:val="4"/>
        <w:rPr>
          <w:color w:val="auto"/>
        </w:rPr>
      </w:pPr>
      <w:r>
        <w:rPr>
          <w:rFonts w:ascii="宋体" w:hAnsi="宋体" w:eastAsia="宋体"/>
          <w:color w:val="auto"/>
          <w:sz w:val="24"/>
          <w:lang w:val="en-US"/>
        </w:rPr>
        <w:t>27.预付款</w:t>
      </w:r>
    </w:p>
    <w:p w14:paraId="710FCD0A">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w:t>
      </w:r>
      <w:r>
        <w:rPr>
          <w:rFonts w:hint="eastAsia" w:ascii="宋体" w:hAnsi="宋体"/>
          <w:color w:val="auto"/>
          <w:sz w:val="24"/>
        </w:rPr>
        <w:t>7</w:t>
      </w:r>
      <w:r>
        <w:rPr>
          <w:rFonts w:ascii="宋体" w:hAnsi="宋体"/>
          <w:color w:val="auto"/>
          <w:sz w:val="24"/>
        </w:rPr>
        <w:t>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14:paraId="4F612296">
      <w:pPr>
        <w:rPr>
          <w:color w:val="auto"/>
        </w:rPr>
      </w:pPr>
    </w:p>
    <w:p w14:paraId="45A4611E">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398E5740">
      <w:pPr>
        <w:pStyle w:val="131"/>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1B965ABE">
      <w:pPr>
        <w:pStyle w:val="131"/>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7661B339">
      <w:pPr>
        <w:pStyle w:val="131"/>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7D58C28A">
      <w:pPr>
        <w:pStyle w:val="131"/>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2A861FF1">
      <w:pPr>
        <w:pStyle w:val="131"/>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5EEA9240">
      <w:pPr>
        <w:pStyle w:val="131"/>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746061D5">
      <w:pPr>
        <w:pStyle w:val="131"/>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29.出现以上情形，不影响采购公平、公正性的，采购组织机构可以待上述情形消除后继续组织电子交易活动；影响或可能影响采购公平、公正性的，应当重新采购。</w:t>
      </w:r>
    </w:p>
    <w:p w14:paraId="7ED830E3">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66DCB309">
      <w:pPr>
        <w:pStyle w:val="25"/>
        <w:spacing w:line="360" w:lineRule="auto"/>
        <w:ind w:firstLine="0" w:firstLineChars="0"/>
        <w:rPr>
          <w:rFonts w:cs="宋体"/>
          <w:b/>
          <w:color w:val="auto"/>
        </w:rPr>
      </w:pPr>
      <w:r>
        <w:rPr>
          <w:rFonts w:hint="eastAsia" w:cs="宋体"/>
          <w:b/>
          <w:color w:val="auto"/>
        </w:rPr>
        <w:t>30.验收</w:t>
      </w:r>
    </w:p>
    <w:p w14:paraId="5491683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w:t>
      </w:r>
      <w:r>
        <w:rPr>
          <w:rFonts w:hint="eastAsia" w:ascii="宋体" w:hAnsi="宋体" w:cs="宋体"/>
          <w:color w:val="auto"/>
          <w:kern w:val="0"/>
          <w:sz w:val="24"/>
          <w:lang w:eastAsia="zh-CN"/>
        </w:rPr>
        <w:t>招标人</w:t>
      </w:r>
      <w:r>
        <w:rPr>
          <w:rFonts w:hint="eastAsia" w:ascii="宋体" w:hAnsi="宋体" w:cs="宋体"/>
          <w:color w:val="auto"/>
          <w:kern w:val="0"/>
          <w:sz w:val="24"/>
        </w:rPr>
        <w:t>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128339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w:t>
      </w:r>
      <w:r>
        <w:rPr>
          <w:rFonts w:hint="eastAsia" w:ascii="宋体" w:hAnsi="宋体" w:cs="宋体"/>
          <w:color w:val="auto"/>
          <w:kern w:val="0"/>
          <w:sz w:val="24"/>
          <w:lang w:eastAsia="zh-CN"/>
        </w:rPr>
        <w:t>招标人</w:t>
      </w:r>
      <w:r>
        <w:rPr>
          <w:rFonts w:hint="eastAsia" w:ascii="宋体" w:hAnsi="宋体" w:cs="宋体"/>
          <w:color w:val="auto"/>
          <w:kern w:val="0"/>
          <w:sz w:val="24"/>
        </w:rPr>
        <w:t>可以邀请参加本项目的其他</w:t>
      </w:r>
      <w:r>
        <w:rPr>
          <w:rFonts w:hint="eastAsia" w:ascii="宋体" w:hAnsi="宋体" w:cs="宋体"/>
          <w:color w:val="auto"/>
          <w:kern w:val="0"/>
          <w:sz w:val="24"/>
          <w:lang w:eastAsia="zh-CN"/>
        </w:rPr>
        <w:t>供应商</w:t>
      </w:r>
      <w:r>
        <w:rPr>
          <w:rFonts w:hint="eastAsia" w:ascii="宋体" w:hAnsi="宋体" w:cs="宋体"/>
          <w:color w:val="auto"/>
          <w:kern w:val="0"/>
          <w:sz w:val="24"/>
        </w:rPr>
        <w:t>或者第三方机构参与验收。参与验收的</w:t>
      </w:r>
      <w:r>
        <w:rPr>
          <w:rFonts w:hint="eastAsia" w:ascii="宋体" w:hAnsi="宋体" w:cs="宋体"/>
          <w:color w:val="auto"/>
          <w:kern w:val="0"/>
          <w:sz w:val="24"/>
          <w:lang w:eastAsia="zh-CN"/>
        </w:rPr>
        <w:t>供应商</w:t>
      </w:r>
      <w:r>
        <w:rPr>
          <w:rFonts w:hint="eastAsia" w:ascii="宋体" w:hAnsi="宋体" w:cs="宋体"/>
          <w:color w:val="auto"/>
          <w:kern w:val="0"/>
          <w:sz w:val="24"/>
        </w:rPr>
        <w:t>或者第三方机构的意见作为验收书的参考资料一并存档。</w:t>
      </w:r>
    </w:p>
    <w:p w14:paraId="6401BDC0">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w:t>
      </w:r>
      <w:r>
        <w:rPr>
          <w:rFonts w:hint="eastAsia" w:ascii="宋体" w:hAnsi="宋体" w:cs="宋体"/>
          <w:color w:val="auto"/>
          <w:kern w:val="0"/>
          <w:sz w:val="24"/>
          <w:lang w:eastAsia="zh-CN"/>
        </w:rPr>
        <w:t>招标人</w:t>
      </w:r>
      <w:r>
        <w:rPr>
          <w:rFonts w:hint="eastAsia" w:ascii="宋体" w:hAnsi="宋体" w:cs="宋体"/>
          <w:color w:val="auto"/>
          <w:kern w:val="0"/>
          <w:sz w:val="24"/>
        </w:rPr>
        <w:t>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3B232FC">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w:t>
      </w:r>
      <w:r>
        <w:rPr>
          <w:rFonts w:hint="eastAsia" w:ascii="宋体" w:hAnsi="宋体" w:cs="宋体"/>
          <w:color w:val="auto"/>
          <w:kern w:val="0"/>
          <w:sz w:val="24"/>
          <w:lang w:eastAsia="zh-CN"/>
        </w:rPr>
        <w:t>招标人</w:t>
      </w:r>
      <w:r>
        <w:rPr>
          <w:rFonts w:hint="eastAsia" w:ascii="宋体" w:hAnsi="宋体" w:cs="宋体"/>
          <w:color w:val="auto"/>
          <w:kern w:val="0"/>
          <w:sz w:val="24"/>
        </w:rPr>
        <w:t>将根据采购合同的约定及时向供应商支付采购资金、退还履约保证金。验收不合格的项目，</w:t>
      </w:r>
      <w:r>
        <w:rPr>
          <w:rFonts w:hint="eastAsia" w:ascii="宋体" w:hAnsi="宋体" w:cs="宋体"/>
          <w:color w:val="auto"/>
          <w:kern w:val="0"/>
          <w:sz w:val="24"/>
          <w:lang w:eastAsia="zh-CN"/>
        </w:rPr>
        <w:t>招标人</w:t>
      </w:r>
      <w:r>
        <w:rPr>
          <w:rFonts w:hint="eastAsia" w:ascii="宋体" w:hAnsi="宋体" w:cs="宋体"/>
          <w:color w:val="auto"/>
          <w:kern w:val="0"/>
          <w:sz w:val="24"/>
        </w:rPr>
        <w:t>将依法及时处理。采购合同的履行、违约责任和解决争议的方式等适用《中华人民共和国民法典》。供应商在履约过程中有政府采购法律法规规定的违法违规情形的，</w:t>
      </w:r>
      <w:r>
        <w:rPr>
          <w:rFonts w:hint="eastAsia" w:ascii="宋体" w:hAnsi="宋体" w:cs="宋体"/>
          <w:color w:val="auto"/>
          <w:kern w:val="0"/>
          <w:sz w:val="24"/>
          <w:lang w:eastAsia="zh-CN"/>
        </w:rPr>
        <w:t>招标人</w:t>
      </w:r>
      <w:r>
        <w:rPr>
          <w:rFonts w:hint="eastAsia" w:ascii="宋体" w:hAnsi="宋体" w:cs="宋体"/>
          <w:color w:val="auto"/>
          <w:kern w:val="0"/>
          <w:sz w:val="24"/>
        </w:rPr>
        <w:t>应当及时报告本级财政部门。</w:t>
      </w:r>
    </w:p>
    <w:bookmarkEnd w:id="22"/>
    <w:p w14:paraId="12203A1B">
      <w:pPr>
        <w:tabs>
          <w:tab w:val="left" w:pos="0"/>
        </w:tabs>
        <w:spacing w:line="360" w:lineRule="auto"/>
        <w:ind w:firstLine="480"/>
        <w:rPr>
          <w:rFonts w:ascii="宋体" w:hAnsi="宋体" w:cs="宋体"/>
          <w:color w:val="auto"/>
          <w:kern w:val="0"/>
          <w:sz w:val="24"/>
        </w:rPr>
        <w:sectPr>
          <w:footerReference r:id="rId10" w:type="default"/>
          <w:pgSz w:w="11906" w:h="16838"/>
          <w:pgMar w:top="680" w:right="1418" w:bottom="468" w:left="1418" w:header="851" w:footer="992" w:gutter="0"/>
          <w:pgBorders>
            <w:top w:val="none" w:sz="0" w:space="0"/>
            <w:left w:val="none" w:sz="0" w:space="0"/>
            <w:bottom w:val="none" w:sz="0" w:space="0"/>
            <w:right w:val="none" w:sz="0" w:space="0"/>
          </w:pgBorders>
          <w:pgNumType w:fmt="decimal"/>
          <w:cols w:space="720" w:num="1"/>
          <w:docGrid w:linePitch="312" w:charSpace="0"/>
        </w:sectPr>
      </w:pPr>
      <w:bookmarkStart w:id="25" w:name="_Hlt75236011"/>
      <w:bookmarkEnd w:id="25"/>
      <w:bookmarkStart w:id="26" w:name="_Hlt75236101"/>
      <w:bookmarkEnd w:id="26"/>
      <w:bookmarkStart w:id="27" w:name="_Hlt68057669"/>
      <w:bookmarkEnd w:id="27"/>
      <w:bookmarkStart w:id="28" w:name="_Hlt74729768"/>
      <w:bookmarkEnd w:id="28"/>
      <w:bookmarkStart w:id="29" w:name="_Hlt74714665"/>
      <w:bookmarkEnd w:id="29"/>
      <w:bookmarkStart w:id="30" w:name="_Hlt74730295"/>
      <w:bookmarkEnd w:id="30"/>
      <w:bookmarkStart w:id="31" w:name="_Hlt68403820"/>
      <w:bookmarkEnd w:id="31"/>
      <w:bookmarkStart w:id="32" w:name="_Hlt68072998"/>
      <w:bookmarkEnd w:id="32"/>
      <w:bookmarkStart w:id="33" w:name="_Hlt68072990"/>
      <w:bookmarkEnd w:id="33"/>
      <w:bookmarkStart w:id="34" w:name="_Hlt74707468"/>
      <w:bookmarkEnd w:id="34"/>
      <w:bookmarkStart w:id="35" w:name="_Hlt75236290"/>
      <w:bookmarkEnd w:id="35"/>
      <w:bookmarkStart w:id="36" w:name="_Hlt68073093"/>
      <w:bookmarkEnd w:id="36"/>
    </w:p>
    <w:bookmarkEnd w:id="15"/>
    <w:bookmarkEnd w:id="16"/>
    <w:p w14:paraId="2B0F126D">
      <w:pPr>
        <w:spacing w:line="360" w:lineRule="auto"/>
        <w:jc w:val="center"/>
        <w:outlineLvl w:val="0"/>
        <w:rPr>
          <w:rFonts w:ascii="宋体" w:hAnsi="宋体" w:cs="宋体"/>
          <w:b/>
          <w:color w:val="auto"/>
          <w:sz w:val="36"/>
          <w:szCs w:val="36"/>
        </w:rPr>
      </w:pPr>
      <w:bookmarkStart w:id="37" w:name="_Toc25063"/>
      <w:bookmarkStart w:id="38" w:name="第四部分"/>
      <w:r>
        <w:rPr>
          <w:rFonts w:hint="eastAsia" w:ascii="宋体" w:hAnsi="宋体" w:cs="宋体"/>
          <w:b/>
          <w:color w:val="auto"/>
          <w:sz w:val="36"/>
          <w:szCs w:val="36"/>
        </w:rPr>
        <w:t>第三部分   采购需求</w:t>
      </w:r>
      <w:bookmarkEnd w:id="37"/>
    </w:p>
    <w:p w14:paraId="1C59A8B1">
      <w:pPr>
        <w:adjustRightInd/>
        <w:spacing w:line="360" w:lineRule="auto"/>
        <w:ind w:firstLine="3845" w:firstLineChars="1197"/>
        <w:outlineLvl w:val="0"/>
        <w:rPr>
          <w:rFonts w:ascii="宋体" w:hAnsi="宋体" w:cs="宋体"/>
          <w:b/>
          <w:color w:val="auto"/>
          <w:sz w:val="32"/>
          <w:szCs w:val="20"/>
        </w:rPr>
      </w:pPr>
      <w:bookmarkStart w:id="39" w:name="_Toc4608"/>
      <w:r>
        <w:rPr>
          <w:rFonts w:hint="eastAsia" w:ascii="宋体" w:hAnsi="宋体" w:cs="宋体"/>
          <w:b/>
          <w:color w:val="auto"/>
          <w:sz w:val="32"/>
          <w:szCs w:val="20"/>
        </w:rPr>
        <w:t>前附表</w:t>
      </w:r>
      <w:bookmarkEnd w:id="39"/>
    </w:p>
    <w:tbl>
      <w:tblPr>
        <w:tblStyle w:val="63"/>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561"/>
        <w:gridCol w:w="5630"/>
      </w:tblGrid>
      <w:tr w14:paraId="3A4D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33" w:type="dxa"/>
            <w:vAlign w:val="center"/>
          </w:tcPr>
          <w:p w14:paraId="4C67C487">
            <w:pPr>
              <w:adjustRightInd/>
              <w:spacing w:line="336" w:lineRule="auto"/>
              <w:jc w:val="center"/>
              <w:rPr>
                <w:rFonts w:ascii="宋体" w:hAnsi="宋体" w:cs="宋体"/>
                <w:b/>
                <w:color w:val="auto"/>
                <w:sz w:val="24"/>
              </w:rPr>
            </w:pPr>
            <w:r>
              <w:rPr>
                <w:rFonts w:hint="eastAsia" w:ascii="宋体" w:hAnsi="宋体" w:cs="宋体"/>
                <w:b/>
                <w:color w:val="auto"/>
                <w:sz w:val="24"/>
              </w:rPr>
              <w:t>序号</w:t>
            </w:r>
          </w:p>
        </w:tc>
        <w:tc>
          <w:tcPr>
            <w:tcW w:w="2561" w:type="dxa"/>
            <w:vAlign w:val="center"/>
          </w:tcPr>
          <w:p w14:paraId="407DFBF4">
            <w:pPr>
              <w:adjustRightInd/>
              <w:spacing w:line="336" w:lineRule="auto"/>
              <w:jc w:val="center"/>
              <w:rPr>
                <w:rFonts w:ascii="宋体" w:hAnsi="宋体" w:cs="宋体"/>
                <w:b/>
                <w:color w:val="auto"/>
                <w:sz w:val="24"/>
              </w:rPr>
            </w:pPr>
            <w:r>
              <w:rPr>
                <w:rFonts w:hint="eastAsia" w:ascii="宋体" w:hAnsi="宋体" w:cs="宋体"/>
                <w:b/>
                <w:color w:val="auto"/>
                <w:sz w:val="24"/>
              </w:rPr>
              <w:t>项目</w:t>
            </w:r>
          </w:p>
        </w:tc>
        <w:tc>
          <w:tcPr>
            <w:tcW w:w="5630" w:type="dxa"/>
            <w:vAlign w:val="center"/>
          </w:tcPr>
          <w:p w14:paraId="54851E74">
            <w:pPr>
              <w:adjustRightInd/>
              <w:spacing w:line="336" w:lineRule="auto"/>
              <w:jc w:val="center"/>
              <w:rPr>
                <w:rFonts w:ascii="宋体" w:hAnsi="宋体" w:cs="宋体"/>
                <w:b/>
                <w:color w:val="auto"/>
                <w:sz w:val="24"/>
              </w:rPr>
            </w:pPr>
            <w:r>
              <w:rPr>
                <w:rFonts w:hint="eastAsia" w:ascii="宋体" w:hAnsi="宋体" w:cs="宋体"/>
                <w:b/>
                <w:color w:val="auto"/>
                <w:sz w:val="24"/>
              </w:rPr>
              <w:t>采购需求内容</w:t>
            </w:r>
          </w:p>
        </w:tc>
      </w:tr>
      <w:tr w14:paraId="1B2D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vAlign w:val="center"/>
          </w:tcPr>
          <w:p w14:paraId="6A601598">
            <w:pPr>
              <w:adjustRightInd/>
              <w:spacing w:line="336" w:lineRule="auto"/>
              <w:jc w:val="center"/>
              <w:rPr>
                <w:rFonts w:ascii="宋体" w:hAnsi="宋体" w:cs="宋体"/>
                <w:color w:val="auto"/>
                <w:sz w:val="24"/>
              </w:rPr>
            </w:pPr>
            <w:r>
              <w:rPr>
                <w:rFonts w:hint="eastAsia" w:ascii="宋体" w:hAnsi="宋体" w:cs="宋体"/>
                <w:color w:val="auto"/>
                <w:sz w:val="24"/>
              </w:rPr>
              <w:t>1</w:t>
            </w:r>
          </w:p>
        </w:tc>
        <w:tc>
          <w:tcPr>
            <w:tcW w:w="2561" w:type="dxa"/>
            <w:vAlign w:val="center"/>
          </w:tcPr>
          <w:p w14:paraId="009C5112">
            <w:pPr>
              <w:adjustRightInd/>
              <w:spacing w:line="336" w:lineRule="auto"/>
              <w:jc w:val="left"/>
              <w:rPr>
                <w:rFonts w:ascii="宋体" w:hAnsi="宋体" w:cs="宋体"/>
                <w:color w:val="auto"/>
                <w:sz w:val="24"/>
              </w:rPr>
            </w:pPr>
            <w:r>
              <w:rPr>
                <w:rFonts w:hint="eastAsia" w:ascii="宋体" w:hAnsi="宋体" w:cs="宋体"/>
                <w:color w:val="auto"/>
                <w:sz w:val="24"/>
              </w:rPr>
              <w:t>采购内容</w:t>
            </w:r>
          </w:p>
        </w:tc>
        <w:tc>
          <w:tcPr>
            <w:tcW w:w="5630" w:type="dxa"/>
            <w:vAlign w:val="center"/>
          </w:tcPr>
          <w:p w14:paraId="2F368034">
            <w:pPr>
              <w:adjustRightInd/>
              <w:spacing w:line="336" w:lineRule="auto"/>
              <w:rPr>
                <w:rFonts w:ascii="宋体" w:hAnsi="宋体" w:cs="宋体"/>
                <w:color w:val="auto"/>
                <w:sz w:val="24"/>
              </w:rPr>
            </w:pPr>
            <w:r>
              <w:rPr>
                <w:rFonts w:hint="eastAsia" w:ascii="宋体" w:hAnsi="宋体" w:cs="宋体"/>
                <w:bCs/>
                <w:color w:val="auto"/>
                <w:sz w:val="24"/>
              </w:rPr>
              <w:t>详见</w:t>
            </w:r>
            <w:r>
              <w:rPr>
                <w:rFonts w:hint="eastAsia" w:ascii="宋体" w:hAnsi="宋体" w:cs="宋体"/>
                <w:color w:val="auto"/>
                <w:sz w:val="24"/>
              </w:rPr>
              <w:t>本部分内容</w:t>
            </w:r>
          </w:p>
        </w:tc>
      </w:tr>
      <w:tr w14:paraId="73C5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vAlign w:val="center"/>
          </w:tcPr>
          <w:p w14:paraId="6041F506">
            <w:pPr>
              <w:adjustRightInd/>
              <w:spacing w:line="336" w:lineRule="auto"/>
              <w:jc w:val="center"/>
              <w:rPr>
                <w:rFonts w:ascii="宋体" w:hAnsi="宋体" w:cs="宋体"/>
                <w:color w:val="auto"/>
                <w:sz w:val="24"/>
              </w:rPr>
            </w:pPr>
            <w:r>
              <w:rPr>
                <w:rFonts w:hint="eastAsia" w:ascii="宋体" w:hAnsi="宋体" w:cs="宋体"/>
                <w:color w:val="auto"/>
                <w:sz w:val="24"/>
              </w:rPr>
              <w:t>2</w:t>
            </w:r>
          </w:p>
        </w:tc>
        <w:tc>
          <w:tcPr>
            <w:tcW w:w="2561" w:type="dxa"/>
            <w:vAlign w:val="center"/>
          </w:tcPr>
          <w:p w14:paraId="08AA24F1">
            <w:pPr>
              <w:adjustRightInd/>
              <w:spacing w:line="336" w:lineRule="auto"/>
              <w:jc w:val="left"/>
              <w:rPr>
                <w:rFonts w:ascii="宋体" w:hAnsi="宋体" w:cs="宋体"/>
                <w:color w:val="auto"/>
                <w:sz w:val="24"/>
              </w:rPr>
            </w:pPr>
            <w:r>
              <w:rPr>
                <w:rFonts w:hint="eastAsia" w:ascii="宋体" w:hAnsi="宋体" w:cs="宋体"/>
                <w:color w:val="auto"/>
                <w:sz w:val="24"/>
              </w:rPr>
              <w:t>单位及数量</w:t>
            </w:r>
          </w:p>
        </w:tc>
        <w:tc>
          <w:tcPr>
            <w:tcW w:w="5630" w:type="dxa"/>
            <w:vAlign w:val="center"/>
          </w:tcPr>
          <w:p w14:paraId="54825A5B">
            <w:pPr>
              <w:adjustRightInd/>
              <w:spacing w:line="336" w:lineRule="auto"/>
              <w:rPr>
                <w:rFonts w:ascii="宋体" w:hAnsi="宋体" w:cs="宋体"/>
                <w:color w:val="auto"/>
                <w:sz w:val="24"/>
              </w:rPr>
            </w:pPr>
            <w:r>
              <w:rPr>
                <w:rFonts w:hint="eastAsia" w:ascii="宋体" w:hAnsi="宋体" w:cs="宋体"/>
                <w:bCs/>
                <w:color w:val="auto"/>
                <w:sz w:val="24"/>
              </w:rPr>
              <w:t>详见第一部分 招标公告</w:t>
            </w:r>
          </w:p>
        </w:tc>
      </w:tr>
      <w:tr w14:paraId="0393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33" w:type="dxa"/>
            <w:vAlign w:val="center"/>
          </w:tcPr>
          <w:p w14:paraId="00E97887">
            <w:pPr>
              <w:adjustRightInd/>
              <w:spacing w:line="336" w:lineRule="auto"/>
              <w:jc w:val="center"/>
              <w:rPr>
                <w:rFonts w:ascii="宋体" w:hAnsi="宋体" w:cs="宋体"/>
                <w:color w:val="auto"/>
                <w:sz w:val="24"/>
              </w:rPr>
            </w:pPr>
            <w:r>
              <w:rPr>
                <w:rFonts w:hint="eastAsia" w:ascii="宋体" w:hAnsi="宋体" w:cs="宋体"/>
                <w:color w:val="auto"/>
                <w:sz w:val="24"/>
              </w:rPr>
              <w:t>3</w:t>
            </w:r>
          </w:p>
        </w:tc>
        <w:tc>
          <w:tcPr>
            <w:tcW w:w="2561" w:type="dxa"/>
            <w:vAlign w:val="center"/>
          </w:tcPr>
          <w:p w14:paraId="611EC9CC">
            <w:pPr>
              <w:adjustRightInd/>
              <w:spacing w:line="336" w:lineRule="auto"/>
              <w:jc w:val="left"/>
              <w:textAlignment w:val="baseline"/>
              <w:rPr>
                <w:rFonts w:ascii="宋体" w:hAnsi="宋体" w:cs="宋体"/>
                <w:color w:val="auto"/>
                <w:sz w:val="24"/>
              </w:rPr>
            </w:pPr>
            <w:r>
              <w:rPr>
                <w:rFonts w:hint="eastAsia" w:ascii="宋体" w:hAnsi="宋体" w:cs="宋体"/>
                <w:color w:val="auto"/>
                <w:sz w:val="24"/>
              </w:rPr>
              <w:t>交付或者实施的时间和地点</w:t>
            </w:r>
          </w:p>
        </w:tc>
        <w:tc>
          <w:tcPr>
            <w:tcW w:w="5630" w:type="dxa"/>
            <w:vAlign w:val="center"/>
          </w:tcPr>
          <w:p w14:paraId="6904B075">
            <w:pPr>
              <w:numPr>
                <w:ilvl w:val="0"/>
                <w:numId w:val="1"/>
              </w:numPr>
              <w:adjustRightInd/>
              <w:spacing w:line="336" w:lineRule="auto"/>
              <w:rPr>
                <w:rFonts w:ascii="宋体" w:hAnsi="宋体" w:cs="宋体"/>
                <w:color w:val="auto"/>
                <w:sz w:val="24"/>
              </w:rPr>
            </w:pPr>
            <w:r>
              <w:rPr>
                <w:rFonts w:hint="eastAsia" w:ascii="宋体" w:hAnsi="宋体" w:cs="宋体"/>
                <w:color w:val="auto"/>
                <w:sz w:val="24"/>
              </w:rPr>
              <w:t>合同履行期限：详见第一部分 招标公告</w:t>
            </w:r>
          </w:p>
          <w:p w14:paraId="30876575">
            <w:pPr>
              <w:numPr>
                <w:ilvl w:val="0"/>
                <w:numId w:val="1"/>
              </w:numPr>
              <w:adjustRightInd/>
              <w:spacing w:line="336" w:lineRule="auto"/>
              <w:rPr>
                <w:rFonts w:ascii="宋体" w:hAnsi="宋体" w:cs="宋体"/>
                <w:color w:val="auto"/>
                <w:sz w:val="24"/>
              </w:rPr>
            </w:pPr>
            <w:r>
              <w:rPr>
                <w:rFonts w:hint="eastAsia" w:ascii="宋体" w:hAnsi="宋体" w:cs="宋体"/>
                <w:color w:val="auto"/>
                <w:sz w:val="24"/>
              </w:rPr>
              <w:t>实施地点：详见本部分内容</w:t>
            </w:r>
          </w:p>
        </w:tc>
      </w:tr>
      <w:tr w14:paraId="6C5A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33" w:type="dxa"/>
            <w:vAlign w:val="center"/>
          </w:tcPr>
          <w:p w14:paraId="105B0866">
            <w:pPr>
              <w:adjustRightInd/>
              <w:spacing w:line="336" w:lineRule="auto"/>
              <w:jc w:val="center"/>
              <w:rPr>
                <w:rFonts w:ascii="宋体" w:hAnsi="宋体" w:cs="宋体"/>
                <w:color w:val="auto"/>
                <w:sz w:val="24"/>
              </w:rPr>
            </w:pPr>
            <w:r>
              <w:rPr>
                <w:rFonts w:hint="eastAsia" w:ascii="宋体" w:hAnsi="宋体" w:cs="宋体"/>
                <w:color w:val="auto"/>
                <w:sz w:val="24"/>
              </w:rPr>
              <w:t>4</w:t>
            </w:r>
          </w:p>
        </w:tc>
        <w:tc>
          <w:tcPr>
            <w:tcW w:w="2561" w:type="dxa"/>
            <w:vAlign w:val="center"/>
          </w:tcPr>
          <w:p w14:paraId="6CE3878E">
            <w:pPr>
              <w:adjustRightInd/>
              <w:spacing w:line="336" w:lineRule="auto"/>
              <w:jc w:val="left"/>
              <w:textAlignment w:val="baseline"/>
              <w:rPr>
                <w:rFonts w:ascii="宋体" w:hAnsi="宋体" w:cs="宋体"/>
                <w:color w:val="auto"/>
                <w:sz w:val="24"/>
              </w:rPr>
            </w:pPr>
            <w:r>
              <w:rPr>
                <w:rFonts w:hint="eastAsia" w:ascii="宋体" w:hAnsi="宋体" w:cs="宋体"/>
                <w:color w:val="auto"/>
                <w:sz w:val="24"/>
              </w:rPr>
              <w:t>需实现的功能或者目标</w:t>
            </w:r>
          </w:p>
        </w:tc>
        <w:tc>
          <w:tcPr>
            <w:tcW w:w="5630" w:type="dxa"/>
            <w:vAlign w:val="center"/>
          </w:tcPr>
          <w:p w14:paraId="5D3369C5">
            <w:pPr>
              <w:adjustRightInd/>
              <w:spacing w:line="336" w:lineRule="auto"/>
              <w:jc w:val="left"/>
              <w:rPr>
                <w:rFonts w:ascii="宋体" w:hAnsi="宋体" w:cs="宋体"/>
                <w:color w:val="auto"/>
                <w:sz w:val="24"/>
              </w:rPr>
            </w:pPr>
            <w:r>
              <w:rPr>
                <w:rFonts w:hint="eastAsia" w:ascii="宋体" w:hAnsi="宋体" w:cs="宋体"/>
                <w:color w:val="auto"/>
                <w:sz w:val="24"/>
              </w:rPr>
              <w:t>详见本部分内容</w:t>
            </w:r>
          </w:p>
        </w:tc>
      </w:tr>
      <w:tr w14:paraId="741B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33" w:type="dxa"/>
            <w:vAlign w:val="center"/>
          </w:tcPr>
          <w:p w14:paraId="714588DC">
            <w:pPr>
              <w:adjustRightInd/>
              <w:spacing w:line="336" w:lineRule="auto"/>
              <w:jc w:val="center"/>
              <w:rPr>
                <w:rFonts w:ascii="宋体" w:hAnsi="宋体" w:cs="宋体"/>
                <w:color w:val="auto"/>
                <w:sz w:val="24"/>
              </w:rPr>
            </w:pPr>
            <w:r>
              <w:rPr>
                <w:rFonts w:hint="eastAsia" w:ascii="宋体" w:hAnsi="宋体" w:cs="宋体"/>
                <w:color w:val="auto"/>
                <w:sz w:val="24"/>
              </w:rPr>
              <w:t>5</w:t>
            </w:r>
          </w:p>
        </w:tc>
        <w:tc>
          <w:tcPr>
            <w:tcW w:w="2561" w:type="dxa"/>
            <w:vAlign w:val="center"/>
          </w:tcPr>
          <w:p w14:paraId="53A255E8">
            <w:pPr>
              <w:adjustRightInd/>
              <w:spacing w:line="336" w:lineRule="auto"/>
              <w:jc w:val="left"/>
              <w:textAlignment w:val="baseline"/>
              <w:rPr>
                <w:rFonts w:ascii="宋体" w:hAnsi="宋体" w:cs="宋体"/>
                <w:color w:val="auto"/>
                <w:sz w:val="24"/>
              </w:rPr>
            </w:pPr>
            <w:r>
              <w:rPr>
                <w:rFonts w:hint="eastAsia" w:ascii="宋体" w:hAnsi="宋体" w:cs="宋体"/>
                <w:color w:val="auto"/>
                <w:sz w:val="24"/>
              </w:rPr>
              <w:t>执行的国家相关标准、行业标准、地方标准或者其它标准、规范</w:t>
            </w:r>
          </w:p>
        </w:tc>
        <w:tc>
          <w:tcPr>
            <w:tcW w:w="5630" w:type="dxa"/>
            <w:vAlign w:val="center"/>
          </w:tcPr>
          <w:p w14:paraId="6294E493">
            <w:pPr>
              <w:adjustRightInd/>
              <w:spacing w:line="336" w:lineRule="auto"/>
              <w:rPr>
                <w:rFonts w:ascii="宋体" w:hAnsi="宋体" w:cs="宋体"/>
                <w:color w:val="auto"/>
                <w:sz w:val="24"/>
              </w:rPr>
            </w:pPr>
            <w:r>
              <w:rPr>
                <w:rFonts w:hint="eastAsia" w:ascii="宋体" w:hAnsi="宋体" w:cs="宋体"/>
                <w:color w:val="auto"/>
                <w:sz w:val="24"/>
              </w:rPr>
              <w:t>详见本部分内容</w:t>
            </w:r>
          </w:p>
        </w:tc>
      </w:tr>
      <w:tr w14:paraId="1C69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33" w:type="dxa"/>
            <w:vAlign w:val="center"/>
          </w:tcPr>
          <w:p w14:paraId="677FEBB5">
            <w:pPr>
              <w:adjustRightInd/>
              <w:spacing w:line="336" w:lineRule="auto"/>
              <w:jc w:val="center"/>
              <w:rPr>
                <w:rFonts w:ascii="宋体" w:hAnsi="宋体" w:cs="宋体"/>
                <w:color w:val="auto"/>
                <w:sz w:val="24"/>
              </w:rPr>
            </w:pPr>
            <w:r>
              <w:rPr>
                <w:rFonts w:hint="eastAsia" w:ascii="宋体" w:hAnsi="宋体" w:cs="宋体"/>
                <w:color w:val="auto"/>
                <w:sz w:val="24"/>
              </w:rPr>
              <w:t>6</w:t>
            </w:r>
          </w:p>
        </w:tc>
        <w:tc>
          <w:tcPr>
            <w:tcW w:w="2561" w:type="dxa"/>
            <w:vAlign w:val="center"/>
          </w:tcPr>
          <w:p w14:paraId="160328A1">
            <w:pPr>
              <w:adjustRightInd/>
              <w:spacing w:line="336" w:lineRule="auto"/>
              <w:jc w:val="left"/>
              <w:rPr>
                <w:rFonts w:ascii="宋体" w:hAnsi="宋体" w:cs="宋体"/>
                <w:color w:val="auto"/>
                <w:sz w:val="24"/>
              </w:rPr>
            </w:pPr>
            <w:r>
              <w:rPr>
                <w:rFonts w:hint="eastAsia" w:ascii="宋体" w:hAnsi="宋体" w:cs="宋体"/>
                <w:color w:val="auto"/>
                <w:sz w:val="24"/>
              </w:rPr>
              <w:t>技术规格要求</w:t>
            </w:r>
          </w:p>
        </w:tc>
        <w:tc>
          <w:tcPr>
            <w:tcW w:w="5630" w:type="dxa"/>
            <w:vAlign w:val="center"/>
          </w:tcPr>
          <w:p w14:paraId="50A8CD12">
            <w:pPr>
              <w:adjustRightInd/>
              <w:spacing w:line="336" w:lineRule="auto"/>
              <w:jc w:val="left"/>
              <w:rPr>
                <w:rFonts w:ascii="宋体" w:hAnsi="宋体" w:cs="宋体"/>
                <w:color w:val="auto"/>
                <w:sz w:val="24"/>
              </w:rPr>
            </w:pPr>
            <w:r>
              <w:rPr>
                <w:rFonts w:hint="eastAsia" w:ascii="宋体" w:hAnsi="宋体" w:cs="宋体"/>
                <w:color w:val="auto"/>
                <w:sz w:val="24"/>
              </w:rPr>
              <w:t>详见本部分内容</w:t>
            </w:r>
          </w:p>
        </w:tc>
      </w:tr>
      <w:tr w14:paraId="257B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3" w:type="dxa"/>
            <w:vAlign w:val="center"/>
          </w:tcPr>
          <w:p w14:paraId="473EB375">
            <w:pPr>
              <w:adjustRightInd/>
              <w:spacing w:line="336" w:lineRule="auto"/>
              <w:jc w:val="center"/>
              <w:rPr>
                <w:rFonts w:ascii="宋体" w:hAnsi="宋体" w:cs="宋体"/>
                <w:color w:val="auto"/>
                <w:sz w:val="24"/>
              </w:rPr>
            </w:pPr>
            <w:r>
              <w:rPr>
                <w:rFonts w:hint="eastAsia" w:ascii="宋体" w:hAnsi="宋体" w:cs="宋体"/>
                <w:color w:val="auto"/>
                <w:sz w:val="24"/>
              </w:rPr>
              <w:t>7</w:t>
            </w:r>
          </w:p>
        </w:tc>
        <w:tc>
          <w:tcPr>
            <w:tcW w:w="2561" w:type="dxa"/>
            <w:vAlign w:val="center"/>
          </w:tcPr>
          <w:p w14:paraId="1AE6EA53">
            <w:pPr>
              <w:adjustRightInd/>
              <w:spacing w:line="336" w:lineRule="auto"/>
              <w:jc w:val="left"/>
              <w:rPr>
                <w:rFonts w:ascii="宋体" w:hAnsi="宋体" w:cs="宋体"/>
                <w:color w:val="auto"/>
                <w:sz w:val="24"/>
              </w:rPr>
            </w:pPr>
            <w:r>
              <w:rPr>
                <w:rFonts w:hint="eastAsia" w:ascii="宋体" w:hAnsi="宋体" w:cs="宋体"/>
                <w:color w:val="auto"/>
                <w:sz w:val="24"/>
              </w:rPr>
              <w:t>物理特性要求</w:t>
            </w:r>
          </w:p>
        </w:tc>
        <w:tc>
          <w:tcPr>
            <w:tcW w:w="5630" w:type="dxa"/>
            <w:vAlign w:val="center"/>
          </w:tcPr>
          <w:p w14:paraId="61C641CE">
            <w:pPr>
              <w:adjustRightInd/>
              <w:spacing w:line="336" w:lineRule="auto"/>
              <w:jc w:val="left"/>
              <w:rPr>
                <w:rFonts w:ascii="宋体" w:hAnsi="宋体" w:cs="宋体"/>
                <w:color w:val="auto"/>
                <w:sz w:val="24"/>
              </w:rPr>
            </w:pPr>
            <w:r>
              <w:rPr>
                <w:rFonts w:hint="eastAsia" w:ascii="宋体" w:hAnsi="宋体" w:cs="宋体"/>
                <w:color w:val="auto"/>
                <w:sz w:val="24"/>
              </w:rPr>
              <w:t>无</w:t>
            </w:r>
          </w:p>
        </w:tc>
      </w:tr>
      <w:tr w14:paraId="5855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33" w:type="dxa"/>
            <w:vAlign w:val="center"/>
          </w:tcPr>
          <w:p w14:paraId="49A94FB0">
            <w:pPr>
              <w:adjustRightInd/>
              <w:spacing w:line="336" w:lineRule="auto"/>
              <w:jc w:val="center"/>
              <w:rPr>
                <w:rFonts w:ascii="宋体" w:hAnsi="宋体" w:cs="宋体"/>
                <w:color w:val="auto"/>
                <w:sz w:val="24"/>
              </w:rPr>
            </w:pPr>
            <w:r>
              <w:rPr>
                <w:rFonts w:hint="eastAsia" w:ascii="宋体" w:hAnsi="宋体" w:cs="宋体"/>
                <w:color w:val="auto"/>
                <w:sz w:val="24"/>
              </w:rPr>
              <w:t>8</w:t>
            </w:r>
          </w:p>
        </w:tc>
        <w:tc>
          <w:tcPr>
            <w:tcW w:w="2561" w:type="dxa"/>
            <w:vAlign w:val="center"/>
          </w:tcPr>
          <w:p w14:paraId="1E51C8BE">
            <w:pPr>
              <w:adjustRightInd/>
              <w:spacing w:line="336" w:lineRule="auto"/>
              <w:jc w:val="left"/>
              <w:rPr>
                <w:rFonts w:ascii="宋体" w:hAnsi="宋体" w:cs="宋体"/>
                <w:color w:val="auto"/>
                <w:sz w:val="24"/>
              </w:rPr>
            </w:pPr>
            <w:r>
              <w:rPr>
                <w:rFonts w:hint="eastAsia" w:ascii="宋体" w:hAnsi="宋体" w:cs="宋体"/>
                <w:color w:val="auto"/>
                <w:sz w:val="24"/>
              </w:rPr>
              <w:t>质量、安全要求</w:t>
            </w:r>
          </w:p>
        </w:tc>
        <w:tc>
          <w:tcPr>
            <w:tcW w:w="5630" w:type="dxa"/>
            <w:vAlign w:val="center"/>
          </w:tcPr>
          <w:p w14:paraId="37B04397">
            <w:pPr>
              <w:adjustRightInd/>
              <w:spacing w:line="336" w:lineRule="auto"/>
              <w:jc w:val="left"/>
              <w:rPr>
                <w:rFonts w:ascii="宋体" w:hAnsi="宋体" w:cs="宋体"/>
                <w:color w:val="auto"/>
                <w:sz w:val="24"/>
              </w:rPr>
            </w:pPr>
            <w:r>
              <w:rPr>
                <w:rFonts w:hint="eastAsia" w:ascii="宋体" w:hAnsi="宋体" w:cs="宋体"/>
                <w:color w:val="auto"/>
                <w:sz w:val="24"/>
              </w:rPr>
              <w:t>（1）质量要求：详见本章内容。</w:t>
            </w:r>
          </w:p>
          <w:p w14:paraId="6932C39F">
            <w:pPr>
              <w:adjustRightInd/>
              <w:spacing w:line="336" w:lineRule="auto"/>
              <w:jc w:val="left"/>
              <w:rPr>
                <w:rFonts w:ascii="宋体" w:hAnsi="宋体" w:cs="宋体"/>
                <w:color w:val="auto"/>
                <w:sz w:val="24"/>
              </w:rPr>
            </w:pPr>
            <w:r>
              <w:rPr>
                <w:rFonts w:hint="eastAsia" w:ascii="宋体" w:hAnsi="宋体" w:cs="宋体"/>
                <w:color w:val="auto"/>
                <w:sz w:val="24"/>
              </w:rPr>
              <w:t>（2）安全要求：合格。必须重视安全生产工作，确保不出安全生产责任事故。</w:t>
            </w:r>
          </w:p>
        </w:tc>
      </w:tr>
      <w:tr w14:paraId="08A3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3" w:type="dxa"/>
            <w:vAlign w:val="center"/>
          </w:tcPr>
          <w:p w14:paraId="5C4EE4D1">
            <w:pPr>
              <w:adjustRightInd/>
              <w:spacing w:line="336" w:lineRule="auto"/>
              <w:jc w:val="center"/>
              <w:rPr>
                <w:rFonts w:ascii="宋体" w:hAnsi="宋体" w:cs="宋体"/>
                <w:color w:val="auto"/>
                <w:sz w:val="24"/>
              </w:rPr>
            </w:pPr>
            <w:r>
              <w:rPr>
                <w:rFonts w:hint="eastAsia" w:ascii="宋体" w:hAnsi="宋体" w:cs="宋体"/>
                <w:color w:val="auto"/>
                <w:sz w:val="24"/>
              </w:rPr>
              <w:t>9</w:t>
            </w:r>
          </w:p>
        </w:tc>
        <w:tc>
          <w:tcPr>
            <w:tcW w:w="2561" w:type="dxa"/>
            <w:vAlign w:val="center"/>
          </w:tcPr>
          <w:p w14:paraId="7EF07A84">
            <w:pPr>
              <w:adjustRightInd/>
              <w:spacing w:line="336" w:lineRule="auto"/>
              <w:jc w:val="left"/>
              <w:rPr>
                <w:rFonts w:ascii="宋体" w:hAnsi="宋体" w:cs="宋体"/>
                <w:color w:val="auto"/>
                <w:sz w:val="24"/>
              </w:rPr>
            </w:pPr>
            <w:r>
              <w:rPr>
                <w:rFonts w:hint="eastAsia" w:ascii="宋体" w:hAnsi="宋体" w:cs="宋体"/>
                <w:color w:val="auto"/>
                <w:sz w:val="24"/>
              </w:rPr>
              <w:t>验收标准</w:t>
            </w:r>
          </w:p>
        </w:tc>
        <w:tc>
          <w:tcPr>
            <w:tcW w:w="5630" w:type="dxa"/>
            <w:vAlign w:val="center"/>
          </w:tcPr>
          <w:p w14:paraId="7582E23E">
            <w:pPr>
              <w:adjustRightInd/>
              <w:spacing w:line="336" w:lineRule="auto"/>
              <w:jc w:val="left"/>
              <w:rPr>
                <w:rFonts w:ascii="宋体" w:hAnsi="宋体" w:cs="宋体"/>
                <w:color w:val="auto"/>
                <w:sz w:val="24"/>
              </w:rPr>
            </w:pPr>
            <w:r>
              <w:rPr>
                <w:rFonts w:hint="eastAsia" w:ascii="宋体" w:hAnsi="宋体" w:cs="宋体"/>
                <w:bCs/>
                <w:color w:val="auto"/>
                <w:sz w:val="24"/>
              </w:rPr>
              <w:t>按照中标人提供的投标文件及中标人和</w:t>
            </w:r>
            <w:r>
              <w:rPr>
                <w:rFonts w:hint="eastAsia" w:ascii="宋体" w:hAnsi="宋体" w:cs="宋体"/>
                <w:bCs/>
                <w:color w:val="auto"/>
                <w:sz w:val="24"/>
                <w:lang w:eastAsia="zh-CN"/>
              </w:rPr>
              <w:t>招标人</w:t>
            </w:r>
            <w:r>
              <w:rPr>
                <w:rFonts w:hint="eastAsia" w:ascii="宋体" w:hAnsi="宋体" w:cs="宋体"/>
                <w:bCs/>
                <w:color w:val="auto"/>
                <w:sz w:val="24"/>
              </w:rPr>
              <w:t>签订的政府采购合同为标准进行验收。</w:t>
            </w:r>
          </w:p>
        </w:tc>
      </w:tr>
      <w:tr w14:paraId="2D82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vAlign w:val="center"/>
          </w:tcPr>
          <w:p w14:paraId="6C8A7216">
            <w:pPr>
              <w:adjustRightInd/>
              <w:spacing w:line="336" w:lineRule="auto"/>
              <w:jc w:val="center"/>
              <w:rPr>
                <w:rFonts w:ascii="宋体" w:hAnsi="宋体" w:cs="宋体"/>
                <w:color w:val="auto"/>
                <w:sz w:val="24"/>
              </w:rPr>
            </w:pPr>
            <w:r>
              <w:rPr>
                <w:rFonts w:hint="eastAsia" w:ascii="宋体" w:hAnsi="宋体" w:cs="宋体"/>
                <w:color w:val="auto"/>
                <w:sz w:val="24"/>
              </w:rPr>
              <w:t>10</w:t>
            </w:r>
          </w:p>
        </w:tc>
        <w:tc>
          <w:tcPr>
            <w:tcW w:w="2561" w:type="dxa"/>
            <w:vAlign w:val="center"/>
          </w:tcPr>
          <w:p w14:paraId="1F2BB3F4">
            <w:pPr>
              <w:adjustRightInd/>
              <w:spacing w:line="336" w:lineRule="auto"/>
              <w:jc w:val="left"/>
              <w:rPr>
                <w:rFonts w:ascii="宋体" w:hAnsi="宋体" w:cs="宋体"/>
                <w:color w:val="auto"/>
                <w:sz w:val="24"/>
              </w:rPr>
            </w:pPr>
            <w:r>
              <w:rPr>
                <w:rFonts w:hint="eastAsia" w:ascii="宋体" w:hAnsi="宋体" w:cs="宋体"/>
                <w:color w:val="auto"/>
                <w:sz w:val="24"/>
              </w:rPr>
              <w:t>现场踏勘</w:t>
            </w:r>
          </w:p>
        </w:tc>
        <w:tc>
          <w:tcPr>
            <w:tcW w:w="5630" w:type="dxa"/>
            <w:vAlign w:val="center"/>
          </w:tcPr>
          <w:p w14:paraId="4602CF7F">
            <w:pPr>
              <w:adjustRightInd/>
              <w:spacing w:line="336" w:lineRule="auto"/>
              <w:rPr>
                <w:rFonts w:ascii="宋体" w:hAnsi="宋体" w:cs="宋体"/>
                <w:color w:val="auto"/>
                <w:sz w:val="24"/>
              </w:rPr>
            </w:pPr>
            <w:r>
              <w:rPr>
                <w:rFonts w:hint="eastAsia" w:ascii="宋体" w:hAnsi="宋体" w:cs="宋体"/>
                <w:color w:val="auto"/>
                <w:sz w:val="24"/>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bl>
    <w:p w14:paraId="3FF64437">
      <w:pPr>
        <w:widowControl/>
        <w:adjustRightInd/>
        <w:spacing w:line="360" w:lineRule="auto"/>
        <w:jc w:val="left"/>
        <w:rPr>
          <w:rFonts w:hint="eastAsia" w:ascii="宋体" w:hAnsi="宋体" w:eastAsia="宋体" w:cs="宋体"/>
          <w:b/>
          <w:color w:val="auto"/>
          <w:kern w:val="0"/>
          <w:szCs w:val="21"/>
          <w:lang w:eastAsia="zh-CN"/>
        </w:rPr>
      </w:pPr>
      <w:r>
        <w:rPr>
          <w:rFonts w:hint="eastAsia" w:ascii="宋体" w:hAnsi="宋体" w:cs="宋体"/>
          <w:b/>
          <w:color w:val="auto"/>
          <w:kern w:val="0"/>
          <w:szCs w:val="21"/>
        </w:rPr>
        <w:br w:type="page"/>
      </w:r>
      <w:r>
        <w:rPr>
          <w:rFonts w:hint="eastAsia" w:ascii="宋体" w:hAnsi="宋体" w:cs="宋体"/>
          <w:b/>
          <w:color w:val="auto"/>
          <w:sz w:val="24"/>
          <w:lang w:eastAsia="zh-CN"/>
        </w:rPr>
        <w:t>★</w:t>
      </w:r>
      <w:r>
        <w:rPr>
          <w:rFonts w:hint="eastAsia" w:ascii="宋体" w:hAnsi="宋体" w:cs="宋体"/>
          <w:b/>
          <w:color w:val="auto"/>
          <w:kern w:val="0"/>
          <w:sz w:val="24"/>
        </w:rPr>
        <w:t>一、</w:t>
      </w:r>
      <w:r>
        <w:rPr>
          <w:rFonts w:hint="eastAsia" w:ascii="宋体" w:hAnsi="宋体" w:cs="宋体"/>
          <w:b/>
          <w:color w:val="auto"/>
          <w:kern w:val="0"/>
          <w:szCs w:val="21"/>
        </w:rPr>
        <w:t>重要商务要求一览表</w:t>
      </w:r>
      <w:r>
        <w:rPr>
          <w:rFonts w:hint="eastAsia" w:ascii="宋体" w:hAnsi="宋体" w:cs="宋体"/>
          <w:b/>
          <w:color w:val="auto"/>
          <w:kern w:val="0"/>
          <w:szCs w:val="21"/>
          <w:lang w:eastAsia="zh-CN"/>
        </w:rPr>
        <w:t>（</w:t>
      </w:r>
      <w:r>
        <w:rPr>
          <w:rFonts w:hint="eastAsia" w:ascii="宋体" w:hAnsi="宋体" w:cs="宋体"/>
          <w:b/>
          <w:color w:val="auto"/>
          <w:kern w:val="0"/>
          <w:szCs w:val="21"/>
          <w:lang w:val="en-US" w:eastAsia="zh-CN"/>
        </w:rPr>
        <w:t>适用于所有标项</w:t>
      </w:r>
      <w:r>
        <w:rPr>
          <w:rFonts w:hint="eastAsia" w:ascii="宋体" w:hAnsi="宋体" w:cs="宋体"/>
          <w:b/>
          <w:color w:val="auto"/>
          <w:kern w:val="0"/>
          <w:szCs w:val="21"/>
          <w:lang w:eastAsia="zh-CN"/>
        </w:rPr>
        <w:t>）</w:t>
      </w:r>
    </w:p>
    <w:tbl>
      <w:tblPr>
        <w:tblStyle w:val="63"/>
        <w:tblW w:w="87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9"/>
        <w:gridCol w:w="6813"/>
      </w:tblGrid>
      <w:tr w14:paraId="44136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59CDD8D2">
            <w:pPr>
              <w:adjustRightInd/>
              <w:spacing w:line="360" w:lineRule="auto"/>
              <w:jc w:val="center"/>
              <w:rPr>
                <w:rFonts w:hint="eastAsia" w:ascii="宋体" w:hAnsi="宋体" w:eastAsia="宋体" w:cs="宋体"/>
                <w:b/>
                <w:bCs/>
                <w:color w:val="auto"/>
                <w:sz w:val="24"/>
                <w:szCs w:val="24"/>
              </w:rPr>
            </w:pPr>
            <w:bookmarkStart w:id="40" w:name="_Toc513103337"/>
            <w:r>
              <w:rPr>
                <w:rFonts w:hint="eastAsia" w:ascii="宋体" w:hAnsi="宋体" w:eastAsia="宋体" w:cs="宋体"/>
                <w:b/>
                <w:bCs/>
                <w:color w:val="auto"/>
                <w:sz w:val="24"/>
                <w:szCs w:val="24"/>
              </w:rPr>
              <w:t>项目</w:t>
            </w:r>
          </w:p>
        </w:tc>
        <w:tc>
          <w:tcPr>
            <w:tcW w:w="6813" w:type="dxa"/>
            <w:tcBorders>
              <w:top w:val="single" w:color="auto" w:sz="4" w:space="0"/>
              <w:left w:val="single" w:color="auto" w:sz="4" w:space="0"/>
              <w:bottom w:val="single" w:color="auto" w:sz="4" w:space="0"/>
              <w:right w:val="single" w:color="auto" w:sz="4" w:space="0"/>
            </w:tcBorders>
            <w:vAlign w:val="center"/>
          </w:tcPr>
          <w:p w14:paraId="162FA13A">
            <w:pPr>
              <w:adjustRightIn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要求</w:t>
            </w:r>
          </w:p>
        </w:tc>
      </w:tr>
      <w:tr w14:paraId="731D0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0D2E0A72">
            <w:pPr>
              <w:adjustRightInd/>
              <w:spacing w:line="36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1、项目实施地点</w:t>
            </w:r>
          </w:p>
        </w:tc>
        <w:tc>
          <w:tcPr>
            <w:tcW w:w="6813" w:type="dxa"/>
            <w:tcBorders>
              <w:top w:val="single" w:color="auto" w:sz="4" w:space="0"/>
              <w:left w:val="single" w:color="auto" w:sz="4" w:space="0"/>
              <w:bottom w:val="single" w:color="auto" w:sz="4" w:space="0"/>
              <w:right w:val="single" w:color="auto" w:sz="4" w:space="0"/>
            </w:tcBorders>
            <w:vAlign w:val="center"/>
          </w:tcPr>
          <w:p w14:paraId="6D32315C">
            <w:pPr>
              <w:adjustRightInd/>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指定地点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海曙区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14:paraId="23998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29A075E7">
            <w:pPr>
              <w:adjustRightInd/>
              <w:spacing w:line="360" w:lineRule="auto"/>
              <w:jc w:val="left"/>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2、合同履约期限</w:t>
            </w:r>
          </w:p>
        </w:tc>
        <w:tc>
          <w:tcPr>
            <w:tcW w:w="6813" w:type="dxa"/>
            <w:tcBorders>
              <w:top w:val="single" w:color="auto" w:sz="4" w:space="0"/>
              <w:left w:val="single" w:color="auto" w:sz="4" w:space="0"/>
              <w:bottom w:val="single" w:color="auto" w:sz="4" w:space="0"/>
              <w:right w:val="single" w:color="auto" w:sz="4" w:space="0"/>
            </w:tcBorders>
            <w:vAlign w:val="center"/>
          </w:tcPr>
          <w:p w14:paraId="0CC9B182">
            <w:pPr>
              <w:adjustRightInd/>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三年，合同一年一签，采购人根据中标人上一年度的合同履约、考核及财政资金审批情况决定是否续签。</w:t>
            </w:r>
          </w:p>
        </w:tc>
      </w:tr>
      <w:tr w14:paraId="53DAB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5718EEE0">
            <w:pPr>
              <w:adjustRightInd/>
              <w:spacing w:line="36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、付款方式</w:t>
            </w:r>
          </w:p>
        </w:tc>
        <w:tc>
          <w:tcPr>
            <w:tcW w:w="6813" w:type="dxa"/>
            <w:tcBorders>
              <w:top w:val="single" w:color="auto" w:sz="4" w:space="0"/>
              <w:left w:val="single" w:color="auto" w:sz="4" w:space="0"/>
              <w:bottom w:val="single" w:color="auto" w:sz="4" w:space="0"/>
              <w:right w:val="single" w:color="auto" w:sz="4" w:space="0"/>
            </w:tcBorders>
            <w:vAlign w:val="center"/>
          </w:tcPr>
          <w:p w14:paraId="35B80586">
            <w:pPr>
              <w:adjustRightIn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在合同生效以及具备实施条件后7个工作日内支付合同金额30%的作为预付款</w:t>
            </w:r>
            <w:r>
              <w:rPr>
                <w:rFonts w:hint="eastAsia" w:ascii="宋体" w:hAnsi="宋体" w:eastAsia="宋体" w:cs="宋体"/>
                <w:color w:val="auto"/>
                <w:sz w:val="24"/>
                <w:szCs w:val="24"/>
                <w:highlight w:val="none"/>
                <w:lang w:val="en-US" w:eastAsia="zh-CN"/>
              </w:rPr>
              <w:t>；（若在签订合同时，中标人明确表示无需预付款的，采购人可不予支付预付款。预付款支付约定以合同中约定为准。）</w:t>
            </w:r>
          </w:p>
          <w:p w14:paraId="66F4E377">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2.按月考核，按季度支付；根据季度内三个月考核分数核算每个月应支付服务费用后支付该季度的服务费用。（先从预付款中扣除相应金额，待预付款抵扣完后再另行按实支付）</w:t>
            </w:r>
          </w:p>
        </w:tc>
      </w:tr>
      <w:tr w14:paraId="4DA8E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2C627C26">
            <w:pPr>
              <w:adjustRightInd/>
              <w:spacing w:line="36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、履约保证金</w:t>
            </w:r>
          </w:p>
        </w:tc>
        <w:tc>
          <w:tcPr>
            <w:tcW w:w="6813" w:type="dxa"/>
            <w:tcBorders>
              <w:top w:val="single" w:color="auto" w:sz="4" w:space="0"/>
              <w:left w:val="single" w:color="auto" w:sz="4" w:space="0"/>
              <w:bottom w:val="single" w:color="auto" w:sz="4" w:space="0"/>
              <w:right w:val="single" w:color="auto" w:sz="4" w:space="0"/>
            </w:tcBorders>
            <w:vAlign w:val="center"/>
          </w:tcPr>
          <w:p w14:paraId="1F075739">
            <w:pPr>
              <w:adjustRightInd/>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本项目不适用</w:t>
            </w:r>
          </w:p>
        </w:tc>
      </w:tr>
      <w:tr w14:paraId="196A9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6014D0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5、服务响应要求</w:t>
            </w:r>
          </w:p>
        </w:tc>
        <w:tc>
          <w:tcPr>
            <w:tcW w:w="6813" w:type="dxa"/>
            <w:tcBorders>
              <w:top w:val="single" w:color="auto" w:sz="4" w:space="0"/>
              <w:left w:val="single" w:color="auto" w:sz="4" w:space="0"/>
              <w:bottom w:val="single" w:color="auto" w:sz="4" w:space="0"/>
              <w:right w:val="single" w:color="auto" w:sz="4" w:space="0"/>
            </w:tcBorders>
            <w:vAlign w:val="center"/>
          </w:tcPr>
          <w:p w14:paraId="232D21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1.从本项目服务的便捷性考虑，供应商</w:t>
            </w:r>
            <w:r>
              <w:rPr>
                <w:rFonts w:hint="eastAsia" w:ascii="宋体" w:hAnsi="宋体" w:cs="宋体"/>
                <w:color w:val="auto"/>
                <w:kern w:val="2"/>
                <w:sz w:val="24"/>
                <w:szCs w:val="24"/>
                <w:highlight w:val="none"/>
                <w:lang w:val="en-US" w:eastAsia="zh-CN"/>
              </w:rPr>
              <w:t>应</w:t>
            </w:r>
            <w:r>
              <w:rPr>
                <w:rFonts w:hint="eastAsia" w:ascii="宋体" w:hAnsi="宋体" w:eastAsia="宋体" w:cs="宋体"/>
                <w:color w:val="auto"/>
                <w:kern w:val="2"/>
                <w:sz w:val="24"/>
                <w:szCs w:val="24"/>
                <w:highlight w:val="none"/>
                <w:lang w:val="en-US" w:eastAsia="zh-CN"/>
              </w:rPr>
              <w:t>列出在本项目所在地</w:t>
            </w:r>
            <w:r>
              <w:rPr>
                <w:rFonts w:hint="eastAsia" w:ascii="宋体" w:hAnsi="宋体" w:cs="宋体"/>
                <w:color w:val="auto"/>
                <w:kern w:val="2"/>
                <w:sz w:val="24"/>
                <w:szCs w:val="24"/>
                <w:highlight w:val="none"/>
                <w:lang w:val="en-US" w:eastAsia="zh-CN"/>
              </w:rPr>
              <w:t>最</w:t>
            </w:r>
            <w:r>
              <w:rPr>
                <w:rFonts w:hint="eastAsia" w:ascii="宋体" w:hAnsi="宋体" w:eastAsia="宋体" w:cs="宋体"/>
                <w:color w:val="auto"/>
                <w:kern w:val="2"/>
                <w:sz w:val="24"/>
                <w:szCs w:val="24"/>
                <w:highlight w:val="none"/>
                <w:lang w:val="en-US" w:eastAsia="zh-CN"/>
              </w:rPr>
              <w:t>近且稳定的售后服务机构；</w:t>
            </w:r>
          </w:p>
          <w:p w14:paraId="4BD5CB1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2.须在接到采购人服务需求通知后15分钟内响应，如若采购人需要，需在30分钟内到达指定现场，并按采购人要求在规定时间内保质保量完成相关服务内容。</w:t>
            </w:r>
          </w:p>
          <w:p w14:paraId="6BDDDB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注：投标文件须附售后服务机构营业执照复印件加盖公章，及开标日前3个月出具的负责本项目售后服务人员的缴纳社保等证明材料。</w:t>
            </w:r>
          </w:p>
        </w:tc>
      </w:tr>
      <w:tr w14:paraId="3923C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522643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eastAsia="zh-CN"/>
              </w:rPr>
              <w:t>、验收标准及方式</w:t>
            </w:r>
          </w:p>
        </w:tc>
        <w:tc>
          <w:tcPr>
            <w:tcW w:w="6813" w:type="dxa"/>
            <w:tcBorders>
              <w:top w:val="single" w:color="auto" w:sz="4" w:space="0"/>
              <w:left w:val="single" w:color="auto" w:sz="4" w:space="0"/>
              <w:bottom w:val="single" w:color="auto" w:sz="4" w:space="0"/>
              <w:right w:val="single" w:color="auto" w:sz="4" w:space="0"/>
            </w:tcBorders>
            <w:vAlign w:val="center"/>
          </w:tcPr>
          <w:p w14:paraId="40C037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按照招标文件和正式合同确定的技术指标或者服务要求,应当符合国家强制性规定、政策要求、安全标准、行业或企业有关标准等。</w:t>
            </w:r>
          </w:p>
        </w:tc>
      </w:tr>
      <w:tr w14:paraId="35F05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3FB9242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、合同终止</w:t>
            </w:r>
          </w:p>
        </w:tc>
        <w:tc>
          <w:tcPr>
            <w:tcW w:w="6813" w:type="dxa"/>
            <w:tcBorders>
              <w:top w:val="single" w:color="auto" w:sz="4" w:space="0"/>
              <w:left w:val="single" w:color="auto" w:sz="4" w:space="0"/>
              <w:bottom w:val="single" w:color="auto" w:sz="4" w:space="0"/>
              <w:right w:val="single" w:color="auto" w:sz="4" w:space="0"/>
            </w:tcBorders>
            <w:vAlign w:val="center"/>
          </w:tcPr>
          <w:p w14:paraId="11EB40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中标人</w:t>
            </w:r>
            <w:r>
              <w:rPr>
                <w:rFonts w:hint="eastAsia" w:ascii="宋体" w:hAnsi="宋体" w:eastAsia="宋体" w:cs="宋体"/>
                <w:color w:val="auto"/>
                <w:kern w:val="0"/>
                <w:sz w:val="24"/>
                <w:szCs w:val="24"/>
                <w:highlight w:val="none"/>
              </w:rPr>
              <w:t>在合同有效期内，不得无理由终止合同，确有特殊情况的，须提前向</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提出书面申请，经</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同意后，方可终止合同。因</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不能保证工作质量，或发生重大差错事故的，</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可有权终止合同，</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承担全部责任。</w:t>
            </w:r>
          </w:p>
        </w:tc>
      </w:tr>
      <w:bookmarkEnd w:id="40"/>
    </w:tbl>
    <w:p w14:paraId="24B1EECD">
      <w:pPr>
        <w:numPr>
          <w:ilvl w:val="0"/>
          <w:numId w:val="2"/>
        </w:numPr>
        <w:spacing w:line="360" w:lineRule="auto"/>
        <w:rPr>
          <w:rFonts w:ascii="宋体" w:hAnsi="宋体" w:cs="宋体"/>
          <w:b/>
          <w:color w:val="auto"/>
          <w:kern w:val="0"/>
          <w:szCs w:val="21"/>
          <w:highlight w:val="none"/>
        </w:rPr>
        <w:sectPr>
          <w:footerReference r:id="rId11" w:type="default"/>
          <w:pgSz w:w="11907" w:h="16840"/>
          <w:pgMar w:top="1134" w:right="1531" w:bottom="1134" w:left="1531" w:header="425" w:footer="709" w:gutter="0"/>
          <w:pgBorders>
            <w:top w:val="none" w:sz="0" w:space="0"/>
            <w:left w:val="none" w:sz="0" w:space="0"/>
            <w:bottom w:val="none" w:sz="0" w:space="0"/>
            <w:right w:val="none" w:sz="0" w:space="0"/>
          </w:pgBorders>
          <w:pgNumType w:fmt="decimal"/>
          <w:cols w:space="720" w:num="1"/>
          <w:docGrid w:linePitch="285" w:charSpace="0"/>
        </w:sectPr>
      </w:pPr>
    </w:p>
    <w:p w14:paraId="0D3D5DA9">
      <w:pPr>
        <w:spacing w:beforeLines="0" w:afterLines="0" w:line="360" w:lineRule="auto"/>
        <w:rPr>
          <w:rFonts w:hint="default" w:ascii="宋体" w:hAnsi="宋体" w:eastAsia="宋体" w:cs="宋体"/>
          <w:color w:val="auto"/>
          <w:sz w:val="24"/>
          <w:szCs w:val="24"/>
        </w:rPr>
      </w:pPr>
      <w:r>
        <w:rPr>
          <w:rFonts w:hint="default" w:ascii="宋体" w:hAnsi="宋体" w:eastAsia="宋体" w:cs="宋体"/>
          <w:b/>
          <w:color w:val="auto"/>
          <w:sz w:val="24"/>
          <w:szCs w:val="24"/>
        </w:rPr>
        <w:t>二、养护标准（包括但不限于以下）</w:t>
      </w:r>
    </w:p>
    <w:p w14:paraId="34A525B4">
      <w:pPr>
        <w:numPr>
          <w:ilvl w:val="0"/>
          <w:numId w:val="0"/>
        </w:numPr>
        <w:spacing w:beforeLines="0" w:afterLines="0" w:line="360" w:lineRule="auto"/>
        <w:ind w:firstLine="480" w:firstLineChars="20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rPr>
        <w:t>《城镇排水管渠与泵站运行、维护及安全技术规程（CJJ68-2016）》</w:t>
      </w:r>
    </w:p>
    <w:p w14:paraId="20759FBB">
      <w:pPr>
        <w:numPr>
          <w:ilvl w:val="0"/>
          <w:numId w:val="0"/>
        </w:numPr>
        <w:spacing w:beforeLines="0" w:afterLines="0" w:line="360" w:lineRule="auto"/>
        <w:ind w:firstLine="480" w:firstLineChars="20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rPr>
        <w:t>《城镇排水管道维护安全技术规程（CJJ6-2009）》</w:t>
      </w:r>
    </w:p>
    <w:p w14:paraId="52E955B8">
      <w:pPr>
        <w:spacing w:beforeLines="0" w:afterLines="0" w:line="360" w:lineRule="auto"/>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注：如有最新文件按最新文件执行。</w:t>
      </w:r>
    </w:p>
    <w:p w14:paraId="4924CA31">
      <w:pPr>
        <w:spacing w:beforeLines="0" w:afterLines="0" w:line="360" w:lineRule="auto"/>
        <w:rPr>
          <w:rFonts w:hint="default" w:ascii="宋体" w:hAnsi="宋体" w:eastAsia="宋体" w:cs="宋体"/>
          <w:b/>
          <w:color w:val="auto"/>
          <w:sz w:val="24"/>
          <w:szCs w:val="24"/>
        </w:rPr>
      </w:pPr>
      <w:r>
        <w:rPr>
          <w:rFonts w:hint="default" w:ascii="宋体" w:hAnsi="宋体" w:eastAsia="宋体" w:cs="宋体"/>
          <w:b/>
          <w:color w:val="auto"/>
          <w:sz w:val="24"/>
          <w:szCs w:val="24"/>
        </w:rPr>
        <w:t>三、养护工作内容、服务清单及限价（适用于所有标项）</w:t>
      </w:r>
    </w:p>
    <w:p w14:paraId="2FB3DC41">
      <w:pPr>
        <w:spacing w:beforeLines="0" w:afterLines="0" w:line="360" w:lineRule="auto"/>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rPr>
        <w:t>1、主要养护工作内容</w:t>
      </w:r>
    </w:p>
    <w:p w14:paraId="31309806">
      <w:pPr>
        <w:pStyle w:val="2"/>
        <w:spacing w:beforeLines="0" w:afterLines="0" w:line="360" w:lineRule="auto"/>
        <w:rPr>
          <w:rFonts w:hint="default"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1）负责中标所属区域内排水管道及窨井养护，工作内容包括雨污水检查井、雨水出水口的日常清淤（含倒虹井），管道内部日常疏通清淤、管网运行情况检查、日常巡查（含倒虹管）、智慧城管案件接警处置、防汛抗台工作及应急管道检测和非开挖修复作业等。</w:t>
      </w:r>
    </w:p>
    <w:p w14:paraId="591CE275">
      <w:pPr>
        <w:pStyle w:val="2"/>
        <w:spacing w:beforeLines="0" w:afterLines="0" w:line="360" w:lineRule="auto"/>
        <w:rPr>
          <w:rFonts w:hint="default"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2）负责各类管径的检查井、落水井的清捞，掏泥。</w:t>
      </w:r>
    </w:p>
    <w:p w14:paraId="5F3FFE80">
      <w:pPr>
        <w:pStyle w:val="2"/>
        <w:spacing w:beforeLines="0" w:afterLines="0" w:line="360" w:lineRule="auto"/>
        <w:rPr>
          <w:rFonts w:hint="default"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3）负责做好中标所属区域内防汛抗台应急抢险，排水管道的机械疏通以及新建管道的检查验收配合等工作。</w:t>
      </w:r>
    </w:p>
    <w:p w14:paraId="708A3A54">
      <w:pPr>
        <w:pStyle w:val="2"/>
        <w:spacing w:beforeLines="0" w:afterLines="0" w:line="360" w:lineRule="auto"/>
        <w:rPr>
          <w:rFonts w:hint="default"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4）负责城管智慧城管96310、市民投诉等城市排水事件的应急处置，相关资料处理。</w:t>
      </w:r>
    </w:p>
    <w:p w14:paraId="53405437">
      <w:pPr>
        <w:pStyle w:val="2"/>
        <w:spacing w:beforeLines="0" w:afterLines="0" w:line="360" w:lineRule="auto"/>
        <w:rPr>
          <w:rFonts w:hint="default"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5）负责污泥“清运”及安全、环保处置</w:t>
      </w:r>
      <w:r>
        <w:rPr>
          <w:rFonts w:hint="default"/>
          <w:b w:val="0"/>
          <w:bCs w:val="0"/>
          <w:color w:val="auto"/>
          <w:sz w:val="24"/>
          <w:szCs w:val="24"/>
          <w:highlight w:val="none"/>
        </w:rPr>
        <w:t>，</w:t>
      </w:r>
      <w:r>
        <w:rPr>
          <w:rFonts w:hint="default" w:hAnsi="宋体" w:cs="宋体"/>
          <w:b w:val="0"/>
          <w:bCs w:val="0"/>
          <w:color w:val="auto"/>
          <w:sz w:val="24"/>
          <w:szCs w:val="24"/>
          <w:highlight w:val="none"/>
        </w:rPr>
        <w:t>污泥的倾倒及倾倒地点需符合各主管部门的要求并提供相关资料到采购人地方备案，如出现因污泥乱倾倒被主管部门处罚的，责任与后果由中标人承担</w:t>
      </w:r>
      <w:r>
        <w:rPr>
          <w:rFonts w:hint="default" w:ascii="宋体" w:hAnsi="宋体" w:eastAsia="宋体" w:cs="宋体"/>
          <w:b w:val="0"/>
          <w:bCs w:val="0"/>
          <w:color w:val="auto"/>
          <w:sz w:val="24"/>
          <w:szCs w:val="24"/>
          <w:highlight w:val="none"/>
        </w:rPr>
        <w:t>。</w:t>
      </w:r>
    </w:p>
    <w:p w14:paraId="4DC15B49">
      <w:pPr>
        <w:pStyle w:val="2"/>
        <w:spacing w:beforeLines="0" w:afterLines="0" w:line="360" w:lineRule="auto"/>
        <w:rPr>
          <w:rFonts w:hint="default"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6）负责检查井盖标识牌是否完好，负责检查后窨井防护网复位工作。</w:t>
      </w:r>
    </w:p>
    <w:p w14:paraId="67D68D28">
      <w:pPr>
        <w:pStyle w:val="2"/>
        <w:spacing w:beforeLines="0" w:afterLines="0" w:line="360" w:lineRule="auto"/>
        <w:rPr>
          <w:rFonts w:hint="default" w:ascii="宋体" w:hAnsi="宋体" w:eastAsia="宋体" w:cs="宋体"/>
          <w:color w:val="auto"/>
          <w:sz w:val="24"/>
          <w:szCs w:val="24"/>
        </w:rPr>
        <w:sectPr>
          <w:footerReference r:id="rId12" w:type="default"/>
          <w:pgSz w:w="11907" w:h="16840"/>
          <w:pgMar w:top="1134" w:right="1531" w:bottom="1134" w:left="1531" w:header="425" w:footer="709" w:gutter="0"/>
          <w:pgBorders>
            <w:top w:val="none" w:sz="0" w:space="0"/>
            <w:left w:val="none" w:sz="0" w:space="0"/>
            <w:bottom w:val="none" w:sz="0" w:space="0"/>
            <w:right w:val="none" w:sz="0" w:space="0"/>
          </w:pgBorders>
          <w:pgNumType w:fmt="decimal"/>
          <w:cols w:space="720" w:num="1"/>
          <w:docGrid w:linePitch="285" w:charSpace="0"/>
        </w:sectPr>
      </w:pPr>
      <w:r>
        <w:rPr>
          <w:rFonts w:hint="default" w:ascii="宋体" w:hAnsi="宋体" w:eastAsia="宋体" w:cs="宋体"/>
          <w:b w:val="0"/>
          <w:bCs w:val="0"/>
          <w:color w:val="auto"/>
          <w:sz w:val="24"/>
          <w:szCs w:val="24"/>
          <w:highlight w:val="none"/>
        </w:rPr>
        <w:t>7）负责做好防汛防台、各类演练、突发事件等工作。</w:t>
      </w:r>
    </w:p>
    <w:p w14:paraId="68D63E9A">
      <w:pPr>
        <w:pStyle w:val="2"/>
        <w:spacing w:beforeLines="0" w:afterLines="0" w:line="360" w:lineRule="auto"/>
        <w:rPr>
          <w:rFonts w:hint="default" w:ascii="宋体" w:hAnsi="宋体" w:eastAsia="宋体" w:cs="宋体"/>
          <w:color w:val="auto"/>
          <w:sz w:val="24"/>
          <w:szCs w:val="24"/>
        </w:rPr>
      </w:pPr>
    </w:p>
    <w:p w14:paraId="30DD63D0">
      <w:pPr>
        <w:spacing w:beforeLines="0" w:afterLines="0" w:line="360" w:lineRule="auto"/>
        <w:rPr>
          <w:rFonts w:hint="default" w:ascii="宋体" w:hAnsi="宋体" w:eastAsia="宋体" w:cs="宋体"/>
          <w:b/>
          <w:color w:val="auto"/>
          <w:sz w:val="24"/>
          <w:szCs w:val="24"/>
        </w:rPr>
      </w:pPr>
      <w:r>
        <w:rPr>
          <w:rFonts w:hint="default" w:ascii="宋体" w:hAnsi="宋体" w:eastAsia="宋体" w:cs="宋体"/>
          <w:b/>
          <w:color w:val="auto"/>
          <w:sz w:val="24"/>
          <w:szCs w:val="24"/>
        </w:rPr>
        <w:t>2、服务清单</w:t>
      </w:r>
      <w:r>
        <w:rPr>
          <w:rFonts w:hint="eastAsia" w:ascii="宋体" w:hAnsi="宋体" w:cs="宋体"/>
          <w:b/>
          <w:color w:val="auto"/>
          <w:sz w:val="24"/>
          <w:szCs w:val="24"/>
          <w:lang w:val="en-US" w:eastAsia="zh-CN"/>
        </w:rPr>
        <w:t>工程量</w:t>
      </w:r>
      <w:r>
        <w:rPr>
          <w:rFonts w:hint="default" w:ascii="宋体" w:hAnsi="宋体" w:eastAsia="宋体" w:cs="宋体"/>
          <w:b/>
          <w:color w:val="auto"/>
          <w:sz w:val="24"/>
          <w:szCs w:val="24"/>
        </w:rPr>
        <w:t xml:space="preserve">及限价 </w:t>
      </w:r>
    </w:p>
    <w:tbl>
      <w:tblPr>
        <w:tblStyle w:val="63"/>
        <w:tblW w:w="137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85"/>
        <w:gridCol w:w="1386"/>
        <w:gridCol w:w="892"/>
        <w:gridCol w:w="1112"/>
        <w:gridCol w:w="977"/>
        <w:gridCol w:w="927"/>
        <w:gridCol w:w="141"/>
        <w:gridCol w:w="1536"/>
        <w:gridCol w:w="1462"/>
        <w:gridCol w:w="1388"/>
        <w:gridCol w:w="1388"/>
        <w:gridCol w:w="1388"/>
      </w:tblGrid>
      <w:tr w14:paraId="38C78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11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1FBE6D">
            <w:pPr>
              <w:spacing w:beforeLines="0" w:afterLines="0"/>
              <w:jc w:val="center"/>
              <w:textAlignment w:val="center"/>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lang w:bidi="ar"/>
              </w:rPr>
              <w:t>标项号</w:t>
            </w:r>
          </w:p>
        </w:tc>
        <w:tc>
          <w:tcPr>
            <w:tcW w:w="13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F1030A">
            <w:pPr>
              <w:spacing w:beforeLines="0" w:afterLines="0"/>
              <w:jc w:val="center"/>
              <w:textAlignment w:val="center"/>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lang w:bidi="ar"/>
              </w:rPr>
              <w:t>街道名称</w:t>
            </w:r>
          </w:p>
        </w:tc>
        <w:tc>
          <w:tcPr>
            <w:tcW w:w="1121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50425B">
            <w:pPr>
              <w:spacing w:beforeLines="0" w:afterLines="0"/>
              <w:jc w:val="center"/>
              <w:textAlignment w:val="center"/>
              <w:rPr>
                <w:rFonts w:hint="default" w:ascii="宋体" w:hAnsi="宋体" w:eastAsia="宋体" w:cs="宋体"/>
                <w:b/>
                <w:color w:val="auto"/>
                <w:sz w:val="24"/>
                <w:szCs w:val="24"/>
                <w:highlight w:val="none"/>
                <w:lang w:bidi="ar"/>
              </w:rPr>
            </w:pPr>
            <w:r>
              <w:rPr>
                <w:rFonts w:hint="default" w:ascii="宋体" w:hAnsi="宋体" w:eastAsia="宋体" w:cs="宋体"/>
                <w:b/>
                <w:color w:val="auto"/>
                <w:sz w:val="24"/>
                <w:szCs w:val="24"/>
                <w:highlight w:val="none"/>
                <w:lang w:bidi="ar"/>
              </w:rPr>
              <w:t>养护项目</w:t>
            </w:r>
          </w:p>
        </w:tc>
      </w:tr>
      <w:tr w14:paraId="3C1AC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0" w:hRule="atLeast"/>
        </w:trPr>
        <w:tc>
          <w:tcPr>
            <w:tcW w:w="11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702399">
            <w:pPr>
              <w:spacing w:beforeLines="0" w:afterLines="0"/>
              <w:jc w:val="center"/>
              <w:rPr>
                <w:rFonts w:hint="default" w:ascii="宋体" w:hAnsi="宋体" w:eastAsia="宋体" w:cs="宋体"/>
                <w:b/>
                <w:color w:val="auto"/>
                <w:sz w:val="24"/>
                <w:szCs w:val="24"/>
                <w:highlight w:val="none"/>
              </w:rPr>
            </w:pPr>
          </w:p>
        </w:tc>
        <w:tc>
          <w:tcPr>
            <w:tcW w:w="13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D355A8">
            <w:pPr>
              <w:spacing w:beforeLines="0" w:afterLines="0"/>
              <w:jc w:val="center"/>
              <w:rPr>
                <w:rFonts w:hint="default" w:ascii="宋体" w:hAnsi="宋体" w:eastAsia="宋体" w:cs="宋体"/>
                <w:b/>
                <w:color w:val="auto"/>
                <w:sz w:val="24"/>
                <w:szCs w:val="24"/>
                <w:highlight w:val="none"/>
              </w:rPr>
            </w:pPr>
          </w:p>
        </w:tc>
        <w:tc>
          <w:tcPr>
            <w:tcW w:w="892"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1C18C9DD">
            <w:pPr>
              <w:keepNext w:val="0"/>
              <w:keepLines w:val="0"/>
              <w:widowControl/>
              <w:suppressLineNumbers w:val="0"/>
              <w:jc w:val="center"/>
              <w:textAlignment w:val="center"/>
              <w:rPr>
                <w:rFonts w:hint="default" w:ascii="宋体" w:hAnsi="宋体" w:eastAsia="宋体" w:cs="宋体"/>
                <w:b/>
                <w:bCs/>
                <w:color w:val="auto"/>
                <w:sz w:val="24"/>
                <w:szCs w:val="24"/>
                <w:highlight w:val="none"/>
                <w:lang w:bidi="ar"/>
              </w:rPr>
            </w:pPr>
            <w:r>
              <w:rPr>
                <w:rFonts w:hint="eastAsia" w:ascii="宋体" w:hAnsi="宋体" w:eastAsia="宋体" w:cs="宋体"/>
                <w:b/>
                <w:bCs/>
                <w:i w:val="0"/>
                <w:iCs w:val="0"/>
                <w:color w:val="000000"/>
                <w:kern w:val="0"/>
                <w:sz w:val="22"/>
                <w:szCs w:val="22"/>
                <w:highlight w:val="none"/>
                <w:u w:val="none"/>
                <w:lang w:val="en-US" w:eastAsia="zh-CN" w:bidi="ar"/>
              </w:rPr>
              <w:t>雨水管m</w:t>
            </w:r>
          </w:p>
        </w:tc>
        <w:tc>
          <w:tcPr>
            <w:tcW w:w="11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1AA84FE2">
            <w:pPr>
              <w:keepNext w:val="0"/>
              <w:keepLines w:val="0"/>
              <w:widowControl/>
              <w:suppressLineNumbers w:val="0"/>
              <w:jc w:val="center"/>
              <w:textAlignment w:val="center"/>
              <w:rPr>
                <w:rFonts w:hint="default" w:ascii="宋体" w:hAnsi="宋体" w:eastAsia="宋体" w:cs="宋体"/>
                <w:b/>
                <w:bCs/>
                <w:color w:val="auto"/>
                <w:sz w:val="24"/>
                <w:szCs w:val="24"/>
                <w:highlight w:val="none"/>
                <w:lang w:bidi="ar"/>
              </w:rPr>
            </w:pPr>
            <w:r>
              <w:rPr>
                <w:rFonts w:hint="eastAsia" w:ascii="宋体" w:hAnsi="宋体" w:eastAsia="宋体" w:cs="宋体"/>
                <w:b/>
                <w:bCs/>
                <w:i w:val="0"/>
                <w:iCs w:val="0"/>
                <w:color w:val="000000"/>
                <w:kern w:val="0"/>
                <w:sz w:val="22"/>
                <w:szCs w:val="22"/>
                <w:highlight w:val="none"/>
                <w:u w:val="none"/>
                <w:lang w:val="en-US" w:eastAsia="zh-CN" w:bidi="ar"/>
              </w:rPr>
              <w:t>污水管m</w:t>
            </w:r>
          </w:p>
        </w:tc>
        <w:tc>
          <w:tcPr>
            <w:tcW w:w="977"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43BE86DA">
            <w:pPr>
              <w:keepNext w:val="0"/>
              <w:keepLines w:val="0"/>
              <w:widowControl/>
              <w:suppressLineNumbers w:val="0"/>
              <w:jc w:val="center"/>
              <w:textAlignment w:val="center"/>
              <w:rPr>
                <w:rFonts w:hint="default" w:ascii="宋体" w:hAnsi="宋体" w:eastAsia="宋体" w:cs="宋体"/>
                <w:b/>
                <w:bCs/>
                <w:color w:val="auto"/>
                <w:sz w:val="24"/>
                <w:szCs w:val="24"/>
                <w:highlight w:val="none"/>
              </w:rPr>
            </w:pPr>
            <w:r>
              <w:rPr>
                <w:rFonts w:hint="eastAsia" w:ascii="宋体" w:hAnsi="宋体" w:eastAsia="宋体" w:cs="宋体"/>
                <w:b/>
                <w:bCs/>
                <w:i w:val="0"/>
                <w:iCs w:val="0"/>
                <w:color w:val="000000"/>
                <w:kern w:val="0"/>
                <w:sz w:val="22"/>
                <w:szCs w:val="22"/>
                <w:highlight w:val="none"/>
                <w:u w:val="none"/>
                <w:lang w:val="en-US" w:eastAsia="zh-CN" w:bidi="ar"/>
              </w:rPr>
              <w:t>合流管m</w:t>
            </w:r>
          </w:p>
        </w:tc>
        <w:tc>
          <w:tcPr>
            <w:tcW w:w="1068" w:type="dxa"/>
            <w:gridSpan w:val="2"/>
            <w:tcBorders>
              <w:top w:val="single" w:color="000000" w:sz="4" w:space="0"/>
              <w:left w:val="single" w:color="auto" w:sz="4" w:space="0"/>
              <w:bottom w:val="single" w:color="000000" w:sz="4" w:space="0"/>
              <w:right w:val="single" w:color="000000" w:sz="4" w:space="0"/>
              <w:tl2br w:val="nil"/>
              <w:tr2bl w:val="nil"/>
            </w:tcBorders>
            <w:noWrap w:val="0"/>
            <w:vAlign w:val="center"/>
          </w:tcPr>
          <w:p w14:paraId="72B83AB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管网合计m</w:t>
            </w:r>
          </w:p>
        </w:tc>
        <w:tc>
          <w:tcPr>
            <w:tcW w:w="15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CCA3F5">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default" w:ascii="宋体" w:hAnsi="宋体" w:eastAsia="宋体" w:cs="宋体"/>
                <w:b/>
                <w:bCs/>
                <w:i w:val="0"/>
                <w:iCs w:val="0"/>
                <w:color w:val="000000"/>
                <w:kern w:val="0"/>
                <w:sz w:val="22"/>
                <w:szCs w:val="22"/>
                <w:highlight w:val="none"/>
                <w:u w:val="none"/>
                <w:lang w:val="en-US" w:eastAsia="zh-CN" w:bidi="ar"/>
              </w:rPr>
              <w:t>年度综合单价最高限价（元/m）</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4E9728">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default" w:ascii="宋体" w:hAnsi="宋体" w:eastAsia="宋体" w:cs="宋体"/>
                <w:b/>
                <w:bCs/>
                <w:i w:val="0"/>
                <w:iCs w:val="0"/>
                <w:color w:val="000000"/>
                <w:kern w:val="0"/>
                <w:sz w:val="22"/>
                <w:szCs w:val="22"/>
                <w:highlight w:val="none"/>
                <w:u w:val="none"/>
                <w:lang w:val="en-US" w:eastAsia="zh-CN" w:bidi="ar"/>
              </w:rPr>
              <w:t>年度养护合价(元)</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06DD8B">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雨水井</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（个）</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E6CAA3">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污水井</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（个）</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45914E">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雨水口</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（个）</w:t>
            </w:r>
          </w:p>
        </w:tc>
      </w:tr>
      <w:tr w14:paraId="19EB5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trPr>
        <w:tc>
          <w:tcPr>
            <w:tcW w:w="11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D8B0A3">
            <w:pPr>
              <w:spacing w:beforeLines="0" w:afterLines="0"/>
              <w:jc w:val="center"/>
              <w:textAlignment w:val="center"/>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bidi="ar"/>
              </w:rPr>
              <w:t>一</w:t>
            </w:r>
          </w:p>
        </w:tc>
        <w:tc>
          <w:tcPr>
            <w:tcW w:w="1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9F63D7">
            <w:pPr>
              <w:keepNext w:val="0"/>
              <w:keepLines w:val="0"/>
              <w:widowControl/>
              <w:suppressLineNumbers w:val="0"/>
              <w:jc w:val="center"/>
              <w:textAlignment w:val="center"/>
              <w:rPr>
                <w:rFonts w:hint="default" w:ascii="宋体" w:hAnsi="宋体" w:eastAsia="宋体" w:cs="宋体"/>
                <w:b/>
                <w:bCs/>
                <w:color w:val="auto"/>
                <w:sz w:val="24"/>
                <w:szCs w:val="24"/>
                <w:highlight w:val="none"/>
                <w:lang w:bidi="ar"/>
              </w:rPr>
            </w:pPr>
            <w:r>
              <w:rPr>
                <w:rFonts w:hint="eastAsia" w:ascii="宋体" w:hAnsi="宋体" w:eastAsia="宋体" w:cs="宋体"/>
                <w:b/>
                <w:bCs/>
                <w:i w:val="0"/>
                <w:iCs w:val="0"/>
                <w:color w:val="000000"/>
                <w:kern w:val="0"/>
                <w:sz w:val="24"/>
                <w:szCs w:val="24"/>
                <w:highlight w:val="none"/>
                <w:u w:val="none"/>
                <w:lang w:val="en-US" w:eastAsia="zh-CN" w:bidi="ar"/>
              </w:rPr>
              <w:t>月湖街道</w:t>
            </w:r>
          </w:p>
        </w:tc>
        <w:tc>
          <w:tcPr>
            <w:tcW w:w="892"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68EADB1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14571</w:t>
            </w:r>
          </w:p>
        </w:tc>
        <w:tc>
          <w:tcPr>
            <w:tcW w:w="11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7992E7E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5278</w:t>
            </w:r>
          </w:p>
        </w:tc>
        <w:tc>
          <w:tcPr>
            <w:tcW w:w="977"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2201AE21">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1176</w:t>
            </w:r>
          </w:p>
        </w:tc>
        <w:tc>
          <w:tcPr>
            <w:tcW w:w="1068" w:type="dxa"/>
            <w:gridSpan w:val="2"/>
            <w:tcBorders>
              <w:top w:val="single" w:color="000000" w:sz="4" w:space="0"/>
              <w:left w:val="single" w:color="auto" w:sz="4" w:space="0"/>
              <w:bottom w:val="single" w:color="000000" w:sz="4" w:space="0"/>
              <w:right w:val="single" w:color="000000" w:sz="4" w:space="0"/>
              <w:tl2br w:val="nil"/>
              <w:tr2bl w:val="nil"/>
            </w:tcBorders>
            <w:noWrap w:val="0"/>
            <w:vAlign w:val="center"/>
          </w:tcPr>
          <w:p w14:paraId="6209122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21025</w:t>
            </w:r>
          </w:p>
        </w:tc>
        <w:tc>
          <w:tcPr>
            <w:tcW w:w="1536" w:type="dxa"/>
            <w:vMerge w:val="restart"/>
            <w:tcBorders>
              <w:top w:val="single" w:color="000000" w:sz="4" w:space="0"/>
              <w:left w:val="single" w:color="000000" w:sz="4" w:space="0"/>
              <w:right w:val="single" w:color="000000" w:sz="4" w:space="0"/>
              <w:tl2br w:val="nil"/>
              <w:tr2bl w:val="nil"/>
            </w:tcBorders>
            <w:noWrap w:val="0"/>
            <w:vAlign w:val="center"/>
          </w:tcPr>
          <w:p w14:paraId="106F25C9">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11.57</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BDBFCC">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243259.</w:t>
            </w:r>
            <w:r>
              <w:rPr>
                <w:rFonts w:hint="eastAsia" w:ascii="宋体" w:hAnsi="宋体" w:cs="宋体"/>
                <w:i w:val="0"/>
                <w:iCs w:val="0"/>
                <w:color w:val="000000"/>
                <w:kern w:val="0"/>
                <w:sz w:val="22"/>
                <w:szCs w:val="22"/>
                <w:highlight w:val="none"/>
                <w:u w:val="none"/>
                <w:lang w:val="en-US" w:eastAsia="zh-CN" w:bidi="ar"/>
              </w:rPr>
              <w:t>3</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61259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629</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40B54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265</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4F566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830</w:t>
            </w:r>
          </w:p>
        </w:tc>
      </w:tr>
      <w:tr w14:paraId="5A570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11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91D4E3">
            <w:pPr>
              <w:spacing w:beforeLines="0" w:afterLines="0"/>
              <w:jc w:val="center"/>
              <w:rPr>
                <w:rFonts w:hint="default" w:ascii="宋体" w:hAnsi="宋体" w:eastAsia="宋体" w:cs="宋体"/>
                <w:color w:val="auto"/>
                <w:sz w:val="24"/>
                <w:szCs w:val="24"/>
                <w:highlight w:val="none"/>
              </w:rPr>
            </w:pPr>
          </w:p>
        </w:tc>
        <w:tc>
          <w:tcPr>
            <w:tcW w:w="1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03CED0">
            <w:pPr>
              <w:keepNext w:val="0"/>
              <w:keepLines w:val="0"/>
              <w:widowControl/>
              <w:suppressLineNumbers w:val="0"/>
              <w:jc w:val="center"/>
              <w:textAlignment w:val="center"/>
              <w:rPr>
                <w:rFonts w:hint="default" w:ascii="宋体" w:hAnsi="宋体" w:eastAsia="宋体" w:cs="宋体"/>
                <w:b/>
                <w:bCs/>
                <w:color w:val="auto"/>
                <w:sz w:val="24"/>
                <w:szCs w:val="24"/>
                <w:highlight w:val="none"/>
                <w:lang w:bidi="ar"/>
              </w:rPr>
            </w:pPr>
            <w:r>
              <w:rPr>
                <w:rFonts w:hint="eastAsia" w:ascii="宋体" w:hAnsi="宋体" w:eastAsia="宋体" w:cs="宋体"/>
                <w:b/>
                <w:bCs/>
                <w:i w:val="0"/>
                <w:iCs w:val="0"/>
                <w:color w:val="000000"/>
                <w:kern w:val="0"/>
                <w:sz w:val="24"/>
                <w:szCs w:val="24"/>
                <w:highlight w:val="none"/>
                <w:u w:val="none"/>
                <w:lang w:val="en-US" w:eastAsia="zh-CN" w:bidi="ar"/>
              </w:rPr>
              <w:t>南门街道</w:t>
            </w:r>
          </w:p>
        </w:tc>
        <w:tc>
          <w:tcPr>
            <w:tcW w:w="892"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65DC29D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30572</w:t>
            </w:r>
          </w:p>
        </w:tc>
        <w:tc>
          <w:tcPr>
            <w:tcW w:w="11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7ED3D76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11381</w:t>
            </w:r>
          </w:p>
        </w:tc>
        <w:tc>
          <w:tcPr>
            <w:tcW w:w="977"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23A9B92F">
            <w:pPr>
              <w:jc w:val="center"/>
              <w:rPr>
                <w:rFonts w:hint="default" w:ascii="宋体" w:hAnsi="宋体" w:eastAsia="宋体" w:cs="宋体"/>
                <w:color w:val="auto"/>
                <w:sz w:val="24"/>
                <w:szCs w:val="24"/>
                <w:highlight w:val="none"/>
                <w:lang w:val="en-US" w:eastAsia="zh-CN"/>
              </w:rPr>
            </w:pPr>
          </w:p>
        </w:tc>
        <w:tc>
          <w:tcPr>
            <w:tcW w:w="1068" w:type="dxa"/>
            <w:gridSpan w:val="2"/>
            <w:tcBorders>
              <w:top w:val="single" w:color="000000" w:sz="4" w:space="0"/>
              <w:left w:val="single" w:color="auto" w:sz="4" w:space="0"/>
              <w:bottom w:val="single" w:color="000000" w:sz="4" w:space="0"/>
              <w:right w:val="single" w:color="000000" w:sz="4" w:space="0"/>
              <w:tl2br w:val="nil"/>
              <w:tr2bl w:val="nil"/>
            </w:tcBorders>
            <w:noWrap w:val="0"/>
            <w:vAlign w:val="center"/>
          </w:tcPr>
          <w:p w14:paraId="1D44757A">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41953</w:t>
            </w:r>
          </w:p>
        </w:tc>
        <w:tc>
          <w:tcPr>
            <w:tcW w:w="1536" w:type="dxa"/>
            <w:vMerge w:val="continue"/>
            <w:tcBorders>
              <w:left w:val="single" w:color="000000" w:sz="4" w:space="0"/>
              <w:right w:val="single" w:color="000000" w:sz="4" w:space="0"/>
              <w:tl2br w:val="nil"/>
              <w:tr2bl w:val="nil"/>
            </w:tcBorders>
            <w:noWrap w:val="0"/>
            <w:vAlign w:val="center"/>
          </w:tcPr>
          <w:p w14:paraId="29056369">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E60FD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485396.2</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9091D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890</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C56BD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550</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7A967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1634</w:t>
            </w:r>
          </w:p>
        </w:tc>
      </w:tr>
      <w:tr w14:paraId="25840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11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3F3F73">
            <w:pPr>
              <w:spacing w:beforeLines="0" w:afterLines="0"/>
              <w:jc w:val="center"/>
              <w:rPr>
                <w:rFonts w:hint="default" w:ascii="宋体" w:hAnsi="宋体" w:eastAsia="宋体" w:cs="宋体"/>
                <w:color w:val="auto"/>
                <w:sz w:val="24"/>
                <w:szCs w:val="24"/>
                <w:highlight w:val="none"/>
              </w:rPr>
            </w:pPr>
          </w:p>
        </w:tc>
        <w:tc>
          <w:tcPr>
            <w:tcW w:w="1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AFC7BA">
            <w:pPr>
              <w:keepNext w:val="0"/>
              <w:keepLines w:val="0"/>
              <w:widowControl/>
              <w:suppressLineNumbers w:val="0"/>
              <w:jc w:val="center"/>
              <w:textAlignment w:val="center"/>
              <w:rPr>
                <w:rFonts w:hint="default" w:ascii="宋体" w:hAnsi="宋体" w:eastAsia="宋体" w:cs="宋体"/>
                <w:b/>
                <w:bCs/>
                <w:color w:val="auto"/>
                <w:sz w:val="24"/>
                <w:szCs w:val="24"/>
                <w:highlight w:val="none"/>
                <w:lang w:bidi="ar"/>
              </w:rPr>
            </w:pPr>
            <w:r>
              <w:rPr>
                <w:rFonts w:hint="eastAsia" w:ascii="宋体" w:hAnsi="宋体" w:eastAsia="宋体" w:cs="宋体"/>
                <w:b/>
                <w:bCs/>
                <w:i w:val="0"/>
                <w:iCs w:val="0"/>
                <w:color w:val="000000"/>
                <w:kern w:val="0"/>
                <w:sz w:val="24"/>
                <w:szCs w:val="24"/>
                <w:highlight w:val="none"/>
                <w:u w:val="none"/>
                <w:lang w:val="en-US" w:eastAsia="zh-CN" w:bidi="ar"/>
              </w:rPr>
              <w:t>段塘街道</w:t>
            </w:r>
          </w:p>
        </w:tc>
        <w:tc>
          <w:tcPr>
            <w:tcW w:w="892"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77421DD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48051</w:t>
            </w:r>
          </w:p>
        </w:tc>
        <w:tc>
          <w:tcPr>
            <w:tcW w:w="11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4ABA642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13680</w:t>
            </w:r>
          </w:p>
        </w:tc>
        <w:tc>
          <w:tcPr>
            <w:tcW w:w="977"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31F0DB25">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453</w:t>
            </w:r>
          </w:p>
        </w:tc>
        <w:tc>
          <w:tcPr>
            <w:tcW w:w="1068" w:type="dxa"/>
            <w:gridSpan w:val="2"/>
            <w:tcBorders>
              <w:top w:val="single" w:color="000000" w:sz="4" w:space="0"/>
              <w:left w:val="single" w:color="auto" w:sz="4" w:space="0"/>
              <w:bottom w:val="single" w:color="000000" w:sz="4" w:space="0"/>
              <w:right w:val="single" w:color="000000" w:sz="4" w:space="0"/>
              <w:tl2br w:val="nil"/>
              <w:tr2bl w:val="nil"/>
            </w:tcBorders>
            <w:noWrap w:val="0"/>
            <w:vAlign w:val="center"/>
          </w:tcPr>
          <w:p w14:paraId="4BAAEDF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62184</w:t>
            </w:r>
          </w:p>
        </w:tc>
        <w:tc>
          <w:tcPr>
            <w:tcW w:w="1536" w:type="dxa"/>
            <w:vMerge w:val="continue"/>
            <w:tcBorders>
              <w:left w:val="single" w:color="000000" w:sz="4" w:space="0"/>
              <w:right w:val="single" w:color="000000" w:sz="4" w:space="0"/>
              <w:tl2br w:val="nil"/>
              <w:tr2bl w:val="nil"/>
            </w:tcBorders>
            <w:noWrap w:val="0"/>
            <w:vAlign w:val="center"/>
          </w:tcPr>
          <w:p w14:paraId="6318D540">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9EB5FA">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719468.</w:t>
            </w:r>
            <w:r>
              <w:rPr>
                <w:rFonts w:hint="eastAsia" w:ascii="宋体" w:hAnsi="宋体" w:cs="宋体"/>
                <w:i w:val="0"/>
                <w:iCs w:val="0"/>
                <w:color w:val="000000"/>
                <w:kern w:val="0"/>
                <w:sz w:val="22"/>
                <w:szCs w:val="22"/>
                <w:highlight w:val="none"/>
                <w:u w:val="none"/>
                <w:lang w:val="en-US" w:eastAsia="zh-CN" w:bidi="ar"/>
              </w:rPr>
              <w:t>9</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C1638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1014</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1ABDD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544</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E3293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2051</w:t>
            </w:r>
          </w:p>
        </w:tc>
      </w:tr>
      <w:tr w14:paraId="02BA7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11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25AE50">
            <w:pPr>
              <w:spacing w:beforeLines="0" w:afterLines="0"/>
              <w:jc w:val="center"/>
              <w:rPr>
                <w:rFonts w:hint="default" w:ascii="宋体" w:hAnsi="宋体" w:eastAsia="宋体" w:cs="宋体"/>
                <w:color w:val="auto"/>
                <w:sz w:val="24"/>
                <w:szCs w:val="24"/>
                <w:highlight w:val="none"/>
              </w:rPr>
            </w:pPr>
          </w:p>
        </w:tc>
        <w:tc>
          <w:tcPr>
            <w:tcW w:w="1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8091DC">
            <w:pPr>
              <w:keepNext w:val="0"/>
              <w:keepLines w:val="0"/>
              <w:widowControl/>
              <w:suppressLineNumbers w:val="0"/>
              <w:jc w:val="center"/>
              <w:textAlignment w:val="center"/>
              <w:rPr>
                <w:rFonts w:hint="default" w:ascii="宋体" w:hAnsi="宋体" w:eastAsia="宋体" w:cs="宋体"/>
                <w:b/>
                <w:bCs/>
                <w:color w:val="auto"/>
                <w:sz w:val="24"/>
                <w:szCs w:val="24"/>
                <w:highlight w:val="none"/>
                <w:lang w:bidi="ar"/>
              </w:rPr>
            </w:pPr>
            <w:r>
              <w:rPr>
                <w:rFonts w:hint="eastAsia" w:ascii="宋体" w:hAnsi="宋体" w:eastAsia="宋体" w:cs="宋体"/>
                <w:b/>
                <w:bCs/>
                <w:i w:val="0"/>
                <w:iCs w:val="0"/>
                <w:color w:val="000000"/>
                <w:kern w:val="0"/>
                <w:sz w:val="24"/>
                <w:szCs w:val="24"/>
                <w:highlight w:val="none"/>
                <w:u w:val="none"/>
                <w:lang w:val="en-US" w:eastAsia="zh-CN" w:bidi="ar"/>
              </w:rPr>
              <w:t>石碶街道</w:t>
            </w:r>
          </w:p>
        </w:tc>
        <w:tc>
          <w:tcPr>
            <w:tcW w:w="892"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79A81AA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74956</w:t>
            </w:r>
          </w:p>
        </w:tc>
        <w:tc>
          <w:tcPr>
            <w:tcW w:w="11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3EE351B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8752</w:t>
            </w:r>
          </w:p>
        </w:tc>
        <w:tc>
          <w:tcPr>
            <w:tcW w:w="977"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6A030638">
            <w:pPr>
              <w:jc w:val="center"/>
              <w:rPr>
                <w:rFonts w:hint="default" w:ascii="宋体" w:hAnsi="宋体" w:eastAsia="宋体" w:cs="宋体"/>
                <w:color w:val="auto"/>
                <w:sz w:val="24"/>
                <w:szCs w:val="24"/>
                <w:highlight w:val="none"/>
                <w:lang w:val="en-US" w:eastAsia="zh-CN"/>
              </w:rPr>
            </w:pPr>
          </w:p>
        </w:tc>
        <w:tc>
          <w:tcPr>
            <w:tcW w:w="1068" w:type="dxa"/>
            <w:gridSpan w:val="2"/>
            <w:tcBorders>
              <w:top w:val="single" w:color="000000" w:sz="4" w:space="0"/>
              <w:left w:val="single" w:color="auto" w:sz="4" w:space="0"/>
              <w:bottom w:val="single" w:color="000000" w:sz="4" w:space="0"/>
              <w:right w:val="single" w:color="000000" w:sz="4" w:space="0"/>
              <w:tl2br w:val="nil"/>
              <w:tr2bl w:val="nil"/>
            </w:tcBorders>
            <w:noWrap w:val="0"/>
            <w:vAlign w:val="center"/>
          </w:tcPr>
          <w:p w14:paraId="1ED10174">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83708</w:t>
            </w:r>
          </w:p>
        </w:tc>
        <w:tc>
          <w:tcPr>
            <w:tcW w:w="1536" w:type="dxa"/>
            <w:vMerge w:val="continue"/>
            <w:tcBorders>
              <w:left w:val="single" w:color="000000" w:sz="4" w:space="0"/>
              <w:right w:val="single" w:color="000000" w:sz="4" w:space="0"/>
              <w:tl2br w:val="nil"/>
              <w:tr2bl w:val="nil"/>
            </w:tcBorders>
            <w:noWrap w:val="0"/>
            <w:vAlign w:val="center"/>
          </w:tcPr>
          <w:p w14:paraId="20500B28">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BDD103">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968501.</w:t>
            </w:r>
            <w:r>
              <w:rPr>
                <w:rFonts w:hint="eastAsia" w:ascii="宋体" w:hAnsi="宋体" w:cs="宋体"/>
                <w:i w:val="0"/>
                <w:iCs w:val="0"/>
                <w:color w:val="000000"/>
                <w:kern w:val="0"/>
                <w:sz w:val="22"/>
                <w:szCs w:val="22"/>
                <w:highlight w:val="none"/>
                <w:u w:val="none"/>
                <w:lang w:val="en-US" w:eastAsia="zh-CN" w:bidi="ar"/>
              </w:rPr>
              <w:t>6</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94B2D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1615</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09F81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244</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DFDCD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2952</w:t>
            </w:r>
          </w:p>
        </w:tc>
      </w:tr>
      <w:tr w14:paraId="04FFF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1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1E24DF">
            <w:pPr>
              <w:spacing w:beforeLines="0" w:afterLines="0"/>
              <w:jc w:val="center"/>
              <w:rPr>
                <w:rFonts w:hint="default" w:ascii="宋体" w:hAnsi="宋体" w:eastAsia="宋体" w:cs="宋体"/>
                <w:color w:val="auto"/>
                <w:sz w:val="24"/>
                <w:szCs w:val="24"/>
                <w:highlight w:val="none"/>
              </w:rPr>
            </w:pPr>
          </w:p>
        </w:tc>
        <w:tc>
          <w:tcPr>
            <w:tcW w:w="1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E7FD0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高桥镇</w:t>
            </w:r>
          </w:p>
        </w:tc>
        <w:tc>
          <w:tcPr>
            <w:tcW w:w="892"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464D66F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13432</w:t>
            </w:r>
          </w:p>
        </w:tc>
        <w:tc>
          <w:tcPr>
            <w:tcW w:w="11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3D478C6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1284</w:t>
            </w:r>
          </w:p>
        </w:tc>
        <w:tc>
          <w:tcPr>
            <w:tcW w:w="977"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5A0552BD">
            <w:pPr>
              <w:jc w:val="center"/>
              <w:rPr>
                <w:rFonts w:hint="default" w:ascii="宋体" w:hAnsi="宋体" w:eastAsia="宋体" w:cs="宋体"/>
                <w:color w:val="auto"/>
                <w:sz w:val="24"/>
                <w:szCs w:val="24"/>
                <w:highlight w:val="none"/>
                <w:lang w:val="en-US" w:eastAsia="zh-CN"/>
              </w:rPr>
            </w:pPr>
          </w:p>
        </w:tc>
        <w:tc>
          <w:tcPr>
            <w:tcW w:w="1068" w:type="dxa"/>
            <w:gridSpan w:val="2"/>
            <w:tcBorders>
              <w:top w:val="single" w:color="000000" w:sz="4" w:space="0"/>
              <w:left w:val="single" w:color="auto" w:sz="4" w:space="0"/>
              <w:bottom w:val="single" w:color="000000" w:sz="4" w:space="0"/>
              <w:right w:val="single" w:color="000000" w:sz="4" w:space="0"/>
              <w:tl2br w:val="nil"/>
              <w:tr2bl w:val="nil"/>
            </w:tcBorders>
            <w:noWrap w:val="0"/>
            <w:vAlign w:val="center"/>
          </w:tcPr>
          <w:p w14:paraId="0F0886B4">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14716</w:t>
            </w:r>
          </w:p>
        </w:tc>
        <w:tc>
          <w:tcPr>
            <w:tcW w:w="1536" w:type="dxa"/>
            <w:vMerge w:val="continue"/>
            <w:tcBorders>
              <w:left w:val="single" w:color="000000" w:sz="4" w:space="0"/>
              <w:bottom w:val="single" w:color="000000" w:sz="4" w:space="0"/>
              <w:right w:val="single" w:color="000000" w:sz="4" w:space="0"/>
              <w:tl2br w:val="nil"/>
              <w:tr2bl w:val="nil"/>
            </w:tcBorders>
            <w:noWrap w:val="0"/>
            <w:vAlign w:val="center"/>
          </w:tcPr>
          <w:p w14:paraId="78FE149C">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893F9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170264.1</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34052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471</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D7C2A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0FEF4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584</w:t>
            </w:r>
          </w:p>
        </w:tc>
      </w:tr>
      <w:tr w14:paraId="1E48E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11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59AA8D">
            <w:pPr>
              <w:spacing w:beforeLines="0" w:afterLines="0"/>
              <w:jc w:val="center"/>
              <w:rPr>
                <w:rFonts w:hint="default" w:ascii="宋体" w:hAnsi="宋体" w:eastAsia="宋体" w:cs="宋体"/>
                <w:color w:val="auto"/>
                <w:sz w:val="24"/>
                <w:szCs w:val="24"/>
                <w:highlight w:val="none"/>
              </w:rPr>
            </w:pPr>
          </w:p>
        </w:tc>
        <w:tc>
          <w:tcPr>
            <w:tcW w:w="1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F82317">
            <w:pPr>
              <w:spacing w:beforeLines="0" w:afterLines="0"/>
              <w:jc w:val="center"/>
              <w:textAlignment w:val="center"/>
              <w:rPr>
                <w:rFonts w:hint="default" w:ascii="宋体" w:hAnsi="宋体" w:eastAsia="宋体" w:cs="宋体"/>
                <w:b/>
                <w:bCs/>
                <w:color w:val="auto"/>
                <w:sz w:val="24"/>
                <w:szCs w:val="24"/>
                <w:highlight w:val="none"/>
                <w:lang w:bidi="ar"/>
              </w:rPr>
            </w:pPr>
            <w:r>
              <w:rPr>
                <w:rFonts w:hint="default" w:ascii="宋体" w:hAnsi="宋体" w:eastAsia="宋体" w:cs="宋体"/>
                <w:b/>
                <w:bCs/>
                <w:color w:val="auto"/>
                <w:sz w:val="24"/>
                <w:szCs w:val="24"/>
                <w:highlight w:val="none"/>
                <w:lang w:bidi="ar"/>
              </w:rPr>
              <w:t>暂列金额</w:t>
            </w:r>
          </w:p>
        </w:tc>
        <w:tc>
          <w:tcPr>
            <w:tcW w:w="558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7D56CE">
            <w:pPr>
              <w:widowControl/>
              <w:spacing w:beforeLines="0" w:afterLines="0"/>
              <w:jc w:val="center"/>
              <w:textAlignment w:val="center"/>
              <w:rPr>
                <w:rFonts w:hint="default" w:ascii="宋体" w:hAnsi="宋体" w:eastAsia="宋体" w:cs="宋体"/>
                <w:color w:val="auto"/>
                <w:sz w:val="24"/>
                <w:szCs w:val="24"/>
                <w:highlight w:val="none"/>
                <w:lang w:val="en-US" w:eastAsia="zh-CN"/>
              </w:rPr>
            </w:pP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EDD788">
            <w:pPr>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200000</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3C7AF5">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1D4DC8">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E7A8E1">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p>
        </w:tc>
      </w:tr>
      <w:tr w14:paraId="57D40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11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ACBD1B">
            <w:pPr>
              <w:spacing w:beforeLines="0" w:afterLines="0"/>
              <w:jc w:val="center"/>
              <w:rPr>
                <w:rFonts w:hint="default" w:ascii="宋体" w:hAnsi="宋体" w:eastAsia="宋体" w:cs="宋体"/>
                <w:color w:val="auto"/>
                <w:sz w:val="24"/>
                <w:szCs w:val="24"/>
                <w:highlight w:val="none"/>
              </w:rPr>
            </w:pPr>
          </w:p>
        </w:tc>
        <w:tc>
          <w:tcPr>
            <w:tcW w:w="1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79CC61">
            <w:pPr>
              <w:spacing w:beforeLines="0" w:afterLines="0"/>
              <w:jc w:val="center"/>
              <w:textAlignment w:val="center"/>
              <w:rPr>
                <w:rFonts w:hint="default" w:ascii="宋体" w:hAnsi="宋体" w:eastAsia="宋体" w:cs="宋体"/>
                <w:b/>
                <w:bCs/>
                <w:color w:val="auto"/>
                <w:sz w:val="24"/>
                <w:szCs w:val="24"/>
                <w:highlight w:val="none"/>
              </w:rPr>
            </w:pPr>
            <w:r>
              <w:rPr>
                <w:rFonts w:hint="default" w:ascii="宋体" w:hAnsi="宋体" w:eastAsia="宋体" w:cs="宋体"/>
                <w:b/>
                <w:bCs/>
                <w:color w:val="auto"/>
                <w:sz w:val="24"/>
                <w:szCs w:val="24"/>
                <w:highlight w:val="none"/>
                <w:lang w:bidi="ar"/>
              </w:rPr>
              <w:t>小计</w:t>
            </w:r>
          </w:p>
        </w:tc>
        <w:tc>
          <w:tcPr>
            <w:tcW w:w="558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027F04">
            <w:pPr>
              <w:spacing w:beforeLines="0" w:afterLines="0"/>
              <w:jc w:val="center"/>
              <w:textAlignment w:val="center"/>
              <w:rPr>
                <w:rFonts w:hint="default" w:ascii="宋体" w:hAnsi="宋体" w:eastAsia="宋体" w:cs="宋体"/>
                <w:color w:val="auto"/>
                <w:sz w:val="24"/>
                <w:szCs w:val="24"/>
                <w:highlight w:val="none"/>
              </w:rPr>
            </w:pP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84F749">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2786890</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15F604">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4619</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F5C191">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1651</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5F12C0">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8051</w:t>
            </w:r>
          </w:p>
        </w:tc>
      </w:tr>
      <w:tr w14:paraId="7055B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A969AA">
            <w:pPr>
              <w:spacing w:beforeLines="0" w:afterLines="0"/>
              <w:jc w:val="center"/>
              <w:rPr>
                <w:rFonts w:hint="default" w:ascii="宋体" w:hAnsi="宋体" w:eastAsia="宋体" w:cs="宋体"/>
                <w:color w:val="auto"/>
                <w:sz w:val="24"/>
                <w:szCs w:val="24"/>
                <w:highlight w:val="none"/>
              </w:rPr>
            </w:pPr>
          </w:p>
        </w:tc>
        <w:tc>
          <w:tcPr>
            <w:tcW w:w="6971"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F31571">
            <w:pPr>
              <w:spacing w:beforeLines="0" w:afterLines="0"/>
              <w:jc w:val="center"/>
              <w:textAlignment w:val="center"/>
              <w:rPr>
                <w:rFonts w:hint="default" w:ascii="宋体" w:hAnsi="宋体" w:eastAsia="宋体" w:cs="宋体"/>
                <w:color w:val="auto"/>
                <w:sz w:val="24"/>
                <w:szCs w:val="24"/>
                <w:highlight w:val="none"/>
                <w:lang w:bidi="ar"/>
              </w:rPr>
            </w:pPr>
            <w:r>
              <w:rPr>
                <w:rFonts w:hint="default" w:ascii="宋体" w:hAnsi="宋体" w:eastAsia="宋体" w:cs="宋体"/>
                <w:b/>
                <w:color w:val="auto"/>
                <w:sz w:val="24"/>
                <w:szCs w:val="24"/>
                <w:highlight w:val="none"/>
                <w:lang w:bidi="ar"/>
              </w:rPr>
              <w:t>年度最高限价</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090CED">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2786890</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CB4EB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7BC9E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2F9EF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4F295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185" w:type="dxa"/>
            <w:vMerge w:val="restart"/>
            <w:tcBorders>
              <w:top w:val="single" w:color="000000" w:sz="4" w:space="0"/>
              <w:left w:val="single" w:color="000000" w:sz="4" w:space="0"/>
              <w:bottom w:val="single" w:color="auto" w:sz="4" w:space="0"/>
              <w:right w:val="single" w:color="000000" w:sz="4" w:space="0"/>
              <w:tl2br w:val="nil"/>
              <w:tr2bl w:val="nil"/>
            </w:tcBorders>
            <w:noWrap w:val="0"/>
            <w:vAlign w:val="center"/>
          </w:tcPr>
          <w:p w14:paraId="3CD5FFED">
            <w:pPr>
              <w:spacing w:beforeLines="0" w:afterLines="0"/>
              <w:jc w:val="center"/>
              <w:textAlignment w:val="center"/>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bidi="ar"/>
              </w:rPr>
              <w:t>二</w:t>
            </w:r>
          </w:p>
        </w:tc>
        <w:tc>
          <w:tcPr>
            <w:tcW w:w="1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696DF3">
            <w:pPr>
              <w:keepNext w:val="0"/>
              <w:keepLines w:val="0"/>
              <w:widowControl/>
              <w:suppressLineNumbers w:val="0"/>
              <w:jc w:val="center"/>
              <w:textAlignment w:val="center"/>
              <w:rPr>
                <w:rFonts w:hint="default" w:ascii="宋体" w:hAnsi="宋体" w:eastAsia="宋体" w:cs="宋体"/>
                <w:b/>
                <w:bCs/>
                <w:color w:val="auto"/>
                <w:sz w:val="24"/>
                <w:szCs w:val="24"/>
                <w:highlight w:val="none"/>
                <w:lang w:bidi="ar"/>
              </w:rPr>
            </w:pPr>
            <w:r>
              <w:rPr>
                <w:rFonts w:hint="eastAsia" w:ascii="宋体" w:hAnsi="宋体" w:eastAsia="宋体" w:cs="宋体"/>
                <w:b/>
                <w:bCs/>
                <w:i w:val="0"/>
                <w:iCs w:val="0"/>
                <w:color w:val="000000"/>
                <w:kern w:val="0"/>
                <w:sz w:val="24"/>
                <w:szCs w:val="24"/>
                <w:highlight w:val="none"/>
                <w:u w:val="none"/>
                <w:lang w:val="en-US" w:eastAsia="zh-CN" w:bidi="ar"/>
              </w:rPr>
              <w:t>鼓楼街道</w:t>
            </w:r>
          </w:p>
        </w:tc>
        <w:tc>
          <w:tcPr>
            <w:tcW w:w="892"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55B6D214">
            <w:pPr>
              <w:keepNext w:val="0"/>
              <w:keepLines w:val="0"/>
              <w:widowControl/>
              <w:suppressLineNumbers w:val="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23638</w:t>
            </w:r>
          </w:p>
        </w:tc>
        <w:tc>
          <w:tcPr>
            <w:tcW w:w="11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26E69050">
            <w:pPr>
              <w:keepNext w:val="0"/>
              <w:keepLines w:val="0"/>
              <w:widowControl/>
              <w:suppressLineNumbers w:val="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8711</w:t>
            </w:r>
          </w:p>
        </w:tc>
        <w:tc>
          <w:tcPr>
            <w:tcW w:w="977"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36359665">
            <w:pPr>
              <w:keepNext w:val="0"/>
              <w:keepLines w:val="0"/>
              <w:widowControl/>
              <w:suppressLineNumbers w:val="0"/>
              <w:jc w:val="center"/>
              <w:textAlignment w:val="center"/>
              <w:rPr>
                <w:rFonts w:hint="default" w:ascii="宋体" w:hAnsi="宋体" w:cs="宋体"/>
                <w:color w:val="auto"/>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652</w:t>
            </w:r>
          </w:p>
        </w:tc>
        <w:tc>
          <w:tcPr>
            <w:tcW w:w="927"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35AF537B">
            <w:pPr>
              <w:keepNext w:val="0"/>
              <w:keepLines w:val="0"/>
              <w:widowControl/>
              <w:suppressLineNumbers w:val="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33001</w:t>
            </w:r>
          </w:p>
        </w:tc>
        <w:tc>
          <w:tcPr>
            <w:tcW w:w="1677" w:type="dxa"/>
            <w:gridSpan w:val="2"/>
            <w:vMerge w:val="restart"/>
            <w:tcBorders>
              <w:top w:val="single" w:color="000000" w:sz="4" w:space="0"/>
              <w:left w:val="single" w:color="000000" w:sz="4" w:space="0"/>
              <w:right w:val="single" w:color="000000" w:sz="4" w:space="0"/>
              <w:tl2br w:val="nil"/>
              <w:tr2bl w:val="nil"/>
            </w:tcBorders>
            <w:noWrap w:val="0"/>
            <w:vAlign w:val="center"/>
          </w:tcPr>
          <w:p w14:paraId="6421F0EE">
            <w:pPr>
              <w:keepNext w:val="0"/>
              <w:keepLines w:val="0"/>
              <w:widowControl/>
              <w:suppressLineNumbers w:val="0"/>
              <w:jc w:val="center"/>
              <w:textAlignment w:val="center"/>
              <w:rPr>
                <w:rFonts w:hint="default" w:ascii="宋体" w:hAnsi="宋体" w:cs="宋体"/>
                <w:color w:val="auto"/>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11.57</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CDF97D">
            <w:pPr>
              <w:keepNext w:val="0"/>
              <w:keepLines w:val="0"/>
              <w:widowControl/>
              <w:suppressLineNumbers w:val="0"/>
              <w:jc w:val="center"/>
              <w:textAlignment w:val="center"/>
              <w:rPr>
                <w:rFonts w:hint="default" w:ascii="宋体" w:hAnsi="宋体" w:cs="宋体"/>
                <w:color w:val="auto"/>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381821.</w:t>
            </w:r>
            <w:r>
              <w:rPr>
                <w:rFonts w:hint="eastAsia" w:ascii="宋体" w:hAnsi="宋体" w:cs="宋体"/>
                <w:i w:val="0"/>
                <w:iCs w:val="0"/>
                <w:color w:val="000000"/>
                <w:kern w:val="0"/>
                <w:sz w:val="22"/>
                <w:szCs w:val="22"/>
                <w:highlight w:val="none"/>
                <w:u w:val="none"/>
                <w:lang w:val="en-US" w:eastAsia="zh-CN" w:bidi="ar"/>
              </w:rPr>
              <w:t>6</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013C6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757</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F0BAC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480</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95598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1173</w:t>
            </w:r>
          </w:p>
        </w:tc>
      </w:tr>
      <w:tr w14:paraId="13474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185"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14:paraId="1EEAD662">
            <w:pPr>
              <w:spacing w:beforeLines="0" w:afterLines="0"/>
              <w:jc w:val="center"/>
              <w:rPr>
                <w:rFonts w:hint="default" w:ascii="宋体" w:hAnsi="宋体" w:eastAsia="宋体" w:cs="宋体"/>
                <w:color w:val="auto"/>
                <w:sz w:val="24"/>
                <w:szCs w:val="24"/>
                <w:highlight w:val="none"/>
              </w:rPr>
            </w:pPr>
          </w:p>
        </w:tc>
        <w:tc>
          <w:tcPr>
            <w:tcW w:w="1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519520">
            <w:pPr>
              <w:keepNext w:val="0"/>
              <w:keepLines w:val="0"/>
              <w:widowControl/>
              <w:suppressLineNumbers w:val="0"/>
              <w:jc w:val="center"/>
              <w:textAlignment w:val="center"/>
              <w:rPr>
                <w:rFonts w:hint="default" w:ascii="宋体" w:hAnsi="宋体" w:eastAsia="宋体" w:cs="宋体"/>
                <w:b/>
                <w:bCs/>
                <w:color w:val="auto"/>
                <w:sz w:val="24"/>
                <w:szCs w:val="24"/>
                <w:highlight w:val="none"/>
                <w:lang w:bidi="ar"/>
              </w:rPr>
            </w:pPr>
            <w:r>
              <w:rPr>
                <w:rFonts w:hint="eastAsia" w:ascii="宋体" w:hAnsi="宋体" w:eastAsia="宋体" w:cs="宋体"/>
                <w:b/>
                <w:bCs/>
                <w:i w:val="0"/>
                <w:iCs w:val="0"/>
                <w:color w:val="000000"/>
                <w:kern w:val="0"/>
                <w:sz w:val="24"/>
                <w:szCs w:val="24"/>
                <w:highlight w:val="none"/>
                <w:u w:val="none"/>
                <w:lang w:val="en-US" w:eastAsia="zh-CN" w:bidi="ar"/>
              </w:rPr>
              <w:t>江厦街道</w:t>
            </w:r>
          </w:p>
        </w:tc>
        <w:tc>
          <w:tcPr>
            <w:tcW w:w="892"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30993665">
            <w:pPr>
              <w:keepNext w:val="0"/>
              <w:keepLines w:val="0"/>
              <w:widowControl/>
              <w:suppressLineNumbers w:val="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15567</w:t>
            </w:r>
          </w:p>
        </w:tc>
        <w:tc>
          <w:tcPr>
            <w:tcW w:w="11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31A30BD1">
            <w:pPr>
              <w:keepNext w:val="0"/>
              <w:keepLines w:val="0"/>
              <w:widowControl/>
              <w:suppressLineNumbers w:val="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8581</w:t>
            </w:r>
          </w:p>
        </w:tc>
        <w:tc>
          <w:tcPr>
            <w:tcW w:w="977"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1459F889">
            <w:pPr>
              <w:jc w:val="center"/>
              <w:rPr>
                <w:rFonts w:hint="default" w:ascii="宋体" w:hAnsi="宋体" w:cs="宋体"/>
                <w:color w:val="auto"/>
                <w:sz w:val="24"/>
                <w:szCs w:val="24"/>
                <w:highlight w:val="none"/>
                <w:lang w:val="en-US" w:eastAsia="zh-CN" w:bidi="ar"/>
              </w:rPr>
            </w:pPr>
          </w:p>
        </w:tc>
        <w:tc>
          <w:tcPr>
            <w:tcW w:w="927"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232310EE">
            <w:pPr>
              <w:keepNext w:val="0"/>
              <w:keepLines w:val="0"/>
              <w:widowControl/>
              <w:suppressLineNumbers w:val="0"/>
              <w:jc w:val="center"/>
              <w:textAlignment w:val="center"/>
              <w:rPr>
                <w:rFonts w:hint="default" w:ascii="宋体" w:hAnsi="宋体" w:cs="宋体"/>
                <w:color w:val="auto"/>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24148</w:t>
            </w:r>
          </w:p>
        </w:tc>
        <w:tc>
          <w:tcPr>
            <w:tcW w:w="1677" w:type="dxa"/>
            <w:gridSpan w:val="2"/>
            <w:vMerge w:val="continue"/>
            <w:tcBorders>
              <w:left w:val="single" w:color="000000" w:sz="4" w:space="0"/>
              <w:right w:val="single" w:color="000000" w:sz="4" w:space="0"/>
              <w:tl2br w:val="nil"/>
              <w:tr2bl w:val="nil"/>
            </w:tcBorders>
            <w:noWrap w:val="0"/>
            <w:vAlign w:val="center"/>
          </w:tcPr>
          <w:p w14:paraId="4AB7B658">
            <w:pPr>
              <w:keepNext w:val="0"/>
              <w:keepLines w:val="0"/>
              <w:widowControl/>
              <w:suppressLineNumbers w:val="0"/>
              <w:jc w:val="center"/>
              <w:textAlignment w:val="center"/>
              <w:rPr>
                <w:rFonts w:hint="default" w:ascii="宋体" w:hAnsi="宋体" w:cs="宋体"/>
                <w:color w:val="auto"/>
                <w:sz w:val="24"/>
                <w:szCs w:val="24"/>
                <w:highlight w:val="none"/>
                <w:lang w:val="en-US" w:eastAsia="zh-CN" w:bidi="ar"/>
              </w:rPr>
            </w:pP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E2759B">
            <w:pPr>
              <w:keepNext w:val="0"/>
              <w:keepLines w:val="0"/>
              <w:widowControl/>
              <w:suppressLineNumbers w:val="0"/>
              <w:jc w:val="center"/>
              <w:textAlignment w:val="center"/>
              <w:rPr>
                <w:rFonts w:hint="default" w:ascii="宋体" w:hAnsi="宋体" w:cs="宋体"/>
                <w:color w:val="auto"/>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279392.</w:t>
            </w:r>
            <w:r>
              <w:rPr>
                <w:rFonts w:hint="eastAsia" w:ascii="宋体" w:hAnsi="宋体" w:cs="宋体"/>
                <w:i w:val="0"/>
                <w:iCs w:val="0"/>
                <w:color w:val="000000"/>
                <w:kern w:val="0"/>
                <w:sz w:val="22"/>
                <w:szCs w:val="22"/>
                <w:highlight w:val="none"/>
                <w:u w:val="none"/>
                <w:lang w:val="en-US" w:eastAsia="zh-CN" w:bidi="ar"/>
              </w:rPr>
              <w:t>4</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3956F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640</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E93FB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477</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624E2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819</w:t>
            </w:r>
          </w:p>
        </w:tc>
      </w:tr>
      <w:tr w14:paraId="5BE8D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185"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14:paraId="0D92BE22">
            <w:pPr>
              <w:spacing w:beforeLines="0" w:afterLines="0"/>
              <w:jc w:val="center"/>
              <w:rPr>
                <w:rFonts w:hint="default" w:ascii="宋体" w:hAnsi="宋体" w:eastAsia="宋体" w:cs="宋体"/>
                <w:color w:val="auto"/>
                <w:sz w:val="24"/>
                <w:szCs w:val="24"/>
                <w:highlight w:val="none"/>
              </w:rPr>
            </w:pPr>
          </w:p>
        </w:tc>
        <w:tc>
          <w:tcPr>
            <w:tcW w:w="1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61A6F8">
            <w:pPr>
              <w:keepNext w:val="0"/>
              <w:keepLines w:val="0"/>
              <w:widowControl/>
              <w:suppressLineNumbers w:val="0"/>
              <w:jc w:val="center"/>
              <w:textAlignment w:val="center"/>
              <w:rPr>
                <w:rFonts w:hint="default" w:ascii="宋体" w:hAnsi="宋体" w:eastAsia="宋体" w:cs="宋体"/>
                <w:b/>
                <w:bCs/>
                <w:color w:val="auto"/>
                <w:sz w:val="24"/>
                <w:szCs w:val="24"/>
                <w:highlight w:val="none"/>
                <w:lang w:bidi="ar"/>
              </w:rPr>
            </w:pPr>
            <w:r>
              <w:rPr>
                <w:rFonts w:hint="eastAsia" w:ascii="宋体" w:hAnsi="宋体" w:eastAsia="宋体" w:cs="宋体"/>
                <w:b/>
                <w:bCs/>
                <w:i w:val="0"/>
                <w:iCs w:val="0"/>
                <w:color w:val="000000"/>
                <w:kern w:val="0"/>
                <w:sz w:val="24"/>
                <w:szCs w:val="24"/>
                <w:highlight w:val="none"/>
                <w:u w:val="none"/>
                <w:lang w:val="en-US" w:eastAsia="zh-CN" w:bidi="ar"/>
              </w:rPr>
              <w:t>西门街道</w:t>
            </w:r>
          </w:p>
        </w:tc>
        <w:tc>
          <w:tcPr>
            <w:tcW w:w="892"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66FA3E01">
            <w:pPr>
              <w:keepNext w:val="0"/>
              <w:keepLines w:val="0"/>
              <w:widowControl/>
              <w:suppressLineNumbers w:val="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14309</w:t>
            </w:r>
          </w:p>
        </w:tc>
        <w:tc>
          <w:tcPr>
            <w:tcW w:w="11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199B5372">
            <w:pPr>
              <w:keepNext w:val="0"/>
              <w:keepLines w:val="0"/>
              <w:widowControl/>
              <w:suppressLineNumbers w:val="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8379</w:t>
            </w:r>
          </w:p>
        </w:tc>
        <w:tc>
          <w:tcPr>
            <w:tcW w:w="977"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42B32BE9">
            <w:pPr>
              <w:keepNext w:val="0"/>
              <w:keepLines w:val="0"/>
              <w:widowControl/>
              <w:suppressLineNumbers w:val="0"/>
              <w:jc w:val="center"/>
              <w:textAlignment w:val="center"/>
              <w:rPr>
                <w:rFonts w:hint="default" w:ascii="宋体" w:hAnsi="宋体" w:cs="宋体"/>
                <w:color w:val="auto"/>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173</w:t>
            </w:r>
          </w:p>
        </w:tc>
        <w:tc>
          <w:tcPr>
            <w:tcW w:w="927"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476E5AEF">
            <w:pPr>
              <w:keepNext w:val="0"/>
              <w:keepLines w:val="0"/>
              <w:widowControl/>
              <w:suppressLineNumbers w:val="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22861</w:t>
            </w:r>
          </w:p>
        </w:tc>
        <w:tc>
          <w:tcPr>
            <w:tcW w:w="1677" w:type="dxa"/>
            <w:gridSpan w:val="2"/>
            <w:vMerge w:val="continue"/>
            <w:tcBorders>
              <w:left w:val="single" w:color="000000" w:sz="4" w:space="0"/>
              <w:right w:val="single" w:color="000000" w:sz="4" w:space="0"/>
              <w:tl2br w:val="nil"/>
              <w:tr2bl w:val="nil"/>
            </w:tcBorders>
            <w:noWrap w:val="0"/>
            <w:vAlign w:val="center"/>
          </w:tcPr>
          <w:p w14:paraId="59236072">
            <w:pPr>
              <w:keepNext w:val="0"/>
              <w:keepLines w:val="0"/>
              <w:widowControl/>
              <w:suppressLineNumbers w:val="0"/>
              <w:jc w:val="center"/>
              <w:textAlignment w:val="center"/>
              <w:rPr>
                <w:rFonts w:hint="default" w:ascii="宋体" w:hAnsi="宋体" w:cs="宋体"/>
                <w:color w:val="auto"/>
                <w:sz w:val="24"/>
                <w:szCs w:val="24"/>
                <w:highlight w:val="none"/>
                <w:lang w:val="en-US" w:eastAsia="zh-CN" w:bidi="ar"/>
              </w:rPr>
            </w:pP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8C5D7B">
            <w:pPr>
              <w:keepNext w:val="0"/>
              <w:keepLines w:val="0"/>
              <w:widowControl/>
              <w:suppressLineNumbers w:val="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310546</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F21BA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484</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CBFFD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384</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03175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744</w:t>
            </w:r>
          </w:p>
        </w:tc>
      </w:tr>
      <w:tr w14:paraId="7AFBA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1185"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14:paraId="00901218">
            <w:pPr>
              <w:spacing w:beforeLines="0" w:afterLines="0"/>
              <w:jc w:val="center"/>
              <w:rPr>
                <w:rFonts w:hint="default" w:ascii="宋体" w:hAnsi="宋体" w:eastAsia="宋体" w:cs="宋体"/>
                <w:color w:val="auto"/>
                <w:sz w:val="24"/>
                <w:szCs w:val="24"/>
                <w:highlight w:val="none"/>
              </w:rPr>
            </w:pPr>
          </w:p>
        </w:tc>
        <w:tc>
          <w:tcPr>
            <w:tcW w:w="1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4B5E6E">
            <w:pPr>
              <w:keepNext w:val="0"/>
              <w:keepLines w:val="0"/>
              <w:widowControl/>
              <w:suppressLineNumbers w:val="0"/>
              <w:jc w:val="center"/>
              <w:textAlignment w:val="center"/>
              <w:rPr>
                <w:rFonts w:hint="default" w:ascii="宋体" w:hAnsi="宋体" w:eastAsia="宋体" w:cs="宋体"/>
                <w:b/>
                <w:bCs/>
                <w:color w:val="auto"/>
                <w:sz w:val="24"/>
                <w:szCs w:val="24"/>
                <w:highlight w:val="none"/>
                <w:lang w:bidi="ar"/>
              </w:rPr>
            </w:pPr>
            <w:r>
              <w:rPr>
                <w:rFonts w:hint="eastAsia" w:ascii="宋体" w:hAnsi="宋体" w:eastAsia="宋体" w:cs="宋体"/>
                <w:b/>
                <w:bCs/>
                <w:i w:val="0"/>
                <w:iCs w:val="0"/>
                <w:color w:val="000000"/>
                <w:kern w:val="0"/>
                <w:sz w:val="24"/>
                <w:szCs w:val="24"/>
                <w:highlight w:val="none"/>
                <w:u w:val="none"/>
                <w:lang w:val="en-US" w:eastAsia="zh-CN" w:bidi="ar"/>
              </w:rPr>
              <w:t>望春街道</w:t>
            </w:r>
          </w:p>
        </w:tc>
        <w:tc>
          <w:tcPr>
            <w:tcW w:w="892"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7E2F8D52">
            <w:pPr>
              <w:keepNext w:val="0"/>
              <w:keepLines w:val="0"/>
              <w:widowControl/>
              <w:suppressLineNumbers w:val="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42617</w:t>
            </w:r>
          </w:p>
        </w:tc>
        <w:tc>
          <w:tcPr>
            <w:tcW w:w="11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17D34232">
            <w:pPr>
              <w:keepNext w:val="0"/>
              <w:keepLines w:val="0"/>
              <w:widowControl/>
              <w:suppressLineNumbers w:val="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12429</w:t>
            </w:r>
          </w:p>
        </w:tc>
        <w:tc>
          <w:tcPr>
            <w:tcW w:w="977"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3032800C">
            <w:pPr>
              <w:jc w:val="center"/>
              <w:rPr>
                <w:rFonts w:hint="default" w:ascii="宋体" w:hAnsi="宋体" w:cs="宋体"/>
                <w:color w:val="auto"/>
                <w:sz w:val="24"/>
                <w:szCs w:val="24"/>
                <w:highlight w:val="none"/>
                <w:lang w:val="en-US" w:eastAsia="zh-CN" w:bidi="ar"/>
              </w:rPr>
            </w:pPr>
          </w:p>
        </w:tc>
        <w:tc>
          <w:tcPr>
            <w:tcW w:w="927"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2DF3430C">
            <w:pPr>
              <w:keepNext w:val="0"/>
              <w:keepLines w:val="0"/>
              <w:widowControl/>
              <w:suppressLineNumbers w:val="0"/>
              <w:jc w:val="center"/>
              <w:textAlignment w:val="center"/>
              <w:rPr>
                <w:rFonts w:hint="default" w:ascii="宋体" w:hAnsi="宋体" w:cs="宋体"/>
                <w:color w:val="auto"/>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55046</w:t>
            </w:r>
          </w:p>
        </w:tc>
        <w:tc>
          <w:tcPr>
            <w:tcW w:w="1677" w:type="dxa"/>
            <w:gridSpan w:val="2"/>
            <w:vMerge w:val="continue"/>
            <w:tcBorders>
              <w:left w:val="single" w:color="000000" w:sz="4" w:space="0"/>
              <w:right w:val="single" w:color="000000" w:sz="4" w:space="0"/>
              <w:tl2br w:val="nil"/>
              <w:tr2bl w:val="nil"/>
            </w:tcBorders>
            <w:noWrap w:val="0"/>
            <w:vAlign w:val="center"/>
          </w:tcPr>
          <w:p w14:paraId="7CCA4ADB">
            <w:pPr>
              <w:keepNext w:val="0"/>
              <w:keepLines w:val="0"/>
              <w:widowControl/>
              <w:suppressLineNumbers w:val="0"/>
              <w:jc w:val="center"/>
              <w:textAlignment w:val="center"/>
              <w:rPr>
                <w:rFonts w:hint="default" w:ascii="宋体" w:hAnsi="宋体" w:cs="宋体"/>
                <w:color w:val="auto"/>
                <w:sz w:val="24"/>
                <w:szCs w:val="24"/>
                <w:highlight w:val="none"/>
                <w:lang w:val="en-US" w:eastAsia="zh-CN" w:bidi="ar"/>
              </w:rPr>
            </w:pP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2D9AF8">
            <w:pPr>
              <w:keepNext w:val="0"/>
              <w:keepLines w:val="0"/>
              <w:widowControl/>
              <w:suppressLineNumbers w:val="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690943</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F52C0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986</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CEFC6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482</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5A168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1982</w:t>
            </w:r>
          </w:p>
        </w:tc>
      </w:tr>
      <w:tr w14:paraId="4526D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185"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14:paraId="512A283D">
            <w:pPr>
              <w:spacing w:beforeLines="0" w:afterLines="0"/>
              <w:jc w:val="center"/>
              <w:rPr>
                <w:rFonts w:hint="default" w:ascii="宋体" w:hAnsi="宋体" w:eastAsia="宋体" w:cs="宋体"/>
                <w:color w:val="auto"/>
                <w:sz w:val="24"/>
                <w:szCs w:val="24"/>
                <w:highlight w:val="none"/>
              </w:rPr>
            </w:pPr>
          </w:p>
        </w:tc>
        <w:tc>
          <w:tcPr>
            <w:tcW w:w="1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0DD3C7">
            <w:pPr>
              <w:keepNext w:val="0"/>
              <w:keepLines w:val="0"/>
              <w:widowControl/>
              <w:suppressLineNumbers w:val="0"/>
              <w:jc w:val="center"/>
              <w:textAlignment w:val="center"/>
              <w:rPr>
                <w:rFonts w:hint="default" w:ascii="宋体" w:hAnsi="宋体" w:eastAsia="宋体" w:cs="宋体"/>
                <w:b/>
                <w:bCs/>
                <w:color w:val="auto"/>
                <w:sz w:val="24"/>
                <w:szCs w:val="24"/>
                <w:highlight w:val="none"/>
                <w:lang w:bidi="ar"/>
              </w:rPr>
            </w:pPr>
            <w:r>
              <w:rPr>
                <w:rFonts w:hint="eastAsia" w:ascii="宋体" w:hAnsi="宋体" w:eastAsia="宋体" w:cs="宋体"/>
                <w:b/>
                <w:bCs/>
                <w:i w:val="0"/>
                <w:iCs w:val="0"/>
                <w:color w:val="000000"/>
                <w:kern w:val="0"/>
                <w:sz w:val="24"/>
                <w:szCs w:val="24"/>
                <w:highlight w:val="none"/>
                <w:u w:val="none"/>
                <w:lang w:val="en-US" w:eastAsia="zh-CN" w:bidi="ar"/>
              </w:rPr>
              <w:t>白云街道</w:t>
            </w:r>
          </w:p>
        </w:tc>
        <w:tc>
          <w:tcPr>
            <w:tcW w:w="892"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0AAF4E16">
            <w:pPr>
              <w:keepNext w:val="0"/>
              <w:keepLines w:val="0"/>
              <w:widowControl/>
              <w:suppressLineNumbers w:val="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30983</w:t>
            </w:r>
          </w:p>
        </w:tc>
        <w:tc>
          <w:tcPr>
            <w:tcW w:w="11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59974F5B">
            <w:pPr>
              <w:keepNext w:val="0"/>
              <w:keepLines w:val="0"/>
              <w:widowControl/>
              <w:suppressLineNumbers w:val="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10110</w:t>
            </w:r>
          </w:p>
        </w:tc>
        <w:tc>
          <w:tcPr>
            <w:tcW w:w="977"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33855602">
            <w:pPr>
              <w:jc w:val="center"/>
              <w:rPr>
                <w:rFonts w:hint="default" w:ascii="宋体" w:hAnsi="宋体" w:cs="宋体"/>
                <w:color w:val="auto"/>
                <w:sz w:val="24"/>
                <w:szCs w:val="24"/>
                <w:highlight w:val="none"/>
                <w:lang w:val="en-US" w:eastAsia="zh-CN" w:bidi="ar"/>
              </w:rPr>
            </w:pPr>
          </w:p>
        </w:tc>
        <w:tc>
          <w:tcPr>
            <w:tcW w:w="927"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338633F7">
            <w:pPr>
              <w:keepNext w:val="0"/>
              <w:keepLines w:val="0"/>
              <w:widowControl/>
              <w:suppressLineNumbers w:val="0"/>
              <w:jc w:val="center"/>
              <w:textAlignment w:val="center"/>
              <w:rPr>
                <w:rFonts w:hint="default" w:ascii="宋体" w:hAnsi="宋体" w:cs="宋体"/>
                <w:color w:val="auto"/>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41093</w:t>
            </w:r>
          </w:p>
        </w:tc>
        <w:tc>
          <w:tcPr>
            <w:tcW w:w="1677" w:type="dxa"/>
            <w:gridSpan w:val="2"/>
            <w:vMerge w:val="continue"/>
            <w:tcBorders>
              <w:left w:val="single" w:color="000000" w:sz="4" w:space="0"/>
              <w:right w:val="single" w:color="000000" w:sz="4" w:space="0"/>
              <w:tl2br w:val="nil"/>
              <w:tr2bl w:val="nil"/>
            </w:tcBorders>
            <w:noWrap w:val="0"/>
            <w:vAlign w:val="center"/>
          </w:tcPr>
          <w:p w14:paraId="78611239">
            <w:pPr>
              <w:keepNext w:val="0"/>
              <w:keepLines w:val="0"/>
              <w:widowControl/>
              <w:suppressLineNumbers w:val="0"/>
              <w:jc w:val="center"/>
              <w:textAlignment w:val="center"/>
              <w:rPr>
                <w:rFonts w:hint="default" w:ascii="宋体" w:hAnsi="宋体" w:cs="宋体"/>
                <w:color w:val="auto"/>
                <w:sz w:val="24"/>
                <w:szCs w:val="24"/>
                <w:highlight w:val="none"/>
                <w:lang w:val="en-US" w:eastAsia="zh-CN" w:bidi="ar"/>
              </w:rPr>
            </w:pP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CAA010">
            <w:pPr>
              <w:keepNext w:val="0"/>
              <w:keepLines w:val="0"/>
              <w:widowControl/>
              <w:suppressLineNumbers w:val="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472569.5</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72E38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729</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EA4E4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392</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75CBC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1359</w:t>
            </w:r>
          </w:p>
        </w:tc>
      </w:tr>
      <w:tr w14:paraId="6BC10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185"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14:paraId="38CBED0B">
            <w:pPr>
              <w:spacing w:beforeLines="0" w:afterLines="0"/>
              <w:jc w:val="center"/>
              <w:rPr>
                <w:rFonts w:hint="default" w:ascii="宋体" w:hAnsi="宋体" w:eastAsia="宋体" w:cs="宋体"/>
                <w:color w:val="auto"/>
                <w:sz w:val="24"/>
                <w:szCs w:val="24"/>
                <w:highlight w:val="none"/>
              </w:rPr>
            </w:pPr>
          </w:p>
        </w:tc>
        <w:tc>
          <w:tcPr>
            <w:tcW w:w="1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2205A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古林镇</w:t>
            </w:r>
          </w:p>
        </w:tc>
        <w:tc>
          <w:tcPr>
            <w:tcW w:w="892"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2836E604">
            <w:pPr>
              <w:keepNext w:val="0"/>
              <w:keepLines w:val="0"/>
              <w:widowControl/>
              <w:suppressLineNumbers w:val="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30873</w:t>
            </w:r>
          </w:p>
        </w:tc>
        <w:tc>
          <w:tcPr>
            <w:tcW w:w="11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09536ABA">
            <w:pPr>
              <w:jc w:val="center"/>
              <w:rPr>
                <w:rFonts w:hint="eastAsia" w:ascii="宋体" w:hAnsi="宋体" w:cs="宋体"/>
                <w:color w:val="auto"/>
                <w:sz w:val="24"/>
                <w:szCs w:val="24"/>
                <w:highlight w:val="none"/>
                <w:lang w:val="en-US" w:eastAsia="zh-CN" w:bidi="ar"/>
              </w:rPr>
            </w:pPr>
          </w:p>
        </w:tc>
        <w:tc>
          <w:tcPr>
            <w:tcW w:w="977"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7DDD200A">
            <w:pPr>
              <w:jc w:val="center"/>
              <w:rPr>
                <w:rFonts w:hint="eastAsia" w:ascii="宋体" w:hAnsi="宋体" w:cs="宋体"/>
                <w:color w:val="auto"/>
                <w:sz w:val="24"/>
                <w:szCs w:val="24"/>
                <w:highlight w:val="none"/>
                <w:lang w:val="en-US" w:eastAsia="zh-CN" w:bidi="ar"/>
              </w:rPr>
            </w:pPr>
          </w:p>
        </w:tc>
        <w:tc>
          <w:tcPr>
            <w:tcW w:w="927"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083EF5C7">
            <w:pPr>
              <w:keepNext w:val="0"/>
              <w:keepLines w:val="0"/>
              <w:widowControl/>
              <w:suppressLineNumbers w:val="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30873</w:t>
            </w:r>
          </w:p>
        </w:tc>
        <w:tc>
          <w:tcPr>
            <w:tcW w:w="1677" w:type="dxa"/>
            <w:gridSpan w:val="2"/>
            <w:vMerge w:val="continue"/>
            <w:tcBorders>
              <w:left w:val="single" w:color="000000" w:sz="4" w:space="0"/>
              <w:bottom w:val="single" w:color="000000" w:sz="4" w:space="0"/>
              <w:right w:val="single" w:color="000000" w:sz="4" w:space="0"/>
              <w:tl2br w:val="nil"/>
              <w:tr2bl w:val="nil"/>
            </w:tcBorders>
            <w:noWrap w:val="0"/>
            <w:vAlign w:val="center"/>
          </w:tcPr>
          <w:p w14:paraId="6678B7FF">
            <w:pPr>
              <w:keepNext w:val="0"/>
              <w:keepLines w:val="0"/>
              <w:widowControl/>
              <w:suppressLineNumbers w:val="0"/>
              <w:jc w:val="center"/>
              <w:textAlignment w:val="center"/>
              <w:rPr>
                <w:rFonts w:hint="default" w:ascii="宋体" w:hAnsi="宋体" w:cs="宋体"/>
                <w:color w:val="auto"/>
                <w:sz w:val="24"/>
                <w:szCs w:val="24"/>
                <w:highlight w:val="none"/>
                <w:lang w:val="en-US" w:eastAsia="zh-CN" w:bidi="ar"/>
              </w:rPr>
            </w:pP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938605">
            <w:pPr>
              <w:keepNext w:val="0"/>
              <w:keepLines w:val="0"/>
              <w:widowControl/>
              <w:suppressLineNumbers w:val="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357200.6</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BFBFA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932</w:t>
            </w:r>
          </w:p>
        </w:tc>
        <w:tc>
          <w:tcPr>
            <w:tcW w:w="138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7652E98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0A254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1017</w:t>
            </w:r>
          </w:p>
        </w:tc>
      </w:tr>
      <w:tr w14:paraId="6EE2A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1185"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14:paraId="6A829EC2">
            <w:pPr>
              <w:spacing w:beforeLines="0" w:afterLines="0"/>
              <w:jc w:val="center"/>
              <w:rPr>
                <w:rFonts w:hint="default" w:ascii="宋体" w:hAnsi="宋体" w:eastAsia="宋体" w:cs="宋体"/>
                <w:color w:val="auto"/>
                <w:sz w:val="24"/>
                <w:szCs w:val="24"/>
                <w:highlight w:val="none"/>
              </w:rPr>
            </w:pPr>
          </w:p>
        </w:tc>
        <w:tc>
          <w:tcPr>
            <w:tcW w:w="1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9CC8AF">
            <w:pPr>
              <w:spacing w:beforeLines="0" w:afterLines="0"/>
              <w:jc w:val="center"/>
              <w:textAlignment w:val="center"/>
              <w:rPr>
                <w:rFonts w:hint="default" w:ascii="宋体" w:hAnsi="宋体" w:eastAsia="宋体" w:cs="宋体"/>
                <w:b/>
                <w:bCs/>
                <w:color w:val="auto"/>
                <w:sz w:val="24"/>
                <w:szCs w:val="24"/>
                <w:highlight w:val="none"/>
              </w:rPr>
            </w:pPr>
            <w:r>
              <w:rPr>
                <w:rFonts w:hint="default" w:ascii="宋体" w:hAnsi="宋体" w:eastAsia="宋体" w:cs="宋体"/>
                <w:b/>
                <w:bCs/>
                <w:color w:val="auto"/>
                <w:sz w:val="24"/>
                <w:szCs w:val="24"/>
                <w:highlight w:val="none"/>
                <w:lang w:bidi="ar"/>
              </w:rPr>
              <w:t>暂列金额</w:t>
            </w:r>
          </w:p>
        </w:tc>
        <w:tc>
          <w:tcPr>
            <w:tcW w:w="558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3FA1D5">
            <w:pPr>
              <w:widowControl/>
              <w:spacing w:beforeLines="0" w:afterLines="0"/>
              <w:jc w:val="center"/>
              <w:textAlignment w:val="center"/>
              <w:rPr>
                <w:rFonts w:hint="default" w:ascii="宋体" w:hAnsi="宋体" w:cs="宋体"/>
                <w:color w:val="auto"/>
                <w:sz w:val="24"/>
                <w:szCs w:val="24"/>
                <w:highlight w:val="none"/>
                <w:lang w:val="en-US" w:eastAsia="zh-CN" w:bidi="ar"/>
              </w:rPr>
            </w:pP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064002">
            <w:pPr>
              <w:keepNext w:val="0"/>
              <w:keepLines w:val="0"/>
              <w:widowControl/>
              <w:suppressLineNumbers w:val="0"/>
              <w:jc w:val="center"/>
              <w:textAlignment w:val="center"/>
              <w:rPr>
                <w:rFonts w:hint="default" w:ascii="宋体" w:hAnsi="宋体" w:cs="宋体"/>
                <w:color w:val="auto"/>
                <w:sz w:val="24"/>
                <w:szCs w:val="24"/>
                <w:highlight w:val="none"/>
                <w:lang w:val="en-US" w:eastAsia="zh-CN" w:bidi="ar"/>
              </w:rPr>
            </w:pPr>
            <w:r>
              <w:rPr>
                <w:rFonts w:hint="default" w:ascii="宋体" w:hAnsi="宋体" w:cs="宋体"/>
                <w:color w:val="auto"/>
                <w:sz w:val="24"/>
                <w:szCs w:val="24"/>
                <w:highlight w:val="none"/>
                <w:lang w:val="en-US" w:eastAsia="zh-CN" w:bidi="ar"/>
              </w:rPr>
              <w:t>200000</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DBF329">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p>
        </w:tc>
        <w:tc>
          <w:tcPr>
            <w:tcW w:w="138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4A5717DE">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1D9CEC">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p>
        </w:tc>
      </w:tr>
      <w:tr w14:paraId="7E39F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185"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14:paraId="251DB5EE">
            <w:pPr>
              <w:spacing w:beforeLines="0" w:afterLines="0"/>
              <w:jc w:val="center"/>
              <w:rPr>
                <w:rFonts w:hint="default" w:ascii="宋体" w:hAnsi="宋体" w:eastAsia="宋体" w:cs="宋体"/>
                <w:color w:val="auto"/>
                <w:sz w:val="24"/>
                <w:szCs w:val="24"/>
                <w:highlight w:val="none"/>
              </w:rPr>
            </w:pPr>
          </w:p>
        </w:tc>
        <w:tc>
          <w:tcPr>
            <w:tcW w:w="1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3EA309">
            <w:pPr>
              <w:spacing w:beforeLines="0" w:afterLines="0"/>
              <w:jc w:val="center"/>
              <w:textAlignment w:val="center"/>
              <w:rPr>
                <w:rFonts w:hint="default" w:ascii="宋体" w:hAnsi="宋体" w:eastAsia="宋体" w:cs="宋体"/>
                <w:b/>
                <w:bCs/>
                <w:color w:val="auto"/>
                <w:sz w:val="24"/>
                <w:szCs w:val="24"/>
                <w:highlight w:val="none"/>
                <w:lang w:bidi="ar"/>
              </w:rPr>
            </w:pPr>
            <w:r>
              <w:rPr>
                <w:rFonts w:hint="default" w:ascii="宋体" w:hAnsi="宋体" w:eastAsia="宋体" w:cs="宋体"/>
                <w:b/>
                <w:bCs/>
                <w:color w:val="auto"/>
                <w:sz w:val="24"/>
                <w:szCs w:val="24"/>
                <w:highlight w:val="none"/>
                <w:lang w:bidi="ar"/>
              </w:rPr>
              <w:t>小计</w:t>
            </w:r>
          </w:p>
        </w:tc>
        <w:tc>
          <w:tcPr>
            <w:tcW w:w="558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93F777">
            <w:pPr>
              <w:spacing w:beforeLines="0" w:afterLines="0"/>
              <w:jc w:val="center"/>
              <w:textAlignment w:val="center"/>
              <w:rPr>
                <w:rFonts w:hint="default" w:ascii="宋体" w:hAnsi="宋体" w:eastAsia="宋体" w:cs="宋体"/>
                <w:b/>
                <w:color w:val="auto"/>
                <w:sz w:val="24"/>
                <w:szCs w:val="24"/>
                <w:highlight w:val="none"/>
                <w:lang w:bidi="ar"/>
              </w:rPr>
            </w:pP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77881A">
            <w:pPr>
              <w:keepNext w:val="0"/>
              <w:keepLines w:val="0"/>
              <w:widowControl/>
              <w:suppressLineNumbers w:val="0"/>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2595245</w:t>
            </w:r>
          </w:p>
        </w:tc>
        <w:tc>
          <w:tcPr>
            <w:tcW w:w="138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4BA6A9E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4528</w:t>
            </w:r>
          </w:p>
        </w:tc>
        <w:tc>
          <w:tcPr>
            <w:tcW w:w="138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436EC1BD">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2215</w:t>
            </w:r>
          </w:p>
        </w:tc>
        <w:tc>
          <w:tcPr>
            <w:tcW w:w="138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178C326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7094</w:t>
            </w:r>
          </w:p>
        </w:tc>
      </w:tr>
      <w:tr w14:paraId="3722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1185"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14:paraId="2A38A5E9">
            <w:pPr>
              <w:spacing w:beforeLines="0" w:afterLines="0"/>
              <w:jc w:val="center"/>
              <w:rPr>
                <w:rFonts w:hint="default" w:ascii="宋体" w:hAnsi="宋体" w:eastAsia="宋体" w:cs="宋体"/>
                <w:color w:val="auto"/>
                <w:sz w:val="24"/>
                <w:szCs w:val="24"/>
                <w:highlight w:val="none"/>
              </w:rPr>
            </w:pPr>
          </w:p>
        </w:tc>
        <w:tc>
          <w:tcPr>
            <w:tcW w:w="6971"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CB64C8">
            <w:pPr>
              <w:spacing w:beforeLines="0" w:afterLines="0"/>
              <w:jc w:val="center"/>
              <w:rPr>
                <w:rFonts w:hint="default" w:ascii="宋体" w:hAnsi="宋体" w:eastAsia="宋体" w:cs="宋体"/>
                <w:b/>
                <w:color w:val="auto"/>
                <w:sz w:val="24"/>
                <w:szCs w:val="24"/>
                <w:highlight w:val="none"/>
                <w:lang w:bidi="ar"/>
              </w:rPr>
            </w:pPr>
            <w:r>
              <w:rPr>
                <w:rFonts w:hint="default" w:ascii="宋体" w:hAnsi="宋体" w:eastAsia="宋体" w:cs="宋体"/>
                <w:b/>
                <w:color w:val="auto"/>
                <w:sz w:val="24"/>
                <w:szCs w:val="24"/>
                <w:highlight w:val="none"/>
                <w:lang w:bidi="ar"/>
              </w:rPr>
              <w:t>年度最高限价</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A1BD21">
            <w:pPr>
              <w:spacing w:beforeLines="0" w:afterLines="0"/>
              <w:jc w:val="center"/>
              <w:textAlignment w:val="center"/>
              <w:rPr>
                <w:rFonts w:hint="default"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2595245</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3E5254">
            <w:pPr>
              <w:keepNext w:val="0"/>
              <w:keepLines w:val="0"/>
              <w:widowControl/>
              <w:suppressLineNumbers w:val="0"/>
              <w:jc w:val="center"/>
              <w:textAlignment w:val="center"/>
              <w:rPr>
                <w:rFonts w:hint="eastAsia" w:ascii="宋体" w:hAnsi="宋体" w:cs="宋体"/>
                <w:color w:val="auto"/>
                <w:sz w:val="24"/>
                <w:szCs w:val="24"/>
                <w:highlight w:val="none"/>
                <w:lang w:val="en-US" w:eastAsia="zh-CN" w:bidi="ar"/>
              </w:rPr>
            </w:pPr>
          </w:p>
        </w:tc>
        <w:tc>
          <w:tcPr>
            <w:tcW w:w="138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645528A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E18EA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419A1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8156" w:type="dxa"/>
            <w:gridSpan w:val="8"/>
            <w:tcBorders>
              <w:top w:val="single" w:color="auto" w:sz="4" w:space="0"/>
              <w:left w:val="single" w:color="000000" w:sz="4" w:space="0"/>
              <w:bottom w:val="single" w:color="auto" w:sz="4" w:space="0"/>
              <w:right w:val="single" w:color="000000" w:sz="4" w:space="0"/>
              <w:tl2br w:val="nil"/>
              <w:tr2bl w:val="nil"/>
            </w:tcBorders>
            <w:noWrap w:val="0"/>
            <w:vAlign w:val="center"/>
          </w:tcPr>
          <w:p w14:paraId="28F7BD7C">
            <w:pPr>
              <w:spacing w:beforeLines="0" w:afterLines="0"/>
              <w:jc w:val="center"/>
              <w:rPr>
                <w:rFonts w:hint="eastAsia" w:ascii="宋体" w:hAnsi="宋体" w:eastAsia="宋体" w:cs="宋体"/>
                <w:b/>
                <w:color w:val="auto"/>
                <w:sz w:val="24"/>
                <w:szCs w:val="24"/>
                <w:highlight w:val="none"/>
                <w:lang w:val="en-US" w:eastAsia="zh-CN" w:bidi="ar"/>
              </w:rPr>
            </w:pPr>
            <w:r>
              <w:rPr>
                <w:rFonts w:hint="eastAsia" w:ascii="宋体" w:hAnsi="宋体" w:cs="宋体"/>
                <w:b/>
                <w:color w:val="auto"/>
                <w:sz w:val="24"/>
                <w:szCs w:val="24"/>
                <w:highlight w:val="none"/>
                <w:lang w:val="en-US" w:eastAsia="zh-CN" w:bidi="ar"/>
              </w:rPr>
              <w:t>合计</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9B0018">
            <w:pPr>
              <w:spacing w:beforeLines="0" w:afterLines="0"/>
              <w:jc w:val="center"/>
              <w:textAlignment w:val="center"/>
              <w:rPr>
                <w:rFonts w:hint="default"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CEA62E">
            <w:pPr>
              <w:keepNext w:val="0"/>
              <w:keepLines w:val="0"/>
              <w:widowControl/>
              <w:suppressLineNumbers w:val="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9147</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75084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3866</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6FB5A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15145</w:t>
            </w:r>
          </w:p>
        </w:tc>
      </w:tr>
    </w:tbl>
    <w:p w14:paraId="0EE89136">
      <w:pPr>
        <w:spacing w:beforeLines="0" w:afterLines="0" w:line="360" w:lineRule="auto"/>
        <w:ind w:firstLine="420"/>
        <w:rPr>
          <w:rFonts w:hint="default" w:ascii="宋体" w:hAnsi="宋体" w:eastAsia="宋体" w:cs="宋体"/>
          <w:b/>
          <w:color w:val="auto"/>
          <w:sz w:val="24"/>
          <w:szCs w:val="24"/>
        </w:rPr>
        <w:sectPr>
          <w:footerReference r:id="rId13" w:type="default"/>
          <w:pgSz w:w="16840" w:h="11907" w:orient="landscape"/>
          <w:pgMar w:top="1531" w:right="1134" w:bottom="1531" w:left="1134" w:header="425" w:footer="709" w:gutter="0"/>
          <w:pgBorders>
            <w:top w:val="none" w:sz="0" w:space="0"/>
            <w:left w:val="none" w:sz="0" w:space="0"/>
            <w:bottom w:val="none" w:sz="0" w:space="0"/>
            <w:right w:val="none" w:sz="0" w:space="0"/>
          </w:pgBorders>
          <w:pgNumType w:fmt="decimal"/>
          <w:cols w:space="720" w:num="1"/>
          <w:docGrid w:linePitch="285" w:charSpace="0"/>
        </w:sectPr>
      </w:pPr>
    </w:p>
    <w:p w14:paraId="022120F8">
      <w:pPr>
        <w:spacing w:beforeLines="0" w:afterLines="0" w:line="360" w:lineRule="auto"/>
        <w:ind w:firstLine="420"/>
        <w:rPr>
          <w:rFonts w:hint="default" w:ascii="宋体" w:hAnsi="宋体" w:eastAsia="宋体" w:cs="宋体"/>
          <w:color w:val="auto"/>
          <w:sz w:val="24"/>
          <w:szCs w:val="24"/>
        </w:rPr>
      </w:pPr>
      <w:r>
        <w:rPr>
          <w:rFonts w:hint="default" w:ascii="宋体" w:hAnsi="宋体" w:eastAsia="宋体" w:cs="宋体"/>
          <w:b/>
          <w:color w:val="auto"/>
          <w:sz w:val="24"/>
          <w:szCs w:val="24"/>
        </w:rPr>
        <w:t>注：</w:t>
      </w:r>
      <w:r>
        <w:rPr>
          <w:rFonts w:hint="default" w:ascii="宋体" w:hAnsi="宋体" w:eastAsia="宋体" w:cs="宋体"/>
          <w:color w:val="auto"/>
          <w:sz w:val="24"/>
          <w:szCs w:val="24"/>
        </w:rPr>
        <w:t>1）本项目采用承包范围内一次性包干，年度综合单价包含雨污水检查井、雨水出水口的日常清淤（含倒虹井），管道内部日常疏通清淤、管网运行情况检查、日常巡查（含倒虹管）、智慧城管案件接警处置、防汛抗台工作、淤泥等废弃物的外运处置、设备的进退场费用、必备的车辆及设备使用费（含燃油费）、交通导行、管理费、利润及各种规费、税费、水费、安全文明作业费等其他所有完成管道及窨井清淤、疏通、临排等工作的一切费用。在合同履行期间，综合单价不因市场因素和政策因素的变动而调整。</w:t>
      </w:r>
    </w:p>
    <w:p w14:paraId="16819C19">
      <w:pPr>
        <w:numPr>
          <w:ilvl w:val="0"/>
          <w:numId w:val="0"/>
        </w:numPr>
        <w:spacing w:beforeLines="0" w:afterLines="0" w:line="360" w:lineRule="auto"/>
        <w:ind w:firstLine="480" w:firstLineChars="200"/>
        <w:rPr>
          <w:rFonts w:hint="default"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rPr>
        <w:t>)暂列金额固定不变，投标时不予调整，否则作无效标处理。暂列金额包括但不仅限于以下部分：</w:t>
      </w:r>
    </w:p>
    <w:p w14:paraId="1BF2EA90">
      <w:pPr>
        <w:numPr>
          <w:ilvl w:val="0"/>
          <w:numId w:val="0"/>
        </w:numPr>
        <w:spacing w:beforeLines="0" w:afterLines="0" w:line="360" w:lineRule="auto"/>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fldChar w:fldCharType="begin"/>
      </w:r>
      <w:r>
        <w:rPr>
          <w:rFonts w:hint="default" w:ascii="宋体" w:hAnsi="宋体" w:eastAsia="宋体" w:cs="宋体"/>
          <w:color w:val="auto"/>
          <w:sz w:val="24"/>
          <w:szCs w:val="24"/>
          <w:highlight w:val="none"/>
        </w:rPr>
        <w:instrText xml:space="preserve"> = 1 \* GB3 \* MERGEFORMAT </w:instrText>
      </w:r>
      <w:r>
        <w:rPr>
          <w:rFonts w:hint="default" w:ascii="宋体" w:hAnsi="宋体" w:eastAsia="宋体" w:cs="宋体"/>
          <w:color w:val="auto"/>
          <w:sz w:val="24"/>
          <w:szCs w:val="24"/>
          <w:highlight w:val="none"/>
        </w:rPr>
        <w:fldChar w:fldCharType="separate"/>
      </w:r>
      <w:r>
        <w:rPr>
          <w:rFonts w:hint="default" w:ascii="宋体" w:hAnsi="宋体" w:eastAsia="宋体" w:cs="宋体"/>
          <w:color w:val="auto"/>
          <w:sz w:val="24"/>
          <w:szCs w:val="24"/>
          <w:highlight w:val="none"/>
        </w:rPr>
        <w:t>①</w:t>
      </w:r>
      <w:r>
        <w:rPr>
          <w:rFonts w:hint="default" w:ascii="宋体" w:hAnsi="宋体" w:eastAsia="宋体" w:cs="宋体"/>
          <w:color w:val="auto"/>
          <w:sz w:val="24"/>
          <w:szCs w:val="24"/>
          <w:highlight w:val="none"/>
        </w:rPr>
        <w:fldChar w:fldCharType="end"/>
      </w:r>
      <w:r>
        <w:rPr>
          <w:rFonts w:hint="default" w:ascii="宋体" w:hAnsi="宋体" w:eastAsia="宋体" w:cs="宋体"/>
          <w:color w:val="auto"/>
          <w:sz w:val="24"/>
          <w:szCs w:val="24"/>
          <w:highlight w:val="none"/>
        </w:rPr>
        <w:t>采购人所需人员数量超出供应商拟派本项目人员时，超出部分人员费用按每人200元/8小时；具体人工以采购人确定为准。采购人所需防汛应急车辆（货车或皮卡车）数量超出供应商拟投入车辆数量时，超出部分车辆费用按每车次200元；具体车辆以采购人确定为准。</w:t>
      </w:r>
    </w:p>
    <w:p w14:paraId="45B23407">
      <w:pPr>
        <w:numPr>
          <w:ilvl w:val="0"/>
          <w:numId w:val="0"/>
        </w:numPr>
        <w:spacing w:beforeLines="0" w:afterLines="0" w:line="360" w:lineRule="auto"/>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fldChar w:fldCharType="begin"/>
      </w:r>
      <w:r>
        <w:rPr>
          <w:rFonts w:hint="default" w:ascii="宋体" w:hAnsi="宋体" w:eastAsia="宋体" w:cs="宋体"/>
          <w:color w:val="auto"/>
          <w:sz w:val="24"/>
          <w:szCs w:val="24"/>
          <w:highlight w:val="none"/>
        </w:rPr>
        <w:instrText xml:space="preserve"> = 2 \* GB3 \* MERGEFORMAT </w:instrText>
      </w:r>
      <w:r>
        <w:rPr>
          <w:rFonts w:hint="default" w:ascii="宋体" w:hAnsi="宋体" w:eastAsia="宋体" w:cs="宋体"/>
          <w:color w:val="auto"/>
          <w:sz w:val="24"/>
          <w:szCs w:val="24"/>
          <w:highlight w:val="none"/>
        </w:rPr>
        <w:fldChar w:fldCharType="separate"/>
      </w:r>
      <w:r>
        <w:rPr>
          <w:rFonts w:hint="default" w:ascii="宋体" w:hAnsi="宋体" w:eastAsia="宋体" w:cs="宋体"/>
          <w:color w:val="auto"/>
          <w:sz w:val="24"/>
          <w:szCs w:val="24"/>
          <w:highlight w:val="none"/>
        </w:rPr>
        <w:t>②</w:t>
      </w:r>
      <w:r>
        <w:rPr>
          <w:rFonts w:hint="default" w:ascii="宋体" w:hAnsi="宋体" w:eastAsia="宋体" w:cs="宋体"/>
          <w:color w:val="auto"/>
          <w:sz w:val="24"/>
          <w:szCs w:val="24"/>
          <w:highlight w:val="none"/>
        </w:rPr>
        <w:fldChar w:fldCharType="end"/>
      </w:r>
      <w:r>
        <w:rPr>
          <w:rFonts w:hint="default" w:ascii="宋体" w:hAnsi="宋体" w:eastAsia="宋体" w:cs="宋体"/>
          <w:color w:val="auto"/>
          <w:sz w:val="24"/>
          <w:szCs w:val="24"/>
          <w:highlight w:val="none"/>
        </w:rPr>
        <w:t>红线退让部分按单次养护计算，以任务单形式下发，工程量以联系单形式确认结算，红线退让部分单次养护综合单价</w:t>
      </w:r>
      <w:r>
        <w:rPr>
          <w:rFonts w:hint="eastAsia" w:ascii="宋体" w:hAnsi="宋体" w:cs="宋体"/>
          <w:color w:val="auto"/>
          <w:sz w:val="24"/>
          <w:szCs w:val="24"/>
          <w:highlight w:val="none"/>
          <w:lang w:val="en-US" w:eastAsia="zh-CN"/>
        </w:rPr>
        <w:t>为各</w:t>
      </w:r>
      <w:r>
        <w:rPr>
          <w:rFonts w:hint="eastAsia" w:ascii="宋体" w:hAnsi="宋体" w:eastAsia="宋体" w:cs="宋体"/>
          <w:color w:val="auto"/>
          <w:sz w:val="24"/>
          <w:szCs w:val="24"/>
          <w:highlight w:val="none"/>
          <w:lang w:val="en-US" w:eastAsia="zh-CN"/>
        </w:rPr>
        <w:t>标项年度中标综合单价</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红线退让部分单次养护综合单价包含各类管径的管网、各种类型的井完成清淤、疏通、临排、外运处置、应急管道检测和非开挖修复作业等工作的一切费用。</w:t>
      </w:r>
    </w:p>
    <w:p w14:paraId="4849D895">
      <w:pPr>
        <w:numPr>
          <w:ilvl w:val="0"/>
          <w:numId w:val="0"/>
        </w:numPr>
        <w:spacing w:beforeLines="0" w:afterLines="0" w:line="360" w:lineRule="auto"/>
        <w:ind w:firstLine="480" w:firstLineChars="200"/>
        <w:rPr>
          <w:rFonts w:hint="default"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③应急管道检测或非开挖修复作业：以采购人下发的任务单为依据，结合下浮率【下浮率=（年度中标价-年度暂列金额）/(年度限价-年度暂列金额）】，经审计单位审定后，按实结算。</w:t>
      </w:r>
    </w:p>
    <w:p w14:paraId="73A416A1">
      <w:pPr>
        <w:numPr>
          <w:ilvl w:val="0"/>
          <w:numId w:val="0"/>
        </w:numPr>
        <w:spacing w:beforeLines="0" w:afterLines="0" w:line="360" w:lineRule="auto"/>
        <w:ind w:firstLine="480" w:firstLineChars="200"/>
        <w:rPr>
          <w:rFonts w:hint="default"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④其他应急作业内容：以采购人下发的任务单为依据，结合下浮率【下浮率=（年度中标价-年度暂列金额）/(年度限价-年度暂列金额）】，经审计单位审定后，按实结算。</w:t>
      </w:r>
    </w:p>
    <w:p w14:paraId="1E497F01">
      <w:pPr>
        <w:numPr>
          <w:ilvl w:val="0"/>
          <w:numId w:val="0"/>
        </w:numPr>
        <w:spacing w:beforeLines="0" w:afterLines="0" w:line="360" w:lineRule="auto"/>
        <w:ind w:firstLine="480" w:firstLineChars="200"/>
        <w:rPr>
          <w:rFonts w:hint="default"/>
          <w:b w:val="0"/>
          <w:bCs w:val="0"/>
          <w:color w:val="auto"/>
          <w:sz w:val="24"/>
          <w:szCs w:val="24"/>
          <w:highlight w:val="none"/>
        </w:rPr>
      </w:pPr>
      <w:r>
        <w:rPr>
          <w:rFonts w:hint="default" w:ascii="宋体" w:hAnsi="宋体" w:eastAsia="宋体" w:cs="宋体"/>
          <w:b w:val="0"/>
          <w:bCs w:val="0"/>
          <w:color w:val="auto"/>
          <w:sz w:val="24"/>
          <w:szCs w:val="24"/>
          <w:highlight w:val="none"/>
        </w:rPr>
        <w:t>⑤日常养护设施量增加：以采购人下发的任务单为依据，结合中标综合单价，按实结算。</w:t>
      </w:r>
    </w:p>
    <w:p w14:paraId="7C9D0C35">
      <w:pPr>
        <w:pStyle w:val="2"/>
        <w:spacing w:beforeLines="0" w:afterLines="0" w:line="360" w:lineRule="auto"/>
        <w:rPr>
          <w:rFonts w:hint="default" w:ascii="宋体" w:hAnsi="宋体" w:eastAsia="宋体" w:cs="宋体"/>
          <w:color w:val="auto"/>
          <w:sz w:val="24"/>
          <w:szCs w:val="24"/>
          <w:highlight w:val="none"/>
        </w:rPr>
      </w:pPr>
      <w:r>
        <w:rPr>
          <w:rFonts w:hint="eastAsia" w:hAnsi="宋体" w:cs="宋体"/>
          <w:b w:val="0"/>
          <w:bCs w:val="0"/>
          <w:color w:val="auto"/>
          <w:sz w:val="24"/>
          <w:szCs w:val="24"/>
          <w:highlight w:val="none"/>
          <w:lang w:val="en-US" w:eastAsia="zh-CN"/>
        </w:rPr>
        <w:t>3</w:t>
      </w:r>
      <w:r>
        <w:rPr>
          <w:rFonts w:hint="default" w:ascii="宋体" w:hAnsi="宋体" w:eastAsia="宋体" w:cs="宋体"/>
          <w:b w:val="0"/>
          <w:bCs w:val="0"/>
          <w:color w:val="auto"/>
          <w:sz w:val="24"/>
          <w:szCs w:val="24"/>
          <w:highlight w:val="none"/>
        </w:rPr>
        <w:t>)上述数量为预估数量，除新接收或者移交道路外，请各供应商理解并承担可能存在的数量变化风险。如有新接收、移交道路新增或减少设施量，结算时根据采购人确认后的实际范围和数量，按实结算，结算价格=（年度中标综合单价/365天）×实际养护天数×实际增加或减少数量，同时参照有关规定执行。</w:t>
      </w:r>
    </w:p>
    <w:p w14:paraId="3FBC3DA5">
      <w:pPr>
        <w:spacing w:beforeLines="0" w:afterLines="0" w:line="360" w:lineRule="auto"/>
        <w:rPr>
          <w:rFonts w:hint="default" w:ascii="宋体" w:hAnsi="宋体" w:eastAsia="宋体" w:cs="宋体"/>
          <w:b/>
          <w:color w:val="auto"/>
          <w:sz w:val="24"/>
          <w:szCs w:val="24"/>
        </w:rPr>
      </w:pPr>
      <w:r>
        <w:rPr>
          <w:rFonts w:hint="default" w:ascii="宋体" w:hAnsi="宋体" w:eastAsia="宋体" w:cs="宋体"/>
          <w:b/>
          <w:color w:val="auto"/>
          <w:sz w:val="24"/>
          <w:szCs w:val="24"/>
        </w:rPr>
        <w:t>四、养护要求（适用于所有标项）</w:t>
      </w:r>
    </w:p>
    <w:p w14:paraId="55DF0D1B">
      <w:pPr>
        <w:spacing w:beforeLines="0" w:afterLines="0" w:line="360" w:lineRule="auto"/>
        <w:ind w:firstLine="482" w:firstLineChars="200"/>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rPr>
        <w:t>1、人员要求：</w:t>
      </w:r>
    </w:p>
    <w:p w14:paraId="3E0FD8B3">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b/>
          <w:color w:val="auto"/>
          <w:sz w:val="24"/>
          <w:szCs w:val="24"/>
          <w:highlight w:val="none"/>
        </w:rPr>
        <w:t>★</w:t>
      </w:r>
      <w:r>
        <w:rPr>
          <w:rFonts w:hint="default" w:ascii="宋体" w:hAnsi="宋体" w:eastAsia="宋体" w:cs="宋体"/>
          <w:color w:val="auto"/>
          <w:sz w:val="24"/>
          <w:szCs w:val="24"/>
          <w:highlight w:val="none"/>
        </w:rPr>
        <w:t>（1）人员组成员包括：养护人员不得少于10名；分别为配备项目负责人1名，专职安全员1名（须有安全员资格证书），窨井、管道疏通人员至少8名，内勤（含智慧城管平台案件处理及资料档案员、信访案件，案件处置率需达到100%；及时处置率达到100%。）至少1岗（会熟练操作CAD）。</w:t>
      </w:r>
    </w:p>
    <w:p w14:paraId="70C39FD3">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b/>
          <w:color w:val="auto"/>
          <w:sz w:val="24"/>
          <w:szCs w:val="24"/>
          <w:highlight w:val="none"/>
        </w:rPr>
        <w:t>★</w:t>
      </w:r>
      <w:r>
        <w:rPr>
          <w:rFonts w:hint="default" w:ascii="宋体" w:hAnsi="宋体" w:eastAsia="宋体" w:cs="宋体"/>
          <w:color w:val="auto"/>
          <w:sz w:val="24"/>
          <w:szCs w:val="24"/>
          <w:highlight w:val="none"/>
        </w:rPr>
        <w:t>1.1</w:t>
      </w:r>
      <w:r>
        <w:rPr>
          <w:rFonts w:hint="default" w:ascii="宋体" w:hAnsi="宋体" w:eastAsia="宋体" w:cs="宋体"/>
          <w:color w:val="auto"/>
          <w:sz w:val="24"/>
          <w:szCs w:val="24"/>
          <w:highlight w:val="none"/>
          <w:lang w:bidi="ar"/>
        </w:rPr>
        <w:t>拟派项目负责人须具有市政专业二级建造师及以上证书，投标文件中提供相关证明材料及</w:t>
      </w:r>
      <w:r>
        <w:rPr>
          <w:rFonts w:hint="default" w:ascii="宋体" w:hAnsi="宋体" w:eastAsia="宋体" w:cs="宋体"/>
          <w:color w:val="auto"/>
          <w:sz w:val="24"/>
          <w:szCs w:val="24"/>
          <w:highlight w:val="none"/>
        </w:rPr>
        <w:t>开标前连续3个月</w:t>
      </w:r>
      <w:r>
        <w:rPr>
          <w:rFonts w:hint="default" w:ascii="宋体" w:hAnsi="宋体" w:eastAsia="宋体" w:cs="宋体"/>
          <w:color w:val="auto"/>
          <w:sz w:val="24"/>
          <w:szCs w:val="24"/>
          <w:highlight w:val="none"/>
          <w:lang w:bidi="ar"/>
        </w:rPr>
        <w:t>的在职社保证明复印件加盖公章。投标文件所列的项目负责人须与合同履行时一致，不得随意更换，且采购人每月考核时项目负责人必须到场。</w:t>
      </w:r>
    </w:p>
    <w:p w14:paraId="5114E937">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1.2同时拟派本项目人员至少4名及以上养护人员持有各地市局级及以上行政主管部门颁发的《下水道养护工职业资格证书》或《排水行业有限空间操作证》；投标文件中须提供相关证明材料复印件加盖公章。中标后报采购人备案。</w:t>
      </w:r>
    </w:p>
    <w:p w14:paraId="5BC0F816">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1.3同时拟派本项目人员至少1名及以上养护人员持有潜水员从业资格证书；投标文件中须提供相关证明材料复印件加盖公章。中标后报采购人备案。</w:t>
      </w:r>
    </w:p>
    <w:p w14:paraId="4336F79C">
      <w:pPr>
        <w:spacing w:beforeLines="0" w:afterLines="0" w:line="360" w:lineRule="auto"/>
        <w:ind w:firstLine="420"/>
        <w:rPr>
          <w:rFonts w:hint="default" w:ascii="宋体" w:hAnsi="宋体" w:eastAsia="宋体" w:cs="宋体"/>
          <w:b/>
          <w:color w:val="auto"/>
          <w:sz w:val="24"/>
          <w:szCs w:val="24"/>
          <w:highlight w:val="none"/>
        </w:rPr>
      </w:pPr>
      <w:r>
        <w:rPr>
          <w:rFonts w:hint="default" w:ascii="宋体" w:hAnsi="宋体" w:eastAsia="宋体" w:cs="宋体"/>
          <w:color w:val="auto"/>
          <w:sz w:val="24"/>
          <w:szCs w:val="24"/>
          <w:highlight w:val="none"/>
        </w:rPr>
        <w:t>1.4本项目其余养护人员若未取得各地市局级及以上行政主管部门颁发的《下水道养护工职业资格证书》或《排水行业有限空间操作证》或潜水员从业资格证书，中标后须在一年内取得相关证书并报采购人备案；如未取得相关证书，则采购单位可终止相关养护合同；</w:t>
      </w:r>
      <w:r>
        <w:rPr>
          <w:rFonts w:hint="default" w:ascii="宋体" w:hAnsi="宋体" w:eastAsia="宋体" w:cs="宋体"/>
          <w:b/>
          <w:color w:val="auto"/>
          <w:sz w:val="24"/>
          <w:szCs w:val="24"/>
          <w:highlight w:val="none"/>
        </w:rPr>
        <w:t>注：投标文件中须提供承诺书加盖公章，承诺书内容详见“第六部分 应提交的有关格式范例”中《承诺书》格式部分。</w:t>
      </w:r>
    </w:p>
    <w:p w14:paraId="29C83E70">
      <w:pPr>
        <w:spacing w:beforeLines="0" w:afterLines="0" w:line="360" w:lineRule="auto"/>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1.5</w:t>
      </w:r>
      <w:r>
        <w:rPr>
          <w:rFonts w:hint="default" w:ascii="宋体" w:hAnsi="宋体" w:eastAsia="宋体" w:cs="宋体"/>
          <w:b w:val="0"/>
          <w:bCs w:val="0"/>
          <w:color w:val="auto"/>
          <w:sz w:val="24"/>
          <w:szCs w:val="24"/>
          <w:highlight w:val="none"/>
        </w:rPr>
        <w:t>防汛抗台等特殊时段，可调动人数在拟投入本项目人员配备情况的基础上增加不少于15人。采购人所需人员数量超出供应商拟派本项目人员时，超出部分人员费用按每人200元/8小时；具体人工以采购人确定为准。</w:t>
      </w:r>
    </w:p>
    <w:p w14:paraId="24A0C4F2">
      <w:pPr>
        <w:spacing w:beforeLines="0" w:afterLines="0" w:line="360" w:lineRule="auto"/>
        <w:ind w:firstLine="420"/>
        <w:rPr>
          <w:rFonts w:hint="default" w:ascii="宋体" w:hAnsi="宋体" w:eastAsia="宋体" w:cs="宋体"/>
          <w:color w:val="auto"/>
          <w:sz w:val="24"/>
          <w:szCs w:val="24"/>
        </w:rPr>
      </w:pPr>
      <w:r>
        <w:rPr>
          <w:rFonts w:hint="default" w:ascii="宋体" w:hAnsi="宋体" w:eastAsia="宋体" w:cs="宋体"/>
          <w:color w:val="auto"/>
          <w:sz w:val="24"/>
          <w:szCs w:val="24"/>
        </w:rPr>
        <w:t>1.6养护人员须统一着装，穿戴安全防护用品，作业车辆须统一标识，现场围护须统一警示。</w:t>
      </w:r>
    </w:p>
    <w:p w14:paraId="0C860C76">
      <w:pPr>
        <w:spacing w:beforeLines="0" w:afterLines="0" w:line="360" w:lineRule="auto"/>
        <w:ind w:firstLine="482" w:firstLineChars="200"/>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rPr>
        <w:t>2、主要设备设施要求：</w:t>
      </w:r>
    </w:p>
    <w:p w14:paraId="497E8A37">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★2.1供应商自有的机械疏通车至少1辆。</w:t>
      </w:r>
    </w:p>
    <w:p w14:paraId="0E0B624B">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注：如为一体式疏通车的，投标文件中提供行驶证复印件加盖公章；如为组装的，投标文件中须同时提供车辆行驶证复印件加盖公章、疏通设备发票复印件加盖公章及组装后的照片加盖公章（相关资料上的名称须和供应商名称一致）。</w:t>
      </w:r>
    </w:p>
    <w:p w14:paraId="1F690D72">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2.2供应商可根据项目要求配备相应的2套管道封堵设备（DN200、DN300、DN400、DN500、DN600、DN800、DN1000、DN1200、DN1500）、铣刀1套。注：投标文件中须提供设备发票复印件加盖公章。</w:t>
      </w:r>
    </w:p>
    <w:p w14:paraId="21CE20E7">
      <w:pPr>
        <w:spacing w:beforeLines="0" w:afterLines="0" w:line="360" w:lineRule="auto"/>
        <w:ind w:firstLine="420"/>
        <w:rPr>
          <w:rFonts w:hint="eastAsia" w:ascii="宋体" w:hAnsi="宋体" w:eastAsia="宋体" w:cs="宋体"/>
          <w:b/>
          <w:color w:val="auto"/>
          <w:sz w:val="24"/>
          <w:szCs w:val="24"/>
          <w:highlight w:val="none"/>
          <w:lang w:eastAsia="zh-CN"/>
        </w:rPr>
      </w:pPr>
      <w:r>
        <w:rPr>
          <w:rFonts w:hint="default" w:ascii="宋体" w:hAnsi="宋体" w:eastAsia="宋体" w:cs="宋体"/>
          <w:color w:val="auto"/>
          <w:sz w:val="24"/>
          <w:szCs w:val="24"/>
          <w:highlight w:val="none"/>
        </w:rPr>
        <w:t>2.3供应商配备自有或租赁的吸污车、封闭式垃圾车</w:t>
      </w:r>
      <w:r>
        <w:rPr>
          <w:rFonts w:hint="eastAsia" w:ascii="宋体" w:hAnsi="宋体" w:cs="宋体"/>
          <w:color w:val="auto"/>
          <w:sz w:val="24"/>
          <w:szCs w:val="24"/>
          <w:highlight w:val="none"/>
          <w:lang w:eastAsia="zh-CN"/>
        </w:rPr>
        <w:t>。</w:t>
      </w:r>
    </w:p>
    <w:p w14:paraId="136298AA">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2.4如遇重特大汛情台风等情况，采购人所需防汛应急车辆（货车或皮卡车）数量超出供应商拟投入车辆数量时，超出部分车辆费用按每车次200元；具体车辆以采购人确定为准。同时配备相应的防汛物资，如防汛强排车（</w:t>
      </w:r>
      <w:r>
        <w:rPr>
          <w:rFonts w:hint="default" w:ascii="宋体" w:hAnsi="宋体" w:eastAsia="宋体" w:cs="宋体"/>
          <w:color w:val="auto"/>
          <w:sz w:val="24"/>
          <w:szCs w:val="24"/>
          <w:highlight w:val="none"/>
          <w:lang w:val="en-US" w:eastAsia="zh-CN"/>
        </w:rPr>
        <w:t>200方/小时及以上不少于2辆，强排车加其他水泵总流量2000方/小时以上</w:t>
      </w:r>
      <w:r>
        <w:rPr>
          <w:rFonts w:hint="default" w:ascii="宋体" w:hAnsi="宋体" w:eastAsia="宋体" w:cs="宋体"/>
          <w:color w:val="auto"/>
          <w:sz w:val="24"/>
          <w:szCs w:val="24"/>
          <w:highlight w:val="none"/>
        </w:rPr>
        <w:t>）、应急运输车辆等。</w:t>
      </w:r>
    </w:p>
    <w:p w14:paraId="11DAB879">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2.5供应商须根据本项目应急管道检测要求配备相应检测设备，如</w:t>
      </w:r>
      <w:r>
        <w:rPr>
          <w:rFonts w:hint="default" w:ascii="宋体" w:eastAsia="宋体"/>
          <w:color w:val="auto"/>
          <w:sz w:val="24"/>
          <w:szCs w:val="24"/>
          <w:highlight w:val="none"/>
        </w:rPr>
        <w:t>毒气体检测仪，个人防毒面具等</w:t>
      </w:r>
      <w:r>
        <w:rPr>
          <w:rFonts w:hint="default" w:ascii="宋体" w:hAnsi="宋体" w:eastAsia="宋体" w:cs="宋体"/>
          <w:color w:val="auto"/>
          <w:sz w:val="24"/>
          <w:szCs w:val="24"/>
          <w:highlight w:val="none"/>
        </w:rPr>
        <w:t>。（注：投标文件中须提供相关证明资料复印件加盖公章。）</w:t>
      </w:r>
    </w:p>
    <w:p w14:paraId="6E1EA2AC">
      <w:pPr>
        <w:spacing w:beforeLines="0" w:afterLines="0" w:line="360" w:lineRule="auto"/>
        <w:ind w:firstLine="482" w:firstLineChars="200"/>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rPr>
        <w:t>3、具体养护要求：</w:t>
      </w:r>
    </w:p>
    <w:p w14:paraId="4CEFD7D9">
      <w:pPr>
        <w:spacing w:beforeLines="0" w:afterLines="0" w:line="360" w:lineRule="auto"/>
        <w:ind w:firstLine="482" w:firstLineChars="200"/>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rPr>
        <w:t>3.1基础资料要求：</w:t>
      </w:r>
    </w:p>
    <w:p w14:paraId="0C6D5431">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（1）合同签订后一个月内熟悉养护范围并提供相关的年度养护计划和月度养护计划。</w:t>
      </w:r>
    </w:p>
    <w:p w14:paraId="5A19CDA9">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（2）建立清疏记录、养护台账，要求记录齐全，且记录完整、准确、反映实际情况，并按月装订成册。</w:t>
      </w:r>
    </w:p>
    <w:p w14:paraId="4808D1E5">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（3）按要求及时报送相关报表，及时增补新养管的排水管道设施量，并做到记录完整、准确。</w:t>
      </w:r>
    </w:p>
    <w:p w14:paraId="4F448850">
      <w:pPr>
        <w:spacing w:beforeLines="0" w:afterLines="0" w:line="360" w:lineRule="auto"/>
        <w:ind w:firstLine="482" w:firstLineChars="200"/>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rPr>
        <w:t>3.2日常养护要求：</w:t>
      </w:r>
    </w:p>
    <w:p w14:paraId="4B443E96">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（1）井盖安放及完好情况：及时发现井盖缺失或严重破损，应及时告知管理部门。</w:t>
      </w:r>
    </w:p>
    <w:p w14:paraId="750F6016">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（2）落水井、检查井清疏：确保检查井、落水井井内无阻水物，井室无积泥现象，管口无淤积。</w:t>
      </w:r>
    </w:p>
    <w:p w14:paraId="2F2C36AB">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（3）管道内部清疏：管道内部清疏，确保雨污水管道内无积泥现象。</w:t>
      </w:r>
    </w:p>
    <w:p w14:paraId="006D987A">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（4）排水设施保护：确保市政排水设施完好，检查井及管道正常使用。发现私接偷排现象及时上报采购人，并配合执法查处。</w:t>
      </w:r>
    </w:p>
    <w:p w14:paraId="166ED048">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（5）文明作业：清疏后保持落水井、检查井周边清洁，运泥车车貌整洁，运输途中无滴、漏、撒现象，污物倾倒指定地点。</w:t>
      </w:r>
    </w:p>
    <w:p w14:paraId="7EE28526">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（6）安全施工：日常清疏时，做好相关的安全防护工作。</w:t>
      </w:r>
    </w:p>
    <w:p w14:paraId="0FD6E578">
      <w:pPr>
        <w:spacing w:beforeLines="0" w:afterLines="0" w:line="360" w:lineRule="auto"/>
        <w:ind w:firstLine="482" w:firstLineChars="200"/>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rPr>
        <w:t>3.3防汛工作要求：</w:t>
      </w:r>
    </w:p>
    <w:p w14:paraId="7E18D048">
      <w:pPr>
        <w:spacing w:beforeLines="0" w:afterLines="0" w:line="360" w:lineRule="auto"/>
        <w:ind w:firstLine="420"/>
        <w:rPr>
          <w:rFonts w:hint="default" w:ascii="宋体" w:hAnsi="宋体" w:eastAsia="宋体" w:cs="宋体"/>
          <w:color w:val="auto"/>
          <w:sz w:val="24"/>
          <w:szCs w:val="24"/>
        </w:rPr>
      </w:pPr>
      <w:r>
        <w:rPr>
          <w:rFonts w:hint="default" w:ascii="宋体" w:hAnsi="宋体" w:eastAsia="宋体" w:cs="宋体"/>
          <w:color w:val="auto"/>
          <w:sz w:val="24"/>
          <w:szCs w:val="24"/>
        </w:rPr>
        <w:t>（1）雨天巡查：</w:t>
      </w:r>
    </w:p>
    <w:p w14:paraId="63A53D18">
      <w:pPr>
        <w:spacing w:beforeLines="0" w:afterLines="0" w:line="360" w:lineRule="auto"/>
        <w:ind w:firstLine="420"/>
        <w:rPr>
          <w:rFonts w:hint="default" w:ascii="宋体" w:hAnsi="宋体" w:eastAsia="宋体" w:cs="宋体"/>
          <w:color w:val="auto"/>
          <w:sz w:val="24"/>
          <w:szCs w:val="24"/>
        </w:rPr>
      </w:pPr>
      <w:r>
        <w:rPr>
          <w:rFonts w:hint="default" w:ascii="宋体" w:hAnsi="宋体" w:eastAsia="宋体" w:cs="宋体"/>
          <w:color w:val="auto"/>
          <w:sz w:val="24"/>
          <w:szCs w:val="24"/>
        </w:rPr>
        <w:t>供应商人员在进行雨天巡查时，必须听从采购人统一安排，保持24小时通讯畅通，将发现的问题及时向管理人员汇报，做好问题处理并记录工作，无法通过掏泥、疏通等方式排除积水，则用水泵进行抢排，水泵抢排过程中，须有专人在现场看护管理。</w:t>
      </w:r>
    </w:p>
    <w:p w14:paraId="70AB45A4">
      <w:pPr>
        <w:spacing w:beforeLines="0" w:afterLines="0" w:line="360" w:lineRule="auto"/>
        <w:ind w:firstLine="420"/>
        <w:rPr>
          <w:rFonts w:hint="default" w:ascii="宋体" w:hAnsi="宋体" w:eastAsia="宋体" w:cs="宋体"/>
          <w:color w:val="auto"/>
          <w:sz w:val="24"/>
          <w:szCs w:val="24"/>
        </w:rPr>
      </w:pPr>
      <w:r>
        <w:rPr>
          <w:rFonts w:hint="default" w:ascii="宋体" w:hAnsi="宋体" w:eastAsia="宋体" w:cs="宋体"/>
          <w:color w:val="auto"/>
          <w:sz w:val="24"/>
          <w:szCs w:val="24"/>
        </w:rPr>
        <w:t>（2）台汛期间：</w:t>
      </w:r>
    </w:p>
    <w:p w14:paraId="560C5143">
      <w:pPr>
        <w:spacing w:beforeLines="0" w:afterLines="0" w:line="360" w:lineRule="auto"/>
        <w:ind w:firstLine="420"/>
        <w:rPr>
          <w:rFonts w:hint="default" w:ascii="宋体" w:hAnsi="宋体" w:eastAsia="宋体" w:cs="宋体"/>
          <w:color w:val="auto"/>
          <w:sz w:val="24"/>
          <w:szCs w:val="24"/>
        </w:rPr>
      </w:pPr>
      <w:r>
        <w:rPr>
          <w:rFonts w:hint="default" w:ascii="宋体" w:hAnsi="宋体" w:eastAsia="宋体" w:cs="宋体"/>
          <w:color w:val="auto"/>
          <w:sz w:val="24"/>
          <w:szCs w:val="24"/>
        </w:rPr>
        <w:t>1）人数要求</w:t>
      </w:r>
    </w:p>
    <w:p w14:paraId="40A28EEB">
      <w:pPr>
        <w:spacing w:beforeLines="0" w:afterLines="0" w:line="360" w:lineRule="auto"/>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防汛抗台等特殊时段，可调动人数在拟投入本项目人员配备情况的基础上增加不少于15人。</w:t>
      </w:r>
    </w:p>
    <w:p w14:paraId="6797DB15">
      <w:pPr>
        <w:spacing w:beforeLines="0" w:afterLines="0" w:line="360" w:lineRule="auto"/>
        <w:ind w:firstLine="420"/>
        <w:rPr>
          <w:rFonts w:hint="default" w:ascii="宋体" w:hAnsi="宋体" w:eastAsia="宋体" w:cs="宋体"/>
          <w:color w:val="auto"/>
          <w:sz w:val="24"/>
          <w:szCs w:val="24"/>
        </w:rPr>
      </w:pPr>
      <w:r>
        <w:rPr>
          <w:rFonts w:hint="default" w:ascii="宋体" w:hAnsi="宋体" w:eastAsia="宋体" w:cs="宋体"/>
          <w:color w:val="auto"/>
          <w:sz w:val="24"/>
          <w:szCs w:val="24"/>
        </w:rPr>
        <w:t>2）人员、车辆待命：</w:t>
      </w:r>
    </w:p>
    <w:p w14:paraId="1D67AD09">
      <w:pPr>
        <w:spacing w:beforeLines="0" w:afterLines="0" w:line="360" w:lineRule="auto"/>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防汛抗台期间，供应商的负责人一接到采购人指令，须立即组织相关管理人员及养护人员待命，并24小时保持通讯畅通，无条件服从采购人的调配，尽心尽力完成抗台任务，决不可出现无法联系、消极怠工等恶劣情况。</w:t>
      </w:r>
    </w:p>
    <w:p w14:paraId="1DB31FA1">
      <w:pPr>
        <w:spacing w:beforeLines="0" w:afterLines="0" w:line="360" w:lineRule="auto"/>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供应商须在汛期来临之前随时待命，配合采购人做好强排防汛工作。</w:t>
      </w:r>
    </w:p>
    <w:p w14:paraId="3F093B30">
      <w:pPr>
        <w:spacing w:beforeLines="0" w:afterLines="0" w:line="360" w:lineRule="auto"/>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汛期时必须配置防汛应急车辆（货车或皮卡车），安排好车辆驾驶员的轮换，保证车辆能够24小时不间断运行。</w:t>
      </w:r>
    </w:p>
    <w:p w14:paraId="7F4FE819">
      <w:pPr>
        <w:spacing w:beforeLines="0" w:afterLines="0" w:line="360" w:lineRule="auto"/>
        <w:ind w:firstLine="482" w:firstLineChars="200"/>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rPr>
        <w:t>3.4其他养护要求</w:t>
      </w:r>
    </w:p>
    <w:p w14:paraId="10076435">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（1）提供应急管道检测和非开挖修复作业服务。</w:t>
      </w:r>
    </w:p>
    <w:p w14:paraId="775F4802">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（2）汛期及台风期间中标人必须配合做好防台抗汛工作。</w:t>
      </w:r>
    </w:p>
    <w:p w14:paraId="5A5F422E">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（3）及时处理指挥中心派发的案件，居民、信访等投诉案件，案件处置率需达到100%；及时处置率达到100%。</w:t>
      </w:r>
    </w:p>
    <w:p w14:paraId="48B06E5A">
      <w:pPr>
        <w:spacing w:beforeLines="0" w:afterLines="0" w:line="360" w:lineRule="auto"/>
        <w:ind w:firstLine="420"/>
        <w:rPr>
          <w:rFonts w:hint="default" w:ascii="宋体" w:hAnsi="宋体" w:eastAsia="宋体" w:cs="宋体"/>
          <w:b/>
          <w:color w:val="auto"/>
          <w:sz w:val="24"/>
          <w:szCs w:val="24"/>
          <w:highlight w:val="none"/>
        </w:rPr>
      </w:pPr>
      <w:r>
        <w:rPr>
          <w:rFonts w:hint="default" w:ascii="宋体" w:hAnsi="宋体" w:eastAsia="宋体" w:cs="宋体"/>
          <w:color w:val="auto"/>
          <w:sz w:val="24"/>
          <w:szCs w:val="24"/>
          <w:highlight w:val="none"/>
        </w:rPr>
        <w:t>（4）承诺防汛抗台等应急抢险事件情况中标人须在接到采购人通知后半小时内到达现场。</w:t>
      </w:r>
    </w:p>
    <w:p w14:paraId="03659E32">
      <w:pPr>
        <w:spacing w:beforeLines="0" w:afterLines="0" w:line="360" w:lineRule="auto"/>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rPr>
        <w:t>五、项目相关要求（适用于所有标项）</w:t>
      </w:r>
    </w:p>
    <w:p w14:paraId="5A04405F">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1、中标人必须为全体作业员工购买社保及人身意外险并在中标后到采购人处备案，必须重视安全生产工作，确保全年不出安全生产责任事故。供应商须对本项目服务范围内，由于供应商养护或巡查不到位等发生意外事故造成第三者人身伤亡进行投保，费用计入本项目投标总价内。在养护过程中如发生人员伤亡的安全生产责任事故或交通事故或因养护、巡查不到位第三者人身伤亡，由中标人承担一切责任及损失，采购人有权终止合同。</w:t>
      </w:r>
      <w:r>
        <w:rPr>
          <w:rFonts w:hint="default" w:ascii="宋体" w:hAnsi="宋体" w:eastAsia="宋体" w:cs="宋体"/>
          <w:b/>
          <w:color w:val="auto"/>
          <w:sz w:val="24"/>
          <w:szCs w:val="24"/>
          <w:highlight w:val="none"/>
        </w:rPr>
        <w:t>注：供应商须在投标文件中提供针对本项的承诺书，并加盖供应商公章。</w:t>
      </w:r>
    </w:p>
    <w:p w14:paraId="3408248C">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★2、其他要求</w:t>
      </w:r>
    </w:p>
    <w:p w14:paraId="536E8812">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供应商应在养护过程中及时处理垃圾，且在中标后一个月内签订污泥倒放点的相关有效合同或协议（合同或协议时间与本次招标项目服务时间相匹配），否则供应商承担一切责任及损失，并自行放弃中标资格。</w:t>
      </w:r>
      <w:r>
        <w:rPr>
          <w:rFonts w:hint="default" w:ascii="宋体" w:hAnsi="宋体" w:eastAsia="宋体" w:cs="宋体"/>
          <w:b/>
          <w:color w:val="auto"/>
          <w:sz w:val="24"/>
          <w:szCs w:val="24"/>
          <w:highlight w:val="none"/>
        </w:rPr>
        <w:t>注：在投标文件中须提供相关承诺加盖公章，承诺书内容详见“</w:t>
      </w:r>
      <w:r>
        <w:rPr>
          <w:rFonts w:hint="eastAsia" w:ascii="宋体" w:hAnsi="宋体" w:cs="宋体"/>
          <w:b/>
          <w:color w:val="auto"/>
          <w:sz w:val="24"/>
          <w:szCs w:val="24"/>
          <w:highlight w:val="none"/>
          <w:lang w:eastAsia="zh-CN"/>
        </w:rPr>
        <w:t>第六部分 应提交的有关格式范例</w:t>
      </w:r>
      <w:r>
        <w:rPr>
          <w:rFonts w:hint="default" w:ascii="宋体" w:hAnsi="宋体" w:eastAsia="宋体" w:cs="宋体"/>
          <w:b/>
          <w:color w:val="auto"/>
          <w:sz w:val="24"/>
          <w:szCs w:val="24"/>
          <w:highlight w:val="none"/>
        </w:rPr>
        <w:t>”中《承诺书》格式部分</w:t>
      </w:r>
      <w:r>
        <w:rPr>
          <w:rFonts w:hint="default" w:ascii="宋体" w:hAnsi="宋体" w:eastAsia="宋体" w:cs="宋体"/>
          <w:color w:val="auto"/>
          <w:sz w:val="24"/>
          <w:szCs w:val="24"/>
          <w:highlight w:val="none"/>
        </w:rPr>
        <w:t>。</w:t>
      </w:r>
    </w:p>
    <w:p w14:paraId="4D5D3D05">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3、服务组织实施方案</w:t>
      </w:r>
    </w:p>
    <w:p w14:paraId="05AC1603">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中标人须制定完整、可行、详细的养护实施方案，明确组织机构、人员配备、检测要求、质量标准、检查考核办法、安全措施、奖惩措施、应急预案等。</w:t>
      </w:r>
    </w:p>
    <w:p w14:paraId="379A35EF">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4、具体合同履行要求及涉及合同无法正常履行的责任和处罚方式等一切与合同履行相关的约定以采购人与中标人签订的养护合同为准。</w:t>
      </w:r>
    </w:p>
    <w:p w14:paraId="3B12FCDD">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★5、如有政策性职责调整，中标人需无条件配合采购人,采购人可变更合同主体或单方面终止合同。</w:t>
      </w:r>
      <w:r>
        <w:rPr>
          <w:rFonts w:hint="default" w:ascii="宋体" w:hAnsi="宋体" w:eastAsia="宋体" w:cs="宋体"/>
          <w:b/>
          <w:color w:val="auto"/>
          <w:sz w:val="24"/>
          <w:szCs w:val="24"/>
          <w:highlight w:val="none"/>
        </w:rPr>
        <w:t>注：供应商须在投标文件中提供针对本项的承诺书，并加盖供应商公章。</w:t>
      </w:r>
    </w:p>
    <w:p w14:paraId="1FCF8CF5">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6、供应商应针对本项目制定管道疏通养护实施管理方案，内容应包括管道日常养护、巡查方案、管道及其他排水设施维修管理方案。</w:t>
      </w:r>
    </w:p>
    <w:p w14:paraId="583DD2B8">
      <w:pPr>
        <w:spacing w:beforeLines="0" w:afterLines="0" w:line="360" w:lineRule="auto"/>
        <w:ind w:firstLine="42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7、供应商应根据本项目的实际情况对项目实施的重难点进行分析，并提供应对方案。</w:t>
      </w:r>
    </w:p>
    <w:p w14:paraId="387E9C83">
      <w:pPr>
        <w:spacing w:beforeLines="0" w:afterLines="0" w:line="360" w:lineRule="auto"/>
        <w:ind w:firstLine="420"/>
        <w:rPr>
          <w:rFonts w:hint="default" w:ascii="宋体" w:hAnsi="宋体" w:eastAsia="宋体" w:cs="宋体"/>
          <w:color w:val="auto"/>
          <w:sz w:val="24"/>
          <w:szCs w:val="24"/>
        </w:rPr>
      </w:pPr>
      <w:r>
        <w:rPr>
          <w:rFonts w:hint="default" w:ascii="宋体" w:hAnsi="宋体" w:eastAsia="宋体" w:cs="宋体"/>
          <w:color w:val="auto"/>
          <w:sz w:val="24"/>
          <w:szCs w:val="24"/>
          <w:highlight w:val="none"/>
        </w:rPr>
        <w:t>8、供应商应针对本项目制定安全生产、文</w:t>
      </w:r>
      <w:r>
        <w:rPr>
          <w:rFonts w:hint="default" w:ascii="宋体" w:hAnsi="宋体" w:eastAsia="宋体" w:cs="宋体"/>
          <w:color w:val="auto"/>
          <w:sz w:val="24"/>
          <w:szCs w:val="24"/>
        </w:rPr>
        <w:t>明作业、环保措施以及投诉处理等方案（污泥无害化处置措施）。</w:t>
      </w:r>
    </w:p>
    <w:p w14:paraId="756A7B36">
      <w:pPr>
        <w:spacing w:beforeLines="0" w:afterLines="0" w:line="360" w:lineRule="auto"/>
        <w:ind w:firstLine="420"/>
        <w:rPr>
          <w:rFonts w:hint="default" w:ascii="宋体" w:hAnsi="宋体" w:eastAsia="宋体" w:cs="宋体"/>
          <w:color w:val="auto"/>
          <w:sz w:val="24"/>
          <w:szCs w:val="24"/>
        </w:rPr>
      </w:pPr>
      <w:r>
        <w:rPr>
          <w:rFonts w:hint="default" w:ascii="宋体" w:hAnsi="宋体" w:eastAsia="宋体" w:cs="宋体"/>
          <w:color w:val="auto"/>
          <w:sz w:val="24"/>
          <w:szCs w:val="24"/>
        </w:rPr>
        <w:t>9、供应商应针对本项目制定应急方案（例如突发情况的应急处理措施、防台防汛期间的保障措施、供应商的防汛抗台经验和设备投入的情况等）。</w:t>
      </w:r>
    </w:p>
    <w:p w14:paraId="7E16E5FA">
      <w:pPr>
        <w:spacing w:beforeLines="0" w:afterLines="0" w:line="360" w:lineRule="auto"/>
        <w:ind w:firstLine="420"/>
        <w:rPr>
          <w:rFonts w:hint="default" w:ascii="宋体" w:hAnsi="宋体" w:eastAsia="宋体" w:cs="宋体"/>
          <w:color w:val="auto"/>
          <w:sz w:val="24"/>
          <w:szCs w:val="24"/>
        </w:rPr>
      </w:pPr>
      <w:r>
        <w:rPr>
          <w:rFonts w:hint="default" w:ascii="宋体" w:hAnsi="宋体" w:eastAsia="宋体" w:cs="宋体"/>
          <w:color w:val="auto"/>
          <w:sz w:val="24"/>
          <w:szCs w:val="24"/>
        </w:rPr>
        <w:t>10、供应商应针对本项目制定施工进度及工期、质量保证措施。</w:t>
      </w:r>
    </w:p>
    <w:p w14:paraId="04A004B0">
      <w:pPr>
        <w:spacing w:beforeLines="0" w:afterLines="0" w:line="360" w:lineRule="auto"/>
        <w:ind w:firstLine="420"/>
        <w:rPr>
          <w:rFonts w:hint="default" w:ascii="宋体" w:hAnsi="宋体" w:eastAsia="宋体" w:cs="宋体"/>
          <w:color w:val="auto"/>
          <w:sz w:val="24"/>
          <w:szCs w:val="24"/>
        </w:rPr>
      </w:pPr>
      <w:r>
        <w:rPr>
          <w:rFonts w:hint="default" w:ascii="宋体" w:hAnsi="宋体" w:eastAsia="宋体" w:cs="宋体"/>
          <w:color w:val="auto"/>
          <w:sz w:val="24"/>
          <w:szCs w:val="24"/>
        </w:rPr>
        <w:t>11、针对本项目养护服务内容，供应商应投入合理、全面的养护设备及作业工器具。</w:t>
      </w:r>
    </w:p>
    <w:p w14:paraId="6518FD79">
      <w:pPr>
        <w:spacing w:beforeLines="0" w:afterLines="0" w:line="360" w:lineRule="auto"/>
        <w:ind w:firstLine="420"/>
        <w:rPr>
          <w:rFonts w:hint="default"/>
          <w:color w:val="auto"/>
          <w:sz w:val="24"/>
          <w:szCs w:val="24"/>
        </w:rPr>
      </w:pPr>
      <w:r>
        <w:rPr>
          <w:rFonts w:hint="default" w:ascii="宋体" w:hAnsi="宋体" w:eastAsia="宋体" w:cs="宋体"/>
          <w:color w:val="auto"/>
          <w:sz w:val="24"/>
          <w:szCs w:val="24"/>
        </w:rPr>
        <w:t>12、为保障养护项目的及时性，供应商应提供服务便捷性（响应情况）方案，明确服务响应速度以及其他服务响应承诺。</w:t>
      </w:r>
    </w:p>
    <w:p w14:paraId="754B1955">
      <w:pPr>
        <w:spacing w:beforeLines="0" w:afterLines="0" w:line="360" w:lineRule="auto"/>
        <w:rPr>
          <w:rFonts w:hint="default" w:ascii="宋体" w:hAnsi="宋体" w:eastAsia="宋体" w:cs="宋体"/>
          <w:b/>
          <w:color w:val="auto"/>
          <w:sz w:val="24"/>
          <w:szCs w:val="24"/>
        </w:rPr>
      </w:pPr>
    </w:p>
    <w:p w14:paraId="3372BDB0">
      <w:pPr>
        <w:pStyle w:val="2"/>
        <w:rPr>
          <w:rFonts w:hint="default"/>
        </w:rPr>
      </w:pPr>
    </w:p>
    <w:p w14:paraId="1FDC1B5E">
      <w:pPr>
        <w:spacing w:beforeLines="0" w:afterLines="0" w:line="360" w:lineRule="auto"/>
        <w:rPr>
          <w:rFonts w:hint="default" w:ascii="宋体" w:hAnsi="宋体" w:eastAsia="宋体" w:cs="宋体"/>
          <w:b/>
          <w:color w:val="auto"/>
          <w:sz w:val="24"/>
          <w:szCs w:val="24"/>
        </w:rPr>
      </w:pPr>
      <w:r>
        <w:rPr>
          <w:rFonts w:hint="default" w:ascii="宋体" w:hAnsi="宋体" w:eastAsia="宋体" w:cs="宋体"/>
          <w:b/>
          <w:color w:val="auto"/>
          <w:sz w:val="24"/>
          <w:szCs w:val="24"/>
        </w:rPr>
        <w:t>六、工作量考核（适用于所有标项）</w:t>
      </w:r>
    </w:p>
    <w:p w14:paraId="38D6BD25">
      <w:pPr>
        <w:spacing w:beforeLines="0" w:afterLines="0" w:line="360" w:lineRule="auto"/>
        <w:ind w:firstLine="420"/>
        <w:rPr>
          <w:rFonts w:hint="default" w:ascii="宋体" w:hAnsi="宋体" w:eastAsia="宋体" w:cs="宋体"/>
          <w:color w:val="auto"/>
          <w:sz w:val="24"/>
          <w:szCs w:val="24"/>
        </w:rPr>
      </w:pPr>
      <w:r>
        <w:rPr>
          <w:rFonts w:hint="default" w:ascii="宋体" w:hAnsi="宋体" w:eastAsia="宋体" w:cs="宋体"/>
          <w:color w:val="auto"/>
          <w:sz w:val="24"/>
          <w:szCs w:val="24"/>
        </w:rPr>
        <w:t>需统计上报的工作量：中标人须每月向采购人上报管道养护类信息三篇，30日前需上交月度总结一篇，内容包括：排水管道疏通长度，检查井、落水井养护数量，污泥清掏数量，配合新管道验收检查，智慧城管96310、市民投诉等城市排水事件现场查看情况、其它排水事件应急处置工作等。采购人结合考核结果作为支付养护费用的依据。</w:t>
      </w:r>
    </w:p>
    <w:p w14:paraId="22CA530B">
      <w:pPr>
        <w:spacing w:beforeLines="0" w:afterLines="0" w:line="360" w:lineRule="auto"/>
        <w:rPr>
          <w:rFonts w:hint="default" w:ascii="宋体" w:hAnsi="宋体" w:eastAsia="宋体" w:cs="宋体"/>
          <w:color w:val="auto"/>
          <w:sz w:val="24"/>
          <w:szCs w:val="24"/>
        </w:rPr>
      </w:pPr>
    </w:p>
    <w:p w14:paraId="39816050">
      <w:pPr>
        <w:spacing w:beforeLines="0" w:afterLines="0" w:line="360" w:lineRule="auto"/>
        <w:rPr>
          <w:rFonts w:hint="default" w:ascii="宋体" w:hAnsi="宋体" w:eastAsia="宋体" w:cs="宋体"/>
          <w:b/>
          <w:color w:val="auto"/>
          <w:sz w:val="24"/>
          <w:szCs w:val="24"/>
        </w:rPr>
      </w:pPr>
      <w:r>
        <w:rPr>
          <w:rFonts w:hint="default" w:ascii="宋体" w:hAnsi="宋体" w:eastAsia="宋体" w:cs="宋体"/>
          <w:b/>
          <w:color w:val="auto"/>
          <w:sz w:val="24"/>
          <w:szCs w:val="24"/>
        </w:rPr>
        <w:t>七、完成质量要求（适用于所有标项）</w:t>
      </w:r>
    </w:p>
    <w:p w14:paraId="6764F987">
      <w:pPr>
        <w:spacing w:beforeLines="0" w:afterLines="0" w:line="360" w:lineRule="auto"/>
        <w:ind w:firstLine="420"/>
        <w:rPr>
          <w:rFonts w:hint="default" w:ascii="宋体" w:hAnsi="宋体" w:eastAsia="宋体" w:cs="宋体"/>
          <w:color w:val="auto"/>
          <w:sz w:val="24"/>
          <w:szCs w:val="24"/>
        </w:rPr>
      </w:pPr>
      <w:r>
        <w:rPr>
          <w:rFonts w:hint="default" w:ascii="宋体" w:hAnsi="宋体" w:eastAsia="宋体" w:cs="宋体"/>
          <w:color w:val="auto"/>
          <w:sz w:val="24"/>
          <w:szCs w:val="24"/>
        </w:rPr>
        <w:t>1、服务期间供应商不得随意更换项目负责人（投标文件中须提供相关证书复印件加盖公章），如有特殊情况需要更换，须经采购人同意确认，且更换的项目负责人仍需具有本招标文件要求资历。</w:t>
      </w:r>
    </w:p>
    <w:p w14:paraId="2A78B701">
      <w:pPr>
        <w:spacing w:beforeLines="0" w:afterLines="0" w:line="360" w:lineRule="auto"/>
        <w:ind w:firstLine="420"/>
        <w:rPr>
          <w:rFonts w:hint="default" w:ascii="宋体" w:hAnsi="宋体" w:eastAsia="宋体" w:cs="宋体"/>
          <w:color w:val="auto"/>
          <w:sz w:val="24"/>
          <w:szCs w:val="24"/>
        </w:rPr>
      </w:pPr>
      <w:r>
        <w:rPr>
          <w:rFonts w:hint="default" w:ascii="宋体" w:hAnsi="宋体" w:eastAsia="宋体" w:cs="宋体"/>
          <w:color w:val="auto"/>
          <w:sz w:val="24"/>
          <w:szCs w:val="24"/>
        </w:rPr>
        <w:t>2、安全文明养护要求：供应商必须重视安全生产工作，确保全年不出安全生产责任事故。合同履约期间，供应商未按照采购人要求进行安全作业的，每发现一次扣1000元。在养护过程中，如发生安全生产责任事故（人员伤亡）或交通事故，由供应商承担一切责任及损失，采购人有权终止合同。</w:t>
      </w:r>
    </w:p>
    <w:p w14:paraId="7A319C19">
      <w:pPr>
        <w:spacing w:beforeLines="0" w:afterLines="0" w:line="360" w:lineRule="auto"/>
        <w:ind w:firstLine="420"/>
        <w:rPr>
          <w:rFonts w:hint="default"/>
        </w:rPr>
      </w:pPr>
      <w:r>
        <w:rPr>
          <w:rFonts w:hint="default" w:ascii="宋体" w:hAnsi="宋体" w:eastAsia="宋体" w:cs="宋体"/>
          <w:color w:val="auto"/>
          <w:sz w:val="24"/>
          <w:szCs w:val="24"/>
        </w:rPr>
        <w:t>3、合同执行过程中，供应商如有弄虚作假行为，采购人有权单方面解除合同，由此引起的所有损失由供应商承担。</w:t>
      </w:r>
    </w:p>
    <w:p w14:paraId="70EA7D51">
      <w:pPr>
        <w:widowControl/>
        <w:adjustRightInd/>
        <w:spacing w:beforeLines="0" w:afterLines="0" w:line="360" w:lineRule="auto"/>
        <w:jc w:val="left"/>
        <w:rPr>
          <w:rFonts w:hint="eastAsia" w:ascii="宋体" w:hAnsi="宋体" w:cs="宋体"/>
          <w:b/>
          <w:color w:val="auto"/>
          <w:kern w:val="0"/>
          <w:sz w:val="24"/>
          <w:szCs w:val="24"/>
          <w:highlight w:val="none"/>
          <w:lang w:val="en-US" w:eastAsia="zh-CN"/>
        </w:rPr>
      </w:pPr>
    </w:p>
    <w:p w14:paraId="39E0BBCD">
      <w:pPr>
        <w:widowControl/>
        <w:adjustRightInd/>
        <w:spacing w:beforeLines="0" w:afterLines="0" w:line="360" w:lineRule="auto"/>
        <w:jc w:val="left"/>
        <w:rPr>
          <w:rFonts w:hint="eastAsia" w:ascii="宋体" w:hAnsi="宋体" w:eastAsia="宋体" w:cs="宋体"/>
          <w:b/>
          <w:color w:val="auto"/>
          <w:kern w:val="0"/>
          <w:sz w:val="24"/>
          <w:szCs w:val="24"/>
          <w:highlight w:val="none"/>
        </w:rPr>
      </w:pPr>
      <w:r>
        <w:rPr>
          <w:rFonts w:hint="eastAsia" w:ascii="宋体" w:hAnsi="宋体" w:cs="宋体"/>
          <w:b/>
          <w:color w:val="auto"/>
          <w:kern w:val="0"/>
          <w:sz w:val="24"/>
          <w:szCs w:val="24"/>
          <w:highlight w:val="none"/>
          <w:lang w:val="en-US" w:eastAsia="zh-CN"/>
        </w:rPr>
        <w:t>八</w:t>
      </w:r>
      <w:r>
        <w:rPr>
          <w:rFonts w:hint="eastAsia" w:ascii="宋体" w:hAnsi="宋体" w:eastAsia="宋体" w:cs="宋体"/>
          <w:b/>
          <w:color w:val="auto"/>
          <w:kern w:val="0"/>
          <w:sz w:val="24"/>
          <w:szCs w:val="24"/>
          <w:highlight w:val="none"/>
        </w:rPr>
        <w:t>、投标要求</w:t>
      </w:r>
    </w:p>
    <w:p w14:paraId="393F1562">
      <w:pPr>
        <w:widowControl/>
        <w:adjustRightInd/>
        <w:spacing w:beforeLines="0" w:afterLines="0" w:line="360" w:lineRule="auto"/>
        <w:ind w:firstLine="420"/>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1、供应商应对本项目</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总体思路</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项目实施准备、总体实施安排以及实施规范性布置等内容制定完整的方案。</w:t>
      </w:r>
    </w:p>
    <w:p w14:paraId="049C76EC">
      <w:pPr>
        <w:widowControl/>
        <w:adjustRightInd/>
        <w:spacing w:beforeLines="0" w:afterLines="0" w:line="360" w:lineRule="auto"/>
        <w:ind w:firstLine="42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2、供应商应对本项目理解，养护对象现状调研、调研后提供的养护对象现状说明制定详细的方案。</w:t>
      </w:r>
    </w:p>
    <w:p w14:paraId="34133758">
      <w:pPr>
        <w:widowControl/>
        <w:adjustRightInd/>
        <w:spacing w:beforeLines="0" w:afterLines="0" w:line="360" w:lineRule="auto"/>
        <w:ind w:firstLine="42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3、供应商应对本项目项目重难点分析（问题的调查剖析、预测以及可能造成的影响等情况）并就该重点、难点制定相应的解决方案（提出的克服解决措施建议、具体实施安排以及实施方式方法）。</w:t>
      </w:r>
    </w:p>
    <w:p w14:paraId="05C76705">
      <w:pPr>
        <w:widowControl/>
        <w:adjustRightInd/>
        <w:spacing w:beforeLines="0" w:afterLines="0" w:line="360" w:lineRule="auto"/>
        <w:ind w:firstLine="42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4、供应商应对本项目制定的完整的管道日常养护、巡查、管道及其他排水设施维修管理方案。</w:t>
      </w:r>
    </w:p>
    <w:p w14:paraId="37A0F98F">
      <w:pPr>
        <w:widowControl/>
        <w:adjustRightInd/>
        <w:spacing w:beforeLines="0" w:afterLines="0" w:line="360" w:lineRule="auto"/>
        <w:ind w:firstLine="420"/>
        <w:jc w:val="left"/>
        <w:rPr>
          <w:rFonts w:hint="default"/>
          <w:lang w:val="en-US" w:eastAsia="zh-CN"/>
        </w:rPr>
      </w:pPr>
      <w:r>
        <w:rPr>
          <w:rFonts w:hint="eastAsia" w:ascii="宋体" w:hAnsi="宋体" w:cs="宋体"/>
          <w:color w:val="auto"/>
          <w:kern w:val="0"/>
          <w:sz w:val="24"/>
          <w:szCs w:val="24"/>
          <w:highlight w:val="none"/>
          <w:lang w:val="en-US" w:eastAsia="zh-CN"/>
        </w:rPr>
        <w:t>5、供应商应对本项目制定施工进度计划方案。</w:t>
      </w:r>
    </w:p>
    <w:p w14:paraId="4945B918">
      <w:pPr>
        <w:widowControl/>
        <w:adjustRightInd/>
        <w:spacing w:beforeLines="0" w:afterLines="0" w:line="360" w:lineRule="auto"/>
        <w:ind w:firstLine="420"/>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6、供应商应根据本项目的服务管理体系、质量保证措施、内部监督考核机制、</w:t>
      </w:r>
      <w:r>
        <w:rPr>
          <w:rFonts w:hint="eastAsia" w:ascii="宋体" w:hAnsi="宋体" w:eastAsia="宋体" w:cs="宋体"/>
          <w:color w:val="auto"/>
          <w:kern w:val="0"/>
          <w:sz w:val="24"/>
          <w:szCs w:val="24"/>
          <w:highlight w:val="none"/>
        </w:rPr>
        <w:t>安全生产、文明作业、环保措施以及投诉处理等方案进行分析，根据本项目的特点，制定完整的服务方案</w:t>
      </w:r>
      <w:r>
        <w:rPr>
          <w:rFonts w:hint="eastAsia" w:ascii="宋体" w:hAnsi="宋体" w:cs="宋体"/>
          <w:color w:val="auto"/>
          <w:kern w:val="0"/>
          <w:sz w:val="24"/>
          <w:szCs w:val="24"/>
          <w:highlight w:val="none"/>
          <w:lang w:eastAsia="zh-CN"/>
        </w:rPr>
        <w:t>。</w:t>
      </w:r>
    </w:p>
    <w:p w14:paraId="34AFD9BE">
      <w:pPr>
        <w:widowControl/>
        <w:adjustRightInd/>
        <w:spacing w:beforeLines="0" w:afterLines="0" w:line="360" w:lineRule="auto"/>
        <w:ind w:firstLine="420"/>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根据项目实际情况，供应商应制定特殊时期应急方案及保证措施</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并无条件配合采购人做好相关保障。</w:t>
      </w:r>
    </w:p>
    <w:p w14:paraId="6256AF3B">
      <w:pPr>
        <w:widowControl/>
        <w:adjustRightInd/>
        <w:spacing w:beforeLines="0" w:afterLines="0" w:line="360" w:lineRule="auto"/>
        <w:ind w:firstLine="420"/>
        <w:jc w:val="left"/>
        <w:rPr>
          <w:rFonts w:hint="default" w:ascii="宋体" w:hAnsi="宋体" w:eastAsia="宋体" w:cs="宋体"/>
          <w:color w:val="auto"/>
          <w:kern w:val="0"/>
          <w:sz w:val="24"/>
          <w:szCs w:val="24"/>
          <w:highlight w:val="none"/>
          <w:lang w:val="en-US"/>
        </w:rPr>
      </w:pPr>
      <w:r>
        <w:rPr>
          <w:rFonts w:hint="eastAsia" w:ascii="宋体" w:hAnsi="宋体" w:cs="宋体"/>
          <w:color w:val="auto"/>
          <w:kern w:val="0"/>
          <w:sz w:val="24"/>
          <w:szCs w:val="24"/>
          <w:highlight w:val="none"/>
          <w:lang w:val="en-US" w:eastAsia="zh-CN"/>
        </w:rPr>
        <w:t>8、供应商应对本项目提供的服务的便捷性（响应情况、服务响应及承诺的速度、合理性等）提供相应的措施。</w:t>
      </w:r>
    </w:p>
    <w:p w14:paraId="1EFC3CEB">
      <w:pPr>
        <w:widowControl/>
        <w:adjustRightInd/>
        <w:spacing w:beforeLines="0" w:afterLines="0" w:line="360" w:lineRule="auto"/>
        <w:ind w:firstLine="42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、项目团队人员是完成本项目的重要组成部分，供应商应提供拟投入本项目人员的技能水平和职称等情况。</w:t>
      </w:r>
    </w:p>
    <w:p w14:paraId="569CCEBA">
      <w:pPr>
        <w:pStyle w:val="2"/>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、供应商应提供完成本项目的设备清单及其功能描述。</w:t>
      </w:r>
    </w:p>
    <w:p w14:paraId="4EBB218B">
      <w:pPr>
        <w:ind w:firstLine="480" w:firstLineChars="200"/>
        <w:rPr>
          <w:rFonts w:hint="default" w:eastAsia="宋体"/>
          <w:lang w:val="en-US" w:eastAsia="zh-CN"/>
        </w:rPr>
        <w:sectPr>
          <w:headerReference r:id="rId15" w:type="first"/>
          <w:footerReference r:id="rId17" w:type="first"/>
          <w:headerReference r:id="rId14" w:type="default"/>
          <w:footerReference r:id="rId16" w:type="default"/>
          <w:pgSz w:w="11906" w:h="16838"/>
          <w:pgMar w:top="1304" w:right="1797" w:bottom="1247" w:left="1797" w:header="851" w:footer="851" w:gutter="0"/>
          <w:pgBorders w:offsetFrom="page">
            <w:top w:val="none" w:sz="0" w:space="0"/>
            <w:left w:val="none" w:sz="0" w:space="0"/>
            <w:bottom w:val="none" w:sz="0" w:space="0"/>
            <w:right w:val="none" w:sz="0" w:space="0"/>
          </w:pgBorders>
          <w:lnNumType w:countBy="0" w:distance="360"/>
          <w:pgNumType w:fmt="decimal"/>
          <w:cols w:space="720" w:num="1"/>
          <w:titlePg/>
          <w:docGrid w:linePitch="312" w:charSpace="0"/>
        </w:sectPr>
      </w:pPr>
      <w:r>
        <w:rPr>
          <w:rFonts w:hint="eastAsia" w:ascii="宋体" w:hAnsi="宋体" w:eastAsia="宋体" w:cs="宋体"/>
          <w:snapToGrid w:val="0"/>
          <w:color w:val="auto"/>
          <w:kern w:val="0"/>
          <w:sz w:val="24"/>
          <w:szCs w:val="24"/>
          <w:highlight w:val="none"/>
          <w:lang w:val="en-US" w:eastAsia="zh-CN" w:bidi="ar-SA"/>
        </w:rPr>
        <w:t>11、供应商应提供</w:t>
      </w:r>
      <w:r>
        <w:rPr>
          <w:rFonts w:hint="default" w:ascii="宋体" w:hAnsi="宋体" w:eastAsia="宋体" w:cs="宋体"/>
          <w:snapToGrid w:val="0"/>
          <w:color w:val="auto"/>
          <w:kern w:val="0"/>
          <w:sz w:val="24"/>
          <w:szCs w:val="24"/>
          <w:highlight w:val="none"/>
          <w:lang w:val="en-US" w:eastAsia="zh-CN" w:bidi="ar-SA"/>
        </w:rPr>
        <w:t>业绩</w:t>
      </w:r>
      <w:r>
        <w:rPr>
          <w:rFonts w:hint="eastAsia" w:ascii="宋体" w:hAnsi="宋体" w:eastAsia="宋体" w:cs="宋体"/>
          <w:snapToGrid w:val="0"/>
          <w:color w:val="auto"/>
          <w:kern w:val="0"/>
          <w:sz w:val="24"/>
          <w:szCs w:val="24"/>
          <w:highlight w:val="none"/>
          <w:lang w:val="en-US" w:eastAsia="zh-CN" w:bidi="ar-SA"/>
        </w:rPr>
        <w:t>等</w:t>
      </w:r>
      <w:r>
        <w:rPr>
          <w:rFonts w:hint="default" w:ascii="宋体" w:hAnsi="宋体" w:eastAsia="宋体" w:cs="宋体"/>
          <w:snapToGrid w:val="0"/>
          <w:color w:val="auto"/>
          <w:kern w:val="0"/>
          <w:sz w:val="24"/>
          <w:szCs w:val="24"/>
          <w:highlight w:val="none"/>
          <w:lang w:val="en-US" w:eastAsia="zh-CN" w:bidi="ar-SA"/>
        </w:rPr>
        <w:t>相关证明材料。</w:t>
      </w:r>
    </w:p>
    <w:p w14:paraId="207BBCF0">
      <w:pPr>
        <w:spacing w:beforeLines="0" w:afterLines="0" w:line="360" w:lineRule="auto"/>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附件3：海曙区排水管网日常养护考核办法</w:t>
      </w:r>
    </w:p>
    <w:p w14:paraId="5E299913">
      <w:pPr>
        <w:pStyle w:val="23"/>
        <w:spacing w:beforeLines="0"/>
        <w:jc w:val="center"/>
        <w:rPr>
          <w:rFonts w:hint="default" w:ascii="宋体" w:hAnsi="宋体" w:cs="宋体"/>
          <w:b/>
          <w:color w:val="auto"/>
          <w:sz w:val="28"/>
          <w:szCs w:val="21"/>
          <w:highlight w:val="none"/>
        </w:rPr>
      </w:pPr>
    </w:p>
    <w:p w14:paraId="17036B37">
      <w:pPr>
        <w:pStyle w:val="23"/>
        <w:spacing w:beforeLines="0" w:after="0" w:line="360" w:lineRule="auto"/>
        <w:jc w:val="center"/>
        <w:rPr>
          <w:rFonts w:hint="default" w:ascii="宋体" w:hAnsi="宋体" w:cs="宋体"/>
          <w:b/>
          <w:color w:val="auto"/>
          <w:sz w:val="28"/>
          <w:szCs w:val="21"/>
          <w:highlight w:val="none"/>
        </w:rPr>
      </w:pPr>
      <w:r>
        <w:rPr>
          <w:rFonts w:hint="default" w:ascii="宋体" w:hAnsi="宋体" w:cs="宋体"/>
          <w:b/>
          <w:color w:val="auto"/>
          <w:sz w:val="28"/>
          <w:szCs w:val="21"/>
          <w:highlight w:val="none"/>
        </w:rPr>
        <w:t>海曙区排水管网日常养护考核办法</w:t>
      </w:r>
    </w:p>
    <w:p w14:paraId="5247ACB2">
      <w:pPr>
        <w:spacing w:beforeLines="0" w:afterLines="0" w:line="360"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为加强对中标人服务工作的监督，结合海曙区排水管网日常养护的实际情况，特制订本管理办法。</w:t>
      </w:r>
    </w:p>
    <w:p w14:paraId="05301848">
      <w:pPr>
        <w:spacing w:beforeLines="0" w:afterLines="0" w:line="360"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一、合同期内采购人对中标人的服务工作情况进行验收考评，考评标准以附件4《海曙区排水管网日常养护考核总分表》为依据。</w:t>
      </w:r>
    </w:p>
    <w:p w14:paraId="21D47E0E">
      <w:pPr>
        <w:spacing w:beforeLines="0" w:afterLines="0" w:line="360"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二、违约处罚</w:t>
      </w:r>
    </w:p>
    <w:p w14:paraId="7C1D8408">
      <w:pPr>
        <w:spacing w:beforeLines="0" w:afterLines="0" w:line="360" w:lineRule="auto"/>
        <w:ind w:firstLine="42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1、中标人出现下列情况之一，采购人有权终止承包合同：</w:t>
      </w:r>
    </w:p>
    <w:p w14:paraId="3F20D1BB">
      <w:pPr>
        <w:spacing w:beforeLines="0" w:afterLines="0" w:line="360" w:lineRule="auto"/>
        <w:ind w:firstLine="420"/>
        <w:rPr>
          <w:rFonts w:hint="default" w:ascii="宋体" w:hAnsi="宋体" w:eastAsia="宋体" w:cs="宋体"/>
          <w:color w:val="auto"/>
          <w:sz w:val="21"/>
          <w:szCs w:val="24"/>
          <w:highlight w:val="none"/>
        </w:rPr>
      </w:pPr>
      <w:r>
        <w:rPr>
          <w:rFonts w:hint="default" w:ascii="宋体" w:hAnsi="宋体" w:eastAsia="宋体" w:cs="宋体"/>
          <w:color w:val="auto"/>
          <w:sz w:val="21"/>
          <w:szCs w:val="21"/>
          <w:highlight w:val="none"/>
        </w:rPr>
        <w:t>1）如连续两个月或任意三个月不合格。</w:t>
      </w:r>
    </w:p>
    <w:p w14:paraId="06297137">
      <w:pPr>
        <w:spacing w:beforeLines="0" w:afterLines="0" w:line="360" w:lineRule="auto"/>
        <w:ind w:firstLine="42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2）合同签订后三天内承诺的作业人员不到位的。</w:t>
      </w:r>
    </w:p>
    <w:p w14:paraId="2FF4C8C1">
      <w:pPr>
        <w:spacing w:beforeLines="0" w:afterLines="0" w:line="360" w:lineRule="auto"/>
        <w:ind w:firstLine="42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2、中标人出现下列情况之一，第一次出现按1万元扣款，第二次出现按2万元扣款，第三次出现采购人有权终止承包合同：</w:t>
      </w:r>
    </w:p>
    <w:p w14:paraId="20D4D198">
      <w:pPr>
        <w:spacing w:beforeLines="0" w:afterLines="0" w:line="360" w:lineRule="auto"/>
        <w:ind w:firstLine="42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1）被新闻媒体或上级部门书面通报批评造成重大影响的；</w:t>
      </w:r>
    </w:p>
    <w:p w14:paraId="38240E19">
      <w:pPr>
        <w:spacing w:beforeLines="0" w:afterLines="0" w:line="360" w:lineRule="auto"/>
        <w:ind w:firstLine="42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2）承包期间出现上访事件，造成不良影响的。</w:t>
      </w:r>
    </w:p>
    <w:p w14:paraId="672401C5">
      <w:pPr>
        <w:spacing w:beforeLines="0" w:afterLines="0" w:line="360" w:lineRule="auto"/>
        <w:ind w:firstLine="48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三、考核</w:t>
      </w:r>
    </w:p>
    <w:p w14:paraId="56AA25B1">
      <w:pPr>
        <w:spacing w:beforeLines="0" w:afterLines="0" w:line="360" w:lineRule="auto"/>
        <w:ind w:firstLine="48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1、由采购人每月对养护单位进行监督考核。</w:t>
      </w:r>
    </w:p>
    <w:p w14:paraId="11365979">
      <w:pPr>
        <w:spacing w:beforeLines="0" w:afterLines="0" w:line="360" w:lineRule="auto"/>
        <w:ind w:firstLine="480"/>
        <w:rPr>
          <w:rFonts w:hint="default" w:ascii="宋体" w:hAnsi="宋体" w:eastAsia="宋体" w:cs="宋体"/>
          <w:color w:val="auto"/>
          <w:sz w:val="21"/>
          <w:szCs w:val="24"/>
          <w:highlight w:val="none"/>
        </w:rPr>
      </w:pPr>
      <w:r>
        <w:rPr>
          <w:rFonts w:hint="default" w:ascii="宋体" w:hAnsi="宋体" w:eastAsia="宋体" w:cs="宋体"/>
          <w:color w:val="auto"/>
          <w:sz w:val="21"/>
          <w:szCs w:val="21"/>
          <w:highlight w:val="none"/>
        </w:rPr>
        <w:t>考核评定依据：按《海曙区排水管网日常养护考核总分表》执行。</w:t>
      </w:r>
    </w:p>
    <w:p w14:paraId="1BD7A0A8">
      <w:pPr>
        <w:spacing w:beforeLines="0" w:afterLines="0" w:line="360" w:lineRule="auto"/>
        <w:ind w:firstLine="48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四、养护经费核拨方式</w:t>
      </w:r>
    </w:p>
    <w:p w14:paraId="60975E52">
      <w:pPr>
        <w:spacing w:beforeLines="0" w:afterLines="0" w:line="360" w:lineRule="auto"/>
        <w:ind w:firstLine="42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服务期间的养护经费按季度进行核拨。由采购人组成的考评组每月对养护单位进行监督考核，按考评结果核拔养护费用。具体方法为：</w:t>
      </w:r>
    </w:p>
    <w:p w14:paraId="1A31E793">
      <w:pPr>
        <w:spacing w:beforeLines="0" w:afterLines="0" w:line="360" w:lineRule="auto"/>
        <w:ind w:firstLine="42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每季度养护经费支付至当季度应付金额的100%。如果在养护过程中，中标人要求单方面终止合同。若经采购人同意。当季应付金额按如下方法计算：</w:t>
      </w:r>
    </w:p>
    <w:p w14:paraId="623E53B0">
      <w:pPr>
        <w:spacing w:beforeLines="0" w:afterLines="0" w:line="360" w:lineRule="auto"/>
        <w:ind w:firstLine="42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1）每月安排一次考评，考评标准以签订合同时的《海曙区排水管网日常养护考核办法》（附件3）为准，根据考评结果按季进行核拨。考评结果与每月养护经费挂钩：</w:t>
      </w:r>
    </w:p>
    <w:p w14:paraId="6F6EBA44">
      <w:pPr>
        <w:spacing w:beforeLines="0" w:afterLines="0" w:line="360" w:lineRule="auto"/>
        <w:ind w:firstLine="42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（1）综合考核分在90分（含）以上的，应付金额为全额月养护经费【即（年度中标价-年度暂列金额）/12个月】；</w:t>
      </w:r>
    </w:p>
    <w:p w14:paraId="086C1537">
      <w:pPr>
        <w:spacing w:beforeLines="0" w:afterLines="0" w:line="360" w:lineRule="auto"/>
        <w:ind w:firstLine="42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（2）综合考核分在80（含）-90分的，应付金额为以90分为基准每扣1分扣除月养护经费的3%；</w:t>
      </w:r>
    </w:p>
    <w:p w14:paraId="410369F2">
      <w:pPr>
        <w:spacing w:beforeLines="0" w:afterLines="0" w:line="360" w:lineRule="auto"/>
        <w:ind w:firstLine="42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（3）综合考核分在80分以下的为不合格，应付金额为全额月养护经费的60%；</w:t>
      </w:r>
    </w:p>
    <w:p w14:paraId="49BED4A5">
      <w:pPr>
        <w:spacing w:beforeLines="0" w:afterLines="0" w:line="360" w:lineRule="auto"/>
        <w:ind w:firstLine="42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（4）如连续两个月或任意三个月不合格，采购人有权单方解除合同。</w:t>
      </w:r>
    </w:p>
    <w:p w14:paraId="16579906">
      <w:pPr>
        <w:spacing w:beforeLines="0" w:afterLines="0" w:line="360" w:lineRule="auto"/>
        <w:ind w:firstLine="42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2）合同履行期间，如发生新接收或者移交道路新增设施量，新增的费用以双方签证认可的联系单为准，产生的费用原则上计入发生期间所对应的月份中。</w:t>
      </w:r>
    </w:p>
    <w:p w14:paraId="4EBBF4D9">
      <w:pPr>
        <w:spacing w:beforeLines="0" w:afterLines="0" w:line="360" w:lineRule="auto"/>
        <w:ind w:firstLine="420"/>
        <w:rPr>
          <w:rFonts w:hint="default" w:ascii="宋体" w:hAnsi="宋体" w:eastAsia="宋体" w:cs="宋体"/>
          <w:color w:val="auto"/>
          <w:sz w:val="21"/>
          <w:szCs w:val="21"/>
        </w:rPr>
      </w:pPr>
      <w:r>
        <w:rPr>
          <w:rFonts w:hint="default" w:ascii="宋体" w:hAnsi="宋体" w:eastAsia="宋体" w:cs="宋体"/>
          <w:color w:val="auto"/>
          <w:sz w:val="21"/>
          <w:szCs w:val="21"/>
        </w:rPr>
        <w:t>3）合同履行期间，养护人员发现井盖缺失、严重破损或井内部件损坏的，应及时上报采购人并保证在井盖维修完毕前做好围护工作。因围护不当或养护时未及时发现井盖缺失、严重破损或部件损坏而造成安全事故发生的，由中标人负责赔偿。</w:t>
      </w:r>
    </w:p>
    <w:p w14:paraId="4E7004B6">
      <w:pPr>
        <w:pStyle w:val="23"/>
        <w:spacing w:beforeLines="0"/>
        <w:rPr>
          <w:rFonts w:hint="default" w:ascii="宋体" w:hAnsi="宋体" w:cs="宋体"/>
          <w:b/>
          <w:color w:val="auto"/>
          <w:sz w:val="28"/>
          <w:szCs w:val="21"/>
        </w:rPr>
      </w:pPr>
      <w:r>
        <w:rPr>
          <w:rFonts w:hint="default" w:ascii="宋体" w:hAnsi="宋体" w:cs="宋体"/>
          <w:b/>
          <w:color w:val="auto"/>
          <w:sz w:val="28"/>
          <w:szCs w:val="21"/>
        </w:rPr>
        <w:br w:type="page"/>
      </w:r>
      <w:r>
        <w:rPr>
          <w:rFonts w:hint="default" w:ascii="宋体" w:hAnsi="宋体" w:cs="宋体"/>
          <w:b/>
          <w:color w:val="auto"/>
          <w:sz w:val="28"/>
          <w:szCs w:val="21"/>
        </w:rPr>
        <w:t>附件4：海曙区排水管网日常养护考核总分表</w:t>
      </w:r>
    </w:p>
    <w:p w14:paraId="7BAEFAC4">
      <w:pPr>
        <w:pStyle w:val="23"/>
        <w:spacing w:beforeLines="0"/>
        <w:jc w:val="center"/>
        <w:rPr>
          <w:rFonts w:hint="default" w:ascii="宋体" w:hAnsi="宋体" w:cs="宋体"/>
          <w:b/>
          <w:color w:val="auto"/>
          <w:sz w:val="28"/>
          <w:szCs w:val="21"/>
        </w:rPr>
      </w:pPr>
      <w:r>
        <w:rPr>
          <w:rFonts w:hint="default" w:ascii="宋体" w:hAnsi="宋体" w:cs="宋体"/>
          <w:b/>
          <w:color w:val="auto"/>
          <w:sz w:val="28"/>
          <w:szCs w:val="21"/>
        </w:rPr>
        <w:t>海曙区排水管网日常养护考核总分表</w:t>
      </w:r>
    </w:p>
    <w:tbl>
      <w:tblPr>
        <w:tblStyle w:val="63"/>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45"/>
        <w:gridCol w:w="938"/>
        <w:gridCol w:w="1948"/>
        <w:gridCol w:w="556"/>
        <w:gridCol w:w="3553"/>
        <w:gridCol w:w="524"/>
        <w:gridCol w:w="557"/>
      </w:tblGrid>
      <w:tr w14:paraId="1A40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BE5B76">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序</w:t>
            </w:r>
          </w:p>
          <w:p w14:paraId="5E740E1E">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号</w:t>
            </w:r>
          </w:p>
        </w:tc>
        <w:tc>
          <w:tcPr>
            <w:tcW w:w="138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6EFABCA">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考核指标</w:t>
            </w:r>
          </w:p>
        </w:tc>
        <w:tc>
          <w:tcPr>
            <w:tcW w:w="19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F1EDA4">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考核标准</w:t>
            </w:r>
          </w:p>
        </w:tc>
        <w:tc>
          <w:tcPr>
            <w:tcW w:w="5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038650">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标准分</w:t>
            </w:r>
          </w:p>
        </w:tc>
        <w:tc>
          <w:tcPr>
            <w:tcW w:w="35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136935">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实施细则</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1C61C4">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扣</w:t>
            </w:r>
          </w:p>
          <w:p w14:paraId="03D4CAE7">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分</w:t>
            </w:r>
          </w:p>
        </w:tc>
        <w:tc>
          <w:tcPr>
            <w:tcW w:w="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35938D">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实得分</w:t>
            </w:r>
          </w:p>
        </w:tc>
      </w:tr>
      <w:tr w14:paraId="1BBC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2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2756DA3">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1</w:t>
            </w:r>
          </w:p>
        </w:tc>
        <w:tc>
          <w:tcPr>
            <w:tcW w:w="4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F356CFB">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基础</w:t>
            </w:r>
          </w:p>
          <w:p w14:paraId="0F323BFD">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资料</w:t>
            </w: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AEEB33">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养护</w:t>
            </w:r>
          </w:p>
          <w:p w14:paraId="20ADBDF7">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计划</w:t>
            </w:r>
          </w:p>
        </w:tc>
        <w:tc>
          <w:tcPr>
            <w:tcW w:w="19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6453EE">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根据承包内容及采购人要求制定相关的年度养护计划和月度养护计划。</w:t>
            </w:r>
          </w:p>
        </w:tc>
        <w:tc>
          <w:tcPr>
            <w:tcW w:w="5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154D36">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3</w:t>
            </w:r>
          </w:p>
        </w:tc>
        <w:tc>
          <w:tcPr>
            <w:tcW w:w="35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75F931">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无月度养护计划的扣3分，无年度计划扣1分。</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39D7C5">
            <w:pPr>
              <w:spacing w:beforeLines="0" w:afterLines="0"/>
              <w:jc w:val="center"/>
              <w:rPr>
                <w:rFonts w:hint="default" w:ascii="宋体" w:hAnsi="宋体" w:eastAsia="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1FC43D">
            <w:pPr>
              <w:spacing w:beforeLines="0" w:afterLines="0"/>
              <w:jc w:val="center"/>
              <w:rPr>
                <w:rFonts w:hint="default" w:ascii="宋体" w:hAnsi="宋体" w:eastAsia="宋体" w:cs="宋体"/>
                <w:color w:val="auto"/>
                <w:sz w:val="21"/>
                <w:szCs w:val="21"/>
              </w:rPr>
            </w:pPr>
          </w:p>
        </w:tc>
      </w:tr>
      <w:tr w14:paraId="33CA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F7D1BD2">
            <w:pPr>
              <w:spacing w:beforeLines="0" w:afterLines="0"/>
              <w:jc w:val="center"/>
              <w:rPr>
                <w:rFonts w:hint="default" w:ascii="宋体" w:hAnsi="宋体" w:eastAsia="宋体" w:cs="宋体"/>
                <w:color w:val="auto"/>
                <w:sz w:val="21"/>
                <w:szCs w:val="21"/>
              </w:rPr>
            </w:pPr>
          </w:p>
        </w:tc>
        <w:tc>
          <w:tcPr>
            <w:tcW w:w="4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80C72D7">
            <w:pPr>
              <w:spacing w:beforeLines="0" w:afterLines="0"/>
              <w:jc w:val="center"/>
              <w:rPr>
                <w:rFonts w:hint="default" w:ascii="宋体" w:hAnsi="宋体" w:eastAsia="宋体" w:cs="宋体"/>
                <w:color w:val="auto"/>
                <w:sz w:val="21"/>
                <w:szCs w:val="21"/>
              </w:rPr>
            </w:pP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83C5FB">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清疏记录、养护台账</w:t>
            </w:r>
          </w:p>
        </w:tc>
        <w:tc>
          <w:tcPr>
            <w:tcW w:w="19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7FC059">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日常清疏记录齐全，且记录完整、准确、反映实际，并按月装订成册。</w:t>
            </w:r>
          </w:p>
        </w:tc>
        <w:tc>
          <w:tcPr>
            <w:tcW w:w="5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4B16AB">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4</w:t>
            </w:r>
          </w:p>
        </w:tc>
        <w:tc>
          <w:tcPr>
            <w:tcW w:w="35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84EF4D">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记录齐全的得4分，基本齐全的得2分，无记录得0分，未按月装订成册 的扣2分。未能正确反映实际情况或者记录不完整、不准确的每发现一处扣1分。</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F0EAB3">
            <w:pPr>
              <w:spacing w:beforeLines="0" w:afterLines="0"/>
              <w:jc w:val="center"/>
              <w:rPr>
                <w:rFonts w:hint="default" w:ascii="宋体" w:hAnsi="宋体" w:eastAsia="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999F0B">
            <w:pPr>
              <w:spacing w:beforeLines="0" w:afterLines="0"/>
              <w:jc w:val="center"/>
              <w:rPr>
                <w:rFonts w:hint="default" w:ascii="宋体" w:hAnsi="宋体" w:eastAsia="宋体" w:cs="宋体"/>
                <w:color w:val="auto"/>
                <w:sz w:val="21"/>
                <w:szCs w:val="21"/>
              </w:rPr>
            </w:pPr>
          </w:p>
        </w:tc>
      </w:tr>
      <w:tr w14:paraId="271E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C8225FE">
            <w:pPr>
              <w:spacing w:beforeLines="0" w:afterLines="0"/>
              <w:jc w:val="center"/>
              <w:rPr>
                <w:rFonts w:hint="default" w:ascii="宋体" w:hAnsi="宋体" w:eastAsia="宋体" w:cs="宋体"/>
                <w:color w:val="auto"/>
                <w:sz w:val="21"/>
                <w:szCs w:val="21"/>
              </w:rPr>
            </w:pPr>
          </w:p>
        </w:tc>
        <w:tc>
          <w:tcPr>
            <w:tcW w:w="4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D1B2596">
            <w:pPr>
              <w:spacing w:beforeLines="0" w:afterLines="0"/>
              <w:jc w:val="center"/>
              <w:rPr>
                <w:rFonts w:hint="default" w:ascii="宋体" w:hAnsi="宋体" w:eastAsia="宋体" w:cs="宋体"/>
                <w:color w:val="auto"/>
                <w:sz w:val="21"/>
                <w:szCs w:val="21"/>
              </w:rPr>
            </w:pP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78FD5D">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报表报送和设施量统计</w:t>
            </w:r>
          </w:p>
        </w:tc>
        <w:tc>
          <w:tcPr>
            <w:tcW w:w="19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356E56">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按要求及时报送相关报表。</w:t>
            </w:r>
          </w:p>
        </w:tc>
        <w:tc>
          <w:tcPr>
            <w:tcW w:w="5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05A6F3">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2</w:t>
            </w:r>
          </w:p>
        </w:tc>
        <w:tc>
          <w:tcPr>
            <w:tcW w:w="35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247031">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报表未按要求及时报送的扣2，虽报送但不完整、不准确的扣1分。</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7F5B47">
            <w:pPr>
              <w:spacing w:beforeLines="0" w:afterLines="0"/>
              <w:jc w:val="center"/>
              <w:rPr>
                <w:rFonts w:hint="default" w:ascii="宋体" w:hAnsi="宋体" w:eastAsia="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199035">
            <w:pPr>
              <w:spacing w:beforeLines="0" w:afterLines="0"/>
              <w:jc w:val="center"/>
              <w:rPr>
                <w:rFonts w:hint="default" w:ascii="宋体" w:hAnsi="宋体" w:eastAsia="宋体" w:cs="宋体"/>
                <w:color w:val="auto"/>
                <w:sz w:val="21"/>
                <w:szCs w:val="21"/>
              </w:rPr>
            </w:pPr>
          </w:p>
        </w:tc>
      </w:tr>
      <w:tr w14:paraId="0219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2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F84F1F8">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2</w:t>
            </w:r>
          </w:p>
        </w:tc>
        <w:tc>
          <w:tcPr>
            <w:tcW w:w="4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3EF9A2F">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日常养护</w:t>
            </w: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D09D53">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排水设施巡查</w:t>
            </w:r>
          </w:p>
        </w:tc>
        <w:tc>
          <w:tcPr>
            <w:tcW w:w="19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C1560E">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建立定期及不定期巡查制度，出水口及管道巡查1次/月，1个月内需全部巡查完毕，巡查记录真实、齐全。</w:t>
            </w:r>
          </w:p>
        </w:tc>
        <w:tc>
          <w:tcPr>
            <w:tcW w:w="5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3C5337">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5</w:t>
            </w:r>
          </w:p>
        </w:tc>
        <w:tc>
          <w:tcPr>
            <w:tcW w:w="35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438AA1">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未建立定期巡查制度的扣5分，巡查未达到要求，每发现一次扣1分，无巡查记录的扣5分，记录不完善的酌情扣分。</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8AB583">
            <w:pPr>
              <w:spacing w:beforeLines="0" w:afterLines="0"/>
              <w:jc w:val="center"/>
              <w:rPr>
                <w:rFonts w:hint="default" w:ascii="宋体" w:hAnsi="宋体" w:eastAsia="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1E3D72">
            <w:pPr>
              <w:spacing w:beforeLines="0" w:afterLines="0"/>
              <w:jc w:val="center"/>
              <w:rPr>
                <w:rFonts w:hint="default" w:ascii="宋体" w:hAnsi="宋体" w:eastAsia="宋体" w:cs="宋体"/>
                <w:color w:val="auto"/>
                <w:sz w:val="21"/>
                <w:szCs w:val="21"/>
              </w:rPr>
            </w:pPr>
          </w:p>
        </w:tc>
      </w:tr>
      <w:tr w14:paraId="7125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FCE2FC0">
            <w:pPr>
              <w:spacing w:beforeLines="0" w:afterLines="0"/>
              <w:jc w:val="center"/>
              <w:rPr>
                <w:rFonts w:hint="default" w:ascii="宋体" w:hAnsi="宋体" w:eastAsia="宋体" w:cs="宋体"/>
                <w:color w:val="auto"/>
                <w:sz w:val="21"/>
                <w:szCs w:val="21"/>
              </w:rPr>
            </w:pPr>
          </w:p>
        </w:tc>
        <w:tc>
          <w:tcPr>
            <w:tcW w:w="4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F09A1B8">
            <w:pPr>
              <w:spacing w:beforeLines="0" w:afterLines="0"/>
              <w:jc w:val="center"/>
              <w:rPr>
                <w:rFonts w:hint="default" w:ascii="宋体" w:hAnsi="宋体" w:eastAsia="宋体" w:cs="宋体"/>
                <w:color w:val="auto"/>
                <w:sz w:val="21"/>
                <w:szCs w:val="21"/>
              </w:rPr>
            </w:pP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F5016C">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井盖安放及完好情况</w:t>
            </w:r>
          </w:p>
        </w:tc>
        <w:tc>
          <w:tcPr>
            <w:tcW w:w="19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92C0E0">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养护中发现井盖缺失或严重破损，及时做好安全防护措施并上报。</w:t>
            </w:r>
          </w:p>
        </w:tc>
        <w:tc>
          <w:tcPr>
            <w:tcW w:w="5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64DD3D">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10</w:t>
            </w:r>
          </w:p>
        </w:tc>
        <w:tc>
          <w:tcPr>
            <w:tcW w:w="35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FEB797">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未及时发现井盖缺失或严重破损的，每发生一起扣1分，直至扣完；井盖缺失或严重破损未及时做好安全防护措施，每发生一起扣2分。</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65C799">
            <w:pPr>
              <w:spacing w:beforeLines="0" w:afterLines="0"/>
              <w:jc w:val="center"/>
              <w:rPr>
                <w:rFonts w:hint="default" w:ascii="宋体" w:hAnsi="宋体" w:eastAsia="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F0E0AC">
            <w:pPr>
              <w:spacing w:beforeLines="0" w:afterLines="0"/>
              <w:jc w:val="center"/>
              <w:rPr>
                <w:rFonts w:hint="default" w:ascii="宋体" w:hAnsi="宋体" w:eastAsia="宋体" w:cs="宋体"/>
                <w:color w:val="auto"/>
                <w:sz w:val="21"/>
                <w:szCs w:val="21"/>
              </w:rPr>
            </w:pPr>
          </w:p>
        </w:tc>
      </w:tr>
      <w:tr w14:paraId="4428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AEF36D7">
            <w:pPr>
              <w:spacing w:beforeLines="0" w:afterLines="0"/>
              <w:jc w:val="center"/>
              <w:rPr>
                <w:rFonts w:hint="default" w:ascii="宋体" w:hAnsi="宋体" w:eastAsia="宋体" w:cs="宋体"/>
                <w:color w:val="auto"/>
                <w:sz w:val="21"/>
                <w:szCs w:val="21"/>
              </w:rPr>
            </w:pPr>
          </w:p>
        </w:tc>
        <w:tc>
          <w:tcPr>
            <w:tcW w:w="4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A261EA">
            <w:pPr>
              <w:spacing w:beforeLines="0" w:afterLines="0"/>
              <w:jc w:val="center"/>
              <w:rPr>
                <w:rFonts w:hint="default" w:ascii="宋体" w:hAnsi="宋体" w:eastAsia="宋体" w:cs="宋体"/>
                <w:color w:val="auto"/>
                <w:sz w:val="21"/>
                <w:szCs w:val="21"/>
              </w:rPr>
            </w:pP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943127">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防坠网及时挂好情况</w:t>
            </w:r>
          </w:p>
        </w:tc>
        <w:tc>
          <w:tcPr>
            <w:tcW w:w="19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FBEDBF">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养护过程中防坠网及时挂好。发现防坠网缺失或严重破损，及时做好安全防护措施并上报。</w:t>
            </w:r>
          </w:p>
        </w:tc>
        <w:tc>
          <w:tcPr>
            <w:tcW w:w="5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0CA515">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5</w:t>
            </w:r>
          </w:p>
        </w:tc>
        <w:tc>
          <w:tcPr>
            <w:tcW w:w="35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65EBEF">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养护过程中防坠网未及时挂好，每发生一起扣1分。未及时发现防坠网缺失或严重破损的，每发生一起扣1分，直至扣完；防坠网缺失或严重破损未及时做好安全防护措施，每发生一起扣1分。</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BEE472">
            <w:pPr>
              <w:spacing w:beforeLines="0" w:afterLines="0"/>
              <w:jc w:val="center"/>
              <w:rPr>
                <w:rFonts w:hint="default" w:ascii="宋体" w:hAnsi="宋体" w:eastAsia="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2C3BC4">
            <w:pPr>
              <w:spacing w:beforeLines="0" w:afterLines="0"/>
              <w:jc w:val="center"/>
              <w:rPr>
                <w:rFonts w:hint="default" w:ascii="宋体" w:hAnsi="宋体" w:eastAsia="宋体" w:cs="宋体"/>
                <w:color w:val="auto"/>
                <w:sz w:val="21"/>
                <w:szCs w:val="21"/>
              </w:rPr>
            </w:pPr>
          </w:p>
        </w:tc>
      </w:tr>
      <w:tr w14:paraId="4942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8EBE3AA">
            <w:pPr>
              <w:spacing w:beforeLines="0" w:afterLines="0"/>
              <w:jc w:val="center"/>
              <w:rPr>
                <w:rFonts w:hint="default" w:ascii="宋体" w:hAnsi="宋体" w:eastAsia="宋体" w:cs="宋体"/>
                <w:color w:val="auto"/>
                <w:sz w:val="21"/>
                <w:szCs w:val="21"/>
              </w:rPr>
            </w:pPr>
          </w:p>
        </w:tc>
        <w:tc>
          <w:tcPr>
            <w:tcW w:w="44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74C356B">
            <w:pPr>
              <w:spacing w:beforeLines="0" w:afterLines="0"/>
              <w:jc w:val="center"/>
              <w:rPr>
                <w:rFonts w:hint="default" w:ascii="宋体" w:hAnsi="宋体" w:eastAsia="宋体" w:cs="宋体"/>
                <w:color w:val="auto"/>
                <w:sz w:val="21"/>
                <w:szCs w:val="21"/>
              </w:rPr>
            </w:pP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836133">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落水井、检查井清疏</w:t>
            </w:r>
          </w:p>
        </w:tc>
        <w:tc>
          <w:tcPr>
            <w:tcW w:w="19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7CB9EC">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确保检查井、落水井井内无阻水物，井室无积泥现象，管口无淤积。</w:t>
            </w:r>
          </w:p>
        </w:tc>
        <w:tc>
          <w:tcPr>
            <w:tcW w:w="5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C2D261">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20</w:t>
            </w:r>
          </w:p>
        </w:tc>
        <w:tc>
          <w:tcPr>
            <w:tcW w:w="35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8CF850">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有沉泥槽检查井管底以下积泥&gt;5cm，每发现一座扣2分；</w:t>
            </w:r>
          </w:p>
          <w:p w14:paraId="62463837">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无沉泥槽检查井管径积泥&gt;1/5，每发现一座扣2分；</w:t>
            </w:r>
          </w:p>
          <w:p w14:paraId="57820B4C">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有沉泥槽雨水口管底以下积泥&gt;5cm，每发现一座扣2分；</w:t>
            </w:r>
          </w:p>
          <w:p w14:paraId="07D5671D">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无沉泥槽雨水口管底以上积泥&gt;5cm，每发现一座扣2分。</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B468D3">
            <w:pPr>
              <w:spacing w:beforeLines="0" w:afterLines="0"/>
              <w:jc w:val="center"/>
              <w:rPr>
                <w:rFonts w:hint="default" w:ascii="宋体" w:hAnsi="宋体" w:eastAsia="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FB6E11">
            <w:pPr>
              <w:spacing w:beforeLines="0" w:afterLines="0"/>
              <w:jc w:val="center"/>
              <w:rPr>
                <w:rFonts w:hint="default" w:ascii="宋体" w:hAnsi="宋体" w:eastAsia="宋体" w:cs="宋体"/>
                <w:color w:val="auto"/>
                <w:sz w:val="21"/>
                <w:szCs w:val="21"/>
              </w:rPr>
            </w:pPr>
          </w:p>
        </w:tc>
      </w:tr>
      <w:tr w14:paraId="5493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E1081EC">
            <w:pPr>
              <w:spacing w:beforeLines="0" w:afterLines="0"/>
              <w:jc w:val="center"/>
              <w:rPr>
                <w:rFonts w:hint="default" w:ascii="宋体" w:hAnsi="宋体" w:eastAsia="宋体" w:cs="宋体"/>
                <w:color w:val="auto"/>
                <w:sz w:val="21"/>
                <w:szCs w:val="21"/>
              </w:rPr>
            </w:pPr>
          </w:p>
        </w:tc>
        <w:tc>
          <w:tcPr>
            <w:tcW w:w="44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27E8F0B">
            <w:pPr>
              <w:spacing w:beforeLines="0" w:afterLines="0"/>
              <w:jc w:val="center"/>
              <w:rPr>
                <w:rFonts w:hint="default" w:ascii="宋体" w:hAnsi="宋体" w:eastAsia="宋体" w:cs="宋体"/>
                <w:color w:val="auto"/>
                <w:sz w:val="21"/>
                <w:szCs w:val="21"/>
              </w:rPr>
            </w:pP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198F24">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管道内部清疏</w:t>
            </w:r>
          </w:p>
        </w:tc>
        <w:tc>
          <w:tcPr>
            <w:tcW w:w="19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95A05B">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确保雨污水管道内无积泥现象。</w:t>
            </w:r>
          </w:p>
        </w:tc>
        <w:tc>
          <w:tcPr>
            <w:tcW w:w="5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5FF58A">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5</w:t>
            </w:r>
          </w:p>
        </w:tc>
        <w:tc>
          <w:tcPr>
            <w:tcW w:w="35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B26302">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雨污水管道管内积泥超过1/5管径的，每发现一处扣1分。</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EF6D42">
            <w:pPr>
              <w:spacing w:beforeLines="0" w:afterLines="0"/>
              <w:jc w:val="center"/>
              <w:rPr>
                <w:rFonts w:hint="default" w:ascii="宋体" w:hAnsi="宋体" w:eastAsia="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49905E">
            <w:pPr>
              <w:spacing w:beforeLines="0" w:afterLines="0"/>
              <w:jc w:val="center"/>
              <w:rPr>
                <w:rFonts w:hint="default" w:ascii="宋体" w:hAnsi="宋体" w:eastAsia="宋体" w:cs="宋体"/>
                <w:color w:val="auto"/>
                <w:sz w:val="21"/>
                <w:szCs w:val="21"/>
              </w:rPr>
            </w:pPr>
          </w:p>
        </w:tc>
      </w:tr>
      <w:tr w14:paraId="493B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2DC260B">
            <w:pPr>
              <w:spacing w:beforeLines="0" w:afterLines="0"/>
              <w:jc w:val="center"/>
              <w:rPr>
                <w:rFonts w:hint="default" w:ascii="宋体" w:hAnsi="宋体" w:eastAsia="宋体" w:cs="宋体"/>
                <w:color w:val="auto"/>
                <w:sz w:val="21"/>
                <w:szCs w:val="21"/>
              </w:rPr>
            </w:pPr>
          </w:p>
        </w:tc>
        <w:tc>
          <w:tcPr>
            <w:tcW w:w="44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39891CE">
            <w:pPr>
              <w:spacing w:beforeLines="0" w:afterLines="0"/>
              <w:jc w:val="center"/>
              <w:rPr>
                <w:rFonts w:hint="default" w:ascii="宋体" w:hAnsi="宋体" w:eastAsia="宋体" w:cs="宋体"/>
                <w:color w:val="auto"/>
                <w:sz w:val="21"/>
                <w:szCs w:val="21"/>
              </w:rPr>
            </w:pP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1E3E3F">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4"/>
              </w:rPr>
              <w:t>判断管道结构性问题</w:t>
            </w:r>
          </w:p>
        </w:tc>
        <w:tc>
          <w:tcPr>
            <w:tcW w:w="19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49801A">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准确</w:t>
            </w:r>
            <w:r>
              <w:rPr>
                <w:rFonts w:hint="default" w:ascii="宋体" w:hAnsi="宋体" w:eastAsia="宋体" w:cs="宋体"/>
                <w:color w:val="auto"/>
                <w:sz w:val="21"/>
                <w:szCs w:val="24"/>
              </w:rPr>
              <w:t>判断管道结构性问题</w:t>
            </w:r>
          </w:p>
        </w:tc>
        <w:tc>
          <w:tcPr>
            <w:tcW w:w="5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5E0067">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5</w:t>
            </w:r>
          </w:p>
        </w:tc>
        <w:tc>
          <w:tcPr>
            <w:tcW w:w="35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69C52F">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4"/>
              </w:rPr>
              <w:t>错误判断管道结构性问题，</w:t>
            </w:r>
            <w:r>
              <w:rPr>
                <w:rFonts w:hint="default" w:ascii="宋体" w:hAnsi="宋体" w:eastAsia="宋体" w:cs="宋体"/>
                <w:color w:val="auto"/>
                <w:sz w:val="21"/>
                <w:szCs w:val="21"/>
              </w:rPr>
              <w:t>每发生一起扣1分。</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330010">
            <w:pPr>
              <w:spacing w:beforeLines="0" w:afterLines="0"/>
              <w:jc w:val="center"/>
              <w:rPr>
                <w:rFonts w:hint="default" w:ascii="宋体" w:hAnsi="宋体" w:eastAsia="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E45DEF">
            <w:pPr>
              <w:spacing w:beforeLines="0" w:afterLines="0"/>
              <w:jc w:val="center"/>
              <w:rPr>
                <w:rFonts w:hint="default" w:ascii="宋体" w:hAnsi="宋体" w:eastAsia="宋体" w:cs="宋体"/>
                <w:color w:val="auto"/>
                <w:sz w:val="21"/>
                <w:szCs w:val="21"/>
              </w:rPr>
            </w:pPr>
          </w:p>
        </w:tc>
      </w:tr>
      <w:tr w14:paraId="11A9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BA5B4D9">
            <w:pPr>
              <w:spacing w:beforeLines="0" w:afterLines="0"/>
              <w:jc w:val="center"/>
              <w:rPr>
                <w:rFonts w:hint="default" w:ascii="宋体" w:hAnsi="宋体" w:eastAsia="宋体" w:cs="宋体"/>
                <w:color w:val="auto"/>
                <w:sz w:val="21"/>
                <w:szCs w:val="21"/>
              </w:rPr>
            </w:pPr>
          </w:p>
        </w:tc>
        <w:tc>
          <w:tcPr>
            <w:tcW w:w="44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F63D23A">
            <w:pPr>
              <w:spacing w:beforeLines="0" w:afterLines="0"/>
              <w:jc w:val="center"/>
              <w:rPr>
                <w:rFonts w:hint="default" w:ascii="宋体" w:hAnsi="宋体" w:eastAsia="宋体" w:cs="宋体"/>
                <w:color w:val="auto"/>
                <w:sz w:val="21"/>
                <w:szCs w:val="21"/>
              </w:rPr>
            </w:pP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7ED47E">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排水设施保护</w:t>
            </w:r>
          </w:p>
        </w:tc>
        <w:tc>
          <w:tcPr>
            <w:tcW w:w="19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6CC6EF">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确保市政排水设施完好，检查井及管道正常使用。发现私接偷排现象及时上报，并配合执法查处</w:t>
            </w:r>
          </w:p>
        </w:tc>
        <w:tc>
          <w:tcPr>
            <w:tcW w:w="5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794DA3">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5</w:t>
            </w:r>
          </w:p>
        </w:tc>
        <w:tc>
          <w:tcPr>
            <w:tcW w:w="35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9A7A4A">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餐饮企业、工地等周边存在管道私接偷排现象造成市政排水管道堵塞未及时上报的，每发生一次扣1分；其他市政排水设施发生损坏未及时上报，每发现一起扣0.5分。</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BE7120">
            <w:pPr>
              <w:spacing w:beforeLines="0" w:afterLines="0"/>
              <w:jc w:val="center"/>
              <w:rPr>
                <w:rFonts w:hint="default" w:ascii="宋体" w:hAnsi="宋体" w:eastAsia="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CC2FEF">
            <w:pPr>
              <w:spacing w:beforeLines="0" w:afterLines="0"/>
              <w:jc w:val="center"/>
              <w:rPr>
                <w:rFonts w:hint="default" w:ascii="宋体" w:hAnsi="宋体" w:eastAsia="宋体" w:cs="宋体"/>
                <w:color w:val="auto"/>
                <w:sz w:val="21"/>
                <w:szCs w:val="21"/>
              </w:rPr>
            </w:pPr>
          </w:p>
        </w:tc>
      </w:tr>
      <w:tr w14:paraId="0829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07DE852">
            <w:pPr>
              <w:spacing w:beforeLines="0" w:afterLines="0"/>
              <w:jc w:val="center"/>
              <w:rPr>
                <w:rFonts w:hint="default" w:ascii="宋体" w:hAnsi="宋体" w:eastAsia="宋体" w:cs="宋体"/>
                <w:color w:val="auto"/>
                <w:sz w:val="21"/>
                <w:szCs w:val="21"/>
              </w:rPr>
            </w:pPr>
          </w:p>
        </w:tc>
        <w:tc>
          <w:tcPr>
            <w:tcW w:w="44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4DB733C">
            <w:pPr>
              <w:spacing w:beforeLines="0" w:afterLines="0"/>
              <w:jc w:val="center"/>
              <w:rPr>
                <w:rFonts w:hint="default" w:ascii="宋体" w:hAnsi="宋体" w:eastAsia="宋体" w:cs="宋体"/>
                <w:color w:val="auto"/>
                <w:sz w:val="21"/>
                <w:szCs w:val="21"/>
              </w:rPr>
            </w:pP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519B65">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文明</w:t>
            </w:r>
          </w:p>
          <w:p w14:paraId="5A291ABB">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作业</w:t>
            </w:r>
          </w:p>
        </w:tc>
        <w:tc>
          <w:tcPr>
            <w:tcW w:w="19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DC2B9E">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清疏后保持落水井、检查井周边清洁，运泥车车貌整洁，运输途中无滴、漏、撒现象，污物倾倒指定地点。</w:t>
            </w:r>
          </w:p>
        </w:tc>
        <w:tc>
          <w:tcPr>
            <w:tcW w:w="5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26A7B0">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9</w:t>
            </w:r>
          </w:p>
        </w:tc>
        <w:tc>
          <w:tcPr>
            <w:tcW w:w="35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8E448F">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清疏后发现落水井或检查井周边不清洁的，每发现一座扣1分，运泥车车貌不洁的扣1分/辆，运输途中有-滴、漏、撒现象的扣1分/次，污物乱倾倒的扣5分/次。</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3453B8">
            <w:pPr>
              <w:spacing w:beforeLines="0" w:afterLines="0"/>
              <w:jc w:val="center"/>
              <w:rPr>
                <w:rFonts w:hint="default" w:ascii="宋体" w:hAnsi="宋体" w:eastAsia="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78D9AF">
            <w:pPr>
              <w:spacing w:beforeLines="0" w:afterLines="0"/>
              <w:jc w:val="center"/>
              <w:rPr>
                <w:rFonts w:hint="default" w:ascii="宋体" w:hAnsi="宋体" w:eastAsia="宋体" w:cs="宋体"/>
                <w:color w:val="auto"/>
                <w:sz w:val="21"/>
                <w:szCs w:val="21"/>
              </w:rPr>
            </w:pPr>
          </w:p>
        </w:tc>
      </w:tr>
      <w:tr w14:paraId="328C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A3A29DC">
            <w:pPr>
              <w:spacing w:beforeLines="0" w:afterLines="0"/>
              <w:jc w:val="center"/>
              <w:rPr>
                <w:rFonts w:hint="default" w:ascii="宋体" w:hAnsi="宋体" w:eastAsia="宋体" w:cs="宋体"/>
                <w:color w:val="auto"/>
                <w:sz w:val="21"/>
                <w:szCs w:val="21"/>
              </w:rPr>
            </w:pPr>
          </w:p>
        </w:tc>
        <w:tc>
          <w:tcPr>
            <w:tcW w:w="44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CBE3A29">
            <w:pPr>
              <w:spacing w:beforeLines="0" w:afterLines="0"/>
              <w:jc w:val="center"/>
              <w:rPr>
                <w:rFonts w:hint="default" w:ascii="宋体" w:hAnsi="宋体" w:eastAsia="宋体" w:cs="宋体"/>
                <w:color w:val="auto"/>
                <w:sz w:val="21"/>
                <w:szCs w:val="21"/>
              </w:rPr>
            </w:pP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0F8D50">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安全措施</w:t>
            </w:r>
          </w:p>
        </w:tc>
        <w:tc>
          <w:tcPr>
            <w:tcW w:w="19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92210D">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日常清疏时，做好相关的安全防护工作</w:t>
            </w:r>
          </w:p>
        </w:tc>
        <w:tc>
          <w:tcPr>
            <w:tcW w:w="5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342EAF">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10</w:t>
            </w:r>
          </w:p>
        </w:tc>
        <w:tc>
          <w:tcPr>
            <w:tcW w:w="35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809DF3">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日常工作时未穿防护背心、统一着装、佩戴安全帽的，每发现一次扣1分；工作现场没有围护的，每发现一次扣2分，下井作业时，未穿戴安全帽、安全服、有毒气体检测仪的，每发现一次扣2分，造成安全事故一起扣5分。下井作业需要向采购人申请下井安全作业票，未批准进行作业，每发现一次扣5分；作业过程中发生安全事故一次扣5分。</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F92738">
            <w:pPr>
              <w:spacing w:beforeLines="0" w:afterLines="0"/>
              <w:jc w:val="center"/>
              <w:rPr>
                <w:rFonts w:hint="default" w:ascii="宋体" w:hAnsi="宋体" w:eastAsia="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B94473">
            <w:pPr>
              <w:spacing w:beforeLines="0" w:afterLines="0"/>
              <w:jc w:val="center"/>
              <w:rPr>
                <w:rFonts w:hint="default" w:ascii="宋体" w:hAnsi="宋体" w:eastAsia="宋体" w:cs="宋体"/>
                <w:color w:val="auto"/>
                <w:sz w:val="21"/>
                <w:szCs w:val="21"/>
              </w:rPr>
            </w:pPr>
          </w:p>
        </w:tc>
      </w:tr>
      <w:tr w14:paraId="4004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1BA6DC">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3</w:t>
            </w:r>
          </w:p>
        </w:tc>
        <w:tc>
          <w:tcPr>
            <w:tcW w:w="138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59DDF7A">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案件处理</w:t>
            </w:r>
          </w:p>
        </w:tc>
        <w:tc>
          <w:tcPr>
            <w:tcW w:w="19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D9DD36">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及时处理采购人派发的案件和居民投诉案件。</w:t>
            </w:r>
          </w:p>
        </w:tc>
        <w:tc>
          <w:tcPr>
            <w:tcW w:w="5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72D7BE">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10</w:t>
            </w:r>
          </w:p>
        </w:tc>
        <w:tc>
          <w:tcPr>
            <w:tcW w:w="35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D65EBC">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未及时授理、落实而造成媒体报导的，每起扣5分；发生重大有责新闻事件扣10分；未在规定时间内处理的每起扣2分。</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44E2DD">
            <w:pPr>
              <w:spacing w:beforeLines="0" w:afterLines="0"/>
              <w:jc w:val="center"/>
              <w:rPr>
                <w:rFonts w:hint="default" w:ascii="宋体" w:hAnsi="宋体" w:eastAsia="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031F53">
            <w:pPr>
              <w:spacing w:beforeLines="0" w:afterLines="0"/>
              <w:jc w:val="center"/>
              <w:rPr>
                <w:rFonts w:hint="default" w:ascii="宋体" w:hAnsi="宋体" w:eastAsia="宋体" w:cs="宋体"/>
                <w:color w:val="auto"/>
                <w:sz w:val="21"/>
                <w:szCs w:val="21"/>
              </w:rPr>
            </w:pPr>
          </w:p>
        </w:tc>
      </w:tr>
      <w:tr w14:paraId="6EFF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6A1AA0">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4</w:t>
            </w:r>
          </w:p>
        </w:tc>
        <w:tc>
          <w:tcPr>
            <w:tcW w:w="138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2B42CC7">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月度总结</w:t>
            </w:r>
          </w:p>
        </w:tc>
        <w:tc>
          <w:tcPr>
            <w:tcW w:w="19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3A195F">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每月向采购人上报管道养护类信息三篇，30日前提供月度总结一篇</w:t>
            </w:r>
          </w:p>
        </w:tc>
        <w:tc>
          <w:tcPr>
            <w:tcW w:w="5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8D3AE5">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2</w:t>
            </w:r>
          </w:p>
        </w:tc>
        <w:tc>
          <w:tcPr>
            <w:tcW w:w="35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3104FE">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管道养护类信息每少1篇扣1分，无月度总结扣2分，总结不全面、不完整、不准确的酌情扣分。</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31AFF3">
            <w:pPr>
              <w:spacing w:beforeLines="0" w:afterLines="0"/>
              <w:jc w:val="center"/>
              <w:rPr>
                <w:rFonts w:hint="default" w:ascii="宋体" w:hAnsi="宋体" w:eastAsia="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9CAAC3">
            <w:pPr>
              <w:spacing w:beforeLines="0" w:afterLines="0"/>
              <w:jc w:val="center"/>
              <w:rPr>
                <w:rFonts w:hint="default" w:ascii="宋体" w:hAnsi="宋体" w:eastAsia="宋体" w:cs="宋体"/>
                <w:color w:val="auto"/>
                <w:sz w:val="21"/>
                <w:szCs w:val="21"/>
              </w:rPr>
            </w:pPr>
          </w:p>
        </w:tc>
      </w:tr>
      <w:tr w14:paraId="43E6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BB2B7D">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5</w:t>
            </w:r>
          </w:p>
        </w:tc>
        <w:tc>
          <w:tcPr>
            <w:tcW w:w="138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B82AA6F">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预案措施</w:t>
            </w:r>
          </w:p>
        </w:tc>
        <w:tc>
          <w:tcPr>
            <w:tcW w:w="19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863016">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建立各类应急预案，健全应急值班记录，加强重点区域安全保障措施，消除安全隐患。</w:t>
            </w:r>
          </w:p>
        </w:tc>
        <w:tc>
          <w:tcPr>
            <w:tcW w:w="5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A0BDB8">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5</w:t>
            </w:r>
          </w:p>
        </w:tc>
        <w:tc>
          <w:tcPr>
            <w:tcW w:w="35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1FFD90">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未建立预案扣2分，无安全保障措施扣2分，无应急值班记录扣1分，发生有责任事件一次扣2分。</w:t>
            </w: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B9D45D">
            <w:pPr>
              <w:spacing w:beforeLines="0" w:afterLines="0"/>
              <w:jc w:val="center"/>
              <w:rPr>
                <w:rFonts w:hint="default" w:ascii="宋体" w:hAnsi="宋体" w:eastAsia="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681A89">
            <w:pPr>
              <w:spacing w:beforeLines="0" w:afterLines="0"/>
              <w:jc w:val="center"/>
              <w:rPr>
                <w:rFonts w:hint="default" w:ascii="宋体" w:hAnsi="宋体" w:eastAsia="宋体" w:cs="宋体"/>
                <w:color w:val="auto"/>
                <w:sz w:val="21"/>
                <w:szCs w:val="21"/>
              </w:rPr>
            </w:pPr>
          </w:p>
        </w:tc>
      </w:tr>
      <w:tr w14:paraId="5B66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75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E4FA911">
            <w:pPr>
              <w:spacing w:beforeLines="0" w:afterLines="0"/>
              <w:jc w:val="center"/>
              <w:rPr>
                <w:rFonts w:hint="default" w:ascii="宋体" w:hAnsi="宋体" w:eastAsia="宋体" w:cs="宋体"/>
                <w:color w:val="auto"/>
                <w:sz w:val="21"/>
                <w:szCs w:val="21"/>
              </w:rPr>
            </w:pPr>
            <w:r>
              <w:rPr>
                <w:rFonts w:hint="default" w:ascii="宋体" w:hAnsi="宋体" w:eastAsia="宋体" w:cs="宋体"/>
                <w:color w:val="auto"/>
                <w:sz w:val="21"/>
                <w:szCs w:val="21"/>
              </w:rPr>
              <w:t>合　　　　　　　　计</w:t>
            </w:r>
          </w:p>
        </w:tc>
        <w:tc>
          <w:tcPr>
            <w:tcW w:w="5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F24AF8">
            <w:pPr>
              <w:spacing w:beforeLines="0" w:afterLines="0"/>
              <w:jc w:val="center"/>
              <w:rPr>
                <w:rFonts w:hint="default" w:ascii="宋体" w:hAnsi="宋体" w:eastAsia="宋体" w:cs="宋体"/>
                <w:color w:val="auto"/>
                <w:sz w:val="21"/>
                <w:szCs w:val="21"/>
              </w:rPr>
            </w:pPr>
          </w:p>
        </w:tc>
        <w:tc>
          <w:tcPr>
            <w:tcW w:w="35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0DAB98">
            <w:pPr>
              <w:spacing w:beforeLines="0" w:afterLines="0"/>
              <w:jc w:val="center"/>
              <w:rPr>
                <w:rFonts w:hint="default" w:ascii="宋体" w:hAnsi="宋体" w:eastAsia="宋体" w:cs="宋体"/>
                <w:color w:val="auto"/>
                <w:sz w:val="21"/>
                <w:szCs w:val="21"/>
              </w:rPr>
            </w:pPr>
          </w:p>
        </w:tc>
        <w:tc>
          <w:tcPr>
            <w:tcW w:w="5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B6244C">
            <w:pPr>
              <w:spacing w:beforeLines="0" w:afterLines="0"/>
              <w:jc w:val="center"/>
              <w:rPr>
                <w:rFonts w:hint="default" w:ascii="宋体" w:hAnsi="宋体" w:eastAsia="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D477BC">
            <w:pPr>
              <w:spacing w:beforeLines="0" w:afterLines="0"/>
              <w:jc w:val="center"/>
              <w:rPr>
                <w:rFonts w:hint="default" w:ascii="宋体" w:hAnsi="宋体" w:eastAsia="宋体" w:cs="宋体"/>
                <w:color w:val="auto"/>
                <w:sz w:val="21"/>
                <w:szCs w:val="21"/>
              </w:rPr>
            </w:pPr>
          </w:p>
        </w:tc>
      </w:tr>
      <w:tr w14:paraId="5B66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375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EE596E6">
            <w:pPr>
              <w:spacing w:beforeLines="0" w:afterLines="0"/>
              <w:rPr>
                <w:rFonts w:hint="default" w:ascii="宋体" w:hAnsi="宋体" w:eastAsia="宋体" w:cs="宋体"/>
                <w:color w:val="auto"/>
                <w:sz w:val="21"/>
                <w:szCs w:val="21"/>
              </w:rPr>
            </w:pPr>
          </w:p>
          <w:p w14:paraId="3B74BF7D">
            <w:pPr>
              <w:spacing w:beforeLines="0" w:afterLines="0"/>
              <w:rPr>
                <w:rFonts w:hint="default" w:ascii="宋体" w:hAnsi="宋体" w:eastAsia="宋体" w:cs="宋体"/>
                <w:color w:val="auto"/>
                <w:sz w:val="21"/>
                <w:szCs w:val="21"/>
              </w:rPr>
            </w:pPr>
            <w:r>
              <w:rPr>
                <w:rFonts w:hint="default" w:ascii="宋体" w:hAnsi="宋体" w:eastAsia="宋体" w:cs="宋体"/>
                <w:color w:val="auto"/>
                <w:sz w:val="21"/>
                <w:szCs w:val="21"/>
              </w:rPr>
              <w:t>月度考评结论</w:t>
            </w:r>
          </w:p>
          <w:p w14:paraId="5879693D">
            <w:pPr>
              <w:spacing w:beforeLines="0" w:afterLines="0"/>
              <w:rPr>
                <w:rFonts w:hint="default" w:ascii="宋体" w:hAnsi="宋体" w:eastAsia="宋体" w:cs="宋体"/>
                <w:color w:val="auto"/>
                <w:sz w:val="21"/>
                <w:szCs w:val="21"/>
              </w:rPr>
            </w:pPr>
          </w:p>
        </w:tc>
        <w:tc>
          <w:tcPr>
            <w:tcW w:w="519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280CE5D">
            <w:pPr>
              <w:spacing w:beforeLines="0" w:afterLines="0"/>
              <w:rPr>
                <w:rFonts w:hint="default" w:ascii="宋体" w:hAnsi="宋体" w:eastAsia="宋体" w:cs="宋体"/>
                <w:color w:val="auto"/>
                <w:sz w:val="21"/>
                <w:szCs w:val="21"/>
              </w:rPr>
            </w:pPr>
          </w:p>
          <w:p w14:paraId="408FCA0F">
            <w:pPr>
              <w:spacing w:beforeLines="0" w:afterLines="0"/>
              <w:rPr>
                <w:rFonts w:hint="default" w:ascii="宋体" w:hAnsi="宋体" w:eastAsia="宋体" w:cs="宋体"/>
                <w:color w:val="auto"/>
                <w:sz w:val="21"/>
                <w:szCs w:val="21"/>
              </w:rPr>
            </w:pPr>
          </w:p>
          <w:p w14:paraId="35849C96">
            <w:pPr>
              <w:spacing w:beforeLines="0" w:afterLines="0"/>
              <w:rPr>
                <w:rFonts w:hint="default" w:ascii="宋体" w:hAnsi="宋体" w:eastAsia="宋体" w:cs="宋体"/>
                <w:color w:val="auto"/>
                <w:sz w:val="21"/>
                <w:szCs w:val="21"/>
              </w:rPr>
            </w:pPr>
          </w:p>
          <w:p w14:paraId="25C389ED">
            <w:pPr>
              <w:spacing w:beforeLines="0" w:afterLines="0"/>
              <w:rPr>
                <w:rFonts w:hint="default" w:ascii="宋体" w:hAnsi="宋体" w:eastAsia="宋体" w:cs="宋体"/>
                <w:color w:val="auto"/>
                <w:sz w:val="21"/>
                <w:szCs w:val="21"/>
              </w:rPr>
            </w:pPr>
          </w:p>
        </w:tc>
      </w:tr>
    </w:tbl>
    <w:p w14:paraId="149C5DB5">
      <w:pPr>
        <w:spacing w:beforeLines="0" w:afterLines="0" w:line="360" w:lineRule="auto"/>
        <w:rPr>
          <w:rFonts w:hint="default" w:ascii="宋体" w:hAnsi="宋体" w:eastAsia="宋体" w:cs="宋体"/>
          <w:color w:val="auto"/>
          <w:sz w:val="21"/>
          <w:szCs w:val="21"/>
        </w:rPr>
      </w:pPr>
    </w:p>
    <w:p w14:paraId="7FD7D947">
      <w:pPr>
        <w:spacing w:beforeLines="0" w:afterLines="0" w:line="360" w:lineRule="auto"/>
        <w:rPr>
          <w:rFonts w:hint="default" w:ascii="宋体" w:hAnsi="宋体" w:eastAsia="宋体" w:cs="宋体"/>
          <w:color w:val="auto"/>
          <w:sz w:val="21"/>
          <w:szCs w:val="21"/>
        </w:rPr>
      </w:pPr>
      <w:r>
        <w:rPr>
          <w:rFonts w:hint="default" w:ascii="宋体" w:hAnsi="宋体" w:eastAsia="宋体" w:cs="宋体"/>
          <w:color w:val="auto"/>
          <w:sz w:val="21"/>
          <w:szCs w:val="21"/>
        </w:rPr>
        <w:t>养护单位（签字、盖章）：                        考核人员（签字、盖章）：</w:t>
      </w:r>
    </w:p>
    <w:p w14:paraId="45D0994C">
      <w:pPr>
        <w:spacing w:beforeLines="0" w:afterLines="0" w:line="360" w:lineRule="auto"/>
        <w:rPr>
          <w:rFonts w:hint="default" w:ascii="宋体" w:hAnsi="宋体" w:eastAsia="宋体" w:cs="宋体"/>
          <w:color w:val="auto"/>
          <w:sz w:val="21"/>
          <w:szCs w:val="21"/>
        </w:rPr>
      </w:pPr>
    </w:p>
    <w:p w14:paraId="387ED65D">
      <w:pPr>
        <w:spacing w:beforeLines="0" w:afterLines="0" w:line="360" w:lineRule="auto"/>
        <w:rPr>
          <w:rFonts w:hint="default" w:ascii="宋体" w:hAnsi="宋体" w:eastAsia="宋体" w:cs="宋体"/>
          <w:color w:val="auto"/>
          <w:sz w:val="21"/>
          <w:szCs w:val="21"/>
        </w:rPr>
      </w:pPr>
    </w:p>
    <w:p w14:paraId="2DA10183">
      <w:pPr>
        <w:spacing w:beforeLines="0" w:afterLines="0" w:line="360" w:lineRule="auto"/>
        <w:ind w:firstLine="5040" w:firstLineChars="2400"/>
        <w:rPr>
          <w:rFonts w:hint="default" w:ascii="宋体" w:hAnsi="宋体" w:eastAsia="宋体" w:cs="宋体"/>
          <w:color w:val="auto"/>
          <w:sz w:val="21"/>
          <w:szCs w:val="21"/>
        </w:rPr>
      </w:pPr>
      <w:r>
        <w:rPr>
          <w:rFonts w:hint="eastAsia" w:ascii="宋体" w:hAnsi="宋体" w:cs="宋体"/>
          <w:color w:val="auto"/>
          <w:sz w:val="21"/>
          <w:szCs w:val="21"/>
          <w:lang w:eastAsia="zh-CN"/>
        </w:rPr>
        <w:t>主任</w:t>
      </w:r>
      <w:r>
        <w:rPr>
          <w:rFonts w:hint="default" w:ascii="宋体" w:hAnsi="宋体" w:eastAsia="宋体" w:cs="宋体"/>
          <w:color w:val="auto"/>
          <w:sz w:val="21"/>
          <w:szCs w:val="21"/>
        </w:rPr>
        <w:t>（签字）：</w:t>
      </w:r>
    </w:p>
    <w:p w14:paraId="674817FA">
      <w:pPr>
        <w:pStyle w:val="62"/>
        <w:spacing w:beforeLines="0" w:after="120" w:line="240" w:lineRule="auto"/>
        <w:ind w:firstLine="0" w:firstLineChars="0"/>
        <w:jc w:val="left"/>
        <w:rPr>
          <w:rFonts w:hint="default" w:hAnsi="宋体" w:cs="宋体"/>
          <w:b/>
          <w:color w:val="auto"/>
          <w:spacing w:val="0"/>
          <w:sz w:val="21"/>
          <w:szCs w:val="20"/>
          <w:lang w:val="en-US"/>
        </w:rPr>
      </w:pPr>
      <w:r>
        <w:rPr>
          <w:rFonts w:hint="default" w:hAnsi="宋体" w:cs="宋体"/>
          <w:color w:val="auto"/>
          <w:sz w:val="18"/>
          <w:szCs w:val="21"/>
        </w:rPr>
        <w:br w:type="page"/>
      </w:r>
      <w:r>
        <w:rPr>
          <w:rFonts w:hint="default" w:hAnsi="宋体" w:cs="宋体"/>
          <w:b/>
          <w:color w:val="auto"/>
          <w:spacing w:val="0"/>
          <w:sz w:val="21"/>
          <w:szCs w:val="20"/>
          <w:lang w:val="en-US"/>
        </w:rPr>
        <w:t>附件5：</w:t>
      </w:r>
      <w:r>
        <w:rPr>
          <w:rFonts w:hint="default" w:hAnsi="宋体" w:cs="宋体"/>
          <w:b/>
          <w:color w:val="auto"/>
          <w:spacing w:val="0"/>
          <w:kern w:val="0"/>
          <w:sz w:val="21"/>
          <w:szCs w:val="21"/>
          <w:lang w:val="en-US" w:bidi="ar"/>
        </w:rPr>
        <w:t>智慧城管案件养护时限标准表</w:t>
      </w:r>
    </w:p>
    <w:tbl>
      <w:tblPr>
        <w:tblStyle w:val="6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7"/>
        <w:gridCol w:w="855"/>
        <w:gridCol w:w="1530"/>
        <w:gridCol w:w="390"/>
        <w:gridCol w:w="1274"/>
        <w:gridCol w:w="932"/>
        <w:gridCol w:w="550"/>
        <w:gridCol w:w="461"/>
        <w:gridCol w:w="461"/>
        <w:gridCol w:w="651"/>
        <w:gridCol w:w="461"/>
        <w:gridCol w:w="461"/>
      </w:tblGrid>
      <w:tr w14:paraId="1844B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1EF9DF8">
            <w:pPr>
              <w:widowControl/>
              <w:spacing w:beforeLines="0" w:afterLines="0"/>
              <w:jc w:val="center"/>
              <w:rPr>
                <w:rFonts w:hint="default" w:ascii="宋体" w:hAnsi="宋体" w:eastAsia="宋体" w:cs="宋体"/>
                <w:b/>
                <w:color w:val="auto"/>
                <w:kern w:val="0"/>
                <w:sz w:val="21"/>
                <w:szCs w:val="21"/>
              </w:rPr>
            </w:pPr>
            <w:r>
              <w:rPr>
                <w:rFonts w:hint="default" w:ascii="宋体" w:hAnsi="宋体" w:eastAsia="宋体" w:cs="宋体"/>
                <w:b/>
                <w:color w:val="auto"/>
                <w:kern w:val="0"/>
                <w:sz w:val="21"/>
                <w:szCs w:val="21"/>
              </w:rPr>
              <w:t>大类名称</w:t>
            </w:r>
          </w:p>
        </w:tc>
        <w:tc>
          <w:tcPr>
            <w:tcW w:w="85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E7089CD">
            <w:pPr>
              <w:widowControl/>
              <w:spacing w:beforeLines="0" w:afterLines="0"/>
              <w:jc w:val="center"/>
              <w:rPr>
                <w:rFonts w:hint="default" w:ascii="宋体" w:hAnsi="宋体" w:eastAsia="宋体" w:cs="宋体"/>
                <w:b/>
                <w:color w:val="auto"/>
                <w:kern w:val="0"/>
                <w:sz w:val="21"/>
                <w:szCs w:val="21"/>
              </w:rPr>
            </w:pPr>
            <w:r>
              <w:rPr>
                <w:rFonts w:hint="default" w:ascii="宋体" w:hAnsi="宋体" w:eastAsia="宋体" w:cs="宋体"/>
                <w:b/>
                <w:color w:val="auto"/>
                <w:kern w:val="0"/>
                <w:sz w:val="21"/>
                <w:szCs w:val="21"/>
              </w:rPr>
              <w:t>小类名称</w:t>
            </w:r>
          </w:p>
        </w:tc>
        <w:tc>
          <w:tcPr>
            <w:tcW w:w="153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1952E6F">
            <w:pPr>
              <w:widowControl/>
              <w:spacing w:beforeLines="0" w:afterLines="0"/>
              <w:jc w:val="center"/>
              <w:rPr>
                <w:rFonts w:hint="default" w:ascii="宋体" w:hAnsi="宋体" w:eastAsia="宋体" w:cs="宋体"/>
                <w:b/>
                <w:color w:val="auto"/>
                <w:kern w:val="0"/>
                <w:sz w:val="21"/>
                <w:szCs w:val="21"/>
              </w:rPr>
            </w:pPr>
            <w:r>
              <w:rPr>
                <w:rFonts w:hint="default" w:ascii="宋体" w:hAnsi="宋体" w:eastAsia="宋体" w:cs="宋体"/>
                <w:b/>
                <w:color w:val="auto"/>
                <w:kern w:val="0"/>
                <w:sz w:val="21"/>
                <w:szCs w:val="21"/>
              </w:rPr>
              <w:t>说明</w:t>
            </w:r>
          </w:p>
        </w:tc>
        <w:tc>
          <w:tcPr>
            <w:tcW w:w="1664" w:type="dxa"/>
            <w:gridSpan w:val="2"/>
            <w:vMerge w:val="restart"/>
            <w:tcBorders>
              <w:top w:val="single" w:color="auto" w:sz="4" w:space="0"/>
              <w:left w:val="single" w:color="auto" w:sz="4" w:space="0"/>
              <w:bottom w:val="single" w:color="000000" w:sz="4" w:space="0"/>
              <w:right w:val="single" w:color="000000" w:sz="4" w:space="0"/>
              <w:tl2br w:val="nil"/>
              <w:tr2bl w:val="nil"/>
            </w:tcBorders>
            <w:noWrap w:val="0"/>
            <w:vAlign w:val="center"/>
          </w:tcPr>
          <w:p w14:paraId="3074941C">
            <w:pPr>
              <w:widowControl/>
              <w:spacing w:beforeLines="0" w:afterLines="0"/>
              <w:jc w:val="center"/>
              <w:rPr>
                <w:rFonts w:hint="default" w:ascii="宋体" w:hAnsi="宋体" w:eastAsia="宋体" w:cs="宋体"/>
                <w:b/>
                <w:color w:val="auto"/>
                <w:kern w:val="0"/>
                <w:sz w:val="21"/>
                <w:szCs w:val="21"/>
              </w:rPr>
            </w:pPr>
            <w:r>
              <w:rPr>
                <w:rFonts w:hint="default" w:ascii="宋体" w:hAnsi="宋体" w:eastAsia="宋体" w:cs="宋体"/>
                <w:b/>
                <w:color w:val="auto"/>
                <w:kern w:val="0"/>
                <w:sz w:val="21"/>
                <w:szCs w:val="21"/>
              </w:rPr>
              <w:t>立案规范</w:t>
            </w:r>
          </w:p>
        </w:tc>
        <w:tc>
          <w:tcPr>
            <w:tcW w:w="93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734B782">
            <w:pPr>
              <w:widowControl/>
              <w:spacing w:beforeLines="0" w:afterLines="0"/>
              <w:jc w:val="center"/>
              <w:rPr>
                <w:rFonts w:hint="default" w:ascii="宋体" w:hAnsi="宋体" w:eastAsia="宋体" w:cs="宋体"/>
                <w:b/>
                <w:color w:val="auto"/>
                <w:kern w:val="0"/>
                <w:sz w:val="21"/>
                <w:szCs w:val="21"/>
              </w:rPr>
            </w:pPr>
            <w:r>
              <w:rPr>
                <w:rFonts w:hint="default" w:ascii="宋体" w:hAnsi="宋体" w:eastAsia="宋体" w:cs="宋体"/>
                <w:b/>
                <w:color w:val="auto"/>
                <w:kern w:val="0"/>
                <w:sz w:val="21"/>
                <w:szCs w:val="21"/>
              </w:rPr>
              <w:t>结案规范</w:t>
            </w:r>
          </w:p>
        </w:tc>
        <w:tc>
          <w:tcPr>
            <w:tcW w:w="5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147AA8B">
            <w:pPr>
              <w:widowControl/>
              <w:spacing w:beforeLines="0" w:afterLines="0"/>
              <w:jc w:val="center"/>
              <w:rPr>
                <w:rFonts w:hint="default" w:ascii="宋体" w:hAnsi="宋体" w:eastAsia="宋体" w:cs="宋体"/>
                <w:b/>
                <w:color w:val="auto"/>
                <w:kern w:val="0"/>
                <w:sz w:val="21"/>
                <w:szCs w:val="21"/>
              </w:rPr>
            </w:pPr>
            <w:r>
              <w:rPr>
                <w:rFonts w:hint="default" w:ascii="宋体" w:hAnsi="宋体" w:eastAsia="宋体" w:cs="宋体"/>
                <w:b/>
                <w:color w:val="auto"/>
                <w:kern w:val="0"/>
                <w:sz w:val="21"/>
                <w:szCs w:val="21"/>
              </w:rPr>
              <w:t>案件计时类别</w:t>
            </w:r>
          </w:p>
        </w:tc>
        <w:tc>
          <w:tcPr>
            <w:tcW w:w="2495" w:type="dxa"/>
            <w:gridSpan w:val="5"/>
            <w:tcBorders>
              <w:top w:val="single" w:color="auto" w:sz="4" w:space="0"/>
              <w:left w:val="nil"/>
              <w:bottom w:val="single" w:color="auto" w:sz="4" w:space="0"/>
              <w:right w:val="single" w:color="auto" w:sz="4" w:space="0"/>
              <w:tl2br w:val="nil"/>
              <w:tr2bl w:val="nil"/>
            </w:tcBorders>
            <w:noWrap w:val="0"/>
            <w:vAlign w:val="center"/>
          </w:tcPr>
          <w:p w14:paraId="2044860D">
            <w:pPr>
              <w:widowControl/>
              <w:spacing w:beforeLines="0" w:afterLines="0"/>
              <w:jc w:val="center"/>
              <w:rPr>
                <w:rFonts w:hint="default" w:ascii="宋体" w:hAnsi="宋体" w:eastAsia="宋体" w:cs="宋体"/>
                <w:b/>
                <w:color w:val="auto"/>
                <w:kern w:val="0"/>
                <w:sz w:val="21"/>
                <w:szCs w:val="21"/>
              </w:rPr>
            </w:pPr>
            <w:r>
              <w:rPr>
                <w:rFonts w:hint="default" w:ascii="宋体" w:hAnsi="宋体" w:eastAsia="宋体" w:cs="宋体"/>
                <w:b/>
                <w:color w:val="auto"/>
                <w:kern w:val="0"/>
                <w:sz w:val="21"/>
                <w:szCs w:val="21"/>
              </w:rPr>
              <w:t>处置时限</w:t>
            </w:r>
          </w:p>
        </w:tc>
      </w:tr>
      <w:tr w14:paraId="20747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E938C7E">
            <w:pPr>
              <w:widowControl/>
              <w:spacing w:beforeLines="0" w:afterLines="0"/>
              <w:jc w:val="left"/>
              <w:rPr>
                <w:rFonts w:hint="default" w:ascii="宋体" w:hAnsi="宋体" w:eastAsia="宋体" w:cs="宋体"/>
                <w:b/>
                <w:color w:val="auto"/>
                <w:kern w:val="0"/>
                <w:sz w:val="21"/>
                <w:szCs w:val="21"/>
              </w:rPr>
            </w:pPr>
          </w:p>
        </w:tc>
        <w:tc>
          <w:tcPr>
            <w:tcW w:w="85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5A030B2">
            <w:pPr>
              <w:widowControl/>
              <w:spacing w:beforeLines="0" w:afterLines="0"/>
              <w:jc w:val="left"/>
              <w:rPr>
                <w:rFonts w:hint="default" w:ascii="宋体" w:hAnsi="宋体" w:eastAsia="宋体" w:cs="宋体"/>
                <w:b/>
                <w:color w:val="auto"/>
                <w:kern w:val="0"/>
                <w:sz w:val="21"/>
                <w:szCs w:val="21"/>
              </w:rPr>
            </w:pPr>
          </w:p>
        </w:tc>
        <w:tc>
          <w:tcPr>
            <w:tcW w:w="153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5A651E6">
            <w:pPr>
              <w:widowControl/>
              <w:spacing w:beforeLines="0" w:afterLines="0"/>
              <w:jc w:val="left"/>
              <w:rPr>
                <w:rFonts w:hint="default" w:ascii="宋体" w:hAnsi="宋体" w:eastAsia="宋体" w:cs="宋体"/>
                <w:b/>
                <w:color w:val="auto"/>
                <w:kern w:val="0"/>
                <w:sz w:val="21"/>
                <w:szCs w:val="21"/>
              </w:rPr>
            </w:pPr>
          </w:p>
        </w:tc>
        <w:tc>
          <w:tcPr>
            <w:tcW w:w="1664" w:type="dxa"/>
            <w:gridSpan w:val="2"/>
            <w:vMerge w:val="continue"/>
            <w:tcBorders>
              <w:top w:val="single" w:color="auto" w:sz="4" w:space="0"/>
              <w:left w:val="single" w:color="auto" w:sz="4" w:space="0"/>
              <w:bottom w:val="single" w:color="000000" w:sz="4" w:space="0"/>
              <w:right w:val="single" w:color="000000" w:sz="4" w:space="0"/>
              <w:tl2br w:val="nil"/>
              <w:tr2bl w:val="nil"/>
            </w:tcBorders>
            <w:noWrap w:val="0"/>
            <w:vAlign w:val="center"/>
          </w:tcPr>
          <w:p w14:paraId="0C192997">
            <w:pPr>
              <w:widowControl/>
              <w:spacing w:beforeLines="0" w:afterLines="0"/>
              <w:jc w:val="left"/>
              <w:rPr>
                <w:rFonts w:hint="default" w:ascii="宋体" w:hAnsi="宋体" w:eastAsia="宋体" w:cs="宋体"/>
                <w:b/>
                <w:color w:val="auto"/>
                <w:kern w:val="0"/>
                <w:sz w:val="21"/>
                <w:szCs w:val="21"/>
              </w:rPr>
            </w:pPr>
          </w:p>
        </w:tc>
        <w:tc>
          <w:tcPr>
            <w:tcW w:w="9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4DD60B9">
            <w:pPr>
              <w:widowControl/>
              <w:spacing w:beforeLines="0" w:afterLines="0"/>
              <w:jc w:val="left"/>
              <w:rPr>
                <w:rFonts w:hint="default" w:ascii="宋体" w:hAnsi="宋体" w:eastAsia="宋体" w:cs="宋体"/>
                <w:b/>
                <w:color w:val="auto"/>
                <w:kern w:val="0"/>
                <w:sz w:val="21"/>
                <w:szCs w:val="21"/>
              </w:rPr>
            </w:pPr>
          </w:p>
        </w:tc>
        <w:tc>
          <w:tcPr>
            <w:tcW w:w="5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B841B31">
            <w:pPr>
              <w:widowControl/>
              <w:spacing w:beforeLines="0" w:afterLines="0"/>
              <w:jc w:val="left"/>
              <w:rPr>
                <w:rFonts w:hint="default" w:ascii="宋体" w:hAnsi="宋体" w:eastAsia="宋体" w:cs="宋体"/>
                <w:b/>
                <w:color w:val="auto"/>
                <w:kern w:val="0"/>
                <w:sz w:val="21"/>
                <w:szCs w:val="21"/>
              </w:rPr>
            </w:pPr>
          </w:p>
        </w:tc>
        <w:tc>
          <w:tcPr>
            <w:tcW w:w="461" w:type="dxa"/>
            <w:vMerge w:val="restart"/>
            <w:tcBorders>
              <w:top w:val="nil"/>
              <w:left w:val="single" w:color="auto" w:sz="4" w:space="0"/>
              <w:bottom w:val="single" w:color="auto" w:sz="4" w:space="0"/>
              <w:right w:val="single" w:color="auto" w:sz="4" w:space="0"/>
              <w:tl2br w:val="nil"/>
              <w:tr2bl w:val="nil"/>
            </w:tcBorders>
            <w:noWrap w:val="0"/>
            <w:vAlign w:val="center"/>
          </w:tcPr>
          <w:p w14:paraId="5D3FF86A">
            <w:pPr>
              <w:widowControl/>
              <w:spacing w:beforeLines="0" w:afterLines="0"/>
              <w:jc w:val="center"/>
              <w:rPr>
                <w:rFonts w:hint="default" w:ascii="宋体" w:hAnsi="宋体" w:eastAsia="宋体" w:cs="宋体"/>
                <w:b/>
                <w:color w:val="auto"/>
                <w:kern w:val="0"/>
                <w:sz w:val="21"/>
                <w:szCs w:val="21"/>
              </w:rPr>
            </w:pPr>
            <w:r>
              <w:rPr>
                <w:rFonts w:hint="default" w:ascii="宋体" w:hAnsi="宋体" w:eastAsia="宋体" w:cs="宋体"/>
                <w:b/>
                <w:color w:val="auto"/>
                <w:kern w:val="0"/>
                <w:sz w:val="21"/>
                <w:szCs w:val="21"/>
              </w:rPr>
              <w:t>一类道路</w:t>
            </w:r>
          </w:p>
        </w:tc>
        <w:tc>
          <w:tcPr>
            <w:tcW w:w="461" w:type="dxa"/>
            <w:vMerge w:val="restart"/>
            <w:tcBorders>
              <w:top w:val="nil"/>
              <w:left w:val="single" w:color="auto" w:sz="4" w:space="0"/>
              <w:bottom w:val="single" w:color="auto" w:sz="4" w:space="0"/>
              <w:right w:val="single" w:color="auto" w:sz="4" w:space="0"/>
              <w:tl2br w:val="nil"/>
              <w:tr2bl w:val="nil"/>
            </w:tcBorders>
            <w:noWrap w:val="0"/>
            <w:vAlign w:val="center"/>
          </w:tcPr>
          <w:p w14:paraId="03C402E5">
            <w:pPr>
              <w:widowControl/>
              <w:spacing w:beforeLines="0" w:afterLines="0"/>
              <w:jc w:val="center"/>
              <w:rPr>
                <w:rFonts w:hint="default" w:ascii="宋体" w:hAnsi="宋体" w:eastAsia="宋体" w:cs="宋体"/>
                <w:b/>
                <w:color w:val="auto"/>
                <w:kern w:val="0"/>
                <w:sz w:val="21"/>
                <w:szCs w:val="21"/>
              </w:rPr>
            </w:pPr>
            <w:r>
              <w:rPr>
                <w:rFonts w:hint="default" w:ascii="宋体" w:hAnsi="宋体" w:eastAsia="宋体" w:cs="宋体"/>
                <w:b/>
                <w:color w:val="auto"/>
                <w:kern w:val="0"/>
                <w:sz w:val="21"/>
                <w:szCs w:val="21"/>
              </w:rPr>
              <w:t>二类道路</w:t>
            </w:r>
          </w:p>
        </w:tc>
        <w:tc>
          <w:tcPr>
            <w:tcW w:w="651" w:type="dxa"/>
            <w:vMerge w:val="restart"/>
            <w:tcBorders>
              <w:top w:val="nil"/>
              <w:left w:val="single" w:color="auto" w:sz="4" w:space="0"/>
              <w:bottom w:val="single" w:color="000000" w:sz="4" w:space="0"/>
              <w:right w:val="single" w:color="auto" w:sz="4" w:space="0"/>
              <w:tl2br w:val="nil"/>
              <w:tr2bl w:val="nil"/>
            </w:tcBorders>
            <w:noWrap w:val="0"/>
            <w:vAlign w:val="center"/>
          </w:tcPr>
          <w:p w14:paraId="53ECB76C">
            <w:pPr>
              <w:widowControl/>
              <w:spacing w:beforeLines="0" w:afterLines="0"/>
              <w:jc w:val="center"/>
              <w:rPr>
                <w:rFonts w:hint="default" w:ascii="宋体" w:hAnsi="宋体" w:eastAsia="宋体" w:cs="宋体"/>
                <w:b/>
                <w:color w:val="auto"/>
                <w:kern w:val="0"/>
                <w:sz w:val="21"/>
                <w:szCs w:val="21"/>
              </w:rPr>
            </w:pPr>
            <w:r>
              <w:rPr>
                <w:rFonts w:hint="default" w:ascii="宋体" w:hAnsi="宋体" w:eastAsia="宋体" w:cs="宋体"/>
                <w:b/>
                <w:color w:val="auto"/>
                <w:kern w:val="0"/>
                <w:sz w:val="21"/>
                <w:szCs w:val="21"/>
              </w:rPr>
              <w:t>三类道路</w:t>
            </w:r>
            <w:r>
              <w:rPr>
                <w:rFonts w:hint="default" w:ascii="宋体" w:hAnsi="宋体" w:eastAsia="宋体" w:cs="宋体"/>
                <w:b/>
                <w:color w:val="auto"/>
                <w:kern w:val="0"/>
                <w:sz w:val="21"/>
                <w:szCs w:val="21"/>
              </w:rPr>
              <w:br w:type="textWrapping"/>
            </w:r>
            <w:r>
              <w:rPr>
                <w:rFonts w:hint="default" w:ascii="宋体" w:hAnsi="宋体" w:eastAsia="宋体" w:cs="宋体"/>
                <w:b/>
                <w:color w:val="auto"/>
                <w:kern w:val="0"/>
                <w:sz w:val="21"/>
                <w:szCs w:val="21"/>
              </w:rPr>
              <w:t>（工业区）</w:t>
            </w:r>
          </w:p>
        </w:tc>
        <w:tc>
          <w:tcPr>
            <w:tcW w:w="461" w:type="dxa"/>
            <w:vMerge w:val="restart"/>
            <w:tcBorders>
              <w:top w:val="nil"/>
              <w:left w:val="single" w:color="auto" w:sz="4" w:space="0"/>
              <w:bottom w:val="single" w:color="auto" w:sz="4" w:space="0"/>
              <w:right w:val="single" w:color="auto" w:sz="4" w:space="0"/>
              <w:tl2br w:val="nil"/>
              <w:tr2bl w:val="nil"/>
            </w:tcBorders>
            <w:noWrap w:val="0"/>
            <w:vAlign w:val="center"/>
          </w:tcPr>
          <w:p w14:paraId="6288983D">
            <w:pPr>
              <w:widowControl/>
              <w:spacing w:beforeLines="0" w:afterLines="0"/>
              <w:jc w:val="center"/>
              <w:rPr>
                <w:rFonts w:hint="default" w:ascii="宋体" w:hAnsi="宋体" w:eastAsia="宋体" w:cs="宋体"/>
                <w:b/>
                <w:color w:val="auto"/>
                <w:kern w:val="0"/>
                <w:sz w:val="21"/>
                <w:szCs w:val="21"/>
              </w:rPr>
            </w:pPr>
            <w:r>
              <w:rPr>
                <w:rFonts w:hint="default" w:ascii="宋体" w:hAnsi="宋体" w:eastAsia="宋体" w:cs="宋体"/>
                <w:b/>
                <w:color w:val="auto"/>
                <w:kern w:val="0"/>
                <w:sz w:val="21"/>
                <w:szCs w:val="21"/>
              </w:rPr>
              <w:t>四类道路</w:t>
            </w:r>
          </w:p>
        </w:tc>
        <w:tc>
          <w:tcPr>
            <w:tcW w:w="461" w:type="dxa"/>
            <w:vMerge w:val="restart"/>
            <w:tcBorders>
              <w:top w:val="nil"/>
              <w:left w:val="single" w:color="auto" w:sz="4" w:space="0"/>
              <w:bottom w:val="single" w:color="auto" w:sz="4" w:space="0"/>
              <w:right w:val="single" w:color="auto" w:sz="4" w:space="0"/>
              <w:tl2br w:val="nil"/>
              <w:tr2bl w:val="nil"/>
            </w:tcBorders>
            <w:noWrap w:val="0"/>
            <w:vAlign w:val="center"/>
          </w:tcPr>
          <w:p w14:paraId="283A85C0">
            <w:pPr>
              <w:widowControl/>
              <w:spacing w:beforeLines="0" w:afterLines="0"/>
              <w:jc w:val="center"/>
              <w:rPr>
                <w:rFonts w:hint="default" w:ascii="宋体" w:hAnsi="宋体" w:eastAsia="宋体" w:cs="宋体"/>
                <w:b/>
                <w:color w:val="auto"/>
                <w:kern w:val="0"/>
                <w:sz w:val="21"/>
                <w:szCs w:val="21"/>
              </w:rPr>
            </w:pPr>
            <w:r>
              <w:rPr>
                <w:rFonts w:hint="default" w:ascii="宋体" w:hAnsi="宋体" w:eastAsia="宋体" w:cs="宋体"/>
                <w:b/>
                <w:color w:val="auto"/>
                <w:kern w:val="0"/>
                <w:sz w:val="21"/>
                <w:szCs w:val="21"/>
              </w:rPr>
              <w:t>县市园区</w:t>
            </w:r>
          </w:p>
        </w:tc>
      </w:tr>
      <w:tr w14:paraId="5A504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3FE94E5">
            <w:pPr>
              <w:widowControl/>
              <w:spacing w:beforeLines="0" w:afterLines="0"/>
              <w:jc w:val="left"/>
              <w:rPr>
                <w:rFonts w:hint="default" w:ascii="宋体" w:hAnsi="宋体" w:eastAsia="宋体" w:cs="宋体"/>
                <w:b/>
                <w:color w:val="auto"/>
                <w:kern w:val="0"/>
                <w:sz w:val="21"/>
                <w:szCs w:val="21"/>
              </w:rPr>
            </w:pPr>
          </w:p>
        </w:tc>
        <w:tc>
          <w:tcPr>
            <w:tcW w:w="85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1368406">
            <w:pPr>
              <w:widowControl/>
              <w:spacing w:beforeLines="0" w:afterLines="0"/>
              <w:jc w:val="left"/>
              <w:rPr>
                <w:rFonts w:hint="default" w:ascii="宋体" w:hAnsi="宋体" w:eastAsia="宋体" w:cs="宋体"/>
                <w:b/>
                <w:color w:val="auto"/>
                <w:kern w:val="0"/>
                <w:sz w:val="21"/>
                <w:szCs w:val="21"/>
              </w:rPr>
            </w:pPr>
          </w:p>
        </w:tc>
        <w:tc>
          <w:tcPr>
            <w:tcW w:w="153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E1B9302">
            <w:pPr>
              <w:widowControl/>
              <w:spacing w:beforeLines="0" w:afterLines="0"/>
              <w:jc w:val="left"/>
              <w:rPr>
                <w:rFonts w:hint="default" w:ascii="宋体" w:hAnsi="宋体" w:eastAsia="宋体" w:cs="宋体"/>
                <w:b/>
                <w:color w:val="auto"/>
                <w:kern w:val="0"/>
                <w:sz w:val="21"/>
                <w:szCs w:val="21"/>
              </w:rPr>
            </w:pPr>
          </w:p>
        </w:tc>
        <w:tc>
          <w:tcPr>
            <w:tcW w:w="1664" w:type="dxa"/>
            <w:gridSpan w:val="2"/>
            <w:vMerge w:val="continue"/>
            <w:tcBorders>
              <w:top w:val="single" w:color="auto" w:sz="4" w:space="0"/>
              <w:left w:val="single" w:color="auto" w:sz="4" w:space="0"/>
              <w:bottom w:val="single" w:color="000000" w:sz="4" w:space="0"/>
              <w:right w:val="single" w:color="000000" w:sz="4" w:space="0"/>
              <w:tl2br w:val="nil"/>
              <w:tr2bl w:val="nil"/>
            </w:tcBorders>
            <w:noWrap w:val="0"/>
            <w:vAlign w:val="center"/>
          </w:tcPr>
          <w:p w14:paraId="4CA2B0A7">
            <w:pPr>
              <w:widowControl/>
              <w:spacing w:beforeLines="0" w:afterLines="0"/>
              <w:jc w:val="left"/>
              <w:rPr>
                <w:rFonts w:hint="default" w:ascii="宋体" w:hAnsi="宋体" w:eastAsia="宋体" w:cs="宋体"/>
                <w:b/>
                <w:color w:val="auto"/>
                <w:kern w:val="0"/>
                <w:sz w:val="21"/>
                <w:szCs w:val="21"/>
              </w:rPr>
            </w:pPr>
          </w:p>
        </w:tc>
        <w:tc>
          <w:tcPr>
            <w:tcW w:w="9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158DD1A">
            <w:pPr>
              <w:widowControl/>
              <w:spacing w:beforeLines="0" w:afterLines="0"/>
              <w:jc w:val="left"/>
              <w:rPr>
                <w:rFonts w:hint="default" w:ascii="宋体" w:hAnsi="宋体" w:eastAsia="宋体" w:cs="宋体"/>
                <w:b/>
                <w:color w:val="auto"/>
                <w:kern w:val="0"/>
                <w:sz w:val="21"/>
                <w:szCs w:val="21"/>
              </w:rPr>
            </w:pPr>
          </w:p>
        </w:tc>
        <w:tc>
          <w:tcPr>
            <w:tcW w:w="5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4F969F4">
            <w:pPr>
              <w:widowControl/>
              <w:spacing w:beforeLines="0" w:afterLines="0"/>
              <w:jc w:val="left"/>
              <w:rPr>
                <w:rFonts w:hint="default" w:ascii="宋体" w:hAnsi="宋体" w:eastAsia="宋体" w:cs="宋体"/>
                <w:b/>
                <w:color w:val="auto"/>
                <w:kern w:val="0"/>
                <w:sz w:val="21"/>
                <w:szCs w:val="21"/>
              </w:rPr>
            </w:pPr>
          </w:p>
        </w:tc>
        <w:tc>
          <w:tcPr>
            <w:tcW w:w="461" w:type="dxa"/>
            <w:vMerge w:val="continue"/>
            <w:tcBorders>
              <w:top w:val="nil"/>
              <w:left w:val="single" w:color="auto" w:sz="4" w:space="0"/>
              <w:bottom w:val="single" w:color="auto" w:sz="4" w:space="0"/>
              <w:right w:val="single" w:color="auto" w:sz="4" w:space="0"/>
              <w:tl2br w:val="nil"/>
              <w:tr2bl w:val="nil"/>
            </w:tcBorders>
            <w:noWrap w:val="0"/>
            <w:vAlign w:val="center"/>
          </w:tcPr>
          <w:p w14:paraId="51594A09">
            <w:pPr>
              <w:widowControl/>
              <w:spacing w:beforeLines="0" w:afterLines="0"/>
              <w:jc w:val="left"/>
              <w:rPr>
                <w:rFonts w:hint="default" w:ascii="宋体" w:hAnsi="宋体" w:eastAsia="宋体" w:cs="宋体"/>
                <w:b/>
                <w:color w:val="auto"/>
                <w:kern w:val="0"/>
                <w:sz w:val="21"/>
                <w:szCs w:val="21"/>
              </w:rPr>
            </w:pPr>
          </w:p>
        </w:tc>
        <w:tc>
          <w:tcPr>
            <w:tcW w:w="461" w:type="dxa"/>
            <w:vMerge w:val="continue"/>
            <w:tcBorders>
              <w:top w:val="nil"/>
              <w:left w:val="single" w:color="auto" w:sz="4" w:space="0"/>
              <w:bottom w:val="single" w:color="auto" w:sz="4" w:space="0"/>
              <w:right w:val="single" w:color="auto" w:sz="4" w:space="0"/>
              <w:tl2br w:val="nil"/>
              <w:tr2bl w:val="nil"/>
            </w:tcBorders>
            <w:noWrap w:val="0"/>
            <w:vAlign w:val="center"/>
          </w:tcPr>
          <w:p w14:paraId="1949649C">
            <w:pPr>
              <w:widowControl/>
              <w:spacing w:beforeLines="0" w:afterLines="0"/>
              <w:jc w:val="left"/>
              <w:rPr>
                <w:rFonts w:hint="default" w:ascii="宋体" w:hAnsi="宋体" w:eastAsia="宋体" w:cs="宋体"/>
                <w:b/>
                <w:color w:val="auto"/>
                <w:kern w:val="0"/>
                <w:sz w:val="21"/>
                <w:szCs w:val="21"/>
              </w:rPr>
            </w:pPr>
          </w:p>
        </w:tc>
        <w:tc>
          <w:tcPr>
            <w:tcW w:w="651" w:type="dxa"/>
            <w:vMerge w:val="continue"/>
            <w:tcBorders>
              <w:top w:val="nil"/>
              <w:left w:val="single" w:color="auto" w:sz="4" w:space="0"/>
              <w:bottom w:val="single" w:color="000000" w:sz="4" w:space="0"/>
              <w:right w:val="single" w:color="auto" w:sz="4" w:space="0"/>
              <w:tl2br w:val="nil"/>
              <w:tr2bl w:val="nil"/>
            </w:tcBorders>
            <w:noWrap w:val="0"/>
            <w:vAlign w:val="center"/>
          </w:tcPr>
          <w:p w14:paraId="6FDA4887">
            <w:pPr>
              <w:widowControl/>
              <w:spacing w:beforeLines="0" w:afterLines="0"/>
              <w:jc w:val="left"/>
              <w:rPr>
                <w:rFonts w:hint="default" w:ascii="宋体" w:hAnsi="宋体" w:eastAsia="宋体" w:cs="宋体"/>
                <w:b/>
                <w:color w:val="auto"/>
                <w:kern w:val="0"/>
                <w:sz w:val="21"/>
                <w:szCs w:val="21"/>
              </w:rPr>
            </w:pPr>
          </w:p>
        </w:tc>
        <w:tc>
          <w:tcPr>
            <w:tcW w:w="461" w:type="dxa"/>
            <w:vMerge w:val="continue"/>
            <w:tcBorders>
              <w:top w:val="nil"/>
              <w:left w:val="single" w:color="auto" w:sz="4" w:space="0"/>
              <w:bottom w:val="single" w:color="auto" w:sz="4" w:space="0"/>
              <w:right w:val="single" w:color="auto" w:sz="4" w:space="0"/>
              <w:tl2br w:val="nil"/>
              <w:tr2bl w:val="nil"/>
            </w:tcBorders>
            <w:noWrap w:val="0"/>
            <w:vAlign w:val="center"/>
          </w:tcPr>
          <w:p w14:paraId="73B73C3A">
            <w:pPr>
              <w:widowControl/>
              <w:spacing w:beforeLines="0" w:afterLines="0"/>
              <w:jc w:val="left"/>
              <w:rPr>
                <w:rFonts w:hint="default" w:ascii="宋体" w:hAnsi="宋体" w:eastAsia="宋体" w:cs="宋体"/>
                <w:b/>
                <w:color w:val="auto"/>
                <w:kern w:val="0"/>
                <w:sz w:val="21"/>
                <w:szCs w:val="21"/>
              </w:rPr>
            </w:pPr>
          </w:p>
        </w:tc>
        <w:tc>
          <w:tcPr>
            <w:tcW w:w="461" w:type="dxa"/>
            <w:vMerge w:val="continue"/>
            <w:tcBorders>
              <w:top w:val="nil"/>
              <w:left w:val="single" w:color="auto" w:sz="4" w:space="0"/>
              <w:bottom w:val="single" w:color="auto" w:sz="4" w:space="0"/>
              <w:right w:val="single" w:color="auto" w:sz="4" w:space="0"/>
              <w:tl2br w:val="nil"/>
              <w:tr2bl w:val="nil"/>
            </w:tcBorders>
            <w:noWrap w:val="0"/>
            <w:vAlign w:val="center"/>
          </w:tcPr>
          <w:p w14:paraId="5E775ADF">
            <w:pPr>
              <w:widowControl/>
              <w:spacing w:beforeLines="0" w:afterLines="0"/>
              <w:jc w:val="left"/>
              <w:rPr>
                <w:rFonts w:hint="default" w:ascii="宋体" w:hAnsi="宋体" w:eastAsia="宋体" w:cs="宋体"/>
                <w:b/>
                <w:color w:val="auto"/>
                <w:kern w:val="0"/>
                <w:sz w:val="21"/>
                <w:szCs w:val="21"/>
              </w:rPr>
            </w:pPr>
          </w:p>
        </w:tc>
      </w:tr>
      <w:tr w14:paraId="4A65C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7" w:type="dxa"/>
            <w:vMerge w:val="restart"/>
            <w:tcBorders>
              <w:top w:val="nil"/>
              <w:left w:val="single" w:color="auto" w:sz="4" w:space="0"/>
              <w:bottom w:val="nil"/>
              <w:right w:val="single" w:color="auto" w:sz="4" w:space="0"/>
              <w:tl2br w:val="nil"/>
              <w:tr2bl w:val="nil"/>
            </w:tcBorders>
            <w:noWrap w:val="0"/>
            <w:vAlign w:val="center"/>
          </w:tcPr>
          <w:p w14:paraId="52E0CF7C">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市政公用设施</w:t>
            </w:r>
          </w:p>
        </w:tc>
        <w:tc>
          <w:tcPr>
            <w:tcW w:w="855" w:type="dxa"/>
            <w:tcBorders>
              <w:top w:val="nil"/>
              <w:left w:val="nil"/>
              <w:bottom w:val="single" w:color="auto" w:sz="4" w:space="0"/>
              <w:right w:val="single" w:color="auto" w:sz="4" w:space="0"/>
              <w:tl2br w:val="nil"/>
              <w:tr2bl w:val="nil"/>
            </w:tcBorders>
            <w:noWrap w:val="0"/>
            <w:vAlign w:val="center"/>
          </w:tcPr>
          <w:p w14:paraId="4B2AE9B1">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污水井盖</w:t>
            </w:r>
          </w:p>
        </w:tc>
        <w:tc>
          <w:tcPr>
            <w:tcW w:w="1530" w:type="dxa"/>
            <w:tcBorders>
              <w:top w:val="nil"/>
              <w:left w:val="nil"/>
              <w:bottom w:val="single" w:color="auto" w:sz="4" w:space="0"/>
              <w:right w:val="single" w:color="auto" w:sz="4" w:space="0"/>
              <w:tl2br w:val="nil"/>
              <w:tr2bl w:val="nil"/>
            </w:tcBorders>
            <w:noWrap w:val="0"/>
            <w:vAlign w:val="center"/>
          </w:tcPr>
          <w:p w14:paraId="27D9D4E7">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标有“污水、污”等字样的地下污水管道的井盖</w:t>
            </w:r>
          </w:p>
        </w:tc>
        <w:tc>
          <w:tcPr>
            <w:tcW w:w="390" w:type="dxa"/>
            <w:vMerge w:val="restart"/>
            <w:tcBorders>
              <w:top w:val="nil"/>
              <w:left w:val="single" w:color="auto" w:sz="4" w:space="0"/>
              <w:bottom w:val="single" w:color="auto" w:sz="4" w:space="0"/>
              <w:right w:val="single" w:color="auto" w:sz="4" w:space="0"/>
              <w:tl2br w:val="nil"/>
              <w:tr2bl w:val="nil"/>
            </w:tcBorders>
            <w:noWrap w:val="0"/>
            <w:vAlign w:val="center"/>
          </w:tcPr>
          <w:p w14:paraId="32F9F188">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各类井盖</w:t>
            </w:r>
          </w:p>
        </w:tc>
        <w:tc>
          <w:tcPr>
            <w:tcW w:w="1274" w:type="dxa"/>
            <w:vMerge w:val="restart"/>
            <w:tcBorders>
              <w:top w:val="nil"/>
              <w:left w:val="single" w:color="auto" w:sz="4" w:space="0"/>
              <w:bottom w:val="single" w:color="000000" w:sz="4" w:space="0"/>
              <w:right w:val="single" w:color="auto" w:sz="4" w:space="0"/>
              <w:tl2br w:val="nil"/>
              <w:tr2bl w:val="nil"/>
            </w:tcBorders>
            <w:noWrap w:val="0"/>
            <w:vAlign w:val="center"/>
          </w:tcPr>
          <w:p w14:paraId="40221D3E">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缺失、移位、开裂、明显影响安全</w:t>
            </w:r>
          </w:p>
        </w:tc>
        <w:tc>
          <w:tcPr>
            <w:tcW w:w="932" w:type="dxa"/>
            <w:vMerge w:val="restart"/>
            <w:tcBorders>
              <w:top w:val="nil"/>
              <w:left w:val="single" w:color="auto" w:sz="4" w:space="0"/>
              <w:bottom w:val="single" w:color="000000" w:sz="4" w:space="0"/>
              <w:right w:val="single" w:color="auto" w:sz="4" w:space="0"/>
              <w:tl2br w:val="nil"/>
              <w:tr2bl w:val="nil"/>
            </w:tcBorders>
            <w:noWrap w:val="0"/>
            <w:vAlign w:val="center"/>
          </w:tcPr>
          <w:p w14:paraId="3747E56F">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维护、消除安全隐患或修复</w:t>
            </w:r>
          </w:p>
        </w:tc>
        <w:tc>
          <w:tcPr>
            <w:tcW w:w="550" w:type="dxa"/>
            <w:vMerge w:val="restart"/>
            <w:tcBorders>
              <w:top w:val="nil"/>
              <w:left w:val="single" w:color="auto" w:sz="4" w:space="0"/>
              <w:bottom w:val="single" w:color="000000" w:sz="4" w:space="0"/>
              <w:right w:val="single" w:color="auto" w:sz="4" w:space="0"/>
              <w:tl2br w:val="nil"/>
              <w:tr2bl w:val="nil"/>
            </w:tcBorders>
            <w:noWrap w:val="0"/>
            <w:vAlign w:val="center"/>
          </w:tcPr>
          <w:p w14:paraId="6322A3D1">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w:t>
            </w:r>
          </w:p>
        </w:tc>
        <w:tc>
          <w:tcPr>
            <w:tcW w:w="461" w:type="dxa"/>
            <w:vMerge w:val="restart"/>
            <w:tcBorders>
              <w:top w:val="nil"/>
              <w:left w:val="single" w:color="auto" w:sz="4" w:space="0"/>
              <w:bottom w:val="single" w:color="000000" w:sz="4" w:space="0"/>
              <w:right w:val="single" w:color="auto" w:sz="4" w:space="0"/>
              <w:tl2br w:val="nil"/>
              <w:tr2bl w:val="nil"/>
            </w:tcBorders>
            <w:noWrap w:val="0"/>
            <w:vAlign w:val="center"/>
          </w:tcPr>
          <w:p w14:paraId="4ADD23B5">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2小时</w:t>
            </w:r>
          </w:p>
        </w:tc>
        <w:tc>
          <w:tcPr>
            <w:tcW w:w="461" w:type="dxa"/>
            <w:vMerge w:val="restart"/>
            <w:tcBorders>
              <w:top w:val="nil"/>
              <w:left w:val="single" w:color="auto" w:sz="4" w:space="0"/>
              <w:bottom w:val="single" w:color="000000" w:sz="4" w:space="0"/>
              <w:right w:val="single" w:color="auto" w:sz="4" w:space="0"/>
              <w:tl2br w:val="nil"/>
              <w:tr2bl w:val="nil"/>
            </w:tcBorders>
            <w:noWrap w:val="0"/>
            <w:vAlign w:val="center"/>
          </w:tcPr>
          <w:p w14:paraId="5569E480">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2小时</w:t>
            </w:r>
          </w:p>
        </w:tc>
        <w:tc>
          <w:tcPr>
            <w:tcW w:w="651" w:type="dxa"/>
            <w:vMerge w:val="restart"/>
            <w:tcBorders>
              <w:top w:val="nil"/>
              <w:left w:val="single" w:color="auto" w:sz="4" w:space="0"/>
              <w:bottom w:val="single" w:color="000000" w:sz="4" w:space="0"/>
              <w:right w:val="single" w:color="auto" w:sz="4" w:space="0"/>
              <w:tl2br w:val="nil"/>
              <w:tr2bl w:val="nil"/>
            </w:tcBorders>
            <w:noWrap w:val="0"/>
            <w:vAlign w:val="center"/>
          </w:tcPr>
          <w:p w14:paraId="541304A4">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2小时</w:t>
            </w:r>
          </w:p>
        </w:tc>
        <w:tc>
          <w:tcPr>
            <w:tcW w:w="461" w:type="dxa"/>
            <w:vMerge w:val="restart"/>
            <w:tcBorders>
              <w:top w:val="nil"/>
              <w:left w:val="single" w:color="auto" w:sz="4" w:space="0"/>
              <w:bottom w:val="single" w:color="000000" w:sz="4" w:space="0"/>
              <w:right w:val="single" w:color="auto" w:sz="4" w:space="0"/>
              <w:tl2br w:val="nil"/>
              <w:tr2bl w:val="nil"/>
            </w:tcBorders>
            <w:noWrap w:val="0"/>
            <w:vAlign w:val="center"/>
          </w:tcPr>
          <w:p w14:paraId="26F878A0">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2小时</w:t>
            </w:r>
          </w:p>
        </w:tc>
        <w:tc>
          <w:tcPr>
            <w:tcW w:w="461" w:type="dxa"/>
            <w:vMerge w:val="restart"/>
            <w:tcBorders>
              <w:top w:val="nil"/>
              <w:left w:val="single" w:color="auto" w:sz="4" w:space="0"/>
              <w:bottom w:val="single" w:color="000000" w:sz="4" w:space="0"/>
              <w:right w:val="single" w:color="auto" w:sz="4" w:space="0"/>
              <w:tl2br w:val="nil"/>
              <w:tr2bl w:val="nil"/>
            </w:tcBorders>
            <w:noWrap w:val="0"/>
            <w:vAlign w:val="center"/>
          </w:tcPr>
          <w:p w14:paraId="0E06D841">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2小时</w:t>
            </w:r>
          </w:p>
        </w:tc>
      </w:tr>
      <w:tr w14:paraId="4E6B5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7" w:type="dxa"/>
            <w:vMerge w:val="continue"/>
            <w:tcBorders>
              <w:top w:val="nil"/>
              <w:left w:val="single" w:color="auto" w:sz="4" w:space="0"/>
              <w:bottom w:val="nil"/>
              <w:right w:val="single" w:color="auto" w:sz="4" w:space="0"/>
              <w:tl2br w:val="nil"/>
              <w:tr2bl w:val="nil"/>
            </w:tcBorders>
            <w:noWrap w:val="0"/>
            <w:vAlign w:val="center"/>
          </w:tcPr>
          <w:p w14:paraId="68A8B765">
            <w:pPr>
              <w:widowControl/>
              <w:spacing w:beforeLines="0" w:afterLines="0"/>
              <w:jc w:val="left"/>
              <w:rPr>
                <w:rFonts w:hint="default" w:ascii="宋体" w:hAnsi="宋体" w:eastAsia="宋体" w:cs="宋体"/>
                <w:color w:val="auto"/>
                <w:kern w:val="0"/>
                <w:sz w:val="21"/>
                <w:szCs w:val="21"/>
              </w:rPr>
            </w:pPr>
          </w:p>
        </w:tc>
        <w:tc>
          <w:tcPr>
            <w:tcW w:w="855" w:type="dxa"/>
            <w:tcBorders>
              <w:top w:val="nil"/>
              <w:left w:val="nil"/>
              <w:bottom w:val="single" w:color="auto" w:sz="4" w:space="0"/>
              <w:right w:val="single" w:color="auto" w:sz="4" w:space="0"/>
              <w:tl2br w:val="nil"/>
              <w:tr2bl w:val="nil"/>
            </w:tcBorders>
            <w:noWrap w:val="0"/>
            <w:vAlign w:val="center"/>
          </w:tcPr>
          <w:p w14:paraId="57E44E4D">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雨水井盖</w:t>
            </w:r>
          </w:p>
        </w:tc>
        <w:tc>
          <w:tcPr>
            <w:tcW w:w="1530" w:type="dxa"/>
            <w:tcBorders>
              <w:top w:val="nil"/>
              <w:left w:val="nil"/>
              <w:bottom w:val="single" w:color="auto" w:sz="4" w:space="0"/>
              <w:right w:val="single" w:color="auto" w:sz="4" w:space="0"/>
              <w:tl2br w:val="nil"/>
              <w:tr2bl w:val="nil"/>
            </w:tcBorders>
            <w:noWrap w:val="0"/>
            <w:vAlign w:val="center"/>
          </w:tcPr>
          <w:p w14:paraId="5E0DA521">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标有“雨水、雨、市政”等字样的地下雨水管道及共同沟的井盖</w:t>
            </w:r>
          </w:p>
        </w:tc>
        <w:tc>
          <w:tcPr>
            <w:tcW w:w="390" w:type="dxa"/>
            <w:vMerge w:val="continue"/>
            <w:tcBorders>
              <w:top w:val="nil"/>
              <w:left w:val="single" w:color="auto" w:sz="4" w:space="0"/>
              <w:bottom w:val="single" w:color="auto" w:sz="4" w:space="0"/>
              <w:right w:val="single" w:color="auto" w:sz="4" w:space="0"/>
              <w:tl2br w:val="nil"/>
              <w:tr2bl w:val="nil"/>
            </w:tcBorders>
            <w:noWrap w:val="0"/>
            <w:vAlign w:val="center"/>
          </w:tcPr>
          <w:p w14:paraId="716C879B">
            <w:pPr>
              <w:widowControl/>
              <w:spacing w:beforeLines="0" w:afterLines="0"/>
              <w:jc w:val="left"/>
              <w:rPr>
                <w:rFonts w:hint="default" w:ascii="宋体" w:hAnsi="宋体" w:eastAsia="宋体" w:cs="宋体"/>
                <w:color w:val="auto"/>
                <w:kern w:val="0"/>
                <w:sz w:val="21"/>
                <w:szCs w:val="21"/>
              </w:rPr>
            </w:pPr>
          </w:p>
        </w:tc>
        <w:tc>
          <w:tcPr>
            <w:tcW w:w="1274" w:type="dxa"/>
            <w:vMerge w:val="continue"/>
            <w:tcBorders>
              <w:top w:val="nil"/>
              <w:left w:val="single" w:color="auto" w:sz="4" w:space="0"/>
              <w:bottom w:val="single" w:color="000000" w:sz="4" w:space="0"/>
              <w:right w:val="single" w:color="auto" w:sz="4" w:space="0"/>
              <w:tl2br w:val="nil"/>
              <w:tr2bl w:val="nil"/>
            </w:tcBorders>
            <w:noWrap w:val="0"/>
            <w:vAlign w:val="center"/>
          </w:tcPr>
          <w:p w14:paraId="1E57650E">
            <w:pPr>
              <w:widowControl/>
              <w:spacing w:beforeLines="0" w:afterLines="0"/>
              <w:jc w:val="left"/>
              <w:rPr>
                <w:rFonts w:hint="default" w:ascii="宋体" w:hAnsi="宋体" w:eastAsia="宋体" w:cs="宋体"/>
                <w:color w:val="auto"/>
                <w:kern w:val="0"/>
                <w:sz w:val="21"/>
                <w:szCs w:val="21"/>
              </w:rPr>
            </w:pPr>
          </w:p>
        </w:tc>
        <w:tc>
          <w:tcPr>
            <w:tcW w:w="932" w:type="dxa"/>
            <w:vMerge w:val="continue"/>
            <w:tcBorders>
              <w:top w:val="nil"/>
              <w:left w:val="single" w:color="auto" w:sz="4" w:space="0"/>
              <w:bottom w:val="single" w:color="000000" w:sz="4" w:space="0"/>
              <w:right w:val="single" w:color="auto" w:sz="4" w:space="0"/>
              <w:tl2br w:val="nil"/>
              <w:tr2bl w:val="nil"/>
            </w:tcBorders>
            <w:noWrap w:val="0"/>
            <w:vAlign w:val="center"/>
          </w:tcPr>
          <w:p w14:paraId="557F2AAF">
            <w:pPr>
              <w:widowControl/>
              <w:spacing w:beforeLines="0" w:afterLines="0"/>
              <w:jc w:val="left"/>
              <w:rPr>
                <w:rFonts w:hint="default" w:ascii="宋体" w:hAnsi="宋体" w:eastAsia="宋体" w:cs="宋体"/>
                <w:color w:val="auto"/>
                <w:kern w:val="0"/>
                <w:sz w:val="21"/>
                <w:szCs w:val="21"/>
              </w:rPr>
            </w:pPr>
          </w:p>
        </w:tc>
        <w:tc>
          <w:tcPr>
            <w:tcW w:w="550" w:type="dxa"/>
            <w:vMerge w:val="continue"/>
            <w:tcBorders>
              <w:top w:val="nil"/>
              <w:left w:val="single" w:color="auto" w:sz="4" w:space="0"/>
              <w:bottom w:val="single" w:color="000000" w:sz="4" w:space="0"/>
              <w:right w:val="single" w:color="auto" w:sz="4" w:space="0"/>
              <w:tl2br w:val="nil"/>
              <w:tr2bl w:val="nil"/>
            </w:tcBorders>
            <w:noWrap w:val="0"/>
            <w:vAlign w:val="center"/>
          </w:tcPr>
          <w:p w14:paraId="20839474">
            <w:pPr>
              <w:widowControl/>
              <w:spacing w:beforeLines="0" w:afterLines="0"/>
              <w:jc w:val="left"/>
              <w:rPr>
                <w:rFonts w:hint="default" w:ascii="宋体" w:hAnsi="宋体" w:eastAsia="宋体" w:cs="宋体"/>
                <w:color w:val="auto"/>
                <w:kern w:val="0"/>
                <w:sz w:val="21"/>
                <w:szCs w:val="21"/>
              </w:rPr>
            </w:pPr>
          </w:p>
        </w:tc>
        <w:tc>
          <w:tcPr>
            <w:tcW w:w="461" w:type="dxa"/>
            <w:vMerge w:val="continue"/>
            <w:tcBorders>
              <w:top w:val="nil"/>
              <w:left w:val="single" w:color="auto" w:sz="4" w:space="0"/>
              <w:bottom w:val="single" w:color="000000" w:sz="4" w:space="0"/>
              <w:right w:val="single" w:color="auto" w:sz="4" w:space="0"/>
              <w:tl2br w:val="nil"/>
              <w:tr2bl w:val="nil"/>
            </w:tcBorders>
            <w:noWrap w:val="0"/>
            <w:vAlign w:val="center"/>
          </w:tcPr>
          <w:p w14:paraId="1EF7E49A">
            <w:pPr>
              <w:widowControl/>
              <w:spacing w:beforeLines="0" w:afterLines="0"/>
              <w:jc w:val="left"/>
              <w:rPr>
                <w:rFonts w:hint="default" w:ascii="宋体" w:hAnsi="宋体" w:eastAsia="宋体" w:cs="宋体"/>
                <w:color w:val="auto"/>
                <w:kern w:val="0"/>
                <w:sz w:val="21"/>
                <w:szCs w:val="21"/>
              </w:rPr>
            </w:pPr>
          </w:p>
        </w:tc>
        <w:tc>
          <w:tcPr>
            <w:tcW w:w="461" w:type="dxa"/>
            <w:vMerge w:val="continue"/>
            <w:tcBorders>
              <w:top w:val="nil"/>
              <w:left w:val="single" w:color="auto" w:sz="4" w:space="0"/>
              <w:bottom w:val="single" w:color="000000" w:sz="4" w:space="0"/>
              <w:right w:val="single" w:color="auto" w:sz="4" w:space="0"/>
              <w:tl2br w:val="nil"/>
              <w:tr2bl w:val="nil"/>
            </w:tcBorders>
            <w:noWrap w:val="0"/>
            <w:vAlign w:val="center"/>
          </w:tcPr>
          <w:p w14:paraId="073DE513">
            <w:pPr>
              <w:widowControl/>
              <w:spacing w:beforeLines="0" w:afterLines="0"/>
              <w:jc w:val="left"/>
              <w:rPr>
                <w:rFonts w:hint="default" w:ascii="宋体" w:hAnsi="宋体" w:eastAsia="宋体" w:cs="宋体"/>
                <w:color w:val="auto"/>
                <w:kern w:val="0"/>
                <w:sz w:val="21"/>
                <w:szCs w:val="21"/>
              </w:rPr>
            </w:pPr>
          </w:p>
        </w:tc>
        <w:tc>
          <w:tcPr>
            <w:tcW w:w="651" w:type="dxa"/>
            <w:vMerge w:val="continue"/>
            <w:tcBorders>
              <w:top w:val="nil"/>
              <w:left w:val="single" w:color="auto" w:sz="4" w:space="0"/>
              <w:bottom w:val="single" w:color="000000" w:sz="4" w:space="0"/>
              <w:right w:val="single" w:color="auto" w:sz="4" w:space="0"/>
              <w:tl2br w:val="nil"/>
              <w:tr2bl w:val="nil"/>
            </w:tcBorders>
            <w:noWrap w:val="0"/>
            <w:vAlign w:val="center"/>
          </w:tcPr>
          <w:p w14:paraId="3B3344B7">
            <w:pPr>
              <w:widowControl/>
              <w:spacing w:beforeLines="0" w:afterLines="0"/>
              <w:jc w:val="left"/>
              <w:rPr>
                <w:rFonts w:hint="default" w:ascii="宋体" w:hAnsi="宋体" w:eastAsia="宋体" w:cs="宋体"/>
                <w:color w:val="auto"/>
                <w:kern w:val="0"/>
                <w:sz w:val="21"/>
                <w:szCs w:val="21"/>
              </w:rPr>
            </w:pPr>
          </w:p>
        </w:tc>
        <w:tc>
          <w:tcPr>
            <w:tcW w:w="461" w:type="dxa"/>
            <w:vMerge w:val="continue"/>
            <w:tcBorders>
              <w:top w:val="nil"/>
              <w:left w:val="single" w:color="auto" w:sz="4" w:space="0"/>
              <w:bottom w:val="single" w:color="000000" w:sz="4" w:space="0"/>
              <w:right w:val="single" w:color="auto" w:sz="4" w:space="0"/>
              <w:tl2br w:val="nil"/>
              <w:tr2bl w:val="nil"/>
            </w:tcBorders>
            <w:noWrap w:val="0"/>
            <w:vAlign w:val="center"/>
          </w:tcPr>
          <w:p w14:paraId="07EFA03A">
            <w:pPr>
              <w:widowControl/>
              <w:spacing w:beforeLines="0" w:afterLines="0"/>
              <w:jc w:val="left"/>
              <w:rPr>
                <w:rFonts w:hint="default" w:ascii="宋体" w:hAnsi="宋体" w:eastAsia="宋体" w:cs="宋体"/>
                <w:color w:val="auto"/>
                <w:kern w:val="0"/>
                <w:sz w:val="21"/>
                <w:szCs w:val="21"/>
              </w:rPr>
            </w:pPr>
          </w:p>
        </w:tc>
        <w:tc>
          <w:tcPr>
            <w:tcW w:w="461" w:type="dxa"/>
            <w:vMerge w:val="continue"/>
            <w:tcBorders>
              <w:top w:val="nil"/>
              <w:left w:val="single" w:color="auto" w:sz="4" w:space="0"/>
              <w:bottom w:val="single" w:color="000000" w:sz="4" w:space="0"/>
              <w:right w:val="single" w:color="auto" w:sz="4" w:space="0"/>
              <w:tl2br w:val="nil"/>
              <w:tr2bl w:val="nil"/>
            </w:tcBorders>
            <w:noWrap w:val="0"/>
            <w:vAlign w:val="center"/>
          </w:tcPr>
          <w:p w14:paraId="61E6B07E">
            <w:pPr>
              <w:widowControl/>
              <w:spacing w:beforeLines="0" w:afterLines="0"/>
              <w:jc w:val="left"/>
              <w:rPr>
                <w:rFonts w:hint="default" w:ascii="宋体" w:hAnsi="宋体" w:eastAsia="宋体" w:cs="宋体"/>
                <w:color w:val="auto"/>
                <w:kern w:val="0"/>
                <w:sz w:val="21"/>
                <w:szCs w:val="21"/>
              </w:rPr>
            </w:pPr>
          </w:p>
        </w:tc>
      </w:tr>
      <w:tr w14:paraId="7CA65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7" w:type="dxa"/>
            <w:vMerge w:val="continue"/>
            <w:tcBorders>
              <w:top w:val="nil"/>
              <w:left w:val="single" w:color="auto" w:sz="4" w:space="0"/>
              <w:bottom w:val="nil"/>
              <w:right w:val="single" w:color="auto" w:sz="4" w:space="0"/>
              <w:tl2br w:val="nil"/>
              <w:tr2bl w:val="nil"/>
            </w:tcBorders>
            <w:noWrap w:val="0"/>
            <w:vAlign w:val="center"/>
          </w:tcPr>
          <w:p w14:paraId="2BD3BC67">
            <w:pPr>
              <w:widowControl/>
              <w:spacing w:beforeLines="0" w:afterLines="0"/>
              <w:jc w:val="left"/>
              <w:rPr>
                <w:rFonts w:hint="default" w:ascii="宋体" w:hAnsi="宋体" w:eastAsia="宋体" w:cs="宋体"/>
                <w:color w:val="auto"/>
                <w:kern w:val="0"/>
                <w:sz w:val="21"/>
                <w:szCs w:val="21"/>
              </w:rPr>
            </w:pPr>
          </w:p>
        </w:tc>
        <w:tc>
          <w:tcPr>
            <w:tcW w:w="855" w:type="dxa"/>
            <w:tcBorders>
              <w:top w:val="nil"/>
              <w:left w:val="nil"/>
              <w:bottom w:val="single" w:color="auto" w:sz="4" w:space="0"/>
              <w:right w:val="single" w:color="auto" w:sz="4" w:space="0"/>
              <w:tl2br w:val="nil"/>
              <w:tr2bl w:val="nil"/>
            </w:tcBorders>
            <w:noWrap w:val="0"/>
            <w:vAlign w:val="center"/>
          </w:tcPr>
          <w:p w14:paraId="1481611D">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雨水箅子</w:t>
            </w:r>
          </w:p>
        </w:tc>
        <w:tc>
          <w:tcPr>
            <w:tcW w:w="1530" w:type="dxa"/>
            <w:tcBorders>
              <w:top w:val="nil"/>
              <w:left w:val="nil"/>
              <w:bottom w:val="single" w:color="auto" w:sz="4" w:space="0"/>
              <w:right w:val="single" w:color="auto" w:sz="4" w:space="0"/>
              <w:tl2br w:val="nil"/>
              <w:tr2bl w:val="nil"/>
            </w:tcBorders>
            <w:noWrap w:val="0"/>
            <w:vAlign w:val="center"/>
          </w:tcPr>
          <w:p w14:paraId="60AEAE8F">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雨水下水道口用于遮盖和排水的专用设施</w:t>
            </w:r>
          </w:p>
        </w:tc>
        <w:tc>
          <w:tcPr>
            <w:tcW w:w="390" w:type="dxa"/>
            <w:vMerge w:val="continue"/>
            <w:tcBorders>
              <w:top w:val="nil"/>
              <w:left w:val="single" w:color="auto" w:sz="4" w:space="0"/>
              <w:bottom w:val="single" w:color="auto" w:sz="4" w:space="0"/>
              <w:right w:val="single" w:color="auto" w:sz="4" w:space="0"/>
              <w:tl2br w:val="nil"/>
              <w:tr2bl w:val="nil"/>
            </w:tcBorders>
            <w:noWrap w:val="0"/>
            <w:vAlign w:val="center"/>
          </w:tcPr>
          <w:p w14:paraId="4157BF7D">
            <w:pPr>
              <w:widowControl/>
              <w:spacing w:beforeLines="0" w:afterLines="0"/>
              <w:jc w:val="left"/>
              <w:rPr>
                <w:rFonts w:hint="default" w:ascii="宋体" w:hAnsi="宋体" w:eastAsia="宋体" w:cs="宋体"/>
                <w:color w:val="auto"/>
                <w:kern w:val="0"/>
                <w:sz w:val="21"/>
                <w:szCs w:val="21"/>
              </w:rPr>
            </w:pPr>
          </w:p>
        </w:tc>
        <w:tc>
          <w:tcPr>
            <w:tcW w:w="1274" w:type="dxa"/>
            <w:tcBorders>
              <w:top w:val="nil"/>
              <w:left w:val="nil"/>
              <w:bottom w:val="single" w:color="auto" w:sz="4" w:space="0"/>
              <w:right w:val="single" w:color="auto" w:sz="4" w:space="0"/>
              <w:tl2br w:val="nil"/>
              <w:tr2bl w:val="nil"/>
            </w:tcBorders>
            <w:noWrap w:val="0"/>
            <w:vAlign w:val="center"/>
          </w:tcPr>
          <w:p w14:paraId="06418A5F">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一、二类道路：井盖破损超过25平方厘米；三、四类道路：井盖破损超过50平方厘米</w:t>
            </w:r>
          </w:p>
        </w:tc>
        <w:tc>
          <w:tcPr>
            <w:tcW w:w="932" w:type="dxa"/>
            <w:tcBorders>
              <w:top w:val="nil"/>
              <w:left w:val="nil"/>
              <w:bottom w:val="single" w:color="auto" w:sz="4" w:space="0"/>
              <w:right w:val="single" w:color="auto" w:sz="4" w:space="0"/>
              <w:tl2br w:val="nil"/>
              <w:tr2bl w:val="nil"/>
            </w:tcBorders>
            <w:noWrap w:val="0"/>
            <w:vAlign w:val="center"/>
          </w:tcPr>
          <w:p w14:paraId="6A489FB2">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维护、更换或修复</w:t>
            </w:r>
          </w:p>
        </w:tc>
        <w:tc>
          <w:tcPr>
            <w:tcW w:w="550" w:type="dxa"/>
            <w:tcBorders>
              <w:top w:val="nil"/>
              <w:left w:val="nil"/>
              <w:bottom w:val="single" w:color="auto" w:sz="4" w:space="0"/>
              <w:right w:val="single" w:color="auto" w:sz="4" w:space="0"/>
              <w:tl2br w:val="nil"/>
              <w:tr2bl w:val="nil"/>
            </w:tcBorders>
            <w:noWrap w:val="0"/>
            <w:vAlign w:val="center"/>
          </w:tcPr>
          <w:p w14:paraId="76548F3F">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w:t>
            </w:r>
          </w:p>
        </w:tc>
        <w:tc>
          <w:tcPr>
            <w:tcW w:w="461" w:type="dxa"/>
            <w:tcBorders>
              <w:top w:val="nil"/>
              <w:left w:val="nil"/>
              <w:bottom w:val="single" w:color="auto" w:sz="4" w:space="0"/>
              <w:right w:val="single" w:color="auto" w:sz="4" w:space="0"/>
              <w:tl2br w:val="nil"/>
              <w:tr2bl w:val="nil"/>
            </w:tcBorders>
            <w:noWrap w:val="0"/>
            <w:vAlign w:val="center"/>
          </w:tcPr>
          <w:p w14:paraId="2D51C0E8">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4小时</w:t>
            </w:r>
          </w:p>
        </w:tc>
        <w:tc>
          <w:tcPr>
            <w:tcW w:w="461" w:type="dxa"/>
            <w:tcBorders>
              <w:top w:val="nil"/>
              <w:left w:val="nil"/>
              <w:bottom w:val="single" w:color="auto" w:sz="4" w:space="0"/>
              <w:right w:val="single" w:color="auto" w:sz="4" w:space="0"/>
              <w:tl2br w:val="nil"/>
              <w:tr2bl w:val="nil"/>
            </w:tcBorders>
            <w:noWrap w:val="0"/>
            <w:vAlign w:val="center"/>
          </w:tcPr>
          <w:p w14:paraId="545CDA62">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4小时</w:t>
            </w:r>
          </w:p>
        </w:tc>
        <w:tc>
          <w:tcPr>
            <w:tcW w:w="651" w:type="dxa"/>
            <w:tcBorders>
              <w:top w:val="nil"/>
              <w:left w:val="nil"/>
              <w:bottom w:val="single" w:color="auto" w:sz="4" w:space="0"/>
              <w:right w:val="single" w:color="auto" w:sz="4" w:space="0"/>
              <w:tl2br w:val="nil"/>
              <w:tr2bl w:val="nil"/>
            </w:tcBorders>
            <w:noWrap w:val="0"/>
            <w:vAlign w:val="center"/>
          </w:tcPr>
          <w:p w14:paraId="5D8D039E">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8小时</w:t>
            </w:r>
          </w:p>
        </w:tc>
        <w:tc>
          <w:tcPr>
            <w:tcW w:w="461" w:type="dxa"/>
            <w:tcBorders>
              <w:top w:val="nil"/>
              <w:left w:val="nil"/>
              <w:bottom w:val="single" w:color="auto" w:sz="4" w:space="0"/>
              <w:right w:val="single" w:color="auto" w:sz="4" w:space="0"/>
              <w:tl2br w:val="nil"/>
              <w:tr2bl w:val="nil"/>
            </w:tcBorders>
            <w:noWrap w:val="0"/>
            <w:vAlign w:val="center"/>
          </w:tcPr>
          <w:p w14:paraId="66725CE3">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8小时</w:t>
            </w:r>
          </w:p>
        </w:tc>
        <w:tc>
          <w:tcPr>
            <w:tcW w:w="461" w:type="dxa"/>
            <w:tcBorders>
              <w:top w:val="nil"/>
              <w:left w:val="nil"/>
              <w:bottom w:val="single" w:color="auto" w:sz="4" w:space="0"/>
              <w:right w:val="single" w:color="auto" w:sz="4" w:space="0"/>
              <w:tl2br w:val="nil"/>
              <w:tr2bl w:val="nil"/>
            </w:tcBorders>
            <w:noWrap w:val="0"/>
            <w:vAlign w:val="center"/>
          </w:tcPr>
          <w:p w14:paraId="306E9E16">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8小时</w:t>
            </w:r>
          </w:p>
        </w:tc>
      </w:tr>
      <w:tr w14:paraId="2DF86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67" w:type="dxa"/>
            <w:vMerge w:val="continue"/>
            <w:tcBorders>
              <w:top w:val="nil"/>
              <w:left w:val="single" w:color="auto" w:sz="4" w:space="0"/>
              <w:bottom w:val="nil"/>
              <w:right w:val="single" w:color="auto" w:sz="4" w:space="0"/>
              <w:tl2br w:val="nil"/>
              <w:tr2bl w:val="nil"/>
            </w:tcBorders>
            <w:noWrap w:val="0"/>
            <w:vAlign w:val="center"/>
          </w:tcPr>
          <w:p w14:paraId="300A0FB4">
            <w:pPr>
              <w:widowControl/>
              <w:spacing w:beforeLines="0" w:afterLines="0"/>
              <w:jc w:val="left"/>
              <w:rPr>
                <w:rFonts w:hint="default" w:ascii="宋体" w:hAnsi="宋体" w:eastAsia="宋体" w:cs="宋体"/>
                <w:color w:val="auto"/>
                <w:kern w:val="0"/>
                <w:sz w:val="21"/>
                <w:szCs w:val="21"/>
              </w:rPr>
            </w:pPr>
          </w:p>
        </w:tc>
        <w:tc>
          <w:tcPr>
            <w:tcW w:w="855" w:type="dxa"/>
            <w:tcBorders>
              <w:top w:val="nil"/>
              <w:left w:val="nil"/>
              <w:bottom w:val="single" w:color="auto" w:sz="4" w:space="0"/>
              <w:right w:val="single" w:color="auto" w:sz="4" w:space="0"/>
              <w:tl2br w:val="nil"/>
              <w:tr2bl w:val="nil"/>
            </w:tcBorders>
            <w:noWrap w:val="0"/>
            <w:vAlign w:val="center"/>
          </w:tcPr>
          <w:p w14:paraId="32536CFF">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无主井盖</w:t>
            </w:r>
            <w:r>
              <w:rPr>
                <w:rFonts w:hint="default" w:ascii="宋体" w:hAnsi="宋体" w:eastAsia="宋体" w:cs="宋体"/>
                <w:color w:val="auto"/>
                <w:kern w:val="0"/>
                <w:sz w:val="21"/>
                <w:szCs w:val="21"/>
              </w:rPr>
              <w:br w:type="textWrapping"/>
            </w:r>
            <w:r>
              <w:rPr>
                <w:rFonts w:hint="default" w:ascii="宋体" w:hAnsi="宋体" w:eastAsia="宋体" w:cs="宋体"/>
                <w:color w:val="auto"/>
                <w:kern w:val="0"/>
                <w:sz w:val="21"/>
                <w:szCs w:val="21"/>
              </w:rPr>
              <w:t>(其它井盖)</w:t>
            </w:r>
          </w:p>
        </w:tc>
        <w:tc>
          <w:tcPr>
            <w:tcW w:w="1530" w:type="dxa"/>
            <w:tcBorders>
              <w:top w:val="nil"/>
              <w:left w:val="nil"/>
              <w:bottom w:val="single" w:color="auto" w:sz="4" w:space="0"/>
              <w:right w:val="single" w:color="auto" w:sz="4" w:space="0"/>
              <w:tl2br w:val="nil"/>
              <w:tr2bl w:val="nil"/>
            </w:tcBorders>
            <w:noWrap w:val="0"/>
            <w:vAlign w:val="center"/>
          </w:tcPr>
          <w:p w14:paraId="039769CE">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类型或权属不明确的井盖、含超出红线外权属不明的物业井盖</w:t>
            </w:r>
          </w:p>
        </w:tc>
        <w:tc>
          <w:tcPr>
            <w:tcW w:w="390" w:type="dxa"/>
            <w:vMerge w:val="continue"/>
            <w:tcBorders>
              <w:top w:val="nil"/>
              <w:left w:val="single" w:color="auto" w:sz="4" w:space="0"/>
              <w:bottom w:val="single" w:color="auto" w:sz="4" w:space="0"/>
              <w:right w:val="single" w:color="auto" w:sz="4" w:space="0"/>
              <w:tl2br w:val="nil"/>
              <w:tr2bl w:val="nil"/>
            </w:tcBorders>
            <w:noWrap w:val="0"/>
            <w:vAlign w:val="center"/>
          </w:tcPr>
          <w:p w14:paraId="09E8400C">
            <w:pPr>
              <w:widowControl/>
              <w:spacing w:beforeLines="0" w:afterLines="0"/>
              <w:jc w:val="left"/>
              <w:rPr>
                <w:rFonts w:hint="default" w:ascii="宋体" w:hAnsi="宋体" w:eastAsia="宋体" w:cs="宋体"/>
                <w:color w:val="auto"/>
                <w:kern w:val="0"/>
                <w:sz w:val="21"/>
                <w:szCs w:val="21"/>
              </w:rPr>
            </w:pPr>
          </w:p>
        </w:tc>
        <w:tc>
          <w:tcPr>
            <w:tcW w:w="1274" w:type="dxa"/>
            <w:tcBorders>
              <w:top w:val="nil"/>
              <w:left w:val="nil"/>
              <w:bottom w:val="single" w:color="auto" w:sz="4" w:space="0"/>
              <w:right w:val="single" w:color="auto" w:sz="4" w:space="0"/>
              <w:tl2br w:val="nil"/>
              <w:tr2bl w:val="nil"/>
            </w:tcBorders>
            <w:noWrap w:val="0"/>
            <w:vAlign w:val="center"/>
          </w:tcPr>
          <w:p w14:paraId="703C4878">
            <w:pPr>
              <w:widowControl/>
              <w:spacing w:beforeLines="0" w:afterLines="0"/>
              <w:jc w:val="left"/>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有安全隐患的问题维护后超24小时未处置</w:t>
            </w:r>
          </w:p>
        </w:tc>
        <w:tc>
          <w:tcPr>
            <w:tcW w:w="932" w:type="dxa"/>
            <w:tcBorders>
              <w:top w:val="nil"/>
              <w:left w:val="nil"/>
              <w:bottom w:val="single" w:color="auto" w:sz="4" w:space="0"/>
              <w:right w:val="single" w:color="auto" w:sz="4" w:space="0"/>
              <w:tl2br w:val="nil"/>
              <w:tr2bl w:val="nil"/>
            </w:tcBorders>
            <w:noWrap w:val="0"/>
            <w:vAlign w:val="center"/>
          </w:tcPr>
          <w:p w14:paraId="35006B46">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修复</w:t>
            </w:r>
          </w:p>
        </w:tc>
        <w:tc>
          <w:tcPr>
            <w:tcW w:w="550" w:type="dxa"/>
            <w:tcBorders>
              <w:top w:val="nil"/>
              <w:left w:val="nil"/>
              <w:bottom w:val="single" w:color="auto" w:sz="4" w:space="0"/>
              <w:right w:val="single" w:color="auto" w:sz="4" w:space="0"/>
              <w:tl2br w:val="nil"/>
              <w:tr2bl w:val="nil"/>
            </w:tcBorders>
            <w:noWrap w:val="0"/>
            <w:vAlign w:val="center"/>
          </w:tcPr>
          <w:p w14:paraId="7E9F1315">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　</w:t>
            </w:r>
          </w:p>
        </w:tc>
        <w:tc>
          <w:tcPr>
            <w:tcW w:w="461" w:type="dxa"/>
            <w:tcBorders>
              <w:top w:val="nil"/>
              <w:left w:val="nil"/>
              <w:bottom w:val="single" w:color="auto" w:sz="4" w:space="0"/>
              <w:right w:val="single" w:color="auto" w:sz="4" w:space="0"/>
              <w:tl2br w:val="nil"/>
              <w:tr2bl w:val="nil"/>
            </w:tcBorders>
            <w:noWrap w:val="0"/>
            <w:vAlign w:val="center"/>
          </w:tcPr>
          <w:p w14:paraId="50E2D2DA">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1×24小时</w:t>
            </w:r>
          </w:p>
        </w:tc>
        <w:tc>
          <w:tcPr>
            <w:tcW w:w="461" w:type="dxa"/>
            <w:tcBorders>
              <w:top w:val="nil"/>
              <w:left w:val="nil"/>
              <w:bottom w:val="single" w:color="auto" w:sz="4" w:space="0"/>
              <w:right w:val="single" w:color="auto" w:sz="4" w:space="0"/>
              <w:tl2br w:val="nil"/>
              <w:tr2bl w:val="nil"/>
            </w:tcBorders>
            <w:noWrap w:val="0"/>
            <w:vAlign w:val="center"/>
          </w:tcPr>
          <w:p w14:paraId="1CE77720">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1×24小时</w:t>
            </w:r>
          </w:p>
        </w:tc>
        <w:tc>
          <w:tcPr>
            <w:tcW w:w="651" w:type="dxa"/>
            <w:tcBorders>
              <w:top w:val="nil"/>
              <w:left w:val="nil"/>
              <w:bottom w:val="single" w:color="auto" w:sz="4" w:space="0"/>
              <w:right w:val="single" w:color="auto" w:sz="4" w:space="0"/>
              <w:tl2br w:val="nil"/>
              <w:tr2bl w:val="nil"/>
            </w:tcBorders>
            <w:noWrap w:val="0"/>
            <w:vAlign w:val="center"/>
          </w:tcPr>
          <w:p w14:paraId="0FA5E433">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2×24小时</w:t>
            </w:r>
          </w:p>
        </w:tc>
        <w:tc>
          <w:tcPr>
            <w:tcW w:w="461" w:type="dxa"/>
            <w:tcBorders>
              <w:top w:val="nil"/>
              <w:left w:val="nil"/>
              <w:bottom w:val="single" w:color="auto" w:sz="4" w:space="0"/>
              <w:right w:val="single" w:color="auto" w:sz="4" w:space="0"/>
              <w:tl2br w:val="nil"/>
              <w:tr2bl w:val="nil"/>
            </w:tcBorders>
            <w:noWrap w:val="0"/>
            <w:vAlign w:val="center"/>
          </w:tcPr>
          <w:p w14:paraId="655B6B7F">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2×24小时</w:t>
            </w:r>
          </w:p>
        </w:tc>
        <w:tc>
          <w:tcPr>
            <w:tcW w:w="461" w:type="dxa"/>
            <w:tcBorders>
              <w:top w:val="nil"/>
              <w:left w:val="nil"/>
              <w:bottom w:val="single" w:color="auto" w:sz="4" w:space="0"/>
              <w:right w:val="single" w:color="auto" w:sz="4" w:space="0"/>
              <w:tl2br w:val="nil"/>
              <w:tr2bl w:val="nil"/>
            </w:tcBorders>
            <w:noWrap w:val="0"/>
            <w:vAlign w:val="center"/>
          </w:tcPr>
          <w:p w14:paraId="2201C285">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2×24小时</w:t>
            </w:r>
          </w:p>
        </w:tc>
      </w:tr>
      <w:tr w14:paraId="6379F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67" w:type="dxa"/>
            <w:vMerge w:val="restart"/>
            <w:tcBorders>
              <w:top w:val="nil"/>
              <w:left w:val="single" w:color="auto" w:sz="4" w:space="0"/>
              <w:bottom w:val="single" w:color="000000" w:sz="4" w:space="0"/>
              <w:right w:val="single" w:color="auto" w:sz="4" w:space="0"/>
              <w:tl2br w:val="nil"/>
              <w:tr2bl w:val="nil"/>
            </w:tcBorders>
            <w:noWrap w:val="0"/>
            <w:vAlign w:val="center"/>
          </w:tcPr>
          <w:p w14:paraId="7A0A693D">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市容环境</w:t>
            </w:r>
          </w:p>
        </w:tc>
        <w:tc>
          <w:tcPr>
            <w:tcW w:w="855" w:type="dxa"/>
            <w:vMerge w:val="restart"/>
            <w:tcBorders>
              <w:top w:val="nil"/>
              <w:left w:val="single" w:color="auto" w:sz="4" w:space="0"/>
              <w:bottom w:val="single" w:color="auto" w:sz="4" w:space="0"/>
              <w:right w:val="single" w:color="auto" w:sz="4" w:space="0"/>
              <w:tl2br w:val="nil"/>
              <w:tr2bl w:val="nil"/>
            </w:tcBorders>
            <w:noWrap w:val="0"/>
            <w:vAlign w:val="center"/>
          </w:tcPr>
          <w:p w14:paraId="4ADBBD6D">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污水口监测站</w:t>
            </w:r>
          </w:p>
        </w:tc>
        <w:tc>
          <w:tcPr>
            <w:tcW w:w="1530" w:type="dxa"/>
            <w:vMerge w:val="restart"/>
            <w:tcBorders>
              <w:top w:val="nil"/>
              <w:left w:val="single" w:color="auto" w:sz="4" w:space="0"/>
              <w:bottom w:val="single" w:color="000000" w:sz="4" w:space="0"/>
              <w:right w:val="single" w:color="auto" w:sz="4" w:space="0"/>
              <w:tl2br w:val="nil"/>
              <w:tr2bl w:val="nil"/>
            </w:tcBorders>
            <w:noWrap w:val="0"/>
            <w:vAlign w:val="center"/>
          </w:tcPr>
          <w:p w14:paraId="23691C4A">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进行污水排放监测的站点</w:t>
            </w:r>
          </w:p>
        </w:tc>
        <w:tc>
          <w:tcPr>
            <w:tcW w:w="1664"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6F876A8">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破损</w:t>
            </w:r>
          </w:p>
        </w:tc>
        <w:tc>
          <w:tcPr>
            <w:tcW w:w="932" w:type="dxa"/>
            <w:vMerge w:val="restart"/>
            <w:tcBorders>
              <w:top w:val="nil"/>
              <w:left w:val="single" w:color="auto" w:sz="4" w:space="0"/>
              <w:bottom w:val="single" w:color="auto" w:sz="4" w:space="0"/>
              <w:right w:val="single" w:color="auto" w:sz="4" w:space="0"/>
              <w:tl2br w:val="nil"/>
              <w:tr2bl w:val="nil"/>
            </w:tcBorders>
            <w:noWrap w:val="0"/>
            <w:vAlign w:val="center"/>
          </w:tcPr>
          <w:p w14:paraId="48C54D29">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修复</w:t>
            </w:r>
          </w:p>
        </w:tc>
        <w:tc>
          <w:tcPr>
            <w:tcW w:w="550" w:type="dxa"/>
            <w:vMerge w:val="restart"/>
            <w:tcBorders>
              <w:top w:val="nil"/>
              <w:left w:val="single" w:color="auto" w:sz="4" w:space="0"/>
              <w:bottom w:val="single" w:color="auto" w:sz="4" w:space="0"/>
              <w:right w:val="single" w:color="auto" w:sz="4" w:space="0"/>
              <w:tl2br w:val="nil"/>
              <w:tr2bl w:val="nil"/>
            </w:tcBorders>
            <w:noWrap w:val="0"/>
            <w:vAlign w:val="bottom"/>
          </w:tcPr>
          <w:p w14:paraId="087247FC">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　</w:t>
            </w:r>
          </w:p>
        </w:tc>
        <w:tc>
          <w:tcPr>
            <w:tcW w:w="461" w:type="dxa"/>
            <w:vMerge w:val="restart"/>
            <w:tcBorders>
              <w:top w:val="nil"/>
              <w:left w:val="single" w:color="auto" w:sz="4" w:space="0"/>
              <w:bottom w:val="single" w:color="auto" w:sz="4" w:space="0"/>
              <w:right w:val="single" w:color="auto" w:sz="4" w:space="0"/>
              <w:tl2br w:val="nil"/>
              <w:tr2bl w:val="nil"/>
            </w:tcBorders>
            <w:noWrap w:val="0"/>
            <w:vAlign w:val="center"/>
          </w:tcPr>
          <w:p w14:paraId="65A7B5C9">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5×24小时</w:t>
            </w:r>
          </w:p>
        </w:tc>
        <w:tc>
          <w:tcPr>
            <w:tcW w:w="461" w:type="dxa"/>
            <w:vMerge w:val="restart"/>
            <w:tcBorders>
              <w:top w:val="nil"/>
              <w:left w:val="single" w:color="auto" w:sz="4" w:space="0"/>
              <w:bottom w:val="single" w:color="auto" w:sz="4" w:space="0"/>
              <w:right w:val="single" w:color="auto" w:sz="4" w:space="0"/>
              <w:tl2br w:val="nil"/>
              <w:tr2bl w:val="nil"/>
            </w:tcBorders>
            <w:noWrap w:val="0"/>
            <w:vAlign w:val="center"/>
          </w:tcPr>
          <w:p w14:paraId="157B7A9E">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5×24小时</w:t>
            </w:r>
          </w:p>
        </w:tc>
        <w:tc>
          <w:tcPr>
            <w:tcW w:w="651" w:type="dxa"/>
            <w:vMerge w:val="restart"/>
            <w:tcBorders>
              <w:top w:val="nil"/>
              <w:left w:val="single" w:color="auto" w:sz="4" w:space="0"/>
              <w:bottom w:val="single" w:color="auto" w:sz="4" w:space="0"/>
              <w:right w:val="single" w:color="auto" w:sz="4" w:space="0"/>
              <w:tl2br w:val="nil"/>
              <w:tr2bl w:val="nil"/>
            </w:tcBorders>
            <w:noWrap w:val="0"/>
            <w:vAlign w:val="center"/>
          </w:tcPr>
          <w:p w14:paraId="7F3CAA30">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10×24小时</w:t>
            </w:r>
          </w:p>
        </w:tc>
        <w:tc>
          <w:tcPr>
            <w:tcW w:w="461" w:type="dxa"/>
            <w:vMerge w:val="restart"/>
            <w:tcBorders>
              <w:top w:val="nil"/>
              <w:left w:val="single" w:color="auto" w:sz="4" w:space="0"/>
              <w:bottom w:val="single" w:color="auto" w:sz="4" w:space="0"/>
              <w:right w:val="single" w:color="auto" w:sz="4" w:space="0"/>
              <w:tl2br w:val="nil"/>
              <w:tr2bl w:val="nil"/>
            </w:tcBorders>
            <w:noWrap w:val="0"/>
            <w:vAlign w:val="center"/>
          </w:tcPr>
          <w:p w14:paraId="08A08667">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10×24小时</w:t>
            </w:r>
          </w:p>
        </w:tc>
        <w:tc>
          <w:tcPr>
            <w:tcW w:w="461" w:type="dxa"/>
            <w:vMerge w:val="restart"/>
            <w:tcBorders>
              <w:top w:val="nil"/>
              <w:left w:val="single" w:color="auto" w:sz="4" w:space="0"/>
              <w:bottom w:val="single" w:color="auto" w:sz="4" w:space="0"/>
              <w:right w:val="single" w:color="auto" w:sz="4" w:space="0"/>
              <w:tl2br w:val="nil"/>
              <w:tr2bl w:val="nil"/>
            </w:tcBorders>
            <w:noWrap w:val="0"/>
            <w:vAlign w:val="center"/>
          </w:tcPr>
          <w:p w14:paraId="5F8A5358">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10×24小时</w:t>
            </w:r>
          </w:p>
        </w:tc>
      </w:tr>
      <w:tr w14:paraId="7A5D9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67" w:type="dxa"/>
            <w:vMerge w:val="continue"/>
            <w:tcBorders>
              <w:top w:val="nil"/>
              <w:left w:val="single" w:color="auto" w:sz="4" w:space="0"/>
              <w:bottom w:val="single" w:color="000000" w:sz="4" w:space="0"/>
              <w:right w:val="single" w:color="auto" w:sz="4" w:space="0"/>
              <w:tl2br w:val="nil"/>
              <w:tr2bl w:val="nil"/>
            </w:tcBorders>
            <w:noWrap w:val="0"/>
            <w:vAlign w:val="center"/>
          </w:tcPr>
          <w:p w14:paraId="120063F5">
            <w:pPr>
              <w:widowControl/>
              <w:spacing w:beforeLines="0" w:afterLines="0"/>
              <w:jc w:val="left"/>
              <w:rPr>
                <w:rFonts w:hint="default" w:ascii="宋体" w:hAnsi="宋体" w:eastAsia="宋体" w:cs="宋体"/>
                <w:color w:val="auto"/>
                <w:kern w:val="0"/>
                <w:sz w:val="21"/>
                <w:szCs w:val="21"/>
              </w:rPr>
            </w:pPr>
          </w:p>
        </w:tc>
        <w:tc>
          <w:tcPr>
            <w:tcW w:w="855" w:type="dxa"/>
            <w:vMerge w:val="continue"/>
            <w:tcBorders>
              <w:top w:val="nil"/>
              <w:left w:val="single" w:color="auto" w:sz="4" w:space="0"/>
              <w:bottom w:val="single" w:color="auto" w:sz="4" w:space="0"/>
              <w:right w:val="single" w:color="auto" w:sz="4" w:space="0"/>
              <w:tl2br w:val="nil"/>
              <w:tr2bl w:val="nil"/>
            </w:tcBorders>
            <w:noWrap w:val="0"/>
            <w:vAlign w:val="center"/>
          </w:tcPr>
          <w:p w14:paraId="205DE6B8">
            <w:pPr>
              <w:widowControl/>
              <w:spacing w:beforeLines="0" w:afterLines="0"/>
              <w:jc w:val="left"/>
              <w:rPr>
                <w:rFonts w:hint="default" w:ascii="宋体" w:hAnsi="宋体" w:eastAsia="宋体" w:cs="宋体"/>
                <w:color w:val="auto"/>
                <w:kern w:val="0"/>
                <w:sz w:val="21"/>
                <w:szCs w:val="21"/>
              </w:rPr>
            </w:pPr>
          </w:p>
        </w:tc>
        <w:tc>
          <w:tcPr>
            <w:tcW w:w="1530" w:type="dxa"/>
            <w:vMerge w:val="continue"/>
            <w:tcBorders>
              <w:top w:val="nil"/>
              <w:left w:val="single" w:color="auto" w:sz="4" w:space="0"/>
              <w:bottom w:val="single" w:color="000000" w:sz="4" w:space="0"/>
              <w:right w:val="single" w:color="auto" w:sz="4" w:space="0"/>
              <w:tl2br w:val="nil"/>
              <w:tr2bl w:val="nil"/>
            </w:tcBorders>
            <w:noWrap w:val="0"/>
            <w:vAlign w:val="center"/>
          </w:tcPr>
          <w:p w14:paraId="6432BA28">
            <w:pPr>
              <w:widowControl/>
              <w:spacing w:beforeLines="0" w:afterLines="0"/>
              <w:jc w:val="left"/>
              <w:rPr>
                <w:rFonts w:hint="default" w:ascii="宋体" w:hAnsi="宋体" w:eastAsia="宋体" w:cs="宋体"/>
                <w:color w:val="auto"/>
                <w:kern w:val="0"/>
                <w:sz w:val="21"/>
                <w:szCs w:val="21"/>
              </w:rPr>
            </w:pPr>
          </w:p>
        </w:tc>
        <w:tc>
          <w:tcPr>
            <w:tcW w:w="1664"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11650FE">
            <w:pPr>
              <w:widowControl/>
              <w:spacing w:beforeLines="0" w:afterLines="0"/>
              <w:jc w:val="left"/>
              <w:rPr>
                <w:rFonts w:hint="default" w:ascii="宋体" w:hAnsi="宋体" w:eastAsia="宋体" w:cs="宋体"/>
                <w:color w:val="auto"/>
                <w:kern w:val="0"/>
                <w:sz w:val="21"/>
                <w:szCs w:val="21"/>
              </w:rPr>
            </w:pPr>
          </w:p>
        </w:tc>
        <w:tc>
          <w:tcPr>
            <w:tcW w:w="932" w:type="dxa"/>
            <w:vMerge w:val="continue"/>
            <w:tcBorders>
              <w:top w:val="nil"/>
              <w:left w:val="single" w:color="auto" w:sz="4" w:space="0"/>
              <w:bottom w:val="single" w:color="auto" w:sz="4" w:space="0"/>
              <w:right w:val="single" w:color="auto" w:sz="4" w:space="0"/>
              <w:tl2br w:val="nil"/>
              <w:tr2bl w:val="nil"/>
            </w:tcBorders>
            <w:noWrap w:val="0"/>
            <w:vAlign w:val="center"/>
          </w:tcPr>
          <w:p w14:paraId="593D6921">
            <w:pPr>
              <w:widowControl/>
              <w:spacing w:beforeLines="0" w:afterLines="0"/>
              <w:jc w:val="left"/>
              <w:rPr>
                <w:rFonts w:hint="default" w:ascii="宋体" w:hAnsi="宋体" w:eastAsia="宋体" w:cs="宋体"/>
                <w:color w:val="auto"/>
                <w:kern w:val="0"/>
                <w:sz w:val="21"/>
                <w:szCs w:val="21"/>
              </w:rPr>
            </w:pPr>
          </w:p>
        </w:tc>
        <w:tc>
          <w:tcPr>
            <w:tcW w:w="550" w:type="dxa"/>
            <w:vMerge w:val="continue"/>
            <w:tcBorders>
              <w:top w:val="nil"/>
              <w:left w:val="single" w:color="auto" w:sz="4" w:space="0"/>
              <w:bottom w:val="single" w:color="auto" w:sz="4" w:space="0"/>
              <w:right w:val="single" w:color="auto" w:sz="4" w:space="0"/>
              <w:tl2br w:val="nil"/>
              <w:tr2bl w:val="nil"/>
            </w:tcBorders>
            <w:noWrap w:val="0"/>
            <w:vAlign w:val="center"/>
          </w:tcPr>
          <w:p w14:paraId="2DE0D72A">
            <w:pPr>
              <w:widowControl/>
              <w:spacing w:beforeLines="0" w:afterLines="0"/>
              <w:jc w:val="left"/>
              <w:rPr>
                <w:rFonts w:hint="default" w:ascii="宋体" w:hAnsi="宋体" w:eastAsia="宋体" w:cs="宋体"/>
                <w:color w:val="auto"/>
                <w:kern w:val="0"/>
                <w:sz w:val="21"/>
                <w:szCs w:val="21"/>
              </w:rPr>
            </w:pPr>
          </w:p>
        </w:tc>
        <w:tc>
          <w:tcPr>
            <w:tcW w:w="461" w:type="dxa"/>
            <w:vMerge w:val="continue"/>
            <w:tcBorders>
              <w:top w:val="nil"/>
              <w:left w:val="single" w:color="auto" w:sz="4" w:space="0"/>
              <w:bottom w:val="single" w:color="auto" w:sz="4" w:space="0"/>
              <w:right w:val="single" w:color="auto" w:sz="4" w:space="0"/>
              <w:tl2br w:val="nil"/>
              <w:tr2bl w:val="nil"/>
            </w:tcBorders>
            <w:noWrap w:val="0"/>
            <w:vAlign w:val="center"/>
          </w:tcPr>
          <w:p w14:paraId="0497EA60">
            <w:pPr>
              <w:widowControl/>
              <w:spacing w:beforeLines="0" w:afterLines="0"/>
              <w:jc w:val="left"/>
              <w:rPr>
                <w:rFonts w:hint="default" w:ascii="宋体" w:hAnsi="宋体" w:eastAsia="宋体" w:cs="宋体"/>
                <w:color w:val="auto"/>
                <w:kern w:val="0"/>
                <w:sz w:val="21"/>
                <w:szCs w:val="21"/>
              </w:rPr>
            </w:pPr>
          </w:p>
        </w:tc>
        <w:tc>
          <w:tcPr>
            <w:tcW w:w="461" w:type="dxa"/>
            <w:vMerge w:val="continue"/>
            <w:tcBorders>
              <w:top w:val="nil"/>
              <w:left w:val="single" w:color="auto" w:sz="4" w:space="0"/>
              <w:bottom w:val="single" w:color="auto" w:sz="4" w:space="0"/>
              <w:right w:val="single" w:color="auto" w:sz="4" w:space="0"/>
              <w:tl2br w:val="nil"/>
              <w:tr2bl w:val="nil"/>
            </w:tcBorders>
            <w:noWrap w:val="0"/>
            <w:vAlign w:val="center"/>
          </w:tcPr>
          <w:p w14:paraId="11AEB921">
            <w:pPr>
              <w:widowControl/>
              <w:spacing w:beforeLines="0" w:afterLines="0"/>
              <w:jc w:val="left"/>
              <w:rPr>
                <w:rFonts w:hint="default" w:ascii="宋体" w:hAnsi="宋体" w:eastAsia="宋体" w:cs="宋体"/>
                <w:color w:val="auto"/>
                <w:kern w:val="0"/>
                <w:sz w:val="21"/>
                <w:szCs w:val="21"/>
              </w:rPr>
            </w:pPr>
          </w:p>
        </w:tc>
        <w:tc>
          <w:tcPr>
            <w:tcW w:w="651" w:type="dxa"/>
            <w:vMerge w:val="continue"/>
            <w:tcBorders>
              <w:top w:val="nil"/>
              <w:left w:val="single" w:color="auto" w:sz="4" w:space="0"/>
              <w:bottom w:val="single" w:color="auto" w:sz="4" w:space="0"/>
              <w:right w:val="single" w:color="auto" w:sz="4" w:space="0"/>
              <w:tl2br w:val="nil"/>
              <w:tr2bl w:val="nil"/>
            </w:tcBorders>
            <w:noWrap w:val="0"/>
            <w:vAlign w:val="center"/>
          </w:tcPr>
          <w:p w14:paraId="37CC913C">
            <w:pPr>
              <w:widowControl/>
              <w:spacing w:beforeLines="0" w:afterLines="0"/>
              <w:jc w:val="left"/>
              <w:rPr>
                <w:rFonts w:hint="default" w:ascii="宋体" w:hAnsi="宋体" w:eastAsia="宋体" w:cs="宋体"/>
                <w:color w:val="auto"/>
                <w:kern w:val="0"/>
                <w:sz w:val="21"/>
                <w:szCs w:val="21"/>
              </w:rPr>
            </w:pPr>
          </w:p>
        </w:tc>
        <w:tc>
          <w:tcPr>
            <w:tcW w:w="461" w:type="dxa"/>
            <w:vMerge w:val="continue"/>
            <w:tcBorders>
              <w:top w:val="nil"/>
              <w:left w:val="single" w:color="auto" w:sz="4" w:space="0"/>
              <w:bottom w:val="single" w:color="auto" w:sz="4" w:space="0"/>
              <w:right w:val="single" w:color="auto" w:sz="4" w:space="0"/>
              <w:tl2br w:val="nil"/>
              <w:tr2bl w:val="nil"/>
            </w:tcBorders>
            <w:noWrap w:val="0"/>
            <w:vAlign w:val="center"/>
          </w:tcPr>
          <w:p w14:paraId="6D0FB49B">
            <w:pPr>
              <w:widowControl/>
              <w:spacing w:beforeLines="0" w:afterLines="0"/>
              <w:jc w:val="left"/>
              <w:rPr>
                <w:rFonts w:hint="default" w:ascii="宋体" w:hAnsi="宋体" w:eastAsia="宋体" w:cs="宋体"/>
                <w:color w:val="auto"/>
                <w:kern w:val="0"/>
                <w:sz w:val="21"/>
                <w:szCs w:val="21"/>
              </w:rPr>
            </w:pPr>
          </w:p>
        </w:tc>
        <w:tc>
          <w:tcPr>
            <w:tcW w:w="461" w:type="dxa"/>
            <w:vMerge w:val="continue"/>
            <w:tcBorders>
              <w:top w:val="nil"/>
              <w:left w:val="single" w:color="auto" w:sz="4" w:space="0"/>
              <w:bottom w:val="single" w:color="auto" w:sz="4" w:space="0"/>
              <w:right w:val="single" w:color="auto" w:sz="4" w:space="0"/>
              <w:tl2br w:val="nil"/>
              <w:tr2bl w:val="nil"/>
            </w:tcBorders>
            <w:noWrap w:val="0"/>
            <w:vAlign w:val="center"/>
          </w:tcPr>
          <w:p w14:paraId="60E9069D">
            <w:pPr>
              <w:widowControl/>
              <w:spacing w:beforeLines="0" w:afterLines="0"/>
              <w:jc w:val="left"/>
              <w:rPr>
                <w:rFonts w:hint="default" w:ascii="宋体" w:hAnsi="宋体" w:eastAsia="宋体" w:cs="宋体"/>
                <w:color w:val="auto"/>
                <w:kern w:val="0"/>
                <w:sz w:val="21"/>
                <w:szCs w:val="21"/>
              </w:rPr>
            </w:pPr>
          </w:p>
        </w:tc>
      </w:tr>
      <w:tr w14:paraId="79566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7" w:type="dxa"/>
            <w:vMerge w:val="continue"/>
            <w:tcBorders>
              <w:top w:val="nil"/>
              <w:left w:val="single" w:color="auto" w:sz="4" w:space="0"/>
              <w:bottom w:val="single" w:color="000000" w:sz="4" w:space="0"/>
              <w:right w:val="single" w:color="auto" w:sz="4" w:space="0"/>
              <w:tl2br w:val="nil"/>
              <w:tr2bl w:val="nil"/>
            </w:tcBorders>
            <w:noWrap w:val="0"/>
            <w:vAlign w:val="center"/>
          </w:tcPr>
          <w:p w14:paraId="73135F0F">
            <w:pPr>
              <w:widowControl/>
              <w:spacing w:beforeLines="0" w:afterLines="0"/>
              <w:jc w:val="left"/>
              <w:rPr>
                <w:rFonts w:hint="default" w:ascii="宋体" w:hAnsi="宋体" w:eastAsia="宋体" w:cs="宋体"/>
                <w:color w:val="auto"/>
                <w:kern w:val="0"/>
                <w:sz w:val="21"/>
                <w:szCs w:val="21"/>
              </w:rPr>
            </w:pPr>
          </w:p>
        </w:tc>
        <w:tc>
          <w:tcPr>
            <w:tcW w:w="855" w:type="dxa"/>
            <w:tcBorders>
              <w:top w:val="nil"/>
              <w:left w:val="nil"/>
              <w:bottom w:val="single" w:color="auto" w:sz="4" w:space="0"/>
              <w:right w:val="single" w:color="auto" w:sz="4" w:space="0"/>
              <w:tl2br w:val="nil"/>
              <w:tr2bl w:val="nil"/>
            </w:tcBorders>
            <w:noWrap w:val="0"/>
            <w:vAlign w:val="center"/>
          </w:tcPr>
          <w:p w14:paraId="493579C8">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乱堆物堆料</w:t>
            </w:r>
          </w:p>
        </w:tc>
        <w:tc>
          <w:tcPr>
            <w:tcW w:w="1530" w:type="dxa"/>
            <w:tcBorders>
              <w:top w:val="nil"/>
              <w:left w:val="nil"/>
              <w:bottom w:val="single" w:color="auto" w:sz="4" w:space="0"/>
              <w:right w:val="single" w:color="auto" w:sz="4" w:space="0"/>
              <w:tl2br w:val="nil"/>
              <w:tr2bl w:val="nil"/>
            </w:tcBorders>
            <w:noWrap w:val="0"/>
            <w:vAlign w:val="center"/>
          </w:tcPr>
          <w:p w14:paraId="0A771200">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乱堆物堆料</w:t>
            </w:r>
          </w:p>
        </w:tc>
        <w:tc>
          <w:tcPr>
            <w:tcW w:w="1664" w:type="dxa"/>
            <w:gridSpan w:val="2"/>
            <w:tcBorders>
              <w:top w:val="single" w:color="auto" w:sz="4" w:space="0"/>
              <w:left w:val="nil"/>
              <w:bottom w:val="single" w:color="auto" w:sz="4" w:space="0"/>
              <w:right w:val="single" w:color="000000" w:sz="4" w:space="0"/>
              <w:tl2br w:val="nil"/>
              <w:tr2bl w:val="nil"/>
            </w:tcBorders>
            <w:noWrap w:val="0"/>
            <w:vAlign w:val="center"/>
          </w:tcPr>
          <w:p w14:paraId="030EDD99">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未经许可在道路或公共场所堆物</w:t>
            </w:r>
          </w:p>
        </w:tc>
        <w:tc>
          <w:tcPr>
            <w:tcW w:w="932" w:type="dxa"/>
            <w:tcBorders>
              <w:top w:val="nil"/>
              <w:left w:val="nil"/>
              <w:bottom w:val="single" w:color="auto" w:sz="4" w:space="0"/>
              <w:right w:val="single" w:color="auto" w:sz="4" w:space="0"/>
              <w:tl2br w:val="nil"/>
              <w:tr2bl w:val="nil"/>
            </w:tcBorders>
            <w:noWrap w:val="0"/>
            <w:vAlign w:val="center"/>
          </w:tcPr>
          <w:p w14:paraId="5A8DE614">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清除或查处</w:t>
            </w:r>
          </w:p>
        </w:tc>
        <w:tc>
          <w:tcPr>
            <w:tcW w:w="550" w:type="dxa"/>
            <w:tcBorders>
              <w:top w:val="nil"/>
              <w:left w:val="nil"/>
              <w:bottom w:val="single" w:color="auto" w:sz="4" w:space="0"/>
              <w:right w:val="single" w:color="auto" w:sz="4" w:space="0"/>
              <w:tl2br w:val="nil"/>
              <w:tr2bl w:val="nil"/>
            </w:tcBorders>
            <w:noWrap w:val="0"/>
            <w:vAlign w:val="center"/>
          </w:tcPr>
          <w:p w14:paraId="077D9C86">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〇</w:t>
            </w:r>
          </w:p>
        </w:tc>
        <w:tc>
          <w:tcPr>
            <w:tcW w:w="461" w:type="dxa"/>
            <w:tcBorders>
              <w:top w:val="nil"/>
              <w:left w:val="nil"/>
              <w:bottom w:val="single" w:color="auto" w:sz="4" w:space="0"/>
              <w:right w:val="single" w:color="auto" w:sz="4" w:space="0"/>
              <w:tl2br w:val="nil"/>
              <w:tr2bl w:val="nil"/>
            </w:tcBorders>
            <w:noWrap w:val="0"/>
            <w:vAlign w:val="center"/>
          </w:tcPr>
          <w:p w14:paraId="002B107C">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4小时</w:t>
            </w:r>
          </w:p>
        </w:tc>
        <w:tc>
          <w:tcPr>
            <w:tcW w:w="461" w:type="dxa"/>
            <w:tcBorders>
              <w:top w:val="nil"/>
              <w:left w:val="nil"/>
              <w:bottom w:val="single" w:color="auto" w:sz="4" w:space="0"/>
              <w:right w:val="single" w:color="auto" w:sz="4" w:space="0"/>
              <w:tl2br w:val="nil"/>
              <w:tr2bl w:val="nil"/>
            </w:tcBorders>
            <w:noWrap w:val="0"/>
            <w:vAlign w:val="center"/>
          </w:tcPr>
          <w:p w14:paraId="2E1A5AE9">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4小时</w:t>
            </w:r>
          </w:p>
        </w:tc>
        <w:tc>
          <w:tcPr>
            <w:tcW w:w="651" w:type="dxa"/>
            <w:tcBorders>
              <w:top w:val="nil"/>
              <w:left w:val="nil"/>
              <w:bottom w:val="single" w:color="auto" w:sz="4" w:space="0"/>
              <w:right w:val="single" w:color="auto" w:sz="4" w:space="0"/>
              <w:tl2br w:val="nil"/>
              <w:tr2bl w:val="nil"/>
            </w:tcBorders>
            <w:noWrap w:val="0"/>
            <w:vAlign w:val="center"/>
          </w:tcPr>
          <w:p w14:paraId="739853F2">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6小时</w:t>
            </w:r>
          </w:p>
        </w:tc>
        <w:tc>
          <w:tcPr>
            <w:tcW w:w="461" w:type="dxa"/>
            <w:tcBorders>
              <w:top w:val="nil"/>
              <w:left w:val="nil"/>
              <w:bottom w:val="single" w:color="auto" w:sz="4" w:space="0"/>
              <w:right w:val="single" w:color="auto" w:sz="4" w:space="0"/>
              <w:tl2br w:val="nil"/>
              <w:tr2bl w:val="nil"/>
            </w:tcBorders>
            <w:noWrap w:val="0"/>
            <w:vAlign w:val="center"/>
          </w:tcPr>
          <w:p w14:paraId="2B3A1EF3">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8小时</w:t>
            </w:r>
          </w:p>
        </w:tc>
        <w:tc>
          <w:tcPr>
            <w:tcW w:w="461" w:type="dxa"/>
            <w:tcBorders>
              <w:top w:val="nil"/>
              <w:left w:val="nil"/>
              <w:bottom w:val="single" w:color="auto" w:sz="4" w:space="0"/>
              <w:right w:val="single" w:color="auto" w:sz="4" w:space="0"/>
              <w:tl2br w:val="nil"/>
              <w:tr2bl w:val="nil"/>
            </w:tcBorders>
            <w:noWrap w:val="0"/>
            <w:vAlign w:val="center"/>
          </w:tcPr>
          <w:p w14:paraId="1E03159D">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6小时</w:t>
            </w:r>
          </w:p>
        </w:tc>
      </w:tr>
      <w:tr w14:paraId="4A94B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467" w:type="dxa"/>
            <w:vMerge w:val="continue"/>
            <w:tcBorders>
              <w:top w:val="nil"/>
              <w:left w:val="single" w:color="auto" w:sz="4" w:space="0"/>
              <w:bottom w:val="single" w:color="000000" w:sz="4" w:space="0"/>
              <w:right w:val="single" w:color="auto" w:sz="4" w:space="0"/>
              <w:tl2br w:val="nil"/>
              <w:tr2bl w:val="nil"/>
            </w:tcBorders>
            <w:noWrap w:val="0"/>
            <w:vAlign w:val="center"/>
          </w:tcPr>
          <w:p w14:paraId="11ABF761">
            <w:pPr>
              <w:widowControl/>
              <w:spacing w:beforeLines="0" w:afterLines="0"/>
              <w:jc w:val="left"/>
              <w:rPr>
                <w:rFonts w:hint="default" w:ascii="宋体" w:hAnsi="宋体" w:eastAsia="宋体" w:cs="宋体"/>
                <w:color w:val="auto"/>
                <w:kern w:val="0"/>
                <w:sz w:val="21"/>
                <w:szCs w:val="21"/>
              </w:rPr>
            </w:pPr>
          </w:p>
        </w:tc>
        <w:tc>
          <w:tcPr>
            <w:tcW w:w="855" w:type="dxa"/>
            <w:tcBorders>
              <w:top w:val="nil"/>
              <w:left w:val="nil"/>
              <w:bottom w:val="single" w:color="auto" w:sz="4" w:space="0"/>
              <w:right w:val="single" w:color="auto" w:sz="4" w:space="0"/>
              <w:tl2br w:val="nil"/>
              <w:tr2bl w:val="nil"/>
            </w:tcBorders>
            <w:noWrap w:val="0"/>
            <w:vAlign w:val="center"/>
          </w:tcPr>
          <w:p w14:paraId="6F22B1D7">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工地围挡</w:t>
            </w:r>
          </w:p>
        </w:tc>
        <w:tc>
          <w:tcPr>
            <w:tcW w:w="1530" w:type="dxa"/>
            <w:tcBorders>
              <w:top w:val="nil"/>
              <w:left w:val="nil"/>
              <w:bottom w:val="single" w:color="auto" w:sz="4" w:space="0"/>
              <w:right w:val="single" w:color="auto" w:sz="4" w:space="0"/>
              <w:tl2br w:val="nil"/>
              <w:tr2bl w:val="nil"/>
            </w:tcBorders>
            <w:noWrap w:val="0"/>
            <w:vAlign w:val="center"/>
          </w:tcPr>
          <w:p w14:paraId="2EFC588F">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工地围挡</w:t>
            </w:r>
          </w:p>
        </w:tc>
        <w:tc>
          <w:tcPr>
            <w:tcW w:w="1664" w:type="dxa"/>
            <w:gridSpan w:val="2"/>
            <w:tcBorders>
              <w:top w:val="single" w:color="auto" w:sz="4" w:space="0"/>
              <w:left w:val="nil"/>
              <w:bottom w:val="single" w:color="auto" w:sz="4" w:space="0"/>
              <w:right w:val="single" w:color="auto" w:sz="4" w:space="0"/>
              <w:tl2br w:val="nil"/>
              <w:tr2bl w:val="nil"/>
            </w:tcBorders>
            <w:noWrap w:val="0"/>
            <w:vAlign w:val="center"/>
          </w:tcPr>
          <w:p w14:paraId="451B93F9">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施工工地未按规定设置围挡，包括围挡高度、范围不符合要求</w:t>
            </w:r>
          </w:p>
        </w:tc>
        <w:tc>
          <w:tcPr>
            <w:tcW w:w="932" w:type="dxa"/>
            <w:tcBorders>
              <w:top w:val="nil"/>
              <w:left w:val="nil"/>
              <w:bottom w:val="single" w:color="auto" w:sz="4" w:space="0"/>
              <w:right w:val="single" w:color="auto" w:sz="4" w:space="0"/>
              <w:tl2br w:val="nil"/>
              <w:tr2bl w:val="nil"/>
            </w:tcBorders>
            <w:noWrap w:val="0"/>
            <w:vAlign w:val="center"/>
          </w:tcPr>
          <w:p w14:paraId="730118B2">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停工、按规范进行围挡</w:t>
            </w:r>
          </w:p>
        </w:tc>
        <w:tc>
          <w:tcPr>
            <w:tcW w:w="550" w:type="dxa"/>
            <w:tcBorders>
              <w:top w:val="nil"/>
              <w:left w:val="nil"/>
              <w:bottom w:val="single" w:color="auto" w:sz="4" w:space="0"/>
              <w:right w:val="single" w:color="auto" w:sz="4" w:space="0"/>
              <w:tl2br w:val="nil"/>
              <w:tr2bl w:val="nil"/>
            </w:tcBorders>
            <w:noWrap w:val="0"/>
            <w:vAlign w:val="center"/>
          </w:tcPr>
          <w:p w14:paraId="501839EE">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　</w:t>
            </w:r>
          </w:p>
        </w:tc>
        <w:tc>
          <w:tcPr>
            <w:tcW w:w="461" w:type="dxa"/>
            <w:tcBorders>
              <w:top w:val="nil"/>
              <w:left w:val="nil"/>
              <w:bottom w:val="single" w:color="auto" w:sz="4" w:space="0"/>
              <w:right w:val="single" w:color="auto" w:sz="4" w:space="0"/>
              <w:tl2br w:val="nil"/>
              <w:tr2bl w:val="nil"/>
            </w:tcBorders>
            <w:noWrap w:val="0"/>
            <w:vAlign w:val="center"/>
          </w:tcPr>
          <w:p w14:paraId="5CF2B999">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7×24小时</w:t>
            </w:r>
          </w:p>
        </w:tc>
        <w:tc>
          <w:tcPr>
            <w:tcW w:w="461" w:type="dxa"/>
            <w:tcBorders>
              <w:top w:val="nil"/>
              <w:left w:val="nil"/>
              <w:bottom w:val="single" w:color="auto" w:sz="4" w:space="0"/>
              <w:right w:val="single" w:color="auto" w:sz="4" w:space="0"/>
              <w:tl2br w:val="nil"/>
              <w:tr2bl w:val="nil"/>
            </w:tcBorders>
            <w:noWrap w:val="0"/>
            <w:vAlign w:val="center"/>
          </w:tcPr>
          <w:p w14:paraId="4D4938FD">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7×24小时</w:t>
            </w:r>
          </w:p>
        </w:tc>
        <w:tc>
          <w:tcPr>
            <w:tcW w:w="651" w:type="dxa"/>
            <w:tcBorders>
              <w:top w:val="nil"/>
              <w:left w:val="nil"/>
              <w:bottom w:val="single" w:color="auto" w:sz="4" w:space="0"/>
              <w:right w:val="single" w:color="auto" w:sz="4" w:space="0"/>
              <w:tl2br w:val="nil"/>
              <w:tr2bl w:val="nil"/>
            </w:tcBorders>
            <w:noWrap w:val="0"/>
            <w:vAlign w:val="center"/>
          </w:tcPr>
          <w:p w14:paraId="11FE8DB4">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7×24小时</w:t>
            </w:r>
          </w:p>
        </w:tc>
        <w:tc>
          <w:tcPr>
            <w:tcW w:w="461" w:type="dxa"/>
            <w:tcBorders>
              <w:top w:val="nil"/>
              <w:left w:val="nil"/>
              <w:bottom w:val="single" w:color="auto" w:sz="4" w:space="0"/>
              <w:right w:val="single" w:color="auto" w:sz="4" w:space="0"/>
              <w:tl2br w:val="nil"/>
              <w:tr2bl w:val="nil"/>
            </w:tcBorders>
            <w:noWrap w:val="0"/>
            <w:vAlign w:val="center"/>
          </w:tcPr>
          <w:p w14:paraId="0DA9B4F1">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7×24小时</w:t>
            </w:r>
          </w:p>
        </w:tc>
        <w:tc>
          <w:tcPr>
            <w:tcW w:w="461" w:type="dxa"/>
            <w:tcBorders>
              <w:top w:val="nil"/>
              <w:left w:val="nil"/>
              <w:bottom w:val="single" w:color="auto" w:sz="4" w:space="0"/>
              <w:right w:val="single" w:color="auto" w:sz="4" w:space="0"/>
              <w:tl2br w:val="nil"/>
              <w:tr2bl w:val="nil"/>
            </w:tcBorders>
            <w:noWrap w:val="0"/>
            <w:vAlign w:val="center"/>
          </w:tcPr>
          <w:p w14:paraId="00C4277E">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7×24小时</w:t>
            </w:r>
          </w:p>
        </w:tc>
      </w:tr>
      <w:tr w14:paraId="307F8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467" w:type="dxa"/>
            <w:vMerge w:val="continue"/>
            <w:tcBorders>
              <w:top w:val="nil"/>
              <w:left w:val="single" w:color="auto" w:sz="4" w:space="0"/>
              <w:bottom w:val="single" w:color="auto" w:sz="4" w:space="0"/>
              <w:right w:val="single" w:color="auto" w:sz="4" w:space="0"/>
              <w:tl2br w:val="nil"/>
              <w:tr2bl w:val="nil"/>
            </w:tcBorders>
            <w:noWrap w:val="0"/>
            <w:vAlign w:val="center"/>
          </w:tcPr>
          <w:p w14:paraId="2866D875">
            <w:pPr>
              <w:widowControl/>
              <w:spacing w:beforeLines="0" w:afterLines="0"/>
              <w:jc w:val="left"/>
              <w:rPr>
                <w:rFonts w:hint="default" w:ascii="宋体" w:hAnsi="宋体" w:eastAsia="宋体" w:cs="宋体"/>
                <w:color w:val="auto"/>
                <w:kern w:val="0"/>
                <w:sz w:val="21"/>
                <w:szCs w:val="21"/>
              </w:rPr>
            </w:pPr>
          </w:p>
        </w:tc>
        <w:tc>
          <w:tcPr>
            <w:tcW w:w="855" w:type="dxa"/>
            <w:tcBorders>
              <w:top w:val="nil"/>
              <w:left w:val="nil"/>
              <w:bottom w:val="single" w:color="auto" w:sz="4" w:space="0"/>
              <w:right w:val="single" w:color="auto" w:sz="4" w:space="0"/>
              <w:tl2br w:val="nil"/>
              <w:tr2bl w:val="nil"/>
            </w:tcBorders>
            <w:noWrap w:val="0"/>
            <w:vAlign w:val="center"/>
          </w:tcPr>
          <w:p w14:paraId="5174EE2E">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下水道堵塞或损坏</w:t>
            </w:r>
          </w:p>
        </w:tc>
        <w:tc>
          <w:tcPr>
            <w:tcW w:w="1530" w:type="dxa"/>
            <w:tcBorders>
              <w:top w:val="nil"/>
              <w:left w:val="nil"/>
              <w:bottom w:val="single" w:color="auto" w:sz="4" w:space="0"/>
              <w:right w:val="single" w:color="auto" w:sz="4" w:space="0"/>
              <w:tl2br w:val="nil"/>
              <w:tr2bl w:val="nil"/>
            </w:tcBorders>
            <w:noWrap w:val="0"/>
            <w:vAlign w:val="center"/>
          </w:tcPr>
          <w:p w14:paraId="6D618FC6">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下水道堵塞或损坏</w:t>
            </w:r>
          </w:p>
        </w:tc>
        <w:tc>
          <w:tcPr>
            <w:tcW w:w="1664" w:type="dxa"/>
            <w:gridSpan w:val="2"/>
            <w:tcBorders>
              <w:top w:val="single" w:color="auto" w:sz="4" w:space="0"/>
              <w:left w:val="nil"/>
              <w:bottom w:val="single" w:color="auto" w:sz="4" w:space="0"/>
              <w:right w:val="single" w:color="000000" w:sz="4" w:space="0"/>
              <w:tl2br w:val="nil"/>
              <w:tr2bl w:val="nil"/>
            </w:tcBorders>
            <w:noWrap w:val="0"/>
            <w:vAlign w:val="center"/>
          </w:tcPr>
          <w:p w14:paraId="7A40A99F">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下水道堵塞或损坏</w:t>
            </w:r>
          </w:p>
        </w:tc>
        <w:tc>
          <w:tcPr>
            <w:tcW w:w="932" w:type="dxa"/>
            <w:tcBorders>
              <w:top w:val="nil"/>
              <w:left w:val="nil"/>
              <w:bottom w:val="single" w:color="auto" w:sz="4" w:space="0"/>
              <w:right w:val="single" w:color="auto" w:sz="4" w:space="0"/>
              <w:tl2br w:val="nil"/>
              <w:tr2bl w:val="nil"/>
            </w:tcBorders>
            <w:noWrap w:val="0"/>
            <w:vAlign w:val="center"/>
          </w:tcPr>
          <w:p w14:paraId="6AEE1C77">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疏通或修复</w:t>
            </w:r>
          </w:p>
        </w:tc>
        <w:tc>
          <w:tcPr>
            <w:tcW w:w="550" w:type="dxa"/>
            <w:tcBorders>
              <w:top w:val="nil"/>
              <w:left w:val="nil"/>
              <w:bottom w:val="single" w:color="auto" w:sz="4" w:space="0"/>
              <w:right w:val="single" w:color="auto" w:sz="4" w:space="0"/>
              <w:tl2br w:val="nil"/>
              <w:tr2bl w:val="nil"/>
            </w:tcBorders>
            <w:noWrap w:val="0"/>
            <w:vAlign w:val="center"/>
          </w:tcPr>
          <w:p w14:paraId="301E2022">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〇</w:t>
            </w:r>
          </w:p>
        </w:tc>
        <w:tc>
          <w:tcPr>
            <w:tcW w:w="461" w:type="dxa"/>
            <w:tcBorders>
              <w:top w:val="nil"/>
              <w:left w:val="nil"/>
              <w:bottom w:val="single" w:color="auto" w:sz="4" w:space="0"/>
              <w:right w:val="single" w:color="auto" w:sz="4" w:space="0"/>
              <w:tl2br w:val="nil"/>
              <w:tr2bl w:val="nil"/>
            </w:tcBorders>
            <w:noWrap w:val="0"/>
            <w:vAlign w:val="center"/>
          </w:tcPr>
          <w:p w14:paraId="3CCFD318">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4小时</w:t>
            </w:r>
          </w:p>
        </w:tc>
        <w:tc>
          <w:tcPr>
            <w:tcW w:w="461" w:type="dxa"/>
            <w:tcBorders>
              <w:top w:val="nil"/>
              <w:left w:val="nil"/>
              <w:bottom w:val="single" w:color="auto" w:sz="4" w:space="0"/>
              <w:right w:val="single" w:color="auto" w:sz="4" w:space="0"/>
              <w:tl2br w:val="nil"/>
              <w:tr2bl w:val="nil"/>
            </w:tcBorders>
            <w:noWrap w:val="0"/>
            <w:vAlign w:val="center"/>
          </w:tcPr>
          <w:p w14:paraId="2091485F">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4小时</w:t>
            </w:r>
          </w:p>
        </w:tc>
        <w:tc>
          <w:tcPr>
            <w:tcW w:w="651" w:type="dxa"/>
            <w:tcBorders>
              <w:top w:val="nil"/>
              <w:left w:val="nil"/>
              <w:bottom w:val="single" w:color="auto" w:sz="4" w:space="0"/>
              <w:right w:val="single" w:color="auto" w:sz="4" w:space="0"/>
              <w:tl2br w:val="nil"/>
              <w:tr2bl w:val="nil"/>
            </w:tcBorders>
            <w:noWrap w:val="0"/>
            <w:vAlign w:val="center"/>
          </w:tcPr>
          <w:p w14:paraId="2B79F086">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8小时</w:t>
            </w:r>
          </w:p>
        </w:tc>
        <w:tc>
          <w:tcPr>
            <w:tcW w:w="461" w:type="dxa"/>
            <w:tcBorders>
              <w:top w:val="nil"/>
              <w:left w:val="nil"/>
              <w:bottom w:val="single" w:color="auto" w:sz="4" w:space="0"/>
              <w:right w:val="single" w:color="auto" w:sz="4" w:space="0"/>
              <w:tl2br w:val="nil"/>
              <w:tr2bl w:val="nil"/>
            </w:tcBorders>
            <w:noWrap w:val="0"/>
            <w:vAlign w:val="center"/>
          </w:tcPr>
          <w:p w14:paraId="2D6A24A9">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2×24小时</w:t>
            </w:r>
          </w:p>
        </w:tc>
        <w:tc>
          <w:tcPr>
            <w:tcW w:w="461" w:type="dxa"/>
            <w:tcBorders>
              <w:top w:val="nil"/>
              <w:left w:val="nil"/>
              <w:bottom w:val="single" w:color="auto" w:sz="4" w:space="0"/>
              <w:right w:val="single" w:color="auto" w:sz="4" w:space="0"/>
              <w:tl2br w:val="nil"/>
              <w:tr2bl w:val="nil"/>
            </w:tcBorders>
            <w:noWrap w:val="0"/>
            <w:vAlign w:val="center"/>
          </w:tcPr>
          <w:p w14:paraId="6E5B073F">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8小时</w:t>
            </w:r>
          </w:p>
        </w:tc>
      </w:tr>
      <w:tr w14:paraId="05530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67" w:type="dxa"/>
            <w:vMerge w:val="continue"/>
            <w:tcBorders>
              <w:top w:val="nil"/>
              <w:left w:val="single" w:color="auto" w:sz="4" w:space="0"/>
              <w:bottom w:val="single" w:color="auto" w:sz="4" w:space="0"/>
              <w:right w:val="single" w:color="auto" w:sz="4" w:space="0"/>
              <w:tl2br w:val="nil"/>
              <w:tr2bl w:val="nil"/>
            </w:tcBorders>
            <w:noWrap w:val="0"/>
            <w:vAlign w:val="center"/>
          </w:tcPr>
          <w:p w14:paraId="4A4A9E71">
            <w:pPr>
              <w:widowControl/>
              <w:spacing w:beforeLines="0" w:afterLines="0"/>
              <w:jc w:val="left"/>
              <w:rPr>
                <w:rFonts w:hint="default" w:ascii="宋体" w:hAnsi="宋体" w:eastAsia="宋体" w:cs="宋体"/>
                <w:color w:val="auto"/>
                <w:kern w:val="0"/>
                <w:sz w:val="21"/>
                <w:szCs w:val="21"/>
              </w:rPr>
            </w:pPr>
          </w:p>
        </w:tc>
        <w:tc>
          <w:tcPr>
            <w:tcW w:w="855" w:type="dxa"/>
            <w:tcBorders>
              <w:top w:val="nil"/>
              <w:left w:val="nil"/>
              <w:bottom w:val="single" w:color="auto" w:sz="4" w:space="0"/>
              <w:right w:val="single" w:color="auto" w:sz="4" w:space="0"/>
              <w:tl2br w:val="nil"/>
              <w:tr2bl w:val="nil"/>
            </w:tcBorders>
            <w:noWrap w:val="0"/>
            <w:vAlign w:val="center"/>
          </w:tcPr>
          <w:p w14:paraId="7C5A4DF4">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道路（桥涵）积水</w:t>
            </w:r>
          </w:p>
        </w:tc>
        <w:tc>
          <w:tcPr>
            <w:tcW w:w="1530" w:type="dxa"/>
            <w:tcBorders>
              <w:top w:val="nil"/>
              <w:left w:val="nil"/>
              <w:bottom w:val="single" w:color="auto" w:sz="4" w:space="0"/>
              <w:right w:val="single" w:color="auto" w:sz="4" w:space="0"/>
              <w:tl2br w:val="nil"/>
              <w:tr2bl w:val="nil"/>
            </w:tcBorders>
            <w:noWrap w:val="0"/>
            <w:vAlign w:val="center"/>
          </w:tcPr>
          <w:p w14:paraId="09C7D225">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道路（桥涵）积水</w:t>
            </w:r>
          </w:p>
        </w:tc>
        <w:tc>
          <w:tcPr>
            <w:tcW w:w="1664" w:type="dxa"/>
            <w:gridSpan w:val="2"/>
            <w:tcBorders>
              <w:top w:val="single" w:color="auto" w:sz="4" w:space="0"/>
              <w:left w:val="nil"/>
              <w:bottom w:val="single" w:color="auto" w:sz="4" w:space="0"/>
              <w:right w:val="single" w:color="000000" w:sz="4" w:space="0"/>
              <w:tl2br w:val="nil"/>
              <w:tr2bl w:val="nil"/>
            </w:tcBorders>
            <w:noWrap w:val="0"/>
            <w:vAlign w:val="center"/>
          </w:tcPr>
          <w:p w14:paraId="0250FF9C">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一、二类路段：低洼积水面积超过100平方米或深度超过10厘米；三、四类路段：低洼积水面积超过100平方米或深度超过30厘米</w:t>
            </w:r>
          </w:p>
        </w:tc>
        <w:tc>
          <w:tcPr>
            <w:tcW w:w="932" w:type="dxa"/>
            <w:tcBorders>
              <w:top w:val="nil"/>
              <w:left w:val="nil"/>
              <w:bottom w:val="single" w:color="auto" w:sz="4" w:space="0"/>
              <w:right w:val="single" w:color="auto" w:sz="4" w:space="0"/>
              <w:tl2br w:val="nil"/>
              <w:tr2bl w:val="nil"/>
            </w:tcBorders>
            <w:noWrap w:val="0"/>
            <w:vAlign w:val="center"/>
          </w:tcPr>
          <w:p w14:paraId="7DDD930F">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排水、抢修或警示（维护）、消除</w:t>
            </w:r>
          </w:p>
        </w:tc>
        <w:tc>
          <w:tcPr>
            <w:tcW w:w="550" w:type="dxa"/>
            <w:tcBorders>
              <w:top w:val="nil"/>
              <w:left w:val="nil"/>
              <w:bottom w:val="single" w:color="auto" w:sz="4" w:space="0"/>
              <w:right w:val="single" w:color="auto" w:sz="4" w:space="0"/>
              <w:tl2br w:val="nil"/>
              <w:tr2bl w:val="nil"/>
            </w:tcBorders>
            <w:noWrap w:val="0"/>
            <w:vAlign w:val="center"/>
          </w:tcPr>
          <w:p w14:paraId="65A13196">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〇</w:t>
            </w:r>
          </w:p>
        </w:tc>
        <w:tc>
          <w:tcPr>
            <w:tcW w:w="461" w:type="dxa"/>
            <w:tcBorders>
              <w:top w:val="nil"/>
              <w:left w:val="nil"/>
              <w:bottom w:val="single" w:color="auto" w:sz="4" w:space="0"/>
              <w:right w:val="single" w:color="auto" w:sz="4" w:space="0"/>
              <w:tl2br w:val="nil"/>
              <w:tr2bl w:val="nil"/>
            </w:tcBorders>
            <w:noWrap w:val="0"/>
            <w:vAlign w:val="center"/>
          </w:tcPr>
          <w:p w14:paraId="289BAB39">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3小时</w:t>
            </w:r>
          </w:p>
        </w:tc>
        <w:tc>
          <w:tcPr>
            <w:tcW w:w="461" w:type="dxa"/>
            <w:tcBorders>
              <w:top w:val="nil"/>
              <w:left w:val="nil"/>
              <w:bottom w:val="single" w:color="auto" w:sz="4" w:space="0"/>
              <w:right w:val="single" w:color="auto" w:sz="4" w:space="0"/>
              <w:tl2br w:val="nil"/>
              <w:tr2bl w:val="nil"/>
            </w:tcBorders>
            <w:noWrap w:val="0"/>
            <w:vAlign w:val="center"/>
          </w:tcPr>
          <w:p w14:paraId="26637F6E">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3小时</w:t>
            </w:r>
          </w:p>
        </w:tc>
        <w:tc>
          <w:tcPr>
            <w:tcW w:w="651" w:type="dxa"/>
            <w:tcBorders>
              <w:top w:val="nil"/>
              <w:left w:val="nil"/>
              <w:bottom w:val="single" w:color="auto" w:sz="4" w:space="0"/>
              <w:right w:val="single" w:color="auto" w:sz="4" w:space="0"/>
              <w:tl2br w:val="nil"/>
              <w:tr2bl w:val="nil"/>
            </w:tcBorders>
            <w:noWrap w:val="0"/>
            <w:vAlign w:val="center"/>
          </w:tcPr>
          <w:p w14:paraId="0284891A">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6小时</w:t>
            </w:r>
          </w:p>
        </w:tc>
        <w:tc>
          <w:tcPr>
            <w:tcW w:w="461" w:type="dxa"/>
            <w:tcBorders>
              <w:top w:val="nil"/>
              <w:left w:val="nil"/>
              <w:bottom w:val="single" w:color="auto" w:sz="4" w:space="0"/>
              <w:right w:val="single" w:color="auto" w:sz="4" w:space="0"/>
              <w:tl2br w:val="nil"/>
              <w:tr2bl w:val="nil"/>
            </w:tcBorders>
            <w:noWrap w:val="0"/>
            <w:vAlign w:val="center"/>
          </w:tcPr>
          <w:p w14:paraId="43AC1BAE">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8小时</w:t>
            </w:r>
          </w:p>
        </w:tc>
        <w:tc>
          <w:tcPr>
            <w:tcW w:w="461" w:type="dxa"/>
            <w:tcBorders>
              <w:top w:val="nil"/>
              <w:left w:val="nil"/>
              <w:bottom w:val="single" w:color="auto" w:sz="4" w:space="0"/>
              <w:right w:val="single" w:color="auto" w:sz="4" w:space="0"/>
              <w:tl2br w:val="nil"/>
              <w:tr2bl w:val="nil"/>
            </w:tcBorders>
            <w:noWrap w:val="0"/>
            <w:vAlign w:val="center"/>
          </w:tcPr>
          <w:p w14:paraId="5424A184">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3小时</w:t>
            </w:r>
          </w:p>
        </w:tc>
      </w:tr>
      <w:tr w14:paraId="5F031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467" w:type="dxa"/>
            <w:vMerge w:val="continue"/>
            <w:tcBorders>
              <w:top w:val="nil"/>
              <w:left w:val="single" w:color="auto" w:sz="4" w:space="0"/>
              <w:bottom w:val="single" w:color="auto" w:sz="4" w:space="0"/>
              <w:right w:val="single" w:color="auto" w:sz="4" w:space="0"/>
              <w:tl2br w:val="nil"/>
              <w:tr2bl w:val="nil"/>
            </w:tcBorders>
            <w:noWrap w:val="0"/>
            <w:vAlign w:val="center"/>
          </w:tcPr>
          <w:p w14:paraId="2D83748F">
            <w:pPr>
              <w:widowControl/>
              <w:spacing w:beforeLines="0" w:afterLines="0"/>
              <w:jc w:val="left"/>
              <w:rPr>
                <w:rFonts w:hint="default" w:ascii="宋体" w:hAnsi="宋体" w:eastAsia="宋体" w:cs="宋体"/>
                <w:color w:val="auto"/>
                <w:kern w:val="0"/>
                <w:sz w:val="21"/>
                <w:szCs w:val="21"/>
              </w:rPr>
            </w:pPr>
          </w:p>
        </w:tc>
        <w:tc>
          <w:tcPr>
            <w:tcW w:w="855" w:type="dxa"/>
            <w:tcBorders>
              <w:top w:val="nil"/>
              <w:left w:val="nil"/>
              <w:bottom w:val="single" w:color="auto" w:sz="4" w:space="0"/>
              <w:right w:val="single" w:color="auto" w:sz="4" w:space="0"/>
              <w:tl2br w:val="nil"/>
              <w:tr2bl w:val="nil"/>
            </w:tcBorders>
            <w:noWrap w:val="0"/>
            <w:vAlign w:val="center"/>
          </w:tcPr>
          <w:p w14:paraId="1823E7FF">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雨水设施堵塞</w:t>
            </w:r>
          </w:p>
        </w:tc>
        <w:tc>
          <w:tcPr>
            <w:tcW w:w="1530" w:type="dxa"/>
            <w:tcBorders>
              <w:top w:val="nil"/>
              <w:left w:val="nil"/>
              <w:bottom w:val="single" w:color="auto" w:sz="4" w:space="0"/>
              <w:right w:val="single" w:color="auto" w:sz="4" w:space="0"/>
              <w:tl2br w:val="nil"/>
              <w:tr2bl w:val="nil"/>
            </w:tcBorders>
            <w:noWrap w:val="0"/>
            <w:vAlign w:val="center"/>
          </w:tcPr>
          <w:p w14:paraId="631D3AB4">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雨水设施堵塞</w:t>
            </w:r>
          </w:p>
        </w:tc>
        <w:tc>
          <w:tcPr>
            <w:tcW w:w="1664" w:type="dxa"/>
            <w:gridSpan w:val="2"/>
            <w:tcBorders>
              <w:top w:val="single" w:color="auto" w:sz="4" w:space="0"/>
              <w:left w:val="nil"/>
              <w:bottom w:val="single" w:color="auto" w:sz="4" w:space="0"/>
              <w:right w:val="single" w:color="000000" w:sz="4" w:space="0"/>
              <w:tl2br w:val="nil"/>
              <w:tr2bl w:val="nil"/>
            </w:tcBorders>
            <w:noWrap w:val="0"/>
            <w:vAlign w:val="center"/>
          </w:tcPr>
          <w:p w14:paraId="42A783D6">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雨水管排水不畅或淤塞（雨水箅子不畅、淤塞）</w:t>
            </w:r>
          </w:p>
        </w:tc>
        <w:tc>
          <w:tcPr>
            <w:tcW w:w="932" w:type="dxa"/>
            <w:tcBorders>
              <w:top w:val="nil"/>
              <w:left w:val="nil"/>
              <w:bottom w:val="single" w:color="auto" w:sz="4" w:space="0"/>
              <w:right w:val="single" w:color="auto" w:sz="4" w:space="0"/>
              <w:tl2br w:val="nil"/>
              <w:tr2bl w:val="nil"/>
            </w:tcBorders>
            <w:noWrap w:val="0"/>
            <w:vAlign w:val="center"/>
          </w:tcPr>
          <w:p w14:paraId="04D5E4D1">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疏通</w:t>
            </w:r>
          </w:p>
        </w:tc>
        <w:tc>
          <w:tcPr>
            <w:tcW w:w="550" w:type="dxa"/>
            <w:tcBorders>
              <w:top w:val="nil"/>
              <w:left w:val="nil"/>
              <w:bottom w:val="single" w:color="auto" w:sz="4" w:space="0"/>
              <w:right w:val="single" w:color="auto" w:sz="4" w:space="0"/>
              <w:tl2br w:val="nil"/>
              <w:tr2bl w:val="nil"/>
            </w:tcBorders>
            <w:noWrap w:val="0"/>
            <w:vAlign w:val="center"/>
          </w:tcPr>
          <w:p w14:paraId="4A6A2A01">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　</w:t>
            </w:r>
          </w:p>
        </w:tc>
        <w:tc>
          <w:tcPr>
            <w:tcW w:w="461" w:type="dxa"/>
            <w:tcBorders>
              <w:top w:val="nil"/>
              <w:left w:val="nil"/>
              <w:bottom w:val="single" w:color="auto" w:sz="4" w:space="0"/>
              <w:right w:val="single" w:color="auto" w:sz="4" w:space="0"/>
              <w:tl2br w:val="nil"/>
              <w:tr2bl w:val="nil"/>
            </w:tcBorders>
            <w:noWrap w:val="0"/>
            <w:vAlign w:val="center"/>
          </w:tcPr>
          <w:p w14:paraId="766F3D9D">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4小时</w:t>
            </w:r>
          </w:p>
        </w:tc>
        <w:tc>
          <w:tcPr>
            <w:tcW w:w="461" w:type="dxa"/>
            <w:tcBorders>
              <w:top w:val="nil"/>
              <w:left w:val="nil"/>
              <w:bottom w:val="single" w:color="auto" w:sz="4" w:space="0"/>
              <w:right w:val="single" w:color="auto" w:sz="4" w:space="0"/>
              <w:tl2br w:val="nil"/>
              <w:tr2bl w:val="nil"/>
            </w:tcBorders>
            <w:noWrap w:val="0"/>
            <w:vAlign w:val="center"/>
          </w:tcPr>
          <w:p w14:paraId="0551DA37">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4小时</w:t>
            </w:r>
          </w:p>
        </w:tc>
        <w:tc>
          <w:tcPr>
            <w:tcW w:w="651" w:type="dxa"/>
            <w:tcBorders>
              <w:top w:val="nil"/>
              <w:left w:val="nil"/>
              <w:bottom w:val="single" w:color="auto" w:sz="4" w:space="0"/>
              <w:right w:val="single" w:color="auto" w:sz="4" w:space="0"/>
              <w:tl2br w:val="nil"/>
              <w:tr2bl w:val="nil"/>
            </w:tcBorders>
            <w:noWrap w:val="0"/>
            <w:vAlign w:val="center"/>
          </w:tcPr>
          <w:p w14:paraId="678728DC">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1×24小时</w:t>
            </w:r>
          </w:p>
        </w:tc>
        <w:tc>
          <w:tcPr>
            <w:tcW w:w="461" w:type="dxa"/>
            <w:tcBorders>
              <w:top w:val="nil"/>
              <w:left w:val="nil"/>
              <w:bottom w:val="single" w:color="auto" w:sz="4" w:space="0"/>
              <w:right w:val="single" w:color="auto" w:sz="4" w:space="0"/>
              <w:tl2br w:val="nil"/>
              <w:tr2bl w:val="nil"/>
            </w:tcBorders>
            <w:noWrap w:val="0"/>
            <w:vAlign w:val="center"/>
          </w:tcPr>
          <w:p w14:paraId="50FB841D">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2×24小时</w:t>
            </w:r>
          </w:p>
        </w:tc>
        <w:tc>
          <w:tcPr>
            <w:tcW w:w="461" w:type="dxa"/>
            <w:tcBorders>
              <w:top w:val="nil"/>
              <w:left w:val="nil"/>
              <w:bottom w:val="single" w:color="auto" w:sz="4" w:space="0"/>
              <w:right w:val="single" w:color="auto" w:sz="4" w:space="0"/>
              <w:tl2br w:val="nil"/>
              <w:tr2bl w:val="nil"/>
            </w:tcBorders>
            <w:noWrap w:val="0"/>
            <w:vAlign w:val="center"/>
          </w:tcPr>
          <w:p w14:paraId="3CFC2AAB">
            <w:pPr>
              <w:widowControl/>
              <w:spacing w:beforeLines="0" w:afterLines="0"/>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4小时</w:t>
            </w:r>
          </w:p>
        </w:tc>
      </w:tr>
    </w:tbl>
    <w:p w14:paraId="6D210021">
      <w:pPr>
        <w:widowControl/>
        <w:spacing w:beforeLines="0" w:afterLines="0" w:line="360" w:lineRule="auto"/>
        <w:jc w:val="left"/>
        <w:rPr>
          <w:rFonts w:hint="default" w:ascii="宋体" w:hAnsi="宋体" w:eastAsia="宋体" w:cs="宋体"/>
          <w:color w:val="auto"/>
          <w:kern w:val="0"/>
          <w:sz w:val="21"/>
          <w:szCs w:val="21"/>
        </w:rPr>
      </w:pPr>
      <w:r>
        <w:rPr>
          <w:rFonts w:hint="default" w:ascii="宋体" w:hAnsi="宋体" w:eastAsia="宋体" w:cs="宋体"/>
          <w:color w:val="auto"/>
          <w:kern w:val="0"/>
          <w:sz w:val="21"/>
          <w:szCs w:val="20"/>
        </w:rPr>
        <w:t>注：本表处置时限仅供参考，具体以业主下发的派工单上信息为准。</w:t>
      </w:r>
    </w:p>
    <w:p w14:paraId="34F69BCF">
      <w:pPr>
        <w:widowControl/>
        <w:adjustRightInd/>
        <w:spacing w:line="360" w:lineRule="auto"/>
        <w:ind w:firstLine="420" w:firstLineChars="0"/>
        <w:jc w:val="left"/>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CN"/>
        </w:rPr>
        <w:br w:type="page"/>
      </w:r>
    </w:p>
    <w:p w14:paraId="44B80D8B">
      <w:pPr>
        <w:adjustRightInd/>
        <w:spacing w:line="360" w:lineRule="auto"/>
        <w:jc w:val="center"/>
        <w:outlineLvl w:val="0"/>
        <w:rPr>
          <w:rFonts w:ascii="宋体" w:hAnsi="宋体" w:cs="宋体"/>
          <w:b/>
          <w:color w:val="auto"/>
          <w:sz w:val="36"/>
          <w:szCs w:val="36"/>
        </w:rPr>
      </w:pPr>
      <w:bookmarkStart w:id="41" w:name="_Toc19881"/>
      <w:r>
        <w:rPr>
          <w:rFonts w:hint="eastAsia" w:ascii="宋体" w:hAnsi="宋体" w:cs="宋体"/>
          <w:b/>
          <w:color w:val="auto"/>
          <w:sz w:val="36"/>
          <w:szCs w:val="36"/>
        </w:rPr>
        <w:t xml:space="preserve">第四部分   </w:t>
      </w:r>
      <w:bookmarkStart w:id="42" w:name="_Toc184312073"/>
      <w:bookmarkEnd w:id="42"/>
      <w:bookmarkStart w:id="43" w:name="_Toc184310297"/>
      <w:bookmarkEnd w:id="43"/>
      <w:bookmarkStart w:id="44" w:name="_Toc184310292"/>
      <w:bookmarkEnd w:id="44"/>
      <w:bookmarkStart w:id="45" w:name="_Toc184312069"/>
      <w:bookmarkEnd w:id="45"/>
      <w:bookmarkStart w:id="46" w:name="_Toc184312109"/>
      <w:bookmarkEnd w:id="46"/>
      <w:bookmarkStart w:id="47" w:name="_Toc184308096"/>
      <w:bookmarkEnd w:id="47"/>
      <w:bookmarkStart w:id="48" w:name="_Toc184313256"/>
      <w:bookmarkEnd w:id="48"/>
      <w:bookmarkStart w:id="49" w:name="_Toc184314473"/>
      <w:bookmarkEnd w:id="49"/>
      <w:bookmarkStart w:id="50" w:name="_Toc184313304"/>
      <w:bookmarkEnd w:id="50"/>
      <w:bookmarkStart w:id="51" w:name="_Toc184310326"/>
      <w:bookmarkEnd w:id="51"/>
      <w:bookmarkStart w:id="52" w:name="_Toc184314446"/>
      <w:bookmarkEnd w:id="52"/>
      <w:bookmarkStart w:id="53" w:name="_Toc184312127"/>
      <w:bookmarkEnd w:id="53"/>
      <w:bookmarkStart w:id="54" w:name="_Toc184310343"/>
      <w:bookmarkEnd w:id="54"/>
      <w:bookmarkStart w:id="55" w:name="_Toc184314410"/>
      <w:bookmarkEnd w:id="55"/>
      <w:bookmarkStart w:id="56" w:name="_Toc184312067"/>
      <w:bookmarkEnd w:id="56"/>
      <w:bookmarkStart w:id="57" w:name="_Toc184313284"/>
      <w:bookmarkEnd w:id="57"/>
      <w:bookmarkStart w:id="58" w:name="_Toc184314468"/>
      <w:bookmarkEnd w:id="58"/>
      <w:bookmarkStart w:id="59" w:name="_Toc184314432"/>
      <w:bookmarkEnd w:id="59"/>
      <w:bookmarkStart w:id="60" w:name="_Toc184308039"/>
      <w:bookmarkEnd w:id="60"/>
      <w:bookmarkStart w:id="61" w:name="_Toc184312133"/>
      <w:bookmarkEnd w:id="61"/>
      <w:bookmarkStart w:id="62" w:name="_Toc184312079"/>
      <w:bookmarkEnd w:id="62"/>
      <w:bookmarkStart w:id="63" w:name="_Toc184310320"/>
      <w:bookmarkEnd w:id="63"/>
      <w:bookmarkStart w:id="64" w:name="_Toc184312098"/>
      <w:bookmarkEnd w:id="64"/>
      <w:bookmarkStart w:id="65" w:name="_Toc184313272"/>
      <w:bookmarkEnd w:id="65"/>
      <w:bookmarkStart w:id="66" w:name="_Toc184313261"/>
      <w:bookmarkEnd w:id="66"/>
      <w:bookmarkStart w:id="67" w:name="_Toc184308102"/>
      <w:bookmarkEnd w:id="67"/>
      <w:bookmarkStart w:id="68" w:name="_Toc184313291"/>
      <w:bookmarkEnd w:id="68"/>
      <w:bookmarkStart w:id="69" w:name="_Toc184310275"/>
      <w:bookmarkEnd w:id="69"/>
      <w:bookmarkStart w:id="70" w:name="_Toc184310278"/>
      <w:bookmarkEnd w:id="70"/>
      <w:bookmarkStart w:id="71" w:name="_Toc184313302"/>
      <w:bookmarkEnd w:id="71"/>
      <w:bookmarkStart w:id="72" w:name="_Toc184313260"/>
      <w:bookmarkEnd w:id="72"/>
      <w:bookmarkStart w:id="73" w:name="_Toc184314464"/>
      <w:bookmarkEnd w:id="73"/>
      <w:bookmarkStart w:id="74" w:name="_Toc184312088"/>
      <w:bookmarkEnd w:id="74"/>
      <w:bookmarkStart w:id="75" w:name="_Toc184310330"/>
      <w:bookmarkEnd w:id="75"/>
      <w:bookmarkStart w:id="76" w:name="_Toc184308048"/>
      <w:bookmarkEnd w:id="76"/>
      <w:bookmarkStart w:id="77" w:name="_Toc184314423"/>
      <w:bookmarkEnd w:id="77"/>
      <w:bookmarkStart w:id="78" w:name="_Toc184312112"/>
      <w:bookmarkEnd w:id="78"/>
      <w:bookmarkStart w:id="79" w:name="_Toc184310332"/>
      <w:bookmarkEnd w:id="79"/>
      <w:bookmarkStart w:id="80" w:name="_Toc184310315"/>
      <w:bookmarkEnd w:id="80"/>
      <w:bookmarkStart w:id="81" w:name="_Toc184312116"/>
      <w:bookmarkEnd w:id="81"/>
      <w:bookmarkStart w:id="82" w:name="_Toc184312111"/>
      <w:bookmarkEnd w:id="82"/>
      <w:bookmarkStart w:id="83" w:name="_Toc184313308"/>
      <w:bookmarkEnd w:id="83"/>
      <w:bookmarkStart w:id="84" w:name="_Toc184308041"/>
      <w:bookmarkEnd w:id="84"/>
      <w:bookmarkStart w:id="85" w:name="_Toc184310317"/>
      <w:bookmarkEnd w:id="85"/>
      <w:bookmarkStart w:id="86" w:name="_Toc184313259"/>
      <w:bookmarkEnd w:id="86"/>
      <w:bookmarkStart w:id="87" w:name="_Toc184310283"/>
      <w:bookmarkEnd w:id="87"/>
      <w:bookmarkStart w:id="88" w:name="_Toc184313246"/>
      <w:bookmarkEnd w:id="88"/>
      <w:bookmarkStart w:id="89" w:name="_Toc184314438"/>
      <w:bookmarkEnd w:id="89"/>
      <w:bookmarkStart w:id="90" w:name="_Toc184312108"/>
      <w:bookmarkEnd w:id="90"/>
      <w:bookmarkStart w:id="91" w:name="_Toc184308062"/>
      <w:bookmarkEnd w:id="91"/>
      <w:bookmarkStart w:id="92" w:name="_Toc184314429"/>
      <w:bookmarkEnd w:id="92"/>
      <w:bookmarkStart w:id="93" w:name="_Toc184310335"/>
      <w:bookmarkEnd w:id="93"/>
      <w:bookmarkStart w:id="94" w:name="_Toc184312076"/>
      <w:bookmarkEnd w:id="94"/>
      <w:bookmarkStart w:id="95" w:name="_Toc184312107"/>
      <w:bookmarkEnd w:id="95"/>
      <w:bookmarkStart w:id="96" w:name="_Toc184312129"/>
      <w:bookmarkEnd w:id="96"/>
      <w:bookmarkStart w:id="97" w:name="_Toc184312103"/>
      <w:bookmarkEnd w:id="97"/>
      <w:bookmarkStart w:id="98" w:name="_Toc184313247"/>
      <w:bookmarkEnd w:id="98"/>
      <w:bookmarkStart w:id="99" w:name="_Toc184310280"/>
      <w:bookmarkEnd w:id="99"/>
      <w:bookmarkStart w:id="100" w:name="_Toc184308089"/>
      <w:bookmarkEnd w:id="100"/>
      <w:bookmarkStart w:id="101" w:name="_Toc184310277"/>
      <w:bookmarkEnd w:id="101"/>
      <w:bookmarkStart w:id="102" w:name="_Toc184312136"/>
      <w:bookmarkEnd w:id="102"/>
      <w:bookmarkStart w:id="103" w:name="_Toc184312071"/>
      <w:bookmarkEnd w:id="103"/>
      <w:bookmarkStart w:id="104" w:name="_Toc184313310"/>
      <w:bookmarkEnd w:id="104"/>
      <w:bookmarkStart w:id="105" w:name="_Toc184308081"/>
      <w:bookmarkEnd w:id="105"/>
      <w:bookmarkStart w:id="106" w:name="_Toc184314460"/>
      <w:bookmarkEnd w:id="106"/>
      <w:bookmarkStart w:id="107" w:name="_Toc184314422"/>
      <w:bookmarkEnd w:id="107"/>
      <w:bookmarkStart w:id="108" w:name="_Toc184314479"/>
      <w:bookmarkEnd w:id="108"/>
      <w:bookmarkStart w:id="109" w:name="_Toc184308105"/>
      <w:bookmarkEnd w:id="109"/>
      <w:bookmarkStart w:id="110" w:name="_Toc184310286"/>
      <w:bookmarkEnd w:id="110"/>
      <w:bookmarkStart w:id="111" w:name="_Toc184314476"/>
      <w:bookmarkEnd w:id="111"/>
      <w:bookmarkStart w:id="112" w:name="_Toc184312082"/>
      <w:bookmarkEnd w:id="112"/>
      <w:bookmarkStart w:id="113" w:name="_Toc184308078"/>
      <w:bookmarkEnd w:id="113"/>
      <w:bookmarkStart w:id="114" w:name="_Toc184312084"/>
      <w:bookmarkEnd w:id="114"/>
      <w:bookmarkStart w:id="115" w:name="_Toc184313305"/>
      <w:bookmarkEnd w:id="115"/>
      <w:bookmarkStart w:id="116" w:name="_Toc184313254"/>
      <w:bookmarkEnd w:id="116"/>
      <w:bookmarkStart w:id="117" w:name="_Toc184314419"/>
      <w:bookmarkEnd w:id="117"/>
      <w:bookmarkStart w:id="118" w:name="_Toc184310295"/>
      <w:bookmarkEnd w:id="118"/>
      <w:bookmarkStart w:id="119" w:name="_Toc184310276"/>
      <w:bookmarkEnd w:id="119"/>
      <w:bookmarkStart w:id="120" w:name="_Toc184313267"/>
      <w:bookmarkEnd w:id="120"/>
      <w:bookmarkStart w:id="121" w:name="_Toc184314465"/>
      <w:bookmarkEnd w:id="121"/>
      <w:bookmarkStart w:id="122" w:name="_Toc184308097"/>
      <w:bookmarkEnd w:id="122"/>
      <w:bookmarkStart w:id="123" w:name="_Toc184312124"/>
      <w:bookmarkEnd w:id="123"/>
      <w:bookmarkStart w:id="124" w:name="_Toc184313274"/>
      <w:bookmarkEnd w:id="124"/>
      <w:bookmarkStart w:id="125" w:name="_Toc184314457"/>
      <w:bookmarkEnd w:id="125"/>
      <w:bookmarkStart w:id="126" w:name="_Toc184314412"/>
      <w:bookmarkEnd w:id="126"/>
      <w:bookmarkStart w:id="127" w:name="_Toc184312117"/>
      <w:bookmarkEnd w:id="127"/>
      <w:bookmarkStart w:id="128" w:name="_Toc184308060"/>
      <w:bookmarkEnd w:id="128"/>
      <w:bookmarkStart w:id="129" w:name="_Toc184308087"/>
      <w:bookmarkEnd w:id="129"/>
      <w:bookmarkStart w:id="130" w:name="_Toc184312090"/>
      <w:bookmarkEnd w:id="130"/>
      <w:bookmarkStart w:id="131" w:name="_Toc184314462"/>
      <w:bookmarkEnd w:id="131"/>
      <w:bookmarkStart w:id="132" w:name="_Toc184310272"/>
      <w:bookmarkEnd w:id="132"/>
      <w:bookmarkStart w:id="133" w:name="_Toc184310279"/>
      <w:bookmarkEnd w:id="133"/>
      <w:bookmarkStart w:id="134" w:name="_Toc184310334"/>
      <w:bookmarkEnd w:id="134"/>
      <w:bookmarkStart w:id="135" w:name="_Toc184312122"/>
      <w:bookmarkEnd w:id="135"/>
      <w:bookmarkStart w:id="136" w:name="_Toc184308037"/>
      <w:bookmarkEnd w:id="136"/>
      <w:bookmarkStart w:id="137" w:name="_Toc184308103"/>
      <w:bookmarkEnd w:id="137"/>
      <w:bookmarkStart w:id="138" w:name="_Toc184310289"/>
      <w:bookmarkEnd w:id="138"/>
      <w:bookmarkStart w:id="139" w:name="_Toc184308082"/>
      <w:bookmarkEnd w:id="139"/>
      <w:bookmarkStart w:id="140" w:name="_Toc184313294"/>
      <w:bookmarkEnd w:id="140"/>
      <w:bookmarkStart w:id="141" w:name="_Toc184310316"/>
      <w:bookmarkEnd w:id="141"/>
      <w:bookmarkStart w:id="142" w:name="_Toc184308042"/>
      <w:bookmarkEnd w:id="142"/>
      <w:bookmarkStart w:id="143" w:name="_Toc184314428"/>
      <w:bookmarkEnd w:id="143"/>
      <w:bookmarkStart w:id="144" w:name="_Toc184313238"/>
      <w:bookmarkEnd w:id="144"/>
      <w:bookmarkStart w:id="145" w:name="_Toc184313276"/>
      <w:bookmarkEnd w:id="145"/>
      <w:bookmarkStart w:id="146" w:name="_Toc184314411"/>
      <w:bookmarkEnd w:id="146"/>
      <w:bookmarkStart w:id="147" w:name="_Toc184312097"/>
      <w:bookmarkEnd w:id="147"/>
      <w:bookmarkStart w:id="148" w:name="_Toc184314450"/>
      <w:bookmarkEnd w:id="148"/>
      <w:bookmarkStart w:id="149" w:name="_Toc184308107"/>
      <w:bookmarkEnd w:id="149"/>
      <w:bookmarkStart w:id="150" w:name="_Toc184314440"/>
      <w:bookmarkEnd w:id="150"/>
      <w:bookmarkStart w:id="151" w:name="_Toc184308068"/>
      <w:bookmarkEnd w:id="151"/>
      <w:bookmarkStart w:id="152" w:name="_Toc184310341"/>
      <w:bookmarkEnd w:id="152"/>
      <w:bookmarkStart w:id="153" w:name="_Toc184312105"/>
      <w:bookmarkEnd w:id="153"/>
      <w:bookmarkStart w:id="154" w:name="_Toc184312092"/>
      <w:bookmarkEnd w:id="154"/>
      <w:bookmarkStart w:id="155" w:name="_Toc184308095"/>
      <w:bookmarkEnd w:id="155"/>
      <w:bookmarkStart w:id="156" w:name="_Toc184314459"/>
      <w:bookmarkEnd w:id="156"/>
      <w:bookmarkStart w:id="157" w:name="_Toc184313289"/>
      <w:bookmarkEnd w:id="157"/>
      <w:bookmarkStart w:id="158" w:name="_Toc184310339"/>
      <w:bookmarkEnd w:id="158"/>
      <w:bookmarkStart w:id="159" w:name="_Toc184314463"/>
      <w:bookmarkEnd w:id="159"/>
      <w:bookmarkStart w:id="160" w:name="_Toc184310336"/>
      <w:bookmarkEnd w:id="160"/>
      <w:bookmarkStart w:id="161" w:name="_Toc184308104"/>
      <w:bookmarkEnd w:id="161"/>
      <w:bookmarkStart w:id="162" w:name="_Toc184308073"/>
      <w:bookmarkEnd w:id="162"/>
      <w:bookmarkStart w:id="163" w:name="_Toc184308076"/>
      <w:bookmarkEnd w:id="163"/>
      <w:bookmarkStart w:id="164" w:name="_Toc184313248"/>
      <w:bookmarkEnd w:id="164"/>
      <w:bookmarkStart w:id="165" w:name="_Toc184313300"/>
      <w:bookmarkEnd w:id="165"/>
      <w:bookmarkStart w:id="166" w:name="_Toc184314471"/>
      <w:bookmarkEnd w:id="166"/>
      <w:bookmarkStart w:id="167" w:name="_Toc184313271"/>
      <w:bookmarkEnd w:id="167"/>
      <w:bookmarkStart w:id="168" w:name="_Toc184314482"/>
      <w:bookmarkEnd w:id="168"/>
      <w:bookmarkStart w:id="169" w:name="_Toc184314413"/>
      <w:bookmarkEnd w:id="169"/>
      <w:bookmarkStart w:id="170" w:name="_Toc184310298"/>
      <w:bookmarkEnd w:id="170"/>
      <w:bookmarkStart w:id="171" w:name="_Toc184314444"/>
      <w:bookmarkEnd w:id="171"/>
      <w:bookmarkStart w:id="172" w:name="_Toc184313281"/>
      <w:bookmarkEnd w:id="172"/>
      <w:bookmarkStart w:id="173" w:name="_Toc184314454"/>
      <w:bookmarkEnd w:id="173"/>
      <w:bookmarkStart w:id="174" w:name="_Toc184314443"/>
      <w:bookmarkEnd w:id="174"/>
      <w:bookmarkStart w:id="175" w:name="_Toc184314441"/>
      <w:bookmarkEnd w:id="175"/>
      <w:bookmarkStart w:id="176" w:name="_Toc184313249"/>
      <w:bookmarkEnd w:id="176"/>
      <w:bookmarkStart w:id="177" w:name="_Toc184312086"/>
      <w:bookmarkEnd w:id="177"/>
      <w:bookmarkStart w:id="178" w:name="_Toc184310301"/>
      <w:bookmarkEnd w:id="178"/>
      <w:bookmarkStart w:id="179" w:name="_Toc184310329"/>
      <w:bookmarkEnd w:id="179"/>
      <w:bookmarkStart w:id="180" w:name="_Toc184313244"/>
      <w:bookmarkEnd w:id="180"/>
      <w:bookmarkStart w:id="181" w:name="_Toc184314469"/>
      <w:bookmarkEnd w:id="181"/>
      <w:bookmarkStart w:id="182" w:name="_Toc184308070"/>
      <w:bookmarkEnd w:id="182"/>
      <w:bookmarkStart w:id="183" w:name="_Toc184308067"/>
      <w:bookmarkEnd w:id="183"/>
      <w:bookmarkStart w:id="184" w:name="_Toc184308093"/>
      <w:bookmarkEnd w:id="184"/>
      <w:bookmarkStart w:id="185" w:name="_Toc184308106"/>
      <w:bookmarkEnd w:id="185"/>
      <w:bookmarkStart w:id="186" w:name="_Toc184312102"/>
      <w:bookmarkEnd w:id="186"/>
      <w:bookmarkStart w:id="187" w:name="_Toc184312139"/>
      <w:bookmarkEnd w:id="187"/>
      <w:bookmarkStart w:id="188" w:name="_Toc184310285"/>
      <w:bookmarkEnd w:id="188"/>
      <w:bookmarkStart w:id="189" w:name="_Toc184314453"/>
      <w:bookmarkEnd w:id="189"/>
      <w:bookmarkStart w:id="190" w:name="_Toc184314437"/>
      <w:bookmarkEnd w:id="190"/>
      <w:bookmarkStart w:id="191" w:name="_Toc184312100"/>
      <w:bookmarkEnd w:id="191"/>
      <w:bookmarkStart w:id="192" w:name="_Toc184314447"/>
      <w:bookmarkEnd w:id="192"/>
      <w:bookmarkStart w:id="193" w:name="_Toc184314449"/>
      <w:bookmarkEnd w:id="193"/>
      <w:bookmarkStart w:id="194" w:name="_Toc184312095"/>
      <w:bookmarkEnd w:id="194"/>
      <w:bookmarkStart w:id="195" w:name="_Toc184308084"/>
      <w:bookmarkEnd w:id="195"/>
      <w:bookmarkStart w:id="196" w:name="_Toc184312072"/>
      <w:bookmarkEnd w:id="196"/>
      <w:bookmarkStart w:id="197" w:name="_Toc184310302"/>
      <w:bookmarkEnd w:id="197"/>
      <w:bookmarkStart w:id="198" w:name="_Toc184310305"/>
      <w:bookmarkEnd w:id="198"/>
      <w:bookmarkStart w:id="199" w:name="_Toc184310333"/>
      <w:bookmarkEnd w:id="199"/>
      <w:bookmarkStart w:id="200" w:name="_Toc184312101"/>
      <w:bookmarkEnd w:id="200"/>
      <w:bookmarkStart w:id="201" w:name="_Toc184308055"/>
      <w:bookmarkEnd w:id="201"/>
      <w:bookmarkStart w:id="202" w:name="_Toc184308057"/>
      <w:bookmarkEnd w:id="202"/>
      <w:bookmarkStart w:id="203" w:name="_Toc184312134"/>
      <w:bookmarkEnd w:id="203"/>
      <w:bookmarkStart w:id="204" w:name="_Toc184313255"/>
      <w:bookmarkEnd w:id="204"/>
      <w:bookmarkStart w:id="205" w:name="_Toc184308061"/>
      <w:bookmarkEnd w:id="205"/>
      <w:bookmarkStart w:id="206" w:name="_Toc184310294"/>
      <w:bookmarkEnd w:id="206"/>
      <w:bookmarkStart w:id="207" w:name="_Toc184312135"/>
      <w:bookmarkEnd w:id="207"/>
      <w:bookmarkStart w:id="208" w:name="_Toc184313280"/>
      <w:bookmarkEnd w:id="208"/>
      <w:bookmarkStart w:id="209" w:name="_Toc184314456"/>
      <w:bookmarkEnd w:id="209"/>
      <w:bookmarkStart w:id="210" w:name="_Toc184308058"/>
      <w:bookmarkEnd w:id="210"/>
      <w:bookmarkStart w:id="211" w:name="_Toc184308098"/>
      <w:bookmarkEnd w:id="211"/>
      <w:bookmarkStart w:id="212" w:name="_Toc184314448"/>
      <w:bookmarkEnd w:id="212"/>
      <w:bookmarkStart w:id="213" w:name="_Toc184313251"/>
      <w:bookmarkEnd w:id="213"/>
      <w:bookmarkStart w:id="214" w:name="_Toc184308066"/>
      <w:bookmarkEnd w:id="214"/>
      <w:bookmarkStart w:id="215" w:name="_Toc184308040"/>
      <w:bookmarkEnd w:id="215"/>
      <w:bookmarkStart w:id="216" w:name="_Toc184308079"/>
      <w:bookmarkEnd w:id="216"/>
      <w:bookmarkStart w:id="217" w:name="_Toc184312104"/>
      <w:bookmarkEnd w:id="217"/>
      <w:bookmarkStart w:id="218" w:name="_Toc184308091"/>
      <w:bookmarkEnd w:id="218"/>
      <w:bookmarkStart w:id="219" w:name="_Toc184312083"/>
      <w:bookmarkEnd w:id="219"/>
      <w:bookmarkStart w:id="220" w:name="_Toc184310303"/>
      <w:bookmarkEnd w:id="220"/>
      <w:bookmarkStart w:id="221" w:name="_Toc184313241"/>
      <w:bookmarkEnd w:id="221"/>
      <w:bookmarkStart w:id="222" w:name="_Toc184314418"/>
      <w:bookmarkEnd w:id="222"/>
      <w:bookmarkStart w:id="223" w:name="_Toc184312074"/>
      <w:bookmarkEnd w:id="223"/>
      <w:bookmarkStart w:id="224" w:name="_Toc184312118"/>
      <w:bookmarkEnd w:id="224"/>
      <w:bookmarkStart w:id="225" w:name="_Toc184310287"/>
      <w:bookmarkEnd w:id="225"/>
      <w:bookmarkStart w:id="226" w:name="_Toc184310319"/>
      <w:bookmarkEnd w:id="226"/>
      <w:bookmarkStart w:id="227" w:name="_Toc184308059"/>
      <w:bookmarkEnd w:id="227"/>
      <w:bookmarkStart w:id="228" w:name="_Toc184310321"/>
      <w:bookmarkEnd w:id="228"/>
      <w:bookmarkStart w:id="229" w:name="_Toc184308054"/>
      <w:bookmarkEnd w:id="229"/>
      <w:bookmarkStart w:id="230" w:name="_Toc184310304"/>
      <w:bookmarkEnd w:id="230"/>
      <w:bookmarkStart w:id="231" w:name="_Toc184313282"/>
      <w:bookmarkEnd w:id="231"/>
      <w:bookmarkStart w:id="232" w:name="_Toc184312094"/>
      <w:bookmarkEnd w:id="232"/>
      <w:bookmarkStart w:id="233" w:name="_Toc184314475"/>
      <w:bookmarkEnd w:id="233"/>
      <w:bookmarkStart w:id="234" w:name="_Toc184312115"/>
      <w:bookmarkEnd w:id="234"/>
      <w:bookmarkStart w:id="235" w:name="_Toc184314474"/>
      <w:bookmarkEnd w:id="235"/>
      <w:bookmarkStart w:id="236" w:name="_Toc184314424"/>
      <w:bookmarkEnd w:id="236"/>
      <w:bookmarkStart w:id="237" w:name="_Toc184310296"/>
      <w:bookmarkEnd w:id="237"/>
      <w:bookmarkStart w:id="238" w:name="_Toc184312106"/>
      <w:bookmarkEnd w:id="238"/>
      <w:bookmarkStart w:id="239" w:name="_Toc184312091"/>
      <w:bookmarkEnd w:id="239"/>
      <w:bookmarkStart w:id="240" w:name="_Toc184308049"/>
      <w:bookmarkEnd w:id="240"/>
      <w:bookmarkStart w:id="241" w:name="_Toc184310323"/>
      <w:bookmarkEnd w:id="241"/>
      <w:bookmarkStart w:id="242" w:name="_Toc184310308"/>
      <w:bookmarkEnd w:id="242"/>
      <w:bookmarkStart w:id="243" w:name="_Toc184310307"/>
      <w:bookmarkEnd w:id="243"/>
      <w:bookmarkStart w:id="244" w:name="_Toc184310340"/>
      <w:bookmarkEnd w:id="244"/>
      <w:bookmarkStart w:id="245" w:name="_Toc184313303"/>
      <w:bookmarkEnd w:id="245"/>
      <w:bookmarkStart w:id="246" w:name="_Toc184312132"/>
      <w:bookmarkEnd w:id="246"/>
      <w:bookmarkStart w:id="247" w:name="_Toc184308072"/>
      <w:bookmarkEnd w:id="247"/>
      <w:bookmarkStart w:id="248" w:name="_Toc184308074"/>
      <w:bookmarkEnd w:id="248"/>
      <w:bookmarkStart w:id="249" w:name="_Toc184314458"/>
      <w:bookmarkEnd w:id="249"/>
      <w:bookmarkStart w:id="250" w:name="_Toc184310328"/>
      <w:bookmarkEnd w:id="250"/>
      <w:bookmarkStart w:id="251" w:name="_Toc184308053"/>
      <w:bookmarkEnd w:id="251"/>
      <w:bookmarkStart w:id="252" w:name="_Toc184314451"/>
      <w:bookmarkEnd w:id="252"/>
      <w:bookmarkStart w:id="253" w:name="_Toc184308101"/>
      <w:bookmarkEnd w:id="253"/>
      <w:bookmarkStart w:id="254" w:name="_Toc184308052"/>
      <w:bookmarkEnd w:id="254"/>
      <w:bookmarkStart w:id="255" w:name="_Toc184312089"/>
      <w:bookmarkEnd w:id="255"/>
      <w:bookmarkStart w:id="256" w:name="_Toc184314466"/>
      <w:bookmarkEnd w:id="256"/>
      <w:bookmarkStart w:id="257" w:name="_Toc184308046"/>
      <w:bookmarkEnd w:id="257"/>
      <w:bookmarkStart w:id="258" w:name="_Toc184313283"/>
      <w:bookmarkEnd w:id="258"/>
      <w:bookmarkStart w:id="259" w:name="_Toc184314472"/>
      <w:bookmarkEnd w:id="259"/>
      <w:bookmarkStart w:id="260" w:name="_Toc184308050"/>
      <w:bookmarkEnd w:id="260"/>
      <w:bookmarkStart w:id="261" w:name="_Toc184313265"/>
      <w:bookmarkEnd w:id="261"/>
      <w:bookmarkStart w:id="262" w:name="_Toc184312081"/>
      <w:bookmarkEnd w:id="262"/>
      <w:bookmarkStart w:id="263" w:name="_Toc184308038"/>
      <w:bookmarkEnd w:id="263"/>
      <w:bookmarkStart w:id="264" w:name="_Toc184308043"/>
      <w:bookmarkEnd w:id="264"/>
      <w:bookmarkStart w:id="265" w:name="_Toc184312087"/>
      <w:bookmarkEnd w:id="265"/>
      <w:bookmarkStart w:id="266" w:name="_Toc184312070"/>
      <w:bookmarkEnd w:id="266"/>
      <w:bookmarkStart w:id="267" w:name="_Toc184313288"/>
      <w:bookmarkEnd w:id="267"/>
      <w:bookmarkStart w:id="268" w:name="_Toc184310310"/>
      <w:bookmarkEnd w:id="268"/>
      <w:bookmarkStart w:id="269" w:name="_Toc184308108"/>
      <w:bookmarkEnd w:id="269"/>
      <w:bookmarkStart w:id="270" w:name="_Toc184313309"/>
      <w:bookmarkEnd w:id="270"/>
      <w:bookmarkStart w:id="271" w:name="_Toc184313245"/>
      <w:bookmarkEnd w:id="271"/>
      <w:bookmarkStart w:id="272" w:name="_Toc184314414"/>
      <w:bookmarkEnd w:id="272"/>
      <w:bookmarkStart w:id="273" w:name="_Toc184308083"/>
      <w:bookmarkEnd w:id="273"/>
      <w:bookmarkStart w:id="274" w:name="_Toc184310282"/>
      <w:bookmarkEnd w:id="274"/>
      <w:bookmarkStart w:id="275" w:name="_Toc184313286"/>
      <w:bookmarkEnd w:id="275"/>
      <w:bookmarkStart w:id="276" w:name="_Toc184313292"/>
      <w:bookmarkEnd w:id="276"/>
      <w:bookmarkStart w:id="277" w:name="_Toc184314470"/>
      <w:bookmarkEnd w:id="277"/>
      <w:bookmarkStart w:id="278" w:name="_Toc184308069"/>
      <w:bookmarkEnd w:id="278"/>
      <w:bookmarkStart w:id="279" w:name="_Toc184308065"/>
      <w:bookmarkEnd w:id="279"/>
      <w:bookmarkStart w:id="280" w:name="_Toc184308075"/>
      <w:bookmarkEnd w:id="280"/>
      <w:bookmarkStart w:id="281" w:name="_Toc184314445"/>
      <w:bookmarkEnd w:id="281"/>
      <w:bookmarkStart w:id="282" w:name="_Toc184314426"/>
      <w:bookmarkEnd w:id="282"/>
      <w:bookmarkStart w:id="283" w:name="_Toc184313299"/>
      <w:bookmarkEnd w:id="283"/>
      <w:bookmarkStart w:id="284" w:name="_Toc184314435"/>
      <w:bookmarkEnd w:id="284"/>
      <w:bookmarkStart w:id="285" w:name="_Toc184312123"/>
      <w:bookmarkEnd w:id="285"/>
      <w:bookmarkStart w:id="286" w:name="_Toc184313307"/>
      <w:bookmarkEnd w:id="286"/>
      <w:bookmarkStart w:id="287" w:name="_Toc184314455"/>
      <w:bookmarkEnd w:id="287"/>
      <w:bookmarkStart w:id="288" w:name="_Toc184312130"/>
      <w:bookmarkEnd w:id="288"/>
      <w:bookmarkStart w:id="289" w:name="_Toc184310342"/>
      <w:bookmarkEnd w:id="289"/>
      <w:bookmarkStart w:id="290" w:name="_Toc184313266"/>
      <w:bookmarkEnd w:id="290"/>
      <w:bookmarkStart w:id="291" w:name="_Toc184310312"/>
      <w:bookmarkEnd w:id="291"/>
      <w:bookmarkStart w:id="292" w:name="_Toc184308092"/>
      <w:bookmarkEnd w:id="292"/>
      <w:bookmarkStart w:id="293" w:name="_Toc184314421"/>
      <w:bookmarkEnd w:id="293"/>
      <w:bookmarkStart w:id="294" w:name="_Toc184312121"/>
      <w:bookmarkEnd w:id="294"/>
      <w:bookmarkStart w:id="295" w:name="_Toc184312113"/>
      <w:bookmarkEnd w:id="295"/>
      <w:bookmarkStart w:id="296" w:name="_Toc184308071"/>
      <w:bookmarkEnd w:id="296"/>
      <w:bookmarkStart w:id="297" w:name="_Toc184312110"/>
      <w:bookmarkEnd w:id="297"/>
      <w:bookmarkStart w:id="298" w:name="_Toc184310288"/>
      <w:bookmarkEnd w:id="298"/>
      <w:bookmarkStart w:id="299" w:name="_Toc184313295"/>
      <w:bookmarkEnd w:id="299"/>
      <w:bookmarkStart w:id="300" w:name="_Toc184313243"/>
      <w:bookmarkEnd w:id="300"/>
      <w:bookmarkStart w:id="301" w:name="_Toc184308045"/>
      <w:bookmarkEnd w:id="301"/>
      <w:bookmarkStart w:id="302" w:name="_Toc184312120"/>
      <w:bookmarkEnd w:id="302"/>
      <w:bookmarkStart w:id="303" w:name="_Toc184314439"/>
      <w:bookmarkEnd w:id="303"/>
      <w:bookmarkStart w:id="304" w:name="_Toc184312093"/>
      <w:bookmarkEnd w:id="304"/>
      <w:bookmarkStart w:id="305" w:name="_Toc184314417"/>
      <w:bookmarkEnd w:id="305"/>
      <w:bookmarkStart w:id="306" w:name="_Toc184312138"/>
      <w:bookmarkEnd w:id="306"/>
      <w:bookmarkStart w:id="307" w:name="_Toc184313296"/>
      <w:bookmarkEnd w:id="307"/>
      <w:bookmarkStart w:id="308" w:name="_Toc184314478"/>
      <w:bookmarkEnd w:id="308"/>
      <w:bookmarkStart w:id="309" w:name="_Toc184308090"/>
      <w:bookmarkEnd w:id="309"/>
      <w:bookmarkStart w:id="310" w:name="_Toc184310299"/>
      <w:bookmarkEnd w:id="310"/>
      <w:bookmarkStart w:id="311" w:name="_Toc184310313"/>
      <w:bookmarkEnd w:id="311"/>
      <w:bookmarkStart w:id="312" w:name="_Toc184310314"/>
      <w:bookmarkEnd w:id="312"/>
      <w:bookmarkStart w:id="313" w:name="_Toc184314480"/>
      <w:bookmarkEnd w:id="313"/>
      <w:bookmarkStart w:id="314" w:name="_Toc184312119"/>
      <w:bookmarkEnd w:id="314"/>
      <w:bookmarkStart w:id="315" w:name="_Toc184314461"/>
      <w:bookmarkEnd w:id="315"/>
      <w:bookmarkStart w:id="316" w:name="_Toc184310344"/>
      <w:bookmarkEnd w:id="316"/>
      <w:bookmarkStart w:id="317" w:name="_Toc184312099"/>
      <w:bookmarkEnd w:id="317"/>
      <w:bookmarkStart w:id="318" w:name="_Toc184313301"/>
      <w:bookmarkEnd w:id="318"/>
      <w:bookmarkStart w:id="319" w:name="_Toc184312096"/>
      <w:bookmarkEnd w:id="319"/>
      <w:bookmarkStart w:id="320" w:name="_Toc184314477"/>
      <w:bookmarkEnd w:id="320"/>
      <w:bookmarkStart w:id="321" w:name="_Toc184314436"/>
      <w:bookmarkEnd w:id="321"/>
      <w:bookmarkStart w:id="322" w:name="_Toc184314442"/>
      <w:bookmarkEnd w:id="322"/>
      <w:bookmarkStart w:id="323" w:name="_Toc184313277"/>
      <w:bookmarkEnd w:id="323"/>
      <w:bookmarkStart w:id="324" w:name="_Toc184313275"/>
      <w:bookmarkEnd w:id="324"/>
      <w:bookmarkStart w:id="325" w:name="_Toc184310306"/>
      <w:bookmarkEnd w:id="325"/>
      <w:bookmarkStart w:id="326" w:name="_Toc184313258"/>
      <w:bookmarkEnd w:id="326"/>
      <w:bookmarkStart w:id="327" w:name="_Toc184310324"/>
      <w:bookmarkEnd w:id="327"/>
      <w:bookmarkStart w:id="328" w:name="_Toc184310311"/>
      <w:bookmarkEnd w:id="328"/>
      <w:bookmarkStart w:id="329" w:name="_Toc184308044"/>
      <w:bookmarkEnd w:id="329"/>
      <w:bookmarkStart w:id="330" w:name="_Toc184310331"/>
      <w:bookmarkEnd w:id="330"/>
      <w:bookmarkStart w:id="331" w:name="_Toc184310273"/>
      <w:bookmarkEnd w:id="331"/>
      <w:bookmarkStart w:id="332" w:name="_Toc184313239"/>
      <w:bookmarkEnd w:id="332"/>
      <w:bookmarkStart w:id="333" w:name="_Toc184313242"/>
      <w:bookmarkEnd w:id="333"/>
      <w:bookmarkStart w:id="334" w:name="_Toc184310337"/>
      <w:bookmarkEnd w:id="334"/>
      <w:bookmarkStart w:id="335" w:name="_Toc184310318"/>
      <w:bookmarkEnd w:id="335"/>
      <w:bookmarkStart w:id="336" w:name="_Toc184308064"/>
      <w:bookmarkEnd w:id="336"/>
      <w:bookmarkStart w:id="337" w:name="_Toc184313293"/>
      <w:bookmarkEnd w:id="337"/>
      <w:bookmarkStart w:id="338" w:name="_Toc184313262"/>
      <w:bookmarkEnd w:id="338"/>
      <w:bookmarkStart w:id="339" w:name="_Toc184314467"/>
      <w:bookmarkEnd w:id="339"/>
      <w:bookmarkStart w:id="340" w:name="_Toc184308063"/>
      <w:bookmarkEnd w:id="340"/>
      <w:bookmarkStart w:id="341" w:name="_Toc184312075"/>
      <w:bookmarkEnd w:id="341"/>
      <w:bookmarkStart w:id="342" w:name="_Toc184310325"/>
      <w:bookmarkEnd w:id="342"/>
      <w:bookmarkStart w:id="343" w:name="_Toc184312126"/>
      <w:bookmarkEnd w:id="343"/>
      <w:bookmarkStart w:id="344" w:name="_Toc184313290"/>
      <w:bookmarkEnd w:id="344"/>
      <w:bookmarkStart w:id="345" w:name="_Toc184308094"/>
      <w:bookmarkEnd w:id="345"/>
      <w:bookmarkStart w:id="346" w:name="_Toc184310284"/>
      <w:bookmarkEnd w:id="346"/>
      <w:bookmarkStart w:id="347" w:name="_Toc184308085"/>
      <w:bookmarkEnd w:id="347"/>
      <w:bookmarkStart w:id="348" w:name="_Toc184310338"/>
      <w:bookmarkEnd w:id="348"/>
      <w:bookmarkStart w:id="349" w:name="_Toc184314452"/>
      <w:bookmarkEnd w:id="349"/>
      <w:bookmarkStart w:id="350" w:name="_Toc184313285"/>
      <w:bookmarkEnd w:id="350"/>
      <w:bookmarkStart w:id="351" w:name="_Toc184312137"/>
      <w:bookmarkEnd w:id="351"/>
      <w:bookmarkStart w:id="352" w:name="_Toc184314433"/>
      <w:bookmarkEnd w:id="352"/>
      <w:bookmarkStart w:id="353" w:name="_Toc184312080"/>
      <w:bookmarkEnd w:id="353"/>
      <w:bookmarkStart w:id="354" w:name="_Toc184308051"/>
      <w:bookmarkEnd w:id="354"/>
      <w:bookmarkStart w:id="355" w:name="_Toc184308036"/>
      <w:bookmarkEnd w:id="355"/>
      <w:bookmarkStart w:id="356" w:name="_Toc184310281"/>
      <w:bookmarkEnd w:id="356"/>
      <w:bookmarkStart w:id="357" w:name="_Toc184312125"/>
      <w:bookmarkEnd w:id="357"/>
      <w:bookmarkStart w:id="358" w:name="_Toc184308100"/>
      <w:bookmarkEnd w:id="358"/>
      <w:bookmarkStart w:id="359" w:name="_Toc184310322"/>
      <w:bookmarkEnd w:id="359"/>
      <w:bookmarkStart w:id="360" w:name="_Toc184314481"/>
      <w:bookmarkEnd w:id="360"/>
      <w:bookmarkStart w:id="361" w:name="_Toc184312078"/>
      <w:bookmarkEnd w:id="361"/>
      <w:bookmarkStart w:id="362" w:name="_Toc184314420"/>
      <w:bookmarkEnd w:id="362"/>
      <w:bookmarkStart w:id="363" w:name="_Toc184313273"/>
      <w:bookmarkEnd w:id="363"/>
      <w:bookmarkStart w:id="364" w:name="_Toc184312068"/>
      <w:bookmarkEnd w:id="364"/>
      <w:bookmarkStart w:id="365" w:name="_Toc184308086"/>
      <w:bookmarkEnd w:id="365"/>
      <w:bookmarkStart w:id="366" w:name="_Toc184310274"/>
      <w:bookmarkEnd w:id="366"/>
      <w:bookmarkStart w:id="367" w:name="_Toc184313278"/>
      <w:bookmarkEnd w:id="367"/>
      <w:bookmarkStart w:id="368" w:name="_Toc184313298"/>
      <w:bookmarkEnd w:id="368"/>
      <w:bookmarkStart w:id="369" w:name="_Toc184313287"/>
      <w:bookmarkEnd w:id="369"/>
      <w:bookmarkStart w:id="370" w:name="_Toc184313264"/>
      <w:bookmarkEnd w:id="370"/>
      <w:bookmarkStart w:id="371" w:name="_Toc184313268"/>
      <w:bookmarkEnd w:id="371"/>
      <w:bookmarkStart w:id="372" w:name="_Toc184313263"/>
      <w:bookmarkEnd w:id="372"/>
      <w:bookmarkStart w:id="373" w:name="_Toc184313269"/>
      <w:bookmarkEnd w:id="373"/>
      <w:bookmarkStart w:id="374" w:name="_Toc184312114"/>
      <w:bookmarkEnd w:id="374"/>
      <w:bookmarkStart w:id="375" w:name="_Toc184308080"/>
      <w:bookmarkEnd w:id="375"/>
      <w:bookmarkStart w:id="376" w:name="_Toc184310300"/>
      <w:bookmarkEnd w:id="376"/>
      <w:bookmarkStart w:id="377" w:name="_Toc184313253"/>
      <w:bookmarkEnd w:id="377"/>
      <w:bookmarkStart w:id="378" w:name="_Toc184308056"/>
      <w:bookmarkEnd w:id="378"/>
      <w:bookmarkStart w:id="379" w:name="_Toc184308088"/>
      <w:bookmarkEnd w:id="379"/>
      <w:bookmarkStart w:id="380" w:name="_Toc184310290"/>
      <w:bookmarkEnd w:id="380"/>
      <w:bookmarkStart w:id="381" w:name="_Toc184310291"/>
      <w:bookmarkEnd w:id="381"/>
      <w:bookmarkStart w:id="382" w:name="_Toc184312128"/>
      <w:bookmarkEnd w:id="382"/>
      <w:bookmarkStart w:id="383" w:name="_Toc184308099"/>
      <w:bookmarkEnd w:id="383"/>
      <w:bookmarkStart w:id="384" w:name="_Toc184313257"/>
      <w:bookmarkEnd w:id="384"/>
      <w:bookmarkStart w:id="385" w:name="_Toc184310327"/>
      <w:bookmarkEnd w:id="385"/>
      <w:bookmarkStart w:id="386" w:name="_Toc184312131"/>
      <w:bookmarkEnd w:id="386"/>
      <w:bookmarkStart w:id="387" w:name="_Toc184314415"/>
      <w:bookmarkEnd w:id="387"/>
      <w:bookmarkStart w:id="388" w:name="_Toc184310309"/>
      <w:bookmarkEnd w:id="388"/>
      <w:bookmarkStart w:id="389" w:name="_Toc184314416"/>
      <w:bookmarkEnd w:id="389"/>
      <w:bookmarkStart w:id="390" w:name="_Toc184314430"/>
      <w:bookmarkEnd w:id="390"/>
      <w:bookmarkStart w:id="391" w:name="_Toc184308077"/>
      <w:bookmarkEnd w:id="391"/>
      <w:bookmarkStart w:id="392" w:name="_Toc184314427"/>
      <w:bookmarkEnd w:id="392"/>
      <w:bookmarkStart w:id="393" w:name="_Toc184312077"/>
      <w:bookmarkEnd w:id="393"/>
      <w:bookmarkStart w:id="394" w:name="_Toc184313279"/>
      <w:bookmarkEnd w:id="394"/>
      <w:bookmarkStart w:id="395" w:name="_Toc184312085"/>
      <w:bookmarkEnd w:id="395"/>
      <w:bookmarkStart w:id="396" w:name="_Toc184314425"/>
      <w:bookmarkEnd w:id="396"/>
      <w:bookmarkStart w:id="397" w:name="_Toc184308047"/>
      <w:bookmarkEnd w:id="397"/>
      <w:bookmarkStart w:id="398" w:name="_Toc184313240"/>
      <w:bookmarkEnd w:id="398"/>
      <w:bookmarkStart w:id="399" w:name="_Toc184313252"/>
      <w:bookmarkEnd w:id="399"/>
      <w:bookmarkStart w:id="400" w:name="_Toc184313297"/>
      <w:bookmarkEnd w:id="400"/>
      <w:bookmarkStart w:id="401" w:name="_Toc184313250"/>
      <w:bookmarkEnd w:id="401"/>
      <w:bookmarkStart w:id="402" w:name="_Toc184313270"/>
      <w:bookmarkEnd w:id="402"/>
      <w:bookmarkStart w:id="403" w:name="_Toc184310293"/>
      <w:bookmarkEnd w:id="403"/>
      <w:bookmarkStart w:id="404" w:name="_Toc184314431"/>
      <w:bookmarkEnd w:id="404"/>
      <w:bookmarkStart w:id="405" w:name="_Toc184313306"/>
      <w:bookmarkEnd w:id="405"/>
      <w:bookmarkStart w:id="406" w:name="_Toc184314434"/>
      <w:bookmarkEnd w:id="406"/>
      <w:r>
        <w:rPr>
          <w:rFonts w:hint="eastAsia" w:ascii="宋体" w:hAnsi="宋体" w:cs="宋体"/>
          <w:b/>
          <w:color w:val="auto"/>
          <w:sz w:val="36"/>
          <w:szCs w:val="36"/>
        </w:rPr>
        <w:t>评标办法</w:t>
      </w:r>
      <w:bookmarkEnd w:id="41"/>
    </w:p>
    <w:p w14:paraId="294BBF55">
      <w:pPr>
        <w:snapToGrid w:val="0"/>
        <w:spacing w:line="360" w:lineRule="auto"/>
        <w:jc w:val="center"/>
        <w:rPr>
          <w:rFonts w:hint="eastAsia" w:ascii="宋体" w:hAnsi="宋体" w:eastAsia="宋体" w:cs="宋体"/>
          <w:b/>
          <w:color w:val="auto"/>
          <w:sz w:val="32"/>
          <w:szCs w:val="20"/>
          <w:lang w:eastAsia="zh-CN"/>
        </w:rPr>
      </w:pPr>
      <w:r>
        <w:rPr>
          <w:rFonts w:hint="eastAsia" w:ascii="宋体" w:hAnsi="宋体" w:cs="宋体"/>
          <w:b/>
          <w:color w:val="auto"/>
          <w:sz w:val="32"/>
          <w:szCs w:val="20"/>
        </w:rPr>
        <w:t>评标办法前附表</w:t>
      </w:r>
      <w:r>
        <w:rPr>
          <w:rFonts w:hint="eastAsia" w:ascii="宋体" w:hAnsi="宋体" w:cs="宋体"/>
          <w:b/>
          <w:color w:val="auto"/>
          <w:sz w:val="32"/>
          <w:szCs w:val="20"/>
          <w:lang w:eastAsia="zh-CN"/>
        </w:rPr>
        <w:t>（</w:t>
      </w:r>
      <w:r>
        <w:rPr>
          <w:rFonts w:hint="eastAsia" w:ascii="宋体" w:hAnsi="宋体" w:cs="宋体"/>
          <w:b/>
          <w:color w:val="auto"/>
          <w:sz w:val="32"/>
          <w:szCs w:val="20"/>
          <w:lang w:val="en-US" w:eastAsia="zh-CN"/>
        </w:rPr>
        <w:t>适用于所有标项</w:t>
      </w:r>
      <w:r>
        <w:rPr>
          <w:rFonts w:hint="eastAsia" w:ascii="宋体" w:hAnsi="宋体" w:cs="宋体"/>
          <w:b/>
          <w:color w:val="auto"/>
          <w:sz w:val="32"/>
          <w:szCs w:val="20"/>
          <w:lang w:eastAsia="zh-CN"/>
        </w:rPr>
        <w:t>）</w:t>
      </w:r>
    </w:p>
    <w:tbl>
      <w:tblPr>
        <w:tblStyle w:val="63"/>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048"/>
        <w:gridCol w:w="5936"/>
        <w:gridCol w:w="675"/>
        <w:gridCol w:w="715"/>
      </w:tblGrid>
      <w:tr w14:paraId="7943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4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36518EE">
            <w:pPr>
              <w:spacing w:beforeLines="0" w:afterLines="0"/>
              <w:rPr>
                <w:rFonts w:hint="default" w:ascii="宋体"/>
                <w:sz w:val="24"/>
                <w:szCs w:val="24"/>
              </w:rPr>
            </w:pPr>
            <w:r>
              <w:rPr>
                <w:rFonts w:hint="default" w:ascii="宋体"/>
                <w:sz w:val="24"/>
                <w:szCs w:val="24"/>
              </w:rPr>
              <w:t>评分细则</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3C7302">
            <w:pPr>
              <w:spacing w:beforeLines="0" w:afterLines="0"/>
              <w:jc w:val="center"/>
              <w:rPr>
                <w:rFonts w:hint="default" w:ascii="宋体"/>
                <w:sz w:val="24"/>
                <w:szCs w:val="24"/>
              </w:rPr>
            </w:pPr>
            <w:r>
              <w:rPr>
                <w:rFonts w:hint="default" w:ascii="宋体"/>
                <w:sz w:val="24"/>
                <w:szCs w:val="24"/>
              </w:rPr>
              <w:t>分值</w:t>
            </w:r>
          </w:p>
        </w:tc>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CEAEDC">
            <w:pPr>
              <w:spacing w:beforeLines="0" w:afterLines="0"/>
              <w:jc w:val="center"/>
              <w:rPr>
                <w:rFonts w:hint="default" w:ascii="宋体"/>
                <w:sz w:val="24"/>
                <w:szCs w:val="24"/>
              </w:rPr>
            </w:pPr>
            <w:r>
              <w:rPr>
                <w:rFonts w:hint="default" w:ascii="宋体"/>
                <w:sz w:val="24"/>
                <w:szCs w:val="24"/>
              </w:rPr>
              <w:t>评审形式</w:t>
            </w:r>
          </w:p>
        </w:tc>
      </w:tr>
      <w:tr w14:paraId="3EB8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5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465EA65">
            <w:pPr>
              <w:spacing w:beforeLines="0" w:afterLines="0"/>
              <w:rPr>
                <w:rFonts w:hint="default" w:ascii="宋体"/>
                <w:sz w:val="24"/>
                <w:szCs w:val="24"/>
              </w:rPr>
            </w:pPr>
            <w:r>
              <w:rPr>
                <w:rFonts w:hint="default" w:ascii="宋体"/>
                <w:sz w:val="24"/>
                <w:szCs w:val="24"/>
                <w:highlight w:val="none"/>
              </w:rPr>
              <w:t>商务技术</w:t>
            </w:r>
            <w:r>
              <w:rPr>
                <w:rFonts w:hint="eastAsia" w:ascii="宋体"/>
                <w:sz w:val="24"/>
                <w:szCs w:val="24"/>
                <w:highlight w:val="none"/>
                <w:lang w:val="en-US" w:eastAsia="zh-CN"/>
              </w:rPr>
              <w:t>85</w:t>
            </w:r>
            <w:r>
              <w:rPr>
                <w:rFonts w:hint="default" w:ascii="宋体"/>
                <w:sz w:val="24"/>
                <w:szCs w:val="24"/>
                <w:highlight w:val="none"/>
              </w:rPr>
              <w:t>分</w:t>
            </w:r>
          </w:p>
        </w:tc>
        <w:tc>
          <w:tcPr>
            <w:tcW w:w="10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013B87">
            <w:pPr>
              <w:spacing w:beforeLines="0" w:afterLines="0"/>
              <w:rPr>
                <w:rFonts w:hint="default" w:ascii="宋体"/>
                <w:sz w:val="24"/>
                <w:szCs w:val="24"/>
                <w:lang w:val="zh-CN"/>
              </w:rPr>
            </w:pPr>
            <w:r>
              <w:rPr>
                <w:rFonts w:hint="default" w:ascii="宋体"/>
                <w:sz w:val="24"/>
                <w:szCs w:val="24"/>
              </w:rPr>
              <w:t>1、总体思路</w:t>
            </w:r>
          </w:p>
        </w:tc>
        <w:tc>
          <w:tcPr>
            <w:tcW w:w="5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47F312">
            <w:pPr>
              <w:spacing w:beforeLines="0" w:afterLines="0"/>
              <w:rPr>
                <w:rFonts w:hint="default" w:ascii="宋体"/>
                <w:sz w:val="24"/>
                <w:szCs w:val="24"/>
              </w:rPr>
            </w:pPr>
            <w:r>
              <w:rPr>
                <w:rFonts w:hint="default" w:ascii="宋体"/>
                <w:sz w:val="24"/>
                <w:szCs w:val="24"/>
              </w:rPr>
              <w:t>根据供应商针对本项目实施的总体思路：项目实施准备、总体实施安排以及实施规范性布置等内容进行评议。</w:t>
            </w:r>
          </w:p>
          <w:p w14:paraId="54C1D7DE">
            <w:pPr>
              <w:spacing w:beforeLines="0" w:afterLines="0"/>
              <w:rPr>
                <w:rFonts w:hint="default"/>
                <w:sz w:val="24"/>
                <w:szCs w:val="24"/>
              </w:rPr>
            </w:pPr>
            <w:r>
              <w:rPr>
                <w:rFonts w:hint="default" w:ascii="宋体"/>
                <w:sz w:val="24"/>
                <w:szCs w:val="24"/>
              </w:rPr>
              <w:t>项目实施准备充分、总体实施安排有序、实施规范性布置有条理的得</w:t>
            </w:r>
            <w:r>
              <w:rPr>
                <w:rFonts w:hint="eastAsia" w:ascii="宋体"/>
                <w:sz w:val="24"/>
                <w:szCs w:val="24"/>
                <w:lang w:val="en-US" w:eastAsia="zh-CN"/>
              </w:rPr>
              <w:t>5</w:t>
            </w:r>
            <w:r>
              <w:rPr>
                <w:rFonts w:hint="default" w:ascii="宋体"/>
                <w:sz w:val="24"/>
                <w:szCs w:val="24"/>
              </w:rPr>
              <w:t>分；</w:t>
            </w:r>
          </w:p>
          <w:p w14:paraId="6B48D899">
            <w:pPr>
              <w:spacing w:beforeLines="0" w:afterLines="0"/>
              <w:rPr>
                <w:rFonts w:hint="default" w:ascii="宋体"/>
                <w:sz w:val="24"/>
                <w:szCs w:val="24"/>
              </w:rPr>
            </w:pPr>
            <w:r>
              <w:rPr>
                <w:rFonts w:hint="default" w:ascii="宋体"/>
                <w:sz w:val="24"/>
                <w:szCs w:val="24"/>
              </w:rPr>
              <w:t>项目实施准备较充分、总体实施安排较有序、实施规范性布置较有条理的得</w:t>
            </w:r>
            <w:r>
              <w:rPr>
                <w:rFonts w:hint="eastAsia" w:ascii="宋体"/>
                <w:sz w:val="24"/>
                <w:szCs w:val="24"/>
                <w:lang w:val="en-US" w:eastAsia="zh-CN"/>
              </w:rPr>
              <w:t>3</w:t>
            </w:r>
            <w:r>
              <w:rPr>
                <w:rFonts w:hint="default" w:ascii="宋体"/>
                <w:sz w:val="24"/>
                <w:szCs w:val="24"/>
              </w:rPr>
              <w:t>分；</w:t>
            </w:r>
          </w:p>
          <w:p w14:paraId="21C91973">
            <w:pPr>
              <w:spacing w:beforeLines="0" w:afterLines="0"/>
              <w:rPr>
                <w:rFonts w:hint="default" w:ascii="宋体"/>
                <w:sz w:val="24"/>
                <w:szCs w:val="24"/>
              </w:rPr>
            </w:pPr>
            <w:r>
              <w:rPr>
                <w:rFonts w:hint="default" w:ascii="宋体"/>
                <w:sz w:val="24"/>
                <w:szCs w:val="24"/>
              </w:rPr>
              <w:t>项目实施准备欠充分、总体实施安排欠有序、实施规范性布置欠有条理的得1分；</w:t>
            </w:r>
          </w:p>
          <w:p w14:paraId="18B1A8E5">
            <w:pPr>
              <w:spacing w:beforeLines="0" w:afterLines="0"/>
              <w:rPr>
                <w:rFonts w:hint="default" w:ascii="宋体"/>
                <w:sz w:val="24"/>
                <w:szCs w:val="24"/>
                <w:lang w:val="zh-CN"/>
              </w:rPr>
            </w:pPr>
            <w:r>
              <w:rPr>
                <w:rFonts w:hint="default" w:ascii="宋体"/>
                <w:sz w:val="24"/>
                <w:szCs w:val="24"/>
              </w:rPr>
              <w:t>无相关内容不得分。</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B7F4CF">
            <w:pPr>
              <w:spacing w:beforeLines="0" w:afterLines="0"/>
              <w:jc w:val="center"/>
              <w:rPr>
                <w:rFonts w:hint="default" w:eastAsia="宋体"/>
                <w:sz w:val="24"/>
                <w:szCs w:val="24"/>
                <w:lang w:val="en-US" w:eastAsia="zh-CN"/>
              </w:rPr>
            </w:pPr>
            <w:r>
              <w:rPr>
                <w:rFonts w:hint="eastAsia"/>
                <w:sz w:val="24"/>
                <w:szCs w:val="24"/>
                <w:lang w:val="en-US" w:eastAsia="zh-CN"/>
              </w:rPr>
              <w:t>5</w:t>
            </w:r>
          </w:p>
        </w:tc>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0B98A2">
            <w:pPr>
              <w:spacing w:beforeLines="0" w:afterLines="0"/>
              <w:jc w:val="center"/>
              <w:rPr>
                <w:rFonts w:hint="default" w:ascii="宋体"/>
                <w:sz w:val="24"/>
                <w:szCs w:val="24"/>
              </w:rPr>
            </w:pPr>
            <w:r>
              <w:rPr>
                <w:rFonts w:hint="default" w:ascii="宋体"/>
                <w:sz w:val="24"/>
                <w:szCs w:val="24"/>
              </w:rPr>
              <w:t>主观评审</w:t>
            </w:r>
          </w:p>
        </w:tc>
      </w:tr>
      <w:tr w14:paraId="3109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5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0D678BF">
            <w:pPr>
              <w:spacing w:beforeLines="0" w:afterLines="0"/>
              <w:rPr>
                <w:rFonts w:hint="default" w:ascii="宋体"/>
                <w:sz w:val="24"/>
                <w:szCs w:val="24"/>
              </w:rPr>
            </w:pPr>
          </w:p>
        </w:tc>
        <w:tc>
          <w:tcPr>
            <w:tcW w:w="10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698A11">
            <w:pPr>
              <w:spacing w:beforeLines="0" w:afterLines="0"/>
              <w:rPr>
                <w:rFonts w:hint="default"/>
                <w:sz w:val="24"/>
                <w:szCs w:val="24"/>
              </w:rPr>
            </w:pPr>
            <w:r>
              <w:rPr>
                <w:rFonts w:hint="default" w:ascii="宋体"/>
                <w:sz w:val="24"/>
                <w:szCs w:val="24"/>
              </w:rPr>
              <w:t>2、项目理解</w:t>
            </w:r>
          </w:p>
        </w:tc>
        <w:tc>
          <w:tcPr>
            <w:tcW w:w="5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018A87">
            <w:pPr>
              <w:spacing w:beforeLines="0" w:afterLines="0"/>
              <w:rPr>
                <w:rFonts w:hint="default" w:ascii="宋体"/>
                <w:sz w:val="24"/>
                <w:szCs w:val="24"/>
              </w:rPr>
            </w:pPr>
            <w:r>
              <w:rPr>
                <w:rFonts w:hint="default" w:ascii="宋体"/>
                <w:sz w:val="24"/>
                <w:szCs w:val="24"/>
              </w:rPr>
              <w:t>根据供应商针对本项目养护对象现状调研、调研后提供的养护对象现状说明情况进行评议。</w:t>
            </w:r>
          </w:p>
          <w:p w14:paraId="19022116">
            <w:pPr>
              <w:spacing w:beforeLines="0" w:afterLines="0"/>
              <w:rPr>
                <w:rFonts w:hint="default" w:ascii="宋体"/>
                <w:sz w:val="24"/>
                <w:szCs w:val="24"/>
              </w:rPr>
            </w:pPr>
            <w:r>
              <w:rPr>
                <w:rFonts w:hint="default" w:ascii="宋体"/>
                <w:sz w:val="24"/>
                <w:szCs w:val="24"/>
              </w:rPr>
              <w:t>调研深入、分析到位、说明合理的得</w:t>
            </w:r>
            <w:r>
              <w:rPr>
                <w:rFonts w:hint="eastAsia" w:ascii="宋体"/>
                <w:sz w:val="24"/>
                <w:szCs w:val="24"/>
                <w:lang w:val="en-US" w:eastAsia="zh-CN"/>
              </w:rPr>
              <w:t>5</w:t>
            </w:r>
            <w:r>
              <w:rPr>
                <w:rFonts w:hint="default" w:ascii="宋体"/>
                <w:sz w:val="24"/>
                <w:szCs w:val="24"/>
              </w:rPr>
              <w:t>分；</w:t>
            </w:r>
          </w:p>
          <w:p w14:paraId="510D86A3">
            <w:pPr>
              <w:spacing w:beforeLines="0" w:afterLines="0"/>
              <w:rPr>
                <w:rFonts w:hint="default" w:ascii="宋体"/>
                <w:sz w:val="24"/>
                <w:szCs w:val="24"/>
              </w:rPr>
            </w:pPr>
            <w:r>
              <w:rPr>
                <w:rFonts w:hint="default" w:ascii="宋体"/>
                <w:sz w:val="24"/>
                <w:szCs w:val="24"/>
              </w:rPr>
              <w:t>调研较深入、分析较到位、说明较合理的得</w:t>
            </w:r>
            <w:r>
              <w:rPr>
                <w:rFonts w:hint="eastAsia" w:ascii="宋体"/>
                <w:sz w:val="24"/>
                <w:szCs w:val="24"/>
                <w:lang w:val="en-US" w:eastAsia="zh-CN"/>
              </w:rPr>
              <w:t>3</w:t>
            </w:r>
            <w:r>
              <w:rPr>
                <w:rFonts w:hint="default" w:ascii="宋体"/>
                <w:sz w:val="24"/>
                <w:szCs w:val="24"/>
              </w:rPr>
              <w:t>分；</w:t>
            </w:r>
          </w:p>
          <w:p w14:paraId="14C8AABD">
            <w:pPr>
              <w:spacing w:beforeLines="0" w:afterLines="0"/>
              <w:rPr>
                <w:rFonts w:hint="default" w:ascii="宋体"/>
                <w:sz w:val="24"/>
                <w:szCs w:val="24"/>
              </w:rPr>
            </w:pPr>
            <w:r>
              <w:rPr>
                <w:rFonts w:hint="default" w:ascii="宋体"/>
                <w:sz w:val="24"/>
                <w:szCs w:val="24"/>
              </w:rPr>
              <w:t>调研简单、分析欠到位、说明笼统的得1分；</w:t>
            </w:r>
          </w:p>
          <w:p w14:paraId="35E02B7F">
            <w:pPr>
              <w:spacing w:beforeLines="0" w:afterLines="0"/>
              <w:rPr>
                <w:rFonts w:hint="default" w:ascii="宋体"/>
                <w:sz w:val="24"/>
                <w:szCs w:val="24"/>
              </w:rPr>
            </w:pPr>
            <w:r>
              <w:rPr>
                <w:rFonts w:hint="default" w:ascii="宋体"/>
                <w:sz w:val="24"/>
                <w:szCs w:val="24"/>
              </w:rPr>
              <w:t>无相关内容不得分。</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7EFF6D">
            <w:pPr>
              <w:spacing w:beforeLines="0" w:afterLines="0"/>
              <w:jc w:val="center"/>
              <w:rPr>
                <w:rFonts w:hint="default" w:ascii="宋体" w:eastAsia="宋体"/>
                <w:sz w:val="24"/>
                <w:szCs w:val="24"/>
                <w:lang w:val="en-US" w:eastAsia="zh-CN"/>
              </w:rPr>
            </w:pPr>
            <w:r>
              <w:rPr>
                <w:rFonts w:hint="eastAsia" w:ascii="宋体"/>
                <w:sz w:val="24"/>
                <w:szCs w:val="24"/>
                <w:lang w:val="en-US" w:eastAsia="zh-CN"/>
              </w:rPr>
              <w:t>5</w:t>
            </w:r>
          </w:p>
        </w:tc>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07373F">
            <w:pPr>
              <w:spacing w:beforeLines="0" w:afterLines="0"/>
              <w:jc w:val="center"/>
              <w:rPr>
                <w:rFonts w:hint="default" w:ascii="宋体"/>
                <w:sz w:val="24"/>
                <w:szCs w:val="24"/>
              </w:rPr>
            </w:pPr>
            <w:r>
              <w:rPr>
                <w:rFonts w:hint="default" w:ascii="宋体"/>
                <w:sz w:val="24"/>
                <w:szCs w:val="24"/>
              </w:rPr>
              <w:t>主观评审</w:t>
            </w:r>
          </w:p>
        </w:tc>
      </w:tr>
      <w:tr w14:paraId="6B59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5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01925D">
            <w:pPr>
              <w:spacing w:beforeLines="0" w:afterLines="0"/>
              <w:rPr>
                <w:rFonts w:hint="default"/>
                <w:sz w:val="24"/>
                <w:szCs w:val="24"/>
              </w:rPr>
            </w:pPr>
          </w:p>
        </w:tc>
        <w:tc>
          <w:tcPr>
            <w:tcW w:w="104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4517FED">
            <w:pPr>
              <w:spacing w:beforeLines="0" w:afterLines="0"/>
              <w:rPr>
                <w:rFonts w:hint="default"/>
                <w:sz w:val="24"/>
                <w:szCs w:val="24"/>
              </w:rPr>
            </w:pPr>
            <w:r>
              <w:rPr>
                <w:rFonts w:hint="default" w:ascii="宋体"/>
                <w:sz w:val="24"/>
                <w:szCs w:val="24"/>
              </w:rPr>
              <w:t>3、项目重难点分析及解决措施</w:t>
            </w:r>
          </w:p>
        </w:tc>
        <w:tc>
          <w:tcPr>
            <w:tcW w:w="5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22DE1C">
            <w:pPr>
              <w:spacing w:beforeLines="0" w:afterLines="0"/>
              <w:rPr>
                <w:rFonts w:hint="default" w:ascii="宋体"/>
                <w:sz w:val="24"/>
                <w:szCs w:val="24"/>
              </w:rPr>
            </w:pPr>
            <w:r>
              <w:rPr>
                <w:rFonts w:hint="default" w:ascii="宋体"/>
                <w:sz w:val="24"/>
                <w:szCs w:val="24"/>
              </w:rPr>
              <w:t>（1）根据供应商针对本项目的难点、重点问题的调查剖析、预测以及可能造成的影响等情况进行评议。</w:t>
            </w:r>
          </w:p>
          <w:p w14:paraId="6218A8EC">
            <w:pPr>
              <w:spacing w:beforeLines="0" w:afterLines="0"/>
              <w:rPr>
                <w:rFonts w:hint="default" w:ascii="宋体"/>
                <w:sz w:val="24"/>
                <w:szCs w:val="24"/>
              </w:rPr>
            </w:pPr>
            <w:r>
              <w:rPr>
                <w:rFonts w:hint="default" w:ascii="宋体"/>
                <w:sz w:val="24"/>
                <w:szCs w:val="24"/>
              </w:rPr>
              <w:t>调查剖析精准、预测考虑全面的得5分；</w:t>
            </w:r>
          </w:p>
          <w:p w14:paraId="5CF89AED">
            <w:pPr>
              <w:spacing w:beforeLines="0" w:afterLines="0"/>
              <w:rPr>
                <w:rFonts w:hint="default" w:ascii="宋体"/>
                <w:sz w:val="24"/>
                <w:szCs w:val="24"/>
              </w:rPr>
            </w:pPr>
            <w:r>
              <w:rPr>
                <w:rFonts w:hint="default" w:ascii="宋体"/>
                <w:sz w:val="24"/>
                <w:szCs w:val="24"/>
              </w:rPr>
              <w:t>调查剖析较精准、预测考虑较全面的得3分；</w:t>
            </w:r>
          </w:p>
          <w:p w14:paraId="64AE0E7C">
            <w:pPr>
              <w:spacing w:beforeLines="0" w:afterLines="0"/>
              <w:rPr>
                <w:rFonts w:hint="default" w:ascii="宋体"/>
                <w:sz w:val="24"/>
                <w:szCs w:val="24"/>
              </w:rPr>
            </w:pPr>
            <w:r>
              <w:rPr>
                <w:rFonts w:hint="default" w:ascii="宋体"/>
                <w:sz w:val="24"/>
                <w:szCs w:val="24"/>
              </w:rPr>
              <w:t>调查剖析欠精准、预测考虑欠全面的得1分；</w:t>
            </w:r>
          </w:p>
          <w:p w14:paraId="5803B610">
            <w:pPr>
              <w:spacing w:beforeLines="0" w:afterLines="0"/>
              <w:rPr>
                <w:rFonts w:hint="default" w:ascii="宋体"/>
                <w:sz w:val="24"/>
                <w:szCs w:val="24"/>
              </w:rPr>
            </w:pPr>
            <w:r>
              <w:rPr>
                <w:rFonts w:hint="default" w:ascii="宋体"/>
                <w:sz w:val="24"/>
                <w:szCs w:val="24"/>
              </w:rPr>
              <w:t>无相关内容不得分。</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C21C9F">
            <w:pPr>
              <w:spacing w:beforeLines="0" w:afterLines="0"/>
              <w:jc w:val="center"/>
              <w:rPr>
                <w:rFonts w:hint="default" w:ascii="宋体"/>
                <w:sz w:val="24"/>
                <w:szCs w:val="24"/>
              </w:rPr>
            </w:pPr>
            <w:r>
              <w:rPr>
                <w:rFonts w:hint="default" w:ascii="宋体"/>
                <w:sz w:val="24"/>
                <w:szCs w:val="24"/>
              </w:rPr>
              <w:t>5</w:t>
            </w:r>
          </w:p>
        </w:tc>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CB37BA">
            <w:pPr>
              <w:spacing w:beforeLines="0" w:afterLines="0"/>
              <w:jc w:val="center"/>
              <w:rPr>
                <w:rFonts w:hint="default" w:ascii="宋体"/>
                <w:sz w:val="24"/>
                <w:szCs w:val="24"/>
              </w:rPr>
            </w:pPr>
            <w:r>
              <w:rPr>
                <w:rFonts w:hint="default" w:ascii="宋体"/>
                <w:sz w:val="24"/>
                <w:szCs w:val="24"/>
              </w:rPr>
              <w:t>主观评审</w:t>
            </w:r>
          </w:p>
        </w:tc>
      </w:tr>
      <w:tr w14:paraId="4A12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5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5C1ED2F">
            <w:pPr>
              <w:spacing w:beforeLines="0" w:afterLines="0"/>
              <w:rPr>
                <w:rFonts w:hint="default" w:ascii="宋体"/>
                <w:sz w:val="24"/>
                <w:szCs w:val="24"/>
              </w:rPr>
            </w:pPr>
          </w:p>
        </w:tc>
        <w:tc>
          <w:tcPr>
            <w:tcW w:w="104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BE7597E">
            <w:pPr>
              <w:spacing w:beforeLines="0" w:afterLines="0"/>
              <w:rPr>
                <w:rFonts w:hint="default" w:ascii="宋体"/>
                <w:sz w:val="24"/>
                <w:szCs w:val="24"/>
              </w:rPr>
            </w:pPr>
          </w:p>
        </w:tc>
        <w:tc>
          <w:tcPr>
            <w:tcW w:w="5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2CB204">
            <w:pPr>
              <w:spacing w:beforeLines="0" w:afterLines="0"/>
              <w:rPr>
                <w:rFonts w:hint="default" w:ascii="宋体"/>
                <w:sz w:val="24"/>
                <w:szCs w:val="24"/>
              </w:rPr>
            </w:pPr>
            <w:r>
              <w:rPr>
                <w:rFonts w:hint="default" w:ascii="宋体"/>
                <w:sz w:val="24"/>
                <w:szCs w:val="24"/>
              </w:rPr>
              <w:t>（2）根据供应商针对本项目的难点、重点问题提出的克服解决措施建议、具体实施安排以及实施方式方法等情况进行评议。</w:t>
            </w:r>
          </w:p>
          <w:p w14:paraId="555F3794">
            <w:pPr>
              <w:spacing w:beforeLines="0" w:afterLines="0"/>
              <w:rPr>
                <w:rFonts w:hint="default" w:ascii="宋体"/>
                <w:sz w:val="24"/>
                <w:szCs w:val="24"/>
              </w:rPr>
            </w:pPr>
            <w:r>
              <w:rPr>
                <w:rFonts w:hint="default" w:ascii="宋体"/>
                <w:sz w:val="24"/>
                <w:szCs w:val="24"/>
              </w:rPr>
              <w:t>解决措施合理有效、方式方法多样稳妥的得5分；</w:t>
            </w:r>
          </w:p>
          <w:p w14:paraId="430502B8">
            <w:pPr>
              <w:spacing w:beforeLines="0" w:afterLines="0"/>
              <w:rPr>
                <w:rFonts w:hint="default" w:ascii="宋体"/>
                <w:sz w:val="24"/>
                <w:szCs w:val="24"/>
              </w:rPr>
            </w:pPr>
            <w:r>
              <w:rPr>
                <w:rFonts w:hint="default" w:ascii="宋体"/>
                <w:sz w:val="24"/>
                <w:szCs w:val="24"/>
              </w:rPr>
              <w:t>解决措施较合理有效、方式方法较多样稳妥的得3分；</w:t>
            </w:r>
          </w:p>
          <w:p w14:paraId="0BDE0CAB">
            <w:pPr>
              <w:spacing w:beforeLines="0" w:afterLines="0"/>
              <w:rPr>
                <w:rFonts w:hint="default" w:ascii="宋体"/>
                <w:sz w:val="24"/>
                <w:szCs w:val="24"/>
              </w:rPr>
            </w:pPr>
            <w:r>
              <w:rPr>
                <w:rFonts w:hint="default" w:ascii="宋体"/>
                <w:sz w:val="24"/>
                <w:szCs w:val="24"/>
              </w:rPr>
              <w:t>解决措施欠合理有效、方式方法欠多样稳妥的得1分；</w:t>
            </w:r>
          </w:p>
          <w:p w14:paraId="7FB61C23">
            <w:pPr>
              <w:spacing w:beforeLines="0" w:afterLines="0"/>
              <w:rPr>
                <w:rFonts w:hint="default" w:ascii="宋体"/>
                <w:sz w:val="24"/>
                <w:szCs w:val="24"/>
              </w:rPr>
            </w:pPr>
            <w:r>
              <w:rPr>
                <w:rFonts w:hint="default" w:ascii="宋体"/>
                <w:sz w:val="24"/>
                <w:szCs w:val="24"/>
              </w:rPr>
              <w:t>无相关内容不得分。</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E0C5C0">
            <w:pPr>
              <w:spacing w:beforeLines="0" w:afterLines="0"/>
              <w:jc w:val="center"/>
              <w:rPr>
                <w:rFonts w:hint="default" w:ascii="宋体"/>
                <w:sz w:val="24"/>
                <w:szCs w:val="24"/>
              </w:rPr>
            </w:pPr>
            <w:r>
              <w:rPr>
                <w:rFonts w:hint="default" w:ascii="宋体"/>
                <w:sz w:val="24"/>
                <w:szCs w:val="24"/>
              </w:rPr>
              <w:t>5</w:t>
            </w:r>
          </w:p>
        </w:tc>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9F5712">
            <w:pPr>
              <w:spacing w:beforeLines="0" w:afterLines="0"/>
              <w:jc w:val="center"/>
              <w:rPr>
                <w:rFonts w:hint="default" w:ascii="宋体"/>
                <w:sz w:val="24"/>
                <w:szCs w:val="24"/>
              </w:rPr>
            </w:pPr>
            <w:r>
              <w:rPr>
                <w:rFonts w:hint="default" w:ascii="宋体"/>
                <w:sz w:val="24"/>
                <w:szCs w:val="24"/>
              </w:rPr>
              <w:t>主观评审</w:t>
            </w:r>
          </w:p>
        </w:tc>
      </w:tr>
      <w:tr w14:paraId="32ED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5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50582EB">
            <w:pPr>
              <w:spacing w:beforeLines="0" w:afterLines="0"/>
              <w:rPr>
                <w:rFonts w:hint="default"/>
                <w:sz w:val="24"/>
                <w:szCs w:val="24"/>
              </w:rPr>
            </w:pPr>
          </w:p>
        </w:tc>
        <w:tc>
          <w:tcPr>
            <w:tcW w:w="104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19370D9">
            <w:pPr>
              <w:spacing w:beforeLines="0" w:afterLines="0"/>
              <w:rPr>
                <w:rFonts w:hint="default"/>
                <w:sz w:val="24"/>
                <w:szCs w:val="24"/>
              </w:rPr>
            </w:pPr>
            <w:r>
              <w:rPr>
                <w:rFonts w:hint="default" w:ascii="宋体"/>
                <w:sz w:val="24"/>
                <w:szCs w:val="24"/>
              </w:rPr>
              <w:t>4、管道疏通养护实施管理方案</w:t>
            </w:r>
          </w:p>
        </w:tc>
        <w:tc>
          <w:tcPr>
            <w:tcW w:w="5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93F7C8">
            <w:pPr>
              <w:spacing w:beforeLines="0" w:afterLines="0"/>
              <w:rPr>
                <w:rFonts w:hint="default" w:ascii="宋体"/>
                <w:sz w:val="24"/>
                <w:szCs w:val="24"/>
              </w:rPr>
            </w:pPr>
            <w:r>
              <w:rPr>
                <w:rFonts w:hint="default" w:ascii="宋体"/>
                <w:sz w:val="24"/>
                <w:szCs w:val="24"/>
              </w:rPr>
              <w:t>（1）根据供应商针对本项目制定的管道日常养护、巡查方案进行评议。</w:t>
            </w:r>
          </w:p>
          <w:p w14:paraId="273FB6B1">
            <w:pPr>
              <w:spacing w:beforeLines="0" w:afterLines="0"/>
              <w:rPr>
                <w:rFonts w:hint="default" w:ascii="宋体"/>
                <w:sz w:val="24"/>
                <w:szCs w:val="24"/>
              </w:rPr>
            </w:pPr>
            <w:r>
              <w:rPr>
                <w:rFonts w:hint="default" w:ascii="宋体"/>
                <w:sz w:val="24"/>
                <w:szCs w:val="24"/>
              </w:rPr>
              <w:t>方案详细、考虑周全且合理可行的得5分；</w:t>
            </w:r>
          </w:p>
          <w:p w14:paraId="2BE88B8F">
            <w:pPr>
              <w:spacing w:beforeLines="0" w:afterLines="0"/>
              <w:rPr>
                <w:rFonts w:hint="default" w:ascii="宋体"/>
                <w:sz w:val="24"/>
                <w:szCs w:val="24"/>
              </w:rPr>
            </w:pPr>
            <w:r>
              <w:rPr>
                <w:rFonts w:hint="default" w:ascii="宋体"/>
                <w:sz w:val="24"/>
                <w:szCs w:val="24"/>
              </w:rPr>
              <w:t>方案较详细、考虑较周全且较合理可行的得3分；</w:t>
            </w:r>
          </w:p>
          <w:p w14:paraId="27C76984">
            <w:pPr>
              <w:spacing w:beforeLines="0" w:afterLines="0"/>
              <w:rPr>
                <w:rFonts w:hint="default" w:ascii="宋体"/>
                <w:sz w:val="24"/>
                <w:szCs w:val="24"/>
              </w:rPr>
            </w:pPr>
            <w:r>
              <w:rPr>
                <w:rFonts w:hint="default" w:ascii="宋体"/>
                <w:sz w:val="24"/>
                <w:szCs w:val="24"/>
              </w:rPr>
              <w:t>方案欠详细、考虑欠周全且欠合理可行的得1分；</w:t>
            </w:r>
          </w:p>
          <w:p w14:paraId="34D0EE2C">
            <w:pPr>
              <w:spacing w:beforeLines="0" w:afterLines="0"/>
              <w:rPr>
                <w:rFonts w:hint="default" w:ascii="宋体"/>
                <w:sz w:val="24"/>
                <w:szCs w:val="24"/>
              </w:rPr>
            </w:pPr>
            <w:r>
              <w:rPr>
                <w:rFonts w:hint="default" w:ascii="宋体"/>
                <w:sz w:val="24"/>
                <w:szCs w:val="24"/>
              </w:rPr>
              <w:t>无相关内容不得分。</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874CCA">
            <w:pPr>
              <w:spacing w:beforeLines="0" w:afterLines="0"/>
              <w:jc w:val="center"/>
              <w:rPr>
                <w:rFonts w:hint="default" w:ascii="宋体"/>
                <w:sz w:val="24"/>
                <w:szCs w:val="24"/>
              </w:rPr>
            </w:pPr>
            <w:r>
              <w:rPr>
                <w:rFonts w:hint="default" w:ascii="宋体"/>
                <w:sz w:val="24"/>
                <w:szCs w:val="24"/>
              </w:rPr>
              <w:t>5</w:t>
            </w:r>
          </w:p>
        </w:tc>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5D7EE2">
            <w:pPr>
              <w:spacing w:beforeLines="0" w:afterLines="0"/>
              <w:jc w:val="center"/>
              <w:rPr>
                <w:rFonts w:hint="default" w:ascii="宋体"/>
                <w:sz w:val="24"/>
                <w:szCs w:val="24"/>
              </w:rPr>
            </w:pPr>
            <w:r>
              <w:rPr>
                <w:rFonts w:hint="default" w:ascii="宋体"/>
                <w:sz w:val="24"/>
                <w:szCs w:val="24"/>
              </w:rPr>
              <w:t>主观评审</w:t>
            </w:r>
          </w:p>
        </w:tc>
      </w:tr>
      <w:tr w14:paraId="2ECE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5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B18AEF1">
            <w:pPr>
              <w:spacing w:beforeLines="0" w:afterLines="0"/>
              <w:rPr>
                <w:rFonts w:hint="default"/>
                <w:sz w:val="24"/>
                <w:szCs w:val="24"/>
              </w:rPr>
            </w:pPr>
          </w:p>
        </w:tc>
        <w:tc>
          <w:tcPr>
            <w:tcW w:w="104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F08D0BB">
            <w:pPr>
              <w:spacing w:beforeLines="0" w:afterLines="0"/>
              <w:rPr>
                <w:rFonts w:hint="default"/>
                <w:sz w:val="24"/>
                <w:szCs w:val="24"/>
              </w:rPr>
            </w:pPr>
          </w:p>
        </w:tc>
        <w:tc>
          <w:tcPr>
            <w:tcW w:w="5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EB565F">
            <w:pPr>
              <w:spacing w:beforeLines="0" w:afterLines="0"/>
              <w:rPr>
                <w:rFonts w:hint="default" w:ascii="宋体"/>
                <w:sz w:val="24"/>
                <w:szCs w:val="24"/>
              </w:rPr>
            </w:pPr>
            <w:r>
              <w:rPr>
                <w:rFonts w:hint="default" w:ascii="宋体"/>
                <w:sz w:val="24"/>
                <w:szCs w:val="24"/>
              </w:rPr>
              <w:t>（2）根据供应商针对本项目制定的管道及其他排水设施维修管理方案进行评议。</w:t>
            </w:r>
          </w:p>
          <w:p w14:paraId="4391491E">
            <w:pPr>
              <w:spacing w:beforeLines="0" w:afterLines="0"/>
              <w:rPr>
                <w:rFonts w:hint="default" w:ascii="宋体"/>
                <w:sz w:val="24"/>
                <w:szCs w:val="24"/>
              </w:rPr>
            </w:pPr>
            <w:r>
              <w:rPr>
                <w:rFonts w:hint="default" w:ascii="宋体"/>
                <w:sz w:val="24"/>
                <w:szCs w:val="24"/>
              </w:rPr>
              <w:t>方案详细、考虑周全且合理可行的得5分；</w:t>
            </w:r>
          </w:p>
          <w:p w14:paraId="74030F49">
            <w:pPr>
              <w:spacing w:beforeLines="0" w:afterLines="0"/>
              <w:rPr>
                <w:rFonts w:hint="default" w:ascii="宋体"/>
                <w:sz w:val="24"/>
                <w:szCs w:val="24"/>
              </w:rPr>
            </w:pPr>
            <w:r>
              <w:rPr>
                <w:rFonts w:hint="default" w:ascii="宋体"/>
                <w:sz w:val="24"/>
                <w:szCs w:val="24"/>
              </w:rPr>
              <w:t>方案较详细、考虑较周全且较合理可行的得3分；</w:t>
            </w:r>
          </w:p>
          <w:p w14:paraId="08AB14D8">
            <w:pPr>
              <w:spacing w:beforeLines="0" w:afterLines="0"/>
              <w:rPr>
                <w:rFonts w:hint="default" w:ascii="宋体"/>
                <w:sz w:val="24"/>
                <w:szCs w:val="24"/>
              </w:rPr>
            </w:pPr>
            <w:r>
              <w:rPr>
                <w:rFonts w:hint="default" w:ascii="宋体"/>
                <w:sz w:val="24"/>
                <w:szCs w:val="24"/>
              </w:rPr>
              <w:t>方案欠详细、考虑欠周全且欠合理可行的得1分；</w:t>
            </w:r>
          </w:p>
          <w:p w14:paraId="019C4E5D">
            <w:pPr>
              <w:spacing w:beforeLines="0" w:afterLines="0"/>
              <w:rPr>
                <w:rFonts w:hint="default" w:ascii="宋体"/>
                <w:sz w:val="24"/>
                <w:szCs w:val="24"/>
              </w:rPr>
            </w:pPr>
            <w:r>
              <w:rPr>
                <w:rFonts w:hint="default" w:ascii="宋体"/>
                <w:sz w:val="24"/>
                <w:szCs w:val="24"/>
              </w:rPr>
              <w:t>无相关内容不得分。</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A7A16A">
            <w:pPr>
              <w:spacing w:beforeLines="0" w:afterLines="0"/>
              <w:jc w:val="center"/>
              <w:rPr>
                <w:rFonts w:hint="default" w:ascii="宋体"/>
                <w:sz w:val="24"/>
                <w:szCs w:val="24"/>
              </w:rPr>
            </w:pPr>
            <w:r>
              <w:rPr>
                <w:rFonts w:hint="default" w:ascii="宋体"/>
                <w:sz w:val="24"/>
                <w:szCs w:val="24"/>
              </w:rPr>
              <w:t>5</w:t>
            </w:r>
          </w:p>
        </w:tc>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8C098B">
            <w:pPr>
              <w:spacing w:beforeLines="0" w:afterLines="0"/>
              <w:jc w:val="center"/>
              <w:rPr>
                <w:rFonts w:hint="default" w:ascii="宋体"/>
                <w:sz w:val="24"/>
                <w:szCs w:val="24"/>
              </w:rPr>
            </w:pPr>
            <w:r>
              <w:rPr>
                <w:rFonts w:hint="default" w:ascii="宋体"/>
                <w:sz w:val="24"/>
                <w:szCs w:val="24"/>
              </w:rPr>
              <w:t>主观评审</w:t>
            </w:r>
          </w:p>
        </w:tc>
      </w:tr>
      <w:tr w14:paraId="6504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5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54896AF">
            <w:pPr>
              <w:spacing w:beforeLines="0" w:afterLines="0"/>
              <w:rPr>
                <w:rFonts w:hint="default"/>
                <w:sz w:val="24"/>
                <w:szCs w:val="24"/>
              </w:rPr>
            </w:pPr>
          </w:p>
        </w:tc>
        <w:tc>
          <w:tcPr>
            <w:tcW w:w="10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BB0EA3">
            <w:pPr>
              <w:spacing w:beforeLines="0" w:afterLines="0"/>
              <w:jc w:val="center"/>
              <w:rPr>
                <w:rFonts w:hint="default"/>
                <w:sz w:val="24"/>
                <w:szCs w:val="24"/>
              </w:rPr>
            </w:pPr>
            <w:r>
              <w:rPr>
                <w:rFonts w:hint="default" w:ascii="宋体"/>
                <w:sz w:val="24"/>
                <w:szCs w:val="24"/>
              </w:rPr>
              <w:t>5、施工进度计划方案</w:t>
            </w:r>
          </w:p>
        </w:tc>
        <w:tc>
          <w:tcPr>
            <w:tcW w:w="5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220BB3">
            <w:pPr>
              <w:spacing w:beforeLines="0" w:afterLines="0"/>
              <w:rPr>
                <w:rFonts w:hint="default"/>
                <w:sz w:val="24"/>
                <w:szCs w:val="24"/>
              </w:rPr>
            </w:pPr>
            <w:r>
              <w:rPr>
                <w:rFonts w:hint="default" w:ascii="宋体"/>
                <w:sz w:val="24"/>
                <w:szCs w:val="24"/>
              </w:rPr>
              <w:t>根据供应商针对本项目制定的施工进度计划方案进行评议。</w:t>
            </w:r>
          </w:p>
          <w:p w14:paraId="3E234B7A">
            <w:pPr>
              <w:spacing w:beforeLines="0" w:afterLines="0"/>
              <w:rPr>
                <w:rFonts w:hint="default"/>
                <w:sz w:val="24"/>
                <w:szCs w:val="24"/>
              </w:rPr>
            </w:pPr>
            <w:r>
              <w:rPr>
                <w:rFonts w:hint="default" w:ascii="宋体"/>
                <w:sz w:val="24"/>
                <w:szCs w:val="24"/>
              </w:rPr>
              <w:t>方案详细、考虑周全且合理可行的得5分；</w:t>
            </w:r>
          </w:p>
          <w:p w14:paraId="0AD24E05">
            <w:pPr>
              <w:spacing w:beforeLines="0" w:afterLines="0"/>
              <w:rPr>
                <w:rFonts w:hint="default"/>
                <w:sz w:val="24"/>
                <w:szCs w:val="24"/>
              </w:rPr>
            </w:pPr>
            <w:r>
              <w:rPr>
                <w:rFonts w:hint="default" w:ascii="宋体"/>
                <w:sz w:val="24"/>
                <w:szCs w:val="24"/>
              </w:rPr>
              <w:t>方案较详细、考虑较周全且较合理可行的得3分；</w:t>
            </w:r>
          </w:p>
          <w:p w14:paraId="4559BF2C">
            <w:pPr>
              <w:spacing w:beforeLines="0" w:afterLines="0"/>
              <w:rPr>
                <w:rFonts w:hint="default"/>
                <w:sz w:val="24"/>
                <w:szCs w:val="24"/>
              </w:rPr>
            </w:pPr>
            <w:r>
              <w:rPr>
                <w:rFonts w:hint="default" w:ascii="宋体"/>
                <w:sz w:val="24"/>
                <w:szCs w:val="24"/>
              </w:rPr>
              <w:t>方案欠详细、考虑欠周全且欠合理可行的得1分；</w:t>
            </w:r>
          </w:p>
          <w:p w14:paraId="0CBB2E29">
            <w:pPr>
              <w:spacing w:beforeLines="0" w:afterLines="0"/>
              <w:rPr>
                <w:rFonts w:hint="default"/>
                <w:sz w:val="24"/>
                <w:szCs w:val="24"/>
              </w:rPr>
            </w:pPr>
            <w:r>
              <w:rPr>
                <w:rFonts w:hint="default" w:ascii="宋体"/>
                <w:sz w:val="24"/>
                <w:szCs w:val="24"/>
              </w:rPr>
              <w:t>无相关内容不得分。</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537A26">
            <w:pPr>
              <w:spacing w:beforeLines="0" w:afterLines="0"/>
              <w:jc w:val="center"/>
              <w:rPr>
                <w:rFonts w:hint="default"/>
                <w:sz w:val="24"/>
                <w:szCs w:val="24"/>
              </w:rPr>
            </w:pPr>
            <w:r>
              <w:rPr>
                <w:rFonts w:hint="default" w:ascii="宋体"/>
                <w:sz w:val="24"/>
                <w:szCs w:val="24"/>
              </w:rPr>
              <w:t>5</w:t>
            </w:r>
          </w:p>
        </w:tc>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11BA44">
            <w:pPr>
              <w:spacing w:beforeLines="0" w:afterLines="0"/>
              <w:jc w:val="center"/>
              <w:rPr>
                <w:rFonts w:hint="default" w:ascii="宋体"/>
                <w:sz w:val="24"/>
                <w:szCs w:val="24"/>
              </w:rPr>
            </w:pPr>
            <w:r>
              <w:rPr>
                <w:rFonts w:hint="default" w:ascii="宋体"/>
                <w:sz w:val="24"/>
                <w:szCs w:val="24"/>
              </w:rPr>
              <w:t>主观评审</w:t>
            </w:r>
          </w:p>
        </w:tc>
      </w:tr>
      <w:tr w14:paraId="1515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5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A4D100B">
            <w:pPr>
              <w:spacing w:beforeLines="0" w:afterLines="0"/>
              <w:rPr>
                <w:rFonts w:hint="default"/>
                <w:sz w:val="24"/>
                <w:szCs w:val="24"/>
              </w:rPr>
            </w:pPr>
          </w:p>
        </w:tc>
        <w:tc>
          <w:tcPr>
            <w:tcW w:w="104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B0058BC">
            <w:pPr>
              <w:spacing w:beforeLines="0" w:afterLines="0"/>
              <w:rPr>
                <w:rFonts w:hint="default" w:ascii="宋体"/>
                <w:sz w:val="24"/>
                <w:szCs w:val="24"/>
              </w:rPr>
            </w:pPr>
            <w:r>
              <w:rPr>
                <w:rFonts w:hint="default" w:ascii="宋体"/>
                <w:sz w:val="24"/>
                <w:szCs w:val="24"/>
              </w:rPr>
              <w:t>6、服务管理体系、质量保证措施、内部监督考核机制</w:t>
            </w:r>
          </w:p>
        </w:tc>
        <w:tc>
          <w:tcPr>
            <w:tcW w:w="5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EA9325">
            <w:pPr>
              <w:spacing w:beforeLines="0" w:afterLines="0"/>
              <w:rPr>
                <w:rFonts w:hint="default" w:ascii="宋体"/>
                <w:sz w:val="24"/>
                <w:szCs w:val="24"/>
              </w:rPr>
            </w:pPr>
            <w:r>
              <w:rPr>
                <w:rFonts w:hint="default" w:ascii="宋体"/>
                <w:sz w:val="24"/>
                <w:szCs w:val="24"/>
              </w:rPr>
              <w:t>（1）根据供应商针对本项目制定的服务管理体系、质量保证措施进行评议。</w:t>
            </w:r>
          </w:p>
          <w:p w14:paraId="013829DB">
            <w:pPr>
              <w:spacing w:beforeLines="0" w:afterLines="0"/>
              <w:rPr>
                <w:rFonts w:hint="default" w:ascii="宋体"/>
                <w:sz w:val="24"/>
                <w:szCs w:val="24"/>
              </w:rPr>
            </w:pPr>
            <w:r>
              <w:rPr>
                <w:rFonts w:hint="default" w:ascii="宋体"/>
                <w:sz w:val="24"/>
                <w:szCs w:val="24"/>
              </w:rPr>
              <w:t>体系完备、成果质量保证措施考虑周全、技术操作规程规范合理可行的得5分；</w:t>
            </w:r>
          </w:p>
          <w:p w14:paraId="20210F08">
            <w:pPr>
              <w:spacing w:beforeLines="0" w:afterLines="0"/>
              <w:rPr>
                <w:rFonts w:hint="default" w:ascii="宋体"/>
                <w:sz w:val="24"/>
                <w:szCs w:val="24"/>
              </w:rPr>
            </w:pPr>
            <w:r>
              <w:rPr>
                <w:rFonts w:hint="default" w:ascii="宋体"/>
                <w:sz w:val="24"/>
                <w:szCs w:val="24"/>
              </w:rPr>
              <w:t>体系较完备、成果质量保证措施考虑较周全、技术操作规程规范较合理可行的得3分；</w:t>
            </w:r>
          </w:p>
          <w:p w14:paraId="26340AC8">
            <w:pPr>
              <w:spacing w:beforeLines="0" w:afterLines="0"/>
              <w:rPr>
                <w:rFonts w:hint="default" w:ascii="宋体"/>
                <w:sz w:val="24"/>
                <w:szCs w:val="24"/>
              </w:rPr>
            </w:pPr>
            <w:r>
              <w:rPr>
                <w:rFonts w:hint="default" w:ascii="宋体"/>
                <w:sz w:val="24"/>
                <w:szCs w:val="24"/>
              </w:rPr>
              <w:t>体系单一、成果质量保证措施考虑欠周全、技术操作规程规范欠合理可行的得1分；</w:t>
            </w:r>
          </w:p>
          <w:p w14:paraId="330A6BAA">
            <w:pPr>
              <w:spacing w:beforeLines="0" w:afterLines="0"/>
              <w:rPr>
                <w:rFonts w:hint="default" w:ascii="宋体"/>
                <w:sz w:val="24"/>
                <w:szCs w:val="24"/>
              </w:rPr>
            </w:pPr>
            <w:r>
              <w:rPr>
                <w:rFonts w:hint="default" w:ascii="宋体"/>
                <w:sz w:val="24"/>
                <w:szCs w:val="24"/>
              </w:rPr>
              <w:t>无相关内容不得分。</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F56DE1">
            <w:pPr>
              <w:spacing w:beforeLines="0" w:afterLines="0"/>
              <w:jc w:val="center"/>
              <w:rPr>
                <w:rFonts w:hint="default" w:ascii="宋体"/>
                <w:sz w:val="24"/>
                <w:szCs w:val="24"/>
              </w:rPr>
            </w:pPr>
            <w:r>
              <w:rPr>
                <w:rFonts w:hint="default" w:ascii="宋体"/>
                <w:sz w:val="24"/>
                <w:szCs w:val="24"/>
              </w:rPr>
              <w:t>5</w:t>
            </w:r>
          </w:p>
        </w:tc>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24B216">
            <w:pPr>
              <w:spacing w:beforeLines="0" w:afterLines="0"/>
              <w:jc w:val="center"/>
              <w:rPr>
                <w:rFonts w:hint="default" w:ascii="宋体"/>
                <w:sz w:val="24"/>
                <w:szCs w:val="24"/>
              </w:rPr>
            </w:pPr>
            <w:r>
              <w:rPr>
                <w:rFonts w:hint="default" w:ascii="宋体"/>
                <w:sz w:val="24"/>
                <w:szCs w:val="24"/>
              </w:rPr>
              <w:t>主观评审</w:t>
            </w:r>
          </w:p>
        </w:tc>
      </w:tr>
      <w:tr w14:paraId="426B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5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FF81258">
            <w:pPr>
              <w:spacing w:beforeLines="0" w:afterLines="0"/>
              <w:rPr>
                <w:rFonts w:hint="default" w:ascii="宋体"/>
                <w:sz w:val="24"/>
                <w:szCs w:val="24"/>
              </w:rPr>
            </w:pPr>
          </w:p>
        </w:tc>
        <w:tc>
          <w:tcPr>
            <w:tcW w:w="104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BA40313">
            <w:pPr>
              <w:spacing w:beforeLines="0" w:afterLines="0"/>
              <w:rPr>
                <w:rFonts w:hint="default" w:ascii="宋体"/>
                <w:sz w:val="24"/>
                <w:szCs w:val="24"/>
              </w:rPr>
            </w:pPr>
          </w:p>
        </w:tc>
        <w:tc>
          <w:tcPr>
            <w:tcW w:w="5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F85676">
            <w:pPr>
              <w:spacing w:beforeLines="0" w:afterLines="0"/>
              <w:rPr>
                <w:rFonts w:hint="default" w:ascii="宋体"/>
                <w:sz w:val="24"/>
                <w:szCs w:val="24"/>
              </w:rPr>
            </w:pPr>
            <w:r>
              <w:rPr>
                <w:rFonts w:hint="default" w:ascii="宋体"/>
                <w:sz w:val="24"/>
                <w:szCs w:val="24"/>
              </w:rPr>
              <w:t>（2）根据供应商针对本项目提供的内部监督考核机制、考核办法及针对考核结果的补救措施和奖罚方案进行评议。</w:t>
            </w:r>
          </w:p>
          <w:p w14:paraId="300234DD">
            <w:pPr>
              <w:spacing w:beforeLines="0" w:afterLines="0"/>
              <w:rPr>
                <w:rFonts w:hint="default" w:ascii="宋体"/>
                <w:sz w:val="24"/>
                <w:szCs w:val="24"/>
              </w:rPr>
            </w:pPr>
            <w:r>
              <w:rPr>
                <w:rFonts w:hint="default" w:ascii="宋体"/>
                <w:sz w:val="24"/>
                <w:szCs w:val="24"/>
              </w:rPr>
              <w:t>方案详细、考虑周全且合理可行的得5分；</w:t>
            </w:r>
          </w:p>
          <w:p w14:paraId="408D433A">
            <w:pPr>
              <w:spacing w:beforeLines="0" w:afterLines="0"/>
              <w:rPr>
                <w:rFonts w:hint="default" w:ascii="宋体"/>
                <w:sz w:val="24"/>
                <w:szCs w:val="24"/>
              </w:rPr>
            </w:pPr>
            <w:r>
              <w:rPr>
                <w:rFonts w:hint="default" w:ascii="宋体"/>
                <w:sz w:val="24"/>
                <w:szCs w:val="24"/>
              </w:rPr>
              <w:t>方案较详细、考虑较周全且较合理可行的得3分；</w:t>
            </w:r>
          </w:p>
          <w:p w14:paraId="10EBBA5F">
            <w:pPr>
              <w:spacing w:beforeLines="0" w:afterLines="0"/>
              <w:rPr>
                <w:rFonts w:hint="default" w:ascii="宋体"/>
                <w:sz w:val="24"/>
                <w:szCs w:val="24"/>
              </w:rPr>
            </w:pPr>
            <w:r>
              <w:rPr>
                <w:rFonts w:hint="default" w:ascii="宋体"/>
                <w:sz w:val="24"/>
                <w:szCs w:val="24"/>
              </w:rPr>
              <w:t>方案欠详细、考虑欠周全且欠合理可行的得1分；</w:t>
            </w:r>
          </w:p>
          <w:p w14:paraId="0FE7F597">
            <w:pPr>
              <w:spacing w:beforeLines="0" w:afterLines="0"/>
              <w:rPr>
                <w:rFonts w:hint="default" w:ascii="宋体"/>
                <w:sz w:val="24"/>
                <w:szCs w:val="24"/>
              </w:rPr>
            </w:pPr>
            <w:r>
              <w:rPr>
                <w:rFonts w:hint="default" w:ascii="宋体"/>
                <w:sz w:val="24"/>
                <w:szCs w:val="24"/>
              </w:rPr>
              <w:t>无相关内容不得分。</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030816">
            <w:pPr>
              <w:spacing w:beforeLines="0" w:afterLines="0"/>
              <w:jc w:val="center"/>
              <w:rPr>
                <w:rFonts w:hint="default" w:ascii="宋体"/>
                <w:sz w:val="24"/>
                <w:szCs w:val="24"/>
              </w:rPr>
            </w:pPr>
            <w:r>
              <w:rPr>
                <w:rFonts w:hint="default" w:ascii="宋体"/>
                <w:sz w:val="24"/>
                <w:szCs w:val="24"/>
              </w:rPr>
              <w:t>5</w:t>
            </w:r>
          </w:p>
        </w:tc>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7B1238">
            <w:pPr>
              <w:spacing w:beforeLines="0" w:afterLines="0"/>
              <w:jc w:val="center"/>
              <w:rPr>
                <w:rFonts w:hint="default" w:ascii="宋体"/>
                <w:sz w:val="24"/>
                <w:szCs w:val="24"/>
              </w:rPr>
            </w:pPr>
            <w:r>
              <w:rPr>
                <w:rFonts w:hint="default" w:ascii="宋体"/>
                <w:sz w:val="24"/>
                <w:szCs w:val="24"/>
              </w:rPr>
              <w:t>主观评审</w:t>
            </w:r>
          </w:p>
        </w:tc>
      </w:tr>
      <w:tr w14:paraId="2919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C82DBFF">
            <w:pPr>
              <w:spacing w:beforeLines="0" w:afterLines="0"/>
              <w:rPr>
                <w:rFonts w:hint="default" w:ascii="宋体"/>
                <w:sz w:val="24"/>
                <w:szCs w:val="24"/>
              </w:rPr>
            </w:pPr>
          </w:p>
        </w:tc>
        <w:tc>
          <w:tcPr>
            <w:tcW w:w="104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27838F2">
            <w:pPr>
              <w:spacing w:beforeLines="0" w:afterLines="0"/>
              <w:rPr>
                <w:rFonts w:hint="default" w:ascii="宋体"/>
                <w:sz w:val="24"/>
                <w:szCs w:val="24"/>
              </w:rPr>
            </w:pPr>
            <w:r>
              <w:rPr>
                <w:rFonts w:hint="default" w:ascii="宋体"/>
                <w:sz w:val="24"/>
                <w:szCs w:val="24"/>
              </w:rPr>
              <w:t>7、安全生产、文明作业、环保措施以及投诉处理等方案</w:t>
            </w:r>
          </w:p>
        </w:tc>
        <w:tc>
          <w:tcPr>
            <w:tcW w:w="5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B0B86B">
            <w:pPr>
              <w:spacing w:beforeLines="0" w:afterLines="0"/>
              <w:rPr>
                <w:rFonts w:hint="default"/>
                <w:sz w:val="24"/>
                <w:szCs w:val="24"/>
              </w:rPr>
            </w:pPr>
            <w:r>
              <w:rPr>
                <w:rFonts w:hint="default" w:ascii="宋体"/>
                <w:sz w:val="24"/>
                <w:szCs w:val="24"/>
              </w:rPr>
              <w:t>（1）根据供应商针对本项目提供的安全生产及文明作业方案进行评议。</w:t>
            </w:r>
          </w:p>
          <w:p w14:paraId="2E2B4017">
            <w:pPr>
              <w:spacing w:beforeLines="0" w:afterLines="0"/>
              <w:rPr>
                <w:rFonts w:hint="default"/>
                <w:sz w:val="24"/>
                <w:szCs w:val="24"/>
              </w:rPr>
            </w:pPr>
            <w:r>
              <w:rPr>
                <w:rFonts w:hint="default" w:ascii="宋体"/>
                <w:sz w:val="24"/>
                <w:szCs w:val="24"/>
              </w:rPr>
              <w:t>方案详细、措施合理可行的得5分；</w:t>
            </w:r>
          </w:p>
          <w:p w14:paraId="324F6E06">
            <w:pPr>
              <w:spacing w:beforeLines="0" w:afterLines="0"/>
              <w:rPr>
                <w:rFonts w:hint="default"/>
                <w:sz w:val="24"/>
                <w:szCs w:val="24"/>
              </w:rPr>
            </w:pPr>
            <w:r>
              <w:rPr>
                <w:rFonts w:hint="default" w:ascii="宋体"/>
                <w:sz w:val="24"/>
                <w:szCs w:val="24"/>
              </w:rPr>
              <w:t>方案较详细、措施较合理可行的得3分；</w:t>
            </w:r>
          </w:p>
          <w:p w14:paraId="33F32987">
            <w:pPr>
              <w:spacing w:beforeLines="0" w:afterLines="0"/>
              <w:rPr>
                <w:rFonts w:hint="default"/>
                <w:sz w:val="24"/>
                <w:szCs w:val="24"/>
              </w:rPr>
            </w:pPr>
            <w:r>
              <w:rPr>
                <w:rFonts w:hint="default" w:ascii="宋体"/>
                <w:sz w:val="24"/>
                <w:szCs w:val="24"/>
              </w:rPr>
              <w:t>方案欠详细、措施欠合理可行的得1分；</w:t>
            </w:r>
          </w:p>
          <w:p w14:paraId="7E11304B">
            <w:pPr>
              <w:spacing w:beforeLines="0" w:afterLines="0"/>
              <w:rPr>
                <w:rFonts w:hint="default"/>
                <w:sz w:val="24"/>
                <w:szCs w:val="24"/>
              </w:rPr>
            </w:pPr>
            <w:r>
              <w:rPr>
                <w:rFonts w:hint="default" w:ascii="宋体"/>
                <w:sz w:val="24"/>
                <w:szCs w:val="24"/>
              </w:rPr>
              <w:t>无相关内容不得分。</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D92B83">
            <w:pPr>
              <w:spacing w:beforeLines="0" w:afterLines="0"/>
              <w:jc w:val="center"/>
              <w:rPr>
                <w:rFonts w:hint="default" w:ascii="宋体"/>
                <w:sz w:val="24"/>
                <w:szCs w:val="24"/>
              </w:rPr>
            </w:pPr>
            <w:r>
              <w:rPr>
                <w:rFonts w:hint="default" w:ascii="宋体"/>
                <w:sz w:val="24"/>
                <w:szCs w:val="24"/>
              </w:rPr>
              <w:t>5</w:t>
            </w:r>
          </w:p>
        </w:tc>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2097B5">
            <w:pPr>
              <w:spacing w:beforeLines="0" w:afterLines="0"/>
              <w:jc w:val="center"/>
              <w:rPr>
                <w:rFonts w:hint="default" w:ascii="宋体"/>
                <w:sz w:val="24"/>
                <w:szCs w:val="24"/>
              </w:rPr>
            </w:pPr>
            <w:r>
              <w:rPr>
                <w:rFonts w:hint="default" w:ascii="宋体"/>
                <w:sz w:val="24"/>
                <w:szCs w:val="24"/>
              </w:rPr>
              <w:t>主观评审</w:t>
            </w:r>
          </w:p>
        </w:tc>
      </w:tr>
      <w:tr w14:paraId="1B37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CD1EBB8">
            <w:pPr>
              <w:spacing w:beforeLines="0" w:afterLines="0"/>
              <w:rPr>
                <w:rFonts w:hint="default" w:ascii="宋体"/>
                <w:sz w:val="24"/>
                <w:szCs w:val="24"/>
              </w:rPr>
            </w:pPr>
          </w:p>
        </w:tc>
        <w:tc>
          <w:tcPr>
            <w:tcW w:w="104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08A2DA2">
            <w:pPr>
              <w:spacing w:beforeLines="0" w:afterLines="0"/>
              <w:rPr>
                <w:rFonts w:hint="default" w:ascii="宋体"/>
                <w:sz w:val="24"/>
                <w:szCs w:val="24"/>
              </w:rPr>
            </w:pPr>
          </w:p>
        </w:tc>
        <w:tc>
          <w:tcPr>
            <w:tcW w:w="5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727824">
            <w:pPr>
              <w:spacing w:beforeLines="0" w:afterLines="0"/>
              <w:rPr>
                <w:rFonts w:hint="default"/>
                <w:sz w:val="24"/>
                <w:szCs w:val="24"/>
              </w:rPr>
            </w:pPr>
            <w:r>
              <w:rPr>
                <w:rFonts w:hint="default" w:ascii="宋体"/>
                <w:sz w:val="24"/>
                <w:szCs w:val="24"/>
              </w:rPr>
              <w:t>（2）根据供应商针对本项目提供的环境保护的措施进行评议。</w:t>
            </w:r>
          </w:p>
          <w:p w14:paraId="19B5FB67">
            <w:pPr>
              <w:spacing w:beforeLines="0" w:afterLines="0"/>
              <w:rPr>
                <w:rFonts w:hint="default"/>
                <w:sz w:val="24"/>
                <w:szCs w:val="24"/>
              </w:rPr>
            </w:pPr>
            <w:r>
              <w:rPr>
                <w:rFonts w:hint="default" w:ascii="宋体"/>
                <w:sz w:val="24"/>
                <w:szCs w:val="24"/>
              </w:rPr>
              <w:t>方案详细、措施合理可行的得5分；</w:t>
            </w:r>
          </w:p>
          <w:p w14:paraId="0435A089">
            <w:pPr>
              <w:spacing w:beforeLines="0" w:afterLines="0"/>
              <w:rPr>
                <w:rFonts w:hint="default"/>
                <w:sz w:val="24"/>
                <w:szCs w:val="24"/>
              </w:rPr>
            </w:pPr>
            <w:r>
              <w:rPr>
                <w:rFonts w:hint="default" w:ascii="宋体"/>
                <w:sz w:val="24"/>
                <w:szCs w:val="24"/>
              </w:rPr>
              <w:t>方案较详细、措施较合理可行的得3分；</w:t>
            </w:r>
          </w:p>
          <w:p w14:paraId="4433EA10">
            <w:pPr>
              <w:spacing w:beforeLines="0" w:afterLines="0"/>
              <w:rPr>
                <w:rFonts w:hint="default"/>
                <w:sz w:val="24"/>
                <w:szCs w:val="24"/>
              </w:rPr>
            </w:pPr>
            <w:r>
              <w:rPr>
                <w:rFonts w:hint="default" w:ascii="宋体"/>
                <w:sz w:val="24"/>
                <w:szCs w:val="24"/>
              </w:rPr>
              <w:t>方案欠详细、措施欠合理可行的得1分；</w:t>
            </w:r>
          </w:p>
          <w:p w14:paraId="21CB2736">
            <w:pPr>
              <w:spacing w:beforeLines="0" w:afterLines="0"/>
              <w:rPr>
                <w:rFonts w:hint="default"/>
                <w:sz w:val="24"/>
                <w:szCs w:val="24"/>
              </w:rPr>
            </w:pPr>
            <w:r>
              <w:rPr>
                <w:rFonts w:hint="default" w:ascii="宋体"/>
                <w:sz w:val="24"/>
                <w:szCs w:val="24"/>
              </w:rPr>
              <w:t>无相关内容不得分。</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3798A1">
            <w:pPr>
              <w:spacing w:beforeLines="0" w:afterLines="0"/>
              <w:jc w:val="center"/>
              <w:rPr>
                <w:rFonts w:hint="default" w:ascii="宋体"/>
                <w:sz w:val="24"/>
                <w:szCs w:val="24"/>
              </w:rPr>
            </w:pPr>
            <w:r>
              <w:rPr>
                <w:rFonts w:hint="default" w:ascii="宋体"/>
                <w:sz w:val="24"/>
                <w:szCs w:val="24"/>
              </w:rPr>
              <w:t>5</w:t>
            </w:r>
          </w:p>
        </w:tc>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B91B6A">
            <w:pPr>
              <w:spacing w:beforeLines="0" w:afterLines="0"/>
              <w:jc w:val="center"/>
              <w:rPr>
                <w:rFonts w:hint="default" w:ascii="宋体"/>
                <w:sz w:val="24"/>
                <w:szCs w:val="24"/>
              </w:rPr>
            </w:pPr>
            <w:r>
              <w:rPr>
                <w:rFonts w:hint="default" w:ascii="宋体"/>
                <w:sz w:val="24"/>
                <w:szCs w:val="24"/>
              </w:rPr>
              <w:t>主观评审</w:t>
            </w:r>
          </w:p>
        </w:tc>
      </w:tr>
      <w:tr w14:paraId="7A05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5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4273E59">
            <w:pPr>
              <w:spacing w:beforeLines="0" w:afterLines="0"/>
              <w:rPr>
                <w:rFonts w:hint="default" w:ascii="宋体"/>
                <w:sz w:val="24"/>
                <w:szCs w:val="24"/>
              </w:rPr>
            </w:pPr>
          </w:p>
        </w:tc>
        <w:tc>
          <w:tcPr>
            <w:tcW w:w="104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F3FAED0">
            <w:pPr>
              <w:spacing w:beforeLines="0" w:afterLines="0"/>
              <w:rPr>
                <w:rFonts w:hint="default" w:ascii="宋体"/>
                <w:sz w:val="24"/>
                <w:szCs w:val="24"/>
              </w:rPr>
            </w:pPr>
          </w:p>
        </w:tc>
        <w:tc>
          <w:tcPr>
            <w:tcW w:w="5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E93F2E">
            <w:pPr>
              <w:spacing w:beforeLines="0" w:afterLines="0"/>
              <w:rPr>
                <w:rFonts w:hint="default"/>
                <w:sz w:val="24"/>
                <w:szCs w:val="24"/>
              </w:rPr>
            </w:pPr>
            <w:r>
              <w:rPr>
                <w:rFonts w:hint="default" w:ascii="宋体"/>
                <w:sz w:val="24"/>
                <w:szCs w:val="24"/>
              </w:rPr>
              <w:t>（3）根据供应商针对本项目提供的投诉处理等方案进行评议。</w:t>
            </w:r>
          </w:p>
          <w:p w14:paraId="4A9C6882">
            <w:pPr>
              <w:spacing w:beforeLines="0" w:afterLines="0"/>
              <w:rPr>
                <w:rFonts w:hint="default"/>
                <w:sz w:val="24"/>
                <w:szCs w:val="24"/>
              </w:rPr>
            </w:pPr>
            <w:r>
              <w:rPr>
                <w:rFonts w:hint="default" w:ascii="宋体"/>
                <w:sz w:val="24"/>
                <w:szCs w:val="24"/>
              </w:rPr>
              <w:t>方案详细、措施合理可行的得5分；</w:t>
            </w:r>
          </w:p>
          <w:p w14:paraId="0325B654">
            <w:pPr>
              <w:spacing w:beforeLines="0" w:afterLines="0"/>
              <w:rPr>
                <w:rFonts w:hint="default"/>
                <w:sz w:val="24"/>
                <w:szCs w:val="24"/>
              </w:rPr>
            </w:pPr>
            <w:r>
              <w:rPr>
                <w:rFonts w:hint="default" w:ascii="宋体"/>
                <w:sz w:val="24"/>
                <w:szCs w:val="24"/>
              </w:rPr>
              <w:t>方案较详细、措施较合理可行的得3分；</w:t>
            </w:r>
          </w:p>
          <w:p w14:paraId="363A5634">
            <w:pPr>
              <w:spacing w:beforeLines="0" w:afterLines="0"/>
              <w:rPr>
                <w:rFonts w:hint="default"/>
                <w:sz w:val="24"/>
                <w:szCs w:val="24"/>
              </w:rPr>
            </w:pPr>
            <w:r>
              <w:rPr>
                <w:rFonts w:hint="default" w:ascii="宋体"/>
                <w:sz w:val="24"/>
                <w:szCs w:val="24"/>
              </w:rPr>
              <w:t>方案欠详细、措施欠合理可行的得1分；</w:t>
            </w:r>
          </w:p>
          <w:p w14:paraId="009AECDD">
            <w:pPr>
              <w:spacing w:beforeLines="0" w:afterLines="0"/>
              <w:rPr>
                <w:rFonts w:hint="default"/>
                <w:sz w:val="24"/>
                <w:szCs w:val="24"/>
              </w:rPr>
            </w:pPr>
            <w:r>
              <w:rPr>
                <w:rFonts w:hint="default" w:ascii="宋体"/>
                <w:sz w:val="24"/>
                <w:szCs w:val="24"/>
              </w:rPr>
              <w:t>无相关内容不得分。</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649252">
            <w:pPr>
              <w:spacing w:beforeLines="0" w:afterLines="0"/>
              <w:jc w:val="center"/>
              <w:rPr>
                <w:rFonts w:hint="default" w:ascii="宋体"/>
                <w:sz w:val="24"/>
                <w:szCs w:val="24"/>
              </w:rPr>
            </w:pPr>
            <w:r>
              <w:rPr>
                <w:rFonts w:hint="default" w:ascii="宋体"/>
                <w:sz w:val="24"/>
                <w:szCs w:val="24"/>
              </w:rPr>
              <w:t>5</w:t>
            </w:r>
          </w:p>
        </w:tc>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E1A157">
            <w:pPr>
              <w:spacing w:beforeLines="0" w:afterLines="0"/>
              <w:jc w:val="center"/>
              <w:rPr>
                <w:rFonts w:hint="default" w:ascii="宋体"/>
                <w:sz w:val="24"/>
                <w:szCs w:val="24"/>
              </w:rPr>
            </w:pPr>
            <w:r>
              <w:rPr>
                <w:rFonts w:hint="default" w:ascii="宋体"/>
                <w:sz w:val="24"/>
                <w:szCs w:val="24"/>
              </w:rPr>
              <w:t>主观评审</w:t>
            </w:r>
          </w:p>
        </w:tc>
      </w:tr>
      <w:tr w14:paraId="09B0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5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9A6F346">
            <w:pPr>
              <w:spacing w:beforeLines="0" w:afterLines="0"/>
              <w:rPr>
                <w:rFonts w:hint="default" w:ascii="宋体"/>
                <w:sz w:val="24"/>
                <w:szCs w:val="24"/>
              </w:rPr>
            </w:pPr>
          </w:p>
        </w:tc>
        <w:tc>
          <w:tcPr>
            <w:tcW w:w="104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DA43491">
            <w:pPr>
              <w:spacing w:beforeLines="0" w:afterLines="0"/>
              <w:rPr>
                <w:rFonts w:hint="default" w:ascii="宋体"/>
                <w:color w:val="auto"/>
                <w:sz w:val="24"/>
                <w:szCs w:val="24"/>
                <w:highlight w:val="none"/>
              </w:rPr>
            </w:pPr>
            <w:r>
              <w:rPr>
                <w:rFonts w:hint="default" w:ascii="宋体"/>
                <w:color w:val="auto"/>
                <w:sz w:val="24"/>
                <w:szCs w:val="24"/>
                <w:highlight w:val="none"/>
              </w:rPr>
              <w:t>8、应急处理措施</w:t>
            </w:r>
          </w:p>
        </w:tc>
        <w:tc>
          <w:tcPr>
            <w:tcW w:w="5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87DB5A">
            <w:pPr>
              <w:widowControl/>
              <w:adjustRightInd/>
              <w:spacing w:beforeLines="0" w:afterLines="0" w:line="340" w:lineRule="exact"/>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（1）防汛防台、抗旱等灾害性天气应急措施：</w:t>
            </w:r>
          </w:p>
          <w:p w14:paraId="7F9A2F36">
            <w:pPr>
              <w:widowControl/>
              <w:adjustRightInd/>
              <w:spacing w:beforeLines="0" w:afterLines="0" w:line="340" w:lineRule="exact"/>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方案具体合理有针对性，能应对防汛防台、抗旱等灾害性天气，能协助及时处理的得</w:t>
            </w:r>
            <w:r>
              <w:rPr>
                <w:rFonts w:hint="eastAsia" w:ascii="宋体" w:hAnsi="宋体" w:cs="宋体"/>
                <w:color w:val="auto"/>
                <w:kern w:val="0"/>
                <w:sz w:val="24"/>
                <w:szCs w:val="24"/>
                <w:highlight w:val="none"/>
                <w:lang w:val="en-US" w:eastAsia="zh-CN"/>
              </w:rPr>
              <w:t>5</w:t>
            </w:r>
            <w:r>
              <w:rPr>
                <w:rFonts w:hint="default" w:ascii="宋体" w:hAnsi="宋体" w:cs="宋体"/>
                <w:color w:val="auto"/>
                <w:kern w:val="0"/>
                <w:sz w:val="24"/>
                <w:szCs w:val="24"/>
                <w:highlight w:val="none"/>
              </w:rPr>
              <w:t>分；</w:t>
            </w:r>
          </w:p>
          <w:p w14:paraId="6CDB37CD">
            <w:pPr>
              <w:widowControl/>
              <w:adjustRightInd/>
              <w:spacing w:beforeLines="0" w:afterLines="0" w:line="340" w:lineRule="exact"/>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方案具体合理，能应对大部分突发应急事件的得</w:t>
            </w:r>
            <w:r>
              <w:rPr>
                <w:rFonts w:hint="eastAsia" w:ascii="宋体" w:hAnsi="宋体" w:cs="宋体"/>
                <w:color w:val="auto"/>
                <w:kern w:val="0"/>
                <w:sz w:val="24"/>
                <w:szCs w:val="24"/>
                <w:highlight w:val="none"/>
                <w:lang w:val="en-US" w:eastAsia="zh-CN"/>
              </w:rPr>
              <w:t>3</w:t>
            </w:r>
            <w:r>
              <w:rPr>
                <w:rFonts w:hint="default" w:ascii="宋体" w:hAnsi="宋体" w:cs="宋体"/>
                <w:color w:val="auto"/>
                <w:kern w:val="0"/>
                <w:sz w:val="24"/>
                <w:szCs w:val="24"/>
                <w:highlight w:val="none"/>
              </w:rPr>
              <w:t>分；</w:t>
            </w:r>
          </w:p>
          <w:p w14:paraId="0D118B99">
            <w:pPr>
              <w:widowControl/>
              <w:adjustRightInd/>
              <w:spacing w:beforeLines="0" w:afterLines="0" w:line="340" w:lineRule="exact"/>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应对措施</w:t>
            </w:r>
            <w:r>
              <w:rPr>
                <w:rFonts w:hint="eastAsia" w:ascii="宋体" w:hAnsi="宋体" w:cs="宋体"/>
                <w:color w:val="auto"/>
                <w:kern w:val="0"/>
                <w:sz w:val="24"/>
                <w:szCs w:val="24"/>
                <w:highlight w:val="none"/>
                <w:lang w:val="en-US" w:eastAsia="zh-CN"/>
              </w:rPr>
              <w:t>不够</w:t>
            </w:r>
            <w:r>
              <w:rPr>
                <w:rFonts w:hint="default" w:ascii="宋体" w:hAnsi="宋体" w:cs="宋体"/>
                <w:color w:val="auto"/>
                <w:kern w:val="0"/>
                <w:sz w:val="24"/>
                <w:szCs w:val="24"/>
                <w:highlight w:val="none"/>
              </w:rPr>
              <w:t>完整的得1分；</w:t>
            </w:r>
          </w:p>
          <w:p w14:paraId="6D3A5F0C">
            <w:pPr>
              <w:widowControl/>
              <w:adjustRightInd/>
              <w:spacing w:beforeLines="0" w:afterLines="0" w:line="340" w:lineRule="exact"/>
              <w:jc w:val="left"/>
              <w:rPr>
                <w:rFonts w:hint="default"/>
                <w:color w:val="auto"/>
                <w:sz w:val="24"/>
                <w:szCs w:val="24"/>
                <w:highlight w:val="none"/>
              </w:rPr>
            </w:pPr>
            <w:r>
              <w:rPr>
                <w:rFonts w:hint="default" w:ascii="宋体" w:hAnsi="宋体" w:cs="宋体"/>
                <w:color w:val="auto"/>
                <w:kern w:val="0"/>
                <w:sz w:val="24"/>
                <w:szCs w:val="24"/>
                <w:highlight w:val="none"/>
              </w:rPr>
              <w:t>未提供相关内容的不得分。</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632E40">
            <w:pPr>
              <w:spacing w:beforeLines="0" w:afterLines="0"/>
              <w:jc w:val="center"/>
              <w:rPr>
                <w:rFonts w:hint="default" w:eastAsia="宋体"/>
                <w:sz w:val="24"/>
                <w:szCs w:val="24"/>
                <w:lang w:val="en-US" w:eastAsia="zh-CN"/>
              </w:rPr>
            </w:pPr>
            <w:r>
              <w:rPr>
                <w:rFonts w:hint="eastAsia"/>
                <w:sz w:val="24"/>
                <w:szCs w:val="24"/>
                <w:lang w:val="en-US" w:eastAsia="zh-CN"/>
              </w:rPr>
              <w:t>5</w:t>
            </w:r>
          </w:p>
        </w:tc>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4395F3">
            <w:pPr>
              <w:spacing w:beforeLines="0" w:afterLines="0"/>
              <w:jc w:val="center"/>
              <w:rPr>
                <w:rFonts w:hint="default" w:ascii="宋体"/>
                <w:sz w:val="24"/>
                <w:szCs w:val="24"/>
              </w:rPr>
            </w:pPr>
            <w:r>
              <w:rPr>
                <w:rFonts w:hint="default" w:ascii="宋体"/>
                <w:sz w:val="24"/>
                <w:szCs w:val="24"/>
              </w:rPr>
              <w:t>主观评审</w:t>
            </w:r>
          </w:p>
        </w:tc>
      </w:tr>
      <w:tr w14:paraId="7A68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5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189B7E9">
            <w:pPr>
              <w:spacing w:beforeLines="0" w:afterLines="0"/>
              <w:rPr>
                <w:rFonts w:hint="default" w:ascii="宋体"/>
                <w:sz w:val="24"/>
                <w:szCs w:val="24"/>
              </w:rPr>
            </w:pPr>
          </w:p>
        </w:tc>
        <w:tc>
          <w:tcPr>
            <w:tcW w:w="104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1CE3F7B">
            <w:pPr>
              <w:spacing w:beforeLines="0" w:afterLines="0"/>
              <w:rPr>
                <w:rFonts w:hint="default" w:ascii="宋体"/>
                <w:color w:val="auto"/>
                <w:sz w:val="24"/>
                <w:szCs w:val="24"/>
                <w:highlight w:val="none"/>
              </w:rPr>
            </w:pPr>
          </w:p>
        </w:tc>
        <w:tc>
          <w:tcPr>
            <w:tcW w:w="5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4F23AE">
            <w:pPr>
              <w:widowControl/>
              <w:adjustRightInd/>
              <w:spacing w:beforeLines="0" w:afterLines="0" w:line="340" w:lineRule="exact"/>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（2）创优评优和突击检查、突发情况等应急措施：</w:t>
            </w:r>
          </w:p>
          <w:p w14:paraId="77471403">
            <w:pPr>
              <w:widowControl/>
              <w:adjustRightInd/>
              <w:spacing w:beforeLines="0" w:afterLines="0" w:line="340" w:lineRule="exact"/>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方案具体合理有针对性，能应对创优评优、突击检查和突发情况的，能协助及时处理的得</w:t>
            </w:r>
            <w:r>
              <w:rPr>
                <w:rFonts w:hint="eastAsia" w:ascii="宋体" w:hAnsi="宋体" w:cs="宋体"/>
                <w:color w:val="auto"/>
                <w:kern w:val="0"/>
                <w:sz w:val="24"/>
                <w:szCs w:val="24"/>
                <w:highlight w:val="none"/>
                <w:lang w:val="en-US" w:eastAsia="zh-CN"/>
              </w:rPr>
              <w:t>5</w:t>
            </w:r>
            <w:r>
              <w:rPr>
                <w:rFonts w:hint="default" w:ascii="宋体" w:hAnsi="宋体" w:cs="宋体"/>
                <w:color w:val="auto"/>
                <w:kern w:val="0"/>
                <w:sz w:val="24"/>
                <w:szCs w:val="24"/>
                <w:highlight w:val="none"/>
              </w:rPr>
              <w:t>分；</w:t>
            </w:r>
          </w:p>
          <w:p w14:paraId="7703A4C8">
            <w:pPr>
              <w:widowControl/>
              <w:adjustRightInd/>
              <w:spacing w:beforeLines="0" w:afterLines="0" w:line="340" w:lineRule="exact"/>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方案具体合理，能应对大部分突发应急事件的得</w:t>
            </w:r>
            <w:r>
              <w:rPr>
                <w:rFonts w:hint="eastAsia" w:ascii="宋体" w:hAnsi="宋体" w:cs="宋体"/>
                <w:color w:val="auto"/>
                <w:kern w:val="0"/>
                <w:sz w:val="24"/>
                <w:szCs w:val="24"/>
                <w:highlight w:val="none"/>
                <w:lang w:val="en-US" w:eastAsia="zh-CN"/>
              </w:rPr>
              <w:t>3</w:t>
            </w:r>
            <w:r>
              <w:rPr>
                <w:rFonts w:hint="default" w:ascii="宋体" w:hAnsi="宋体" w:cs="宋体"/>
                <w:color w:val="auto"/>
                <w:kern w:val="0"/>
                <w:sz w:val="24"/>
                <w:szCs w:val="24"/>
                <w:highlight w:val="none"/>
              </w:rPr>
              <w:t>分；</w:t>
            </w:r>
          </w:p>
          <w:p w14:paraId="4A523F32">
            <w:pPr>
              <w:widowControl/>
              <w:adjustRightInd/>
              <w:spacing w:beforeLines="0" w:afterLines="0" w:line="340" w:lineRule="exact"/>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应对措施</w:t>
            </w:r>
            <w:r>
              <w:rPr>
                <w:rFonts w:hint="eastAsia" w:ascii="宋体" w:hAnsi="宋体" w:cs="宋体"/>
                <w:color w:val="auto"/>
                <w:kern w:val="0"/>
                <w:sz w:val="24"/>
                <w:szCs w:val="24"/>
                <w:highlight w:val="none"/>
                <w:lang w:val="en-US" w:eastAsia="zh-CN"/>
              </w:rPr>
              <w:t>不够</w:t>
            </w:r>
            <w:r>
              <w:rPr>
                <w:rFonts w:hint="default" w:ascii="宋体" w:hAnsi="宋体" w:cs="宋体"/>
                <w:color w:val="auto"/>
                <w:kern w:val="0"/>
                <w:sz w:val="24"/>
                <w:szCs w:val="24"/>
                <w:highlight w:val="none"/>
              </w:rPr>
              <w:t>完整的得1分；</w:t>
            </w:r>
          </w:p>
          <w:p w14:paraId="5DFB41B6">
            <w:pPr>
              <w:widowControl/>
              <w:adjustRightInd/>
              <w:spacing w:beforeLines="0" w:afterLines="0" w:line="340" w:lineRule="exact"/>
              <w:jc w:val="left"/>
              <w:rPr>
                <w:rFonts w:hint="default"/>
                <w:color w:val="auto"/>
                <w:sz w:val="24"/>
                <w:szCs w:val="24"/>
                <w:highlight w:val="none"/>
              </w:rPr>
            </w:pPr>
            <w:r>
              <w:rPr>
                <w:rFonts w:hint="default" w:ascii="宋体" w:hAnsi="宋体" w:cs="宋体"/>
                <w:color w:val="auto"/>
                <w:kern w:val="0"/>
                <w:sz w:val="24"/>
                <w:szCs w:val="24"/>
                <w:highlight w:val="none"/>
              </w:rPr>
              <w:t>未提供相关内容的不得分。</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F5044B">
            <w:pPr>
              <w:spacing w:beforeLines="0" w:afterLines="0"/>
              <w:jc w:val="center"/>
              <w:rPr>
                <w:rFonts w:hint="default" w:eastAsia="宋体"/>
                <w:sz w:val="24"/>
                <w:szCs w:val="24"/>
                <w:lang w:val="en-US" w:eastAsia="zh-CN"/>
              </w:rPr>
            </w:pPr>
            <w:r>
              <w:rPr>
                <w:rFonts w:hint="eastAsia"/>
                <w:sz w:val="24"/>
                <w:szCs w:val="24"/>
                <w:lang w:val="en-US" w:eastAsia="zh-CN"/>
              </w:rPr>
              <w:t>5</w:t>
            </w:r>
          </w:p>
        </w:tc>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B79B69">
            <w:pPr>
              <w:spacing w:beforeLines="0" w:afterLines="0"/>
              <w:jc w:val="center"/>
              <w:rPr>
                <w:rFonts w:hint="default" w:ascii="宋体"/>
                <w:sz w:val="24"/>
                <w:szCs w:val="24"/>
              </w:rPr>
            </w:pPr>
            <w:r>
              <w:rPr>
                <w:rFonts w:hint="default" w:ascii="宋体"/>
                <w:sz w:val="24"/>
                <w:szCs w:val="24"/>
              </w:rPr>
              <w:t>主观评审</w:t>
            </w:r>
          </w:p>
        </w:tc>
      </w:tr>
      <w:tr w14:paraId="1453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5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8D2010B">
            <w:pPr>
              <w:spacing w:beforeLines="0" w:afterLines="0"/>
              <w:rPr>
                <w:rFonts w:hint="default" w:ascii="宋体"/>
                <w:sz w:val="24"/>
                <w:szCs w:val="24"/>
              </w:rPr>
            </w:pPr>
          </w:p>
        </w:tc>
        <w:tc>
          <w:tcPr>
            <w:tcW w:w="1048" w:type="dxa"/>
            <w:vMerge w:val="restart"/>
            <w:tcBorders>
              <w:top w:val="single" w:color="auto" w:sz="4" w:space="0"/>
              <w:left w:val="single" w:color="auto" w:sz="4" w:space="0"/>
              <w:right w:val="single" w:color="auto" w:sz="4" w:space="0"/>
              <w:tl2br w:val="nil"/>
              <w:tr2bl w:val="nil"/>
            </w:tcBorders>
            <w:noWrap w:val="0"/>
            <w:vAlign w:val="center"/>
          </w:tcPr>
          <w:p w14:paraId="1E54168F">
            <w:pPr>
              <w:widowControl/>
              <w:adjustRightInd/>
              <w:spacing w:beforeLines="0" w:afterLines="0" w:line="3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r>
              <w:rPr>
                <w:rFonts w:hint="default" w:ascii="宋体" w:hAnsi="宋体" w:eastAsia="宋体" w:cs="宋体"/>
                <w:color w:val="auto"/>
                <w:kern w:val="0"/>
                <w:sz w:val="24"/>
                <w:szCs w:val="24"/>
                <w:highlight w:val="none"/>
              </w:rPr>
              <w:t>服务</w:t>
            </w:r>
            <w:r>
              <w:rPr>
                <w:rFonts w:hint="eastAsia" w:ascii="宋体" w:hAnsi="宋体" w:eastAsia="宋体" w:cs="宋体"/>
                <w:color w:val="auto"/>
                <w:kern w:val="0"/>
                <w:sz w:val="24"/>
                <w:szCs w:val="24"/>
                <w:highlight w:val="none"/>
                <w:lang w:val="en-US" w:eastAsia="zh-CN"/>
              </w:rPr>
              <w:t>便捷性</w:t>
            </w:r>
          </w:p>
        </w:tc>
        <w:tc>
          <w:tcPr>
            <w:tcW w:w="5936" w:type="dxa"/>
            <w:tcBorders>
              <w:top w:val="single" w:color="auto" w:sz="4" w:space="0"/>
              <w:left w:val="single" w:color="auto" w:sz="4" w:space="0"/>
              <w:right w:val="single" w:color="auto" w:sz="4" w:space="0"/>
              <w:tl2br w:val="nil"/>
              <w:tr2bl w:val="nil"/>
            </w:tcBorders>
            <w:noWrap w:val="0"/>
            <w:vAlign w:val="center"/>
          </w:tcPr>
          <w:p w14:paraId="39EAA92F">
            <w:pPr>
              <w:widowControl/>
              <w:adjustRightInd/>
              <w:spacing w:beforeLines="0" w:afterLines="0" w:line="340" w:lineRule="exact"/>
              <w:jc w:val="left"/>
              <w:rPr>
                <w:rFonts w:hint="eastAsia" w:ascii="宋体" w:hAnsi="宋体" w:eastAsia="宋体" w:cs="宋体"/>
                <w:color w:val="auto"/>
                <w:kern w:val="0"/>
                <w:sz w:val="24"/>
                <w:szCs w:val="24"/>
                <w:highlight w:val="none"/>
                <w:lang w:eastAsia="zh-CN"/>
              </w:rPr>
            </w:pPr>
            <w:r>
              <w:rPr>
                <w:rFonts w:hint="default"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rPr>
              <w:t>针对本项目</w:t>
            </w:r>
            <w:r>
              <w:rPr>
                <w:rFonts w:hint="eastAsia" w:ascii="宋体" w:hAnsi="宋体" w:eastAsia="宋体" w:cs="宋体"/>
                <w:color w:val="auto"/>
                <w:kern w:val="0"/>
                <w:sz w:val="24"/>
                <w:szCs w:val="24"/>
                <w:highlight w:val="none"/>
                <w:lang w:val="en-US" w:eastAsia="zh-CN"/>
              </w:rPr>
              <w:t>提供的</w:t>
            </w:r>
            <w:r>
              <w:rPr>
                <w:rFonts w:hint="default" w:ascii="宋体" w:hAnsi="宋体" w:eastAsia="宋体" w:cs="宋体"/>
                <w:color w:val="auto"/>
                <w:kern w:val="0"/>
                <w:sz w:val="24"/>
                <w:szCs w:val="24"/>
                <w:highlight w:val="none"/>
              </w:rPr>
              <w:t>服务的便捷性（响应情况</w:t>
            </w:r>
            <w:r>
              <w:rPr>
                <w:rFonts w:hint="eastAsia" w:ascii="宋体" w:hAnsi="宋体" w:eastAsia="宋体" w:cs="宋体"/>
                <w:color w:val="auto"/>
                <w:kern w:val="0"/>
                <w:sz w:val="24"/>
                <w:szCs w:val="24"/>
                <w:highlight w:val="none"/>
                <w:lang w:eastAsia="zh-CN"/>
              </w:rPr>
              <w:t>、服务响应及承诺的速度、合理性等</w:t>
            </w:r>
            <w:r>
              <w:rPr>
                <w:rFonts w:hint="default" w:ascii="宋体" w:hAnsi="宋体" w:eastAsia="宋体" w:cs="宋体"/>
                <w:color w:val="auto"/>
                <w:kern w:val="0"/>
                <w:sz w:val="24"/>
                <w:szCs w:val="24"/>
                <w:highlight w:val="none"/>
              </w:rPr>
              <w:t>）进行综合评议</w:t>
            </w:r>
            <w:r>
              <w:rPr>
                <w:rFonts w:hint="eastAsia" w:ascii="宋体" w:hAnsi="宋体" w:eastAsia="宋体" w:cs="宋体"/>
                <w:color w:val="auto"/>
                <w:kern w:val="0"/>
                <w:sz w:val="24"/>
                <w:szCs w:val="24"/>
                <w:highlight w:val="none"/>
                <w:lang w:eastAsia="zh-CN"/>
              </w:rPr>
              <w:t>。</w:t>
            </w:r>
          </w:p>
          <w:p w14:paraId="787619B3">
            <w:pPr>
              <w:widowControl/>
              <w:adjustRightInd/>
              <w:spacing w:beforeLines="0" w:afterLines="0" w:line="3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服务便捷，方案完整、科学、合理的得</w:t>
            </w:r>
            <w:r>
              <w:rPr>
                <w:rFonts w:hint="eastAsia" w:ascii="宋体" w:hAnsi="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lang w:val="en-US" w:eastAsia="zh-CN"/>
              </w:rPr>
              <w:t>分；</w:t>
            </w:r>
          </w:p>
          <w:p w14:paraId="357D9778">
            <w:pPr>
              <w:widowControl/>
              <w:adjustRightInd/>
              <w:spacing w:beforeLines="0" w:afterLines="0" w:line="3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服务便捷性一般，方案不够完整，存在部分缺陷的得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p>
          <w:p w14:paraId="49EB7614">
            <w:pPr>
              <w:widowControl/>
              <w:adjustRightInd/>
              <w:spacing w:beforeLines="0" w:afterLines="0" w:line="34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服务</w:t>
            </w:r>
            <w:r>
              <w:rPr>
                <w:rFonts w:hint="eastAsia" w:ascii="宋体" w:hAnsi="宋体" w:cs="宋体"/>
                <w:color w:val="auto"/>
                <w:kern w:val="0"/>
                <w:sz w:val="24"/>
                <w:szCs w:val="24"/>
                <w:highlight w:val="none"/>
                <w:lang w:val="en-US" w:eastAsia="zh-CN"/>
              </w:rPr>
              <w:t>欠</w:t>
            </w:r>
            <w:r>
              <w:rPr>
                <w:rFonts w:hint="eastAsia" w:ascii="宋体" w:hAnsi="宋体" w:eastAsia="宋体" w:cs="宋体"/>
                <w:color w:val="auto"/>
                <w:kern w:val="0"/>
                <w:sz w:val="24"/>
                <w:szCs w:val="24"/>
                <w:highlight w:val="none"/>
                <w:lang w:val="en-US" w:eastAsia="zh-CN"/>
              </w:rPr>
              <w:t>便捷，方案</w:t>
            </w:r>
            <w:r>
              <w:rPr>
                <w:rFonts w:hint="eastAsia" w:ascii="宋体" w:hAnsi="宋体" w:cs="宋体"/>
                <w:color w:val="auto"/>
                <w:kern w:val="0"/>
                <w:sz w:val="24"/>
                <w:szCs w:val="24"/>
                <w:highlight w:val="none"/>
                <w:lang w:val="en-US" w:eastAsia="zh-CN"/>
              </w:rPr>
              <w:t>欠</w:t>
            </w:r>
            <w:r>
              <w:rPr>
                <w:rFonts w:hint="eastAsia" w:ascii="宋体" w:hAnsi="宋体" w:eastAsia="宋体" w:cs="宋体"/>
                <w:color w:val="auto"/>
                <w:kern w:val="0"/>
                <w:sz w:val="24"/>
                <w:szCs w:val="24"/>
                <w:highlight w:val="none"/>
                <w:lang w:val="en-US" w:eastAsia="zh-CN"/>
              </w:rPr>
              <w:t>完整，存在明显缺陷得1分</w:t>
            </w:r>
            <w:r>
              <w:rPr>
                <w:rFonts w:hint="eastAsia" w:ascii="宋体" w:hAnsi="宋体" w:eastAsia="宋体" w:cs="宋体"/>
                <w:color w:val="auto"/>
                <w:kern w:val="0"/>
                <w:sz w:val="24"/>
                <w:szCs w:val="24"/>
                <w:highlight w:val="none"/>
                <w:lang w:eastAsia="zh-CN"/>
              </w:rPr>
              <w:t>。</w:t>
            </w:r>
          </w:p>
          <w:p w14:paraId="7BD79E83">
            <w:pPr>
              <w:widowControl/>
              <w:adjustRightInd/>
              <w:spacing w:beforeLines="0" w:afterLines="0" w:line="34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未提供相关内容的不得分。</w:t>
            </w:r>
          </w:p>
        </w:tc>
        <w:tc>
          <w:tcPr>
            <w:tcW w:w="675" w:type="dxa"/>
            <w:tcBorders>
              <w:top w:val="single" w:color="auto" w:sz="4" w:space="0"/>
              <w:left w:val="single" w:color="auto" w:sz="4" w:space="0"/>
              <w:right w:val="single" w:color="auto" w:sz="4" w:space="0"/>
              <w:tl2br w:val="nil"/>
              <w:tr2bl w:val="nil"/>
            </w:tcBorders>
            <w:noWrap w:val="0"/>
            <w:vAlign w:val="center"/>
          </w:tcPr>
          <w:p w14:paraId="03F50D15">
            <w:pPr>
              <w:spacing w:beforeLines="0" w:afterLines="0"/>
              <w:jc w:val="center"/>
              <w:rPr>
                <w:rFonts w:hint="default" w:ascii="宋体" w:eastAsia="宋体"/>
                <w:sz w:val="24"/>
                <w:szCs w:val="24"/>
                <w:lang w:val="en-US" w:eastAsia="zh-CN"/>
              </w:rPr>
            </w:pPr>
            <w:r>
              <w:rPr>
                <w:rFonts w:hint="eastAsia" w:ascii="宋体"/>
                <w:sz w:val="24"/>
                <w:szCs w:val="24"/>
                <w:lang w:val="en-US" w:eastAsia="zh-CN"/>
              </w:rPr>
              <w:t>3.5</w:t>
            </w:r>
          </w:p>
        </w:tc>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856C9A">
            <w:pPr>
              <w:spacing w:beforeLines="0" w:afterLines="0"/>
              <w:jc w:val="center"/>
              <w:rPr>
                <w:rFonts w:hint="default" w:ascii="宋体" w:eastAsia="宋体"/>
                <w:sz w:val="24"/>
                <w:szCs w:val="24"/>
                <w:lang w:val="en-US" w:eastAsia="zh-CN"/>
              </w:rPr>
            </w:pPr>
            <w:r>
              <w:rPr>
                <w:rFonts w:hint="eastAsia" w:ascii="宋体"/>
                <w:sz w:val="24"/>
                <w:szCs w:val="24"/>
                <w:lang w:val="en-US" w:eastAsia="zh-CN"/>
              </w:rPr>
              <w:t>主观评审</w:t>
            </w:r>
          </w:p>
        </w:tc>
      </w:tr>
      <w:tr w14:paraId="5062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5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4C7066B">
            <w:pPr>
              <w:spacing w:beforeLines="0" w:afterLines="0"/>
              <w:rPr>
                <w:rFonts w:hint="default" w:ascii="宋体"/>
                <w:sz w:val="24"/>
                <w:szCs w:val="24"/>
              </w:rPr>
            </w:pPr>
          </w:p>
        </w:tc>
        <w:tc>
          <w:tcPr>
            <w:tcW w:w="104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6770455">
            <w:pPr>
              <w:spacing w:beforeLines="0" w:afterLines="0"/>
              <w:rPr>
                <w:rFonts w:hint="default" w:ascii="宋体"/>
                <w:color w:val="auto"/>
                <w:sz w:val="24"/>
                <w:szCs w:val="24"/>
                <w:highlight w:val="none"/>
              </w:rPr>
            </w:pPr>
            <w:r>
              <w:rPr>
                <w:rFonts w:hint="eastAsia" w:ascii="宋体"/>
                <w:color w:val="auto"/>
                <w:sz w:val="24"/>
                <w:szCs w:val="24"/>
                <w:highlight w:val="none"/>
                <w:lang w:val="en-US" w:eastAsia="zh-CN"/>
              </w:rPr>
              <w:t>10</w:t>
            </w:r>
            <w:r>
              <w:rPr>
                <w:rFonts w:hint="default" w:ascii="宋体"/>
                <w:color w:val="auto"/>
                <w:sz w:val="24"/>
                <w:szCs w:val="24"/>
                <w:highlight w:val="none"/>
              </w:rPr>
              <w:t>、人员方案</w:t>
            </w:r>
          </w:p>
        </w:tc>
        <w:tc>
          <w:tcPr>
            <w:tcW w:w="5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860660">
            <w:pPr>
              <w:spacing w:beforeLines="0" w:afterLines="0"/>
              <w:rPr>
                <w:rFonts w:hint="default" w:ascii="宋体"/>
                <w:color w:val="auto"/>
                <w:sz w:val="24"/>
                <w:szCs w:val="24"/>
                <w:highlight w:val="none"/>
              </w:rPr>
            </w:pPr>
            <w:r>
              <w:rPr>
                <w:rFonts w:hint="default" w:ascii="宋体"/>
                <w:color w:val="auto"/>
                <w:sz w:val="24"/>
                <w:szCs w:val="24"/>
                <w:highlight w:val="none"/>
              </w:rPr>
              <w:t>（1）根据供应商针对本项目投入的养护人员配备满足招标文件要求的（即10人），在此基础上，每增加一名得0.</w:t>
            </w:r>
            <w:r>
              <w:rPr>
                <w:rFonts w:hint="eastAsia" w:ascii="宋体"/>
                <w:color w:val="auto"/>
                <w:sz w:val="24"/>
                <w:szCs w:val="24"/>
                <w:highlight w:val="none"/>
                <w:lang w:val="en-US" w:eastAsia="zh-CN"/>
              </w:rPr>
              <w:t>4</w:t>
            </w:r>
            <w:r>
              <w:rPr>
                <w:rFonts w:hint="default" w:ascii="宋体"/>
                <w:color w:val="auto"/>
                <w:sz w:val="24"/>
                <w:szCs w:val="24"/>
                <w:highlight w:val="none"/>
              </w:rPr>
              <w:t>分，本项满分</w:t>
            </w:r>
            <w:r>
              <w:rPr>
                <w:rFonts w:hint="eastAsia" w:ascii="宋体"/>
                <w:color w:val="auto"/>
                <w:sz w:val="24"/>
                <w:szCs w:val="24"/>
                <w:highlight w:val="none"/>
                <w:lang w:val="en-US" w:eastAsia="zh-CN"/>
              </w:rPr>
              <w:t>2</w:t>
            </w:r>
            <w:r>
              <w:rPr>
                <w:rFonts w:hint="default" w:ascii="宋体"/>
                <w:color w:val="auto"/>
                <w:sz w:val="24"/>
                <w:szCs w:val="24"/>
                <w:highlight w:val="none"/>
              </w:rPr>
              <w:t>分。</w:t>
            </w:r>
            <w:r>
              <w:rPr>
                <w:rFonts w:hint="default"/>
                <w:color w:val="auto"/>
                <w:sz w:val="24"/>
                <w:szCs w:val="24"/>
                <w:highlight w:val="none"/>
              </w:rPr>
              <w:t></w:t>
            </w:r>
          </w:p>
          <w:p w14:paraId="59A1B7A3">
            <w:pPr>
              <w:spacing w:beforeLines="0" w:afterLines="0"/>
              <w:rPr>
                <w:rFonts w:hint="default" w:ascii="宋体"/>
                <w:color w:val="auto"/>
                <w:sz w:val="24"/>
                <w:szCs w:val="24"/>
                <w:highlight w:val="none"/>
              </w:rPr>
            </w:pPr>
            <w:r>
              <w:rPr>
                <w:rFonts w:hint="default"/>
                <w:color w:val="auto"/>
                <w:sz w:val="24"/>
                <w:szCs w:val="24"/>
                <w:highlight w:val="none"/>
              </w:rPr>
              <w:t></w:t>
            </w:r>
            <w:r>
              <w:rPr>
                <w:rFonts w:hint="default" w:ascii="宋体"/>
                <w:color w:val="auto"/>
                <w:sz w:val="24"/>
                <w:szCs w:val="24"/>
                <w:highlight w:val="none"/>
              </w:rPr>
              <w:t>注：投标文件中须提供当地社保部门出具的供应商为其缴纳的开标日前三个月人员社保证明，未提供证明资料或资料不全的，均不得分。</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5E207F">
            <w:pPr>
              <w:spacing w:beforeLines="0" w:afterLines="0"/>
              <w:jc w:val="center"/>
              <w:rPr>
                <w:rFonts w:hint="eastAsia" w:ascii="宋体" w:eastAsia="宋体"/>
                <w:sz w:val="24"/>
                <w:szCs w:val="24"/>
                <w:highlight w:val="none"/>
                <w:lang w:val="en-US" w:eastAsia="zh-CN"/>
              </w:rPr>
            </w:pPr>
            <w:r>
              <w:rPr>
                <w:rFonts w:hint="eastAsia" w:ascii="宋体"/>
                <w:sz w:val="24"/>
                <w:szCs w:val="24"/>
                <w:highlight w:val="none"/>
                <w:lang w:val="en-US" w:eastAsia="zh-CN"/>
              </w:rPr>
              <w:t>2</w:t>
            </w:r>
          </w:p>
        </w:tc>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DDEE75">
            <w:pPr>
              <w:spacing w:beforeLines="0" w:afterLines="0"/>
              <w:jc w:val="center"/>
              <w:rPr>
                <w:rFonts w:hint="default"/>
                <w:sz w:val="24"/>
                <w:szCs w:val="24"/>
                <w:highlight w:val="none"/>
              </w:rPr>
            </w:pPr>
            <w:r>
              <w:rPr>
                <w:rFonts w:hint="default" w:ascii="宋体"/>
                <w:sz w:val="24"/>
                <w:szCs w:val="24"/>
                <w:highlight w:val="none"/>
              </w:rPr>
              <w:t>客观评审</w:t>
            </w:r>
          </w:p>
        </w:tc>
      </w:tr>
      <w:tr w14:paraId="65E9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5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867C37F">
            <w:pPr>
              <w:spacing w:beforeLines="0" w:afterLines="0"/>
              <w:rPr>
                <w:rFonts w:hint="default" w:ascii="宋体"/>
                <w:sz w:val="24"/>
                <w:szCs w:val="24"/>
              </w:rPr>
            </w:pPr>
          </w:p>
        </w:tc>
        <w:tc>
          <w:tcPr>
            <w:tcW w:w="104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E367B3">
            <w:pPr>
              <w:spacing w:beforeLines="0" w:afterLines="0"/>
              <w:rPr>
                <w:rFonts w:hint="default" w:ascii="宋体"/>
                <w:color w:val="auto"/>
                <w:sz w:val="24"/>
                <w:szCs w:val="24"/>
                <w:highlight w:val="none"/>
              </w:rPr>
            </w:pPr>
          </w:p>
        </w:tc>
        <w:tc>
          <w:tcPr>
            <w:tcW w:w="5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A0DF14">
            <w:pPr>
              <w:spacing w:beforeLines="0" w:afterLines="0"/>
              <w:rPr>
                <w:rFonts w:hint="default" w:ascii="宋体"/>
                <w:color w:val="auto"/>
                <w:sz w:val="24"/>
                <w:szCs w:val="24"/>
                <w:highlight w:val="none"/>
              </w:rPr>
            </w:pPr>
            <w:r>
              <w:rPr>
                <w:rFonts w:hint="default" w:ascii="宋体"/>
                <w:color w:val="auto"/>
                <w:sz w:val="24"/>
                <w:szCs w:val="24"/>
                <w:highlight w:val="none"/>
              </w:rPr>
              <w:t>（2）根据供应商针对本项目投入的养护人员具有下水道养护工职业资格证书或排水行业有限空间操作证等养护操作工相关证书的，配置4名的，不得分。在此基础上，每增加一名得0.</w:t>
            </w:r>
            <w:r>
              <w:rPr>
                <w:rFonts w:hint="eastAsia" w:ascii="宋体"/>
                <w:color w:val="auto"/>
                <w:sz w:val="24"/>
                <w:szCs w:val="24"/>
                <w:highlight w:val="none"/>
                <w:lang w:val="en-US" w:eastAsia="zh-CN"/>
              </w:rPr>
              <w:t>4</w:t>
            </w:r>
            <w:r>
              <w:rPr>
                <w:rFonts w:hint="default" w:ascii="宋体"/>
                <w:color w:val="auto"/>
                <w:sz w:val="24"/>
                <w:szCs w:val="24"/>
                <w:highlight w:val="none"/>
              </w:rPr>
              <w:t>分，本项满分</w:t>
            </w:r>
            <w:r>
              <w:rPr>
                <w:rFonts w:hint="eastAsia" w:ascii="宋体"/>
                <w:color w:val="auto"/>
                <w:sz w:val="24"/>
                <w:szCs w:val="24"/>
                <w:highlight w:val="none"/>
                <w:lang w:val="en-US" w:eastAsia="zh-CN"/>
              </w:rPr>
              <w:t>2</w:t>
            </w:r>
            <w:r>
              <w:rPr>
                <w:rFonts w:hint="default" w:ascii="宋体"/>
                <w:color w:val="auto"/>
                <w:sz w:val="24"/>
                <w:szCs w:val="24"/>
                <w:highlight w:val="none"/>
              </w:rPr>
              <w:t>分。</w:t>
            </w:r>
          </w:p>
          <w:p w14:paraId="17FF8239">
            <w:pPr>
              <w:spacing w:beforeLines="0" w:afterLines="0"/>
              <w:rPr>
                <w:rFonts w:hint="default" w:ascii="宋体"/>
                <w:color w:val="auto"/>
                <w:sz w:val="24"/>
                <w:szCs w:val="24"/>
                <w:highlight w:val="none"/>
              </w:rPr>
            </w:pPr>
            <w:r>
              <w:rPr>
                <w:rFonts w:hint="default" w:ascii="宋体"/>
                <w:color w:val="auto"/>
                <w:sz w:val="24"/>
                <w:szCs w:val="24"/>
                <w:highlight w:val="none"/>
              </w:rPr>
              <w:t>注：投标文件中须提供以上人员证书和当地社保部门出具的供应商为其缴纳的开标日前三个月人员社保证明，未提供证明资料或资料不全的，均不得分。</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2EBB1A">
            <w:pPr>
              <w:spacing w:beforeLines="0" w:afterLines="0"/>
              <w:jc w:val="center"/>
              <w:rPr>
                <w:rFonts w:hint="eastAsia" w:eastAsia="宋体"/>
                <w:sz w:val="24"/>
                <w:szCs w:val="24"/>
                <w:highlight w:val="none"/>
                <w:lang w:val="en-US" w:eastAsia="zh-CN"/>
              </w:rPr>
            </w:pPr>
            <w:r>
              <w:rPr>
                <w:rFonts w:hint="eastAsia"/>
                <w:sz w:val="24"/>
                <w:szCs w:val="24"/>
                <w:highlight w:val="none"/>
                <w:lang w:val="en-US" w:eastAsia="zh-CN"/>
              </w:rPr>
              <w:t>2</w:t>
            </w:r>
          </w:p>
        </w:tc>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E87498">
            <w:pPr>
              <w:spacing w:beforeLines="0" w:afterLines="0"/>
              <w:jc w:val="center"/>
              <w:rPr>
                <w:rFonts w:hint="default" w:ascii="宋体"/>
                <w:sz w:val="24"/>
                <w:szCs w:val="24"/>
                <w:highlight w:val="none"/>
              </w:rPr>
            </w:pPr>
            <w:r>
              <w:rPr>
                <w:rFonts w:hint="default" w:ascii="宋体"/>
                <w:sz w:val="24"/>
                <w:szCs w:val="24"/>
                <w:highlight w:val="none"/>
              </w:rPr>
              <w:t>客观评审</w:t>
            </w:r>
          </w:p>
        </w:tc>
      </w:tr>
      <w:tr w14:paraId="45B2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jc w:val="center"/>
        </w:trPr>
        <w:tc>
          <w:tcPr>
            <w:tcW w:w="5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52FAD31">
            <w:pPr>
              <w:spacing w:beforeLines="0" w:afterLines="0"/>
              <w:rPr>
                <w:rFonts w:hint="default" w:ascii="宋体"/>
                <w:sz w:val="24"/>
                <w:szCs w:val="24"/>
                <w:highlight w:val="none"/>
              </w:rPr>
            </w:pPr>
          </w:p>
        </w:tc>
        <w:tc>
          <w:tcPr>
            <w:tcW w:w="104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4ADFDB2">
            <w:pPr>
              <w:spacing w:beforeLines="0" w:afterLines="0"/>
              <w:rPr>
                <w:rFonts w:hint="default" w:ascii="宋体"/>
                <w:sz w:val="24"/>
                <w:szCs w:val="24"/>
                <w:highlight w:val="none"/>
              </w:rPr>
            </w:pPr>
            <w:r>
              <w:rPr>
                <w:rFonts w:hint="default" w:ascii="宋体"/>
                <w:sz w:val="24"/>
                <w:szCs w:val="24"/>
                <w:highlight w:val="none"/>
              </w:rPr>
              <w:t>1</w:t>
            </w:r>
            <w:r>
              <w:rPr>
                <w:rFonts w:hint="eastAsia" w:ascii="宋体"/>
                <w:sz w:val="24"/>
                <w:szCs w:val="24"/>
                <w:highlight w:val="none"/>
                <w:lang w:val="en-US" w:eastAsia="zh-CN"/>
              </w:rPr>
              <w:t>1</w:t>
            </w:r>
            <w:r>
              <w:rPr>
                <w:rFonts w:hint="default" w:ascii="宋体"/>
                <w:sz w:val="24"/>
                <w:szCs w:val="24"/>
                <w:highlight w:val="none"/>
              </w:rPr>
              <w:t>、设备配备情况</w:t>
            </w:r>
          </w:p>
        </w:tc>
        <w:tc>
          <w:tcPr>
            <w:tcW w:w="5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4B5CF9">
            <w:pPr>
              <w:spacing w:beforeLines="0" w:afterLines="0"/>
              <w:rPr>
                <w:rFonts w:hint="default" w:ascii="宋体" w:hAnsi="宋体" w:cs="宋体"/>
                <w:color w:val="auto"/>
                <w:sz w:val="24"/>
                <w:szCs w:val="24"/>
                <w:highlight w:val="none"/>
              </w:rPr>
            </w:pPr>
            <w:r>
              <w:rPr>
                <w:rFonts w:hint="default" w:ascii="宋体" w:hAnsi="宋体" w:cs="宋体"/>
                <w:color w:val="auto"/>
                <w:sz w:val="24"/>
                <w:szCs w:val="24"/>
                <w:highlight w:val="none"/>
              </w:rPr>
              <w:t>（1））根据供应商针对本项目投入的自有机械疏通车数量为一辆的不得分；自有两辆及以上的得</w:t>
            </w:r>
            <w:r>
              <w:rPr>
                <w:rFonts w:hint="eastAsia" w:ascii="宋体" w:hAnsi="宋体" w:cs="宋体"/>
                <w:color w:val="auto"/>
                <w:sz w:val="24"/>
                <w:szCs w:val="24"/>
                <w:highlight w:val="none"/>
                <w:lang w:val="en-US" w:eastAsia="zh-CN"/>
              </w:rPr>
              <w:t>1</w:t>
            </w:r>
            <w:r>
              <w:rPr>
                <w:rFonts w:hint="default" w:ascii="宋体" w:hAnsi="宋体" w:cs="宋体"/>
                <w:color w:val="auto"/>
                <w:sz w:val="24"/>
                <w:szCs w:val="24"/>
                <w:highlight w:val="none"/>
              </w:rPr>
              <w:t>分，自有一辆，租赁两辆及以上的得</w:t>
            </w:r>
            <w:r>
              <w:rPr>
                <w:rFonts w:hint="eastAsia" w:ascii="宋体" w:hAnsi="宋体" w:cs="宋体"/>
                <w:color w:val="auto"/>
                <w:sz w:val="24"/>
                <w:szCs w:val="24"/>
                <w:highlight w:val="none"/>
                <w:lang w:val="en-US" w:eastAsia="zh-CN"/>
              </w:rPr>
              <w:t>0.5</w:t>
            </w:r>
            <w:r>
              <w:rPr>
                <w:rFonts w:hint="default" w:ascii="宋体" w:hAnsi="宋体" w:cs="宋体"/>
                <w:color w:val="auto"/>
                <w:sz w:val="24"/>
                <w:szCs w:val="24"/>
                <w:highlight w:val="none"/>
              </w:rPr>
              <w:t>分。</w:t>
            </w:r>
          </w:p>
          <w:p w14:paraId="457F5E73">
            <w:pPr>
              <w:spacing w:beforeLines="0" w:afterLines="0"/>
              <w:rPr>
                <w:rFonts w:hint="default" w:ascii="宋体"/>
                <w:sz w:val="24"/>
                <w:szCs w:val="24"/>
                <w:highlight w:val="none"/>
              </w:rPr>
            </w:pPr>
            <w:r>
              <w:rPr>
                <w:rFonts w:hint="default" w:ascii="宋体" w:hAnsi="宋体" w:cs="宋体"/>
                <w:color w:val="auto"/>
                <w:sz w:val="24"/>
                <w:szCs w:val="24"/>
                <w:highlight w:val="none"/>
              </w:rPr>
              <w:t>注：自有：如为一体式疏通车，投标文件中提供行驶证复印件；如为组装的，投标文件中须同时提供车辆行驶证复印件、疏通设备发票复印件及组装后的照片。租赁：还应提供租赁合同，租赁期限应不早于本项目投标截止时间。未提供证明资料或资料不全的，均不得分。</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882290">
            <w:pPr>
              <w:spacing w:beforeLines="0" w:afterLines="0"/>
              <w:jc w:val="center"/>
              <w:rPr>
                <w:rFonts w:hint="default" w:eastAsia="宋体"/>
                <w:sz w:val="24"/>
                <w:szCs w:val="24"/>
                <w:highlight w:val="none"/>
                <w:lang w:val="en-US" w:eastAsia="zh-CN"/>
              </w:rPr>
            </w:pPr>
            <w:r>
              <w:rPr>
                <w:rFonts w:hint="eastAsia"/>
                <w:sz w:val="24"/>
                <w:szCs w:val="24"/>
                <w:highlight w:val="none"/>
                <w:lang w:val="en-US" w:eastAsia="zh-CN"/>
              </w:rPr>
              <w:t>1</w:t>
            </w:r>
          </w:p>
        </w:tc>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46CB02">
            <w:pPr>
              <w:spacing w:beforeLines="0" w:afterLines="0"/>
              <w:jc w:val="center"/>
              <w:rPr>
                <w:rFonts w:hint="default" w:ascii="宋体"/>
                <w:sz w:val="24"/>
                <w:szCs w:val="24"/>
                <w:highlight w:val="none"/>
              </w:rPr>
            </w:pPr>
            <w:r>
              <w:rPr>
                <w:rFonts w:hint="default" w:ascii="宋体"/>
                <w:sz w:val="24"/>
                <w:szCs w:val="24"/>
                <w:highlight w:val="none"/>
              </w:rPr>
              <w:t>客观评审</w:t>
            </w:r>
          </w:p>
        </w:tc>
      </w:tr>
      <w:tr w14:paraId="7BBD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5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CB30049">
            <w:pPr>
              <w:spacing w:beforeLines="0" w:afterLines="0"/>
              <w:rPr>
                <w:rFonts w:hint="default" w:ascii="宋体"/>
                <w:sz w:val="24"/>
                <w:szCs w:val="24"/>
                <w:highlight w:val="none"/>
              </w:rPr>
            </w:pPr>
          </w:p>
        </w:tc>
        <w:tc>
          <w:tcPr>
            <w:tcW w:w="104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6A5803D">
            <w:pPr>
              <w:spacing w:beforeLines="0" w:afterLines="0"/>
              <w:rPr>
                <w:rFonts w:hint="default" w:ascii="宋体"/>
                <w:sz w:val="24"/>
                <w:szCs w:val="24"/>
                <w:highlight w:val="none"/>
              </w:rPr>
            </w:pPr>
          </w:p>
        </w:tc>
        <w:tc>
          <w:tcPr>
            <w:tcW w:w="5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4814EB">
            <w:pPr>
              <w:numPr>
                <w:ilvl w:val="0"/>
                <w:numId w:val="0"/>
              </w:numPr>
              <w:spacing w:beforeLines="0" w:afterLines="0"/>
              <w:rPr>
                <w:rFonts w:hint="default" w:ascii="宋体" w:hAnsi="宋体" w:cs="宋体"/>
                <w:color w:val="auto"/>
                <w:sz w:val="24"/>
                <w:szCs w:val="24"/>
                <w:highlight w:val="none"/>
              </w:rPr>
            </w:pPr>
            <w:r>
              <w:rPr>
                <w:rFonts w:hint="default" w:ascii="宋体" w:hAnsi="宋体" w:cs="宋体"/>
                <w:color w:val="auto"/>
                <w:sz w:val="24"/>
                <w:szCs w:val="24"/>
                <w:highlight w:val="none"/>
              </w:rPr>
              <w:t>（2）根据供应商针对本项目提供的防汛物资情况进行评议。如防汛强排车（流量300方/小时及以上）、水泵（总流量1000方/小时及以上）、应急运输车辆等。</w:t>
            </w:r>
          </w:p>
          <w:p w14:paraId="242CA0E9">
            <w:pPr>
              <w:spacing w:beforeLines="0" w:afterLines="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防汛物资配置方案合理，具有可操作性的，得</w:t>
            </w:r>
            <w:r>
              <w:rPr>
                <w:rFonts w:hint="eastAsia" w:ascii="宋体" w:hAnsi="宋体" w:cs="宋体"/>
                <w:color w:val="auto"/>
                <w:sz w:val="24"/>
                <w:szCs w:val="24"/>
                <w:highlight w:val="none"/>
                <w:lang w:val="en-US" w:eastAsia="zh-CN"/>
              </w:rPr>
              <w:t>3</w:t>
            </w:r>
            <w:r>
              <w:rPr>
                <w:rFonts w:hint="default" w:ascii="宋体" w:hAnsi="宋体" w:cs="宋体"/>
                <w:color w:val="auto"/>
                <w:sz w:val="24"/>
                <w:szCs w:val="24"/>
                <w:highlight w:val="none"/>
                <w:lang w:val="en-US" w:eastAsia="zh-CN"/>
              </w:rPr>
              <w:t>分；</w:t>
            </w:r>
          </w:p>
          <w:p w14:paraId="0BD95662">
            <w:pPr>
              <w:spacing w:beforeLines="0" w:afterLines="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防汛物资配置方案合理性一般，可操作性一般，得</w:t>
            </w:r>
            <w:r>
              <w:rPr>
                <w:rFonts w:hint="eastAsia" w:ascii="宋体" w:hAnsi="宋体" w:cs="宋体"/>
                <w:color w:val="auto"/>
                <w:sz w:val="24"/>
                <w:szCs w:val="24"/>
                <w:highlight w:val="none"/>
                <w:lang w:val="en-US" w:eastAsia="zh-CN"/>
              </w:rPr>
              <w:t>2</w:t>
            </w:r>
            <w:r>
              <w:rPr>
                <w:rFonts w:hint="default" w:ascii="宋体" w:hAnsi="宋体" w:cs="宋体"/>
                <w:color w:val="auto"/>
                <w:sz w:val="24"/>
                <w:szCs w:val="24"/>
                <w:highlight w:val="none"/>
                <w:lang w:val="en-US" w:eastAsia="zh-CN"/>
              </w:rPr>
              <w:t>分；</w:t>
            </w:r>
          </w:p>
          <w:p w14:paraId="6994F263">
            <w:pPr>
              <w:spacing w:beforeLines="0" w:afterLines="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防汛物资配置方案</w:t>
            </w:r>
            <w:r>
              <w:rPr>
                <w:rFonts w:hint="eastAsia" w:ascii="宋体" w:hAnsi="宋体" w:cs="宋体"/>
                <w:color w:val="auto"/>
                <w:sz w:val="24"/>
                <w:szCs w:val="24"/>
                <w:highlight w:val="none"/>
                <w:lang w:val="en-US" w:eastAsia="zh-CN"/>
              </w:rPr>
              <w:t>欠</w:t>
            </w:r>
            <w:r>
              <w:rPr>
                <w:rFonts w:hint="default" w:ascii="宋体" w:hAnsi="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欠</w:t>
            </w:r>
            <w:r>
              <w:rPr>
                <w:rFonts w:hint="default" w:ascii="宋体" w:hAnsi="宋体" w:cs="宋体"/>
                <w:color w:val="auto"/>
                <w:sz w:val="24"/>
                <w:szCs w:val="24"/>
                <w:highlight w:val="none"/>
                <w:lang w:val="en-US" w:eastAsia="zh-CN"/>
              </w:rPr>
              <w:t>具备操作性的，得1分；</w:t>
            </w:r>
          </w:p>
          <w:p w14:paraId="79342BB8">
            <w:pPr>
              <w:spacing w:beforeLines="0" w:afterLines="0"/>
              <w:rPr>
                <w:rFonts w:hint="default" w:ascii="宋体" w:hAnsi="宋体" w:cs="宋体"/>
                <w:color w:val="auto"/>
                <w:sz w:val="24"/>
                <w:szCs w:val="24"/>
                <w:highlight w:val="none"/>
              </w:rPr>
            </w:pPr>
            <w:r>
              <w:rPr>
                <w:rFonts w:hint="default" w:ascii="宋体" w:hAnsi="宋体" w:cs="宋体"/>
                <w:color w:val="auto"/>
                <w:sz w:val="24"/>
                <w:szCs w:val="24"/>
                <w:highlight w:val="none"/>
                <w:lang w:val="en-US" w:eastAsia="zh-CN"/>
              </w:rPr>
              <w:t>未提供的不得分。</w:t>
            </w:r>
          </w:p>
          <w:p w14:paraId="5E0366B2">
            <w:pPr>
              <w:spacing w:beforeLines="0" w:afterLines="0"/>
              <w:rPr>
                <w:rFonts w:hint="default" w:ascii="宋体"/>
                <w:sz w:val="24"/>
                <w:szCs w:val="24"/>
                <w:highlight w:val="none"/>
              </w:rPr>
            </w:pPr>
            <w:r>
              <w:rPr>
                <w:rFonts w:hint="default" w:ascii="宋体" w:hAnsi="宋体" w:cs="宋体"/>
                <w:color w:val="auto"/>
                <w:sz w:val="24"/>
                <w:szCs w:val="24"/>
                <w:highlight w:val="none"/>
              </w:rPr>
              <w:t>注：投标文件中须提供相关证明材料。</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92F253">
            <w:pPr>
              <w:spacing w:beforeLines="0" w:afterLines="0"/>
              <w:jc w:val="center"/>
              <w:rPr>
                <w:rFonts w:hint="default" w:eastAsia="宋体"/>
                <w:sz w:val="24"/>
                <w:szCs w:val="24"/>
                <w:highlight w:val="none"/>
                <w:lang w:val="en-US" w:eastAsia="zh-CN"/>
              </w:rPr>
            </w:pPr>
            <w:r>
              <w:rPr>
                <w:rFonts w:hint="eastAsia"/>
                <w:sz w:val="24"/>
                <w:szCs w:val="24"/>
                <w:highlight w:val="none"/>
                <w:lang w:val="en-US" w:eastAsia="zh-CN"/>
              </w:rPr>
              <w:t>3</w:t>
            </w:r>
          </w:p>
        </w:tc>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A04F40">
            <w:pPr>
              <w:spacing w:beforeLines="0" w:afterLines="0"/>
              <w:jc w:val="center"/>
              <w:rPr>
                <w:rFonts w:hint="default" w:ascii="宋体"/>
                <w:sz w:val="24"/>
                <w:szCs w:val="24"/>
                <w:highlight w:val="none"/>
              </w:rPr>
            </w:pPr>
            <w:r>
              <w:rPr>
                <w:rFonts w:hint="default" w:ascii="宋体"/>
                <w:sz w:val="24"/>
                <w:szCs w:val="24"/>
                <w:highlight w:val="none"/>
              </w:rPr>
              <w:t>主观评审</w:t>
            </w:r>
          </w:p>
        </w:tc>
      </w:tr>
      <w:tr w14:paraId="4DF3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5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209F16F">
            <w:pPr>
              <w:spacing w:beforeLines="0" w:afterLines="0"/>
              <w:rPr>
                <w:rFonts w:hint="default"/>
                <w:sz w:val="24"/>
                <w:szCs w:val="24"/>
                <w:highlight w:val="none"/>
              </w:rPr>
            </w:pPr>
          </w:p>
        </w:tc>
        <w:tc>
          <w:tcPr>
            <w:tcW w:w="104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D25548C">
            <w:pPr>
              <w:spacing w:beforeLines="0" w:afterLines="0"/>
              <w:rPr>
                <w:rFonts w:hint="default"/>
                <w:sz w:val="24"/>
                <w:szCs w:val="24"/>
                <w:highlight w:val="none"/>
              </w:rPr>
            </w:pPr>
          </w:p>
        </w:tc>
        <w:tc>
          <w:tcPr>
            <w:tcW w:w="5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12D3DE">
            <w:pPr>
              <w:spacing w:beforeLines="0" w:afterLines="0"/>
              <w:rPr>
                <w:rFonts w:hint="default" w:ascii="宋体" w:hAnsi="宋体" w:cs="宋体"/>
                <w:color w:val="auto"/>
                <w:sz w:val="24"/>
                <w:szCs w:val="24"/>
                <w:highlight w:val="none"/>
              </w:rPr>
            </w:pPr>
            <w:r>
              <w:rPr>
                <w:rFonts w:hint="default" w:ascii="宋体" w:hAnsi="宋体" w:cs="宋体"/>
                <w:color w:val="auto"/>
                <w:sz w:val="24"/>
                <w:szCs w:val="24"/>
                <w:highlight w:val="none"/>
              </w:rPr>
              <w:t>（3）自有吸污车一辆的得</w:t>
            </w:r>
            <w:r>
              <w:rPr>
                <w:rFonts w:hint="eastAsia" w:ascii="宋体" w:hAnsi="宋体" w:cs="宋体"/>
                <w:color w:val="auto"/>
                <w:sz w:val="24"/>
                <w:szCs w:val="24"/>
                <w:highlight w:val="none"/>
                <w:lang w:val="en-US" w:eastAsia="zh-CN"/>
              </w:rPr>
              <w:t>1</w:t>
            </w:r>
            <w:r>
              <w:rPr>
                <w:rFonts w:hint="default" w:ascii="宋体" w:hAnsi="宋体" w:cs="宋体"/>
                <w:color w:val="auto"/>
                <w:sz w:val="24"/>
                <w:szCs w:val="24"/>
                <w:highlight w:val="none"/>
              </w:rPr>
              <w:t>分，租赁吸污车一辆的得</w:t>
            </w:r>
            <w:r>
              <w:rPr>
                <w:rFonts w:hint="eastAsia" w:ascii="宋体" w:hAnsi="宋体" w:cs="宋体"/>
                <w:color w:val="auto"/>
                <w:sz w:val="24"/>
                <w:szCs w:val="24"/>
                <w:highlight w:val="none"/>
                <w:lang w:val="en-US" w:eastAsia="zh-CN"/>
              </w:rPr>
              <w:t>0.5</w:t>
            </w:r>
            <w:r>
              <w:rPr>
                <w:rFonts w:hint="default" w:ascii="宋体" w:hAnsi="宋体" w:cs="宋体"/>
                <w:color w:val="auto"/>
                <w:sz w:val="24"/>
                <w:szCs w:val="24"/>
                <w:highlight w:val="none"/>
              </w:rPr>
              <w:t>分。本项不累计得分。</w:t>
            </w:r>
          </w:p>
          <w:p w14:paraId="18A421FF">
            <w:pPr>
              <w:spacing w:beforeLines="0" w:afterLines="0"/>
              <w:rPr>
                <w:rFonts w:hint="default" w:ascii="宋体"/>
                <w:sz w:val="24"/>
                <w:szCs w:val="24"/>
                <w:highlight w:val="none"/>
              </w:rPr>
            </w:pPr>
            <w:r>
              <w:rPr>
                <w:rFonts w:hint="default" w:ascii="宋体" w:hAnsi="宋体" w:cs="宋体"/>
                <w:color w:val="auto"/>
                <w:sz w:val="24"/>
                <w:szCs w:val="24"/>
                <w:highlight w:val="none"/>
              </w:rPr>
              <w:t>注：自有：投标文件中须提供车辆行驶证复印件。租赁：还应提供租赁合同，租赁期限应不早于本项目投标截止时间。未提供证明资料或资料不全的，均不得分。</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820E59">
            <w:pPr>
              <w:spacing w:beforeLines="0" w:afterLines="0"/>
              <w:jc w:val="center"/>
              <w:rPr>
                <w:rFonts w:hint="eastAsia" w:eastAsia="宋体"/>
                <w:sz w:val="24"/>
                <w:szCs w:val="24"/>
                <w:highlight w:val="none"/>
                <w:lang w:val="en-US" w:eastAsia="zh-CN"/>
              </w:rPr>
            </w:pPr>
            <w:r>
              <w:rPr>
                <w:rFonts w:hint="eastAsia"/>
                <w:sz w:val="24"/>
                <w:szCs w:val="24"/>
                <w:highlight w:val="none"/>
                <w:lang w:val="en-US" w:eastAsia="zh-CN"/>
              </w:rPr>
              <w:t>1</w:t>
            </w:r>
          </w:p>
        </w:tc>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DAA1E2">
            <w:pPr>
              <w:spacing w:beforeLines="0" w:afterLines="0"/>
              <w:jc w:val="center"/>
              <w:rPr>
                <w:rFonts w:hint="default" w:ascii="宋体"/>
                <w:sz w:val="24"/>
                <w:szCs w:val="24"/>
                <w:highlight w:val="none"/>
              </w:rPr>
            </w:pPr>
            <w:r>
              <w:rPr>
                <w:rFonts w:hint="default" w:ascii="宋体"/>
                <w:sz w:val="24"/>
                <w:szCs w:val="24"/>
                <w:highlight w:val="none"/>
              </w:rPr>
              <w:t>客观评审</w:t>
            </w:r>
          </w:p>
        </w:tc>
      </w:tr>
      <w:tr w14:paraId="6F32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5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8CD0523">
            <w:pPr>
              <w:spacing w:beforeLines="0" w:afterLines="0"/>
              <w:rPr>
                <w:rFonts w:hint="default"/>
                <w:sz w:val="24"/>
                <w:szCs w:val="24"/>
                <w:highlight w:val="none"/>
              </w:rPr>
            </w:pPr>
          </w:p>
        </w:tc>
        <w:tc>
          <w:tcPr>
            <w:tcW w:w="104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3E8CD0E">
            <w:pPr>
              <w:spacing w:beforeLines="0" w:afterLines="0"/>
              <w:rPr>
                <w:rFonts w:hint="default"/>
                <w:sz w:val="24"/>
                <w:szCs w:val="24"/>
                <w:highlight w:val="none"/>
              </w:rPr>
            </w:pPr>
          </w:p>
        </w:tc>
        <w:tc>
          <w:tcPr>
            <w:tcW w:w="5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5FD535">
            <w:pPr>
              <w:spacing w:beforeLines="0" w:afterLines="0"/>
              <w:rPr>
                <w:rFonts w:hint="default" w:ascii="宋体" w:hAnsi="宋体" w:cs="宋体"/>
                <w:color w:val="auto"/>
                <w:sz w:val="24"/>
                <w:szCs w:val="24"/>
                <w:highlight w:val="none"/>
              </w:rPr>
            </w:pPr>
            <w:r>
              <w:rPr>
                <w:rFonts w:hint="default" w:ascii="宋体" w:hAnsi="宋体" w:cs="宋体"/>
                <w:color w:val="auto"/>
                <w:sz w:val="24"/>
                <w:szCs w:val="24"/>
                <w:highlight w:val="none"/>
              </w:rPr>
              <w:t>（4）自有封闭式垃圾车一辆的得</w:t>
            </w:r>
            <w:r>
              <w:rPr>
                <w:rFonts w:hint="eastAsia" w:ascii="宋体" w:hAnsi="宋体" w:cs="宋体"/>
                <w:color w:val="auto"/>
                <w:sz w:val="24"/>
                <w:szCs w:val="24"/>
                <w:highlight w:val="none"/>
                <w:lang w:val="en-US" w:eastAsia="zh-CN"/>
              </w:rPr>
              <w:t>1</w:t>
            </w:r>
            <w:r>
              <w:rPr>
                <w:rFonts w:hint="default" w:ascii="宋体" w:hAnsi="宋体" w:cs="宋体"/>
                <w:color w:val="auto"/>
                <w:sz w:val="24"/>
                <w:szCs w:val="24"/>
                <w:highlight w:val="none"/>
              </w:rPr>
              <w:t>分，租赁封闭式垃圾车一辆的得</w:t>
            </w:r>
            <w:r>
              <w:rPr>
                <w:rFonts w:hint="eastAsia" w:ascii="宋体" w:hAnsi="宋体" w:cs="宋体"/>
                <w:color w:val="auto"/>
                <w:sz w:val="24"/>
                <w:szCs w:val="24"/>
                <w:highlight w:val="none"/>
                <w:lang w:val="en-US" w:eastAsia="zh-CN"/>
              </w:rPr>
              <w:t>0.5</w:t>
            </w:r>
            <w:r>
              <w:rPr>
                <w:rFonts w:hint="default" w:ascii="宋体" w:hAnsi="宋体" w:cs="宋体"/>
                <w:color w:val="auto"/>
                <w:sz w:val="24"/>
                <w:szCs w:val="24"/>
                <w:highlight w:val="none"/>
              </w:rPr>
              <w:t>分。本项不累计得分。</w:t>
            </w:r>
          </w:p>
          <w:p w14:paraId="36C70DD0">
            <w:pPr>
              <w:spacing w:beforeLines="0" w:afterLines="0"/>
              <w:rPr>
                <w:rFonts w:hint="default" w:ascii="宋体"/>
                <w:sz w:val="24"/>
                <w:szCs w:val="24"/>
                <w:highlight w:val="none"/>
              </w:rPr>
            </w:pPr>
            <w:r>
              <w:rPr>
                <w:rFonts w:hint="default" w:ascii="宋体" w:hAnsi="宋体" w:cs="宋体"/>
                <w:color w:val="auto"/>
                <w:sz w:val="24"/>
                <w:szCs w:val="24"/>
                <w:highlight w:val="none"/>
              </w:rPr>
              <w:t>注：自有：投标文件中须提供车辆行驶证复印件。租赁：还应提供租赁合同，租赁期限应不早于本项目投标截止时间。未提供证明资料或资料不全的，均不得分。</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6F4D24">
            <w:pPr>
              <w:spacing w:beforeLines="0" w:afterLines="0"/>
              <w:jc w:val="center"/>
              <w:rPr>
                <w:rFonts w:hint="eastAsia" w:ascii="宋体" w:eastAsia="宋体"/>
                <w:sz w:val="24"/>
                <w:szCs w:val="24"/>
                <w:highlight w:val="none"/>
                <w:lang w:val="en-US" w:eastAsia="zh-CN"/>
              </w:rPr>
            </w:pPr>
            <w:r>
              <w:rPr>
                <w:rFonts w:hint="eastAsia" w:ascii="宋体"/>
                <w:sz w:val="24"/>
                <w:szCs w:val="24"/>
                <w:highlight w:val="none"/>
                <w:lang w:val="en-US" w:eastAsia="zh-CN"/>
              </w:rPr>
              <w:t>1</w:t>
            </w:r>
          </w:p>
        </w:tc>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AFE201">
            <w:pPr>
              <w:spacing w:beforeLines="0" w:afterLines="0"/>
              <w:jc w:val="center"/>
              <w:rPr>
                <w:rFonts w:hint="default" w:ascii="宋体"/>
                <w:sz w:val="24"/>
                <w:szCs w:val="24"/>
                <w:highlight w:val="none"/>
              </w:rPr>
            </w:pPr>
            <w:r>
              <w:rPr>
                <w:rFonts w:hint="default" w:ascii="宋体"/>
                <w:sz w:val="24"/>
                <w:szCs w:val="24"/>
                <w:highlight w:val="none"/>
              </w:rPr>
              <w:t>客观评审</w:t>
            </w:r>
          </w:p>
        </w:tc>
      </w:tr>
      <w:tr w14:paraId="1958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C39BA73">
            <w:pPr>
              <w:spacing w:beforeLines="0" w:afterLines="0"/>
              <w:rPr>
                <w:rFonts w:hint="default" w:ascii="宋体"/>
                <w:sz w:val="24"/>
                <w:szCs w:val="24"/>
                <w:highlight w:val="none"/>
              </w:rPr>
            </w:pPr>
          </w:p>
        </w:tc>
        <w:tc>
          <w:tcPr>
            <w:tcW w:w="10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5DC283">
            <w:pPr>
              <w:spacing w:beforeLines="0" w:afterLines="0"/>
              <w:rPr>
                <w:rFonts w:hint="default"/>
                <w:sz w:val="24"/>
                <w:szCs w:val="24"/>
                <w:highlight w:val="none"/>
              </w:rPr>
            </w:pPr>
            <w:r>
              <w:rPr>
                <w:rFonts w:hint="default" w:ascii="宋体" w:hAnsi="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default" w:ascii="宋体" w:hAnsi="宋体" w:cs="宋体"/>
                <w:color w:val="auto"/>
                <w:sz w:val="24"/>
                <w:szCs w:val="24"/>
                <w:highlight w:val="none"/>
              </w:rPr>
              <w:t>、业绩</w:t>
            </w:r>
          </w:p>
        </w:tc>
        <w:tc>
          <w:tcPr>
            <w:tcW w:w="5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4324A8">
            <w:pPr>
              <w:spacing w:beforeLines="0" w:afterLines="0"/>
              <w:rPr>
                <w:rFonts w:hint="default" w:ascii="宋体" w:hAnsi="宋体" w:cs="宋体"/>
                <w:color w:val="auto"/>
                <w:sz w:val="24"/>
                <w:szCs w:val="24"/>
                <w:highlight w:val="none"/>
              </w:rPr>
            </w:pPr>
            <w:r>
              <w:rPr>
                <w:rFonts w:hint="default" w:ascii="宋体" w:hAnsi="宋体" w:cs="宋体"/>
                <w:color w:val="auto"/>
                <w:sz w:val="24"/>
                <w:szCs w:val="24"/>
                <w:highlight w:val="none"/>
              </w:rPr>
              <w:t>自2022年1月1日以来（以合同签订时间为准），供应商具有类似养护业绩的，每提供一个业绩得0.5分，最多得1</w:t>
            </w:r>
            <w:r>
              <w:rPr>
                <w:rFonts w:hint="eastAsia" w:ascii="宋体" w:hAnsi="宋体" w:cs="宋体"/>
                <w:color w:val="auto"/>
                <w:sz w:val="24"/>
                <w:szCs w:val="24"/>
                <w:highlight w:val="none"/>
                <w:lang w:val="en-US" w:eastAsia="zh-CN"/>
              </w:rPr>
              <w:t>.5</w:t>
            </w:r>
            <w:r>
              <w:rPr>
                <w:rFonts w:hint="default" w:ascii="宋体" w:hAnsi="宋体" w:cs="宋体"/>
                <w:color w:val="auto"/>
                <w:sz w:val="24"/>
                <w:szCs w:val="24"/>
                <w:highlight w:val="none"/>
              </w:rPr>
              <w:t>分。</w:t>
            </w:r>
          </w:p>
          <w:p w14:paraId="120BD3D7">
            <w:pPr>
              <w:spacing w:beforeLines="0" w:afterLines="0"/>
              <w:rPr>
                <w:rFonts w:hint="default"/>
                <w:sz w:val="24"/>
                <w:szCs w:val="24"/>
                <w:highlight w:val="none"/>
              </w:rPr>
            </w:pPr>
            <w:r>
              <w:rPr>
                <w:rFonts w:hint="default" w:ascii="宋体" w:hAnsi="宋体" w:cs="宋体"/>
                <w:color w:val="auto"/>
                <w:sz w:val="24"/>
                <w:szCs w:val="24"/>
                <w:highlight w:val="none"/>
              </w:rPr>
              <w:t>注：投标文件中须同时提供合同和中标通知书，未提供证明资料或资料不全的，均不得分。</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5A004E">
            <w:pPr>
              <w:spacing w:beforeLines="0" w:afterLines="0"/>
              <w:jc w:val="center"/>
              <w:rPr>
                <w:rFonts w:hint="default" w:ascii="宋体" w:eastAsia="宋体"/>
                <w:sz w:val="24"/>
                <w:szCs w:val="24"/>
                <w:highlight w:val="none"/>
                <w:lang w:val="en-US" w:eastAsia="zh-CN"/>
              </w:rPr>
            </w:pPr>
            <w:r>
              <w:rPr>
                <w:rFonts w:hint="default"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p>
        </w:tc>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43DC49">
            <w:pPr>
              <w:spacing w:beforeLines="0" w:afterLines="0"/>
              <w:jc w:val="center"/>
              <w:rPr>
                <w:rFonts w:hint="default" w:ascii="宋体"/>
                <w:sz w:val="24"/>
                <w:szCs w:val="24"/>
                <w:highlight w:val="none"/>
              </w:rPr>
            </w:pPr>
            <w:r>
              <w:rPr>
                <w:rFonts w:hint="default" w:ascii="宋体"/>
                <w:sz w:val="24"/>
                <w:szCs w:val="24"/>
                <w:highlight w:val="none"/>
              </w:rPr>
              <w:t>客观评审</w:t>
            </w:r>
          </w:p>
        </w:tc>
      </w:tr>
      <w:tr w14:paraId="518C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1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157F832">
            <w:pPr>
              <w:spacing w:beforeLines="0" w:afterLines="0"/>
              <w:jc w:val="center"/>
              <w:rPr>
                <w:rFonts w:hint="default" w:ascii="宋体" w:hAnsi="宋体" w:cs="宋体"/>
                <w:color w:val="auto"/>
                <w:sz w:val="24"/>
                <w:szCs w:val="24"/>
                <w:highlight w:val="none"/>
              </w:rPr>
            </w:pPr>
            <w:r>
              <w:rPr>
                <w:rFonts w:hint="default" w:ascii="宋体" w:hAnsi="宋体" w:cs="宋体"/>
                <w:color w:val="auto"/>
                <w:sz w:val="24"/>
                <w:szCs w:val="24"/>
                <w:highlight w:val="none"/>
                <w:lang w:bidi="ar"/>
              </w:rPr>
              <w:t>报价分</w:t>
            </w:r>
          </w:p>
          <w:p w14:paraId="13567531">
            <w:pPr>
              <w:spacing w:beforeLines="0" w:afterLines="0"/>
              <w:jc w:val="center"/>
              <w:rPr>
                <w:rFonts w:hint="default" w:ascii="宋体" w:hAnsi="宋体" w:cs="宋体"/>
                <w:color w:val="auto"/>
                <w:sz w:val="24"/>
                <w:szCs w:val="24"/>
                <w:highlight w:val="none"/>
              </w:rPr>
            </w:pPr>
            <w:r>
              <w:rPr>
                <w:rFonts w:hint="default" w:ascii="宋体" w:hAnsi="宋体" w:cs="宋体"/>
                <w:color w:val="auto"/>
                <w:sz w:val="24"/>
                <w:szCs w:val="24"/>
                <w:highlight w:val="none"/>
                <w:lang w:bidi="ar"/>
              </w:rPr>
              <w:t>（1</w:t>
            </w:r>
            <w:r>
              <w:rPr>
                <w:rFonts w:hint="eastAsia" w:ascii="宋体" w:hAnsi="宋体" w:cs="宋体"/>
                <w:color w:val="auto"/>
                <w:sz w:val="24"/>
                <w:szCs w:val="24"/>
                <w:highlight w:val="none"/>
                <w:lang w:val="en-US" w:eastAsia="zh-CN" w:bidi="ar"/>
              </w:rPr>
              <w:t>5</w:t>
            </w:r>
            <w:r>
              <w:rPr>
                <w:rFonts w:hint="default" w:ascii="宋体" w:hAnsi="宋体" w:cs="宋体"/>
                <w:color w:val="auto"/>
                <w:sz w:val="24"/>
                <w:szCs w:val="24"/>
                <w:highlight w:val="none"/>
                <w:lang w:bidi="ar"/>
              </w:rPr>
              <w:t>分）</w:t>
            </w:r>
          </w:p>
        </w:tc>
        <w:tc>
          <w:tcPr>
            <w:tcW w:w="5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C000E9">
            <w:pPr>
              <w:spacing w:beforeLines="0" w:afterLines="0"/>
              <w:rPr>
                <w:rFonts w:hint="default" w:ascii="宋体" w:hAnsi="宋体" w:cs="宋体"/>
                <w:color w:val="auto"/>
                <w:sz w:val="24"/>
                <w:szCs w:val="24"/>
                <w:highlight w:val="none"/>
              </w:rPr>
            </w:pPr>
            <w:r>
              <w:rPr>
                <w:rFonts w:hint="default" w:ascii="宋体" w:hAnsi="宋体" w:cs="宋体"/>
                <w:color w:val="auto"/>
                <w:sz w:val="24"/>
                <w:szCs w:val="24"/>
                <w:highlight w:val="none"/>
              </w:rPr>
              <w:t>满足采购要求的有效投标且投标报价最低的投标报价为评标基准价，得1</w:t>
            </w:r>
            <w:r>
              <w:rPr>
                <w:rFonts w:hint="eastAsia" w:ascii="宋体" w:hAnsi="宋体" w:cs="宋体"/>
                <w:color w:val="auto"/>
                <w:sz w:val="24"/>
                <w:szCs w:val="24"/>
                <w:highlight w:val="none"/>
                <w:lang w:val="en-US" w:eastAsia="zh-CN"/>
              </w:rPr>
              <w:t>5</w:t>
            </w:r>
            <w:r>
              <w:rPr>
                <w:rFonts w:hint="default" w:ascii="宋体" w:hAnsi="宋体" w:cs="宋体"/>
                <w:color w:val="auto"/>
                <w:sz w:val="24"/>
                <w:szCs w:val="24"/>
                <w:highlight w:val="none"/>
              </w:rPr>
              <w:t>分。</w:t>
            </w:r>
          </w:p>
          <w:p w14:paraId="3241156E">
            <w:pPr>
              <w:spacing w:beforeLines="0" w:afterLines="0"/>
              <w:rPr>
                <w:rFonts w:hint="default" w:ascii="宋体" w:hAnsi="宋体" w:cs="宋体"/>
                <w:color w:val="auto"/>
                <w:sz w:val="24"/>
                <w:szCs w:val="24"/>
                <w:highlight w:val="none"/>
              </w:rPr>
            </w:pPr>
            <w:r>
              <w:rPr>
                <w:rFonts w:hint="default" w:ascii="宋体" w:hAnsi="宋体" w:cs="宋体"/>
                <w:color w:val="auto"/>
                <w:sz w:val="24"/>
                <w:szCs w:val="24"/>
                <w:highlight w:val="none"/>
              </w:rPr>
              <w:t>其他投标报价得分计算公式如下：投标报价得分=（评标基准价/投标报价）×</w:t>
            </w:r>
            <w:r>
              <w:rPr>
                <w:rFonts w:hint="eastAsia" w:ascii="宋体" w:hAnsi="宋体" w:cs="宋体"/>
                <w:color w:val="auto"/>
                <w:sz w:val="24"/>
                <w:szCs w:val="24"/>
                <w:highlight w:val="none"/>
                <w:lang w:val="en-US" w:eastAsia="zh-CN"/>
              </w:rPr>
              <w:t>15</w:t>
            </w:r>
            <w:r>
              <w:rPr>
                <w:rFonts w:hint="default" w:ascii="宋体" w:hAnsi="宋体" w:cs="宋体"/>
                <w:color w:val="auto"/>
                <w:sz w:val="24"/>
                <w:szCs w:val="24"/>
                <w:highlight w:val="none"/>
              </w:rPr>
              <w:t>%×100。</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9AA1B1">
            <w:pPr>
              <w:spacing w:beforeLines="0" w:afterLines="0"/>
              <w:jc w:val="center"/>
              <w:rPr>
                <w:rFonts w:hint="eastAsia" w:ascii="宋体" w:hAnsi="宋体" w:eastAsia="宋体" w:cs="宋体"/>
                <w:color w:val="auto"/>
                <w:sz w:val="24"/>
                <w:szCs w:val="24"/>
                <w:highlight w:val="none"/>
                <w:lang w:val="en-US" w:eastAsia="zh-CN"/>
              </w:rPr>
            </w:pPr>
            <w:r>
              <w:rPr>
                <w:rFonts w:hint="default"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p>
        </w:tc>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183BFD">
            <w:pPr>
              <w:spacing w:beforeLines="0" w:afterLines="0"/>
              <w:jc w:val="center"/>
              <w:rPr>
                <w:rFonts w:hint="default" w:ascii="宋体"/>
                <w:sz w:val="24"/>
                <w:szCs w:val="24"/>
                <w:highlight w:val="none"/>
              </w:rPr>
            </w:pPr>
            <w:r>
              <w:rPr>
                <w:rFonts w:hint="default" w:ascii="宋体"/>
                <w:sz w:val="24"/>
                <w:szCs w:val="24"/>
                <w:highlight w:val="none"/>
              </w:rPr>
              <w:t>客观评审</w:t>
            </w:r>
          </w:p>
        </w:tc>
      </w:tr>
    </w:tbl>
    <w:p w14:paraId="3D06BF85">
      <w:pPr>
        <w:spacing w:beforeLines="0" w:afterLines="0"/>
        <w:rPr>
          <w:rFonts w:hint="default"/>
          <w:sz w:val="21"/>
          <w:szCs w:val="24"/>
        </w:rPr>
      </w:pPr>
    </w:p>
    <w:p w14:paraId="1834925C">
      <w:pPr>
        <w:snapToGrid w:val="0"/>
        <w:spacing w:line="360" w:lineRule="auto"/>
        <w:rPr>
          <w:rFonts w:hint="eastAsia" w:ascii="宋体" w:hAnsi="宋体" w:cs="宋体"/>
          <w:color w:val="auto"/>
          <w:sz w:val="24"/>
        </w:rPr>
      </w:pPr>
      <w:r>
        <w:rPr>
          <w:rFonts w:hint="eastAsia" w:ascii="宋体" w:hAnsi="宋体" w:cs="宋体"/>
          <w:b/>
          <w:color w:val="auto"/>
          <w:sz w:val="24"/>
        </w:rPr>
        <w:t>备注：</w:t>
      </w:r>
      <w:r>
        <w:rPr>
          <w:rFonts w:hint="eastAsia" w:ascii="宋体" w:hAnsi="宋体" w:cs="宋体"/>
          <w:color w:val="auto"/>
          <w:sz w:val="24"/>
          <w:lang w:val="en-US" w:eastAsia="zh-CN"/>
        </w:rPr>
        <w:t>1、</w:t>
      </w:r>
      <w:r>
        <w:rPr>
          <w:rFonts w:hint="eastAsia" w:ascii="宋体" w:hAnsi="宋体" w:cs="宋体"/>
          <w:color w:val="auto"/>
          <w:sz w:val="24"/>
        </w:rPr>
        <w:t>供应商编制投标文件（商务技术文件部分）时，建议按此目录（序号和内容）提供评标标准相应的商务技术资料。</w:t>
      </w:r>
      <w:r>
        <w:rPr>
          <w:rFonts w:hint="eastAsia" w:ascii="宋体" w:hAnsi="宋体" w:cs="宋体"/>
          <w:color w:val="auto"/>
          <w:sz w:val="24"/>
          <w:lang w:val="en-US" w:eastAsia="zh-CN"/>
        </w:rPr>
        <w:t>2、</w:t>
      </w:r>
      <w:r>
        <w:rPr>
          <w:rFonts w:hint="eastAsia" w:ascii="宋体" w:hAnsi="宋体" w:cs="宋体"/>
          <w:color w:val="auto"/>
          <w:sz w:val="24"/>
        </w:rPr>
        <w:t>小数点后保留一位数。3、各评标委员会成员自行按以上参考分值评分。4、重大事件由评标委员会集体讨论，应当按照少数服从多数的原则作出结论。</w:t>
      </w:r>
    </w:p>
    <w:p w14:paraId="7B4AC0AF">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5D1966EF">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w:t>
      </w:r>
      <w:r>
        <w:rPr>
          <w:rFonts w:hint="eastAsia" w:ascii="宋体" w:hAnsi="宋体" w:cs="宋体"/>
          <w:color w:val="auto"/>
          <w:kern w:val="0"/>
          <w:sz w:val="24"/>
          <w:lang w:eastAsia="zh-CN"/>
        </w:rPr>
        <w:t>供应商</w:t>
      </w:r>
      <w:r>
        <w:rPr>
          <w:rFonts w:hint="eastAsia" w:ascii="宋体" w:hAnsi="宋体" w:cs="宋体"/>
          <w:color w:val="auto"/>
          <w:kern w:val="0"/>
          <w:sz w:val="24"/>
        </w:rPr>
        <w:t>为中标候选人的评标方法。</w:t>
      </w:r>
    </w:p>
    <w:p w14:paraId="45971FF4">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2B7A84FF">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0873C323">
      <w:pPr>
        <w:spacing w:line="360" w:lineRule="auto"/>
        <w:outlineLvl w:val="0"/>
        <w:rPr>
          <w:rFonts w:hint="eastAsia" w:ascii="宋体" w:hAnsi="宋体" w:cs="宋体"/>
          <w:b/>
          <w:color w:val="auto"/>
          <w:sz w:val="36"/>
          <w:szCs w:val="36"/>
        </w:rPr>
      </w:pPr>
      <w:bookmarkStart w:id="407" w:name="_Toc29184"/>
      <w:r>
        <w:rPr>
          <w:rFonts w:hint="eastAsia" w:ascii="宋体" w:hAnsi="宋体" w:cs="宋体"/>
          <w:b/>
          <w:color w:val="auto"/>
          <w:sz w:val="36"/>
          <w:szCs w:val="36"/>
        </w:rPr>
        <w:t>三、评标程序</w:t>
      </w:r>
      <w:bookmarkEnd w:id="407"/>
    </w:p>
    <w:p w14:paraId="52BBFBF6">
      <w:pPr>
        <w:spacing w:line="360" w:lineRule="auto"/>
        <w:ind w:firstLine="482" w:firstLineChars="200"/>
        <w:outlineLvl w:val="0"/>
        <w:rPr>
          <w:rFonts w:hint="eastAsia" w:ascii="宋体" w:hAnsi="宋体" w:eastAsia="宋体" w:cs="宋体"/>
          <w:b/>
          <w:bCs/>
          <w:snapToGrid/>
          <w:color w:val="auto"/>
          <w:kern w:val="0"/>
          <w:sz w:val="24"/>
          <w:szCs w:val="24"/>
          <w:lang w:val="en-US" w:eastAsia="zh-CN" w:bidi="ar-SA"/>
        </w:rPr>
      </w:pPr>
      <w:r>
        <w:rPr>
          <w:rFonts w:hint="eastAsia" w:ascii="宋体" w:hAnsi="宋体" w:eastAsia="宋体" w:cs="宋体"/>
          <w:b/>
          <w:bCs/>
          <w:snapToGrid/>
          <w:color w:val="auto"/>
          <w:kern w:val="0"/>
          <w:sz w:val="24"/>
          <w:szCs w:val="24"/>
          <w:lang w:val="en-US" w:eastAsia="zh-CN" w:bidi="ar-SA"/>
        </w:rPr>
        <w:t>投标人可同时参与全部标项的投标，但至多只能中标一个标项。评标时按标项顺序依次评审，已经在前面标项被确定为第一中标候选人的，不再进入后面标项的报价评审。</w:t>
      </w:r>
    </w:p>
    <w:p w14:paraId="0D13E69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w:t>
      </w:r>
      <w:r>
        <w:rPr>
          <w:rFonts w:hint="eastAsia" w:ascii="宋体" w:hAnsi="宋体" w:cs="宋体"/>
          <w:color w:val="auto"/>
          <w:kern w:val="0"/>
          <w:sz w:val="24"/>
          <w:lang w:eastAsia="zh-CN"/>
        </w:rPr>
        <w:t>供应商</w:t>
      </w:r>
      <w:r>
        <w:rPr>
          <w:rFonts w:hint="eastAsia" w:ascii="宋体" w:hAnsi="宋体" w:cs="宋体"/>
          <w:color w:val="auto"/>
          <w:kern w:val="0"/>
          <w:sz w:val="24"/>
        </w:rPr>
        <w:t>的投标文件进行符合性审查，以确定其是否满足招标文件的实质性要求。不满足招标文件的实质性要求的，投标无效。</w:t>
      </w:r>
    </w:p>
    <w:p w14:paraId="59500AD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6F17CB6F">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w:t>
      </w:r>
      <w:r>
        <w:rPr>
          <w:rFonts w:hint="eastAsia" w:ascii="宋体" w:hAnsi="宋体" w:cs="宋体"/>
          <w:color w:val="auto"/>
          <w:kern w:val="0"/>
          <w:sz w:val="24"/>
          <w:lang w:eastAsia="zh-CN"/>
        </w:rPr>
        <w:t>供应商</w:t>
      </w:r>
      <w:r>
        <w:rPr>
          <w:rFonts w:hint="eastAsia" w:ascii="宋体" w:hAnsi="宋体" w:cs="宋体"/>
          <w:color w:val="auto"/>
          <w:kern w:val="0"/>
          <w:sz w:val="24"/>
        </w:rPr>
        <w:t>的商务和技术文件进行评价，并汇总商务技术得分情况。</w:t>
      </w:r>
    </w:p>
    <w:p w14:paraId="6921BB29">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70A840D8">
      <w:pPr>
        <w:pStyle w:val="131"/>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55466585">
      <w:pPr>
        <w:pStyle w:val="131"/>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3.4.1.1投标文件中开标一览表(报价表)内容与投标文件中相应内容不一致的，以开标一览表(报价表)为准</w:t>
      </w:r>
      <w:r>
        <w:rPr>
          <w:rFonts w:hint="eastAsia" w:ascii="宋体" w:hAnsi="宋体" w:cs="宋体"/>
          <w:color w:val="auto"/>
          <w:kern w:val="0"/>
          <w:szCs w:val="24"/>
          <w:lang w:eastAsia="zh-CN"/>
        </w:rPr>
        <w:t>；</w:t>
      </w:r>
    </w:p>
    <w:p w14:paraId="2716B880">
      <w:pPr>
        <w:pStyle w:val="131"/>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3.4.1.2大写金额和小写金额不一致的，以大写金额为准</w:t>
      </w:r>
      <w:r>
        <w:rPr>
          <w:rFonts w:hint="eastAsia" w:ascii="宋体" w:hAnsi="宋体" w:cs="宋体"/>
          <w:color w:val="auto"/>
          <w:kern w:val="0"/>
          <w:szCs w:val="24"/>
          <w:lang w:eastAsia="zh-CN"/>
        </w:rPr>
        <w:t>；</w:t>
      </w:r>
    </w:p>
    <w:p w14:paraId="195E98A0">
      <w:pPr>
        <w:pStyle w:val="131"/>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3.4.1.3单价金额小数点或者百分比有明显错位的，以开标一览表的总价为准，并修改单价</w:t>
      </w:r>
      <w:r>
        <w:rPr>
          <w:rFonts w:hint="eastAsia" w:ascii="宋体" w:hAnsi="宋体" w:cs="宋体"/>
          <w:color w:val="auto"/>
          <w:kern w:val="0"/>
          <w:szCs w:val="24"/>
          <w:lang w:eastAsia="zh-CN"/>
        </w:rPr>
        <w:t>；</w:t>
      </w:r>
    </w:p>
    <w:p w14:paraId="059729DF">
      <w:pPr>
        <w:pStyle w:val="131"/>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7F0C8EFD">
      <w:pPr>
        <w:pStyle w:val="131"/>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w:t>
      </w:r>
      <w:r>
        <w:rPr>
          <w:rFonts w:hint="eastAsia" w:ascii="宋体" w:hAnsi="宋体" w:cs="宋体"/>
          <w:color w:val="auto"/>
          <w:kern w:val="0"/>
          <w:szCs w:val="24"/>
          <w:lang w:eastAsia="zh-CN"/>
        </w:rPr>
        <w:t>供应商</w:t>
      </w:r>
      <w:r>
        <w:rPr>
          <w:rFonts w:hint="eastAsia" w:ascii="宋体" w:hAnsi="宋体" w:cs="宋体"/>
          <w:color w:val="auto"/>
          <w:kern w:val="0"/>
          <w:szCs w:val="24"/>
        </w:rPr>
        <w:t>确认后产生约束力。</w:t>
      </w:r>
    </w:p>
    <w:p w14:paraId="1DBE097F">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797F0585">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总价或单价</w:t>
      </w:r>
      <w:r>
        <w:rPr>
          <w:rFonts w:hint="eastAsia" w:ascii="宋体" w:hAnsi="宋体" w:cs="宋体"/>
          <w:color w:val="auto"/>
          <w:kern w:val="0"/>
          <w:sz w:val="24"/>
          <w:lang w:eastAsia="zh-CN"/>
        </w:rPr>
        <w:t>）</w:t>
      </w:r>
      <w:r>
        <w:rPr>
          <w:rFonts w:hint="eastAsia" w:ascii="宋体" w:hAnsi="宋体" w:cs="宋体"/>
          <w:color w:val="auto"/>
          <w:kern w:val="0"/>
          <w:sz w:val="24"/>
        </w:rPr>
        <w:t>的，投标无效。</w:t>
      </w:r>
    </w:p>
    <w:p w14:paraId="4F768C41">
      <w:pPr>
        <w:pStyle w:val="131"/>
        <w:spacing w:before="0"/>
        <w:ind w:firstLine="480"/>
        <w:rPr>
          <w:rFonts w:ascii="宋体" w:hAnsi="宋体" w:cs="宋体"/>
          <w:color w:val="auto"/>
          <w:kern w:val="0"/>
          <w:szCs w:val="24"/>
        </w:rPr>
      </w:pPr>
      <w:r>
        <w:rPr>
          <w:rFonts w:hint="eastAsia" w:ascii="宋体" w:hAnsi="宋体" w:cs="宋体"/>
          <w:color w:val="auto"/>
          <w:kern w:val="0"/>
          <w:szCs w:val="24"/>
        </w:rPr>
        <w:t>3.4.4评标委员会认为</w:t>
      </w:r>
      <w:r>
        <w:rPr>
          <w:rFonts w:hint="eastAsia" w:ascii="宋体" w:hAnsi="宋体" w:cs="宋体"/>
          <w:color w:val="auto"/>
          <w:kern w:val="0"/>
          <w:szCs w:val="24"/>
          <w:lang w:eastAsia="zh-CN"/>
        </w:rPr>
        <w:t>供应商</w:t>
      </w:r>
      <w:r>
        <w:rPr>
          <w:rFonts w:hint="eastAsia" w:ascii="宋体" w:hAnsi="宋体" w:cs="宋体"/>
          <w:color w:val="auto"/>
          <w:kern w:val="0"/>
          <w:szCs w:val="24"/>
        </w:rPr>
        <w:t>的报价明显低于其他通过符合性审查</w:t>
      </w:r>
      <w:r>
        <w:rPr>
          <w:rFonts w:hint="eastAsia" w:ascii="宋体" w:hAnsi="宋体" w:cs="宋体"/>
          <w:color w:val="auto"/>
          <w:kern w:val="0"/>
          <w:szCs w:val="24"/>
          <w:lang w:eastAsia="zh-CN"/>
        </w:rPr>
        <w:t>供应商</w:t>
      </w:r>
      <w:r>
        <w:rPr>
          <w:rFonts w:hint="eastAsia" w:ascii="宋体" w:hAnsi="宋体" w:cs="宋体"/>
          <w:color w:val="auto"/>
          <w:kern w:val="0"/>
          <w:szCs w:val="24"/>
        </w:rPr>
        <w:t>的报价，有可能影响产品质量或者不能诚信履约的，应当要求其在合理的时间内提供书面说明，必要时提交相关证明材料</w:t>
      </w:r>
      <w:r>
        <w:rPr>
          <w:rFonts w:hint="eastAsia" w:ascii="宋体" w:hAnsi="宋体" w:cs="宋体"/>
          <w:color w:val="auto"/>
          <w:kern w:val="0"/>
          <w:szCs w:val="24"/>
          <w:lang w:eastAsia="zh-CN"/>
        </w:rPr>
        <w:t>；供应商</w:t>
      </w:r>
      <w:r>
        <w:rPr>
          <w:rFonts w:hint="eastAsia" w:ascii="宋体" w:hAnsi="宋体" w:cs="宋体"/>
          <w:color w:val="auto"/>
          <w:kern w:val="0"/>
          <w:szCs w:val="24"/>
        </w:rPr>
        <w:t>不能证明其报价合理性的，评标委员会应当将其作为无效投标处理。</w:t>
      </w:r>
    </w:p>
    <w:p w14:paraId="0D9E7788">
      <w:pPr>
        <w:pStyle w:val="131"/>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08B0A36">
      <w:pPr>
        <w:spacing w:line="360" w:lineRule="auto"/>
        <w:ind w:firstLine="482" w:firstLineChars="200"/>
        <w:rPr>
          <w:rFonts w:ascii="宋体" w:hAnsi="宋体" w:cs="宋体"/>
          <w:b/>
          <w:bCs/>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bookmarkStart w:id="573" w:name="_GoBack"/>
      <w:bookmarkEnd w:id="573"/>
    </w:p>
    <w:p w14:paraId="64DD8D55">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w:t>
      </w:r>
      <w:r>
        <w:rPr>
          <w:rFonts w:hint="eastAsia" w:ascii="宋体" w:hAnsi="宋体" w:cs="宋体"/>
          <w:color w:val="auto"/>
          <w:kern w:val="0"/>
          <w:sz w:val="24"/>
          <w:lang w:eastAsia="zh-CN"/>
        </w:rPr>
        <w:t>供应商</w:t>
      </w:r>
      <w:r>
        <w:rPr>
          <w:rFonts w:hint="eastAsia" w:ascii="宋体" w:hAnsi="宋体" w:cs="宋体"/>
          <w:color w:val="auto"/>
          <w:kern w:val="0"/>
          <w:sz w:val="24"/>
        </w:rPr>
        <w:t>提供相同品牌产品（单一产品采购项目中的该产品或者非单一产品采购项目的核心产品）且通过资格审查、符合性审查的不同</w:t>
      </w:r>
      <w:r>
        <w:rPr>
          <w:rFonts w:hint="eastAsia" w:ascii="宋体" w:hAnsi="宋体" w:cs="宋体"/>
          <w:color w:val="auto"/>
          <w:kern w:val="0"/>
          <w:sz w:val="24"/>
          <w:lang w:eastAsia="zh-CN"/>
        </w:rPr>
        <w:t>供应商</w:t>
      </w:r>
      <w:r>
        <w:rPr>
          <w:rFonts w:hint="eastAsia" w:ascii="宋体" w:hAnsi="宋体" w:cs="宋体"/>
          <w:color w:val="auto"/>
          <w:kern w:val="0"/>
          <w:sz w:val="24"/>
        </w:rPr>
        <w:t>参加同一合同项下投标的，按一家</w:t>
      </w:r>
      <w:r>
        <w:rPr>
          <w:rFonts w:hint="eastAsia" w:ascii="宋体" w:hAnsi="宋体" w:cs="宋体"/>
          <w:color w:val="auto"/>
          <w:kern w:val="0"/>
          <w:sz w:val="24"/>
          <w:lang w:eastAsia="zh-CN"/>
        </w:rPr>
        <w:t>供应商</w:t>
      </w:r>
      <w:r>
        <w:rPr>
          <w:rFonts w:hint="eastAsia" w:ascii="宋体" w:hAnsi="宋体" w:cs="宋体"/>
          <w:color w:val="auto"/>
          <w:kern w:val="0"/>
          <w:sz w:val="24"/>
        </w:rPr>
        <w:t>计算，评审后得分最高的同品牌</w:t>
      </w:r>
      <w:r>
        <w:rPr>
          <w:rFonts w:hint="eastAsia" w:ascii="宋体" w:hAnsi="宋体" w:cs="宋体"/>
          <w:color w:val="auto"/>
          <w:kern w:val="0"/>
          <w:sz w:val="24"/>
          <w:lang w:eastAsia="zh-CN"/>
        </w:rPr>
        <w:t>供应商</w:t>
      </w:r>
      <w:r>
        <w:rPr>
          <w:rFonts w:hint="eastAsia" w:ascii="宋体" w:hAnsi="宋体" w:cs="宋体"/>
          <w:color w:val="auto"/>
          <w:kern w:val="0"/>
          <w:sz w:val="24"/>
        </w:rPr>
        <w:t>获得中标人推荐资格；评审得分相同的，采取随机抽取方式确定，其他同品牌</w:t>
      </w:r>
      <w:r>
        <w:rPr>
          <w:rFonts w:hint="eastAsia" w:ascii="宋体" w:hAnsi="宋体" w:cs="宋体"/>
          <w:color w:val="auto"/>
          <w:kern w:val="0"/>
          <w:sz w:val="24"/>
          <w:lang w:eastAsia="zh-CN"/>
        </w:rPr>
        <w:t>供应商</w:t>
      </w:r>
      <w:r>
        <w:rPr>
          <w:rFonts w:hint="eastAsia" w:ascii="宋体" w:hAnsi="宋体" w:cs="宋体"/>
          <w:color w:val="auto"/>
          <w:kern w:val="0"/>
          <w:sz w:val="24"/>
        </w:rPr>
        <w:t>不作为中标候选人。</w:t>
      </w:r>
    </w:p>
    <w:p w14:paraId="4AF2D4A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149E822">
      <w:pPr>
        <w:widowControl/>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7C66752D">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w:t>
      </w:r>
      <w:r>
        <w:rPr>
          <w:rFonts w:hint="eastAsia" w:ascii="宋体" w:hAnsi="宋体" w:cs="宋体"/>
          <w:b/>
          <w:color w:val="auto"/>
          <w:kern w:val="0"/>
          <w:szCs w:val="24"/>
          <w:lang w:eastAsia="zh-CN"/>
        </w:rPr>
        <w:t>供应商</w:t>
      </w:r>
      <w:r>
        <w:rPr>
          <w:rFonts w:hint="eastAsia" w:ascii="宋体" w:hAnsi="宋体" w:cs="宋体"/>
          <w:b/>
          <w:color w:val="auto"/>
          <w:kern w:val="0"/>
          <w:szCs w:val="24"/>
        </w:rPr>
        <w:t>澄清、说明或者补正。</w:t>
      </w:r>
      <w:r>
        <w:rPr>
          <w:rFonts w:hint="eastAsia" w:ascii="宋体" w:hAnsi="宋体" w:cs="宋体"/>
          <w:color w:val="auto"/>
          <w:kern w:val="0"/>
          <w:szCs w:val="24"/>
        </w:rPr>
        <w:t>对于投标文件中含义不明确、同类问题表述不一致或者有明显文字和计算错误的内容需要</w:t>
      </w:r>
      <w:r>
        <w:rPr>
          <w:rFonts w:hint="eastAsia" w:ascii="宋体" w:hAnsi="宋体" w:cs="宋体"/>
          <w:color w:val="auto"/>
          <w:kern w:val="0"/>
          <w:szCs w:val="24"/>
          <w:lang w:eastAsia="zh-CN"/>
        </w:rPr>
        <w:t>供应商</w:t>
      </w:r>
      <w:r>
        <w:rPr>
          <w:rFonts w:hint="eastAsia" w:ascii="宋体" w:hAnsi="宋体" w:cs="宋体"/>
          <w:color w:val="auto"/>
          <w:kern w:val="0"/>
          <w:szCs w:val="24"/>
        </w:rPr>
        <w:t>作出必要的澄清、说明或者补正的，评标委员会和</w:t>
      </w:r>
      <w:r>
        <w:rPr>
          <w:rFonts w:hint="eastAsia" w:ascii="宋体" w:hAnsi="宋体" w:cs="宋体"/>
          <w:color w:val="auto"/>
          <w:kern w:val="0"/>
          <w:szCs w:val="24"/>
          <w:lang w:eastAsia="zh-CN"/>
        </w:rPr>
        <w:t>供应商</w:t>
      </w:r>
      <w:r>
        <w:rPr>
          <w:rFonts w:hint="eastAsia" w:ascii="宋体" w:hAnsi="宋体" w:cs="宋体"/>
          <w:color w:val="auto"/>
          <w:kern w:val="0"/>
          <w:szCs w:val="24"/>
        </w:rPr>
        <w:t>通过电子交易平台交换数据电文，</w:t>
      </w:r>
      <w:r>
        <w:rPr>
          <w:rFonts w:hint="eastAsia" w:ascii="宋体" w:hAnsi="宋体" w:cs="宋体"/>
          <w:color w:val="auto"/>
          <w:kern w:val="0"/>
          <w:szCs w:val="24"/>
          <w:lang w:eastAsia="zh-CN"/>
        </w:rPr>
        <w:t>供应商</w:t>
      </w:r>
      <w:r>
        <w:rPr>
          <w:rFonts w:hint="eastAsia" w:ascii="宋体" w:hAnsi="宋体" w:cs="宋体"/>
          <w:color w:val="auto"/>
          <w:kern w:val="0"/>
          <w:szCs w:val="24"/>
        </w:rPr>
        <w:t>提交使用电子签名的相关数据电文或通过平台上传加盖公章的扫描件。给予</w:t>
      </w:r>
      <w:r>
        <w:rPr>
          <w:rFonts w:hint="eastAsia" w:ascii="宋体" w:hAnsi="宋体" w:cs="宋体"/>
          <w:color w:val="auto"/>
          <w:kern w:val="0"/>
          <w:szCs w:val="24"/>
          <w:lang w:eastAsia="zh-CN"/>
        </w:rPr>
        <w:t>供应商</w:t>
      </w:r>
      <w:r>
        <w:rPr>
          <w:rFonts w:hint="eastAsia" w:ascii="宋体" w:hAnsi="宋体" w:cs="宋体"/>
          <w:color w:val="auto"/>
          <w:kern w:val="0"/>
          <w:szCs w:val="24"/>
        </w:rPr>
        <w:t>提交澄清、说明或补正的时间不得少于半小时，</w:t>
      </w:r>
      <w:r>
        <w:rPr>
          <w:rFonts w:hint="eastAsia" w:ascii="宋体" w:hAnsi="宋体" w:cs="宋体"/>
          <w:color w:val="auto"/>
          <w:kern w:val="0"/>
          <w:szCs w:val="24"/>
          <w:lang w:eastAsia="zh-CN"/>
        </w:rPr>
        <w:t>供应商</w:t>
      </w:r>
      <w:r>
        <w:rPr>
          <w:rFonts w:hint="eastAsia" w:ascii="宋体" w:hAnsi="宋体" w:cs="宋体"/>
          <w:color w:val="auto"/>
          <w:kern w:val="0"/>
          <w:szCs w:val="24"/>
        </w:rPr>
        <w:t>已经明确表示澄清说明或补正完毕的除外。</w:t>
      </w:r>
      <w:r>
        <w:rPr>
          <w:rFonts w:hint="eastAsia" w:ascii="宋体" w:hAnsi="宋体" w:cs="宋体"/>
          <w:color w:val="auto"/>
          <w:kern w:val="0"/>
          <w:szCs w:val="24"/>
          <w:lang w:eastAsia="zh-CN"/>
        </w:rPr>
        <w:t>供应商</w:t>
      </w:r>
      <w:r>
        <w:rPr>
          <w:rFonts w:hint="eastAsia" w:ascii="宋体" w:hAnsi="宋体" w:cs="宋体"/>
          <w:color w:val="auto"/>
          <w:kern w:val="0"/>
          <w:szCs w:val="24"/>
        </w:rPr>
        <w:t>的澄清、说明或者补正不得超出投标文件的范围或者改变投标文件的实质性内容。</w:t>
      </w:r>
    </w:p>
    <w:p w14:paraId="52A44D70">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4813A43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eastAsia="zh-CN"/>
        </w:rPr>
        <w:t>供应商</w:t>
      </w:r>
      <w:r>
        <w:rPr>
          <w:rFonts w:hint="eastAsia" w:ascii="宋体" w:hAnsi="宋体" w:cs="宋体"/>
          <w:color w:val="auto"/>
          <w:kern w:val="0"/>
          <w:sz w:val="24"/>
        </w:rPr>
        <w:t>不具备招标文件中规定的资格要求的（</w:t>
      </w:r>
      <w:r>
        <w:rPr>
          <w:rFonts w:hint="eastAsia" w:ascii="宋体" w:hAnsi="宋体" w:cs="宋体"/>
          <w:color w:val="auto"/>
          <w:kern w:val="0"/>
          <w:sz w:val="24"/>
          <w:lang w:eastAsia="zh-CN"/>
        </w:rPr>
        <w:t>供应商</w:t>
      </w:r>
      <w:r>
        <w:rPr>
          <w:rFonts w:hint="eastAsia" w:ascii="宋体" w:hAnsi="宋体" w:cs="宋体"/>
          <w:color w:val="auto"/>
          <w:kern w:val="0"/>
          <w:sz w:val="24"/>
        </w:rPr>
        <w:t>未提供有效的资格文件的，视为</w:t>
      </w:r>
      <w:r>
        <w:rPr>
          <w:rFonts w:hint="eastAsia" w:ascii="宋体" w:hAnsi="宋体" w:cs="宋体"/>
          <w:color w:val="auto"/>
          <w:kern w:val="0"/>
          <w:sz w:val="24"/>
          <w:lang w:eastAsia="zh-CN"/>
        </w:rPr>
        <w:t>供应商</w:t>
      </w:r>
      <w:r>
        <w:rPr>
          <w:rFonts w:hint="eastAsia" w:ascii="宋体" w:hAnsi="宋体" w:cs="宋体"/>
          <w:color w:val="auto"/>
          <w:kern w:val="0"/>
          <w:sz w:val="24"/>
        </w:rPr>
        <w:t>不具备招标文件中规定的资格要求）；</w:t>
      </w:r>
    </w:p>
    <w:p w14:paraId="6C4EC96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64BA304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w:t>
      </w:r>
      <w:r>
        <w:rPr>
          <w:rFonts w:hint="eastAsia" w:ascii="宋体" w:hAnsi="宋体" w:cs="宋体"/>
          <w:color w:val="auto"/>
          <w:kern w:val="0"/>
          <w:sz w:val="24"/>
          <w:lang w:eastAsia="zh-CN"/>
        </w:rPr>
        <w:t>招标人</w:t>
      </w:r>
      <w:r>
        <w:rPr>
          <w:rFonts w:hint="eastAsia" w:ascii="宋体" w:hAnsi="宋体" w:cs="宋体"/>
          <w:color w:val="auto"/>
          <w:kern w:val="0"/>
          <w:sz w:val="24"/>
        </w:rPr>
        <w:t>拟采购的产品属于政府强制采购的节能产品品目清单范围的，</w:t>
      </w:r>
      <w:r>
        <w:rPr>
          <w:rFonts w:hint="eastAsia" w:ascii="宋体" w:hAnsi="宋体" w:cs="宋体"/>
          <w:color w:val="auto"/>
          <w:kern w:val="0"/>
          <w:sz w:val="24"/>
          <w:lang w:eastAsia="zh-CN"/>
        </w:rPr>
        <w:t>供应商</w:t>
      </w:r>
      <w:r>
        <w:rPr>
          <w:rFonts w:hint="eastAsia" w:ascii="宋体" w:hAnsi="宋体" w:cs="宋体"/>
          <w:color w:val="auto"/>
          <w:kern w:val="0"/>
          <w:sz w:val="24"/>
        </w:rPr>
        <w:t>相应的投标产品未获得国家确定的认证机构出具的、处于有效期之内的节能产品认证证书的；</w:t>
      </w:r>
    </w:p>
    <w:p w14:paraId="2C4D20B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w:t>
      </w:r>
      <w:r>
        <w:rPr>
          <w:rFonts w:hint="eastAsia" w:ascii="宋体" w:hAnsi="宋体" w:cs="宋体"/>
          <w:color w:val="auto"/>
          <w:kern w:val="0"/>
          <w:sz w:val="24"/>
          <w:lang w:eastAsia="zh-CN"/>
        </w:rPr>
        <w:t>招标人</w:t>
      </w:r>
      <w:r>
        <w:rPr>
          <w:rFonts w:hint="eastAsia" w:ascii="宋体" w:hAnsi="宋体" w:cs="宋体"/>
          <w:color w:val="auto"/>
          <w:kern w:val="0"/>
          <w:sz w:val="24"/>
        </w:rPr>
        <w:t>不能接受的附加条件的；</w:t>
      </w:r>
    </w:p>
    <w:p w14:paraId="4FFE855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27240E16">
      <w:pPr>
        <w:snapToGrid w:val="0"/>
        <w:spacing w:line="360" w:lineRule="auto"/>
        <w:ind w:firstLine="120" w:firstLineChars="50"/>
        <w:jc w:val="left"/>
        <w:rPr>
          <w:rFonts w:hint="eastAsia" w:ascii="宋体" w:hAnsi="宋体" w:eastAsia="宋体" w:cs="宋体"/>
          <w:color w:val="auto"/>
          <w:kern w:val="0"/>
          <w:sz w:val="24"/>
          <w:lang w:eastAsia="zh-CN"/>
        </w:rPr>
      </w:pPr>
      <w:r>
        <w:rPr>
          <w:rFonts w:hint="eastAsia" w:ascii="宋体" w:hAnsi="宋体" w:cs="宋体"/>
          <w:color w:val="auto"/>
          <w:kern w:val="0"/>
          <w:sz w:val="24"/>
        </w:rPr>
        <w:t xml:space="preserve">   4.2.6投标文件出现不是唯一的、有选择性投标报价的</w:t>
      </w:r>
      <w:r>
        <w:rPr>
          <w:rFonts w:hint="eastAsia" w:ascii="宋体" w:hAnsi="宋体" w:cs="宋体"/>
          <w:color w:val="auto"/>
          <w:kern w:val="0"/>
          <w:sz w:val="24"/>
          <w:lang w:eastAsia="zh-CN"/>
        </w:rPr>
        <w:t>；</w:t>
      </w:r>
    </w:p>
    <w:p w14:paraId="5E58B78C">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4.2.7投标报价超过招标文件中规定的预算金额或者最高限价</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总价或单价</w:t>
      </w:r>
      <w:r>
        <w:rPr>
          <w:rFonts w:hint="eastAsia" w:ascii="宋体" w:hAnsi="宋体" w:cs="宋体"/>
          <w:color w:val="auto"/>
          <w:kern w:val="0"/>
          <w:sz w:val="24"/>
          <w:lang w:eastAsia="zh-CN"/>
        </w:rPr>
        <w:t>）</w:t>
      </w:r>
      <w:r>
        <w:rPr>
          <w:rFonts w:hint="eastAsia" w:ascii="宋体" w:hAnsi="宋体" w:cs="宋体"/>
          <w:color w:val="auto"/>
          <w:kern w:val="0"/>
          <w:sz w:val="24"/>
        </w:rPr>
        <w:t>的</w:t>
      </w:r>
      <w:r>
        <w:rPr>
          <w:rFonts w:hint="eastAsia" w:ascii="宋体" w:hAnsi="宋体" w:cs="宋体"/>
          <w:color w:val="auto"/>
          <w:kern w:val="0"/>
          <w:sz w:val="24"/>
          <w:lang w:eastAsia="zh-CN"/>
        </w:rPr>
        <w:t>；</w:t>
      </w:r>
    </w:p>
    <w:p w14:paraId="5617498E">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4.2.8报价明显低于其他通过符合性审查</w:t>
      </w:r>
      <w:r>
        <w:rPr>
          <w:rFonts w:hint="eastAsia" w:ascii="宋体" w:hAnsi="宋体" w:cs="宋体"/>
          <w:color w:val="auto"/>
          <w:kern w:val="0"/>
          <w:sz w:val="24"/>
          <w:lang w:eastAsia="zh-CN"/>
        </w:rPr>
        <w:t>供应商</w:t>
      </w:r>
      <w:r>
        <w:rPr>
          <w:rFonts w:hint="eastAsia" w:ascii="宋体" w:hAnsi="宋体" w:cs="宋体"/>
          <w:color w:val="auto"/>
          <w:kern w:val="0"/>
          <w:sz w:val="24"/>
        </w:rPr>
        <w:t>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46868C6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w:t>
      </w:r>
      <w:r>
        <w:rPr>
          <w:rFonts w:hint="eastAsia" w:ascii="宋体" w:hAnsi="宋体" w:cs="宋体"/>
          <w:color w:val="auto"/>
          <w:kern w:val="0"/>
          <w:sz w:val="24"/>
          <w:lang w:eastAsia="zh-CN"/>
        </w:rPr>
        <w:t>供应商</w:t>
      </w:r>
      <w:r>
        <w:rPr>
          <w:rFonts w:hint="eastAsia" w:ascii="宋体" w:hAnsi="宋体" w:cs="宋体"/>
          <w:color w:val="auto"/>
          <w:kern w:val="0"/>
          <w:sz w:val="24"/>
        </w:rPr>
        <w:t>对根据修正原则修正后的报价不确认的；</w:t>
      </w:r>
    </w:p>
    <w:p w14:paraId="010DDEE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w:t>
      </w:r>
      <w:r>
        <w:rPr>
          <w:rFonts w:hint="eastAsia" w:ascii="宋体" w:hAnsi="宋体" w:cs="宋体"/>
          <w:color w:val="auto"/>
          <w:kern w:val="0"/>
          <w:sz w:val="24"/>
          <w:lang w:eastAsia="zh-CN"/>
        </w:rPr>
        <w:t>供应商</w:t>
      </w:r>
      <w:r>
        <w:rPr>
          <w:rFonts w:hint="eastAsia" w:ascii="宋体" w:hAnsi="宋体" w:cs="宋体"/>
          <w:color w:val="auto"/>
          <w:kern w:val="0"/>
          <w:sz w:val="24"/>
        </w:rPr>
        <w:t>提供虚假材料投标的；</w:t>
      </w:r>
    </w:p>
    <w:p w14:paraId="65E4587C">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w:t>
      </w:r>
      <w:r>
        <w:rPr>
          <w:rFonts w:hint="eastAsia" w:ascii="宋体" w:hAnsi="宋体" w:cs="宋体"/>
          <w:color w:val="auto"/>
          <w:kern w:val="0"/>
          <w:sz w:val="24"/>
          <w:lang w:eastAsia="zh-CN"/>
        </w:rPr>
        <w:t>供应商</w:t>
      </w:r>
      <w:r>
        <w:rPr>
          <w:rFonts w:hint="eastAsia" w:ascii="宋体" w:hAnsi="宋体" w:cs="宋体"/>
          <w:color w:val="auto"/>
          <w:kern w:val="0"/>
          <w:sz w:val="24"/>
        </w:rPr>
        <w:t>有恶意串通、妨碍其他</w:t>
      </w:r>
      <w:r>
        <w:rPr>
          <w:rFonts w:hint="eastAsia" w:ascii="宋体" w:hAnsi="宋体" w:cs="宋体"/>
          <w:color w:val="auto"/>
          <w:kern w:val="0"/>
          <w:sz w:val="24"/>
          <w:lang w:eastAsia="zh-CN"/>
        </w:rPr>
        <w:t>供应商</w:t>
      </w:r>
      <w:r>
        <w:rPr>
          <w:rFonts w:hint="eastAsia" w:ascii="宋体" w:hAnsi="宋体" w:cs="宋体"/>
          <w:color w:val="auto"/>
          <w:kern w:val="0"/>
          <w:sz w:val="24"/>
        </w:rPr>
        <w:t>的竞争行为、损害</w:t>
      </w:r>
      <w:r>
        <w:rPr>
          <w:rFonts w:hint="eastAsia" w:ascii="宋体" w:hAnsi="宋体" w:cs="宋体"/>
          <w:color w:val="auto"/>
          <w:kern w:val="0"/>
          <w:sz w:val="24"/>
          <w:lang w:eastAsia="zh-CN"/>
        </w:rPr>
        <w:t>招标人</w:t>
      </w:r>
      <w:r>
        <w:rPr>
          <w:rFonts w:hint="eastAsia" w:ascii="宋体" w:hAnsi="宋体" w:cs="宋体"/>
          <w:color w:val="auto"/>
          <w:kern w:val="0"/>
          <w:sz w:val="24"/>
        </w:rPr>
        <w:t>或者其他</w:t>
      </w:r>
      <w:r>
        <w:rPr>
          <w:rFonts w:hint="eastAsia" w:ascii="宋体" w:hAnsi="宋体" w:cs="宋体"/>
          <w:color w:val="auto"/>
          <w:kern w:val="0"/>
          <w:sz w:val="24"/>
          <w:lang w:eastAsia="zh-CN"/>
        </w:rPr>
        <w:t>供应商</w:t>
      </w:r>
      <w:r>
        <w:rPr>
          <w:rFonts w:hint="eastAsia" w:ascii="宋体" w:hAnsi="宋体" w:cs="宋体"/>
          <w:color w:val="auto"/>
          <w:kern w:val="0"/>
          <w:sz w:val="24"/>
        </w:rPr>
        <w:t>的合法权益情形的；</w:t>
      </w:r>
    </w:p>
    <w:p w14:paraId="337E0E4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w:t>
      </w:r>
      <w:r>
        <w:rPr>
          <w:rFonts w:hint="eastAsia" w:ascii="宋体" w:hAnsi="宋体" w:cs="宋体"/>
          <w:color w:val="auto"/>
          <w:kern w:val="0"/>
          <w:sz w:val="24"/>
          <w:lang w:eastAsia="zh-CN"/>
        </w:rPr>
        <w:t>供应商</w:t>
      </w:r>
      <w:r>
        <w:rPr>
          <w:rFonts w:hint="eastAsia" w:ascii="宋体" w:hAnsi="宋体" w:cs="宋体"/>
          <w:color w:val="auto"/>
          <w:kern w:val="0"/>
          <w:sz w:val="24"/>
        </w:rPr>
        <w:t>仅提交备份投标文件，未在电子交易平台传输递交投标文件的，投标无效；</w:t>
      </w:r>
    </w:p>
    <w:p w14:paraId="7CD86A81">
      <w:pPr>
        <w:pStyle w:val="4"/>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585C424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280D47A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4.2.15上传投标文件同一网卡地址、同一IP地址的为无效标。</w:t>
      </w:r>
    </w:p>
    <w:p w14:paraId="0E11F4B9">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6FEE2F5F">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14:paraId="1498A65B">
      <w:pPr>
        <w:pStyle w:val="25"/>
        <w:snapToGrid w:val="0"/>
        <w:spacing w:line="360" w:lineRule="auto"/>
        <w:rPr>
          <w:rFonts w:cs="宋体"/>
          <w:color w:val="auto"/>
        </w:rPr>
      </w:pPr>
      <w:r>
        <w:rPr>
          <w:rFonts w:hint="eastAsia" w:cs="宋体"/>
          <w:color w:val="auto"/>
        </w:rPr>
        <w:t>5.2出现影响采购公正的违法、违规行为的；</w:t>
      </w:r>
    </w:p>
    <w:p w14:paraId="61F40A50">
      <w:pPr>
        <w:pStyle w:val="25"/>
        <w:snapToGrid w:val="0"/>
        <w:spacing w:line="360" w:lineRule="auto"/>
        <w:rPr>
          <w:rFonts w:cs="宋体"/>
          <w:color w:val="auto"/>
        </w:rPr>
      </w:pPr>
      <w:r>
        <w:rPr>
          <w:rFonts w:hint="eastAsia" w:cs="宋体"/>
          <w:color w:val="auto"/>
        </w:rPr>
        <w:t>5.3</w:t>
      </w:r>
      <w:r>
        <w:rPr>
          <w:rFonts w:hint="eastAsia" w:cs="宋体"/>
          <w:color w:val="auto"/>
          <w:lang w:eastAsia="zh-CN"/>
        </w:rPr>
        <w:t>供应商</w:t>
      </w:r>
      <w:r>
        <w:rPr>
          <w:rFonts w:hint="eastAsia" w:cs="宋体"/>
          <w:color w:val="auto"/>
        </w:rPr>
        <w:t>的报价均超过了采购预算，</w:t>
      </w:r>
      <w:r>
        <w:rPr>
          <w:rFonts w:hint="eastAsia" w:cs="宋体"/>
          <w:color w:val="auto"/>
          <w:lang w:eastAsia="zh-CN"/>
        </w:rPr>
        <w:t>招标人</w:t>
      </w:r>
      <w:r>
        <w:rPr>
          <w:rFonts w:hint="eastAsia" w:cs="宋体"/>
          <w:color w:val="auto"/>
        </w:rPr>
        <w:t>不能支付的；</w:t>
      </w:r>
    </w:p>
    <w:p w14:paraId="2B28B7DD">
      <w:pPr>
        <w:pStyle w:val="25"/>
        <w:snapToGrid w:val="0"/>
        <w:spacing w:line="360" w:lineRule="auto"/>
        <w:rPr>
          <w:rFonts w:cs="宋体"/>
          <w:color w:val="auto"/>
        </w:rPr>
      </w:pPr>
      <w:r>
        <w:rPr>
          <w:rFonts w:hint="eastAsia" w:cs="宋体"/>
          <w:color w:val="auto"/>
        </w:rPr>
        <w:t>5.4因重大变故，采购任务取消的。</w:t>
      </w:r>
    </w:p>
    <w:p w14:paraId="7EC9D73C">
      <w:pPr>
        <w:pStyle w:val="25"/>
        <w:snapToGrid w:val="0"/>
        <w:spacing w:line="360" w:lineRule="auto"/>
        <w:rPr>
          <w:rFonts w:cs="宋体"/>
          <w:color w:val="auto"/>
        </w:rPr>
      </w:pPr>
      <w:r>
        <w:rPr>
          <w:rFonts w:hint="eastAsia" w:cs="宋体"/>
          <w:color w:val="auto"/>
        </w:rPr>
        <w:t>废标后，采购代理机构应当将废标理由通知所有</w:t>
      </w:r>
      <w:r>
        <w:rPr>
          <w:rFonts w:hint="eastAsia" w:cs="宋体"/>
          <w:color w:val="auto"/>
          <w:lang w:eastAsia="zh-CN"/>
        </w:rPr>
        <w:t>供应商</w:t>
      </w:r>
      <w:r>
        <w:rPr>
          <w:rFonts w:hint="eastAsia" w:cs="宋体"/>
          <w:color w:val="auto"/>
        </w:rPr>
        <w:t>。</w:t>
      </w:r>
    </w:p>
    <w:p w14:paraId="1C373C23">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w:t>
      </w:r>
      <w:r>
        <w:rPr>
          <w:rFonts w:hint="eastAsia" w:cs="宋体"/>
          <w:color w:val="auto"/>
          <w:lang w:eastAsia="zh-CN"/>
        </w:rPr>
        <w:t>招标人</w:t>
      </w:r>
      <w:r>
        <w:rPr>
          <w:rFonts w:hint="eastAsia" w:cs="宋体"/>
          <w:color w:val="auto"/>
        </w:rPr>
        <w:t>、采购代理机构沟通并作书面记录。</w:t>
      </w:r>
      <w:r>
        <w:rPr>
          <w:rFonts w:hint="eastAsia" w:cs="宋体"/>
          <w:color w:val="auto"/>
          <w:lang w:eastAsia="zh-CN"/>
        </w:rPr>
        <w:t>招标人</w:t>
      </w:r>
      <w:r>
        <w:rPr>
          <w:rFonts w:hint="eastAsia" w:cs="宋体"/>
          <w:color w:val="auto"/>
        </w:rPr>
        <w:t>、采购代理机构确认后，将修改招标文件，重新组织采购活动。</w:t>
      </w:r>
    </w:p>
    <w:p w14:paraId="76C68557">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266CA8E5">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14:paraId="24B3DEEE">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13551AC3">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458F770E">
      <w:pPr>
        <w:pStyle w:val="25"/>
        <w:snapToGrid w:val="0"/>
        <w:spacing w:line="360" w:lineRule="auto"/>
        <w:rPr>
          <w:rFonts w:cs="宋体"/>
          <w:color w:val="auto"/>
        </w:rPr>
      </w:pPr>
      <w:r>
        <w:rPr>
          <w:rFonts w:hint="eastAsia" w:cs="宋体"/>
          <w:color w:val="auto"/>
        </w:rPr>
        <w:t>7.4政府采购合同已经履行，给</w:t>
      </w:r>
      <w:r>
        <w:rPr>
          <w:rFonts w:hint="eastAsia" w:cs="宋体"/>
          <w:color w:val="auto"/>
          <w:lang w:eastAsia="zh-CN"/>
        </w:rPr>
        <w:t>招标人</w:t>
      </w:r>
      <w:r>
        <w:rPr>
          <w:rFonts w:hint="eastAsia" w:cs="宋体"/>
          <w:color w:val="auto"/>
        </w:rPr>
        <w:t>、供应商造成损失的，由责任人承担赔偿责任。</w:t>
      </w:r>
    </w:p>
    <w:p w14:paraId="44ED78D3">
      <w:pPr>
        <w:pStyle w:val="25"/>
        <w:snapToGrid w:val="0"/>
        <w:spacing w:line="360" w:lineRule="auto"/>
        <w:rPr>
          <w:rFonts w:cs="宋体"/>
          <w:b/>
          <w:color w:val="auto"/>
          <w:sz w:val="36"/>
          <w:szCs w:val="36"/>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38"/>
      <w:bookmarkStart w:id="408" w:name="第五部分"/>
      <w:bookmarkStart w:id="409" w:name="_Toc86217003"/>
    </w:p>
    <w:p w14:paraId="0DD698B4">
      <w:pPr>
        <w:widowControl/>
        <w:adjustRightInd/>
        <w:ind w:firstLine="2168" w:firstLineChars="600"/>
        <w:jc w:val="left"/>
        <w:rPr>
          <w:rFonts w:ascii="宋体" w:hAnsi="宋体" w:cs="宋体"/>
          <w:b/>
          <w:color w:val="auto"/>
          <w:sz w:val="36"/>
          <w:szCs w:val="36"/>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5F8DE730">
      <w:pPr>
        <w:widowControl/>
        <w:adjustRightInd/>
        <w:ind w:firstLine="2168" w:firstLineChars="600"/>
        <w:jc w:val="left"/>
        <w:outlineLvl w:val="0"/>
        <w:rPr>
          <w:rFonts w:ascii="宋体" w:hAnsi="宋体" w:cs="宋体"/>
          <w:b/>
          <w:color w:val="auto"/>
          <w:sz w:val="36"/>
          <w:szCs w:val="36"/>
        </w:rPr>
      </w:pPr>
      <w:bookmarkStart w:id="410" w:name="_Toc3448"/>
      <w:r>
        <w:rPr>
          <w:rFonts w:hint="eastAsia" w:ascii="宋体" w:hAnsi="宋体" w:cs="宋体"/>
          <w:b/>
          <w:color w:val="auto"/>
          <w:sz w:val="36"/>
          <w:szCs w:val="36"/>
        </w:rPr>
        <w:t>第五部分 拟签订的合同文本</w:t>
      </w:r>
      <w:bookmarkEnd w:id="410"/>
    </w:p>
    <w:p w14:paraId="2D2238A4">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325A1E52">
      <w:pPr>
        <w:spacing w:line="480" w:lineRule="auto"/>
        <w:jc w:val="center"/>
        <w:rPr>
          <w:rFonts w:ascii="宋体" w:hAnsi="宋体" w:cs="宋体"/>
          <w:b/>
          <w:color w:val="auto"/>
          <w:sz w:val="28"/>
          <w:szCs w:val="28"/>
        </w:rPr>
      </w:pPr>
    </w:p>
    <w:p w14:paraId="0B6D4562">
      <w:pPr>
        <w:spacing w:line="480" w:lineRule="auto"/>
        <w:jc w:val="center"/>
        <w:rPr>
          <w:rFonts w:ascii="宋体" w:hAnsi="宋体" w:cs="宋体"/>
          <w:b/>
          <w:color w:val="auto"/>
          <w:sz w:val="24"/>
        </w:rPr>
      </w:pPr>
    </w:p>
    <w:p w14:paraId="0C57365B">
      <w:pPr>
        <w:spacing w:line="480" w:lineRule="auto"/>
        <w:jc w:val="center"/>
        <w:rPr>
          <w:rFonts w:ascii="宋体" w:hAnsi="宋体" w:cs="宋体"/>
          <w:b/>
          <w:color w:val="auto"/>
          <w:sz w:val="24"/>
        </w:rPr>
      </w:pPr>
    </w:p>
    <w:p w14:paraId="033554FD">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5A614BCA">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4E58F46C">
      <w:pPr>
        <w:pStyle w:val="701"/>
        <w:ind w:firstLine="2843" w:firstLineChars="1180"/>
        <w:outlineLvl w:val="0"/>
        <w:rPr>
          <w:rFonts w:ascii="宋体" w:hAnsi="宋体" w:cs="宋体"/>
          <w:b/>
          <w:color w:val="auto"/>
          <w:szCs w:val="24"/>
        </w:rPr>
      </w:pPr>
      <w:bookmarkStart w:id="411" w:name="_Toc13897"/>
      <w:r>
        <w:rPr>
          <w:rFonts w:hint="eastAsia" w:ascii="宋体" w:hAnsi="宋体" w:cs="宋体"/>
          <w:b/>
          <w:color w:val="auto"/>
          <w:szCs w:val="24"/>
        </w:rPr>
        <w:t>第一部分 合同书</w:t>
      </w:r>
      <w:bookmarkEnd w:id="411"/>
    </w:p>
    <w:p w14:paraId="2024DCCF">
      <w:pPr>
        <w:spacing w:before="120" w:line="22" w:lineRule="atLeast"/>
        <w:rPr>
          <w:rFonts w:ascii="宋体" w:hAnsi="宋体" w:cs="宋体"/>
          <w:color w:val="auto"/>
          <w:sz w:val="24"/>
        </w:rPr>
      </w:pPr>
    </w:p>
    <w:p w14:paraId="68364C1A">
      <w:pPr>
        <w:pStyle w:val="4"/>
        <w:rPr>
          <w:color w:val="auto"/>
        </w:rPr>
      </w:pPr>
    </w:p>
    <w:p w14:paraId="28D0F9F6">
      <w:pPr>
        <w:spacing w:before="120" w:line="22" w:lineRule="atLeast"/>
        <w:ind w:firstLine="720" w:firstLineChars="300"/>
        <w:jc w:val="center"/>
        <w:rPr>
          <w:rFonts w:hint="default" w:ascii="宋体" w:hAnsi="宋体" w:eastAsia="宋体" w:cs="宋体"/>
          <w:color w:val="auto"/>
          <w:sz w:val="24"/>
          <w:lang w:val="en-US" w:eastAsia="zh-CN"/>
        </w:rPr>
      </w:pPr>
      <w:r>
        <w:rPr>
          <w:rFonts w:hint="eastAsia" w:ascii="宋体" w:hAnsi="宋体" w:cs="宋体"/>
          <w:color w:val="auto"/>
          <w:sz w:val="24"/>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eastAsia="zh-CN"/>
        </w:rPr>
        <w:t>海曙区排水管网日常养护项目</w:t>
      </w:r>
    </w:p>
    <w:p w14:paraId="31568C39">
      <w:pPr>
        <w:pStyle w:val="598"/>
        <w:spacing w:before="120" w:line="22" w:lineRule="atLeast"/>
        <w:rPr>
          <w:rFonts w:ascii="宋体" w:hAnsi="宋体" w:eastAsia="宋体" w:cs="宋体"/>
          <w:color w:val="auto"/>
          <w:szCs w:val="24"/>
        </w:rPr>
      </w:pPr>
    </w:p>
    <w:p w14:paraId="7CC63548">
      <w:pPr>
        <w:pStyle w:val="598"/>
        <w:spacing w:before="120" w:line="22" w:lineRule="atLeast"/>
        <w:rPr>
          <w:rFonts w:ascii="宋体" w:hAnsi="宋体" w:eastAsia="宋体" w:cs="宋体"/>
          <w:color w:val="auto"/>
          <w:szCs w:val="24"/>
        </w:rPr>
      </w:pPr>
    </w:p>
    <w:p w14:paraId="377C0B58">
      <w:pPr>
        <w:rPr>
          <w:rFonts w:ascii="宋体" w:hAnsi="宋体" w:cs="宋体"/>
          <w:color w:val="auto"/>
          <w:sz w:val="24"/>
        </w:rPr>
      </w:pPr>
    </w:p>
    <w:p w14:paraId="71808CEA">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eastAsia="zh-CN"/>
        </w:rPr>
        <w:t>宁波市海曙区水务设施管理中心</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p>
    <w:p w14:paraId="29CA2562">
      <w:pPr>
        <w:spacing w:before="120" w:line="22" w:lineRule="atLeast"/>
        <w:rPr>
          <w:rFonts w:ascii="宋体" w:hAnsi="宋体" w:cs="宋体"/>
          <w:color w:val="auto"/>
          <w:sz w:val="24"/>
        </w:rPr>
      </w:pPr>
    </w:p>
    <w:p w14:paraId="445B3D38">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14:paraId="5CFC2352">
      <w:pPr>
        <w:spacing w:before="120" w:line="22" w:lineRule="atLeast"/>
        <w:rPr>
          <w:rFonts w:hint="default" w:ascii="宋体" w:hAnsi="宋体" w:eastAsia="宋体" w:cs="宋体"/>
          <w:color w:val="auto"/>
          <w:sz w:val="24"/>
          <w:lang w:val="en-US" w:eastAsia="zh-CN"/>
        </w:rPr>
      </w:pPr>
      <w:r>
        <w:rPr>
          <w:rFonts w:hint="eastAsia" w:ascii="宋体" w:hAnsi="宋体" w:cs="宋体"/>
          <w:color w:val="auto"/>
          <w:sz w:val="24"/>
          <w:lang w:val="en-US" w:eastAsia="zh-CN"/>
        </w:rPr>
        <w:t xml:space="preserve">     </w:t>
      </w:r>
    </w:p>
    <w:p w14:paraId="118E7E1D">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宁波市海曙区         </w:t>
      </w:r>
      <w:r>
        <w:rPr>
          <w:rFonts w:hint="eastAsia" w:ascii="宋体" w:hAnsi="宋体" w:cs="宋体"/>
          <w:color w:val="auto"/>
          <w:sz w:val="24"/>
          <w:u w:val="single"/>
          <w:lang w:val="en-US" w:eastAsia="zh-CN"/>
        </w:rPr>
        <w:t xml:space="preserve">                   </w:t>
      </w:r>
    </w:p>
    <w:p w14:paraId="1E1D106F">
      <w:pPr>
        <w:spacing w:before="120" w:line="22" w:lineRule="atLeast"/>
        <w:rPr>
          <w:rFonts w:hint="eastAsia" w:ascii="宋体" w:hAnsi="宋体" w:eastAsia="宋体" w:cs="宋体"/>
          <w:color w:val="auto"/>
          <w:sz w:val="24"/>
          <w:lang w:val="en-US" w:eastAsia="zh-CN"/>
        </w:rPr>
      </w:pPr>
      <w:r>
        <w:rPr>
          <w:rFonts w:hint="eastAsia" w:ascii="宋体" w:hAnsi="宋体" w:cs="宋体"/>
          <w:color w:val="auto"/>
          <w:sz w:val="24"/>
          <w:lang w:val="en-US" w:eastAsia="zh-CN"/>
        </w:rPr>
        <w:t xml:space="preserve"> </w:t>
      </w:r>
    </w:p>
    <w:p w14:paraId="67301A1E">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2025</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B50A964">
      <w:pPr>
        <w:widowControl/>
        <w:jc w:val="left"/>
        <w:rPr>
          <w:rFonts w:ascii="宋体" w:hAnsi="宋体" w:cs="宋体"/>
          <w:color w:val="auto"/>
          <w:kern w:val="0"/>
          <w:sz w:val="24"/>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2769AC78">
      <w:pPr>
        <w:rPr>
          <w:rFonts w:ascii="宋体" w:hAnsi="宋体" w:cs="宋体"/>
          <w:b/>
          <w:color w:val="auto"/>
          <w:sz w:val="24"/>
        </w:rPr>
      </w:pPr>
    </w:p>
    <w:p w14:paraId="1327FF78">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u w:val="single"/>
          <w:lang w:eastAsia="zh-CN"/>
        </w:rPr>
        <w:t>2025</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u w:val="single"/>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olor w:val="auto"/>
          <w:sz w:val="24"/>
          <w:u w:val="single"/>
          <w:lang w:eastAsia="zh-CN"/>
        </w:rPr>
        <w:t>宁波市海曙区水务设施管理中心</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w:t>
      </w:r>
      <w:r>
        <w:rPr>
          <w:rFonts w:hint="eastAsia" w:ascii="宋体" w:hAnsi="宋体"/>
          <w:color w:val="auto"/>
          <w:sz w:val="24"/>
          <w:u w:val="single"/>
        </w:rPr>
        <w:t>公开招标</w:t>
      </w:r>
      <w:r>
        <w:rPr>
          <w:rFonts w:ascii="宋体" w:hAnsi="宋体"/>
          <w:color w:val="auto"/>
          <w:sz w:val="24"/>
          <w:u w:val="single"/>
        </w:rPr>
        <w:t xml:space="preserve"> </w:t>
      </w:r>
      <w:r>
        <w:rPr>
          <w:rFonts w:hint="eastAsia" w:ascii="宋体" w:hAnsi="宋体"/>
          <w:color w:val="auto"/>
          <w:sz w:val="24"/>
        </w:rPr>
        <w:t>对</w:t>
      </w:r>
      <w:r>
        <w:rPr>
          <w:rFonts w:ascii="宋体" w:hAnsi="宋体"/>
          <w:color w:val="auto"/>
          <w:sz w:val="24"/>
          <w:u w:val="single"/>
        </w:rPr>
        <w:t xml:space="preserve"> </w:t>
      </w:r>
      <w:r>
        <w:rPr>
          <w:rFonts w:hint="eastAsia" w:ascii="宋体" w:hAnsi="宋体"/>
          <w:color w:val="auto"/>
          <w:sz w:val="24"/>
          <w:u w:val="single"/>
          <w:lang w:eastAsia="zh-CN"/>
        </w:rPr>
        <w:t>海曙区排水管网日常养护项目</w:t>
      </w:r>
      <w:r>
        <w:rPr>
          <w:rFonts w:hint="eastAsia" w:ascii="宋体" w:hAnsi="宋体"/>
          <w:color w:val="auto"/>
          <w:sz w:val="24"/>
        </w:rPr>
        <w:t>进行了采购。经</w:t>
      </w:r>
      <w:r>
        <w:rPr>
          <w:rFonts w:hint="eastAsia" w:ascii="宋体" w:hAnsi="宋体"/>
          <w:color w:val="auto"/>
          <w:sz w:val="24"/>
          <w:u w:val="single"/>
        </w:rPr>
        <w:t>评标委员会</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w:t>
      </w:r>
      <w:r>
        <w:rPr>
          <w:rFonts w:hint="eastAsia" w:ascii="宋体" w:hAnsi="宋体"/>
          <w:color w:val="auto"/>
          <w:sz w:val="24"/>
          <w:u w:val="single"/>
          <w:lang w:eastAsia="zh-CN"/>
        </w:rPr>
        <w:t>中标人</w:t>
      </w:r>
      <w:r>
        <w:rPr>
          <w:rFonts w:ascii="宋体" w:hAnsi="宋体"/>
          <w:color w:val="auto"/>
          <w:sz w:val="24"/>
          <w:u w:val="single"/>
        </w:rPr>
        <w:t xml:space="preserve">名称） </w:t>
      </w:r>
      <w:r>
        <w:rPr>
          <w:rFonts w:hint="eastAsia" w:ascii="宋体" w:hAnsi="宋体"/>
          <w:color w:val="auto"/>
          <w:sz w:val="24"/>
        </w:rPr>
        <w:t>为该项目</w:t>
      </w:r>
      <w:r>
        <w:rPr>
          <w:rFonts w:hint="eastAsia" w:ascii="宋体" w:hAnsi="宋体" w:cs="宋体"/>
          <w:color w:val="auto"/>
          <w:sz w:val="24"/>
        </w:rPr>
        <w:t>中标或者</w:t>
      </w:r>
      <w:r>
        <w:rPr>
          <w:rFonts w:hint="eastAsia" w:ascii="宋体" w:hAnsi="宋体" w:cs="宋体"/>
          <w:color w:val="auto"/>
          <w:sz w:val="24"/>
          <w:lang w:eastAsia="zh-CN"/>
        </w:rPr>
        <w:t>中标人</w:t>
      </w:r>
      <w:r>
        <w:rPr>
          <w:rFonts w:hint="eastAsia" w:ascii="宋体" w:hAnsi="宋体"/>
          <w:color w:val="auto"/>
          <w:sz w:val="24"/>
        </w:rPr>
        <w:t>。</w:t>
      </w:r>
    </w:p>
    <w:p w14:paraId="0D20A155">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hint="eastAsia" w:ascii="宋体" w:hAnsi="宋体"/>
          <w:color w:val="auto"/>
          <w:sz w:val="24"/>
          <w:u w:val="single"/>
          <w:lang w:eastAsia="zh-CN"/>
        </w:rPr>
        <w:t>宁波市海曙区水务设施管理中心</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（中标</w:t>
      </w:r>
      <w:r>
        <w:rPr>
          <w:rFonts w:hint="eastAsia" w:ascii="宋体" w:hAnsi="宋体"/>
          <w:color w:val="auto"/>
          <w:sz w:val="24"/>
          <w:u w:val="single"/>
        </w:rPr>
        <w:t>或者成交</w:t>
      </w:r>
      <w:r>
        <w:rPr>
          <w:rFonts w:ascii="宋体" w:hAnsi="宋体"/>
          <w:color w:val="auto"/>
          <w:sz w:val="24"/>
          <w:u w:val="single"/>
        </w:rPr>
        <w:t>供应商名称）</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05FA8AC5">
      <w:pPr>
        <w:spacing w:line="560" w:lineRule="exact"/>
        <w:ind w:firstLine="482" w:firstLineChars="200"/>
        <w:outlineLvl w:val="0"/>
        <w:rPr>
          <w:rFonts w:ascii="宋体" w:hAnsi="宋体"/>
          <w:color w:val="auto"/>
          <w:sz w:val="24"/>
        </w:rPr>
      </w:pPr>
      <w:bookmarkStart w:id="412" w:name="_Toc22967"/>
      <w:bookmarkStart w:id="413" w:name="_Toc28855"/>
      <w:bookmarkStart w:id="414" w:name="_Toc15367"/>
      <w:bookmarkStart w:id="415" w:name="_Toc19486"/>
      <w:bookmarkStart w:id="416" w:name="_Toc20421"/>
      <w:bookmarkStart w:id="417" w:name="_Toc19273"/>
      <w:r>
        <w:rPr>
          <w:rFonts w:ascii="宋体" w:hAnsi="宋体"/>
          <w:b/>
          <w:color w:val="auto"/>
          <w:sz w:val="24"/>
        </w:rPr>
        <w:t xml:space="preserve">1.1 </w:t>
      </w:r>
      <w:r>
        <w:rPr>
          <w:rFonts w:hint="eastAsia" w:ascii="宋体" w:hAnsi="宋体"/>
          <w:b/>
          <w:color w:val="auto"/>
          <w:sz w:val="24"/>
        </w:rPr>
        <w:t>合同组成部分</w:t>
      </w:r>
      <w:bookmarkEnd w:id="412"/>
      <w:bookmarkEnd w:id="413"/>
      <w:bookmarkEnd w:id="414"/>
      <w:bookmarkEnd w:id="415"/>
      <w:bookmarkEnd w:id="416"/>
      <w:bookmarkEnd w:id="417"/>
    </w:p>
    <w:p w14:paraId="115D10CF">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1CFD171">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0D0AF923">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629D6C5A">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6497C25C">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2C40C831">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38B0B785">
      <w:pPr>
        <w:spacing w:line="560" w:lineRule="exact"/>
        <w:ind w:firstLine="482" w:firstLineChars="200"/>
        <w:outlineLvl w:val="0"/>
        <w:rPr>
          <w:rFonts w:ascii="宋体" w:hAnsi="宋体"/>
          <w:b/>
          <w:color w:val="auto"/>
          <w:sz w:val="24"/>
        </w:rPr>
      </w:pPr>
      <w:bookmarkStart w:id="418" w:name="_Toc6773"/>
      <w:bookmarkStart w:id="419" w:name="_Toc2918"/>
      <w:bookmarkStart w:id="420" w:name="_Toc5107"/>
      <w:bookmarkStart w:id="421" w:name="_Toc18585"/>
      <w:bookmarkStart w:id="422" w:name="_Toc22185"/>
      <w:bookmarkStart w:id="423" w:name="_Toc6311"/>
      <w:r>
        <w:rPr>
          <w:rFonts w:ascii="宋体" w:hAnsi="宋体"/>
          <w:b/>
          <w:color w:val="auto"/>
          <w:sz w:val="24"/>
        </w:rPr>
        <w:t xml:space="preserve">1.2 </w:t>
      </w:r>
      <w:r>
        <w:rPr>
          <w:rFonts w:hint="eastAsia" w:ascii="宋体" w:hAnsi="宋体"/>
          <w:b/>
          <w:color w:val="auto"/>
          <w:sz w:val="24"/>
        </w:rPr>
        <w:t>标的</w:t>
      </w:r>
      <w:bookmarkEnd w:id="418"/>
      <w:bookmarkEnd w:id="419"/>
      <w:bookmarkEnd w:id="420"/>
      <w:bookmarkEnd w:id="421"/>
      <w:bookmarkEnd w:id="422"/>
      <w:bookmarkEnd w:id="423"/>
    </w:p>
    <w:p w14:paraId="64257FB9">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hint="eastAsia" w:ascii="宋体" w:hAnsi="宋体"/>
          <w:color w:val="auto"/>
          <w:sz w:val="24"/>
          <w:u w:val="single"/>
          <w:lang w:eastAsia="zh-CN"/>
        </w:rPr>
        <w:t>海曙区排水管网日常养护（</w:t>
      </w:r>
      <w:r>
        <w:rPr>
          <w:rFonts w:hint="eastAsia" w:ascii="宋体" w:hAnsi="宋体"/>
          <w:color w:val="auto"/>
          <w:sz w:val="24"/>
          <w:u w:val="single"/>
          <w:lang w:val="en-US" w:eastAsia="zh-CN"/>
        </w:rPr>
        <w:t xml:space="preserve">  </w:t>
      </w:r>
      <w:r>
        <w:rPr>
          <w:rFonts w:hint="eastAsia" w:ascii="宋体" w:hAnsi="宋体"/>
          <w:color w:val="auto"/>
          <w:sz w:val="24"/>
          <w:u w:val="single"/>
          <w:lang w:eastAsia="zh-CN"/>
        </w:rPr>
        <w:t>）</w:t>
      </w:r>
      <w:r>
        <w:rPr>
          <w:rFonts w:hint="eastAsia" w:ascii="宋体" w:hAnsi="宋体"/>
          <w:color w:val="auto"/>
          <w:sz w:val="24"/>
          <w:u w:val="single"/>
        </w:rPr>
        <w:t>；</w:t>
      </w:r>
    </w:p>
    <w:p w14:paraId="259C7657">
      <w:pPr>
        <w:pStyle w:val="25"/>
        <w:rPr>
          <w:color w:val="auto"/>
          <w:u w:val="single"/>
        </w:rPr>
      </w:pPr>
      <w:r>
        <w:rPr>
          <w:color w:val="auto"/>
        </w:rPr>
        <w:t xml:space="preserve">1.2.2 </w:t>
      </w:r>
      <w:r>
        <w:rPr>
          <w:rFonts w:hint="eastAsia"/>
          <w:color w:val="auto"/>
        </w:rPr>
        <w:t>服务标准</w:t>
      </w:r>
      <w:r>
        <w:rPr>
          <w:color w:val="auto"/>
        </w:rPr>
        <w:t>：</w:t>
      </w:r>
      <w:r>
        <w:rPr>
          <w:rFonts w:hint="eastAsia"/>
          <w:color w:val="auto"/>
          <w:u w:val="single"/>
          <w:lang w:val="en-US" w:eastAsia="zh-CN"/>
        </w:rPr>
        <w:t xml:space="preserve">        </w:t>
      </w:r>
      <w:r>
        <w:rPr>
          <w:rFonts w:hint="eastAsia"/>
          <w:color w:val="auto"/>
          <w:u w:val="single"/>
        </w:rPr>
        <w:t>；</w:t>
      </w:r>
    </w:p>
    <w:p w14:paraId="68765A16">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hint="eastAsia" w:ascii="宋体" w:hAnsi="宋体"/>
          <w:color w:val="auto"/>
          <w:sz w:val="24"/>
          <w:u w:val="single"/>
        </w:rPr>
        <w:t xml:space="preserve">      </w:t>
      </w:r>
      <w:r>
        <w:rPr>
          <w:rFonts w:hint="eastAsia" w:ascii="宋体" w:hAnsi="宋体"/>
          <w:color w:val="auto"/>
          <w:sz w:val="24"/>
        </w:rPr>
        <w:t>；</w:t>
      </w:r>
    </w:p>
    <w:p w14:paraId="4BEE0FA6">
      <w:pPr>
        <w:spacing w:line="560" w:lineRule="exact"/>
        <w:ind w:firstLine="480" w:firstLineChars="200"/>
        <w:jc w:val="left"/>
        <w:rPr>
          <w:color w:val="auto"/>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；服务期间，乙方投入人员及设备须与投标文件中内容一致。</w:t>
      </w:r>
    </w:p>
    <w:p w14:paraId="674FBD6B">
      <w:pPr>
        <w:spacing w:line="560" w:lineRule="exact"/>
        <w:ind w:firstLine="482" w:firstLineChars="200"/>
        <w:outlineLvl w:val="0"/>
        <w:rPr>
          <w:rFonts w:ascii="宋体" w:hAnsi="宋体"/>
          <w:b/>
          <w:color w:val="auto"/>
          <w:sz w:val="24"/>
        </w:rPr>
      </w:pPr>
      <w:bookmarkStart w:id="424" w:name="_Toc21124"/>
      <w:bookmarkStart w:id="425" w:name="_Toc5635"/>
      <w:bookmarkStart w:id="426" w:name="_Toc13918"/>
      <w:bookmarkStart w:id="427" w:name="_Toc1386"/>
      <w:bookmarkStart w:id="428" w:name="_Toc4929"/>
      <w:bookmarkStart w:id="429" w:name="_Toc12773"/>
      <w:r>
        <w:rPr>
          <w:rFonts w:ascii="宋体" w:hAnsi="宋体"/>
          <w:b/>
          <w:color w:val="auto"/>
          <w:sz w:val="24"/>
        </w:rPr>
        <w:t>1.3 价款</w:t>
      </w:r>
      <w:bookmarkEnd w:id="424"/>
      <w:bookmarkEnd w:id="425"/>
      <w:bookmarkEnd w:id="426"/>
      <w:bookmarkEnd w:id="427"/>
      <w:bookmarkEnd w:id="428"/>
      <w:bookmarkEnd w:id="429"/>
    </w:p>
    <w:p w14:paraId="15D68DB2">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1.3.</w:t>
      </w:r>
      <w:r>
        <w:rPr>
          <w:rFonts w:hint="eastAsia" w:ascii="宋体" w:hAnsi="宋体" w:cs="宋体"/>
          <w:color w:val="auto"/>
          <w:sz w:val="24"/>
          <w:u w:val="single"/>
          <w:lang w:val="en-US" w:eastAsia="zh-CN"/>
        </w:rPr>
        <w:t>1</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7ABF48DA">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20F94F2D">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659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CF43D0">
            <w:pPr>
              <w:pStyle w:val="320"/>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7A815CFA">
            <w:pPr>
              <w:pStyle w:val="320"/>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32EF7C82">
            <w:pPr>
              <w:pStyle w:val="320"/>
              <w:spacing w:line="560" w:lineRule="exact"/>
              <w:jc w:val="center"/>
              <w:rPr>
                <w:rFonts w:hAnsi="宋体"/>
                <w:color w:val="auto"/>
                <w:sz w:val="24"/>
                <w:szCs w:val="24"/>
              </w:rPr>
            </w:pPr>
            <w:r>
              <w:rPr>
                <w:rFonts w:hAnsi="宋体"/>
                <w:color w:val="auto"/>
                <w:sz w:val="24"/>
                <w:szCs w:val="24"/>
              </w:rPr>
              <w:t>分项价格</w:t>
            </w:r>
          </w:p>
        </w:tc>
      </w:tr>
      <w:tr w14:paraId="12BF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F29197">
            <w:pPr>
              <w:pStyle w:val="320"/>
              <w:spacing w:line="560" w:lineRule="exact"/>
              <w:ind w:firstLine="200"/>
              <w:jc w:val="center"/>
              <w:rPr>
                <w:rFonts w:hAnsi="宋体"/>
                <w:color w:val="auto"/>
                <w:sz w:val="24"/>
                <w:szCs w:val="24"/>
              </w:rPr>
            </w:pPr>
          </w:p>
        </w:tc>
        <w:tc>
          <w:tcPr>
            <w:tcW w:w="3402" w:type="dxa"/>
            <w:vAlign w:val="center"/>
          </w:tcPr>
          <w:p w14:paraId="6F7D29EC">
            <w:pPr>
              <w:pStyle w:val="320"/>
              <w:spacing w:line="560" w:lineRule="exact"/>
              <w:ind w:firstLine="200"/>
              <w:jc w:val="center"/>
              <w:rPr>
                <w:rFonts w:hAnsi="宋体"/>
                <w:color w:val="auto"/>
                <w:sz w:val="24"/>
                <w:szCs w:val="24"/>
              </w:rPr>
            </w:pPr>
          </w:p>
        </w:tc>
        <w:tc>
          <w:tcPr>
            <w:tcW w:w="2552" w:type="dxa"/>
            <w:vAlign w:val="center"/>
          </w:tcPr>
          <w:p w14:paraId="642DBE35">
            <w:pPr>
              <w:pStyle w:val="320"/>
              <w:spacing w:line="560" w:lineRule="exact"/>
              <w:ind w:firstLine="200"/>
              <w:jc w:val="center"/>
              <w:rPr>
                <w:rFonts w:hAnsi="宋体"/>
                <w:color w:val="auto"/>
                <w:sz w:val="24"/>
                <w:szCs w:val="24"/>
              </w:rPr>
            </w:pPr>
          </w:p>
        </w:tc>
      </w:tr>
      <w:tr w14:paraId="63E8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7703A0">
            <w:pPr>
              <w:pStyle w:val="320"/>
              <w:spacing w:line="560" w:lineRule="exact"/>
              <w:ind w:firstLine="200"/>
              <w:jc w:val="center"/>
              <w:rPr>
                <w:rFonts w:hAnsi="宋体"/>
                <w:color w:val="auto"/>
                <w:sz w:val="24"/>
                <w:szCs w:val="24"/>
              </w:rPr>
            </w:pPr>
          </w:p>
        </w:tc>
        <w:tc>
          <w:tcPr>
            <w:tcW w:w="3402" w:type="dxa"/>
            <w:vAlign w:val="center"/>
          </w:tcPr>
          <w:p w14:paraId="73A3B0A5">
            <w:pPr>
              <w:pStyle w:val="320"/>
              <w:spacing w:line="560" w:lineRule="exact"/>
              <w:ind w:firstLine="200"/>
              <w:jc w:val="center"/>
              <w:rPr>
                <w:rFonts w:hAnsi="宋体"/>
                <w:color w:val="auto"/>
                <w:sz w:val="24"/>
                <w:szCs w:val="24"/>
              </w:rPr>
            </w:pPr>
          </w:p>
        </w:tc>
        <w:tc>
          <w:tcPr>
            <w:tcW w:w="2552" w:type="dxa"/>
            <w:vAlign w:val="center"/>
          </w:tcPr>
          <w:p w14:paraId="6CCE365D">
            <w:pPr>
              <w:pStyle w:val="320"/>
              <w:spacing w:line="560" w:lineRule="exact"/>
              <w:ind w:firstLine="200"/>
              <w:jc w:val="center"/>
              <w:rPr>
                <w:rFonts w:hAnsi="宋体"/>
                <w:color w:val="auto"/>
                <w:sz w:val="24"/>
                <w:szCs w:val="24"/>
              </w:rPr>
            </w:pPr>
          </w:p>
        </w:tc>
      </w:tr>
      <w:tr w14:paraId="333E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F63C5A">
            <w:pPr>
              <w:pStyle w:val="320"/>
              <w:spacing w:line="560" w:lineRule="exact"/>
              <w:ind w:firstLine="200"/>
              <w:jc w:val="center"/>
              <w:rPr>
                <w:rFonts w:hAnsi="宋体"/>
                <w:color w:val="auto"/>
                <w:sz w:val="24"/>
                <w:szCs w:val="24"/>
              </w:rPr>
            </w:pPr>
          </w:p>
        </w:tc>
        <w:tc>
          <w:tcPr>
            <w:tcW w:w="3402" w:type="dxa"/>
            <w:vAlign w:val="center"/>
          </w:tcPr>
          <w:p w14:paraId="3D2DFAB8">
            <w:pPr>
              <w:pStyle w:val="320"/>
              <w:spacing w:line="560" w:lineRule="exact"/>
              <w:ind w:firstLine="200"/>
              <w:jc w:val="center"/>
              <w:rPr>
                <w:rFonts w:hAnsi="宋体"/>
                <w:color w:val="auto"/>
                <w:sz w:val="24"/>
                <w:szCs w:val="24"/>
              </w:rPr>
            </w:pPr>
          </w:p>
        </w:tc>
        <w:tc>
          <w:tcPr>
            <w:tcW w:w="2552" w:type="dxa"/>
            <w:vAlign w:val="center"/>
          </w:tcPr>
          <w:p w14:paraId="2FFD1DF5">
            <w:pPr>
              <w:pStyle w:val="320"/>
              <w:spacing w:line="560" w:lineRule="exact"/>
              <w:ind w:firstLine="200"/>
              <w:jc w:val="center"/>
              <w:rPr>
                <w:rFonts w:hAnsi="宋体"/>
                <w:color w:val="auto"/>
                <w:sz w:val="24"/>
                <w:szCs w:val="24"/>
              </w:rPr>
            </w:pPr>
          </w:p>
        </w:tc>
      </w:tr>
      <w:tr w14:paraId="4FCC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4708ED">
            <w:pPr>
              <w:pStyle w:val="320"/>
              <w:spacing w:line="560" w:lineRule="exact"/>
              <w:ind w:firstLine="200"/>
              <w:jc w:val="center"/>
              <w:rPr>
                <w:rFonts w:hAnsi="宋体"/>
                <w:color w:val="auto"/>
                <w:sz w:val="24"/>
                <w:szCs w:val="24"/>
              </w:rPr>
            </w:pPr>
          </w:p>
        </w:tc>
        <w:tc>
          <w:tcPr>
            <w:tcW w:w="3402" w:type="dxa"/>
            <w:vAlign w:val="center"/>
          </w:tcPr>
          <w:p w14:paraId="6F7A6B0F">
            <w:pPr>
              <w:pStyle w:val="320"/>
              <w:spacing w:line="560" w:lineRule="exact"/>
              <w:ind w:firstLine="200"/>
              <w:jc w:val="center"/>
              <w:rPr>
                <w:rFonts w:hAnsi="宋体"/>
                <w:color w:val="auto"/>
                <w:sz w:val="24"/>
                <w:szCs w:val="24"/>
              </w:rPr>
            </w:pPr>
          </w:p>
        </w:tc>
        <w:tc>
          <w:tcPr>
            <w:tcW w:w="2552" w:type="dxa"/>
            <w:vAlign w:val="center"/>
          </w:tcPr>
          <w:p w14:paraId="0EB5DE08">
            <w:pPr>
              <w:pStyle w:val="320"/>
              <w:spacing w:line="560" w:lineRule="exact"/>
              <w:ind w:firstLine="200"/>
              <w:jc w:val="center"/>
              <w:rPr>
                <w:rFonts w:hAnsi="宋体"/>
                <w:color w:val="auto"/>
                <w:sz w:val="24"/>
                <w:szCs w:val="24"/>
              </w:rPr>
            </w:pPr>
          </w:p>
        </w:tc>
      </w:tr>
      <w:tr w14:paraId="3BDB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8B96838">
            <w:pPr>
              <w:pStyle w:val="320"/>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49D35E12">
            <w:pPr>
              <w:pStyle w:val="320"/>
              <w:spacing w:line="560" w:lineRule="exact"/>
              <w:ind w:firstLine="200"/>
              <w:jc w:val="center"/>
              <w:rPr>
                <w:rFonts w:hAnsi="宋体"/>
                <w:color w:val="auto"/>
                <w:sz w:val="24"/>
                <w:szCs w:val="24"/>
              </w:rPr>
            </w:pPr>
          </w:p>
        </w:tc>
      </w:tr>
    </w:tbl>
    <w:p w14:paraId="05C397A9">
      <w:pPr>
        <w:spacing w:line="560" w:lineRule="exact"/>
        <w:ind w:firstLine="480" w:firstLineChars="200"/>
        <w:rPr>
          <w:rFonts w:ascii="宋体" w:hAnsi="宋体"/>
          <w:bCs/>
          <w:color w:val="auto"/>
          <w:sz w:val="24"/>
        </w:rPr>
      </w:pPr>
      <w:bookmarkStart w:id="430" w:name="_Toc30506"/>
      <w:bookmarkStart w:id="431" w:name="_Toc3654"/>
      <w:bookmarkStart w:id="432" w:name="_Toc30158"/>
      <w:bookmarkStart w:id="433" w:name="_Toc26916"/>
      <w:bookmarkStart w:id="434" w:name="_Toc14993"/>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bookmarkEnd w:id="430"/>
    <w:bookmarkEnd w:id="431"/>
    <w:bookmarkEnd w:id="432"/>
    <w:bookmarkEnd w:id="433"/>
    <w:bookmarkEnd w:id="434"/>
    <w:p w14:paraId="0D8055E7">
      <w:pPr>
        <w:spacing w:line="560" w:lineRule="exact"/>
        <w:ind w:firstLine="482" w:firstLineChars="200"/>
        <w:outlineLvl w:val="0"/>
        <w:rPr>
          <w:rFonts w:ascii="宋体" w:hAnsi="宋体"/>
          <w:b/>
          <w:color w:val="auto"/>
          <w:sz w:val="24"/>
        </w:rPr>
      </w:pPr>
      <w:bookmarkStart w:id="435" w:name="_Toc881"/>
      <w:bookmarkStart w:id="436" w:name="_Toc1814"/>
      <w:bookmarkStart w:id="437" w:name="_Toc10340"/>
      <w:bookmarkStart w:id="438" w:name="_Toc22618"/>
      <w:bookmarkStart w:id="439" w:name="_Toc3625"/>
      <w:bookmarkStart w:id="440" w:name="_Toc8772"/>
      <w:bookmarkStart w:id="441" w:name="_Toc4760"/>
      <w:bookmarkStart w:id="442" w:name="_Toc31421"/>
      <w:bookmarkStart w:id="443" w:name="_Toc11108"/>
      <w:r>
        <w:rPr>
          <w:rFonts w:hint="eastAsia" w:ascii="宋体" w:hAnsi="宋体"/>
          <w:b/>
          <w:color w:val="auto"/>
          <w:sz w:val="24"/>
        </w:rPr>
        <w:t>1.4履约保证金</w:t>
      </w:r>
      <w:bookmarkEnd w:id="435"/>
    </w:p>
    <w:p w14:paraId="14F17817">
      <w:pPr>
        <w:spacing w:line="560" w:lineRule="exact"/>
        <w:ind w:firstLine="480" w:firstLineChars="200"/>
        <w:rPr>
          <w:rFonts w:ascii="宋体" w:hAnsi="宋体" w:cs="宋体"/>
          <w:color w:val="auto"/>
          <w:sz w:val="24"/>
        </w:rPr>
      </w:pPr>
      <w:r>
        <w:rPr>
          <w:rFonts w:hint="eastAsia" w:ascii="宋体" w:hAnsi="宋体" w:cs="宋体"/>
          <w:color w:val="auto"/>
          <w:sz w:val="24"/>
        </w:rPr>
        <w:t>乙方</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否</w:t>
      </w:r>
      <w:r>
        <w:rPr>
          <w:rFonts w:hint="eastAsia" w:ascii="宋体" w:hAnsi="宋体" w:cs="宋体"/>
          <w:color w:val="auto"/>
          <w:sz w:val="24"/>
          <w:u w:val="single"/>
        </w:rPr>
        <w:t xml:space="preserve"> </w:t>
      </w:r>
      <w:r>
        <w:rPr>
          <w:rFonts w:hint="eastAsia" w:ascii="宋体" w:hAnsi="宋体" w:cs="宋体"/>
          <w:color w:val="auto"/>
          <w:sz w:val="24"/>
        </w:rPr>
        <w:t>需要支付履约保证金。若需要支付履约保证金的，则：</w:t>
      </w:r>
    </w:p>
    <w:p w14:paraId="3876BC2E">
      <w:pPr>
        <w:spacing w:line="560" w:lineRule="exact"/>
        <w:ind w:firstLine="480" w:firstLineChars="200"/>
        <w:outlineLvl w:val="0"/>
        <w:rPr>
          <w:rFonts w:ascii="宋体" w:hAnsi="宋体" w:cs="宋体"/>
          <w:color w:val="auto"/>
          <w:kern w:val="0"/>
          <w:sz w:val="24"/>
        </w:rPr>
      </w:pPr>
      <w:bookmarkStart w:id="444" w:name="_Toc10645"/>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w:t>
      </w:r>
      <w:r>
        <w:rPr>
          <w:rFonts w:hint="eastAsia" w:ascii="宋体" w:hAnsi="宋体" w:cs="宋体"/>
          <w:color w:val="auto"/>
          <w:kern w:val="0"/>
          <w:sz w:val="24"/>
          <w:u w:val="single"/>
        </w:rPr>
        <w:t xml:space="preserve"> </w:t>
      </w:r>
      <w:r>
        <w:rPr>
          <w:rFonts w:hint="eastAsia" w:ascii="宋体" w:hAnsi="宋体" w:cs="宋体"/>
          <w:color w:val="auto"/>
          <w:kern w:val="0"/>
          <w:sz w:val="24"/>
        </w:rPr>
        <w:t>%；</w:t>
      </w:r>
      <w:bookmarkEnd w:id="444"/>
    </w:p>
    <w:p w14:paraId="2B79A714">
      <w:pPr>
        <w:spacing w:line="560" w:lineRule="exact"/>
        <w:ind w:firstLine="480" w:firstLineChars="200"/>
        <w:outlineLvl w:val="0"/>
        <w:rPr>
          <w:rFonts w:ascii="宋体" w:hAnsi="宋体" w:cs="宋体"/>
          <w:color w:val="auto"/>
          <w:kern w:val="0"/>
          <w:sz w:val="24"/>
        </w:rPr>
      </w:pPr>
      <w:bookmarkStart w:id="445" w:name="_Toc20479"/>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bookmarkEnd w:id="445"/>
    </w:p>
    <w:p w14:paraId="69873BA9">
      <w:pPr>
        <w:pStyle w:val="4"/>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3949E03">
      <w:pPr>
        <w:spacing w:line="560" w:lineRule="exact"/>
        <w:ind w:firstLine="480" w:firstLineChars="200"/>
        <w:outlineLvl w:val="0"/>
        <w:rPr>
          <w:rFonts w:ascii="宋体" w:hAnsi="宋体" w:cs="宋体"/>
          <w:color w:val="auto"/>
          <w:kern w:val="0"/>
          <w:sz w:val="24"/>
        </w:rPr>
      </w:pPr>
      <w:bookmarkStart w:id="446" w:name="_Toc5806"/>
      <w:r>
        <w:rPr>
          <w:rFonts w:hint="eastAsia" w:ascii="宋体" w:hAnsi="宋体" w:cs="宋体"/>
          <w:color w:val="auto"/>
          <w:kern w:val="0"/>
          <w:sz w:val="24"/>
        </w:rPr>
        <w:t>1.4.4</w:t>
      </w:r>
      <w:r>
        <w:rPr>
          <w:rFonts w:hint="eastAsia" w:ascii="宋体" w:hAnsi="宋体" w:cs="宋体"/>
          <w:color w:val="auto"/>
          <w:sz w:val="24"/>
        </w:rPr>
        <w:t>履约保证金在乙方完成合同履约后无息退还（但如乙方未能履行合同规定的任何义务，甲方有权从履约保证金中优先扣除应由乙方承担的违约金、赔偿金以及其他款项）</w:t>
      </w:r>
      <w:r>
        <w:rPr>
          <w:rFonts w:hint="eastAsia" w:ascii="宋体" w:hAnsi="宋体" w:cs="宋体"/>
          <w:color w:val="auto"/>
          <w:kern w:val="0"/>
          <w:sz w:val="24"/>
        </w:rPr>
        <w:t>。</w:t>
      </w:r>
      <w:bookmarkEnd w:id="446"/>
    </w:p>
    <w:p w14:paraId="47B22BEC">
      <w:pPr>
        <w:spacing w:line="560" w:lineRule="exact"/>
        <w:ind w:firstLine="482" w:firstLineChars="200"/>
        <w:outlineLvl w:val="0"/>
        <w:rPr>
          <w:rFonts w:ascii="宋体" w:hAnsi="宋体" w:cs="宋体"/>
          <w:b/>
          <w:color w:val="auto"/>
          <w:sz w:val="24"/>
        </w:rPr>
      </w:pPr>
      <w:bookmarkStart w:id="447" w:name="_Toc18314"/>
      <w:r>
        <w:rPr>
          <w:rFonts w:hint="eastAsia" w:ascii="宋体" w:hAnsi="宋体" w:cs="宋体"/>
          <w:b/>
          <w:color w:val="auto"/>
          <w:sz w:val="24"/>
        </w:rPr>
        <w:t>1.5</w:t>
      </w:r>
      <w:bookmarkEnd w:id="436"/>
      <w:bookmarkEnd w:id="437"/>
      <w:bookmarkEnd w:id="438"/>
      <w:r>
        <w:rPr>
          <w:rFonts w:hint="eastAsia" w:ascii="宋体" w:hAnsi="宋体" w:cs="宋体"/>
          <w:b/>
          <w:color w:val="auto"/>
          <w:sz w:val="24"/>
        </w:rPr>
        <w:t>预付款</w:t>
      </w:r>
      <w:bookmarkEnd w:id="447"/>
    </w:p>
    <w:p w14:paraId="3062A5F2">
      <w:pPr>
        <w:pStyle w:val="959"/>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是 </w:t>
      </w:r>
      <w:r>
        <w:rPr>
          <w:rFonts w:hint="eastAsia"/>
          <w:color w:val="auto"/>
        </w:rPr>
        <w:t>需要支付预付款。若需要支付预付款的，则：</w:t>
      </w:r>
    </w:p>
    <w:p w14:paraId="080A69EF">
      <w:pPr>
        <w:pStyle w:val="959"/>
        <w:spacing w:before="0" w:beforeAutospacing="0" w:after="0" w:afterAutospacing="0" w:line="360" w:lineRule="auto"/>
        <w:ind w:firstLine="480"/>
        <w:rPr>
          <w:color w:val="auto"/>
        </w:rPr>
      </w:pPr>
      <w:r>
        <w:rPr>
          <w:rFonts w:hint="eastAsia"/>
          <w:color w:val="auto"/>
        </w:rPr>
        <w:t>1.5.1预付款比例、支付方式、时间详见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259076EB">
      <w:pPr>
        <w:pStyle w:val="959"/>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73F22657">
      <w:pPr>
        <w:pStyle w:val="959"/>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06FEDAF3">
      <w:pPr>
        <w:pStyle w:val="959"/>
        <w:spacing w:before="0" w:beforeAutospacing="0" w:after="0" w:afterAutospacing="0" w:line="360" w:lineRule="auto"/>
        <w:ind w:firstLine="480"/>
        <w:rPr>
          <w:b/>
          <w:bCs/>
          <w:color w:val="auto"/>
        </w:rPr>
      </w:pPr>
      <w:r>
        <w:rPr>
          <w:rFonts w:hint="eastAsia"/>
          <w:b/>
          <w:bCs/>
          <w:color w:val="auto"/>
        </w:rPr>
        <w:t>1.6资金支付</w:t>
      </w:r>
    </w:p>
    <w:p w14:paraId="36343955">
      <w:pPr>
        <w:pStyle w:val="959"/>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30个工作日内将资金支付到合同约定的乙方账户，有条件的甲方可以即时支付。甲方不得以机构变动、人员更替、政策调整、单位放假等为由延迟付款。</w:t>
      </w:r>
    </w:p>
    <w:p w14:paraId="2C73F00F">
      <w:pPr>
        <w:spacing w:line="560" w:lineRule="exact"/>
        <w:ind w:firstLine="480" w:firstLineChars="200"/>
        <w:outlineLvl w:val="0"/>
        <w:rPr>
          <w:rFonts w:ascii="宋体" w:hAnsi="宋体" w:cs="宋体"/>
          <w:color w:val="auto"/>
          <w:sz w:val="24"/>
        </w:rPr>
      </w:pPr>
      <w:bookmarkStart w:id="448" w:name="_Toc20012"/>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bookmarkEnd w:id="448"/>
    </w:p>
    <w:p w14:paraId="006CC972">
      <w:pPr>
        <w:spacing w:line="560" w:lineRule="exact"/>
        <w:ind w:firstLine="482" w:firstLineChars="200"/>
        <w:outlineLvl w:val="0"/>
        <w:rPr>
          <w:rFonts w:ascii="宋体" w:hAnsi="宋体"/>
          <w:b/>
          <w:color w:val="auto"/>
          <w:sz w:val="24"/>
        </w:rPr>
      </w:pPr>
      <w:bookmarkStart w:id="449" w:name="_Toc14040"/>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39"/>
      <w:bookmarkEnd w:id="440"/>
      <w:bookmarkEnd w:id="441"/>
      <w:bookmarkEnd w:id="442"/>
      <w:bookmarkEnd w:id="443"/>
      <w:bookmarkEnd w:id="449"/>
    </w:p>
    <w:p w14:paraId="537C6D8B">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480C9272">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0FC67CDE">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4EADB0C5">
      <w:pPr>
        <w:spacing w:line="560" w:lineRule="exact"/>
        <w:ind w:firstLine="480" w:firstLineChars="200"/>
        <w:outlineLvl w:val="0"/>
        <w:rPr>
          <w:rFonts w:ascii="宋体" w:hAnsi="宋体"/>
          <w:bCs/>
          <w:color w:val="auto"/>
          <w:sz w:val="24"/>
        </w:rPr>
      </w:pPr>
      <w:bookmarkStart w:id="450" w:name="_Toc28299"/>
      <w:bookmarkStart w:id="451" w:name="_Toc5698"/>
      <w:bookmarkStart w:id="452" w:name="_Toc8586"/>
      <w:bookmarkStart w:id="453" w:name="_Toc2375"/>
      <w:bookmarkStart w:id="454" w:name="_Toc24662"/>
      <w:bookmarkStart w:id="455" w:name="_Toc3079"/>
      <w:r>
        <w:rPr>
          <w:rFonts w:hint="eastAsia" w:ascii="宋体" w:hAnsi="宋体"/>
          <w:bCs/>
          <w:color w:val="auto"/>
          <w:sz w:val="24"/>
        </w:rPr>
        <w:t>1.7.4若服务</w:t>
      </w:r>
      <w:r>
        <w:rPr>
          <w:rFonts w:hint="eastAsia"/>
          <w:bCs/>
          <w:color w:val="auto"/>
          <w:sz w:val="24"/>
        </w:rPr>
        <w:t>涉及货物的，则货物的：</w:t>
      </w:r>
      <w:bookmarkEnd w:id="450"/>
    </w:p>
    <w:p w14:paraId="4A5D277E">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2BD86A18">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10CCDB3D">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4D1C2706">
      <w:pPr>
        <w:spacing w:line="560" w:lineRule="exact"/>
        <w:ind w:firstLine="482" w:firstLineChars="200"/>
        <w:outlineLvl w:val="0"/>
        <w:rPr>
          <w:rFonts w:ascii="宋体" w:hAnsi="宋体"/>
          <w:color w:val="auto"/>
          <w:sz w:val="24"/>
          <w:u w:val="single"/>
        </w:rPr>
      </w:pPr>
      <w:bookmarkStart w:id="456" w:name="_Toc31741"/>
      <w:r>
        <w:rPr>
          <w:rFonts w:ascii="宋体" w:hAnsi="宋体"/>
          <w:b/>
          <w:color w:val="auto"/>
          <w:sz w:val="24"/>
        </w:rPr>
        <w:t>1.</w:t>
      </w:r>
      <w:r>
        <w:rPr>
          <w:rFonts w:hint="eastAsia" w:ascii="宋体" w:hAnsi="宋体"/>
          <w:b/>
          <w:color w:val="auto"/>
          <w:sz w:val="24"/>
        </w:rPr>
        <w:t>8违约责任</w:t>
      </w:r>
      <w:bookmarkEnd w:id="451"/>
      <w:bookmarkEnd w:id="452"/>
      <w:bookmarkEnd w:id="453"/>
      <w:bookmarkEnd w:id="454"/>
      <w:bookmarkEnd w:id="455"/>
      <w:bookmarkEnd w:id="456"/>
    </w:p>
    <w:p w14:paraId="4890F332">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超过30天，</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57A7ECC4">
      <w:pPr>
        <w:spacing w:line="560" w:lineRule="exact"/>
        <w:ind w:firstLine="480" w:firstLineChars="200"/>
        <w:rPr>
          <w:rFonts w:ascii="宋体" w:hAnsi="宋体" w:cs="宋体"/>
          <w:color w:val="auto"/>
          <w:sz w:val="24"/>
        </w:rPr>
      </w:pPr>
      <w:r>
        <w:rPr>
          <w:rFonts w:hint="eastAsia" w:ascii="宋体" w:hAnsi="宋体" w:cs="宋体"/>
          <w:color w:val="auto"/>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u w:val="single"/>
        </w:rPr>
        <w:t xml:space="preserve">0.05 </w:t>
      </w:r>
      <w:r>
        <w:rPr>
          <w:rFonts w:hint="eastAsia" w:ascii="宋体" w:hAnsi="宋体" w:cs="宋体"/>
          <w:color w:val="auto"/>
          <w:sz w:val="24"/>
        </w:rPr>
        <w:t>%计算；迟延超过30天，甲方有权在要求乙方支付违约金的同时，书面通知乙方解除本合同；</w:t>
      </w:r>
    </w:p>
    <w:p w14:paraId="725FD620">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w:t>
      </w:r>
      <w:r>
        <w:rPr>
          <w:rFonts w:hint="eastAsia" w:ascii="宋体" w:hAnsi="宋体"/>
          <w:color w:val="auto"/>
          <w:sz w:val="24"/>
        </w:rPr>
        <w:t>要求</w:t>
      </w:r>
      <w:r>
        <w:rPr>
          <w:rFonts w:hint="eastAsia" w:ascii="宋体" w:hAnsi="宋体" w:cs="宋体"/>
          <w:color w:val="auto"/>
          <w:sz w:val="24"/>
        </w:rPr>
        <w:t>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1D6496B6">
      <w:pPr>
        <w:spacing w:line="560" w:lineRule="exact"/>
        <w:ind w:firstLine="480" w:firstLineChars="200"/>
        <w:rPr>
          <w:rFonts w:ascii="宋体" w:hAnsi="宋体" w:cs="宋体"/>
          <w:color w:val="auto"/>
          <w:sz w:val="24"/>
        </w:rPr>
      </w:pPr>
      <w:bookmarkStart w:id="457" w:name="_Toc18683"/>
      <w:bookmarkStart w:id="458" w:name="_Toc9497"/>
      <w:bookmarkStart w:id="459" w:name="_Toc26807"/>
      <w:bookmarkStart w:id="460" w:name="_Toc32454"/>
      <w:bookmarkStart w:id="461" w:name="_Toc30329"/>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256627">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E84E3A3">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6E45DB6">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57"/>
    <w:bookmarkEnd w:id="458"/>
    <w:bookmarkEnd w:id="459"/>
    <w:bookmarkEnd w:id="460"/>
    <w:bookmarkEnd w:id="461"/>
    <w:p w14:paraId="434222D3">
      <w:pPr>
        <w:spacing w:line="560" w:lineRule="exact"/>
        <w:ind w:firstLine="482" w:firstLineChars="200"/>
        <w:outlineLvl w:val="0"/>
        <w:rPr>
          <w:rFonts w:ascii="宋体" w:hAnsi="宋体" w:cs="宋体"/>
          <w:b/>
          <w:color w:val="auto"/>
          <w:sz w:val="24"/>
        </w:rPr>
      </w:pPr>
      <w:bookmarkStart w:id="462" w:name="_Toc15583"/>
      <w:bookmarkStart w:id="463" w:name="_Toc28375"/>
      <w:bookmarkStart w:id="464" w:name="_Toc16021"/>
      <w:bookmarkStart w:id="465" w:name="_Toc22771"/>
      <w:r>
        <w:rPr>
          <w:rFonts w:hint="eastAsia" w:ascii="宋体" w:hAnsi="宋体" w:cs="宋体"/>
          <w:b/>
          <w:color w:val="auto"/>
          <w:sz w:val="24"/>
        </w:rPr>
        <w:t>1.9合同争议的解决</w:t>
      </w:r>
      <w:bookmarkEnd w:id="462"/>
      <w:bookmarkEnd w:id="463"/>
      <w:bookmarkEnd w:id="464"/>
      <w:bookmarkEnd w:id="465"/>
    </w:p>
    <w:p w14:paraId="3CDB27C7">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1.9.2 </w:t>
      </w:r>
      <w:r>
        <w:rPr>
          <w:rFonts w:hint="eastAsia" w:ascii="宋体" w:hAnsi="宋体" w:cs="宋体"/>
          <w:color w:val="auto"/>
          <w:sz w:val="24"/>
        </w:rPr>
        <w:t>条款规定的方式解决：</w:t>
      </w:r>
    </w:p>
    <w:p w14:paraId="7C905512">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2A5FC18E">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257A4BA8">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2.</w:t>
      </w:r>
      <w:r>
        <w:rPr>
          <w:rFonts w:hint="eastAsia" w:ascii="宋体" w:hAnsi="宋体" w:cs="宋体"/>
          <w:b/>
          <w:color w:val="auto"/>
          <w:sz w:val="24"/>
          <w:lang w:val="en-US" w:eastAsia="zh-CN"/>
        </w:rPr>
        <w:t>0</w:t>
      </w:r>
      <w:r>
        <w:rPr>
          <w:rFonts w:hint="eastAsia" w:ascii="宋体" w:hAnsi="宋体" w:cs="宋体"/>
          <w:b/>
          <w:color w:val="auto"/>
          <w:sz w:val="24"/>
        </w:rPr>
        <w:t xml:space="preserve"> 合同生效</w:t>
      </w:r>
    </w:p>
    <w:p w14:paraId="3C153656">
      <w:pPr>
        <w:spacing w:line="560" w:lineRule="exact"/>
        <w:ind w:firstLine="480" w:firstLineChars="200"/>
        <w:outlineLvl w:val="0"/>
        <w:rPr>
          <w:rFonts w:hint="eastAsia" w:ascii="宋体" w:hAnsi="宋体" w:cs="宋体"/>
          <w:b w:val="0"/>
          <w:bCs/>
          <w:color w:val="auto"/>
          <w:sz w:val="24"/>
        </w:rPr>
      </w:pPr>
      <w:r>
        <w:rPr>
          <w:rFonts w:hint="eastAsia" w:ascii="宋体" w:hAnsi="宋体" w:cs="宋体"/>
          <w:b w:val="0"/>
          <w:bCs/>
          <w:color w:val="auto"/>
          <w:sz w:val="24"/>
        </w:rPr>
        <w:t>本合同自双方当事人盖章签字时生效。</w:t>
      </w:r>
    </w:p>
    <w:p w14:paraId="5E3E6D88">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614308EC">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058297FB">
      <w:pPr>
        <w:autoSpaceDE w:val="0"/>
        <w:autoSpaceDN w:val="0"/>
        <w:spacing w:line="560" w:lineRule="exact"/>
        <w:rPr>
          <w:rFonts w:ascii="宋体" w:hAnsi="宋体"/>
          <w:color w:val="auto"/>
          <w:sz w:val="24"/>
          <w:lang w:val="zh-CN"/>
        </w:rPr>
      </w:pPr>
    </w:p>
    <w:p w14:paraId="18D04EC7">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4B249F7D">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16C3D454">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0776D645">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351EB573">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45FA2BE1">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25DCA234">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5F1B243E">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41D97820">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054A1561">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6E5C8FAF">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0699E7B8">
      <w:pPr>
        <w:autoSpaceDE w:val="0"/>
        <w:autoSpaceDN w:val="0"/>
        <w:spacing w:line="560" w:lineRule="exact"/>
        <w:rPr>
          <w:rFonts w:ascii="宋体" w:hAnsi="宋体"/>
          <w:b/>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70B9898A">
      <w:pPr>
        <w:widowControl/>
        <w:adjustRightInd/>
        <w:jc w:val="left"/>
        <w:rPr>
          <w:rFonts w:ascii="宋体" w:hAnsi="宋体"/>
          <w:b/>
          <w:color w:val="auto"/>
          <w:sz w:val="24"/>
        </w:rPr>
      </w:pPr>
      <w:r>
        <w:rPr>
          <w:rFonts w:ascii="宋体" w:hAnsi="宋体"/>
          <w:b/>
          <w:color w:val="auto"/>
        </w:rPr>
        <w:br w:type="page"/>
      </w:r>
    </w:p>
    <w:p w14:paraId="269D4A09">
      <w:pPr>
        <w:pStyle w:val="701"/>
        <w:spacing w:line="560" w:lineRule="exact"/>
        <w:ind w:firstLine="482"/>
        <w:jc w:val="center"/>
        <w:outlineLvl w:val="0"/>
        <w:rPr>
          <w:rFonts w:ascii="宋体" w:hAnsi="宋体"/>
          <w:b/>
          <w:color w:val="auto"/>
          <w:szCs w:val="24"/>
        </w:rPr>
      </w:pPr>
      <w:bookmarkStart w:id="466" w:name="_Toc23726"/>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bookmarkEnd w:id="466"/>
    </w:p>
    <w:p w14:paraId="69E47425">
      <w:pPr>
        <w:spacing w:line="560" w:lineRule="exact"/>
        <w:ind w:firstLine="482" w:firstLineChars="200"/>
        <w:outlineLvl w:val="0"/>
        <w:rPr>
          <w:rFonts w:ascii="宋体" w:hAnsi="宋体"/>
          <w:b/>
          <w:color w:val="auto"/>
          <w:sz w:val="24"/>
        </w:rPr>
      </w:pPr>
      <w:bookmarkStart w:id="467" w:name="_Toc17860"/>
      <w:bookmarkStart w:id="468" w:name="_Toc5228"/>
      <w:bookmarkStart w:id="469" w:name="_Toc31297"/>
      <w:bookmarkStart w:id="470" w:name="_Toc19680"/>
      <w:bookmarkStart w:id="471" w:name="_Toc14021"/>
      <w:bookmarkStart w:id="472" w:name="_Toc25079"/>
      <w:r>
        <w:rPr>
          <w:rFonts w:ascii="宋体" w:hAnsi="宋体"/>
          <w:b/>
          <w:color w:val="auto"/>
          <w:sz w:val="24"/>
        </w:rPr>
        <w:t>2.1 定义</w:t>
      </w:r>
      <w:bookmarkEnd w:id="467"/>
      <w:bookmarkEnd w:id="468"/>
      <w:bookmarkEnd w:id="469"/>
      <w:bookmarkEnd w:id="470"/>
      <w:bookmarkEnd w:id="471"/>
      <w:bookmarkEnd w:id="472"/>
    </w:p>
    <w:p w14:paraId="553AFAA2">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54F95BE5">
      <w:pPr>
        <w:spacing w:line="560" w:lineRule="exact"/>
        <w:ind w:firstLine="480" w:firstLineChars="200"/>
        <w:rPr>
          <w:rFonts w:ascii="宋体" w:hAnsi="宋体"/>
          <w:color w:val="auto"/>
          <w:sz w:val="24"/>
        </w:rPr>
      </w:pPr>
      <w:r>
        <w:rPr>
          <w:rFonts w:ascii="宋体" w:hAnsi="宋体"/>
          <w:color w:val="auto"/>
          <w:sz w:val="24"/>
        </w:rPr>
        <w:t>2.1.1 “合同”系指</w:t>
      </w:r>
      <w:r>
        <w:rPr>
          <w:rFonts w:hint="eastAsia" w:ascii="宋体" w:hAnsi="宋体"/>
          <w:color w:val="auto"/>
          <w:sz w:val="24"/>
          <w:lang w:eastAsia="zh-CN"/>
        </w:rPr>
        <w:t>招标人</w:t>
      </w:r>
      <w:r>
        <w:rPr>
          <w:rFonts w:ascii="宋体" w:hAnsi="宋体"/>
          <w:color w:val="auto"/>
          <w:sz w:val="24"/>
        </w:rPr>
        <w:t>和</w:t>
      </w:r>
      <w:r>
        <w:rPr>
          <w:rFonts w:hint="eastAsia" w:ascii="宋体" w:hAnsi="宋体" w:cs="宋体"/>
          <w:color w:val="auto"/>
          <w:sz w:val="24"/>
        </w:rPr>
        <w:t>中标或</w:t>
      </w:r>
      <w:r>
        <w:rPr>
          <w:rFonts w:hint="eastAsia" w:ascii="宋体" w:hAnsi="宋体" w:cs="宋体"/>
          <w:color w:val="auto"/>
          <w:sz w:val="24"/>
          <w:lang w:eastAsia="zh-CN"/>
        </w:rPr>
        <w:t>中标人</w:t>
      </w:r>
      <w:r>
        <w:rPr>
          <w:rFonts w:ascii="宋体" w:hAnsi="宋体"/>
          <w:color w:val="auto"/>
          <w:sz w:val="24"/>
        </w:rPr>
        <w:t>签订的载明双方当事人所达成的协议，并包括所有的附件、附录和构成合同的其他文件。</w:t>
      </w:r>
    </w:p>
    <w:p w14:paraId="7C94F75D">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w:t>
      </w:r>
      <w:r>
        <w:rPr>
          <w:rFonts w:hint="eastAsia" w:ascii="宋体" w:hAnsi="宋体" w:cs="宋体"/>
          <w:color w:val="auto"/>
          <w:sz w:val="24"/>
          <w:lang w:eastAsia="zh-CN"/>
        </w:rPr>
        <w:t>中标人</w:t>
      </w:r>
      <w:r>
        <w:rPr>
          <w:rFonts w:ascii="宋体" w:hAnsi="宋体"/>
          <w:color w:val="auto"/>
          <w:sz w:val="24"/>
        </w:rPr>
        <w:t>在完全履行合同义务后</w:t>
      </w:r>
      <w:r>
        <w:rPr>
          <w:rFonts w:hint="eastAsia" w:ascii="宋体" w:hAnsi="宋体"/>
          <w:color w:val="auto"/>
          <w:sz w:val="24"/>
        </w:rPr>
        <w:t>，</w:t>
      </w:r>
      <w:r>
        <w:rPr>
          <w:rFonts w:hint="eastAsia" w:ascii="宋体" w:hAnsi="宋体"/>
          <w:color w:val="auto"/>
          <w:sz w:val="24"/>
          <w:lang w:eastAsia="zh-CN"/>
        </w:rPr>
        <w:t>招标人</w:t>
      </w:r>
      <w:r>
        <w:rPr>
          <w:rFonts w:ascii="宋体" w:hAnsi="宋体"/>
          <w:color w:val="auto"/>
          <w:sz w:val="24"/>
        </w:rPr>
        <w:t>应支付给</w:t>
      </w:r>
      <w:r>
        <w:rPr>
          <w:rFonts w:hint="eastAsia" w:ascii="宋体" w:hAnsi="宋体" w:cs="宋体"/>
          <w:color w:val="auto"/>
          <w:sz w:val="24"/>
        </w:rPr>
        <w:t>中标或</w:t>
      </w:r>
      <w:r>
        <w:rPr>
          <w:rFonts w:hint="eastAsia" w:ascii="宋体" w:hAnsi="宋体" w:cs="宋体"/>
          <w:color w:val="auto"/>
          <w:sz w:val="24"/>
          <w:lang w:eastAsia="zh-CN"/>
        </w:rPr>
        <w:t>中标人</w:t>
      </w:r>
      <w:r>
        <w:rPr>
          <w:rFonts w:ascii="宋体" w:hAnsi="宋体"/>
          <w:color w:val="auto"/>
          <w:sz w:val="24"/>
        </w:rPr>
        <w:t>的价格。</w:t>
      </w:r>
    </w:p>
    <w:p w14:paraId="7E10948D">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w:t>
      </w:r>
      <w:r>
        <w:rPr>
          <w:rFonts w:hint="eastAsia" w:ascii="宋体" w:hAnsi="宋体" w:cs="宋体"/>
          <w:color w:val="auto"/>
          <w:sz w:val="24"/>
          <w:lang w:eastAsia="zh-CN"/>
        </w:rPr>
        <w:t>中标人</w:t>
      </w:r>
      <w:r>
        <w:rPr>
          <w:rFonts w:ascii="宋体" w:hAnsi="宋体"/>
          <w:color w:val="auto"/>
          <w:sz w:val="24"/>
        </w:rPr>
        <w:t>根据合同约定应向</w:t>
      </w:r>
      <w:r>
        <w:rPr>
          <w:rFonts w:hint="eastAsia" w:ascii="宋体" w:hAnsi="宋体"/>
          <w:color w:val="auto"/>
          <w:sz w:val="24"/>
          <w:lang w:eastAsia="zh-CN"/>
        </w:rPr>
        <w:t>招标人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w:t>
      </w:r>
      <w:r>
        <w:rPr>
          <w:rFonts w:hint="eastAsia" w:ascii="宋体" w:hAnsi="宋体"/>
          <w:color w:val="auto"/>
          <w:sz w:val="24"/>
          <w:lang w:eastAsia="zh-CN"/>
        </w:rPr>
        <w:t>招标人</w:t>
      </w:r>
      <w:r>
        <w:rPr>
          <w:rFonts w:hint="eastAsia" w:ascii="宋体" w:hAnsi="宋体"/>
          <w:color w:val="auto"/>
          <w:sz w:val="24"/>
        </w:rPr>
        <w:t>自身需要的服务和向社会公众提供的公共服务。</w:t>
      </w:r>
    </w:p>
    <w:p w14:paraId="5C906F69">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w:t>
      </w:r>
      <w:r>
        <w:rPr>
          <w:rFonts w:hint="eastAsia" w:ascii="宋体" w:hAnsi="宋体" w:cs="宋体"/>
          <w:color w:val="auto"/>
          <w:sz w:val="24"/>
          <w:lang w:eastAsia="zh-CN"/>
        </w:rPr>
        <w:t>中标人</w:t>
      </w:r>
      <w:r>
        <w:rPr>
          <w:rFonts w:ascii="宋体" w:hAnsi="宋体"/>
          <w:color w:val="auto"/>
          <w:sz w:val="24"/>
        </w:rPr>
        <w:t>签署合同的</w:t>
      </w:r>
      <w:r>
        <w:rPr>
          <w:rFonts w:hint="eastAsia" w:ascii="宋体" w:hAnsi="宋体"/>
          <w:color w:val="auto"/>
          <w:sz w:val="24"/>
          <w:lang w:eastAsia="zh-CN"/>
        </w:rPr>
        <w:t>招标人</w:t>
      </w:r>
      <w:r>
        <w:rPr>
          <w:rFonts w:hint="eastAsia" w:ascii="宋体" w:hAnsi="宋体"/>
          <w:color w:val="auto"/>
          <w:sz w:val="24"/>
        </w:rPr>
        <w:t>；</w:t>
      </w:r>
      <w:r>
        <w:rPr>
          <w:rFonts w:hint="eastAsia" w:ascii="宋体" w:hAnsi="宋体"/>
          <w:color w:val="auto"/>
          <w:sz w:val="24"/>
          <w:lang w:eastAsia="zh-CN"/>
        </w:rPr>
        <w:t>招标人</w:t>
      </w:r>
      <w:r>
        <w:rPr>
          <w:rFonts w:hint="eastAsia" w:ascii="宋体" w:hAnsi="宋体"/>
          <w:color w:val="auto"/>
          <w:sz w:val="24"/>
        </w:rPr>
        <w:t>委托采购代理机构代表其与乙方签订合同的，</w:t>
      </w:r>
      <w:r>
        <w:rPr>
          <w:rFonts w:hint="eastAsia" w:ascii="宋体" w:hAnsi="宋体"/>
          <w:color w:val="auto"/>
          <w:sz w:val="24"/>
          <w:lang w:eastAsia="zh-CN"/>
        </w:rPr>
        <w:t>招标人</w:t>
      </w:r>
      <w:r>
        <w:rPr>
          <w:rFonts w:hint="eastAsia" w:ascii="宋体" w:hAnsi="宋体"/>
          <w:color w:val="auto"/>
          <w:sz w:val="24"/>
        </w:rPr>
        <w:t>的授权委托书作为合同附件。</w:t>
      </w:r>
    </w:p>
    <w:p w14:paraId="4855446C">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w:t>
      </w:r>
      <w:r>
        <w:rPr>
          <w:rFonts w:hint="eastAsia" w:ascii="宋体" w:hAnsi="宋体" w:cs="宋体"/>
          <w:color w:val="auto"/>
          <w:sz w:val="24"/>
          <w:lang w:eastAsia="zh-CN"/>
        </w:rPr>
        <w:t>中标人</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7C66F77">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7E344578">
      <w:pPr>
        <w:spacing w:line="560" w:lineRule="exact"/>
        <w:ind w:firstLine="482" w:firstLineChars="200"/>
        <w:outlineLvl w:val="0"/>
        <w:rPr>
          <w:rFonts w:ascii="宋体" w:hAnsi="宋体"/>
          <w:b/>
          <w:color w:val="auto"/>
          <w:sz w:val="24"/>
        </w:rPr>
      </w:pPr>
      <w:bookmarkStart w:id="473" w:name="_Toc19539"/>
      <w:bookmarkStart w:id="474" w:name="_Toc16752"/>
      <w:bookmarkStart w:id="475" w:name="_Toc28497"/>
      <w:bookmarkStart w:id="476" w:name="_Toc31402"/>
      <w:bookmarkStart w:id="477" w:name="_Toc3769"/>
      <w:bookmarkStart w:id="478" w:name="_Toc23289"/>
      <w:r>
        <w:rPr>
          <w:rFonts w:ascii="宋体" w:hAnsi="宋体"/>
          <w:b/>
          <w:color w:val="auto"/>
          <w:sz w:val="24"/>
        </w:rPr>
        <w:t>2.2 技术规范</w:t>
      </w:r>
      <w:bookmarkEnd w:id="473"/>
      <w:bookmarkEnd w:id="474"/>
      <w:bookmarkEnd w:id="475"/>
      <w:bookmarkEnd w:id="476"/>
      <w:bookmarkEnd w:id="477"/>
      <w:bookmarkEnd w:id="478"/>
    </w:p>
    <w:p w14:paraId="73495875">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0762324F">
      <w:pPr>
        <w:spacing w:line="560" w:lineRule="exact"/>
        <w:ind w:firstLine="482" w:firstLineChars="200"/>
        <w:outlineLvl w:val="0"/>
        <w:rPr>
          <w:rFonts w:ascii="宋体" w:hAnsi="宋体"/>
          <w:b/>
          <w:color w:val="auto"/>
          <w:sz w:val="24"/>
        </w:rPr>
      </w:pPr>
      <w:bookmarkStart w:id="479" w:name="_Toc13673"/>
      <w:bookmarkStart w:id="480" w:name="_Toc12412"/>
      <w:bookmarkStart w:id="481" w:name="_Toc9161"/>
      <w:bookmarkStart w:id="482" w:name="_Toc23148"/>
      <w:bookmarkStart w:id="483" w:name="_Toc27945"/>
      <w:bookmarkStart w:id="484" w:name="_Toc4133"/>
      <w:r>
        <w:rPr>
          <w:rFonts w:ascii="宋体" w:hAnsi="宋体"/>
          <w:b/>
          <w:color w:val="auto"/>
          <w:sz w:val="24"/>
        </w:rPr>
        <w:t>2.3 知识产权</w:t>
      </w:r>
      <w:bookmarkEnd w:id="479"/>
      <w:bookmarkEnd w:id="480"/>
      <w:bookmarkEnd w:id="481"/>
      <w:bookmarkEnd w:id="482"/>
      <w:bookmarkEnd w:id="483"/>
      <w:bookmarkEnd w:id="484"/>
    </w:p>
    <w:p w14:paraId="3DA2B8CE">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7765A213">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5C90C5CB">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4D3C9F0E">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12F0E415">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11EFF12A">
      <w:pPr>
        <w:spacing w:line="560" w:lineRule="exact"/>
        <w:ind w:firstLine="482" w:firstLineChars="200"/>
        <w:outlineLvl w:val="0"/>
        <w:rPr>
          <w:rFonts w:ascii="宋体" w:hAnsi="宋体"/>
          <w:b/>
          <w:color w:val="auto"/>
          <w:sz w:val="24"/>
        </w:rPr>
      </w:pPr>
      <w:bookmarkStart w:id="485" w:name="_Toc26555"/>
      <w:bookmarkStart w:id="486" w:name="_Toc22011"/>
      <w:bookmarkStart w:id="487" w:name="_Toc24392"/>
      <w:bookmarkStart w:id="488" w:name="_Toc15447"/>
      <w:bookmarkStart w:id="489" w:name="_Toc31233"/>
      <w:bookmarkStart w:id="490" w:name="_Toc32670"/>
      <w:r>
        <w:rPr>
          <w:rFonts w:ascii="宋体" w:hAnsi="宋体"/>
          <w:b/>
          <w:color w:val="auto"/>
          <w:sz w:val="24"/>
        </w:rPr>
        <w:t>2.5 结算方式和付款条件</w:t>
      </w:r>
      <w:bookmarkEnd w:id="485"/>
      <w:bookmarkEnd w:id="486"/>
      <w:bookmarkEnd w:id="487"/>
      <w:bookmarkEnd w:id="488"/>
      <w:bookmarkEnd w:id="489"/>
      <w:bookmarkEnd w:id="490"/>
    </w:p>
    <w:p w14:paraId="2EABAE1F">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54D9B775">
      <w:pPr>
        <w:spacing w:line="560" w:lineRule="exact"/>
        <w:ind w:firstLine="482" w:firstLineChars="200"/>
        <w:outlineLvl w:val="0"/>
        <w:rPr>
          <w:rFonts w:ascii="宋体" w:hAnsi="宋体"/>
          <w:b/>
          <w:color w:val="auto"/>
          <w:sz w:val="24"/>
        </w:rPr>
      </w:pPr>
      <w:bookmarkStart w:id="491" w:name="_Toc17882"/>
      <w:bookmarkStart w:id="492" w:name="_Toc30507"/>
      <w:bookmarkStart w:id="493" w:name="_Toc16163"/>
      <w:bookmarkStart w:id="494" w:name="_Toc13154"/>
      <w:bookmarkStart w:id="495" w:name="_Toc18990"/>
      <w:bookmarkStart w:id="496" w:name="_Toc13467"/>
      <w:r>
        <w:rPr>
          <w:rFonts w:ascii="宋体" w:hAnsi="宋体"/>
          <w:b/>
          <w:color w:val="auto"/>
          <w:sz w:val="24"/>
        </w:rPr>
        <w:t>2.6 技术资料和保密义务</w:t>
      </w:r>
      <w:bookmarkEnd w:id="491"/>
      <w:bookmarkEnd w:id="492"/>
      <w:bookmarkEnd w:id="493"/>
      <w:bookmarkEnd w:id="494"/>
      <w:bookmarkEnd w:id="495"/>
      <w:bookmarkEnd w:id="496"/>
    </w:p>
    <w:p w14:paraId="1408D69C">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792CFFCF">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2DA0F23A">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06092BD9">
      <w:pPr>
        <w:spacing w:line="560" w:lineRule="exact"/>
        <w:ind w:firstLine="482" w:firstLineChars="200"/>
        <w:outlineLvl w:val="0"/>
        <w:rPr>
          <w:rFonts w:ascii="宋体" w:hAnsi="宋体"/>
          <w:b/>
          <w:color w:val="auto"/>
          <w:sz w:val="24"/>
        </w:rPr>
      </w:pPr>
      <w:bookmarkStart w:id="497" w:name="_Toc19069"/>
      <w:bookmarkStart w:id="498" w:name="_Toc7075"/>
      <w:r>
        <w:rPr>
          <w:rFonts w:ascii="宋体" w:hAnsi="宋体"/>
          <w:b/>
          <w:color w:val="auto"/>
          <w:sz w:val="24"/>
        </w:rPr>
        <w:t xml:space="preserve">2.7 </w:t>
      </w:r>
      <w:r>
        <w:rPr>
          <w:rFonts w:hint="eastAsia" w:ascii="宋体" w:hAnsi="宋体"/>
          <w:b/>
          <w:color w:val="auto"/>
          <w:sz w:val="24"/>
        </w:rPr>
        <w:t>质量保证</w:t>
      </w:r>
      <w:bookmarkEnd w:id="497"/>
      <w:bookmarkEnd w:id="498"/>
    </w:p>
    <w:p w14:paraId="3FA3B215">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526CDDED">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3F8702F1">
      <w:pPr>
        <w:spacing w:line="560" w:lineRule="exact"/>
        <w:ind w:firstLine="482" w:firstLineChars="200"/>
        <w:outlineLvl w:val="0"/>
        <w:rPr>
          <w:rFonts w:ascii="宋体" w:hAnsi="宋体"/>
          <w:b/>
          <w:color w:val="auto"/>
          <w:sz w:val="24"/>
        </w:rPr>
      </w:pPr>
      <w:bookmarkStart w:id="499" w:name="_Toc763"/>
      <w:bookmarkStart w:id="500" w:name="_Toc22267"/>
    </w:p>
    <w:p w14:paraId="28BD9575">
      <w:pPr>
        <w:spacing w:line="560" w:lineRule="exact"/>
        <w:ind w:firstLine="482" w:firstLineChars="200"/>
        <w:outlineLvl w:val="0"/>
        <w:rPr>
          <w:rFonts w:ascii="宋体" w:hAnsi="宋体"/>
          <w:b/>
          <w:color w:val="auto"/>
          <w:sz w:val="24"/>
        </w:rPr>
      </w:pPr>
      <w:r>
        <w:rPr>
          <w:rFonts w:ascii="宋体" w:hAnsi="宋体"/>
          <w:b/>
          <w:color w:val="auto"/>
          <w:sz w:val="24"/>
        </w:rPr>
        <w:t xml:space="preserve">2.8 </w:t>
      </w:r>
      <w:r>
        <w:rPr>
          <w:rFonts w:hint="eastAsia" w:ascii="宋体" w:hAnsi="宋体"/>
          <w:b/>
          <w:color w:val="auto"/>
          <w:sz w:val="24"/>
        </w:rPr>
        <w:t>延迟履行</w:t>
      </w:r>
      <w:bookmarkEnd w:id="499"/>
      <w:bookmarkEnd w:id="500"/>
    </w:p>
    <w:p w14:paraId="0168595E">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0FAD6A9E">
      <w:pPr>
        <w:spacing w:line="560" w:lineRule="exact"/>
        <w:ind w:firstLine="482" w:firstLineChars="200"/>
        <w:outlineLvl w:val="0"/>
        <w:rPr>
          <w:rFonts w:ascii="宋体" w:hAnsi="宋体"/>
          <w:b/>
          <w:color w:val="auto"/>
          <w:sz w:val="24"/>
        </w:rPr>
      </w:pPr>
      <w:bookmarkStart w:id="501" w:name="_Toc17230"/>
      <w:bookmarkStart w:id="502" w:name="_Toc10611"/>
      <w:r>
        <w:rPr>
          <w:rFonts w:ascii="宋体" w:hAnsi="宋体"/>
          <w:b/>
          <w:color w:val="auto"/>
          <w:sz w:val="24"/>
        </w:rPr>
        <w:t xml:space="preserve">2.9 </w:t>
      </w:r>
      <w:r>
        <w:rPr>
          <w:rFonts w:hint="eastAsia" w:ascii="宋体" w:hAnsi="宋体"/>
          <w:b/>
          <w:color w:val="auto"/>
          <w:sz w:val="24"/>
        </w:rPr>
        <w:t>合同变更</w:t>
      </w:r>
      <w:bookmarkEnd w:id="501"/>
      <w:bookmarkEnd w:id="502"/>
    </w:p>
    <w:p w14:paraId="4FD457FC">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71F9F27C">
      <w:pPr>
        <w:spacing w:line="560" w:lineRule="exact"/>
        <w:ind w:firstLine="482" w:firstLineChars="200"/>
        <w:outlineLvl w:val="0"/>
        <w:rPr>
          <w:rFonts w:ascii="宋体" w:hAnsi="宋体"/>
          <w:b/>
          <w:color w:val="auto"/>
          <w:sz w:val="24"/>
        </w:rPr>
      </w:pPr>
      <w:bookmarkStart w:id="503" w:name="_Toc26689"/>
      <w:bookmarkStart w:id="504" w:name="_Toc10663"/>
      <w:bookmarkStart w:id="505" w:name="_Toc19952"/>
      <w:bookmarkStart w:id="506" w:name="_Toc23368"/>
      <w:bookmarkStart w:id="507" w:name="_Toc42"/>
      <w:bookmarkStart w:id="508" w:name="_Toc21830"/>
      <w:r>
        <w:rPr>
          <w:rFonts w:ascii="宋体" w:hAnsi="宋体"/>
          <w:b/>
          <w:color w:val="auto"/>
          <w:sz w:val="24"/>
        </w:rPr>
        <w:t>2.10 合同转让和分包</w:t>
      </w:r>
      <w:bookmarkEnd w:id="503"/>
      <w:bookmarkEnd w:id="504"/>
      <w:bookmarkEnd w:id="505"/>
      <w:bookmarkEnd w:id="506"/>
      <w:bookmarkEnd w:id="507"/>
      <w:bookmarkEnd w:id="508"/>
    </w:p>
    <w:p w14:paraId="3908C73C">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327A74BB">
      <w:pPr>
        <w:spacing w:line="560" w:lineRule="exact"/>
        <w:ind w:firstLine="482" w:firstLineChars="200"/>
        <w:outlineLvl w:val="0"/>
        <w:rPr>
          <w:rFonts w:ascii="宋体" w:hAnsi="宋体"/>
          <w:b/>
          <w:color w:val="auto"/>
          <w:sz w:val="24"/>
        </w:rPr>
      </w:pPr>
      <w:bookmarkStart w:id="509" w:name="_Toc32494"/>
      <w:bookmarkStart w:id="510" w:name="_Toc4720"/>
      <w:bookmarkStart w:id="511" w:name="_Toc25571"/>
      <w:bookmarkStart w:id="512" w:name="_Toc32549"/>
      <w:bookmarkStart w:id="513" w:name="_Toc14371"/>
      <w:bookmarkStart w:id="514" w:name="_Toc26633"/>
      <w:r>
        <w:rPr>
          <w:rFonts w:ascii="宋体" w:hAnsi="宋体"/>
          <w:b/>
          <w:color w:val="auto"/>
          <w:sz w:val="24"/>
        </w:rPr>
        <w:t>2.11 不可抗力</w:t>
      </w:r>
      <w:bookmarkEnd w:id="509"/>
      <w:bookmarkEnd w:id="510"/>
      <w:bookmarkEnd w:id="511"/>
      <w:bookmarkEnd w:id="512"/>
      <w:bookmarkEnd w:id="513"/>
      <w:bookmarkEnd w:id="514"/>
    </w:p>
    <w:p w14:paraId="1F9A7087">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45DAEE0C">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65295E52">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51CB1105">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3A5B255D">
      <w:pPr>
        <w:spacing w:line="560" w:lineRule="exact"/>
        <w:ind w:firstLine="482" w:firstLineChars="200"/>
        <w:outlineLvl w:val="0"/>
        <w:rPr>
          <w:rFonts w:ascii="宋体" w:hAnsi="宋体"/>
          <w:b/>
          <w:color w:val="auto"/>
          <w:sz w:val="24"/>
        </w:rPr>
      </w:pPr>
      <w:bookmarkStart w:id="515" w:name="_Toc3638"/>
      <w:bookmarkStart w:id="516" w:name="_Toc14115"/>
      <w:bookmarkStart w:id="517" w:name="_Toc7268"/>
      <w:bookmarkStart w:id="518" w:name="_Toc23854"/>
      <w:bookmarkStart w:id="519" w:name="_Toc24465"/>
      <w:bookmarkStart w:id="520" w:name="_Toc25783"/>
      <w:r>
        <w:rPr>
          <w:rFonts w:ascii="宋体" w:hAnsi="宋体"/>
          <w:b/>
          <w:color w:val="auto"/>
          <w:sz w:val="24"/>
        </w:rPr>
        <w:t>2.12 税费</w:t>
      </w:r>
      <w:bookmarkEnd w:id="515"/>
      <w:bookmarkEnd w:id="516"/>
      <w:bookmarkEnd w:id="517"/>
      <w:bookmarkEnd w:id="518"/>
      <w:bookmarkEnd w:id="519"/>
      <w:bookmarkEnd w:id="520"/>
    </w:p>
    <w:p w14:paraId="53C7BA12">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1006A61B">
      <w:pPr>
        <w:spacing w:line="560" w:lineRule="exact"/>
        <w:ind w:firstLine="482" w:firstLineChars="200"/>
        <w:outlineLvl w:val="0"/>
        <w:rPr>
          <w:rFonts w:ascii="宋体" w:hAnsi="宋体"/>
          <w:b/>
          <w:color w:val="auto"/>
          <w:sz w:val="24"/>
        </w:rPr>
      </w:pPr>
      <w:bookmarkStart w:id="521" w:name="_Toc26883"/>
      <w:bookmarkStart w:id="522" w:name="_Toc1405"/>
      <w:bookmarkStart w:id="523" w:name="_Toc25525"/>
      <w:bookmarkStart w:id="524" w:name="_Toc14814"/>
      <w:bookmarkStart w:id="525" w:name="_Toc7315"/>
      <w:bookmarkStart w:id="526" w:name="_Toc30105"/>
      <w:r>
        <w:rPr>
          <w:rFonts w:ascii="宋体" w:hAnsi="宋体"/>
          <w:b/>
          <w:color w:val="auto"/>
          <w:sz w:val="24"/>
        </w:rPr>
        <w:t>2.13 乙方破产</w:t>
      </w:r>
      <w:bookmarkEnd w:id="521"/>
      <w:bookmarkEnd w:id="522"/>
      <w:bookmarkEnd w:id="523"/>
      <w:bookmarkEnd w:id="524"/>
      <w:bookmarkEnd w:id="525"/>
      <w:bookmarkEnd w:id="526"/>
    </w:p>
    <w:p w14:paraId="38628A92">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01D546CF">
      <w:pPr>
        <w:spacing w:line="560" w:lineRule="exact"/>
        <w:ind w:firstLine="482" w:firstLineChars="200"/>
        <w:outlineLvl w:val="0"/>
        <w:rPr>
          <w:rFonts w:ascii="宋体" w:hAnsi="宋体"/>
          <w:b/>
          <w:color w:val="auto"/>
          <w:sz w:val="24"/>
        </w:rPr>
      </w:pPr>
      <w:bookmarkStart w:id="527" w:name="_Toc2016"/>
      <w:bookmarkStart w:id="528" w:name="_Toc23323"/>
      <w:bookmarkStart w:id="529" w:name="_Toc19810"/>
      <w:bookmarkStart w:id="530" w:name="_Toc1123"/>
      <w:r>
        <w:rPr>
          <w:rFonts w:ascii="宋体" w:hAnsi="宋体"/>
          <w:b/>
          <w:color w:val="auto"/>
          <w:sz w:val="24"/>
        </w:rPr>
        <w:t>2.14 合同中止、终止</w:t>
      </w:r>
      <w:bookmarkEnd w:id="527"/>
      <w:bookmarkEnd w:id="528"/>
      <w:bookmarkEnd w:id="529"/>
      <w:bookmarkEnd w:id="530"/>
    </w:p>
    <w:p w14:paraId="112ABDB3">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4D94C53C">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5C849A83">
      <w:pPr>
        <w:spacing w:line="560" w:lineRule="exact"/>
        <w:ind w:firstLine="482" w:firstLineChars="200"/>
        <w:outlineLvl w:val="0"/>
        <w:rPr>
          <w:rFonts w:ascii="宋体" w:hAnsi="宋体"/>
          <w:b/>
          <w:color w:val="auto"/>
          <w:sz w:val="24"/>
        </w:rPr>
      </w:pPr>
      <w:bookmarkStart w:id="531" w:name="_Toc23318"/>
      <w:bookmarkStart w:id="532" w:name="_Toc17363"/>
      <w:bookmarkStart w:id="533" w:name="_Toc1969"/>
      <w:bookmarkStart w:id="534" w:name="_Toc14525"/>
      <w:r>
        <w:rPr>
          <w:rFonts w:ascii="宋体" w:hAnsi="宋体"/>
          <w:b/>
          <w:color w:val="auto"/>
          <w:sz w:val="24"/>
        </w:rPr>
        <w:t>2.15 检验和验收</w:t>
      </w:r>
      <w:bookmarkEnd w:id="531"/>
      <w:bookmarkEnd w:id="532"/>
      <w:bookmarkEnd w:id="533"/>
      <w:bookmarkEnd w:id="534"/>
    </w:p>
    <w:p w14:paraId="465BBC78">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69015651">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6F5F96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43F72D78">
      <w:pPr>
        <w:spacing w:line="560" w:lineRule="exact"/>
        <w:ind w:firstLine="482" w:firstLineChars="200"/>
        <w:outlineLvl w:val="0"/>
        <w:rPr>
          <w:rFonts w:ascii="宋体" w:hAnsi="宋体"/>
          <w:b/>
          <w:color w:val="auto"/>
          <w:sz w:val="24"/>
        </w:rPr>
      </w:pPr>
      <w:bookmarkStart w:id="535" w:name="_Toc9808"/>
      <w:bookmarkStart w:id="536" w:name="_Toc12666"/>
      <w:bookmarkStart w:id="537" w:name="_Toc25198"/>
      <w:bookmarkStart w:id="538" w:name="_Toc31892"/>
      <w:bookmarkStart w:id="539" w:name="_Toc29953"/>
      <w:bookmarkStart w:id="540" w:name="_Toc2308"/>
      <w:r>
        <w:rPr>
          <w:rFonts w:ascii="宋体" w:hAnsi="宋体"/>
          <w:b/>
          <w:color w:val="auto"/>
          <w:sz w:val="24"/>
        </w:rPr>
        <w:t>2.16 通知和送达</w:t>
      </w:r>
      <w:bookmarkEnd w:id="535"/>
      <w:bookmarkEnd w:id="536"/>
      <w:bookmarkEnd w:id="537"/>
      <w:bookmarkEnd w:id="538"/>
      <w:bookmarkEnd w:id="539"/>
      <w:bookmarkEnd w:id="540"/>
    </w:p>
    <w:p w14:paraId="28D37FE2">
      <w:pPr>
        <w:spacing w:line="560" w:lineRule="exact"/>
        <w:ind w:firstLine="480" w:firstLineChars="200"/>
        <w:rPr>
          <w:rFonts w:ascii="宋体" w:hAnsi="宋体"/>
          <w:color w:val="auto"/>
          <w:sz w:val="24"/>
        </w:rPr>
      </w:pPr>
      <w:bookmarkStart w:id="541" w:name="_Toc18401"/>
      <w:bookmarkStart w:id="542"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37C068CB">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541"/>
      <w:bookmarkEnd w:id="542"/>
    </w:p>
    <w:p w14:paraId="0A6372BD">
      <w:pPr>
        <w:spacing w:line="560" w:lineRule="exact"/>
        <w:ind w:firstLine="482" w:firstLineChars="200"/>
        <w:outlineLvl w:val="0"/>
        <w:rPr>
          <w:rFonts w:ascii="宋体" w:hAnsi="宋体"/>
          <w:b/>
          <w:color w:val="auto"/>
          <w:sz w:val="24"/>
        </w:rPr>
      </w:pPr>
      <w:bookmarkStart w:id="543" w:name="_Toc28906"/>
      <w:bookmarkStart w:id="544" w:name="_Toc12254"/>
      <w:bookmarkStart w:id="545" w:name="_Toc27644"/>
      <w:bookmarkStart w:id="546" w:name="_Toc5063"/>
      <w:bookmarkStart w:id="547" w:name="_Toc20808"/>
      <w:bookmarkStart w:id="548" w:name="_Toc1756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43"/>
      <w:bookmarkEnd w:id="544"/>
      <w:bookmarkEnd w:id="545"/>
      <w:bookmarkEnd w:id="546"/>
      <w:bookmarkEnd w:id="547"/>
      <w:bookmarkEnd w:id="548"/>
    </w:p>
    <w:p w14:paraId="6C0572AD">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56400C76">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014C1FD2">
      <w:pPr>
        <w:spacing w:line="560" w:lineRule="exact"/>
        <w:ind w:firstLine="482" w:firstLineChars="200"/>
        <w:outlineLvl w:val="0"/>
        <w:rPr>
          <w:rFonts w:ascii="宋体" w:hAnsi="宋体" w:cs="宋体"/>
          <w:b/>
          <w:color w:val="auto"/>
          <w:sz w:val="24"/>
        </w:rPr>
      </w:pPr>
      <w:bookmarkStart w:id="549" w:name="_Toc2665"/>
      <w:bookmarkStart w:id="550" w:name="_Toc4355"/>
      <w:bookmarkStart w:id="551" w:name="_Toc30599"/>
      <w:bookmarkStart w:id="552" w:name="_Toc18540"/>
      <w:r>
        <w:rPr>
          <w:rFonts w:hint="eastAsia" w:ascii="宋体" w:hAnsi="宋体" w:cs="宋体"/>
          <w:b/>
          <w:color w:val="auto"/>
          <w:sz w:val="24"/>
        </w:rPr>
        <w:t>2.18 计量单位</w:t>
      </w:r>
      <w:bookmarkEnd w:id="549"/>
      <w:bookmarkEnd w:id="550"/>
      <w:bookmarkEnd w:id="551"/>
      <w:bookmarkEnd w:id="552"/>
    </w:p>
    <w:p w14:paraId="4CAEF57C">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0797DF35">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78628BAA">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0CE3CF13">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53" w:name="_Toc331685784"/>
      <w:r>
        <w:rPr>
          <w:rFonts w:hint="eastAsia" w:ascii="宋体" w:hAnsi="宋体" w:cs="宋体"/>
          <w:b/>
          <w:color w:val="auto"/>
          <w:sz w:val="24"/>
        </w:rPr>
        <w:t xml:space="preserve"> </w:t>
      </w:r>
      <w:bookmarkEnd w:id="553"/>
      <w:bookmarkStart w:id="554" w:name="_Toc13591"/>
      <w:r>
        <w:rPr>
          <w:rFonts w:hint="eastAsia" w:ascii="宋体" w:hAnsi="宋体" w:cs="宋体"/>
          <w:b/>
          <w:color w:val="auto"/>
          <w:sz w:val="24"/>
        </w:rPr>
        <w:t>第三部分  合同专用条款</w:t>
      </w:r>
      <w:bookmarkEnd w:id="554"/>
    </w:p>
    <w:p w14:paraId="41E13709">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F458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822975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3CB55D0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ascii="宋体" w:hAnsi="宋体" w:cs="宋体"/>
                <w:b/>
                <w:color w:val="auto"/>
                <w:sz w:val="24"/>
              </w:rPr>
            </w:pPr>
            <w:r>
              <w:rPr>
                <w:rFonts w:hint="eastAsia" w:ascii="宋体" w:hAnsi="宋体" w:cs="宋体"/>
                <w:b/>
                <w:color w:val="auto"/>
                <w:sz w:val="24"/>
              </w:rPr>
              <w:t>约定内容</w:t>
            </w:r>
          </w:p>
        </w:tc>
      </w:tr>
      <w:tr w14:paraId="48B99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97C16">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1.3.2</w:t>
            </w:r>
          </w:p>
        </w:tc>
        <w:tc>
          <w:tcPr>
            <w:tcW w:w="4464" w:type="pct"/>
            <w:vAlign w:val="center"/>
          </w:tcPr>
          <w:p w14:paraId="42DE4754">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w:t>
            </w:r>
          </w:p>
        </w:tc>
      </w:tr>
      <w:tr w14:paraId="120F3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E0B22C">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1.4.2</w:t>
            </w:r>
          </w:p>
        </w:tc>
        <w:tc>
          <w:tcPr>
            <w:tcW w:w="4464" w:type="pct"/>
            <w:vAlign w:val="center"/>
          </w:tcPr>
          <w:p w14:paraId="2015B74F">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w:t>
            </w:r>
          </w:p>
        </w:tc>
      </w:tr>
      <w:tr w14:paraId="0F4B5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D9D072">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09E1335F">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olor w:val="auto"/>
                <w:sz w:val="24"/>
                <w:lang w:val="en-US" w:eastAsia="zh-CN"/>
              </w:rPr>
              <w:t>在合同生效以及具备实施条件后7个工作日内支付合同金额30%的作为预付款；（若在签订合同时，中标人明确表示无需预付款的，采购人可不予支付预付款。预付款支付约定以合同中约定为准。）</w:t>
            </w:r>
          </w:p>
        </w:tc>
      </w:tr>
      <w:tr w14:paraId="02217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C28764">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1.5.2</w:t>
            </w:r>
          </w:p>
        </w:tc>
        <w:tc>
          <w:tcPr>
            <w:tcW w:w="4464" w:type="pct"/>
            <w:vAlign w:val="center"/>
          </w:tcPr>
          <w:p w14:paraId="59FA7D0B">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w:t>
            </w:r>
          </w:p>
        </w:tc>
      </w:tr>
      <w:tr w14:paraId="60020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DCFA5F">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604A0BE6">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w:t>
            </w:r>
          </w:p>
        </w:tc>
      </w:tr>
      <w:tr w14:paraId="5F295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F942AC">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1.6.2</w:t>
            </w:r>
          </w:p>
        </w:tc>
        <w:tc>
          <w:tcPr>
            <w:tcW w:w="4464" w:type="pct"/>
            <w:vAlign w:val="center"/>
          </w:tcPr>
          <w:p w14:paraId="3D67C9C3">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1.在合同生效以及具备实施条件后7个工作日内支付合同金额30%的作为预付款；（若在签订合同时，中标人明确表示无需预付款的，采购人可不予支付预付款。预付款支付约定以合同中约定为准。）</w:t>
            </w:r>
          </w:p>
          <w:p w14:paraId="09BE469D">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lang w:val="en-US" w:eastAsia="zh-CN"/>
              </w:rPr>
              <w:t>2.按月考核，按季度支付；根据季度内三个月考核分数核算每个月应支付服务费用后支付该季度的服务费用。（先从预付款中扣除相应金额，待预付款抵扣完后再另行按实支付）</w:t>
            </w:r>
          </w:p>
        </w:tc>
      </w:tr>
      <w:tr w14:paraId="0C67E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DE125F">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1.7.1</w:t>
            </w:r>
          </w:p>
        </w:tc>
        <w:tc>
          <w:tcPr>
            <w:tcW w:w="4464" w:type="pct"/>
            <w:vAlign w:val="center"/>
          </w:tcPr>
          <w:p w14:paraId="12CA8D1C">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lang w:val="en-US" w:eastAsia="zh-CN"/>
              </w:rPr>
              <w:t>三年，合同一年一签。采购人根据中标人上一年度的合同履约、考核及财政资金审批情况决定是否续签。</w:t>
            </w:r>
          </w:p>
        </w:tc>
      </w:tr>
      <w:tr w14:paraId="620F1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8C83A7">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1.7.2</w:t>
            </w:r>
          </w:p>
        </w:tc>
        <w:tc>
          <w:tcPr>
            <w:tcW w:w="4464" w:type="pct"/>
            <w:vAlign w:val="center"/>
          </w:tcPr>
          <w:p w14:paraId="5D2021D8">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p>
        </w:tc>
      </w:tr>
      <w:tr w14:paraId="127AB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165894">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1.7.3</w:t>
            </w:r>
          </w:p>
        </w:tc>
        <w:tc>
          <w:tcPr>
            <w:tcW w:w="4464" w:type="pct"/>
            <w:vAlign w:val="center"/>
          </w:tcPr>
          <w:p w14:paraId="37B456D5">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p>
        </w:tc>
      </w:tr>
      <w:tr w14:paraId="468EC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7A9E45">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1.7.4.1</w:t>
            </w:r>
          </w:p>
        </w:tc>
        <w:tc>
          <w:tcPr>
            <w:tcW w:w="4464" w:type="pct"/>
            <w:vAlign w:val="center"/>
          </w:tcPr>
          <w:p w14:paraId="4D6948BB">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w:t>
            </w:r>
          </w:p>
        </w:tc>
      </w:tr>
      <w:tr w14:paraId="38724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4" w:hRule="atLeast"/>
        </w:trPr>
        <w:tc>
          <w:tcPr>
            <w:tcW w:w="535" w:type="pct"/>
            <w:tcBorders>
              <w:left w:val="single" w:color="auto" w:sz="4" w:space="0"/>
            </w:tcBorders>
            <w:vAlign w:val="center"/>
          </w:tcPr>
          <w:p w14:paraId="47D188C3">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1.7.4.2</w:t>
            </w:r>
          </w:p>
        </w:tc>
        <w:tc>
          <w:tcPr>
            <w:tcW w:w="4464" w:type="pct"/>
            <w:vAlign w:val="center"/>
          </w:tcPr>
          <w:p w14:paraId="00BEFC69">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p>
        </w:tc>
      </w:tr>
      <w:tr w14:paraId="5110B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974D91">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1.7.4.3</w:t>
            </w:r>
          </w:p>
        </w:tc>
        <w:tc>
          <w:tcPr>
            <w:tcW w:w="4464" w:type="pct"/>
            <w:vAlign w:val="center"/>
          </w:tcPr>
          <w:p w14:paraId="6BE27501">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p>
        </w:tc>
      </w:tr>
      <w:tr w14:paraId="04F53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7CAC160F">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1.8.7</w:t>
            </w:r>
          </w:p>
        </w:tc>
        <w:tc>
          <w:tcPr>
            <w:tcW w:w="4464" w:type="pct"/>
            <w:vAlign w:val="center"/>
          </w:tcPr>
          <w:p w14:paraId="018BD90E">
            <w:pPr>
              <w:keepNext w:val="0"/>
              <w:keepLines w:val="0"/>
              <w:pageBreakBefore w:val="0"/>
              <w:widowControl w:val="0"/>
              <w:kinsoku/>
              <w:wordWrap/>
              <w:overflowPunct/>
              <w:topLinePunct w:val="0"/>
              <w:autoSpaceDE/>
              <w:autoSpaceDN/>
              <w:bidi w:val="0"/>
              <w:adjustRightInd w:val="0"/>
              <w:snapToGrid/>
              <w:spacing w:line="312" w:lineRule="auto"/>
              <w:textAlignment w:val="auto"/>
              <w:rPr>
                <w:color w:val="auto"/>
              </w:rPr>
            </w:pPr>
            <w:r>
              <w:rPr>
                <w:rFonts w:hint="eastAsia" w:ascii="宋体" w:hAnsi="宋体" w:cs="宋体"/>
                <w:color w:val="auto"/>
                <w:sz w:val="24"/>
              </w:rPr>
              <w:t>/</w:t>
            </w:r>
          </w:p>
        </w:tc>
      </w:tr>
      <w:tr w14:paraId="3F110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789425">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1.9.1</w:t>
            </w:r>
          </w:p>
        </w:tc>
        <w:tc>
          <w:tcPr>
            <w:tcW w:w="4464" w:type="pct"/>
            <w:vAlign w:val="center"/>
          </w:tcPr>
          <w:p w14:paraId="55F4DA6C">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宁波市</w:t>
            </w:r>
          </w:p>
        </w:tc>
      </w:tr>
      <w:tr w14:paraId="29047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9B1949">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1.9.2</w:t>
            </w:r>
          </w:p>
        </w:tc>
        <w:tc>
          <w:tcPr>
            <w:tcW w:w="4464" w:type="pct"/>
            <w:vAlign w:val="center"/>
          </w:tcPr>
          <w:p w14:paraId="1D5B1756">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宁波市海曙区</w:t>
            </w:r>
          </w:p>
        </w:tc>
      </w:tr>
      <w:tr w14:paraId="7250C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EDEB2C">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2.3.2</w:t>
            </w:r>
          </w:p>
        </w:tc>
        <w:tc>
          <w:tcPr>
            <w:tcW w:w="4464" w:type="pct"/>
            <w:vAlign w:val="center"/>
          </w:tcPr>
          <w:p w14:paraId="390654F9">
            <w:pPr>
              <w:keepNext w:val="0"/>
              <w:keepLines w:val="0"/>
              <w:pageBreakBefore w:val="0"/>
              <w:widowControl w:val="0"/>
              <w:kinsoku/>
              <w:wordWrap/>
              <w:overflowPunct/>
              <w:topLinePunct w:val="0"/>
              <w:autoSpaceDE/>
              <w:autoSpaceDN/>
              <w:bidi w:val="0"/>
              <w:adjustRightInd w:val="0"/>
              <w:snapToGrid/>
              <w:spacing w:line="312" w:lineRule="auto"/>
              <w:ind w:left="-420" w:leftChars="-200" w:right="-420" w:rightChars="-200" w:firstLine="480" w:firstLineChars="200"/>
              <w:textAlignment w:val="auto"/>
              <w:rPr>
                <w:rFonts w:ascii="宋体" w:hAnsi="宋体" w:cs="宋体"/>
                <w:color w:val="auto"/>
                <w:sz w:val="24"/>
              </w:rPr>
            </w:pPr>
            <w:r>
              <w:rPr>
                <w:rFonts w:hint="eastAsia" w:ascii="宋体" w:hAnsi="宋体" w:cs="宋体"/>
                <w:color w:val="auto"/>
                <w:sz w:val="24"/>
              </w:rPr>
              <w:t>/</w:t>
            </w:r>
          </w:p>
        </w:tc>
      </w:tr>
      <w:tr w14:paraId="0E177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2088EC">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3365A5B0">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w:t>
            </w:r>
          </w:p>
        </w:tc>
      </w:tr>
      <w:tr w14:paraId="20CB1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43F1C3">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1F54E5C1">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30日内</w:t>
            </w:r>
          </w:p>
        </w:tc>
      </w:tr>
      <w:tr w14:paraId="339B7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A961D73">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3EF132C3">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30日内</w:t>
            </w:r>
          </w:p>
        </w:tc>
      </w:tr>
      <w:tr w14:paraId="5C707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2A4484">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2B6191CE">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招标文件</w:t>
            </w:r>
          </w:p>
        </w:tc>
      </w:tr>
      <w:tr w14:paraId="1BB5B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D23EC6">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2ECEC91B">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w:t>
            </w:r>
          </w:p>
        </w:tc>
      </w:tr>
      <w:tr w14:paraId="0E9D5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3264771">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hint="eastAsia" w:ascii="宋体" w:hAnsi="宋体" w:cs="宋体"/>
                <w:color w:val="auto"/>
                <w:sz w:val="24"/>
              </w:rPr>
              <w:t>2.19</w:t>
            </w:r>
          </w:p>
        </w:tc>
        <w:tc>
          <w:tcPr>
            <w:tcW w:w="4464" w:type="pct"/>
          </w:tcPr>
          <w:p w14:paraId="0E8EC133">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color w:val="auto"/>
                <w:sz w:val="24"/>
              </w:rPr>
            </w:pPr>
            <w:r>
              <w:rPr>
                <w:rFonts w:ascii="宋体" w:hAnsi="宋体" w:cs="宋体"/>
                <w:color w:val="auto"/>
                <w:sz w:val="24"/>
              </w:rPr>
              <w:t>一式</w:t>
            </w:r>
            <w:r>
              <w:rPr>
                <w:rFonts w:hint="eastAsia" w:ascii="宋体" w:hAnsi="宋体" w:cs="宋体"/>
                <w:color w:val="auto"/>
                <w:sz w:val="24"/>
                <w:u w:val="single"/>
              </w:rPr>
              <w:t xml:space="preserve">  </w:t>
            </w:r>
            <w:r>
              <w:rPr>
                <w:rFonts w:ascii="宋体" w:hAnsi="宋体" w:cs="宋体"/>
                <w:color w:val="auto"/>
                <w:sz w:val="24"/>
              </w:rPr>
              <w:t>份</w:t>
            </w:r>
            <w:r>
              <w:rPr>
                <w:rFonts w:hint="eastAsia" w:ascii="宋体" w:hAnsi="宋体" w:cs="宋体"/>
                <w:color w:val="auto"/>
                <w:sz w:val="24"/>
              </w:rPr>
              <w:t>，</w:t>
            </w:r>
            <w:r>
              <w:rPr>
                <w:rFonts w:ascii="宋体" w:hAnsi="宋体" w:cs="宋体"/>
                <w:color w:val="auto"/>
                <w:sz w:val="24"/>
              </w:rPr>
              <w:t>双方各</w:t>
            </w:r>
            <w:r>
              <w:rPr>
                <w:rFonts w:hint="eastAsia" w:ascii="宋体" w:hAnsi="宋体" w:cs="宋体"/>
                <w:color w:val="auto"/>
                <w:sz w:val="24"/>
              </w:rPr>
              <w:t>执</w:t>
            </w:r>
            <w:r>
              <w:rPr>
                <w:rFonts w:hint="eastAsia" w:ascii="宋体" w:hAnsi="宋体" w:cs="宋体"/>
                <w:color w:val="auto"/>
                <w:sz w:val="24"/>
                <w:u w:val="single"/>
              </w:rPr>
              <w:t xml:space="preserve">  </w:t>
            </w:r>
            <w:r>
              <w:rPr>
                <w:rFonts w:hint="eastAsia" w:ascii="宋体" w:hAnsi="宋体" w:cs="宋体"/>
                <w:color w:val="auto"/>
                <w:sz w:val="24"/>
              </w:rPr>
              <w:t>份。</w:t>
            </w:r>
          </w:p>
        </w:tc>
      </w:tr>
    </w:tbl>
    <w:p w14:paraId="39F70C6B">
      <w:pPr>
        <w:widowControl/>
        <w:adjustRightInd/>
        <w:jc w:val="center"/>
        <w:rPr>
          <w:rFonts w:ascii="宋体" w:hAnsi="宋体" w:cs="宋体"/>
          <w:b/>
          <w:color w:val="auto"/>
          <w:sz w:val="36"/>
          <w:szCs w:val="20"/>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2C57B86">
      <w:pPr>
        <w:widowControl/>
        <w:adjustRightInd/>
        <w:jc w:val="center"/>
        <w:outlineLvl w:val="0"/>
        <w:rPr>
          <w:rFonts w:ascii="宋体" w:hAnsi="宋体" w:cs="宋体"/>
          <w:b/>
          <w:color w:val="auto"/>
          <w:sz w:val="36"/>
          <w:szCs w:val="20"/>
        </w:rPr>
      </w:pPr>
      <w:bookmarkStart w:id="555" w:name="_Toc13049"/>
      <w:r>
        <w:rPr>
          <w:rFonts w:hint="eastAsia" w:ascii="宋体" w:hAnsi="宋体" w:cs="宋体"/>
          <w:b/>
          <w:color w:val="auto"/>
          <w:sz w:val="36"/>
          <w:szCs w:val="20"/>
        </w:rPr>
        <w:t>第六部分</w:t>
      </w:r>
      <w:bookmarkEnd w:id="408"/>
      <w:r>
        <w:rPr>
          <w:rFonts w:hint="eastAsia" w:ascii="宋体" w:hAnsi="宋体" w:cs="宋体"/>
          <w:b/>
          <w:color w:val="auto"/>
          <w:sz w:val="36"/>
          <w:szCs w:val="20"/>
        </w:rPr>
        <w:t xml:space="preserve"> </w:t>
      </w:r>
      <w:bookmarkEnd w:id="409"/>
      <w:r>
        <w:rPr>
          <w:rFonts w:hint="eastAsia" w:ascii="宋体" w:hAnsi="宋体" w:cs="宋体"/>
          <w:b/>
          <w:color w:val="auto"/>
          <w:sz w:val="36"/>
          <w:szCs w:val="20"/>
        </w:rPr>
        <w:t>应提交的有关格式范例</w:t>
      </w:r>
      <w:bookmarkEnd w:id="555"/>
    </w:p>
    <w:p w14:paraId="32E716C6">
      <w:pPr>
        <w:spacing w:line="360" w:lineRule="auto"/>
        <w:jc w:val="center"/>
        <w:rPr>
          <w:rFonts w:ascii="宋体" w:hAnsi="宋体" w:cs="宋体"/>
          <w:b/>
          <w:color w:val="auto"/>
          <w:kern w:val="0"/>
          <w:sz w:val="36"/>
          <w:szCs w:val="36"/>
        </w:rPr>
      </w:pPr>
    </w:p>
    <w:p w14:paraId="72DCC2C5">
      <w:pPr>
        <w:spacing w:line="360" w:lineRule="auto"/>
        <w:jc w:val="center"/>
        <w:outlineLvl w:val="0"/>
        <w:rPr>
          <w:rFonts w:ascii="宋体" w:hAnsi="宋体" w:cs="宋体"/>
          <w:b/>
          <w:color w:val="auto"/>
          <w:kern w:val="0"/>
          <w:sz w:val="36"/>
          <w:szCs w:val="36"/>
        </w:rPr>
      </w:pPr>
      <w:bookmarkStart w:id="556" w:name="_Toc10497"/>
      <w:r>
        <w:rPr>
          <w:rFonts w:hint="eastAsia" w:ascii="宋体" w:hAnsi="宋体" w:cs="宋体"/>
          <w:b/>
          <w:color w:val="auto"/>
          <w:kern w:val="0"/>
          <w:sz w:val="36"/>
          <w:szCs w:val="36"/>
        </w:rPr>
        <w:t>资格文件部分</w:t>
      </w:r>
      <w:bookmarkEnd w:id="556"/>
    </w:p>
    <w:p w14:paraId="51A98FB4">
      <w:pPr>
        <w:spacing w:line="360" w:lineRule="auto"/>
        <w:jc w:val="center"/>
        <w:outlineLvl w:val="0"/>
        <w:rPr>
          <w:rFonts w:ascii="宋体" w:hAnsi="宋体" w:cs="宋体"/>
          <w:b/>
          <w:color w:val="auto"/>
          <w:kern w:val="0"/>
          <w:sz w:val="36"/>
          <w:szCs w:val="36"/>
        </w:rPr>
      </w:pPr>
      <w:bookmarkStart w:id="557" w:name="_Toc31634"/>
      <w:r>
        <w:rPr>
          <w:rFonts w:hint="eastAsia" w:ascii="宋体" w:hAnsi="宋体" w:cs="宋体"/>
          <w:b/>
          <w:color w:val="auto"/>
          <w:kern w:val="0"/>
          <w:sz w:val="36"/>
          <w:szCs w:val="36"/>
        </w:rPr>
        <w:t>目录</w:t>
      </w:r>
      <w:bookmarkEnd w:id="557"/>
    </w:p>
    <w:p w14:paraId="5EC5044C">
      <w:pPr>
        <w:spacing w:line="360" w:lineRule="auto"/>
        <w:jc w:val="center"/>
        <w:rPr>
          <w:rFonts w:ascii="宋体" w:hAnsi="宋体" w:cs="宋体"/>
          <w:b/>
          <w:color w:val="auto"/>
          <w:kern w:val="0"/>
          <w:sz w:val="36"/>
          <w:szCs w:val="36"/>
        </w:rPr>
      </w:pPr>
    </w:p>
    <w:p w14:paraId="59561076">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1299F35B">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71BD367D">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38C54B2D">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449E4435">
      <w:pPr>
        <w:pStyle w:val="24"/>
        <w:ind w:left="0" w:leftChars="0" w:firstLine="0" w:firstLineChars="0"/>
        <w:rPr>
          <w:rFonts w:hint="eastAsia"/>
        </w:rPr>
      </w:pPr>
      <w:r>
        <w:rPr>
          <w:rFonts w:hint="eastAsia"/>
        </w:rPr>
        <w:t>（</w:t>
      </w:r>
      <w:r>
        <w:rPr>
          <w:rFonts w:hint="eastAsia"/>
          <w:lang w:val="en-US" w:eastAsia="zh-CN"/>
        </w:rPr>
        <w:t>5</w:t>
      </w:r>
      <w:r>
        <w:rPr>
          <w:rFonts w:hint="eastAsia"/>
        </w:rPr>
        <w:t>）中小企业声明函………………………………………………………（页码）</w:t>
      </w:r>
    </w:p>
    <w:p w14:paraId="0CB2F3BA">
      <w:pPr>
        <w:pStyle w:val="24"/>
        <w:rPr>
          <w:rFonts w:hint="eastAsia"/>
        </w:rPr>
      </w:pPr>
    </w:p>
    <w:p w14:paraId="12426B40">
      <w:pPr>
        <w:snapToGrid w:val="0"/>
        <w:spacing w:line="360" w:lineRule="auto"/>
        <w:ind w:firstLine="480" w:firstLineChars="200"/>
        <w:rPr>
          <w:rFonts w:ascii="宋体" w:hAnsi="宋体" w:cs="宋体"/>
          <w:color w:val="auto"/>
          <w:sz w:val="24"/>
        </w:rPr>
      </w:pPr>
    </w:p>
    <w:p w14:paraId="62563738">
      <w:pPr>
        <w:spacing w:line="360" w:lineRule="auto"/>
        <w:ind w:firstLine="480" w:firstLineChars="200"/>
        <w:rPr>
          <w:rFonts w:ascii="宋体" w:hAnsi="宋体" w:cs="宋体"/>
          <w:color w:val="auto"/>
          <w:sz w:val="24"/>
        </w:rPr>
      </w:pPr>
    </w:p>
    <w:p w14:paraId="025A2E09">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56D1F0A0">
      <w:pPr>
        <w:snapToGrid w:val="0"/>
        <w:spacing w:line="360" w:lineRule="auto"/>
        <w:rPr>
          <w:rFonts w:ascii="宋体" w:hAnsi="宋体" w:cs="宋体"/>
          <w:color w:val="auto"/>
          <w:sz w:val="24"/>
        </w:rPr>
      </w:pPr>
      <w:r>
        <w:rPr>
          <w:rFonts w:hint="eastAsia" w:ascii="宋体" w:hAnsi="宋体" w:cs="宋体"/>
          <w:color w:val="auto"/>
          <w:sz w:val="24"/>
          <w:lang w:eastAsia="zh-CN"/>
        </w:rPr>
        <w:t>宁波市海曙区水务设施管理中心</w:t>
      </w:r>
      <w:r>
        <w:rPr>
          <w:rFonts w:hint="eastAsia" w:ascii="宋体" w:hAnsi="宋体" w:cs="宋体"/>
          <w:color w:val="auto"/>
          <w:sz w:val="24"/>
        </w:rPr>
        <w:t>、宁波中基国际招标有限公司：</w:t>
      </w:r>
    </w:p>
    <w:p w14:paraId="4D88ECB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海曙区排水管网日常养护项目</w:t>
      </w:r>
      <w:r>
        <w:rPr>
          <w:rFonts w:hint="eastAsia" w:ascii="宋体" w:hAnsi="宋体" w:cs="宋体"/>
          <w:color w:val="auto"/>
          <w:sz w:val="24"/>
        </w:rPr>
        <w:t>【招标编号：</w:t>
      </w:r>
      <w:r>
        <w:rPr>
          <w:rFonts w:hint="eastAsia" w:ascii="宋体" w:hAnsi="宋体" w:cs="宋体"/>
          <w:color w:val="auto"/>
          <w:sz w:val="24"/>
          <w:lang w:eastAsia="zh-CN"/>
        </w:rPr>
        <w:t>2025NBHSWT319</w:t>
      </w:r>
      <w:r>
        <w:rPr>
          <w:rFonts w:hint="eastAsia" w:ascii="宋体" w:hAnsi="宋体" w:cs="宋体"/>
          <w:color w:val="auto"/>
          <w:sz w:val="24"/>
        </w:rPr>
        <w:t>】政府采购活动，郑重承诺：</w:t>
      </w:r>
    </w:p>
    <w:p w14:paraId="4468DAB5">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4541C30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28BFBF7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4E89CD3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5B658B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7C391E8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556D322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57DCC7B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（二）未被信用中国（www.creditchina.gov.cn)、中国政府采购网（www.ccgp.gov.cn）列入失信被执行人、重大税收违法案件当事人名单（重大税收违法失信主体）、政府采购严重违法失信行为记录名单。</w:t>
      </w:r>
    </w:p>
    <w:p w14:paraId="638CE28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44DE7F0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AE1C0D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6C9AC319">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供应商名称(电子签名)：</w:t>
      </w:r>
    </w:p>
    <w:p w14:paraId="5E3BBDA4">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429F06B">
      <w:pPr>
        <w:snapToGrid w:val="0"/>
        <w:spacing w:line="360" w:lineRule="auto"/>
        <w:ind w:right="480"/>
        <w:jc w:val="center"/>
        <w:rPr>
          <w:rFonts w:ascii="宋体" w:hAnsi="宋体" w:cs="宋体"/>
          <w:b/>
          <w:color w:val="auto"/>
          <w:kern w:val="0"/>
          <w:sz w:val="32"/>
          <w:szCs w:val="32"/>
        </w:rPr>
      </w:pPr>
    </w:p>
    <w:p w14:paraId="0D3BCBF2">
      <w:pPr>
        <w:snapToGrid w:val="0"/>
        <w:spacing w:line="360" w:lineRule="auto"/>
        <w:ind w:right="480"/>
        <w:jc w:val="center"/>
        <w:rPr>
          <w:rFonts w:ascii="宋体" w:hAnsi="宋体" w:cs="宋体"/>
          <w:b/>
          <w:color w:val="auto"/>
          <w:kern w:val="0"/>
          <w:sz w:val="32"/>
          <w:szCs w:val="32"/>
        </w:rPr>
      </w:pPr>
    </w:p>
    <w:p w14:paraId="3E2135E3">
      <w:pPr>
        <w:snapToGrid w:val="0"/>
        <w:spacing w:line="360" w:lineRule="auto"/>
        <w:ind w:right="480"/>
        <w:jc w:val="center"/>
        <w:rPr>
          <w:rFonts w:ascii="宋体" w:hAnsi="宋体" w:cs="宋体"/>
          <w:b/>
          <w:color w:val="auto"/>
          <w:kern w:val="0"/>
          <w:sz w:val="32"/>
          <w:szCs w:val="32"/>
        </w:rPr>
      </w:pPr>
    </w:p>
    <w:p w14:paraId="2EC433CA">
      <w:pPr>
        <w:rPr>
          <w:rFonts w:ascii="宋体" w:hAnsi="宋体" w:cs="宋体"/>
          <w:color w:val="auto"/>
        </w:rPr>
      </w:pPr>
    </w:p>
    <w:p w14:paraId="0F026F18">
      <w:pPr>
        <w:snapToGrid w:val="0"/>
        <w:spacing w:line="360" w:lineRule="auto"/>
        <w:ind w:right="480"/>
        <w:jc w:val="center"/>
        <w:rPr>
          <w:rFonts w:ascii="宋体" w:hAnsi="宋体" w:cs="宋体"/>
          <w:b/>
          <w:color w:val="auto"/>
          <w:kern w:val="0"/>
          <w:sz w:val="32"/>
          <w:szCs w:val="32"/>
        </w:rPr>
      </w:pPr>
    </w:p>
    <w:p w14:paraId="6763A99D">
      <w:pPr>
        <w:snapToGrid w:val="0"/>
        <w:spacing w:line="360" w:lineRule="auto"/>
        <w:ind w:right="480"/>
        <w:jc w:val="center"/>
        <w:rPr>
          <w:rFonts w:ascii="宋体" w:hAnsi="宋体" w:cs="宋体"/>
          <w:b/>
          <w:color w:val="auto"/>
          <w:kern w:val="0"/>
          <w:sz w:val="32"/>
          <w:szCs w:val="32"/>
        </w:rPr>
      </w:pPr>
    </w:p>
    <w:p w14:paraId="373B90D8">
      <w:pPr>
        <w:snapToGrid w:val="0"/>
        <w:spacing w:line="360" w:lineRule="auto"/>
        <w:ind w:right="480"/>
        <w:jc w:val="center"/>
        <w:rPr>
          <w:rFonts w:ascii="宋体" w:hAnsi="宋体" w:cs="宋体"/>
          <w:b/>
          <w:color w:val="auto"/>
          <w:kern w:val="0"/>
          <w:sz w:val="32"/>
          <w:szCs w:val="32"/>
        </w:rPr>
      </w:pPr>
    </w:p>
    <w:p w14:paraId="35DF3C9F">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421754BC">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009BDDB1">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w:t>
      </w:r>
      <w:r>
        <w:rPr>
          <w:rFonts w:hint="eastAsia" w:ascii="宋体" w:hAnsi="宋体" w:cs="宋体"/>
          <w:b/>
          <w:color w:val="auto"/>
          <w:sz w:val="24"/>
          <w:lang w:eastAsia="zh-CN"/>
        </w:rPr>
        <w:t>供应商</w:t>
      </w:r>
      <w:r>
        <w:rPr>
          <w:rFonts w:hint="eastAsia" w:ascii="宋体" w:hAnsi="宋体" w:cs="宋体"/>
          <w:b/>
          <w:color w:val="auto"/>
          <w:sz w:val="24"/>
        </w:rPr>
        <w:t>不以联合体形式投标的，则不需要提供）]</w:t>
      </w:r>
    </w:p>
    <w:p w14:paraId="27EA5776">
      <w:pPr>
        <w:snapToGrid w:val="0"/>
        <w:spacing w:line="360" w:lineRule="auto"/>
        <w:ind w:right="480"/>
        <w:jc w:val="center"/>
        <w:rPr>
          <w:rFonts w:ascii="宋体" w:hAnsi="宋体" w:cs="宋体"/>
          <w:b/>
          <w:color w:val="auto"/>
          <w:kern w:val="0"/>
          <w:sz w:val="32"/>
          <w:szCs w:val="32"/>
        </w:rPr>
      </w:pPr>
    </w:p>
    <w:p w14:paraId="7DC605EE">
      <w:pPr>
        <w:snapToGrid w:val="0"/>
        <w:spacing w:line="360" w:lineRule="auto"/>
        <w:ind w:right="480"/>
        <w:jc w:val="center"/>
        <w:rPr>
          <w:rFonts w:ascii="宋体" w:hAnsi="宋体" w:cs="宋体"/>
          <w:b/>
          <w:color w:val="auto"/>
          <w:kern w:val="0"/>
          <w:sz w:val="32"/>
          <w:szCs w:val="32"/>
        </w:rPr>
      </w:pPr>
    </w:p>
    <w:p w14:paraId="16195C8B">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1CD6331E">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6F9BC533">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7E84F43E">
      <w:pPr>
        <w:widowControl/>
        <w:spacing w:line="360" w:lineRule="auto"/>
        <w:ind w:firstLine="480"/>
        <w:jc w:val="left"/>
        <w:rPr>
          <w:rFonts w:ascii="宋体" w:hAnsi="宋体" w:cs="宋体"/>
          <w:color w:val="auto"/>
          <w:sz w:val="24"/>
        </w:rPr>
      </w:pPr>
    </w:p>
    <w:p w14:paraId="6DDA1B94">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26637C04">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08A238A3">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161EB0E7">
      <w:pPr>
        <w:widowControl/>
        <w:spacing w:line="360" w:lineRule="auto"/>
        <w:ind w:left="150"/>
        <w:jc w:val="center"/>
        <w:rPr>
          <w:rFonts w:ascii="宋体" w:hAnsi="宋体" w:cs="宋体"/>
          <w:b/>
          <w:color w:val="auto"/>
          <w:kern w:val="0"/>
          <w:sz w:val="32"/>
          <w:szCs w:val="32"/>
        </w:rPr>
      </w:pPr>
    </w:p>
    <w:p w14:paraId="66C8DCBB">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4ABEA6F1">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02858815">
      <w:pPr>
        <w:rPr>
          <w:rFonts w:ascii="宋体" w:hAnsi="宋体" w:cs="宋体"/>
          <w:color w:val="auto"/>
        </w:rPr>
      </w:pPr>
    </w:p>
    <w:p w14:paraId="61DF2220">
      <w:pPr>
        <w:snapToGrid w:val="0"/>
        <w:spacing w:line="360" w:lineRule="auto"/>
        <w:ind w:right="480"/>
        <w:jc w:val="center"/>
        <w:rPr>
          <w:rFonts w:ascii="宋体" w:hAnsi="宋体" w:cs="宋体"/>
          <w:b/>
          <w:color w:val="auto"/>
          <w:kern w:val="0"/>
          <w:sz w:val="32"/>
          <w:szCs w:val="32"/>
        </w:rPr>
      </w:pPr>
    </w:p>
    <w:p w14:paraId="313A1BD4">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170DE213">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5DFAC279">
      <w:pPr>
        <w:spacing w:line="360" w:lineRule="auto"/>
        <w:jc w:val="center"/>
        <w:rPr>
          <w:rFonts w:ascii="宋体" w:hAnsi="宋体" w:cs="宋体"/>
          <w:b/>
          <w:color w:val="auto"/>
          <w:kern w:val="0"/>
          <w:sz w:val="24"/>
        </w:rPr>
      </w:pPr>
    </w:p>
    <w:p w14:paraId="3E86DFE7">
      <w:pPr>
        <w:spacing w:line="360" w:lineRule="auto"/>
        <w:jc w:val="center"/>
        <w:outlineLvl w:val="0"/>
        <w:rPr>
          <w:rFonts w:ascii="宋体" w:hAnsi="宋体" w:cs="宋体"/>
          <w:b/>
          <w:color w:val="auto"/>
          <w:kern w:val="0"/>
          <w:sz w:val="28"/>
          <w:szCs w:val="28"/>
        </w:rPr>
      </w:pPr>
      <w:bookmarkStart w:id="558" w:name="_Toc6869"/>
      <w:r>
        <w:rPr>
          <w:rFonts w:hint="eastAsia" w:ascii="宋体" w:hAnsi="宋体" w:cs="宋体"/>
          <w:b/>
          <w:color w:val="auto"/>
          <w:kern w:val="0"/>
          <w:sz w:val="28"/>
          <w:szCs w:val="28"/>
        </w:rPr>
        <w:t>目录</w:t>
      </w:r>
      <w:bookmarkEnd w:id="558"/>
    </w:p>
    <w:p w14:paraId="37B3D55F">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288AAEAE">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2BC67463">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31A34C7D">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）商务技术偏离表</w:t>
      </w:r>
      <w:r>
        <w:rPr>
          <w:rFonts w:hint="eastAsia" w:ascii="宋体" w:hAnsi="宋体" w:cs="宋体"/>
          <w:color w:val="auto"/>
        </w:rPr>
        <w:t>………………………………………………………………………（页码）</w:t>
      </w:r>
    </w:p>
    <w:p w14:paraId="5B0FF92D">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51E02404">
      <w:pPr>
        <w:snapToGrid w:val="0"/>
        <w:spacing w:line="360" w:lineRule="auto"/>
        <w:ind w:left="479" w:leftChars="228"/>
        <w:rPr>
          <w:rFonts w:hint="default" w:ascii="宋体" w:hAnsi="宋体" w:cs="宋体"/>
          <w:color w:val="auto"/>
          <w:sz w:val="24"/>
          <w:lang w:val="en-US" w:eastAsia="zh-CN"/>
        </w:rPr>
      </w:pPr>
      <w:r>
        <w:rPr>
          <w:rFonts w:hint="eastAsia" w:ascii="宋体" w:hAnsi="宋体" w:cs="宋体"/>
          <w:color w:val="auto"/>
          <w:sz w:val="24"/>
          <w:lang w:val="en-US" w:eastAsia="zh-CN"/>
        </w:rPr>
        <w:t>（8）承诺函………………………………………………………………………（页码）</w:t>
      </w:r>
    </w:p>
    <w:p w14:paraId="61AA2785">
      <w:pPr>
        <w:snapToGrid w:val="0"/>
        <w:spacing w:line="360" w:lineRule="auto"/>
        <w:jc w:val="center"/>
        <w:rPr>
          <w:rFonts w:ascii="宋体" w:hAnsi="宋体" w:cs="宋体"/>
          <w:b/>
          <w:color w:val="auto"/>
          <w:kern w:val="0"/>
          <w:sz w:val="32"/>
          <w:szCs w:val="32"/>
          <w:lang w:val="zh-CN"/>
        </w:rPr>
      </w:pPr>
    </w:p>
    <w:p w14:paraId="26846663">
      <w:pPr>
        <w:snapToGrid w:val="0"/>
        <w:spacing w:line="360" w:lineRule="auto"/>
        <w:jc w:val="center"/>
        <w:rPr>
          <w:rFonts w:ascii="宋体" w:hAnsi="宋体" w:cs="宋体"/>
          <w:b/>
          <w:color w:val="auto"/>
          <w:kern w:val="0"/>
          <w:sz w:val="32"/>
          <w:szCs w:val="32"/>
          <w:lang w:val="zh-CN"/>
        </w:rPr>
      </w:pPr>
    </w:p>
    <w:p w14:paraId="1999FDAD">
      <w:pPr>
        <w:snapToGrid w:val="0"/>
        <w:spacing w:line="360" w:lineRule="auto"/>
        <w:jc w:val="center"/>
        <w:rPr>
          <w:rFonts w:ascii="宋体" w:hAnsi="宋体" w:cs="宋体"/>
          <w:b/>
          <w:color w:val="auto"/>
          <w:kern w:val="0"/>
          <w:sz w:val="32"/>
          <w:szCs w:val="32"/>
          <w:lang w:val="zh-CN"/>
        </w:rPr>
      </w:pPr>
    </w:p>
    <w:p w14:paraId="17DB9420">
      <w:pPr>
        <w:snapToGrid w:val="0"/>
        <w:spacing w:line="360" w:lineRule="auto"/>
        <w:jc w:val="center"/>
        <w:rPr>
          <w:rFonts w:ascii="宋体" w:hAnsi="宋体" w:cs="宋体"/>
          <w:b/>
          <w:color w:val="auto"/>
          <w:kern w:val="0"/>
          <w:sz w:val="32"/>
          <w:szCs w:val="32"/>
          <w:lang w:val="zh-CN"/>
        </w:rPr>
      </w:pPr>
    </w:p>
    <w:p w14:paraId="24ED4FB4">
      <w:pPr>
        <w:snapToGrid w:val="0"/>
        <w:spacing w:line="360" w:lineRule="auto"/>
        <w:jc w:val="center"/>
        <w:rPr>
          <w:rFonts w:ascii="宋体" w:hAnsi="宋体" w:cs="宋体"/>
          <w:b/>
          <w:color w:val="auto"/>
          <w:kern w:val="0"/>
          <w:sz w:val="32"/>
          <w:szCs w:val="32"/>
          <w:lang w:val="zh-CN"/>
        </w:rPr>
      </w:pPr>
    </w:p>
    <w:p w14:paraId="105FF4DE">
      <w:pPr>
        <w:snapToGrid w:val="0"/>
        <w:spacing w:line="360" w:lineRule="auto"/>
        <w:jc w:val="center"/>
        <w:rPr>
          <w:rFonts w:ascii="宋体" w:hAnsi="宋体" w:cs="宋体"/>
          <w:b/>
          <w:color w:val="auto"/>
          <w:kern w:val="0"/>
          <w:sz w:val="32"/>
          <w:szCs w:val="32"/>
          <w:lang w:val="zh-CN"/>
        </w:rPr>
      </w:pPr>
    </w:p>
    <w:p w14:paraId="379BE3B1">
      <w:pPr>
        <w:snapToGrid w:val="0"/>
        <w:spacing w:line="360" w:lineRule="auto"/>
        <w:jc w:val="center"/>
        <w:rPr>
          <w:rFonts w:ascii="宋体" w:hAnsi="宋体" w:cs="宋体"/>
          <w:b/>
          <w:color w:val="auto"/>
          <w:kern w:val="0"/>
          <w:sz w:val="32"/>
          <w:szCs w:val="32"/>
          <w:lang w:val="zh-CN"/>
        </w:rPr>
      </w:pPr>
    </w:p>
    <w:p w14:paraId="45E6DBDA">
      <w:pPr>
        <w:snapToGrid w:val="0"/>
        <w:spacing w:line="360" w:lineRule="auto"/>
        <w:jc w:val="center"/>
        <w:rPr>
          <w:rFonts w:ascii="宋体" w:hAnsi="宋体" w:cs="宋体"/>
          <w:b/>
          <w:color w:val="auto"/>
          <w:kern w:val="0"/>
          <w:sz w:val="32"/>
          <w:szCs w:val="32"/>
          <w:lang w:val="zh-CN"/>
        </w:rPr>
      </w:pPr>
    </w:p>
    <w:p w14:paraId="09F2246A">
      <w:pPr>
        <w:snapToGrid w:val="0"/>
        <w:spacing w:line="360" w:lineRule="auto"/>
        <w:jc w:val="center"/>
        <w:rPr>
          <w:rFonts w:ascii="宋体" w:hAnsi="宋体" w:cs="宋体"/>
          <w:b/>
          <w:color w:val="auto"/>
          <w:kern w:val="0"/>
          <w:sz w:val="32"/>
          <w:szCs w:val="32"/>
          <w:lang w:val="zh-CN"/>
        </w:rPr>
      </w:pPr>
    </w:p>
    <w:p w14:paraId="619C51FD">
      <w:pPr>
        <w:snapToGrid w:val="0"/>
        <w:spacing w:line="360" w:lineRule="auto"/>
        <w:jc w:val="center"/>
        <w:rPr>
          <w:rFonts w:ascii="宋体" w:hAnsi="宋体" w:cs="宋体"/>
          <w:b/>
          <w:color w:val="auto"/>
          <w:kern w:val="0"/>
          <w:sz w:val="32"/>
          <w:szCs w:val="32"/>
          <w:lang w:val="zh-CN"/>
        </w:rPr>
      </w:pPr>
    </w:p>
    <w:p w14:paraId="5A6FE0FF">
      <w:pPr>
        <w:snapToGrid w:val="0"/>
        <w:spacing w:line="360" w:lineRule="auto"/>
        <w:jc w:val="center"/>
        <w:rPr>
          <w:rFonts w:ascii="宋体" w:hAnsi="宋体" w:cs="宋体"/>
          <w:b/>
          <w:color w:val="auto"/>
          <w:kern w:val="0"/>
          <w:sz w:val="32"/>
          <w:szCs w:val="32"/>
          <w:lang w:val="zh-CN"/>
        </w:rPr>
      </w:pPr>
    </w:p>
    <w:p w14:paraId="3C68F4D5">
      <w:pPr>
        <w:rPr>
          <w:rFonts w:ascii="宋体" w:hAnsi="宋体" w:cs="宋体"/>
          <w:b/>
          <w:color w:val="auto"/>
          <w:kern w:val="0"/>
          <w:sz w:val="32"/>
          <w:szCs w:val="32"/>
          <w:lang w:val="zh-CN"/>
        </w:rPr>
      </w:pPr>
    </w:p>
    <w:p w14:paraId="6E11D9D1">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327FB6DC">
      <w:pPr>
        <w:snapToGrid w:val="0"/>
        <w:spacing w:line="360" w:lineRule="auto"/>
        <w:jc w:val="center"/>
        <w:outlineLvl w:val="0"/>
        <w:rPr>
          <w:rFonts w:ascii="宋体" w:hAnsi="宋体" w:cs="宋体"/>
          <w:b/>
          <w:color w:val="auto"/>
          <w:sz w:val="32"/>
          <w:szCs w:val="32"/>
        </w:rPr>
      </w:pPr>
      <w:bookmarkStart w:id="559" w:name="_Toc6489"/>
      <w:r>
        <w:rPr>
          <w:rFonts w:hint="eastAsia" w:ascii="宋体" w:hAnsi="宋体" w:cs="宋体"/>
          <w:b/>
          <w:color w:val="auto"/>
          <w:kern w:val="0"/>
          <w:sz w:val="32"/>
          <w:szCs w:val="32"/>
        </w:rPr>
        <w:t>一、投标</w:t>
      </w:r>
      <w:r>
        <w:rPr>
          <w:rFonts w:hint="eastAsia" w:ascii="宋体" w:hAnsi="宋体" w:cs="宋体"/>
          <w:b/>
          <w:color w:val="auto"/>
          <w:sz w:val="32"/>
          <w:szCs w:val="32"/>
        </w:rPr>
        <w:t>函</w:t>
      </w:r>
      <w:bookmarkEnd w:id="559"/>
    </w:p>
    <w:p w14:paraId="7B0DB98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cs="宋体"/>
          <w:color w:val="auto"/>
          <w:sz w:val="24"/>
        </w:rPr>
      </w:pPr>
      <w:r>
        <w:rPr>
          <w:rFonts w:hint="eastAsia" w:ascii="宋体" w:hAnsi="宋体" w:cs="宋体"/>
          <w:color w:val="auto"/>
          <w:sz w:val="24"/>
          <w:lang w:eastAsia="zh-CN"/>
        </w:rPr>
        <w:t>宁波市海曙区水务设施管理中心</w:t>
      </w:r>
      <w:r>
        <w:rPr>
          <w:rFonts w:hint="eastAsia" w:ascii="宋体" w:hAnsi="宋体" w:cs="宋体"/>
          <w:color w:val="auto"/>
          <w:sz w:val="24"/>
        </w:rPr>
        <w:t>、宁波中基国际招标有限公司：</w:t>
      </w:r>
    </w:p>
    <w:p w14:paraId="62F30CFA">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海曙区排水管网日常养护项目</w:t>
      </w:r>
      <w:r>
        <w:rPr>
          <w:rFonts w:hint="eastAsia" w:ascii="宋体" w:hAnsi="宋体" w:cs="宋体"/>
          <w:color w:val="auto"/>
          <w:sz w:val="24"/>
        </w:rPr>
        <w:t>【招标编号：</w:t>
      </w:r>
      <w:r>
        <w:rPr>
          <w:rFonts w:hint="eastAsia" w:ascii="宋体" w:hAnsi="宋体" w:cs="宋体"/>
          <w:color w:val="auto"/>
          <w:sz w:val="24"/>
          <w:lang w:eastAsia="zh-CN"/>
        </w:rPr>
        <w:t>2025NBHSWT319</w:t>
      </w:r>
      <w:r>
        <w:rPr>
          <w:rFonts w:hint="eastAsia" w:ascii="宋体" w:hAnsi="宋体" w:cs="宋体"/>
          <w:color w:val="auto"/>
          <w:sz w:val="24"/>
        </w:rPr>
        <w:t>】招标的有关活动，并对此项目进行投标。为此：</w:t>
      </w:r>
    </w:p>
    <w:p w14:paraId="76D7C0A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5031AE89">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宋体" w:hAnsi="宋体" w:cs="宋体"/>
          <w:color w:val="auto"/>
          <w:sz w:val="24"/>
        </w:rPr>
      </w:pPr>
      <w:r>
        <w:rPr>
          <w:rFonts w:hint="eastAsia" w:ascii="宋体" w:hAnsi="宋体" w:cs="宋体"/>
          <w:color w:val="auto"/>
          <w:sz w:val="24"/>
        </w:rPr>
        <w:t>2、我方的投标文件包括以下内容：</w:t>
      </w:r>
    </w:p>
    <w:p w14:paraId="5318B060">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ascii="宋体" w:hAnsi="宋体" w:cs="宋体"/>
          <w:color w:val="auto"/>
          <w:sz w:val="24"/>
        </w:rPr>
      </w:pPr>
      <w:r>
        <w:rPr>
          <w:rFonts w:hint="eastAsia" w:ascii="宋体" w:hAnsi="宋体" w:cs="宋体"/>
          <w:color w:val="auto"/>
          <w:sz w:val="24"/>
        </w:rPr>
        <w:t>2.1资格文件：</w:t>
      </w:r>
    </w:p>
    <w:p w14:paraId="1AE90E9E">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ascii="宋体" w:hAnsi="宋体" w:cs="宋体"/>
          <w:color w:val="auto"/>
          <w:sz w:val="24"/>
        </w:rPr>
      </w:pPr>
      <w:r>
        <w:rPr>
          <w:rFonts w:hint="eastAsia" w:ascii="宋体" w:hAnsi="宋体" w:cs="宋体"/>
          <w:color w:val="auto"/>
          <w:sz w:val="24"/>
        </w:rPr>
        <w:t>2.1.1符合参加政府采购活动应当具备的一般条件的承诺函；</w:t>
      </w:r>
    </w:p>
    <w:p w14:paraId="770C2722">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60" w:name="_Hlk101257010"/>
      <w:r>
        <w:rPr>
          <w:rFonts w:hint="eastAsia" w:ascii="宋体" w:hAnsi="宋体" w:cs="宋体"/>
          <w:color w:val="auto"/>
          <w:sz w:val="24"/>
        </w:rPr>
        <w:t>（如果有)</w:t>
      </w:r>
      <w:bookmarkEnd w:id="560"/>
      <w:r>
        <w:rPr>
          <w:rFonts w:hint="eastAsia" w:ascii="宋体" w:hAnsi="宋体" w:cs="宋体"/>
          <w:snapToGrid w:val="0"/>
          <w:color w:val="auto"/>
          <w:kern w:val="28"/>
          <w:sz w:val="24"/>
          <w:szCs w:val="20"/>
        </w:rPr>
        <w:t>；</w:t>
      </w:r>
    </w:p>
    <w:p w14:paraId="58D4465A">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48564123">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05AE1712">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C8BC75C">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10243BFE">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ascii="宋体" w:hAnsi="宋体" w:cs="宋体"/>
          <w:color w:val="auto"/>
          <w:sz w:val="24"/>
        </w:rPr>
      </w:pPr>
      <w:r>
        <w:rPr>
          <w:rFonts w:hint="eastAsia" w:ascii="宋体" w:hAnsi="宋体" w:cs="宋体"/>
          <w:color w:val="auto"/>
          <w:sz w:val="24"/>
        </w:rPr>
        <w:t>2.2.2授权委托书或法定代表人（单位负责人</w:t>
      </w:r>
      <w:r>
        <w:rPr>
          <w:rFonts w:hint="eastAsia" w:ascii="宋体" w:hAnsi="宋体" w:cs="宋体"/>
          <w:color w:val="auto"/>
          <w:sz w:val="24"/>
          <w:lang w:val="zh-CN"/>
        </w:rPr>
        <w:t>、自然人本人</w:t>
      </w:r>
      <w:r>
        <w:rPr>
          <w:rFonts w:hint="eastAsia" w:ascii="宋体" w:hAnsi="宋体" w:cs="宋体"/>
          <w:color w:val="auto"/>
          <w:sz w:val="24"/>
        </w:rPr>
        <w:t>）身份证明；</w:t>
      </w:r>
    </w:p>
    <w:p w14:paraId="50105BFC">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75739B19">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5E4DC266">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66BEC5B">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ascii="宋体" w:hAnsi="宋体" w:cs="宋体"/>
          <w:color w:val="auto"/>
          <w:sz w:val="24"/>
        </w:rPr>
      </w:pPr>
      <w:r>
        <w:rPr>
          <w:rFonts w:hint="eastAsia" w:ascii="宋体" w:hAnsi="宋体" w:cs="宋体"/>
          <w:color w:val="auto"/>
          <w:sz w:val="24"/>
        </w:rPr>
        <w:t>2.2.6商务技术偏离表；</w:t>
      </w:r>
    </w:p>
    <w:p w14:paraId="1B9A6CEA">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p>
    <w:p w14:paraId="68ABEC07">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604FED40">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ascii="宋体" w:hAnsi="宋体" w:cs="宋体"/>
          <w:color w:val="auto"/>
          <w:sz w:val="24"/>
        </w:rPr>
      </w:pPr>
      <w:r>
        <w:rPr>
          <w:rFonts w:hint="eastAsia" w:ascii="宋体" w:hAnsi="宋体" w:cs="宋体"/>
          <w:color w:val="auto"/>
          <w:sz w:val="24"/>
        </w:rPr>
        <w:t>2.3.1开标一览表（报价表）；</w:t>
      </w:r>
    </w:p>
    <w:p w14:paraId="6BE27554">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ascii="宋体" w:hAnsi="宋体" w:cs="宋体"/>
          <w:color w:val="auto"/>
          <w:sz w:val="24"/>
        </w:rPr>
      </w:pPr>
      <w:r>
        <w:rPr>
          <w:rFonts w:hint="eastAsia" w:ascii="宋体" w:hAnsi="宋体" w:cs="宋体"/>
          <w:color w:val="auto"/>
          <w:sz w:val="24"/>
        </w:rPr>
        <w:t>2.3.2中小企业声明函（如果有）；</w:t>
      </w:r>
    </w:p>
    <w:p w14:paraId="6F43F9E7">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cs="宋体"/>
          <w:color w:val="auto"/>
          <w:sz w:val="24"/>
        </w:rPr>
      </w:pPr>
      <w:r>
        <w:rPr>
          <w:rFonts w:hint="eastAsia" w:ascii="宋体" w:hAnsi="宋体" w:cs="宋体"/>
          <w:color w:val="auto"/>
          <w:sz w:val="24"/>
        </w:rPr>
        <w:t>2.3.3投标分项报价表。</w:t>
      </w:r>
    </w:p>
    <w:p w14:paraId="6D096E50">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ascii="宋体" w:hAnsi="宋体" w:cs="宋体"/>
          <w:color w:val="auto"/>
          <w:sz w:val="24"/>
        </w:rPr>
      </w:pPr>
      <w:r>
        <w:rPr>
          <w:rFonts w:hint="eastAsia" w:ascii="宋体" w:hAnsi="宋体" w:cs="宋体"/>
          <w:color w:val="auto"/>
          <w:sz w:val="24"/>
          <w:lang w:val="en-US" w:eastAsia="zh-CN"/>
        </w:rPr>
        <w:t>2.3.4</w:t>
      </w:r>
      <w:r>
        <w:rPr>
          <w:rFonts w:hint="eastAsia" w:ascii="宋体" w:hAnsi="宋体" w:cs="宋体"/>
          <w:color w:val="auto"/>
          <w:sz w:val="24"/>
          <w:lang w:val="zh-CN" w:eastAsia="zh-CN"/>
        </w:rPr>
        <w:t>报价情况说明(</w:t>
      </w:r>
      <w:r>
        <w:rPr>
          <w:rFonts w:hint="eastAsia" w:ascii="宋体" w:hAnsi="宋体" w:cs="宋体"/>
          <w:color w:val="auto"/>
          <w:sz w:val="24"/>
          <w:lang w:val="en-US" w:eastAsia="zh-CN"/>
        </w:rPr>
        <w:t>如果有</w:t>
      </w:r>
      <w:r>
        <w:rPr>
          <w:rFonts w:hint="eastAsia" w:ascii="宋体" w:hAnsi="宋体" w:cs="宋体"/>
          <w:color w:val="auto"/>
          <w:sz w:val="24"/>
          <w:lang w:val="zh-CN" w:eastAsia="zh-CN"/>
        </w:rPr>
        <w:t>）</w:t>
      </w:r>
    </w:p>
    <w:p w14:paraId="3D0D113E">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3、我方承诺除商务技术偏离表列出的偏离外，我方响应招标文件的全部要求。对投标文件中材料的真实性、合法性负责，积极配合采购人、采购代理机构复核投标文件中的资料。</w:t>
      </w:r>
    </w:p>
    <w:p w14:paraId="6DF055D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宋体" w:hAnsi="宋体" w:cs="宋体"/>
          <w:color w:val="auto"/>
          <w:sz w:val="24"/>
        </w:rPr>
      </w:pPr>
      <w:r>
        <w:rPr>
          <w:rFonts w:hint="eastAsia" w:ascii="宋体" w:hAnsi="宋体" w:cs="宋体"/>
          <w:color w:val="auto"/>
          <w:sz w:val="24"/>
        </w:rPr>
        <w:t>4、如我方中标，我方承诺：</w:t>
      </w:r>
    </w:p>
    <w:p w14:paraId="15B64752">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331D2576">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ascii="宋体" w:hAnsi="宋体" w:cs="宋体"/>
          <w:color w:val="auto"/>
          <w:sz w:val="24"/>
        </w:rPr>
      </w:pPr>
      <w:r>
        <w:rPr>
          <w:rFonts w:hint="eastAsia" w:ascii="宋体" w:hAnsi="宋体" w:cs="宋体"/>
          <w:color w:val="auto"/>
          <w:sz w:val="24"/>
        </w:rPr>
        <w:t xml:space="preserve">4.2在签订合同时不向你方提出附加条件； </w:t>
      </w:r>
    </w:p>
    <w:p w14:paraId="279F1F0C">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ascii="宋体" w:hAnsi="宋体" w:cs="宋体"/>
          <w:color w:val="auto"/>
          <w:sz w:val="24"/>
        </w:rPr>
      </w:pPr>
      <w:r>
        <w:rPr>
          <w:rFonts w:hint="eastAsia" w:ascii="宋体" w:hAnsi="宋体" w:cs="宋体"/>
          <w:color w:val="auto"/>
          <w:sz w:val="24"/>
        </w:rPr>
        <w:t xml:space="preserve">4.3按照招标文件要求提交履约保证金（如有）； </w:t>
      </w:r>
    </w:p>
    <w:p w14:paraId="4CB99560">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49557DED">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4BA910BA">
      <w:pPr>
        <w:keepNext w:val="0"/>
        <w:keepLines w:val="0"/>
        <w:pageBreakBefore w:val="0"/>
        <w:widowControl w:val="0"/>
        <w:kinsoku/>
        <w:wordWrap/>
        <w:overflowPunct/>
        <w:topLinePunct w:val="0"/>
        <w:autoSpaceDE/>
        <w:autoSpaceDN/>
        <w:bidi w:val="0"/>
        <w:adjustRightInd w:val="0"/>
        <w:spacing w:line="288" w:lineRule="auto"/>
        <w:ind w:firstLine="3600" w:firstLineChars="1500"/>
        <w:textAlignment w:val="auto"/>
        <w:rPr>
          <w:rFonts w:ascii="宋体" w:hAnsi="宋体" w:cs="宋体"/>
          <w:color w:val="auto"/>
          <w:sz w:val="24"/>
        </w:rPr>
      </w:pPr>
      <w:r>
        <w:rPr>
          <w:rFonts w:hint="eastAsia" w:ascii="宋体" w:hAnsi="宋体" w:cs="宋体"/>
          <w:color w:val="auto"/>
          <w:sz w:val="24"/>
          <w:lang w:eastAsia="zh-CN"/>
        </w:rPr>
        <w:t>供应商</w:t>
      </w:r>
      <w:r>
        <w:rPr>
          <w:rFonts w:hint="eastAsia" w:ascii="宋体" w:hAnsi="宋体" w:cs="宋体"/>
          <w:color w:val="auto"/>
          <w:sz w:val="24"/>
        </w:rPr>
        <w:t xml:space="preserve">名称（电子签名）：                          </w:t>
      </w:r>
    </w:p>
    <w:p w14:paraId="62085853">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宋体" w:hAnsi="宋体" w:cs="宋体"/>
          <w:color w:val="auto"/>
          <w:sz w:val="24"/>
        </w:rPr>
      </w:pPr>
      <w:r>
        <w:rPr>
          <w:rFonts w:hint="eastAsia" w:ascii="宋体" w:hAnsi="宋体" w:cs="宋体"/>
          <w:color w:val="auto"/>
          <w:sz w:val="24"/>
        </w:rPr>
        <w:t xml:space="preserve">     日期：  年   月   日</w:t>
      </w:r>
    </w:p>
    <w:p w14:paraId="27B5BF2F">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0" w:firstLineChars="1750"/>
        <w:textAlignment w:val="auto"/>
        <w:rPr>
          <w:rFonts w:ascii="宋体" w:hAnsi="宋体" w:cs="宋体"/>
          <w:color w:val="auto"/>
          <w:kern w:val="0"/>
          <w:sz w:val="24"/>
          <w:u w:val="single"/>
        </w:rPr>
      </w:pPr>
    </w:p>
    <w:p w14:paraId="1FBEAA4E">
      <w:pPr>
        <w:keepNext w:val="0"/>
        <w:keepLines w:val="0"/>
        <w:pageBreakBefore w:val="0"/>
        <w:widowControl w:val="0"/>
        <w:kinsoku/>
        <w:wordWrap/>
        <w:overflowPunct/>
        <w:topLinePunct w:val="0"/>
        <w:autoSpaceDE/>
        <w:autoSpaceDN/>
        <w:bidi w:val="0"/>
        <w:adjustRightInd w:val="0"/>
        <w:spacing w:line="288" w:lineRule="auto"/>
        <w:ind w:right="420"/>
        <w:textAlignment w:val="auto"/>
        <w:rPr>
          <w:rFonts w:ascii="宋体" w:hAnsi="宋体" w:cs="宋体"/>
          <w:color w:val="auto"/>
          <w:sz w:val="24"/>
        </w:rPr>
      </w:pPr>
      <w:r>
        <w:rPr>
          <w:rFonts w:hint="eastAsia" w:ascii="宋体" w:hAnsi="宋体" w:cs="宋体"/>
          <w:color w:val="auto"/>
          <w:sz w:val="24"/>
        </w:rPr>
        <w:t>注：按本格式和要求提供。</w:t>
      </w:r>
    </w:p>
    <w:p w14:paraId="271DA242">
      <w:pPr>
        <w:snapToGrid w:val="0"/>
        <w:spacing w:line="360" w:lineRule="auto"/>
        <w:jc w:val="center"/>
        <w:rPr>
          <w:rFonts w:ascii="宋体" w:hAnsi="宋体" w:cs="宋体"/>
          <w:b/>
          <w:color w:val="auto"/>
          <w:kern w:val="0"/>
          <w:sz w:val="32"/>
          <w:szCs w:val="32"/>
        </w:rPr>
      </w:pPr>
    </w:p>
    <w:p w14:paraId="5DB46506">
      <w:pPr>
        <w:snapToGrid w:val="0"/>
        <w:spacing w:line="360" w:lineRule="auto"/>
        <w:jc w:val="center"/>
        <w:rPr>
          <w:rFonts w:hint="eastAsia" w:ascii="宋体" w:hAnsi="宋体" w:cs="宋体"/>
          <w:b/>
          <w:color w:val="auto"/>
          <w:kern w:val="0"/>
          <w:sz w:val="32"/>
          <w:szCs w:val="32"/>
          <w:lang w:val="zh-CN"/>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38F8A0E">
      <w:pPr>
        <w:snapToGrid w:val="0"/>
        <w:spacing w:line="360" w:lineRule="auto"/>
        <w:jc w:val="center"/>
        <w:rPr>
          <w:rFonts w:ascii="宋体" w:hAnsi="宋体" w:cs="宋体"/>
          <w:b/>
          <w:color w:val="auto"/>
          <w:kern w:val="0"/>
          <w:sz w:val="32"/>
          <w:szCs w:val="32"/>
        </w:rPr>
      </w:pPr>
    </w:p>
    <w:p w14:paraId="25E7CCE8">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60039C54">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6419898A">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4572DCFD">
      <w:pPr>
        <w:snapToGrid w:val="0"/>
        <w:spacing w:line="360" w:lineRule="auto"/>
        <w:rPr>
          <w:rFonts w:ascii="宋体" w:hAnsi="宋体" w:cs="宋体"/>
          <w:color w:val="auto"/>
          <w:kern w:val="0"/>
          <w:sz w:val="24"/>
        </w:rPr>
      </w:pPr>
      <w:r>
        <w:rPr>
          <w:rFonts w:hint="eastAsia" w:ascii="宋体" w:hAnsi="宋体" w:cs="宋体"/>
          <w:color w:val="auto"/>
          <w:sz w:val="24"/>
          <w:lang w:eastAsia="zh-CN"/>
        </w:rPr>
        <w:t>宁波市海曙区水务设施管理中心</w:t>
      </w:r>
      <w:r>
        <w:rPr>
          <w:rFonts w:hint="eastAsia" w:ascii="宋体" w:hAnsi="宋体" w:cs="宋体"/>
          <w:color w:val="auto"/>
          <w:sz w:val="24"/>
        </w:rPr>
        <w:t>、宁波中基国际招标有限公司</w:t>
      </w:r>
      <w:r>
        <w:rPr>
          <w:rFonts w:hint="eastAsia" w:ascii="宋体" w:hAnsi="宋体" w:cs="宋体"/>
          <w:color w:val="auto"/>
          <w:kern w:val="0"/>
          <w:sz w:val="24"/>
          <w:lang w:val="zh-CN"/>
        </w:rPr>
        <w:t>：</w:t>
      </w:r>
    </w:p>
    <w:p w14:paraId="074737C2">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海曙区排水管网日常养护项目</w:t>
      </w:r>
      <w:r>
        <w:rPr>
          <w:rFonts w:hint="eastAsia" w:ascii="宋体" w:hAnsi="宋体" w:cs="宋体"/>
          <w:color w:val="auto"/>
          <w:sz w:val="24"/>
        </w:rPr>
        <w:t>【招标编号：</w:t>
      </w:r>
      <w:r>
        <w:rPr>
          <w:rFonts w:hint="eastAsia" w:ascii="宋体" w:hAnsi="宋体" w:cs="宋体"/>
          <w:color w:val="auto"/>
          <w:sz w:val="24"/>
          <w:lang w:eastAsia="zh-CN"/>
        </w:rPr>
        <w:t>2025NBHSWT319</w:t>
      </w:r>
      <w:r>
        <w:rPr>
          <w:rFonts w:hint="eastAsia" w:ascii="宋体" w:hAnsi="宋体" w:cs="宋体"/>
          <w:color w:val="auto"/>
          <w:sz w:val="24"/>
        </w:rPr>
        <w:t xml:space="preserve">   】</w:t>
      </w:r>
      <w:r>
        <w:rPr>
          <w:rFonts w:hint="eastAsia" w:ascii="宋体" w:hAnsi="宋体" w:cs="宋体"/>
          <w:color w:val="auto"/>
          <w:kern w:val="0"/>
          <w:sz w:val="24"/>
          <w:lang w:val="zh-CN"/>
        </w:rPr>
        <w:t>政府采购投标的一切事项，其法律后果由我方承担。</w:t>
      </w:r>
    </w:p>
    <w:p w14:paraId="0734612C">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62FCC3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1705B00">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14:paraId="243D508E">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3F501C5A">
      <w:pPr>
        <w:snapToGrid w:val="0"/>
        <w:spacing w:line="360" w:lineRule="auto"/>
        <w:rPr>
          <w:rFonts w:ascii="宋体" w:hAnsi="宋体" w:cs="宋体"/>
          <w:color w:val="auto"/>
          <w:sz w:val="24"/>
        </w:rPr>
      </w:pPr>
    </w:p>
    <w:p w14:paraId="68A9560A">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6A2C0B9D">
      <w:pPr>
        <w:snapToGrid w:val="0"/>
        <w:spacing w:line="360" w:lineRule="auto"/>
        <w:rPr>
          <w:rFonts w:ascii="宋体" w:hAnsi="宋体" w:cs="宋体"/>
          <w:color w:val="auto"/>
          <w:kern w:val="0"/>
          <w:sz w:val="24"/>
        </w:rPr>
      </w:pPr>
      <w:r>
        <w:rPr>
          <w:rFonts w:hint="eastAsia" w:ascii="宋体" w:hAnsi="宋体" w:cs="宋体"/>
          <w:color w:val="auto"/>
          <w:sz w:val="24"/>
          <w:lang w:eastAsia="zh-CN"/>
        </w:rPr>
        <w:t>宁波市海曙区水务设施管理中心</w:t>
      </w:r>
      <w:r>
        <w:rPr>
          <w:rFonts w:hint="eastAsia" w:ascii="宋体" w:hAnsi="宋体" w:cs="宋体"/>
          <w:color w:val="auto"/>
          <w:sz w:val="24"/>
        </w:rPr>
        <w:t>、宁波中基国际招标有限公司</w:t>
      </w:r>
      <w:r>
        <w:rPr>
          <w:rFonts w:hint="eastAsia" w:ascii="宋体" w:hAnsi="宋体" w:cs="宋体"/>
          <w:color w:val="auto"/>
          <w:kern w:val="0"/>
          <w:sz w:val="24"/>
          <w:lang w:val="zh-CN"/>
        </w:rPr>
        <w:t>：</w:t>
      </w:r>
    </w:p>
    <w:p w14:paraId="26AEB82A">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海曙区排水管网日常养护项目</w:t>
      </w:r>
      <w:r>
        <w:rPr>
          <w:rFonts w:hint="eastAsia" w:ascii="宋体" w:hAnsi="宋体" w:cs="宋体"/>
          <w:color w:val="auto"/>
          <w:sz w:val="24"/>
        </w:rPr>
        <w:t>【招标编号：</w:t>
      </w:r>
      <w:r>
        <w:rPr>
          <w:rFonts w:hint="eastAsia" w:ascii="宋体" w:hAnsi="宋体" w:cs="宋体"/>
          <w:color w:val="auto"/>
          <w:sz w:val="24"/>
          <w:lang w:eastAsia="zh-CN"/>
        </w:rPr>
        <w:t>2025NBHSWT319</w:t>
      </w:r>
      <w:r>
        <w:rPr>
          <w:rFonts w:hint="eastAsia" w:ascii="宋体" w:hAnsi="宋体" w:cs="宋体"/>
          <w:color w:val="auto"/>
          <w:sz w:val="24"/>
        </w:rPr>
        <w:t xml:space="preserve">   】</w:t>
      </w:r>
      <w:r>
        <w:rPr>
          <w:rFonts w:hint="eastAsia" w:ascii="宋体" w:hAnsi="宋体" w:cs="宋体"/>
          <w:color w:val="auto"/>
          <w:kern w:val="0"/>
          <w:sz w:val="24"/>
          <w:lang w:val="zh-CN"/>
        </w:rPr>
        <w:t>政府采购投标的一切事项，其法律后果由我方承担。</w:t>
      </w:r>
    </w:p>
    <w:p w14:paraId="417BB83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8C52BA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9E22106">
      <w:pPr>
        <w:jc w:val="center"/>
        <w:rPr>
          <w:rFonts w:ascii="宋体" w:hAnsi="宋体" w:cs="宋体"/>
          <w:b/>
          <w:color w:val="auto"/>
          <w:kern w:val="0"/>
          <w:sz w:val="32"/>
          <w:szCs w:val="32"/>
        </w:rPr>
      </w:pPr>
    </w:p>
    <w:p w14:paraId="7F5B1ABC">
      <w:pPr>
        <w:rPr>
          <w:rFonts w:ascii="宋体" w:hAnsi="宋体" w:cs="宋体"/>
          <w:color w:val="auto"/>
        </w:rPr>
      </w:pPr>
    </w:p>
    <w:p w14:paraId="1C78715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502433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C90E2E0">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AF7D99E">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29AB471">
      <w:pPr>
        <w:autoSpaceDE w:val="0"/>
        <w:autoSpaceDN w:val="0"/>
        <w:spacing w:line="360" w:lineRule="auto"/>
        <w:jc w:val="center"/>
        <w:rPr>
          <w:rFonts w:ascii="宋体" w:hAnsi="宋体" w:cs="宋体"/>
          <w:b/>
          <w:color w:val="auto"/>
          <w:kern w:val="0"/>
          <w:sz w:val="32"/>
          <w:szCs w:val="32"/>
          <w:lang w:val="zh-CN"/>
        </w:rPr>
      </w:pPr>
    </w:p>
    <w:p w14:paraId="563460C7">
      <w:pPr>
        <w:autoSpaceDE w:val="0"/>
        <w:autoSpaceDN w:val="0"/>
        <w:spacing w:line="360" w:lineRule="auto"/>
        <w:jc w:val="center"/>
        <w:rPr>
          <w:rFonts w:ascii="宋体" w:hAnsi="宋体" w:cs="宋体"/>
          <w:b/>
          <w:color w:val="auto"/>
          <w:kern w:val="0"/>
          <w:sz w:val="32"/>
          <w:szCs w:val="32"/>
          <w:lang w:val="zh-CN"/>
        </w:rPr>
      </w:pPr>
    </w:p>
    <w:p w14:paraId="098686EA">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w:t>
      </w:r>
      <w:r>
        <w:rPr>
          <w:rFonts w:hint="eastAsia" w:ascii="宋体" w:hAnsi="宋体" w:cs="宋体"/>
          <w:b/>
          <w:color w:val="auto"/>
          <w:sz w:val="30"/>
          <w:szCs w:val="30"/>
          <w:lang w:eastAsia="zh-CN"/>
        </w:rPr>
        <w:t>供应商</w:t>
      </w:r>
      <w:r>
        <w:rPr>
          <w:rFonts w:hint="eastAsia" w:ascii="宋体" w:hAnsi="宋体" w:cs="宋体"/>
          <w:b/>
          <w:color w:val="auto"/>
          <w:sz w:val="30"/>
          <w:szCs w:val="30"/>
        </w:rPr>
        <w:t>参加投标）</w:t>
      </w:r>
    </w:p>
    <w:p w14:paraId="5DD2660A">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73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D176779">
            <w:pPr>
              <w:pStyle w:val="149"/>
              <w:adjustRightInd w:val="0"/>
              <w:spacing w:line="360" w:lineRule="auto"/>
              <w:rPr>
                <w:rFonts w:hAnsi="宋体" w:cs="宋体"/>
                <w:bCs/>
                <w:color w:val="auto"/>
                <w:sz w:val="24"/>
              </w:rPr>
            </w:pPr>
            <w:r>
              <w:rPr>
                <w:rFonts w:hint="eastAsia" w:hAnsi="宋体" w:cs="宋体"/>
                <w:bCs/>
                <w:color w:val="auto"/>
                <w:sz w:val="24"/>
              </w:rPr>
              <w:t>正面：                                 反面：</w:t>
            </w:r>
          </w:p>
          <w:p w14:paraId="0FF5877A">
            <w:pPr>
              <w:pStyle w:val="149"/>
              <w:adjustRightInd w:val="0"/>
              <w:spacing w:line="360" w:lineRule="auto"/>
              <w:rPr>
                <w:rFonts w:hAnsi="宋体" w:cs="宋体"/>
                <w:bCs/>
                <w:color w:val="auto"/>
                <w:sz w:val="24"/>
              </w:rPr>
            </w:pPr>
          </w:p>
        </w:tc>
      </w:tr>
    </w:tbl>
    <w:p w14:paraId="77BBA889">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BD6A2CD">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                              </w:t>
      </w:r>
    </w:p>
    <w:p w14:paraId="2AEAD11B">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C28400C">
      <w:pPr>
        <w:jc w:val="center"/>
        <w:rPr>
          <w:rFonts w:ascii="宋体" w:hAnsi="宋体" w:cs="宋体"/>
          <w:b/>
          <w:color w:val="auto"/>
          <w:kern w:val="0"/>
          <w:sz w:val="32"/>
          <w:szCs w:val="32"/>
        </w:rPr>
      </w:pPr>
    </w:p>
    <w:p w14:paraId="748A75D8">
      <w:pPr>
        <w:jc w:val="center"/>
        <w:rPr>
          <w:rFonts w:ascii="宋体" w:hAnsi="宋体" w:cs="宋体"/>
          <w:b/>
          <w:color w:val="auto"/>
          <w:kern w:val="0"/>
          <w:sz w:val="32"/>
          <w:szCs w:val="32"/>
        </w:rPr>
      </w:pPr>
    </w:p>
    <w:p w14:paraId="0AA55EB5">
      <w:pPr>
        <w:jc w:val="center"/>
        <w:rPr>
          <w:rFonts w:ascii="宋体" w:hAnsi="宋体" w:cs="宋体"/>
          <w:b/>
          <w:color w:val="auto"/>
          <w:kern w:val="0"/>
          <w:sz w:val="32"/>
          <w:szCs w:val="32"/>
        </w:rPr>
      </w:pPr>
    </w:p>
    <w:p w14:paraId="5E322C92">
      <w:pPr>
        <w:jc w:val="center"/>
        <w:rPr>
          <w:rFonts w:ascii="宋体" w:hAnsi="宋体" w:cs="宋体"/>
          <w:b/>
          <w:color w:val="auto"/>
          <w:kern w:val="0"/>
          <w:sz w:val="32"/>
          <w:szCs w:val="32"/>
        </w:rPr>
      </w:pPr>
    </w:p>
    <w:p w14:paraId="5F584E30">
      <w:pPr>
        <w:jc w:val="center"/>
        <w:rPr>
          <w:rFonts w:ascii="宋体" w:hAnsi="宋体" w:cs="宋体"/>
          <w:b/>
          <w:color w:val="auto"/>
          <w:kern w:val="0"/>
          <w:sz w:val="32"/>
          <w:szCs w:val="32"/>
        </w:rPr>
      </w:pPr>
    </w:p>
    <w:p w14:paraId="2D274745">
      <w:pPr>
        <w:jc w:val="center"/>
        <w:rPr>
          <w:rFonts w:ascii="宋体" w:hAnsi="宋体" w:cs="宋体"/>
          <w:b/>
          <w:color w:val="auto"/>
          <w:kern w:val="0"/>
          <w:sz w:val="32"/>
          <w:szCs w:val="32"/>
        </w:rPr>
      </w:pPr>
    </w:p>
    <w:p w14:paraId="4377EA38">
      <w:pPr>
        <w:jc w:val="center"/>
        <w:rPr>
          <w:rFonts w:ascii="宋体" w:hAnsi="宋体" w:cs="宋体"/>
          <w:b/>
          <w:color w:val="auto"/>
          <w:kern w:val="0"/>
          <w:sz w:val="32"/>
          <w:szCs w:val="32"/>
        </w:rPr>
      </w:pPr>
    </w:p>
    <w:p w14:paraId="41748ECA">
      <w:pPr>
        <w:jc w:val="center"/>
        <w:rPr>
          <w:rFonts w:ascii="宋体" w:hAnsi="宋体" w:cs="宋体"/>
          <w:b/>
          <w:color w:val="auto"/>
          <w:kern w:val="0"/>
          <w:sz w:val="32"/>
          <w:szCs w:val="32"/>
        </w:rPr>
      </w:pPr>
    </w:p>
    <w:p w14:paraId="7319134E">
      <w:pPr>
        <w:jc w:val="center"/>
        <w:rPr>
          <w:rFonts w:ascii="宋体" w:hAnsi="宋体" w:cs="宋体"/>
          <w:b/>
          <w:color w:val="auto"/>
          <w:kern w:val="0"/>
          <w:sz w:val="32"/>
          <w:szCs w:val="32"/>
        </w:rPr>
      </w:pPr>
    </w:p>
    <w:p w14:paraId="584ECA4C">
      <w:pPr>
        <w:jc w:val="center"/>
        <w:rPr>
          <w:rFonts w:ascii="宋体" w:hAnsi="宋体" w:cs="宋体"/>
          <w:b/>
          <w:color w:val="auto"/>
          <w:kern w:val="0"/>
          <w:sz w:val="32"/>
          <w:szCs w:val="32"/>
        </w:rPr>
      </w:pPr>
    </w:p>
    <w:p w14:paraId="6480EFE1">
      <w:pPr>
        <w:snapToGrid w:val="0"/>
        <w:spacing w:line="360" w:lineRule="auto"/>
        <w:ind w:right="480"/>
        <w:rPr>
          <w:rFonts w:ascii="宋体" w:hAnsi="宋体" w:cs="宋体"/>
          <w:b/>
          <w:color w:val="auto"/>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28BCADB">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538ACBB8">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w:t>
      </w:r>
      <w:r>
        <w:rPr>
          <w:rFonts w:hint="eastAsia" w:ascii="宋体" w:hAnsi="宋体" w:cs="宋体"/>
          <w:b/>
          <w:color w:val="auto"/>
          <w:sz w:val="24"/>
          <w:lang w:eastAsia="zh-CN"/>
        </w:rPr>
        <w:t>招标人</w:t>
      </w:r>
      <w:r>
        <w:rPr>
          <w:rFonts w:hint="eastAsia" w:ascii="宋体" w:hAnsi="宋体" w:cs="宋体"/>
          <w:b/>
          <w:color w:val="auto"/>
          <w:sz w:val="24"/>
        </w:rPr>
        <w:t>不同意分包或者</w:t>
      </w:r>
      <w:r>
        <w:rPr>
          <w:rFonts w:hint="eastAsia" w:ascii="宋体" w:hAnsi="宋体" w:cs="宋体"/>
          <w:b/>
          <w:color w:val="auto"/>
          <w:sz w:val="24"/>
          <w:lang w:eastAsia="zh-CN"/>
        </w:rPr>
        <w:t>供应商</w:t>
      </w:r>
      <w:r>
        <w:rPr>
          <w:rFonts w:hint="eastAsia" w:ascii="宋体" w:hAnsi="宋体" w:cs="宋体"/>
          <w:b/>
          <w:color w:val="auto"/>
          <w:sz w:val="24"/>
        </w:rPr>
        <w:t>中标后不以分包方式履行合同的，则不需要提供。</w:t>
      </w:r>
      <w:r>
        <w:rPr>
          <w:rFonts w:hint="eastAsia" w:ascii="宋体" w:hAnsi="宋体" w:cs="宋体"/>
          <w:color w:val="auto"/>
          <w:sz w:val="24"/>
        </w:rPr>
        <w:t>]</w:t>
      </w:r>
    </w:p>
    <w:p w14:paraId="01CB3137">
      <w:pPr>
        <w:snapToGrid w:val="0"/>
        <w:spacing w:line="360" w:lineRule="auto"/>
        <w:rPr>
          <w:rFonts w:ascii="宋体" w:hAnsi="宋体" w:cs="宋体"/>
          <w:color w:val="auto"/>
          <w:kern w:val="0"/>
          <w:sz w:val="24"/>
        </w:rPr>
      </w:pPr>
    </w:p>
    <w:p w14:paraId="273F0177">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5E2BB77D">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EF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17EBC052">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0AACDE86">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232C6217">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4D877EC8">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117AA3E4">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5A08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115343">
            <w:pPr>
              <w:jc w:val="center"/>
              <w:rPr>
                <w:rFonts w:ascii="宋体" w:hAnsi="宋体" w:cs="宋体"/>
                <w:color w:val="auto"/>
                <w:sz w:val="24"/>
              </w:rPr>
            </w:pPr>
            <w:r>
              <w:rPr>
                <w:rFonts w:hint="eastAsia" w:ascii="宋体" w:hAnsi="宋体" w:cs="宋体"/>
                <w:color w:val="auto"/>
                <w:sz w:val="24"/>
              </w:rPr>
              <w:t>1</w:t>
            </w:r>
          </w:p>
        </w:tc>
        <w:tc>
          <w:tcPr>
            <w:tcW w:w="4991" w:type="dxa"/>
          </w:tcPr>
          <w:p w14:paraId="7E342720">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20055E5D">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7E763790">
            <w:pPr>
              <w:rPr>
                <w:rFonts w:ascii="宋体" w:hAnsi="宋体" w:cs="宋体"/>
                <w:color w:val="auto"/>
                <w:sz w:val="24"/>
              </w:rPr>
            </w:pPr>
          </w:p>
          <w:p w14:paraId="5ED656ED">
            <w:pPr>
              <w:rPr>
                <w:rFonts w:ascii="宋体" w:hAnsi="宋体" w:cs="宋体"/>
                <w:color w:val="auto"/>
                <w:sz w:val="24"/>
              </w:rPr>
            </w:pPr>
            <w:r>
              <w:rPr>
                <w:rFonts w:hint="eastAsia" w:ascii="宋体" w:hAnsi="宋体" w:cs="宋体"/>
                <w:color w:val="auto"/>
                <w:sz w:val="24"/>
              </w:rPr>
              <w:t>见投标文件</w:t>
            </w:r>
          </w:p>
          <w:p w14:paraId="2E7D17DC">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7B21F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95849D">
            <w:pPr>
              <w:jc w:val="center"/>
              <w:rPr>
                <w:rFonts w:ascii="宋体" w:hAnsi="宋体" w:cs="宋体"/>
                <w:color w:val="auto"/>
                <w:sz w:val="24"/>
              </w:rPr>
            </w:pPr>
            <w:r>
              <w:rPr>
                <w:rFonts w:hint="eastAsia" w:ascii="宋体" w:hAnsi="宋体" w:cs="宋体"/>
                <w:color w:val="auto"/>
                <w:sz w:val="24"/>
              </w:rPr>
              <w:t>2</w:t>
            </w:r>
          </w:p>
        </w:tc>
        <w:tc>
          <w:tcPr>
            <w:tcW w:w="4991" w:type="dxa"/>
          </w:tcPr>
          <w:p w14:paraId="4903FD6B">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68571348">
            <w:pPr>
              <w:rPr>
                <w:rFonts w:ascii="宋体" w:hAnsi="宋体" w:cs="宋体"/>
                <w:color w:val="auto"/>
                <w:sz w:val="24"/>
              </w:rPr>
            </w:pPr>
            <w:r>
              <w:rPr>
                <w:rFonts w:hint="eastAsia" w:ascii="宋体" w:hAnsi="宋体" w:cs="宋体"/>
                <w:color w:val="auto"/>
                <w:sz w:val="24"/>
              </w:rPr>
              <w:t>投标函</w:t>
            </w:r>
          </w:p>
        </w:tc>
        <w:tc>
          <w:tcPr>
            <w:tcW w:w="1418" w:type="dxa"/>
          </w:tcPr>
          <w:p w14:paraId="73810F16">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C7A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30B7B0">
            <w:pPr>
              <w:jc w:val="center"/>
              <w:rPr>
                <w:rFonts w:ascii="宋体" w:hAnsi="宋体" w:cs="宋体"/>
                <w:color w:val="auto"/>
                <w:sz w:val="24"/>
              </w:rPr>
            </w:pPr>
            <w:r>
              <w:rPr>
                <w:rFonts w:hint="eastAsia" w:ascii="宋体" w:hAnsi="宋体" w:cs="宋体"/>
                <w:color w:val="auto"/>
                <w:sz w:val="24"/>
              </w:rPr>
              <w:t>3</w:t>
            </w:r>
          </w:p>
        </w:tc>
        <w:tc>
          <w:tcPr>
            <w:tcW w:w="4991" w:type="dxa"/>
          </w:tcPr>
          <w:p w14:paraId="2A225557">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399A5048">
            <w:pPr>
              <w:rPr>
                <w:rFonts w:ascii="宋体" w:hAnsi="宋体" w:cs="宋体"/>
                <w:color w:val="auto"/>
                <w:sz w:val="24"/>
              </w:rPr>
            </w:pPr>
            <w:r>
              <w:rPr>
                <w:rFonts w:hint="eastAsia" w:ascii="宋体" w:hAnsi="宋体" w:cs="宋体"/>
                <w:color w:val="auto"/>
                <w:kern w:val="0"/>
                <w:sz w:val="24"/>
              </w:rPr>
              <w:t>招标文件其它实质性要求相应的材料（“</w:t>
            </w:r>
            <w:r>
              <w:rPr>
                <w:rFonts w:hint="eastAsia" w:ascii="宋体" w:hAnsi="宋体" w:cs="宋体"/>
                <w:color w:val="auto"/>
                <w:kern w:val="0"/>
                <w:sz w:val="24"/>
                <w:lang w:eastAsia="zh-CN"/>
              </w:rPr>
              <w:t>★</w:t>
            </w:r>
            <w:r>
              <w:rPr>
                <w:rFonts w:hint="eastAsia" w:ascii="宋体" w:hAnsi="宋体" w:cs="宋体"/>
                <w:color w:val="auto"/>
                <w:kern w:val="0"/>
                <w:sz w:val="24"/>
              </w:rPr>
              <w:t>” 系指实质性要求条款，招标文件无其它实质性要求的，无需提供）</w:t>
            </w:r>
          </w:p>
        </w:tc>
        <w:tc>
          <w:tcPr>
            <w:tcW w:w="1418" w:type="dxa"/>
          </w:tcPr>
          <w:p w14:paraId="39ACA0BF">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5862551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2144283">
      <w:pPr>
        <w:jc w:val="center"/>
        <w:rPr>
          <w:rFonts w:ascii="宋体" w:hAnsi="宋体" w:cs="宋体"/>
          <w:b/>
          <w:color w:val="auto"/>
          <w:kern w:val="0"/>
          <w:sz w:val="32"/>
          <w:szCs w:val="32"/>
        </w:rPr>
      </w:pPr>
    </w:p>
    <w:p w14:paraId="4832648E">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795B1773">
      <w:pPr>
        <w:jc w:val="center"/>
        <w:rPr>
          <w:rFonts w:ascii="宋体" w:hAnsi="宋体" w:cs="宋体"/>
          <w:b/>
          <w:color w:val="auto"/>
          <w:kern w:val="0"/>
          <w:sz w:val="32"/>
          <w:szCs w:val="32"/>
        </w:rPr>
      </w:pPr>
    </w:p>
    <w:p w14:paraId="02A6A248">
      <w:pPr>
        <w:jc w:val="center"/>
        <w:rPr>
          <w:rFonts w:ascii="宋体" w:hAnsi="宋体" w:cs="宋体"/>
          <w:b/>
          <w:color w:val="auto"/>
          <w:kern w:val="0"/>
          <w:sz w:val="32"/>
          <w:szCs w:val="32"/>
        </w:rPr>
      </w:pPr>
    </w:p>
    <w:p w14:paraId="4F27045B">
      <w:pPr>
        <w:jc w:val="center"/>
        <w:rPr>
          <w:rFonts w:ascii="宋体" w:hAnsi="宋体" w:cs="宋体"/>
          <w:b/>
          <w:color w:val="auto"/>
          <w:kern w:val="0"/>
          <w:sz w:val="32"/>
          <w:szCs w:val="32"/>
        </w:rPr>
      </w:pPr>
    </w:p>
    <w:p w14:paraId="4B66C4E7">
      <w:pPr>
        <w:jc w:val="center"/>
        <w:rPr>
          <w:rFonts w:ascii="宋体" w:hAnsi="宋体" w:cs="宋体"/>
          <w:b/>
          <w:color w:val="auto"/>
          <w:kern w:val="0"/>
          <w:sz w:val="32"/>
          <w:szCs w:val="32"/>
        </w:rPr>
      </w:pPr>
    </w:p>
    <w:p w14:paraId="28C5C51E">
      <w:pPr>
        <w:jc w:val="center"/>
        <w:rPr>
          <w:rFonts w:ascii="宋体" w:hAnsi="宋体" w:cs="宋体"/>
          <w:b/>
          <w:color w:val="auto"/>
          <w:kern w:val="0"/>
          <w:sz w:val="32"/>
          <w:szCs w:val="32"/>
        </w:rPr>
      </w:pPr>
    </w:p>
    <w:p w14:paraId="176BC025">
      <w:pPr>
        <w:jc w:val="center"/>
        <w:rPr>
          <w:rFonts w:ascii="宋体" w:hAnsi="宋体" w:cs="宋体"/>
          <w:b/>
          <w:color w:val="auto"/>
          <w:kern w:val="0"/>
          <w:sz w:val="32"/>
          <w:szCs w:val="32"/>
        </w:rPr>
      </w:pPr>
    </w:p>
    <w:p w14:paraId="364B7F32">
      <w:pPr>
        <w:jc w:val="center"/>
        <w:rPr>
          <w:rFonts w:ascii="宋体" w:hAnsi="宋体" w:cs="宋体"/>
          <w:b/>
          <w:color w:val="auto"/>
          <w:kern w:val="0"/>
          <w:sz w:val="32"/>
          <w:szCs w:val="32"/>
        </w:rPr>
      </w:pPr>
    </w:p>
    <w:p w14:paraId="11E2E470">
      <w:pPr>
        <w:jc w:val="center"/>
        <w:rPr>
          <w:rFonts w:ascii="宋体" w:hAnsi="宋体" w:cs="宋体"/>
          <w:b/>
          <w:color w:val="auto"/>
          <w:kern w:val="0"/>
          <w:sz w:val="32"/>
          <w:szCs w:val="32"/>
        </w:rPr>
      </w:pPr>
    </w:p>
    <w:p w14:paraId="346388F6">
      <w:pPr>
        <w:jc w:val="center"/>
        <w:rPr>
          <w:rFonts w:ascii="宋体" w:hAnsi="宋体" w:cs="宋体"/>
          <w:b/>
          <w:color w:val="auto"/>
          <w:kern w:val="0"/>
          <w:sz w:val="32"/>
          <w:szCs w:val="32"/>
        </w:rPr>
      </w:pPr>
    </w:p>
    <w:p w14:paraId="0D935449">
      <w:pPr>
        <w:jc w:val="center"/>
        <w:rPr>
          <w:rFonts w:ascii="宋体" w:hAnsi="宋体" w:cs="宋体"/>
          <w:b/>
          <w:color w:val="auto"/>
          <w:kern w:val="0"/>
          <w:sz w:val="32"/>
          <w:szCs w:val="32"/>
        </w:rPr>
      </w:pPr>
    </w:p>
    <w:p w14:paraId="272C930F">
      <w:pPr>
        <w:jc w:val="center"/>
        <w:rPr>
          <w:rFonts w:ascii="宋体" w:hAnsi="宋体" w:cs="宋体"/>
          <w:b/>
          <w:color w:val="auto"/>
          <w:kern w:val="0"/>
          <w:sz w:val="32"/>
          <w:szCs w:val="32"/>
        </w:rPr>
      </w:pPr>
    </w:p>
    <w:p w14:paraId="2E8DBB76">
      <w:pPr>
        <w:jc w:val="center"/>
        <w:rPr>
          <w:rFonts w:ascii="宋体" w:hAnsi="宋体" w:cs="宋体"/>
          <w:b/>
          <w:color w:val="auto"/>
          <w:kern w:val="0"/>
          <w:sz w:val="32"/>
          <w:szCs w:val="32"/>
        </w:rPr>
      </w:pPr>
    </w:p>
    <w:p w14:paraId="35FB8202">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38BE6A0A">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5FBCD764">
      <w:pPr>
        <w:jc w:val="center"/>
        <w:rPr>
          <w:rFonts w:ascii="宋体" w:hAnsi="宋体" w:cs="宋体"/>
          <w:b/>
          <w:color w:val="auto"/>
          <w:kern w:val="0"/>
          <w:sz w:val="32"/>
          <w:szCs w:val="32"/>
        </w:rPr>
      </w:pPr>
    </w:p>
    <w:p w14:paraId="1B9504A7">
      <w:pPr>
        <w:jc w:val="center"/>
        <w:rPr>
          <w:rFonts w:ascii="宋体" w:hAnsi="宋体" w:cs="宋体"/>
          <w:b/>
          <w:color w:val="auto"/>
          <w:kern w:val="0"/>
          <w:sz w:val="32"/>
          <w:szCs w:val="32"/>
        </w:rPr>
      </w:pPr>
    </w:p>
    <w:p w14:paraId="35620FC7">
      <w:pPr>
        <w:jc w:val="center"/>
        <w:rPr>
          <w:rFonts w:ascii="宋体" w:hAnsi="宋体" w:cs="宋体"/>
          <w:b/>
          <w:color w:val="auto"/>
          <w:kern w:val="0"/>
          <w:sz w:val="32"/>
          <w:szCs w:val="32"/>
        </w:rPr>
      </w:pPr>
    </w:p>
    <w:p w14:paraId="3456BDF8">
      <w:pPr>
        <w:jc w:val="center"/>
        <w:rPr>
          <w:rFonts w:ascii="宋体" w:hAnsi="宋体" w:cs="宋体"/>
          <w:b/>
          <w:color w:val="auto"/>
          <w:kern w:val="0"/>
          <w:sz w:val="32"/>
          <w:szCs w:val="32"/>
        </w:rPr>
      </w:pPr>
      <w:r>
        <w:rPr>
          <w:rFonts w:hint="eastAsia" w:ascii="宋体" w:hAnsi="宋体" w:cs="宋体"/>
          <w:b/>
          <w:color w:val="auto"/>
          <w:kern w:val="0"/>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DD7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CE108D">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6685E75B">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2B301EBE">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4BA94D6A">
            <w:pPr>
              <w:jc w:val="center"/>
              <w:rPr>
                <w:rFonts w:ascii="宋体" w:hAnsi="宋体" w:cs="宋体"/>
                <w:b/>
                <w:bCs/>
                <w:color w:val="auto"/>
                <w:sz w:val="24"/>
              </w:rPr>
            </w:pPr>
            <w:r>
              <w:rPr>
                <w:rFonts w:hint="eastAsia" w:ascii="宋体" w:hAnsi="宋体" w:cs="宋体"/>
                <w:b/>
                <w:bCs/>
                <w:color w:val="auto"/>
                <w:sz w:val="24"/>
              </w:rPr>
              <w:t>偏离说明</w:t>
            </w:r>
          </w:p>
        </w:tc>
      </w:tr>
      <w:tr w14:paraId="0C6C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DF7E1C">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3C315D58">
            <w:pPr>
              <w:jc w:val="center"/>
              <w:rPr>
                <w:rFonts w:ascii="宋体" w:hAnsi="宋体" w:cs="宋体"/>
                <w:b/>
                <w:color w:val="auto"/>
                <w:kern w:val="0"/>
                <w:sz w:val="32"/>
                <w:szCs w:val="32"/>
              </w:rPr>
            </w:pPr>
          </w:p>
        </w:tc>
        <w:tc>
          <w:tcPr>
            <w:tcW w:w="3546" w:type="dxa"/>
          </w:tcPr>
          <w:p w14:paraId="05151194">
            <w:pPr>
              <w:jc w:val="center"/>
              <w:rPr>
                <w:rFonts w:ascii="宋体" w:hAnsi="宋体" w:cs="宋体"/>
                <w:b/>
                <w:color w:val="auto"/>
                <w:kern w:val="0"/>
                <w:sz w:val="32"/>
                <w:szCs w:val="32"/>
              </w:rPr>
            </w:pPr>
          </w:p>
        </w:tc>
        <w:tc>
          <w:tcPr>
            <w:tcW w:w="1276" w:type="dxa"/>
          </w:tcPr>
          <w:p w14:paraId="21C3C285">
            <w:pPr>
              <w:jc w:val="center"/>
              <w:rPr>
                <w:rFonts w:ascii="宋体" w:hAnsi="宋体" w:cs="宋体"/>
                <w:b/>
                <w:color w:val="auto"/>
                <w:kern w:val="0"/>
                <w:sz w:val="32"/>
                <w:szCs w:val="32"/>
              </w:rPr>
            </w:pPr>
          </w:p>
        </w:tc>
      </w:tr>
      <w:tr w14:paraId="638A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2938D4">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729C1A52">
            <w:pPr>
              <w:jc w:val="center"/>
              <w:rPr>
                <w:rFonts w:ascii="宋体" w:hAnsi="宋体" w:cs="宋体"/>
                <w:b/>
                <w:color w:val="auto"/>
                <w:kern w:val="0"/>
                <w:sz w:val="32"/>
                <w:szCs w:val="32"/>
              </w:rPr>
            </w:pPr>
          </w:p>
        </w:tc>
        <w:tc>
          <w:tcPr>
            <w:tcW w:w="3546" w:type="dxa"/>
          </w:tcPr>
          <w:p w14:paraId="61870F19">
            <w:pPr>
              <w:jc w:val="center"/>
              <w:rPr>
                <w:rFonts w:ascii="宋体" w:hAnsi="宋体" w:cs="宋体"/>
                <w:b/>
                <w:color w:val="auto"/>
                <w:kern w:val="0"/>
                <w:sz w:val="32"/>
                <w:szCs w:val="32"/>
              </w:rPr>
            </w:pPr>
          </w:p>
        </w:tc>
        <w:tc>
          <w:tcPr>
            <w:tcW w:w="1276" w:type="dxa"/>
          </w:tcPr>
          <w:p w14:paraId="0D6DCAF3">
            <w:pPr>
              <w:jc w:val="center"/>
              <w:rPr>
                <w:rFonts w:ascii="宋体" w:hAnsi="宋体" w:cs="宋体"/>
                <w:b/>
                <w:color w:val="auto"/>
                <w:kern w:val="0"/>
                <w:sz w:val="32"/>
                <w:szCs w:val="32"/>
              </w:rPr>
            </w:pPr>
          </w:p>
        </w:tc>
      </w:tr>
      <w:tr w14:paraId="113C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6F2E40">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0946C1BD">
            <w:pPr>
              <w:jc w:val="center"/>
              <w:rPr>
                <w:rFonts w:ascii="宋体" w:hAnsi="宋体" w:cs="宋体"/>
                <w:b/>
                <w:color w:val="auto"/>
                <w:kern w:val="0"/>
                <w:sz w:val="32"/>
                <w:szCs w:val="32"/>
              </w:rPr>
            </w:pPr>
          </w:p>
        </w:tc>
        <w:tc>
          <w:tcPr>
            <w:tcW w:w="3546" w:type="dxa"/>
          </w:tcPr>
          <w:p w14:paraId="6CE6C6AE">
            <w:pPr>
              <w:jc w:val="center"/>
              <w:rPr>
                <w:rFonts w:ascii="宋体" w:hAnsi="宋体" w:cs="宋体"/>
                <w:b/>
                <w:color w:val="auto"/>
                <w:kern w:val="0"/>
                <w:sz w:val="32"/>
                <w:szCs w:val="32"/>
              </w:rPr>
            </w:pPr>
          </w:p>
        </w:tc>
        <w:tc>
          <w:tcPr>
            <w:tcW w:w="1276" w:type="dxa"/>
          </w:tcPr>
          <w:p w14:paraId="4831B42B">
            <w:pPr>
              <w:jc w:val="center"/>
              <w:rPr>
                <w:rFonts w:ascii="宋体" w:hAnsi="宋体" w:cs="宋体"/>
                <w:b/>
                <w:color w:val="auto"/>
                <w:kern w:val="0"/>
                <w:sz w:val="32"/>
                <w:szCs w:val="32"/>
              </w:rPr>
            </w:pPr>
          </w:p>
        </w:tc>
      </w:tr>
    </w:tbl>
    <w:p w14:paraId="28D8E606">
      <w:pPr>
        <w:jc w:val="left"/>
        <w:rPr>
          <w:rFonts w:ascii="宋体" w:hAnsi="宋体" w:cs="宋体"/>
          <w:color w:val="auto"/>
          <w:kern w:val="0"/>
          <w:sz w:val="24"/>
        </w:rPr>
      </w:pPr>
      <w:r>
        <w:rPr>
          <w:rFonts w:hint="eastAsia" w:ascii="宋体" w:hAnsi="宋体" w:cs="宋体"/>
          <w:color w:val="auto"/>
          <w:kern w:val="0"/>
          <w:sz w:val="24"/>
          <w:lang w:eastAsia="zh-CN"/>
        </w:rPr>
        <w:t>供应商</w:t>
      </w:r>
      <w:r>
        <w:rPr>
          <w:rFonts w:hint="eastAsia" w:ascii="宋体" w:hAnsi="宋体" w:cs="宋体"/>
          <w:color w:val="auto"/>
          <w:kern w:val="0"/>
          <w:sz w:val="24"/>
        </w:rPr>
        <w:t>保证：除商务技术偏离表列出的偏离外，</w:t>
      </w:r>
      <w:r>
        <w:rPr>
          <w:rFonts w:hint="eastAsia" w:ascii="宋体" w:hAnsi="宋体" w:cs="宋体"/>
          <w:color w:val="auto"/>
          <w:kern w:val="0"/>
          <w:sz w:val="24"/>
          <w:lang w:eastAsia="zh-CN"/>
        </w:rPr>
        <w:t>供应商</w:t>
      </w:r>
      <w:r>
        <w:rPr>
          <w:rFonts w:hint="eastAsia" w:ascii="宋体" w:hAnsi="宋体" w:cs="宋体"/>
          <w:color w:val="auto"/>
          <w:kern w:val="0"/>
          <w:sz w:val="24"/>
        </w:rPr>
        <w:t>响应招标文件的全部要求</w:t>
      </w:r>
    </w:p>
    <w:p w14:paraId="31BB6289">
      <w:pPr>
        <w:jc w:val="center"/>
        <w:rPr>
          <w:rFonts w:ascii="宋体" w:hAnsi="宋体" w:cs="宋体"/>
          <w:b/>
          <w:color w:val="auto"/>
          <w:kern w:val="0"/>
          <w:sz w:val="32"/>
          <w:szCs w:val="32"/>
        </w:rPr>
      </w:pPr>
    </w:p>
    <w:p w14:paraId="6F0E040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BE0DB45">
      <w:pPr>
        <w:ind w:firstLine="1911" w:firstLineChars="595"/>
        <w:rPr>
          <w:rFonts w:ascii="宋体" w:hAnsi="宋体" w:cs="宋体"/>
          <w:b/>
          <w:bCs/>
          <w:color w:val="auto"/>
          <w:sz w:val="32"/>
          <w:szCs w:val="32"/>
        </w:rPr>
      </w:pPr>
    </w:p>
    <w:p w14:paraId="1897D8E4">
      <w:pPr>
        <w:ind w:firstLine="1911" w:firstLineChars="595"/>
        <w:rPr>
          <w:rFonts w:ascii="宋体" w:hAnsi="宋体" w:cs="宋体"/>
          <w:b/>
          <w:bCs/>
          <w:color w:val="auto"/>
          <w:sz w:val="32"/>
          <w:szCs w:val="32"/>
        </w:rPr>
      </w:pPr>
    </w:p>
    <w:p w14:paraId="47FFCBB7">
      <w:pPr>
        <w:ind w:firstLine="1911" w:firstLineChars="595"/>
        <w:rPr>
          <w:rFonts w:ascii="宋体" w:hAnsi="宋体" w:cs="宋体"/>
          <w:b/>
          <w:bCs/>
          <w:color w:val="auto"/>
          <w:sz w:val="32"/>
          <w:szCs w:val="32"/>
        </w:rPr>
      </w:pPr>
    </w:p>
    <w:p w14:paraId="5256FBA0">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13A071C3">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七</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1250CB88">
      <w:pPr>
        <w:snapToGrid w:val="0"/>
        <w:spacing w:line="360" w:lineRule="auto"/>
        <w:rPr>
          <w:rFonts w:ascii="宋体" w:hAnsi="宋体" w:cs="宋体"/>
          <w:color w:val="auto"/>
          <w:sz w:val="24"/>
        </w:rPr>
      </w:pPr>
    </w:p>
    <w:p w14:paraId="01B7EDD7">
      <w:pPr>
        <w:snapToGrid w:val="0"/>
        <w:spacing w:line="360" w:lineRule="auto"/>
        <w:rPr>
          <w:rFonts w:ascii="宋体" w:hAnsi="宋体" w:cs="宋体"/>
          <w:color w:val="auto"/>
          <w:kern w:val="0"/>
          <w:sz w:val="24"/>
        </w:rPr>
      </w:pPr>
      <w:r>
        <w:rPr>
          <w:rFonts w:hint="eastAsia" w:ascii="宋体" w:hAnsi="宋体" w:cs="宋体"/>
          <w:color w:val="auto"/>
          <w:sz w:val="24"/>
          <w:lang w:eastAsia="zh-CN"/>
        </w:rPr>
        <w:t>宁波市海曙区水务设施管理中心</w:t>
      </w:r>
      <w:r>
        <w:rPr>
          <w:rFonts w:hint="eastAsia" w:ascii="宋体" w:hAnsi="宋体" w:cs="宋体"/>
          <w:color w:val="auto"/>
          <w:sz w:val="24"/>
        </w:rPr>
        <w:t>、宁波中基国际招标有限公司</w:t>
      </w:r>
      <w:r>
        <w:rPr>
          <w:rFonts w:hint="eastAsia" w:ascii="宋体" w:hAnsi="宋体" w:cs="宋体"/>
          <w:color w:val="auto"/>
          <w:kern w:val="0"/>
          <w:sz w:val="24"/>
          <w:lang w:val="zh-CN"/>
        </w:rPr>
        <w:t>：</w:t>
      </w:r>
    </w:p>
    <w:p w14:paraId="7B0F67D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2DFF9AB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1730B50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5F24EC3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25896BE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15AACCE7">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2D6CBAC7">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6C7C6A14">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59A0DA65">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5D6E4DE1">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w:t>
      </w:r>
      <w:r>
        <w:rPr>
          <w:rFonts w:hint="eastAsia" w:ascii="宋体" w:hAnsi="宋体" w:cs="宋体"/>
          <w:color w:val="auto"/>
          <w:kern w:val="0"/>
          <w:sz w:val="24"/>
        </w:rPr>
        <w:t>区</w:t>
      </w:r>
      <w:r>
        <w:rPr>
          <w:rFonts w:hint="eastAsia" w:ascii="宋体" w:hAnsi="宋体" w:cs="宋体"/>
          <w:color w:val="auto"/>
          <w:kern w:val="0"/>
          <w:sz w:val="24"/>
          <w:lang w:val="zh-CN"/>
        </w:rPr>
        <w:t>财政局。由此引起的相应损失均由我单位承担。</w:t>
      </w:r>
    </w:p>
    <w:p w14:paraId="2E873761">
      <w:pPr>
        <w:autoSpaceDE w:val="0"/>
        <w:autoSpaceDN w:val="0"/>
        <w:spacing w:line="360" w:lineRule="auto"/>
        <w:ind w:left="2"/>
        <w:jc w:val="left"/>
        <w:rPr>
          <w:rFonts w:ascii="宋体" w:hAnsi="宋体" w:cs="宋体"/>
          <w:color w:val="auto"/>
          <w:kern w:val="0"/>
          <w:sz w:val="24"/>
          <w:lang w:val="zh-CN"/>
        </w:rPr>
      </w:pPr>
    </w:p>
    <w:p w14:paraId="31AF61B7">
      <w:pPr>
        <w:autoSpaceDE w:val="0"/>
        <w:autoSpaceDN w:val="0"/>
        <w:spacing w:line="360" w:lineRule="auto"/>
        <w:ind w:left="2"/>
        <w:jc w:val="left"/>
        <w:rPr>
          <w:rFonts w:ascii="宋体" w:hAnsi="宋体" w:cs="宋体"/>
          <w:color w:val="auto"/>
          <w:kern w:val="0"/>
          <w:sz w:val="24"/>
          <w:lang w:val="zh-CN"/>
        </w:rPr>
      </w:pPr>
    </w:p>
    <w:p w14:paraId="07590D78">
      <w:pPr>
        <w:autoSpaceDE w:val="0"/>
        <w:autoSpaceDN w:val="0"/>
        <w:spacing w:line="360" w:lineRule="auto"/>
        <w:ind w:left="2"/>
        <w:jc w:val="left"/>
        <w:rPr>
          <w:rFonts w:ascii="宋体" w:hAnsi="宋体" w:cs="宋体"/>
          <w:color w:val="auto"/>
          <w:kern w:val="0"/>
          <w:sz w:val="24"/>
          <w:lang w:val="zh-CN"/>
        </w:rPr>
      </w:pPr>
    </w:p>
    <w:p w14:paraId="10846AFD">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供应商名称（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4E994CA5">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7DBED973">
      <w:pPr>
        <w:spacing w:line="360" w:lineRule="auto"/>
        <w:jc w:val="center"/>
        <w:rPr>
          <w:rFonts w:ascii="宋体" w:hAnsi="宋体" w:cs="宋体"/>
          <w:b/>
          <w:bCs/>
          <w:color w:val="auto"/>
          <w:sz w:val="24"/>
        </w:rPr>
      </w:pPr>
    </w:p>
    <w:p w14:paraId="075FC64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659C831">
      <w:pPr>
        <w:spacing w:line="360" w:lineRule="auto"/>
        <w:jc w:val="center"/>
        <w:rPr>
          <w:rFonts w:ascii="宋体" w:hAnsi="宋体" w:cs="宋体"/>
          <w:b/>
          <w:bCs/>
          <w:color w:val="auto"/>
          <w:sz w:val="24"/>
        </w:rPr>
        <w:sectPr>
          <w:headerReference r:id="rId23" w:type="first"/>
          <w:footerReference r:id="rId25" w:type="first"/>
          <w:headerReference r:id="rId22" w:type="default"/>
          <w:footerReference r:id="rId2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DFF1D28">
      <w:pPr>
        <w:widowControl/>
        <w:snapToGrid w:val="0"/>
        <w:spacing w:before="120" w:beforeLines="50" w:after="50" w:afterLines="0"/>
        <w:jc w:val="left"/>
        <w:rPr>
          <w:rFonts w:hint="default" w:ascii="宋体" w:hAnsi="宋体" w:eastAsia="宋体" w:cs="宋体"/>
          <w:b/>
          <w:color w:val="auto"/>
          <w:kern w:val="0"/>
          <w:sz w:val="21"/>
          <w:szCs w:val="21"/>
        </w:rPr>
      </w:pPr>
      <w:bookmarkStart w:id="561" w:name="_Toc25942"/>
    </w:p>
    <w:p w14:paraId="19428C94">
      <w:pPr>
        <w:widowControl/>
        <w:snapToGrid w:val="0"/>
        <w:spacing w:before="120" w:beforeLines="50" w:after="50" w:afterLines="0"/>
        <w:jc w:val="left"/>
        <w:rPr>
          <w:rFonts w:hint="default" w:ascii="宋体" w:hAnsi="宋体" w:eastAsia="宋体" w:cs="宋体"/>
          <w:b/>
          <w:color w:val="auto"/>
          <w:kern w:val="0"/>
          <w:sz w:val="21"/>
          <w:szCs w:val="21"/>
        </w:rPr>
      </w:pPr>
    </w:p>
    <w:p w14:paraId="34AD0C9A">
      <w:pPr>
        <w:snapToGrid w:val="0"/>
        <w:spacing w:before="120" w:beforeLines="50" w:after="50" w:afterLines="0"/>
        <w:jc w:val="center"/>
        <w:rPr>
          <w:rFonts w:hint="eastAsia" w:ascii="宋体" w:hAnsi="宋体" w:eastAsia="宋体" w:cs="宋体"/>
          <w:b/>
          <w:color w:val="auto"/>
          <w:sz w:val="22"/>
          <w:szCs w:val="22"/>
          <w:lang w:eastAsia="zh-CN"/>
        </w:rPr>
      </w:pPr>
      <w:r>
        <w:rPr>
          <w:rFonts w:hint="eastAsia" w:ascii="宋体" w:hAnsi="宋体" w:eastAsia="宋体" w:cs="宋体"/>
          <w:b/>
          <w:color w:val="auto"/>
          <w:sz w:val="22"/>
          <w:szCs w:val="22"/>
          <w:lang w:val="en-US" w:eastAsia="zh-CN"/>
        </w:rPr>
        <w:t>八、</w:t>
      </w:r>
      <w:r>
        <w:rPr>
          <w:rFonts w:hint="default" w:ascii="宋体" w:hAnsi="宋体" w:eastAsia="宋体" w:cs="宋体"/>
          <w:b/>
          <w:color w:val="auto"/>
          <w:sz w:val="22"/>
          <w:szCs w:val="22"/>
        </w:rPr>
        <w:t>承诺书</w:t>
      </w:r>
    </w:p>
    <w:p w14:paraId="31DCFB22">
      <w:pPr>
        <w:spacing w:beforeLines="0" w:afterLines="0" w:line="360" w:lineRule="auto"/>
        <w:ind w:firstLine="105" w:firstLineChars="50"/>
        <w:rPr>
          <w:rFonts w:hint="default" w:ascii="宋体" w:hAnsi="宋体" w:eastAsia="宋体" w:cs="宋体"/>
          <w:color w:val="auto"/>
          <w:sz w:val="21"/>
          <w:szCs w:val="24"/>
        </w:rPr>
      </w:pPr>
      <w:r>
        <w:rPr>
          <w:rFonts w:hint="default" w:ascii="宋体" w:hAnsi="宋体" w:eastAsia="宋体" w:cs="宋体"/>
          <w:color w:val="auto"/>
          <w:sz w:val="21"/>
          <w:szCs w:val="24"/>
        </w:rPr>
        <w:t>我方郑重承诺：</w:t>
      </w:r>
    </w:p>
    <w:p w14:paraId="1FCD5A29">
      <w:pPr>
        <w:spacing w:beforeLines="0" w:afterLines="0" w:line="360" w:lineRule="auto"/>
        <w:ind w:firstLine="420"/>
        <w:rPr>
          <w:rFonts w:hint="default" w:ascii="宋体" w:hAnsi="宋体" w:eastAsia="宋体" w:cs="宋体"/>
          <w:color w:val="auto"/>
          <w:sz w:val="21"/>
          <w:szCs w:val="24"/>
        </w:rPr>
      </w:pPr>
    </w:p>
    <w:p w14:paraId="06F176C4">
      <w:pPr>
        <w:spacing w:beforeLines="0" w:afterLines="0" w:line="360" w:lineRule="auto"/>
        <w:ind w:firstLine="420"/>
        <w:rPr>
          <w:rFonts w:hint="default" w:ascii="宋体" w:hAnsi="宋体" w:eastAsia="宋体" w:cs="宋体"/>
          <w:color w:val="auto"/>
          <w:sz w:val="21"/>
          <w:szCs w:val="24"/>
        </w:rPr>
      </w:pPr>
      <w:r>
        <w:rPr>
          <w:rFonts w:hint="default" w:ascii="宋体" w:hAnsi="宋体" w:eastAsia="宋体" w:cs="宋体"/>
          <w:color w:val="auto"/>
          <w:sz w:val="21"/>
          <w:szCs w:val="24"/>
        </w:rPr>
        <w:t>1、我方理解本项目招标内容仅作为投标的依据，在实际操作中，有可能出现的养护和实施范围或数量的调整，我方充分理解，并承诺风险自负，会按调整后的范围和数量进行服务，并按中标单价按实际服务内容结算，并按相关规定执行。</w:t>
      </w:r>
    </w:p>
    <w:p w14:paraId="72269969">
      <w:pPr>
        <w:spacing w:beforeLines="0" w:afterLines="0" w:line="360" w:lineRule="auto"/>
        <w:ind w:firstLine="420"/>
        <w:rPr>
          <w:rFonts w:hint="default" w:ascii="宋体" w:hAnsi="宋体" w:eastAsia="宋体" w:cs="宋体"/>
          <w:color w:val="auto"/>
          <w:sz w:val="21"/>
          <w:szCs w:val="24"/>
        </w:rPr>
      </w:pPr>
      <w:r>
        <w:rPr>
          <w:rFonts w:hint="default" w:ascii="宋体" w:hAnsi="宋体" w:eastAsia="宋体" w:cs="宋体"/>
          <w:color w:val="auto"/>
          <w:sz w:val="21"/>
          <w:szCs w:val="24"/>
        </w:rPr>
        <w:t>2、若中标，在中标结果公示期满后5个工作日内，我方将拟投入本项目的设备设施，以及购置发票及相关技术资料提供给采购人。如未能按时提供上述资料，我方自愿放弃中标资格。</w:t>
      </w:r>
    </w:p>
    <w:p w14:paraId="7EB35BC9">
      <w:pPr>
        <w:spacing w:beforeLines="0" w:afterLines="0" w:line="360" w:lineRule="auto"/>
        <w:ind w:firstLine="420"/>
        <w:rPr>
          <w:rFonts w:hint="default" w:ascii="宋体" w:hAnsi="宋体" w:eastAsia="宋体" w:cs="宋体"/>
          <w:color w:val="auto"/>
          <w:sz w:val="21"/>
          <w:szCs w:val="24"/>
        </w:rPr>
      </w:pPr>
      <w:r>
        <w:rPr>
          <w:rFonts w:hint="default" w:ascii="宋体" w:hAnsi="宋体" w:eastAsia="宋体" w:cs="宋体"/>
          <w:color w:val="auto"/>
          <w:sz w:val="21"/>
          <w:szCs w:val="24"/>
        </w:rPr>
        <w:t>3、我方承诺为全体作业员工购买社保及人身意外险</w:t>
      </w:r>
      <w:r>
        <w:rPr>
          <w:rFonts w:hint="default" w:ascii="宋体" w:hAnsi="宋体" w:eastAsia="宋体" w:cs="宋体"/>
          <w:color w:val="auto"/>
          <w:sz w:val="21"/>
          <w:szCs w:val="21"/>
        </w:rPr>
        <w:t>并在中标后到采购人处备案</w:t>
      </w:r>
      <w:r>
        <w:rPr>
          <w:rFonts w:hint="default" w:ascii="宋体" w:hAnsi="宋体" w:eastAsia="宋体" w:cs="宋体"/>
          <w:color w:val="auto"/>
          <w:sz w:val="21"/>
          <w:szCs w:val="24"/>
        </w:rPr>
        <w:t>，重视安全生产工作，确保全年不出安全生产责任事故。对本项目服务范围内，由于我方养护或巡查不到位等发生意外事故造成第三者人身伤亡进行投保，费用计入本项目投标总价内。在养护过程中如发生人员伤亡的安全生产责任事故或交通事故或因养护、巡查不到位第三者人身伤亡，由我方承担一切责任及损失，</w:t>
      </w:r>
      <w:r>
        <w:rPr>
          <w:rFonts w:hint="default" w:ascii="宋体" w:hAnsi="宋体" w:eastAsia="宋体" w:cs="宋体"/>
          <w:color w:val="auto"/>
          <w:sz w:val="21"/>
          <w:szCs w:val="21"/>
        </w:rPr>
        <w:t>同时采购人有权终止合同，我方就此无异议。</w:t>
      </w:r>
    </w:p>
    <w:p w14:paraId="754F3959">
      <w:pPr>
        <w:spacing w:beforeLines="0" w:afterLines="0" w:line="360" w:lineRule="auto"/>
        <w:ind w:firstLine="420"/>
        <w:rPr>
          <w:rFonts w:hint="default" w:ascii="宋体" w:hAnsi="宋体" w:eastAsia="宋体" w:cs="宋体"/>
          <w:color w:val="auto"/>
          <w:sz w:val="21"/>
          <w:szCs w:val="21"/>
        </w:rPr>
      </w:pPr>
      <w:r>
        <w:rPr>
          <w:rFonts w:hint="default" w:ascii="宋体" w:hAnsi="宋体" w:eastAsia="宋体" w:cs="宋体"/>
          <w:color w:val="auto"/>
          <w:sz w:val="21"/>
          <w:szCs w:val="24"/>
        </w:rPr>
        <w:t>5、我方承诺在养护过程中</w:t>
      </w:r>
      <w:r>
        <w:rPr>
          <w:rFonts w:hint="default" w:ascii="宋体" w:hAnsi="宋体" w:eastAsia="宋体" w:cs="宋体"/>
          <w:color w:val="auto"/>
          <w:sz w:val="21"/>
          <w:szCs w:val="21"/>
        </w:rPr>
        <w:t>及时处理垃圾，且在中标后一个月内签订污泥倒放点的相关有效合同或协议（合同或协议时间与本次招标项目服务时间相匹配），否则我方承担一切责任及损失，同时采购人有权终止合同，我方就此无异议。</w:t>
      </w:r>
    </w:p>
    <w:p w14:paraId="72422140">
      <w:pPr>
        <w:spacing w:beforeLines="0" w:afterLines="0" w:line="360" w:lineRule="auto"/>
        <w:ind w:firstLine="420"/>
        <w:rPr>
          <w:rFonts w:hint="default" w:ascii="宋体" w:hAnsi="宋体" w:eastAsia="宋体" w:cs="宋体"/>
          <w:color w:val="auto"/>
          <w:sz w:val="21"/>
          <w:szCs w:val="24"/>
        </w:rPr>
      </w:pPr>
      <w:r>
        <w:rPr>
          <w:rFonts w:hint="default" w:ascii="宋体" w:hAnsi="宋体" w:eastAsia="宋体" w:cs="宋体"/>
          <w:color w:val="auto"/>
          <w:sz w:val="21"/>
          <w:szCs w:val="21"/>
        </w:rPr>
        <w:t>6、</w:t>
      </w:r>
      <w:r>
        <w:rPr>
          <w:rFonts w:hint="default" w:ascii="宋体" w:hAnsi="宋体" w:eastAsia="宋体" w:cs="宋体"/>
          <w:color w:val="auto"/>
          <w:sz w:val="21"/>
          <w:szCs w:val="24"/>
        </w:rPr>
        <w:t>我方承诺</w:t>
      </w:r>
      <w:r>
        <w:rPr>
          <w:rFonts w:hint="default" w:ascii="宋体" w:hAnsi="宋体" w:eastAsia="宋体" w:cs="宋体"/>
          <w:color w:val="auto"/>
          <w:sz w:val="21"/>
          <w:szCs w:val="21"/>
        </w:rPr>
        <w:t>本项目其余养护人员若未取得各地市局级及以上行业主管部门颁发的《下水道养护工职业资格证书》或《排水行业有限空间操作证》或潜水员从业资格证书，中标后在一年内取得相关证书</w:t>
      </w:r>
      <w:r>
        <w:rPr>
          <w:rFonts w:hint="default" w:ascii="宋体" w:hAnsi="宋体" w:eastAsia="宋体" w:cs="宋体"/>
          <w:color w:val="auto"/>
          <w:sz w:val="21"/>
          <w:szCs w:val="24"/>
        </w:rPr>
        <w:t>并报采购人备案；如未取得相关证书，则采购单位有权终止本养护合同；由我方承担一切责任及损失，同时采购人有权终止合同，我方就此无异议。</w:t>
      </w:r>
    </w:p>
    <w:p w14:paraId="3674245D">
      <w:pPr>
        <w:spacing w:beforeLines="0" w:afterLines="0" w:line="360" w:lineRule="auto"/>
        <w:ind w:firstLine="420"/>
        <w:rPr>
          <w:rFonts w:hint="default" w:ascii="宋体" w:hAnsi="宋体" w:eastAsia="宋体" w:cs="宋体"/>
          <w:color w:val="auto"/>
          <w:sz w:val="21"/>
          <w:szCs w:val="24"/>
        </w:rPr>
      </w:pPr>
      <w:r>
        <w:rPr>
          <w:rFonts w:hint="default" w:ascii="宋体" w:hAnsi="宋体" w:eastAsia="宋体" w:cs="宋体"/>
          <w:color w:val="auto"/>
          <w:sz w:val="21"/>
          <w:szCs w:val="24"/>
        </w:rPr>
        <w:t>7、我方承诺防汛抗台等应急抢险事件情况，在接到采购人通知后半小时内到达现场。</w:t>
      </w:r>
    </w:p>
    <w:p w14:paraId="4F5D2542">
      <w:pPr>
        <w:spacing w:beforeLines="0" w:afterLines="0" w:line="360" w:lineRule="auto"/>
        <w:ind w:firstLine="420"/>
        <w:rPr>
          <w:rFonts w:hint="default" w:ascii="宋体" w:hAnsi="宋体" w:eastAsia="宋体" w:cs="宋体"/>
          <w:color w:val="auto"/>
          <w:sz w:val="21"/>
          <w:szCs w:val="24"/>
        </w:rPr>
      </w:pPr>
      <w:r>
        <w:rPr>
          <w:rFonts w:hint="default" w:ascii="宋体" w:hAnsi="宋体" w:eastAsia="宋体" w:cs="宋体"/>
          <w:color w:val="auto"/>
          <w:sz w:val="21"/>
          <w:szCs w:val="24"/>
        </w:rPr>
        <w:t>8、如有政策性职责调整，我方承诺无条件配合采购人,采购人可变更合同主体或单方面终止合同。</w:t>
      </w:r>
    </w:p>
    <w:p w14:paraId="5C3155AB">
      <w:pPr>
        <w:tabs>
          <w:tab w:val="left" w:pos="3165"/>
        </w:tabs>
        <w:spacing w:beforeLines="0" w:afterLines="0"/>
        <w:ind w:right="1080"/>
        <w:jc w:val="right"/>
        <w:rPr>
          <w:rFonts w:hint="default" w:ascii="宋体" w:hAnsi="宋体" w:eastAsia="宋体" w:cs="宋体"/>
          <w:color w:val="auto"/>
          <w:sz w:val="21"/>
          <w:szCs w:val="21"/>
          <w:lang w:val="zh-CN"/>
        </w:rPr>
      </w:pPr>
    </w:p>
    <w:p w14:paraId="6010CFE3">
      <w:pPr>
        <w:pStyle w:val="2"/>
        <w:rPr>
          <w:rFonts w:hint="default"/>
          <w:lang w:val="zh-CN"/>
        </w:rPr>
      </w:pPr>
    </w:p>
    <w:p w14:paraId="1D30C20C">
      <w:pPr>
        <w:tabs>
          <w:tab w:val="left" w:pos="3165"/>
        </w:tabs>
        <w:spacing w:beforeLines="0" w:afterLines="0"/>
        <w:ind w:right="1080"/>
        <w:jc w:val="both"/>
        <w:rPr>
          <w:rFonts w:hint="default" w:ascii="宋体" w:hAnsi="宋体" w:eastAsia="宋体" w:cs="宋体"/>
          <w:color w:val="auto"/>
          <w:sz w:val="21"/>
          <w:szCs w:val="21"/>
          <w:lang w:val="zh-CN"/>
        </w:rPr>
      </w:pPr>
      <w:r>
        <w:rPr>
          <w:rFonts w:hint="default" w:ascii="宋体" w:hAnsi="宋体" w:eastAsia="宋体" w:cs="宋体"/>
          <w:color w:val="auto"/>
          <w:sz w:val="21"/>
          <w:szCs w:val="21"/>
          <w:lang w:val="zh-CN"/>
        </w:rPr>
        <w:t>供应商可根据实际情况自行调整。</w:t>
      </w:r>
    </w:p>
    <w:p w14:paraId="69DD0FB3">
      <w:pPr>
        <w:tabs>
          <w:tab w:val="left" w:pos="3165"/>
        </w:tabs>
        <w:spacing w:beforeLines="0" w:afterLines="0"/>
        <w:ind w:right="1080"/>
        <w:jc w:val="right"/>
        <w:rPr>
          <w:rFonts w:hint="default" w:ascii="宋体" w:hAnsi="宋体" w:eastAsia="宋体" w:cs="宋体"/>
          <w:color w:val="auto"/>
          <w:sz w:val="21"/>
          <w:szCs w:val="21"/>
          <w:lang w:val="zh-CN"/>
        </w:rPr>
      </w:pPr>
    </w:p>
    <w:p w14:paraId="0B2F5E12">
      <w:pPr>
        <w:tabs>
          <w:tab w:val="left" w:pos="3165"/>
        </w:tabs>
        <w:spacing w:beforeLines="0" w:afterLines="0"/>
        <w:ind w:right="1080"/>
        <w:jc w:val="right"/>
        <w:rPr>
          <w:rFonts w:hint="default" w:ascii="宋体" w:hAnsi="宋体" w:eastAsia="宋体" w:cs="宋体"/>
          <w:color w:val="auto"/>
          <w:sz w:val="21"/>
          <w:szCs w:val="21"/>
          <w:lang w:val="zh-CN"/>
        </w:rPr>
      </w:pPr>
      <w:r>
        <w:rPr>
          <w:rFonts w:hint="default" w:ascii="宋体" w:hAnsi="宋体" w:eastAsia="宋体" w:cs="宋体"/>
          <w:color w:val="auto"/>
          <w:sz w:val="21"/>
          <w:szCs w:val="21"/>
          <w:lang w:val="zh-CN"/>
        </w:rPr>
        <w:t>供应商名称（</w:t>
      </w:r>
      <w:r>
        <w:rPr>
          <w:rFonts w:hint="default" w:ascii="宋体" w:hAnsi="宋体" w:eastAsia="宋体" w:cs="宋体"/>
          <w:color w:val="auto"/>
          <w:sz w:val="21"/>
          <w:szCs w:val="21"/>
        </w:rPr>
        <w:t>电子签名</w:t>
      </w:r>
      <w:r>
        <w:rPr>
          <w:rFonts w:hint="default" w:ascii="宋体" w:hAnsi="宋体" w:eastAsia="宋体" w:cs="宋体"/>
          <w:color w:val="auto"/>
          <w:sz w:val="21"/>
          <w:szCs w:val="21"/>
          <w:lang w:val="zh-CN"/>
        </w:rPr>
        <w:t xml:space="preserve">）：                                                                                                                                                                                                               </w:t>
      </w:r>
    </w:p>
    <w:p w14:paraId="254ADAF9">
      <w:pPr>
        <w:tabs>
          <w:tab w:val="left" w:pos="3165"/>
        </w:tabs>
        <w:spacing w:beforeLines="0" w:afterLines="0"/>
        <w:ind w:right="1080"/>
        <w:jc w:val="right"/>
        <w:rPr>
          <w:rFonts w:hint="default" w:ascii="宋体" w:hAnsi="宋体" w:eastAsia="宋体" w:cs="宋体"/>
          <w:color w:val="auto"/>
          <w:sz w:val="21"/>
          <w:szCs w:val="21"/>
        </w:rPr>
      </w:pPr>
      <w:r>
        <w:rPr>
          <w:rFonts w:hint="default" w:ascii="宋体" w:hAnsi="宋体" w:eastAsia="宋体" w:cs="宋体"/>
          <w:color w:val="auto"/>
          <w:sz w:val="21"/>
          <w:szCs w:val="21"/>
          <w:lang w:val="zh-CN"/>
        </w:rPr>
        <w:t>日期</w:t>
      </w:r>
      <w:r>
        <w:rPr>
          <w:rFonts w:hint="default" w:ascii="宋体" w:hAnsi="宋体" w:eastAsia="宋体" w:cs="宋体"/>
          <w:color w:val="auto"/>
          <w:sz w:val="21"/>
          <w:szCs w:val="21"/>
        </w:rPr>
        <w:t>：</w:t>
      </w:r>
      <w:r>
        <w:rPr>
          <w:rFonts w:hint="default" w:ascii="宋体" w:hAnsi="宋体" w:eastAsia="宋体" w:cs="宋体"/>
          <w:color w:val="auto"/>
          <w:sz w:val="21"/>
          <w:szCs w:val="21"/>
          <w:lang w:val="zh-CN"/>
        </w:rPr>
        <w:t xml:space="preserve">   年   月   日</w:t>
      </w:r>
    </w:p>
    <w:p w14:paraId="2EBE4CAB">
      <w:pPr>
        <w:tabs>
          <w:tab w:val="left" w:pos="3165"/>
        </w:tabs>
        <w:spacing w:beforeLines="0" w:afterLines="0"/>
        <w:ind w:right="1080"/>
        <w:jc w:val="right"/>
        <w:rPr>
          <w:rFonts w:hint="default" w:ascii="宋体" w:hAnsi="宋体" w:eastAsia="宋体" w:cs="宋体"/>
          <w:color w:val="auto"/>
          <w:sz w:val="21"/>
          <w:szCs w:val="21"/>
        </w:rPr>
      </w:pPr>
    </w:p>
    <w:p w14:paraId="11B0E7FB">
      <w:pPr>
        <w:adjustRightInd w:val="0"/>
        <w:snapToGrid w:val="0"/>
        <w:spacing w:before="120" w:beforeLines="0" w:after="120" w:afterLines="0" w:line="360" w:lineRule="auto"/>
        <w:ind w:firstLine="2415" w:firstLineChars="1150"/>
        <w:rPr>
          <w:rFonts w:hint="default" w:ascii="宋体" w:hAnsi="宋体" w:eastAsia="宋体" w:cs="宋体"/>
          <w:color w:val="auto"/>
          <w:sz w:val="21"/>
          <w:szCs w:val="24"/>
        </w:rPr>
      </w:pPr>
    </w:p>
    <w:p w14:paraId="506F78FC">
      <w:pPr>
        <w:spacing w:line="360" w:lineRule="auto"/>
        <w:jc w:val="center"/>
        <w:outlineLvl w:val="0"/>
        <w:rPr>
          <w:rFonts w:hint="eastAsia" w:ascii="宋体" w:hAnsi="宋体" w:cs="宋体"/>
          <w:b/>
          <w:color w:val="auto"/>
          <w:kern w:val="0"/>
          <w:sz w:val="36"/>
          <w:szCs w:val="36"/>
        </w:rPr>
        <w:sectPr>
          <w:headerReference r:id="rId27" w:type="first"/>
          <w:footerReference r:id="rId29" w:type="first"/>
          <w:headerReference r:id="rId26" w:type="default"/>
          <w:footerReference r:id="rId28"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A763005">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bookmarkEnd w:id="561"/>
    </w:p>
    <w:p w14:paraId="5B534CF1">
      <w:pPr>
        <w:spacing w:line="360" w:lineRule="auto"/>
        <w:jc w:val="center"/>
        <w:outlineLvl w:val="0"/>
        <w:rPr>
          <w:rFonts w:ascii="宋体" w:hAnsi="宋体" w:cs="宋体"/>
          <w:b/>
          <w:color w:val="auto"/>
          <w:kern w:val="0"/>
          <w:sz w:val="36"/>
          <w:szCs w:val="36"/>
        </w:rPr>
      </w:pPr>
      <w:bookmarkStart w:id="562" w:name="_Toc21871"/>
      <w:r>
        <w:rPr>
          <w:rFonts w:hint="eastAsia" w:ascii="宋体" w:hAnsi="宋体" w:cs="宋体"/>
          <w:b/>
          <w:color w:val="auto"/>
          <w:kern w:val="0"/>
          <w:sz w:val="36"/>
          <w:szCs w:val="36"/>
        </w:rPr>
        <w:t>目录</w:t>
      </w:r>
      <w:bookmarkEnd w:id="562"/>
    </w:p>
    <w:p w14:paraId="28FC365F">
      <w:pPr>
        <w:spacing w:line="360" w:lineRule="auto"/>
        <w:jc w:val="center"/>
        <w:rPr>
          <w:rFonts w:ascii="宋体" w:hAnsi="宋体" w:cs="宋体"/>
          <w:b/>
          <w:color w:val="auto"/>
          <w:kern w:val="0"/>
          <w:sz w:val="36"/>
          <w:szCs w:val="36"/>
        </w:rPr>
      </w:pPr>
    </w:p>
    <w:p w14:paraId="1CA54377">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3121B7AD">
      <w:pPr>
        <w:pStyle w:val="23"/>
        <w:rPr>
          <w:rFonts w:hAnsi="宋体" w:cs="宋体"/>
          <w:color w:val="auto"/>
        </w:rPr>
      </w:pPr>
      <w:r>
        <w:rPr>
          <w:rFonts w:hint="eastAsia" w:hAnsi="宋体" w:cs="宋体"/>
          <w:color w:val="auto"/>
        </w:rPr>
        <w:t>（</w:t>
      </w:r>
      <w:r>
        <w:rPr>
          <w:rFonts w:hint="eastAsia" w:hAnsi="宋体" w:cs="宋体"/>
          <w:color w:val="auto"/>
          <w:lang w:val="en-US" w:eastAsia="zh-CN"/>
        </w:rPr>
        <w:t>2</w:t>
      </w:r>
      <w:r>
        <w:rPr>
          <w:rFonts w:hint="eastAsia" w:hAnsi="宋体" w:cs="宋体"/>
          <w:color w:val="auto"/>
        </w:rPr>
        <w:t>）投标分项报价表………………………………………………………………（页码）</w:t>
      </w:r>
    </w:p>
    <w:p w14:paraId="7D1AA5CB">
      <w:pPr>
        <w:snapToGrid w:val="0"/>
        <w:spacing w:line="360" w:lineRule="auto"/>
        <w:ind w:right="480"/>
        <w:jc w:val="center"/>
        <w:rPr>
          <w:rFonts w:hint="eastAsia" w:ascii="宋体" w:hAnsi="宋体" w:eastAsia="宋体" w:cs="宋体"/>
          <w:snapToGrid w:val="0"/>
          <w:color w:val="auto"/>
          <w:kern w:val="2"/>
          <w:sz w:val="24"/>
          <w:szCs w:val="21"/>
          <w:lang w:val="zh-CN" w:eastAsia="zh-CN" w:bidi="ar-SA"/>
        </w:rPr>
      </w:pPr>
      <w:r>
        <w:rPr>
          <w:rFonts w:hint="default" w:ascii="宋体" w:hAnsi="宋体" w:eastAsia="宋体" w:cs="宋体"/>
          <w:snapToGrid w:val="0"/>
          <w:color w:val="auto"/>
          <w:kern w:val="2"/>
          <w:sz w:val="24"/>
          <w:szCs w:val="21"/>
          <w:lang w:val="zh-CN" w:eastAsia="zh-CN" w:bidi="ar-SA"/>
        </w:rPr>
        <w:t>（3）报价情况说明(如供应商报价低于项目预算50%的，应当提交本文档，详细阐述不影响产品质量或者诚信履约的具体原因）…………………………………（页码）</w:t>
      </w:r>
    </w:p>
    <w:p w14:paraId="3CA82BD3">
      <w:pPr>
        <w:snapToGrid w:val="0"/>
        <w:spacing w:line="360" w:lineRule="auto"/>
        <w:ind w:right="480"/>
        <w:jc w:val="center"/>
        <w:rPr>
          <w:rFonts w:ascii="宋体" w:hAnsi="宋体" w:cs="宋体"/>
          <w:b/>
          <w:color w:val="auto"/>
          <w:kern w:val="0"/>
          <w:sz w:val="32"/>
          <w:szCs w:val="32"/>
        </w:rPr>
      </w:pPr>
    </w:p>
    <w:p w14:paraId="5C6273A8">
      <w:pPr>
        <w:snapToGrid w:val="0"/>
        <w:spacing w:line="360" w:lineRule="auto"/>
        <w:ind w:right="480"/>
        <w:jc w:val="center"/>
        <w:rPr>
          <w:rFonts w:ascii="宋体" w:hAnsi="宋体" w:cs="宋体"/>
          <w:b/>
          <w:color w:val="auto"/>
          <w:kern w:val="0"/>
          <w:sz w:val="32"/>
          <w:szCs w:val="32"/>
        </w:rPr>
      </w:pPr>
    </w:p>
    <w:p w14:paraId="4634BE16">
      <w:pPr>
        <w:snapToGrid w:val="0"/>
        <w:spacing w:line="360" w:lineRule="auto"/>
        <w:ind w:right="480"/>
        <w:jc w:val="center"/>
        <w:rPr>
          <w:rFonts w:ascii="宋体" w:hAnsi="宋体" w:cs="宋体"/>
          <w:b/>
          <w:color w:val="auto"/>
          <w:kern w:val="0"/>
          <w:sz w:val="32"/>
          <w:szCs w:val="32"/>
        </w:rPr>
      </w:pPr>
    </w:p>
    <w:p w14:paraId="55961EDC">
      <w:pPr>
        <w:snapToGrid w:val="0"/>
        <w:spacing w:line="360" w:lineRule="auto"/>
        <w:ind w:right="480"/>
        <w:jc w:val="center"/>
        <w:rPr>
          <w:rFonts w:ascii="宋体" w:hAnsi="宋体" w:cs="宋体"/>
          <w:b/>
          <w:color w:val="auto"/>
          <w:kern w:val="0"/>
          <w:sz w:val="32"/>
          <w:szCs w:val="32"/>
        </w:rPr>
      </w:pPr>
    </w:p>
    <w:p w14:paraId="18E07B5F">
      <w:pPr>
        <w:snapToGrid w:val="0"/>
        <w:spacing w:line="360" w:lineRule="auto"/>
        <w:ind w:right="480"/>
        <w:jc w:val="center"/>
        <w:rPr>
          <w:rFonts w:ascii="宋体" w:hAnsi="宋体" w:cs="宋体"/>
          <w:b/>
          <w:color w:val="auto"/>
          <w:kern w:val="0"/>
          <w:sz w:val="32"/>
          <w:szCs w:val="32"/>
        </w:rPr>
      </w:pPr>
    </w:p>
    <w:p w14:paraId="7518507D">
      <w:pPr>
        <w:snapToGrid w:val="0"/>
        <w:spacing w:line="360" w:lineRule="auto"/>
        <w:ind w:right="480"/>
        <w:jc w:val="center"/>
        <w:rPr>
          <w:rFonts w:ascii="宋体" w:hAnsi="宋体" w:cs="宋体"/>
          <w:b/>
          <w:color w:val="auto"/>
          <w:kern w:val="0"/>
          <w:sz w:val="32"/>
          <w:szCs w:val="32"/>
        </w:rPr>
      </w:pPr>
    </w:p>
    <w:p w14:paraId="152D981D">
      <w:pPr>
        <w:snapToGrid w:val="0"/>
        <w:spacing w:line="360" w:lineRule="auto"/>
        <w:ind w:right="480"/>
        <w:jc w:val="center"/>
        <w:rPr>
          <w:rFonts w:ascii="宋体" w:hAnsi="宋体" w:cs="宋体"/>
          <w:b/>
          <w:color w:val="auto"/>
          <w:kern w:val="0"/>
          <w:sz w:val="32"/>
          <w:szCs w:val="32"/>
        </w:rPr>
      </w:pPr>
    </w:p>
    <w:p w14:paraId="18B15398">
      <w:pPr>
        <w:snapToGrid w:val="0"/>
        <w:spacing w:line="360" w:lineRule="auto"/>
        <w:ind w:right="480"/>
        <w:jc w:val="center"/>
        <w:rPr>
          <w:rFonts w:ascii="宋体" w:hAnsi="宋体" w:cs="宋体"/>
          <w:b/>
          <w:color w:val="auto"/>
          <w:kern w:val="0"/>
          <w:sz w:val="32"/>
          <w:szCs w:val="32"/>
        </w:rPr>
      </w:pPr>
    </w:p>
    <w:p w14:paraId="347F37AA">
      <w:pPr>
        <w:snapToGrid w:val="0"/>
        <w:spacing w:line="360" w:lineRule="auto"/>
        <w:ind w:right="480"/>
        <w:jc w:val="center"/>
        <w:rPr>
          <w:rFonts w:ascii="宋体" w:hAnsi="宋体" w:cs="宋体"/>
          <w:b/>
          <w:color w:val="auto"/>
          <w:kern w:val="0"/>
          <w:sz w:val="32"/>
          <w:szCs w:val="32"/>
        </w:rPr>
      </w:pPr>
    </w:p>
    <w:p w14:paraId="35BBCE87">
      <w:pPr>
        <w:snapToGrid w:val="0"/>
        <w:spacing w:line="360" w:lineRule="auto"/>
        <w:ind w:right="480"/>
        <w:jc w:val="center"/>
        <w:rPr>
          <w:rFonts w:ascii="宋体" w:hAnsi="宋体" w:cs="宋体"/>
          <w:b/>
          <w:color w:val="auto"/>
          <w:kern w:val="0"/>
          <w:sz w:val="32"/>
          <w:szCs w:val="32"/>
        </w:rPr>
      </w:pPr>
    </w:p>
    <w:p w14:paraId="41E3255B">
      <w:pPr>
        <w:snapToGrid w:val="0"/>
        <w:spacing w:line="360" w:lineRule="auto"/>
        <w:ind w:right="480"/>
        <w:jc w:val="center"/>
        <w:rPr>
          <w:rFonts w:ascii="宋体" w:hAnsi="宋体" w:cs="宋体"/>
          <w:b/>
          <w:color w:val="auto"/>
          <w:kern w:val="0"/>
          <w:sz w:val="32"/>
          <w:szCs w:val="32"/>
        </w:rPr>
      </w:pPr>
    </w:p>
    <w:p w14:paraId="1CBA0932">
      <w:pPr>
        <w:snapToGrid w:val="0"/>
        <w:spacing w:line="360" w:lineRule="auto"/>
        <w:ind w:right="480"/>
        <w:jc w:val="center"/>
        <w:rPr>
          <w:rFonts w:ascii="宋体" w:hAnsi="宋体" w:cs="宋体"/>
          <w:b/>
          <w:color w:val="auto"/>
          <w:kern w:val="0"/>
          <w:sz w:val="32"/>
          <w:szCs w:val="32"/>
        </w:rPr>
      </w:pPr>
    </w:p>
    <w:p w14:paraId="5F93799C">
      <w:pPr>
        <w:snapToGrid w:val="0"/>
        <w:spacing w:line="360" w:lineRule="auto"/>
        <w:ind w:right="480"/>
        <w:jc w:val="center"/>
        <w:rPr>
          <w:rFonts w:ascii="宋体" w:hAnsi="宋体" w:cs="宋体"/>
          <w:b/>
          <w:color w:val="auto"/>
          <w:kern w:val="0"/>
          <w:sz w:val="32"/>
          <w:szCs w:val="32"/>
        </w:rPr>
      </w:pPr>
    </w:p>
    <w:p w14:paraId="5B11EB40">
      <w:pPr>
        <w:snapToGrid w:val="0"/>
        <w:spacing w:line="360" w:lineRule="auto"/>
        <w:ind w:right="480"/>
        <w:jc w:val="center"/>
        <w:rPr>
          <w:rFonts w:ascii="宋体" w:hAnsi="宋体" w:cs="宋体"/>
          <w:b/>
          <w:color w:val="auto"/>
          <w:kern w:val="0"/>
          <w:sz w:val="32"/>
          <w:szCs w:val="32"/>
        </w:rPr>
      </w:pPr>
    </w:p>
    <w:p w14:paraId="4B0DA3B8">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31" w:type="first"/>
          <w:footerReference r:id="rId33" w:type="first"/>
          <w:headerReference r:id="rId30" w:type="default"/>
          <w:footerReference r:id="rId32"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8D65E80">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bookmarkStart w:id="563" w:name="_Toc18663"/>
      <w:r>
        <w:rPr>
          <w:rFonts w:hint="eastAsia" w:ascii="宋体" w:hAnsi="宋体" w:eastAsia="宋体" w:cs="宋体"/>
          <w:color w:val="auto"/>
          <w:kern w:val="2"/>
          <w:sz w:val="32"/>
          <w:szCs w:val="32"/>
        </w:rPr>
        <w:t>一、开标一览表（报价表）</w:t>
      </w:r>
      <w:bookmarkEnd w:id="563"/>
    </w:p>
    <w:p w14:paraId="5282DD13">
      <w:pPr>
        <w:snapToGrid w:val="0"/>
        <w:spacing w:line="360" w:lineRule="auto"/>
        <w:rPr>
          <w:rFonts w:ascii="宋体" w:hAnsi="宋体" w:cs="宋体"/>
          <w:color w:val="auto"/>
          <w:kern w:val="0"/>
          <w:sz w:val="24"/>
        </w:rPr>
      </w:pPr>
      <w:r>
        <w:rPr>
          <w:rFonts w:hint="eastAsia" w:ascii="宋体" w:hAnsi="宋体" w:cs="宋体"/>
          <w:color w:val="auto"/>
          <w:sz w:val="24"/>
          <w:lang w:eastAsia="zh-CN"/>
        </w:rPr>
        <w:t>宁波市海曙区水务设施管理中心</w:t>
      </w:r>
      <w:r>
        <w:rPr>
          <w:rFonts w:hint="eastAsia" w:ascii="宋体" w:hAnsi="宋体" w:cs="宋体"/>
          <w:color w:val="auto"/>
          <w:sz w:val="24"/>
        </w:rPr>
        <w:t>、宁波中基国际招标有限公司</w:t>
      </w:r>
      <w:r>
        <w:rPr>
          <w:rFonts w:hint="eastAsia" w:ascii="宋体" w:hAnsi="宋体" w:cs="宋体"/>
          <w:color w:val="auto"/>
          <w:kern w:val="0"/>
          <w:sz w:val="24"/>
          <w:lang w:val="zh-CN"/>
        </w:rPr>
        <w:t>：</w:t>
      </w:r>
    </w:p>
    <w:p w14:paraId="340FB56E">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海曙区排水管网日常养护项目</w:t>
      </w:r>
      <w:r>
        <w:rPr>
          <w:rFonts w:hint="eastAsia" w:ascii="宋体" w:hAnsi="宋体" w:cs="宋体"/>
          <w:color w:val="auto"/>
          <w:kern w:val="0"/>
          <w:sz w:val="24"/>
          <w:lang w:val="zh-CN"/>
        </w:rPr>
        <w:t>【招标编号：</w:t>
      </w:r>
      <w:r>
        <w:rPr>
          <w:rFonts w:hint="eastAsia" w:ascii="宋体" w:hAnsi="宋体" w:cs="宋体"/>
          <w:color w:val="auto"/>
          <w:sz w:val="24"/>
          <w:lang w:eastAsia="zh-CN"/>
        </w:rPr>
        <w:t>2025NBHSWT319</w:t>
      </w:r>
      <w:r>
        <w:rPr>
          <w:rFonts w:hint="eastAsia" w:ascii="宋体" w:hAnsi="宋体" w:cs="宋体"/>
          <w:color w:val="auto"/>
          <w:sz w:val="24"/>
        </w:rPr>
        <w:t xml:space="preserve">   】的实施</w:t>
      </w:r>
      <w:r>
        <w:rPr>
          <w:rFonts w:hint="eastAsia" w:ascii="宋体" w:hAnsi="宋体" w:cs="宋体"/>
          <w:color w:val="auto"/>
          <w:kern w:val="0"/>
          <w:sz w:val="24"/>
          <w:lang w:val="zh-CN"/>
        </w:rPr>
        <w:t>。</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5"/>
        <w:gridCol w:w="2735"/>
        <w:gridCol w:w="4896"/>
      </w:tblGrid>
      <w:tr w14:paraId="79707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14:paraId="214FDD53">
            <w:pPr>
              <w:keepNext w:val="0"/>
              <w:keepLines w:val="0"/>
              <w:suppressLineNumbers w:val="0"/>
              <w:adjustRightInd/>
              <w:snapToGrid w:val="0"/>
              <w:spacing w:before="50" w:beforeAutospacing="0" w:after="50" w:afterAutospacing="0"/>
              <w:ind w:left="0" w:right="0"/>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标项号</w:t>
            </w:r>
          </w:p>
        </w:tc>
        <w:tc>
          <w:tcPr>
            <w:tcW w:w="2735" w:type="dxa"/>
            <w:tcBorders>
              <w:top w:val="single" w:color="auto" w:sz="4" w:space="0"/>
              <w:left w:val="single" w:color="auto" w:sz="4" w:space="0"/>
              <w:bottom w:val="single" w:color="auto" w:sz="4" w:space="0"/>
              <w:right w:val="single" w:color="auto" w:sz="4" w:space="0"/>
            </w:tcBorders>
            <w:vAlign w:val="center"/>
          </w:tcPr>
          <w:p w14:paraId="12A6EB3B">
            <w:pPr>
              <w:keepNext w:val="0"/>
              <w:keepLines w:val="0"/>
              <w:suppressLineNumbers w:val="0"/>
              <w:adjustRightInd/>
              <w:snapToGrid w:val="0"/>
              <w:spacing w:before="50" w:beforeAutospacing="0" w:after="50" w:afterAutospacing="0"/>
              <w:ind w:left="0" w:right="0"/>
              <w:jc w:val="center"/>
              <w:rPr>
                <w:rFonts w:hint="default" w:ascii="宋体" w:hAnsi="宋体" w:eastAsia="宋体" w:cs="宋体"/>
                <w:b/>
                <w:sz w:val="24"/>
                <w:szCs w:val="24"/>
                <w:highlight w:val="none"/>
              </w:rPr>
            </w:pPr>
            <w:r>
              <w:rPr>
                <w:rFonts w:hint="eastAsia" w:ascii="宋体" w:hAnsi="宋体" w:eastAsia="宋体" w:cs="宋体"/>
                <w:b/>
                <w:sz w:val="24"/>
                <w:szCs w:val="24"/>
                <w:highlight w:val="none"/>
              </w:rPr>
              <w:t>标项内容</w:t>
            </w:r>
          </w:p>
        </w:tc>
        <w:tc>
          <w:tcPr>
            <w:tcW w:w="4896" w:type="dxa"/>
            <w:tcBorders>
              <w:top w:val="single" w:color="auto" w:sz="4" w:space="0"/>
              <w:left w:val="single" w:color="auto" w:sz="4" w:space="0"/>
              <w:bottom w:val="single" w:color="auto" w:sz="4" w:space="0"/>
              <w:right w:val="single" w:color="auto" w:sz="4" w:space="0"/>
            </w:tcBorders>
            <w:vAlign w:val="center"/>
          </w:tcPr>
          <w:p w14:paraId="59D9837D">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b/>
                <w:sz w:val="24"/>
                <w:szCs w:val="24"/>
                <w:highlight w:val="none"/>
                <w:lang w:eastAsia="zh-CN"/>
              </w:rPr>
            </w:pPr>
            <w:r>
              <w:rPr>
                <w:rFonts w:hint="eastAsia" w:ascii="宋体" w:hAnsi="宋体" w:eastAsia="宋体" w:cs="宋体"/>
                <w:b/>
                <w:bCs/>
                <w:kern w:val="0"/>
                <w:sz w:val="24"/>
                <w:szCs w:val="24"/>
                <w:highlight w:val="none"/>
              </w:rPr>
              <w:t>合同履约期限</w:t>
            </w:r>
          </w:p>
        </w:tc>
      </w:tr>
      <w:tr w14:paraId="169E3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33" w:hRule="atLeast"/>
          <w:jc w:val="center"/>
        </w:trPr>
        <w:tc>
          <w:tcPr>
            <w:tcW w:w="1195" w:type="dxa"/>
            <w:tcBorders>
              <w:top w:val="single" w:color="auto" w:sz="4" w:space="0"/>
              <w:left w:val="single" w:color="auto" w:sz="4" w:space="0"/>
              <w:right w:val="single" w:color="auto" w:sz="4" w:space="0"/>
            </w:tcBorders>
            <w:vAlign w:val="center"/>
          </w:tcPr>
          <w:p w14:paraId="0B1A5586">
            <w:pPr>
              <w:keepNext w:val="0"/>
              <w:keepLines w:val="0"/>
              <w:suppressLineNumbers w:val="0"/>
              <w:adjustRightInd/>
              <w:snapToGrid w:val="0"/>
              <w:spacing w:before="50" w:beforeAutospacing="0" w:after="50" w:afterAutospacing="0"/>
              <w:ind w:left="0" w:right="0"/>
              <w:jc w:val="center"/>
              <w:rPr>
                <w:rFonts w:hint="default" w:ascii="宋体" w:hAnsi="宋体" w:eastAsia="宋体" w:cs="宋体"/>
                <w:sz w:val="24"/>
                <w:szCs w:val="24"/>
                <w:highlight w:val="none"/>
              </w:rPr>
            </w:pPr>
          </w:p>
        </w:tc>
        <w:tc>
          <w:tcPr>
            <w:tcW w:w="2735" w:type="dxa"/>
            <w:tcBorders>
              <w:top w:val="single" w:color="auto" w:sz="4" w:space="0"/>
              <w:left w:val="single" w:color="auto" w:sz="4" w:space="0"/>
              <w:right w:val="single" w:color="auto" w:sz="4" w:space="0"/>
            </w:tcBorders>
            <w:vAlign w:val="center"/>
          </w:tcPr>
          <w:p w14:paraId="6958E0B8">
            <w:pPr>
              <w:keepNext w:val="0"/>
              <w:keepLines w:val="0"/>
              <w:suppressLineNumbers w:val="0"/>
              <w:adjustRightInd/>
              <w:snapToGrid w:val="0"/>
              <w:spacing w:before="50" w:beforeAutospacing="0" w:after="50" w:afterAutospacing="0"/>
              <w:ind w:left="0" w:right="0"/>
              <w:jc w:val="center"/>
              <w:rPr>
                <w:rFonts w:hint="default" w:ascii="宋体" w:hAnsi="宋体" w:eastAsia="宋体" w:cs="宋体"/>
                <w:bCs/>
                <w:sz w:val="24"/>
                <w:szCs w:val="24"/>
                <w:highlight w:val="none"/>
              </w:rPr>
            </w:pPr>
          </w:p>
        </w:tc>
        <w:tc>
          <w:tcPr>
            <w:tcW w:w="4896" w:type="dxa"/>
            <w:tcBorders>
              <w:top w:val="single" w:color="auto" w:sz="4" w:space="0"/>
              <w:left w:val="single" w:color="auto" w:sz="4" w:space="0"/>
              <w:right w:val="single" w:color="auto" w:sz="4" w:space="0"/>
            </w:tcBorders>
            <w:vAlign w:val="center"/>
          </w:tcPr>
          <w:p w14:paraId="1F1585A3">
            <w:pPr>
              <w:keepNext w:val="0"/>
              <w:keepLines w:val="0"/>
              <w:suppressLineNumbers w:val="0"/>
              <w:adjustRightInd/>
              <w:snapToGrid w:val="0"/>
              <w:spacing w:before="50" w:beforeAutospacing="0" w:after="50" w:afterAutospacing="0"/>
              <w:ind w:left="0" w:right="0"/>
              <w:jc w:val="center"/>
              <w:rPr>
                <w:rFonts w:hint="default" w:ascii="宋体" w:hAnsi="宋体" w:eastAsia="宋体" w:cs="宋体"/>
                <w:sz w:val="24"/>
                <w:szCs w:val="24"/>
                <w:highlight w:val="none"/>
              </w:rPr>
            </w:pPr>
            <w:r>
              <w:rPr>
                <w:rFonts w:hint="default" w:ascii="宋体" w:hAnsi="宋体" w:eastAsia="宋体" w:cs="宋体"/>
                <w:sz w:val="24"/>
                <w:szCs w:val="24"/>
                <w:highlight w:val="none"/>
                <w:lang w:val="en-US" w:eastAsia="zh-CN"/>
              </w:rPr>
              <w:t>三年，合同一年一签，采购人根据中标人上一年度的合同履约、考核及财政资金审批情况决定是否续签。</w:t>
            </w:r>
          </w:p>
        </w:tc>
      </w:tr>
      <w:tr w14:paraId="364A6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9" w:hRule="atLeast"/>
          <w:jc w:val="center"/>
        </w:trPr>
        <w:tc>
          <w:tcPr>
            <w:tcW w:w="3930" w:type="dxa"/>
            <w:gridSpan w:val="2"/>
            <w:tcBorders>
              <w:top w:val="single" w:color="auto" w:sz="4" w:space="0"/>
              <w:left w:val="single" w:color="auto" w:sz="4" w:space="0"/>
              <w:bottom w:val="single" w:color="auto" w:sz="4" w:space="0"/>
              <w:right w:val="single" w:color="auto" w:sz="4" w:space="0"/>
            </w:tcBorders>
            <w:vAlign w:val="center"/>
          </w:tcPr>
          <w:p w14:paraId="6A7B1A80">
            <w:pPr>
              <w:keepNext w:val="0"/>
              <w:keepLines w:val="0"/>
              <w:suppressLineNumbers w:val="0"/>
              <w:adjustRightInd/>
              <w:snapToGrid w:val="0"/>
              <w:spacing w:before="50" w:beforeAutospacing="0" w:after="50" w:afterAutospacing="0"/>
              <w:ind w:left="0" w:right="0"/>
              <w:jc w:val="center"/>
              <w:rPr>
                <w:rFonts w:hint="default" w:ascii="宋体" w:hAnsi="宋体" w:eastAsia="宋体" w:cs="宋体"/>
                <w:bCs/>
                <w:sz w:val="24"/>
                <w:szCs w:val="24"/>
                <w:highlight w:val="none"/>
              </w:rPr>
            </w:pPr>
            <w:r>
              <w:rPr>
                <w:rFonts w:hint="eastAsia" w:ascii="宋体" w:hAnsi="宋体" w:cs="宋体"/>
                <w:bCs/>
                <w:sz w:val="24"/>
                <w:szCs w:val="24"/>
                <w:highlight w:val="none"/>
                <w:lang w:val="en-US" w:eastAsia="zh-CN"/>
              </w:rPr>
              <w:t>年度</w:t>
            </w:r>
            <w:r>
              <w:rPr>
                <w:rFonts w:hint="eastAsia" w:ascii="宋体" w:hAnsi="宋体" w:eastAsia="宋体" w:cs="宋体"/>
                <w:bCs/>
                <w:sz w:val="24"/>
                <w:szCs w:val="24"/>
                <w:highlight w:val="none"/>
              </w:rPr>
              <w:t>投标总价</w:t>
            </w:r>
          </w:p>
        </w:tc>
        <w:tc>
          <w:tcPr>
            <w:tcW w:w="4896" w:type="dxa"/>
            <w:tcBorders>
              <w:top w:val="single" w:color="auto" w:sz="4" w:space="0"/>
              <w:left w:val="single" w:color="auto" w:sz="4" w:space="0"/>
              <w:bottom w:val="single" w:color="auto" w:sz="4" w:space="0"/>
              <w:right w:val="single" w:color="auto" w:sz="4" w:space="0"/>
            </w:tcBorders>
            <w:vAlign w:val="center"/>
          </w:tcPr>
          <w:p w14:paraId="5D2E90D4">
            <w:pPr>
              <w:keepNext w:val="0"/>
              <w:keepLines w:val="0"/>
              <w:suppressLineNumbers w:val="0"/>
              <w:adjustRightInd/>
              <w:snapToGrid w:val="0"/>
              <w:spacing w:before="50" w:beforeAutospacing="0" w:after="50" w:afterAutospacing="0"/>
              <w:ind w:left="0" w:right="0"/>
              <w:jc w:val="left"/>
              <w:rPr>
                <w:rFonts w:hint="default" w:ascii="宋体" w:hAnsi="宋体" w:eastAsia="宋体" w:cs="宋体"/>
                <w:bCs/>
                <w:sz w:val="24"/>
                <w:szCs w:val="24"/>
                <w:highlight w:val="none"/>
              </w:rPr>
            </w:pPr>
            <w:r>
              <w:rPr>
                <w:rFonts w:hint="eastAsia" w:ascii="宋体" w:hAnsi="宋体" w:eastAsia="宋体" w:cs="宋体"/>
                <w:bCs/>
                <w:sz w:val="24"/>
                <w:szCs w:val="24"/>
                <w:highlight w:val="none"/>
              </w:rPr>
              <w:t>小写：</w:t>
            </w:r>
          </w:p>
          <w:p w14:paraId="1F20EBDF">
            <w:pPr>
              <w:keepNext w:val="0"/>
              <w:keepLines w:val="0"/>
              <w:suppressLineNumbers w:val="0"/>
              <w:adjustRightInd/>
              <w:snapToGrid w:val="0"/>
              <w:spacing w:before="50" w:beforeAutospacing="0" w:after="50" w:afterAutospacing="0"/>
              <w:ind w:left="0" w:right="0"/>
              <w:jc w:val="left"/>
              <w:rPr>
                <w:rFonts w:hint="default" w:ascii="宋体" w:hAnsi="宋体" w:eastAsia="宋体" w:cs="宋体"/>
                <w:bCs/>
                <w:sz w:val="24"/>
                <w:szCs w:val="24"/>
                <w:highlight w:val="none"/>
              </w:rPr>
            </w:pPr>
          </w:p>
          <w:p w14:paraId="63F3D2C1">
            <w:pPr>
              <w:keepNext w:val="0"/>
              <w:keepLines w:val="0"/>
              <w:suppressLineNumbers w:val="0"/>
              <w:adjustRightInd/>
              <w:snapToGrid w:val="0"/>
              <w:spacing w:before="50" w:beforeAutospacing="0" w:after="50" w:afterAutospacing="0"/>
              <w:ind w:left="0" w:right="0"/>
              <w:jc w:val="left"/>
              <w:rPr>
                <w:rFonts w:hint="default" w:ascii="宋体" w:hAnsi="宋体" w:eastAsia="宋体" w:cs="宋体"/>
                <w:bCs/>
                <w:sz w:val="24"/>
                <w:szCs w:val="24"/>
                <w:highlight w:val="none"/>
              </w:rPr>
            </w:pPr>
            <w:r>
              <w:rPr>
                <w:rFonts w:hint="eastAsia" w:ascii="宋体" w:hAnsi="宋体" w:eastAsia="宋体" w:cs="宋体"/>
                <w:bCs/>
                <w:sz w:val="24"/>
                <w:szCs w:val="24"/>
                <w:highlight w:val="none"/>
              </w:rPr>
              <w:t>大写：</w:t>
            </w:r>
          </w:p>
        </w:tc>
      </w:tr>
      <w:tr w14:paraId="1EF78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3930" w:type="dxa"/>
            <w:gridSpan w:val="2"/>
            <w:tcBorders>
              <w:top w:val="single" w:color="auto" w:sz="4" w:space="0"/>
              <w:left w:val="single" w:color="auto" w:sz="4" w:space="0"/>
              <w:bottom w:val="single" w:color="auto" w:sz="4" w:space="0"/>
              <w:right w:val="single" w:color="auto" w:sz="4" w:space="0"/>
            </w:tcBorders>
            <w:vAlign w:val="center"/>
          </w:tcPr>
          <w:p w14:paraId="1FA85C17">
            <w:pPr>
              <w:keepNext w:val="0"/>
              <w:keepLines w:val="0"/>
              <w:suppressLineNumbers w:val="0"/>
              <w:adjustRightInd/>
              <w:snapToGrid w:val="0"/>
              <w:spacing w:before="50" w:beforeAutospacing="0" w:after="50" w:afterAutospacing="0"/>
              <w:ind w:left="0" w:right="0"/>
              <w:jc w:val="center"/>
              <w:rPr>
                <w:rFonts w:hint="default" w:ascii="宋体" w:hAnsi="宋体" w:eastAsia="宋体" w:cs="宋体"/>
                <w:sz w:val="24"/>
                <w:szCs w:val="24"/>
                <w:highlight w:val="none"/>
              </w:rPr>
            </w:pPr>
            <w:r>
              <w:rPr>
                <w:rFonts w:hint="eastAsia" w:ascii="宋体" w:hAnsi="宋体" w:eastAsia="宋体" w:cs="宋体"/>
                <w:sz w:val="24"/>
                <w:szCs w:val="24"/>
                <w:highlight w:val="none"/>
              </w:rPr>
              <w:t>投标声明</w:t>
            </w:r>
          </w:p>
        </w:tc>
        <w:tc>
          <w:tcPr>
            <w:tcW w:w="4896" w:type="dxa"/>
            <w:tcBorders>
              <w:top w:val="single" w:color="auto" w:sz="4" w:space="0"/>
              <w:left w:val="single" w:color="auto" w:sz="4" w:space="0"/>
              <w:bottom w:val="single" w:color="auto" w:sz="4" w:space="0"/>
              <w:right w:val="single" w:color="auto" w:sz="4" w:space="0"/>
            </w:tcBorders>
            <w:vAlign w:val="center"/>
          </w:tcPr>
          <w:p w14:paraId="030DE6A9">
            <w:pPr>
              <w:keepNext w:val="0"/>
              <w:keepLines w:val="0"/>
              <w:suppressLineNumbers w:val="0"/>
              <w:adjustRightInd/>
              <w:snapToGrid w:val="0"/>
              <w:spacing w:before="50" w:beforeAutospacing="0" w:after="50" w:afterAutospacing="0"/>
              <w:ind w:left="0" w:right="0"/>
              <w:rPr>
                <w:rFonts w:hint="default" w:ascii="宋体" w:hAnsi="宋体" w:eastAsia="宋体" w:cs="宋体"/>
                <w:sz w:val="24"/>
                <w:szCs w:val="24"/>
                <w:highlight w:val="none"/>
              </w:rPr>
            </w:pPr>
          </w:p>
        </w:tc>
      </w:tr>
    </w:tbl>
    <w:p w14:paraId="62FD1573">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51E14B90">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w:t>
      </w:r>
      <w:r>
        <w:rPr>
          <w:rFonts w:hint="eastAsia" w:ascii="宋体" w:hAnsi="宋体" w:cs="宋体"/>
          <w:b/>
          <w:color w:val="auto"/>
          <w:sz w:val="24"/>
          <w:lang w:eastAsia="zh-CN"/>
        </w:rPr>
        <w:t>招标人</w:t>
      </w:r>
      <w:r>
        <w:rPr>
          <w:rFonts w:hint="eastAsia" w:ascii="宋体" w:hAnsi="宋体" w:cs="宋体"/>
          <w:b/>
          <w:color w:val="auto"/>
          <w:sz w:val="24"/>
        </w:rPr>
        <w:t>不能接受的附加条件，投标无效</w:t>
      </w:r>
      <w:r>
        <w:rPr>
          <w:rFonts w:hint="eastAsia" w:ascii="宋体" w:hAnsi="宋体" w:cs="宋体"/>
          <w:color w:val="auto"/>
          <w:kern w:val="0"/>
          <w:sz w:val="24"/>
          <w:lang w:val="zh-CN"/>
        </w:rPr>
        <w:t>。</w:t>
      </w:r>
    </w:p>
    <w:p w14:paraId="2BD167A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招标人将以合同形式有偿取得货物或服务，不接受供应商给予的赠品、回扣或者与采购无关的其他商品、服务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w:t>
      </w:r>
      <w:r>
        <w:rPr>
          <w:rFonts w:hint="eastAsia" w:ascii="宋体" w:hAnsi="宋体" w:cs="宋体"/>
          <w:b/>
          <w:color w:val="auto"/>
          <w:sz w:val="24"/>
          <w:lang w:eastAsia="zh-CN"/>
        </w:rPr>
        <w:t>招标人</w:t>
      </w:r>
      <w:r>
        <w:rPr>
          <w:rFonts w:hint="eastAsia" w:ascii="宋体" w:hAnsi="宋体" w:cs="宋体"/>
          <w:b/>
          <w:color w:val="auto"/>
          <w:sz w:val="24"/>
        </w:rPr>
        <w:t>不能接受的附加条件，投标无效</w:t>
      </w:r>
      <w:r>
        <w:rPr>
          <w:rFonts w:hint="eastAsia" w:ascii="宋体" w:hAnsi="宋体" w:cs="宋体"/>
          <w:b/>
          <w:color w:val="auto"/>
          <w:kern w:val="0"/>
          <w:sz w:val="24"/>
          <w:lang w:val="zh-CN"/>
        </w:rPr>
        <w:t>；采购内容未包含在《开标一览表（报价表）》名称栏中，供应商不能作出合理解释的，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w:t>
      </w:r>
      <w:r>
        <w:rPr>
          <w:rFonts w:hint="eastAsia" w:ascii="宋体" w:hAnsi="宋体" w:cs="宋体"/>
          <w:b/>
          <w:color w:val="auto"/>
          <w:sz w:val="24"/>
          <w:lang w:eastAsia="zh-CN"/>
        </w:rPr>
        <w:t>招标人</w:t>
      </w:r>
      <w:r>
        <w:rPr>
          <w:rFonts w:hint="eastAsia" w:ascii="宋体" w:hAnsi="宋体" w:cs="宋体"/>
          <w:b/>
          <w:color w:val="auto"/>
          <w:sz w:val="24"/>
        </w:rPr>
        <w:t>不能接受的附加条件的，投标无效。</w:t>
      </w:r>
    </w:p>
    <w:p w14:paraId="153E29F4">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738C7F9F">
      <w:pPr>
        <w:snapToGrid w:val="0"/>
        <w:spacing w:line="360" w:lineRule="auto"/>
        <w:ind w:firstLine="480" w:firstLineChars="200"/>
        <w:jc w:val="left"/>
        <w:rPr>
          <w:rFonts w:ascii="宋体" w:hAnsi="宋体" w:cs="宋体"/>
          <w:color w:val="auto"/>
          <w:sz w:val="32"/>
          <w:szCs w:val="32"/>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50FC800">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4C5DC8C">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rPr>
      </w:pPr>
      <w:bookmarkStart w:id="564" w:name="_Toc9063"/>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bookmarkEnd w:id="564"/>
    </w:p>
    <w:p w14:paraId="613F3C52">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31F66390">
      <w:pPr>
        <w:rPr>
          <w:rFonts w:ascii="宋体" w:hAnsi="宋体" w:cs="宋体"/>
          <w:b/>
          <w:color w:val="auto"/>
          <w:sz w:val="24"/>
        </w:rPr>
      </w:pPr>
      <w:r>
        <w:rPr>
          <w:rFonts w:hint="eastAsia" w:ascii="宋体" w:hAnsi="宋体" w:cs="宋体"/>
          <w:b/>
          <w:color w:val="auto"/>
          <w:sz w:val="24"/>
        </w:rPr>
        <w:br w:type="page"/>
      </w:r>
    </w:p>
    <w:p w14:paraId="7CBC23F5">
      <w:pPr>
        <w:jc w:val="center"/>
        <w:rPr>
          <w:rFonts w:ascii="宋体" w:hAnsi="宋体" w:cs="宋体"/>
          <w:b/>
          <w:bCs/>
          <w:color w:val="auto"/>
          <w:sz w:val="32"/>
          <w:szCs w:val="32"/>
        </w:rPr>
      </w:pPr>
      <w:r>
        <w:rPr>
          <w:rFonts w:hint="eastAsia" w:ascii="宋体" w:hAnsi="宋体" w:cs="宋体"/>
          <w:b/>
          <w:bCs/>
          <w:color w:val="auto"/>
          <w:sz w:val="32"/>
          <w:szCs w:val="32"/>
        </w:rPr>
        <w:t>三、投标分项报价表</w:t>
      </w:r>
    </w:p>
    <w:p w14:paraId="614CF23D">
      <w:pPr>
        <w:snapToGrid w:val="0"/>
        <w:spacing w:line="360" w:lineRule="auto"/>
        <w:rPr>
          <w:rFonts w:ascii="宋体" w:hAnsi="宋体" w:cs="宋体"/>
          <w:color w:val="auto"/>
          <w:kern w:val="0"/>
          <w:sz w:val="24"/>
          <w:lang w:val="zh-CN"/>
        </w:rPr>
      </w:pPr>
    </w:p>
    <w:p w14:paraId="03E7E8A2">
      <w:pPr>
        <w:snapToGrid w:val="0"/>
        <w:spacing w:line="360" w:lineRule="auto"/>
        <w:rPr>
          <w:rFonts w:ascii="宋体" w:hAnsi="宋体" w:cs="宋体"/>
          <w:color w:val="auto"/>
          <w:kern w:val="0"/>
          <w:sz w:val="24"/>
          <w:lang w:val="zh-CN"/>
        </w:rPr>
      </w:pPr>
      <w:r>
        <w:rPr>
          <w:rFonts w:hint="eastAsia" w:ascii="宋体" w:hAnsi="宋体" w:cs="宋体"/>
          <w:color w:val="auto"/>
          <w:sz w:val="24"/>
          <w:lang w:eastAsia="zh-CN"/>
        </w:rPr>
        <w:t>宁波市海曙区水务设施管理中心</w:t>
      </w:r>
      <w:r>
        <w:rPr>
          <w:rFonts w:hint="eastAsia" w:ascii="宋体" w:hAnsi="宋体" w:cs="宋体"/>
          <w:color w:val="auto"/>
          <w:kern w:val="0"/>
          <w:sz w:val="24"/>
          <w:lang w:val="zh-CN"/>
        </w:rPr>
        <w:t>、宁波中基国际招标有限公司：</w:t>
      </w:r>
    </w:p>
    <w:p w14:paraId="3EE4FC78">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海曙区排水管网日常养护项目</w:t>
      </w:r>
      <w:r>
        <w:rPr>
          <w:rFonts w:hint="eastAsia" w:ascii="宋体" w:hAnsi="宋体" w:cs="宋体"/>
          <w:color w:val="auto"/>
          <w:kern w:val="0"/>
          <w:sz w:val="24"/>
          <w:lang w:val="zh-CN"/>
        </w:rPr>
        <w:t>【招标编号：2025NBHSWT319   】的实施。</w:t>
      </w:r>
    </w:p>
    <w:p w14:paraId="48D42110">
      <w:pPr>
        <w:spacing w:beforeLines="0" w:afterLines="0"/>
        <w:jc w:val="center"/>
        <w:rPr>
          <w:rFonts w:hint="default" w:ascii="宋体" w:hAnsi="宋体" w:eastAsia="宋体" w:cs="宋体"/>
          <w:b/>
          <w:color w:val="auto"/>
          <w:sz w:val="32"/>
          <w:szCs w:val="32"/>
        </w:rPr>
      </w:pPr>
      <w:r>
        <w:rPr>
          <w:rFonts w:hint="default" w:ascii="宋体" w:hAnsi="宋体" w:eastAsia="宋体" w:cs="宋体"/>
          <w:b/>
          <w:color w:val="auto"/>
          <w:sz w:val="32"/>
          <w:szCs w:val="32"/>
        </w:rPr>
        <w:t>投标报价明细表（一）</w:t>
      </w:r>
    </w:p>
    <w:p w14:paraId="687F776D">
      <w:pPr>
        <w:snapToGrid w:val="0"/>
        <w:spacing w:before="50" w:beforeLines="0" w:after="50" w:afterLines="0"/>
        <w:ind w:firstLine="210" w:firstLineChars="100"/>
        <w:rPr>
          <w:rFonts w:hint="eastAsia" w:ascii="宋体" w:hAnsi="宋体" w:eastAsia="宋体" w:cs="宋体"/>
          <w:color w:val="auto"/>
          <w:sz w:val="24"/>
          <w:szCs w:val="24"/>
        </w:rPr>
      </w:pPr>
      <w:r>
        <w:rPr>
          <w:rFonts w:hint="default" w:ascii="宋体" w:hAnsi="宋体" w:eastAsia="宋体" w:cs="宋体"/>
          <w:color w:val="auto"/>
          <w:sz w:val="21"/>
          <w:szCs w:val="21"/>
        </w:rPr>
        <w:t xml:space="preserve"> </w:t>
      </w:r>
      <w:r>
        <w:rPr>
          <w:rFonts w:hint="eastAsia" w:ascii="宋体" w:hAnsi="宋体" w:eastAsia="宋体" w:cs="宋体"/>
          <w:color w:val="auto"/>
          <w:sz w:val="24"/>
          <w:szCs w:val="24"/>
        </w:rPr>
        <w:t xml:space="preserve"> 项目编号：                   项目名称：                     </w:t>
      </w:r>
    </w:p>
    <w:tbl>
      <w:tblPr>
        <w:tblStyle w:val="63"/>
        <w:tblW w:w="87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8"/>
        <w:gridCol w:w="1045"/>
        <w:gridCol w:w="1996"/>
        <w:gridCol w:w="1327"/>
        <w:gridCol w:w="1477"/>
        <w:gridCol w:w="2250"/>
      </w:tblGrid>
      <w:tr w14:paraId="559CE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9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B05B93">
            <w:pPr>
              <w:spacing w:beforeLines="0" w:afterLines="0"/>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lang w:bidi="ar"/>
              </w:rPr>
              <w:t>标项号</w:t>
            </w:r>
          </w:p>
        </w:tc>
        <w:tc>
          <w:tcPr>
            <w:tcW w:w="104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601B1C">
            <w:pPr>
              <w:spacing w:beforeLines="0" w:afterLines="0"/>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lang w:bidi="ar"/>
              </w:rPr>
              <w:t>街道名称</w:t>
            </w:r>
          </w:p>
        </w:tc>
        <w:tc>
          <w:tcPr>
            <w:tcW w:w="48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52DA29">
            <w:pPr>
              <w:spacing w:beforeLines="0" w:afterLines="0"/>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lang w:bidi="ar"/>
              </w:rPr>
              <w:t>养护项目</w:t>
            </w:r>
          </w:p>
        </w:tc>
        <w:tc>
          <w:tcPr>
            <w:tcW w:w="2250" w:type="dxa"/>
            <w:vMerge w:val="restart"/>
            <w:tcBorders>
              <w:top w:val="single" w:color="000000" w:sz="4" w:space="0"/>
              <w:left w:val="single" w:color="000000" w:sz="4" w:space="0"/>
              <w:bottom w:val="nil"/>
              <w:right w:val="single" w:color="000000" w:sz="4" w:space="0"/>
              <w:tl2br w:val="nil"/>
              <w:tr2bl w:val="nil"/>
            </w:tcBorders>
            <w:noWrap w:val="0"/>
            <w:vAlign w:val="center"/>
          </w:tcPr>
          <w:p w14:paraId="0D756BF1">
            <w:pPr>
              <w:spacing w:beforeLines="0" w:afterLines="0"/>
              <w:jc w:val="center"/>
              <w:textAlignment w:val="center"/>
              <w:rPr>
                <w:rFonts w:hint="eastAsia" w:ascii="宋体" w:hAnsi="宋体" w:eastAsia="宋体" w:cs="宋体"/>
                <w:b/>
                <w:color w:val="auto"/>
                <w:sz w:val="24"/>
                <w:szCs w:val="24"/>
                <w:lang w:bidi="ar"/>
              </w:rPr>
            </w:pPr>
            <w:r>
              <w:rPr>
                <w:rFonts w:hint="eastAsia" w:ascii="宋体" w:hAnsi="宋体" w:eastAsia="宋体" w:cs="宋体"/>
                <w:b/>
                <w:color w:val="auto"/>
                <w:sz w:val="24"/>
                <w:szCs w:val="24"/>
                <w:lang w:bidi="ar"/>
              </w:rPr>
              <w:t>备注</w:t>
            </w:r>
          </w:p>
        </w:tc>
      </w:tr>
      <w:tr w14:paraId="50746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6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E5C013">
            <w:pPr>
              <w:spacing w:beforeLines="0" w:afterLines="0"/>
              <w:jc w:val="center"/>
              <w:rPr>
                <w:rFonts w:hint="eastAsia" w:ascii="宋体" w:hAnsi="宋体" w:eastAsia="宋体" w:cs="宋体"/>
                <w:b/>
                <w:color w:val="auto"/>
                <w:sz w:val="24"/>
                <w:szCs w:val="24"/>
              </w:rPr>
            </w:pPr>
          </w:p>
        </w:tc>
        <w:tc>
          <w:tcPr>
            <w:tcW w:w="10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2B9F72">
            <w:pPr>
              <w:spacing w:beforeLines="0" w:afterLines="0"/>
              <w:jc w:val="center"/>
              <w:rPr>
                <w:rFonts w:hint="eastAsia" w:ascii="宋体" w:hAnsi="宋体" w:eastAsia="宋体" w:cs="宋体"/>
                <w:b/>
                <w:color w:val="auto"/>
                <w:sz w:val="24"/>
                <w:szCs w:val="24"/>
              </w:rPr>
            </w:pPr>
          </w:p>
        </w:tc>
        <w:tc>
          <w:tcPr>
            <w:tcW w:w="1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33E51A">
            <w:pPr>
              <w:spacing w:beforeLines="0" w:afterLines="0"/>
              <w:jc w:val="center"/>
              <w:textAlignment w:val="center"/>
              <w:rPr>
                <w:rFonts w:hint="eastAsia" w:ascii="宋体" w:hAnsi="宋体" w:eastAsia="宋体" w:cs="宋体"/>
                <w:b/>
                <w:color w:val="auto"/>
                <w:sz w:val="24"/>
                <w:szCs w:val="24"/>
              </w:rPr>
            </w:pPr>
            <w:r>
              <w:rPr>
                <w:rFonts w:hint="eastAsia" w:ascii="宋体" w:hAnsi="宋体" w:cs="宋体"/>
                <w:b/>
                <w:color w:val="auto"/>
                <w:sz w:val="24"/>
                <w:szCs w:val="24"/>
                <w:lang w:val="en-US" w:eastAsia="zh-CN" w:bidi="ar"/>
              </w:rPr>
              <w:t>管网合计</w:t>
            </w:r>
            <w:r>
              <w:rPr>
                <w:rFonts w:hint="eastAsia" w:ascii="宋体" w:hAnsi="宋体" w:eastAsia="宋体" w:cs="宋体"/>
                <w:b/>
                <w:color w:val="auto"/>
                <w:sz w:val="24"/>
                <w:szCs w:val="24"/>
                <w:lang w:bidi="ar"/>
              </w:rPr>
              <w:t>工程量(m)</w:t>
            </w:r>
          </w:p>
        </w:tc>
        <w:tc>
          <w:tcPr>
            <w:tcW w:w="13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11580E">
            <w:pPr>
              <w:spacing w:beforeLines="0" w:afterLines="0"/>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rPr>
              <w:t>年度综合单价（元/m）</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171497">
            <w:pPr>
              <w:spacing w:beforeLines="0" w:afterLines="0"/>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lang w:bidi="ar"/>
              </w:rPr>
              <w:t>年度管护合价(元)</w:t>
            </w:r>
          </w:p>
        </w:tc>
        <w:tc>
          <w:tcPr>
            <w:tcW w:w="2250"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6D7B3B2">
            <w:pPr>
              <w:spacing w:beforeLines="0" w:afterLines="0"/>
              <w:jc w:val="center"/>
              <w:textAlignment w:val="center"/>
              <w:rPr>
                <w:rFonts w:hint="eastAsia" w:ascii="宋体" w:hAnsi="宋体" w:eastAsia="宋体" w:cs="宋体"/>
                <w:b/>
                <w:color w:val="auto"/>
                <w:sz w:val="24"/>
                <w:szCs w:val="24"/>
                <w:lang w:bidi="ar"/>
              </w:rPr>
            </w:pPr>
          </w:p>
        </w:tc>
      </w:tr>
      <w:tr w14:paraId="073DA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atLeast"/>
        </w:trPr>
        <w:tc>
          <w:tcPr>
            <w:tcW w:w="698" w:type="dxa"/>
            <w:vMerge w:val="restart"/>
            <w:tcBorders>
              <w:top w:val="single" w:color="000000" w:sz="4" w:space="0"/>
              <w:left w:val="single" w:color="000000" w:sz="4" w:space="0"/>
              <w:bottom w:val="nil"/>
              <w:right w:val="single" w:color="000000" w:sz="4" w:space="0"/>
              <w:tl2br w:val="nil"/>
              <w:tr2bl w:val="nil"/>
            </w:tcBorders>
            <w:noWrap w:val="0"/>
            <w:vAlign w:val="center"/>
          </w:tcPr>
          <w:p w14:paraId="21C14ABB">
            <w:pPr>
              <w:spacing w:beforeLines="0" w:afterLines="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一</w:t>
            </w:r>
          </w:p>
        </w:tc>
        <w:tc>
          <w:tcPr>
            <w:tcW w:w="10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1F4585">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000000"/>
                <w:kern w:val="0"/>
                <w:sz w:val="22"/>
                <w:szCs w:val="22"/>
                <w:highlight w:val="none"/>
                <w:u w:val="none"/>
                <w:lang w:val="en-US" w:eastAsia="zh-CN" w:bidi="ar"/>
              </w:rPr>
              <w:t>月湖街道</w:t>
            </w:r>
          </w:p>
        </w:tc>
        <w:tc>
          <w:tcPr>
            <w:tcW w:w="1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DBBFBA">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i w:val="0"/>
                <w:iCs w:val="0"/>
                <w:color w:val="000000"/>
                <w:kern w:val="0"/>
                <w:sz w:val="22"/>
                <w:szCs w:val="22"/>
                <w:highlight w:val="none"/>
                <w:u w:val="none"/>
                <w:lang w:val="en-US" w:eastAsia="zh-CN" w:bidi="ar"/>
              </w:rPr>
              <w:t>21025</w:t>
            </w:r>
          </w:p>
        </w:tc>
        <w:tc>
          <w:tcPr>
            <w:tcW w:w="1327" w:type="dxa"/>
            <w:vMerge w:val="restart"/>
            <w:tcBorders>
              <w:top w:val="single" w:color="000000" w:sz="4" w:space="0"/>
              <w:left w:val="single" w:color="000000" w:sz="4" w:space="0"/>
              <w:right w:val="single" w:color="000000" w:sz="4" w:space="0"/>
              <w:tl2br w:val="nil"/>
              <w:tr2bl w:val="nil"/>
            </w:tcBorders>
            <w:noWrap w:val="0"/>
            <w:vAlign w:val="center"/>
          </w:tcPr>
          <w:p w14:paraId="227B4370">
            <w:pPr>
              <w:spacing w:beforeLines="0" w:afterLines="0"/>
              <w:jc w:val="center"/>
              <w:textAlignment w:val="center"/>
              <w:rPr>
                <w:rFonts w:hint="eastAsia" w:ascii="宋体" w:hAnsi="宋体" w:eastAsia="宋体" w:cs="宋体"/>
                <w:b w:val="0"/>
                <w:bCs w:val="0"/>
                <w:color w:val="auto"/>
                <w:sz w:val="24"/>
                <w:szCs w:val="24"/>
                <w:highlight w:val="none"/>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0969E2">
            <w:pPr>
              <w:spacing w:beforeLines="0" w:afterLines="0"/>
              <w:jc w:val="center"/>
              <w:textAlignment w:val="center"/>
              <w:rPr>
                <w:rFonts w:hint="eastAsia" w:ascii="宋体" w:hAnsi="宋体" w:eastAsia="宋体" w:cs="宋体"/>
                <w:color w:val="auto"/>
                <w:sz w:val="24"/>
                <w:szCs w:val="24"/>
                <w:highlight w:val="yellow"/>
                <w:lang w:bidi="ar"/>
              </w:rPr>
            </w:pPr>
          </w:p>
        </w:tc>
        <w:tc>
          <w:tcPr>
            <w:tcW w:w="2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631163">
            <w:pPr>
              <w:spacing w:beforeLines="0" w:afterLines="0"/>
              <w:jc w:val="center"/>
              <w:textAlignment w:val="center"/>
              <w:rPr>
                <w:rFonts w:hint="eastAsia" w:ascii="宋体" w:hAnsi="宋体" w:eastAsia="宋体" w:cs="宋体"/>
                <w:color w:val="auto"/>
                <w:sz w:val="24"/>
                <w:szCs w:val="24"/>
                <w:highlight w:val="yellow"/>
                <w:lang w:bidi="ar"/>
              </w:rPr>
            </w:pPr>
          </w:p>
        </w:tc>
      </w:tr>
      <w:tr w14:paraId="35053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98" w:type="dxa"/>
            <w:vMerge w:val="continue"/>
            <w:tcBorders>
              <w:top w:val="nil"/>
              <w:left w:val="single" w:color="000000" w:sz="4" w:space="0"/>
              <w:bottom w:val="nil"/>
              <w:right w:val="single" w:color="000000" w:sz="4" w:space="0"/>
              <w:tl2br w:val="nil"/>
              <w:tr2bl w:val="nil"/>
            </w:tcBorders>
            <w:noWrap w:val="0"/>
            <w:vAlign w:val="center"/>
          </w:tcPr>
          <w:p w14:paraId="62AC1058">
            <w:pPr>
              <w:spacing w:beforeLines="0" w:afterLines="0"/>
              <w:jc w:val="center"/>
              <w:textAlignment w:val="center"/>
              <w:rPr>
                <w:rFonts w:hint="eastAsia" w:ascii="宋体" w:hAnsi="宋体" w:eastAsia="宋体" w:cs="宋体"/>
                <w:b w:val="0"/>
                <w:bCs w:val="0"/>
                <w:color w:val="auto"/>
                <w:sz w:val="24"/>
                <w:szCs w:val="24"/>
                <w:highlight w:val="none"/>
              </w:rPr>
            </w:pPr>
          </w:p>
        </w:tc>
        <w:tc>
          <w:tcPr>
            <w:tcW w:w="10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19D29E">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000000"/>
                <w:kern w:val="0"/>
                <w:sz w:val="22"/>
                <w:szCs w:val="22"/>
                <w:highlight w:val="none"/>
                <w:u w:val="none"/>
                <w:lang w:val="en-US" w:eastAsia="zh-CN" w:bidi="ar"/>
              </w:rPr>
              <w:t>南门街道</w:t>
            </w:r>
          </w:p>
        </w:tc>
        <w:tc>
          <w:tcPr>
            <w:tcW w:w="1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704F5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i w:val="0"/>
                <w:iCs w:val="0"/>
                <w:color w:val="000000"/>
                <w:kern w:val="0"/>
                <w:sz w:val="22"/>
                <w:szCs w:val="22"/>
                <w:highlight w:val="none"/>
                <w:u w:val="none"/>
                <w:lang w:val="en-US" w:eastAsia="zh-CN" w:bidi="ar"/>
              </w:rPr>
              <w:t>41953</w:t>
            </w:r>
          </w:p>
        </w:tc>
        <w:tc>
          <w:tcPr>
            <w:tcW w:w="1327" w:type="dxa"/>
            <w:vMerge w:val="continue"/>
            <w:tcBorders>
              <w:left w:val="single" w:color="000000" w:sz="4" w:space="0"/>
              <w:right w:val="single" w:color="000000" w:sz="4" w:space="0"/>
              <w:tl2br w:val="nil"/>
              <w:tr2bl w:val="nil"/>
            </w:tcBorders>
            <w:noWrap w:val="0"/>
            <w:vAlign w:val="center"/>
          </w:tcPr>
          <w:p w14:paraId="353DB36C">
            <w:pPr>
              <w:spacing w:beforeLines="0" w:afterLines="0"/>
              <w:jc w:val="center"/>
              <w:textAlignment w:val="center"/>
              <w:rPr>
                <w:rFonts w:hint="eastAsia" w:ascii="宋体" w:hAnsi="宋体" w:eastAsia="宋体" w:cs="宋体"/>
                <w:b w:val="0"/>
                <w:bCs w:val="0"/>
                <w:color w:val="auto"/>
                <w:sz w:val="24"/>
                <w:szCs w:val="24"/>
                <w:highlight w:val="none"/>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5110DB">
            <w:pPr>
              <w:spacing w:beforeLines="0" w:afterLines="0"/>
              <w:jc w:val="center"/>
              <w:textAlignment w:val="center"/>
              <w:rPr>
                <w:rFonts w:hint="eastAsia" w:ascii="宋体" w:hAnsi="宋体" w:eastAsia="宋体" w:cs="宋体"/>
                <w:color w:val="auto"/>
                <w:sz w:val="24"/>
                <w:szCs w:val="24"/>
                <w:highlight w:val="yellow"/>
                <w:lang w:bidi="ar"/>
              </w:rPr>
            </w:pPr>
          </w:p>
        </w:tc>
        <w:tc>
          <w:tcPr>
            <w:tcW w:w="2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DE2CDA">
            <w:pPr>
              <w:spacing w:beforeLines="0" w:afterLines="0"/>
              <w:jc w:val="center"/>
              <w:textAlignment w:val="center"/>
              <w:rPr>
                <w:rFonts w:hint="eastAsia" w:ascii="宋体" w:hAnsi="宋体" w:eastAsia="宋体" w:cs="宋体"/>
                <w:color w:val="auto"/>
                <w:sz w:val="24"/>
                <w:szCs w:val="24"/>
                <w:highlight w:val="yellow"/>
                <w:lang w:bidi="ar"/>
              </w:rPr>
            </w:pPr>
          </w:p>
        </w:tc>
      </w:tr>
      <w:tr w14:paraId="59511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98" w:type="dxa"/>
            <w:vMerge w:val="continue"/>
            <w:tcBorders>
              <w:top w:val="nil"/>
              <w:left w:val="single" w:color="000000" w:sz="4" w:space="0"/>
              <w:bottom w:val="nil"/>
              <w:right w:val="single" w:color="000000" w:sz="4" w:space="0"/>
              <w:tl2br w:val="nil"/>
              <w:tr2bl w:val="nil"/>
            </w:tcBorders>
            <w:noWrap w:val="0"/>
            <w:vAlign w:val="center"/>
          </w:tcPr>
          <w:p w14:paraId="6B7476FB">
            <w:pPr>
              <w:spacing w:beforeLines="0" w:afterLines="0"/>
              <w:jc w:val="center"/>
              <w:rPr>
                <w:rFonts w:hint="eastAsia" w:ascii="宋体" w:hAnsi="宋体" w:eastAsia="宋体" w:cs="宋体"/>
                <w:b w:val="0"/>
                <w:bCs w:val="0"/>
                <w:color w:val="auto"/>
                <w:sz w:val="24"/>
                <w:szCs w:val="24"/>
                <w:highlight w:val="none"/>
              </w:rPr>
            </w:pPr>
          </w:p>
        </w:tc>
        <w:tc>
          <w:tcPr>
            <w:tcW w:w="10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83221B">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000000"/>
                <w:kern w:val="0"/>
                <w:sz w:val="22"/>
                <w:szCs w:val="22"/>
                <w:highlight w:val="none"/>
                <w:u w:val="none"/>
                <w:lang w:val="en-US" w:eastAsia="zh-CN" w:bidi="ar"/>
              </w:rPr>
              <w:t>段塘街道</w:t>
            </w:r>
          </w:p>
        </w:tc>
        <w:tc>
          <w:tcPr>
            <w:tcW w:w="1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005991">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i w:val="0"/>
                <w:iCs w:val="0"/>
                <w:color w:val="000000"/>
                <w:kern w:val="0"/>
                <w:sz w:val="22"/>
                <w:szCs w:val="22"/>
                <w:highlight w:val="none"/>
                <w:u w:val="none"/>
                <w:lang w:val="en-US" w:eastAsia="zh-CN" w:bidi="ar"/>
              </w:rPr>
              <w:t>62184</w:t>
            </w:r>
          </w:p>
        </w:tc>
        <w:tc>
          <w:tcPr>
            <w:tcW w:w="1327" w:type="dxa"/>
            <w:vMerge w:val="continue"/>
            <w:tcBorders>
              <w:left w:val="single" w:color="000000" w:sz="4" w:space="0"/>
              <w:right w:val="single" w:color="000000" w:sz="4" w:space="0"/>
              <w:tl2br w:val="nil"/>
              <w:tr2bl w:val="nil"/>
            </w:tcBorders>
            <w:noWrap w:val="0"/>
            <w:vAlign w:val="center"/>
          </w:tcPr>
          <w:p w14:paraId="01D95D4C">
            <w:pPr>
              <w:spacing w:beforeLines="0" w:afterLines="0"/>
              <w:jc w:val="center"/>
              <w:textAlignment w:val="center"/>
              <w:rPr>
                <w:rFonts w:hint="eastAsia" w:ascii="宋体" w:hAnsi="宋体" w:eastAsia="宋体" w:cs="宋体"/>
                <w:b w:val="0"/>
                <w:bCs w:val="0"/>
                <w:color w:val="auto"/>
                <w:sz w:val="24"/>
                <w:szCs w:val="24"/>
                <w:highlight w:val="none"/>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C45F78">
            <w:pPr>
              <w:spacing w:beforeLines="0" w:afterLines="0"/>
              <w:jc w:val="center"/>
              <w:textAlignment w:val="center"/>
              <w:rPr>
                <w:rFonts w:hint="eastAsia" w:ascii="宋体" w:hAnsi="宋体" w:eastAsia="宋体" w:cs="宋体"/>
                <w:color w:val="auto"/>
                <w:sz w:val="24"/>
                <w:szCs w:val="24"/>
                <w:highlight w:val="yellow"/>
                <w:lang w:bidi="ar"/>
              </w:rPr>
            </w:pPr>
          </w:p>
        </w:tc>
        <w:tc>
          <w:tcPr>
            <w:tcW w:w="2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7BD83F">
            <w:pPr>
              <w:spacing w:beforeLines="0" w:afterLines="0"/>
              <w:jc w:val="center"/>
              <w:textAlignment w:val="center"/>
              <w:rPr>
                <w:rFonts w:hint="eastAsia" w:ascii="宋体" w:hAnsi="宋体" w:eastAsia="宋体" w:cs="宋体"/>
                <w:color w:val="auto"/>
                <w:sz w:val="24"/>
                <w:szCs w:val="24"/>
                <w:highlight w:val="yellow"/>
                <w:lang w:bidi="ar"/>
              </w:rPr>
            </w:pPr>
          </w:p>
        </w:tc>
      </w:tr>
      <w:tr w14:paraId="4BD58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98" w:type="dxa"/>
            <w:vMerge w:val="continue"/>
            <w:tcBorders>
              <w:top w:val="nil"/>
              <w:left w:val="single" w:color="000000" w:sz="4" w:space="0"/>
              <w:bottom w:val="nil"/>
              <w:right w:val="single" w:color="000000" w:sz="4" w:space="0"/>
              <w:tl2br w:val="nil"/>
              <w:tr2bl w:val="nil"/>
            </w:tcBorders>
            <w:noWrap w:val="0"/>
            <w:vAlign w:val="center"/>
          </w:tcPr>
          <w:p w14:paraId="1E50BCBC">
            <w:pPr>
              <w:spacing w:beforeLines="0" w:afterLines="0"/>
              <w:jc w:val="center"/>
              <w:rPr>
                <w:rFonts w:hint="eastAsia" w:ascii="宋体" w:hAnsi="宋体" w:eastAsia="宋体" w:cs="宋体"/>
                <w:b w:val="0"/>
                <w:bCs w:val="0"/>
                <w:color w:val="auto"/>
                <w:sz w:val="24"/>
                <w:szCs w:val="24"/>
                <w:highlight w:val="none"/>
              </w:rPr>
            </w:pPr>
          </w:p>
        </w:tc>
        <w:tc>
          <w:tcPr>
            <w:tcW w:w="10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141432">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000000"/>
                <w:kern w:val="0"/>
                <w:sz w:val="22"/>
                <w:szCs w:val="22"/>
                <w:highlight w:val="none"/>
                <w:u w:val="none"/>
                <w:lang w:val="en-US" w:eastAsia="zh-CN" w:bidi="ar"/>
              </w:rPr>
              <w:t>石碶街道</w:t>
            </w:r>
          </w:p>
        </w:tc>
        <w:tc>
          <w:tcPr>
            <w:tcW w:w="1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75E0CF">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i w:val="0"/>
                <w:iCs w:val="0"/>
                <w:color w:val="000000"/>
                <w:kern w:val="0"/>
                <w:sz w:val="22"/>
                <w:szCs w:val="22"/>
                <w:highlight w:val="none"/>
                <w:u w:val="none"/>
                <w:lang w:val="en-US" w:eastAsia="zh-CN" w:bidi="ar"/>
              </w:rPr>
              <w:t>83708</w:t>
            </w:r>
          </w:p>
        </w:tc>
        <w:tc>
          <w:tcPr>
            <w:tcW w:w="1327" w:type="dxa"/>
            <w:vMerge w:val="continue"/>
            <w:tcBorders>
              <w:left w:val="single" w:color="000000" w:sz="4" w:space="0"/>
              <w:right w:val="single" w:color="000000" w:sz="4" w:space="0"/>
              <w:tl2br w:val="nil"/>
              <w:tr2bl w:val="nil"/>
            </w:tcBorders>
            <w:noWrap w:val="0"/>
            <w:vAlign w:val="center"/>
          </w:tcPr>
          <w:p w14:paraId="47D41905">
            <w:pPr>
              <w:spacing w:beforeLines="0" w:afterLines="0"/>
              <w:jc w:val="center"/>
              <w:textAlignment w:val="center"/>
              <w:rPr>
                <w:rFonts w:hint="eastAsia" w:ascii="宋体" w:hAnsi="宋体" w:eastAsia="宋体" w:cs="宋体"/>
                <w:b w:val="0"/>
                <w:bCs w:val="0"/>
                <w:color w:val="auto"/>
                <w:sz w:val="24"/>
                <w:szCs w:val="24"/>
                <w:highlight w:val="none"/>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F0DB59">
            <w:pPr>
              <w:spacing w:beforeLines="0" w:afterLines="0"/>
              <w:jc w:val="center"/>
              <w:textAlignment w:val="center"/>
              <w:rPr>
                <w:rFonts w:hint="eastAsia" w:ascii="宋体" w:hAnsi="宋体" w:eastAsia="宋体" w:cs="宋体"/>
                <w:color w:val="auto"/>
                <w:sz w:val="24"/>
                <w:szCs w:val="24"/>
                <w:highlight w:val="yellow"/>
                <w:lang w:bidi="ar"/>
              </w:rPr>
            </w:pPr>
          </w:p>
        </w:tc>
        <w:tc>
          <w:tcPr>
            <w:tcW w:w="2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1115F2">
            <w:pPr>
              <w:spacing w:beforeLines="0" w:afterLines="0"/>
              <w:jc w:val="center"/>
              <w:textAlignment w:val="center"/>
              <w:rPr>
                <w:rFonts w:hint="eastAsia" w:ascii="宋体" w:hAnsi="宋体" w:eastAsia="宋体" w:cs="宋体"/>
                <w:color w:val="auto"/>
                <w:sz w:val="24"/>
                <w:szCs w:val="24"/>
                <w:highlight w:val="yellow"/>
                <w:lang w:bidi="ar"/>
              </w:rPr>
            </w:pPr>
          </w:p>
        </w:tc>
      </w:tr>
      <w:tr w14:paraId="6B44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98" w:type="dxa"/>
            <w:vMerge w:val="continue"/>
            <w:tcBorders>
              <w:top w:val="nil"/>
              <w:left w:val="single" w:color="000000" w:sz="4" w:space="0"/>
              <w:bottom w:val="nil"/>
              <w:right w:val="single" w:color="000000" w:sz="4" w:space="0"/>
              <w:tl2br w:val="nil"/>
              <w:tr2bl w:val="nil"/>
            </w:tcBorders>
            <w:noWrap w:val="0"/>
            <w:vAlign w:val="center"/>
          </w:tcPr>
          <w:p w14:paraId="0B2505CE">
            <w:pPr>
              <w:spacing w:beforeLines="0" w:afterLines="0"/>
              <w:jc w:val="center"/>
              <w:rPr>
                <w:rFonts w:hint="eastAsia" w:ascii="宋体" w:hAnsi="宋体" w:eastAsia="宋体" w:cs="宋体"/>
                <w:b w:val="0"/>
                <w:bCs w:val="0"/>
                <w:color w:val="auto"/>
                <w:sz w:val="24"/>
                <w:szCs w:val="24"/>
                <w:highlight w:val="none"/>
              </w:rPr>
            </w:pPr>
          </w:p>
        </w:tc>
        <w:tc>
          <w:tcPr>
            <w:tcW w:w="10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EC153F">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i w:val="0"/>
                <w:iCs w:val="0"/>
                <w:color w:val="000000"/>
                <w:kern w:val="0"/>
                <w:sz w:val="22"/>
                <w:szCs w:val="22"/>
                <w:highlight w:val="none"/>
                <w:u w:val="none"/>
                <w:lang w:val="en-US" w:eastAsia="zh-CN" w:bidi="ar"/>
              </w:rPr>
              <w:t>高桥镇</w:t>
            </w:r>
          </w:p>
        </w:tc>
        <w:tc>
          <w:tcPr>
            <w:tcW w:w="1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A3A779">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i w:val="0"/>
                <w:iCs w:val="0"/>
                <w:color w:val="000000"/>
                <w:kern w:val="0"/>
                <w:sz w:val="22"/>
                <w:szCs w:val="22"/>
                <w:highlight w:val="none"/>
                <w:u w:val="none"/>
                <w:lang w:val="en-US" w:eastAsia="zh-CN" w:bidi="ar"/>
              </w:rPr>
              <w:t>14716</w:t>
            </w:r>
          </w:p>
        </w:tc>
        <w:tc>
          <w:tcPr>
            <w:tcW w:w="1327" w:type="dxa"/>
            <w:vMerge w:val="continue"/>
            <w:tcBorders>
              <w:left w:val="single" w:color="000000" w:sz="4" w:space="0"/>
              <w:bottom w:val="single" w:color="000000" w:sz="4" w:space="0"/>
              <w:right w:val="single" w:color="000000" w:sz="4" w:space="0"/>
              <w:tl2br w:val="nil"/>
              <w:tr2bl w:val="nil"/>
            </w:tcBorders>
            <w:noWrap w:val="0"/>
            <w:vAlign w:val="center"/>
          </w:tcPr>
          <w:p w14:paraId="3D5146EE">
            <w:pPr>
              <w:spacing w:beforeLines="0" w:afterLines="0"/>
              <w:jc w:val="center"/>
              <w:textAlignment w:val="center"/>
              <w:rPr>
                <w:rFonts w:hint="eastAsia" w:ascii="宋体" w:hAnsi="宋体" w:eastAsia="宋体" w:cs="宋体"/>
                <w:b w:val="0"/>
                <w:bCs w:val="0"/>
                <w:color w:val="auto"/>
                <w:sz w:val="24"/>
                <w:szCs w:val="24"/>
                <w:highlight w:val="none"/>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34B103">
            <w:pPr>
              <w:spacing w:beforeLines="0" w:afterLines="0"/>
              <w:jc w:val="center"/>
              <w:textAlignment w:val="center"/>
              <w:rPr>
                <w:rFonts w:hint="eastAsia" w:ascii="宋体" w:hAnsi="宋体" w:eastAsia="宋体" w:cs="宋体"/>
                <w:color w:val="auto"/>
                <w:sz w:val="24"/>
                <w:szCs w:val="24"/>
                <w:highlight w:val="yellow"/>
                <w:lang w:bidi="ar"/>
              </w:rPr>
            </w:pPr>
          </w:p>
        </w:tc>
        <w:tc>
          <w:tcPr>
            <w:tcW w:w="2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F1FC4F">
            <w:pPr>
              <w:spacing w:beforeLines="0" w:afterLines="0"/>
              <w:jc w:val="center"/>
              <w:textAlignment w:val="center"/>
              <w:rPr>
                <w:rFonts w:hint="eastAsia" w:ascii="宋体" w:hAnsi="宋体" w:eastAsia="宋体" w:cs="宋体"/>
                <w:color w:val="auto"/>
                <w:sz w:val="24"/>
                <w:szCs w:val="24"/>
                <w:highlight w:val="yellow"/>
                <w:lang w:bidi="ar"/>
              </w:rPr>
            </w:pPr>
          </w:p>
        </w:tc>
      </w:tr>
      <w:tr w14:paraId="69A28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98" w:type="dxa"/>
            <w:vMerge w:val="continue"/>
            <w:tcBorders>
              <w:top w:val="nil"/>
              <w:left w:val="single" w:color="000000" w:sz="4" w:space="0"/>
              <w:bottom w:val="nil"/>
              <w:right w:val="single" w:color="000000" w:sz="4" w:space="0"/>
              <w:tl2br w:val="nil"/>
              <w:tr2bl w:val="nil"/>
            </w:tcBorders>
            <w:noWrap w:val="0"/>
            <w:vAlign w:val="center"/>
          </w:tcPr>
          <w:p w14:paraId="08843A9A">
            <w:pPr>
              <w:spacing w:beforeLines="0" w:afterLines="0"/>
              <w:jc w:val="center"/>
              <w:rPr>
                <w:rFonts w:hint="eastAsia" w:ascii="宋体" w:hAnsi="宋体" w:eastAsia="宋体" w:cs="宋体"/>
                <w:b w:val="0"/>
                <w:bCs w:val="0"/>
                <w:color w:val="auto"/>
                <w:sz w:val="24"/>
                <w:szCs w:val="24"/>
                <w:highlight w:val="none"/>
              </w:rPr>
            </w:pPr>
          </w:p>
        </w:tc>
        <w:tc>
          <w:tcPr>
            <w:tcW w:w="10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467C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暂列金额</w:t>
            </w:r>
          </w:p>
        </w:tc>
        <w:tc>
          <w:tcPr>
            <w:tcW w:w="1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E81F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13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C46463">
            <w:pPr>
              <w:spacing w:beforeLines="0" w:afterLines="0"/>
              <w:jc w:val="center"/>
              <w:textAlignment w:val="center"/>
              <w:rPr>
                <w:rFonts w:hint="eastAsia" w:ascii="宋体" w:hAnsi="宋体" w:eastAsia="宋体" w:cs="宋体"/>
                <w:b w:val="0"/>
                <w:bCs w:val="0"/>
                <w:color w:val="auto"/>
                <w:sz w:val="24"/>
                <w:szCs w:val="24"/>
                <w:highlight w:val="none"/>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39334F">
            <w:pPr>
              <w:jc w:val="center"/>
              <w:textAlignment w:val="center"/>
              <w:rPr>
                <w:rFonts w:hint="eastAsia" w:ascii="宋体" w:hAnsi="宋体" w:eastAsia="宋体" w:cs="宋体"/>
                <w:color w:val="auto"/>
                <w:sz w:val="24"/>
                <w:szCs w:val="24"/>
                <w:highlight w:val="yellow"/>
                <w:lang w:bidi="ar"/>
              </w:rPr>
            </w:pPr>
            <w:r>
              <w:rPr>
                <w:rFonts w:hint="eastAsia" w:ascii="宋体" w:hAnsi="宋体" w:eastAsia="宋体" w:cs="宋体"/>
                <w:color w:val="auto"/>
                <w:szCs w:val="21"/>
                <w:highlight w:val="none"/>
                <w:lang w:val="en-US" w:eastAsia="zh-CN" w:bidi="ar"/>
              </w:rPr>
              <w:t>200000</w:t>
            </w:r>
          </w:p>
        </w:tc>
        <w:tc>
          <w:tcPr>
            <w:tcW w:w="2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FA87BB">
            <w:pPr>
              <w:jc w:val="center"/>
              <w:textAlignment w:val="center"/>
              <w:rPr>
                <w:rFonts w:hint="eastAsia" w:ascii="宋体" w:hAnsi="宋体" w:eastAsia="宋体" w:cs="宋体"/>
                <w:color w:val="auto"/>
                <w:sz w:val="24"/>
                <w:szCs w:val="24"/>
                <w:highlight w:val="yellow"/>
                <w:lang w:bidi="ar"/>
              </w:rPr>
            </w:pPr>
          </w:p>
        </w:tc>
      </w:tr>
      <w:tr w14:paraId="660F3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98" w:type="dxa"/>
            <w:vMerge w:val="continue"/>
            <w:tcBorders>
              <w:top w:val="nil"/>
              <w:left w:val="single" w:color="000000" w:sz="4" w:space="0"/>
              <w:bottom w:val="nil"/>
              <w:right w:val="single" w:color="000000" w:sz="4" w:space="0"/>
              <w:tl2br w:val="nil"/>
              <w:tr2bl w:val="nil"/>
            </w:tcBorders>
            <w:noWrap w:val="0"/>
            <w:vAlign w:val="center"/>
          </w:tcPr>
          <w:p w14:paraId="6CCAD868">
            <w:pPr>
              <w:spacing w:beforeLines="0" w:afterLines="0"/>
              <w:jc w:val="center"/>
              <w:rPr>
                <w:rFonts w:hint="eastAsia" w:ascii="宋体" w:hAnsi="宋体" w:eastAsia="宋体" w:cs="宋体"/>
                <w:b w:val="0"/>
                <w:bCs w:val="0"/>
                <w:color w:val="auto"/>
                <w:sz w:val="24"/>
                <w:szCs w:val="24"/>
                <w:highlight w:val="none"/>
              </w:rPr>
            </w:pPr>
          </w:p>
        </w:tc>
        <w:tc>
          <w:tcPr>
            <w:tcW w:w="10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30B25E">
            <w:pPr>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color w:val="auto"/>
                <w:szCs w:val="21"/>
                <w:highlight w:val="none"/>
                <w:lang w:bidi="ar"/>
              </w:rPr>
              <w:t>小计</w:t>
            </w:r>
          </w:p>
        </w:tc>
        <w:tc>
          <w:tcPr>
            <w:tcW w:w="1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328127">
            <w:pPr>
              <w:jc w:val="center"/>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223586</w:t>
            </w:r>
          </w:p>
        </w:tc>
        <w:tc>
          <w:tcPr>
            <w:tcW w:w="13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E1DADE">
            <w:pPr>
              <w:spacing w:beforeLines="0" w:afterLines="0"/>
              <w:jc w:val="center"/>
              <w:textAlignment w:val="center"/>
              <w:rPr>
                <w:rFonts w:hint="eastAsia" w:ascii="宋体" w:hAnsi="宋体" w:eastAsia="宋体" w:cs="宋体"/>
                <w:b w:val="0"/>
                <w:bCs w:val="0"/>
                <w:color w:val="auto"/>
                <w:sz w:val="24"/>
                <w:szCs w:val="24"/>
                <w:highlight w:val="none"/>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112A45">
            <w:pPr>
              <w:jc w:val="center"/>
              <w:textAlignment w:val="center"/>
              <w:rPr>
                <w:rFonts w:hint="eastAsia" w:ascii="宋体" w:hAnsi="宋体" w:eastAsia="宋体" w:cs="宋体"/>
                <w:color w:val="auto"/>
                <w:szCs w:val="21"/>
                <w:highlight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825EAB">
            <w:pPr>
              <w:jc w:val="center"/>
              <w:textAlignment w:val="center"/>
              <w:rPr>
                <w:rFonts w:hint="eastAsia" w:ascii="宋体" w:hAnsi="宋体" w:eastAsia="宋体" w:cs="宋体"/>
                <w:color w:val="auto"/>
                <w:szCs w:val="21"/>
                <w:highlight w:val="none"/>
                <w:lang w:val="en-US" w:eastAsia="zh-CN" w:bidi="ar"/>
              </w:rPr>
            </w:pPr>
          </w:p>
        </w:tc>
      </w:tr>
      <w:tr w14:paraId="4B1DF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98"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82281C0">
            <w:pPr>
              <w:spacing w:beforeLines="0" w:afterLines="0"/>
              <w:jc w:val="center"/>
              <w:rPr>
                <w:rFonts w:hint="eastAsia" w:ascii="宋体" w:hAnsi="宋体" w:eastAsia="宋体" w:cs="宋体"/>
                <w:b w:val="0"/>
                <w:bCs w:val="0"/>
                <w:color w:val="auto"/>
                <w:sz w:val="24"/>
                <w:szCs w:val="24"/>
                <w:highlight w:val="none"/>
              </w:rPr>
            </w:pPr>
          </w:p>
        </w:tc>
        <w:tc>
          <w:tcPr>
            <w:tcW w:w="436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962720">
            <w:pPr>
              <w:spacing w:beforeLines="0" w:afterLines="0"/>
              <w:jc w:val="center"/>
              <w:rPr>
                <w:rFonts w:hint="eastAsia" w:ascii="宋体" w:hAnsi="宋体" w:eastAsia="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年度投标总价</w:t>
            </w:r>
          </w:p>
        </w:tc>
        <w:tc>
          <w:tcPr>
            <w:tcW w:w="372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AAB620">
            <w:pPr>
              <w:spacing w:beforeLines="0" w:afterLines="0"/>
              <w:jc w:val="center"/>
              <w:textAlignment w:val="center"/>
              <w:rPr>
                <w:rFonts w:hint="eastAsia" w:ascii="宋体" w:hAnsi="宋体" w:eastAsia="宋体" w:cs="宋体"/>
                <w:color w:val="auto"/>
                <w:sz w:val="24"/>
                <w:szCs w:val="24"/>
                <w:highlight w:val="yellow"/>
                <w:lang w:bidi="ar"/>
              </w:rPr>
            </w:pPr>
          </w:p>
        </w:tc>
      </w:tr>
    </w:tbl>
    <w:p w14:paraId="0DC70BA2">
      <w:pPr>
        <w:spacing w:beforeLines="0" w:afterLines="0"/>
        <w:rPr>
          <w:rFonts w:hint="eastAsia" w:ascii="宋体" w:hAnsi="宋体" w:eastAsia="宋体" w:cs="宋体"/>
          <w:b/>
          <w:color w:val="auto"/>
          <w:sz w:val="24"/>
          <w:szCs w:val="24"/>
        </w:rPr>
      </w:pPr>
      <w:r>
        <w:rPr>
          <w:rFonts w:hint="eastAsia" w:ascii="宋体" w:hAnsi="宋体" w:eastAsia="宋体" w:cs="宋体"/>
          <w:b/>
          <w:color w:val="auto"/>
          <w:sz w:val="24"/>
          <w:szCs w:val="24"/>
        </w:rPr>
        <w:t>说明：此表适用于标项一。</w:t>
      </w:r>
    </w:p>
    <w:p w14:paraId="4218B680">
      <w:pPr>
        <w:spacing w:beforeLines="0" w:afterLine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投标报价明细表（一）</w:t>
      </w:r>
    </w:p>
    <w:p w14:paraId="69AE268D">
      <w:pPr>
        <w:snapToGrid w:val="0"/>
        <w:spacing w:before="50" w:beforeLines="0" w:after="50" w:afterLines="0"/>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项目编号：                   项目名称：                    </w:t>
      </w:r>
    </w:p>
    <w:tbl>
      <w:tblPr>
        <w:tblStyle w:val="63"/>
        <w:tblW w:w="87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7"/>
        <w:gridCol w:w="1036"/>
        <w:gridCol w:w="1996"/>
        <w:gridCol w:w="1327"/>
        <w:gridCol w:w="1465"/>
        <w:gridCol w:w="2227"/>
      </w:tblGrid>
      <w:tr w14:paraId="323CB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70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DD4297">
            <w:pPr>
              <w:spacing w:beforeLines="0" w:afterLines="0"/>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lang w:bidi="ar"/>
              </w:rPr>
              <w:t>标项号</w:t>
            </w:r>
          </w:p>
        </w:tc>
        <w:tc>
          <w:tcPr>
            <w:tcW w:w="103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03663C">
            <w:pPr>
              <w:spacing w:beforeLines="0" w:afterLines="0"/>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lang w:bidi="ar"/>
              </w:rPr>
              <w:t>街道名称</w:t>
            </w:r>
          </w:p>
        </w:tc>
        <w:tc>
          <w:tcPr>
            <w:tcW w:w="47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4A35E7">
            <w:pPr>
              <w:spacing w:beforeLines="0" w:afterLines="0"/>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lang w:bidi="ar"/>
              </w:rPr>
              <w:t>养护项目</w:t>
            </w:r>
          </w:p>
        </w:tc>
        <w:tc>
          <w:tcPr>
            <w:tcW w:w="2227" w:type="dxa"/>
            <w:vMerge w:val="restart"/>
            <w:tcBorders>
              <w:top w:val="single" w:color="000000" w:sz="4" w:space="0"/>
              <w:left w:val="single" w:color="000000" w:sz="4" w:space="0"/>
              <w:bottom w:val="nil"/>
              <w:right w:val="single" w:color="000000" w:sz="4" w:space="0"/>
              <w:tl2br w:val="nil"/>
              <w:tr2bl w:val="nil"/>
            </w:tcBorders>
            <w:noWrap w:val="0"/>
            <w:vAlign w:val="center"/>
          </w:tcPr>
          <w:p w14:paraId="74823FF5">
            <w:pPr>
              <w:spacing w:beforeLines="0" w:afterLines="0"/>
              <w:jc w:val="center"/>
              <w:textAlignment w:val="center"/>
              <w:rPr>
                <w:rFonts w:hint="eastAsia" w:ascii="宋体" w:hAnsi="宋体" w:eastAsia="宋体" w:cs="宋体"/>
                <w:b/>
                <w:color w:val="auto"/>
                <w:sz w:val="24"/>
                <w:szCs w:val="24"/>
                <w:lang w:bidi="ar"/>
              </w:rPr>
            </w:pPr>
            <w:r>
              <w:rPr>
                <w:rFonts w:hint="eastAsia" w:ascii="宋体" w:hAnsi="宋体" w:eastAsia="宋体" w:cs="宋体"/>
                <w:b/>
                <w:color w:val="auto"/>
                <w:sz w:val="24"/>
                <w:szCs w:val="24"/>
                <w:lang w:bidi="ar"/>
              </w:rPr>
              <w:t>备注</w:t>
            </w:r>
          </w:p>
        </w:tc>
      </w:tr>
      <w:tr w14:paraId="27D60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5" w:hRule="atLeast"/>
        </w:trPr>
        <w:tc>
          <w:tcPr>
            <w:tcW w:w="707" w:type="dxa"/>
            <w:vMerge w:val="continue"/>
            <w:tcBorders>
              <w:top w:val="single" w:color="000000" w:sz="4" w:space="0"/>
              <w:left w:val="single" w:color="000000" w:sz="4" w:space="0"/>
              <w:bottom w:val="single" w:color="auto" w:sz="4" w:space="0"/>
              <w:right w:val="single" w:color="000000" w:sz="4" w:space="0"/>
              <w:tl2br w:val="nil"/>
              <w:tr2bl w:val="nil"/>
            </w:tcBorders>
            <w:noWrap w:val="0"/>
            <w:vAlign w:val="center"/>
          </w:tcPr>
          <w:p w14:paraId="3C900E40">
            <w:pPr>
              <w:spacing w:beforeLines="0" w:afterLines="0"/>
              <w:jc w:val="center"/>
              <w:rPr>
                <w:rFonts w:hint="eastAsia" w:ascii="宋体" w:hAnsi="宋体" w:eastAsia="宋体" w:cs="宋体"/>
                <w:b/>
                <w:color w:val="auto"/>
                <w:sz w:val="24"/>
                <w:szCs w:val="24"/>
              </w:rPr>
            </w:pPr>
          </w:p>
        </w:tc>
        <w:tc>
          <w:tcPr>
            <w:tcW w:w="103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AAAD8C">
            <w:pPr>
              <w:spacing w:beforeLines="0" w:afterLines="0"/>
              <w:jc w:val="center"/>
              <w:rPr>
                <w:rFonts w:hint="eastAsia" w:ascii="宋体" w:hAnsi="宋体" w:eastAsia="宋体" w:cs="宋体"/>
                <w:b/>
                <w:color w:val="auto"/>
                <w:sz w:val="24"/>
                <w:szCs w:val="24"/>
              </w:rPr>
            </w:pPr>
          </w:p>
        </w:tc>
        <w:tc>
          <w:tcPr>
            <w:tcW w:w="1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D8CC83">
            <w:pPr>
              <w:spacing w:beforeLines="0" w:afterLines="0"/>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bidi="ar"/>
              </w:rPr>
              <w:t>管网合计</w:t>
            </w:r>
            <w:r>
              <w:rPr>
                <w:rFonts w:hint="eastAsia" w:ascii="宋体" w:hAnsi="宋体" w:eastAsia="宋体" w:cs="宋体"/>
                <w:b/>
                <w:color w:val="auto"/>
                <w:sz w:val="24"/>
                <w:szCs w:val="24"/>
                <w:lang w:bidi="ar"/>
              </w:rPr>
              <w:t>工程量(m)</w:t>
            </w:r>
          </w:p>
        </w:tc>
        <w:tc>
          <w:tcPr>
            <w:tcW w:w="13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CBB2C4">
            <w:pPr>
              <w:spacing w:beforeLines="0" w:afterLines="0"/>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rPr>
              <w:t>年度综合单价（元/m）</w:t>
            </w:r>
          </w:p>
        </w:tc>
        <w:tc>
          <w:tcPr>
            <w:tcW w:w="14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25071D">
            <w:pPr>
              <w:spacing w:beforeLines="0" w:afterLines="0"/>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lang w:bidi="ar"/>
              </w:rPr>
              <w:t>年度养护合价(元)</w:t>
            </w:r>
          </w:p>
        </w:tc>
        <w:tc>
          <w:tcPr>
            <w:tcW w:w="2227"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41C70AE">
            <w:pPr>
              <w:spacing w:beforeLines="0" w:afterLines="0"/>
              <w:jc w:val="center"/>
              <w:textAlignment w:val="center"/>
              <w:rPr>
                <w:rFonts w:hint="eastAsia" w:ascii="宋体" w:hAnsi="宋体" w:eastAsia="宋体" w:cs="宋体"/>
                <w:b/>
                <w:color w:val="auto"/>
                <w:sz w:val="24"/>
                <w:szCs w:val="24"/>
                <w:lang w:bidi="ar"/>
              </w:rPr>
            </w:pPr>
          </w:p>
        </w:tc>
      </w:tr>
      <w:tr w14:paraId="2EFAE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707" w:type="dxa"/>
            <w:vMerge w:val="restart"/>
            <w:tcBorders>
              <w:top w:val="single" w:color="auto" w:sz="4" w:space="0"/>
              <w:left w:val="single" w:color="000000" w:sz="4" w:space="0"/>
              <w:right w:val="single" w:color="000000" w:sz="4" w:space="0"/>
              <w:tl2br w:val="nil"/>
              <w:tr2bl w:val="nil"/>
            </w:tcBorders>
            <w:noWrap w:val="0"/>
            <w:vAlign w:val="center"/>
          </w:tcPr>
          <w:p w14:paraId="2E87FF93">
            <w:pPr>
              <w:spacing w:beforeLines="0" w:afterLines="0"/>
              <w:jc w:val="center"/>
              <w:rPr>
                <w:rFonts w:hint="eastAsia" w:ascii="宋体" w:hAnsi="宋体" w:eastAsia="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二</w:t>
            </w: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1FDF98">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鼓楼街道</w:t>
            </w:r>
          </w:p>
        </w:tc>
        <w:tc>
          <w:tcPr>
            <w:tcW w:w="1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243B6D">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u w:val="none"/>
                <w:lang w:bidi="ar"/>
              </w:rPr>
            </w:pPr>
            <w:r>
              <w:rPr>
                <w:rFonts w:hint="eastAsia" w:ascii="宋体" w:hAnsi="宋体" w:eastAsia="宋体" w:cs="宋体"/>
                <w:b w:val="0"/>
                <w:bCs w:val="0"/>
                <w:i w:val="0"/>
                <w:iCs w:val="0"/>
                <w:color w:val="000000"/>
                <w:kern w:val="0"/>
                <w:sz w:val="22"/>
                <w:szCs w:val="22"/>
                <w:highlight w:val="none"/>
                <w:u w:val="none"/>
                <w:lang w:val="en-US" w:eastAsia="zh-CN" w:bidi="ar"/>
              </w:rPr>
              <w:t>33001</w:t>
            </w:r>
          </w:p>
        </w:tc>
        <w:tc>
          <w:tcPr>
            <w:tcW w:w="1327" w:type="dxa"/>
            <w:vMerge w:val="restart"/>
            <w:tcBorders>
              <w:top w:val="single" w:color="000000" w:sz="4" w:space="0"/>
              <w:left w:val="single" w:color="000000" w:sz="4" w:space="0"/>
              <w:right w:val="single" w:color="000000" w:sz="4" w:space="0"/>
              <w:tl2br w:val="nil"/>
              <w:tr2bl w:val="nil"/>
            </w:tcBorders>
            <w:noWrap w:val="0"/>
            <w:vAlign w:val="center"/>
          </w:tcPr>
          <w:p w14:paraId="751B82E5">
            <w:pPr>
              <w:spacing w:beforeLines="0" w:afterLines="0"/>
              <w:jc w:val="center"/>
              <w:textAlignment w:val="center"/>
              <w:rPr>
                <w:rFonts w:hint="eastAsia" w:ascii="宋体" w:hAnsi="宋体" w:eastAsia="宋体" w:cs="宋体"/>
                <w:b w:val="0"/>
                <w:bCs w:val="0"/>
                <w:color w:val="auto"/>
                <w:sz w:val="24"/>
                <w:szCs w:val="24"/>
                <w:highlight w:val="none"/>
                <w:u w:val="none"/>
              </w:rPr>
            </w:pPr>
          </w:p>
        </w:tc>
        <w:tc>
          <w:tcPr>
            <w:tcW w:w="14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B2F698">
            <w:pPr>
              <w:spacing w:beforeLines="0" w:afterLines="0"/>
              <w:jc w:val="center"/>
              <w:textAlignment w:val="center"/>
              <w:rPr>
                <w:rFonts w:hint="eastAsia" w:ascii="宋体" w:hAnsi="宋体" w:eastAsia="宋体" w:cs="宋体"/>
                <w:b w:val="0"/>
                <w:bCs w:val="0"/>
                <w:color w:val="auto"/>
                <w:sz w:val="24"/>
                <w:szCs w:val="24"/>
                <w:highlight w:val="none"/>
                <w:u w:val="none"/>
                <w:lang w:bidi="ar"/>
              </w:rPr>
            </w:pPr>
          </w:p>
        </w:tc>
        <w:tc>
          <w:tcPr>
            <w:tcW w:w="22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0D61EB">
            <w:pPr>
              <w:spacing w:beforeLines="0" w:afterLines="0"/>
              <w:jc w:val="center"/>
              <w:textAlignment w:val="center"/>
              <w:rPr>
                <w:rFonts w:hint="eastAsia" w:ascii="宋体" w:hAnsi="宋体" w:eastAsia="宋体" w:cs="宋体"/>
                <w:b w:val="0"/>
                <w:bCs w:val="0"/>
                <w:color w:val="auto"/>
                <w:sz w:val="24"/>
                <w:szCs w:val="24"/>
                <w:highlight w:val="none"/>
                <w:u w:val="none"/>
                <w:lang w:bidi="ar"/>
              </w:rPr>
            </w:pPr>
          </w:p>
        </w:tc>
      </w:tr>
      <w:tr w14:paraId="7CC54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707" w:type="dxa"/>
            <w:vMerge w:val="continue"/>
            <w:tcBorders>
              <w:left w:val="single" w:color="000000" w:sz="4" w:space="0"/>
              <w:right w:val="single" w:color="000000" w:sz="4" w:space="0"/>
              <w:tl2br w:val="nil"/>
              <w:tr2bl w:val="nil"/>
            </w:tcBorders>
            <w:noWrap w:val="0"/>
            <w:vAlign w:val="center"/>
          </w:tcPr>
          <w:p w14:paraId="487FB5BE">
            <w:pPr>
              <w:spacing w:beforeLines="0" w:afterLines="0"/>
              <w:jc w:val="center"/>
              <w:rPr>
                <w:rFonts w:hint="eastAsia" w:ascii="宋体" w:hAnsi="宋体" w:eastAsia="宋体" w:cs="宋体"/>
                <w:b w:val="0"/>
                <w:bCs w:val="0"/>
                <w:color w:val="auto"/>
                <w:sz w:val="24"/>
                <w:szCs w:val="24"/>
                <w:highlight w:val="none"/>
                <w:u w:val="none"/>
              </w:rPr>
            </w:pP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14AD6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江厦街道</w:t>
            </w:r>
          </w:p>
        </w:tc>
        <w:tc>
          <w:tcPr>
            <w:tcW w:w="1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942C93">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u w:val="none"/>
                <w:lang w:bidi="ar"/>
              </w:rPr>
            </w:pPr>
            <w:r>
              <w:rPr>
                <w:rFonts w:hint="eastAsia" w:ascii="宋体" w:hAnsi="宋体" w:eastAsia="宋体" w:cs="宋体"/>
                <w:b w:val="0"/>
                <w:bCs w:val="0"/>
                <w:i w:val="0"/>
                <w:iCs w:val="0"/>
                <w:color w:val="000000"/>
                <w:kern w:val="0"/>
                <w:sz w:val="22"/>
                <w:szCs w:val="22"/>
                <w:highlight w:val="none"/>
                <w:u w:val="none"/>
                <w:lang w:val="en-US" w:eastAsia="zh-CN" w:bidi="ar"/>
              </w:rPr>
              <w:t>24148</w:t>
            </w:r>
          </w:p>
        </w:tc>
        <w:tc>
          <w:tcPr>
            <w:tcW w:w="1327" w:type="dxa"/>
            <w:vMerge w:val="continue"/>
            <w:tcBorders>
              <w:left w:val="single" w:color="000000" w:sz="4" w:space="0"/>
              <w:right w:val="single" w:color="000000" w:sz="4" w:space="0"/>
              <w:tl2br w:val="nil"/>
              <w:tr2bl w:val="nil"/>
            </w:tcBorders>
            <w:noWrap w:val="0"/>
            <w:vAlign w:val="center"/>
          </w:tcPr>
          <w:p w14:paraId="5A9642EF">
            <w:pPr>
              <w:spacing w:beforeLines="0" w:afterLines="0"/>
              <w:jc w:val="center"/>
              <w:textAlignment w:val="center"/>
              <w:rPr>
                <w:rFonts w:hint="eastAsia" w:ascii="宋体" w:hAnsi="宋体" w:eastAsia="宋体" w:cs="宋体"/>
                <w:b w:val="0"/>
                <w:bCs w:val="0"/>
                <w:color w:val="auto"/>
                <w:sz w:val="24"/>
                <w:szCs w:val="24"/>
                <w:highlight w:val="none"/>
                <w:u w:val="none"/>
              </w:rPr>
            </w:pPr>
          </w:p>
        </w:tc>
        <w:tc>
          <w:tcPr>
            <w:tcW w:w="14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6928B1">
            <w:pPr>
              <w:spacing w:beforeLines="0" w:afterLines="0"/>
              <w:jc w:val="center"/>
              <w:textAlignment w:val="center"/>
              <w:rPr>
                <w:rFonts w:hint="eastAsia" w:ascii="宋体" w:hAnsi="宋体" w:eastAsia="宋体" w:cs="宋体"/>
                <w:b w:val="0"/>
                <w:bCs w:val="0"/>
                <w:color w:val="auto"/>
                <w:sz w:val="24"/>
                <w:szCs w:val="24"/>
                <w:highlight w:val="none"/>
                <w:u w:val="none"/>
                <w:lang w:bidi="ar"/>
              </w:rPr>
            </w:pPr>
          </w:p>
        </w:tc>
        <w:tc>
          <w:tcPr>
            <w:tcW w:w="22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6E13C3">
            <w:pPr>
              <w:spacing w:beforeLines="0" w:afterLines="0"/>
              <w:jc w:val="center"/>
              <w:textAlignment w:val="center"/>
              <w:rPr>
                <w:rFonts w:hint="eastAsia" w:ascii="宋体" w:hAnsi="宋体" w:eastAsia="宋体" w:cs="宋体"/>
                <w:b w:val="0"/>
                <w:bCs w:val="0"/>
                <w:color w:val="auto"/>
                <w:sz w:val="24"/>
                <w:szCs w:val="24"/>
                <w:highlight w:val="none"/>
                <w:u w:val="none"/>
                <w:lang w:bidi="ar"/>
              </w:rPr>
            </w:pPr>
          </w:p>
        </w:tc>
      </w:tr>
      <w:tr w14:paraId="36F9A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707" w:type="dxa"/>
            <w:vMerge w:val="continue"/>
            <w:tcBorders>
              <w:left w:val="single" w:color="000000" w:sz="4" w:space="0"/>
              <w:right w:val="single" w:color="000000" w:sz="4" w:space="0"/>
              <w:tl2br w:val="nil"/>
              <w:tr2bl w:val="nil"/>
            </w:tcBorders>
            <w:noWrap w:val="0"/>
            <w:vAlign w:val="center"/>
          </w:tcPr>
          <w:p w14:paraId="0A6A7022">
            <w:pPr>
              <w:spacing w:beforeLines="0" w:afterLines="0"/>
              <w:jc w:val="center"/>
              <w:rPr>
                <w:rFonts w:hint="eastAsia" w:ascii="宋体" w:hAnsi="宋体" w:eastAsia="宋体" w:cs="宋体"/>
                <w:b w:val="0"/>
                <w:bCs w:val="0"/>
                <w:color w:val="auto"/>
                <w:sz w:val="24"/>
                <w:szCs w:val="24"/>
                <w:highlight w:val="none"/>
                <w:u w:val="none"/>
              </w:rPr>
            </w:pP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0B2033">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西门街道</w:t>
            </w:r>
          </w:p>
        </w:tc>
        <w:tc>
          <w:tcPr>
            <w:tcW w:w="1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6D858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u w:val="none"/>
                <w:lang w:bidi="ar"/>
              </w:rPr>
            </w:pPr>
            <w:r>
              <w:rPr>
                <w:rFonts w:hint="eastAsia" w:ascii="宋体" w:hAnsi="宋体" w:eastAsia="宋体" w:cs="宋体"/>
                <w:b w:val="0"/>
                <w:bCs w:val="0"/>
                <w:i w:val="0"/>
                <w:iCs w:val="0"/>
                <w:color w:val="000000"/>
                <w:kern w:val="0"/>
                <w:sz w:val="22"/>
                <w:szCs w:val="22"/>
                <w:highlight w:val="none"/>
                <w:u w:val="none"/>
                <w:lang w:val="en-US" w:eastAsia="zh-CN" w:bidi="ar"/>
              </w:rPr>
              <w:t>22861</w:t>
            </w:r>
          </w:p>
        </w:tc>
        <w:tc>
          <w:tcPr>
            <w:tcW w:w="1327" w:type="dxa"/>
            <w:vMerge w:val="continue"/>
            <w:tcBorders>
              <w:left w:val="single" w:color="000000" w:sz="4" w:space="0"/>
              <w:right w:val="single" w:color="000000" w:sz="4" w:space="0"/>
              <w:tl2br w:val="nil"/>
              <w:tr2bl w:val="nil"/>
            </w:tcBorders>
            <w:noWrap w:val="0"/>
            <w:vAlign w:val="center"/>
          </w:tcPr>
          <w:p w14:paraId="4B6C078D">
            <w:pPr>
              <w:spacing w:beforeLines="0" w:afterLines="0"/>
              <w:jc w:val="center"/>
              <w:textAlignment w:val="center"/>
              <w:rPr>
                <w:rFonts w:hint="eastAsia" w:ascii="宋体" w:hAnsi="宋体" w:eastAsia="宋体" w:cs="宋体"/>
                <w:b w:val="0"/>
                <w:bCs w:val="0"/>
                <w:color w:val="auto"/>
                <w:sz w:val="24"/>
                <w:szCs w:val="24"/>
                <w:highlight w:val="none"/>
                <w:u w:val="none"/>
              </w:rPr>
            </w:pPr>
          </w:p>
        </w:tc>
        <w:tc>
          <w:tcPr>
            <w:tcW w:w="14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7E63B5">
            <w:pPr>
              <w:spacing w:beforeLines="0" w:afterLines="0"/>
              <w:jc w:val="center"/>
              <w:textAlignment w:val="center"/>
              <w:rPr>
                <w:rFonts w:hint="eastAsia" w:ascii="宋体" w:hAnsi="宋体" w:eastAsia="宋体" w:cs="宋体"/>
                <w:b w:val="0"/>
                <w:bCs w:val="0"/>
                <w:color w:val="auto"/>
                <w:sz w:val="24"/>
                <w:szCs w:val="24"/>
                <w:highlight w:val="none"/>
                <w:u w:val="none"/>
                <w:lang w:bidi="ar"/>
              </w:rPr>
            </w:pPr>
          </w:p>
        </w:tc>
        <w:tc>
          <w:tcPr>
            <w:tcW w:w="22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743CB7">
            <w:pPr>
              <w:spacing w:beforeLines="0" w:afterLines="0"/>
              <w:jc w:val="center"/>
              <w:textAlignment w:val="center"/>
              <w:rPr>
                <w:rFonts w:hint="eastAsia" w:ascii="宋体" w:hAnsi="宋体" w:eastAsia="宋体" w:cs="宋体"/>
                <w:b w:val="0"/>
                <w:bCs w:val="0"/>
                <w:color w:val="auto"/>
                <w:sz w:val="24"/>
                <w:szCs w:val="24"/>
                <w:highlight w:val="none"/>
                <w:u w:val="none"/>
                <w:lang w:bidi="ar"/>
              </w:rPr>
            </w:pPr>
          </w:p>
        </w:tc>
      </w:tr>
      <w:tr w14:paraId="3AFE4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707" w:type="dxa"/>
            <w:vMerge w:val="continue"/>
            <w:tcBorders>
              <w:left w:val="single" w:color="000000" w:sz="4" w:space="0"/>
              <w:right w:val="single" w:color="000000" w:sz="4" w:space="0"/>
              <w:tl2br w:val="nil"/>
              <w:tr2bl w:val="nil"/>
            </w:tcBorders>
            <w:noWrap w:val="0"/>
            <w:vAlign w:val="center"/>
          </w:tcPr>
          <w:p w14:paraId="26B9C3D9">
            <w:pPr>
              <w:spacing w:beforeLines="0" w:afterLines="0"/>
              <w:jc w:val="center"/>
              <w:rPr>
                <w:rFonts w:hint="eastAsia" w:ascii="宋体" w:hAnsi="宋体" w:eastAsia="宋体" w:cs="宋体"/>
                <w:b w:val="0"/>
                <w:bCs w:val="0"/>
                <w:color w:val="auto"/>
                <w:sz w:val="24"/>
                <w:szCs w:val="24"/>
                <w:highlight w:val="none"/>
                <w:u w:val="none"/>
              </w:rPr>
            </w:pP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6AA27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望春街道</w:t>
            </w:r>
          </w:p>
        </w:tc>
        <w:tc>
          <w:tcPr>
            <w:tcW w:w="1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34AD2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u w:val="none"/>
                <w:lang w:bidi="ar"/>
              </w:rPr>
            </w:pPr>
            <w:r>
              <w:rPr>
                <w:rFonts w:hint="eastAsia" w:ascii="宋体" w:hAnsi="宋体" w:eastAsia="宋体" w:cs="宋体"/>
                <w:b w:val="0"/>
                <w:bCs w:val="0"/>
                <w:i w:val="0"/>
                <w:iCs w:val="0"/>
                <w:color w:val="000000"/>
                <w:kern w:val="0"/>
                <w:sz w:val="22"/>
                <w:szCs w:val="22"/>
                <w:highlight w:val="none"/>
                <w:u w:val="none"/>
                <w:lang w:val="en-US" w:eastAsia="zh-CN" w:bidi="ar"/>
              </w:rPr>
              <w:t>55046</w:t>
            </w:r>
          </w:p>
        </w:tc>
        <w:tc>
          <w:tcPr>
            <w:tcW w:w="1327" w:type="dxa"/>
            <w:vMerge w:val="continue"/>
            <w:tcBorders>
              <w:left w:val="single" w:color="000000" w:sz="4" w:space="0"/>
              <w:right w:val="single" w:color="000000" w:sz="4" w:space="0"/>
              <w:tl2br w:val="nil"/>
              <w:tr2bl w:val="nil"/>
            </w:tcBorders>
            <w:noWrap w:val="0"/>
            <w:vAlign w:val="center"/>
          </w:tcPr>
          <w:p w14:paraId="2A7E04A2">
            <w:pPr>
              <w:spacing w:beforeLines="0" w:afterLines="0"/>
              <w:jc w:val="center"/>
              <w:textAlignment w:val="center"/>
              <w:rPr>
                <w:rFonts w:hint="eastAsia" w:ascii="宋体" w:hAnsi="宋体" w:eastAsia="宋体" w:cs="宋体"/>
                <w:b w:val="0"/>
                <w:bCs w:val="0"/>
                <w:color w:val="auto"/>
                <w:sz w:val="24"/>
                <w:szCs w:val="24"/>
                <w:highlight w:val="none"/>
                <w:u w:val="none"/>
              </w:rPr>
            </w:pPr>
          </w:p>
        </w:tc>
        <w:tc>
          <w:tcPr>
            <w:tcW w:w="14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2ABD0F">
            <w:pPr>
              <w:spacing w:beforeLines="0" w:afterLines="0"/>
              <w:jc w:val="center"/>
              <w:textAlignment w:val="center"/>
              <w:rPr>
                <w:rFonts w:hint="eastAsia" w:ascii="宋体" w:hAnsi="宋体" w:eastAsia="宋体" w:cs="宋体"/>
                <w:b w:val="0"/>
                <w:bCs w:val="0"/>
                <w:color w:val="auto"/>
                <w:sz w:val="24"/>
                <w:szCs w:val="24"/>
                <w:highlight w:val="none"/>
                <w:u w:val="none"/>
                <w:lang w:bidi="ar"/>
              </w:rPr>
            </w:pPr>
          </w:p>
        </w:tc>
        <w:tc>
          <w:tcPr>
            <w:tcW w:w="22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1E86C8">
            <w:pPr>
              <w:spacing w:beforeLines="0" w:afterLines="0"/>
              <w:jc w:val="center"/>
              <w:textAlignment w:val="center"/>
              <w:rPr>
                <w:rFonts w:hint="eastAsia" w:ascii="宋体" w:hAnsi="宋体" w:eastAsia="宋体" w:cs="宋体"/>
                <w:b w:val="0"/>
                <w:bCs w:val="0"/>
                <w:color w:val="auto"/>
                <w:sz w:val="24"/>
                <w:szCs w:val="24"/>
                <w:highlight w:val="none"/>
                <w:u w:val="none"/>
                <w:lang w:bidi="ar"/>
              </w:rPr>
            </w:pPr>
          </w:p>
        </w:tc>
      </w:tr>
      <w:tr w14:paraId="0E665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707" w:type="dxa"/>
            <w:vMerge w:val="continue"/>
            <w:tcBorders>
              <w:left w:val="single" w:color="000000" w:sz="4" w:space="0"/>
              <w:right w:val="single" w:color="000000" w:sz="4" w:space="0"/>
              <w:tl2br w:val="nil"/>
              <w:tr2bl w:val="nil"/>
            </w:tcBorders>
            <w:noWrap w:val="0"/>
            <w:vAlign w:val="center"/>
          </w:tcPr>
          <w:p w14:paraId="77781C0B">
            <w:pPr>
              <w:spacing w:beforeLines="0" w:afterLines="0"/>
              <w:jc w:val="center"/>
              <w:rPr>
                <w:rFonts w:hint="eastAsia" w:ascii="宋体" w:hAnsi="宋体" w:eastAsia="宋体" w:cs="宋体"/>
                <w:b w:val="0"/>
                <w:bCs w:val="0"/>
                <w:color w:val="auto"/>
                <w:sz w:val="24"/>
                <w:szCs w:val="24"/>
                <w:highlight w:val="none"/>
                <w:u w:val="none"/>
              </w:rPr>
            </w:pP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5A26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白云街道</w:t>
            </w:r>
          </w:p>
        </w:tc>
        <w:tc>
          <w:tcPr>
            <w:tcW w:w="1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7AD314">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u w:val="none"/>
                <w:lang w:bidi="ar"/>
              </w:rPr>
            </w:pPr>
            <w:r>
              <w:rPr>
                <w:rFonts w:hint="eastAsia" w:ascii="宋体" w:hAnsi="宋体" w:eastAsia="宋体" w:cs="宋体"/>
                <w:b w:val="0"/>
                <w:bCs w:val="0"/>
                <w:i w:val="0"/>
                <w:iCs w:val="0"/>
                <w:color w:val="000000"/>
                <w:kern w:val="0"/>
                <w:sz w:val="22"/>
                <w:szCs w:val="22"/>
                <w:highlight w:val="none"/>
                <w:u w:val="none"/>
                <w:lang w:val="en-US" w:eastAsia="zh-CN" w:bidi="ar"/>
              </w:rPr>
              <w:t>41093</w:t>
            </w:r>
          </w:p>
        </w:tc>
        <w:tc>
          <w:tcPr>
            <w:tcW w:w="1327" w:type="dxa"/>
            <w:vMerge w:val="continue"/>
            <w:tcBorders>
              <w:left w:val="single" w:color="000000" w:sz="4" w:space="0"/>
              <w:right w:val="single" w:color="000000" w:sz="4" w:space="0"/>
              <w:tl2br w:val="nil"/>
              <w:tr2bl w:val="nil"/>
            </w:tcBorders>
            <w:noWrap w:val="0"/>
            <w:vAlign w:val="center"/>
          </w:tcPr>
          <w:p w14:paraId="20E4BB11">
            <w:pPr>
              <w:spacing w:beforeLines="0" w:afterLines="0"/>
              <w:jc w:val="center"/>
              <w:textAlignment w:val="center"/>
              <w:rPr>
                <w:rFonts w:hint="eastAsia" w:ascii="宋体" w:hAnsi="宋体" w:eastAsia="宋体" w:cs="宋体"/>
                <w:b w:val="0"/>
                <w:bCs w:val="0"/>
                <w:color w:val="auto"/>
                <w:sz w:val="24"/>
                <w:szCs w:val="24"/>
                <w:highlight w:val="none"/>
                <w:u w:val="none"/>
                <w:lang w:bidi="ar"/>
              </w:rPr>
            </w:pPr>
          </w:p>
        </w:tc>
        <w:tc>
          <w:tcPr>
            <w:tcW w:w="14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53BD09">
            <w:pPr>
              <w:spacing w:beforeLines="0" w:afterLines="0"/>
              <w:jc w:val="center"/>
              <w:textAlignment w:val="center"/>
              <w:rPr>
                <w:rFonts w:hint="eastAsia" w:ascii="宋体" w:hAnsi="宋体" w:eastAsia="宋体" w:cs="宋体"/>
                <w:b w:val="0"/>
                <w:bCs w:val="0"/>
                <w:color w:val="auto"/>
                <w:sz w:val="24"/>
                <w:szCs w:val="24"/>
                <w:highlight w:val="none"/>
                <w:u w:val="none"/>
                <w:lang w:bidi="ar"/>
              </w:rPr>
            </w:pPr>
          </w:p>
        </w:tc>
        <w:tc>
          <w:tcPr>
            <w:tcW w:w="22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FD8BE7">
            <w:pPr>
              <w:spacing w:beforeLines="0" w:afterLines="0"/>
              <w:jc w:val="center"/>
              <w:textAlignment w:val="center"/>
              <w:rPr>
                <w:rFonts w:hint="eastAsia" w:ascii="宋体" w:hAnsi="宋体" w:eastAsia="宋体" w:cs="宋体"/>
                <w:b w:val="0"/>
                <w:bCs w:val="0"/>
                <w:color w:val="auto"/>
                <w:sz w:val="24"/>
                <w:szCs w:val="24"/>
                <w:highlight w:val="none"/>
                <w:u w:val="none"/>
                <w:lang w:bidi="ar"/>
              </w:rPr>
            </w:pPr>
          </w:p>
        </w:tc>
      </w:tr>
      <w:tr w14:paraId="0E2C2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707" w:type="dxa"/>
            <w:vMerge w:val="continue"/>
            <w:tcBorders>
              <w:left w:val="single" w:color="000000" w:sz="4" w:space="0"/>
              <w:right w:val="single" w:color="000000" w:sz="4" w:space="0"/>
              <w:tl2br w:val="nil"/>
              <w:tr2bl w:val="nil"/>
            </w:tcBorders>
            <w:noWrap w:val="0"/>
            <w:vAlign w:val="center"/>
          </w:tcPr>
          <w:p w14:paraId="7446F426">
            <w:pPr>
              <w:spacing w:beforeLines="0" w:afterLines="0"/>
              <w:jc w:val="center"/>
              <w:rPr>
                <w:rFonts w:hint="eastAsia" w:ascii="宋体" w:hAnsi="宋体" w:eastAsia="宋体" w:cs="宋体"/>
                <w:b w:val="0"/>
                <w:bCs w:val="0"/>
                <w:color w:val="auto"/>
                <w:sz w:val="24"/>
                <w:szCs w:val="24"/>
                <w:highlight w:val="none"/>
                <w:u w:val="none"/>
              </w:rPr>
            </w:pP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CD2F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古林镇</w:t>
            </w:r>
          </w:p>
        </w:tc>
        <w:tc>
          <w:tcPr>
            <w:tcW w:w="1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C523AD">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30873</w:t>
            </w:r>
          </w:p>
        </w:tc>
        <w:tc>
          <w:tcPr>
            <w:tcW w:w="1327" w:type="dxa"/>
            <w:vMerge w:val="continue"/>
            <w:tcBorders>
              <w:left w:val="single" w:color="000000" w:sz="4" w:space="0"/>
              <w:bottom w:val="single" w:color="000000" w:sz="4" w:space="0"/>
              <w:right w:val="single" w:color="000000" w:sz="4" w:space="0"/>
              <w:tl2br w:val="nil"/>
              <w:tr2bl w:val="nil"/>
            </w:tcBorders>
            <w:noWrap w:val="0"/>
            <w:vAlign w:val="center"/>
          </w:tcPr>
          <w:p w14:paraId="2558F3F4">
            <w:pPr>
              <w:spacing w:beforeLines="0" w:afterLines="0"/>
              <w:jc w:val="center"/>
              <w:textAlignment w:val="center"/>
              <w:rPr>
                <w:rFonts w:hint="eastAsia" w:ascii="宋体" w:hAnsi="宋体" w:eastAsia="宋体" w:cs="宋体"/>
                <w:b w:val="0"/>
                <w:bCs w:val="0"/>
                <w:color w:val="auto"/>
                <w:sz w:val="24"/>
                <w:szCs w:val="24"/>
                <w:highlight w:val="none"/>
                <w:u w:val="none"/>
                <w:lang w:bidi="ar"/>
              </w:rPr>
            </w:pPr>
          </w:p>
        </w:tc>
        <w:tc>
          <w:tcPr>
            <w:tcW w:w="14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D5EBCB">
            <w:pPr>
              <w:spacing w:beforeLines="0" w:afterLines="0"/>
              <w:jc w:val="center"/>
              <w:textAlignment w:val="center"/>
              <w:rPr>
                <w:rFonts w:hint="eastAsia" w:ascii="宋体" w:hAnsi="宋体" w:eastAsia="宋体" w:cs="宋体"/>
                <w:b w:val="0"/>
                <w:bCs w:val="0"/>
                <w:color w:val="auto"/>
                <w:sz w:val="24"/>
                <w:szCs w:val="24"/>
                <w:highlight w:val="none"/>
                <w:u w:val="none"/>
                <w:lang w:bidi="ar"/>
              </w:rPr>
            </w:pPr>
          </w:p>
        </w:tc>
        <w:tc>
          <w:tcPr>
            <w:tcW w:w="22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4BF817">
            <w:pPr>
              <w:spacing w:beforeLines="0" w:afterLines="0"/>
              <w:jc w:val="center"/>
              <w:textAlignment w:val="center"/>
              <w:rPr>
                <w:rFonts w:hint="eastAsia" w:ascii="宋体" w:hAnsi="宋体" w:eastAsia="宋体" w:cs="宋体"/>
                <w:b w:val="0"/>
                <w:bCs w:val="0"/>
                <w:color w:val="auto"/>
                <w:sz w:val="24"/>
                <w:szCs w:val="24"/>
                <w:highlight w:val="none"/>
                <w:u w:val="none"/>
                <w:lang w:bidi="ar"/>
              </w:rPr>
            </w:pPr>
          </w:p>
        </w:tc>
      </w:tr>
      <w:tr w14:paraId="71E4F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707" w:type="dxa"/>
            <w:vMerge w:val="continue"/>
            <w:tcBorders>
              <w:left w:val="single" w:color="000000" w:sz="4" w:space="0"/>
              <w:right w:val="single" w:color="000000" w:sz="4" w:space="0"/>
              <w:tl2br w:val="nil"/>
              <w:tr2bl w:val="nil"/>
            </w:tcBorders>
            <w:noWrap w:val="0"/>
            <w:vAlign w:val="center"/>
          </w:tcPr>
          <w:p w14:paraId="4AF1CD5A">
            <w:pPr>
              <w:spacing w:beforeLines="0" w:afterLines="0"/>
              <w:jc w:val="center"/>
              <w:rPr>
                <w:rFonts w:hint="eastAsia" w:ascii="宋体" w:hAnsi="宋体" w:eastAsia="宋体" w:cs="宋体"/>
                <w:b w:val="0"/>
                <w:bCs w:val="0"/>
                <w:color w:val="auto"/>
                <w:sz w:val="24"/>
                <w:szCs w:val="24"/>
                <w:highlight w:val="none"/>
                <w:u w:val="none"/>
              </w:rPr>
            </w:pP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AB86F1">
            <w:pPr>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color w:val="auto"/>
                <w:szCs w:val="21"/>
                <w:highlight w:val="none"/>
                <w:u w:val="none"/>
                <w:lang w:eastAsia="zh-CN" w:bidi="ar"/>
              </w:rPr>
              <w:t>暂列金额</w:t>
            </w:r>
          </w:p>
        </w:tc>
        <w:tc>
          <w:tcPr>
            <w:tcW w:w="1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AC75FA">
            <w:pPr>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13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13CF45">
            <w:pPr>
              <w:jc w:val="center"/>
              <w:textAlignment w:val="center"/>
              <w:rPr>
                <w:rFonts w:hint="eastAsia" w:ascii="宋体" w:hAnsi="宋体" w:eastAsia="宋体" w:cs="宋体"/>
                <w:b w:val="0"/>
                <w:bCs w:val="0"/>
                <w:color w:val="auto"/>
                <w:sz w:val="24"/>
                <w:szCs w:val="24"/>
                <w:highlight w:val="none"/>
                <w:u w:val="none"/>
                <w:lang w:bidi="ar"/>
              </w:rPr>
            </w:pPr>
          </w:p>
        </w:tc>
        <w:tc>
          <w:tcPr>
            <w:tcW w:w="14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0F902B">
            <w:pPr>
              <w:jc w:val="center"/>
              <w:textAlignment w:val="center"/>
              <w:rPr>
                <w:rFonts w:hint="eastAsia" w:ascii="宋体" w:hAnsi="宋体" w:eastAsia="宋体" w:cs="宋体"/>
                <w:b w:val="0"/>
                <w:bCs w:val="0"/>
                <w:color w:val="auto"/>
                <w:sz w:val="24"/>
                <w:szCs w:val="24"/>
                <w:highlight w:val="none"/>
                <w:u w:val="none"/>
                <w:lang w:bidi="ar"/>
              </w:rPr>
            </w:pPr>
            <w:r>
              <w:rPr>
                <w:rFonts w:hint="eastAsia" w:ascii="宋体" w:hAnsi="宋体" w:eastAsia="宋体" w:cs="宋体"/>
                <w:b w:val="0"/>
                <w:bCs w:val="0"/>
                <w:color w:val="auto"/>
                <w:szCs w:val="21"/>
                <w:highlight w:val="none"/>
                <w:u w:val="none"/>
                <w:lang w:val="en-US" w:eastAsia="zh-CN" w:bidi="ar"/>
              </w:rPr>
              <w:t>200000</w:t>
            </w:r>
          </w:p>
        </w:tc>
        <w:tc>
          <w:tcPr>
            <w:tcW w:w="22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1F0F0A">
            <w:pPr>
              <w:jc w:val="center"/>
              <w:textAlignment w:val="center"/>
              <w:rPr>
                <w:rFonts w:hint="eastAsia" w:ascii="宋体" w:hAnsi="宋体" w:eastAsia="宋体" w:cs="宋体"/>
                <w:b w:val="0"/>
                <w:bCs w:val="0"/>
                <w:color w:val="auto"/>
                <w:sz w:val="24"/>
                <w:szCs w:val="24"/>
                <w:highlight w:val="none"/>
                <w:u w:val="none"/>
                <w:lang w:bidi="ar"/>
              </w:rPr>
            </w:pPr>
          </w:p>
        </w:tc>
      </w:tr>
      <w:tr w14:paraId="7EFF5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707" w:type="dxa"/>
            <w:vMerge w:val="continue"/>
            <w:tcBorders>
              <w:left w:val="single" w:color="000000" w:sz="4" w:space="0"/>
              <w:right w:val="single" w:color="000000" w:sz="4" w:space="0"/>
              <w:tl2br w:val="nil"/>
              <w:tr2bl w:val="nil"/>
            </w:tcBorders>
            <w:noWrap w:val="0"/>
            <w:vAlign w:val="center"/>
          </w:tcPr>
          <w:p w14:paraId="5731B8BB">
            <w:pPr>
              <w:spacing w:beforeLines="0" w:afterLines="0"/>
              <w:jc w:val="center"/>
              <w:rPr>
                <w:rFonts w:hint="eastAsia" w:ascii="宋体" w:hAnsi="宋体" w:eastAsia="宋体" w:cs="宋体"/>
                <w:b w:val="0"/>
                <w:bCs w:val="0"/>
                <w:color w:val="auto"/>
                <w:sz w:val="24"/>
                <w:szCs w:val="24"/>
                <w:highlight w:val="none"/>
                <w:u w:val="none"/>
              </w:rPr>
            </w:pP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E85F51">
            <w:pPr>
              <w:jc w:val="center"/>
              <w:textAlignment w:val="center"/>
              <w:rPr>
                <w:rFonts w:hint="eastAsia" w:ascii="宋体" w:hAnsi="宋体" w:eastAsia="宋体" w:cs="宋体"/>
                <w:b w:val="0"/>
                <w:bCs w:val="0"/>
                <w:color w:val="auto"/>
                <w:szCs w:val="21"/>
                <w:highlight w:val="none"/>
                <w:u w:val="none"/>
                <w:lang w:eastAsia="zh-CN" w:bidi="ar"/>
              </w:rPr>
            </w:pPr>
            <w:r>
              <w:rPr>
                <w:rFonts w:hint="eastAsia" w:ascii="宋体" w:hAnsi="宋体" w:eastAsia="宋体" w:cs="宋体"/>
                <w:b w:val="0"/>
                <w:bCs w:val="0"/>
                <w:color w:val="auto"/>
                <w:szCs w:val="21"/>
                <w:highlight w:val="none"/>
                <w:u w:val="none"/>
                <w:lang w:bidi="ar"/>
              </w:rPr>
              <w:t>小计</w:t>
            </w:r>
          </w:p>
        </w:tc>
        <w:tc>
          <w:tcPr>
            <w:tcW w:w="19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3B85E8">
            <w:pPr>
              <w:jc w:val="center"/>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207022</w:t>
            </w:r>
          </w:p>
        </w:tc>
        <w:tc>
          <w:tcPr>
            <w:tcW w:w="13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022802">
            <w:pPr>
              <w:jc w:val="center"/>
              <w:textAlignment w:val="center"/>
              <w:rPr>
                <w:rFonts w:hint="eastAsia" w:ascii="宋体" w:hAnsi="宋体" w:eastAsia="宋体" w:cs="宋体"/>
                <w:b w:val="0"/>
                <w:bCs w:val="0"/>
                <w:color w:val="auto"/>
                <w:sz w:val="24"/>
                <w:szCs w:val="24"/>
                <w:highlight w:val="none"/>
                <w:u w:val="none"/>
                <w:lang w:bidi="ar"/>
              </w:rPr>
            </w:pPr>
          </w:p>
        </w:tc>
        <w:tc>
          <w:tcPr>
            <w:tcW w:w="14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D1143B">
            <w:pPr>
              <w:jc w:val="center"/>
              <w:textAlignment w:val="center"/>
              <w:rPr>
                <w:rFonts w:hint="eastAsia" w:ascii="宋体" w:hAnsi="宋体" w:eastAsia="宋体" w:cs="宋体"/>
                <w:b w:val="0"/>
                <w:bCs w:val="0"/>
                <w:color w:val="auto"/>
                <w:szCs w:val="21"/>
                <w:highlight w:val="none"/>
                <w:u w:val="none"/>
                <w:lang w:val="en-US" w:eastAsia="zh-CN" w:bidi="ar"/>
              </w:rPr>
            </w:pPr>
          </w:p>
        </w:tc>
        <w:tc>
          <w:tcPr>
            <w:tcW w:w="22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FA1697">
            <w:pPr>
              <w:jc w:val="center"/>
              <w:textAlignment w:val="center"/>
              <w:rPr>
                <w:rFonts w:hint="eastAsia" w:ascii="宋体" w:hAnsi="宋体" w:eastAsia="宋体" w:cs="宋体"/>
                <w:b w:val="0"/>
                <w:bCs w:val="0"/>
                <w:color w:val="auto"/>
                <w:szCs w:val="21"/>
                <w:highlight w:val="none"/>
                <w:u w:val="none"/>
                <w:lang w:val="en-US" w:eastAsia="zh-CN" w:bidi="ar"/>
              </w:rPr>
            </w:pPr>
          </w:p>
        </w:tc>
      </w:tr>
      <w:tr w14:paraId="27BA1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707" w:type="dxa"/>
            <w:vMerge w:val="continue"/>
            <w:tcBorders>
              <w:left w:val="single" w:color="000000" w:sz="4" w:space="0"/>
              <w:bottom w:val="single" w:color="auto" w:sz="4" w:space="0"/>
              <w:right w:val="single" w:color="000000" w:sz="4" w:space="0"/>
              <w:tl2br w:val="nil"/>
              <w:tr2bl w:val="nil"/>
            </w:tcBorders>
            <w:noWrap w:val="0"/>
            <w:vAlign w:val="center"/>
          </w:tcPr>
          <w:p w14:paraId="0E5A03C5">
            <w:pPr>
              <w:spacing w:beforeLines="0" w:afterLines="0"/>
              <w:jc w:val="center"/>
              <w:rPr>
                <w:rFonts w:hint="eastAsia" w:ascii="宋体" w:hAnsi="宋体" w:eastAsia="宋体" w:cs="宋体"/>
                <w:b w:val="0"/>
                <w:bCs w:val="0"/>
                <w:color w:val="auto"/>
                <w:sz w:val="24"/>
                <w:szCs w:val="24"/>
                <w:highlight w:val="none"/>
                <w:u w:val="none"/>
              </w:rPr>
            </w:pPr>
          </w:p>
        </w:tc>
        <w:tc>
          <w:tcPr>
            <w:tcW w:w="435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892E2C">
            <w:pPr>
              <w:spacing w:beforeLines="0" w:afterLines="0"/>
              <w:jc w:val="center"/>
              <w:rPr>
                <w:rFonts w:hint="eastAsia" w:ascii="宋体" w:hAnsi="宋体" w:eastAsia="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年度投标总价</w:t>
            </w:r>
          </w:p>
        </w:tc>
        <w:tc>
          <w:tcPr>
            <w:tcW w:w="36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CAF993">
            <w:pPr>
              <w:spacing w:beforeLines="0" w:afterLines="0"/>
              <w:jc w:val="center"/>
              <w:textAlignment w:val="center"/>
              <w:rPr>
                <w:rFonts w:hint="eastAsia" w:ascii="宋体" w:hAnsi="宋体" w:eastAsia="宋体" w:cs="宋体"/>
                <w:b w:val="0"/>
                <w:bCs w:val="0"/>
                <w:color w:val="auto"/>
                <w:sz w:val="24"/>
                <w:szCs w:val="24"/>
                <w:highlight w:val="none"/>
                <w:u w:val="none"/>
                <w:lang w:bidi="ar"/>
              </w:rPr>
            </w:pPr>
          </w:p>
        </w:tc>
      </w:tr>
    </w:tbl>
    <w:p w14:paraId="51078399">
      <w:pPr>
        <w:spacing w:beforeLines="0" w:afterLines="0"/>
        <w:rPr>
          <w:rFonts w:hint="eastAsia" w:ascii="宋体" w:hAnsi="宋体" w:eastAsia="宋体" w:cs="宋体"/>
          <w:b/>
          <w:color w:val="auto"/>
          <w:sz w:val="24"/>
          <w:szCs w:val="24"/>
          <w:highlight w:val="yellow"/>
        </w:rPr>
      </w:pPr>
      <w:r>
        <w:rPr>
          <w:rFonts w:hint="eastAsia" w:ascii="宋体" w:hAnsi="宋体" w:eastAsia="宋体" w:cs="宋体"/>
          <w:b/>
          <w:bCs/>
          <w:color w:val="auto"/>
          <w:sz w:val="24"/>
          <w:szCs w:val="24"/>
          <w:highlight w:val="none"/>
          <w:u w:val="none"/>
        </w:rPr>
        <w:t>说明：此表适用于标项二。</w:t>
      </w:r>
    </w:p>
    <w:p w14:paraId="515427C6">
      <w:pPr>
        <w:spacing w:beforeLines="0" w:afterLines="0"/>
        <w:rPr>
          <w:rFonts w:hint="eastAsia" w:ascii="宋体" w:hAnsi="宋体" w:eastAsia="宋体" w:cs="宋体"/>
          <w:b/>
          <w:color w:val="auto"/>
          <w:sz w:val="24"/>
          <w:szCs w:val="24"/>
          <w:highlight w:val="yellow"/>
        </w:rPr>
      </w:pPr>
    </w:p>
    <w:p w14:paraId="3905216C">
      <w:pPr>
        <w:spacing w:beforeLines="0" w:afterLine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5DD01E04">
      <w:pPr>
        <w:spacing w:beforeLines="0" w:afterLine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（1）以上各项年度综合单价报价均不得超过第二章《采购需求》中列明的年度综合单价最高限价。</w:t>
      </w:r>
    </w:p>
    <w:p w14:paraId="5489B5FC">
      <w:pPr>
        <w:spacing w:beforeLines="0" w:afterLine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（2）红线退让部分按单次养护计算，以任务单形式下发，工程量以联系单形式确认结算，红线退让部分单次养护综合单价</w:t>
      </w:r>
      <w:r>
        <w:rPr>
          <w:rFonts w:hint="eastAsia" w:ascii="宋体" w:hAnsi="宋体" w:cs="宋体"/>
          <w:bCs/>
          <w:color w:val="auto"/>
          <w:sz w:val="24"/>
          <w:szCs w:val="24"/>
          <w:highlight w:val="none"/>
          <w:lang w:val="en-US" w:eastAsia="zh-CN"/>
        </w:rPr>
        <w:t>为各标项年度中标综合单价。</w:t>
      </w:r>
      <w:r>
        <w:rPr>
          <w:rFonts w:hint="eastAsia" w:ascii="宋体" w:hAnsi="宋体" w:eastAsia="宋体" w:cs="宋体"/>
          <w:bCs/>
          <w:color w:val="auto"/>
          <w:sz w:val="24"/>
          <w:szCs w:val="24"/>
          <w:highlight w:val="none"/>
        </w:rPr>
        <w:t>红线退让部分单次养护综合单价包含各类管径的管网、各种类型的井完成清淤、疏通、临排、外运处置、应急管道检测和非开挖修复作业等工作的一切费用。</w:t>
      </w:r>
    </w:p>
    <w:p w14:paraId="0F8FE586">
      <w:pPr>
        <w:spacing w:beforeLines="0" w:afterLine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供应商可根据实际情况自行调整表格。</w:t>
      </w:r>
    </w:p>
    <w:p w14:paraId="158C0B66">
      <w:pPr>
        <w:spacing w:line="360" w:lineRule="auto"/>
        <w:ind w:firstLine="4680" w:firstLineChars="1950"/>
        <w:rPr>
          <w:rFonts w:hint="eastAsia" w:ascii="宋体" w:hAnsi="宋体" w:eastAsia="宋体" w:cs="宋体"/>
          <w:color w:val="auto"/>
          <w:sz w:val="24"/>
          <w:szCs w:val="24"/>
        </w:rPr>
      </w:pPr>
    </w:p>
    <w:p w14:paraId="622DB88A">
      <w:pPr>
        <w:spacing w:line="360" w:lineRule="auto"/>
        <w:ind w:firstLine="4680" w:firstLineChars="1950"/>
        <w:rPr>
          <w:rFonts w:ascii="宋体" w:hAnsi="宋体" w:cs="宋体"/>
          <w:color w:val="auto"/>
          <w:sz w:val="24"/>
          <w:szCs w:val="24"/>
        </w:rPr>
      </w:pPr>
    </w:p>
    <w:p w14:paraId="105ED265">
      <w:pPr>
        <w:tabs>
          <w:tab w:val="left" w:pos="4860"/>
        </w:tabs>
        <w:spacing w:line="360" w:lineRule="auto"/>
        <w:ind w:right="1560" w:firstLine="480" w:firstLineChars="200"/>
        <w:jc w:val="center"/>
        <w:rPr>
          <w:rFonts w:ascii="宋体" w:hAnsi="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cs="宋体"/>
          <w:color w:val="auto"/>
          <w:kern w:val="0"/>
          <w:sz w:val="24"/>
          <w:szCs w:val="24"/>
          <w:lang w:val="zh-CN"/>
        </w:rPr>
        <w:t>供应商名称（电子签名）</w:t>
      </w:r>
      <w:r>
        <w:rPr>
          <w:rFonts w:hint="eastAsia" w:ascii="宋体" w:hAnsi="宋体" w:cs="宋体"/>
          <w:color w:val="auto"/>
          <w:sz w:val="24"/>
          <w:szCs w:val="24"/>
        </w:rPr>
        <w:t>：</w:t>
      </w:r>
    </w:p>
    <w:p w14:paraId="09CE1F09">
      <w:pPr>
        <w:spacing w:line="360" w:lineRule="auto"/>
        <w:ind w:right="420" w:firstLine="2400" w:firstLineChars="1000"/>
        <w:rPr>
          <w:rFonts w:ascii="宋体" w:hAnsi="宋体" w:cs="宋体"/>
          <w:b/>
          <w:color w:val="auto"/>
          <w:kern w:val="0"/>
          <w:sz w:val="24"/>
          <w:szCs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  期：</w:t>
      </w:r>
    </w:p>
    <w:p w14:paraId="701831E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565" w:name="_Toc13469"/>
      <w:r>
        <w:rPr>
          <w:rFonts w:hint="eastAsia" w:ascii="宋体" w:hAnsi="宋体" w:cs="宋体"/>
          <w:color w:val="auto"/>
        </w:rPr>
        <w:t>附件</w:t>
      </w:r>
      <w:bookmarkEnd w:id="565"/>
    </w:p>
    <w:p w14:paraId="056956D8">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16891184">
      <w:pPr>
        <w:spacing w:line="360" w:lineRule="auto"/>
        <w:jc w:val="center"/>
        <w:rPr>
          <w:rFonts w:ascii="宋体" w:hAnsi="宋体" w:cs="宋体"/>
          <w:b/>
          <w:color w:val="auto"/>
          <w:spacing w:val="6"/>
          <w:sz w:val="32"/>
          <w:szCs w:val="32"/>
        </w:rPr>
      </w:pPr>
      <w:bookmarkStart w:id="566" w:name="OLE_LINK14"/>
      <w:bookmarkStart w:id="567" w:name="OLE_LINK13"/>
      <w:r>
        <w:rPr>
          <w:rFonts w:hint="eastAsia" w:ascii="宋体" w:hAnsi="宋体" w:cs="宋体"/>
          <w:b/>
          <w:color w:val="auto"/>
          <w:spacing w:val="6"/>
          <w:sz w:val="32"/>
          <w:szCs w:val="32"/>
        </w:rPr>
        <w:t>残疾人福利性单位声明函</w:t>
      </w:r>
    </w:p>
    <w:bookmarkEnd w:id="566"/>
    <w:bookmarkEnd w:id="567"/>
    <w:p w14:paraId="30FF9834">
      <w:pPr>
        <w:spacing w:line="360" w:lineRule="auto"/>
        <w:rPr>
          <w:rFonts w:ascii="宋体" w:hAnsi="宋体" w:cs="宋体"/>
          <w:b/>
          <w:color w:val="auto"/>
          <w:spacing w:val="6"/>
          <w:sz w:val="30"/>
          <w:szCs w:val="30"/>
        </w:rPr>
      </w:pPr>
    </w:p>
    <w:p w14:paraId="4E024DC8">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w:t>
      </w:r>
      <w:r>
        <w:rPr>
          <w:rFonts w:hint="eastAsia" w:ascii="宋体" w:hAnsi="宋体" w:cs="宋体"/>
          <w:color w:val="auto"/>
          <w:sz w:val="24"/>
          <w:u w:val="single"/>
          <w:lang w:eastAsia="zh-CN"/>
        </w:rPr>
        <w:t>招标人</w:t>
      </w:r>
      <w:r>
        <w:rPr>
          <w:rFonts w:hint="eastAsia" w:ascii="宋体" w:hAnsi="宋体" w:cs="宋体"/>
          <w:color w:val="auto"/>
          <w:sz w:val="24"/>
          <w:u w:val="single"/>
        </w:rPr>
        <w:t>)</w:t>
      </w:r>
      <w:r>
        <w:rPr>
          <w:rFonts w:hint="eastAsia" w:ascii="宋体" w:hAnsi="宋体" w:cs="宋体"/>
          <w:color w:val="auto"/>
          <w:sz w:val="24"/>
        </w:rPr>
        <w:t>_单位的_</w:t>
      </w:r>
      <w:r>
        <w:rPr>
          <w:rFonts w:hint="eastAsia" w:ascii="宋体" w:hAnsi="宋体" w:cs="宋体"/>
          <w:color w:val="auto"/>
          <w:sz w:val="24"/>
          <w:u w:val="single"/>
          <w:lang w:eastAsia="zh-CN"/>
        </w:rPr>
        <w:t>海曙区排水管网日常养护项目</w:t>
      </w:r>
      <w:r>
        <w:rPr>
          <w:rFonts w:hint="eastAsia" w:ascii="宋体" w:hAnsi="宋体" w:cs="宋体"/>
          <w:color w:val="auto"/>
          <w:sz w:val="24"/>
        </w:rPr>
        <w:t>采购活动提供本单位制造的货物（由本单位承担工程/提供服务），或者提供其他残疾人福利性单位制造的货物（不包括使用非残疾人福利性单位注册商标的货物）。</w:t>
      </w:r>
    </w:p>
    <w:p w14:paraId="64FC5B64">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4EB38C3B">
      <w:pPr>
        <w:spacing w:line="360" w:lineRule="auto"/>
        <w:ind w:firstLine="480" w:firstLineChars="200"/>
        <w:rPr>
          <w:rFonts w:ascii="宋体" w:hAnsi="宋体" w:cs="宋体"/>
          <w:color w:val="auto"/>
          <w:sz w:val="24"/>
        </w:rPr>
      </w:pPr>
    </w:p>
    <w:p w14:paraId="7623CDFF">
      <w:pPr>
        <w:spacing w:line="360" w:lineRule="auto"/>
        <w:ind w:firstLine="480" w:firstLineChars="200"/>
        <w:rPr>
          <w:rFonts w:ascii="宋体" w:hAnsi="宋体" w:cs="宋体"/>
          <w:color w:val="auto"/>
          <w:sz w:val="24"/>
        </w:rPr>
      </w:pPr>
    </w:p>
    <w:p w14:paraId="308AD53B">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供应商名称（电子签名）</w:t>
      </w:r>
      <w:r>
        <w:rPr>
          <w:rFonts w:hint="eastAsia" w:ascii="宋体" w:hAnsi="宋体" w:cs="宋体"/>
          <w:color w:val="auto"/>
          <w:sz w:val="24"/>
        </w:rPr>
        <w:t>：</w:t>
      </w:r>
    </w:p>
    <w:p w14:paraId="79E9B055">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7BA8B1A2">
      <w:pPr>
        <w:spacing w:line="360" w:lineRule="auto"/>
        <w:ind w:firstLine="480" w:firstLineChars="200"/>
        <w:rPr>
          <w:rFonts w:ascii="宋体" w:hAnsi="宋体" w:cs="宋体"/>
          <w:color w:val="auto"/>
          <w:sz w:val="24"/>
        </w:rPr>
      </w:pPr>
    </w:p>
    <w:p w14:paraId="4FA77B18">
      <w:pPr>
        <w:spacing w:line="360" w:lineRule="auto"/>
        <w:ind w:firstLine="420" w:firstLineChars="200"/>
        <w:rPr>
          <w:rFonts w:ascii="宋体" w:hAnsi="宋体" w:cs="宋体"/>
          <w:color w:val="auto"/>
        </w:rPr>
      </w:pPr>
    </w:p>
    <w:p w14:paraId="360B58BF">
      <w:pPr>
        <w:spacing w:line="360" w:lineRule="auto"/>
        <w:ind w:firstLine="420" w:firstLineChars="200"/>
        <w:rPr>
          <w:rFonts w:ascii="宋体" w:hAnsi="宋体" w:cs="宋体"/>
          <w:color w:val="auto"/>
        </w:rPr>
      </w:pPr>
    </w:p>
    <w:p w14:paraId="29848F90">
      <w:pPr>
        <w:spacing w:line="360" w:lineRule="auto"/>
        <w:ind w:firstLine="420" w:firstLineChars="200"/>
        <w:rPr>
          <w:rFonts w:ascii="宋体" w:hAnsi="宋体" w:cs="宋体"/>
          <w:color w:val="auto"/>
        </w:rPr>
      </w:pPr>
    </w:p>
    <w:p w14:paraId="68435011">
      <w:pPr>
        <w:spacing w:line="360" w:lineRule="auto"/>
        <w:ind w:firstLine="420" w:firstLineChars="200"/>
        <w:rPr>
          <w:rFonts w:ascii="宋体" w:hAnsi="宋体" w:cs="宋体"/>
          <w:color w:val="auto"/>
        </w:rPr>
      </w:pPr>
    </w:p>
    <w:p w14:paraId="298C3B2E">
      <w:pPr>
        <w:spacing w:line="360" w:lineRule="auto"/>
        <w:rPr>
          <w:rFonts w:ascii="宋体" w:hAnsi="宋体" w:cs="宋体"/>
          <w:b/>
          <w:color w:val="auto"/>
          <w:sz w:val="24"/>
        </w:rPr>
      </w:pPr>
    </w:p>
    <w:p w14:paraId="502599B9">
      <w:pPr>
        <w:spacing w:line="360" w:lineRule="auto"/>
        <w:rPr>
          <w:rFonts w:ascii="宋体" w:hAnsi="宋体" w:cs="宋体"/>
          <w:b/>
          <w:color w:val="auto"/>
          <w:sz w:val="24"/>
        </w:rPr>
      </w:pPr>
    </w:p>
    <w:p w14:paraId="7CC6167A">
      <w:pPr>
        <w:spacing w:line="360" w:lineRule="auto"/>
        <w:rPr>
          <w:rFonts w:ascii="宋体" w:hAnsi="宋体" w:cs="宋体"/>
          <w:b/>
          <w:color w:val="auto"/>
          <w:sz w:val="24"/>
        </w:rPr>
      </w:pPr>
    </w:p>
    <w:p w14:paraId="6C580022">
      <w:pPr>
        <w:spacing w:line="360" w:lineRule="auto"/>
        <w:rPr>
          <w:rFonts w:ascii="宋体" w:hAnsi="宋体" w:cs="宋体"/>
          <w:b/>
          <w:color w:val="auto"/>
          <w:sz w:val="24"/>
        </w:rPr>
      </w:pPr>
    </w:p>
    <w:p w14:paraId="29F90265">
      <w:pPr>
        <w:spacing w:line="360" w:lineRule="auto"/>
        <w:rPr>
          <w:rFonts w:ascii="宋体" w:hAnsi="宋体" w:cs="宋体"/>
          <w:b/>
          <w:color w:val="auto"/>
          <w:sz w:val="24"/>
        </w:rPr>
      </w:pPr>
    </w:p>
    <w:p w14:paraId="61D2B0B6">
      <w:pPr>
        <w:spacing w:line="360" w:lineRule="auto"/>
        <w:rPr>
          <w:rFonts w:ascii="宋体" w:hAnsi="宋体" w:cs="宋体"/>
          <w:b/>
          <w:color w:val="auto"/>
          <w:sz w:val="24"/>
        </w:rPr>
      </w:pPr>
    </w:p>
    <w:p w14:paraId="0FEBD5EB">
      <w:pPr>
        <w:spacing w:line="360" w:lineRule="auto"/>
        <w:rPr>
          <w:rFonts w:ascii="宋体" w:hAnsi="宋体" w:cs="宋体"/>
          <w:b/>
          <w:color w:val="auto"/>
          <w:sz w:val="24"/>
        </w:rPr>
      </w:pPr>
    </w:p>
    <w:p w14:paraId="7BE1DCD3">
      <w:pPr>
        <w:spacing w:line="360" w:lineRule="auto"/>
        <w:rPr>
          <w:rFonts w:ascii="宋体" w:hAnsi="宋体" w:cs="宋体"/>
          <w:b/>
          <w:color w:val="auto"/>
          <w:sz w:val="24"/>
        </w:rPr>
      </w:pPr>
    </w:p>
    <w:p w14:paraId="2C6F6A24">
      <w:pPr>
        <w:spacing w:line="360" w:lineRule="auto"/>
        <w:jc w:val="left"/>
        <w:rPr>
          <w:rFonts w:hint="eastAsia" w:ascii="宋体" w:hAnsi="宋体" w:cs="宋体"/>
          <w:b/>
          <w:color w:val="auto"/>
          <w:spacing w:val="6"/>
          <w:sz w:val="32"/>
          <w:szCs w:val="32"/>
        </w:rPr>
      </w:pPr>
    </w:p>
    <w:p w14:paraId="403E1356">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0744AE65">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646CB9CA">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74C98F0B">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192CB9A5">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6F1485D">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DF6B41D">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42E97D57">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3FC0FAC">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148ACF9F">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764D105">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6B9D8D7C">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B97108C">
      <w:pPr>
        <w:snapToGrid w:val="0"/>
        <w:spacing w:line="360" w:lineRule="auto"/>
        <w:rPr>
          <w:rFonts w:ascii="宋体" w:hAnsi="宋体" w:cs="宋体"/>
          <w:color w:val="auto"/>
          <w:sz w:val="24"/>
          <w:u w:val="dotted"/>
        </w:rPr>
      </w:pPr>
      <w:r>
        <w:rPr>
          <w:rFonts w:hint="eastAsia" w:ascii="宋体" w:hAnsi="宋体" w:cs="宋体"/>
          <w:color w:val="auto"/>
          <w:sz w:val="24"/>
          <w:lang w:eastAsia="zh-CN"/>
        </w:rPr>
        <w:t>招标人</w:t>
      </w:r>
      <w:r>
        <w:rPr>
          <w:rFonts w:hint="eastAsia" w:ascii="宋体" w:hAnsi="宋体" w:cs="宋体"/>
          <w:color w:val="auto"/>
          <w:sz w:val="24"/>
        </w:rPr>
        <w:t>名称：</w:t>
      </w:r>
      <w:r>
        <w:rPr>
          <w:rFonts w:hint="eastAsia" w:ascii="宋体" w:hAnsi="宋体" w:cs="宋体"/>
          <w:color w:val="auto"/>
          <w:sz w:val="24"/>
          <w:u w:val="dotted"/>
        </w:rPr>
        <w:t xml:space="preserve">                                         </w:t>
      </w:r>
    </w:p>
    <w:p w14:paraId="5EC1EBBC">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6B3310D0">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769381CB">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7BA28C3E">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5B552CD">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52DF509C">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AA23D45">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7CCB050">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095AE58">
      <w:pPr>
        <w:snapToGrid w:val="0"/>
        <w:spacing w:line="360" w:lineRule="auto"/>
        <w:rPr>
          <w:rFonts w:ascii="宋体" w:hAnsi="宋体" w:cs="宋体"/>
          <w:color w:val="auto"/>
          <w:sz w:val="24"/>
        </w:rPr>
      </w:pPr>
      <w:r>
        <w:rPr>
          <w:rFonts w:hint="eastAsia" w:ascii="宋体" w:hAnsi="宋体" w:cs="宋体"/>
          <w:color w:val="auto"/>
          <w:sz w:val="24"/>
        </w:rPr>
        <w:t>……</w:t>
      </w:r>
    </w:p>
    <w:p w14:paraId="316FC442">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6222ACF4">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6D473C88">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7205840">
      <w:pPr>
        <w:spacing w:line="360" w:lineRule="auto"/>
        <w:rPr>
          <w:rFonts w:ascii="宋体" w:hAnsi="宋体" w:cs="宋体"/>
          <w:color w:val="auto"/>
          <w:sz w:val="24"/>
        </w:rPr>
      </w:pPr>
      <w:r>
        <w:rPr>
          <w:rFonts w:hint="eastAsia" w:ascii="宋体" w:hAnsi="宋体" w:cs="宋体"/>
          <w:color w:val="auto"/>
          <w:sz w:val="24"/>
        </w:rPr>
        <w:t xml:space="preserve">日期：    </w:t>
      </w:r>
    </w:p>
    <w:p w14:paraId="625CB6DB">
      <w:pPr>
        <w:spacing w:line="360" w:lineRule="auto"/>
        <w:jc w:val="center"/>
        <w:rPr>
          <w:rFonts w:ascii="宋体" w:hAnsi="宋体" w:cs="宋体"/>
          <w:b/>
          <w:bCs/>
          <w:color w:val="auto"/>
          <w:sz w:val="24"/>
        </w:rPr>
      </w:pPr>
    </w:p>
    <w:p w14:paraId="0D1111A9">
      <w:pPr>
        <w:spacing w:line="360" w:lineRule="auto"/>
        <w:rPr>
          <w:rFonts w:ascii="宋体" w:hAnsi="宋体" w:cs="宋体"/>
          <w:b/>
          <w:color w:val="auto"/>
          <w:sz w:val="24"/>
        </w:rPr>
      </w:pPr>
    </w:p>
    <w:p w14:paraId="72C9F153">
      <w:pPr>
        <w:spacing w:line="360" w:lineRule="auto"/>
        <w:rPr>
          <w:rFonts w:hint="eastAsia" w:ascii="宋体" w:hAnsi="宋体" w:cs="宋体"/>
          <w:b/>
          <w:color w:val="auto"/>
          <w:sz w:val="24"/>
        </w:rPr>
      </w:pPr>
    </w:p>
    <w:p w14:paraId="7EC5CC5E">
      <w:pPr>
        <w:rPr>
          <w:rFonts w:hint="eastAsia"/>
        </w:rPr>
      </w:pPr>
    </w:p>
    <w:p w14:paraId="1D66CA2E">
      <w:pPr>
        <w:spacing w:line="360" w:lineRule="auto"/>
        <w:rPr>
          <w:rFonts w:ascii="宋体" w:hAnsi="宋体" w:cs="宋体"/>
          <w:b/>
          <w:color w:val="auto"/>
          <w:sz w:val="24"/>
        </w:rPr>
      </w:pPr>
      <w:r>
        <w:rPr>
          <w:rFonts w:hint="eastAsia" w:ascii="宋体" w:hAnsi="宋体" w:cs="宋体"/>
          <w:b/>
          <w:color w:val="auto"/>
          <w:sz w:val="24"/>
        </w:rPr>
        <w:t>质疑函制作说明：</w:t>
      </w:r>
    </w:p>
    <w:p w14:paraId="1EB2186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338B541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400A0A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20F367E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52FAED2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64B9C7F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1ABEFE48">
      <w:pPr>
        <w:widowControl/>
        <w:spacing w:line="360" w:lineRule="auto"/>
        <w:ind w:firstLine="600" w:firstLineChars="200"/>
        <w:jc w:val="left"/>
        <w:rPr>
          <w:rFonts w:ascii="宋体" w:hAnsi="宋体" w:cs="宋体"/>
          <w:color w:val="auto"/>
          <w:sz w:val="30"/>
          <w:szCs w:val="30"/>
        </w:rPr>
      </w:pPr>
    </w:p>
    <w:p w14:paraId="45FE25F8">
      <w:pPr>
        <w:spacing w:line="360" w:lineRule="auto"/>
        <w:jc w:val="center"/>
        <w:rPr>
          <w:rFonts w:ascii="宋体" w:hAnsi="宋体" w:cs="宋体"/>
          <w:b/>
          <w:color w:val="auto"/>
          <w:spacing w:val="6"/>
          <w:sz w:val="32"/>
          <w:szCs w:val="32"/>
        </w:rPr>
      </w:pPr>
    </w:p>
    <w:p w14:paraId="49CE4DD1">
      <w:pPr>
        <w:spacing w:line="360" w:lineRule="auto"/>
        <w:jc w:val="center"/>
        <w:rPr>
          <w:rFonts w:ascii="宋体" w:hAnsi="宋体" w:cs="宋体"/>
          <w:b/>
          <w:color w:val="auto"/>
          <w:spacing w:val="6"/>
          <w:sz w:val="32"/>
          <w:szCs w:val="32"/>
        </w:rPr>
      </w:pPr>
    </w:p>
    <w:p w14:paraId="35E73811">
      <w:pPr>
        <w:spacing w:line="360" w:lineRule="auto"/>
        <w:jc w:val="center"/>
        <w:rPr>
          <w:rFonts w:ascii="宋体" w:hAnsi="宋体" w:cs="宋体"/>
          <w:b/>
          <w:color w:val="auto"/>
          <w:spacing w:val="6"/>
          <w:sz w:val="32"/>
          <w:szCs w:val="32"/>
        </w:rPr>
      </w:pPr>
    </w:p>
    <w:p w14:paraId="74210349">
      <w:pPr>
        <w:spacing w:line="360" w:lineRule="auto"/>
        <w:jc w:val="center"/>
        <w:rPr>
          <w:rFonts w:ascii="宋体" w:hAnsi="宋体" w:cs="宋体"/>
          <w:b/>
          <w:color w:val="auto"/>
          <w:spacing w:val="6"/>
          <w:sz w:val="32"/>
          <w:szCs w:val="32"/>
        </w:rPr>
      </w:pPr>
    </w:p>
    <w:p w14:paraId="010701B5">
      <w:pPr>
        <w:spacing w:line="360" w:lineRule="auto"/>
        <w:jc w:val="center"/>
        <w:rPr>
          <w:rFonts w:ascii="宋体" w:hAnsi="宋体" w:cs="宋体"/>
          <w:b/>
          <w:color w:val="auto"/>
          <w:spacing w:val="6"/>
          <w:sz w:val="32"/>
          <w:szCs w:val="32"/>
        </w:rPr>
      </w:pPr>
    </w:p>
    <w:p w14:paraId="6D83C320">
      <w:pPr>
        <w:spacing w:line="360" w:lineRule="auto"/>
        <w:jc w:val="center"/>
        <w:rPr>
          <w:rFonts w:ascii="宋体" w:hAnsi="宋体" w:cs="宋体"/>
          <w:b/>
          <w:color w:val="auto"/>
          <w:spacing w:val="6"/>
          <w:sz w:val="32"/>
          <w:szCs w:val="32"/>
        </w:rPr>
      </w:pPr>
    </w:p>
    <w:p w14:paraId="6A08658B">
      <w:pPr>
        <w:spacing w:line="360" w:lineRule="auto"/>
        <w:jc w:val="center"/>
        <w:rPr>
          <w:rFonts w:ascii="宋体" w:hAnsi="宋体" w:cs="宋体"/>
          <w:b/>
          <w:color w:val="auto"/>
          <w:spacing w:val="6"/>
          <w:sz w:val="32"/>
          <w:szCs w:val="32"/>
        </w:rPr>
      </w:pPr>
    </w:p>
    <w:p w14:paraId="18227715">
      <w:pPr>
        <w:spacing w:line="360" w:lineRule="auto"/>
        <w:jc w:val="center"/>
        <w:rPr>
          <w:rFonts w:ascii="宋体" w:hAnsi="宋体" w:cs="宋体"/>
          <w:b/>
          <w:color w:val="auto"/>
          <w:spacing w:val="6"/>
          <w:sz w:val="32"/>
          <w:szCs w:val="32"/>
        </w:rPr>
      </w:pPr>
    </w:p>
    <w:p w14:paraId="6621F7F0">
      <w:pPr>
        <w:spacing w:line="360" w:lineRule="auto"/>
        <w:jc w:val="center"/>
        <w:rPr>
          <w:rFonts w:ascii="宋体" w:hAnsi="宋体" w:cs="宋体"/>
          <w:b/>
          <w:color w:val="auto"/>
          <w:spacing w:val="6"/>
          <w:sz w:val="32"/>
          <w:szCs w:val="32"/>
        </w:rPr>
      </w:pPr>
    </w:p>
    <w:p w14:paraId="4514D38B">
      <w:pPr>
        <w:spacing w:line="360" w:lineRule="auto"/>
        <w:jc w:val="center"/>
        <w:rPr>
          <w:rFonts w:ascii="宋体" w:hAnsi="宋体" w:cs="宋体"/>
          <w:b/>
          <w:color w:val="auto"/>
          <w:spacing w:val="6"/>
          <w:sz w:val="32"/>
          <w:szCs w:val="32"/>
        </w:rPr>
      </w:pPr>
    </w:p>
    <w:p w14:paraId="187098B7">
      <w:pPr>
        <w:spacing w:line="360" w:lineRule="auto"/>
        <w:jc w:val="center"/>
        <w:rPr>
          <w:rFonts w:ascii="宋体" w:hAnsi="宋体" w:cs="宋体"/>
          <w:b/>
          <w:color w:val="auto"/>
          <w:spacing w:val="6"/>
          <w:sz w:val="32"/>
          <w:szCs w:val="32"/>
        </w:rPr>
      </w:pPr>
    </w:p>
    <w:p w14:paraId="41D4F9CB">
      <w:pPr>
        <w:spacing w:line="360" w:lineRule="auto"/>
        <w:jc w:val="center"/>
        <w:rPr>
          <w:rFonts w:ascii="宋体" w:hAnsi="宋体" w:cs="宋体"/>
          <w:b/>
          <w:color w:val="auto"/>
          <w:spacing w:val="6"/>
          <w:sz w:val="32"/>
          <w:szCs w:val="32"/>
        </w:rPr>
      </w:pPr>
    </w:p>
    <w:p w14:paraId="44603FAC">
      <w:pPr>
        <w:spacing w:line="360" w:lineRule="auto"/>
        <w:jc w:val="left"/>
        <w:rPr>
          <w:rFonts w:ascii="宋体" w:hAnsi="宋体" w:cs="宋体"/>
          <w:b/>
          <w:color w:val="auto"/>
          <w:spacing w:val="6"/>
          <w:sz w:val="32"/>
          <w:szCs w:val="32"/>
        </w:rPr>
      </w:pPr>
    </w:p>
    <w:p w14:paraId="72300414">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5AB4C5DC">
      <w:pPr>
        <w:spacing w:line="360" w:lineRule="auto"/>
        <w:jc w:val="center"/>
        <w:rPr>
          <w:rFonts w:ascii="宋体" w:hAnsi="宋体" w:cs="宋体"/>
          <w:b/>
          <w:color w:val="auto"/>
          <w:sz w:val="24"/>
        </w:rPr>
      </w:pPr>
    </w:p>
    <w:p w14:paraId="4F811598">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700670D4">
      <w:pPr>
        <w:spacing w:line="360" w:lineRule="auto"/>
        <w:rPr>
          <w:rFonts w:ascii="宋体" w:hAnsi="宋体" w:cs="宋体"/>
          <w:color w:val="auto"/>
          <w:sz w:val="24"/>
        </w:rPr>
      </w:pPr>
      <w:r>
        <w:rPr>
          <w:rFonts w:hint="eastAsia" w:ascii="宋体" w:hAnsi="宋体" w:cs="宋体"/>
          <w:color w:val="auto"/>
          <w:sz w:val="24"/>
        </w:rPr>
        <w:t>一、投诉相关主体基本情况</w:t>
      </w:r>
    </w:p>
    <w:p w14:paraId="6C9C57BC">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286A3541">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7861F9A">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C9BB49A">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12B18838">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7BB004A">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127AAD41">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BEC0D4E">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28109E1">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44FC4DC">
      <w:pPr>
        <w:spacing w:line="360" w:lineRule="auto"/>
        <w:rPr>
          <w:rFonts w:ascii="宋体" w:hAnsi="宋体" w:cs="宋体"/>
          <w:color w:val="auto"/>
          <w:sz w:val="24"/>
        </w:rPr>
      </w:pPr>
      <w:r>
        <w:rPr>
          <w:rFonts w:hint="eastAsia" w:ascii="宋体" w:hAnsi="宋体" w:cs="宋体"/>
          <w:color w:val="auto"/>
          <w:sz w:val="24"/>
        </w:rPr>
        <w:t>被投诉人2</w:t>
      </w:r>
    </w:p>
    <w:p w14:paraId="6B7B3DB7">
      <w:pPr>
        <w:spacing w:line="360" w:lineRule="auto"/>
        <w:rPr>
          <w:rFonts w:ascii="宋体" w:hAnsi="宋体" w:cs="宋体"/>
          <w:color w:val="auto"/>
          <w:sz w:val="24"/>
          <w:u w:val="dotted"/>
        </w:rPr>
      </w:pPr>
      <w:r>
        <w:rPr>
          <w:rFonts w:hint="eastAsia" w:ascii="宋体" w:hAnsi="宋体" w:cs="宋体"/>
          <w:color w:val="auto"/>
          <w:sz w:val="24"/>
        </w:rPr>
        <w:t>……</w:t>
      </w:r>
    </w:p>
    <w:p w14:paraId="41951485">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68C0106">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363B667">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55A3C2B">
      <w:pPr>
        <w:spacing w:line="360" w:lineRule="auto"/>
        <w:rPr>
          <w:rFonts w:ascii="宋体" w:hAnsi="宋体" w:cs="宋体"/>
          <w:color w:val="auto"/>
          <w:sz w:val="24"/>
        </w:rPr>
      </w:pPr>
      <w:r>
        <w:rPr>
          <w:rFonts w:hint="eastAsia" w:ascii="宋体" w:hAnsi="宋体" w:cs="宋体"/>
          <w:color w:val="auto"/>
          <w:sz w:val="24"/>
        </w:rPr>
        <w:t>二、投诉项目基本情况</w:t>
      </w:r>
    </w:p>
    <w:p w14:paraId="73DB1E62">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139D1B85">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DD57C16">
      <w:pPr>
        <w:spacing w:line="360" w:lineRule="auto"/>
        <w:rPr>
          <w:rFonts w:ascii="宋体" w:hAnsi="宋体" w:cs="宋体"/>
          <w:color w:val="auto"/>
          <w:sz w:val="24"/>
        </w:rPr>
      </w:pPr>
      <w:r>
        <w:rPr>
          <w:rFonts w:hint="eastAsia" w:ascii="宋体" w:hAnsi="宋体" w:cs="宋体"/>
          <w:color w:val="auto"/>
          <w:sz w:val="24"/>
          <w:lang w:eastAsia="zh-CN"/>
        </w:rPr>
        <w:t>招标人</w:t>
      </w:r>
      <w:r>
        <w:rPr>
          <w:rFonts w:hint="eastAsia" w:ascii="宋体" w:hAnsi="宋体" w:cs="宋体"/>
          <w:color w:val="auto"/>
          <w:sz w:val="24"/>
        </w:rPr>
        <w:t>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D9F7329">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3855D6B7">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1F46AE9">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471FC84">
      <w:pPr>
        <w:spacing w:line="360" w:lineRule="auto"/>
        <w:rPr>
          <w:rFonts w:ascii="宋体" w:hAnsi="宋体" w:cs="宋体"/>
          <w:color w:val="auto"/>
          <w:sz w:val="24"/>
        </w:rPr>
      </w:pPr>
      <w:r>
        <w:rPr>
          <w:rFonts w:hint="eastAsia" w:ascii="宋体" w:hAnsi="宋体" w:cs="宋体"/>
          <w:color w:val="auto"/>
          <w:sz w:val="24"/>
        </w:rPr>
        <w:t>三、质疑基本情况</w:t>
      </w:r>
    </w:p>
    <w:p w14:paraId="6771DF79">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2735EB27">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8938D37">
      <w:pPr>
        <w:spacing w:line="360" w:lineRule="auto"/>
        <w:ind w:firstLine="360" w:firstLineChars="150"/>
        <w:rPr>
          <w:rFonts w:ascii="宋体" w:hAnsi="宋体" w:cs="宋体"/>
          <w:color w:val="auto"/>
          <w:sz w:val="24"/>
        </w:rPr>
      </w:pPr>
      <w:r>
        <w:rPr>
          <w:rFonts w:hint="eastAsia" w:ascii="宋体" w:hAnsi="宋体" w:cs="宋体"/>
          <w:color w:val="auto"/>
          <w:sz w:val="24"/>
          <w:u w:val="dotted"/>
          <w:lang w:eastAsia="zh-CN"/>
        </w:rPr>
        <w:t>招标人</w:t>
      </w:r>
      <w:r>
        <w:rPr>
          <w:rFonts w:hint="eastAsia" w:ascii="宋体" w:hAnsi="宋体" w:cs="宋体"/>
          <w:color w:val="auto"/>
          <w:sz w:val="24"/>
          <w:u w:val="dotted"/>
        </w:rPr>
        <w:t>/代理机构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253C7DA6">
      <w:pPr>
        <w:spacing w:line="360" w:lineRule="auto"/>
        <w:rPr>
          <w:rFonts w:ascii="宋体" w:hAnsi="宋体" w:cs="宋体"/>
          <w:color w:val="auto"/>
          <w:sz w:val="24"/>
        </w:rPr>
      </w:pPr>
      <w:r>
        <w:rPr>
          <w:rFonts w:hint="eastAsia" w:ascii="宋体" w:hAnsi="宋体" w:cs="宋体"/>
          <w:color w:val="auto"/>
          <w:sz w:val="24"/>
        </w:rPr>
        <w:t>四、投诉事项具体内容</w:t>
      </w:r>
    </w:p>
    <w:p w14:paraId="0C6CA3CD">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7B521DC9">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6AF1C5B">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D370B9A">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019A44B">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849B805">
      <w:pPr>
        <w:spacing w:line="360" w:lineRule="auto"/>
        <w:rPr>
          <w:rFonts w:ascii="宋体" w:hAnsi="宋体" w:cs="宋体"/>
          <w:color w:val="auto"/>
          <w:sz w:val="24"/>
        </w:rPr>
      </w:pPr>
      <w:r>
        <w:rPr>
          <w:rFonts w:hint="eastAsia" w:ascii="宋体" w:hAnsi="宋体" w:cs="宋体"/>
          <w:color w:val="auto"/>
          <w:sz w:val="24"/>
        </w:rPr>
        <w:t>投诉事项2</w:t>
      </w:r>
    </w:p>
    <w:p w14:paraId="79988CE0">
      <w:pPr>
        <w:spacing w:line="360" w:lineRule="auto"/>
        <w:rPr>
          <w:rFonts w:ascii="宋体" w:hAnsi="宋体" w:cs="宋体"/>
          <w:color w:val="auto"/>
          <w:sz w:val="24"/>
          <w:u w:val="dotted"/>
        </w:rPr>
      </w:pPr>
      <w:r>
        <w:rPr>
          <w:rFonts w:hint="eastAsia" w:ascii="宋体" w:hAnsi="宋体" w:cs="宋体"/>
          <w:color w:val="auto"/>
          <w:sz w:val="24"/>
        </w:rPr>
        <w:t>……</w:t>
      </w:r>
    </w:p>
    <w:p w14:paraId="501DAED1">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1D92B9EA">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B5D38C4">
      <w:pPr>
        <w:spacing w:line="360" w:lineRule="auto"/>
        <w:rPr>
          <w:rFonts w:ascii="宋体" w:hAnsi="宋体" w:cs="宋体"/>
          <w:color w:val="auto"/>
          <w:sz w:val="24"/>
          <w:u w:val="single"/>
        </w:rPr>
      </w:pPr>
      <w:r>
        <w:rPr>
          <w:rFonts w:hint="eastAsia" w:ascii="宋体" w:hAnsi="宋体" w:cs="宋体"/>
          <w:color w:val="auto"/>
          <w:sz w:val="24"/>
        </w:rPr>
        <w:t xml:space="preserve">                                                                                                    </w:t>
      </w:r>
    </w:p>
    <w:p w14:paraId="50CF974D">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4683E20">
      <w:pPr>
        <w:spacing w:line="360" w:lineRule="auto"/>
        <w:rPr>
          <w:rFonts w:ascii="宋体" w:hAnsi="宋体" w:cs="宋体"/>
          <w:color w:val="auto"/>
          <w:sz w:val="24"/>
        </w:rPr>
      </w:pPr>
      <w:r>
        <w:rPr>
          <w:rFonts w:hint="eastAsia" w:ascii="宋体" w:hAnsi="宋体" w:cs="宋体"/>
          <w:color w:val="auto"/>
          <w:sz w:val="24"/>
        </w:rPr>
        <w:t xml:space="preserve">日期：    </w:t>
      </w:r>
    </w:p>
    <w:p w14:paraId="4DA3ECA9">
      <w:pPr>
        <w:spacing w:line="360" w:lineRule="auto"/>
        <w:rPr>
          <w:rFonts w:ascii="宋体" w:hAnsi="宋体" w:cs="宋体"/>
          <w:b/>
          <w:color w:val="auto"/>
          <w:sz w:val="24"/>
        </w:rPr>
      </w:pPr>
    </w:p>
    <w:p w14:paraId="1C10915F">
      <w:pPr>
        <w:spacing w:line="360" w:lineRule="auto"/>
        <w:rPr>
          <w:rFonts w:ascii="宋体" w:hAnsi="宋体" w:cs="宋体"/>
          <w:b/>
          <w:color w:val="auto"/>
          <w:sz w:val="24"/>
        </w:rPr>
      </w:pPr>
    </w:p>
    <w:p w14:paraId="0AB42E5C">
      <w:pPr>
        <w:spacing w:line="360" w:lineRule="auto"/>
        <w:rPr>
          <w:rFonts w:ascii="宋体" w:hAnsi="宋体" w:cs="宋体"/>
          <w:b/>
          <w:color w:val="auto"/>
          <w:sz w:val="24"/>
        </w:rPr>
      </w:pPr>
      <w:r>
        <w:rPr>
          <w:rFonts w:hint="eastAsia" w:ascii="宋体" w:hAnsi="宋体" w:cs="宋体"/>
          <w:b/>
          <w:color w:val="auto"/>
          <w:sz w:val="24"/>
        </w:rPr>
        <w:t>投诉书制作说明：</w:t>
      </w:r>
    </w:p>
    <w:p w14:paraId="52070B17">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451F4856">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338E08A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6CEC08A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39F29CF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707384A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361CB9AE">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5C672DB8">
      <w:pPr>
        <w:spacing w:line="360" w:lineRule="auto"/>
        <w:rPr>
          <w:rFonts w:ascii="宋体" w:hAnsi="宋体" w:cs="宋体"/>
          <w:b/>
          <w:color w:val="auto"/>
          <w:sz w:val="24"/>
        </w:rPr>
      </w:pPr>
    </w:p>
    <w:p w14:paraId="42418BBE">
      <w:pPr>
        <w:autoSpaceDE w:val="0"/>
        <w:autoSpaceDN w:val="0"/>
        <w:jc w:val="center"/>
        <w:rPr>
          <w:rFonts w:hint="eastAsia" w:ascii="宋体" w:hAnsi="宋体" w:cs="宋体"/>
          <w:b/>
          <w:color w:val="auto"/>
          <w:spacing w:val="6"/>
          <w:sz w:val="32"/>
          <w:szCs w:val="32"/>
        </w:rPr>
      </w:pPr>
    </w:p>
    <w:p w14:paraId="560867B6">
      <w:pPr>
        <w:autoSpaceDE w:val="0"/>
        <w:autoSpaceDN w:val="0"/>
        <w:jc w:val="center"/>
        <w:rPr>
          <w:rFonts w:hint="eastAsia" w:ascii="宋体" w:hAnsi="宋体" w:cs="宋体"/>
          <w:b/>
          <w:color w:val="auto"/>
          <w:spacing w:val="6"/>
          <w:sz w:val="32"/>
          <w:szCs w:val="32"/>
        </w:rPr>
      </w:pPr>
    </w:p>
    <w:p w14:paraId="5E9C7F0A">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671C7FBA">
      <w:pPr>
        <w:spacing w:line="360" w:lineRule="auto"/>
        <w:rPr>
          <w:rFonts w:ascii="宋体" w:hAnsi="宋体" w:cs="宋体"/>
          <w:color w:val="auto"/>
          <w:sz w:val="24"/>
          <w:u w:val="single"/>
        </w:rPr>
      </w:pPr>
    </w:p>
    <w:p w14:paraId="7931F534">
      <w:pPr>
        <w:spacing w:line="360" w:lineRule="auto"/>
        <w:rPr>
          <w:rFonts w:ascii="宋体" w:hAnsi="宋体" w:cs="宋体"/>
          <w:color w:val="auto"/>
          <w:sz w:val="24"/>
        </w:rPr>
      </w:pPr>
      <w:r>
        <w:rPr>
          <w:rFonts w:hint="eastAsia" w:ascii="宋体" w:hAnsi="宋体" w:cs="宋体"/>
          <w:color w:val="auto"/>
          <w:sz w:val="24"/>
          <w:u w:val="single"/>
          <w:lang w:eastAsia="zh-CN"/>
        </w:rPr>
        <w:t>宁波市海曙区水务设施管理中心</w:t>
      </w:r>
      <w:r>
        <w:rPr>
          <w:rFonts w:hint="eastAsia" w:ascii="宋体" w:hAnsi="宋体" w:cs="宋体"/>
          <w:color w:val="auto"/>
          <w:sz w:val="24"/>
          <w:u w:val="single"/>
        </w:rPr>
        <w:t>、宁波中基国际招标有限公司：</w:t>
      </w:r>
    </w:p>
    <w:p w14:paraId="54360492">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w:t>
      </w:r>
      <w:r>
        <w:rPr>
          <w:rFonts w:hint="eastAsia" w:ascii="宋体" w:hAnsi="宋体" w:cs="宋体"/>
          <w:color w:val="auto"/>
          <w:sz w:val="24"/>
          <w:lang w:eastAsia="zh-CN"/>
        </w:rPr>
        <w:t>供应商</w:t>
      </w:r>
      <w:r>
        <w:rPr>
          <w:rFonts w:hint="eastAsia" w:ascii="宋体" w:hAnsi="宋体" w:cs="宋体"/>
          <w:color w:val="auto"/>
          <w:sz w:val="24"/>
        </w:rPr>
        <w:t>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海曙区排水管网日常养护项目</w:t>
      </w:r>
      <w:r>
        <w:rPr>
          <w:rFonts w:hint="eastAsia" w:ascii="宋体" w:hAnsi="宋体" w:cs="宋体"/>
          <w:color w:val="auto"/>
          <w:sz w:val="24"/>
        </w:rPr>
        <w:t>【招标编号：</w:t>
      </w:r>
      <w:r>
        <w:rPr>
          <w:rFonts w:hint="eastAsia" w:ascii="宋体" w:hAnsi="宋体" w:cs="宋体"/>
          <w:color w:val="auto"/>
          <w:sz w:val="24"/>
          <w:lang w:eastAsia="zh-CN"/>
        </w:rPr>
        <w:t>2025NBHSWT319</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2C5B4A5F">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475B0CB6">
      <w:pPr>
        <w:spacing w:line="360" w:lineRule="auto"/>
        <w:ind w:firstLine="494"/>
        <w:rPr>
          <w:rFonts w:ascii="宋体" w:hAnsi="宋体" w:cs="宋体"/>
          <w:color w:val="auto"/>
          <w:sz w:val="24"/>
        </w:rPr>
      </w:pPr>
    </w:p>
    <w:p w14:paraId="659F63BC">
      <w:pPr>
        <w:spacing w:line="360" w:lineRule="auto"/>
        <w:ind w:firstLine="494"/>
        <w:rPr>
          <w:rFonts w:ascii="宋体" w:hAnsi="宋体" w:cs="宋体"/>
          <w:color w:val="auto"/>
          <w:sz w:val="24"/>
        </w:rPr>
      </w:pPr>
    </w:p>
    <w:p w14:paraId="6C4D51EE">
      <w:pPr>
        <w:spacing w:line="360" w:lineRule="auto"/>
        <w:ind w:firstLine="494"/>
        <w:rPr>
          <w:rFonts w:ascii="宋体" w:hAnsi="宋体" w:cs="宋体"/>
          <w:color w:val="auto"/>
          <w:sz w:val="24"/>
        </w:rPr>
      </w:pPr>
    </w:p>
    <w:p w14:paraId="12608C84">
      <w:pPr>
        <w:spacing w:line="360" w:lineRule="auto"/>
        <w:ind w:firstLine="494"/>
        <w:rPr>
          <w:rFonts w:ascii="宋体" w:hAnsi="宋体" w:cs="宋体"/>
          <w:color w:val="auto"/>
          <w:sz w:val="24"/>
        </w:rPr>
      </w:pPr>
    </w:p>
    <w:p w14:paraId="50F3608A">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02047C4A">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2B9A3629">
      <w:pPr>
        <w:rPr>
          <w:rFonts w:ascii="宋体" w:hAnsi="宋体" w:cs="宋体"/>
          <w:color w:val="auto"/>
          <w:sz w:val="24"/>
        </w:rPr>
      </w:pPr>
      <w:r>
        <w:rPr>
          <w:rFonts w:hint="eastAsia" w:ascii="宋体" w:hAnsi="宋体" w:cs="宋体"/>
          <w:b/>
          <w:bCs/>
          <w:color w:val="auto"/>
          <w:sz w:val="24"/>
        </w:rPr>
        <w:t>附：</w:t>
      </w:r>
    </w:p>
    <w:p w14:paraId="1C7B32D9">
      <w:pPr>
        <w:spacing w:line="360" w:lineRule="auto"/>
        <w:rPr>
          <w:rFonts w:ascii="宋体" w:hAnsi="宋体" w:cs="宋体"/>
          <w:bCs/>
          <w:color w:val="auto"/>
          <w:sz w:val="24"/>
        </w:rPr>
      </w:pPr>
      <w:r>
        <w:rPr>
          <w:rFonts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162D49B4">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162D49B4">
                      <w:pPr>
                        <w:jc w:val="center"/>
                      </w:pPr>
                    </w:p>
                  </w:txbxContent>
                </v:textbox>
              </v:rect>
            </w:pict>
          </mc:Fallback>
        </mc:AlternateContent>
      </w:r>
      <w:r>
        <w:rPr>
          <w:rFonts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0B2D0AEF">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0B2D0AEF">
                      <w:pPr>
                        <w:jc w:val="center"/>
                      </w:pPr>
                    </w:p>
                  </w:txbxContent>
                </v:textbox>
              </v:rect>
            </w:pict>
          </mc:Fallback>
        </mc:AlternateContent>
      </w:r>
      <w:r>
        <w:rPr>
          <w:rFonts w:hint="eastAsia" w:ascii="宋体" w:hAnsi="宋体" w:cs="宋体"/>
          <w:color w:val="auto"/>
          <w:sz w:val="24"/>
        </w:rPr>
        <w:t>投标单位法定名称章（印模）                投标单位“XX专用章”（印模）</w:t>
      </w:r>
    </w:p>
    <w:p w14:paraId="6F786135">
      <w:pPr>
        <w:autoSpaceDE w:val="0"/>
        <w:autoSpaceDN w:val="0"/>
        <w:jc w:val="center"/>
        <w:rPr>
          <w:rFonts w:ascii="宋体" w:hAnsi="宋体" w:cs="宋体"/>
          <w:b/>
          <w:color w:val="auto"/>
          <w:spacing w:val="6"/>
          <w:sz w:val="32"/>
          <w:szCs w:val="32"/>
        </w:rPr>
      </w:pPr>
    </w:p>
    <w:p w14:paraId="1D2AACBD">
      <w:pPr>
        <w:autoSpaceDE w:val="0"/>
        <w:autoSpaceDN w:val="0"/>
        <w:jc w:val="center"/>
        <w:rPr>
          <w:rFonts w:ascii="宋体" w:hAnsi="宋体" w:cs="宋体"/>
          <w:b/>
          <w:color w:val="auto"/>
          <w:spacing w:val="6"/>
          <w:sz w:val="32"/>
          <w:szCs w:val="32"/>
        </w:rPr>
      </w:pPr>
    </w:p>
    <w:p w14:paraId="67FF32E1">
      <w:pPr>
        <w:autoSpaceDE w:val="0"/>
        <w:autoSpaceDN w:val="0"/>
        <w:jc w:val="center"/>
        <w:rPr>
          <w:rFonts w:ascii="宋体" w:hAnsi="宋体" w:cs="宋体"/>
          <w:b/>
          <w:color w:val="auto"/>
          <w:spacing w:val="6"/>
          <w:sz w:val="32"/>
          <w:szCs w:val="32"/>
        </w:rPr>
      </w:pPr>
    </w:p>
    <w:p w14:paraId="40F51A12">
      <w:pPr>
        <w:autoSpaceDE w:val="0"/>
        <w:autoSpaceDN w:val="0"/>
        <w:jc w:val="center"/>
        <w:rPr>
          <w:rFonts w:ascii="宋体" w:hAnsi="宋体" w:cs="宋体"/>
          <w:b/>
          <w:color w:val="auto"/>
          <w:spacing w:val="6"/>
          <w:sz w:val="32"/>
          <w:szCs w:val="32"/>
        </w:rPr>
      </w:pPr>
    </w:p>
    <w:p w14:paraId="543F9C0B">
      <w:pPr>
        <w:autoSpaceDE w:val="0"/>
        <w:autoSpaceDN w:val="0"/>
        <w:jc w:val="center"/>
        <w:rPr>
          <w:rFonts w:ascii="宋体" w:hAnsi="宋体" w:cs="宋体"/>
          <w:b/>
          <w:color w:val="auto"/>
          <w:spacing w:val="6"/>
          <w:sz w:val="32"/>
          <w:szCs w:val="32"/>
        </w:rPr>
      </w:pPr>
    </w:p>
    <w:p w14:paraId="4ABC1EA6">
      <w:pPr>
        <w:autoSpaceDE w:val="0"/>
        <w:autoSpaceDN w:val="0"/>
        <w:jc w:val="center"/>
        <w:rPr>
          <w:rFonts w:ascii="宋体" w:hAnsi="宋体" w:cs="宋体"/>
          <w:b/>
          <w:color w:val="auto"/>
          <w:spacing w:val="6"/>
          <w:sz w:val="32"/>
          <w:szCs w:val="32"/>
        </w:rPr>
      </w:pPr>
    </w:p>
    <w:p w14:paraId="3D65997D">
      <w:pPr>
        <w:autoSpaceDE w:val="0"/>
        <w:autoSpaceDN w:val="0"/>
        <w:jc w:val="center"/>
        <w:rPr>
          <w:rFonts w:ascii="宋体" w:hAnsi="宋体" w:cs="宋体"/>
          <w:b/>
          <w:color w:val="auto"/>
          <w:spacing w:val="6"/>
          <w:sz w:val="32"/>
          <w:szCs w:val="32"/>
        </w:rPr>
      </w:pPr>
    </w:p>
    <w:p w14:paraId="195448FE">
      <w:pPr>
        <w:autoSpaceDE w:val="0"/>
        <w:autoSpaceDN w:val="0"/>
        <w:jc w:val="center"/>
        <w:rPr>
          <w:rFonts w:ascii="宋体" w:hAnsi="宋体" w:cs="宋体"/>
          <w:b/>
          <w:color w:val="auto"/>
          <w:spacing w:val="6"/>
          <w:sz w:val="32"/>
          <w:szCs w:val="32"/>
        </w:rPr>
      </w:pPr>
    </w:p>
    <w:p w14:paraId="43EAE463">
      <w:pPr>
        <w:autoSpaceDE w:val="0"/>
        <w:autoSpaceDN w:val="0"/>
        <w:jc w:val="center"/>
        <w:rPr>
          <w:rFonts w:ascii="宋体" w:hAnsi="宋体" w:cs="宋体"/>
          <w:b/>
          <w:color w:val="auto"/>
          <w:spacing w:val="6"/>
          <w:sz w:val="32"/>
          <w:szCs w:val="32"/>
        </w:rPr>
      </w:pPr>
    </w:p>
    <w:p w14:paraId="3F7F198F">
      <w:pPr>
        <w:autoSpaceDE w:val="0"/>
        <w:autoSpaceDN w:val="0"/>
        <w:jc w:val="center"/>
        <w:rPr>
          <w:rFonts w:ascii="宋体" w:hAnsi="宋体" w:cs="宋体"/>
          <w:b/>
          <w:color w:val="auto"/>
          <w:spacing w:val="6"/>
          <w:sz w:val="32"/>
          <w:szCs w:val="32"/>
        </w:rPr>
      </w:pPr>
    </w:p>
    <w:p w14:paraId="3C31F802">
      <w:pPr>
        <w:autoSpaceDE w:val="0"/>
        <w:autoSpaceDN w:val="0"/>
        <w:jc w:val="center"/>
        <w:rPr>
          <w:rFonts w:ascii="宋体" w:hAnsi="宋体" w:cs="宋体"/>
          <w:b/>
          <w:color w:val="auto"/>
          <w:spacing w:val="6"/>
          <w:sz w:val="32"/>
          <w:szCs w:val="32"/>
        </w:rPr>
      </w:pPr>
    </w:p>
    <w:p w14:paraId="48C67456">
      <w:pPr>
        <w:autoSpaceDE w:val="0"/>
        <w:autoSpaceDN w:val="0"/>
        <w:jc w:val="center"/>
        <w:rPr>
          <w:rFonts w:ascii="宋体" w:hAnsi="宋体" w:cs="宋体"/>
          <w:b/>
          <w:color w:val="auto"/>
          <w:spacing w:val="6"/>
          <w:sz w:val="32"/>
          <w:szCs w:val="32"/>
        </w:rPr>
      </w:pPr>
    </w:p>
    <w:p w14:paraId="687229DD">
      <w:pPr>
        <w:autoSpaceDE w:val="0"/>
        <w:autoSpaceDN w:val="0"/>
        <w:jc w:val="center"/>
        <w:rPr>
          <w:rFonts w:ascii="宋体" w:hAnsi="宋体" w:cs="宋体"/>
          <w:b/>
          <w:color w:val="auto"/>
          <w:spacing w:val="6"/>
          <w:sz w:val="32"/>
          <w:szCs w:val="32"/>
        </w:rPr>
      </w:pPr>
    </w:p>
    <w:p w14:paraId="4723D8BB">
      <w:pPr>
        <w:autoSpaceDE w:val="0"/>
        <w:autoSpaceDN w:val="0"/>
        <w:jc w:val="center"/>
        <w:rPr>
          <w:rFonts w:ascii="宋体" w:hAnsi="宋体" w:cs="宋体"/>
          <w:b/>
          <w:color w:val="auto"/>
          <w:spacing w:val="6"/>
          <w:sz w:val="32"/>
          <w:szCs w:val="32"/>
        </w:rPr>
      </w:pPr>
    </w:p>
    <w:p w14:paraId="72D060ED">
      <w:pPr>
        <w:autoSpaceDE w:val="0"/>
        <w:autoSpaceDN w:val="0"/>
        <w:jc w:val="center"/>
        <w:rPr>
          <w:rFonts w:hint="eastAsia" w:ascii="宋体" w:hAnsi="宋体" w:cs="宋体"/>
          <w:b/>
          <w:color w:val="auto"/>
          <w:spacing w:val="6"/>
          <w:sz w:val="32"/>
          <w:szCs w:val="32"/>
        </w:rPr>
      </w:pPr>
    </w:p>
    <w:p w14:paraId="1358BB7F">
      <w:pPr>
        <w:autoSpaceDE w:val="0"/>
        <w:autoSpaceDN w:val="0"/>
        <w:jc w:val="center"/>
        <w:rPr>
          <w:rFonts w:hint="eastAsia" w:ascii="宋体" w:hAnsi="宋体" w:cs="宋体"/>
          <w:b/>
          <w:color w:val="auto"/>
          <w:spacing w:val="6"/>
          <w:sz w:val="32"/>
          <w:szCs w:val="32"/>
        </w:rPr>
      </w:pPr>
    </w:p>
    <w:p w14:paraId="65339A92">
      <w:pPr>
        <w:autoSpaceDE w:val="0"/>
        <w:autoSpaceDN w:val="0"/>
        <w:jc w:val="center"/>
        <w:rPr>
          <w:rFonts w:hint="eastAsia" w:ascii="宋体" w:hAnsi="宋体" w:cs="宋体"/>
          <w:b/>
          <w:color w:val="auto"/>
          <w:spacing w:val="6"/>
          <w:sz w:val="32"/>
          <w:szCs w:val="32"/>
        </w:rPr>
      </w:pPr>
    </w:p>
    <w:p w14:paraId="31E47654">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743DF99B">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rPr>
          <w:rFonts w:ascii="宋体" w:hAnsi="宋体" w:cs="宋体"/>
          <w:b/>
          <w:color w:val="auto"/>
          <w:sz w:val="24"/>
        </w:rPr>
      </w:pPr>
      <w:r>
        <w:rPr>
          <w:rFonts w:hint="eastAsia" w:ascii="宋体" w:hAnsi="宋体" w:cs="宋体"/>
          <w:b/>
          <w:color w:val="auto"/>
          <w:sz w:val="24"/>
        </w:rPr>
        <w:t>（以联合体形式投标的，提供联合协议；本项目不接受联合体投标或者</w:t>
      </w:r>
      <w:r>
        <w:rPr>
          <w:rFonts w:hint="eastAsia" w:ascii="宋体" w:hAnsi="宋体" w:cs="宋体"/>
          <w:b/>
          <w:color w:val="auto"/>
          <w:sz w:val="24"/>
          <w:lang w:eastAsia="zh-CN"/>
        </w:rPr>
        <w:t>供应商</w:t>
      </w:r>
      <w:r>
        <w:rPr>
          <w:rFonts w:hint="eastAsia" w:ascii="宋体" w:hAnsi="宋体" w:cs="宋体"/>
          <w:b/>
          <w:color w:val="auto"/>
          <w:sz w:val="24"/>
        </w:rPr>
        <w:t>不以联合体形式投标的，则不需要提供）</w:t>
      </w:r>
    </w:p>
    <w:p w14:paraId="06314EBE">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组成一个联合体，以一个供应商的身份</w:t>
      </w:r>
      <w:r>
        <w:rPr>
          <w:rFonts w:hint="eastAsia" w:ascii="宋体" w:hAnsi="宋体" w:cs="宋体"/>
          <w:color w:val="auto"/>
          <w:kern w:val="0"/>
          <w:sz w:val="24"/>
        </w:rPr>
        <w:t>参加</w:t>
      </w:r>
      <w:r>
        <w:rPr>
          <w:rFonts w:hint="eastAsia" w:ascii="宋体" w:hAnsi="宋体" w:cs="宋体"/>
          <w:color w:val="auto"/>
          <w:sz w:val="24"/>
          <w:lang w:eastAsia="zh-CN"/>
        </w:rPr>
        <w:t>海曙区排水管网日常养护项目</w:t>
      </w:r>
      <w:r>
        <w:rPr>
          <w:rFonts w:hint="eastAsia" w:ascii="宋体" w:hAnsi="宋体" w:cs="宋体"/>
          <w:color w:val="auto"/>
          <w:sz w:val="24"/>
        </w:rPr>
        <w:t>【招标编号：</w:t>
      </w:r>
      <w:r>
        <w:rPr>
          <w:rFonts w:hint="eastAsia" w:ascii="宋体" w:hAnsi="宋体" w:cs="宋体"/>
          <w:color w:val="auto"/>
          <w:sz w:val="24"/>
          <w:lang w:eastAsia="zh-CN"/>
        </w:rPr>
        <w:t>2025NBHSWT319</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19430B2D">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3D956E6B">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授权代表根据招标文件规定及投标内容而对招标人、采购代理机构所作的任何合法承诺，包括书面澄清及</w:t>
      </w:r>
      <w:r>
        <w:rPr>
          <w:rFonts w:hint="eastAsia" w:ascii="宋体" w:hAnsi="宋体" w:cs="宋体"/>
          <w:color w:val="auto"/>
          <w:kern w:val="0"/>
          <w:sz w:val="24"/>
          <w:lang w:val="en-US" w:eastAsia="zh-CN"/>
        </w:rPr>
        <w:t>响应</w:t>
      </w:r>
      <w:r>
        <w:rPr>
          <w:rFonts w:hint="eastAsia" w:ascii="宋体" w:hAnsi="宋体" w:cs="宋体"/>
          <w:color w:val="auto"/>
          <w:kern w:val="0"/>
          <w:sz w:val="24"/>
          <w:lang w:val="zh-CN"/>
        </w:rPr>
        <w:t>等均对联合投标各方产生约束力。</w:t>
      </w:r>
    </w:p>
    <w:p w14:paraId="2EC08D01">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3864EAD8">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530A28BB">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EBA7864">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w:t>
      </w:r>
    </w:p>
    <w:p w14:paraId="3EE9F0BD">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1325031B">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68"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68"/>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69"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69"/>
      <w:r>
        <w:rPr>
          <w:rFonts w:hint="eastAsia" w:ascii="宋体" w:hAnsi="宋体" w:cs="宋体"/>
          <w:b/>
          <w:color w:val="auto"/>
          <w:kern w:val="0"/>
          <w:sz w:val="24"/>
          <w:lang w:val="zh-CN"/>
        </w:rPr>
        <w:t>）</w:t>
      </w:r>
    </w:p>
    <w:p w14:paraId="54D1093C">
      <w:pPr>
        <w:keepNext w:val="0"/>
        <w:keepLines w:val="0"/>
        <w:pageBreakBefore w:val="0"/>
        <w:kinsoku/>
        <w:wordWrap/>
        <w:overflowPunct/>
        <w:topLinePunct w:val="0"/>
        <w:autoSpaceDE/>
        <w:autoSpaceDN/>
        <w:bidi w:val="0"/>
        <w:adjustRightInd w:val="0"/>
        <w:spacing w:line="288" w:lineRule="auto"/>
        <w:ind w:firstLine="480" w:firstLineChars="200"/>
        <w:textAlignment w:val="auto"/>
        <w:rPr>
          <w:rFonts w:ascii="宋体" w:hAnsi="宋体" w:cs="宋体"/>
          <w:b/>
          <w:bCs/>
          <w:color w:val="auto"/>
          <w:kern w:val="0"/>
          <w:sz w:val="24"/>
          <w:lang w:val="zh-CN"/>
        </w:rPr>
      </w:pPr>
      <w:r>
        <w:rPr>
          <w:rFonts w:hint="eastAsia" w:ascii="宋体" w:hAnsi="宋体" w:cs="宋体"/>
          <w:color w:val="auto"/>
          <w:sz w:val="24"/>
        </w:rPr>
        <w:t>2、</w:t>
      </w:r>
      <w:bookmarkStart w:id="570"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70"/>
    </w:p>
    <w:p w14:paraId="67197621">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w:t>
      </w:r>
      <w:r>
        <w:rPr>
          <w:rFonts w:hint="eastAsia" w:ascii="宋体" w:hAnsi="宋体" w:cs="宋体"/>
          <w:color w:val="auto"/>
          <w:sz w:val="24"/>
          <w:lang w:eastAsia="zh-CN"/>
        </w:rPr>
        <w:t>招标人</w:t>
      </w:r>
      <w:r>
        <w:rPr>
          <w:rFonts w:hint="eastAsia" w:ascii="宋体" w:hAnsi="宋体" w:cs="宋体"/>
          <w:color w:val="auto"/>
          <w:sz w:val="24"/>
        </w:rPr>
        <w:t>签订合同，并就采购合同约定的事项对</w:t>
      </w:r>
      <w:r>
        <w:rPr>
          <w:rFonts w:hint="eastAsia" w:ascii="宋体" w:hAnsi="宋体" w:cs="宋体"/>
          <w:color w:val="auto"/>
          <w:sz w:val="24"/>
          <w:lang w:eastAsia="zh-CN"/>
        </w:rPr>
        <w:t>招标人</w:t>
      </w:r>
      <w:r>
        <w:rPr>
          <w:rFonts w:hint="eastAsia" w:ascii="宋体" w:hAnsi="宋体" w:cs="宋体"/>
          <w:color w:val="auto"/>
          <w:sz w:val="24"/>
        </w:rPr>
        <w:t>承担连带责任。</w:t>
      </w:r>
    </w:p>
    <w:p w14:paraId="65C5E42E">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34D2031C">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7A4F348B">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73A9E698">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3、本协议提交招标人、采购代理机构后，联合体各方不得以任何形式对上述内容进行修改或撤销。</w:t>
      </w:r>
    </w:p>
    <w:p w14:paraId="01ECB0AD">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F1D5F6C">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272E84D">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08A9F59">
      <w:pPr>
        <w:keepNext w:val="0"/>
        <w:keepLines w:val="0"/>
        <w:pageBreakBefore w:val="0"/>
        <w:kinsoku/>
        <w:wordWrap/>
        <w:overflowPunct/>
        <w:topLinePunct w:val="0"/>
        <w:autoSpaceDE/>
        <w:autoSpaceDN/>
        <w:bidi w:val="0"/>
        <w:adjustRightInd w:val="0"/>
        <w:snapToGrid w:val="0"/>
        <w:spacing w:line="288" w:lineRule="auto"/>
        <w:jc w:val="right"/>
        <w:textAlignment w:val="auto"/>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5ABDCBFC">
      <w:pPr>
        <w:keepNext w:val="0"/>
        <w:keepLines w:val="0"/>
        <w:pageBreakBefore w:val="0"/>
        <w:kinsoku/>
        <w:wordWrap/>
        <w:overflowPunct/>
        <w:topLinePunct w:val="0"/>
        <w:autoSpaceDE/>
        <w:autoSpaceDN/>
        <w:bidi w:val="0"/>
        <w:adjustRightInd w:val="0"/>
        <w:spacing w:line="288" w:lineRule="auto"/>
        <w:ind w:right="420"/>
        <w:textAlignment w:val="auto"/>
        <w:rPr>
          <w:rFonts w:ascii="宋体" w:hAnsi="宋体" w:cs="宋体"/>
          <w:color w:val="auto"/>
          <w:sz w:val="24"/>
        </w:rPr>
      </w:pPr>
      <w:r>
        <w:rPr>
          <w:rFonts w:hint="eastAsia" w:ascii="宋体" w:hAnsi="宋体" w:cs="宋体"/>
          <w:color w:val="auto"/>
          <w:sz w:val="24"/>
        </w:rPr>
        <w:t>注：按本格式和要求提供。</w:t>
      </w:r>
    </w:p>
    <w:p w14:paraId="7C901452">
      <w:pPr>
        <w:pageBreakBefore w:val="0"/>
        <w:kinsoku/>
        <w:wordWrap/>
        <w:overflowPunct/>
        <w:topLinePunct w:val="0"/>
        <w:autoSpaceDE/>
        <w:autoSpaceDN/>
        <w:bidi w:val="0"/>
        <w:snapToGrid w:val="0"/>
        <w:spacing w:line="288" w:lineRule="auto"/>
        <w:ind w:firstLine="3666" w:firstLineChars="1100"/>
        <w:textAlignment w:val="auto"/>
        <w:rPr>
          <w:rFonts w:hint="eastAsia" w:ascii="宋体" w:hAnsi="宋体" w:cs="宋体"/>
          <w:b/>
          <w:color w:val="auto"/>
          <w:spacing w:val="6"/>
          <w:sz w:val="32"/>
          <w:szCs w:val="32"/>
        </w:rPr>
      </w:pPr>
    </w:p>
    <w:p w14:paraId="0618D9DB">
      <w:pPr>
        <w:pageBreakBefore w:val="0"/>
        <w:kinsoku/>
        <w:wordWrap/>
        <w:overflowPunct/>
        <w:topLinePunct w:val="0"/>
        <w:autoSpaceDE/>
        <w:autoSpaceDN/>
        <w:bidi w:val="0"/>
        <w:snapToGrid w:val="0"/>
        <w:spacing w:line="288" w:lineRule="auto"/>
        <w:ind w:firstLine="3666" w:firstLineChars="1100"/>
        <w:textAlignment w:val="auto"/>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1DE0570E">
      <w:pPr>
        <w:pageBreakBefore w:val="0"/>
        <w:widowControl/>
        <w:kinsoku/>
        <w:wordWrap/>
        <w:overflowPunct/>
        <w:topLinePunct w:val="0"/>
        <w:autoSpaceDE/>
        <w:autoSpaceDN/>
        <w:bidi w:val="0"/>
        <w:spacing w:line="288" w:lineRule="auto"/>
        <w:ind w:firstLine="120" w:firstLineChars="50"/>
        <w:jc w:val="left"/>
        <w:textAlignment w:val="auto"/>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w:t>
      </w:r>
      <w:r>
        <w:rPr>
          <w:rFonts w:hint="eastAsia" w:ascii="宋体" w:hAnsi="宋体" w:cs="宋体"/>
          <w:b/>
          <w:color w:val="auto"/>
          <w:sz w:val="24"/>
          <w:lang w:eastAsia="zh-CN"/>
        </w:rPr>
        <w:t>招标人</w:t>
      </w:r>
      <w:r>
        <w:rPr>
          <w:rFonts w:hint="eastAsia" w:ascii="宋体" w:hAnsi="宋体" w:cs="宋体"/>
          <w:b/>
          <w:color w:val="auto"/>
          <w:sz w:val="24"/>
        </w:rPr>
        <w:t>不同意分包或者</w:t>
      </w:r>
      <w:r>
        <w:rPr>
          <w:rFonts w:hint="eastAsia" w:ascii="宋体" w:hAnsi="宋体" w:cs="宋体"/>
          <w:b/>
          <w:color w:val="auto"/>
          <w:sz w:val="24"/>
          <w:lang w:eastAsia="zh-CN"/>
        </w:rPr>
        <w:t>供应商</w:t>
      </w:r>
      <w:r>
        <w:rPr>
          <w:rFonts w:hint="eastAsia" w:ascii="宋体" w:hAnsi="宋体" w:cs="宋体"/>
          <w:b/>
          <w:color w:val="auto"/>
          <w:sz w:val="24"/>
        </w:rPr>
        <w:t>中标后不以分包方式履行合同的，则不需要提供。</w:t>
      </w:r>
      <w:r>
        <w:rPr>
          <w:rFonts w:hint="eastAsia" w:ascii="宋体" w:hAnsi="宋体" w:cs="宋体"/>
          <w:color w:val="auto"/>
          <w:sz w:val="24"/>
        </w:rPr>
        <w:t>）</w:t>
      </w:r>
    </w:p>
    <w:p w14:paraId="71DA44C2">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w:t>
      </w:r>
      <w:r>
        <w:rPr>
          <w:rFonts w:hint="eastAsia" w:ascii="宋体" w:hAnsi="宋体" w:cs="宋体"/>
          <w:color w:val="auto"/>
          <w:kern w:val="0"/>
          <w:sz w:val="24"/>
          <w:u w:val="single"/>
          <w:lang w:eastAsia="zh-CN"/>
        </w:rPr>
        <w:t>供应商</w:t>
      </w:r>
      <w:r>
        <w:rPr>
          <w:rFonts w:hint="eastAsia" w:ascii="宋体" w:hAnsi="宋体" w:cs="宋体"/>
          <w:color w:val="auto"/>
          <w:kern w:val="0"/>
          <w:sz w:val="24"/>
          <w:u w:val="single"/>
        </w:rPr>
        <w:t>名称）</w:t>
      </w:r>
      <w:r>
        <w:rPr>
          <w:rFonts w:hint="eastAsia" w:ascii="宋体" w:hAnsi="宋体" w:cs="宋体"/>
          <w:color w:val="auto"/>
          <w:kern w:val="0"/>
          <w:sz w:val="24"/>
          <w:lang w:val="zh-CN"/>
        </w:rPr>
        <w:t>若成为</w:t>
      </w:r>
      <w:r>
        <w:rPr>
          <w:rFonts w:hint="eastAsia" w:ascii="宋体" w:hAnsi="宋体" w:cs="宋体"/>
          <w:color w:val="auto"/>
          <w:sz w:val="24"/>
          <w:lang w:eastAsia="zh-CN"/>
        </w:rPr>
        <w:t>海曙区排水管网日常养护项目</w:t>
      </w:r>
      <w:r>
        <w:rPr>
          <w:rFonts w:hint="eastAsia" w:ascii="宋体" w:hAnsi="宋体" w:cs="宋体"/>
          <w:color w:val="auto"/>
          <w:sz w:val="24"/>
        </w:rPr>
        <w:t>【招标编号：</w:t>
      </w:r>
      <w:r>
        <w:rPr>
          <w:rFonts w:hint="eastAsia" w:ascii="宋体" w:hAnsi="宋体" w:cs="宋体"/>
          <w:color w:val="auto"/>
          <w:sz w:val="24"/>
          <w:lang w:eastAsia="zh-CN"/>
        </w:rPr>
        <w:t>2025NBHSWT319</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w:t>
      </w:r>
      <w:r>
        <w:rPr>
          <w:rFonts w:hint="eastAsia" w:ascii="宋体" w:hAnsi="宋体" w:cs="宋体"/>
          <w:color w:val="auto"/>
          <w:kern w:val="0"/>
          <w:sz w:val="24"/>
          <w:u w:val="single"/>
          <w:lang w:eastAsia="zh-CN"/>
        </w:rPr>
        <w:t>供应商</w:t>
      </w:r>
      <w:r>
        <w:rPr>
          <w:rFonts w:hint="eastAsia" w:ascii="宋体" w:hAnsi="宋体" w:cs="宋体"/>
          <w:color w:val="auto"/>
          <w:kern w:val="0"/>
          <w:sz w:val="24"/>
          <w:u w:val="single"/>
        </w:rPr>
        <w:t>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40D41B66">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01FB0010">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w:t>
      </w:r>
      <w:r>
        <w:rPr>
          <w:rFonts w:hint="eastAsia" w:ascii="宋体" w:hAnsi="宋体" w:cs="宋体"/>
          <w:color w:val="auto"/>
          <w:kern w:val="0"/>
          <w:sz w:val="24"/>
          <w:u w:val="single"/>
          <w:lang w:eastAsia="zh-CN"/>
        </w:rPr>
        <w:t>供应商</w:t>
      </w:r>
      <w:r>
        <w:rPr>
          <w:rFonts w:hint="eastAsia" w:ascii="宋体" w:hAnsi="宋体" w:cs="宋体"/>
          <w:color w:val="auto"/>
          <w:kern w:val="0"/>
          <w:sz w:val="24"/>
          <w:u w:val="single"/>
        </w:rPr>
        <w:t>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5E1BBCD6">
      <w:pPr>
        <w:pStyle w:val="4"/>
        <w:pageBreakBefore w:val="0"/>
        <w:kinsoku/>
        <w:wordWrap/>
        <w:overflowPunct/>
        <w:topLinePunct w:val="0"/>
        <w:autoSpaceDE/>
        <w:autoSpaceDN/>
        <w:bidi w:val="0"/>
        <w:spacing w:line="288" w:lineRule="auto"/>
        <w:ind w:left="664" w:leftChars="316" w:firstLine="229" w:firstLineChars="95"/>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6F178823">
      <w:pPr>
        <w:pageBreakBefore w:val="0"/>
        <w:kinsoku/>
        <w:wordWrap/>
        <w:overflowPunct/>
        <w:topLinePunct w:val="0"/>
        <w:autoSpaceDE/>
        <w:autoSpaceDN/>
        <w:bidi w:val="0"/>
        <w:spacing w:line="288" w:lineRule="auto"/>
        <w:textAlignment w:val="auto"/>
        <w:rPr>
          <w:color w:val="auto"/>
        </w:rPr>
      </w:pPr>
      <w:r>
        <w:rPr>
          <w:rFonts w:hint="eastAsia"/>
          <w:color w:val="auto"/>
          <w:lang w:val="zh-CN"/>
        </w:rPr>
        <w:t xml:space="preserve"> </w:t>
      </w:r>
    </w:p>
    <w:p w14:paraId="34ED6534">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3486860E">
      <w:pPr>
        <w:pageBreakBefore w:val="0"/>
        <w:kinsoku/>
        <w:wordWrap/>
        <w:overflowPunct/>
        <w:topLinePunct w:val="0"/>
        <w:autoSpaceDE/>
        <w:autoSpaceDN/>
        <w:bidi w:val="0"/>
        <w:snapToGrid w:val="0"/>
        <w:spacing w:line="288" w:lineRule="auto"/>
        <w:ind w:firstLine="576"/>
        <w:textAlignment w:val="auto"/>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DCF38E4">
      <w:pPr>
        <w:pageBreakBefore w:val="0"/>
        <w:kinsoku/>
        <w:wordWrap/>
        <w:overflowPunct/>
        <w:topLinePunct w:val="0"/>
        <w:autoSpaceDE/>
        <w:autoSpaceDN/>
        <w:bidi w:val="0"/>
        <w:spacing w:line="288" w:lineRule="auto"/>
        <w:ind w:firstLine="480" w:firstLineChars="200"/>
        <w:textAlignment w:val="auto"/>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6ECB827B">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5653585A">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u w:val="single"/>
        </w:rPr>
      </w:pPr>
      <w:r>
        <w:rPr>
          <w:rFonts w:hint="eastAsia" w:ascii="宋体" w:hAnsi="宋体" w:cs="宋体"/>
          <w:color w:val="auto"/>
          <w:u w:val="single"/>
        </w:rPr>
        <w:t xml:space="preserve">                                                                                  </w:t>
      </w:r>
    </w:p>
    <w:p w14:paraId="6F6AD8A6">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四、质量</w:t>
      </w:r>
    </w:p>
    <w:p w14:paraId="6673A492">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4"/>
          <w:lang w:val="zh-CN"/>
        </w:rPr>
      </w:pPr>
      <w:r>
        <w:rPr>
          <w:rFonts w:hint="eastAsia" w:ascii="宋体" w:hAnsi="宋体" w:cs="宋体"/>
          <w:color w:val="auto"/>
          <w:u w:val="single"/>
        </w:rPr>
        <w:t xml:space="preserve">                                                                                       </w:t>
      </w:r>
    </w:p>
    <w:p w14:paraId="7C1D9344">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132B54C5">
      <w:pPr>
        <w:pageBreakBefore w:val="0"/>
        <w:kinsoku/>
        <w:wordWrap/>
        <w:overflowPunct/>
        <w:topLinePunct w:val="0"/>
        <w:autoSpaceDE/>
        <w:autoSpaceDN/>
        <w:bidi w:val="0"/>
        <w:snapToGrid w:val="0"/>
        <w:spacing w:line="288" w:lineRule="auto"/>
        <w:ind w:left="573" w:leftChars="273"/>
        <w:textAlignment w:val="auto"/>
        <w:rPr>
          <w:rFonts w:ascii="宋体" w:hAnsi="宋体" w:cs="宋体"/>
          <w:color w:val="auto"/>
          <w:kern w:val="0"/>
          <w:sz w:val="24"/>
          <w:lang w:val="zh-CN"/>
        </w:rPr>
      </w:pPr>
      <w:r>
        <w:rPr>
          <w:rFonts w:hint="eastAsia" w:ascii="宋体" w:hAnsi="宋体" w:cs="宋体"/>
          <w:color w:val="auto"/>
          <w:u w:val="single"/>
        </w:rPr>
        <w:t xml:space="preserve">                                                                                     </w:t>
      </w:r>
    </w:p>
    <w:p w14:paraId="573E1C80">
      <w:pPr>
        <w:pageBreakBefore w:val="0"/>
        <w:kinsoku/>
        <w:wordWrap/>
        <w:overflowPunct/>
        <w:topLinePunct w:val="0"/>
        <w:autoSpaceDE/>
        <w:autoSpaceDN/>
        <w:bidi w:val="0"/>
        <w:snapToGrid w:val="0"/>
        <w:spacing w:line="288" w:lineRule="auto"/>
        <w:ind w:left="573" w:leftChars="273"/>
        <w:textAlignment w:val="auto"/>
        <w:rPr>
          <w:rFonts w:ascii="宋体" w:hAnsi="宋体" w:cs="宋体"/>
          <w:color w:val="auto"/>
          <w:kern w:val="0"/>
          <w:sz w:val="24"/>
          <w:lang w:val="zh-CN"/>
        </w:rPr>
      </w:pPr>
      <w:r>
        <w:rPr>
          <w:rFonts w:hint="eastAsia" w:ascii="宋体" w:hAnsi="宋体" w:cs="宋体"/>
          <w:color w:val="auto"/>
          <w:kern w:val="0"/>
          <w:sz w:val="24"/>
          <w:lang w:val="zh-CN"/>
        </w:rPr>
        <w:t>六、违约责任</w:t>
      </w:r>
    </w:p>
    <w:p w14:paraId="7B39B45C">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4"/>
          <w:lang w:val="zh-CN"/>
        </w:rPr>
      </w:pPr>
      <w:r>
        <w:rPr>
          <w:rFonts w:hint="eastAsia" w:ascii="宋体" w:hAnsi="宋体" w:cs="宋体"/>
          <w:color w:val="auto"/>
          <w:u w:val="single"/>
        </w:rPr>
        <w:t xml:space="preserve">                                                                                     </w:t>
      </w:r>
    </w:p>
    <w:p w14:paraId="65FAF45A">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643AD867">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4"/>
          <w:lang w:val="zh-CN"/>
        </w:rPr>
      </w:pPr>
      <w:r>
        <w:rPr>
          <w:rFonts w:hint="eastAsia" w:ascii="宋体" w:hAnsi="宋体" w:cs="宋体"/>
          <w:color w:val="auto"/>
          <w:u w:val="single"/>
        </w:rPr>
        <w:t xml:space="preserve">                                                                                  </w:t>
      </w:r>
    </w:p>
    <w:p w14:paraId="3FA7A0CC">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八、其他</w:t>
      </w:r>
    </w:p>
    <w:p w14:paraId="143338FD">
      <w:pPr>
        <w:pageBreakBefore w:val="0"/>
        <w:kinsoku/>
        <w:wordWrap/>
        <w:overflowPunct/>
        <w:topLinePunct w:val="0"/>
        <w:autoSpaceDE/>
        <w:autoSpaceDN/>
        <w:bidi w:val="0"/>
        <w:snapToGrid w:val="0"/>
        <w:spacing w:line="288" w:lineRule="auto"/>
        <w:ind w:left="5758" w:leftChars="342" w:hanging="5040" w:hangingChars="2100"/>
        <w:textAlignment w:val="auto"/>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供应商名称(电子签名)：</w:t>
      </w:r>
    </w:p>
    <w:p w14:paraId="072F37D1">
      <w:pPr>
        <w:pageBreakBefore w:val="0"/>
        <w:kinsoku/>
        <w:wordWrap/>
        <w:overflowPunct/>
        <w:topLinePunct w:val="0"/>
        <w:autoSpaceDE/>
        <w:autoSpaceDN/>
        <w:bidi w:val="0"/>
        <w:snapToGrid w:val="0"/>
        <w:spacing w:line="288" w:lineRule="auto"/>
        <w:jc w:val="right"/>
        <w:textAlignment w:val="auto"/>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509552EF">
      <w:pPr>
        <w:pageBreakBefore w:val="0"/>
        <w:kinsoku/>
        <w:wordWrap/>
        <w:overflowPunct/>
        <w:topLinePunct w:val="0"/>
        <w:autoSpaceDE/>
        <w:autoSpaceDN/>
        <w:bidi w:val="0"/>
        <w:snapToGrid w:val="0"/>
        <w:spacing w:line="288" w:lineRule="auto"/>
        <w:ind w:firstLine="5760" w:firstLineChars="2400"/>
        <w:textAlignment w:val="auto"/>
        <w:rPr>
          <w:rFonts w:ascii="宋体" w:hAnsi="宋体" w:cs="宋体"/>
          <w:color w:val="auto"/>
        </w:rPr>
      </w:pPr>
      <w:r>
        <w:rPr>
          <w:rFonts w:hint="eastAsia" w:ascii="宋体" w:hAnsi="宋体" w:cs="宋体"/>
          <w:color w:val="auto"/>
          <w:kern w:val="0"/>
          <w:sz w:val="24"/>
          <w:lang w:val="zh-CN"/>
        </w:rPr>
        <w:t>……</w:t>
      </w:r>
    </w:p>
    <w:p w14:paraId="79E48E14">
      <w:pPr>
        <w:pageBreakBefore w:val="0"/>
        <w:kinsoku/>
        <w:wordWrap/>
        <w:overflowPunct/>
        <w:topLinePunct w:val="0"/>
        <w:autoSpaceDE/>
        <w:autoSpaceDN/>
        <w:bidi w:val="0"/>
        <w:snapToGrid w:val="0"/>
        <w:spacing w:line="288" w:lineRule="auto"/>
        <w:ind w:left="5758" w:leftChars="342" w:hanging="5040" w:hangingChars="2100"/>
        <w:textAlignment w:val="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586D97C">
      <w:pPr>
        <w:pageBreakBefore w:val="0"/>
        <w:kinsoku/>
        <w:wordWrap/>
        <w:overflowPunct/>
        <w:topLinePunct w:val="0"/>
        <w:autoSpaceDE/>
        <w:autoSpaceDN/>
        <w:bidi w:val="0"/>
        <w:spacing w:line="288" w:lineRule="auto"/>
        <w:ind w:right="420"/>
        <w:textAlignment w:val="auto"/>
        <w:rPr>
          <w:rFonts w:ascii="宋体" w:hAnsi="宋体" w:cs="宋体"/>
          <w:color w:val="auto"/>
          <w:sz w:val="24"/>
        </w:rPr>
      </w:pPr>
      <w:r>
        <w:rPr>
          <w:rFonts w:hint="eastAsia" w:ascii="宋体" w:hAnsi="宋体" w:cs="宋体"/>
          <w:color w:val="auto"/>
          <w:sz w:val="24"/>
        </w:rPr>
        <w:t>注：按本格式和要求提供。</w:t>
      </w:r>
    </w:p>
    <w:p w14:paraId="745A33D2">
      <w:pPr>
        <w:autoSpaceDE w:val="0"/>
        <w:autoSpaceDN w:val="0"/>
        <w:jc w:val="center"/>
        <w:rPr>
          <w:rFonts w:ascii="宋体" w:hAnsi="宋体" w:cs="宋体"/>
          <w:b/>
          <w:color w:val="auto"/>
          <w:spacing w:val="6"/>
          <w:sz w:val="32"/>
          <w:szCs w:val="32"/>
        </w:rPr>
      </w:pPr>
    </w:p>
    <w:p w14:paraId="1B675D81">
      <w:pPr>
        <w:spacing w:line="360" w:lineRule="auto"/>
        <w:jc w:val="left"/>
        <w:outlineLvl w:val="0"/>
        <w:rPr>
          <w:rFonts w:ascii="宋体" w:hAnsi="宋体" w:cs="宋体"/>
          <w:b/>
          <w:color w:val="auto"/>
          <w:sz w:val="36"/>
          <w:szCs w:val="20"/>
        </w:rPr>
      </w:pPr>
      <w:bookmarkStart w:id="571" w:name="_Toc8332"/>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bookmarkEnd w:id="571"/>
    </w:p>
    <w:p w14:paraId="605206B7">
      <w:pPr>
        <w:spacing w:line="360" w:lineRule="auto"/>
        <w:jc w:val="center"/>
        <w:rPr>
          <w:rFonts w:ascii="宋体" w:hAnsi="宋体" w:cs="宋体"/>
          <w:color w:val="auto"/>
          <w:sz w:val="24"/>
          <w:u w:val="single"/>
        </w:rPr>
      </w:pPr>
    </w:p>
    <w:p w14:paraId="213DF238">
      <w:pPr>
        <w:spacing w:line="360" w:lineRule="auto"/>
        <w:jc w:val="center"/>
        <w:outlineLvl w:val="0"/>
        <w:rPr>
          <w:rFonts w:ascii="宋体" w:hAnsi="宋体" w:cs="宋体"/>
          <w:b/>
          <w:color w:val="auto"/>
          <w:sz w:val="32"/>
          <w:szCs w:val="32"/>
        </w:rPr>
      </w:pPr>
      <w:bookmarkStart w:id="572" w:name="_Toc14586"/>
      <w:r>
        <w:rPr>
          <w:rFonts w:hint="eastAsia" w:ascii="宋体" w:hAnsi="宋体" w:cs="宋体"/>
          <w:b/>
          <w:color w:val="auto"/>
          <w:sz w:val="32"/>
          <w:szCs w:val="32"/>
        </w:rPr>
        <w:t>中小企业声明函（服务）</w:t>
      </w:r>
      <w:bookmarkEnd w:id="572"/>
    </w:p>
    <w:p w14:paraId="46568E02">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宁波市海曙区水务设施管理中心</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海曙区排水管网日常养护项目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37A7F634">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w:t>
      </w:r>
      <w:r>
        <w:rPr>
          <w:rFonts w:hint="eastAsia" w:ascii="宋体" w:hAnsi="宋体" w:cs="宋体"/>
          <w:color w:val="auto"/>
          <w:sz w:val="24"/>
          <w:u w:val="single"/>
          <w:lang w:eastAsia="zh-CN"/>
        </w:rPr>
        <w:t>海曙区排水管网日常养护项目</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其他未列明行业</w:t>
      </w:r>
      <w:r>
        <w:rPr>
          <w:rFonts w:hint="eastAsia" w:ascii="宋体" w:hAnsi="宋体" w:cs="宋体"/>
          <w:color w:val="auto"/>
          <w:sz w:val="24"/>
          <w:u w:val="single"/>
        </w:rPr>
        <w:t>）</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0138098D">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w:t>
      </w:r>
      <w:r>
        <w:rPr>
          <w:rFonts w:hint="default" w:ascii="宋体" w:hAnsi="宋体" w:cs="宋体"/>
          <w:color w:val="auto"/>
          <w:sz w:val="24"/>
          <w:szCs w:val="24"/>
          <w:u w:val="single"/>
        </w:rPr>
        <w:t>（</w:t>
      </w:r>
      <w:r>
        <w:rPr>
          <w:rFonts w:hint="eastAsia" w:ascii="宋体" w:hAnsi="宋体" w:cs="宋体"/>
          <w:color w:val="auto"/>
          <w:sz w:val="24"/>
          <w:szCs w:val="24"/>
          <w:u w:val="single"/>
          <w:lang w:eastAsia="zh-CN"/>
        </w:rPr>
        <w:t>海曙区排水管网日常养护</w:t>
      </w:r>
      <w:r>
        <w:rPr>
          <w:rFonts w:hint="default" w:ascii="宋体" w:hAnsi="宋体" w:cs="宋体"/>
          <w:color w:val="auto"/>
          <w:sz w:val="24"/>
          <w:szCs w:val="24"/>
          <w:u w:val="single"/>
        </w:rPr>
        <w:t>），</w:t>
      </w:r>
      <w:r>
        <w:rPr>
          <w:rFonts w:hint="default" w:ascii="宋体" w:hAnsi="宋体" w:cs="宋体"/>
          <w:color w:val="auto"/>
          <w:sz w:val="24"/>
          <w:szCs w:val="24"/>
        </w:rPr>
        <w:t xml:space="preserve">属于 </w:t>
      </w:r>
      <w:r>
        <w:rPr>
          <w:rFonts w:hint="default" w:ascii="宋体" w:hAnsi="宋体" w:cs="宋体"/>
          <w:color w:val="auto"/>
          <w:sz w:val="24"/>
          <w:szCs w:val="24"/>
          <w:u w:val="single"/>
        </w:rPr>
        <w:t>（其他未列明行业）</w:t>
      </w:r>
      <w:r>
        <w:rPr>
          <w:rFonts w:hint="eastAsia" w:ascii="宋体" w:hAnsi="宋体" w:cs="宋体"/>
          <w:color w:val="auto"/>
          <w:sz w:val="24"/>
          <w:u w:val="single"/>
        </w:rPr>
        <w:t xml:space="preserve">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7BDDC484">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15598DAE">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47576221">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1A310A53">
      <w:pPr>
        <w:spacing w:line="360" w:lineRule="auto"/>
        <w:ind w:right="1760"/>
        <w:jc w:val="right"/>
        <w:rPr>
          <w:rFonts w:ascii="宋体" w:hAnsi="宋体" w:cs="宋体"/>
          <w:color w:val="auto"/>
          <w:sz w:val="24"/>
        </w:rPr>
      </w:pPr>
      <w:r>
        <w:rPr>
          <w:rFonts w:hint="eastAsia" w:ascii="宋体" w:hAnsi="宋体" w:cs="宋体"/>
          <w:color w:val="auto"/>
          <w:sz w:val="24"/>
          <w:lang w:eastAsia="zh-CN"/>
        </w:rPr>
        <w:t>供应商</w:t>
      </w:r>
      <w:r>
        <w:rPr>
          <w:rFonts w:hint="eastAsia" w:ascii="宋体" w:hAnsi="宋体" w:cs="宋体"/>
          <w:color w:val="auto"/>
          <w:sz w:val="24"/>
        </w:rPr>
        <w:t>名称（电子签名）：</w:t>
      </w:r>
    </w:p>
    <w:p w14:paraId="33D0462A">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09D95A9B">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7B5AB8BE">
      <w:pPr>
        <w:spacing w:line="360" w:lineRule="auto"/>
        <w:ind w:right="420"/>
        <w:rPr>
          <w:rFonts w:hint="eastAsia" w:ascii="宋体" w:hAnsi="宋体" w:cs="宋体"/>
          <w:color w:val="auto"/>
          <w:sz w:val="24"/>
        </w:rPr>
      </w:pPr>
    </w:p>
    <w:p w14:paraId="0CE3D331">
      <w:pPr>
        <w:spacing w:line="360" w:lineRule="auto"/>
        <w:ind w:right="420"/>
        <w:rPr>
          <w:rFonts w:ascii="宋体" w:hAnsi="宋体" w:cs="宋体"/>
          <w:color w:val="auto"/>
          <w:sz w:val="24"/>
        </w:rPr>
      </w:pPr>
      <w:r>
        <w:rPr>
          <w:rFonts w:hint="eastAsia" w:ascii="宋体" w:hAnsi="宋体" w:cs="宋体"/>
          <w:color w:val="auto"/>
          <w:sz w:val="24"/>
        </w:rPr>
        <w:t>注：</w:t>
      </w:r>
    </w:p>
    <w:p w14:paraId="64AEC92E">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w:t>
      </w:r>
      <w:r>
        <w:rPr>
          <w:rFonts w:hint="eastAsia" w:ascii="宋体" w:hAnsi="宋体" w:cs="宋体"/>
          <w:color w:val="auto"/>
          <w:sz w:val="24"/>
          <w:lang w:eastAsia="zh-CN"/>
        </w:rPr>
        <w:t>供应商</w:t>
      </w:r>
      <w:r>
        <w:rPr>
          <w:rFonts w:hint="eastAsia" w:ascii="宋体" w:hAnsi="宋体" w:cs="宋体"/>
          <w:color w:val="auto"/>
          <w:sz w:val="24"/>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color w:val="auto"/>
          <w:sz w:val="24"/>
          <w:lang w:eastAsia="zh-CN"/>
        </w:rPr>
        <w:t>供应商</w:t>
      </w:r>
      <w:r>
        <w:rPr>
          <w:rFonts w:hint="eastAsia" w:ascii="宋体" w:hAnsi="宋体" w:cs="宋体"/>
          <w:color w:val="auto"/>
          <w:sz w:val="24"/>
        </w:rPr>
        <w:t>提供的《中小企业声明函》与实际情况不符的或者未按以上要求填写的，中小企业声明函无效，不享受中小企业扶持政策。声明内容不实的，属于提供虚假材料谋取中标、成交的，依法承担法律责任。</w:t>
      </w:r>
    </w:p>
    <w:p w14:paraId="7E691AA5">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color w:val="auto"/>
          <w:sz w:val="24"/>
          <w:lang w:eastAsia="zh-CN"/>
        </w:rPr>
        <w:t>供应商</w:t>
      </w:r>
      <w:r>
        <w:rPr>
          <w:rFonts w:hint="eastAsia" w:ascii="宋体" w:hAnsi="宋体" w:cs="宋体"/>
          <w:color w:val="auto"/>
          <w:sz w:val="24"/>
        </w:rPr>
        <w:t>提供由省级以上监狱管理局、戒毒管理局（含新疆生产建设兵团）出具的属于监狱企业证明文件的，视同为小型和微型企业。</w:t>
      </w:r>
    </w:p>
    <w:p w14:paraId="3AA86869">
      <w:pPr>
        <w:spacing w:line="360" w:lineRule="auto"/>
        <w:ind w:right="420" w:firstLine="720" w:firstLineChars="300"/>
        <w:rPr>
          <w:rFonts w:ascii="宋体" w:hAnsi="宋体" w:eastAsia="宋体" w:cs="宋体"/>
          <w:color w:val="auto"/>
          <w:lang w:val="en-US"/>
        </w:rPr>
      </w:pPr>
      <w:r>
        <w:rPr>
          <w:rFonts w:hint="eastAsia" w:ascii="宋体" w:hAnsi="宋体" w:cs="宋体"/>
          <w:color w:val="auto"/>
          <w:sz w:val="24"/>
        </w:rPr>
        <w:t>3、本采购文件中明确的所属行业为</w:t>
      </w:r>
      <w:r>
        <w:rPr>
          <w:rFonts w:hint="eastAsia" w:ascii="宋体" w:hAnsi="宋体" w:cs="宋体"/>
          <w:color w:val="auto"/>
          <w:sz w:val="24"/>
          <w:lang w:val="en-US" w:eastAsia="zh-CN"/>
        </w:rPr>
        <w:t>其他未列明行业。从业人员300人以下的为中小微型企业。其中，从业人员100人及以上的为中型企业；从业人员10人及以上的为小型企业；从业人员10人以下的为微型企业。</w:t>
      </w:r>
    </w:p>
    <w:p w14:paraId="487F97BE">
      <w:pPr>
        <w:spacing w:line="360" w:lineRule="auto"/>
        <w:ind w:right="420"/>
        <w:rPr>
          <w:rFonts w:ascii="宋体" w:hAnsi="宋体" w:cs="宋体"/>
          <w:color w:val="auto"/>
        </w:rPr>
      </w:pPr>
    </w:p>
    <w:p w14:paraId="29DEEBE3">
      <w:pPr>
        <w:spacing w:line="360" w:lineRule="auto"/>
        <w:rPr>
          <w:rFonts w:ascii="宋体" w:hAnsi="宋体" w:cs="宋体"/>
          <w:bCs/>
          <w:color w:val="auto"/>
          <w:sz w:val="24"/>
        </w:rPr>
      </w:pPr>
    </w:p>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新魏"/>
    <w:panose1 w:val="00000000000000000000"/>
    <w:charset w:val="00"/>
    <w:family w:val="roman"/>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华文新魏"/>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0" w:csb1="00000000"/>
  </w:font>
  <w:font w:name=".PingFang SC">
    <w:altName w:val="华文新魏"/>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CB771">
    <w:pPr>
      <w:pStyle w:val="40"/>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1DF92">
    <w:pPr>
      <w:pStyle w:val="40"/>
      <w:spacing w:beforeLines="0" w:afterLines="0"/>
      <w:ind w:right="360" w:firstLine="360"/>
      <w:rPr>
        <w:rFonts w:hint="eastAsia"/>
        <w:sz w:val="18"/>
        <w:szCs w:val="24"/>
      </w:rPr>
    </w:pPr>
    <w:r>
      <w:rPr>
        <w:rFonts w:hint="default"/>
        <w:sz w:val="18"/>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DA657A5">
                          <w:pPr>
                            <w:pStyle w:val="40"/>
                            <w:spacing w:beforeLines="0" w:afterLines="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2</w:t>
                          </w:r>
                          <w:r>
                            <w:rPr>
                              <w:rFonts w:hint="eastAsia"/>
                              <w:sz w:val="18"/>
                              <w:szCs w:val="24"/>
                            </w:rP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vHvptIBAACkAwAADgAAAAAAAAABACAAAAAi&#10;AQAAZHJzL2Uyb0RvYy54bWxQSwUGAAAAAAYABgBZAQAAZgUAAAAA&#10;">
              <v:fill on="f" focussize="0,0"/>
              <v:stroke on="f" weight="1.25pt"/>
              <v:imagedata o:title=""/>
              <o:lock v:ext="edit" aspectratio="f"/>
              <v:textbox inset="0mm,0mm,0mm,0mm" style="mso-fit-shape-to-text:t;">
                <w:txbxContent>
                  <w:p w14:paraId="1DA657A5">
                    <w:pPr>
                      <w:pStyle w:val="40"/>
                      <w:spacing w:beforeLines="0" w:afterLines="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2</w:t>
                    </w:r>
                    <w:r>
                      <w:rPr>
                        <w:rFonts w:hint="eastAsia"/>
                        <w:sz w:val="18"/>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44FA">
    <w:pPr>
      <w:pStyle w:val="40"/>
      <w:spacing w:beforeLines="0" w:afterLines="0"/>
      <w:rPr>
        <w:rFonts w:hint="eastAsia"/>
        <w:sz w:val="18"/>
        <w:szCs w:val="24"/>
      </w:rPr>
    </w:pPr>
    <w:r>
      <w:rPr>
        <w:rFonts w:hint="default"/>
        <w:sz w:val="18"/>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F925075">
                          <w:pPr>
                            <w:pStyle w:val="40"/>
                            <w:spacing w:beforeLines="0" w:afterLines="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&#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28GOT9IBAACjAwAADgAAAAAAAAABACAAAAAi&#10;AQAAZHJzL2Uyb0RvYy54bWxQSwUGAAAAAAYABgBZAQAAZgUAAAAA&#10;">
              <v:fill on="f" focussize="0,0"/>
              <v:stroke on="f" weight="1.25pt"/>
              <v:imagedata o:title=""/>
              <o:lock v:ext="edit" aspectratio="f"/>
              <v:textbox inset="0mm,0mm,0mm,0mm" style="mso-fit-shape-to-text:t;">
                <w:txbxContent>
                  <w:p w14:paraId="1F925075">
                    <w:pPr>
                      <w:pStyle w:val="40"/>
                      <w:spacing w:beforeLines="0" w:afterLines="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p>
                </w:txbxContent>
              </v:textbox>
            </v:shape>
          </w:pict>
        </mc:Fallback>
      </mc:AlternateContent>
    </w:r>
    <w:r>
      <w:rPr>
        <w:rFonts w:hint="default"/>
        <w:sz w:val="1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035"/>
              <wp:effectExtent l="0" t="0" r="0" b="0"/>
              <wp:wrapNone/>
              <wp:docPr id="1" name="文本框 9"/>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6999B4B4">
                          <w:pPr>
                            <w:spacing w:beforeLines="0" w:afterLines="0"/>
                            <w:rPr>
                              <w:rFonts w:hint="default"/>
                              <w:sz w:val="21"/>
                              <w:szCs w:val="24"/>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2.05pt;width:9.05pt;mso-position-horizontal:center;mso-position-horizontal-relative:margin;mso-wrap-style:none;z-index:25166028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QVPmtAAAAADAQAADwAAAAAAAAABACAAAAAiAAAAZHJzL2Rvd25y&#10;ZXYueG1sUEsBAhQAFAAAAAgAh07iQMK3AzLNAQAAlwMAAA4AAAAAAAAAAQAgAAAAHwEAAGRycy9l&#10;Mm9Eb2MueG1sUEsFBgAAAAAGAAYAWQEAAF4FAAAAAA==&#10;">
              <v:fill on="f" focussize="0,0"/>
              <v:stroke on="f"/>
              <v:imagedata o:title=""/>
              <o:lock v:ext="edit" aspectratio="f"/>
              <v:textbox inset="0mm,0mm,0mm,0mm" style="mso-fit-shape-to-text:t;">
                <w:txbxContent>
                  <w:p w14:paraId="6999B4B4">
                    <w:pPr>
                      <w:spacing w:beforeLines="0" w:afterLines="0"/>
                      <w:rPr>
                        <w:rFonts w:hint="default"/>
                        <w:sz w:val="21"/>
                        <w:szCs w:val="24"/>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4E938">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02FD1">
                          <w:pPr>
                            <w:pStyle w:val="40"/>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14402FD1">
                    <w:pPr>
                      <w:pStyle w:val="40"/>
                    </w:pPr>
                    <w:r>
                      <w:fldChar w:fldCharType="begin"/>
                    </w:r>
                    <w:r>
                      <w:instrText xml:space="preserve"> PAGE  \* MERGEFORMAT </w:instrText>
                    </w:r>
                    <w:r>
                      <w:fldChar w:fldCharType="separate"/>
                    </w:r>
                    <w:r>
                      <w:t>81</w:t>
                    </w:r>
                    <w:r>
                      <w:fldChar w:fldCharType="end"/>
                    </w:r>
                  </w:p>
                </w:txbxContent>
              </v:textbox>
            </v:shape>
          </w:pict>
        </mc:Fallback>
      </mc:AlternateContent>
    </w:r>
  </w:p>
  <w:p w14:paraId="36E6EBB1">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A664A">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26AC9">
                          <w:pPr>
                            <w:pStyle w:val="4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32126AC9">
                    <w:pPr>
                      <w:pStyle w:val="40"/>
                    </w:pPr>
                    <w:r>
                      <w:fldChar w:fldCharType="begin"/>
                    </w:r>
                    <w:r>
                      <w:instrText xml:space="preserve"> PAGE  \* MERGEFORMAT </w:instrText>
                    </w:r>
                    <w:r>
                      <w:fldChar w:fldCharType="separate"/>
                    </w:r>
                    <w:r>
                      <w:t>73</w:t>
                    </w:r>
                    <w:r>
                      <w:fldChar w:fldCharType="end"/>
                    </w:r>
                  </w:p>
                </w:txbxContent>
              </v:textbox>
            </v:shape>
          </w:pict>
        </mc:Fallback>
      </mc:AlternateContent>
    </w:r>
  </w:p>
  <w:p w14:paraId="6BDA62F0">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6C78D">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63B3F">
                          <w:pPr>
                            <w:pStyle w:val="40"/>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3E763B3F">
                    <w:pPr>
                      <w:pStyle w:val="40"/>
                    </w:pPr>
                    <w:r>
                      <w:fldChar w:fldCharType="begin"/>
                    </w:r>
                    <w:r>
                      <w:instrText xml:space="preserve"> PAGE  \* MERGEFORMAT </w:instrText>
                    </w:r>
                    <w:r>
                      <w:fldChar w:fldCharType="separate"/>
                    </w:r>
                    <w:r>
                      <w:t>84</w:t>
                    </w:r>
                    <w:r>
                      <w:fldChar w:fldCharType="end"/>
                    </w:r>
                  </w:p>
                </w:txbxContent>
              </v:textbox>
            </v:shape>
          </w:pict>
        </mc:Fallback>
      </mc:AlternateContent>
    </w:r>
  </w:p>
  <w:p w14:paraId="0B54596F">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46FFA">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24BFD">
                          <w:pPr>
                            <w:pStyle w:val="40"/>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61C24BFD">
                    <w:pPr>
                      <w:pStyle w:val="40"/>
                    </w:pPr>
                    <w:r>
                      <w:fldChar w:fldCharType="begin"/>
                    </w:r>
                    <w:r>
                      <w:instrText xml:space="preserve"> PAGE  \* MERGEFORMAT </w:instrText>
                    </w:r>
                    <w:r>
                      <w:fldChar w:fldCharType="separate"/>
                    </w:r>
                    <w:r>
                      <w:t>82</w:t>
                    </w:r>
                    <w:r>
                      <w:fldChar w:fldCharType="end"/>
                    </w:r>
                  </w:p>
                </w:txbxContent>
              </v:textbox>
            </v:shape>
          </w:pict>
        </mc:Fallback>
      </mc:AlternateContent>
    </w:r>
  </w:p>
  <w:p w14:paraId="255BB9B5">
    <w:pPr>
      <w:rPr>
        <w:rFonts w:ascii="仿宋_GB2312" w:eastAsia="仿宋_GB23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EFFDA">
    <w:pPr>
      <w:pStyle w:val="4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99F85">
                          <w:pPr>
                            <w:pStyle w:val="40"/>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7F99F85">
                    <w:pPr>
                      <w:pStyle w:val="40"/>
                    </w:pPr>
                    <w:r>
                      <w:fldChar w:fldCharType="begin"/>
                    </w:r>
                    <w:r>
                      <w:instrText xml:space="preserve"> PAGE  \* MERGEFORMAT </w:instrText>
                    </w:r>
                    <w:r>
                      <w:fldChar w:fldCharType="separate"/>
                    </w:r>
                    <w:r>
                      <w:t>84</w:t>
                    </w:r>
                    <w:r>
                      <w:fldChar w:fldCharType="end"/>
                    </w:r>
                  </w:p>
                </w:txbxContent>
              </v:textbox>
            </v:shape>
          </w:pict>
        </mc:Fallback>
      </mc:AlternateContent>
    </w:r>
  </w:p>
  <w:p w14:paraId="59B3023A">
    <w:pPr>
      <w:rPr>
        <w:rFonts w:ascii="仿宋_GB2312" w:eastAsia="仿宋_GB23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D5480">
    <w:pPr>
      <w:pStyle w:val="4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CFBE1">
                          <w:pPr>
                            <w:pStyle w:val="40"/>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1ECFBE1">
                    <w:pPr>
                      <w:pStyle w:val="40"/>
                    </w:pPr>
                    <w:r>
                      <w:fldChar w:fldCharType="begin"/>
                    </w:r>
                    <w:r>
                      <w:instrText xml:space="preserve"> PAGE  \* MERGEFORMAT </w:instrText>
                    </w:r>
                    <w:r>
                      <w:fldChar w:fldCharType="separate"/>
                    </w:r>
                    <w:r>
                      <w:t>82</w:t>
                    </w:r>
                    <w:r>
                      <w:fldChar w:fldCharType="end"/>
                    </w:r>
                  </w:p>
                </w:txbxContent>
              </v:textbox>
            </v:shape>
          </w:pict>
        </mc:Fallback>
      </mc:AlternateContent>
    </w:r>
  </w:p>
  <w:p w14:paraId="4089DF0D">
    <w:pPr>
      <w:rPr>
        <w:rFonts w:ascii="仿宋_GB2312" w:eastAsia="仿宋_GB23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8C188">
    <w:pPr>
      <w:pStyle w:val="4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5EF9D">
                          <w:pPr>
                            <w:pStyle w:val="40"/>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24E5EF9D">
                    <w:pPr>
                      <w:pStyle w:val="40"/>
                    </w:pPr>
                    <w:r>
                      <w:fldChar w:fldCharType="begin"/>
                    </w:r>
                    <w:r>
                      <w:instrText xml:space="preserve"> PAGE  \* MERGEFORMAT </w:instrText>
                    </w:r>
                    <w:r>
                      <w:fldChar w:fldCharType="separate"/>
                    </w:r>
                    <w:r>
                      <w:t>87</w:t>
                    </w:r>
                    <w:r>
                      <w:fldChar w:fldCharType="end"/>
                    </w:r>
                  </w:p>
                </w:txbxContent>
              </v:textbox>
            </v:shape>
          </w:pict>
        </mc:Fallback>
      </mc:AlternateContent>
    </w:r>
  </w:p>
  <w:p w14:paraId="41B747C4">
    <w:pPr>
      <w:rPr>
        <w:rFonts w:ascii="仿宋_GB2312" w:eastAsia="仿宋_GB23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656C4">
    <w:pPr>
      <w:pStyle w:val="4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55A40">
                          <w:pPr>
                            <w:pStyle w:val="40"/>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04F55A40">
                    <w:pPr>
                      <w:pStyle w:val="40"/>
                    </w:pPr>
                    <w:r>
                      <w:fldChar w:fldCharType="begin"/>
                    </w:r>
                    <w:r>
                      <w:instrText xml:space="preserve"> PAGE  \* MERGEFORMAT </w:instrText>
                    </w:r>
                    <w:r>
                      <w:fldChar w:fldCharType="separate"/>
                    </w:r>
                    <w:r>
                      <w:t>86</w:t>
                    </w:r>
                    <w:r>
                      <w:fldChar w:fldCharType="end"/>
                    </w:r>
                  </w:p>
                </w:txbxContent>
              </v:textbox>
            </v:shape>
          </w:pict>
        </mc:Fallback>
      </mc:AlternateContent>
    </w:r>
  </w:p>
  <w:p w14:paraId="65EE01AA">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27E44">
    <w:pPr>
      <w:pStyle w:val="40"/>
      <w:framePr w:wrap="around" w:vAnchor="text" w:hAnchor="margin" w:xAlign="right" w:y="1"/>
      <w:rPr>
        <w:rStyle w:val="73"/>
      </w:rPr>
    </w:pPr>
    <w:r>
      <w:fldChar w:fldCharType="begin"/>
    </w:r>
    <w:r>
      <w:rPr>
        <w:rStyle w:val="73"/>
      </w:rPr>
      <w:instrText xml:space="preserve">PAGE  </w:instrText>
    </w:r>
    <w:r>
      <w:fldChar w:fldCharType="end"/>
    </w:r>
  </w:p>
  <w:p w14:paraId="201C7B30">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0EAC9">
    <w:pPr>
      <w:pStyle w:val="40"/>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18745">
    <w:pPr>
      <w:pStyle w:val="40"/>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89949">
    <w:pPr>
      <w:pStyle w:val="4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088C4C">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1088C4C">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86838">
    <w:pPr>
      <w:pStyle w:val="4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75641">
                          <w:pPr>
                            <w:pStyle w:val="4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CE75641">
                    <w:pPr>
                      <w:pStyle w:val="4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52EA3">
    <w:pPr>
      <w:pStyle w:val="40"/>
      <w:adjustRightInd/>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97EE9">
                          <w:pPr>
                            <w:pStyle w:val="4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66197EE9">
                    <w:pPr>
                      <w:pStyle w:val="4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B2ADA">
    <w:pPr>
      <w:pStyle w:val="40"/>
      <w:adjustRightInd/>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F750A">
                          <w:pPr>
                            <w:pStyle w:val="4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EBF750A">
                    <w:pPr>
                      <w:pStyle w:val="4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9E47A">
    <w:pPr>
      <w:pStyle w:val="40"/>
      <w:adjustRightInd/>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B96B5">
                          <w:pPr>
                            <w:pStyle w:val="4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E2B96B5">
                    <w:pPr>
                      <w:pStyle w:val="4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64EA1">
    <w:pPr>
      <w:pStyle w:val="42"/>
      <w:pBdr>
        <w:bottom w:val="single" w:color="auto" w:sz="6" w:space="4"/>
      </w:pBdr>
      <w:jc w:val="right"/>
    </w:pPr>
    <w:r>
      <w:t></w:t>
    </w:r>
    <w:r>
      <w:rPr>
        <w:rFonts w:hint="eastAsia"/>
      </w:rPr>
      <w:t xml:space="preserve">             </w:t>
    </w:r>
  </w:p>
  <w:p w14:paraId="420644E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A9160">
    <w:pPr>
      <w:pStyle w:val="42"/>
      <w:jc w:val="right"/>
    </w:pPr>
    <w:r>
      <w:t></w:t>
    </w:r>
    <w:r>
      <w:rPr>
        <w:rFonts w:hint="eastAsia"/>
      </w:rPr>
      <w:t xml:space="preserve">                 </w:t>
    </w:r>
    <w:r>
      <w:t xml:space="preserve">                                </w:t>
    </w:r>
    <w:r>
      <w:rPr>
        <w:rFonts w:hint="eastAsia"/>
      </w:rPr>
      <w:t xml:space="preserve">         宁波市政府采购公开招标文件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B1024">
    <w:pPr>
      <w:pStyle w:val="42"/>
      <w:jc w:val="right"/>
      <w:rPr>
        <w:rFonts w:ascii="仿宋_GB2312"/>
        <w:b/>
        <w:i/>
        <w:u w:val="single"/>
      </w:rPr>
    </w:pPr>
    <w:r>
      <w:rPr>
        <w:rFonts w:hint="eastAsia"/>
      </w:rPr>
      <w:t xml:space="preserve">                                  宁波市政府采购公开招标文件</w:t>
    </w:r>
  </w:p>
  <w:p w14:paraId="71C4481F">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DF28E">
    <w:pPr>
      <w:pStyle w:val="42"/>
      <w:jc w:val="right"/>
    </w:pPr>
    <w:r>
      <w:rPr>
        <w:rFonts w:hint="eastAsia"/>
      </w:rPr>
      <w:t xml:space="preserve">                                                                                                        政</w:t>
    </w:r>
    <w:r>
      <w:t>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F7660">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3AD7A">
    <w:pPr>
      <w:pStyle w:val="42"/>
      <w:pBdr>
        <w:bottom w:val="none" w:color="auto" w:sz="0" w:space="0"/>
      </w:pBdr>
      <w:spacing w:beforeLines="0" w:afterLines="0"/>
      <w:jc w:val="both"/>
      <w:rPr>
        <w:rFonts w:hint="default" w:ascii="宋体"/>
        <w:sz w:val="18"/>
        <w:szCs w:val="24"/>
      </w:rPr>
    </w:pPr>
    <w:r>
      <w:rPr>
        <w:rFonts w:hint="default" w:ascii="宋体"/>
        <w:sz w:val="18"/>
        <w:szCs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3A316">
    <w:pPr>
      <w:pStyle w:val="42"/>
      <w:pBdr>
        <w:bottom w:val="none" w:color="auto" w:sz="0" w:space="0"/>
      </w:pBdr>
      <w:spacing w:beforeLines="0" w:afterLines="0"/>
      <w:jc w:val="left"/>
      <w:rPr>
        <w:rFonts w:hint="default"/>
        <w:sz w:val="18"/>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0FF41">
    <w:pPr>
      <w:pStyle w:val="42"/>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25E717A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9E02B">
    <w:pPr>
      <w:pStyle w:val="42"/>
    </w:pPr>
    <w:r>
      <w:t></w:t>
    </w:r>
    <w:r>
      <w:rPr>
        <w:rFonts w:hint="eastAsia"/>
      </w:rPr>
      <w:t xml:space="preserve">         </w:t>
    </w:r>
  </w:p>
  <w:p w14:paraId="775286A7">
    <w:pPr>
      <w:pStyle w:val="42"/>
    </w:pPr>
    <w:r>
      <w:rPr>
        <w:rFonts w:hint="eastAsia"/>
      </w:rPr>
      <w:t xml:space="preserve">                                                                  宁波市政府采购公开招标文件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25AA3">
    <w:pPr>
      <w:pStyle w:val="42"/>
      <w:rPr>
        <w:rFonts w:ascii="仿宋_GB2312" w:eastAsia="仿宋_GB2312"/>
        <w:b/>
        <w:i/>
        <w:u w:val="single"/>
      </w:rPr>
    </w:pPr>
    <w:r>
      <w:t></w:t>
    </w:r>
    <w:r>
      <w:rPr>
        <w:rFonts w:hint="eastAsia"/>
      </w:rPr>
      <w:t xml:space="preserve">                                                   </w:t>
    </w:r>
    <w:r>
      <w:t>政府采购公开招标文件</w:t>
    </w:r>
  </w:p>
  <w:p w14:paraId="3DCB215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9F487">
    <w:pPr>
      <w:pStyle w:val="42"/>
      <w:jc w:val="right"/>
    </w:pPr>
    <w:r>
      <w:t></w:t>
    </w:r>
    <w:r>
      <w:rPr>
        <w:rFonts w:hint="eastAsia"/>
      </w:rPr>
      <w:t xml:space="preserve">                 </w:t>
    </w:r>
    <w:r>
      <w:t xml:space="preserve">                                </w:t>
    </w:r>
    <w:r>
      <w:rPr>
        <w:rFonts w:hint="eastAsia"/>
      </w:rPr>
      <w:t xml:space="preserve">         宁波市政府采购公开招标文件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772E4">
    <w:pPr>
      <w:pStyle w:val="42"/>
      <w:rPr>
        <w:rFonts w:ascii="仿宋_GB2312" w:eastAsia="仿宋_GB2312"/>
        <w:b/>
        <w:i/>
        <w:u w:val="single"/>
      </w:rPr>
    </w:pPr>
    <w:r>
      <w:t></w:t>
    </w:r>
    <w:r>
      <w:rPr>
        <w:rFonts w:hint="eastAsia"/>
      </w:rPr>
      <w:t xml:space="preserve">                                                   </w:t>
    </w:r>
    <w:r>
      <w:t>政府采购公开招标文件</w:t>
    </w:r>
  </w:p>
  <w:p w14:paraId="5B05219B">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D68C5"/>
    <w:multiLevelType w:val="singleLevel"/>
    <w:tmpl w:val="E7FD68C5"/>
    <w:lvl w:ilvl="0" w:tentative="0">
      <w:start w:val="2"/>
      <w:numFmt w:val="chineseCounting"/>
      <w:suff w:val="nothing"/>
      <w:lvlText w:val="%1、"/>
      <w:lvlJc w:val="left"/>
      <w:pPr>
        <w:ind w:left="210"/>
      </w:pPr>
      <w:rPr>
        <w:rFonts w:hint="eastAsia"/>
      </w:rPr>
    </w:lvl>
  </w:abstractNum>
  <w:abstractNum w:abstractNumId="1">
    <w:nsid w:val="00000025"/>
    <w:multiLevelType w:val="singleLevel"/>
    <w:tmpl w:val="0000002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zdhZmM4MGI5MTU1ZTJhZTcwMTAxZjgzZTk3MDUifQ=="/>
    <w:docVar w:name="KSO_WPS_MARK_KEY" w:val="2caabb78-dd7d-4915-b9aa-db80bf10b0a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265"/>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785"/>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B98"/>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063"/>
    <w:rsid w:val="00076159"/>
    <w:rsid w:val="0007616C"/>
    <w:rsid w:val="000763B5"/>
    <w:rsid w:val="000763F3"/>
    <w:rsid w:val="000766D2"/>
    <w:rsid w:val="00076801"/>
    <w:rsid w:val="00077577"/>
    <w:rsid w:val="00077607"/>
    <w:rsid w:val="00077756"/>
    <w:rsid w:val="00077B7F"/>
    <w:rsid w:val="000808C1"/>
    <w:rsid w:val="00080970"/>
    <w:rsid w:val="00081671"/>
    <w:rsid w:val="00081AF9"/>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210"/>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89"/>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CCB"/>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347"/>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97C7C"/>
    <w:rsid w:val="001A06B5"/>
    <w:rsid w:val="001A07F8"/>
    <w:rsid w:val="001A0A23"/>
    <w:rsid w:val="001A0C98"/>
    <w:rsid w:val="001A128B"/>
    <w:rsid w:val="001A1475"/>
    <w:rsid w:val="001A1619"/>
    <w:rsid w:val="001A1F0E"/>
    <w:rsid w:val="001A3335"/>
    <w:rsid w:val="001A473A"/>
    <w:rsid w:val="001A4783"/>
    <w:rsid w:val="001A4977"/>
    <w:rsid w:val="001A4A1A"/>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BF5"/>
    <w:rsid w:val="001E0F77"/>
    <w:rsid w:val="001E17E3"/>
    <w:rsid w:val="001E1E20"/>
    <w:rsid w:val="001E2052"/>
    <w:rsid w:val="001E2492"/>
    <w:rsid w:val="001E257C"/>
    <w:rsid w:val="001E286C"/>
    <w:rsid w:val="001E2F34"/>
    <w:rsid w:val="001E35EE"/>
    <w:rsid w:val="001E4B2C"/>
    <w:rsid w:val="001E507F"/>
    <w:rsid w:val="001E56C2"/>
    <w:rsid w:val="001E59FB"/>
    <w:rsid w:val="001E704C"/>
    <w:rsid w:val="001E794A"/>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5DED"/>
    <w:rsid w:val="00206698"/>
    <w:rsid w:val="00206736"/>
    <w:rsid w:val="00206C88"/>
    <w:rsid w:val="00210B9C"/>
    <w:rsid w:val="00211185"/>
    <w:rsid w:val="00211A94"/>
    <w:rsid w:val="002126F2"/>
    <w:rsid w:val="00213478"/>
    <w:rsid w:val="00214028"/>
    <w:rsid w:val="002141C3"/>
    <w:rsid w:val="002141DC"/>
    <w:rsid w:val="00214402"/>
    <w:rsid w:val="0021440C"/>
    <w:rsid w:val="00214479"/>
    <w:rsid w:val="002144F3"/>
    <w:rsid w:val="002146C3"/>
    <w:rsid w:val="00215334"/>
    <w:rsid w:val="00215514"/>
    <w:rsid w:val="00215A2A"/>
    <w:rsid w:val="00215A3F"/>
    <w:rsid w:val="00215D21"/>
    <w:rsid w:val="0021636B"/>
    <w:rsid w:val="00216387"/>
    <w:rsid w:val="00216E7B"/>
    <w:rsid w:val="00217E1F"/>
    <w:rsid w:val="00217ED7"/>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807"/>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3E2C"/>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4EFF"/>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32"/>
    <w:rsid w:val="0034509B"/>
    <w:rsid w:val="00345644"/>
    <w:rsid w:val="00345D0E"/>
    <w:rsid w:val="00345D7A"/>
    <w:rsid w:val="0034607E"/>
    <w:rsid w:val="00346A96"/>
    <w:rsid w:val="00346B6D"/>
    <w:rsid w:val="00346BA3"/>
    <w:rsid w:val="00346C69"/>
    <w:rsid w:val="00347356"/>
    <w:rsid w:val="00347BB6"/>
    <w:rsid w:val="0035005C"/>
    <w:rsid w:val="00350896"/>
    <w:rsid w:val="00350C31"/>
    <w:rsid w:val="00350C9F"/>
    <w:rsid w:val="00351233"/>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5AEB"/>
    <w:rsid w:val="00366779"/>
    <w:rsid w:val="003668AB"/>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5AA"/>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05"/>
    <w:rsid w:val="003A1C44"/>
    <w:rsid w:val="003A20D5"/>
    <w:rsid w:val="003A24CC"/>
    <w:rsid w:val="003A2512"/>
    <w:rsid w:val="003A2A53"/>
    <w:rsid w:val="003A2EE8"/>
    <w:rsid w:val="003A373C"/>
    <w:rsid w:val="003A4A8E"/>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02F"/>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28"/>
    <w:rsid w:val="003E51FF"/>
    <w:rsid w:val="003E604C"/>
    <w:rsid w:val="003E60DA"/>
    <w:rsid w:val="003E6E00"/>
    <w:rsid w:val="003E7111"/>
    <w:rsid w:val="003E7565"/>
    <w:rsid w:val="003E7940"/>
    <w:rsid w:val="003F01BD"/>
    <w:rsid w:val="003F0486"/>
    <w:rsid w:val="003F048E"/>
    <w:rsid w:val="003F09FA"/>
    <w:rsid w:val="003F0AFF"/>
    <w:rsid w:val="003F1AA2"/>
    <w:rsid w:val="003F26DC"/>
    <w:rsid w:val="003F42FF"/>
    <w:rsid w:val="003F4B48"/>
    <w:rsid w:val="003F4DDC"/>
    <w:rsid w:val="003F56B8"/>
    <w:rsid w:val="003F57CB"/>
    <w:rsid w:val="003F5E63"/>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3AC"/>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479E5"/>
    <w:rsid w:val="0045057B"/>
    <w:rsid w:val="0045069B"/>
    <w:rsid w:val="00450B22"/>
    <w:rsid w:val="00451709"/>
    <w:rsid w:val="004518FA"/>
    <w:rsid w:val="00451A02"/>
    <w:rsid w:val="00451BA9"/>
    <w:rsid w:val="0045277C"/>
    <w:rsid w:val="00453507"/>
    <w:rsid w:val="00453592"/>
    <w:rsid w:val="004543AB"/>
    <w:rsid w:val="004545EC"/>
    <w:rsid w:val="00455967"/>
    <w:rsid w:val="00455BDB"/>
    <w:rsid w:val="00455F71"/>
    <w:rsid w:val="00456272"/>
    <w:rsid w:val="004570EF"/>
    <w:rsid w:val="00457517"/>
    <w:rsid w:val="00457ACE"/>
    <w:rsid w:val="00457CF7"/>
    <w:rsid w:val="00457D37"/>
    <w:rsid w:val="0046028A"/>
    <w:rsid w:val="00460C96"/>
    <w:rsid w:val="00460E3A"/>
    <w:rsid w:val="00460E68"/>
    <w:rsid w:val="004614BC"/>
    <w:rsid w:val="004619A5"/>
    <w:rsid w:val="00461F80"/>
    <w:rsid w:val="0046240D"/>
    <w:rsid w:val="00462898"/>
    <w:rsid w:val="00462D84"/>
    <w:rsid w:val="00463208"/>
    <w:rsid w:val="00463576"/>
    <w:rsid w:val="004636D6"/>
    <w:rsid w:val="0046375D"/>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276"/>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A8"/>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486"/>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463"/>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42"/>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CCB"/>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CE5"/>
    <w:rsid w:val="005524ED"/>
    <w:rsid w:val="00553F91"/>
    <w:rsid w:val="00554007"/>
    <w:rsid w:val="00554C03"/>
    <w:rsid w:val="00554C58"/>
    <w:rsid w:val="00554D5D"/>
    <w:rsid w:val="005550F9"/>
    <w:rsid w:val="005557F1"/>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9FB"/>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8DB"/>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1E1"/>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BC7"/>
    <w:rsid w:val="005D01C3"/>
    <w:rsid w:val="005D05FF"/>
    <w:rsid w:val="005D0FB4"/>
    <w:rsid w:val="005D1176"/>
    <w:rsid w:val="005D14D8"/>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63D6"/>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CA1"/>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3D"/>
    <w:rsid w:val="00675749"/>
    <w:rsid w:val="006759FE"/>
    <w:rsid w:val="00677382"/>
    <w:rsid w:val="0067772D"/>
    <w:rsid w:val="00677991"/>
    <w:rsid w:val="00677AD2"/>
    <w:rsid w:val="00680224"/>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6C94"/>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1CA"/>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2C1"/>
    <w:rsid w:val="006E37C6"/>
    <w:rsid w:val="006E3CF3"/>
    <w:rsid w:val="006E41ED"/>
    <w:rsid w:val="006E4667"/>
    <w:rsid w:val="006E46B7"/>
    <w:rsid w:val="006E475A"/>
    <w:rsid w:val="006E486D"/>
    <w:rsid w:val="006E4880"/>
    <w:rsid w:val="006E48BB"/>
    <w:rsid w:val="006E53A4"/>
    <w:rsid w:val="006E727B"/>
    <w:rsid w:val="006E76C8"/>
    <w:rsid w:val="006E7A92"/>
    <w:rsid w:val="006F01FF"/>
    <w:rsid w:val="006F0CB2"/>
    <w:rsid w:val="006F1DE9"/>
    <w:rsid w:val="006F2046"/>
    <w:rsid w:val="006F2F59"/>
    <w:rsid w:val="006F311E"/>
    <w:rsid w:val="006F3442"/>
    <w:rsid w:val="006F35B0"/>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CB8"/>
    <w:rsid w:val="007378FD"/>
    <w:rsid w:val="00737E26"/>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9F5"/>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286"/>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8CC"/>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4C6"/>
    <w:rsid w:val="007F1124"/>
    <w:rsid w:val="007F152D"/>
    <w:rsid w:val="007F20C4"/>
    <w:rsid w:val="007F20EE"/>
    <w:rsid w:val="007F23D8"/>
    <w:rsid w:val="007F3030"/>
    <w:rsid w:val="007F307A"/>
    <w:rsid w:val="007F30C6"/>
    <w:rsid w:val="007F32F5"/>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266"/>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1AE"/>
    <w:rsid w:val="008465B4"/>
    <w:rsid w:val="00846AFC"/>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47F"/>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8C9"/>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A15"/>
    <w:rsid w:val="008A5F2F"/>
    <w:rsid w:val="008A68CD"/>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C68"/>
    <w:rsid w:val="008C0325"/>
    <w:rsid w:val="008C094A"/>
    <w:rsid w:val="008C1570"/>
    <w:rsid w:val="008C1792"/>
    <w:rsid w:val="008C17B2"/>
    <w:rsid w:val="008C1E3E"/>
    <w:rsid w:val="008C2059"/>
    <w:rsid w:val="008C21D0"/>
    <w:rsid w:val="008C279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A14"/>
    <w:rsid w:val="008D4D7C"/>
    <w:rsid w:val="008D5432"/>
    <w:rsid w:val="008D54C0"/>
    <w:rsid w:val="008D5558"/>
    <w:rsid w:val="008D5806"/>
    <w:rsid w:val="008D5ED9"/>
    <w:rsid w:val="008D65BE"/>
    <w:rsid w:val="008D6937"/>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3"/>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AE5"/>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67261"/>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79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943"/>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59B"/>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6A9"/>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0BF"/>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35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8D8"/>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1D6"/>
    <w:rsid w:val="00B42743"/>
    <w:rsid w:val="00B430E9"/>
    <w:rsid w:val="00B4311F"/>
    <w:rsid w:val="00B431AE"/>
    <w:rsid w:val="00B44288"/>
    <w:rsid w:val="00B448BF"/>
    <w:rsid w:val="00B45A59"/>
    <w:rsid w:val="00B45F70"/>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209"/>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3F95"/>
    <w:rsid w:val="00BB40D1"/>
    <w:rsid w:val="00BB697D"/>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0AA"/>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1A"/>
    <w:rsid w:val="00C20B6C"/>
    <w:rsid w:val="00C20B86"/>
    <w:rsid w:val="00C21145"/>
    <w:rsid w:val="00C215ED"/>
    <w:rsid w:val="00C22350"/>
    <w:rsid w:val="00C2302B"/>
    <w:rsid w:val="00C23615"/>
    <w:rsid w:val="00C2397E"/>
    <w:rsid w:val="00C23A83"/>
    <w:rsid w:val="00C24381"/>
    <w:rsid w:val="00C24801"/>
    <w:rsid w:val="00C24C2E"/>
    <w:rsid w:val="00C24C7A"/>
    <w:rsid w:val="00C24DC4"/>
    <w:rsid w:val="00C24FFB"/>
    <w:rsid w:val="00C25CFF"/>
    <w:rsid w:val="00C25EA6"/>
    <w:rsid w:val="00C26164"/>
    <w:rsid w:val="00C261C1"/>
    <w:rsid w:val="00C26574"/>
    <w:rsid w:val="00C26DBF"/>
    <w:rsid w:val="00C27199"/>
    <w:rsid w:val="00C27204"/>
    <w:rsid w:val="00C304E9"/>
    <w:rsid w:val="00C30B0B"/>
    <w:rsid w:val="00C311A3"/>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280"/>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B6D"/>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034"/>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BF9"/>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D7E"/>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4BF"/>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CFD"/>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AF6"/>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6C46"/>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B8"/>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08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3D72"/>
    <w:rsid w:val="00EA613D"/>
    <w:rsid w:val="00EA65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401"/>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07C30"/>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4D6"/>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A94"/>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2E9"/>
    <w:rsid w:val="00F724E2"/>
    <w:rsid w:val="00F74103"/>
    <w:rsid w:val="00F7410A"/>
    <w:rsid w:val="00F745A4"/>
    <w:rsid w:val="00F74C0C"/>
    <w:rsid w:val="00F758E1"/>
    <w:rsid w:val="00F75BB5"/>
    <w:rsid w:val="00F75FD5"/>
    <w:rsid w:val="00F7604C"/>
    <w:rsid w:val="00F773A9"/>
    <w:rsid w:val="00F8056E"/>
    <w:rsid w:val="00F805B7"/>
    <w:rsid w:val="00F810C1"/>
    <w:rsid w:val="00F815C6"/>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C2D"/>
    <w:rsid w:val="00F87282"/>
    <w:rsid w:val="00F878CD"/>
    <w:rsid w:val="00F87905"/>
    <w:rsid w:val="00F87A66"/>
    <w:rsid w:val="00F90C1F"/>
    <w:rsid w:val="00F912D9"/>
    <w:rsid w:val="00F91A44"/>
    <w:rsid w:val="00F91BFA"/>
    <w:rsid w:val="00F91F8F"/>
    <w:rsid w:val="00F9217B"/>
    <w:rsid w:val="00F934DD"/>
    <w:rsid w:val="00F9377A"/>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5DE6"/>
    <w:rsid w:val="00FE61F4"/>
    <w:rsid w:val="00FE6870"/>
    <w:rsid w:val="00FE713E"/>
    <w:rsid w:val="00FE7877"/>
    <w:rsid w:val="00FE7DD1"/>
    <w:rsid w:val="00FF0B4F"/>
    <w:rsid w:val="00FF0F58"/>
    <w:rsid w:val="00FF183C"/>
    <w:rsid w:val="00FF1A06"/>
    <w:rsid w:val="00FF1AD3"/>
    <w:rsid w:val="00FF1B46"/>
    <w:rsid w:val="00FF219D"/>
    <w:rsid w:val="00FF2A7B"/>
    <w:rsid w:val="00FF37A6"/>
    <w:rsid w:val="00FF3D2B"/>
    <w:rsid w:val="00FF49B4"/>
    <w:rsid w:val="00FF49F4"/>
    <w:rsid w:val="00FF5C6A"/>
    <w:rsid w:val="00FF651D"/>
    <w:rsid w:val="00FF6843"/>
    <w:rsid w:val="00FF6C25"/>
    <w:rsid w:val="010651D9"/>
    <w:rsid w:val="011F6449"/>
    <w:rsid w:val="01236AFB"/>
    <w:rsid w:val="012C53D9"/>
    <w:rsid w:val="015500B5"/>
    <w:rsid w:val="019F7441"/>
    <w:rsid w:val="01A762B4"/>
    <w:rsid w:val="01AB7F7F"/>
    <w:rsid w:val="01B132CA"/>
    <w:rsid w:val="01B37585"/>
    <w:rsid w:val="01D55165"/>
    <w:rsid w:val="01D90D48"/>
    <w:rsid w:val="01DF6BF8"/>
    <w:rsid w:val="01E32176"/>
    <w:rsid w:val="01EC2C57"/>
    <w:rsid w:val="01F64C03"/>
    <w:rsid w:val="025F0711"/>
    <w:rsid w:val="026B2E25"/>
    <w:rsid w:val="02824D4D"/>
    <w:rsid w:val="02D432A2"/>
    <w:rsid w:val="02DC4B10"/>
    <w:rsid w:val="02DD76CE"/>
    <w:rsid w:val="02F36323"/>
    <w:rsid w:val="02F5619C"/>
    <w:rsid w:val="031B15A7"/>
    <w:rsid w:val="0326446A"/>
    <w:rsid w:val="03280EF8"/>
    <w:rsid w:val="032D5555"/>
    <w:rsid w:val="03490CF6"/>
    <w:rsid w:val="035F4B52"/>
    <w:rsid w:val="036634D2"/>
    <w:rsid w:val="03667EC9"/>
    <w:rsid w:val="037B10A2"/>
    <w:rsid w:val="03AB4F52"/>
    <w:rsid w:val="03DD35E4"/>
    <w:rsid w:val="04076900"/>
    <w:rsid w:val="041A5A3B"/>
    <w:rsid w:val="042311BA"/>
    <w:rsid w:val="042B157A"/>
    <w:rsid w:val="04390779"/>
    <w:rsid w:val="04635FDA"/>
    <w:rsid w:val="04763EE5"/>
    <w:rsid w:val="048F763B"/>
    <w:rsid w:val="049F330E"/>
    <w:rsid w:val="04AA775C"/>
    <w:rsid w:val="04AF1889"/>
    <w:rsid w:val="04F66F48"/>
    <w:rsid w:val="05251E14"/>
    <w:rsid w:val="0543026B"/>
    <w:rsid w:val="0555250D"/>
    <w:rsid w:val="059943D9"/>
    <w:rsid w:val="05A16594"/>
    <w:rsid w:val="05A7762D"/>
    <w:rsid w:val="05AE72FD"/>
    <w:rsid w:val="05EF184B"/>
    <w:rsid w:val="05FC3F93"/>
    <w:rsid w:val="060B66D9"/>
    <w:rsid w:val="060E5941"/>
    <w:rsid w:val="06110FAF"/>
    <w:rsid w:val="06493CA7"/>
    <w:rsid w:val="065A6178"/>
    <w:rsid w:val="066270F6"/>
    <w:rsid w:val="066F1CF3"/>
    <w:rsid w:val="06930BB8"/>
    <w:rsid w:val="06C07F8B"/>
    <w:rsid w:val="06CB676A"/>
    <w:rsid w:val="06F723B4"/>
    <w:rsid w:val="07245D42"/>
    <w:rsid w:val="07264C62"/>
    <w:rsid w:val="075975A3"/>
    <w:rsid w:val="075A4E04"/>
    <w:rsid w:val="0779354C"/>
    <w:rsid w:val="077C4500"/>
    <w:rsid w:val="079E05FF"/>
    <w:rsid w:val="07AB4CD3"/>
    <w:rsid w:val="07B2797B"/>
    <w:rsid w:val="07B92A66"/>
    <w:rsid w:val="07C6271A"/>
    <w:rsid w:val="07FA37DB"/>
    <w:rsid w:val="08061376"/>
    <w:rsid w:val="080A0B4A"/>
    <w:rsid w:val="08215DC4"/>
    <w:rsid w:val="083D4CC5"/>
    <w:rsid w:val="08452D77"/>
    <w:rsid w:val="086401F8"/>
    <w:rsid w:val="08684FBA"/>
    <w:rsid w:val="08751CAA"/>
    <w:rsid w:val="087E4C40"/>
    <w:rsid w:val="088843E9"/>
    <w:rsid w:val="089358D7"/>
    <w:rsid w:val="08A30982"/>
    <w:rsid w:val="08A871D0"/>
    <w:rsid w:val="08A90788"/>
    <w:rsid w:val="08AB4361"/>
    <w:rsid w:val="08C6216B"/>
    <w:rsid w:val="08C711B3"/>
    <w:rsid w:val="08D66AD6"/>
    <w:rsid w:val="08DA33A3"/>
    <w:rsid w:val="08E3087D"/>
    <w:rsid w:val="08E80F13"/>
    <w:rsid w:val="09335624"/>
    <w:rsid w:val="09404AE5"/>
    <w:rsid w:val="09424A95"/>
    <w:rsid w:val="0944690F"/>
    <w:rsid w:val="09535675"/>
    <w:rsid w:val="095B487D"/>
    <w:rsid w:val="095F057D"/>
    <w:rsid w:val="09642282"/>
    <w:rsid w:val="09733572"/>
    <w:rsid w:val="09772C16"/>
    <w:rsid w:val="098353B5"/>
    <w:rsid w:val="09A92330"/>
    <w:rsid w:val="09B06B87"/>
    <w:rsid w:val="09C13146"/>
    <w:rsid w:val="09E04166"/>
    <w:rsid w:val="09E3541C"/>
    <w:rsid w:val="0A1C0718"/>
    <w:rsid w:val="0A27015B"/>
    <w:rsid w:val="0A3E7710"/>
    <w:rsid w:val="0A5B7E63"/>
    <w:rsid w:val="0A93177F"/>
    <w:rsid w:val="0A96708F"/>
    <w:rsid w:val="0AA374A5"/>
    <w:rsid w:val="0AA51080"/>
    <w:rsid w:val="0AAB7649"/>
    <w:rsid w:val="0ABC5606"/>
    <w:rsid w:val="0ACA6D38"/>
    <w:rsid w:val="0ADA6B55"/>
    <w:rsid w:val="0AEF3838"/>
    <w:rsid w:val="0B30404E"/>
    <w:rsid w:val="0B3D1B83"/>
    <w:rsid w:val="0B4C6C14"/>
    <w:rsid w:val="0B524089"/>
    <w:rsid w:val="0B547599"/>
    <w:rsid w:val="0B631A88"/>
    <w:rsid w:val="0B683D45"/>
    <w:rsid w:val="0B7F3F11"/>
    <w:rsid w:val="0B845A87"/>
    <w:rsid w:val="0B870F04"/>
    <w:rsid w:val="0B884417"/>
    <w:rsid w:val="0BC110EC"/>
    <w:rsid w:val="0BE26D39"/>
    <w:rsid w:val="0BF6188C"/>
    <w:rsid w:val="0BF73C91"/>
    <w:rsid w:val="0C170175"/>
    <w:rsid w:val="0C3A46E4"/>
    <w:rsid w:val="0C3C0BEA"/>
    <w:rsid w:val="0C4F1BEB"/>
    <w:rsid w:val="0C571A41"/>
    <w:rsid w:val="0C5C1171"/>
    <w:rsid w:val="0C5E1CBC"/>
    <w:rsid w:val="0C615B50"/>
    <w:rsid w:val="0C6E3A87"/>
    <w:rsid w:val="0C8445DA"/>
    <w:rsid w:val="0C87121B"/>
    <w:rsid w:val="0CAB4338"/>
    <w:rsid w:val="0CC007F7"/>
    <w:rsid w:val="0CC56A07"/>
    <w:rsid w:val="0CC617AC"/>
    <w:rsid w:val="0CCF638E"/>
    <w:rsid w:val="0CD520F0"/>
    <w:rsid w:val="0CE618DF"/>
    <w:rsid w:val="0CFE707A"/>
    <w:rsid w:val="0D063BDA"/>
    <w:rsid w:val="0D08375F"/>
    <w:rsid w:val="0D10044E"/>
    <w:rsid w:val="0D184CFB"/>
    <w:rsid w:val="0D424783"/>
    <w:rsid w:val="0D4A7419"/>
    <w:rsid w:val="0D827401"/>
    <w:rsid w:val="0D84094E"/>
    <w:rsid w:val="0D8A00E9"/>
    <w:rsid w:val="0D8B0A01"/>
    <w:rsid w:val="0D8D589E"/>
    <w:rsid w:val="0DA01C73"/>
    <w:rsid w:val="0DD3176D"/>
    <w:rsid w:val="0DD63300"/>
    <w:rsid w:val="0DE52ADA"/>
    <w:rsid w:val="0DF50604"/>
    <w:rsid w:val="0DF52695"/>
    <w:rsid w:val="0DF702FE"/>
    <w:rsid w:val="0E060E51"/>
    <w:rsid w:val="0E305253"/>
    <w:rsid w:val="0E5604B2"/>
    <w:rsid w:val="0E592082"/>
    <w:rsid w:val="0E5A1925"/>
    <w:rsid w:val="0E6D5D79"/>
    <w:rsid w:val="0E797FB3"/>
    <w:rsid w:val="0E9D0089"/>
    <w:rsid w:val="0EB803EE"/>
    <w:rsid w:val="0EEF3211"/>
    <w:rsid w:val="0EF94D4B"/>
    <w:rsid w:val="0F0A56F6"/>
    <w:rsid w:val="0F2C0ADA"/>
    <w:rsid w:val="0F4958DC"/>
    <w:rsid w:val="0F515DF7"/>
    <w:rsid w:val="0F596BA8"/>
    <w:rsid w:val="0F6248D2"/>
    <w:rsid w:val="0F693536"/>
    <w:rsid w:val="0F713C26"/>
    <w:rsid w:val="0F7B0511"/>
    <w:rsid w:val="0F7B76D9"/>
    <w:rsid w:val="0F816ACD"/>
    <w:rsid w:val="0F8D6FE2"/>
    <w:rsid w:val="0F9832DB"/>
    <w:rsid w:val="0FA83B24"/>
    <w:rsid w:val="0FA9345E"/>
    <w:rsid w:val="0FBF3FD2"/>
    <w:rsid w:val="0FBF7FF3"/>
    <w:rsid w:val="0FFE087C"/>
    <w:rsid w:val="1021389E"/>
    <w:rsid w:val="102A657A"/>
    <w:rsid w:val="10432CBF"/>
    <w:rsid w:val="10551EEC"/>
    <w:rsid w:val="10646583"/>
    <w:rsid w:val="10675CF0"/>
    <w:rsid w:val="107D4B15"/>
    <w:rsid w:val="108A3C80"/>
    <w:rsid w:val="10C26171"/>
    <w:rsid w:val="10F33360"/>
    <w:rsid w:val="10FC16EA"/>
    <w:rsid w:val="10FC49BC"/>
    <w:rsid w:val="10FD7E68"/>
    <w:rsid w:val="110C3C07"/>
    <w:rsid w:val="110F1D40"/>
    <w:rsid w:val="11266F33"/>
    <w:rsid w:val="113D2012"/>
    <w:rsid w:val="11477335"/>
    <w:rsid w:val="118963A1"/>
    <w:rsid w:val="11C6522A"/>
    <w:rsid w:val="11DF1414"/>
    <w:rsid w:val="11E104CC"/>
    <w:rsid w:val="11E16675"/>
    <w:rsid w:val="11E20309"/>
    <w:rsid w:val="12255233"/>
    <w:rsid w:val="12441F0C"/>
    <w:rsid w:val="12530213"/>
    <w:rsid w:val="127723A9"/>
    <w:rsid w:val="12862074"/>
    <w:rsid w:val="12883966"/>
    <w:rsid w:val="128E7A56"/>
    <w:rsid w:val="129E45B4"/>
    <w:rsid w:val="12B03CB9"/>
    <w:rsid w:val="12D81596"/>
    <w:rsid w:val="13072A44"/>
    <w:rsid w:val="1319260B"/>
    <w:rsid w:val="131B6383"/>
    <w:rsid w:val="131F09FC"/>
    <w:rsid w:val="13455873"/>
    <w:rsid w:val="134E3139"/>
    <w:rsid w:val="135F4BE2"/>
    <w:rsid w:val="137E6912"/>
    <w:rsid w:val="139B1A0A"/>
    <w:rsid w:val="139D25C7"/>
    <w:rsid w:val="13BF3CE4"/>
    <w:rsid w:val="13C70351"/>
    <w:rsid w:val="13F552E3"/>
    <w:rsid w:val="141008D8"/>
    <w:rsid w:val="14125FE6"/>
    <w:rsid w:val="14157E11"/>
    <w:rsid w:val="1424570B"/>
    <w:rsid w:val="146D271E"/>
    <w:rsid w:val="14982588"/>
    <w:rsid w:val="149A5AD9"/>
    <w:rsid w:val="14A46180"/>
    <w:rsid w:val="14A7619D"/>
    <w:rsid w:val="14BA1BCC"/>
    <w:rsid w:val="14CE518C"/>
    <w:rsid w:val="150536C3"/>
    <w:rsid w:val="150C1963"/>
    <w:rsid w:val="151447A0"/>
    <w:rsid w:val="15160B0F"/>
    <w:rsid w:val="154A6454"/>
    <w:rsid w:val="156C55BC"/>
    <w:rsid w:val="15762120"/>
    <w:rsid w:val="157B6F93"/>
    <w:rsid w:val="15805090"/>
    <w:rsid w:val="158B65C1"/>
    <w:rsid w:val="15EA7271"/>
    <w:rsid w:val="165B472F"/>
    <w:rsid w:val="166E7112"/>
    <w:rsid w:val="16791B72"/>
    <w:rsid w:val="16A8729C"/>
    <w:rsid w:val="16AD1B1F"/>
    <w:rsid w:val="16B33777"/>
    <w:rsid w:val="16BC70A7"/>
    <w:rsid w:val="16C6339E"/>
    <w:rsid w:val="16D621CD"/>
    <w:rsid w:val="17240A09"/>
    <w:rsid w:val="172F2D79"/>
    <w:rsid w:val="1741154E"/>
    <w:rsid w:val="174B111B"/>
    <w:rsid w:val="17557BEF"/>
    <w:rsid w:val="17946704"/>
    <w:rsid w:val="17CF1E32"/>
    <w:rsid w:val="17D349C1"/>
    <w:rsid w:val="18027B0E"/>
    <w:rsid w:val="180E295A"/>
    <w:rsid w:val="1830729E"/>
    <w:rsid w:val="183A7B11"/>
    <w:rsid w:val="18657636"/>
    <w:rsid w:val="1870062C"/>
    <w:rsid w:val="18817102"/>
    <w:rsid w:val="18830A15"/>
    <w:rsid w:val="18852B28"/>
    <w:rsid w:val="18883245"/>
    <w:rsid w:val="188B5321"/>
    <w:rsid w:val="18A96C1E"/>
    <w:rsid w:val="18F31A2D"/>
    <w:rsid w:val="19642480"/>
    <w:rsid w:val="197B1AD1"/>
    <w:rsid w:val="19932372"/>
    <w:rsid w:val="19A20DD5"/>
    <w:rsid w:val="19AE03F1"/>
    <w:rsid w:val="19B74EE4"/>
    <w:rsid w:val="1A071A03"/>
    <w:rsid w:val="1A0A11CB"/>
    <w:rsid w:val="1A1F16AE"/>
    <w:rsid w:val="1A3B5C77"/>
    <w:rsid w:val="1A613431"/>
    <w:rsid w:val="1A710F7F"/>
    <w:rsid w:val="1A984BAD"/>
    <w:rsid w:val="1AAB4D8E"/>
    <w:rsid w:val="1AB8220E"/>
    <w:rsid w:val="1AE4166C"/>
    <w:rsid w:val="1AF06CFB"/>
    <w:rsid w:val="1AF11B8D"/>
    <w:rsid w:val="1B067335"/>
    <w:rsid w:val="1B11359C"/>
    <w:rsid w:val="1B2A271F"/>
    <w:rsid w:val="1B530544"/>
    <w:rsid w:val="1B713184"/>
    <w:rsid w:val="1BA209CF"/>
    <w:rsid w:val="1BB4777D"/>
    <w:rsid w:val="1BD75AB8"/>
    <w:rsid w:val="1C0459C2"/>
    <w:rsid w:val="1C1B3B4A"/>
    <w:rsid w:val="1C1E7797"/>
    <w:rsid w:val="1C2C7853"/>
    <w:rsid w:val="1C88086E"/>
    <w:rsid w:val="1CC21F65"/>
    <w:rsid w:val="1CCE7662"/>
    <w:rsid w:val="1CEB14BC"/>
    <w:rsid w:val="1D2220FF"/>
    <w:rsid w:val="1D266CE1"/>
    <w:rsid w:val="1D2A2EDE"/>
    <w:rsid w:val="1D2D3883"/>
    <w:rsid w:val="1D320E8A"/>
    <w:rsid w:val="1D3963AF"/>
    <w:rsid w:val="1D544852"/>
    <w:rsid w:val="1D6A673C"/>
    <w:rsid w:val="1D9247AE"/>
    <w:rsid w:val="1DAD4E95"/>
    <w:rsid w:val="1DB567EC"/>
    <w:rsid w:val="1DDC2709"/>
    <w:rsid w:val="1DE407D1"/>
    <w:rsid w:val="1DEC67F3"/>
    <w:rsid w:val="1DF51A98"/>
    <w:rsid w:val="1E3D060F"/>
    <w:rsid w:val="1E3F7D2E"/>
    <w:rsid w:val="1E4134E4"/>
    <w:rsid w:val="1E4210A3"/>
    <w:rsid w:val="1E5062B3"/>
    <w:rsid w:val="1E523514"/>
    <w:rsid w:val="1E714A66"/>
    <w:rsid w:val="1E802593"/>
    <w:rsid w:val="1E876FC3"/>
    <w:rsid w:val="1E8B6156"/>
    <w:rsid w:val="1EA119A8"/>
    <w:rsid w:val="1EA2204E"/>
    <w:rsid w:val="1EA41923"/>
    <w:rsid w:val="1EA703CC"/>
    <w:rsid w:val="1EB60B1E"/>
    <w:rsid w:val="1EB7330C"/>
    <w:rsid w:val="1ED86D4C"/>
    <w:rsid w:val="1F0A0FF3"/>
    <w:rsid w:val="1F4B4010"/>
    <w:rsid w:val="1F5771FF"/>
    <w:rsid w:val="1F813A12"/>
    <w:rsid w:val="1FD1216D"/>
    <w:rsid w:val="1FD52DD5"/>
    <w:rsid w:val="1FE868A9"/>
    <w:rsid w:val="1FEB532F"/>
    <w:rsid w:val="20034907"/>
    <w:rsid w:val="20173E4B"/>
    <w:rsid w:val="20476A09"/>
    <w:rsid w:val="204E48BC"/>
    <w:rsid w:val="208921B3"/>
    <w:rsid w:val="20973DEB"/>
    <w:rsid w:val="20B26522"/>
    <w:rsid w:val="20B44310"/>
    <w:rsid w:val="20F052F3"/>
    <w:rsid w:val="210A2D72"/>
    <w:rsid w:val="211116EB"/>
    <w:rsid w:val="215F0F70"/>
    <w:rsid w:val="216133FC"/>
    <w:rsid w:val="217961F5"/>
    <w:rsid w:val="21D56769"/>
    <w:rsid w:val="21E16804"/>
    <w:rsid w:val="21E52EF3"/>
    <w:rsid w:val="21FB5D7B"/>
    <w:rsid w:val="21FC1A76"/>
    <w:rsid w:val="22015E94"/>
    <w:rsid w:val="22031056"/>
    <w:rsid w:val="220B1C3D"/>
    <w:rsid w:val="221D1D20"/>
    <w:rsid w:val="22334A87"/>
    <w:rsid w:val="22496CD1"/>
    <w:rsid w:val="22BE6801"/>
    <w:rsid w:val="233500BF"/>
    <w:rsid w:val="23377FF7"/>
    <w:rsid w:val="233D62F5"/>
    <w:rsid w:val="235B12F7"/>
    <w:rsid w:val="23631611"/>
    <w:rsid w:val="236B425F"/>
    <w:rsid w:val="236C182F"/>
    <w:rsid w:val="23836192"/>
    <w:rsid w:val="23901F29"/>
    <w:rsid w:val="239C0061"/>
    <w:rsid w:val="23B908A4"/>
    <w:rsid w:val="23BF004B"/>
    <w:rsid w:val="23E95BEF"/>
    <w:rsid w:val="23FD0064"/>
    <w:rsid w:val="245375B0"/>
    <w:rsid w:val="24642C0A"/>
    <w:rsid w:val="249206AE"/>
    <w:rsid w:val="24B22173"/>
    <w:rsid w:val="24B95AD9"/>
    <w:rsid w:val="24BE24DA"/>
    <w:rsid w:val="24CF5825"/>
    <w:rsid w:val="24D440FD"/>
    <w:rsid w:val="24D663E6"/>
    <w:rsid w:val="24D77F2B"/>
    <w:rsid w:val="24DF526F"/>
    <w:rsid w:val="24E54B9D"/>
    <w:rsid w:val="25266621"/>
    <w:rsid w:val="255E401A"/>
    <w:rsid w:val="258567C1"/>
    <w:rsid w:val="258B00E2"/>
    <w:rsid w:val="25973F8F"/>
    <w:rsid w:val="25A917A6"/>
    <w:rsid w:val="25BE27CC"/>
    <w:rsid w:val="25C11AE8"/>
    <w:rsid w:val="25F74A5C"/>
    <w:rsid w:val="2628662C"/>
    <w:rsid w:val="262D45DE"/>
    <w:rsid w:val="266556D2"/>
    <w:rsid w:val="26871DC8"/>
    <w:rsid w:val="26A53EF9"/>
    <w:rsid w:val="26A94201"/>
    <w:rsid w:val="26AC274F"/>
    <w:rsid w:val="26AF355A"/>
    <w:rsid w:val="26D80CCA"/>
    <w:rsid w:val="27044A29"/>
    <w:rsid w:val="271D34C8"/>
    <w:rsid w:val="273A48D6"/>
    <w:rsid w:val="276142BF"/>
    <w:rsid w:val="276744E7"/>
    <w:rsid w:val="27783712"/>
    <w:rsid w:val="277F1219"/>
    <w:rsid w:val="27907362"/>
    <w:rsid w:val="279D5996"/>
    <w:rsid w:val="27BA5A91"/>
    <w:rsid w:val="27C918A8"/>
    <w:rsid w:val="27CD2FC0"/>
    <w:rsid w:val="27F541BC"/>
    <w:rsid w:val="281E2337"/>
    <w:rsid w:val="28333E1D"/>
    <w:rsid w:val="28432A8E"/>
    <w:rsid w:val="28454BD6"/>
    <w:rsid w:val="28455253"/>
    <w:rsid w:val="28551971"/>
    <w:rsid w:val="285B1C53"/>
    <w:rsid w:val="287700A8"/>
    <w:rsid w:val="287B004F"/>
    <w:rsid w:val="289F7086"/>
    <w:rsid w:val="28BE1F7F"/>
    <w:rsid w:val="28C32028"/>
    <w:rsid w:val="28CC490F"/>
    <w:rsid w:val="28DE40AA"/>
    <w:rsid w:val="291027DE"/>
    <w:rsid w:val="29345E77"/>
    <w:rsid w:val="294C65AD"/>
    <w:rsid w:val="29806583"/>
    <w:rsid w:val="298B3C4C"/>
    <w:rsid w:val="298C373E"/>
    <w:rsid w:val="29B8744D"/>
    <w:rsid w:val="29D81A29"/>
    <w:rsid w:val="29E67293"/>
    <w:rsid w:val="29ED1203"/>
    <w:rsid w:val="29F26D24"/>
    <w:rsid w:val="2A082BA9"/>
    <w:rsid w:val="2A15033F"/>
    <w:rsid w:val="2A1662C1"/>
    <w:rsid w:val="2A1C7367"/>
    <w:rsid w:val="2A2815FA"/>
    <w:rsid w:val="2A32168C"/>
    <w:rsid w:val="2A337636"/>
    <w:rsid w:val="2A5F1650"/>
    <w:rsid w:val="2A6D6092"/>
    <w:rsid w:val="2A7D76B4"/>
    <w:rsid w:val="2AB977D8"/>
    <w:rsid w:val="2AE412F9"/>
    <w:rsid w:val="2B437463"/>
    <w:rsid w:val="2B6846EB"/>
    <w:rsid w:val="2B6B087F"/>
    <w:rsid w:val="2B7807EE"/>
    <w:rsid w:val="2B911F81"/>
    <w:rsid w:val="2BA50BF7"/>
    <w:rsid w:val="2BAB4A35"/>
    <w:rsid w:val="2BBD04C8"/>
    <w:rsid w:val="2BBF00EC"/>
    <w:rsid w:val="2BC37CFD"/>
    <w:rsid w:val="2BCA4F24"/>
    <w:rsid w:val="2BD5237F"/>
    <w:rsid w:val="2BE536CE"/>
    <w:rsid w:val="2BE758D9"/>
    <w:rsid w:val="2C09049E"/>
    <w:rsid w:val="2C0A653C"/>
    <w:rsid w:val="2C107FEF"/>
    <w:rsid w:val="2C191F85"/>
    <w:rsid w:val="2C2B3683"/>
    <w:rsid w:val="2C5D55C7"/>
    <w:rsid w:val="2C756583"/>
    <w:rsid w:val="2C7566AC"/>
    <w:rsid w:val="2CE82D6F"/>
    <w:rsid w:val="2CF6057D"/>
    <w:rsid w:val="2D0B2319"/>
    <w:rsid w:val="2D2A56E9"/>
    <w:rsid w:val="2D320A41"/>
    <w:rsid w:val="2D343236"/>
    <w:rsid w:val="2D5C23F2"/>
    <w:rsid w:val="2DD15014"/>
    <w:rsid w:val="2DF72DE4"/>
    <w:rsid w:val="2E0220AF"/>
    <w:rsid w:val="2E4B082A"/>
    <w:rsid w:val="2E544308"/>
    <w:rsid w:val="2E5D4E86"/>
    <w:rsid w:val="2E5D790B"/>
    <w:rsid w:val="2E634A3F"/>
    <w:rsid w:val="2E642E7C"/>
    <w:rsid w:val="2E9A3C18"/>
    <w:rsid w:val="2EAE0CD0"/>
    <w:rsid w:val="2EBB0FEE"/>
    <w:rsid w:val="2EC07735"/>
    <w:rsid w:val="2EC546AB"/>
    <w:rsid w:val="2EC63002"/>
    <w:rsid w:val="2EF37D5C"/>
    <w:rsid w:val="2F0A6B38"/>
    <w:rsid w:val="2F464330"/>
    <w:rsid w:val="2F70282D"/>
    <w:rsid w:val="2F8462B2"/>
    <w:rsid w:val="2F8F3A77"/>
    <w:rsid w:val="2F946238"/>
    <w:rsid w:val="2F946CCB"/>
    <w:rsid w:val="2FD25781"/>
    <w:rsid w:val="2FD46BA9"/>
    <w:rsid w:val="2FDC745C"/>
    <w:rsid w:val="2FEA6A1A"/>
    <w:rsid w:val="2FF73CD3"/>
    <w:rsid w:val="2FFD7934"/>
    <w:rsid w:val="300246FB"/>
    <w:rsid w:val="30254242"/>
    <w:rsid w:val="30733ACD"/>
    <w:rsid w:val="308C3862"/>
    <w:rsid w:val="309379D8"/>
    <w:rsid w:val="30A270F7"/>
    <w:rsid w:val="30DF1478"/>
    <w:rsid w:val="30EC586F"/>
    <w:rsid w:val="30FA1876"/>
    <w:rsid w:val="31010F56"/>
    <w:rsid w:val="314550B7"/>
    <w:rsid w:val="31644BD5"/>
    <w:rsid w:val="31692558"/>
    <w:rsid w:val="317C35BE"/>
    <w:rsid w:val="319C6071"/>
    <w:rsid w:val="319D4C6E"/>
    <w:rsid w:val="31AC537E"/>
    <w:rsid w:val="31B22151"/>
    <w:rsid w:val="31E3679B"/>
    <w:rsid w:val="31E732FD"/>
    <w:rsid w:val="32517576"/>
    <w:rsid w:val="32BE5C2C"/>
    <w:rsid w:val="32FB6478"/>
    <w:rsid w:val="33073BCA"/>
    <w:rsid w:val="33263B3F"/>
    <w:rsid w:val="33446D62"/>
    <w:rsid w:val="336963EB"/>
    <w:rsid w:val="33816EEB"/>
    <w:rsid w:val="33C7653D"/>
    <w:rsid w:val="33D47F63"/>
    <w:rsid w:val="33EB55CD"/>
    <w:rsid w:val="33EC4C02"/>
    <w:rsid w:val="33FE6DB1"/>
    <w:rsid w:val="340D2360"/>
    <w:rsid w:val="3410665D"/>
    <w:rsid w:val="34211214"/>
    <w:rsid w:val="342E63AB"/>
    <w:rsid w:val="34533DC1"/>
    <w:rsid w:val="347E24DC"/>
    <w:rsid w:val="34950E68"/>
    <w:rsid w:val="34986E94"/>
    <w:rsid w:val="34AF62C9"/>
    <w:rsid w:val="34B86AC1"/>
    <w:rsid w:val="34C44320"/>
    <w:rsid w:val="34CB4388"/>
    <w:rsid w:val="34EC3BCC"/>
    <w:rsid w:val="34EF0FC6"/>
    <w:rsid w:val="34FA6E12"/>
    <w:rsid w:val="350157B8"/>
    <w:rsid w:val="35457E70"/>
    <w:rsid w:val="354D7158"/>
    <w:rsid w:val="357839D6"/>
    <w:rsid w:val="358D5588"/>
    <w:rsid w:val="35972EC8"/>
    <w:rsid w:val="359F381B"/>
    <w:rsid w:val="360B74E4"/>
    <w:rsid w:val="362473F4"/>
    <w:rsid w:val="363A3B40"/>
    <w:rsid w:val="36450F4C"/>
    <w:rsid w:val="365302AE"/>
    <w:rsid w:val="36607A0A"/>
    <w:rsid w:val="366C4FC4"/>
    <w:rsid w:val="366E227C"/>
    <w:rsid w:val="366F2E0D"/>
    <w:rsid w:val="367B6A5C"/>
    <w:rsid w:val="36A74ADA"/>
    <w:rsid w:val="36AD60D5"/>
    <w:rsid w:val="36B224F9"/>
    <w:rsid w:val="36BF43C9"/>
    <w:rsid w:val="36D5C0F6"/>
    <w:rsid w:val="36EC0CC9"/>
    <w:rsid w:val="36F27A2D"/>
    <w:rsid w:val="36F54252"/>
    <w:rsid w:val="36F6277F"/>
    <w:rsid w:val="373F410B"/>
    <w:rsid w:val="37725D22"/>
    <w:rsid w:val="3790548B"/>
    <w:rsid w:val="37A7484A"/>
    <w:rsid w:val="37CB5D1A"/>
    <w:rsid w:val="37E45112"/>
    <w:rsid w:val="37EE7094"/>
    <w:rsid w:val="37FF5330"/>
    <w:rsid w:val="38047663"/>
    <w:rsid w:val="380B0AF8"/>
    <w:rsid w:val="38296C89"/>
    <w:rsid w:val="383002EB"/>
    <w:rsid w:val="38586797"/>
    <w:rsid w:val="38740160"/>
    <w:rsid w:val="38BC0149"/>
    <w:rsid w:val="38C3760F"/>
    <w:rsid w:val="38D87D1C"/>
    <w:rsid w:val="38E30E42"/>
    <w:rsid w:val="38F848ED"/>
    <w:rsid w:val="39636459"/>
    <w:rsid w:val="39671A73"/>
    <w:rsid w:val="396B7F6C"/>
    <w:rsid w:val="397C6336"/>
    <w:rsid w:val="39B32692"/>
    <w:rsid w:val="39B417A9"/>
    <w:rsid w:val="39C17AE2"/>
    <w:rsid w:val="39DE7F87"/>
    <w:rsid w:val="39FC5695"/>
    <w:rsid w:val="3A006D8E"/>
    <w:rsid w:val="3A3651E5"/>
    <w:rsid w:val="3A744481"/>
    <w:rsid w:val="3A886145"/>
    <w:rsid w:val="3A8C7BEF"/>
    <w:rsid w:val="3A906246"/>
    <w:rsid w:val="3A985CA7"/>
    <w:rsid w:val="3AA931EF"/>
    <w:rsid w:val="3AB046DF"/>
    <w:rsid w:val="3AB605BC"/>
    <w:rsid w:val="3AD25E86"/>
    <w:rsid w:val="3AF15A98"/>
    <w:rsid w:val="3B015387"/>
    <w:rsid w:val="3B2349B7"/>
    <w:rsid w:val="3B616CFF"/>
    <w:rsid w:val="3B6259F6"/>
    <w:rsid w:val="3B8A701F"/>
    <w:rsid w:val="3B976654"/>
    <w:rsid w:val="3BC01EFC"/>
    <w:rsid w:val="3BC606B6"/>
    <w:rsid w:val="3BCA786A"/>
    <w:rsid w:val="3BD31E2F"/>
    <w:rsid w:val="3BF15831"/>
    <w:rsid w:val="3C0E57F9"/>
    <w:rsid w:val="3C105946"/>
    <w:rsid w:val="3C2821EE"/>
    <w:rsid w:val="3C471448"/>
    <w:rsid w:val="3C5F759A"/>
    <w:rsid w:val="3C6C525A"/>
    <w:rsid w:val="3C740137"/>
    <w:rsid w:val="3C831E89"/>
    <w:rsid w:val="3CCE23CB"/>
    <w:rsid w:val="3CD17D17"/>
    <w:rsid w:val="3CD613E9"/>
    <w:rsid w:val="3CDB07AE"/>
    <w:rsid w:val="3D3C7F39"/>
    <w:rsid w:val="3D440F09"/>
    <w:rsid w:val="3D4504A0"/>
    <w:rsid w:val="3D8734BB"/>
    <w:rsid w:val="3D9A11D4"/>
    <w:rsid w:val="3DA16D89"/>
    <w:rsid w:val="3DA364BE"/>
    <w:rsid w:val="3DDA0A65"/>
    <w:rsid w:val="3DDC1B5E"/>
    <w:rsid w:val="3DE041CB"/>
    <w:rsid w:val="3DE73182"/>
    <w:rsid w:val="3E05528C"/>
    <w:rsid w:val="3E0D48F6"/>
    <w:rsid w:val="3E1820B2"/>
    <w:rsid w:val="3E1868B4"/>
    <w:rsid w:val="3E2E0DB1"/>
    <w:rsid w:val="3E377251"/>
    <w:rsid w:val="3E42664B"/>
    <w:rsid w:val="3E5A7334"/>
    <w:rsid w:val="3E7B5D6B"/>
    <w:rsid w:val="3E843E66"/>
    <w:rsid w:val="3E8F51FE"/>
    <w:rsid w:val="3E926F87"/>
    <w:rsid w:val="3E9A59DE"/>
    <w:rsid w:val="3EAF4836"/>
    <w:rsid w:val="3EC33DFA"/>
    <w:rsid w:val="3F060E16"/>
    <w:rsid w:val="3F1D1096"/>
    <w:rsid w:val="3F1E7077"/>
    <w:rsid w:val="3F2F0234"/>
    <w:rsid w:val="3F6363FE"/>
    <w:rsid w:val="3F6A406B"/>
    <w:rsid w:val="3F756B8F"/>
    <w:rsid w:val="3F7D1434"/>
    <w:rsid w:val="3F8C1AB0"/>
    <w:rsid w:val="3F95482B"/>
    <w:rsid w:val="3FB90665"/>
    <w:rsid w:val="3FD6525C"/>
    <w:rsid w:val="3FDF664E"/>
    <w:rsid w:val="3FE07A5D"/>
    <w:rsid w:val="400B79D3"/>
    <w:rsid w:val="4019356B"/>
    <w:rsid w:val="4036291D"/>
    <w:rsid w:val="40592157"/>
    <w:rsid w:val="406E1CAE"/>
    <w:rsid w:val="40715CB6"/>
    <w:rsid w:val="40A0133A"/>
    <w:rsid w:val="40C30D1B"/>
    <w:rsid w:val="40C31A53"/>
    <w:rsid w:val="40EF6587"/>
    <w:rsid w:val="40FF545D"/>
    <w:rsid w:val="410067C8"/>
    <w:rsid w:val="41153D3B"/>
    <w:rsid w:val="413F350F"/>
    <w:rsid w:val="414A150B"/>
    <w:rsid w:val="414B08D8"/>
    <w:rsid w:val="414F2D6D"/>
    <w:rsid w:val="41651C07"/>
    <w:rsid w:val="41691C24"/>
    <w:rsid w:val="416F21FC"/>
    <w:rsid w:val="41847666"/>
    <w:rsid w:val="418D12E3"/>
    <w:rsid w:val="418F0D2A"/>
    <w:rsid w:val="41990C37"/>
    <w:rsid w:val="41D01505"/>
    <w:rsid w:val="42474939"/>
    <w:rsid w:val="424A059B"/>
    <w:rsid w:val="424C3C57"/>
    <w:rsid w:val="425C6A0A"/>
    <w:rsid w:val="42613FF3"/>
    <w:rsid w:val="42660D96"/>
    <w:rsid w:val="428667D2"/>
    <w:rsid w:val="42B5655D"/>
    <w:rsid w:val="42CD1CE0"/>
    <w:rsid w:val="42E1381E"/>
    <w:rsid w:val="42ED6459"/>
    <w:rsid w:val="42FE58DD"/>
    <w:rsid w:val="431542ED"/>
    <w:rsid w:val="43174B3D"/>
    <w:rsid w:val="43480064"/>
    <w:rsid w:val="434B790E"/>
    <w:rsid w:val="4360274F"/>
    <w:rsid w:val="43977AB6"/>
    <w:rsid w:val="43A062AD"/>
    <w:rsid w:val="43A3342B"/>
    <w:rsid w:val="43C77C27"/>
    <w:rsid w:val="43D56927"/>
    <w:rsid w:val="43D8569B"/>
    <w:rsid w:val="43DE09EE"/>
    <w:rsid w:val="43F24FB3"/>
    <w:rsid w:val="44002FAD"/>
    <w:rsid w:val="449101DD"/>
    <w:rsid w:val="44910468"/>
    <w:rsid w:val="44D77AAC"/>
    <w:rsid w:val="44DE1391"/>
    <w:rsid w:val="44EE42A3"/>
    <w:rsid w:val="451B225C"/>
    <w:rsid w:val="452410C9"/>
    <w:rsid w:val="45317DFB"/>
    <w:rsid w:val="455B1FEF"/>
    <w:rsid w:val="456D3CE4"/>
    <w:rsid w:val="4579042C"/>
    <w:rsid w:val="457F0571"/>
    <w:rsid w:val="45850B43"/>
    <w:rsid w:val="45851176"/>
    <w:rsid w:val="45A75DAB"/>
    <w:rsid w:val="45C63B94"/>
    <w:rsid w:val="460610A6"/>
    <w:rsid w:val="4606742E"/>
    <w:rsid w:val="460E7DA5"/>
    <w:rsid w:val="461D32A5"/>
    <w:rsid w:val="46395C97"/>
    <w:rsid w:val="46422483"/>
    <w:rsid w:val="4659254A"/>
    <w:rsid w:val="465B0637"/>
    <w:rsid w:val="465E3F0D"/>
    <w:rsid w:val="465F78B2"/>
    <w:rsid w:val="4667714E"/>
    <w:rsid w:val="466A16E6"/>
    <w:rsid w:val="466C0A32"/>
    <w:rsid w:val="467D0B27"/>
    <w:rsid w:val="46893F2B"/>
    <w:rsid w:val="46944FF8"/>
    <w:rsid w:val="46C4686E"/>
    <w:rsid w:val="47653A95"/>
    <w:rsid w:val="477B778F"/>
    <w:rsid w:val="478203EC"/>
    <w:rsid w:val="47B025FA"/>
    <w:rsid w:val="4809698F"/>
    <w:rsid w:val="4811697D"/>
    <w:rsid w:val="48290E80"/>
    <w:rsid w:val="487A3E25"/>
    <w:rsid w:val="488B5503"/>
    <w:rsid w:val="48937E21"/>
    <w:rsid w:val="489A0361"/>
    <w:rsid w:val="48B94FF3"/>
    <w:rsid w:val="48D15504"/>
    <w:rsid w:val="48D367DD"/>
    <w:rsid w:val="48E1273E"/>
    <w:rsid w:val="48E37AAB"/>
    <w:rsid w:val="48FD4B4C"/>
    <w:rsid w:val="490A68E0"/>
    <w:rsid w:val="491055FE"/>
    <w:rsid w:val="49290AF3"/>
    <w:rsid w:val="495F5B3E"/>
    <w:rsid w:val="496F77D7"/>
    <w:rsid w:val="497654FD"/>
    <w:rsid w:val="49B64211"/>
    <w:rsid w:val="49E56AF9"/>
    <w:rsid w:val="49F6167F"/>
    <w:rsid w:val="4A064FA0"/>
    <w:rsid w:val="4A16615C"/>
    <w:rsid w:val="4A4424D7"/>
    <w:rsid w:val="4A4B7C00"/>
    <w:rsid w:val="4AB82D0F"/>
    <w:rsid w:val="4AC53A65"/>
    <w:rsid w:val="4AE26CB4"/>
    <w:rsid w:val="4AEB7664"/>
    <w:rsid w:val="4AFD7C19"/>
    <w:rsid w:val="4B0567D1"/>
    <w:rsid w:val="4B236AAE"/>
    <w:rsid w:val="4B27210C"/>
    <w:rsid w:val="4B3D6AD7"/>
    <w:rsid w:val="4B604175"/>
    <w:rsid w:val="4B6D2F19"/>
    <w:rsid w:val="4B707271"/>
    <w:rsid w:val="4B714F80"/>
    <w:rsid w:val="4B9739F7"/>
    <w:rsid w:val="4B9D30D2"/>
    <w:rsid w:val="4BCA1FA1"/>
    <w:rsid w:val="4BD44D46"/>
    <w:rsid w:val="4BE4227E"/>
    <w:rsid w:val="4BEE2503"/>
    <w:rsid w:val="4C245A30"/>
    <w:rsid w:val="4C832163"/>
    <w:rsid w:val="4CA67E6E"/>
    <w:rsid w:val="4CB324CA"/>
    <w:rsid w:val="4CB6685F"/>
    <w:rsid w:val="4CC367FE"/>
    <w:rsid w:val="4D077F3C"/>
    <w:rsid w:val="4D0D711C"/>
    <w:rsid w:val="4D123355"/>
    <w:rsid w:val="4D20577B"/>
    <w:rsid w:val="4D27266D"/>
    <w:rsid w:val="4D2A3B31"/>
    <w:rsid w:val="4D312C52"/>
    <w:rsid w:val="4D4B0A94"/>
    <w:rsid w:val="4D563F36"/>
    <w:rsid w:val="4D630F57"/>
    <w:rsid w:val="4D652511"/>
    <w:rsid w:val="4D905305"/>
    <w:rsid w:val="4D964A72"/>
    <w:rsid w:val="4D9C1254"/>
    <w:rsid w:val="4DBB394A"/>
    <w:rsid w:val="4DC96400"/>
    <w:rsid w:val="4DDC6134"/>
    <w:rsid w:val="4DFC75EE"/>
    <w:rsid w:val="4E543076"/>
    <w:rsid w:val="4E6C1FEA"/>
    <w:rsid w:val="4E793892"/>
    <w:rsid w:val="4E800872"/>
    <w:rsid w:val="4E80325F"/>
    <w:rsid w:val="4E9659C7"/>
    <w:rsid w:val="4EC569ED"/>
    <w:rsid w:val="4ED50EA1"/>
    <w:rsid w:val="4EEC050C"/>
    <w:rsid w:val="4EF94AC3"/>
    <w:rsid w:val="4F104EC3"/>
    <w:rsid w:val="4F47354A"/>
    <w:rsid w:val="4F4B2073"/>
    <w:rsid w:val="4F4C3761"/>
    <w:rsid w:val="4F7014DC"/>
    <w:rsid w:val="4F911C54"/>
    <w:rsid w:val="4FAC5AC9"/>
    <w:rsid w:val="4FBC3CB9"/>
    <w:rsid w:val="4FE625E0"/>
    <w:rsid w:val="4FEB7FA3"/>
    <w:rsid w:val="50073CE7"/>
    <w:rsid w:val="5021480F"/>
    <w:rsid w:val="508D7BB9"/>
    <w:rsid w:val="50962ECB"/>
    <w:rsid w:val="50A42E38"/>
    <w:rsid w:val="50A4577F"/>
    <w:rsid w:val="50B73D1F"/>
    <w:rsid w:val="50BD5BC9"/>
    <w:rsid w:val="50C11EEE"/>
    <w:rsid w:val="50E97CFC"/>
    <w:rsid w:val="50FA4028"/>
    <w:rsid w:val="510C209A"/>
    <w:rsid w:val="510D65B7"/>
    <w:rsid w:val="511157AB"/>
    <w:rsid w:val="5142540C"/>
    <w:rsid w:val="515D57DD"/>
    <w:rsid w:val="518832C8"/>
    <w:rsid w:val="519D3C50"/>
    <w:rsid w:val="51A0432A"/>
    <w:rsid w:val="51A86090"/>
    <w:rsid w:val="51B539B5"/>
    <w:rsid w:val="51B7396D"/>
    <w:rsid w:val="522E4CC3"/>
    <w:rsid w:val="5230013E"/>
    <w:rsid w:val="52383964"/>
    <w:rsid w:val="5244713B"/>
    <w:rsid w:val="52615633"/>
    <w:rsid w:val="526536D1"/>
    <w:rsid w:val="526F4DE4"/>
    <w:rsid w:val="52977FD4"/>
    <w:rsid w:val="529F485E"/>
    <w:rsid w:val="52A25790"/>
    <w:rsid w:val="52A96B6F"/>
    <w:rsid w:val="52B45975"/>
    <w:rsid w:val="52BC73B9"/>
    <w:rsid w:val="52C308AE"/>
    <w:rsid w:val="52D04710"/>
    <w:rsid w:val="52D94AA4"/>
    <w:rsid w:val="52EA3A62"/>
    <w:rsid w:val="52F50BB8"/>
    <w:rsid w:val="530825F3"/>
    <w:rsid w:val="53097272"/>
    <w:rsid w:val="53514ECE"/>
    <w:rsid w:val="53544462"/>
    <w:rsid w:val="53574A41"/>
    <w:rsid w:val="5397158E"/>
    <w:rsid w:val="53B51901"/>
    <w:rsid w:val="53EE4E13"/>
    <w:rsid w:val="54013861"/>
    <w:rsid w:val="5421402A"/>
    <w:rsid w:val="542C7307"/>
    <w:rsid w:val="54487265"/>
    <w:rsid w:val="544D6070"/>
    <w:rsid w:val="54605E1E"/>
    <w:rsid w:val="549C21E7"/>
    <w:rsid w:val="54B3506A"/>
    <w:rsid w:val="54CA0D16"/>
    <w:rsid w:val="54DD4057"/>
    <w:rsid w:val="54E7490F"/>
    <w:rsid w:val="54F8288E"/>
    <w:rsid w:val="550764A4"/>
    <w:rsid w:val="550B2BF6"/>
    <w:rsid w:val="55191794"/>
    <w:rsid w:val="552069C2"/>
    <w:rsid w:val="55214EB5"/>
    <w:rsid w:val="55364EFD"/>
    <w:rsid w:val="555D4828"/>
    <w:rsid w:val="556503A8"/>
    <w:rsid w:val="557A4C8B"/>
    <w:rsid w:val="558931E1"/>
    <w:rsid w:val="55923347"/>
    <w:rsid w:val="55925180"/>
    <w:rsid w:val="55983B1B"/>
    <w:rsid w:val="55A8376B"/>
    <w:rsid w:val="55DC29B6"/>
    <w:rsid w:val="55DD4241"/>
    <w:rsid w:val="56094412"/>
    <w:rsid w:val="566B6D1E"/>
    <w:rsid w:val="566D6E3D"/>
    <w:rsid w:val="56730EDF"/>
    <w:rsid w:val="56A43489"/>
    <w:rsid w:val="56B52FDF"/>
    <w:rsid w:val="56CF4A3E"/>
    <w:rsid w:val="57032A2C"/>
    <w:rsid w:val="570614EC"/>
    <w:rsid w:val="570F5219"/>
    <w:rsid w:val="5731646B"/>
    <w:rsid w:val="573260AD"/>
    <w:rsid w:val="575D12B5"/>
    <w:rsid w:val="57610A87"/>
    <w:rsid w:val="5767596D"/>
    <w:rsid w:val="577B1140"/>
    <w:rsid w:val="577B7F21"/>
    <w:rsid w:val="577F181B"/>
    <w:rsid w:val="57921984"/>
    <w:rsid w:val="579737F0"/>
    <w:rsid w:val="57A06424"/>
    <w:rsid w:val="57AB0DCD"/>
    <w:rsid w:val="57AB7B30"/>
    <w:rsid w:val="57AF5251"/>
    <w:rsid w:val="57B26373"/>
    <w:rsid w:val="57B63F04"/>
    <w:rsid w:val="57CD20C2"/>
    <w:rsid w:val="57D675AB"/>
    <w:rsid w:val="57D95FDD"/>
    <w:rsid w:val="57DE05BC"/>
    <w:rsid w:val="582C415B"/>
    <w:rsid w:val="584C2108"/>
    <w:rsid w:val="588770FE"/>
    <w:rsid w:val="58917D2F"/>
    <w:rsid w:val="5893580C"/>
    <w:rsid w:val="5894085C"/>
    <w:rsid w:val="58AE4F0C"/>
    <w:rsid w:val="58B85899"/>
    <w:rsid w:val="58D951D1"/>
    <w:rsid w:val="58E363A9"/>
    <w:rsid w:val="58EF5DE7"/>
    <w:rsid w:val="591472AE"/>
    <w:rsid w:val="595E1678"/>
    <w:rsid w:val="596D5BD4"/>
    <w:rsid w:val="597E3DD8"/>
    <w:rsid w:val="59E051FD"/>
    <w:rsid w:val="59E111CB"/>
    <w:rsid w:val="59E7793B"/>
    <w:rsid w:val="59F129D2"/>
    <w:rsid w:val="59F80043"/>
    <w:rsid w:val="5A09252F"/>
    <w:rsid w:val="5A0B2778"/>
    <w:rsid w:val="5A0F7891"/>
    <w:rsid w:val="5A2A7C7B"/>
    <w:rsid w:val="5A3D6ADB"/>
    <w:rsid w:val="5A3E2560"/>
    <w:rsid w:val="5A5D3B6E"/>
    <w:rsid w:val="5A637A76"/>
    <w:rsid w:val="5A69036B"/>
    <w:rsid w:val="5A6D33BA"/>
    <w:rsid w:val="5A7469E7"/>
    <w:rsid w:val="5A766AF8"/>
    <w:rsid w:val="5A792B1F"/>
    <w:rsid w:val="5A874767"/>
    <w:rsid w:val="5AA85BE2"/>
    <w:rsid w:val="5AAD6F28"/>
    <w:rsid w:val="5AD63A24"/>
    <w:rsid w:val="5B0608DF"/>
    <w:rsid w:val="5B1A473F"/>
    <w:rsid w:val="5B2E1A1D"/>
    <w:rsid w:val="5B396310"/>
    <w:rsid w:val="5B412892"/>
    <w:rsid w:val="5B423318"/>
    <w:rsid w:val="5B843A1C"/>
    <w:rsid w:val="5B873E3F"/>
    <w:rsid w:val="5BA83AF9"/>
    <w:rsid w:val="5BA84BC0"/>
    <w:rsid w:val="5BAF4DB8"/>
    <w:rsid w:val="5BB1681D"/>
    <w:rsid w:val="5C02690E"/>
    <w:rsid w:val="5C196DA7"/>
    <w:rsid w:val="5C2A048C"/>
    <w:rsid w:val="5C645C72"/>
    <w:rsid w:val="5C801D23"/>
    <w:rsid w:val="5C80234E"/>
    <w:rsid w:val="5C8A680C"/>
    <w:rsid w:val="5CA26B23"/>
    <w:rsid w:val="5CC052A1"/>
    <w:rsid w:val="5CD85FBB"/>
    <w:rsid w:val="5D0C4701"/>
    <w:rsid w:val="5D0F0395"/>
    <w:rsid w:val="5D221076"/>
    <w:rsid w:val="5D397964"/>
    <w:rsid w:val="5D5A391C"/>
    <w:rsid w:val="5D5F10C0"/>
    <w:rsid w:val="5D891B7B"/>
    <w:rsid w:val="5DAD38EE"/>
    <w:rsid w:val="5E006862"/>
    <w:rsid w:val="5E0207B9"/>
    <w:rsid w:val="5E1834A1"/>
    <w:rsid w:val="5E2558D5"/>
    <w:rsid w:val="5E261785"/>
    <w:rsid w:val="5E2E67A8"/>
    <w:rsid w:val="5E4A7017"/>
    <w:rsid w:val="5E552BBA"/>
    <w:rsid w:val="5E611C10"/>
    <w:rsid w:val="5E69724E"/>
    <w:rsid w:val="5E7A0F3F"/>
    <w:rsid w:val="5E8759C5"/>
    <w:rsid w:val="5EB93A4D"/>
    <w:rsid w:val="5EFC7377"/>
    <w:rsid w:val="5F06174D"/>
    <w:rsid w:val="5F2C67EF"/>
    <w:rsid w:val="5F3A3602"/>
    <w:rsid w:val="5F426012"/>
    <w:rsid w:val="5F45733B"/>
    <w:rsid w:val="5F517217"/>
    <w:rsid w:val="5F6277C6"/>
    <w:rsid w:val="5F6D0B1D"/>
    <w:rsid w:val="5F797C86"/>
    <w:rsid w:val="5F7B0E8D"/>
    <w:rsid w:val="5F856747"/>
    <w:rsid w:val="5F8D0B82"/>
    <w:rsid w:val="5F9C3975"/>
    <w:rsid w:val="5FBC4374"/>
    <w:rsid w:val="5FCC5339"/>
    <w:rsid w:val="5FE34A5B"/>
    <w:rsid w:val="5FFE1E36"/>
    <w:rsid w:val="60232584"/>
    <w:rsid w:val="607330CE"/>
    <w:rsid w:val="60825176"/>
    <w:rsid w:val="60956D42"/>
    <w:rsid w:val="609F2AC4"/>
    <w:rsid w:val="60A86A50"/>
    <w:rsid w:val="60D36795"/>
    <w:rsid w:val="60EA32DE"/>
    <w:rsid w:val="60FA2EE8"/>
    <w:rsid w:val="610476A6"/>
    <w:rsid w:val="61054A27"/>
    <w:rsid w:val="610A52BC"/>
    <w:rsid w:val="611D2366"/>
    <w:rsid w:val="61421856"/>
    <w:rsid w:val="615227C4"/>
    <w:rsid w:val="61654E3F"/>
    <w:rsid w:val="61763FFC"/>
    <w:rsid w:val="6182292A"/>
    <w:rsid w:val="619F7F92"/>
    <w:rsid w:val="61F5159E"/>
    <w:rsid w:val="61F94C26"/>
    <w:rsid w:val="62000E56"/>
    <w:rsid w:val="62275E51"/>
    <w:rsid w:val="62363115"/>
    <w:rsid w:val="624F3E49"/>
    <w:rsid w:val="625978FB"/>
    <w:rsid w:val="62632286"/>
    <w:rsid w:val="62712E97"/>
    <w:rsid w:val="62885958"/>
    <w:rsid w:val="62B76461"/>
    <w:rsid w:val="62F40B65"/>
    <w:rsid w:val="62F87114"/>
    <w:rsid w:val="62FC2CFE"/>
    <w:rsid w:val="63024505"/>
    <w:rsid w:val="631669F1"/>
    <w:rsid w:val="631B2E34"/>
    <w:rsid w:val="631D37B5"/>
    <w:rsid w:val="635600A5"/>
    <w:rsid w:val="635B1DB5"/>
    <w:rsid w:val="63711FED"/>
    <w:rsid w:val="63880DDC"/>
    <w:rsid w:val="638D750D"/>
    <w:rsid w:val="63AC6CC0"/>
    <w:rsid w:val="64055776"/>
    <w:rsid w:val="64240056"/>
    <w:rsid w:val="643E143A"/>
    <w:rsid w:val="64491666"/>
    <w:rsid w:val="648B6EEF"/>
    <w:rsid w:val="64982672"/>
    <w:rsid w:val="64A14914"/>
    <w:rsid w:val="64C158BF"/>
    <w:rsid w:val="64CE2EAA"/>
    <w:rsid w:val="652152DE"/>
    <w:rsid w:val="653C3090"/>
    <w:rsid w:val="65854376"/>
    <w:rsid w:val="658767BE"/>
    <w:rsid w:val="65892531"/>
    <w:rsid w:val="65B433B6"/>
    <w:rsid w:val="65EE2A50"/>
    <w:rsid w:val="66195831"/>
    <w:rsid w:val="661C136B"/>
    <w:rsid w:val="662E75B1"/>
    <w:rsid w:val="66342C2E"/>
    <w:rsid w:val="663E784C"/>
    <w:rsid w:val="66501015"/>
    <w:rsid w:val="668B6A45"/>
    <w:rsid w:val="66A955AA"/>
    <w:rsid w:val="66BC6BE6"/>
    <w:rsid w:val="67011F07"/>
    <w:rsid w:val="67204E8B"/>
    <w:rsid w:val="67247883"/>
    <w:rsid w:val="672F3F24"/>
    <w:rsid w:val="673E055F"/>
    <w:rsid w:val="67551CE3"/>
    <w:rsid w:val="676E5BF7"/>
    <w:rsid w:val="67960522"/>
    <w:rsid w:val="67A22552"/>
    <w:rsid w:val="67AC2BC3"/>
    <w:rsid w:val="67B11F87"/>
    <w:rsid w:val="67B22DCC"/>
    <w:rsid w:val="67BE71AA"/>
    <w:rsid w:val="67CA6B60"/>
    <w:rsid w:val="67D90273"/>
    <w:rsid w:val="67DE5875"/>
    <w:rsid w:val="67E55852"/>
    <w:rsid w:val="67EB1AB4"/>
    <w:rsid w:val="67F02AB0"/>
    <w:rsid w:val="67FA1285"/>
    <w:rsid w:val="681B62A8"/>
    <w:rsid w:val="68313FD8"/>
    <w:rsid w:val="68551F4F"/>
    <w:rsid w:val="687C10C9"/>
    <w:rsid w:val="68840C16"/>
    <w:rsid w:val="68872541"/>
    <w:rsid w:val="68876EFB"/>
    <w:rsid w:val="68884654"/>
    <w:rsid w:val="689F444F"/>
    <w:rsid w:val="68B96DBB"/>
    <w:rsid w:val="68CA2805"/>
    <w:rsid w:val="68DD6544"/>
    <w:rsid w:val="68E937A3"/>
    <w:rsid w:val="68F20AA9"/>
    <w:rsid w:val="69036813"/>
    <w:rsid w:val="69084175"/>
    <w:rsid w:val="691664E5"/>
    <w:rsid w:val="693B2E95"/>
    <w:rsid w:val="693E15D3"/>
    <w:rsid w:val="69627681"/>
    <w:rsid w:val="6977531D"/>
    <w:rsid w:val="69866703"/>
    <w:rsid w:val="69CC2BFF"/>
    <w:rsid w:val="69FD55B8"/>
    <w:rsid w:val="6A0B1C62"/>
    <w:rsid w:val="6A0C7949"/>
    <w:rsid w:val="6A2406C8"/>
    <w:rsid w:val="6AD42215"/>
    <w:rsid w:val="6ADE0BD1"/>
    <w:rsid w:val="6AE96859"/>
    <w:rsid w:val="6B147746"/>
    <w:rsid w:val="6B24787C"/>
    <w:rsid w:val="6B403D4E"/>
    <w:rsid w:val="6B405DF2"/>
    <w:rsid w:val="6B463CE3"/>
    <w:rsid w:val="6B520DC8"/>
    <w:rsid w:val="6B573233"/>
    <w:rsid w:val="6B587DFB"/>
    <w:rsid w:val="6B5B6274"/>
    <w:rsid w:val="6B935D53"/>
    <w:rsid w:val="6C084B58"/>
    <w:rsid w:val="6C092392"/>
    <w:rsid w:val="6C196F71"/>
    <w:rsid w:val="6C226FCB"/>
    <w:rsid w:val="6C31226F"/>
    <w:rsid w:val="6C53684F"/>
    <w:rsid w:val="6C552F0B"/>
    <w:rsid w:val="6C7C1180"/>
    <w:rsid w:val="6C8C67B7"/>
    <w:rsid w:val="6C9D744C"/>
    <w:rsid w:val="6CB400FA"/>
    <w:rsid w:val="6CEF282A"/>
    <w:rsid w:val="6D167928"/>
    <w:rsid w:val="6D26299B"/>
    <w:rsid w:val="6D3C2A7C"/>
    <w:rsid w:val="6D4772EC"/>
    <w:rsid w:val="6D4D0B3A"/>
    <w:rsid w:val="6D53663B"/>
    <w:rsid w:val="6D711AC2"/>
    <w:rsid w:val="6D7715A5"/>
    <w:rsid w:val="6D9078AF"/>
    <w:rsid w:val="6DAA3FEF"/>
    <w:rsid w:val="6DC0172B"/>
    <w:rsid w:val="6DCB690C"/>
    <w:rsid w:val="6DD41A5B"/>
    <w:rsid w:val="6DF43C2E"/>
    <w:rsid w:val="6DF51CA3"/>
    <w:rsid w:val="6E66128D"/>
    <w:rsid w:val="6E8335BD"/>
    <w:rsid w:val="6E8E12EF"/>
    <w:rsid w:val="6E972936"/>
    <w:rsid w:val="6EA8297F"/>
    <w:rsid w:val="6ED446C5"/>
    <w:rsid w:val="6EFB10BE"/>
    <w:rsid w:val="6F11542E"/>
    <w:rsid w:val="6F2A7D94"/>
    <w:rsid w:val="6F42336D"/>
    <w:rsid w:val="6F5E17CD"/>
    <w:rsid w:val="6F663451"/>
    <w:rsid w:val="6F68242D"/>
    <w:rsid w:val="6F6C2DE4"/>
    <w:rsid w:val="6F8331F1"/>
    <w:rsid w:val="6F916EB6"/>
    <w:rsid w:val="6FAE1A09"/>
    <w:rsid w:val="6FBB7E47"/>
    <w:rsid w:val="6FD75BF8"/>
    <w:rsid w:val="707723D0"/>
    <w:rsid w:val="70A068DA"/>
    <w:rsid w:val="70C25205"/>
    <w:rsid w:val="70D70CB1"/>
    <w:rsid w:val="70F5661B"/>
    <w:rsid w:val="70F62355"/>
    <w:rsid w:val="70FEB6EE"/>
    <w:rsid w:val="71144843"/>
    <w:rsid w:val="71360107"/>
    <w:rsid w:val="713B688E"/>
    <w:rsid w:val="713F23B2"/>
    <w:rsid w:val="714479C8"/>
    <w:rsid w:val="719220FE"/>
    <w:rsid w:val="719C15B2"/>
    <w:rsid w:val="71AB2F8D"/>
    <w:rsid w:val="71D43752"/>
    <w:rsid w:val="71F1796A"/>
    <w:rsid w:val="72154626"/>
    <w:rsid w:val="72262B5D"/>
    <w:rsid w:val="72283FF7"/>
    <w:rsid w:val="722E7212"/>
    <w:rsid w:val="723A0474"/>
    <w:rsid w:val="725923E4"/>
    <w:rsid w:val="72864BF7"/>
    <w:rsid w:val="729023FC"/>
    <w:rsid w:val="72AB41A3"/>
    <w:rsid w:val="72EE3363"/>
    <w:rsid w:val="72FC5420"/>
    <w:rsid w:val="73122947"/>
    <w:rsid w:val="73520AC2"/>
    <w:rsid w:val="73572EBD"/>
    <w:rsid w:val="736C773C"/>
    <w:rsid w:val="738642C8"/>
    <w:rsid w:val="738F70C0"/>
    <w:rsid w:val="739344F1"/>
    <w:rsid w:val="73AE5139"/>
    <w:rsid w:val="73C0646E"/>
    <w:rsid w:val="741A2646"/>
    <w:rsid w:val="742222F5"/>
    <w:rsid w:val="742E508B"/>
    <w:rsid w:val="743C3A55"/>
    <w:rsid w:val="74476126"/>
    <w:rsid w:val="745148D6"/>
    <w:rsid w:val="74600FBD"/>
    <w:rsid w:val="74706664"/>
    <w:rsid w:val="747F3682"/>
    <w:rsid w:val="748B6871"/>
    <w:rsid w:val="749C4185"/>
    <w:rsid w:val="75067759"/>
    <w:rsid w:val="75082222"/>
    <w:rsid w:val="752E6DCD"/>
    <w:rsid w:val="754C1D3C"/>
    <w:rsid w:val="7551380D"/>
    <w:rsid w:val="75600BE5"/>
    <w:rsid w:val="7564475C"/>
    <w:rsid w:val="75687A7A"/>
    <w:rsid w:val="7583797F"/>
    <w:rsid w:val="75B66305"/>
    <w:rsid w:val="75D20F1D"/>
    <w:rsid w:val="75DA2C18"/>
    <w:rsid w:val="75F54412"/>
    <w:rsid w:val="761D08E0"/>
    <w:rsid w:val="76420706"/>
    <w:rsid w:val="765D347C"/>
    <w:rsid w:val="76826699"/>
    <w:rsid w:val="768D24F5"/>
    <w:rsid w:val="76B5532C"/>
    <w:rsid w:val="76C87133"/>
    <w:rsid w:val="76CD08D5"/>
    <w:rsid w:val="76DB4B92"/>
    <w:rsid w:val="76FD013A"/>
    <w:rsid w:val="77052AA4"/>
    <w:rsid w:val="770809D6"/>
    <w:rsid w:val="77136511"/>
    <w:rsid w:val="772F1AF9"/>
    <w:rsid w:val="77340A39"/>
    <w:rsid w:val="77351FD0"/>
    <w:rsid w:val="77472422"/>
    <w:rsid w:val="77664B3C"/>
    <w:rsid w:val="777F31F2"/>
    <w:rsid w:val="77A33E53"/>
    <w:rsid w:val="77CB499F"/>
    <w:rsid w:val="77D1700D"/>
    <w:rsid w:val="77EC04CC"/>
    <w:rsid w:val="780162ED"/>
    <w:rsid w:val="785D63BB"/>
    <w:rsid w:val="786848E4"/>
    <w:rsid w:val="7876453C"/>
    <w:rsid w:val="78775729"/>
    <w:rsid w:val="788920E3"/>
    <w:rsid w:val="788C2DA6"/>
    <w:rsid w:val="78A42DB0"/>
    <w:rsid w:val="78A656AB"/>
    <w:rsid w:val="78B2245C"/>
    <w:rsid w:val="78E172CC"/>
    <w:rsid w:val="78EA1D1F"/>
    <w:rsid w:val="7904172F"/>
    <w:rsid w:val="790F7E27"/>
    <w:rsid w:val="792A231A"/>
    <w:rsid w:val="79316829"/>
    <w:rsid w:val="79604D4C"/>
    <w:rsid w:val="79646E59"/>
    <w:rsid w:val="796E1A55"/>
    <w:rsid w:val="797E66A9"/>
    <w:rsid w:val="798219D5"/>
    <w:rsid w:val="798518A4"/>
    <w:rsid w:val="799A6D1F"/>
    <w:rsid w:val="79A97383"/>
    <w:rsid w:val="79B325B0"/>
    <w:rsid w:val="79E27E8B"/>
    <w:rsid w:val="79F850CE"/>
    <w:rsid w:val="79FD443C"/>
    <w:rsid w:val="7A0F14BB"/>
    <w:rsid w:val="7A1D1975"/>
    <w:rsid w:val="7A3B3819"/>
    <w:rsid w:val="7A3E5150"/>
    <w:rsid w:val="7A4661AB"/>
    <w:rsid w:val="7A4670D6"/>
    <w:rsid w:val="7A534B63"/>
    <w:rsid w:val="7A5A7497"/>
    <w:rsid w:val="7A615382"/>
    <w:rsid w:val="7A67303B"/>
    <w:rsid w:val="7AAB1D04"/>
    <w:rsid w:val="7AB62133"/>
    <w:rsid w:val="7ABA4368"/>
    <w:rsid w:val="7ACA3634"/>
    <w:rsid w:val="7AD05746"/>
    <w:rsid w:val="7B1228E5"/>
    <w:rsid w:val="7B257FFD"/>
    <w:rsid w:val="7B273D20"/>
    <w:rsid w:val="7B343476"/>
    <w:rsid w:val="7B495DA3"/>
    <w:rsid w:val="7B5A2978"/>
    <w:rsid w:val="7B5A7E4C"/>
    <w:rsid w:val="7B667AF9"/>
    <w:rsid w:val="7B6C7E99"/>
    <w:rsid w:val="7B7468F8"/>
    <w:rsid w:val="7B786BEC"/>
    <w:rsid w:val="7B845591"/>
    <w:rsid w:val="7BB265A2"/>
    <w:rsid w:val="7BEE0103"/>
    <w:rsid w:val="7BEF1A41"/>
    <w:rsid w:val="7C0439F5"/>
    <w:rsid w:val="7C0A0FE4"/>
    <w:rsid w:val="7C0D22A9"/>
    <w:rsid w:val="7C254906"/>
    <w:rsid w:val="7C28764E"/>
    <w:rsid w:val="7C376AA7"/>
    <w:rsid w:val="7C590818"/>
    <w:rsid w:val="7C7C10F6"/>
    <w:rsid w:val="7C817D22"/>
    <w:rsid w:val="7C853BEA"/>
    <w:rsid w:val="7C881368"/>
    <w:rsid w:val="7CA11C83"/>
    <w:rsid w:val="7CB24380"/>
    <w:rsid w:val="7CC6588B"/>
    <w:rsid w:val="7CE27788"/>
    <w:rsid w:val="7D0C32F1"/>
    <w:rsid w:val="7D0F408D"/>
    <w:rsid w:val="7D182BA5"/>
    <w:rsid w:val="7D1E58D9"/>
    <w:rsid w:val="7D3621FB"/>
    <w:rsid w:val="7D491C6C"/>
    <w:rsid w:val="7D5429C0"/>
    <w:rsid w:val="7D6E6D43"/>
    <w:rsid w:val="7D9D6DDE"/>
    <w:rsid w:val="7DB57A34"/>
    <w:rsid w:val="7DC51E91"/>
    <w:rsid w:val="7DC76B7E"/>
    <w:rsid w:val="7DC8269C"/>
    <w:rsid w:val="7DE60973"/>
    <w:rsid w:val="7DEF0916"/>
    <w:rsid w:val="7DF3421F"/>
    <w:rsid w:val="7E1E5218"/>
    <w:rsid w:val="7E4B683A"/>
    <w:rsid w:val="7E512A01"/>
    <w:rsid w:val="7E5A4CCF"/>
    <w:rsid w:val="7E9A4E1F"/>
    <w:rsid w:val="7E9E544A"/>
    <w:rsid w:val="7EA7723A"/>
    <w:rsid w:val="7EF56FBB"/>
    <w:rsid w:val="7F0768EB"/>
    <w:rsid w:val="7F1027B9"/>
    <w:rsid w:val="7F143BEC"/>
    <w:rsid w:val="7F460A05"/>
    <w:rsid w:val="7F6345DB"/>
    <w:rsid w:val="7F715AF2"/>
    <w:rsid w:val="7F886E69"/>
    <w:rsid w:val="7FC2296E"/>
    <w:rsid w:val="BB7FA927"/>
    <w:rsid w:val="F0FB959E"/>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Change w:id="0" w:author="wjy" w:date="2024-01-17T13:52:00Z">
        <w:pPr>
          <w:widowControl w:val="0"/>
          <w:adjustRightInd w:val="0"/>
        </w:pPr>
      </w:pPrChange>
    </w:pPr>
    <w:rPr>
      <w:color w:val="FF0000"/>
      <w:rPrChange w:id="1" w:author="wjy" w:date="2024-01-17T13:52:00Z">
        <w:rPr>
          <w:rFonts w:eastAsia="宋体"/>
          <w:kern w:val="2"/>
          <w:sz w:val="21"/>
          <w:szCs w:val="24"/>
          <w:lang w:val="en-US" w:eastAsia="zh-CN" w:bidi="ar-SA"/>
        </w:rPr>
      </w:rPrChange>
    </w:r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autoRedefine/>
    <w:qFormat/>
    <w:uiPriority w:val="0"/>
    <w:pPr>
      <w:ind w:firstLine="420"/>
    </w:pPr>
    <w:rPr>
      <w:rFonts w:hAnsi="Calibri" w:cs="Times New Roman"/>
      <w:snapToGrid/>
      <w:szCs w:val="20"/>
    </w:rPr>
  </w:style>
  <w:style w:type="paragraph" w:styleId="25">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widowControl w:val="0"/>
      <w:snapToGrid w:val="0"/>
      <w:jc w:val="both"/>
    </w:pPr>
    <w:rPr>
      <w:rFonts w:ascii="Arial" w:hAnsi="Arial" w:eastAsia="宋体" w:cs="Times New Roman"/>
      <w:kern w:val="2"/>
      <w:sz w:val="21"/>
      <w:szCs w:val="21"/>
      <w:lang w:val="en-US" w:eastAsia="zh-CN" w:bidi="ar-SA"/>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2"/>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5"/>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2"/>
    <w:autoRedefine/>
    <w:qFormat/>
    <w:uiPriority w:val="0"/>
    <w:pPr>
      <w:spacing w:after="120" w:line="480" w:lineRule="auto"/>
    </w:pPr>
  </w:style>
  <w:style w:type="paragraph" w:styleId="58">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autoRedefine/>
    <w:qFormat/>
    <w:uiPriority w:val="0"/>
    <w:rPr>
      <w:b/>
      <w:bCs/>
    </w:rPr>
  </w:style>
  <w:style w:type="paragraph" w:styleId="62">
    <w:name w:val="Body Text First Indent 2"/>
    <w:basedOn w:val="25"/>
    <w:next w:val="1"/>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样式3"/>
    <w:basedOn w:val="33"/>
    <w:next w:val="1"/>
    <w:autoRedefine/>
    <w:qFormat/>
    <w:uiPriority w:val="0"/>
    <w:pPr>
      <w:tabs>
        <w:tab w:val="left" w:pos="2790"/>
        <w:tab w:val="left" w:pos="4230"/>
      </w:tabs>
      <w:spacing w:beforeLines="100"/>
      <w:jc w:val="left"/>
    </w:pPr>
  </w:style>
  <w:style w:type="paragraph" w:customStyle="1" w:styleId="81">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1"/>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8"/>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6"/>
    <w:autoRedefine/>
    <w:qFormat/>
    <w:uiPriority w:val="0"/>
    <w:rPr>
      <w:rFonts w:ascii="宋体"/>
      <w:kern w:val="2"/>
      <w:sz w:val="24"/>
      <w:szCs w:val="21"/>
      <w:lang w:val="zh-CN"/>
    </w:rPr>
  </w:style>
  <w:style w:type="character" w:customStyle="1" w:styleId="182">
    <w:name w:val="标题 9 Char"/>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2"/>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60"/>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8"/>
    <w:autoRedefine/>
    <w:qFormat/>
    <w:uiPriority w:val="0"/>
    <w:rPr>
      <w:rFonts w:ascii="黑体" w:hAnsi="Courier New" w:eastAsia="黑体"/>
    </w:rPr>
  </w:style>
  <w:style w:type="character" w:customStyle="1" w:styleId="302">
    <w:name w:val="正文文本 2 Char1"/>
    <w:link w:val="57"/>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1"/>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basedOn w:val="70"/>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4"/>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99"/>
    <w:rPr>
      <w:color w:val="FF0000"/>
      <w:kern w:val="2"/>
      <w:sz w:val="21"/>
      <w:szCs w:val="24"/>
    </w:rPr>
  </w:style>
  <w:style w:type="character" w:customStyle="1" w:styleId="345">
    <w:name w:val="签名 Char"/>
    <w:link w:val="43"/>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4"/>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2"/>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5"/>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2"/>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2"/>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8"/>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表格1"/>
    <w:basedOn w:val="1"/>
    <w:autoRedefine/>
    <w:qFormat/>
    <w:uiPriority w:val="0"/>
    <w:pPr>
      <w:spacing w:line="360" w:lineRule="auto"/>
      <w:jc w:val="center"/>
    </w:pPr>
    <w:rPr>
      <w:rFonts w:hint="eastAsia" w:ascii="Calibri" w:hAnsi="Calibri" w:cs="Arial"/>
      <w:bCs/>
      <w:szCs w:val="21"/>
    </w:rPr>
  </w:style>
  <w:style w:type="character" w:customStyle="1" w:styleId="965">
    <w:name w:val="正文（小四）"/>
    <w:basedOn w:val="70"/>
    <w:autoRedefine/>
    <w:qFormat/>
    <w:uiPriority w:val="0"/>
    <w:rPr>
      <w:rFonts w:ascii="Arial" w:hAnsi="Arial" w:eastAsia="宋体"/>
      <w:sz w:val="24"/>
    </w:rPr>
  </w:style>
  <w:style w:type="paragraph" w:customStyle="1" w:styleId="966">
    <w:name w:val="WPSOffice手动目录 1"/>
    <w:autoRedefine/>
    <w:qFormat/>
    <w:uiPriority w:val="0"/>
    <w:rPr>
      <w:rFonts w:ascii="Times New Roman" w:hAnsi="Times New Roman" w:eastAsia="宋体" w:cs="Times New Roman"/>
      <w:lang w:val="en-US" w:eastAsia="zh-CN" w:bidi="ar-SA"/>
    </w:rPr>
  </w:style>
  <w:style w:type="paragraph" w:customStyle="1" w:styleId="967">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8">
    <w:name w:val="缩进_正文"/>
    <w:basedOn w:val="1"/>
    <w:autoRedefine/>
    <w:qFormat/>
    <w:uiPriority w:val="0"/>
    <w:pPr>
      <w:spacing w:line="360" w:lineRule="auto"/>
      <w:ind w:firstLine="560" w:firstLineChars="200"/>
    </w:pPr>
    <w:rPr>
      <w:rFonts w:ascii="Times New Roman" w:hAnsi="Times New Roman" w:eastAsia="仿宋"/>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9.xml"/><Relationship Id="rId32" Type="http://schemas.openxmlformats.org/officeDocument/2006/relationships/footer" Target="footer18.xml"/><Relationship Id="rId31" Type="http://schemas.openxmlformats.org/officeDocument/2006/relationships/header" Target="header12.xml"/><Relationship Id="rId30" Type="http://schemas.openxmlformats.org/officeDocument/2006/relationships/header" Target="header11.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header" Target="header10.xml"/><Relationship Id="rId26" Type="http://schemas.openxmlformats.org/officeDocument/2006/relationships/header" Target="header9.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header" Target="header8.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91</Pages>
  <Words>9668</Words>
  <Characters>10682</Characters>
  <Lines>426</Lines>
  <Paragraphs>120</Paragraphs>
  <TotalTime>2</TotalTime>
  <ScaleCrop>false</ScaleCrop>
  <LinksUpToDate>false</LinksUpToDate>
  <CharactersWithSpaces>11007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2023-11-28T06:10:00Z</dcterms:created>
  <dc:creator>玥</dc:creator>
  <cp:lastModifiedBy>西瓜</cp:lastModifiedBy>
  <cp:lastPrinted>2025-04-09T17:36:00Z</cp:lastPrinted>
  <dcterms:modified xsi:type="dcterms:W3CDTF">2025-06-20T02:38:41Z</dcterms:modified>
  <dc:title>杭州市市民卡扩大发卡工程</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0ED7D1408CF96B361A30BB655731F55B_43</vt:lpwstr>
  </property>
  <property fmtid="{D5CDD505-2E9C-101B-9397-08002B2CF9AE}" pid="5" name="KSOTemplateDocerSaveRecord">
    <vt:lpwstr>eyJoZGlkIjoiMjUzZjVhMzBlNDU5ZmFlZWVlMzJjY2U3YjJlZGQ0ZGMiLCJ1c2VySWQiOiI0OTU3NjkwOTkifQ==</vt:lpwstr>
  </property>
</Properties>
</file>