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F6AE7">
      <w:pPr>
        <w:spacing w:line="360" w:lineRule="auto"/>
        <w:jc w:val="center"/>
        <w:rPr>
          <w:rFonts w:hint="eastAsia" w:ascii="宋体" w:hAnsi="宋体" w:eastAsia="宋体" w:cs="宋体"/>
          <w:b/>
          <w:color w:val="auto"/>
          <w:sz w:val="44"/>
          <w:szCs w:val="44"/>
          <w:highlight w:val="none"/>
          <w:lang w:val="en-US" w:eastAsia="zh-CN"/>
        </w:rPr>
      </w:pPr>
      <w:r>
        <w:rPr>
          <w:rFonts w:hint="eastAsia" w:ascii="宋体" w:hAnsi="宋体" w:cs="宋体"/>
          <w:b/>
          <w:color w:val="auto"/>
          <w:sz w:val="44"/>
          <w:szCs w:val="44"/>
          <w:highlight w:val="none"/>
          <w:lang w:val="en-US" w:eastAsia="zh-CN"/>
        </w:rPr>
        <w:t xml:space="preserve"> </w:t>
      </w:r>
    </w:p>
    <w:p w14:paraId="545EF0C8">
      <w:pPr>
        <w:adjustRightInd/>
        <w:spacing w:line="360" w:lineRule="auto"/>
        <w:jc w:val="center"/>
        <w:rPr>
          <w:rFonts w:ascii="宋体" w:hAnsi="宋体" w:cs="宋体"/>
          <w:b/>
          <w:color w:val="auto"/>
          <w:sz w:val="48"/>
          <w:szCs w:val="48"/>
          <w:highlight w:val="none"/>
        </w:rPr>
      </w:pPr>
    </w:p>
    <w:p w14:paraId="145E5674">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宁波市公安局交通管理支队海曙大队高桥中队修缮项目</w:t>
      </w:r>
    </w:p>
    <w:p w14:paraId="7F442A65">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竞争性磋商文件</w:t>
      </w:r>
    </w:p>
    <w:p w14:paraId="4E4A816C">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25C4BB95">
      <w:pPr>
        <w:snapToGrid w:val="0"/>
        <w:spacing w:line="360" w:lineRule="auto"/>
        <w:jc w:val="center"/>
        <w:rPr>
          <w:rFonts w:hint="eastAsia" w:ascii="宋体" w:hAnsi="宋体" w:cs="宋体"/>
          <w:color w:val="auto"/>
          <w:sz w:val="30"/>
          <w:szCs w:val="30"/>
          <w:highlight w:val="none"/>
          <w:lang w:val="en-US" w:eastAsia="zh-CN"/>
        </w:rPr>
      </w:pPr>
      <w:r>
        <w:rPr>
          <w:rFonts w:hint="eastAsia" w:ascii="宋体" w:hAnsi="宋体" w:cs="宋体"/>
          <w:color w:val="auto"/>
          <w:sz w:val="30"/>
          <w:szCs w:val="30"/>
          <w:highlight w:val="none"/>
          <w:lang w:val="en-US" w:eastAsia="zh-CN"/>
        </w:rPr>
        <w:t>项目</w:t>
      </w:r>
      <w:r>
        <w:rPr>
          <w:rFonts w:hint="eastAsia" w:ascii="宋体" w:hAnsi="宋体" w:cs="宋体"/>
          <w:color w:val="auto"/>
          <w:sz w:val="30"/>
          <w:szCs w:val="30"/>
          <w:highlight w:val="none"/>
        </w:rPr>
        <w:t>编</w:t>
      </w:r>
      <w:r>
        <w:rPr>
          <w:rFonts w:hint="eastAsia" w:ascii="宋体" w:hAnsi="宋体" w:cs="宋体"/>
          <w:color w:val="auto"/>
          <w:sz w:val="30"/>
          <w:szCs w:val="30"/>
          <w:highlight w:val="none"/>
          <w:lang w:val="en-US" w:eastAsia="zh-CN"/>
        </w:rPr>
        <w:t>号：CBNB-20252346GGC</w:t>
      </w:r>
    </w:p>
    <w:p w14:paraId="6BC4D6F3">
      <w:pPr>
        <w:adjustRightInd/>
        <w:spacing w:line="360" w:lineRule="auto"/>
        <w:rPr>
          <w:rFonts w:ascii="宋体" w:hAnsi="宋体" w:cs="宋体"/>
          <w:color w:val="auto"/>
          <w:sz w:val="28"/>
          <w:szCs w:val="20"/>
          <w:highlight w:val="none"/>
        </w:rPr>
      </w:pPr>
    </w:p>
    <w:p w14:paraId="2E078B65">
      <w:pPr>
        <w:spacing w:line="360" w:lineRule="auto"/>
        <w:jc w:val="center"/>
        <w:rPr>
          <w:rFonts w:hint="eastAsia" w:ascii="宋体" w:hAnsi="宋体" w:cs="宋体"/>
          <w:b/>
          <w:color w:val="auto"/>
          <w:sz w:val="44"/>
          <w:szCs w:val="44"/>
          <w:highlight w:val="none"/>
        </w:rPr>
      </w:pPr>
    </w:p>
    <w:p w14:paraId="24DD6B95">
      <w:pPr>
        <w:spacing w:line="360" w:lineRule="auto"/>
        <w:jc w:val="center"/>
        <w:rPr>
          <w:rFonts w:hint="eastAsia" w:ascii="宋体" w:hAnsi="宋体" w:cs="宋体"/>
          <w:b/>
          <w:color w:val="auto"/>
          <w:sz w:val="44"/>
          <w:szCs w:val="44"/>
          <w:highlight w:val="none"/>
        </w:rPr>
      </w:pPr>
    </w:p>
    <w:p w14:paraId="3F77226D">
      <w:pPr>
        <w:spacing w:line="360" w:lineRule="auto"/>
        <w:jc w:val="center"/>
        <w:rPr>
          <w:rFonts w:ascii="宋体" w:hAnsi="宋体" w:cs="宋体"/>
          <w:b/>
          <w:color w:val="auto"/>
          <w:sz w:val="44"/>
          <w:szCs w:val="44"/>
          <w:highlight w:val="none"/>
        </w:rPr>
      </w:pPr>
    </w:p>
    <w:p w14:paraId="671B3DD4">
      <w:pPr>
        <w:spacing w:line="360" w:lineRule="auto"/>
        <w:jc w:val="center"/>
        <w:rPr>
          <w:rFonts w:ascii="宋体" w:hAnsi="宋体" w:cs="宋体"/>
          <w:b/>
          <w:color w:val="auto"/>
          <w:sz w:val="44"/>
          <w:szCs w:val="44"/>
          <w:highlight w:val="none"/>
        </w:rPr>
      </w:pPr>
    </w:p>
    <w:p w14:paraId="1BA1DD3B">
      <w:pPr>
        <w:spacing w:line="360" w:lineRule="auto"/>
        <w:rPr>
          <w:rFonts w:ascii="宋体" w:hAnsi="宋体" w:cs="宋体"/>
          <w:color w:val="auto"/>
          <w:sz w:val="32"/>
          <w:szCs w:val="32"/>
          <w:highlight w:val="none"/>
        </w:rPr>
      </w:pPr>
    </w:p>
    <w:p w14:paraId="31A7D662">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w:t>
      </w:r>
      <w:r>
        <w:rPr>
          <w:rFonts w:hint="eastAsia" w:ascii="宋体" w:hAnsi="宋体" w:cs="宋体"/>
          <w:color w:val="auto"/>
          <w:sz w:val="32"/>
          <w:szCs w:val="32"/>
          <w:highlight w:val="none"/>
          <w:lang w:val="en-US" w:eastAsia="zh-CN"/>
        </w:rPr>
        <w:t>人</w:t>
      </w:r>
      <w:r>
        <w:rPr>
          <w:rFonts w:hint="eastAsia" w:ascii="宋体" w:hAnsi="宋体" w:cs="宋体"/>
          <w:color w:val="auto"/>
          <w:sz w:val="32"/>
          <w:szCs w:val="32"/>
          <w:highlight w:val="none"/>
        </w:rPr>
        <w:t>：</w:t>
      </w:r>
      <w:r>
        <w:rPr>
          <w:rFonts w:hint="eastAsia" w:ascii="宋体" w:hAnsi="宋体" w:cs="宋体"/>
          <w:color w:val="auto"/>
          <w:sz w:val="32"/>
          <w:szCs w:val="32"/>
          <w:highlight w:val="none"/>
          <w:lang w:eastAsia="zh-CN"/>
        </w:rPr>
        <w:t>宁波市公安局交通管理支队</w:t>
      </w:r>
    </w:p>
    <w:p w14:paraId="7C5C6BBA">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采购代理机构：宁波中基国际招标有限公司</w:t>
      </w:r>
    </w:p>
    <w:p w14:paraId="319B5DD5">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5E12200B">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1A3C057">
      <w:pPr>
        <w:spacing w:line="360" w:lineRule="auto"/>
        <w:jc w:val="center"/>
        <w:rPr>
          <w:rFonts w:ascii="宋体" w:hAnsi="宋体" w:cs="宋体"/>
          <w:color w:val="auto"/>
          <w:sz w:val="24"/>
          <w:highlight w:val="none"/>
        </w:rPr>
      </w:pPr>
    </w:p>
    <w:p w14:paraId="3D2BBCD1">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65C2E78">
      <w:pPr>
        <w:spacing w:line="360" w:lineRule="auto"/>
        <w:rPr>
          <w:rFonts w:ascii="宋体" w:hAnsi="宋体" w:cs="宋体"/>
          <w:color w:val="auto"/>
          <w:sz w:val="32"/>
          <w:szCs w:val="32"/>
          <w:highlight w:val="none"/>
        </w:rPr>
      </w:pPr>
    </w:p>
    <w:p w14:paraId="0A625D14">
      <w:pPr>
        <w:spacing w:line="360" w:lineRule="auto"/>
        <w:rPr>
          <w:rFonts w:ascii="宋体" w:hAnsi="宋体" w:cs="宋体"/>
          <w:color w:val="auto"/>
          <w:sz w:val="32"/>
          <w:szCs w:val="32"/>
          <w:highlight w:val="none"/>
        </w:rPr>
      </w:pPr>
    </w:p>
    <w:p w14:paraId="2C763F37">
      <w:pPr>
        <w:pStyle w:val="43"/>
        <w:tabs>
          <w:tab w:val="right" w:leader="dot" w:pos="9025"/>
        </w:tabs>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"1-3"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_Toc7957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第一部分 竞争性磋商公告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_Toc7957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50E5549B">
      <w:pPr>
        <w:pStyle w:val="43"/>
        <w:tabs>
          <w:tab w:val="right" w:leader="dot" w:pos="9025"/>
        </w:tabs>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_Toc21235 </w:instrText>
      </w:r>
      <w:r>
        <w:rPr>
          <w:rFonts w:hint="eastAsia" w:ascii="宋体" w:hAnsi="宋体" w:eastAsia="宋体" w:cs="宋体"/>
          <w:color w:val="auto"/>
          <w:sz w:val="32"/>
          <w:szCs w:val="32"/>
          <w:highlight w:val="none"/>
        </w:rPr>
        <w:fldChar w:fldCharType="separate"/>
      </w:r>
      <w:r>
        <w:rPr>
          <w:rFonts w:hint="eastAsia" w:ascii="宋体" w:hAnsi="宋体" w:eastAsia="宋体" w:cs="宋体"/>
          <w:snapToGrid/>
          <w:color w:val="auto"/>
          <w:sz w:val="32"/>
          <w:szCs w:val="32"/>
          <w:highlight w:val="none"/>
        </w:rPr>
        <w:t>第二部分 供应商须知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_Toc21235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5</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5EBE4E19">
      <w:pPr>
        <w:pStyle w:val="43"/>
        <w:tabs>
          <w:tab w:val="right" w:leader="dot" w:pos="9025"/>
        </w:tabs>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_Toc12835 </w:instrText>
      </w:r>
      <w:r>
        <w:rPr>
          <w:rFonts w:hint="eastAsia" w:ascii="宋体" w:hAnsi="宋体" w:eastAsia="宋体" w:cs="宋体"/>
          <w:color w:val="auto"/>
          <w:sz w:val="32"/>
          <w:szCs w:val="32"/>
          <w:highlight w:val="none"/>
        </w:rPr>
        <w:fldChar w:fldCharType="separate"/>
      </w:r>
      <w:r>
        <w:rPr>
          <w:rFonts w:hint="eastAsia" w:ascii="宋体" w:hAnsi="宋体" w:eastAsia="宋体" w:cs="宋体"/>
          <w:snapToGrid/>
          <w:color w:val="auto"/>
          <w:sz w:val="32"/>
          <w:szCs w:val="32"/>
          <w:highlight w:val="none"/>
        </w:rPr>
        <w:t>第三部分 采购需求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_Toc12835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4D26093C">
      <w:pPr>
        <w:pStyle w:val="43"/>
        <w:tabs>
          <w:tab w:val="right" w:leader="dot" w:pos="9025"/>
        </w:tabs>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_Toc8460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第四部分 评审办法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_Toc8460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27</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29992BC6">
      <w:pPr>
        <w:pStyle w:val="43"/>
        <w:tabs>
          <w:tab w:val="right" w:leader="dot" w:pos="9025"/>
        </w:tabs>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_Toc8825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第五部分 拟签订的合同文本</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_Toc8825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37</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5E5A9FF4">
      <w:pPr>
        <w:pStyle w:val="43"/>
        <w:tabs>
          <w:tab w:val="right" w:leader="dot" w:pos="9025"/>
        </w:tabs>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_Toc30607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第六部分 应提交的有关格式范例</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_Toc30607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57</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594D3197">
      <w:pPr>
        <w:spacing w:line="360" w:lineRule="auto"/>
        <w:ind w:firstLine="1280" w:firstLineChars="400"/>
        <w:rPr>
          <w:rFonts w:ascii="宋体" w:hAnsi="宋体" w:cs="宋体"/>
          <w:color w:val="auto"/>
          <w:sz w:val="32"/>
          <w:szCs w:val="32"/>
          <w:highlight w:val="none"/>
        </w:rPr>
      </w:pPr>
      <w:r>
        <w:rPr>
          <w:rFonts w:hint="eastAsia" w:ascii="宋体" w:hAnsi="宋体" w:eastAsia="宋体" w:cs="宋体"/>
          <w:color w:val="auto"/>
          <w:sz w:val="32"/>
          <w:szCs w:val="32"/>
          <w:highlight w:val="none"/>
        </w:rPr>
        <w:fldChar w:fldCharType="end"/>
      </w:r>
    </w:p>
    <w:p w14:paraId="4D974598">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10D9318">
      <w:pPr>
        <w:spacing w:line="360" w:lineRule="auto"/>
        <w:ind w:firstLine="549" w:firstLineChars="229"/>
        <w:rPr>
          <w:rFonts w:ascii="宋体" w:hAnsi="宋体" w:cs="宋体"/>
          <w:color w:val="auto"/>
          <w:sz w:val="24"/>
          <w:highlight w:val="none"/>
        </w:rPr>
      </w:pPr>
    </w:p>
    <w:p w14:paraId="2453EDB0">
      <w:pPr>
        <w:spacing w:line="360" w:lineRule="auto"/>
        <w:ind w:firstLine="549" w:firstLineChars="229"/>
        <w:rPr>
          <w:rFonts w:ascii="宋体" w:hAnsi="宋体" w:cs="宋体"/>
          <w:color w:val="auto"/>
          <w:sz w:val="24"/>
          <w:highlight w:val="none"/>
        </w:rPr>
      </w:pPr>
    </w:p>
    <w:p w14:paraId="3E74FCA4">
      <w:pPr>
        <w:spacing w:line="360" w:lineRule="auto"/>
        <w:ind w:firstLine="549" w:firstLineChars="229"/>
        <w:rPr>
          <w:rFonts w:ascii="宋体" w:hAnsi="宋体" w:cs="宋体"/>
          <w:color w:val="auto"/>
          <w:sz w:val="24"/>
          <w:highlight w:val="none"/>
        </w:rPr>
      </w:pPr>
    </w:p>
    <w:p w14:paraId="3F2BA59E">
      <w:pPr>
        <w:spacing w:line="360" w:lineRule="auto"/>
        <w:ind w:firstLine="549" w:firstLineChars="229"/>
        <w:rPr>
          <w:rFonts w:ascii="宋体" w:hAnsi="宋体" w:cs="宋体"/>
          <w:color w:val="auto"/>
          <w:sz w:val="24"/>
          <w:highlight w:val="none"/>
        </w:rPr>
      </w:pPr>
    </w:p>
    <w:p w14:paraId="4BBC6786">
      <w:pPr>
        <w:spacing w:line="360" w:lineRule="auto"/>
        <w:ind w:firstLine="549" w:firstLineChars="229"/>
        <w:rPr>
          <w:rFonts w:ascii="宋体" w:hAnsi="宋体" w:cs="宋体"/>
          <w:color w:val="auto"/>
          <w:sz w:val="24"/>
          <w:highlight w:val="none"/>
        </w:rPr>
      </w:pPr>
    </w:p>
    <w:p w14:paraId="184E2B70">
      <w:pPr>
        <w:spacing w:line="360" w:lineRule="auto"/>
        <w:ind w:firstLine="549" w:firstLineChars="229"/>
        <w:rPr>
          <w:rFonts w:ascii="宋体" w:hAnsi="宋体" w:cs="宋体"/>
          <w:color w:val="auto"/>
          <w:sz w:val="24"/>
          <w:highlight w:val="none"/>
        </w:rPr>
      </w:pPr>
    </w:p>
    <w:p w14:paraId="2D8DCEC1">
      <w:pPr>
        <w:spacing w:line="360" w:lineRule="auto"/>
        <w:ind w:firstLine="549" w:firstLineChars="229"/>
        <w:rPr>
          <w:rFonts w:ascii="宋体" w:hAnsi="宋体" w:cs="宋体"/>
          <w:color w:val="auto"/>
          <w:sz w:val="24"/>
          <w:highlight w:val="none"/>
        </w:rPr>
      </w:pPr>
    </w:p>
    <w:p w14:paraId="1C87B8AB">
      <w:pPr>
        <w:spacing w:line="360" w:lineRule="auto"/>
        <w:ind w:firstLine="549" w:firstLineChars="229"/>
        <w:rPr>
          <w:rFonts w:ascii="宋体" w:hAnsi="宋体" w:cs="宋体"/>
          <w:color w:val="auto"/>
          <w:sz w:val="24"/>
          <w:highlight w:val="none"/>
        </w:rPr>
      </w:pPr>
    </w:p>
    <w:p w14:paraId="34835B0F">
      <w:pPr>
        <w:spacing w:line="360" w:lineRule="auto"/>
        <w:ind w:firstLine="549" w:firstLineChars="229"/>
        <w:rPr>
          <w:rFonts w:ascii="宋体" w:hAnsi="宋体" w:cs="宋体"/>
          <w:color w:val="auto"/>
          <w:sz w:val="24"/>
          <w:highlight w:val="none"/>
        </w:rPr>
      </w:pPr>
    </w:p>
    <w:p w14:paraId="131C4BBF">
      <w:pPr>
        <w:spacing w:line="360" w:lineRule="auto"/>
        <w:ind w:firstLine="549" w:firstLineChars="229"/>
        <w:rPr>
          <w:rFonts w:ascii="宋体" w:hAnsi="宋体" w:cs="宋体"/>
          <w:color w:val="auto"/>
          <w:sz w:val="24"/>
          <w:highlight w:val="none"/>
        </w:rPr>
      </w:pPr>
    </w:p>
    <w:p w14:paraId="522F4B30">
      <w:pPr>
        <w:spacing w:line="360" w:lineRule="auto"/>
        <w:ind w:firstLine="549" w:firstLineChars="229"/>
        <w:rPr>
          <w:rFonts w:ascii="宋体" w:hAnsi="宋体" w:cs="宋体"/>
          <w:color w:val="auto"/>
          <w:sz w:val="24"/>
          <w:highlight w:val="none"/>
        </w:rPr>
      </w:pPr>
    </w:p>
    <w:p w14:paraId="10D5074C">
      <w:pPr>
        <w:spacing w:line="360" w:lineRule="auto"/>
        <w:ind w:firstLine="549" w:firstLineChars="229"/>
        <w:rPr>
          <w:rFonts w:ascii="宋体" w:hAnsi="宋体" w:cs="宋体"/>
          <w:color w:val="auto"/>
          <w:sz w:val="24"/>
          <w:highlight w:val="none"/>
        </w:rPr>
      </w:pPr>
    </w:p>
    <w:p w14:paraId="5AD792B2">
      <w:pPr>
        <w:spacing w:line="360" w:lineRule="auto"/>
        <w:rPr>
          <w:rFonts w:ascii="宋体" w:hAnsi="宋体" w:cs="宋体"/>
          <w:color w:val="auto"/>
          <w:sz w:val="24"/>
          <w:highlight w:val="none"/>
        </w:rPr>
      </w:pPr>
    </w:p>
    <w:bookmarkEnd w:id="2"/>
    <w:p w14:paraId="0739803B">
      <w:pPr>
        <w:adjustRightInd/>
        <w:spacing w:line="360" w:lineRule="auto"/>
        <w:jc w:val="center"/>
        <w:outlineLvl w:val="0"/>
        <w:rPr>
          <w:rFonts w:hint="eastAsia" w:ascii="宋体" w:hAnsi="宋体" w:cs="宋体"/>
          <w:b/>
          <w:color w:val="auto"/>
          <w:sz w:val="36"/>
          <w:szCs w:val="36"/>
          <w:highlight w:val="none"/>
        </w:rPr>
        <w:sectPr>
          <w:headerReference r:id="rId4" w:type="first"/>
          <w:footerReference r:id="rId7" w:type="first"/>
          <w:headerReference r:id="rId3" w:type="default"/>
          <w:footerReference r:id="rId5" w:type="default"/>
          <w:footerReference r:id="rId6" w:type="even"/>
          <w:pgSz w:w="11905" w:h="16838"/>
          <w:pgMar w:top="1440" w:right="1440" w:bottom="1440" w:left="1440"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bookmarkStart w:id="3" w:name="_Hlt74649545"/>
      <w:bookmarkEnd w:id="3"/>
      <w:bookmarkStart w:id="4" w:name="_Hlt74707423"/>
      <w:bookmarkEnd w:id="4"/>
      <w:bookmarkStart w:id="5" w:name="_Hlt74728647"/>
      <w:bookmarkEnd w:id="5"/>
      <w:bookmarkStart w:id="6" w:name="_Hlt74729822"/>
      <w:bookmarkEnd w:id="6"/>
      <w:bookmarkStart w:id="7" w:name="_Toc7957"/>
      <w:bookmarkStart w:id="8" w:name="第二部分"/>
      <w:bookmarkStart w:id="9" w:name="_Toc91899870"/>
      <w:bookmarkStart w:id="10" w:name="_Toc91899871"/>
    </w:p>
    <w:p w14:paraId="7E837AF2">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竞争性磋商公告</w:t>
      </w:r>
      <w:bookmarkEnd w:id="7"/>
    </w:p>
    <w:p w14:paraId="19AC2318">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4"/>
          <w:highlight w:val="none"/>
        </w:rPr>
      </w:pPr>
      <w:r>
        <w:rPr>
          <w:rFonts w:hint="eastAsia" w:ascii="宋体" w:hAnsi="宋体" w:cs="宋体"/>
          <w:color w:val="auto"/>
          <w:sz w:val="24"/>
          <w:highlight w:val="none"/>
        </w:rPr>
        <w:t>项目概况</w:t>
      </w:r>
    </w:p>
    <w:p w14:paraId="518E775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single"/>
          <w:lang w:eastAsia="zh-CN"/>
        </w:rPr>
        <w:t>宁波市公安局交通管理支队海曙大队高桥中队修缮项目</w:t>
      </w:r>
      <w:r>
        <w:rPr>
          <w:rFonts w:hint="eastAsia" w:ascii="宋体" w:hAnsi="宋体" w:eastAsia="宋体" w:cs="宋体"/>
          <w:color w:val="auto"/>
          <w:sz w:val="24"/>
          <w:szCs w:val="24"/>
          <w:highlight w:val="none"/>
        </w:rPr>
        <w:t>采购项目的潜在供应商应在政采云平台（</w:t>
      </w:r>
      <w:r>
        <w:rPr>
          <w:rFonts w:hint="eastAsia" w:ascii="宋体" w:hAnsi="宋体" w:eastAsia="宋体" w:cs="宋体"/>
          <w:snapToGrid/>
          <w:color w:val="auto"/>
          <w:kern w:val="2"/>
          <w:sz w:val="24"/>
          <w:szCs w:val="24"/>
          <w:highlight w:val="none"/>
          <w:u w:val="none"/>
        </w:rPr>
        <w:t>https://www.zcygov.cn/）获取（下载）采购文件，并于</w:t>
      </w:r>
      <w:r>
        <w:rPr>
          <w:rFonts w:hint="eastAsia" w:ascii="宋体" w:hAnsi="宋体" w:eastAsia="宋体" w:cs="宋体"/>
          <w:color w:val="auto"/>
          <w:sz w:val="24"/>
          <w:szCs w:val="24"/>
          <w:highlight w:val="none"/>
          <w:u w:val="none"/>
        </w:rPr>
        <w:t>202</w:t>
      </w:r>
      <w:r>
        <w:rPr>
          <w:rFonts w:hint="eastAsia" w:ascii="宋体" w:hAnsi="宋体" w:cs="宋体"/>
          <w:color w:val="auto"/>
          <w:sz w:val="24"/>
          <w:szCs w:val="24"/>
          <w:highlight w:val="none"/>
          <w:u w:val="none"/>
          <w:lang w:val="en-US" w:eastAsia="zh-CN"/>
        </w:rPr>
        <w:t>5</w:t>
      </w:r>
      <w:r>
        <w:rPr>
          <w:rFonts w:hint="eastAsia" w:ascii="宋体" w:hAnsi="宋体" w:eastAsia="宋体" w:cs="宋体"/>
          <w:color w:val="auto"/>
          <w:sz w:val="24"/>
          <w:szCs w:val="24"/>
          <w:highlight w:val="none"/>
          <w:u w:val="none"/>
        </w:rPr>
        <w:t>年</w:t>
      </w:r>
      <w:r>
        <w:rPr>
          <w:rFonts w:hint="eastAsia" w:ascii="宋体" w:hAnsi="宋体" w:cs="宋体"/>
          <w:color w:val="auto"/>
          <w:sz w:val="24"/>
          <w:szCs w:val="24"/>
          <w:highlight w:val="none"/>
          <w:u w:val="none"/>
          <w:lang w:val="en-US" w:eastAsia="zh-CN"/>
        </w:rPr>
        <w:t>7</w:t>
      </w:r>
      <w:r>
        <w:rPr>
          <w:rFonts w:hint="eastAsia" w:ascii="宋体" w:hAnsi="宋体" w:eastAsia="宋体" w:cs="宋体"/>
          <w:color w:val="auto"/>
          <w:sz w:val="24"/>
          <w:szCs w:val="24"/>
          <w:highlight w:val="none"/>
          <w:u w:val="none"/>
        </w:rPr>
        <w:t>月</w:t>
      </w:r>
      <w:r>
        <w:rPr>
          <w:rFonts w:hint="eastAsia" w:ascii="宋体" w:hAnsi="宋体" w:cs="宋体"/>
          <w:color w:val="auto"/>
          <w:sz w:val="24"/>
          <w:szCs w:val="24"/>
          <w:highlight w:val="none"/>
          <w:u w:val="none"/>
          <w:lang w:val="en-US" w:eastAsia="zh-CN"/>
        </w:rPr>
        <w:t>29</w:t>
      </w:r>
      <w:r>
        <w:rPr>
          <w:rFonts w:hint="eastAsia" w:ascii="宋体" w:hAnsi="宋体" w:eastAsia="宋体" w:cs="宋体"/>
          <w:color w:val="auto"/>
          <w:sz w:val="24"/>
          <w:szCs w:val="24"/>
          <w:highlight w:val="none"/>
          <w:u w:val="none"/>
        </w:rPr>
        <w:t>日</w:t>
      </w:r>
      <w:r>
        <w:rPr>
          <w:rFonts w:hint="eastAsia" w:ascii="宋体" w:hAnsi="宋体" w:cs="宋体"/>
          <w:color w:val="auto"/>
          <w:sz w:val="24"/>
          <w:szCs w:val="24"/>
          <w:highlight w:val="none"/>
          <w:u w:val="none"/>
          <w:lang w:val="en-US" w:eastAsia="zh-CN"/>
        </w:rPr>
        <w:t>09</w:t>
      </w:r>
      <w:r>
        <w:rPr>
          <w:rFonts w:hint="eastAsia" w:ascii="宋体" w:hAnsi="宋体" w:eastAsia="宋体" w:cs="宋体"/>
          <w:color w:val="auto"/>
          <w:sz w:val="24"/>
          <w:szCs w:val="24"/>
          <w:highlight w:val="none"/>
          <w:u w:val="none"/>
        </w:rPr>
        <w:t>点</w:t>
      </w:r>
      <w:r>
        <w:rPr>
          <w:rFonts w:hint="eastAsia" w:ascii="宋体" w:hAnsi="宋体" w:eastAsia="宋体" w:cs="宋体"/>
          <w:color w:val="auto"/>
          <w:sz w:val="24"/>
          <w:szCs w:val="24"/>
          <w:highlight w:val="none"/>
          <w:u w:val="none"/>
          <w:lang w:val="en-US" w:eastAsia="zh-CN"/>
        </w:rPr>
        <w:t>00</w:t>
      </w:r>
      <w:r>
        <w:rPr>
          <w:rFonts w:hint="eastAsia" w:ascii="宋体" w:hAnsi="宋体" w:eastAsia="宋体" w:cs="宋体"/>
          <w:color w:val="auto"/>
          <w:sz w:val="24"/>
          <w:szCs w:val="24"/>
          <w:highlight w:val="none"/>
          <w:u w:val="none"/>
        </w:rPr>
        <w:t>分</w:t>
      </w:r>
      <w:r>
        <w:rPr>
          <w:rFonts w:hint="eastAsia" w:ascii="宋体" w:hAnsi="宋体" w:eastAsia="宋体" w:cs="宋体"/>
          <w:bCs/>
          <w:color w:val="auto"/>
          <w:sz w:val="24"/>
          <w:szCs w:val="24"/>
          <w:highlight w:val="none"/>
        </w:rPr>
        <w:t>（北京时间）前</w:t>
      </w:r>
      <w:r>
        <w:rPr>
          <w:rFonts w:hint="eastAsia" w:ascii="宋体" w:hAnsi="宋体" w:eastAsia="宋体" w:cs="宋体"/>
          <w:color w:val="auto"/>
          <w:sz w:val="24"/>
          <w:szCs w:val="24"/>
          <w:highlight w:val="none"/>
        </w:rPr>
        <w:t>提交（上传）响应文件。</w:t>
      </w:r>
    </w:p>
    <w:p w14:paraId="0C4F3B7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2388A41">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CBNB-20252346GGC</w:t>
      </w:r>
    </w:p>
    <w:p w14:paraId="04C496ED">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snapToGrid w:val="0"/>
          <w:color w:val="auto"/>
          <w:spacing w:val="-6"/>
          <w:kern w:val="21"/>
          <w:sz w:val="24"/>
          <w:highlight w:val="none"/>
          <w:lang w:eastAsia="zh-CN"/>
        </w:rPr>
        <w:t>宁波市公安局交通管理支队海曙大队高桥中队修缮项目</w:t>
      </w:r>
    </w:p>
    <w:p w14:paraId="63E78619">
      <w:pPr>
        <w:snapToGrid w:val="0"/>
        <w:spacing w:line="360" w:lineRule="auto"/>
        <w:ind w:firstLine="482" w:firstLineChars="200"/>
        <w:rPr>
          <w:rFonts w:hint="default" w:ascii="宋体" w:hAnsi="宋体" w:cs="宋体"/>
          <w:color w:val="auto"/>
          <w:sz w:val="24"/>
          <w:highlight w:val="none"/>
          <w:lang w:val="en-US"/>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lang w:val="en-US" w:eastAsia="zh-CN"/>
        </w:rPr>
        <w:t>1165379.00</w:t>
      </w:r>
    </w:p>
    <w:p w14:paraId="04166C0F">
      <w:pPr>
        <w:snapToGrid w:val="0"/>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1165379.00</w:t>
      </w:r>
      <w:r>
        <w:rPr>
          <w:rFonts w:hint="eastAsia" w:ascii="宋体" w:hAnsi="宋体" w:cs="宋体"/>
          <w:color w:val="auto"/>
          <w:sz w:val="24"/>
          <w:highlight w:val="none"/>
        </w:rPr>
        <w:t xml:space="preserve"> </w:t>
      </w:r>
    </w:p>
    <w:p w14:paraId="1AD91D52">
      <w:pPr>
        <w:snapToGrid w:val="0"/>
        <w:spacing w:line="360" w:lineRule="auto"/>
        <w:ind w:firstLine="482" w:firstLineChars="200"/>
        <w:rPr>
          <w:rFonts w:hint="eastAsia" w:hAnsi="宋体" w:cs="宋体"/>
          <w:b/>
          <w:color w:val="auto"/>
          <w:sz w:val="24"/>
          <w:highlight w:val="none"/>
        </w:rPr>
      </w:pPr>
      <w:r>
        <w:rPr>
          <w:rFonts w:hint="eastAsia" w:hAnsi="宋体" w:cs="宋体"/>
          <w:b/>
          <w:color w:val="auto"/>
          <w:sz w:val="24"/>
          <w:highlight w:val="none"/>
        </w:rPr>
        <w:t>采购需求：</w:t>
      </w:r>
    </w:p>
    <w:p w14:paraId="28DC9D83">
      <w:pPr>
        <w:snapToGrid w:val="0"/>
        <w:spacing w:line="360" w:lineRule="auto"/>
        <w:ind w:firstLine="482" w:firstLineChars="200"/>
        <w:rPr>
          <w:rFonts w:hint="eastAsia" w:ascii="宋体" w:hAnsi="宋体" w:cs="宋体"/>
          <w:color w:val="auto"/>
          <w:spacing w:val="-6"/>
          <w:kern w:val="21"/>
          <w:sz w:val="24"/>
          <w:highlight w:val="none"/>
          <w:lang w:eastAsia="zh-CN"/>
        </w:rPr>
      </w:pPr>
      <w:r>
        <w:rPr>
          <w:rFonts w:hint="eastAsia" w:hAnsi="宋体" w:cs="宋体"/>
          <w:b/>
          <w:color w:val="auto"/>
          <w:sz w:val="24"/>
          <w:highlight w:val="none"/>
        </w:rPr>
        <w:t>标项名称：</w:t>
      </w:r>
      <w:r>
        <w:rPr>
          <w:rFonts w:hint="eastAsia" w:ascii="宋体" w:hAnsi="宋体" w:cs="宋体"/>
          <w:snapToGrid w:val="0"/>
          <w:color w:val="auto"/>
          <w:spacing w:val="-6"/>
          <w:kern w:val="21"/>
          <w:sz w:val="24"/>
          <w:highlight w:val="none"/>
          <w:lang w:eastAsia="zh-CN"/>
        </w:rPr>
        <w:t>业务技术用房修缮</w:t>
      </w:r>
    </w:p>
    <w:p w14:paraId="47C0875F">
      <w:pPr>
        <w:snapToGrid w:val="0"/>
        <w:spacing w:line="360" w:lineRule="auto"/>
        <w:ind w:firstLine="482" w:firstLineChars="200"/>
        <w:rPr>
          <w:rFonts w:hint="eastAsia" w:hAnsi="宋体" w:cs="宋体"/>
          <w:b/>
          <w:color w:val="auto"/>
          <w:sz w:val="24"/>
          <w:highlight w:val="none"/>
        </w:rPr>
      </w:pPr>
      <w:r>
        <w:rPr>
          <w:rFonts w:hint="eastAsia" w:hAnsi="宋体" w:cs="宋体"/>
          <w:b/>
          <w:color w:val="auto"/>
          <w:sz w:val="24"/>
          <w:highlight w:val="none"/>
          <w:lang w:val="en-US" w:eastAsia="zh-CN"/>
        </w:rPr>
        <w:t>数量：</w:t>
      </w:r>
      <w:r>
        <w:rPr>
          <w:rFonts w:hint="eastAsia" w:hAnsi="宋体" w:cs="宋体"/>
          <w:b w:val="0"/>
          <w:bCs/>
          <w:color w:val="auto"/>
          <w:sz w:val="24"/>
          <w:highlight w:val="none"/>
          <w:lang w:val="en-US" w:eastAsia="zh-CN"/>
        </w:rPr>
        <w:t>1</w:t>
      </w:r>
      <w:r>
        <w:rPr>
          <w:rFonts w:hint="eastAsia" w:hAnsi="宋体" w:cs="宋体"/>
          <w:b/>
          <w:color w:val="auto"/>
          <w:sz w:val="24"/>
          <w:highlight w:val="none"/>
          <w:lang w:val="en-US" w:eastAsia="zh-CN"/>
        </w:rPr>
        <w:t>      </w:t>
      </w:r>
    </w:p>
    <w:p w14:paraId="17F96F19">
      <w:pPr>
        <w:snapToGrid w:val="0"/>
        <w:spacing w:line="360" w:lineRule="auto"/>
        <w:ind w:firstLine="482" w:firstLineChars="200"/>
        <w:rPr>
          <w:rFonts w:hint="eastAsia" w:hAnsi="宋体" w:cs="宋体"/>
          <w:b/>
          <w:color w:val="auto"/>
          <w:sz w:val="24"/>
          <w:highlight w:val="none"/>
        </w:rPr>
      </w:pPr>
      <w:r>
        <w:rPr>
          <w:rFonts w:hint="eastAsia" w:hAnsi="宋体" w:cs="宋体"/>
          <w:b/>
          <w:color w:val="auto"/>
          <w:sz w:val="24"/>
          <w:highlight w:val="none"/>
        </w:rPr>
        <w:t>预算金额（元）：</w:t>
      </w:r>
      <w:r>
        <w:rPr>
          <w:rFonts w:hint="eastAsia" w:ascii="宋体" w:hAnsi="宋体" w:cs="宋体"/>
          <w:b w:val="0"/>
          <w:bCs/>
          <w:color w:val="auto"/>
          <w:sz w:val="24"/>
          <w:highlight w:val="none"/>
          <w:lang w:val="en-US" w:eastAsia="zh-CN"/>
        </w:rPr>
        <w:t>1165379.00</w:t>
      </w:r>
      <w:r>
        <w:rPr>
          <w:rFonts w:hint="eastAsia" w:ascii="宋体" w:hAnsi="宋体" w:cs="宋体"/>
          <w:color w:val="auto"/>
          <w:sz w:val="24"/>
          <w:highlight w:val="none"/>
        </w:rPr>
        <w:t xml:space="preserve">  </w:t>
      </w:r>
    </w:p>
    <w:p w14:paraId="0CBA003A">
      <w:pPr>
        <w:snapToGrid w:val="0"/>
        <w:spacing w:line="360" w:lineRule="auto"/>
        <w:ind w:firstLine="482" w:firstLineChars="200"/>
        <w:rPr>
          <w:rFonts w:hint="eastAsia" w:hAnsi="宋体" w:cs="宋体"/>
          <w:b/>
          <w:color w:val="auto"/>
          <w:sz w:val="24"/>
          <w:highlight w:val="none"/>
        </w:rPr>
      </w:pPr>
      <w:r>
        <w:rPr>
          <w:rFonts w:hint="eastAsia" w:hAnsi="宋体" w:cs="宋体"/>
          <w:b/>
          <w:color w:val="auto"/>
          <w:sz w:val="24"/>
          <w:highlight w:val="none"/>
        </w:rPr>
        <w:t>单位：</w:t>
      </w:r>
      <w:r>
        <w:rPr>
          <w:rFonts w:hint="eastAsia" w:hAnsi="宋体" w:cs="宋体"/>
          <w:b w:val="0"/>
          <w:bCs/>
          <w:color w:val="auto"/>
          <w:sz w:val="24"/>
          <w:highlight w:val="none"/>
        </w:rPr>
        <w:t>项</w:t>
      </w:r>
      <w:r>
        <w:rPr>
          <w:rFonts w:hint="eastAsia" w:hAnsi="宋体" w:cs="宋体"/>
          <w:b/>
          <w:color w:val="auto"/>
          <w:sz w:val="24"/>
          <w:highlight w:val="none"/>
        </w:rPr>
        <w:t> </w:t>
      </w:r>
    </w:p>
    <w:p w14:paraId="69993A01">
      <w:pPr>
        <w:snapToGrid w:val="0"/>
        <w:spacing w:line="360" w:lineRule="auto"/>
        <w:ind w:firstLine="482" w:firstLineChars="200"/>
        <w:rPr>
          <w:rFonts w:hint="eastAsia" w:ascii="宋体" w:hAnsi="宋体" w:eastAsia="宋体" w:cs="宋体"/>
          <w:bCs/>
          <w:snapToGrid/>
          <w:color w:val="auto"/>
          <w:kern w:val="2"/>
          <w:sz w:val="24"/>
          <w:szCs w:val="24"/>
          <w:highlight w:val="none"/>
        </w:rPr>
      </w:pPr>
      <w:r>
        <w:rPr>
          <w:rFonts w:hint="eastAsia" w:hAnsi="宋体" w:cs="宋体"/>
          <w:b/>
          <w:color w:val="auto"/>
          <w:sz w:val="24"/>
          <w:highlight w:val="none"/>
        </w:rPr>
        <w:t>简要规格描述：</w:t>
      </w:r>
      <w:r>
        <w:rPr>
          <w:rFonts w:hint="eastAsia" w:ascii="宋体" w:hAnsi="宋体" w:cs="宋体"/>
          <w:bCs/>
          <w:snapToGrid/>
          <w:color w:val="auto"/>
          <w:kern w:val="2"/>
          <w:sz w:val="24"/>
          <w:szCs w:val="24"/>
          <w:highlight w:val="none"/>
          <w:lang w:eastAsia="zh-CN"/>
        </w:rPr>
        <w:t>宁波市公安局交通管理支队海曙大队高桥中队业务技术用房修缮</w:t>
      </w:r>
      <w:r>
        <w:rPr>
          <w:rFonts w:hint="eastAsia" w:ascii="宋体" w:hAnsi="宋体" w:eastAsia="宋体" w:cs="宋体"/>
          <w:bCs/>
          <w:snapToGrid/>
          <w:color w:val="auto"/>
          <w:kern w:val="2"/>
          <w:sz w:val="24"/>
          <w:szCs w:val="24"/>
          <w:highlight w:val="none"/>
        </w:rPr>
        <w:t>，具体详见采购文件第三部分采购需求。</w:t>
      </w:r>
    </w:p>
    <w:p w14:paraId="5F998DB8">
      <w:pPr>
        <w:snapToGrid w:val="0"/>
        <w:spacing w:line="360" w:lineRule="auto"/>
        <w:ind w:firstLine="482" w:firstLineChars="200"/>
        <w:rPr>
          <w:rFonts w:hint="eastAsia" w:hAnsi="宋体" w:cs="宋体"/>
          <w:b/>
          <w:color w:val="auto"/>
          <w:sz w:val="24"/>
          <w:highlight w:val="none"/>
        </w:rPr>
      </w:pPr>
      <w:r>
        <w:rPr>
          <w:rFonts w:hint="eastAsia" w:hAnsi="宋体" w:cs="宋体"/>
          <w:b/>
          <w:color w:val="auto"/>
          <w:sz w:val="24"/>
          <w:highlight w:val="none"/>
        </w:rPr>
        <w:t>备注：</w:t>
      </w:r>
      <w:r>
        <w:rPr>
          <w:rFonts w:hint="eastAsia" w:hAnsi="宋体" w:cs="宋体"/>
          <w:b w:val="0"/>
          <w:bCs/>
          <w:color w:val="auto"/>
          <w:sz w:val="24"/>
          <w:highlight w:val="none"/>
          <w:lang w:val="en-US" w:eastAsia="zh-CN"/>
        </w:rPr>
        <w:t>/。</w:t>
      </w:r>
      <w:r>
        <w:rPr>
          <w:rFonts w:hint="eastAsia" w:hAnsi="宋体" w:cs="宋体"/>
          <w:b/>
          <w:color w:val="auto"/>
          <w:sz w:val="24"/>
          <w:highlight w:val="none"/>
        </w:rPr>
        <w:t> </w:t>
      </w:r>
    </w:p>
    <w:p w14:paraId="3E5D9588">
      <w:pPr>
        <w:pStyle w:val="134"/>
        <w:snapToGrid w:val="0"/>
        <w:spacing w:before="0"/>
        <w:ind w:firstLine="482"/>
        <w:outlineLvl w:val="2"/>
        <w:rPr>
          <w:rFonts w:ascii="宋体" w:hAnsi="宋体" w:cs="宋体"/>
          <w:color w:val="auto"/>
          <w:highlight w:val="none"/>
        </w:rPr>
      </w:pPr>
      <w:bookmarkStart w:id="11" w:name="_Toc20655"/>
      <w:r>
        <w:rPr>
          <w:rFonts w:hint="eastAsia" w:ascii="宋体" w:hAnsi="宋体" w:cs="宋体"/>
          <w:b/>
          <w:color w:val="auto"/>
          <w:highlight w:val="none"/>
        </w:rPr>
        <w:t>合同履约期限：</w:t>
      </w:r>
      <w:r>
        <w:rPr>
          <w:rFonts w:hint="eastAsia" w:ascii="宋体" w:hAnsi="宋体" w:eastAsia="宋体" w:cs="宋体"/>
          <w:bCs/>
          <w:snapToGrid/>
          <w:color w:val="auto"/>
          <w:kern w:val="2"/>
          <w:sz w:val="24"/>
          <w:szCs w:val="24"/>
          <w:highlight w:val="none"/>
          <w:lang w:val="en-US" w:eastAsia="zh-CN" w:bidi="ar-SA"/>
        </w:rPr>
        <w:t>自合同签订</w:t>
      </w:r>
      <w:r>
        <w:rPr>
          <w:rFonts w:hint="eastAsia" w:ascii="Times New Roman" w:hAnsi="宋体" w:eastAsia="宋体" w:cs="宋体"/>
          <w:bCs/>
          <w:snapToGrid/>
          <w:color w:val="auto"/>
          <w:kern w:val="2"/>
          <w:sz w:val="24"/>
          <w:szCs w:val="24"/>
          <w:highlight w:val="none"/>
          <w:lang w:val="en-US" w:eastAsia="zh-CN" w:bidi="ar-SA"/>
        </w:rPr>
        <w:t>之日起至合同全部义务履行完毕止。</w:t>
      </w:r>
      <w:bookmarkEnd w:id="11"/>
    </w:p>
    <w:p w14:paraId="35FB7F72">
      <w:pPr>
        <w:spacing w:line="360" w:lineRule="auto"/>
        <w:ind w:firstLine="482" w:firstLineChars="200"/>
        <w:rPr>
          <w:rFonts w:hint="eastAsia" w:hAnsi="宋体" w:eastAsia="宋体" w:cs="宋体"/>
          <w:b/>
          <w:color w:val="auto"/>
          <w:sz w:val="24"/>
          <w:highlight w:val="none"/>
          <w:lang w:eastAsia="zh-CN"/>
        </w:rPr>
      </w:pPr>
      <w:r>
        <w:rPr>
          <w:rFonts w:hint="eastAsia" w:hAnsi="宋体" w:cs="宋体"/>
          <w:b/>
          <w:color w:val="auto"/>
          <w:sz w:val="24"/>
          <w:highlight w:val="none"/>
        </w:rPr>
        <w:t>本项目</w:t>
      </w:r>
      <w:r>
        <w:rPr>
          <w:rFonts w:hint="eastAsia" w:hAnsi="宋体" w:cs="宋体"/>
          <w:b/>
          <w:color w:val="auto"/>
          <w:sz w:val="24"/>
          <w:highlight w:val="none"/>
          <w:lang w:eastAsia="zh-CN"/>
        </w:rPr>
        <w:t>（</w:t>
      </w:r>
      <w:r>
        <w:rPr>
          <w:rFonts w:hint="eastAsia" w:hAnsi="宋体" w:cs="宋体"/>
          <w:b/>
          <w:color w:val="auto"/>
          <w:sz w:val="24"/>
          <w:highlight w:val="none"/>
          <w:lang w:val="en-US" w:eastAsia="zh-CN"/>
        </w:rPr>
        <w:t>否</w:t>
      </w:r>
      <w:r>
        <w:rPr>
          <w:rFonts w:hint="eastAsia" w:hAnsi="宋体" w:cs="宋体"/>
          <w:b/>
          <w:color w:val="auto"/>
          <w:sz w:val="24"/>
          <w:highlight w:val="none"/>
          <w:lang w:eastAsia="zh-CN"/>
        </w:rPr>
        <w:t>）</w:t>
      </w:r>
      <w:r>
        <w:rPr>
          <w:rFonts w:hint="eastAsia" w:hAnsi="宋体" w:cs="宋体"/>
          <w:b/>
          <w:color w:val="auto"/>
          <w:sz w:val="24"/>
          <w:highlight w:val="none"/>
        </w:rPr>
        <w:t>接受联合体</w:t>
      </w:r>
      <w:r>
        <w:rPr>
          <w:rFonts w:hint="eastAsia" w:hAnsi="宋体" w:cs="宋体"/>
          <w:b/>
          <w:color w:val="auto"/>
          <w:sz w:val="24"/>
          <w:highlight w:val="none"/>
          <w:lang w:val="en-US" w:eastAsia="zh-CN"/>
        </w:rPr>
        <w:t>响应</w:t>
      </w:r>
      <w:r>
        <w:rPr>
          <w:rFonts w:hint="eastAsia" w:hAnsi="宋体" w:cs="宋体"/>
          <w:b/>
          <w:color w:val="auto"/>
          <w:sz w:val="24"/>
          <w:highlight w:val="none"/>
          <w:lang w:eastAsia="zh-CN"/>
        </w:rPr>
        <w:t>。</w:t>
      </w:r>
    </w:p>
    <w:p w14:paraId="64A2EAC9">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2" w:name="_Hlk101132948"/>
      <w:r>
        <w:rPr>
          <w:rFonts w:hint="eastAsia" w:ascii="宋体" w:hAnsi="宋体" w:cs="宋体"/>
          <w:b/>
          <w:color w:val="auto"/>
          <w:sz w:val="24"/>
          <w:highlight w:val="none"/>
        </w:rPr>
        <w:t>申请人的资格要求</w:t>
      </w:r>
      <w:bookmarkEnd w:id="12"/>
      <w:r>
        <w:rPr>
          <w:rFonts w:hint="eastAsia" w:ascii="宋体" w:hAnsi="宋体" w:cs="宋体"/>
          <w:b/>
          <w:color w:val="auto"/>
          <w:sz w:val="24"/>
          <w:highlight w:val="none"/>
        </w:rPr>
        <w:t>：</w:t>
      </w:r>
    </w:p>
    <w:p w14:paraId="39B1F703">
      <w:pPr>
        <w:spacing w:line="360" w:lineRule="auto"/>
        <w:ind w:firstLine="480"/>
        <w:rPr>
          <w:rFonts w:hint="eastAsia" w:ascii="宋体" w:hAnsi="宋体" w:eastAsia="宋体" w:cs="宋体"/>
          <w:snapToGrid w:val="0"/>
          <w:color w:val="auto"/>
          <w:kern w:val="28"/>
          <w:sz w:val="24"/>
          <w:szCs w:val="20"/>
          <w:highlight w:val="none"/>
          <w:lang w:eastAsia="zh-CN"/>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w:t>
      </w:r>
      <w:r>
        <w:rPr>
          <w:rFonts w:hint="eastAsia" w:ascii="宋体" w:hAnsi="宋体" w:cs="宋体"/>
          <w:snapToGrid w:val="0"/>
          <w:color w:val="auto"/>
          <w:kern w:val="28"/>
          <w:sz w:val="24"/>
          <w:szCs w:val="20"/>
          <w:highlight w:val="none"/>
          <w:lang w:eastAsia="zh-CN"/>
        </w:rPr>
        <w:t>重大税收违法失信主体</w:t>
      </w:r>
      <w:r>
        <w:rPr>
          <w:rFonts w:hint="eastAsia" w:ascii="宋体" w:hAnsi="宋体" w:cs="宋体"/>
          <w:snapToGrid w:val="0"/>
          <w:color w:val="auto"/>
          <w:kern w:val="28"/>
          <w:sz w:val="24"/>
          <w:szCs w:val="20"/>
          <w:highlight w:val="none"/>
        </w:rPr>
        <w:t>、政府采购严重违法失信行为记录名单</w:t>
      </w:r>
      <w:r>
        <w:rPr>
          <w:rFonts w:hint="eastAsia" w:ascii="宋体" w:hAnsi="宋体" w:cs="宋体"/>
          <w:snapToGrid w:val="0"/>
          <w:color w:val="auto"/>
          <w:kern w:val="28"/>
          <w:sz w:val="24"/>
          <w:szCs w:val="20"/>
          <w:highlight w:val="none"/>
          <w:lang w:eastAsia="zh-CN"/>
        </w:rPr>
        <w:t>。</w:t>
      </w:r>
    </w:p>
    <w:p w14:paraId="1D3B41F1">
      <w:pPr>
        <w:spacing w:line="360" w:lineRule="auto"/>
        <w:ind w:firstLine="480" w:firstLineChars="200"/>
        <w:rPr>
          <w:rFonts w:hint="default" w:ascii="宋体" w:hAnsi="宋体" w:eastAsia="宋体" w:cs="宋体"/>
          <w:snapToGrid w:val="0"/>
          <w:color w:val="auto"/>
          <w:kern w:val="28"/>
          <w:sz w:val="24"/>
          <w:szCs w:val="20"/>
          <w:highlight w:val="none"/>
          <w:lang w:val="en-US" w:eastAsia="zh-CN"/>
        </w:rPr>
      </w:pPr>
      <w:r>
        <w:rPr>
          <w:rFonts w:hint="eastAsia" w:ascii="宋体" w:hAnsi="宋体" w:cs="宋体"/>
          <w:snapToGrid w:val="0"/>
          <w:color w:val="auto"/>
          <w:kern w:val="28"/>
          <w:sz w:val="24"/>
          <w:szCs w:val="20"/>
          <w:highlight w:val="none"/>
          <w:lang w:val="en-US" w:eastAsia="zh-CN"/>
        </w:rPr>
        <w:t>2</w:t>
      </w:r>
      <w:r>
        <w:rPr>
          <w:rFonts w:hint="eastAsia" w:ascii="宋体" w:hAnsi="宋体" w:cs="宋体"/>
          <w:snapToGrid w:val="0"/>
          <w:color w:val="auto"/>
          <w:kern w:val="28"/>
          <w:sz w:val="24"/>
          <w:szCs w:val="20"/>
          <w:highlight w:val="none"/>
        </w:rPr>
        <w:t>.落实政府采购政策需满足的资格要求：</w:t>
      </w:r>
      <w:r>
        <w:rPr>
          <w:rFonts w:hint="eastAsia" w:ascii="宋体" w:hAnsi="宋体" w:cs="宋体"/>
          <w:snapToGrid w:val="0"/>
          <w:color w:val="auto"/>
          <w:kern w:val="28"/>
          <w:sz w:val="24"/>
          <w:szCs w:val="20"/>
          <w:highlight w:val="none"/>
          <w:lang w:val="en-US" w:eastAsia="zh-CN"/>
        </w:rPr>
        <w:t>本项目专门面向中小企业采购，</w:t>
      </w:r>
      <w:r>
        <w:rPr>
          <w:rFonts w:hint="eastAsia" w:ascii="宋体" w:hAnsi="宋体" w:eastAsia="宋体" w:cs="宋体"/>
          <w:color w:val="auto"/>
          <w:sz w:val="24"/>
          <w:highlight w:val="none"/>
          <w:lang w:val="en-US" w:eastAsia="zh-CN"/>
        </w:rPr>
        <w:t>工程</w:t>
      </w:r>
      <w:r>
        <w:rPr>
          <w:rFonts w:hint="eastAsia" w:ascii="宋体" w:hAnsi="宋体" w:eastAsia="宋体" w:cs="宋体"/>
          <w:color w:val="auto"/>
          <w:sz w:val="24"/>
          <w:highlight w:val="none"/>
        </w:rPr>
        <w:t>全部由符合政策要求的中小企业</w:t>
      </w:r>
      <w:r>
        <w:rPr>
          <w:rFonts w:hint="eastAsia" w:ascii="宋体" w:hAnsi="宋体" w:cs="宋体"/>
          <w:color w:val="auto"/>
          <w:sz w:val="24"/>
          <w:highlight w:val="none"/>
        </w:rPr>
        <w:t>承建</w:t>
      </w:r>
      <w:r>
        <w:rPr>
          <w:rFonts w:hint="eastAsia" w:ascii="宋体" w:hAnsi="宋体" w:eastAsia="宋体" w:cs="宋体"/>
          <w:color w:val="auto"/>
          <w:sz w:val="24"/>
          <w:highlight w:val="none"/>
        </w:rPr>
        <w:t>，提供中小企业声明函</w:t>
      </w:r>
      <w:r>
        <w:rPr>
          <w:rFonts w:hint="eastAsia" w:ascii="宋体" w:hAnsi="宋体" w:cs="宋体"/>
          <w:color w:val="auto"/>
          <w:sz w:val="24"/>
          <w:highlight w:val="none"/>
        </w:rPr>
        <w:t>。</w:t>
      </w:r>
    </w:p>
    <w:p w14:paraId="61EA65B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供应商具有</w:t>
      </w:r>
      <w:r>
        <w:rPr>
          <w:rFonts w:hint="eastAsia" w:ascii="宋体" w:hAnsi="宋体" w:cs="宋体"/>
          <w:color w:val="auto"/>
          <w:sz w:val="24"/>
          <w:highlight w:val="none"/>
          <w:lang w:eastAsia="zh-CN"/>
        </w:rPr>
        <w:t>建筑工程施工总承包</w:t>
      </w:r>
      <w:r>
        <w:rPr>
          <w:rFonts w:hint="eastAsia" w:ascii="宋体" w:hAnsi="宋体" w:cs="宋体"/>
          <w:color w:val="auto"/>
          <w:sz w:val="24"/>
          <w:highlight w:val="none"/>
          <w:lang w:val="en-US" w:eastAsia="zh-CN"/>
        </w:rPr>
        <w:t>三级</w:t>
      </w:r>
      <w:r>
        <w:rPr>
          <w:rFonts w:hint="eastAsia" w:ascii="宋体" w:hAnsi="宋体" w:cs="宋体"/>
          <w:color w:val="auto"/>
          <w:sz w:val="24"/>
          <w:highlight w:val="none"/>
          <w:lang w:eastAsia="zh-CN"/>
        </w:rPr>
        <w:t>及以上</w:t>
      </w:r>
      <w:r>
        <w:rPr>
          <w:rFonts w:hint="eastAsia" w:ascii="宋体" w:hAnsi="宋体" w:cs="宋体"/>
          <w:color w:val="auto"/>
          <w:sz w:val="24"/>
          <w:highlight w:val="none"/>
          <w:lang w:val="en-US" w:eastAsia="zh-CN"/>
        </w:rPr>
        <w:t>资质</w:t>
      </w:r>
      <w:r>
        <w:rPr>
          <w:rFonts w:hint="eastAsia" w:ascii="宋体" w:hAnsi="宋体" w:cs="宋体"/>
          <w:color w:val="auto"/>
          <w:sz w:val="24"/>
          <w:highlight w:val="none"/>
          <w:lang w:eastAsia="zh-CN"/>
        </w:rPr>
        <w:t>（资质须在有效期内）</w:t>
      </w:r>
      <w:r>
        <w:rPr>
          <w:rFonts w:hint="eastAsia" w:ascii="宋体" w:hAnsi="宋体" w:cs="宋体"/>
          <w:color w:val="auto"/>
          <w:sz w:val="24"/>
          <w:highlight w:val="none"/>
        </w:rPr>
        <w:t>，并具备有效的安全生产许可证。</w:t>
      </w:r>
    </w:p>
    <w:p w14:paraId="6F7568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36CF9F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792C91C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u w:val="single"/>
          <w:lang w:val="en-US" w:eastAsia="zh-CN"/>
        </w:rPr>
        <w:t>2025年7月18日</w:t>
      </w:r>
      <w:r>
        <w:rPr>
          <w:rFonts w:hint="eastAsia" w:ascii="宋体" w:hAnsi="宋体" w:cs="宋体"/>
          <w:color w:val="auto"/>
          <w:sz w:val="24"/>
          <w:highlight w:val="none"/>
          <w:u w:val="single"/>
        </w:rPr>
        <w:t>至</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25</w:t>
      </w:r>
      <w:r>
        <w:rPr>
          <w:rFonts w:hint="eastAsia" w:ascii="宋体" w:hAnsi="宋体" w:eastAsia="宋体" w:cs="宋体"/>
          <w:color w:val="auto"/>
          <w:sz w:val="24"/>
          <w:szCs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4EBD468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6A8A1E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53321AA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C1ED5C">
      <w:pP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14:paraId="09BF76B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29</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u w:val="single"/>
        </w:rPr>
        <w:t>（北京时间）</w:t>
      </w:r>
    </w:p>
    <w:p w14:paraId="349DDA28">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bookmarkStart w:id="1089" w:name="_GoBack"/>
      <w:r>
        <w:rPr>
          <w:rFonts w:hint="eastAsia" w:ascii="宋体" w:hAnsi="宋体" w:cs="宋体"/>
          <w:color w:val="auto"/>
          <w:sz w:val="24"/>
          <w:highlight w:val="none"/>
        </w:rPr>
        <w:t>政采云平台（https://www.zcygov.cn/）</w:t>
      </w:r>
      <w:bookmarkEnd w:id="1089"/>
      <w:r>
        <w:rPr>
          <w:rFonts w:hint="eastAsia" w:ascii="宋体" w:hAnsi="宋体" w:cs="宋体"/>
          <w:color w:val="auto"/>
          <w:sz w:val="24"/>
          <w:highlight w:val="none"/>
        </w:rPr>
        <w:t xml:space="preserve"> </w:t>
      </w:r>
    </w:p>
    <w:p w14:paraId="4BFF7521">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14:paraId="44AA3B0F">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29</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u w:val="single"/>
        </w:rPr>
        <w:t>（北京时间）</w:t>
      </w:r>
    </w:p>
    <w:p w14:paraId="3F86E88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5488D00E">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61CCD9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4D761065">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14:paraId="4BDAF31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1C839C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.其他事项：</w:t>
      </w:r>
    </w:p>
    <w:p w14:paraId="16A1F6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w:t>
      </w:r>
    </w:p>
    <w:p w14:paraId="0EE761E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w:t>
      </w:r>
    </w:p>
    <w:p w14:paraId="32BF8C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）采购文件公告期限与竞争性磋商公告的公告期限一致。</w:t>
      </w:r>
    </w:p>
    <w:p w14:paraId="204E4260">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2FB8C4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3104E40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名称：宁波市公安局交通管理支队</w:t>
      </w:r>
      <w:r>
        <w:rPr>
          <w:rFonts w:hint="eastAsia" w:ascii="宋体" w:hAnsi="宋体" w:cs="宋体"/>
          <w:color w:val="auto"/>
          <w:sz w:val="24"/>
          <w:szCs w:val="24"/>
          <w:highlight w:val="none"/>
        </w:rPr>
        <w:t> </w:t>
      </w:r>
      <w:r>
        <w:rPr>
          <w:rFonts w:hint="eastAsia" w:ascii="宋体" w:hAnsi="宋体" w:cs="宋体"/>
          <w:color w:val="auto"/>
          <w:sz w:val="24"/>
          <w:szCs w:val="24"/>
          <w:highlight w:val="none"/>
          <w:lang w:val="en-US" w:eastAsia="zh-CN"/>
        </w:rPr>
        <w:t> </w:t>
      </w:r>
    </w:p>
    <w:p w14:paraId="4A07703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w:t>
      </w:r>
      <w:r>
        <w:rPr>
          <w:rFonts w:hint="eastAsia" w:ascii="宋体" w:hAnsi="宋体" w:cs="宋体"/>
          <w:color w:val="auto"/>
          <w:sz w:val="24"/>
          <w:szCs w:val="24"/>
          <w:highlight w:val="none"/>
          <w:lang w:eastAsia="zh-CN"/>
        </w:rPr>
        <w:t>宁波市鄞州区兴宁路48号</w:t>
      </w:r>
      <w:r>
        <w:rPr>
          <w:rFonts w:hint="eastAsia" w:ascii="宋体" w:hAnsi="宋体" w:eastAsia="宋体" w:cs="宋体"/>
          <w:color w:val="auto"/>
          <w:sz w:val="24"/>
          <w:szCs w:val="24"/>
          <w:highlight w:val="none"/>
        </w:rPr>
        <w:t> </w:t>
      </w:r>
    </w:p>
    <w:p w14:paraId="7D2C988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传真：/  </w:t>
      </w:r>
    </w:p>
    <w:p w14:paraId="62E805B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项目联系人（询问）：</w:t>
      </w:r>
      <w:r>
        <w:rPr>
          <w:rFonts w:hint="eastAsia" w:ascii="宋体" w:hAnsi="宋体" w:cs="宋体"/>
          <w:color w:val="auto"/>
          <w:sz w:val="24"/>
          <w:szCs w:val="24"/>
          <w:highlight w:val="none"/>
          <w:lang w:val="en-US" w:eastAsia="zh-CN"/>
        </w:rPr>
        <w:t>任老师</w:t>
      </w:r>
      <w:r>
        <w:rPr>
          <w:rFonts w:hint="eastAsia" w:ascii="宋体" w:hAnsi="宋体" w:eastAsia="宋体" w:cs="宋体"/>
          <w:color w:val="auto"/>
          <w:sz w:val="24"/>
          <w:szCs w:val="24"/>
          <w:highlight w:val="none"/>
          <w:lang w:val="en-US" w:eastAsia="zh-CN"/>
        </w:rPr>
        <w:t> </w:t>
      </w:r>
    </w:p>
    <w:p w14:paraId="0823199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项目联系方式（询问）：</w:t>
      </w:r>
      <w:r>
        <w:rPr>
          <w:rFonts w:hint="eastAsia" w:ascii="宋体" w:hAnsi="宋体" w:cs="宋体"/>
          <w:color w:val="auto"/>
          <w:sz w:val="24"/>
          <w:szCs w:val="24"/>
          <w:highlight w:val="none"/>
          <w:lang w:val="en-US" w:eastAsia="zh-CN"/>
        </w:rPr>
        <w:t>0574-81981097</w:t>
      </w:r>
    </w:p>
    <w:p w14:paraId="1E5ABE9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质疑联系人：张老师     </w:t>
      </w:r>
    </w:p>
    <w:p w14:paraId="6F4B75D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质疑联系方式：</w:t>
      </w:r>
      <w:r>
        <w:rPr>
          <w:rFonts w:hint="eastAsia" w:ascii="宋体" w:hAnsi="宋体" w:cs="宋体"/>
          <w:color w:val="auto"/>
          <w:sz w:val="24"/>
          <w:szCs w:val="24"/>
          <w:highlight w:val="none"/>
          <w:lang w:eastAsia="zh-CN"/>
        </w:rPr>
        <w:t>0574-81981067</w:t>
      </w:r>
      <w:r>
        <w:rPr>
          <w:rFonts w:hint="eastAsia" w:ascii="宋体" w:hAnsi="宋体" w:eastAsia="宋体" w:cs="宋体"/>
          <w:color w:val="auto"/>
          <w:sz w:val="24"/>
          <w:highlight w:val="none"/>
        </w:rPr>
        <w:t> </w:t>
      </w:r>
    </w:p>
    <w:p w14:paraId="30F8C6C2">
      <w:pPr>
        <w:spacing w:line="360" w:lineRule="auto"/>
        <w:ind w:firstLine="480"/>
        <w:rPr>
          <w:rFonts w:hint="eastAsia" w:ascii="宋体" w:hAnsi="宋体" w:cs="宋体"/>
          <w:color w:val="auto"/>
          <w:sz w:val="24"/>
          <w:highlight w:val="none"/>
        </w:rPr>
      </w:pPr>
    </w:p>
    <w:p w14:paraId="40ABC68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2.采购代理机构信息</w:t>
      </w:r>
    </w:p>
    <w:p w14:paraId="5890C464">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 xml:space="preserve">宁波中基国际招标有限公司 </w:t>
      </w:r>
    </w:p>
    <w:p w14:paraId="051A5A1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地址：宁波市鄞州区天童南路666号中基大厦19楼 </w:t>
      </w:r>
    </w:p>
    <w:p w14:paraId="49E6AA7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传真：</w:t>
      </w:r>
      <w:r>
        <w:rPr>
          <w:rFonts w:hint="eastAsia" w:ascii="宋体" w:hAnsi="宋体" w:cs="宋体"/>
          <w:color w:val="auto"/>
          <w:sz w:val="24"/>
          <w:highlight w:val="none"/>
          <w:lang w:val="en-US" w:eastAsia="zh-CN"/>
        </w:rPr>
        <w:t>0574-87425386</w:t>
      </w:r>
    </w:p>
    <w:p w14:paraId="415F4FD9">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项目联系人（询问）：陈俊、吕勇</w:t>
      </w:r>
    </w:p>
    <w:p w14:paraId="43501E22">
      <w:pPr>
        <w:spacing w:line="360" w:lineRule="auto"/>
        <w:ind w:firstLine="480"/>
        <w:rPr>
          <w:rFonts w:hint="default" w:ascii="宋体" w:hAnsi="宋体" w:cs="宋体"/>
          <w:color w:val="auto"/>
          <w:sz w:val="24"/>
          <w:highlight w:val="none"/>
          <w:lang w:val="en-US" w:eastAsia="zh-CN"/>
        </w:rPr>
      </w:pPr>
      <w:r>
        <w:rPr>
          <w:rFonts w:hint="eastAsia" w:ascii="宋体" w:hAnsi="宋体" w:cs="宋体"/>
          <w:color w:val="auto"/>
          <w:sz w:val="24"/>
          <w:highlight w:val="none"/>
        </w:rPr>
        <w:t>项目联系方式（询问）：0574-88099683</w:t>
      </w:r>
    </w:p>
    <w:p w14:paraId="0D5645CD">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质疑联系人：方芸</w:t>
      </w:r>
    </w:p>
    <w:p w14:paraId="06589220">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质疑联系方式：0574-88090063</w:t>
      </w:r>
    </w:p>
    <w:p w14:paraId="31EAC746">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3.同级政府采购监督管理部门</w:t>
      </w:r>
    </w:p>
    <w:p w14:paraId="63D7F1E4">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名称：宁波市财政局政府采购监管处</w:t>
      </w:r>
    </w:p>
    <w:p w14:paraId="58A3CA4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地址：宁波市海曙区中山西路19号</w:t>
      </w:r>
    </w:p>
    <w:p w14:paraId="2B106B81">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传真：/ </w:t>
      </w:r>
    </w:p>
    <w:p w14:paraId="353D2BE1">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联系人：张老师</w:t>
      </w:r>
    </w:p>
    <w:p w14:paraId="32F1F140">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监督投诉电话：0574-89388399</w:t>
      </w:r>
    </w:p>
    <w:p w14:paraId="570A230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77CD2297">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b/>
          <w:bCs/>
          <w:color w:val="auto"/>
          <w:sz w:val="24"/>
          <w:highlight w:val="none"/>
        </w:rPr>
        <w:t>95763</w:t>
      </w:r>
      <w:r>
        <w:rPr>
          <w:rFonts w:hint="eastAsia" w:ascii="宋体" w:hAnsi="宋体" w:cs="宋体"/>
          <w:b/>
          <w:bCs/>
          <w:color w:val="auto"/>
          <w:sz w:val="24"/>
          <w:highlight w:val="none"/>
        </w:rPr>
        <w:t>获取热线服务帮助。</w:t>
      </w:r>
    </w:p>
    <w:p w14:paraId="0A85E219">
      <w:pPr>
        <w:snapToGrid w:val="0"/>
        <w:spacing w:line="360" w:lineRule="auto"/>
        <w:ind w:firstLine="482" w:firstLineChars="200"/>
        <w:rPr>
          <w:rFonts w:ascii="宋体" w:hAnsi="宋体" w:cs="宋体"/>
          <w:color w:val="auto"/>
          <w:sz w:val="24"/>
          <w:highlight w:val="none"/>
        </w:rPr>
        <w:sectPr>
          <w:footerReference r:id="rId9" w:type="first"/>
          <w:footerReference r:id="rId8" w:type="default"/>
          <w:pgSz w:w="11905" w:h="16838"/>
          <w:pgMar w:top="1440" w:right="1440" w:bottom="1440" w:left="1440" w:header="851" w:footer="992" w:gutter="0"/>
          <w:pgBorders>
            <w:top w:val="none" w:sz="0" w:space="0"/>
            <w:left w:val="none" w:sz="0" w:space="0"/>
            <w:bottom w:val="none" w:sz="0" w:space="0"/>
            <w:right w:val="none" w:sz="0" w:space="0"/>
          </w:pgBorders>
          <w:pgNumType w:fmt="decimal" w:start="1"/>
          <w:cols w:space="0" w:num="1"/>
          <w:titlePg/>
          <w:rtlGutter w:val="0"/>
          <w:docGrid w:linePitch="312" w:charSpace="0"/>
        </w:sectPr>
      </w:pPr>
      <w:r>
        <w:rPr>
          <w:rFonts w:hint="eastAsia" w:ascii="宋体" w:hAnsi="宋体" w:cs="宋体"/>
          <w:b/>
          <w:bCs/>
          <w:color w:val="auto"/>
          <w:sz w:val="24"/>
          <w:highlight w:val="none"/>
        </w:rPr>
        <w:t>CA问题联系电话（人工）：汇信CA 400-888-4636；天谷CA 400-087-8198。</w:t>
      </w:r>
    </w:p>
    <w:p w14:paraId="00C6A99D">
      <w:pPr>
        <w:pStyle w:val="33"/>
        <w:spacing w:line="360" w:lineRule="auto"/>
        <w:jc w:val="center"/>
        <w:outlineLvl w:val="0"/>
        <w:rPr>
          <w:rFonts w:hAnsi="宋体" w:cs="宋体"/>
          <w:b/>
          <w:snapToGrid/>
          <w:color w:val="auto"/>
          <w:sz w:val="36"/>
          <w:szCs w:val="20"/>
          <w:highlight w:val="none"/>
        </w:rPr>
      </w:pPr>
      <w:bookmarkStart w:id="13" w:name="_Toc21235"/>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bookmarkEnd w:id="13"/>
    </w:p>
    <w:p w14:paraId="042376B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5104" w:type="pct"/>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28" w:type="dxa"/>
          <w:bottom w:w="0" w:type="dxa"/>
          <w:right w:w="28" w:type="dxa"/>
        </w:tblCellMar>
      </w:tblPr>
      <w:tblGrid>
        <w:gridCol w:w="656"/>
        <w:gridCol w:w="1951"/>
        <w:gridCol w:w="6663"/>
      </w:tblGrid>
      <w:tr w14:paraId="1450D38A">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tcPr>
          <w:p w14:paraId="408B4C80">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napToGrid/>
                <w:color w:val="auto"/>
                <w:sz w:val="24"/>
                <w:szCs w:val="24"/>
                <w:highlight w:val="none"/>
              </w:rPr>
            </w:pPr>
            <w:r>
              <w:rPr>
                <w:rFonts w:hint="eastAsia" w:ascii="宋体" w:hAnsi="宋体" w:eastAsia="宋体" w:cs="宋体"/>
                <w:b/>
                <w:snapToGrid/>
                <w:color w:val="auto"/>
                <w:sz w:val="24"/>
                <w:szCs w:val="24"/>
                <w:highlight w:val="none"/>
              </w:rPr>
              <w:t>序号</w:t>
            </w:r>
          </w:p>
        </w:tc>
        <w:tc>
          <w:tcPr>
            <w:tcW w:w="1052" w:type="pct"/>
            <w:tcBorders>
              <w:tl2br w:val="nil"/>
              <w:tr2bl w:val="nil"/>
            </w:tcBorders>
            <w:vAlign w:val="center"/>
          </w:tcPr>
          <w:p w14:paraId="0D05367B">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napToGrid/>
                <w:color w:val="auto"/>
                <w:sz w:val="24"/>
                <w:szCs w:val="24"/>
                <w:highlight w:val="none"/>
              </w:rPr>
            </w:pPr>
            <w:r>
              <w:rPr>
                <w:rFonts w:hint="eastAsia" w:ascii="宋体" w:hAnsi="宋体" w:eastAsia="宋体" w:cs="宋体"/>
                <w:b/>
                <w:snapToGrid/>
                <w:color w:val="auto"/>
                <w:sz w:val="24"/>
                <w:szCs w:val="24"/>
                <w:highlight w:val="none"/>
              </w:rPr>
              <w:t>事项</w:t>
            </w:r>
          </w:p>
        </w:tc>
        <w:tc>
          <w:tcPr>
            <w:tcW w:w="3593" w:type="pct"/>
            <w:tcBorders>
              <w:tl2br w:val="nil"/>
              <w:tr2bl w:val="nil"/>
            </w:tcBorders>
            <w:vAlign w:val="center"/>
          </w:tcPr>
          <w:p w14:paraId="746ADFD9">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napToGrid/>
                <w:color w:val="auto"/>
                <w:sz w:val="24"/>
                <w:szCs w:val="24"/>
                <w:highlight w:val="none"/>
              </w:rPr>
            </w:pPr>
            <w:r>
              <w:rPr>
                <w:rFonts w:hint="eastAsia" w:ascii="宋体" w:hAnsi="宋体" w:eastAsia="宋体" w:cs="宋体"/>
                <w:b/>
                <w:snapToGrid/>
                <w:color w:val="auto"/>
                <w:sz w:val="24"/>
                <w:szCs w:val="24"/>
                <w:highlight w:val="none"/>
              </w:rPr>
              <w:t>本项目的特别规定</w:t>
            </w:r>
          </w:p>
        </w:tc>
      </w:tr>
      <w:tr w14:paraId="4B8D6C39">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4921004F">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1</w:t>
            </w:r>
          </w:p>
        </w:tc>
        <w:tc>
          <w:tcPr>
            <w:tcW w:w="1052" w:type="pct"/>
            <w:tcBorders>
              <w:tl2br w:val="nil"/>
              <w:tr2bl w:val="nil"/>
            </w:tcBorders>
            <w:vAlign w:val="center"/>
          </w:tcPr>
          <w:p w14:paraId="25D26083">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napToGrid/>
                <w:color w:val="auto"/>
                <w:sz w:val="24"/>
                <w:szCs w:val="24"/>
                <w:highlight w:val="none"/>
              </w:rPr>
            </w:pPr>
            <w:r>
              <w:rPr>
                <w:rFonts w:hint="eastAsia" w:ascii="宋体" w:hAnsi="宋体" w:eastAsia="宋体" w:cs="宋体"/>
                <w:b/>
                <w:snapToGrid/>
                <w:color w:val="auto"/>
                <w:sz w:val="24"/>
                <w:szCs w:val="24"/>
                <w:highlight w:val="none"/>
              </w:rPr>
              <w:t>项目属性</w:t>
            </w:r>
          </w:p>
        </w:tc>
        <w:tc>
          <w:tcPr>
            <w:tcW w:w="3593" w:type="pct"/>
            <w:tcBorders>
              <w:tl2br w:val="nil"/>
              <w:tr2bl w:val="nil"/>
            </w:tcBorders>
            <w:vAlign w:val="center"/>
          </w:tcPr>
          <w:p w14:paraId="105B7D98">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sz w:val="24"/>
                <w:szCs w:val="24"/>
                <w:highlight w:val="none"/>
                <w:lang w:val="en-US" w:eastAsia="zh-CN"/>
              </w:rPr>
            </w:pPr>
            <w:r>
              <w:rPr>
                <w:rFonts w:hint="eastAsia" w:ascii="宋体" w:hAnsi="宋体" w:eastAsia="宋体" w:cs="宋体"/>
                <w:snapToGrid/>
                <w:color w:val="auto"/>
                <w:kern w:val="0"/>
                <w:sz w:val="24"/>
                <w:szCs w:val="24"/>
                <w:highlight w:val="none"/>
              </w:rPr>
              <w:t>工程</w:t>
            </w:r>
            <w:r>
              <w:rPr>
                <w:rFonts w:hint="eastAsia" w:ascii="宋体" w:hAnsi="宋体" w:eastAsia="宋体" w:cs="宋体"/>
                <w:snapToGrid/>
                <w:color w:val="auto"/>
                <w:sz w:val="24"/>
                <w:szCs w:val="24"/>
                <w:highlight w:val="none"/>
              </w:rPr>
              <w:t>类</w:t>
            </w:r>
          </w:p>
        </w:tc>
      </w:tr>
      <w:tr w14:paraId="7B179FD3">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61E2240E">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2</w:t>
            </w:r>
          </w:p>
        </w:tc>
        <w:tc>
          <w:tcPr>
            <w:tcW w:w="1052" w:type="pct"/>
            <w:tcBorders>
              <w:tl2br w:val="nil"/>
              <w:tr2bl w:val="nil"/>
            </w:tcBorders>
            <w:vAlign w:val="center"/>
          </w:tcPr>
          <w:p w14:paraId="04160A5B">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napToGrid/>
                <w:color w:val="auto"/>
                <w:sz w:val="24"/>
                <w:szCs w:val="24"/>
                <w:highlight w:val="none"/>
              </w:rPr>
            </w:pPr>
            <w:r>
              <w:rPr>
                <w:rFonts w:hint="eastAsia" w:ascii="宋体" w:hAnsi="宋体" w:eastAsia="宋体" w:cs="宋体"/>
                <w:b/>
                <w:snapToGrid/>
                <w:color w:val="auto"/>
                <w:sz w:val="24"/>
                <w:szCs w:val="24"/>
                <w:highlight w:val="none"/>
              </w:rPr>
              <w:t>采购标的及其对应的中小企业划分标准所属行业</w:t>
            </w:r>
          </w:p>
        </w:tc>
        <w:tc>
          <w:tcPr>
            <w:tcW w:w="3593" w:type="pct"/>
            <w:tcBorders>
              <w:tl2br w:val="nil"/>
              <w:tr2bl w:val="nil"/>
            </w:tcBorders>
            <w:vAlign w:val="center"/>
          </w:tcPr>
          <w:p w14:paraId="49415E00">
            <w:pPr>
              <w:pageBreakBefore w:val="0"/>
              <w:widowControl w:val="0"/>
              <w:kinsoku/>
              <w:wordWrap/>
              <w:overflowPunct/>
              <w:topLinePunct w:val="0"/>
              <w:autoSpaceDE/>
              <w:autoSpaceDN/>
              <w:bidi w:val="0"/>
              <w:adjustRightInd/>
              <w:snapToGrid/>
              <w:spacing w:line="400" w:lineRule="exact"/>
              <w:textAlignment w:val="auto"/>
              <w:outlineLvl w:val="9"/>
              <w:rPr>
                <w:rFonts w:hint="default" w:ascii="宋体" w:hAnsi="宋体" w:eastAsia="宋体" w:cs="宋体"/>
                <w:snapToGrid/>
                <w:color w:val="auto"/>
                <w:kern w:val="0"/>
                <w:sz w:val="24"/>
                <w:szCs w:val="24"/>
                <w:highlight w:val="none"/>
                <w:lang w:val="en-US" w:eastAsia="zh-CN"/>
              </w:rPr>
            </w:pPr>
            <w:r>
              <w:rPr>
                <w:rFonts w:hint="eastAsia" w:ascii="宋体" w:hAnsi="宋体" w:cs="宋体"/>
                <w:snapToGrid/>
                <w:color w:val="auto"/>
                <w:kern w:val="0"/>
                <w:sz w:val="24"/>
                <w:szCs w:val="24"/>
                <w:highlight w:val="none"/>
                <w:lang w:val="en-US" w:eastAsia="zh-CN"/>
              </w:rPr>
              <w:t>本项目为专门面向中小企业项目。</w:t>
            </w:r>
          </w:p>
          <w:p w14:paraId="0188B52C">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0"/>
                <w:sz w:val="24"/>
                <w:szCs w:val="24"/>
                <w:highlight w:val="none"/>
              </w:rPr>
            </w:pPr>
            <w:r>
              <w:rPr>
                <w:rFonts w:hint="eastAsia" w:ascii="宋体" w:hAnsi="宋体" w:eastAsia="宋体" w:cs="宋体"/>
                <w:snapToGrid/>
                <w:color w:val="auto"/>
                <w:kern w:val="0"/>
                <w:sz w:val="24"/>
                <w:szCs w:val="24"/>
                <w:highlight w:val="none"/>
              </w:rPr>
              <w:t>（1）标的：</w:t>
            </w:r>
            <w:r>
              <w:rPr>
                <w:rFonts w:hint="eastAsia" w:ascii="宋体" w:hAnsi="宋体" w:cs="宋体"/>
                <w:snapToGrid w:val="0"/>
                <w:color w:val="auto"/>
                <w:spacing w:val="-6"/>
                <w:kern w:val="21"/>
                <w:sz w:val="24"/>
                <w:highlight w:val="none"/>
                <w:u w:val="single"/>
                <w:lang w:eastAsia="zh-CN"/>
              </w:rPr>
              <w:t>宁波市公安局交通管理支队海曙大队高桥中队修缮项目</w:t>
            </w:r>
            <w:r>
              <w:rPr>
                <w:rFonts w:hint="eastAsia" w:ascii="宋体" w:hAnsi="宋体" w:eastAsia="宋体" w:cs="宋体"/>
                <w:snapToGrid/>
                <w:color w:val="auto"/>
                <w:kern w:val="0"/>
                <w:sz w:val="24"/>
                <w:szCs w:val="24"/>
                <w:highlight w:val="none"/>
              </w:rPr>
              <w:t>，属于</w:t>
            </w:r>
            <w:r>
              <w:rPr>
                <w:rFonts w:hint="eastAsia" w:ascii="宋体" w:hAnsi="宋体" w:eastAsia="宋体" w:cs="宋体"/>
                <w:snapToGrid/>
                <w:color w:val="auto"/>
                <w:kern w:val="0"/>
                <w:sz w:val="24"/>
                <w:szCs w:val="24"/>
                <w:highlight w:val="none"/>
                <w:u w:val="single"/>
                <w:lang w:val="en-US" w:eastAsia="zh-CN"/>
              </w:rPr>
              <w:t>建筑业</w:t>
            </w:r>
            <w:r>
              <w:rPr>
                <w:rFonts w:hint="eastAsia" w:ascii="宋体" w:hAnsi="宋体" w:eastAsia="宋体" w:cs="宋体"/>
                <w:snapToGrid/>
                <w:color w:val="auto"/>
                <w:kern w:val="0"/>
                <w:sz w:val="24"/>
                <w:szCs w:val="24"/>
                <w:highlight w:val="none"/>
              </w:rPr>
              <w:t>行业；</w:t>
            </w:r>
          </w:p>
          <w:p w14:paraId="16E58713">
            <w:pPr>
              <w:pStyle w:val="970"/>
              <w:keepNext w:val="0"/>
              <w:keepLines w:val="0"/>
              <w:suppressLineNumbers w:val="0"/>
              <w:spacing w:before="0" w:beforeAutospacing="0" w:after="0" w:afterAutospacing="0"/>
              <w:ind w:left="0" w:right="0"/>
              <w:rPr>
                <w:rFonts w:hint="eastAsia" w:cs="宋体" w:asciiTheme="minorEastAsia" w:hAnsiTheme="minorEastAsia" w:eastAsiaTheme="minorEastAsia"/>
                <w:color w:val="auto"/>
                <w:kern w:val="0"/>
                <w:sz w:val="24"/>
                <w:szCs w:val="20"/>
                <w:highlight w:val="none"/>
                <w:lang w:eastAsia="zh-CN"/>
              </w:rPr>
            </w:pPr>
            <w:r>
              <w:rPr>
                <w:rFonts w:hint="eastAsia" w:cs="宋体" w:asciiTheme="minorEastAsia" w:hAnsiTheme="minorEastAsia" w:eastAsiaTheme="minorEastAsia"/>
                <w:color w:val="auto"/>
                <w:kern w:val="0"/>
                <w:sz w:val="24"/>
                <w:szCs w:val="20"/>
                <w:highlight w:val="none"/>
                <w:lang w:eastAsia="zh-CN"/>
              </w:rPr>
              <w:t>备注：《关于印发中小企业划型标准规定的通知》（工信部联企业〔2011〕300）：</w:t>
            </w:r>
          </w:p>
          <w:p w14:paraId="0C6DB585">
            <w:pPr>
              <w:pStyle w:val="19"/>
              <w:rPr>
                <w:rFonts w:hint="eastAsia" w:ascii="宋体" w:hAnsi="宋体" w:eastAsia="宋体" w:cs="宋体"/>
                <w:snapToGrid/>
                <w:color w:val="auto"/>
                <w:sz w:val="24"/>
                <w:szCs w:val="24"/>
                <w:highlight w:val="none"/>
                <w:lang w:val="en-US"/>
              </w:rPr>
            </w:pPr>
            <w:r>
              <w:rPr>
                <w:rFonts w:hint="eastAsia" w:ascii="宋体" w:hAnsi="宋体" w:eastAsia="宋体" w:cs="宋体"/>
                <w:b/>
                <w:bCs/>
                <w:snapToGrid/>
                <w:color w:val="auto"/>
                <w:kern w:val="0"/>
                <w:sz w:val="24"/>
                <w:szCs w:val="24"/>
                <w:highlight w:val="none"/>
                <w:lang w:val="en-US" w:eastAsia="zh-CN" w:bidi="ar-SA"/>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0E15199F">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24E53C20">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3</w:t>
            </w:r>
          </w:p>
        </w:tc>
        <w:tc>
          <w:tcPr>
            <w:tcW w:w="1052" w:type="pct"/>
            <w:tcBorders>
              <w:tl2br w:val="nil"/>
              <w:tr2bl w:val="nil"/>
            </w:tcBorders>
            <w:vAlign w:val="center"/>
          </w:tcPr>
          <w:p w14:paraId="187AA51B">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napToGrid/>
                <w:color w:val="auto"/>
                <w:sz w:val="24"/>
                <w:szCs w:val="24"/>
                <w:highlight w:val="none"/>
              </w:rPr>
            </w:pPr>
            <w:r>
              <w:rPr>
                <w:rFonts w:hint="eastAsia" w:ascii="宋体" w:hAnsi="宋体" w:eastAsia="宋体" w:cs="宋体"/>
                <w:b/>
                <w:snapToGrid/>
                <w:color w:val="auto"/>
                <w:sz w:val="24"/>
                <w:szCs w:val="24"/>
                <w:highlight w:val="none"/>
              </w:rPr>
              <w:t>是否允许采购进口产品</w:t>
            </w:r>
          </w:p>
        </w:tc>
        <w:tc>
          <w:tcPr>
            <w:tcW w:w="3593" w:type="pct"/>
            <w:tcBorders>
              <w:tl2br w:val="nil"/>
              <w:tr2bl w:val="nil"/>
            </w:tcBorders>
            <w:vAlign w:val="center"/>
          </w:tcPr>
          <w:p w14:paraId="615A7329">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0"/>
                <w:sz w:val="24"/>
                <w:szCs w:val="24"/>
                <w:highlight w:val="none"/>
              </w:rPr>
            </w:pPr>
            <w:sdt>
              <w:sdtPr>
                <w:rPr>
                  <w:rFonts w:hint="eastAsia" w:ascii="宋体" w:hAnsi="宋体" w:eastAsia="宋体" w:cs="宋体"/>
                  <w:snapToGrid/>
                  <w:color w:val="auto"/>
                  <w:kern w:val="0"/>
                  <w:sz w:val="24"/>
                  <w:szCs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snapToGrid/>
                  <w:color w:val="auto"/>
                  <w:kern w:val="0"/>
                  <w:sz w:val="24"/>
                  <w:szCs w:val="24"/>
                  <w:highlight w:val="none"/>
                </w:rPr>
              </w:sdtEndPr>
              <w:sdtContent>
                <w:r>
                  <w:rPr>
                    <w:rFonts w:hint="eastAsia" w:ascii="宋体" w:hAnsi="宋体" w:eastAsia="宋体" w:cs="宋体"/>
                    <w:snapToGrid/>
                    <w:color w:val="auto"/>
                    <w:kern w:val="0"/>
                    <w:sz w:val="24"/>
                    <w:szCs w:val="24"/>
                    <w:highlight w:val="none"/>
                  </w:rPr>
                  <w:sym w:font="Wingdings" w:char="F0FE"/>
                </w:r>
              </w:sdtContent>
            </w:sdt>
            <w:r>
              <w:rPr>
                <w:rFonts w:hint="eastAsia" w:ascii="宋体" w:hAnsi="宋体" w:eastAsia="宋体" w:cs="宋体"/>
                <w:snapToGrid/>
                <w:color w:val="auto"/>
                <w:kern w:val="0"/>
                <w:sz w:val="24"/>
                <w:szCs w:val="24"/>
                <w:highlight w:val="none"/>
              </w:rPr>
              <w:t>本项目不允许采购进口产品。</w:t>
            </w:r>
          </w:p>
          <w:p w14:paraId="6A55E8D2">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sz w:val="24"/>
                <w:szCs w:val="24"/>
                <w:highlight w:val="none"/>
              </w:rPr>
            </w:pPr>
            <w:sdt>
              <w:sdtPr>
                <w:rPr>
                  <w:rFonts w:hint="eastAsia" w:ascii="宋体" w:hAnsi="宋体" w:eastAsia="宋体" w:cs="宋体"/>
                  <w:snapToGrid/>
                  <w:color w:val="auto"/>
                  <w:kern w:val="0"/>
                  <w:sz w:val="24"/>
                  <w:szCs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snapToGrid/>
                  <w:color w:val="auto"/>
                  <w:kern w:val="0"/>
                  <w:sz w:val="24"/>
                  <w:szCs w:val="24"/>
                  <w:highlight w:val="none"/>
                </w:rPr>
              </w:sdtEndPr>
              <w:sdtContent>
                <w:r>
                  <w:rPr>
                    <w:rFonts w:hint="eastAsia" w:ascii="宋体" w:hAnsi="宋体" w:eastAsia="宋体" w:cs="宋体"/>
                    <w:snapToGrid/>
                    <w:color w:val="auto"/>
                    <w:kern w:val="0"/>
                    <w:sz w:val="24"/>
                    <w:szCs w:val="24"/>
                    <w:highlight w:val="none"/>
                  </w:rPr>
                  <w:t>☐</w:t>
                </w:r>
              </w:sdtContent>
            </w:sdt>
            <w:r>
              <w:rPr>
                <w:rFonts w:hint="eastAsia" w:ascii="宋体" w:hAnsi="宋体" w:eastAsia="宋体" w:cs="宋体"/>
                <w:snapToGrid/>
                <w:color w:val="auto"/>
                <w:kern w:val="0"/>
                <w:sz w:val="24"/>
                <w:szCs w:val="24"/>
                <w:highlight w:val="none"/>
              </w:rPr>
              <w:t>可以就</w:t>
            </w:r>
            <w:r>
              <w:rPr>
                <w:rFonts w:hint="eastAsia" w:ascii="宋体" w:hAnsi="宋体" w:eastAsia="宋体" w:cs="宋体"/>
                <w:snapToGrid/>
                <w:color w:val="auto"/>
                <w:sz w:val="24"/>
                <w:szCs w:val="24"/>
                <w:highlight w:val="none"/>
                <w:u w:val="single"/>
                <w:lang w:val="en-US" w:eastAsia="zh-CN"/>
              </w:rPr>
              <w:t>/</w:t>
            </w:r>
            <w:r>
              <w:rPr>
                <w:rFonts w:hint="eastAsia" w:ascii="宋体" w:hAnsi="宋体" w:eastAsia="宋体" w:cs="宋体"/>
                <w:snapToGrid/>
                <w:color w:val="auto"/>
                <w:kern w:val="0"/>
                <w:sz w:val="24"/>
                <w:szCs w:val="24"/>
                <w:highlight w:val="none"/>
              </w:rPr>
              <w:t>采购进口产品。</w:t>
            </w:r>
          </w:p>
        </w:tc>
      </w:tr>
      <w:tr w14:paraId="5DCE6073">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1AE12B64">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4</w:t>
            </w:r>
          </w:p>
        </w:tc>
        <w:tc>
          <w:tcPr>
            <w:tcW w:w="1052" w:type="pct"/>
            <w:tcBorders>
              <w:tl2br w:val="nil"/>
              <w:tr2bl w:val="nil"/>
            </w:tcBorders>
            <w:vAlign w:val="center"/>
          </w:tcPr>
          <w:p w14:paraId="0B742AD2">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napToGrid/>
                <w:color w:val="auto"/>
                <w:sz w:val="24"/>
                <w:szCs w:val="24"/>
                <w:highlight w:val="none"/>
              </w:rPr>
            </w:pPr>
            <w:r>
              <w:rPr>
                <w:rFonts w:hint="eastAsia" w:ascii="宋体" w:hAnsi="宋体" w:eastAsia="宋体" w:cs="宋体"/>
                <w:b/>
                <w:snapToGrid/>
                <w:color w:val="auto"/>
                <w:sz w:val="24"/>
                <w:szCs w:val="24"/>
                <w:highlight w:val="none"/>
              </w:rPr>
              <w:t>分包</w:t>
            </w:r>
          </w:p>
        </w:tc>
        <w:tc>
          <w:tcPr>
            <w:tcW w:w="3593" w:type="pct"/>
            <w:tcBorders>
              <w:tl2br w:val="nil"/>
              <w:tr2bl w:val="nil"/>
            </w:tcBorders>
            <w:vAlign w:val="center"/>
          </w:tcPr>
          <w:p w14:paraId="50C7F4F4">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sz w:val="24"/>
                <w:szCs w:val="24"/>
                <w:highlight w:val="none"/>
              </w:rPr>
            </w:pPr>
            <w:sdt>
              <w:sdtPr>
                <w:rPr>
                  <w:rFonts w:hint="eastAsia" w:ascii="宋体" w:hAnsi="宋体" w:eastAsia="宋体" w:cs="宋体"/>
                  <w:snapToGrid/>
                  <w:color w:val="auto"/>
                  <w:kern w:val="0"/>
                  <w:sz w:val="24"/>
                  <w:szCs w:val="24"/>
                  <w:highlight w:val="none"/>
                </w:rPr>
                <w:id w:val="-1477286927"/>
                <w14:checkbox>
                  <w14:checked w14:val="1"/>
                  <w14:checkedState w14:val="00FE" w14:font="Wingdings"/>
                  <w14:uncheckedState w14:val="2610" w14:font="MS Gothic"/>
                </w14:checkbox>
              </w:sdtPr>
              <w:sdtEndPr>
                <w:rPr>
                  <w:rFonts w:hint="eastAsia" w:ascii="宋体" w:hAnsi="宋体" w:eastAsia="宋体" w:cs="宋体"/>
                  <w:snapToGrid/>
                  <w:color w:val="auto"/>
                  <w:kern w:val="0"/>
                  <w:sz w:val="24"/>
                  <w:szCs w:val="24"/>
                  <w:highlight w:val="none"/>
                </w:rPr>
              </w:sdtEndPr>
              <w:sdtContent>
                <w:r>
                  <w:rPr>
                    <w:rFonts w:hint="eastAsia" w:ascii="Wingdings" w:hAnsi="Wingdings" w:eastAsia="宋体" w:cs="宋体"/>
                    <w:snapToGrid/>
                    <w:color w:val="auto"/>
                    <w:kern w:val="0"/>
                    <w:sz w:val="24"/>
                    <w:szCs w:val="24"/>
                    <w:highlight w:val="none"/>
                    <w:lang w:val="en-US" w:eastAsia="zh-CN" w:bidi="ar-SA"/>
                  </w:rPr>
                  <w:t>þ</w:t>
                </w:r>
              </w:sdtContent>
            </w:sdt>
            <w:r>
              <w:rPr>
                <w:rFonts w:hint="eastAsia" w:ascii="宋体" w:hAnsi="宋体" w:eastAsia="宋体" w:cs="宋体"/>
                <w:snapToGrid/>
                <w:color w:val="auto"/>
                <w:kern w:val="0"/>
                <w:sz w:val="24"/>
                <w:szCs w:val="24"/>
                <w:highlight w:val="none"/>
              </w:rPr>
              <w:t xml:space="preserve"> A</w:t>
            </w:r>
            <w:r>
              <w:rPr>
                <w:rFonts w:hint="eastAsia" w:ascii="宋体" w:hAnsi="宋体" w:eastAsia="宋体" w:cs="宋体"/>
                <w:snapToGrid/>
                <w:color w:val="auto"/>
                <w:sz w:val="24"/>
                <w:szCs w:val="24"/>
                <w:highlight w:val="none"/>
              </w:rPr>
              <w:t>同意将非主体、非关键性的工作分包。</w:t>
            </w:r>
          </w:p>
          <w:p w14:paraId="4F9BCE55">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sz w:val="24"/>
                <w:szCs w:val="24"/>
                <w:highlight w:val="none"/>
              </w:rPr>
            </w:pPr>
            <w:sdt>
              <w:sdtPr>
                <w:rPr>
                  <w:rFonts w:hint="eastAsia" w:ascii="宋体" w:hAnsi="宋体" w:eastAsia="宋体" w:cs="宋体"/>
                  <w:snapToGrid/>
                  <w:color w:val="auto"/>
                  <w:kern w:val="0"/>
                  <w:sz w:val="24"/>
                  <w:szCs w:val="24"/>
                  <w:highlight w:val="none"/>
                </w:rPr>
                <w:id w:val="-1276331357"/>
                <w14:checkbox>
                  <w14:checked w14:val="0"/>
                  <w14:checkedState w14:val="00FE" w14:font="Wingdings"/>
                  <w14:uncheckedState w14:val="2610" w14:font="MS Gothic"/>
                </w14:checkbox>
              </w:sdtPr>
              <w:sdtEndPr>
                <w:rPr>
                  <w:rFonts w:hint="eastAsia" w:ascii="宋体" w:hAnsi="宋体" w:eastAsia="宋体" w:cs="宋体"/>
                  <w:snapToGrid/>
                  <w:color w:val="auto"/>
                  <w:kern w:val="0"/>
                  <w:sz w:val="24"/>
                  <w:szCs w:val="24"/>
                  <w:highlight w:val="none"/>
                </w:rPr>
              </w:sdtEndPr>
              <w:sdtContent>
                <w:r>
                  <w:rPr>
                    <w:rFonts w:hint="eastAsia" w:ascii="宋体" w:hAnsi="宋体" w:eastAsia="宋体" w:cs="宋体"/>
                    <w:snapToGrid/>
                    <w:color w:val="auto"/>
                    <w:kern w:val="0"/>
                    <w:sz w:val="24"/>
                    <w:szCs w:val="24"/>
                    <w:highlight w:val="none"/>
                    <w:lang w:val="en-US" w:eastAsia="zh-CN" w:bidi="ar-SA"/>
                  </w:rPr>
                  <w:t>☐</w:t>
                </w:r>
              </w:sdtContent>
            </w:sdt>
            <w:r>
              <w:rPr>
                <w:rFonts w:hint="eastAsia" w:ascii="宋体" w:hAnsi="宋体" w:eastAsia="宋体" w:cs="宋体"/>
                <w:snapToGrid/>
                <w:color w:val="auto"/>
                <w:kern w:val="0"/>
                <w:sz w:val="24"/>
                <w:szCs w:val="24"/>
                <w:highlight w:val="none"/>
              </w:rPr>
              <w:t xml:space="preserve"> B</w:t>
            </w:r>
            <w:r>
              <w:rPr>
                <w:rFonts w:hint="eastAsia" w:ascii="宋体" w:hAnsi="宋体" w:eastAsia="宋体" w:cs="宋体"/>
                <w:snapToGrid/>
                <w:color w:val="auto"/>
                <w:sz w:val="24"/>
                <w:szCs w:val="24"/>
                <w:highlight w:val="none"/>
              </w:rPr>
              <w:t>不同意分包，具体理由：</w:t>
            </w:r>
            <w:r>
              <w:rPr>
                <w:rFonts w:hint="eastAsia" w:ascii="宋体" w:hAnsi="宋体" w:eastAsia="宋体" w:cs="宋体"/>
                <w:snapToGrid/>
                <w:color w:val="auto"/>
                <w:sz w:val="24"/>
                <w:szCs w:val="24"/>
                <w:highlight w:val="none"/>
                <w:u w:val="single"/>
                <w:lang w:val="en-US" w:eastAsia="zh-CN"/>
              </w:rPr>
              <w:t>/</w:t>
            </w:r>
            <w:r>
              <w:rPr>
                <w:rFonts w:hint="eastAsia" w:ascii="宋体" w:hAnsi="宋体" w:eastAsia="宋体" w:cs="宋体"/>
                <w:snapToGrid/>
                <w:color w:val="auto"/>
                <w:sz w:val="24"/>
                <w:szCs w:val="24"/>
                <w:highlight w:val="none"/>
              </w:rPr>
              <w:t>。</w:t>
            </w:r>
          </w:p>
        </w:tc>
      </w:tr>
      <w:tr w14:paraId="256933D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793CCF9F">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5</w:t>
            </w:r>
          </w:p>
        </w:tc>
        <w:tc>
          <w:tcPr>
            <w:tcW w:w="1052" w:type="pct"/>
            <w:tcBorders>
              <w:tl2br w:val="nil"/>
              <w:tr2bl w:val="nil"/>
            </w:tcBorders>
            <w:vAlign w:val="center"/>
          </w:tcPr>
          <w:p w14:paraId="2103C24F">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napToGrid/>
                <w:color w:val="auto"/>
                <w:sz w:val="24"/>
                <w:szCs w:val="24"/>
                <w:highlight w:val="none"/>
              </w:rPr>
            </w:pPr>
            <w:r>
              <w:rPr>
                <w:rFonts w:hint="eastAsia" w:ascii="宋体" w:hAnsi="宋体" w:eastAsia="宋体" w:cs="宋体"/>
                <w:b/>
                <w:snapToGrid/>
                <w:color w:val="auto"/>
                <w:sz w:val="24"/>
                <w:szCs w:val="24"/>
                <w:highlight w:val="none"/>
              </w:rPr>
              <w:t>磋商前答疑会或现场考察</w:t>
            </w:r>
          </w:p>
        </w:tc>
        <w:tc>
          <w:tcPr>
            <w:tcW w:w="3593" w:type="pct"/>
            <w:tcBorders>
              <w:tl2br w:val="nil"/>
              <w:tr2bl w:val="nil"/>
            </w:tcBorders>
            <w:vAlign w:val="center"/>
          </w:tcPr>
          <w:p w14:paraId="69E12F08">
            <w:pPr>
              <w:pStyle w:val="19"/>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napToGrid/>
                <w:color w:val="auto"/>
                <w:sz w:val="24"/>
                <w:szCs w:val="24"/>
                <w:highlight w:val="none"/>
              </w:rPr>
            </w:pPr>
            <w:sdt>
              <w:sdtPr>
                <w:rPr>
                  <w:rFonts w:hint="eastAsia" w:ascii="宋体" w:hAnsi="宋体" w:eastAsia="宋体" w:cs="宋体"/>
                  <w:snapToGrid/>
                  <w:color w:val="auto"/>
                  <w:kern w:val="0"/>
                  <w:sz w:val="24"/>
                  <w:szCs w:val="24"/>
                  <w:highlight w:val="none"/>
                </w:rPr>
                <w:id w:val="-212966419"/>
                <w14:checkbox>
                  <w14:checked w14:val="0"/>
                  <w14:checkedState w14:val="00FE" w14:font="Wingdings"/>
                  <w14:uncheckedState w14:val="2610" w14:font="MS Gothic"/>
                </w14:checkbox>
              </w:sdtPr>
              <w:sdtEndPr>
                <w:rPr>
                  <w:rFonts w:hint="eastAsia" w:ascii="宋体" w:hAnsi="宋体" w:eastAsia="宋体" w:cs="宋体"/>
                  <w:snapToGrid/>
                  <w:color w:val="auto"/>
                  <w:kern w:val="0"/>
                  <w:sz w:val="24"/>
                  <w:szCs w:val="24"/>
                  <w:highlight w:val="none"/>
                </w:rPr>
              </w:sdtEndPr>
              <w:sdtContent>
                <w:r>
                  <w:rPr>
                    <w:rFonts w:hint="eastAsia" w:ascii="MS Gothic" w:hAnsi="MS Gothic" w:eastAsia="宋体" w:cs="宋体"/>
                    <w:snapToGrid/>
                    <w:color w:val="auto"/>
                    <w:kern w:val="0"/>
                    <w:sz w:val="24"/>
                    <w:szCs w:val="24"/>
                    <w:highlight w:val="none"/>
                    <w:lang w:val="en-US" w:eastAsia="zh-CN" w:bidi="ar-SA"/>
                  </w:rPr>
                  <w:t>☐</w:t>
                </w:r>
              </w:sdtContent>
            </w:sdt>
            <w:r>
              <w:rPr>
                <w:rFonts w:hint="eastAsia" w:ascii="宋体" w:hAnsi="宋体" w:eastAsia="宋体" w:cs="宋体"/>
                <w:snapToGrid/>
                <w:color w:val="auto"/>
                <w:kern w:val="0"/>
                <w:sz w:val="24"/>
                <w:szCs w:val="24"/>
                <w:highlight w:val="none"/>
              </w:rPr>
              <w:t>A</w:t>
            </w:r>
            <w:r>
              <w:rPr>
                <w:rFonts w:hint="eastAsia" w:ascii="宋体" w:hAnsi="宋体" w:eastAsia="宋体" w:cs="宋体"/>
                <w:snapToGrid/>
                <w:color w:val="auto"/>
                <w:sz w:val="24"/>
                <w:szCs w:val="24"/>
                <w:highlight w:val="none"/>
              </w:rPr>
              <w:t>不组织。</w:t>
            </w:r>
          </w:p>
          <w:p w14:paraId="20044B23">
            <w:pPr>
              <w:pStyle w:val="19"/>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napToGrid/>
                <w:color w:val="auto"/>
                <w:sz w:val="24"/>
                <w:szCs w:val="24"/>
                <w:highlight w:val="none"/>
              </w:rPr>
            </w:pPr>
            <w:sdt>
              <w:sdtPr>
                <w:rPr>
                  <w:rFonts w:hint="eastAsia" w:ascii="宋体" w:hAnsi="宋体" w:eastAsia="宋体" w:cs="宋体"/>
                  <w:snapToGrid/>
                  <w:color w:val="auto"/>
                  <w:kern w:val="0"/>
                  <w:sz w:val="24"/>
                  <w:szCs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snapToGrid/>
                  <w:color w:val="auto"/>
                  <w:kern w:val="0"/>
                  <w:sz w:val="24"/>
                  <w:szCs w:val="24"/>
                  <w:highlight w:val="none"/>
                </w:rPr>
              </w:sdtEndPr>
              <w:sdtContent>
                <w:r>
                  <w:rPr>
                    <w:rFonts w:hint="eastAsia" w:ascii="MS Gothic" w:hAnsi="MS Gothic" w:eastAsia="宋体" w:cs="宋体"/>
                    <w:snapToGrid/>
                    <w:color w:val="auto"/>
                    <w:kern w:val="0"/>
                    <w:sz w:val="24"/>
                    <w:szCs w:val="24"/>
                    <w:highlight w:val="none"/>
                    <w:lang w:val="en-US" w:eastAsia="zh-CN" w:bidi="ar-SA"/>
                  </w:rPr>
                  <w:t>☐</w:t>
                </w:r>
              </w:sdtContent>
            </w:sdt>
            <w:r>
              <w:rPr>
                <w:rFonts w:hint="eastAsia" w:ascii="宋体" w:hAnsi="宋体" w:eastAsia="宋体" w:cs="宋体"/>
                <w:snapToGrid/>
                <w:color w:val="auto"/>
                <w:kern w:val="0"/>
                <w:sz w:val="24"/>
                <w:szCs w:val="24"/>
                <w:highlight w:val="none"/>
              </w:rPr>
              <w:t>B组织，</w:t>
            </w:r>
            <w:r>
              <w:rPr>
                <w:rFonts w:hint="eastAsia" w:ascii="宋体" w:hAnsi="宋体" w:cs="宋体"/>
                <w:snapToGrid/>
                <w:color w:val="auto"/>
                <w:sz w:val="24"/>
                <w:szCs w:val="24"/>
                <w:highlight w:val="none"/>
                <w:lang w:val="en-US" w:eastAsia="zh-CN"/>
              </w:rPr>
              <w:t>本项目不统一组织现场考察</w:t>
            </w:r>
            <w:r>
              <w:rPr>
                <w:rFonts w:hint="eastAsia" w:ascii="宋体" w:hAnsi="宋体" w:eastAsia="宋体" w:cs="宋体"/>
                <w:snapToGrid/>
                <w:color w:val="auto"/>
                <w:sz w:val="24"/>
                <w:szCs w:val="24"/>
                <w:highlight w:val="none"/>
              </w:rPr>
              <w:t>，</w:t>
            </w:r>
            <w:r>
              <w:rPr>
                <w:rFonts w:hint="eastAsia" w:ascii="宋体" w:hAnsi="宋体" w:cs="宋体"/>
                <w:snapToGrid/>
                <w:color w:val="auto"/>
                <w:sz w:val="24"/>
                <w:szCs w:val="24"/>
                <w:highlight w:val="none"/>
                <w:lang w:val="en-US" w:eastAsia="zh-CN"/>
              </w:rPr>
              <w:t>供应商可自行前往现场考察。现场考察</w:t>
            </w:r>
            <w:r>
              <w:rPr>
                <w:rFonts w:hint="eastAsia" w:ascii="宋体" w:hAnsi="宋体" w:eastAsia="宋体" w:cs="宋体"/>
                <w:snapToGrid/>
                <w:color w:val="auto"/>
                <w:sz w:val="24"/>
                <w:szCs w:val="24"/>
                <w:highlight w:val="none"/>
              </w:rPr>
              <w:t>联系人：</w:t>
            </w:r>
            <w:r>
              <w:rPr>
                <w:rFonts w:hint="eastAsia" w:ascii="宋体" w:hAnsi="宋体" w:cs="宋体"/>
                <w:snapToGrid/>
                <w:color w:val="auto"/>
                <w:sz w:val="24"/>
                <w:szCs w:val="24"/>
                <w:highlight w:val="none"/>
                <w:lang w:val="en-US" w:eastAsia="zh-CN"/>
              </w:rPr>
              <w:t>/</w:t>
            </w:r>
            <w:r>
              <w:rPr>
                <w:rFonts w:hint="eastAsia" w:ascii="宋体" w:hAnsi="宋体" w:eastAsia="宋体" w:cs="宋体"/>
                <w:snapToGrid/>
                <w:color w:val="auto"/>
                <w:sz w:val="24"/>
                <w:szCs w:val="24"/>
                <w:highlight w:val="none"/>
              </w:rPr>
              <w:t>联系方式：</w:t>
            </w:r>
            <w:r>
              <w:rPr>
                <w:rFonts w:hint="eastAsia" w:ascii="宋体" w:hAnsi="宋体" w:cs="宋体"/>
                <w:snapToGrid/>
                <w:color w:val="auto"/>
                <w:sz w:val="24"/>
                <w:szCs w:val="24"/>
                <w:highlight w:val="none"/>
                <w:lang w:val="en-US" w:eastAsia="zh-CN"/>
              </w:rPr>
              <w:t>/</w:t>
            </w:r>
            <w:r>
              <w:rPr>
                <w:rFonts w:hint="eastAsia" w:ascii="宋体" w:hAnsi="宋体" w:eastAsia="宋体" w:cs="宋体"/>
                <w:snapToGrid/>
                <w:color w:val="auto"/>
                <w:sz w:val="24"/>
                <w:szCs w:val="24"/>
                <w:highlight w:val="none"/>
              </w:rPr>
              <w:t>。</w:t>
            </w:r>
          </w:p>
          <w:p w14:paraId="31CBA2F1">
            <w:pPr>
              <w:pStyle w:val="19"/>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snapToGrid/>
                <w:color w:val="auto"/>
                <w:sz w:val="24"/>
                <w:szCs w:val="24"/>
                <w:highlight w:val="none"/>
              </w:rPr>
            </w:pPr>
            <w:sdt>
              <w:sdtPr>
                <w:rPr>
                  <w:rFonts w:hint="eastAsia" w:ascii="宋体" w:hAnsi="宋体" w:eastAsia="宋体" w:cs="宋体"/>
                  <w:snapToGrid/>
                  <w:color w:val="auto"/>
                  <w:kern w:val="0"/>
                  <w:sz w:val="24"/>
                  <w:szCs w:val="24"/>
                  <w:highlight w:val="none"/>
                </w:rPr>
                <w:id w:val="147462902"/>
                <w14:checkbox>
                  <w14:checked w14:val="1"/>
                  <w14:checkedState w14:val="00FE" w14:font="Wingdings"/>
                  <w14:uncheckedState w14:val="2610" w14:font="MS Gothic"/>
                </w14:checkbox>
              </w:sdtPr>
              <w:sdtEndPr>
                <w:rPr>
                  <w:rFonts w:hint="eastAsia" w:ascii="宋体" w:hAnsi="宋体" w:eastAsia="宋体" w:cs="宋体"/>
                  <w:snapToGrid/>
                  <w:color w:val="auto"/>
                  <w:kern w:val="0"/>
                  <w:sz w:val="24"/>
                  <w:szCs w:val="24"/>
                  <w:highlight w:val="none"/>
                </w:rPr>
              </w:sdtEndPr>
              <w:sdtContent>
                <w:r>
                  <w:rPr>
                    <w:rFonts w:hint="eastAsia" w:ascii="Wingdings" w:hAnsi="Wingdings" w:eastAsia="宋体" w:cs="宋体"/>
                    <w:snapToGrid/>
                    <w:color w:val="auto"/>
                    <w:kern w:val="0"/>
                    <w:sz w:val="24"/>
                    <w:szCs w:val="24"/>
                    <w:highlight w:val="none"/>
                    <w:lang w:val="en-US" w:eastAsia="zh-CN" w:bidi="ar-SA"/>
                  </w:rPr>
                  <w:t>þ</w:t>
                </w:r>
              </w:sdtContent>
            </w:sdt>
            <w:r>
              <w:rPr>
                <w:rFonts w:hint="eastAsia" w:ascii="宋体" w:hAnsi="宋体" w:cs="宋体"/>
                <w:snapToGrid/>
                <w:color w:val="auto"/>
                <w:kern w:val="0"/>
                <w:sz w:val="24"/>
                <w:szCs w:val="24"/>
                <w:highlight w:val="none"/>
                <w:lang w:val="en-US" w:eastAsia="zh-CN"/>
              </w:rPr>
              <w:t>C</w:t>
            </w:r>
            <w:r>
              <w:rPr>
                <w:rFonts w:hint="eastAsia"/>
                <w:color w:val="auto"/>
                <w:highlight w:val="none"/>
                <w:lang w:val="en-US" w:eastAsia="zh-CN"/>
              </w:rPr>
              <w:t>不</w:t>
            </w:r>
            <w:r>
              <w:rPr>
                <w:rFonts w:hint="eastAsia" w:ascii="宋体" w:hAnsi="宋体" w:cs="宋体"/>
                <w:color w:val="auto"/>
                <w:kern w:val="0"/>
                <w:sz w:val="24"/>
                <w:highlight w:val="none"/>
              </w:rPr>
              <w:t>统一组织，供应商在获取采购文件后，</w:t>
            </w:r>
            <w:r>
              <w:rPr>
                <w:rFonts w:hint="eastAsia" w:ascii="宋体" w:hAnsi="宋体" w:cs="宋体"/>
                <w:color w:val="auto"/>
                <w:kern w:val="0"/>
                <w:sz w:val="24"/>
                <w:highlight w:val="none"/>
                <w:lang w:val="en-US" w:eastAsia="zh-CN"/>
              </w:rPr>
              <w:t>可以</w:t>
            </w:r>
            <w:r>
              <w:rPr>
                <w:rFonts w:hint="eastAsia" w:ascii="宋体" w:hAnsi="宋体" w:cs="宋体"/>
                <w:color w:val="auto"/>
                <w:kern w:val="0"/>
                <w:sz w:val="24"/>
                <w:highlight w:val="none"/>
              </w:rPr>
              <w:t>自行至项目现场考察。</w:t>
            </w:r>
          </w:p>
        </w:tc>
      </w:tr>
      <w:tr w14:paraId="6BF0E0F9">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7E616FBF">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6</w:t>
            </w:r>
          </w:p>
        </w:tc>
        <w:tc>
          <w:tcPr>
            <w:tcW w:w="1052" w:type="pct"/>
            <w:tcBorders>
              <w:tl2br w:val="nil"/>
              <w:tr2bl w:val="nil"/>
            </w:tcBorders>
            <w:vAlign w:val="center"/>
          </w:tcPr>
          <w:p w14:paraId="09D046CB">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napToGrid/>
                <w:color w:val="auto"/>
                <w:sz w:val="24"/>
                <w:szCs w:val="24"/>
                <w:highlight w:val="none"/>
              </w:rPr>
            </w:pPr>
            <w:r>
              <w:rPr>
                <w:rFonts w:hint="eastAsia" w:ascii="宋体" w:hAnsi="宋体" w:eastAsia="宋体" w:cs="宋体"/>
                <w:b/>
                <w:snapToGrid/>
                <w:color w:val="auto"/>
                <w:sz w:val="24"/>
                <w:szCs w:val="24"/>
                <w:highlight w:val="none"/>
              </w:rPr>
              <w:t>样品提供</w:t>
            </w:r>
          </w:p>
        </w:tc>
        <w:tc>
          <w:tcPr>
            <w:tcW w:w="3593" w:type="pct"/>
            <w:tcBorders>
              <w:tl2br w:val="nil"/>
              <w:tr2bl w:val="nil"/>
            </w:tcBorders>
            <w:vAlign w:val="center"/>
          </w:tcPr>
          <w:p w14:paraId="68F701C2">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sz w:val="24"/>
                <w:szCs w:val="24"/>
                <w:highlight w:val="none"/>
              </w:rPr>
            </w:pPr>
            <w:sdt>
              <w:sdtPr>
                <w:rPr>
                  <w:rFonts w:hint="eastAsia" w:ascii="宋体" w:hAnsi="宋体" w:eastAsia="宋体" w:cs="宋体"/>
                  <w:snapToGrid/>
                  <w:color w:val="auto"/>
                  <w:kern w:val="0"/>
                  <w:sz w:val="24"/>
                  <w:szCs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snapToGrid/>
                  <w:color w:val="auto"/>
                  <w:kern w:val="0"/>
                  <w:sz w:val="24"/>
                  <w:szCs w:val="24"/>
                  <w:highlight w:val="none"/>
                </w:rPr>
              </w:sdtEndPr>
              <w:sdtContent>
                <w:r>
                  <w:rPr>
                    <w:rFonts w:hint="eastAsia" w:ascii="Wingdings" w:hAnsi="Wingdings" w:eastAsia="宋体" w:cs="宋体"/>
                    <w:snapToGrid/>
                    <w:color w:val="auto"/>
                    <w:kern w:val="0"/>
                    <w:sz w:val="24"/>
                    <w:szCs w:val="24"/>
                    <w:highlight w:val="none"/>
                    <w:lang w:val="en-US" w:eastAsia="zh-CN" w:bidi="ar-SA"/>
                  </w:rPr>
                  <w:t>þ</w:t>
                </w:r>
              </w:sdtContent>
            </w:sdt>
            <w:r>
              <w:rPr>
                <w:rFonts w:hint="eastAsia" w:ascii="宋体" w:hAnsi="宋体" w:eastAsia="宋体" w:cs="宋体"/>
                <w:snapToGrid/>
                <w:color w:val="auto"/>
                <w:kern w:val="0"/>
                <w:sz w:val="24"/>
                <w:szCs w:val="24"/>
                <w:highlight w:val="none"/>
              </w:rPr>
              <w:t>A</w:t>
            </w:r>
            <w:r>
              <w:rPr>
                <w:rFonts w:hint="eastAsia" w:ascii="宋体" w:hAnsi="宋体" w:eastAsia="宋体" w:cs="宋体"/>
                <w:snapToGrid/>
                <w:color w:val="auto"/>
                <w:sz w:val="24"/>
                <w:szCs w:val="24"/>
                <w:highlight w:val="none"/>
              </w:rPr>
              <w:t>不要求提供。</w:t>
            </w:r>
          </w:p>
          <w:p w14:paraId="414F6B9C">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0"/>
                <w:sz w:val="24"/>
                <w:szCs w:val="24"/>
                <w:highlight w:val="none"/>
              </w:rPr>
            </w:pPr>
            <w:sdt>
              <w:sdtPr>
                <w:rPr>
                  <w:rFonts w:hint="eastAsia" w:ascii="宋体" w:hAnsi="宋体" w:eastAsia="宋体" w:cs="宋体"/>
                  <w:snapToGrid/>
                  <w:color w:val="auto"/>
                  <w:kern w:val="0"/>
                  <w:sz w:val="24"/>
                  <w:szCs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snapToGrid/>
                  <w:color w:val="auto"/>
                  <w:kern w:val="0"/>
                  <w:sz w:val="24"/>
                  <w:szCs w:val="24"/>
                  <w:highlight w:val="none"/>
                </w:rPr>
              </w:sdtEndPr>
              <w:sdtContent>
                <w:r>
                  <w:rPr>
                    <w:rFonts w:hint="eastAsia" w:ascii="宋体" w:hAnsi="宋体" w:eastAsia="宋体" w:cs="宋体"/>
                    <w:snapToGrid/>
                    <w:color w:val="auto"/>
                    <w:kern w:val="0"/>
                    <w:sz w:val="24"/>
                    <w:szCs w:val="24"/>
                    <w:highlight w:val="none"/>
                  </w:rPr>
                  <w:t>☐</w:t>
                </w:r>
              </w:sdtContent>
            </w:sdt>
            <w:r>
              <w:rPr>
                <w:rFonts w:hint="eastAsia" w:ascii="宋体" w:hAnsi="宋体" w:eastAsia="宋体" w:cs="宋体"/>
                <w:snapToGrid/>
                <w:color w:val="auto"/>
                <w:kern w:val="0"/>
                <w:sz w:val="24"/>
                <w:szCs w:val="24"/>
                <w:highlight w:val="none"/>
              </w:rPr>
              <w:t>B要求提供，</w:t>
            </w:r>
          </w:p>
          <w:p w14:paraId="067FF28A">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0"/>
                <w:sz w:val="24"/>
                <w:szCs w:val="24"/>
                <w:highlight w:val="none"/>
              </w:rPr>
            </w:pPr>
            <w:r>
              <w:rPr>
                <w:rFonts w:hint="eastAsia" w:ascii="宋体" w:hAnsi="宋体" w:eastAsia="宋体" w:cs="宋体"/>
                <w:snapToGrid/>
                <w:color w:val="auto"/>
                <w:kern w:val="0"/>
                <w:sz w:val="24"/>
                <w:szCs w:val="24"/>
                <w:highlight w:val="none"/>
              </w:rPr>
              <w:t>（1）</w:t>
            </w:r>
            <w:r>
              <w:rPr>
                <w:rFonts w:hint="eastAsia" w:ascii="宋体" w:hAnsi="宋体" w:eastAsia="宋体" w:cs="宋体"/>
                <w:snapToGrid/>
                <w:color w:val="auto"/>
                <w:kern w:val="28"/>
                <w:sz w:val="24"/>
                <w:szCs w:val="24"/>
                <w:highlight w:val="none"/>
              </w:rPr>
              <w:t>样品：</w:t>
            </w:r>
            <w:r>
              <w:rPr>
                <w:rFonts w:hint="eastAsia" w:ascii="宋体" w:hAnsi="宋体" w:eastAsia="宋体" w:cs="宋体"/>
                <w:snapToGrid/>
                <w:color w:val="auto"/>
                <w:sz w:val="24"/>
                <w:szCs w:val="24"/>
                <w:highlight w:val="none"/>
                <w:u w:val="single"/>
                <w:lang w:val="en-US" w:eastAsia="zh-CN"/>
              </w:rPr>
              <w:t>/</w:t>
            </w:r>
            <w:r>
              <w:rPr>
                <w:rFonts w:hint="eastAsia" w:ascii="宋体" w:hAnsi="宋体" w:eastAsia="宋体" w:cs="宋体"/>
                <w:snapToGrid/>
                <w:color w:val="auto"/>
                <w:kern w:val="0"/>
                <w:sz w:val="24"/>
                <w:szCs w:val="24"/>
                <w:highlight w:val="none"/>
              </w:rPr>
              <w:t>；</w:t>
            </w:r>
          </w:p>
          <w:p w14:paraId="02462BE1">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0"/>
                <w:sz w:val="24"/>
                <w:szCs w:val="24"/>
                <w:highlight w:val="none"/>
              </w:rPr>
            </w:pPr>
            <w:r>
              <w:rPr>
                <w:rFonts w:hint="eastAsia" w:ascii="宋体" w:hAnsi="宋体" w:eastAsia="宋体" w:cs="宋体"/>
                <w:snapToGrid/>
                <w:color w:val="auto"/>
                <w:kern w:val="0"/>
                <w:sz w:val="24"/>
                <w:szCs w:val="24"/>
                <w:highlight w:val="none"/>
              </w:rPr>
              <w:t>（2）</w:t>
            </w:r>
            <w:r>
              <w:rPr>
                <w:rFonts w:hint="eastAsia" w:ascii="宋体" w:hAnsi="宋体" w:eastAsia="宋体" w:cs="宋体"/>
                <w:snapToGrid/>
                <w:color w:val="auto"/>
                <w:kern w:val="28"/>
                <w:sz w:val="24"/>
                <w:szCs w:val="24"/>
                <w:highlight w:val="none"/>
              </w:rPr>
              <w:t>样品制作的标准和要求：</w:t>
            </w:r>
            <w:r>
              <w:rPr>
                <w:rFonts w:hint="eastAsia" w:ascii="宋体" w:hAnsi="宋体" w:eastAsia="宋体" w:cs="宋体"/>
                <w:snapToGrid/>
                <w:color w:val="auto"/>
                <w:sz w:val="24"/>
                <w:szCs w:val="24"/>
                <w:highlight w:val="none"/>
                <w:u w:val="single"/>
                <w:lang w:val="en-US" w:eastAsia="zh-CN"/>
              </w:rPr>
              <w:t>/</w:t>
            </w:r>
            <w:r>
              <w:rPr>
                <w:rFonts w:hint="eastAsia" w:ascii="宋体" w:hAnsi="宋体" w:eastAsia="宋体" w:cs="宋体"/>
                <w:snapToGrid/>
                <w:color w:val="auto"/>
                <w:kern w:val="0"/>
                <w:sz w:val="24"/>
                <w:szCs w:val="24"/>
                <w:highlight w:val="none"/>
              </w:rPr>
              <w:t>；</w:t>
            </w:r>
          </w:p>
          <w:p w14:paraId="224EF668">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0"/>
                <w:sz w:val="24"/>
                <w:szCs w:val="24"/>
                <w:highlight w:val="none"/>
              </w:rPr>
            </w:pPr>
            <w:r>
              <w:rPr>
                <w:rFonts w:hint="eastAsia" w:ascii="宋体" w:hAnsi="宋体" w:eastAsia="宋体" w:cs="宋体"/>
                <w:snapToGrid/>
                <w:color w:val="auto"/>
                <w:kern w:val="0"/>
                <w:sz w:val="24"/>
                <w:szCs w:val="24"/>
                <w:highlight w:val="none"/>
              </w:rPr>
              <w:t>（3）样品的评审方法以及评审标准</w:t>
            </w:r>
            <w:r>
              <w:rPr>
                <w:rFonts w:hint="eastAsia" w:ascii="宋体" w:hAnsi="宋体" w:eastAsia="宋体" w:cs="宋体"/>
                <w:snapToGrid/>
                <w:color w:val="auto"/>
                <w:kern w:val="28"/>
                <w:sz w:val="24"/>
                <w:szCs w:val="24"/>
                <w:highlight w:val="none"/>
              </w:rPr>
              <w:t>：详见</w:t>
            </w:r>
            <w:r>
              <w:rPr>
                <w:rFonts w:hint="eastAsia" w:ascii="宋体" w:hAnsi="宋体" w:eastAsia="宋体" w:cs="宋体"/>
                <w:snapToGrid/>
                <w:color w:val="auto"/>
                <w:sz w:val="24"/>
                <w:szCs w:val="24"/>
                <w:highlight w:val="none"/>
                <w:u w:val="single"/>
                <w:lang w:val="en-US" w:eastAsia="zh-CN"/>
              </w:rPr>
              <w:t>/</w:t>
            </w:r>
            <w:r>
              <w:rPr>
                <w:rFonts w:hint="eastAsia" w:ascii="宋体" w:hAnsi="宋体" w:eastAsia="宋体" w:cs="宋体"/>
                <w:snapToGrid/>
                <w:color w:val="auto"/>
                <w:kern w:val="0"/>
                <w:sz w:val="24"/>
                <w:szCs w:val="24"/>
                <w:highlight w:val="none"/>
              </w:rPr>
              <w:t>；</w:t>
            </w:r>
          </w:p>
          <w:p w14:paraId="7DA260DA">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0"/>
                <w:sz w:val="24"/>
                <w:szCs w:val="24"/>
                <w:highlight w:val="none"/>
              </w:rPr>
            </w:pPr>
            <w:r>
              <w:rPr>
                <w:rFonts w:hint="eastAsia" w:ascii="宋体" w:hAnsi="宋体" w:eastAsia="宋体" w:cs="宋体"/>
                <w:snapToGrid/>
                <w:color w:val="auto"/>
                <w:kern w:val="0"/>
                <w:sz w:val="24"/>
                <w:szCs w:val="24"/>
                <w:highlight w:val="none"/>
              </w:rPr>
              <w:t>（4）是否需要随样品提交检测报告：</w:t>
            </w:r>
            <w:sdt>
              <w:sdtPr>
                <w:rPr>
                  <w:rFonts w:hint="eastAsia" w:ascii="宋体" w:hAnsi="宋体" w:eastAsia="宋体" w:cs="宋体"/>
                  <w:snapToGrid/>
                  <w:color w:val="auto"/>
                  <w:kern w:val="0"/>
                  <w:sz w:val="24"/>
                  <w:szCs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snapToGrid/>
                  <w:color w:val="auto"/>
                  <w:kern w:val="0"/>
                  <w:sz w:val="24"/>
                  <w:szCs w:val="24"/>
                  <w:highlight w:val="none"/>
                </w:rPr>
              </w:sdtEndPr>
              <w:sdtContent>
                <w:r>
                  <w:rPr>
                    <w:rFonts w:hint="eastAsia" w:ascii="宋体" w:hAnsi="宋体" w:eastAsia="宋体" w:cs="宋体"/>
                    <w:snapToGrid/>
                    <w:color w:val="auto"/>
                    <w:kern w:val="0"/>
                    <w:sz w:val="24"/>
                    <w:szCs w:val="24"/>
                    <w:highlight w:val="none"/>
                  </w:rPr>
                  <w:t>☐</w:t>
                </w:r>
              </w:sdtContent>
            </w:sdt>
            <w:r>
              <w:rPr>
                <w:rFonts w:hint="eastAsia" w:ascii="宋体" w:hAnsi="宋体" w:eastAsia="宋体" w:cs="宋体"/>
                <w:snapToGrid/>
                <w:color w:val="auto"/>
                <w:kern w:val="0"/>
                <w:sz w:val="24"/>
                <w:szCs w:val="24"/>
                <w:highlight w:val="none"/>
              </w:rPr>
              <w:t>否；</w:t>
            </w:r>
            <w:sdt>
              <w:sdtPr>
                <w:rPr>
                  <w:rFonts w:hint="eastAsia" w:ascii="宋体" w:hAnsi="宋体" w:eastAsia="宋体" w:cs="宋体"/>
                  <w:snapToGrid/>
                  <w:color w:val="auto"/>
                  <w:kern w:val="0"/>
                  <w:sz w:val="24"/>
                  <w:szCs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snapToGrid/>
                  <w:color w:val="auto"/>
                  <w:kern w:val="0"/>
                  <w:sz w:val="24"/>
                  <w:szCs w:val="24"/>
                  <w:highlight w:val="none"/>
                </w:rPr>
              </w:sdtEndPr>
              <w:sdtContent>
                <w:r>
                  <w:rPr>
                    <w:rFonts w:hint="eastAsia" w:ascii="宋体" w:hAnsi="宋体" w:eastAsia="宋体" w:cs="宋体"/>
                    <w:snapToGrid/>
                    <w:color w:val="auto"/>
                    <w:kern w:val="0"/>
                    <w:sz w:val="24"/>
                    <w:szCs w:val="24"/>
                    <w:highlight w:val="none"/>
                  </w:rPr>
                  <w:t>☐</w:t>
                </w:r>
              </w:sdtContent>
            </w:sdt>
            <w:r>
              <w:rPr>
                <w:rFonts w:hint="eastAsia" w:ascii="宋体" w:hAnsi="宋体" w:eastAsia="宋体" w:cs="宋体"/>
                <w:snapToGrid/>
                <w:color w:val="auto"/>
                <w:kern w:val="0"/>
                <w:sz w:val="24"/>
                <w:szCs w:val="24"/>
                <w:highlight w:val="none"/>
              </w:rPr>
              <w:t>是，检测机构的要求</w:t>
            </w:r>
            <w:r>
              <w:rPr>
                <w:rFonts w:hint="eastAsia" w:ascii="宋体" w:hAnsi="宋体" w:eastAsia="宋体" w:cs="宋体"/>
                <w:snapToGrid/>
                <w:color w:val="auto"/>
                <w:sz w:val="24"/>
                <w:szCs w:val="24"/>
                <w:highlight w:val="none"/>
              </w:rPr>
              <w:t>：</w:t>
            </w:r>
            <w:r>
              <w:rPr>
                <w:rFonts w:hint="eastAsia" w:ascii="宋体" w:hAnsi="宋体" w:eastAsia="宋体" w:cs="宋体"/>
                <w:snapToGrid/>
                <w:color w:val="auto"/>
                <w:sz w:val="24"/>
                <w:szCs w:val="24"/>
                <w:highlight w:val="none"/>
                <w:u w:val="single"/>
                <w:lang w:val="en-US" w:eastAsia="zh-CN"/>
              </w:rPr>
              <w:t>/</w:t>
            </w:r>
            <w:r>
              <w:rPr>
                <w:rFonts w:hint="eastAsia" w:ascii="宋体" w:hAnsi="宋体" w:eastAsia="宋体" w:cs="宋体"/>
                <w:snapToGrid/>
                <w:color w:val="auto"/>
                <w:kern w:val="0"/>
                <w:sz w:val="24"/>
                <w:szCs w:val="24"/>
                <w:highlight w:val="none"/>
              </w:rPr>
              <w:t>；检测内容</w:t>
            </w:r>
            <w:r>
              <w:rPr>
                <w:rFonts w:hint="eastAsia" w:ascii="宋体" w:hAnsi="宋体" w:eastAsia="宋体" w:cs="宋体"/>
                <w:snapToGrid/>
                <w:color w:val="auto"/>
                <w:sz w:val="24"/>
                <w:szCs w:val="24"/>
                <w:highlight w:val="none"/>
              </w:rPr>
              <w:t>：</w:t>
            </w:r>
            <w:r>
              <w:rPr>
                <w:rFonts w:hint="eastAsia" w:ascii="宋体" w:hAnsi="宋体" w:eastAsia="宋体" w:cs="宋体"/>
                <w:snapToGrid/>
                <w:color w:val="auto"/>
                <w:sz w:val="24"/>
                <w:szCs w:val="24"/>
                <w:highlight w:val="none"/>
                <w:u w:val="single"/>
                <w:lang w:val="en-US" w:eastAsia="zh-CN"/>
              </w:rPr>
              <w:t>/</w:t>
            </w:r>
            <w:r>
              <w:rPr>
                <w:rFonts w:hint="eastAsia" w:ascii="宋体" w:hAnsi="宋体" w:eastAsia="宋体" w:cs="宋体"/>
                <w:snapToGrid/>
                <w:color w:val="auto"/>
                <w:kern w:val="0"/>
                <w:sz w:val="24"/>
                <w:szCs w:val="24"/>
                <w:highlight w:val="none"/>
              </w:rPr>
              <w:t>。</w:t>
            </w:r>
          </w:p>
          <w:p w14:paraId="39D5CA67">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（5）提供样品的时间：</w:t>
            </w:r>
            <w:r>
              <w:rPr>
                <w:rFonts w:hint="eastAsia" w:ascii="宋体" w:hAnsi="宋体" w:eastAsia="宋体" w:cs="宋体"/>
                <w:snapToGrid/>
                <w:color w:val="auto"/>
                <w:sz w:val="24"/>
                <w:szCs w:val="24"/>
                <w:highlight w:val="none"/>
                <w:u w:val="single"/>
                <w:lang w:val="en-US" w:eastAsia="zh-CN"/>
              </w:rPr>
              <w:t>/</w:t>
            </w:r>
            <w:r>
              <w:rPr>
                <w:rFonts w:hint="eastAsia" w:ascii="宋体" w:hAnsi="宋体" w:eastAsia="宋体" w:cs="宋体"/>
                <w:snapToGrid/>
                <w:color w:val="auto"/>
                <w:kern w:val="0"/>
                <w:sz w:val="24"/>
                <w:szCs w:val="24"/>
                <w:highlight w:val="none"/>
              </w:rPr>
              <w:t>；地点：</w:t>
            </w:r>
            <w:r>
              <w:rPr>
                <w:rFonts w:hint="eastAsia" w:ascii="宋体" w:hAnsi="宋体" w:eastAsia="宋体" w:cs="宋体"/>
                <w:snapToGrid/>
                <w:color w:val="auto"/>
                <w:sz w:val="24"/>
                <w:szCs w:val="24"/>
                <w:highlight w:val="none"/>
                <w:u w:val="single"/>
                <w:lang w:val="en-US" w:eastAsia="zh-CN"/>
              </w:rPr>
              <w:t>/</w:t>
            </w:r>
            <w:r>
              <w:rPr>
                <w:rFonts w:hint="eastAsia" w:ascii="宋体" w:hAnsi="宋体" w:eastAsia="宋体" w:cs="宋体"/>
                <w:snapToGrid/>
                <w:color w:val="auto"/>
                <w:kern w:val="0"/>
                <w:sz w:val="24"/>
                <w:szCs w:val="24"/>
                <w:highlight w:val="none"/>
              </w:rPr>
              <w:t>；联系人</w:t>
            </w:r>
            <w:r>
              <w:rPr>
                <w:rFonts w:hint="eastAsia" w:ascii="宋体" w:hAnsi="宋体" w:eastAsia="宋体" w:cs="宋体"/>
                <w:snapToGrid/>
                <w:color w:val="auto"/>
                <w:sz w:val="24"/>
                <w:szCs w:val="24"/>
                <w:highlight w:val="none"/>
              </w:rPr>
              <w:t>：</w:t>
            </w:r>
            <w:r>
              <w:rPr>
                <w:rFonts w:hint="eastAsia" w:ascii="宋体" w:hAnsi="宋体" w:eastAsia="宋体" w:cs="宋体"/>
                <w:snapToGrid/>
                <w:color w:val="auto"/>
                <w:sz w:val="24"/>
                <w:szCs w:val="24"/>
                <w:highlight w:val="none"/>
                <w:u w:val="single"/>
                <w:lang w:val="en-US" w:eastAsia="zh-CN"/>
              </w:rPr>
              <w:t>/</w:t>
            </w:r>
            <w:r>
              <w:rPr>
                <w:rFonts w:hint="eastAsia" w:ascii="宋体" w:hAnsi="宋体" w:eastAsia="宋体" w:cs="宋体"/>
                <w:snapToGrid/>
                <w:color w:val="auto"/>
                <w:sz w:val="24"/>
                <w:szCs w:val="24"/>
                <w:highlight w:val="none"/>
              </w:rPr>
              <w:t>，</w:t>
            </w:r>
            <w:r>
              <w:rPr>
                <w:rFonts w:hint="eastAsia" w:ascii="宋体" w:hAnsi="宋体" w:eastAsia="宋体" w:cs="宋体"/>
                <w:snapToGrid/>
                <w:color w:val="auto"/>
                <w:kern w:val="28"/>
                <w:sz w:val="24"/>
                <w:szCs w:val="24"/>
                <w:highlight w:val="none"/>
              </w:rPr>
              <w:t>联系电话：</w:t>
            </w:r>
            <w:r>
              <w:rPr>
                <w:rFonts w:hint="eastAsia" w:ascii="宋体" w:hAnsi="宋体" w:eastAsia="宋体" w:cs="宋体"/>
                <w:snapToGrid/>
                <w:color w:val="auto"/>
                <w:sz w:val="24"/>
                <w:szCs w:val="24"/>
                <w:highlight w:val="none"/>
                <w:u w:val="single"/>
                <w:lang w:val="en-US" w:eastAsia="zh-CN"/>
              </w:rPr>
              <w:t>/</w:t>
            </w:r>
            <w:r>
              <w:rPr>
                <w:rFonts w:hint="eastAsia" w:ascii="宋体" w:hAnsi="宋体" w:eastAsia="宋体" w:cs="宋体"/>
                <w:snapToGrid/>
                <w:color w:val="auto"/>
                <w:sz w:val="24"/>
                <w:szCs w:val="24"/>
                <w:highlight w:val="none"/>
              </w:rPr>
              <w:t>。请供应商在上述时间内提供样品并按规定位置安装完毕。超过截止时间的，采购人或采购代理机构将不予接收，并将清场并封闭样品现场。</w:t>
            </w:r>
          </w:p>
          <w:p w14:paraId="787CC24B">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（6）采购活动结束后，对于未成交供应商提供的样品，采购人、</w:t>
            </w:r>
            <w:r>
              <w:rPr>
                <w:rFonts w:hint="eastAsia" w:ascii="宋体" w:hAnsi="宋体" w:eastAsia="宋体" w:cs="宋体"/>
                <w:snapToGrid/>
                <w:color w:val="auto"/>
                <w:sz w:val="24"/>
                <w:szCs w:val="24"/>
                <w:highlight w:val="none"/>
                <w:lang w:eastAsia="zh-CN"/>
              </w:rPr>
              <w:t>采购代理机构</w:t>
            </w:r>
            <w:r>
              <w:rPr>
                <w:rFonts w:hint="eastAsia" w:ascii="宋体" w:hAnsi="宋体" w:eastAsia="宋体" w:cs="宋体"/>
                <w:snapToGrid/>
                <w:color w:val="auto"/>
                <w:sz w:val="24"/>
                <w:szCs w:val="24"/>
                <w:highlight w:val="none"/>
              </w:rPr>
              <w:t>将通知未成交供应商在规定的时间内取回，逾期未取回的，采购人、</w:t>
            </w:r>
            <w:r>
              <w:rPr>
                <w:rFonts w:hint="eastAsia" w:ascii="宋体" w:hAnsi="宋体" w:eastAsia="宋体" w:cs="宋体"/>
                <w:snapToGrid/>
                <w:color w:val="auto"/>
                <w:sz w:val="24"/>
                <w:szCs w:val="24"/>
                <w:highlight w:val="none"/>
                <w:lang w:eastAsia="zh-CN"/>
              </w:rPr>
              <w:t>采购代理机构</w:t>
            </w:r>
            <w:r>
              <w:rPr>
                <w:rFonts w:hint="eastAsia" w:ascii="宋体" w:hAnsi="宋体" w:eastAsia="宋体" w:cs="宋体"/>
                <w:snapToGrid/>
                <w:color w:val="auto"/>
                <w:sz w:val="24"/>
                <w:szCs w:val="24"/>
                <w:highlight w:val="none"/>
              </w:rPr>
              <w:t>不负保管义务；对于成交供应商提供的样品，采购人将进行保管、封存，并作为履约验收的参考。</w:t>
            </w:r>
          </w:p>
          <w:p w14:paraId="1A89F76E">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snapToGrid/>
                <w:color w:val="auto"/>
                <w:sz w:val="24"/>
                <w:szCs w:val="24"/>
                <w:highlight w:val="none"/>
              </w:rPr>
            </w:pPr>
            <w:r>
              <w:rPr>
                <w:rFonts w:hint="eastAsia" w:ascii="宋体" w:hAnsi="宋体" w:eastAsia="宋体" w:cs="宋体"/>
                <w:snapToGrid/>
                <w:color w:val="auto"/>
                <w:sz w:val="24"/>
                <w:szCs w:val="24"/>
                <w:highlight w:val="none"/>
              </w:rPr>
              <w:t>（7）制作、运输、安装和保管样品所发生的一切费用由供应商自理。</w:t>
            </w:r>
          </w:p>
        </w:tc>
      </w:tr>
      <w:tr w14:paraId="72563F4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7A70511D">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7</w:t>
            </w:r>
          </w:p>
        </w:tc>
        <w:tc>
          <w:tcPr>
            <w:tcW w:w="1052" w:type="pct"/>
            <w:tcBorders>
              <w:tl2br w:val="nil"/>
              <w:tr2bl w:val="nil"/>
            </w:tcBorders>
            <w:vAlign w:val="center"/>
          </w:tcPr>
          <w:p w14:paraId="1094512C">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Cs/>
                <w:snapToGrid/>
                <w:color w:val="auto"/>
                <w:sz w:val="24"/>
                <w:szCs w:val="24"/>
                <w:highlight w:val="none"/>
              </w:rPr>
            </w:pPr>
            <w:r>
              <w:rPr>
                <w:rFonts w:hint="eastAsia" w:ascii="宋体" w:hAnsi="宋体" w:eastAsia="宋体" w:cs="宋体"/>
                <w:b/>
                <w:snapToGrid/>
                <w:color w:val="auto"/>
                <w:sz w:val="24"/>
                <w:szCs w:val="24"/>
                <w:highlight w:val="none"/>
              </w:rPr>
              <w:t>方案讲解演示</w:t>
            </w:r>
          </w:p>
        </w:tc>
        <w:tc>
          <w:tcPr>
            <w:tcW w:w="3593" w:type="pct"/>
            <w:tcBorders>
              <w:tl2br w:val="nil"/>
              <w:tr2bl w:val="nil"/>
            </w:tcBorders>
            <w:vAlign w:val="center"/>
          </w:tcPr>
          <w:p w14:paraId="638A9E62">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sz w:val="24"/>
                <w:szCs w:val="24"/>
                <w:highlight w:val="none"/>
              </w:rPr>
            </w:pPr>
            <w:sdt>
              <w:sdtPr>
                <w:rPr>
                  <w:rFonts w:hint="eastAsia" w:ascii="宋体" w:hAnsi="宋体" w:eastAsia="宋体" w:cs="宋体"/>
                  <w:snapToGrid/>
                  <w:color w:val="auto"/>
                  <w:kern w:val="0"/>
                  <w:sz w:val="24"/>
                  <w:szCs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snapToGrid/>
                  <w:color w:val="auto"/>
                  <w:kern w:val="0"/>
                  <w:sz w:val="24"/>
                  <w:szCs w:val="24"/>
                  <w:highlight w:val="none"/>
                </w:rPr>
              </w:sdtEndPr>
              <w:sdtContent>
                <w:r>
                  <w:rPr>
                    <w:rFonts w:hint="eastAsia" w:ascii="Wingdings" w:hAnsi="Wingdings" w:eastAsia="宋体" w:cs="宋体"/>
                    <w:snapToGrid/>
                    <w:color w:val="auto"/>
                    <w:kern w:val="0"/>
                    <w:sz w:val="24"/>
                    <w:szCs w:val="24"/>
                    <w:highlight w:val="none"/>
                    <w:lang w:val="en-US" w:eastAsia="zh-CN" w:bidi="ar-SA"/>
                  </w:rPr>
                  <w:t>þ</w:t>
                </w:r>
              </w:sdtContent>
            </w:sdt>
            <w:r>
              <w:rPr>
                <w:rFonts w:hint="eastAsia" w:ascii="宋体" w:hAnsi="宋体" w:eastAsia="宋体" w:cs="宋体"/>
                <w:snapToGrid/>
                <w:color w:val="auto"/>
                <w:kern w:val="0"/>
                <w:sz w:val="24"/>
                <w:szCs w:val="24"/>
                <w:highlight w:val="none"/>
              </w:rPr>
              <w:t>A</w:t>
            </w:r>
            <w:r>
              <w:rPr>
                <w:rFonts w:hint="eastAsia" w:ascii="宋体" w:hAnsi="宋体" w:eastAsia="宋体" w:cs="宋体"/>
                <w:snapToGrid/>
                <w:color w:val="auto"/>
                <w:sz w:val="24"/>
                <w:szCs w:val="24"/>
                <w:highlight w:val="none"/>
              </w:rPr>
              <w:t>不组织。</w:t>
            </w:r>
          </w:p>
          <w:p w14:paraId="24FF1993">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0"/>
                <w:sz w:val="24"/>
                <w:szCs w:val="24"/>
                <w:highlight w:val="none"/>
              </w:rPr>
            </w:pPr>
            <w:sdt>
              <w:sdtPr>
                <w:rPr>
                  <w:rFonts w:hint="eastAsia" w:ascii="宋体" w:hAnsi="宋体" w:eastAsia="宋体" w:cs="宋体"/>
                  <w:snapToGrid/>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snapToGrid/>
                  <w:color w:val="auto"/>
                  <w:kern w:val="0"/>
                  <w:sz w:val="24"/>
                  <w:szCs w:val="24"/>
                  <w:highlight w:val="none"/>
                </w:rPr>
              </w:sdtEndPr>
              <w:sdtContent>
                <w:r>
                  <w:rPr>
                    <w:rFonts w:hint="eastAsia" w:ascii="宋体" w:hAnsi="宋体" w:eastAsia="宋体" w:cs="宋体"/>
                    <w:snapToGrid/>
                    <w:color w:val="auto"/>
                    <w:kern w:val="0"/>
                    <w:sz w:val="24"/>
                    <w:szCs w:val="24"/>
                    <w:highlight w:val="none"/>
                  </w:rPr>
                  <w:t>☐</w:t>
                </w:r>
              </w:sdtContent>
            </w:sdt>
            <w:r>
              <w:rPr>
                <w:rFonts w:hint="eastAsia" w:ascii="宋体" w:hAnsi="宋体" w:eastAsia="宋体" w:cs="宋体"/>
                <w:snapToGrid/>
                <w:color w:val="auto"/>
                <w:kern w:val="0"/>
                <w:sz w:val="24"/>
                <w:szCs w:val="24"/>
                <w:highlight w:val="none"/>
              </w:rPr>
              <w:t>B组织。</w:t>
            </w:r>
          </w:p>
          <w:p w14:paraId="110389E3">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0"/>
                <w:sz w:val="24"/>
                <w:szCs w:val="24"/>
                <w:highlight w:val="none"/>
              </w:rPr>
            </w:pPr>
            <w:r>
              <w:rPr>
                <w:rFonts w:hint="eastAsia" w:ascii="宋体" w:hAnsi="宋体" w:eastAsia="宋体" w:cs="宋体"/>
                <w:snapToGrid/>
                <w:color w:val="auto"/>
                <w:kern w:val="0"/>
                <w:sz w:val="24"/>
                <w:szCs w:val="24"/>
                <w:highlight w:val="none"/>
              </w:rPr>
              <w:t>（1）在评审时安排每个供应商进行方案讲解演示。每个供应商时间不超过</w:t>
            </w:r>
            <w:r>
              <w:rPr>
                <w:rFonts w:hint="eastAsia" w:ascii="宋体" w:hAnsi="宋体" w:cs="宋体"/>
                <w:snapToGrid/>
                <w:color w:val="auto"/>
                <w:kern w:val="0"/>
                <w:sz w:val="24"/>
                <w:szCs w:val="24"/>
                <w:highlight w:val="none"/>
                <w:u w:val="single"/>
                <w:lang w:val="en-US" w:eastAsia="zh-CN"/>
              </w:rPr>
              <w:t>/</w:t>
            </w:r>
            <w:r>
              <w:rPr>
                <w:rFonts w:hint="eastAsia" w:ascii="宋体" w:hAnsi="宋体" w:eastAsia="宋体" w:cs="宋体"/>
                <w:snapToGrid/>
                <w:color w:val="auto"/>
                <w:kern w:val="0"/>
                <w:sz w:val="24"/>
                <w:szCs w:val="24"/>
                <w:highlight w:val="none"/>
              </w:rPr>
              <w:t>分钟，讲解次序以响应文件解密时间先后次序为准，讲解演示人员不超过</w:t>
            </w:r>
            <w:r>
              <w:rPr>
                <w:rFonts w:hint="eastAsia" w:ascii="宋体" w:hAnsi="宋体" w:cs="宋体"/>
                <w:snapToGrid/>
                <w:color w:val="auto"/>
                <w:kern w:val="0"/>
                <w:sz w:val="24"/>
                <w:szCs w:val="24"/>
                <w:highlight w:val="none"/>
                <w:u w:val="single"/>
                <w:lang w:val="en-US" w:eastAsia="zh-CN"/>
              </w:rPr>
              <w:t>/</w:t>
            </w:r>
            <w:r>
              <w:rPr>
                <w:rFonts w:hint="eastAsia" w:ascii="宋体" w:hAnsi="宋体" w:eastAsia="宋体" w:cs="宋体"/>
                <w:snapToGrid/>
                <w:color w:val="auto"/>
                <w:kern w:val="0"/>
                <w:sz w:val="24"/>
                <w:szCs w:val="24"/>
                <w:highlight w:val="none"/>
              </w:rPr>
              <w:t>人。讲解演示结束后按要求解答磋商小组提问。</w:t>
            </w:r>
          </w:p>
          <w:p w14:paraId="29A6DB43">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0"/>
                <w:sz w:val="24"/>
                <w:szCs w:val="24"/>
                <w:highlight w:val="none"/>
              </w:rPr>
            </w:pPr>
            <w:r>
              <w:rPr>
                <w:rFonts w:hint="eastAsia" w:ascii="宋体" w:hAnsi="宋体" w:eastAsia="宋体" w:cs="宋体"/>
                <w:snapToGrid/>
                <w:color w:val="auto"/>
                <w:kern w:val="0"/>
                <w:sz w:val="24"/>
                <w:szCs w:val="24"/>
                <w:highlight w:val="none"/>
              </w:rPr>
              <w:t>（2）方案讲解演示可选择以下其中一种方式：</w:t>
            </w:r>
          </w:p>
          <w:p w14:paraId="50C97BAF">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0"/>
                <w:sz w:val="24"/>
                <w:szCs w:val="24"/>
                <w:highlight w:val="none"/>
              </w:rPr>
            </w:pPr>
            <w:r>
              <w:rPr>
                <w:rFonts w:hint="eastAsia" w:ascii="宋体" w:hAnsi="宋体" w:eastAsia="宋体" w:cs="宋体"/>
                <w:snapToGrid/>
                <w:color w:val="auto"/>
                <w:kern w:val="0"/>
                <w:sz w:val="24"/>
                <w:szCs w:val="24"/>
                <w:highlight w:val="none"/>
              </w:rPr>
              <w:t>方式一：政采云平台在线讲解演示。政采云平台在线讲解需供应商根据政采云平台操作要求做好准备工作，提前完善软硬件配置环境。</w:t>
            </w:r>
          </w:p>
          <w:p w14:paraId="4746BC89">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0"/>
                <w:sz w:val="24"/>
                <w:szCs w:val="24"/>
                <w:highlight w:val="none"/>
              </w:rPr>
            </w:pPr>
            <w:r>
              <w:rPr>
                <w:rFonts w:hint="eastAsia" w:ascii="宋体" w:hAnsi="宋体" w:eastAsia="宋体" w:cs="宋体"/>
                <w:snapToGrid/>
                <w:color w:val="auto"/>
                <w:kern w:val="0"/>
                <w:sz w:val="24"/>
                <w:szCs w:val="24"/>
                <w:highlight w:val="none"/>
              </w:rPr>
              <w:t>方式二：现场讲解演示。现场讲解地点为</w:t>
            </w:r>
            <w:r>
              <w:rPr>
                <w:rFonts w:hint="eastAsia" w:ascii="宋体" w:hAnsi="宋体" w:eastAsia="宋体" w:cs="宋体"/>
                <w:snapToGrid/>
                <w:color w:val="auto"/>
                <w:sz w:val="24"/>
                <w:szCs w:val="24"/>
                <w:highlight w:val="none"/>
                <w:u w:val="single"/>
                <w:lang w:val="en-US" w:eastAsia="zh-CN"/>
              </w:rPr>
              <w:t>/</w:t>
            </w:r>
            <w:r>
              <w:rPr>
                <w:rFonts w:hint="eastAsia" w:ascii="宋体" w:hAnsi="宋体" w:eastAsia="宋体" w:cs="宋体"/>
                <w:snapToGrid/>
                <w:color w:val="auto"/>
                <w:kern w:val="0"/>
                <w:sz w:val="24"/>
                <w:szCs w:val="24"/>
                <w:highlight w:val="none"/>
              </w:rPr>
              <w:t>，讲解演示所用电脑等设备由供应商自备。现场讲解演示人员进场时提供讲解人员名单（加盖公章或授权代表签名）及身份证明，否则不得讲解演示。</w:t>
            </w:r>
          </w:p>
          <w:p w14:paraId="526BBAAD">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snapToGrid/>
                <w:color w:val="auto"/>
                <w:kern w:val="0"/>
                <w:sz w:val="24"/>
                <w:szCs w:val="24"/>
                <w:highlight w:val="none"/>
                <w:lang w:val="zh-CN"/>
              </w:rPr>
            </w:pPr>
            <w:r>
              <w:rPr>
                <w:rFonts w:hint="eastAsia" w:ascii="宋体" w:hAnsi="宋体" w:eastAsia="宋体" w:cs="宋体"/>
                <w:snapToGrid/>
                <w:color w:val="auto"/>
                <w:kern w:val="0"/>
                <w:sz w:val="24"/>
                <w:szCs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3590E23E">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vMerge w:val="restart"/>
            <w:tcBorders>
              <w:tl2br w:val="nil"/>
              <w:tr2bl w:val="nil"/>
            </w:tcBorders>
            <w:vAlign w:val="center"/>
          </w:tcPr>
          <w:p w14:paraId="798311D0">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8</w:t>
            </w:r>
          </w:p>
        </w:tc>
        <w:tc>
          <w:tcPr>
            <w:tcW w:w="1052" w:type="pct"/>
            <w:vMerge w:val="restart"/>
            <w:tcBorders>
              <w:tl2br w:val="nil"/>
              <w:tr2bl w:val="nil"/>
            </w:tcBorders>
            <w:vAlign w:val="center"/>
          </w:tcPr>
          <w:p w14:paraId="68F21042">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napToGrid/>
                <w:color w:val="auto"/>
                <w:sz w:val="24"/>
                <w:szCs w:val="24"/>
                <w:highlight w:val="none"/>
              </w:rPr>
            </w:pPr>
            <w:r>
              <w:rPr>
                <w:rFonts w:hint="eastAsia" w:ascii="宋体" w:hAnsi="宋体" w:eastAsia="宋体" w:cs="宋体"/>
                <w:b/>
                <w:snapToGrid/>
                <w:color w:val="auto"/>
                <w:sz w:val="24"/>
                <w:szCs w:val="24"/>
                <w:highlight w:val="none"/>
              </w:rPr>
              <w:t>供应商应当提供的资格、资信证明文件</w:t>
            </w:r>
          </w:p>
        </w:tc>
        <w:tc>
          <w:tcPr>
            <w:tcW w:w="3593" w:type="pct"/>
            <w:tcBorders>
              <w:tl2br w:val="nil"/>
              <w:tr2bl w:val="nil"/>
            </w:tcBorders>
            <w:vAlign w:val="center"/>
          </w:tcPr>
          <w:p w14:paraId="47D11B43">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（1）资格证明文件：见采购文件第二部分11.1。</w:t>
            </w:r>
          </w:p>
          <w:p w14:paraId="4470BF54">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0"/>
                <w:sz w:val="24"/>
                <w:szCs w:val="24"/>
                <w:highlight w:val="none"/>
              </w:rPr>
            </w:pPr>
            <w:r>
              <w:rPr>
                <w:rFonts w:hint="eastAsia" w:ascii="宋体" w:hAnsi="宋体" w:eastAsia="宋体" w:cs="宋体"/>
                <w:snapToGrid/>
                <w:color w:val="auto"/>
                <w:kern w:val="0"/>
                <w:sz w:val="24"/>
                <w:szCs w:val="24"/>
                <w:highlight w:val="none"/>
                <w:lang w:val="zh-CN"/>
              </w:rPr>
              <w:t>供应商未提供有效的资格证明文件的，视为供应商不具备采购文件中规定的资格要求，响应文件无效。</w:t>
            </w:r>
          </w:p>
        </w:tc>
      </w:tr>
      <w:tr w14:paraId="576F5282">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vMerge w:val="continue"/>
            <w:tcBorders>
              <w:tl2br w:val="nil"/>
              <w:tr2bl w:val="nil"/>
            </w:tcBorders>
            <w:vAlign w:val="center"/>
          </w:tcPr>
          <w:p w14:paraId="66BADE17">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napToGrid/>
                <w:color w:val="auto"/>
                <w:sz w:val="24"/>
                <w:szCs w:val="24"/>
                <w:highlight w:val="none"/>
              </w:rPr>
            </w:pPr>
          </w:p>
        </w:tc>
        <w:tc>
          <w:tcPr>
            <w:tcW w:w="1052" w:type="pct"/>
            <w:vMerge w:val="continue"/>
            <w:tcBorders>
              <w:tl2br w:val="nil"/>
              <w:tr2bl w:val="nil"/>
            </w:tcBorders>
            <w:vAlign w:val="center"/>
          </w:tcPr>
          <w:p w14:paraId="154C08F7">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napToGrid/>
                <w:color w:val="auto"/>
                <w:sz w:val="24"/>
                <w:szCs w:val="24"/>
                <w:highlight w:val="none"/>
              </w:rPr>
            </w:pPr>
          </w:p>
        </w:tc>
        <w:tc>
          <w:tcPr>
            <w:tcW w:w="3593" w:type="pct"/>
            <w:tcBorders>
              <w:tl2br w:val="nil"/>
              <w:tr2bl w:val="nil"/>
            </w:tcBorders>
            <w:vAlign w:val="center"/>
          </w:tcPr>
          <w:p w14:paraId="6D653C63">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（2）资信证明文件：根据采购文件第四部分评审标准提供。</w:t>
            </w:r>
          </w:p>
        </w:tc>
      </w:tr>
      <w:tr w14:paraId="42D3C734">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624E18A3">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9</w:t>
            </w:r>
          </w:p>
        </w:tc>
        <w:tc>
          <w:tcPr>
            <w:tcW w:w="1052" w:type="pct"/>
            <w:tcBorders>
              <w:tl2br w:val="nil"/>
              <w:tr2bl w:val="nil"/>
            </w:tcBorders>
            <w:vAlign w:val="center"/>
          </w:tcPr>
          <w:p w14:paraId="75A8E56D">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napToGrid/>
                <w:color w:val="auto"/>
                <w:sz w:val="24"/>
                <w:szCs w:val="24"/>
                <w:highlight w:val="none"/>
              </w:rPr>
            </w:pPr>
            <w:r>
              <w:rPr>
                <w:rFonts w:hint="eastAsia" w:ascii="宋体" w:hAnsi="宋体" w:eastAsia="宋体" w:cs="宋体"/>
                <w:b/>
                <w:snapToGrid/>
                <w:color w:val="auto"/>
                <w:sz w:val="24"/>
                <w:szCs w:val="24"/>
                <w:highlight w:val="none"/>
              </w:rPr>
              <w:t>节能产品、环境标志产品</w:t>
            </w:r>
          </w:p>
        </w:tc>
        <w:tc>
          <w:tcPr>
            <w:tcW w:w="3593" w:type="pct"/>
            <w:tcBorders>
              <w:tl2br w:val="nil"/>
              <w:tr2bl w:val="nil"/>
            </w:tcBorders>
            <w:vAlign w:val="center"/>
          </w:tcPr>
          <w:p w14:paraId="0E774A92">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1A4AE92">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53CFFA10">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10</w:t>
            </w:r>
          </w:p>
        </w:tc>
        <w:tc>
          <w:tcPr>
            <w:tcW w:w="1052" w:type="pct"/>
            <w:tcBorders>
              <w:tl2br w:val="nil"/>
              <w:tr2bl w:val="nil"/>
            </w:tcBorders>
            <w:vAlign w:val="center"/>
          </w:tcPr>
          <w:p w14:paraId="2BF885A4">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napToGrid/>
                <w:color w:val="auto"/>
                <w:sz w:val="24"/>
                <w:szCs w:val="24"/>
                <w:highlight w:val="none"/>
              </w:rPr>
            </w:pPr>
            <w:r>
              <w:rPr>
                <w:rFonts w:hint="eastAsia" w:ascii="宋体" w:hAnsi="宋体" w:eastAsia="宋体" w:cs="宋体"/>
                <w:b/>
                <w:snapToGrid/>
                <w:color w:val="auto"/>
                <w:sz w:val="24"/>
                <w:szCs w:val="24"/>
                <w:highlight w:val="none"/>
              </w:rPr>
              <w:t>报价要求</w:t>
            </w:r>
          </w:p>
        </w:tc>
        <w:tc>
          <w:tcPr>
            <w:tcW w:w="3593" w:type="pct"/>
            <w:tcBorders>
              <w:tl2br w:val="nil"/>
              <w:tr2bl w:val="nil"/>
            </w:tcBorders>
            <w:vAlign w:val="center"/>
          </w:tcPr>
          <w:p w14:paraId="2F9466B5">
            <w:pPr>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color w:val="auto"/>
                <w:kern w:val="0"/>
                <w:sz w:val="24"/>
                <w:szCs w:val="24"/>
                <w:highlight w:val="none"/>
                <w:lang w:val="zh-CN"/>
              </w:rPr>
            </w:pPr>
            <w:r>
              <w:rPr>
                <w:rFonts w:hint="eastAsia" w:ascii="宋体" w:hAnsi="宋体" w:eastAsia="宋体" w:cs="宋体"/>
                <w:snapToGrid/>
                <w:color w:val="auto"/>
                <w:kern w:val="0"/>
                <w:sz w:val="24"/>
                <w:szCs w:val="24"/>
                <w:highlight w:val="none"/>
                <w:lang w:val="zh-CN"/>
              </w:rPr>
              <w:t>有关本项目实施所需的所有费用（含税费）均计入报价。</w:t>
            </w:r>
            <w:r>
              <w:rPr>
                <w:rFonts w:hint="eastAsia" w:ascii="宋体" w:hAnsi="宋体" w:eastAsia="宋体" w:cs="宋体"/>
                <w:snapToGrid/>
                <w:color w:val="auto"/>
                <w:sz w:val="24"/>
                <w:szCs w:val="24"/>
                <w:highlight w:val="none"/>
              </w:rPr>
              <w:t>报价单是报价的唯一载体</w:t>
            </w:r>
            <w:r>
              <w:rPr>
                <w:rFonts w:hint="eastAsia" w:ascii="宋体" w:hAnsi="宋体" w:eastAsia="宋体" w:cs="宋体"/>
                <w:snapToGrid/>
                <w:color w:val="auto"/>
                <w:kern w:val="0"/>
                <w:sz w:val="24"/>
                <w:szCs w:val="24"/>
                <w:highlight w:val="none"/>
                <w:lang w:val="zh-CN"/>
              </w:rPr>
              <w:t>。响应文件中价格全部采用人民币报价。采购文件未列明，而供应商认为必需的费用也需列入报价。</w:t>
            </w:r>
          </w:p>
          <w:p w14:paraId="4D9BE3A9">
            <w:pPr>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snapToGrid/>
                <w:color w:val="auto"/>
                <w:kern w:val="0"/>
                <w:sz w:val="24"/>
                <w:szCs w:val="24"/>
                <w:highlight w:val="none"/>
                <w:lang w:val="zh-CN"/>
              </w:rPr>
            </w:pPr>
            <w:r>
              <w:rPr>
                <w:rFonts w:hint="eastAsia" w:ascii="宋体" w:hAnsi="宋体" w:eastAsia="宋体" w:cs="宋体"/>
                <w:b/>
                <w:color w:val="auto"/>
                <w:sz w:val="24"/>
                <w:szCs w:val="24"/>
                <w:highlight w:val="none"/>
              </w:rPr>
              <w:t>▲本磋商项目最高限价（即磋商控制价）：</w:t>
            </w:r>
            <w:r>
              <w:rPr>
                <w:rFonts w:hint="eastAsia" w:ascii="宋体" w:hAnsi="宋体" w:cs="宋体"/>
                <w:b/>
                <w:color w:val="auto"/>
                <w:sz w:val="24"/>
                <w:szCs w:val="24"/>
                <w:highlight w:val="none"/>
                <w:lang w:val="en-US" w:eastAsia="zh-CN"/>
              </w:rPr>
              <w:t>1165379.00</w:t>
            </w:r>
            <w:r>
              <w:rPr>
                <w:rFonts w:hint="eastAsia" w:ascii="宋体" w:hAnsi="宋体" w:eastAsia="宋体" w:cs="宋体"/>
                <w:b/>
                <w:color w:val="auto"/>
                <w:sz w:val="24"/>
                <w:szCs w:val="24"/>
                <w:highlight w:val="none"/>
              </w:rPr>
              <w:t>元</w:t>
            </w:r>
            <w:r>
              <w:rPr>
                <w:rFonts w:hint="eastAsia" w:ascii="宋体" w:hAnsi="宋体" w:eastAsia="宋体" w:cs="宋体"/>
                <w:b/>
                <w:color w:val="auto"/>
                <w:sz w:val="24"/>
                <w:szCs w:val="24"/>
                <w:highlight w:val="none"/>
                <w:lang w:eastAsia="zh-CN"/>
              </w:rPr>
              <w:t>【</w:t>
            </w:r>
            <w:r>
              <w:rPr>
                <w:rFonts w:hint="eastAsia" w:ascii="宋体" w:hAnsi="宋体" w:cs="宋体"/>
                <w:b/>
                <w:color w:val="auto"/>
                <w:sz w:val="24"/>
                <w:szCs w:val="24"/>
                <w:highlight w:val="none"/>
                <w:lang w:val="en-US" w:eastAsia="zh-CN"/>
              </w:rPr>
              <w:t>其中暂估价（含税）</w:t>
            </w:r>
            <w:r>
              <w:rPr>
                <w:rFonts w:hint="eastAsia" w:ascii="宋体" w:hAnsi="宋体" w:cs="宋体"/>
                <w:b/>
                <w:color w:val="auto"/>
                <w:sz w:val="24"/>
                <w:szCs w:val="24"/>
                <w:highlight w:val="none"/>
                <w:lang w:eastAsia="zh-CN"/>
              </w:rPr>
              <w:t>：18094</w:t>
            </w:r>
            <w:r>
              <w:rPr>
                <w:rFonts w:hint="eastAsia" w:ascii="宋体" w:hAnsi="宋体" w:cs="宋体"/>
                <w:b/>
                <w:color w:val="auto"/>
                <w:sz w:val="24"/>
                <w:szCs w:val="24"/>
                <w:highlight w:val="none"/>
                <w:lang w:val="en-US" w:eastAsia="zh-CN"/>
              </w:rPr>
              <w:t>.00元；渣土清运费（含税）：3000元；暂列金额（含税）</w:t>
            </w:r>
            <w:r>
              <w:rPr>
                <w:rFonts w:hint="eastAsia" w:ascii="宋体" w:hAnsi="宋体" w:cs="宋体"/>
                <w:b/>
                <w:color w:val="auto"/>
                <w:sz w:val="24"/>
                <w:szCs w:val="24"/>
                <w:highlight w:val="none"/>
                <w:lang w:eastAsia="zh-CN"/>
              </w:rPr>
              <w:t>：54500</w:t>
            </w:r>
            <w:r>
              <w:rPr>
                <w:rFonts w:hint="eastAsia" w:ascii="宋体" w:hAnsi="宋体" w:cs="宋体"/>
                <w:b/>
                <w:color w:val="auto"/>
                <w:sz w:val="24"/>
                <w:szCs w:val="24"/>
                <w:highlight w:val="none"/>
                <w:lang w:val="en-US" w:eastAsia="zh-CN"/>
              </w:rPr>
              <w:t>.00元</w:t>
            </w:r>
            <w:r>
              <w:rPr>
                <w:rFonts w:hint="eastAsia" w:ascii="宋体" w:hAnsi="宋体" w:eastAsia="宋体" w:cs="宋体"/>
                <w:b/>
                <w:color w:val="auto"/>
                <w:sz w:val="24"/>
                <w:szCs w:val="24"/>
                <w:highlight w:val="none"/>
                <w:lang w:eastAsia="zh-CN"/>
              </w:rPr>
              <w:t>】</w:t>
            </w:r>
          </w:p>
          <w:p w14:paraId="7B68E8EA">
            <w:pPr>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snapToGrid/>
                <w:color w:val="auto"/>
                <w:kern w:val="0"/>
                <w:sz w:val="24"/>
                <w:szCs w:val="24"/>
                <w:highlight w:val="none"/>
                <w:lang w:val="zh-CN"/>
              </w:rPr>
            </w:pPr>
            <w:r>
              <w:rPr>
                <w:rFonts w:hint="eastAsia" w:ascii="宋体" w:hAnsi="宋体" w:eastAsia="宋体" w:cs="宋体"/>
                <w:b/>
                <w:snapToGrid/>
                <w:color w:val="auto"/>
                <w:kern w:val="0"/>
                <w:sz w:val="24"/>
                <w:szCs w:val="24"/>
                <w:highlight w:val="none"/>
                <w:lang w:val="zh-CN"/>
              </w:rPr>
              <w:t>最后报价出现下列情形的，响应文件无效：</w:t>
            </w:r>
          </w:p>
          <w:p w14:paraId="10398158">
            <w:pPr>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snapToGrid/>
                <w:color w:val="auto"/>
                <w:kern w:val="0"/>
                <w:sz w:val="24"/>
                <w:szCs w:val="24"/>
                <w:highlight w:val="none"/>
                <w:lang w:val="zh-CN"/>
              </w:rPr>
            </w:pPr>
            <w:r>
              <w:rPr>
                <w:rFonts w:hint="eastAsia" w:ascii="宋体" w:hAnsi="宋体" w:eastAsia="宋体" w:cs="宋体"/>
                <w:b/>
                <w:snapToGrid/>
                <w:color w:val="auto"/>
                <w:kern w:val="0"/>
                <w:sz w:val="24"/>
                <w:szCs w:val="24"/>
                <w:highlight w:val="none"/>
                <w:lang w:val="zh-CN"/>
              </w:rPr>
              <w:t>响应文件出现不是唯一的、有选择性最后报价的；</w:t>
            </w:r>
          </w:p>
          <w:p w14:paraId="5C942687">
            <w:pPr>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snapToGrid/>
                <w:color w:val="auto"/>
                <w:kern w:val="0"/>
                <w:sz w:val="24"/>
                <w:szCs w:val="24"/>
                <w:highlight w:val="none"/>
                <w:lang w:val="zh-CN"/>
              </w:rPr>
            </w:pPr>
            <w:r>
              <w:rPr>
                <w:rFonts w:hint="eastAsia" w:ascii="宋体" w:hAnsi="宋体" w:eastAsia="宋体" w:cs="宋体"/>
                <w:b/>
                <w:snapToGrid/>
                <w:color w:val="auto"/>
                <w:kern w:val="0"/>
                <w:sz w:val="24"/>
                <w:szCs w:val="24"/>
                <w:highlight w:val="none"/>
                <w:lang w:val="zh-CN"/>
              </w:rPr>
              <w:t>最后报价超过采购文件中规定的预算金额或者最高限价的</w:t>
            </w:r>
            <w:r>
              <w:rPr>
                <w:rFonts w:hint="eastAsia" w:ascii="宋体" w:hAnsi="宋体" w:cs="宋体"/>
                <w:b/>
                <w:snapToGrid/>
                <w:color w:val="auto"/>
                <w:kern w:val="0"/>
                <w:sz w:val="24"/>
                <w:szCs w:val="24"/>
                <w:highlight w:val="none"/>
                <w:lang w:val="zh-CN"/>
              </w:rPr>
              <w:t>；</w:t>
            </w:r>
          </w:p>
          <w:p w14:paraId="0702F398">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snapToGrid/>
                <w:color w:val="auto"/>
                <w:sz w:val="24"/>
                <w:szCs w:val="24"/>
                <w:highlight w:val="none"/>
                <w:lang w:eastAsia="zh-CN"/>
              </w:rPr>
            </w:pPr>
            <w:r>
              <w:rPr>
                <w:rFonts w:hint="eastAsia" w:ascii="宋体" w:hAnsi="宋体" w:eastAsia="宋体" w:cs="宋体"/>
                <w:b/>
                <w:snapToGrid/>
                <w:color w:val="auto"/>
                <w:kern w:val="0"/>
                <w:sz w:val="24"/>
                <w:szCs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napToGrid/>
                <w:color w:val="auto"/>
                <w:kern w:val="0"/>
                <w:sz w:val="24"/>
                <w:szCs w:val="24"/>
                <w:highlight w:val="none"/>
                <w:lang w:eastAsia="zh-CN"/>
              </w:rPr>
              <w:t>；</w:t>
            </w:r>
          </w:p>
          <w:p w14:paraId="52A41DE2">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b/>
                <w:snapToGrid/>
                <w:color w:val="auto"/>
                <w:kern w:val="0"/>
                <w:sz w:val="24"/>
                <w:szCs w:val="24"/>
                <w:highlight w:val="none"/>
              </w:rPr>
              <w:t>供应商对根据修正原则修正后的报价不确认的</w:t>
            </w:r>
            <w:r>
              <w:rPr>
                <w:rFonts w:hint="eastAsia" w:ascii="宋体" w:hAnsi="宋体" w:eastAsia="宋体" w:cs="宋体"/>
                <w:b/>
                <w:snapToGrid/>
                <w:color w:val="auto"/>
                <w:sz w:val="24"/>
                <w:szCs w:val="24"/>
                <w:highlight w:val="none"/>
              </w:rPr>
              <w:t>。</w:t>
            </w:r>
          </w:p>
        </w:tc>
      </w:tr>
      <w:tr w14:paraId="19FCA253">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61E15E2D">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1</w:t>
            </w:r>
            <w:r>
              <w:rPr>
                <w:rFonts w:hint="eastAsia" w:ascii="宋体" w:hAnsi="宋体" w:eastAsia="宋体" w:cs="宋体"/>
                <w:snapToGrid/>
                <w:color w:val="auto"/>
                <w:sz w:val="24"/>
                <w:szCs w:val="24"/>
                <w:highlight w:val="none"/>
                <w:lang w:val="en-US" w:eastAsia="zh-CN"/>
              </w:rPr>
              <w:t>1</w:t>
            </w:r>
          </w:p>
        </w:tc>
        <w:tc>
          <w:tcPr>
            <w:tcW w:w="1052" w:type="pct"/>
            <w:tcBorders>
              <w:tl2br w:val="nil"/>
              <w:tr2bl w:val="nil"/>
            </w:tcBorders>
            <w:vAlign w:val="center"/>
          </w:tcPr>
          <w:p w14:paraId="514FAA99">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napToGrid/>
                <w:color w:val="auto"/>
                <w:sz w:val="24"/>
                <w:szCs w:val="24"/>
                <w:highlight w:val="none"/>
              </w:rPr>
            </w:pPr>
            <w:r>
              <w:rPr>
                <w:rFonts w:hint="eastAsia" w:ascii="宋体" w:hAnsi="宋体" w:eastAsia="宋体" w:cs="宋体"/>
                <w:b/>
                <w:snapToGrid/>
                <w:color w:val="auto"/>
                <w:sz w:val="24"/>
                <w:szCs w:val="24"/>
                <w:highlight w:val="none"/>
              </w:rPr>
              <w:t>备份响应文件送达地点和签收人员</w:t>
            </w:r>
          </w:p>
        </w:tc>
        <w:tc>
          <w:tcPr>
            <w:tcW w:w="3593" w:type="pct"/>
            <w:tcBorders>
              <w:tl2br w:val="nil"/>
              <w:tr2bl w:val="nil"/>
            </w:tcBorders>
            <w:vAlign w:val="center"/>
          </w:tcPr>
          <w:p w14:paraId="4D65D07F">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（1）供应商如提供备份</w:t>
            </w:r>
            <w:r>
              <w:rPr>
                <w:rFonts w:hint="eastAsia" w:ascii="宋体" w:hAnsi="宋体" w:cs="宋体"/>
                <w:snapToGrid w:val="0"/>
                <w:color w:val="auto"/>
                <w:kern w:val="28"/>
                <w:sz w:val="24"/>
                <w:highlight w:val="none"/>
                <w:lang w:val="en-US" w:eastAsia="zh-CN"/>
              </w:rPr>
              <w:t>响应</w:t>
            </w:r>
            <w:r>
              <w:rPr>
                <w:rFonts w:hint="eastAsia" w:ascii="宋体" w:hAnsi="宋体" w:cs="宋体"/>
                <w:snapToGrid w:val="0"/>
                <w:color w:val="auto"/>
                <w:kern w:val="28"/>
                <w:sz w:val="24"/>
                <w:highlight w:val="none"/>
              </w:rPr>
              <w:t>文件的，可采用邮寄</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lang w:val="en-US" w:eastAsia="zh-CN"/>
              </w:rPr>
              <w:t>含快递）</w:t>
            </w:r>
            <w:r>
              <w:rPr>
                <w:rFonts w:hint="eastAsia" w:ascii="宋体" w:hAnsi="宋体" w:cs="宋体"/>
                <w:snapToGrid w:val="0"/>
                <w:color w:val="auto"/>
                <w:kern w:val="28"/>
                <w:sz w:val="24"/>
                <w:highlight w:val="none"/>
              </w:rPr>
              <w:t>或直接提交方式递交备份</w:t>
            </w:r>
            <w:r>
              <w:rPr>
                <w:rFonts w:hint="eastAsia" w:ascii="宋体" w:hAnsi="宋体" w:cs="宋体"/>
                <w:snapToGrid w:val="0"/>
                <w:color w:val="auto"/>
                <w:kern w:val="28"/>
                <w:sz w:val="24"/>
                <w:highlight w:val="none"/>
                <w:lang w:val="en-US" w:eastAsia="zh-CN"/>
              </w:rPr>
              <w:t>响应</w:t>
            </w:r>
            <w:r>
              <w:rPr>
                <w:rFonts w:hint="eastAsia" w:ascii="宋体" w:hAnsi="宋体" w:cs="宋体"/>
                <w:snapToGrid w:val="0"/>
                <w:color w:val="auto"/>
                <w:kern w:val="28"/>
                <w:sz w:val="24"/>
                <w:highlight w:val="none"/>
              </w:rPr>
              <w:t>文件</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rPr>
              <w:t>供应商须将备份</w:t>
            </w:r>
            <w:r>
              <w:rPr>
                <w:rFonts w:hint="eastAsia" w:ascii="宋体" w:hAnsi="宋体" w:cs="宋体"/>
                <w:snapToGrid w:val="0"/>
                <w:color w:val="auto"/>
                <w:kern w:val="28"/>
                <w:sz w:val="24"/>
                <w:highlight w:val="none"/>
                <w:lang w:val="en-US" w:eastAsia="zh-CN"/>
              </w:rPr>
              <w:t>响应</w:t>
            </w:r>
            <w:r>
              <w:rPr>
                <w:rFonts w:hint="eastAsia" w:ascii="宋体" w:hAnsi="宋体" w:cs="宋体"/>
                <w:snapToGrid w:val="0"/>
                <w:color w:val="auto"/>
                <w:kern w:val="28"/>
                <w:sz w:val="24"/>
                <w:highlight w:val="none"/>
              </w:rPr>
              <w:t>文件以U盘形式单独放在密封袋中，密封后并在密封袋上注明</w:t>
            </w:r>
            <w:r>
              <w:rPr>
                <w:rFonts w:hint="eastAsia" w:ascii="宋体" w:hAnsi="宋体" w:cs="宋体"/>
                <w:snapToGrid w:val="0"/>
                <w:color w:val="auto"/>
                <w:kern w:val="28"/>
                <w:sz w:val="24"/>
                <w:highlight w:val="none"/>
                <w:lang w:val="en-US" w:eastAsia="zh-CN"/>
              </w:rPr>
              <w:t>磋商</w:t>
            </w:r>
            <w:r>
              <w:rPr>
                <w:rFonts w:hint="eastAsia" w:ascii="宋体" w:hAnsi="宋体" w:cs="宋体"/>
                <w:snapToGrid w:val="0"/>
                <w:color w:val="auto"/>
                <w:kern w:val="28"/>
                <w:sz w:val="24"/>
                <w:highlight w:val="none"/>
              </w:rPr>
              <w:t>项目名称、</w:t>
            </w:r>
            <w:r>
              <w:rPr>
                <w:rFonts w:hint="eastAsia" w:ascii="宋体" w:hAnsi="宋体" w:cs="宋体"/>
                <w:snapToGrid w:val="0"/>
                <w:color w:val="auto"/>
                <w:kern w:val="28"/>
                <w:sz w:val="24"/>
                <w:highlight w:val="none"/>
                <w:lang w:val="en-US" w:eastAsia="zh-CN"/>
              </w:rPr>
              <w:t>项目编号、供应商</w:t>
            </w:r>
            <w:r>
              <w:rPr>
                <w:rFonts w:hint="eastAsia" w:ascii="宋体" w:hAnsi="宋体" w:cs="宋体"/>
                <w:snapToGrid w:val="0"/>
                <w:color w:val="auto"/>
                <w:kern w:val="28"/>
                <w:sz w:val="24"/>
                <w:highlight w:val="none"/>
              </w:rPr>
              <w:t>名称并加盖公章。未密封包装或者逾期送达的“备份</w:t>
            </w:r>
            <w:r>
              <w:rPr>
                <w:rFonts w:hint="eastAsia" w:ascii="宋体" w:hAnsi="宋体" w:cs="宋体"/>
                <w:snapToGrid w:val="0"/>
                <w:color w:val="auto"/>
                <w:kern w:val="28"/>
                <w:sz w:val="24"/>
                <w:highlight w:val="none"/>
                <w:lang w:val="en-US" w:eastAsia="zh-CN"/>
              </w:rPr>
              <w:t>响应</w:t>
            </w:r>
            <w:r>
              <w:rPr>
                <w:rFonts w:hint="eastAsia" w:ascii="宋体" w:hAnsi="宋体" w:cs="宋体"/>
                <w:snapToGrid w:val="0"/>
                <w:color w:val="auto"/>
                <w:kern w:val="28"/>
                <w:sz w:val="24"/>
                <w:highlight w:val="none"/>
              </w:rPr>
              <w:t>文件”将予以拒收。</w:t>
            </w:r>
          </w:p>
          <w:p w14:paraId="10AF83B2">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（2）采用</w:t>
            </w:r>
            <w:r>
              <w:rPr>
                <w:rFonts w:hint="eastAsia" w:ascii="宋体" w:hAnsi="宋体" w:cs="宋体"/>
                <w:snapToGrid w:val="0"/>
                <w:color w:val="auto"/>
                <w:kern w:val="28"/>
                <w:sz w:val="24"/>
                <w:highlight w:val="none"/>
                <w:lang w:val="en-US" w:eastAsia="zh-CN"/>
              </w:rPr>
              <w:t>邮寄（含快递）</w:t>
            </w:r>
            <w:r>
              <w:rPr>
                <w:rFonts w:hint="eastAsia" w:ascii="宋体" w:hAnsi="宋体" w:cs="宋体"/>
                <w:snapToGrid w:val="0"/>
                <w:color w:val="auto"/>
                <w:kern w:val="28"/>
                <w:sz w:val="24"/>
                <w:highlight w:val="none"/>
              </w:rPr>
              <w:t>方式递交备份</w:t>
            </w:r>
            <w:r>
              <w:rPr>
                <w:rFonts w:hint="eastAsia" w:ascii="宋体" w:hAnsi="宋体" w:cs="宋体"/>
                <w:snapToGrid w:val="0"/>
                <w:color w:val="auto"/>
                <w:kern w:val="28"/>
                <w:sz w:val="24"/>
                <w:highlight w:val="none"/>
                <w:lang w:val="en-US" w:eastAsia="zh-CN"/>
              </w:rPr>
              <w:t>响应</w:t>
            </w:r>
            <w:r>
              <w:rPr>
                <w:rFonts w:hint="eastAsia" w:ascii="宋体" w:hAnsi="宋体" w:cs="宋体"/>
                <w:snapToGrid w:val="0"/>
                <w:color w:val="auto"/>
                <w:kern w:val="28"/>
                <w:sz w:val="24"/>
                <w:highlight w:val="none"/>
              </w:rPr>
              <w:t>文件，需按以下要求递交：供应商应在</w:t>
            </w:r>
            <w:r>
              <w:rPr>
                <w:rFonts w:hint="eastAsia" w:ascii="宋体" w:hAnsi="宋体" w:cs="宋体"/>
                <w:snapToGrid w:val="0"/>
                <w:color w:val="auto"/>
                <w:kern w:val="28"/>
                <w:sz w:val="24"/>
                <w:highlight w:val="none"/>
                <w:u w:val="single"/>
                <w:lang w:val="en-US" w:eastAsia="zh-CN"/>
              </w:rPr>
              <w:t>响应文件提交截止</w:t>
            </w:r>
            <w:r>
              <w:rPr>
                <w:rFonts w:hint="eastAsia" w:ascii="宋体" w:hAnsi="宋体" w:cs="宋体"/>
                <w:snapToGrid w:val="0"/>
                <w:color w:val="auto"/>
                <w:kern w:val="28"/>
                <w:sz w:val="24"/>
                <w:highlight w:val="none"/>
                <w:u w:val="single"/>
              </w:rPr>
              <w:t>时</w:t>
            </w:r>
            <w:r>
              <w:rPr>
                <w:rFonts w:hint="eastAsia" w:ascii="宋体" w:hAnsi="宋体" w:cs="宋体"/>
                <w:snapToGrid w:val="0"/>
                <w:color w:val="auto"/>
                <w:kern w:val="28"/>
                <w:sz w:val="24"/>
                <w:highlight w:val="none"/>
                <w:u w:val="single"/>
                <w:lang w:val="en-US" w:eastAsia="zh-CN"/>
              </w:rPr>
              <w:t>间</w:t>
            </w:r>
            <w:r>
              <w:rPr>
                <w:rFonts w:hint="eastAsia" w:ascii="宋体" w:hAnsi="宋体" w:cs="宋体"/>
                <w:snapToGrid w:val="0"/>
                <w:color w:val="auto"/>
                <w:kern w:val="28"/>
                <w:sz w:val="24"/>
                <w:highlight w:val="none"/>
              </w:rPr>
              <w:t>前一</w:t>
            </w:r>
            <w:r>
              <w:rPr>
                <w:rFonts w:hint="eastAsia" w:ascii="宋体" w:hAnsi="宋体" w:cs="宋体"/>
                <w:snapToGrid w:val="0"/>
                <w:color w:val="auto"/>
                <w:kern w:val="28"/>
                <w:sz w:val="24"/>
                <w:highlight w:val="none"/>
                <w:lang w:val="en-US" w:eastAsia="zh-CN"/>
              </w:rPr>
              <w:t>个工作</w:t>
            </w:r>
            <w:r>
              <w:rPr>
                <w:rFonts w:hint="eastAsia" w:ascii="宋体" w:hAnsi="宋体" w:cs="宋体"/>
                <w:snapToGrid w:val="0"/>
                <w:color w:val="auto"/>
                <w:kern w:val="28"/>
                <w:sz w:val="24"/>
                <w:highlight w:val="none"/>
              </w:rPr>
              <w:t>日17：00（含）前将备份</w:t>
            </w:r>
            <w:r>
              <w:rPr>
                <w:rFonts w:hint="eastAsia" w:ascii="宋体" w:hAnsi="宋体" w:cs="宋体"/>
                <w:snapToGrid w:val="0"/>
                <w:color w:val="auto"/>
                <w:kern w:val="28"/>
                <w:sz w:val="24"/>
                <w:highlight w:val="none"/>
                <w:lang w:val="en-US" w:eastAsia="zh-CN"/>
              </w:rPr>
              <w:t>响应</w:t>
            </w:r>
            <w:r>
              <w:rPr>
                <w:rFonts w:hint="eastAsia" w:ascii="宋体" w:hAnsi="宋体" w:cs="宋体"/>
                <w:snapToGrid w:val="0"/>
                <w:color w:val="auto"/>
                <w:kern w:val="28"/>
                <w:sz w:val="24"/>
                <w:highlight w:val="none"/>
              </w:rPr>
              <w:t>文件邮寄至规定地点，邮寄地址为：宁波市鄞州区天童南路666号中基大厦19楼业务</w:t>
            </w:r>
            <w:r>
              <w:rPr>
                <w:rFonts w:hint="eastAsia" w:ascii="宋体" w:hAnsi="宋体" w:cs="宋体"/>
                <w:snapToGrid w:val="0"/>
                <w:color w:val="auto"/>
                <w:kern w:val="28"/>
                <w:sz w:val="24"/>
                <w:highlight w:val="none"/>
                <w:u w:val="single"/>
                <w:lang w:val="en-US" w:eastAsia="zh-CN"/>
              </w:rPr>
              <w:t>二</w:t>
            </w:r>
            <w:r>
              <w:rPr>
                <w:rFonts w:hint="eastAsia" w:ascii="宋体" w:hAnsi="宋体" w:cs="宋体"/>
                <w:snapToGrid w:val="0"/>
                <w:color w:val="auto"/>
                <w:kern w:val="28"/>
                <w:sz w:val="24"/>
                <w:highlight w:val="none"/>
              </w:rPr>
              <w:t>部，收件人：</w:t>
            </w:r>
            <w:r>
              <w:rPr>
                <w:rFonts w:hint="eastAsia" w:ascii="宋体" w:hAnsi="宋体" w:cs="宋体"/>
                <w:snapToGrid w:val="0"/>
                <w:color w:val="auto"/>
                <w:kern w:val="28"/>
                <w:sz w:val="24"/>
                <w:highlight w:val="none"/>
                <w:u w:val="single"/>
                <w:lang w:val="en-US" w:eastAsia="zh-CN"/>
              </w:rPr>
              <w:t>陈俊</w:t>
            </w:r>
            <w:r>
              <w:rPr>
                <w:rFonts w:hint="eastAsia" w:ascii="宋体" w:hAnsi="宋体" w:cs="宋体"/>
                <w:snapToGrid w:val="0"/>
                <w:color w:val="auto"/>
                <w:kern w:val="28"/>
                <w:sz w:val="24"/>
                <w:highlight w:val="none"/>
              </w:rPr>
              <w:t>，联系方式：</w:t>
            </w:r>
            <w:r>
              <w:rPr>
                <w:rFonts w:hint="eastAsia" w:ascii="宋体" w:hAnsi="宋体" w:cs="宋体"/>
                <w:snapToGrid w:val="0"/>
                <w:color w:val="auto"/>
                <w:kern w:val="28"/>
                <w:sz w:val="24"/>
                <w:highlight w:val="none"/>
                <w:u w:val="single"/>
                <w:lang w:val="en-US" w:eastAsia="zh-CN"/>
              </w:rPr>
              <w:t>13957808255</w:t>
            </w:r>
            <w:r>
              <w:rPr>
                <w:rFonts w:hint="eastAsia" w:ascii="宋体" w:hAnsi="宋体" w:cs="宋体"/>
                <w:snapToGrid w:val="0"/>
                <w:color w:val="auto"/>
                <w:kern w:val="28"/>
                <w:sz w:val="24"/>
                <w:highlight w:val="none"/>
                <w:lang w:val="en-US" w:eastAsia="zh-CN"/>
              </w:rPr>
              <w:t xml:space="preserve"> </w:t>
            </w:r>
            <w:r>
              <w:rPr>
                <w:rFonts w:hint="eastAsia" w:ascii="宋体" w:hAnsi="宋体" w:cs="宋体"/>
                <w:snapToGrid w:val="0"/>
                <w:color w:val="auto"/>
                <w:kern w:val="28"/>
                <w:sz w:val="24"/>
                <w:highlight w:val="none"/>
              </w:rPr>
              <w:t>。由采购代理工作人员进行签收，各供应商自行考虑邮寄在途时间，邮寄过程中无论何种因素导致备份</w:t>
            </w:r>
            <w:r>
              <w:rPr>
                <w:rFonts w:hint="eastAsia" w:ascii="宋体" w:hAnsi="宋体" w:cs="宋体"/>
                <w:snapToGrid w:val="0"/>
                <w:color w:val="auto"/>
                <w:kern w:val="28"/>
                <w:sz w:val="24"/>
                <w:highlight w:val="none"/>
                <w:lang w:val="en-US" w:eastAsia="zh-CN"/>
              </w:rPr>
              <w:t>响应</w:t>
            </w:r>
            <w:r>
              <w:rPr>
                <w:rFonts w:hint="eastAsia" w:ascii="宋体" w:hAnsi="宋体" w:cs="宋体"/>
                <w:snapToGrid w:val="0"/>
                <w:color w:val="auto"/>
                <w:kern w:val="28"/>
                <w:sz w:val="24"/>
                <w:highlight w:val="none"/>
              </w:rPr>
              <w:t>文件未按时递交的后果，均由供应商自行负责。备份投</w:t>
            </w:r>
            <w:r>
              <w:rPr>
                <w:rFonts w:hint="eastAsia" w:ascii="宋体" w:hAnsi="宋体" w:cs="宋体"/>
                <w:snapToGrid w:val="0"/>
                <w:color w:val="auto"/>
                <w:kern w:val="28"/>
                <w:sz w:val="24"/>
                <w:highlight w:val="none"/>
                <w:lang w:val="en-US" w:eastAsia="zh-CN"/>
              </w:rPr>
              <w:t>响应</w:t>
            </w:r>
            <w:r>
              <w:rPr>
                <w:rFonts w:hint="eastAsia" w:ascii="宋体" w:hAnsi="宋体" w:cs="宋体"/>
                <w:snapToGrid w:val="0"/>
                <w:color w:val="auto"/>
                <w:kern w:val="28"/>
                <w:sz w:val="24"/>
                <w:highlight w:val="none"/>
              </w:rPr>
              <w:t>文件递交时间以采购代理</w:t>
            </w:r>
            <w:r>
              <w:rPr>
                <w:rFonts w:hint="eastAsia" w:ascii="宋体" w:hAnsi="宋体" w:cs="宋体"/>
                <w:snapToGrid w:val="0"/>
                <w:color w:val="auto"/>
                <w:kern w:val="28"/>
                <w:sz w:val="24"/>
                <w:highlight w:val="none"/>
                <w:lang w:val="en-US" w:eastAsia="zh-CN"/>
              </w:rPr>
              <w:t>签收人</w:t>
            </w:r>
            <w:r>
              <w:rPr>
                <w:rFonts w:hint="eastAsia" w:ascii="宋体" w:hAnsi="宋体" w:cs="宋体"/>
                <w:snapToGrid w:val="0"/>
                <w:color w:val="auto"/>
                <w:kern w:val="28"/>
                <w:sz w:val="24"/>
                <w:highlight w:val="none"/>
              </w:rPr>
              <w:t>实际</w:t>
            </w:r>
            <w:r>
              <w:rPr>
                <w:rFonts w:hint="eastAsia" w:ascii="宋体" w:hAnsi="宋体" w:cs="宋体"/>
                <w:snapToGrid w:val="0"/>
                <w:color w:val="auto"/>
                <w:kern w:val="28"/>
                <w:sz w:val="24"/>
                <w:highlight w:val="none"/>
                <w:lang w:val="en-US" w:eastAsia="zh-CN"/>
              </w:rPr>
              <w:t>签收</w:t>
            </w:r>
            <w:r>
              <w:rPr>
                <w:rFonts w:hint="eastAsia" w:ascii="宋体" w:hAnsi="宋体" w:cs="宋体"/>
                <w:snapToGrid w:val="0"/>
                <w:color w:val="auto"/>
                <w:kern w:val="28"/>
                <w:sz w:val="24"/>
                <w:highlight w:val="none"/>
              </w:rPr>
              <w:t>时间为准。</w:t>
            </w:r>
          </w:p>
          <w:p w14:paraId="0E60A0E6">
            <w:pPr>
              <w:spacing w:line="360" w:lineRule="auto"/>
              <w:jc w:val="lef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（3）采用直接提交方式递交备份</w:t>
            </w:r>
            <w:r>
              <w:rPr>
                <w:rFonts w:hint="eastAsia" w:ascii="宋体" w:hAnsi="宋体" w:cs="宋体"/>
                <w:snapToGrid w:val="0"/>
                <w:color w:val="auto"/>
                <w:kern w:val="28"/>
                <w:sz w:val="24"/>
                <w:highlight w:val="none"/>
                <w:lang w:val="en-US" w:eastAsia="zh-CN"/>
              </w:rPr>
              <w:t>响应</w:t>
            </w:r>
            <w:r>
              <w:rPr>
                <w:rFonts w:hint="eastAsia" w:ascii="宋体" w:hAnsi="宋体" w:cs="宋体"/>
                <w:snapToGrid w:val="0"/>
                <w:color w:val="auto"/>
                <w:kern w:val="28"/>
                <w:sz w:val="24"/>
                <w:highlight w:val="none"/>
              </w:rPr>
              <w:t>文件，需按以下要求递交：</w:t>
            </w:r>
            <w:r>
              <w:rPr>
                <w:rFonts w:hint="eastAsia" w:ascii="宋体" w:hAnsi="宋体" w:cs="宋体"/>
                <w:snapToGrid w:val="0"/>
                <w:color w:val="auto"/>
                <w:kern w:val="28"/>
                <w:sz w:val="24"/>
                <w:highlight w:val="none"/>
                <w:u w:val="single"/>
              </w:rPr>
              <w:t>在</w:t>
            </w:r>
            <w:r>
              <w:rPr>
                <w:rFonts w:hint="eastAsia" w:ascii="宋体" w:hAnsi="宋体" w:cs="宋体"/>
                <w:snapToGrid w:val="0"/>
                <w:color w:val="auto"/>
                <w:kern w:val="28"/>
                <w:sz w:val="24"/>
                <w:highlight w:val="none"/>
                <w:u w:val="single"/>
                <w:lang w:val="en-US" w:eastAsia="zh-CN"/>
              </w:rPr>
              <w:t>递交响应文件</w:t>
            </w:r>
            <w:r>
              <w:rPr>
                <w:rFonts w:hint="eastAsia" w:ascii="宋体" w:hAnsi="宋体" w:cs="宋体"/>
                <w:snapToGrid w:val="0"/>
                <w:color w:val="auto"/>
                <w:kern w:val="28"/>
                <w:sz w:val="24"/>
                <w:highlight w:val="none"/>
                <w:u w:val="single"/>
              </w:rPr>
              <w:t>截止时间前将备份</w:t>
            </w:r>
            <w:r>
              <w:rPr>
                <w:rFonts w:hint="eastAsia" w:ascii="宋体" w:hAnsi="宋体" w:cs="宋体"/>
                <w:snapToGrid w:val="0"/>
                <w:color w:val="auto"/>
                <w:kern w:val="28"/>
                <w:sz w:val="24"/>
                <w:highlight w:val="none"/>
                <w:u w:val="single"/>
                <w:lang w:val="en-US" w:eastAsia="zh-CN"/>
              </w:rPr>
              <w:t>响应</w:t>
            </w:r>
            <w:r>
              <w:rPr>
                <w:rFonts w:hint="eastAsia" w:ascii="宋体" w:hAnsi="宋体" w:cs="宋体"/>
                <w:snapToGrid w:val="0"/>
                <w:color w:val="auto"/>
                <w:kern w:val="28"/>
                <w:sz w:val="24"/>
                <w:highlight w:val="none"/>
                <w:u w:val="single"/>
              </w:rPr>
              <w:t>文</w:t>
            </w:r>
            <w:r>
              <w:rPr>
                <w:rFonts w:hint="eastAsia" w:ascii="宋体" w:hAnsi="宋体" w:cs="宋体"/>
                <w:snapToGrid w:val="0"/>
                <w:color w:val="auto"/>
                <w:kern w:val="28"/>
                <w:sz w:val="24"/>
                <w:highlight w:val="none"/>
                <w:u w:val="single"/>
                <w:lang w:val="en-US" w:eastAsia="zh-CN"/>
              </w:rPr>
              <w:t>件送</w:t>
            </w:r>
            <w:r>
              <w:rPr>
                <w:rFonts w:hint="eastAsia" w:ascii="宋体" w:hAnsi="宋体" w:cs="宋体"/>
                <w:snapToGrid w:val="0"/>
                <w:color w:val="auto"/>
                <w:kern w:val="28"/>
                <w:sz w:val="24"/>
                <w:highlight w:val="none"/>
                <w:u w:val="single"/>
              </w:rPr>
              <w:t>至</w:t>
            </w:r>
            <w:r>
              <w:rPr>
                <w:rFonts w:hint="eastAsia" w:ascii="宋体" w:hAnsi="宋体" w:cs="宋体"/>
                <w:snapToGrid w:val="0"/>
                <w:color w:val="auto"/>
                <w:kern w:val="28"/>
                <w:sz w:val="24"/>
                <w:highlight w:val="none"/>
                <w:u w:val="single"/>
                <w:lang w:val="en-US" w:eastAsia="zh-CN"/>
              </w:rPr>
              <w:t>中基招标会议中心（宁波市鄞州区天童南路666号中基大厦1楼）</w:t>
            </w:r>
            <w:r>
              <w:rPr>
                <w:rFonts w:hint="eastAsia" w:ascii="宋体" w:hAnsi="宋体" w:cs="宋体"/>
                <w:snapToGrid w:val="0"/>
                <w:color w:val="auto"/>
                <w:kern w:val="28"/>
                <w:sz w:val="24"/>
                <w:highlight w:val="none"/>
              </w:rPr>
              <w:t>。</w:t>
            </w:r>
          </w:p>
          <w:p w14:paraId="406C4CA1">
            <w:pPr>
              <w:pStyle w:val="33"/>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sz w:val="24"/>
                <w:szCs w:val="24"/>
                <w:highlight w:val="none"/>
              </w:rPr>
            </w:pPr>
            <w:r>
              <w:rPr>
                <w:rFonts w:hint="eastAsia" w:hAnsi="宋体" w:cs="宋体"/>
                <w:b/>
                <w:bCs/>
                <w:snapToGrid w:val="0"/>
                <w:color w:val="auto"/>
                <w:kern w:val="28"/>
                <w:sz w:val="24"/>
                <w:highlight w:val="none"/>
                <w:lang w:val="en-US" w:eastAsia="zh-CN"/>
              </w:rPr>
              <w:t>备注：</w:t>
            </w:r>
            <w:r>
              <w:rPr>
                <w:rFonts w:hint="eastAsia" w:ascii="宋体" w:hAnsi="宋体" w:cs="宋体"/>
                <w:b/>
                <w:bCs/>
                <w:snapToGrid w:val="0"/>
                <w:color w:val="auto"/>
                <w:kern w:val="28"/>
                <w:sz w:val="24"/>
                <w:highlight w:val="none"/>
              </w:rPr>
              <w:t>采购人、采购代理机构不强制</w:t>
            </w:r>
            <w:r>
              <w:rPr>
                <w:rFonts w:hint="eastAsia" w:hAnsi="宋体" w:cs="宋体"/>
                <w:b/>
                <w:bCs/>
                <w:snapToGrid w:val="0"/>
                <w:color w:val="auto"/>
                <w:kern w:val="28"/>
                <w:sz w:val="24"/>
                <w:highlight w:val="none"/>
                <w:lang w:val="en-US" w:eastAsia="zh-CN"/>
              </w:rPr>
              <w:t>供应商</w:t>
            </w:r>
            <w:r>
              <w:rPr>
                <w:rFonts w:hint="eastAsia" w:ascii="宋体" w:hAnsi="宋体" w:cs="宋体"/>
                <w:b/>
                <w:bCs/>
                <w:snapToGrid w:val="0"/>
                <w:color w:val="auto"/>
                <w:kern w:val="28"/>
                <w:sz w:val="24"/>
                <w:highlight w:val="none"/>
              </w:rPr>
              <w:t>提交备份</w:t>
            </w:r>
            <w:r>
              <w:rPr>
                <w:rFonts w:hint="eastAsia" w:hAnsi="宋体" w:cs="宋体"/>
                <w:b/>
                <w:bCs/>
                <w:snapToGrid w:val="0"/>
                <w:color w:val="auto"/>
                <w:kern w:val="28"/>
                <w:sz w:val="24"/>
                <w:highlight w:val="none"/>
                <w:lang w:val="en-US" w:eastAsia="zh-CN"/>
              </w:rPr>
              <w:t>响应</w:t>
            </w:r>
            <w:r>
              <w:rPr>
                <w:rFonts w:hint="eastAsia" w:ascii="宋体" w:hAnsi="宋体" w:cs="宋体"/>
                <w:b/>
                <w:bCs/>
                <w:snapToGrid w:val="0"/>
                <w:color w:val="auto"/>
                <w:kern w:val="28"/>
                <w:sz w:val="24"/>
                <w:highlight w:val="none"/>
              </w:rPr>
              <w:t>文件。</w:t>
            </w:r>
          </w:p>
          <w:p w14:paraId="41F18450">
            <w:pPr>
              <w:pStyle w:val="33"/>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snapToGrid/>
                <w:color w:val="auto"/>
                <w:kern w:val="0"/>
                <w:sz w:val="24"/>
                <w:szCs w:val="24"/>
                <w:highlight w:val="none"/>
              </w:rPr>
            </w:pPr>
            <w:r>
              <w:rPr>
                <w:rFonts w:hint="eastAsia" w:ascii="宋体" w:hAnsi="宋体" w:eastAsia="宋体" w:cs="宋体"/>
                <w:b/>
                <w:snapToGrid/>
                <w:color w:val="auto"/>
                <w:sz w:val="24"/>
                <w:szCs w:val="24"/>
                <w:highlight w:val="none"/>
              </w:rPr>
              <w:t>采购人、</w:t>
            </w:r>
            <w:r>
              <w:rPr>
                <w:rFonts w:hint="eastAsia" w:ascii="宋体" w:hAnsi="宋体" w:eastAsia="宋体" w:cs="宋体"/>
                <w:b/>
                <w:snapToGrid/>
                <w:color w:val="auto"/>
                <w:sz w:val="24"/>
                <w:szCs w:val="24"/>
                <w:highlight w:val="none"/>
                <w:lang w:eastAsia="zh-CN"/>
              </w:rPr>
              <w:t>采购代理机构</w:t>
            </w:r>
            <w:r>
              <w:rPr>
                <w:rFonts w:hint="eastAsia" w:ascii="宋体" w:hAnsi="宋体" w:eastAsia="宋体" w:cs="宋体"/>
                <w:b/>
                <w:snapToGrid/>
                <w:color w:val="auto"/>
                <w:sz w:val="24"/>
                <w:szCs w:val="24"/>
                <w:highlight w:val="none"/>
              </w:rPr>
              <w:t>不强制或变相强制供应商提交备份响应文件。</w:t>
            </w:r>
          </w:p>
        </w:tc>
      </w:tr>
      <w:tr w14:paraId="472C1296">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90" w:hRule="atLeast"/>
        </w:trPr>
        <w:tc>
          <w:tcPr>
            <w:tcW w:w="354" w:type="pct"/>
            <w:tcBorders>
              <w:tl2br w:val="nil"/>
              <w:tr2bl w:val="nil"/>
            </w:tcBorders>
            <w:vAlign w:val="center"/>
          </w:tcPr>
          <w:p w14:paraId="717D49E3">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napToGrid/>
                <w:color w:val="auto"/>
                <w:sz w:val="24"/>
                <w:szCs w:val="24"/>
                <w:highlight w:val="none"/>
                <w:lang w:val="en-US" w:eastAsia="zh-CN"/>
              </w:rPr>
            </w:pPr>
            <w:r>
              <w:rPr>
                <w:rFonts w:hint="eastAsia" w:ascii="宋体" w:hAnsi="宋体" w:eastAsia="宋体" w:cs="宋体"/>
                <w:snapToGrid/>
                <w:color w:val="auto"/>
                <w:sz w:val="24"/>
                <w:szCs w:val="24"/>
                <w:highlight w:val="none"/>
              </w:rPr>
              <w:t>1</w:t>
            </w:r>
            <w:r>
              <w:rPr>
                <w:rFonts w:hint="eastAsia" w:ascii="宋体" w:hAnsi="宋体" w:cs="宋体"/>
                <w:snapToGrid/>
                <w:color w:val="auto"/>
                <w:sz w:val="24"/>
                <w:szCs w:val="24"/>
                <w:highlight w:val="none"/>
                <w:lang w:val="en-US" w:eastAsia="zh-CN"/>
              </w:rPr>
              <w:t>2</w:t>
            </w:r>
          </w:p>
        </w:tc>
        <w:tc>
          <w:tcPr>
            <w:tcW w:w="1052" w:type="pct"/>
            <w:tcBorders>
              <w:tl2br w:val="nil"/>
              <w:tr2bl w:val="nil"/>
            </w:tcBorders>
            <w:vAlign w:val="center"/>
          </w:tcPr>
          <w:p w14:paraId="5B771CE0">
            <w:pPr>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napToGrid/>
                <w:color w:val="auto"/>
                <w:kern w:val="2"/>
                <w:sz w:val="24"/>
                <w:szCs w:val="24"/>
                <w:highlight w:val="none"/>
                <w:lang w:val="en-US" w:eastAsia="zh-CN" w:bidi="ar-SA"/>
              </w:rPr>
            </w:pPr>
            <w:r>
              <w:rPr>
                <w:rFonts w:hint="eastAsia" w:ascii="宋体" w:hAnsi="宋体" w:eastAsia="宋体" w:cs="宋体"/>
                <w:b/>
                <w:snapToGrid/>
                <w:color w:val="auto"/>
                <w:sz w:val="24"/>
                <w:szCs w:val="24"/>
                <w:highlight w:val="none"/>
              </w:rPr>
              <w:t>采购代理服务费</w:t>
            </w:r>
          </w:p>
        </w:tc>
        <w:tc>
          <w:tcPr>
            <w:tcW w:w="3593" w:type="pct"/>
            <w:tcBorders>
              <w:tl2br w:val="nil"/>
              <w:tr2bl w:val="nil"/>
            </w:tcBorders>
            <w:vAlign w:val="center"/>
          </w:tcPr>
          <w:p w14:paraId="0E8FBD45">
            <w:pPr>
              <w:pageBreakBefore w:val="0"/>
              <w:widowControl w:val="0"/>
              <w:kinsoku/>
              <w:wordWrap/>
              <w:overflowPunct/>
              <w:topLinePunct w:val="0"/>
              <w:autoSpaceDE/>
              <w:autoSpaceDN/>
              <w:bidi w:val="0"/>
              <w:adjustRightInd/>
              <w:snapToGrid/>
              <w:spacing w:line="400" w:lineRule="exact"/>
              <w:textAlignment w:val="auto"/>
              <w:outlineLvl w:val="9"/>
              <w:rPr>
                <w:color w:val="auto"/>
                <w:highlight w:val="none"/>
              </w:rPr>
            </w:pPr>
            <w:r>
              <w:rPr>
                <w:rFonts w:hint="eastAsia" w:ascii="宋体" w:hAnsi="宋体" w:eastAsia="宋体" w:cs="宋体"/>
                <w:snapToGrid/>
                <w:color w:val="auto"/>
                <w:kern w:val="28"/>
                <w:sz w:val="24"/>
                <w:szCs w:val="24"/>
                <w:highlight w:val="none"/>
              </w:rPr>
              <w:t>成交服务费的收取标准：本项目成交服务费参照《宁波市招标（采购）代理服务收费指导意见》的通知中规定的工程招标费率标准下浮20%，按照成交金额向成交人收取成交服务费，收费不足10000元的按10000元收取。</w:t>
            </w:r>
          </w:p>
          <w:p w14:paraId="254A14A3">
            <w:pPr>
              <w:pStyle w:val="61"/>
              <w:ind w:left="0" w:leftChars="0" w:firstLine="0" w:firstLineChars="0"/>
              <w:rPr>
                <w:rFonts w:hint="eastAsia" w:eastAsia="宋体"/>
                <w:color w:val="auto"/>
                <w:highlight w:val="none"/>
                <w:lang w:eastAsia="zh-CN"/>
              </w:rPr>
            </w:pPr>
            <w:r>
              <w:rPr>
                <w:rFonts w:hint="eastAsia" w:eastAsia="宋体"/>
                <w:color w:val="auto"/>
                <w:highlight w:val="none"/>
                <w:lang w:eastAsia="zh-CN"/>
              </w:rPr>
              <w:drawing>
                <wp:inline distT="0" distB="0" distL="114300" distR="114300">
                  <wp:extent cx="2955925" cy="3239770"/>
                  <wp:effectExtent l="0" t="0" r="15875" b="17780"/>
                  <wp:docPr id="1" name="图片 1" descr="1752808183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52808183364"/>
                          <pic:cNvPicPr>
                            <a:picLocks noChangeAspect="1"/>
                          </pic:cNvPicPr>
                        </pic:nvPicPr>
                        <pic:blipFill>
                          <a:blip r:embed="rId26"/>
                          <a:stretch>
                            <a:fillRect/>
                          </a:stretch>
                        </pic:blipFill>
                        <pic:spPr>
                          <a:xfrm>
                            <a:off x="0" y="0"/>
                            <a:ext cx="2955925" cy="3239770"/>
                          </a:xfrm>
                          <a:prstGeom prst="rect">
                            <a:avLst/>
                          </a:prstGeom>
                        </pic:spPr>
                      </pic:pic>
                    </a:graphicData>
                  </a:graphic>
                </wp:inline>
              </w:drawing>
            </w:r>
          </w:p>
          <w:p w14:paraId="1890B6EB">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28"/>
                <w:sz w:val="24"/>
                <w:szCs w:val="24"/>
                <w:highlight w:val="none"/>
              </w:rPr>
            </w:pPr>
            <w:r>
              <w:rPr>
                <w:rFonts w:hint="eastAsia" w:ascii="宋体" w:hAnsi="宋体" w:eastAsia="宋体" w:cs="宋体"/>
                <w:snapToGrid/>
                <w:color w:val="auto"/>
                <w:kern w:val="28"/>
                <w:sz w:val="24"/>
                <w:szCs w:val="24"/>
                <w:highlight w:val="none"/>
              </w:rPr>
              <w:t>备注：成交服务费只收现金、银行票汇款、电汇款。汇入以下账户：</w:t>
            </w:r>
          </w:p>
          <w:p w14:paraId="25DBED66">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28"/>
                <w:sz w:val="24"/>
                <w:szCs w:val="24"/>
                <w:highlight w:val="none"/>
              </w:rPr>
            </w:pPr>
            <w:r>
              <w:rPr>
                <w:rFonts w:hint="eastAsia" w:ascii="宋体" w:hAnsi="宋体" w:eastAsia="宋体" w:cs="宋体"/>
                <w:snapToGrid/>
                <w:color w:val="auto"/>
                <w:kern w:val="28"/>
                <w:sz w:val="24"/>
                <w:szCs w:val="24"/>
                <w:highlight w:val="none"/>
              </w:rPr>
              <w:t>开户银行：宁波银行科技支行</w:t>
            </w:r>
          </w:p>
          <w:p w14:paraId="7DCD54FD">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28"/>
                <w:sz w:val="24"/>
                <w:szCs w:val="24"/>
                <w:highlight w:val="none"/>
              </w:rPr>
            </w:pPr>
            <w:r>
              <w:rPr>
                <w:rFonts w:hint="eastAsia" w:ascii="宋体" w:hAnsi="宋体" w:eastAsia="宋体" w:cs="宋体"/>
                <w:snapToGrid/>
                <w:color w:val="auto"/>
                <w:kern w:val="28"/>
                <w:sz w:val="24"/>
                <w:szCs w:val="24"/>
                <w:highlight w:val="none"/>
              </w:rPr>
              <w:t>账号：31010122000005488</w:t>
            </w:r>
          </w:p>
          <w:p w14:paraId="40D5C1CF">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28"/>
                <w:sz w:val="24"/>
                <w:szCs w:val="24"/>
                <w:highlight w:val="none"/>
                <w:lang w:val="en-US" w:eastAsia="zh-CN" w:bidi="ar-SA"/>
              </w:rPr>
            </w:pPr>
            <w:r>
              <w:rPr>
                <w:rFonts w:hint="eastAsia" w:ascii="宋体" w:hAnsi="宋体" w:eastAsia="宋体" w:cs="宋体"/>
                <w:snapToGrid/>
                <w:color w:val="auto"/>
                <w:kern w:val="28"/>
                <w:sz w:val="24"/>
                <w:szCs w:val="24"/>
                <w:highlight w:val="none"/>
              </w:rPr>
              <w:t>户名：宁波中基国际招标有限公司</w:t>
            </w:r>
          </w:p>
        </w:tc>
      </w:tr>
      <w:tr w14:paraId="380B1FBF">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28" w:type="dxa"/>
            <w:bottom w:w="0" w:type="dxa"/>
            <w:right w:w="28" w:type="dxa"/>
          </w:tblCellMar>
        </w:tblPrEx>
        <w:trPr>
          <w:trHeight w:val="567" w:hRule="atLeast"/>
        </w:trPr>
        <w:tc>
          <w:tcPr>
            <w:tcW w:w="354" w:type="pct"/>
            <w:tcBorders>
              <w:tl2br w:val="nil"/>
              <w:tr2bl w:val="nil"/>
            </w:tcBorders>
            <w:vAlign w:val="center"/>
          </w:tcPr>
          <w:p w14:paraId="5DCFDBDB">
            <w:pPr>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宋体" w:cs="宋体"/>
                <w:snapToGrid/>
                <w:color w:val="auto"/>
                <w:sz w:val="24"/>
                <w:szCs w:val="24"/>
                <w:highlight w:val="none"/>
                <w:lang w:val="en-US" w:eastAsia="zh-CN"/>
              </w:rPr>
            </w:pPr>
            <w:bookmarkStart w:id="14" w:name="_Toc164416483"/>
            <w:bookmarkStart w:id="15" w:name="第三部分"/>
            <w:r>
              <w:rPr>
                <w:rFonts w:hint="eastAsia" w:ascii="宋体" w:hAnsi="宋体" w:cs="宋体"/>
                <w:snapToGrid/>
                <w:color w:val="auto"/>
                <w:sz w:val="24"/>
                <w:szCs w:val="24"/>
                <w:highlight w:val="none"/>
                <w:lang w:val="en-US" w:eastAsia="zh-CN"/>
              </w:rPr>
              <w:t>13</w:t>
            </w:r>
          </w:p>
        </w:tc>
        <w:tc>
          <w:tcPr>
            <w:tcW w:w="1052" w:type="pct"/>
            <w:tcBorders>
              <w:tl2br w:val="nil"/>
              <w:tr2bl w:val="nil"/>
            </w:tcBorders>
            <w:vAlign w:val="center"/>
          </w:tcPr>
          <w:p w14:paraId="241A2174">
            <w:pPr>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宋体" w:cs="宋体"/>
                <w:b/>
                <w:snapToGrid/>
                <w:color w:val="auto"/>
                <w:sz w:val="24"/>
                <w:szCs w:val="24"/>
                <w:highlight w:val="none"/>
                <w:lang w:val="en-US" w:eastAsia="zh-CN"/>
              </w:rPr>
            </w:pPr>
            <w:r>
              <w:rPr>
                <w:rFonts w:hint="eastAsia" w:ascii="宋体" w:hAnsi="宋体" w:cs="宋体"/>
                <w:b/>
                <w:snapToGrid/>
                <w:color w:val="auto"/>
                <w:sz w:val="24"/>
                <w:szCs w:val="24"/>
                <w:highlight w:val="none"/>
                <w:lang w:val="en-US" w:eastAsia="zh-CN"/>
              </w:rPr>
              <w:t>其他说明</w:t>
            </w:r>
          </w:p>
        </w:tc>
        <w:tc>
          <w:tcPr>
            <w:tcW w:w="3593" w:type="pct"/>
            <w:tcBorders>
              <w:tl2br w:val="nil"/>
              <w:tr2bl w:val="nil"/>
            </w:tcBorders>
            <w:vAlign w:val="center"/>
          </w:tcPr>
          <w:p w14:paraId="3B4782C2">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28"/>
                <w:sz w:val="24"/>
                <w:szCs w:val="24"/>
                <w:highlight w:val="none"/>
              </w:rPr>
            </w:pPr>
            <w:r>
              <w:rPr>
                <w:rFonts w:hint="eastAsia" w:ascii="宋体" w:hAnsi="宋体" w:eastAsia="宋体" w:cs="宋体"/>
                <w:snapToGrid/>
                <w:color w:val="auto"/>
                <w:kern w:val="28"/>
                <w:sz w:val="24"/>
                <w:szCs w:val="24"/>
                <w:highlight w:val="none"/>
              </w:rPr>
              <w:t>1</w:t>
            </w:r>
            <w:r>
              <w:rPr>
                <w:rFonts w:hint="eastAsia" w:ascii="宋体" w:hAnsi="宋体" w:cs="宋体"/>
                <w:snapToGrid/>
                <w:color w:val="auto"/>
                <w:kern w:val="28"/>
                <w:sz w:val="24"/>
                <w:szCs w:val="24"/>
                <w:highlight w:val="none"/>
                <w:lang w:val="en-US" w:eastAsia="zh-CN"/>
              </w:rPr>
              <w:t>3</w:t>
            </w:r>
            <w:r>
              <w:rPr>
                <w:rFonts w:hint="eastAsia" w:ascii="宋体" w:hAnsi="宋体" w:eastAsia="宋体" w:cs="宋体"/>
                <w:snapToGrid/>
                <w:color w:val="auto"/>
                <w:kern w:val="28"/>
                <w:sz w:val="24"/>
                <w:szCs w:val="24"/>
                <w:highlight w:val="none"/>
              </w:rPr>
              <w:t>.1磋商文件的标题和序号只是为了查阅方便，不影响对磋商文件的理解。</w:t>
            </w:r>
          </w:p>
          <w:p w14:paraId="0367C627">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28"/>
                <w:sz w:val="24"/>
                <w:szCs w:val="24"/>
                <w:highlight w:val="none"/>
              </w:rPr>
            </w:pPr>
            <w:r>
              <w:rPr>
                <w:rFonts w:hint="eastAsia" w:ascii="宋体" w:hAnsi="宋体" w:eastAsia="宋体" w:cs="宋体"/>
                <w:snapToGrid/>
                <w:color w:val="auto"/>
                <w:kern w:val="28"/>
                <w:sz w:val="24"/>
                <w:szCs w:val="24"/>
                <w:highlight w:val="none"/>
              </w:rPr>
              <w:t>1</w:t>
            </w:r>
            <w:r>
              <w:rPr>
                <w:rFonts w:hint="eastAsia" w:ascii="宋体" w:hAnsi="宋体" w:cs="宋体"/>
                <w:snapToGrid/>
                <w:color w:val="auto"/>
                <w:kern w:val="28"/>
                <w:sz w:val="24"/>
                <w:szCs w:val="24"/>
                <w:highlight w:val="none"/>
                <w:lang w:val="en-US" w:eastAsia="zh-CN"/>
              </w:rPr>
              <w:t>3</w:t>
            </w:r>
            <w:r>
              <w:rPr>
                <w:rFonts w:hint="eastAsia" w:ascii="宋体" w:hAnsi="宋体" w:eastAsia="宋体" w:cs="宋体"/>
                <w:snapToGrid/>
                <w:color w:val="auto"/>
                <w:kern w:val="28"/>
                <w:sz w:val="24"/>
                <w:szCs w:val="24"/>
                <w:highlight w:val="none"/>
              </w:rPr>
              <w:t>.2磋商文件如出现某品牌、型号的内容是为了更好的描述产品的性能、规格及要求，并无指定产品品牌、型号的意思表达。</w:t>
            </w:r>
          </w:p>
          <w:p w14:paraId="7DD62968">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28"/>
                <w:sz w:val="24"/>
                <w:szCs w:val="24"/>
                <w:highlight w:val="none"/>
              </w:rPr>
            </w:pPr>
            <w:r>
              <w:rPr>
                <w:rFonts w:hint="eastAsia" w:ascii="宋体" w:hAnsi="宋体" w:eastAsia="宋体" w:cs="宋体"/>
                <w:snapToGrid/>
                <w:color w:val="auto"/>
                <w:kern w:val="28"/>
                <w:sz w:val="24"/>
                <w:szCs w:val="24"/>
                <w:highlight w:val="none"/>
              </w:rPr>
              <w:t>1</w:t>
            </w:r>
            <w:r>
              <w:rPr>
                <w:rFonts w:hint="eastAsia" w:ascii="宋体" w:hAnsi="宋体" w:cs="宋体"/>
                <w:snapToGrid/>
                <w:color w:val="auto"/>
                <w:kern w:val="28"/>
                <w:sz w:val="24"/>
                <w:szCs w:val="24"/>
                <w:highlight w:val="none"/>
                <w:lang w:val="en-US" w:eastAsia="zh-CN"/>
              </w:rPr>
              <w:t>3</w:t>
            </w:r>
            <w:r>
              <w:rPr>
                <w:rFonts w:hint="eastAsia" w:ascii="宋体" w:hAnsi="宋体" w:eastAsia="宋体" w:cs="宋体"/>
                <w:snapToGrid/>
                <w:color w:val="auto"/>
                <w:kern w:val="28"/>
                <w:sz w:val="24"/>
                <w:szCs w:val="24"/>
                <w:highlight w:val="none"/>
              </w:rPr>
              <w:t>.3供应商提交的响应文件针对磋商文件同一条款出现不同表述（响应）的，按照不利于供应商的标准进行认定；在合同签订或履行中发现存在上述情形的，按照有利于采购人的标准执行。</w:t>
            </w:r>
          </w:p>
          <w:p w14:paraId="3111E314">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28"/>
                <w:sz w:val="24"/>
                <w:szCs w:val="24"/>
                <w:highlight w:val="none"/>
              </w:rPr>
            </w:pPr>
            <w:r>
              <w:rPr>
                <w:rFonts w:hint="eastAsia" w:ascii="宋体" w:hAnsi="宋体" w:eastAsia="宋体" w:cs="宋体"/>
                <w:snapToGrid/>
                <w:color w:val="auto"/>
                <w:kern w:val="28"/>
                <w:sz w:val="24"/>
                <w:szCs w:val="24"/>
                <w:highlight w:val="none"/>
              </w:rPr>
              <w:t>1</w:t>
            </w:r>
            <w:r>
              <w:rPr>
                <w:rFonts w:hint="eastAsia" w:ascii="宋体" w:hAnsi="宋体" w:cs="宋体"/>
                <w:snapToGrid/>
                <w:color w:val="auto"/>
                <w:kern w:val="28"/>
                <w:sz w:val="24"/>
                <w:szCs w:val="24"/>
                <w:highlight w:val="none"/>
                <w:lang w:val="en-US" w:eastAsia="zh-CN"/>
              </w:rPr>
              <w:t>3</w:t>
            </w:r>
            <w:r>
              <w:rPr>
                <w:rFonts w:hint="eastAsia" w:ascii="宋体" w:hAnsi="宋体" w:eastAsia="宋体" w:cs="宋体"/>
                <w:snapToGrid/>
                <w:color w:val="auto"/>
                <w:kern w:val="28"/>
                <w:sz w:val="24"/>
                <w:szCs w:val="24"/>
                <w:highlight w:val="none"/>
              </w:rPr>
              <w:t>.4磋商文件要求携带原件备查的资料，如该资料可以通过互联网或者相关信息系统查询的，供应商能够当场提供账号、网址等进行查询、核实资料真伪及有关数据的，视同提供了原件。</w:t>
            </w:r>
          </w:p>
          <w:p w14:paraId="14D586B8">
            <w:pPr>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napToGrid/>
                <w:color w:val="auto"/>
                <w:kern w:val="28"/>
                <w:sz w:val="24"/>
                <w:szCs w:val="24"/>
                <w:highlight w:val="none"/>
              </w:rPr>
            </w:pPr>
            <w:r>
              <w:rPr>
                <w:rFonts w:hint="eastAsia" w:ascii="宋体" w:hAnsi="宋体" w:eastAsia="宋体" w:cs="宋体"/>
                <w:snapToGrid/>
                <w:color w:val="auto"/>
                <w:kern w:val="28"/>
                <w:sz w:val="24"/>
                <w:szCs w:val="24"/>
                <w:highlight w:val="none"/>
              </w:rPr>
              <w:t>1</w:t>
            </w:r>
            <w:r>
              <w:rPr>
                <w:rFonts w:hint="eastAsia" w:ascii="宋体" w:hAnsi="宋体" w:cs="宋体"/>
                <w:snapToGrid/>
                <w:color w:val="auto"/>
                <w:kern w:val="28"/>
                <w:sz w:val="24"/>
                <w:szCs w:val="24"/>
                <w:highlight w:val="none"/>
                <w:lang w:val="en-US" w:eastAsia="zh-CN"/>
              </w:rPr>
              <w:t>3</w:t>
            </w:r>
            <w:r>
              <w:rPr>
                <w:rFonts w:hint="eastAsia" w:ascii="宋体" w:hAnsi="宋体" w:eastAsia="宋体" w:cs="宋体"/>
                <w:snapToGrid/>
                <w:color w:val="auto"/>
                <w:kern w:val="28"/>
                <w:sz w:val="24"/>
                <w:szCs w:val="24"/>
                <w:highlight w:val="none"/>
              </w:rPr>
              <w:t>.5供应商应当及时维护政府采购云平台（https://www.zcygov.cn/）注册信息，包含但不仅限于单位银行账户信息等。</w:t>
            </w:r>
          </w:p>
        </w:tc>
      </w:tr>
      <w:bookmarkEnd w:id="10"/>
    </w:tbl>
    <w:p w14:paraId="34C715A9">
      <w:pPr>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01BCCD7B">
      <w:pPr>
        <w:pageBreakBefore w:val="0"/>
        <w:kinsoku/>
        <w:wordWrap/>
        <w:overflowPunct/>
        <w:topLinePunct w:val="0"/>
        <w:bidi w:val="0"/>
        <w:adjustRightInd/>
        <w:snapToGrid/>
        <w:spacing w:beforeAutospacing="0" w:line="360" w:lineRule="auto"/>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4670B7A1">
      <w:pPr>
        <w:pageBreakBefore w:val="0"/>
        <w:kinsoku/>
        <w:wordWrap/>
        <w:overflowPunct/>
        <w:topLinePunct w:val="0"/>
        <w:bidi w:val="0"/>
        <w:adjustRightInd/>
        <w:snapToGrid/>
        <w:spacing w:beforeAutospacing="0" w:line="360" w:lineRule="auto"/>
        <w:ind w:firstLine="482" w:firstLineChars="200"/>
        <w:jc w:val="both"/>
        <w:textAlignment w:val="auto"/>
        <w:outlineLvl w:val="9"/>
        <w:rPr>
          <w:rFonts w:ascii="宋体" w:hAnsi="宋体" w:cs="宋体"/>
          <w:b/>
          <w:color w:val="auto"/>
          <w:sz w:val="24"/>
          <w:highlight w:val="none"/>
        </w:rPr>
      </w:pPr>
      <w:r>
        <w:rPr>
          <w:rFonts w:hint="eastAsia" w:ascii="宋体" w:hAnsi="宋体" w:cs="宋体"/>
          <w:b/>
          <w:color w:val="auto"/>
          <w:sz w:val="24"/>
          <w:highlight w:val="none"/>
        </w:rPr>
        <w:t>1.适用范围</w:t>
      </w:r>
    </w:p>
    <w:p w14:paraId="3FC4F8F8">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5081B012">
      <w:pPr>
        <w:pageBreakBefore w:val="0"/>
        <w:kinsoku/>
        <w:wordWrap/>
        <w:overflowPunct/>
        <w:topLinePunct w:val="0"/>
        <w:bidi w:val="0"/>
        <w:adjustRightInd/>
        <w:snapToGrid/>
        <w:spacing w:beforeAutospacing="0" w:line="360" w:lineRule="auto"/>
        <w:ind w:firstLine="482" w:firstLineChars="200"/>
        <w:jc w:val="both"/>
        <w:textAlignment w:val="auto"/>
        <w:outlineLvl w:val="9"/>
        <w:rPr>
          <w:rFonts w:ascii="宋体" w:hAnsi="宋体" w:cs="宋体"/>
          <w:b/>
          <w:color w:val="auto"/>
          <w:sz w:val="24"/>
          <w:highlight w:val="none"/>
        </w:rPr>
      </w:pPr>
      <w:r>
        <w:rPr>
          <w:rFonts w:hint="eastAsia" w:ascii="宋体" w:hAnsi="宋体" w:cs="宋体"/>
          <w:b/>
          <w:color w:val="auto"/>
          <w:sz w:val="24"/>
          <w:highlight w:val="none"/>
        </w:rPr>
        <w:t>2.定义</w:t>
      </w:r>
    </w:p>
    <w:p w14:paraId="7BFF2FE6">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2.1“采购人”系指竞争性磋商公告中载明的本项目的采购人。</w:t>
      </w:r>
    </w:p>
    <w:p w14:paraId="7BB3F298">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”系指竞争性磋商公告中载明的本项目的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57B854E0">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2.3“供应商”系指提交响应文件和报价、参与竞争性磋商采购活动的法人、其他组织或者自然人。</w:t>
      </w:r>
    </w:p>
    <w:p w14:paraId="0E30AD68">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2.4“负责人”系指法人企业的法定负责人，或其他组织为法律、行政法规规定代表单位行使职权的主要负责人，或自然人本人。</w:t>
      </w:r>
    </w:p>
    <w:p w14:paraId="6BAE4B48">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w:t>
      </w:r>
      <w:r>
        <w:rPr>
          <w:rFonts w:hint="eastAsia" w:ascii="宋体" w:hAnsi="宋体" w:cs="宋体"/>
          <w:color w:val="auto"/>
          <w:sz w:val="24"/>
          <w:highlight w:val="none"/>
          <w:lang w:val="en-US" w:eastAsia="zh-CN"/>
        </w:rPr>
        <w:t>格式详见附件</w:t>
      </w:r>
      <w:r>
        <w:rPr>
          <w:rFonts w:hint="eastAsia" w:ascii="宋体" w:hAnsi="宋体" w:cs="宋体"/>
          <w:color w:val="auto"/>
          <w:sz w:val="24"/>
          <w:highlight w:val="none"/>
        </w:rPr>
        <w:t>）。</w:t>
      </w:r>
    </w:p>
    <w:p w14:paraId="7C8193F6">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3F7C1B8E">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2.7“▲”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”系指不适用本项目的要求。</w:t>
      </w:r>
    </w:p>
    <w:p w14:paraId="5C00D2AA">
      <w:pPr>
        <w:pageBreakBefore w:val="0"/>
        <w:kinsoku/>
        <w:wordWrap/>
        <w:overflowPunct/>
        <w:topLinePunct w:val="0"/>
        <w:bidi w:val="0"/>
        <w:adjustRightInd/>
        <w:snapToGrid/>
        <w:spacing w:beforeAutospacing="0" w:line="360" w:lineRule="auto"/>
        <w:ind w:firstLine="482" w:firstLineChars="200"/>
        <w:jc w:val="both"/>
        <w:textAlignment w:val="auto"/>
        <w:outlineLvl w:val="9"/>
        <w:rPr>
          <w:rFonts w:ascii="宋体" w:hAnsi="宋体" w:cs="宋体"/>
          <w:b/>
          <w:color w:val="auto"/>
          <w:sz w:val="24"/>
          <w:highlight w:val="none"/>
        </w:rPr>
      </w:pPr>
      <w:r>
        <w:rPr>
          <w:rFonts w:hint="eastAsia" w:ascii="宋体" w:hAnsi="宋体" w:cs="宋体"/>
          <w:b/>
          <w:color w:val="auto"/>
          <w:sz w:val="24"/>
          <w:highlight w:val="none"/>
        </w:rPr>
        <w:t>3.采购项目需要落实的政府采购政策</w:t>
      </w:r>
    </w:p>
    <w:p w14:paraId="514674AA">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DC81BC5">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3.2 支持绿色发展</w:t>
      </w:r>
    </w:p>
    <w:p w14:paraId="036FD021">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729D2F3A">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5FB8EC41">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w:t>
      </w:r>
    </w:p>
    <w:p w14:paraId="67FF5475">
      <w:pPr>
        <w:pageBreakBefore w:val="0"/>
        <w:tabs>
          <w:tab w:val="left" w:pos="0"/>
        </w:tabs>
        <w:kinsoku/>
        <w:wordWrap/>
        <w:overflowPunct/>
        <w:topLinePunct w:val="0"/>
        <w:bidi w:val="0"/>
        <w:adjustRightInd/>
        <w:snapToGrid/>
        <w:spacing w:beforeAutospacing="0" w:line="360" w:lineRule="auto"/>
        <w:ind w:left="0" w:leftChars="0" w:firstLine="480" w:firstLineChars="200"/>
        <w:jc w:val="both"/>
        <w:textAlignment w:val="auto"/>
        <w:outlineLvl w:val="9"/>
        <w:rPr>
          <w:color w:val="auto"/>
          <w:highlight w:val="none"/>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鼓励供应商在参加政府采购过程中开展绿色设计、选择绿色材料、打造绿色制造工艺、开展绿色运输、做好废弃产品回收处理，实现产品全周期的绿色环保。</w:t>
      </w:r>
    </w:p>
    <w:p w14:paraId="33026383">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3.3支持中小企业发展</w:t>
      </w:r>
    </w:p>
    <w:p w14:paraId="404F8E7D">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033257C">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BA770F1">
      <w:pPr>
        <w:pageBreakBefore w:val="0"/>
        <w:widowControl/>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21A6D9A6">
      <w:pPr>
        <w:pageBreakBefore w:val="0"/>
        <w:widowControl/>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F0A4CB2">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%的扣除，用扣除后的价格参与评审。接受大中型企业与小微企业组成联合体或者允许大中型企业向一家或者多家小微企业分包的政府采购工程项目，对于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71B4DF46">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w:t>
      </w:r>
      <w:r>
        <w:rPr>
          <w:rFonts w:hint="eastAsia" w:ascii="宋体" w:hAnsi="宋体" w:cs="宋体"/>
          <w:color w:val="auto"/>
          <w:sz w:val="24"/>
          <w:highlight w:val="none"/>
          <w:lang w:val="en-US" w:eastAsia="zh-CN"/>
        </w:rPr>
        <w:t>格式详见附件</w:t>
      </w:r>
      <w:r>
        <w:rPr>
          <w:rFonts w:hint="eastAsia" w:ascii="宋体" w:hAnsi="宋体" w:cs="宋体"/>
          <w:color w:val="auto"/>
          <w:sz w:val="24"/>
          <w:highlight w:val="none"/>
        </w:rPr>
        <w:t>）的残疾人福利性单位视同小型、微型企业；</w:t>
      </w:r>
    </w:p>
    <w:p w14:paraId="0F4D1DB7">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CE4D98F">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3.3.6可享受中小企业扶持政策的供应商应按照采购文件格式要求提供《中小企业声明函》，《中小企业声明函》填写企业类型错误，导致该企业享受本不能享受的中小企业扶持政策，响应无效并依法承担法律责任。。</w:t>
      </w:r>
    </w:p>
    <w:p w14:paraId="49957812">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50434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0FEDE2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color w:val="auto"/>
          <w:sz w:val="24"/>
          <w:highlight w:val="none"/>
          <w:lang w:val="en-US" w:eastAsia="zh-CN"/>
        </w:rPr>
        <w:t>1</w:t>
      </w:r>
      <w:r>
        <w:rPr>
          <w:rFonts w:hint="eastAsia" w:ascii="宋体" w:hAnsi="宋体" w:eastAsia="宋体" w:cs="宋体"/>
          <w:b w:val="0"/>
          <w:bCs w:val="0"/>
          <w:color w:val="auto"/>
          <w:sz w:val="24"/>
          <w:szCs w:val="24"/>
          <w:highlight w:val="none"/>
          <w:vertAlign w:val="baseline"/>
          <w:lang w:val="en-US" w:eastAsia="zh-CN"/>
        </w:rPr>
        <w:t>对省级以上主管部门认定的首台套产品，自纳入《省推广应用指导目录》起三年内参加政府采购活动，视同已具备相应销售业绩，业绩分为满分。</w:t>
      </w:r>
    </w:p>
    <w:p w14:paraId="46D4B837">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F1E8774">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color w:val="auto"/>
          <w:sz w:val="24"/>
          <w:highlight w:val="none"/>
          <w:lang w:val="en-US" w:eastAsia="zh-CN"/>
        </w:rPr>
        <w:t xml:space="preserve">    </w:t>
      </w:r>
      <w:r>
        <w:rPr>
          <w:rFonts w:hint="eastAsia" w:ascii="宋体" w:hAnsi="宋体" w:cs="宋体"/>
          <w:b/>
          <w:color w:val="auto"/>
          <w:sz w:val="24"/>
          <w:highlight w:val="none"/>
        </w:rPr>
        <w:t>4.询问、质疑、投诉</w:t>
      </w:r>
    </w:p>
    <w:p w14:paraId="076FE9AE">
      <w:pPr>
        <w:pStyle w:val="891"/>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jc w:val="both"/>
        <w:textAlignment w:val="auto"/>
        <w:outlineLvl w:val="9"/>
        <w:rPr>
          <w:color w:val="auto"/>
          <w:highlight w:val="none"/>
        </w:rPr>
      </w:pPr>
      <w:r>
        <w:rPr>
          <w:rFonts w:hint="eastAsia"/>
          <w:color w:val="auto"/>
          <w:highlight w:val="none"/>
        </w:rPr>
        <w:t>4.1在线询问、质疑</w:t>
      </w:r>
    </w:p>
    <w:p w14:paraId="442447E7">
      <w:pPr>
        <w:pStyle w:val="891"/>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jc w:val="both"/>
        <w:textAlignment w:val="auto"/>
        <w:outlineLvl w:val="9"/>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w:t>
      </w:r>
    </w:p>
    <w:p w14:paraId="0C6F41B4">
      <w:pPr>
        <w:pageBreakBefore w:val="0"/>
        <w:kinsoku/>
        <w:wordWrap/>
        <w:overflowPunct/>
        <w:topLinePunct w:val="0"/>
        <w:autoSpaceDE w:val="0"/>
        <w:autoSpaceDN w:val="0"/>
        <w:bidi w:val="0"/>
        <w:adjustRightInd/>
        <w:snapToGrid/>
        <w:spacing w:beforeAutospacing="0" w:line="360" w:lineRule="auto"/>
        <w:ind w:left="0" w:leftChars="0" w:firstLine="480" w:firstLineChars="200"/>
        <w:jc w:val="both"/>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2F068468">
      <w:pPr>
        <w:pageBreakBefore w:val="0"/>
        <w:kinsoku/>
        <w:wordWrap/>
        <w:overflowPunct/>
        <w:topLinePunct w:val="0"/>
        <w:autoSpaceDE w:val="0"/>
        <w:autoSpaceDN w:val="0"/>
        <w:bidi w:val="0"/>
        <w:adjustRightInd/>
        <w:snapToGrid/>
        <w:spacing w:beforeAutospacing="0" w:line="360" w:lineRule="auto"/>
        <w:ind w:left="0" w:leftChars="0" w:firstLine="480" w:firstLineChars="200"/>
        <w:jc w:val="both"/>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AE0EAC8">
      <w:pPr>
        <w:pageBreakBefore w:val="0"/>
        <w:kinsoku/>
        <w:wordWrap/>
        <w:overflowPunct/>
        <w:topLinePunct w:val="0"/>
        <w:autoSpaceDE w:val="0"/>
        <w:autoSpaceDN w:val="0"/>
        <w:bidi w:val="0"/>
        <w:adjustRightInd/>
        <w:snapToGrid/>
        <w:spacing w:beforeAutospacing="0" w:line="360" w:lineRule="auto"/>
        <w:ind w:left="0" w:leftChars="0" w:firstLine="480" w:firstLineChars="200"/>
        <w:jc w:val="both"/>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5F66D11">
      <w:pPr>
        <w:pStyle w:val="33"/>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7F8D759C">
      <w:pPr>
        <w:pStyle w:val="33"/>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480C159B">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306D9E81">
      <w:pPr>
        <w:pStyle w:val="33"/>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2AFF595C">
      <w:pPr>
        <w:pStyle w:val="33"/>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53CB04B9">
      <w:pPr>
        <w:pStyle w:val="33"/>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34AEB74">
      <w:pPr>
        <w:pStyle w:val="33"/>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734C188B">
      <w:pPr>
        <w:pStyle w:val="33"/>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2451DB60">
      <w:pPr>
        <w:pStyle w:val="33"/>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0152A5E2">
      <w:pPr>
        <w:pStyle w:val="33"/>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79045B72">
      <w:pPr>
        <w:pStyle w:val="33"/>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33F52DEF">
      <w:pPr>
        <w:pStyle w:val="33"/>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C65B9D4">
      <w:pPr>
        <w:pStyle w:val="891"/>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jc w:val="both"/>
        <w:textAlignment w:val="auto"/>
        <w:outlineLvl w:val="9"/>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13CAC94">
      <w:pPr>
        <w:pStyle w:val="891"/>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jc w:val="both"/>
        <w:textAlignment w:val="auto"/>
        <w:outlineLvl w:val="9"/>
        <w:rPr>
          <w:color w:val="auto"/>
          <w:highlight w:val="none"/>
        </w:rPr>
      </w:pPr>
      <w:r>
        <w:rPr>
          <w:rFonts w:hint="eastAsia" w:hAnsi="宋体" w:cs="宋体"/>
          <w:color w:val="auto"/>
          <w:kern w:val="0"/>
          <w:sz w:val="24"/>
          <w:szCs w:val="24"/>
          <w:highlight w:val="none"/>
          <w:lang w:val="zh-CN"/>
        </w:rPr>
        <w:t>质疑函范本请到浙江政府采购网下载专区下载</w:t>
      </w:r>
      <w:r>
        <w:rPr>
          <w:rFonts w:hint="eastAsia"/>
          <w:color w:val="auto"/>
          <w:highlight w:val="none"/>
        </w:rPr>
        <w:t>。</w:t>
      </w:r>
    </w:p>
    <w:p w14:paraId="3FCA268B">
      <w:pPr>
        <w:pStyle w:val="891"/>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jc w:val="both"/>
        <w:textAlignment w:val="auto"/>
        <w:outlineLvl w:val="9"/>
        <w:rPr>
          <w:color w:val="auto"/>
          <w:highlight w:val="none"/>
        </w:rPr>
      </w:pPr>
      <w:r>
        <w:rPr>
          <w:rFonts w:hint="eastAsia"/>
          <w:color w:val="auto"/>
          <w:highlight w:val="none"/>
        </w:rPr>
        <w:t>4.3.4对同一采购程序环节的质疑，供应商须在法定质疑期内一次性提出。</w:t>
      </w:r>
    </w:p>
    <w:p w14:paraId="06B64F6D">
      <w:pPr>
        <w:pStyle w:val="891"/>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jc w:val="both"/>
        <w:textAlignment w:val="auto"/>
        <w:outlineLvl w:val="9"/>
        <w:rPr>
          <w:rFonts w:hint="eastAsia"/>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olor w:val="auto"/>
          <w:sz w:val="24"/>
          <w:highlight w:val="none"/>
        </w:rPr>
        <w:t>根据《</w:t>
      </w:r>
      <w:r>
        <w:rPr>
          <w:rFonts w:hint="eastAsia" w:asciiTheme="minorEastAsia" w:hAnsiTheme="minorEastAsia" w:eastAsiaTheme="minorEastAsia"/>
          <w:color w:val="auto"/>
          <w:sz w:val="24"/>
          <w:highlight w:val="none"/>
          <w:lang w:val="en-US" w:eastAsia="zh-CN"/>
        </w:rPr>
        <w:t>浙江省财政厅</w:t>
      </w:r>
      <w:r>
        <w:rPr>
          <w:rFonts w:hint="eastAsia" w:asciiTheme="minorEastAsia" w:hAnsiTheme="minorEastAsia" w:eastAsiaTheme="minorEastAsia"/>
          <w:color w:val="auto"/>
          <w:sz w:val="24"/>
          <w:highlight w:val="none"/>
        </w:rPr>
        <w:t>关于进一步加强政府采购公</w:t>
      </w:r>
      <w:r>
        <w:rPr>
          <w:rFonts w:hint="eastAsia" w:asciiTheme="minorEastAsia" w:hAnsiTheme="minorEastAsia" w:eastAsiaTheme="minorEastAsia"/>
          <w:color w:val="auto"/>
          <w:sz w:val="24"/>
          <w:highlight w:val="none"/>
          <w:lang w:val="en-US" w:eastAsia="zh-CN"/>
        </w:rPr>
        <w:t>平竞争打造最</w:t>
      </w:r>
      <w:r>
        <w:rPr>
          <w:rFonts w:hint="eastAsia" w:asciiTheme="minorEastAsia" w:hAnsiTheme="minorEastAsia" w:eastAsiaTheme="minorEastAsia"/>
          <w:color w:val="auto"/>
          <w:sz w:val="24"/>
          <w:highlight w:val="none"/>
        </w:rPr>
        <w:t>优营商环境的通知》（</w:t>
      </w:r>
      <w:r>
        <w:rPr>
          <w:rFonts w:hint="eastAsia" w:asciiTheme="minorEastAsia" w:hAnsiTheme="minorEastAsia" w:eastAsiaTheme="minorEastAsia"/>
          <w:color w:val="auto"/>
          <w:sz w:val="24"/>
          <w:highlight w:val="none"/>
          <w:lang w:val="en-US" w:eastAsia="zh-CN"/>
        </w:rPr>
        <w:t>浙</w:t>
      </w:r>
      <w:r>
        <w:rPr>
          <w:rFonts w:hint="eastAsia" w:asciiTheme="minorEastAsia" w:hAnsiTheme="minorEastAsia" w:eastAsiaTheme="minorEastAsia"/>
          <w:color w:val="auto"/>
          <w:sz w:val="24"/>
          <w:highlight w:val="none"/>
        </w:rPr>
        <w:t>财采监〔</w:t>
      </w:r>
      <w:r>
        <w:rPr>
          <w:rFonts w:asciiTheme="minorEastAsia" w:hAnsiTheme="minorEastAsia" w:eastAsiaTheme="minorEastAsia"/>
          <w:color w:val="auto"/>
          <w:sz w:val="24"/>
          <w:highlight w:val="none"/>
        </w:rPr>
        <w:t>2021〕</w:t>
      </w:r>
      <w:r>
        <w:rPr>
          <w:rFonts w:hint="eastAsia" w:asciiTheme="minorEastAsia" w:hAnsiTheme="minorEastAsia" w:eastAsiaTheme="minorEastAsia"/>
          <w:color w:val="auto"/>
          <w:sz w:val="24"/>
          <w:highlight w:val="none"/>
          <w:lang w:val="en-US" w:eastAsia="zh-CN"/>
        </w:rPr>
        <w:t>22</w:t>
      </w:r>
      <w:r>
        <w:rPr>
          <w:rFonts w:asciiTheme="minorEastAsia" w:hAnsiTheme="minorEastAsia" w:eastAsiaTheme="minorEastAsia"/>
          <w:color w:val="auto"/>
          <w:sz w:val="24"/>
          <w:highlight w:val="none"/>
        </w:rPr>
        <w:t>号）</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w:t>
      </w:r>
      <w:r>
        <w:rPr>
          <w:rFonts w:hint="eastAsia"/>
          <w:color w:val="auto"/>
          <w:highlight w:val="none"/>
          <w:lang w:val="en-US" w:eastAsia="zh-CN"/>
        </w:rPr>
        <w:t>质疑回复</w:t>
      </w:r>
      <w:r>
        <w:rPr>
          <w:rFonts w:hint="eastAsia"/>
          <w:color w:val="auto"/>
          <w:highlight w:val="none"/>
        </w:rPr>
        <w:t>公告”栏目公开质疑答复，答复内容应当完整。质疑函作为附件上传。</w:t>
      </w:r>
    </w:p>
    <w:p w14:paraId="41A20452">
      <w:pPr>
        <w:pStyle w:val="891"/>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jc w:val="both"/>
        <w:textAlignment w:val="auto"/>
        <w:outlineLvl w:val="9"/>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413236B4">
      <w:pPr>
        <w:pStyle w:val="891"/>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jc w:val="both"/>
        <w:textAlignment w:val="auto"/>
        <w:outlineLvl w:val="9"/>
        <w:rPr>
          <w:color w:val="auto"/>
          <w:highlight w:val="none"/>
          <w:lang w:val="zh-CN"/>
        </w:rPr>
      </w:pPr>
      <w:r>
        <w:rPr>
          <w:rFonts w:hint="eastAsia"/>
          <w:color w:val="auto"/>
          <w:highlight w:val="none"/>
          <w:lang w:val="zh-CN"/>
        </w:rPr>
        <w:t>4.4供应商投诉</w:t>
      </w:r>
    </w:p>
    <w:p w14:paraId="51414486">
      <w:pPr>
        <w:pStyle w:val="891"/>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jc w:val="both"/>
        <w:textAlignment w:val="auto"/>
        <w:outlineLvl w:val="9"/>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77650A52">
      <w:pPr>
        <w:pStyle w:val="891"/>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jc w:val="both"/>
        <w:textAlignment w:val="auto"/>
        <w:outlineLvl w:val="9"/>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50D74E4">
      <w:pPr>
        <w:pStyle w:val="891"/>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jc w:val="both"/>
        <w:textAlignment w:val="auto"/>
        <w:outlineLvl w:val="9"/>
        <w:rPr>
          <w:color w:val="auto"/>
          <w:highlight w:val="none"/>
        </w:rPr>
      </w:pPr>
      <w:r>
        <w:rPr>
          <w:rFonts w:hint="eastAsia"/>
          <w:color w:val="auto"/>
          <w:highlight w:val="none"/>
        </w:rPr>
        <w:t>4.4.3供应商投诉应当有明确的请求和必要的证明材料。</w:t>
      </w:r>
    </w:p>
    <w:p w14:paraId="4A486FCB">
      <w:pPr>
        <w:pStyle w:val="891"/>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jc w:val="both"/>
        <w:textAlignment w:val="auto"/>
        <w:outlineLvl w:val="9"/>
        <w:rPr>
          <w:color w:val="auto"/>
          <w:highlight w:val="none"/>
        </w:rPr>
      </w:pPr>
      <w:r>
        <w:rPr>
          <w:rFonts w:hint="eastAsia"/>
          <w:color w:val="auto"/>
          <w:highlight w:val="none"/>
        </w:rPr>
        <w:t>4.4.4以联合体形式参加政府采购活动的，其投诉应当由组成联合体的所有供应商共同提出。</w:t>
      </w:r>
    </w:p>
    <w:p w14:paraId="65D33518">
      <w:pPr>
        <w:pStyle w:val="891"/>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jc w:val="both"/>
        <w:textAlignment w:val="auto"/>
        <w:outlineLvl w:val="9"/>
        <w:rPr>
          <w:rFonts w:hint="default" w:eastAsia="宋体"/>
          <w:color w:val="auto"/>
          <w:highlight w:val="none"/>
          <w:lang w:val="en-US" w:eastAsia="zh-CN"/>
        </w:rPr>
      </w:pPr>
      <w:r>
        <w:rPr>
          <w:rFonts w:hint="eastAsia" w:asciiTheme="minorEastAsia" w:hAnsiTheme="minorEastAsia" w:eastAsiaTheme="minorEastAsia"/>
          <w:color w:val="auto"/>
          <w:highlight w:val="none"/>
        </w:rPr>
        <w:t>4.5.5</w:t>
      </w:r>
      <w:r>
        <w:rPr>
          <w:rFonts w:hint="eastAsia"/>
          <w:color w:val="auto"/>
          <w:highlight w:val="none"/>
        </w:rPr>
        <w:t>投诉材料可寄送至</w:t>
      </w:r>
      <w:r>
        <w:rPr>
          <w:rFonts w:hint="eastAsia"/>
          <w:color w:val="auto"/>
          <w:highlight w:val="none"/>
          <w:lang w:eastAsia="zh-CN"/>
        </w:rPr>
        <w:t>：宁波市政府采购管理办公室</w:t>
      </w:r>
      <w:r>
        <w:rPr>
          <w:rFonts w:hint="eastAsia"/>
          <w:color w:val="auto"/>
          <w:highlight w:val="none"/>
        </w:rPr>
        <w:t>，地址：宁波市海曙区中山西路19号，收件人：</w:t>
      </w:r>
      <w:r>
        <w:rPr>
          <w:rFonts w:hint="eastAsia"/>
          <w:color w:val="auto"/>
          <w:highlight w:val="none"/>
          <w:lang w:val="en-US" w:eastAsia="zh-CN"/>
        </w:rPr>
        <w:t>张</w:t>
      </w:r>
      <w:r>
        <w:rPr>
          <w:rFonts w:hint="eastAsia"/>
          <w:color w:val="auto"/>
          <w:highlight w:val="none"/>
        </w:rPr>
        <w:t>老师，电话：0574-89388399</w:t>
      </w:r>
      <w:r>
        <w:rPr>
          <w:rFonts w:hint="eastAsia"/>
          <w:color w:val="auto"/>
          <w:highlight w:val="none"/>
          <w:lang w:val="en-US" w:eastAsia="zh-CN"/>
        </w:rPr>
        <w:t xml:space="preserve">  </w:t>
      </w:r>
    </w:p>
    <w:p w14:paraId="6BD54935">
      <w:pPr>
        <w:pStyle w:val="891"/>
        <w:pageBreakBefore w:val="0"/>
        <w:shd w:val="clear" w:color="auto" w:fill="FFFFFF"/>
        <w:kinsoku/>
        <w:wordWrap/>
        <w:overflowPunct/>
        <w:topLinePunct w:val="0"/>
        <w:bidi w:val="0"/>
        <w:adjustRightInd/>
        <w:snapToGrid/>
        <w:spacing w:before="0" w:beforeAutospacing="0" w:after="0" w:afterAutospacing="0" w:line="360" w:lineRule="auto"/>
        <w:ind w:left="0" w:leftChars="0" w:firstLine="480" w:firstLineChars="200"/>
        <w:contextualSpacing/>
        <w:jc w:val="both"/>
        <w:textAlignment w:val="auto"/>
        <w:outlineLvl w:val="9"/>
        <w:rPr>
          <w:color w:val="auto"/>
          <w:highlight w:val="none"/>
        </w:rPr>
      </w:pPr>
      <w:r>
        <w:rPr>
          <w:rFonts w:hint="eastAsia" w:hAnsi="宋体" w:cs="宋体"/>
          <w:color w:val="auto"/>
          <w:kern w:val="0"/>
          <w:sz w:val="24"/>
          <w:szCs w:val="24"/>
          <w:highlight w:val="none"/>
        </w:rPr>
        <w:t>投诉书范本请到浙江政府采购网下载专区下载</w:t>
      </w:r>
      <w:r>
        <w:rPr>
          <w:rFonts w:hint="eastAsia"/>
          <w:color w:val="auto"/>
          <w:highlight w:val="none"/>
        </w:rPr>
        <w:t>。</w:t>
      </w:r>
    </w:p>
    <w:p w14:paraId="081F4DE9">
      <w:pPr>
        <w:pStyle w:val="134"/>
        <w:pageBreakBefore w:val="0"/>
        <w:kinsoku/>
        <w:wordWrap/>
        <w:overflowPunct/>
        <w:topLinePunct w:val="0"/>
        <w:bidi w:val="0"/>
        <w:adjustRightInd/>
        <w:snapToGrid/>
        <w:spacing w:before="0" w:beforeAutospacing="0" w:line="360" w:lineRule="auto"/>
        <w:ind w:left="0" w:leftChars="0" w:firstLine="360" w:firstLineChars="200"/>
        <w:jc w:val="both"/>
        <w:textAlignment w:val="auto"/>
        <w:outlineLvl w:val="9"/>
        <w:rPr>
          <w:rFonts w:ascii="宋体" w:hAnsi="宋体" w:cs="宋体"/>
          <w:color w:val="auto"/>
          <w:sz w:val="18"/>
          <w:szCs w:val="18"/>
          <w:highlight w:val="none"/>
        </w:rPr>
      </w:pPr>
    </w:p>
    <w:p w14:paraId="2955C413">
      <w:pPr>
        <w:pageBreakBefore w:val="0"/>
        <w:kinsoku/>
        <w:wordWrap/>
        <w:overflowPunct/>
        <w:topLinePunct w:val="0"/>
        <w:bidi w:val="0"/>
        <w:adjustRightInd/>
        <w:snapToGrid/>
        <w:spacing w:beforeAutospacing="0" w:line="360" w:lineRule="auto"/>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1CB2CB4A">
      <w:pPr>
        <w:pStyle w:val="33"/>
        <w:pageBreakBefore w:val="0"/>
        <w:kinsoku/>
        <w:wordWrap/>
        <w:overflowPunct/>
        <w:topLinePunct w:val="0"/>
        <w:bidi w:val="0"/>
        <w:adjustRightInd/>
        <w:snapToGrid/>
        <w:spacing w:beforeAutospacing="0" w:line="360" w:lineRule="auto"/>
        <w:ind w:firstLine="482" w:firstLineChars="200"/>
        <w:jc w:val="both"/>
        <w:textAlignment w:val="auto"/>
        <w:outlineLvl w:val="9"/>
        <w:rPr>
          <w:rFonts w:hAnsi="宋体" w:cs="宋体"/>
          <w:b/>
          <w:color w:val="auto"/>
          <w:sz w:val="24"/>
          <w:szCs w:val="24"/>
          <w:highlight w:val="none"/>
        </w:rPr>
      </w:pPr>
      <w:r>
        <w:rPr>
          <w:rFonts w:hint="eastAsia" w:hAnsi="宋体" w:cs="宋体"/>
          <w:b/>
          <w:color w:val="auto"/>
          <w:sz w:val="24"/>
          <w:szCs w:val="24"/>
          <w:highlight w:val="none"/>
        </w:rPr>
        <w:t>5</w:t>
      </w:r>
      <w:r>
        <w:rPr>
          <w:rFonts w:hint="eastAsia" w:hAnsi="宋体" w:cs="宋体"/>
          <w:b/>
          <w:color w:val="auto"/>
          <w:sz w:val="24"/>
          <w:szCs w:val="24"/>
          <w:highlight w:val="none"/>
          <w:lang w:val="en-US" w:eastAsia="zh-CN"/>
        </w:rPr>
        <w:t>.</w:t>
      </w:r>
      <w:r>
        <w:rPr>
          <w:rFonts w:hint="eastAsia" w:hAnsi="宋体" w:cs="宋体"/>
          <w:b/>
          <w:color w:val="auto"/>
          <w:sz w:val="24"/>
          <w:szCs w:val="24"/>
          <w:highlight w:val="none"/>
        </w:rPr>
        <w:t>采购文件的构成</w:t>
      </w:r>
    </w:p>
    <w:p w14:paraId="4CCEA393">
      <w:pPr>
        <w:pStyle w:val="33"/>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32BAAAC4">
      <w:pPr>
        <w:pStyle w:val="33"/>
        <w:pageBreakBefore w:val="0"/>
        <w:tabs>
          <w:tab w:val="left" w:pos="840"/>
        </w:tabs>
        <w:kinsoku/>
        <w:wordWrap/>
        <w:overflowPunct/>
        <w:topLinePunct w:val="0"/>
        <w:bidi w:val="0"/>
        <w:adjustRightInd/>
        <w:snapToGrid/>
        <w:spacing w:beforeAutospacing="0" w:line="360" w:lineRule="auto"/>
        <w:ind w:left="0" w:leftChars="0" w:firstLine="480" w:firstLineChars="200"/>
        <w:jc w:val="both"/>
        <w:textAlignment w:val="auto"/>
        <w:outlineLvl w:val="9"/>
        <w:rPr>
          <w:rFonts w:hAnsi="宋体" w:cs="宋体"/>
          <w:color w:val="auto"/>
          <w:sz w:val="24"/>
          <w:szCs w:val="24"/>
          <w:highlight w:val="none"/>
        </w:rPr>
      </w:pPr>
      <w:r>
        <w:rPr>
          <w:rFonts w:hint="eastAsia" w:hAnsi="宋体" w:cs="宋体"/>
          <w:color w:val="auto"/>
          <w:sz w:val="24"/>
          <w:szCs w:val="24"/>
          <w:highlight w:val="none"/>
        </w:rPr>
        <w:t>5.1.1竞争性磋商公告；</w:t>
      </w:r>
    </w:p>
    <w:p w14:paraId="39B12E4A">
      <w:pPr>
        <w:pStyle w:val="33"/>
        <w:pageBreakBefore w:val="0"/>
        <w:tabs>
          <w:tab w:val="left" w:pos="840"/>
        </w:tabs>
        <w:kinsoku/>
        <w:wordWrap/>
        <w:overflowPunct/>
        <w:topLinePunct w:val="0"/>
        <w:bidi w:val="0"/>
        <w:adjustRightInd/>
        <w:snapToGrid/>
        <w:spacing w:beforeAutospacing="0" w:line="360" w:lineRule="auto"/>
        <w:ind w:left="0" w:leftChars="0" w:firstLine="480" w:firstLineChars="200"/>
        <w:jc w:val="both"/>
        <w:textAlignment w:val="auto"/>
        <w:outlineLvl w:val="9"/>
        <w:rPr>
          <w:rFonts w:hAnsi="宋体" w:cs="宋体"/>
          <w:color w:val="auto"/>
          <w:sz w:val="24"/>
          <w:szCs w:val="24"/>
          <w:highlight w:val="none"/>
        </w:rPr>
      </w:pPr>
      <w:r>
        <w:rPr>
          <w:rFonts w:hint="eastAsia" w:hAnsi="宋体" w:cs="宋体"/>
          <w:color w:val="auto"/>
          <w:sz w:val="24"/>
          <w:szCs w:val="24"/>
          <w:highlight w:val="none"/>
        </w:rPr>
        <w:t>5.1.2供应商须知；</w:t>
      </w:r>
    </w:p>
    <w:p w14:paraId="704EECFE">
      <w:pPr>
        <w:pStyle w:val="33"/>
        <w:pageBreakBefore w:val="0"/>
        <w:tabs>
          <w:tab w:val="left" w:pos="840"/>
        </w:tabs>
        <w:kinsoku/>
        <w:wordWrap/>
        <w:overflowPunct/>
        <w:topLinePunct w:val="0"/>
        <w:bidi w:val="0"/>
        <w:adjustRightInd/>
        <w:snapToGrid/>
        <w:spacing w:beforeAutospacing="0" w:line="360" w:lineRule="auto"/>
        <w:ind w:left="0" w:leftChars="0" w:firstLine="480" w:firstLineChars="200"/>
        <w:jc w:val="both"/>
        <w:textAlignment w:val="auto"/>
        <w:outlineLvl w:val="9"/>
        <w:rPr>
          <w:rFonts w:hAnsi="宋体" w:cs="宋体"/>
          <w:color w:val="auto"/>
          <w:sz w:val="24"/>
          <w:szCs w:val="24"/>
          <w:highlight w:val="none"/>
        </w:rPr>
      </w:pPr>
      <w:r>
        <w:rPr>
          <w:rFonts w:hint="eastAsia" w:hAnsi="宋体" w:cs="宋体"/>
          <w:color w:val="auto"/>
          <w:sz w:val="24"/>
          <w:szCs w:val="24"/>
          <w:highlight w:val="none"/>
        </w:rPr>
        <w:t>5.1.3采购需求；</w:t>
      </w:r>
    </w:p>
    <w:p w14:paraId="56CA04B3">
      <w:pPr>
        <w:pStyle w:val="33"/>
        <w:pageBreakBefore w:val="0"/>
        <w:tabs>
          <w:tab w:val="left" w:pos="840"/>
        </w:tabs>
        <w:kinsoku/>
        <w:wordWrap/>
        <w:overflowPunct/>
        <w:topLinePunct w:val="0"/>
        <w:bidi w:val="0"/>
        <w:adjustRightInd/>
        <w:snapToGrid/>
        <w:spacing w:beforeAutospacing="0" w:line="360" w:lineRule="auto"/>
        <w:ind w:left="0" w:leftChars="0" w:firstLine="480" w:firstLineChars="200"/>
        <w:jc w:val="both"/>
        <w:textAlignment w:val="auto"/>
        <w:outlineLvl w:val="9"/>
        <w:rPr>
          <w:rFonts w:hAnsi="宋体" w:cs="宋体"/>
          <w:color w:val="auto"/>
          <w:sz w:val="24"/>
          <w:szCs w:val="24"/>
          <w:highlight w:val="none"/>
        </w:rPr>
      </w:pPr>
      <w:r>
        <w:rPr>
          <w:rFonts w:hint="eastAsia" w:hAnsi="宋体" w:cs="宋体"/>
          <w:color w:val="auto"/>
          <w:sz w:val="24"/>
          <w:szCs w:val="24"/>
          <w:highlight w:val="none"/>
        </w:rPr>
        <w:t>5.1.4评审办法；</w:t>
      </w:r>
    </w:p>
    <w:p w14:paraId="09467EDF">
      <w:pPr>
        <w:pStyle w:val="33"/>
        <w:pageBreakBefore w:val="0"/>
        <w:tabs>
          <w:tab w:val="left" w:pos="840"/>
        </w:tabs>
        <w:kinsoku/>
        <w:wordWrap/>
        <w:overflowPunct/>
        <w:topLinePunct w:val="0"/>
        <w:bidi w:val="0"/>
        <w:adjustRightInd/>
        <w:snapToGrid/>
        <w:spacing w:beforeAutospacing="0" w:line="360" w:lineRule="auto"/>
        <w:ind w:left="0" w:leftChars="0" w:firstLine="480" w:firstLineChars="200"/>
        <w:jc w:val="both"/>
        <w:textAlignment w:val="auto"/>
        <w:outlineLvl w:val="9"/>
        <w:rPr>
          <w:rFonts w:hAnsi="宋体" w:cs="宋体"/>
          <w:color w:val="auto"/>
          <w:sz w:val="24"/>
          <w:szCs w:val="24"/>
          <w:highlight w:val="none"/>
        </w:rPr>
      </w:pPr>
      <w:r>
        <w:rPr>
          <w:rFonts w:hint="eastAsia" w:hAnsi="宋体" w:cs="宋体"/>
          <w:color w:val="auto"/>
          <w:sz w:val="24"/>
          <w:szCs w:val="24"/>
          <w:highlight w:val="none"/>
        </w:rPr>
        <w:t>5.1.5拟签订的合同文本；</w:t>
      </w:r>
    </w:p>
    <w:p w14:paraId="43E4E260">
      <w:pPr>
        <w:pStyle w:val="33"/>
        <w:pageBreakBefore w:val="0"/>
        <w:tabs>
          <w:tab w:val="left" w:pos="840"/>
        </w:tabs>
        <w:kinsoku/>
        <w:wordWrap/>
        <w:overflowPunct/>
        <w:topLinePunct w:val="0"/>
        <w:bidi w:val="0"/>
        <w:adjustRightInd/>
        <w:snapToGrid/>
        <w:spacing w:beforeAutospacing="0" w:line="360" w:lineRule="auto"/>
        <w:ind w:left="0" w:leftChars="0" w:firstLine="480" w:firstLineChars="200"/>
        <w:jc w:val="both"/>
        <w:textAlignment w:val="auto"/>
        <w:outlineLvl w:val="9"/>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3958236">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778C2573">
      <w:pPr>
        <w:pStyle w:val="33"/>
        <w:pageBreakBefore w:val="0"/>
        <w:kinsoku/>
        <w:wordWrap/>
        <w:overflowPunct/>
        <w:topLinePunct w:val="0"/>
        <w:bidi w:val="0"/>
        <w:adjustRightInd/>
        <w:snapToGrid/>
        <w:spacing w:beforeAutospacing="0" w:line="360" w:lineRule="auto"/>
        <w:ind w:firstLine="482" w:firstLineChars="200"/>
        <w:jc w:val="both"/>
        <w:textAlignment w:val="auto"/>
        <w:outlineLvl w:val="9"/>
        <w:rPr>
          <w:rFonts w:hAnsi="宋体" w:cs="宋体"/>
          <w:b/>
          <w:color w:val="auto"/>
          <w:sz w:val="24"/>
          <w:szCs w:val="24"/>
          <w:highlight w:val="none"/>
        </w:rPr>
      </w:pPr>
      <w:r>
        <w:rPr>
          <w:rFonts w:hint="eastAsia" w:hAnsi="宋体" w:cs="宋体"/>
          <w:b/>
          <w:color w:val="auto"/>
          <w:sz w:val="24"/>
          <w:szCs w:val="24"/>
          <w:highlight w:val="none"/>
        </w:rPr>
        <w:t>6.采购文件的澄清、修改</w:t>
      </w:r>
    </w:p>
    <w:p w14:paraId="003391C9">
      <w:pPr>
        <w:pStyle w:val="134"/>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16767E96">
      <w:pPr>
        <w:pStyle w:val="134"/>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68B079E9">
      <w:pPr>
        <w:pStyle w:val="23"/>
        <w:pageBreakBefore w:val="0"/>
        <w:kinsoku/>
        <w:wordWrap/>
        <w:overflowPunct/>
        <w:topLinePunct w:val="0"/>
        <w:bidi w:val="0"/>
        <w:adjustRightInd/>
        <w:snapToGrid/>
        <w:spacing w:beforeAutospacing="0" w:line="360" w:lineRule="auto"/>
        <w:ind w:left="0" w:leftChars="0" w:firstLine="360" w:firstLineChars="200"/>
        <w:jc w:val="both"/>
        <w:textAlignment w:val="auto"/>
        <w:outlineLvl w:val="9"/>
        <w:rPr>
          <w:rFonts w:hAnsi="宋体" w:cs="宋体"/>
          <w:color w:val="auto"/>
          <w:sz w:val="18"/>
          <w:szCs w:val="18"/>
          <w:highlight w:val="none"/>
          <w:lang w:val="en-US"/>
        </w:rPr>
      </w:pPr>
    </w:p>
    <w:p w14:paraId="436D5E2A">
      <w:pPr>
        <w:pageBreakBefore w:val="0"/>
        <w:kinsoku/>
        <w:wordWrap/>
        <w:overflowPunct/>
        <w:topLinePunct w:val="0"/>
        <w:bidi w:val="0"/>
        <w:adjustRightInd/>
        <w:snapToGrid/>
        <w:spacing w:beforeAutospacing="0" w:line="360" w:lineRule="auto"/>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12208B94">
      <w:pPr>
        <w:pStyle w:val="33"/>
        <w:pageBreakBefore w:val="0"/>
        <w:kinsoku/>
        <w:wordWrap/>
        <w:overflowPunct/>
        <w:topLinePunct w:val="0"/>
        <w:bidi w:val="0"/>
        <w:adjustRightInd/>
        <w:snapToGrid/>
        <w:spacing w:beforeAutospacing="0" w:line="360" w:lineRule="auto"/>
        <w:ind w:firstLine="482" w:firstLineChars="200"/>
        <w:jc w:val="both"/>
        <w:textAlignment w:val="auto"/>
        <w:outlineLvl w:val="9"/>
        <w:rPr>
          <w:rFonts w:hAnsi="宋体" w:cs="宋体"/>
          <w:b/>
          <w:color w:val="auto"/>
          <w:sz w:val="24"/>
          <w:szCs w:val="24"/>
          <w:highlight w:val="none"/>
        </w:rPr>
      </w:pPr>
      <w:r>
        <w:rPr>
          <w:rFonts w:hint="eastAsia" w:hAnsi="宋体" w:cs="宋体"/>
          <w:b/>
          <w:color w:val="auto"/>
          <w:sz w:val="24"/>
          <w:szCs w:val="24"/>
          <w:highlight w:val="none"/>
        </w:rPr>
        <w:t>7.采购文件的获取</w:t>
      </w:r>
    </w:p>
    <w:p w14:paraId="24E4A4FE">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7FCE66C9">
      <w:pPr>
        <w:pStyle w:val="33"/>
        <w:pageBreakBefore w:val="0"/>
        <w:kinsoku/>
        <w:wordWrap/>
        <w:overflowPunct/>
        <w:topLinePunct w:val="0"/>
        <w:bidi w:val="0"/>
        <w:adjustRightInd/>
        <w:snapToGrid/>
        <w:spacing w:beforeAutospacing="0" w:line="360" w:lineRule="auto"/>
        <w:ind w:firstLine="482" w:firstLineChars="200"/>
        <w:jc w:val="both"/>
        <w:textAlignment w:val="auto"/>
        <w:outlineLvl w:val="9"/>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22474D62">
      <w:pPr>
        <w:pStyle w:val="33"/>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457D4B0C">
      <w:pPr>
        <w:pStyle w:val="33"/>
        <w:pageBreakBefore w:val="0"/>
        <w:kinsoku/>
        <w:wordWrap/>
        <w:overflowPunct/>
        <w:topLinePunct w:val="0"/>
        <w:bidi w:val="0"/>
        <w:adjustRightInd/>
        <w:snapToGrid/>
        <w:spacing w:beforeAutospacing="0" w:line="360" w:lineRule="auto"/>
        <w:ind w:firstLine="482" w:firstLineChars="200"/>
        <w:jc w:val="both"/>
        <w:textAlignment w:val="auto"/>
        <w:outlineLvl w:val="9"/>
        <w:rPr>
          <w:rFonts w:hAnsi="宋体" w:cs="宋体"/>
          <w:b/>
          <w:color w:val="auto"/>
          <w:szCs w:val="24"/>
          <w:highlight w:val="none"/>
        </w:rPr>
      </w:pPr>
      <w:r>
        <w:rPr>
          <w:rFonts w:hint="eastAsia" w:hAnsi="宋体" w:cs="宋体"/>
          <w:b/>
          <w:color w:val="auto"/>
          <w:kern w:val="28"/>
          <w:sz w:val="24"/>
          <w:szCs w:val="24"/>
          <w:highlight w:val="none"/>
        </w:rPr>
        <w:t>9.磋商保证金</w:t>
      </w:r>
    </w:p>
    <w:p w14:paraId="4ECC1F5B">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Ansi="宋体" w:cs="宋体"/>
          <w:color w:val="auto"/>
          <w:sz w:val="24"/>
          <w:highlight w:val="none"/>
        </w:rPr>
      </w:pPr>
      <w:r>
        <w:rPr>
          <w:rFonts w:hint="eastAsia" w:hAnsi="宋体" w:cs="宋体"/>
          <w:color w:val="auto"/>
          <w:sz w:val="24"/>
          <w:highlight w:val="none"/>
        </w:rPr>
        <w:t>本项目不需缴纳磋商保证金。</w:t>
      </w:r>
    </w:p>
    <w:p w14:paraId="669775E0">
      <w:pPr>
        <w:pStyle w:val="33"/>
        <w:pageBreakBefore w:val="0"/>
        <w:kinsoku/>
        <w:wordWrap/>
        <w:overflowPunct/>
        <w:topLinePunct w:val="0"/>
        <w:bidi w:val="0"/>
        <w:adjustRightInd/>
        <w:snapToGrid/>
        <w:spacing w:beforeAutospacing="0" w:line="360" w:lineRule="auto"/>
        <w:ind w:firstLine="482" w:firstLineChars="200"/>
        <w:jc w:val="both"/>
        <w:textAlignment w:val="auto"/>
        <w:outlineLvl w:val="9"/>
        <w:rPr>
          <w:rFonts w:hAnsi="宋体" w:cs="宋体"/>
          <w:b/>
          <w:color w:val="auto"/>
          <w:sz w:val="24"/>
          <w:szCs w:val="24"/>
          <w:highlight w:val="none"/>
        </w:rPr>
      </w:pPr>
      <w:r>
        <w:rPr>
          <w:rFonts w:hint="eastAsia" w:hAnsi="宋体" w:cs="宋体"/>
          <w:b/>
          <w:color w:val="auto"/>
          <w:sz w:val="24"/>
          <w:szCs w:val="24"/>
          <w:highlight w:val="none"/>
        </w:rPr>
        <w:t>10.响应文件的语言</w:t>
      </w:r>
    </w:p>
    <w:p w14:paraId="76209D96">
      <w:pPr>
        <w:pageBreakBefore w:val="0"/>
        <w:kinsoku/>
        <w:wordWrap/>
        <w:overflowPunct/>
        <w:topLinePunct w:val="0"/>
        <w:autoSpaceDE w:val="0"/>
        <w:autoSpaceDN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60D475C0">
      <w:pPr>
        <w:pStyle w:val="33"/>
        <w:pageBreakBefore w:val="0"/>
        <w:kinsoku/>
        <w:wordWrap/>
        <w:overflowPunct/>
        <w:topLinePunct w:val="0"/>
        <w:bidi w:val="0"/>
        <w:adjustRightInd/>
        <w:snapToGrid/>
        <w:spacing w:beforeAutospacing="0" w:line="360" w:lineRule="auto"/>
        <w:ind w:firstLine="482" w:firstLineChars="200"/>
        <w:jc w:val="both"/>
        <w:textAlignment w:val="auto"/>
        <w:outlineLvl w:val="9"/>
        <w:rPr>
          <w:rFonts w:hAnsi="宋体" w:cs="宋体"/>
          <w:b/>
          <w:color w:val="auto"/>
          <w:sz w:val="24"/>
          <w:szCs w:val="24"/>
          <w:highlight w:val="none"/>
        </w:rPr>
      </w:pPr>
      <w:r>
        <w:rPr>
          <w:rFonts w:hint="eastAsia" w:hAnsi="宋体" w:cs="宋体"/>
          <w:b/>
          <w:color w:val="auto"/>
          <w:sz w:val="24"/>
          <w:szCs w:val="24"/>
          <w:highlight w:val="none"/>
        </w:rPr>
        <w:t>11.响应文件的组成</w:t>
      </w:r>
    </w:p>
    <w:p w14:paraId="6FAD46D8">
      <w:pPr>
        <w:pageBreakBefore w:val="0"/>
        <w:kinsoku/>
        <w:wordWrap/>
        <w:overflowPunct/>
        <w:topLinePunct w:val="0"/>
        <w:bidi w:val="0"/>
        <w:adjustRightInd/>
        <w:snapToGrid/>
        <w:spacing w:beforeAutospacing="0" w:line="360" w:lineRule="auto"/>
        <w:ind w:left="0" w:leftChars="0" w:firstLine="482" w:firstLineChars="200"/>
        <w:jc w:val="both"/>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11.1资格文件：</w:t>
      </w:r>
    </w:p>
    <w:p w14:paraId="0B5E4EF4">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11.1.1有效的企业法人营业执照（或事业法人登记证）、其他组织（个体工商户）的营业执照或者民办非企业单位登记证书</w:t>
      </w:r>
      <w:r>
        <w:rPr>
          <w:rFonts w:hint="eastAsia" w:ascii="宋体" w:hAnsi="宋体" w:cs="宋体"/>
          <w:color w:val="auto"/>
          <w:sz w:val="24"/>
          <w:highlight w:val="none"/>
          <w:lang w:val="en-US" w:eastAsia="zh-CN"/>
        </w:rPr>
        <w:t>。</w:t>
      </w:r>
    </w:p>
    <w:p w14:paraId="21CF34CA">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lang w:val="en-US" w:eastAsia="zh-CN"/>
        </w:rPr>
        <w:t>11.1.2</w:t>
      </w:r>
      <w:r>
        <w:rPr>
          <w:rFonts w:hint="eastAsia" w:ascii="宋体" w:hAnsi="宋体" w:cs="宋体"/>
          <w:color w:val="auto"/>
          <w:sz w:val="24"/>
          <w:highlight w:val="none"/>
        </w:rPr>
        <w:t>符合参加政府采购活动应当具备的一般条件的承诺函；</w:t>
      </w:r>
    </w:p>
    <w:p w14:paraId="4333A21D">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w:t>
      </w:r>
    </w:p>
    <w:p w14:paraId="0BED80D5">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本项目专门面向中小企业采购（监狱企业及残疾人福利性单位视同小型、微型企业）</w:t>
      </w:r>
    </w:p>
    <w:p w14:paraId="359DCBF2">
      <w:pPr>
        <w:pageBreakBefore w:val="0"/>
        <w:numPr>
          <w:ilvl w:val="0"/>
          <w:numId w:val="1"/>
        </w:numPr>
        <w:kinsoku/>
        <w:wordWrap/>
        <w:overflowPunct/>
        <w:topLinePunct w:val="0"/>
        <w:bidi w:val="0"/>
        <w:adjustRightInd/>
        <w:snapToGrid/>
        <w:spacing w:beforeAutospacing="0" w:line="360" w:lineRule="auto"/>
        <w:ind w:left="0" w:leftChars="0" w:firstLine="480" w:firstLineChars="200"/>
        <w:jc w:val="both"/>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中小企业声明函（如是，请提供）；</w:t>
      </w:r>
    </w:p>
    <w:p w14:paraId="15EBCFA7">
      <w:pPr>
        <w:pageBreakBefore w:val="0"/>
        <w:numPr>
          <w:ilvl w:val="0"/>
          <w:numId w:val="2"/>
        </w:numPr>
        <w:kinsoku/>
        <w:wordWrap/>
        <w:overflowPunct/>
        <w:topLinePunct w:val="0"/>
        <w:bidi w:val="0"/>
        <w:adjustRightInd/>
        <w:snapToGrid/>
        <w:spacing w:beforeAutospacing="0" w:line="360" w:lineRule="auto"/>
        <w:ind w:left="0" w:leftChars="0" w:firstLine="480" w:firstLineChars="200"/>
        <w:jc w:val="both"/>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供应商为监狱企业的证明文件：省级以上监狱管理局、戒毒管理局（含新疆生产建设兵团）出具（如是，请提供）；</w:t>
      </w:r>
    </w:p>
    <w:p w14:paraId="0A43CBA5">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 xml:space="preserve">（3）残疾人福利性单位声明函（如是，请提供）。 </w:t>
      </w:r>
    </w:p>
    <w:p w14:paraId="54E75ED6">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w:t>
      </w:r>
    </w:p>
    <w:p w14:paraId="1173823D">
      <w:pPr>
        <w:pageBreakBefore w:val="0"/>
        <w:numPr>
          <w:ilvl w:val="0"/>
          <w:numId w:val="0"/>
        </w:numPr>
        <w:kinsoku/>
        <w:wordWrap/>
        <w:overflowPunct/>
        <w:topLinePunct w:val="0"/>
        <w:bidi w:val="0"/>
        <w:adjustRightInd/>
        <w:snapToGrid/>
        <w:spacing w:beforeAutospacing="0" w:line="360" w:lineRule="auto"/>
        <w:ind w:left="0" w:leftChars="0" w:firstLine="480" w:firstLineChars="200"/>
        <w:jc w:val="both"/>
        <w:textAlignment w:val="auto"/>
        <w:outlineLvl w:val="9"/>
        <w:rPr>
          <w:rFonts w:hint="eastAsia" w:ascii="宋体" w:hAnsi="宋体" w:cs="宋体"/>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sz w:val="24"/>
          <w:highlight w:val="none"/>
          <w:lang w:eastAsia="zh-CN"/>
        </w:rPr>
        <w:t>供应商</w:t>
      </w:r>
      <w:r>
        <w:rPr>
          <w:rFonts w:hint="eastAsia" w:ascii="宋体" w:hAnsi="宋体" w:cs="宋体"/>
          <w:color w:val="auto"/>
          <w:sz w:val="24"/>
          <w:highlight w:val="none"/>
          <w:lang w:val="en-US" w:eastAsia="zh-CN"/>
        </w:rPr>
        <w:t>提供有效</w:t>
      </w:r>
      <w:r>
        <w:rPr>
          <w:rFonts w:hint="eastAsia" w:ascii="宋体" w:hAnsi="宋体" w:cs="宋体"/>
          <w:color w:val="auto"/>
          <w:sz w:val="24"/>
          <w:highlight w:val="none"/>
          <w:lang w:eastAsia="zh-CN"/>
        </w:rPr>
        <w:t>建筑工程施工总承包</w:t>
      </w:r>
      <w:r>
        <w:rPr>
          <w:rFonts w:hint="eastAsia" w:ascii="宋体" w:hAnsi="宋体" w:cs="宋体"/>
          <w:color w:val="auto"/>
          <w:sz w:val="24"/>
          <w:highlight w:val="none"/>
          <w:lang w:val="en-US" w:eastAsia="zh-CN"/>
        </w:rPr>
        <w:t>三级</w:t>
      </w:r>
      <w:r>
        <w:rPr>
          <w:rFonts w:hint="eastAsia" w:ascii="宋体" w:hAnsi="宋体" w:cs="宋体"/>
          <w:color w:val="auto"/>
          <w:sz w:val="24"/>
          <w:highlight w:val="none"/>
          <w:lang w:eastAsia="zh-CN"/>
        </w:rPr>
        <w:t>及以上</w:t>
      </w:r>
      <w:r>
        <w:rPr>
          <w:rFonts w:hint="eastAsia" w:ascii="宋体" w:hAnsi="宋体" w:cs="宋体"/>
          <w:color w:val="auto"/>
          <w:sz w:val="24"/>
          <w:highlight w:val="none"/>
          <w:lang w:val="en-US" w:eastAsia="zh-CN"/>
        </w:rPr>
        <w:t>资质证书复印件；</w:t>
      </w:r>
    </w:p>
    <w:p w14:paraId="12CB2CC4">
      <w:pPr>
        <w:pageBreakBefore w:val="0"/>
        <w:numPr>
          <w:ilvl w:val="0"/>
          <w:numId w:val="0"/>
        </w:numPr>
        <w:kinsoku/>
        <w:wordWrap/>
        <w:overflowPunct/>
        <w:topLinePunct w:val="0"/>
        <w:bidi w:val="0"/>
        <w:adjustRightInd/>
        <w:snapToGrid/>
        <w:spacing w:beforeAutospacing="0" w:line="360" w:lineRule="auto"/>
        <w:ind w:left="0" w:leftChars="0" w:firstLine="480" w:firstLineChars="200"/>
        <w:jc w:val="both"/>
        <w:textAlignment w:val="auto"/>
        <w:outlineLvl w:val="9"/>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sz w:val="24"/>
          <w:highlight w:val="none"/>
          <w:lang w:val="en-US" w:eastAsia="zh-CN"/>
        </w:rPr>
        <w:t>提供</w:t>
      </w:r>
      <w:r>
        <w:rPr>
          <w:rFonts w:hint="eastAsia" w:ascii="宋体" w:hAnsi="宋体" w:cs="宋体"/>
          <w:color w:val="auto"/>
          <w:sz w:val="24"/>
          <w:highlight w:val="none"/>
          <w:lang w:eastAsia="zh-CN"/>
        </w:rPr>
        <w:t>有效的安全生产许可证</w:t>
      </w:r>
      <w:r>
        <w:rPr>
          <w:rFonts w:hint="eastAsia" w:ascii="宋体" w:hAnsi="宋体" w:cs="宋体"/>
          <w:color w:val="auto"/>
          <w:sz w:val="24"/>
          <w:highlight w:val="none"/>
          <w:lang w:val="en-US" w:eastAsia="zh-CN"/>
        </w:rPr>
        <w:t>复印件。</w:t>
      </w:r>
    </w:p>
    <w:p w14:paraId="3E44E746">
      <w:pPr>
        <w:pageBreakBefore w:val="0"/>
        <w:kinsoku/>
        <w:wordWrap/>
        <w:overflowPunct/>
        <w:topLinePunct w:val="0"/>
        <w:bidi w:val="0"/>
        <w:adjustRightInd/>
        <w:snapToGrid/>
        <w:spacing w:beforeAutospacing="0" w:line="360" w:lineRule="auto"/>
        <w:ind w:left="0" w:leftChars="0" w:firstLine="482" w:firstLineChars="200"/>
        <w:jc w:val="both"/>
        <w:textAlignment w:val="auto"/>
        <w:outlineLvl w:val="9"/>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14:paraId="0982B3FC">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0331DADD">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77033B">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11.2.3分包意向协议（如有)；</w:t>
      </w:r>
    </w:p>
    <w:p w14:paraId="4A4BDC72">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11.2.4符合性审查资料；</w:t>
      </w:r>
    </w:p>
    <w:p w14:paraId="028BF1B9">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14:paraId="24E16EF2">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11.2.6商务技术偏离表；</w:t>
      </w:r>
    </w:p>
    <w:p w14:paraId="594FD4D1">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7项目管理机构；</w:t>
      </w:r>
    </w:p>
    <w:p w14:paraId="1E7A8904">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8项目经理无在建项目承诺书；</w:t>
      </w:r>
    </w:p>
    <w:p w14:paraId="044565FD">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9施工组织设计；</w:t>
      </w:r>
    </w:p>
    <w:p w14:paraId="52AF7EB3">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val="zh-CN"/>
        </w:rPr>
        <w:t>政府采购供应商廉洁自律承诺书；</w:t>
      </w:r>
    </w:p>
    <w:p w14:paraId="727B8F56">
      <w:pPr>
        <w:pageBreakBefore w:val="0"/>
        <w:kinsoku/>
        <w:wordWrap/>
        <w:overflowPunct/>
        <w:topLinePunct w:val="0"/>
        <w:bidi w:val="0"/>
        <w:adjustRightInd/>
        <w:snapToGrid/>
        <w:spacing w:beforeAutospacing="0" w:line="360" w:lineRule="auto"/>
        <w:ind w:left="0" w:leftChars="0" w:firstLine="482" w:firstLineChars="200"/>
        <w:jc w:val="both"/>
        <w:textAlignment w:val="auto"/>
        <w:outlineLvl w:val="9"/>
        <w:rPr>
          <w:rFonts w:ascii="宋体" w:hAnsi="宋体" w:cs="宋体"/>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430DCD81">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11.3.1报价单；</w:t>
      </w:r>
    </w:p>
    <w:p w14:paraId="192A5BDA">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11.3.2已标价工程量清单。</w:t>
      </w:r>
    </w:p>
    <w:p w14:paraId="7A399337">
      <w:pPr>
        <w:pageBreakBefore w:val="0"/>
        <w:kinsoku/>
        <w:wordWrap/>
        <w:overflowPunct/>
        <w:topLinePunct w:val="0"/>
        <w:bidi w:val="0"/>
        <w:adjustRightInd/>
        <w:snapToGrid/>
        <w:spacing w:beforeAutospacing="0" w:line="360" w:lineRule="auto"/>
        <w:ind w:left="0" w:leftChars="0" w:firstLine="482" w:firstLineChars="200"/>
        <w:jc w:val="both"/>
        <w:textAlignment w:val="auto"/>
        <w:outlineLvl w:val="9"/>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63FB495C">
      <w:pPr>
        <w:pageBreakBefore w:val="0"/>
        <w:kinsoku/>
        <w:wordWrap/>
        <w:overflowPunct/>
        <w:topLinePunct w:val="0"/>
        <w:bidi w:val="0"/>
        <w:adjustRightInd/>
        <w:snapToGrid/>
        <w:spacing w:beforeAutospacing="0" w:line="360" w:lineRule="auto"/>
        <w:ind w:left="0" w:leftChars="0" w:firstLine="482" w:firstLineChars="200"/>
        <w:jc w:val="both"/>
        <w:textAlignment w:val="auto"/>
        <w:outlineLvl w:val="9"/>
        <w:rPr>
          <w:rFonts w:ascii="宋体" w:hAnsi="宋体" w:cs="宋体"/>
          <w:b/>
          <w:color w:val="auto"/>
          <w:sz w:val="24"/>
          <w:szCs w:val="21"/>
          <w:highlight w:val="none"/>
        </w:rPr>
      </w:pPr>
      <w:r>
        <w:rPr>
          <w:rFonts w:hint="eastAsia" w:ascii="宋体" w:hAnsi="宋体" w:cs="宋体"/>
          <w:b/>
          <w:color w:val="auto"/>
          <w:sz w:val="24"/>
          <w:highlight w:val="none"/>
        </w:rPr>
        <w:t>供应商提供虚假材料的，响应文件无效。</w:t>
      </w:r>
    </w:p>
    <w:p w14:paraId="6D10EC54">
      <w:pPr>
        <w:pStyle w:val="134"/>
        <w:pageBreakBefore w:val="0"/>
        <w:kinsoku/>
        <w:wordWrap/>
        <w:overflowPunct/>
        <w:topLinePunct w:val="0"/>
        <w:bidi w:val="0"/>
        <w:adjustRightInd/>
        <w:snapToGrid/>
        <w:spacing w:before="0" w:beforeAutospacing="0" w:line="360" w:lineRule="auto"/>
        <w:ind w:left="0" w:leftChars="0" w:firstLine="482" w:firstLineChars="200"/>
        <w:jc w:val="both"/>
        <w:textAlignment w:val="auto"/>
        <w:outlineLvl w:val="9"/>
        <w:rPr>
          <w:rFonts w:hint="eastAsia" w:ascii="宋体" w:hAnsi="宋体" w:cs="宋体"/>
          <w:b/>
          <w:color w:val="auto"/>
          <w:szCs w:val="24"/>
          <w:highlight w:val="none"/>
        </w:rPr>
      </w:pPr>
      <w:r>
        <w:rPr>
          <w:rFonts w:hint="eastAsia" w:ascii="宋体" w:hAnsi="宋体" w:cs="宋体"/>
          <w:b/>
          <w:color w:val="auto"/>
          <w:sz w:val="24"/>
          <w:highlight w:val="none"/>
        </w:rPr>
        <w:t>供应商</w:t>
      </w:r>
      <w:r>
        <w:rPr>
          <w:rFonts w:hint="eastAsia" w:ascii="宋体" w:hAnsi="宋体" w:cs="宋体"/>
          <w:b/>
          <w:color w:val="auto"/>
          <w:szCs w:val="24"/>
          <w:highlight w:val="none"/>
        </w:rPr>
        <w:t>可事先在公开官网查询、核对相关证书和报告内容，确保响应文件资料准确无误。</w:t>
      </w:r>
      <w:r>
        <w:rPr>
          <w:rFonts w:hint="eastAsia" w:ascii="宋体" w:hAnsi="宋体" w:cs="宋体"/>
          <w:b/>
          <w:color w:val="auto"/>
          <w:sz w:val="24"/>
          <w:highlight w:val="none"/>
        </w:rPr>
        <w:t>供应商</w:t>
      </w:r>
      <w:r>
        <w:rPr>
          <w:rFonts w:hint="eastAsia" w:ascii="宋体" w:hAnsi="宋体" w:cs="宋体"/>
          <w:b/>
          <w:color w:val="auto"/>
          <w:szCs w:val="24"/>
          <w:highlight w:val="none"/>
        </w:rPr>
        <w:t>应对响应文件中材料的真实性、合法性负责。</w:t>
      </w:r>
    </w:p>
    <w:p w14:paraId="2674D1C8">
      <w:pPr>
        <w:pStyle w:val="134"/>
        <w:pageBreakBefore w:val="0"/>
        <w:kinsoku/>
        <w:wordWrap/>
        <w:overflowPunct/>
        <w:topLinePunct w:val="0"/>
        <w:bidi w:val="0"/>
        <w:adjustRightInd/>
        <w:snapToGrid/>
        <w:spacing w:before="0" w:beforeAutospacing="0" w:line="360" w:lineRule="auto"/>
        <w:ind w:left="0" w:leftChars="0" w:firstLine="482" w:firstLineChars="200"/>
        <w:jc w:val="both"/>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w:t>
      </w:r>
      <w:r>
        <w:rPr>
          <w:rFonts w:hint="eastAsia" w:ascii="宋体" w:hAnsi="宋体" w:cs="宋体"/>
          <w:b/>
          <w:color w:val="auto"/>
          <w:szCs w:val="24"/>
          <w:highlight w:val="none"/>
        </w:rPr>
        <w:t>响应文件的编制</w:t>
      </w:r>
    </w:p>
    <w:p w14:paraId="67FF8859">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14F9FDC3">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2BBC55FF">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238727D">
      <w:pPr>
        <w:pageBreakBefore w:val="0"/>
        <w:kinsoku/>
        <w:wordWrap/>
        <w:overflowPunct/>
        <w:topLinePunct w:val="0"/>
        <w:bidi w:val="0"/>
        <w:adjustRightInd/>
        <w:snapToGrid/>
        <w:spacing w:beforeAutospacing="0" w:line="360" w:lineRule="auto"/>
        <w:ind w:firstLine="482" w:firstLineChars="200"/>
        <w:jc w:val="both"/>
        <w:textAlignment w:val="auto"/>
        <w:outlineLvl w:val="9"/>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3363EFF9">
      <w:pPr>
        <w:pStyle w:val="134"/>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4C0AD527">
      <w:pPr>
        <w:pStyle w:val="134"/>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5D394AD9">
      <w:pPr>
        <w:pStyle w:val="134"/>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500F2314">
      <w:pPr>
        <w:pStyle w:val="134"/>
        <w:pageBreakBefore w:val="0"/>
        <w:kinsoku/>
        <w:wordWrap/>
        <w:overflowPunct/>
        <w:topLinePunct w:val="0"/>
        <w:bidi w:val="0"/>
        <w:adjustRightInd/>
        <w:snapToGrid/>
        <w:spacing w:before="0" w:beforeAutospacing="0" w:line="360" w:lineRule="auto"/>
        <w:ind w:left="0" w:leftChars="0" w:firstLine="482" w:firstLineChars="200"/>
        <w:jc w:val="both"/>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14.响应文件的提交、补充、修改、撤回</w:t>
      </w:r>
    </w:p>
    <w:p w14:paraId="482EAC87">
      <w:pPr>
        <w:pStyle w:val="134"/>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3929F2E7">
      <w:pPr>
        <w:pStyle w:val="134"/>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1D2E7D02">
      <w:pPr>
        <w:pStyle w:val="134"/>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可以视情况延长响应文件提交的截止时间。在上述情况下，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与供应商以前在响应文件提交截止时间方面的全部权利、责任和义务，将适用于延长至新的响应文件提交截止时间。</w:t>
      </w:r>
    </w:p>
    <w:p w14:paraId="0CDB3EAC">
      <w:pPr>
        <w:pStyle w:val="33"/>
        <w:pageBreakBefore w:val="0"/>
        <w:kinsoku/>
        <w:wordWrap/>
        <w:overflowPunct/>
        <w:topLinePunct w:val="0"/>
        <w:bidi w:val="0"/>
        <w:adjustRightInd/>
        <w:snapToGrid/>
        <w:spacing w:beforeAutospacing="0" w:line="360" w:lineRule="auto"/>
        <w:ind w:firstLine="482" w:firstLineChars="200"/>
        <w:jc w:val="both"/>
        <w:textAlignment w:val="auto"/>
        <w:outlineLvl w:val="9"/>
        <w:rPr>
          <w:rFonts w:hAnsi="宋体" w:cs="宋体"/>
          <w:b/>
          <w:color w:val="auto"/>
          <w:sz w:val="24"/>
          <w:szCs w:val="24"/>
          <w:highlight w:val="none"/>
        </w:rPr>
      </w:pPr>
      <w:r>
        <w:rPr>
          <w:rFonts w:hint="eastAsia" w:hAnsi="宋体" w:cs="宋体"/>
          <w:b/>
          <w:color w:val="auto"/>
          <w:sz w:val="24"/>
          <w:szCs w:val="24"/>
          <w:highlight w:val="none"/>
        </w:rPr>
        <w:t>15.备份响应文件</w:t>
      </w:r>
    </w:p>
    <w:p w14:paraId="2D0EFE20">
      <w:pPr>
        <w:pStyle w:val="33"/>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Ansi="宋体" w:cs="宋体"/>
          <w:b/>
          <w:color w:val="auto"/>
          <w:sz w:val="24"/>
          <w:szCs w:val="24"/>
          <w:highlight w:val="none"/>
        </w:rPr>
      </w:pPr>
      <w:r>
        <w:rPr>
          <w:rFonts w:hint="eastAsia" w:hAnsi="宋体" w:cs="宋体"/>
          <w:color w:val="auto"/>
          <w:sz w:val="24"/>
          <w:szCs w:val="24"/>
          <w:highlight w:val="none"/>
        </w:rPr>
        <w:t>15.1供应商在电子交易平台传输递交响应文件后，还可以在响应文件提交（上传）截止时间前直接提交或者以快递方式递交备份响应文件1份，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p w14:paraId="3BAA4882">
      <w:pPr>
        <w:pStyle w:val="33"/>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lang w:val="en-US" w:eastAsia="zh-CN"/>
        </w:rPr>
        <w:t>U</w:t>
      </w:r>
      <w:r>
        <w:rPr>
          <w:rFonts w:hint="eastAsia" w:hAnsi="宋体" w:cs="宋体"/>
          <w:color w:val="auto"/>
          <w:sz w:val="24"/>
          <w:highlight w:val="none"/>
        </w:rPr>
        <w:t>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中。备份响应文件应当密封包装并在包装上加盖公章并注明采购项目名称，供应商名称。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01D19986">
      <w:pPr>
        <w:pStyle w:val="3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w:t>
      </w:r>
      <w:r>
        <w:rPr>
          <w:rFonts w:hint="eastAsia" w:hAnsi="宋体" w:cs="宋体"/>
          <w:snapToGrid/>
          <w:color w:val="auto"/>
          <w:sz w:val="24"/>
          <w:szCs w:val="24"/>
          <w:highlight w:val="none"/>
        </w:rPr>
        <w:t>采购文件第二部分供应商须知前附表</w:t>
      </w:r>
      <w:r>
        <w:rPr>
          <w:rFonts w:hint="eastAsia" w:hAnsi="宋体" w:cs="宋体"/>
          <w:color w:val="auto"/>
          <w:sz w:val="24"/>
          <w:szCs w:val="24"/>
          <w:highlight w:val="none"/>
          <w:lang w:val="en-US" w:eastAsia="zh-CN"/>
        </w:rPr>
        <w:t>规定的</w:t>
      </w:r>
      <w:r>
        <w:rPr>
          <w:rFonts w:hint="eastAsia" w:hAnsi="宋体" w:cs="宋体"/>
          <w:color w:val="auto"/>
          <w:sz w:val="24"/>
          <w:szCs w:val="24"/>
          <w:highlight w:val="none"/>
        </w:rPr>
        <w:t>地点将备份响应文件提交给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w:t>
      </w:r>
    </w:p>
    <w:p w14:paraId="33B26B27">
      <w:pPr>
        <w:pStyle w:val="33"/>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hAnsi="宋体" w:cs="宋体"/>
          <w:color w:val="auto"/>
          <w:sz w:val="24"/>
          <w:szCs w:val="24"/>
          <w:highlight w:val="none"/>
        </w:rPr>
      </w:pPr>
      <w:r>
        <w:rPr>
          <w:rFonts w:hint="eastAsia" w:hAnsi="宋体" w:cs="宋体"/>
          <w:color w:val="auto"/>
          <w:sz w:val="24"/>
          <w:szCs w:val="24"/>
          <w:highlight w:val="none"/>
        </w:rPr>
        <w:t>15.4以</w:t>
      </w:r>
      <w:r>
        <w:rPr>
          <w:rFonts w:hint="eastAsia" w:ascii="宋体" w:hAnsi="宋体" w:cs="宋体"/>
          <w:color w:val="auto"/>
          <w:sz w:val="24"/>
          <w:highlight w:val="none"/>
          <w:lang w:val="en-US" w:eastAsia="zh-CN"/>
        </w:rPr>
        <w:t>快递</w:t>
      </w:r>
      <w:r>
        <w:rPr>
          <w:rFonts w:hint="eastAsia" w:hAnsi="宋体" w:cs="宋体"/>
          <w:color w:val="auto"/>
          <w:sz w:val="24"/>
          <w:szCs w:val="24"/>
          <w:highlight w:val="none"/>
        </w:rPr>
        <w:t>方式递交备份响应文件的，供应商应先将备份响应文件按要求密封和标记，再进行</w:t>
      </w:r>
      <w:r>
        <w:rPr>
          <w:rFonts w:hint="eastAsia" w:ascii="宋体" w:hAnsi="宋体" w:cs="宋体"/>
          <w:color w:val="auto"/>
          <w:sz w:val="24"/>
          <w:highlight w:val="none"/>
          <w:lang w:val="en-US" w:eastAsia="zh-CN"/>
        </w:rPr>
        <w:t>快递</w:t>
      </w:r>
      <w:r>
        <w:rPr>
          <w:rFonts w:hint="eastAsia" w:hAnsi="宋体" w:cs="宋体"/>
          <w:color w:val="auto"/>
          <w:sz w:val="24"/>
          <w:szCs w:val="24"/>
          <w:highlight w:val="none"/>
        </w:rPr>
        <w:t>包装后邮寄。</w:t>
      </w:r>
      <w:r>
        <w:rPr>
          <w:rFonts w:hint="eastAsia" w:hAnsi="宋体" w:cs="宋体"/>
          <w:color w:val="auto"/>
          <w:sz w:val="24"/>
          <w:szCs w:val="24"/>
          <w:highlight w:val="none"/>
          <w:lang w:val="en-US" w:eastAsia="zh-CN"/>
        </w:rPr>
        <w:t>供应商</w:t>
      </w:r>
      <w:r>
        <w:rPr>
          <w:rFonts w:hint="eastAsia" w:hAnsi="宋体" w:cs="宋体"/>
          <w:color w:val="auto"/>
          <w:sz w:val="24"/>
          <w:szCs w:val="24"/>
          <w:highlight w:val="none"/>
        </w:rPr>
        <w:t>须</w:t>
      </w:r>
      <w:r>
        <w:rPr>
          <w:rFonts w:hint="eastAsia" w:hAnsi="宋体" w:cs="宋体"/>
          <w:color w:val="auto"/>
          <w:sz w:val="24"/>
          <w:szCs w:val="24"/>
          <w:highlight w:val="none"/>
          <w:lang w:val="en-US" w:eastAsia="zh-CN"/>
        </w:rPr>
        <w:t>按采购文件第二部分供应商须知前附表规定的时间和地点递交备份响应文件；</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将拒绝接受逾期送达的备份响应文件。邮寄过程中，电子备份响应文件发生泄露、遗失、损坏或延期送达等情况的，由供应商自行负责。</w:t>
      </w:r>
    </w:p>
    <w:p w14:paraId="64DE42D3">
      <w:pPr>
        <w:pStyle w:val="33"/>
        <w:pageBreakBefore w:val="0"/>
        <w:kinsoku/>
        <w:wordWrap/>
        <w:overflowPunct/>
        <w:topLinePunct w:val="0"/>
        <w:bidi w:val="0"/>
        <w:adjustRightInd/>
        <w:snapToGrid/>
        <w:spacing w:beforeAutospacing="0" w:line="360" w:lineRule="auto"/>
        <w:ind w:left="0" w:leftChars="0" w:firstLine="482" w:firstLineChars="200"/>
        <w:jc w:val="both"/>
        <w:textAlignment w:val="auto"/>
        <w:outlineLvl w:val="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70B31558">
      <w:pPr>
        <w:pStyle w:val="134"/>
        <w:pageBreakBefore w:val="0"/>
        <w:kinsoku/>
        <w:wordWrap/>
        <w:overflowPunct/>
        <w:topLinePunct w:val="0"/>
        <w:bidi w:val="0"/>
        <w:adjustRightInd/>
        <w:snapToGrid/>
        <w:spacing w:before="0" w:beforeAutospacing="0" w:line="360" w:lineRule="auto"/>
        <w:ind w:left="0" w:leftChars="0" w:firstLine="482" w:firstLineChars="200"/>
        <w:jc w:val="both"/>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6D7EEC8E">
      <w:pPr>
        <w:pStyle w:val="25"/>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6F97C881">
      <w:pPr>
        <w:pStyle w:val="134"/>
        <w:pageBreakBefore w:val="0"/>
        <w:kinsoku/>
        <w:wordWrap/>
        <w:overflowPunct/>
        <w:topLinePunct w:val="0"/>
        <w:bidi w:val="0"/>
        <w:adjustRightInd/>
        <w:snapToGrid/>
        <w:spacing w:before="0" w:beforeAutospacing="0" w:line="360" w:lineRule="auto"/>
        <w:ind w:left="0" w:leftChars="0" w:firstLine="482" w:firstLineChars="200"/>
        <w:jc w:val="both"/>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655FAD66">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25922A91">
      <w:pPr>
        <w:pStyle w:val="134"/>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6A22D96F">
      <w:pPr>
        <w:pStyle w:val="134"/>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highlight w:val="none"/>
        </w:rPr>
      </w:pPr>
      <w:r>
        <w:rPr>
          <w:rFonts w:hint="eastAsia" w:ascii="宋体" w:hAnsi="宋体" w:cs="宋体"/>
          <w:color w:val="auto"/>
          <w:highlight w:val="none"/>
        </w:rPr>
        <w:t>17.3在原定响应文件有效期满之前，如果出现特殊情况，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可以以书面形式通知供应商延长响应文件有效期。供应商同意延长的，不得要求或被允许修改其响应文件，供应商拒绝延长的，其响应文件无效。</w:t>
      </w:r>
    </w:p>
    <w:p w14:paraId="2B4AFC35">
      <w:pPr>
        <w:pStyle w:val="134"/>
        <w:pageBreakBefore w:val="0"/>
        <w:kinsoku/>
        <w:wordWrap/>
        <w:overflowPunct/>
        <w:topLinePunct w:val="0"/>
        <w:bidi w:val="0"/>
        <w:adjustRightInd/>
        <w:snapToGrid/>
        <w:spacing w:before="0" w:beforeAutospacing="0" w:line="360" w:lineRule="auto"/>
        <w:ind w:left="0" w:leftChars="0" w:firstLine="643" w:firstLineChars="200"/>
        <w:jc w:val="both"/>
        <w:textAlignment w:val="auto"/>
        <w:outlineLvl w:val="9"/>
        <w:rPr>
          <w:rFonts w:ascii="宋体" w:hAnsi="宋体" w:cs="宋体"/>
          <w:b/>
          <w:color w:val="auto"/>
          <w:sz w:val="32"/>
          <w:highlight w:val="none"/>
        </w:rPr>
      </w:pPr>
    </w:p>
    <w:p w14:paraId="72A37D6B">
      <w:pPr>
        <w:pageBreakBefore w:val="0"/>
        <w:kinsoku/>
        <w:wordWrap/>
        <w:overflowPunct/>
        <w:topLinePunct w:val="0"/>
        <w:bidi w:val="0"/>
        <w:adjustRightInd/>
        <w:snapToGrid/>
        <w:spacing w:beforeAutospacing="0" w:line="360" w:lineRule="auto"/>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37BC4F22">
      <w:pPr>
        <w:pStyle w:val="559"/>
        <w:pageBreakBefore w:val="0"/>
        <w:kinsoku/>
        <w:wordWrap/>
        <w:overflowPunct/>
        <w:topLinePunct w:val="0"/>
        <w:bidi w:val="0"/>
        <w:adjustRightInd/>
        <w:snapToGrid/>
        <w:spacing w:before="0" w:beforeAutospacing="0" w:line="360" w:lineRule="auto"/>
        <w:ind w:left="0" w:leftChars="0" w:firstLine="482" w:firstLineChars="200"/>
        <w:contextualSpacing/>
        <w:jc w:val="both"/>
        <w:textAlignment w:val="auto"/>
        <w:outlineLvl w:val="9"/>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47DB9354">
      <w:pPr>
        <w:pStyle w:val="559"/>
        <w:pageBreakBefore w:val="0"/>
        <w:kinsoku/>
        <w:wordWrap/>
        <w:overflowPunct/>
        <w:topLinePunct w:val="0"/>
        <w:bidi w:val="0"/>
        <w:adjustRightInd/>
        <w:snapToGrid/>
        <w:spacing w:before="0" w:beforeAutospacing="0" w:line="360" w:lineRule="auto"/>
        <w:ind w:left="0" w:leftChars="0" w:firstLine="480" w:firstLineChars="200"/>
        <w:contextualSpacing/>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按照采购文件规定的时间通过电子交易平台组织响应文件开启，所有供应商均应当准时在线参加。供应商不足3家的，不得开启。</w:t>
      </w:r>
    </w:p>
    <w:p w14:paraId="76A74B41">
      <w:pPr>
        <w:pStyle w:val="559"/>
        <w:pageBreakBefore w:val="0"/>
        <w:kinsoku/>
        <w:wordWrap/>
        <w:overflowPunct/>
        <w:topLinePunct w:val="0"/>
        <w:bidi w:val="0"/>
        <w:adjustRightInd/>
        <w:snapToGrid/>
        <w:spacing w:before="0" w:beforeAutospacing="0" w:line="360" w:lineRule="auto"/>
        <w:ind w:left="0" w:leftChars="0" w:firstLine="480" w:firstLineChars="200"/>
        <w:contextualSpacing/>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依托电子交易平台发起开始解密指令，供应商按照平台提示和采购文件的规定在半小时内完成在线解密。</w:t>
      </w:r>
    </w:p>
    <w:p w14:paraId="7E2B372B">
      <w:pPr>
        <w:pStyle w:val="559"/>
        <w:pageBreakBefore w:val="0"/>
        <w:kinsoku/>
        <w:wordWrap/>
        <w:overflowPunct/>
        <w:topLinePunct w:val="0"/>
        <w:bidi w:val="0"/>
        <w:adjustRightInd/>
        <w:snapToGrid/>
        <w:spacing w:before="0" w:beforeAutospacing="0" w:line="360" w:lineRule="auto"/>
        <w:ind w:left="0" w:leftChars="0" w:firstLine="480" w:firstLineChars="200"/>
        <w:contextualSpacing/>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63BA5585">
      <w:pPr>
        <w:pStyle w:val="559"/>
        <w:pageBreakBefore w:val="0"/>
        <w:kinsoku/>
        <w:wordWrap/>
        <w:overflowPunct/>
        <w:topLinePunct w:val="0"/>
        <w:bidi w:val="0"/>
        <w:adjustRightInd/>
        <w:snapToGrid/>
        <w:spacing w:before="0" w:beforeAutospacing="0" w:line="360" w:lineRule="auto"/>
        <w:ind w:left="0" w:leftChars="0" w:firstLine="482" w:firstLineChars="200"/>
        <w:contextualSpacing/>
        <w:jc w:val="both"/>
        <w:textAlignment w:val="auto"/>
        <w:outlineLvl w:val="9"/>
        <w:rPr>
          <w:rFonts w:ascii="宋体" w:hAnsi="宋体" w:cs="宋体"/>
          <w:b/>
          <w:color w:val="auto"/>
          <w:sz w:val="24"/>
          <w:szCs w:val="24"/>
          <w:highlight w:val="none"/>
        </w:rPr>
      </w:pPr>
      <w:r>
        <w:rPr>
          <w:rFonts w:hint="eastAsia" w:ascii="宋体" w:hAnsi="宋体" w:cs="宋体"/>
          <w:b/>
          <w:color w:val="auto"/>
          <w:sz w:val="24"/>
          <w:szCs w:val="24"/>
          <w:highlight w:val="none"/>
        </w:rPr>
        <w:t>19</w:t>
      </w:r>
      <w:r>
        <w:rPr>
          <w:rFonts w:hint="eastAsia" w:ascii="宋体" w:hAnsi="宋体" w:cs="宋体"/>
          <w:b/>
          <w:color w:val="auto"/>
          <w:sz w:val="24"/>
          <w:szCs w:val="24"/>
          <w:highlight w:val="none"/>
          <w:lang w:val="en-US" w:eastAsia="zh-CN"/>
        </w:rPr>
        <w:t>.</w:t>
      </w:r>
      <w:r>
        <w:rPr>
          <w:rFonts w:hint="eastAsia" w:ascii="宋体" w:hAnsi="宋体" w:cs="宋体"/>
          <w:b/>
          <w:color w:val="auto"/>
          <w:sz w:val="24"/>
          <w:szCs w:val="24"/>
          <w:highlight w:val="none"/>
        </w:rPr>
        <w:t>资格审查</w:t>
      </w:r>
    </w:p>
    <w:p w14:paraId="539CED7D">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或磋商小组依据法律法规和采购文件的规定，对供应商的资格进行审查。</w:t>
      </w:r>
    </w:p>
    <w:p w14:paraId="73C0E8C6">
      <w:pPr>
        <w:pStyle w:val="134"/>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2ECC60DA">
      <w:pPr>
        <w:pStyle w:val="134"/>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对未通过资格审查的供应商，采购人或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447BE997">
      <w:pPr>
        <w:pStyle w:val="134"/>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合格供应商不足3家的，不再评审。</w:t>
      </w:r>
    </w:p>
    <w:p w14:paraId="262B9119">
      <w:pPr>
        <w:pStyle w:val="134"/>
        <w:pageBreakBefore w:val="0"/>
        <w:kinsoku/>
        <w:wordWrap/>
        <w:overflowPunct/>
        <w:topLinePunct w:val="0"/>
        <w:bidi w:val="0"/>
        <w:adjustRightInd/>
        <w:snapToGrid/>
        <w:spacing w:before="0" w:beforeAutospacing="0" w:line="360" w:lineRule="auto"/>
        <w:ind w:left="0" w:leftChars="0" w:firstLine="482" w:firstLineChars="200"/>
        <w:jc w:val="both"/>
        <w:textAlignment w:val="auto"/>
        <w:outlineLvl w:val="9"/>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153D7F40">
      <w:pPr>
        <w:pStyle w:val="134"/>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将在资格审查时通过“信用中国”网站(www.creditchina.gov.cn)、中国政府采购网(www.ccgp.gov.cn)渠道查询供应商接受资格审查时的信用记录。</w:t>
      </w:r>
    </w:p>
    <w:p w14:paraId="1098922D">
      <w:pPr>
        <w:pStyle w:val="134"/>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21202397">
      <w:pPr>
        <w:pStyle w:val="134"/>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w:t>
      </w:r>
      <w:r>
        <w:rPr>
          <w:rFonts w:hint="eastAsia" w:ascii="宋体" w:hAnsi="宋体" w:cs="宋体"/>
          <w:color w:val="auto"/>
          <w:kern w:val="0"/>
          <w:szCs w:val="24"/>
          <w:highlight w:val="none"/>
          <w:lang w:eastAsia="zh-CN"/>
        </w:rPr>
        <w:t>重大税收违法失信主体</w:t>
      </w:r>
      <w:r>
        <w:rPr>
          <w:rFonts w:hint="eastAsia" w:ascii="宋体" w:hAnsi="宋体" w:cs="宋体"/>
          <w:color w:val="auto"/>
          <w:kern w:val="0"/>
          <w:szCs w:val="24"/>
          <w:highlight w:val="none"/>
        </w:rPr>
        <w:t>、政府采购严重违法失信行为记录名单的供应商将被拒绝参与政府采购活动。</w:t>
      </w:r>
    </w:p>
    <w:p w14:paraId="59AAA94C">
      <w:pPr>
        <w:pStyle w:val="134"/>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kern w:val="0"/>
          <w:szCs w:val="24"/>
          <w:highlight w:val="none"/>
        </w:rPr>
      </w:pPr>
    </w:p>
    <w:p w14:paraId="2E27DE67">
      <w:pPr>
        <w:pageBreakBefore w:val="0"/>
        <w:kinsoku/>
        <w:wordWrap/>
        <w:overflowPunct/>
        <w:topLinePunct w:val="0"/>
        <w:bidi w:val="0"/>
        <w:adjustRightInd/>
        <w:snapToGrid/>
        <w:spacing w:beforeAutospacing="0" w:line="360" w:lineRule="auto"/>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14:paraId="7D71688A">
      <w:pPr>
        <w:pageBreakBefore w:val="0"/>
        <w:kinsoku/>
        <w:wordWrap/>
        <w:overflowPunct/>
        <w:topLinePunct w:val="0"/>
        <w:bidi w:val="0"/>
        <w:adjustRightInd/>
        <w:snapToGrid/>
        <w:spacing w:beforeAutospacing="0" w:line="360" w:lineRule="auto"/>
        <w:ind w:left="0" w:leftChars="0" w:firstLine="482" w:firstLineChars="200"/>
        <w:jc w:val="both"/>
        <w:textAlignment w:val="auto"/>
        <w:outlineLvl w:val="9"/>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24CD27B7">
      <w:pPr>
        <w:pageBreakBefore w:val="0"/>
        <w:kinsoku/>
        <w:wordWrap/>
        <w:overflowPunct/>
        <w:topLinePunct w:val="0"/>
        <w:bidi w:val="0"/>
        <w:adjustRightInd/>
        <w:snapToGrid/>
        <w:spacing w:beforeAutospacing="0" w:line="360" w:lineRule="auto"/>
        <w:ind w:left="0" w:leftChars="0" w:firstLine="482" w:firstLineChars="200"/>
        <w:jc w:val="both"/>
        <w:textAlignment w:val="auto"/>
        <w:outlineLvl w:val="9"/>
        <w:rPr>
          <w:rFonts w:ascii="宋体" w:hAnsi="宋体" w:cs="宋体"/>
          <w:b/>
          <w:color w:val="auto"/>
          <w:sz w:val="24"/>
          <w:highlight w:val="none"/>
        </w:rPr>
      </w:pPr>
    </w:p>
    <w:p w14:paraId="5D892129">
      <w:pPr>
        <w:pageBreakBefore w:val="0"/>
        <w:kinsoku/>
        <w:wordWrap/>
        <w:overflowPunct/>
        <w:topLinePunct w:val="0"/>
        <w:bidi w:val="0"/>
        <w:adjustRightInd/>
        <w:snapToGrid/>
        <w:spacing w:beforeAutospacing="0" w:line="360" w:lineRule="auto"/>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00405A2E">
      <w:pPr>
        <w:pStyle w:val="25"/>
        <w:pageBreakBefore w:val="0"/>
        <w:kinsoku/>
        <w:wordWrap/>
        <w:overflowPunct/>
        <w:topLinePunct w:val="0"/>
        <w:bidi w:val="0"/>
        <w:adjustRightInd/>
        <w:snapToGrid/>
        <w:spacing w:beforeAutospacing="0" w:line="360" w:lineRule="auto"/>
        <w:ind w:left="0" w:leftChars="0" w:firstLine="482" w:firstLineChars="200"/>
        <w:jc w:val="both"/>
        <w:textAlignment w:val="auto"/>
        <w:outlineLvl w:val="9"/>
        <w:rPr>
          <w:rFonts w:cs="宋体"/>
          <w:b/>
          <w:color w:val="auto"/>
          <w:highlight w:val="none"/>
        </w:rPr>
      </w:pPr>
      <w:r>
        <w:rPr>
          <w:rFonts w:hint="eastAsia" w:cs="宋体"/>
          <w:b/>
          <w:color w:val="auto"/>
          <w:highlight w:val="none"/>
        </w:rPr>
        <w:t>22.确定成交供应商</w:t>
      </w:r>
    </w:p>
    <w:p w14:paraId="68E1A87A">
      <w:pPr>
        <w:pStyle w:val="134"/>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rPr>
        <w:t>个工作日内在线确定中标或者成交供应商。中标、成交通知书和中标、成交结果公告应当在规定时间内同时发出。</w:t>
      </w:r>
    </w:p>
    <w:p w14:paraId="3075C7E1">
      <w:pPr>
        <w:pStyle w:val="134"/>
        <w:pageBreakBefore w:val="0"/>
        <w:kinsoku/>
        <w:wordWrap/>
        <w:overflowPunct/>
        <w:topLinePunct w:val="0"/>
        <w:bidi w:val="0"/>
        <w:adjustRightInd/>
        <w:snapToGrid/>
        <w:spacing w:before="0" w:beforeAutospacing="0" w:line="360" w:lineRule="auto"/>
        <w:ind w:left="0" w:leftChars="0" w:firstLine="482" w:firstLineChars="200"/>
        <w:jc w:val="both"/>
        <w:textAlignment w:val="auto"/>
        <w:outlineLvl w:val="9"/>
        <w:rPr>
          <w:rFonts w:ascii="宋体" w:hAnsi="宋体" w:cs="宋体"/>
          <w:b/>
          <w:color w:val="auto"/>
          <w:szCs w:val="24"/>
          <w:highlight w:val="none"/>
        </w:rPr>
      </w:pPr>
      <w:r>
        <w:rPr>
          <w:rFonts w:hint="eastAsia" w:ascii="宋体" w:hAnsi="宋体" w:cs="宋体"/>
          <w:b/>
          <w:color w:val="auto"/>
          <w:szCs w:val="24"/>
          <w:highlight w:val="none"/>
        </w:rPr>
        <w:t>23.成交通知与成交结果公告</w:t>
      </w:r>
    </w:p>
    <w:p w14:paraId="1431AB3C">
      <w:pPr>
        <w:pageBreakBefore w:val="0"/>
        <w:widowControl/>
        <w:shd w:val="clear" w:color="auto" w:fill="FFFFFF"/>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23.1自成交供应商确定之日起</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通过电子交易平台向成交供应商发出成交通知书，同时编制发布采购结果公告。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7E138632">
      <w:pPr>
        <w:pageBreakBefore w:val="0"/>
        <w:widowControl/>
        <w:shd w:val="clear" w:color="auto" w:fill="FFFFFF"/>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成交供应商名称、地址和成交金额，主要成交标的的名称、规格型号、数量、单价、服务要求，开标记录、资格审查情况、评审专家抽取规则、符合性审查情况、成交结果公告期限以及评审专家名单、评分汇总及明细。</w:t>
      </w:r>
    </w:p>
    <w:p w14:paraId="1033BF5B">
      <w:pPr>
        <w:pageBreakBefore w:val="0"/>
        <w:widowControl/>
        <w:shd w:val="clear" w:color="auto" w:fill="FFFFFF"/>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sz w:val="24"/>
          <w:highlight w:val="none"/>
        </w:rPr>
        <w:t>23.3公告期限为1个工作日。</w:t>
      </w:r>
    </w:p>
    <w:p w14:paraId="19552C92">
      <w:pPr>
        <w:pageBreakBefore w:val="0"/>
        <w:kinsoku/>
        <w:wordWrap/>
        <w:overflowPunct/>
        <w:topLinePunct w:val="0"/>
        <w:bidi w:val="0"/>
        <w:adjustRightInd/>
        <w:snapToGrid/>
        <w:spacing w:beforeAutospacing="0" w:line="360" w:lineRule="auto"/>
        <w:jc w:val="center"/>
        <w:textAlignment w:val="auto"/>
        <w:outlineLvl w:val="9"/>
        <w:rPr>
          <w:rFonts w:hint="eastAsia" w:ascii="宋体" w:hAnsi="宋体" w:cs="宋体"/>
          <w:b/>
          <w:color w:val="auto"/>
          <w:sz w:val="32"/>
          <w:szCs w:val="20"/>
          <w:highlight w:val="none"/>
        </w:rPr>
      </w:pPr>
    </w:p>
    <w:p w14:paraId="7B9A413A">
      <w:pPr>
        <w:pageBreakBefore w:val="0"/>
        <w:kinsoku/>
        <w:wordWrap/>
        <w:overflowPunct/>
        <w:topLinePunct w:val="0"/>
        <w:bidi w:val="0"/>
        <w:adjustRightInd/>
        <w:snapToGrid/>
        <w:spacing w:beforeAutospacing="0" w:line="360" w:lineRule="auto"/>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6919F6FF">
      <w:pPr>
        <w:pStyle w:val="25"/>
        <w:pageBreakBefore w:val="0"/>
        <w:kinsoku/>
        <w:wordWrap/>
        <w:overflowPunct/>
        <w:topLinePunct w:val="0"/>
        <w:bidi w:val="0"/>
        <w:adjustRightInd/>
        <w:snapToGrid/>
        <w:spacing w:beforeAutospacing="0" w:line="360" w:lineRule="auto"/>
        <w:ind w:left="0" w:leftChars="0" w:firstLine="482" w:firstLineChars="200"/>
        <w:jc w:val="both"/>
        <w:textAlignment w:val="auto"/>
        <w:outlineLvl w:val="9"/>
        <w:rPr>
          <w:rFonts w:cs="宋体"/>
          <w:b/>
          <w:color w:val="auto"/>
          <w:highlight w:val="none"/>
        </w:rPr>
      </w:pPr>
      <w:r>
        <w:rPr>
          <w:rFonts w:hint="eastAsia" w:cs="宋体"/>
          <w:b/>
          <w:color w:val="auto"/>
          <w:highlight w:val="none"/>
        </w:rPr>
        <w:t>24.</w:t>
      </w:r>
      <w:r>
        <w:rPr>
          <w:rFonts w:hint="eastAsia" w:cs="宋体"/>
          <w:color w:val="auto"/>
          <w:highlight w:val="none"/>
        </w:rPr>
        <w:t>合同主要条款详见第五部分拟签订的合同文本。</w:t>
      </w:r>
    </w:p>
    <w:p w14:paraId="4A002B76">
      <w:pPr>
        <w:pStyle w:val="25"/>
        <w:pageBreakBefore w:val="0"/>
        <w:kinsoku/>
        <w:wordWrap/>
        <w:overflowPunct/>
        <w:topLinePunct w:val="0"/>
        <w:bidi w:val="0"/>
        <w:adjustRightInd/>
        <w:snapToGrid/>
        <w:spacing w:beforeAutospacing="0" w:line="360" w:lineRule="auto"/>
        <w:ind w:left="0" w:leftChars="0" w:firstLine="482" w:firstLineChars="200"/>
        <w:jc w:val="both"/>
        <w:textAlignment w:val="auto"/>
        <w:outlineLvl w:val="9"/>
        <w:rPr>
          <w:rFonts w:cs="宋体"/>
          <w:b/>
          <w:color w:val="auto"/>
          <w:highlight w:val="none"/>
        </w:rPr>
      </w:pPr>
      <w:r>
        <w:rPr>
          <w:rFonts w:hint="eastAsia" w:cs="宋体"/>
          <w:b/>
          <w:color w:val="auto"/>
          <w:highlight w:val="none"/>
        </w:rPr>
        <w:t>25.合同的签订</w:t>
      </w:r>
    </w:p>
    <w:p w14:paraId="4621C955">
      <w:pPr>
        <w:pageBreakBefore w:val="0"/>
        <w:widowControl/>
        <w:shd w:val="clear" w:color="auto" w:fill="FFFFFF"/>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采购人与成交供应商应在成交通知书发出之日起三十日内，按照采购文件确定的事项签订政府采购合同，并在签订之日起2个工作日内将政府采购合同在浙江政府采购网上公告。</w:t>
      </w:r>
    </w:p>
    <w:p w14:paraId="6C452FDB">
      <w:pPr>
        <w:pStyle w:val="134"/>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w:t>
      </w:r>
    </w:p>
    <w:p w14:paraId="0CAC7017">
      <w:pPr>
        <w:pStyle w:val="134"/>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4BD6C93D">
      <w:pPr>
        <w:pStyle w:val="134"/>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563E6914">
      <w:pPr>
        <w:pStyle w:val="134"/>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1BEE59F4">
      <w:pPr>
        <w:pStyle w:val="25"/>
        <w:pageBreakBefore w:val="0"/>
        <w:kinsoku/>
        <w:wordWrap/>
        <w:overflowPunct/>
        <w:topLinePunct w:val="0"/>
        <w:bidi w:val="0"/>
        <w:adjustRightInd/>
        <w:snapToGrid/>
        <w:spacing w:beforeAutospacing="0" w:line="360" w:lineRule="auto"/>
        <w:ind w:left="0" w:leftChars="0" w:firstLine="482" w:firstLineChars="200"/>
        <w:jc w:val="both"/>
        <w:textAlignment w:val="auto"/>
        <w:outlineLvl w:val="9"/>
        <w:rPr>
          <w:rFonts w:cs="宋体"/>
          <w:b/>
          <w:color w:val="auto"/>
          <w:highlight w:val="none"/>
        </w:rPr>
      </w:pPr>
      <w:r>
        <w:rPr>
          <w:rFonts w:hint="eastAsia" w:cs="宋体"/>
          <w:b/>
          <w:color w:val="auto"/>
          <w:highlight w:val="none"/>
        </w:rPr>
        <w:t>26.履约保证金</w:t>
      </w:r>
    </w:p>
    <w:p w14:paraId="5B1F2423">
      <w:pPr>
        <w:pageBreakBefore w:val="0"/>
        <w:tabs>
          <w:tab w:val="left" w:pos="0"/>
        </w:tabs>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。确需收取履约保证金的，履约保证金缴纳最高比例不超过</w:t>
      </w:r>
      <w:r>
        <w:rPr>
          <w:rFonts w:hint="eastAsia" w:ascii="宋体" w:hAnsi="宋体" w:cs="宋体"/>
          <w:color w:val="auto"/>
          <w:kern w:val="2"/>
          <w:sz w:val="24"/>
          <w:highlight w:val="none"/>
        </w:rPr>
        <w:t>合同金额的</w:t>
      </w:r>
      <w:r>
        <w:rPr>
          <w:rFonts w:ascii="宋体" w:hAnsi="宋体" w:cs="宋体"/>
          <w:color w:val="auto"/>
          <w:kern w:val="2"/>
          <w:sz w:val="24"/>
          <w:highlight w:val="none"/>
        </w:rPr>
        <w:t>1%</w:t>
      </w:r>
      <w:r>
        <w:rPr>
          <w:rFonts w:hint="eastAsia" w:ascii="宋体" w:hAnsi="宋体" w:cs="宋体"/>
          <w:color w:val="auto"/>
          <w:kern w:val="2"/>
          <w:sz w:val="24"/>
          <w:highlight w:val="none"/>
          <w:lang w:eastAsia="zh-CN"/>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采购单位鼓励供应商采取履约保函形式提供信用保证；供应商提供保函的，采购单位不得拒收。项目验收结束后应及时退还，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339E8CE">
      <w:pPr>
        <w:pageBreakBefore w:val="0"/>
        <w:tabs>
          <w:tab w:val="left" w:pos="432"/>
        </w:tabs>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ascii="宋体" w:hAnsi="宋体" w:eastAsia="宋体"/>
          <w:b w:val="0"/>
          <w:bCs w:val="0"/>
          <w:color w:val="auto"/>
          <w:sz w:val="24"/>
          <w:szCs w:val="24"/>
          <w:highlight w:val="none"/>
          <w:lang w:val="en-US"/>
        </w:rPr>
        <w:t>400-903-9583</w:t>
      </w:r>
      <w:r>
        <w:rPr>
          <w:rFonts w:hint="eastAsia" w:ascii="宋体" w:hAnsi="宋体" w:eastAsia="宋体" w:cs="宋体"/>
          <w:b w:val="0"/>
          <w:bCs w:val="0"/>
          <w:snapToGrid w:val="0"/>
          <w:color w:val="auto"/>
          <w:kern w:val="28"/>
          <w:sz w:val="24"/>
          <w:highlight w:val="none"/>
        </w:rPr>
        <w:t>。</w:t>
      </w:r>
    </w:p>
    <w:p w14:paraId="1447B53C">
      <w:pPr>
        <w:pageBreakBefore w:val="0"/>
        <w:tabs>
          <w:tab w:val="left" w:pos="432"/>
        </w:tabs>
        <w:kinsoku/>
        <w:wordWrap/>
        <w:overflowPunct/>
        <w:topLinePunct w:val="0"/>
        <w:bidi w:val="0"/>
        <w:adjustRightInd/>
        <w:snapToGrid/>
        <w:spacing w:beforeAutospacing="0" w:line="360" w:lineRule="auto"/>
        <w:ind w:left="0" w:leftChars="0" w:firstLine="482" w:firstLineChars="200"/>
        <w:jc w:val="both"/>
        <w:textAlignment w:val="auto"/>
        <w:outlineLvl w:val="9"/>
        <w:rPr>
          <w:color w:val="auto"/>
          <w:highlight w:val="none"/>
        </w:rPr>
      </w:pPr>
      <w:r>
        <w:rPr>
          <w:rFonts w:ascii="宋体" w:hAnsi="宋体" w:eastAsia="宋体" w:cs="Times New Roman"/>
          <w:b/>
          <w:bCs/>
          <w:color w:val="auto"/>
          <w:kern w:val="2"/>
          <w:sz w:val="24"/>
          <w:szCs w:val="32"/>
          <w:highlight w:val="none"/>
          <w:lang w:val="en-US"/>
        </w:rPr>
        <w:t>27.预付款</w:t>
      </w:r>
    </w:p>
    <w:p w14:paraId="597B1C6D">
      <w:pPr>
        <w:pageBreakBefore w:val="0"/>
        <w:kinsoku/>
        <w:wordWrap/>
        <w:overflowPunct/>
        <w:topLinePunct w:val="0"/>
        <w:bidi w:val="0"/>
        <w:adjustRightInd/>
        <w:snapToGrid/>
        <w:spacing w:beforeAutospacing="0" w:line="360" w:lineRule="auto"/>
        <w:ind w:left="0" w:leftChars="0" w:firstLine="480" w:firstLineChars="200"/>
        <w:jc w:val="both"/>
        <w:textAlignment w:val="auto"/>
        <w:outlineLvl w:val="9"/>
        <w:rPr>
          <w:color w:val="auto"/>
          <w:highlight w:val="none"/>
        </w:rPr>
      </w:pPr>
      <w:r>
        <w:rPr>
          <w:rFonts w:hint="eastAsia" w:ascii="宋体" w:hAnsi="宋体" w:cs="Times New Roman"/>
          <w:color w:val="auto"/>
          <w:kern w:val="2"/>
          <w:sz w:val="24"/>
          <w:highlight w:val="none"/>
          <w:lang w:val="en-US" w:eastAsia="zh-CN"/>
        </w:rPr>
        <w:t>详见第三部分采购需求</w:t>
      </w:r>
      <w:r>
        <w:rPr>
          <w:rFonts w:ascii="宋体" w:hAnsi="宋体" w:cs="Times New Roman"/>
          <w:color w:val="auto"/>
          <w:kern w:val="2"/>
          <w:sz w:val="24"/>
          <w:highlight w:val="none"/>
        </w:rPr>
        <w:t>。</w:t>
      </w:r>
    </w:p>
    <w:p w14:paraId="659A6FBD">
      <w:pPr>
        <w:pageBreakBefore w:val="0"/>
        <w:kinsoku/>
        <w:wordWrap/>
        <w:overflowPunct/>
        <w:topLinePunct w:val="0"/>
        <w:bidi w:val="0"/>
        <w:adjustRightInd/>
        <w:snapToGrid/>
        <w:spacing w:beforeAutospacing="0" w:line="360" w:lineRule="auto"/>
        <w:jc w:val="center"/>
        <w:textAlignment w:val="auto"/>
        <w:outlineLvl w:val="9"/>
        <w:rPr>
          <w:rFonts w:hint="eastAsia" w:ascii="宋体" w:hAnsi="宋体" w:cs="宋体"/>
          <w:b/>
          <w:color w:val="auto"/>
          <w:sz w:val="32"/>
          <w:szCs w:val="20"/>
          <w:highlight w:val="none"/>
        </w:rPr>
      </w:pPr>
    </w:p>
    <w:p w14:paraId="7B35267A">
      <w:pPr>
        <w:pageBreakBefore w:val="0"/>
        <w:kinsoku/>
        <w:wordWrap/>
        <w:overflowPunct/>
        <w:topLinePunct w:val="0"/>
        <w:bidi w:val="0"/>
        <w:adjustRightInd/>
        <w:snapToGrid/>
        <w:spacing w:beforeAutospacing="0" w:line="360" w:lineRule="auto"/>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600A5B54">
      <w:pPr>
        <w:pStyle w:val="134"/>
        <w:pageBreakBefore w:val="0"/>
        <w:kinsoku/>
        <w:wordWrap/>
        <w:overflowPunct/>
        <w:topLinePunct w:val="0"/>
        <w:bidi w:val="0"/>
        <w:adjustRightInd/>
        <w:snapToGrid/>
        <w:spacing w:before="0" w:beforeAutospacing="0" w:line="360" w:lineRule="auto"/>
        <w:ind w:left="0" w:leftChars="0" w:firstLine="482" w:firstLineChars="200"/>
        <w:jc w:val="both"/>
        <w:textAlignment w:val="auto"/>
        <w:outlineLvl w:val="9"/>
        <w:rPr>
          <w:rFonts w:ascii="宋体" w:hAnsi="宋体" w:cs="宋体"/>
          <w:color w:val="auto"/>
          <w:highlight w:val="none"/>
        </w:rPr>
      </w:pPr>
      <w:r>
        <w:rPr>
          <w:rFonts w:ascii="宋体" w:hAnsi="宋体" w:cs="宋体"/>
          <w:b/>
          <w:bCs/>
          <w:color w:val="auto"/>
          <w:kern w:val="2"/>
          <w:szCs w:val="20"/>
          <w:highlight w:val="none"/>
        </w:rPr>
        <w:t>2</w:t>
      </w:r>
      <w:r>
        <w:rPr>
          <w:rFonts w:ascii="宋体" w:hAnsi="宋体" w:cs="宋体"/>
          <w:b/>
          <w:bCs/>
          <w:color w:val="auto"/>
          <w:kern w:val="2"/>
          <w:szCs w:val="24"/>
          <w:highlight w:val="none"/>
        </w:rPr>
        <w:t>8</w:t>
      </w:r>
      <w:r>
        <w:rPr>
          <w:rFonts w:hint="eastAsia" w:ascii="宋体" w:hAnsi="宋体" w:cs="宋体"/>
          <w:b/>
          <w:color w:val="auto"/>
          <w:szCs w:val="24"/>
          <w:highlight w:val="none"/>
        </w:rPr>
        <w:t>.电子交易活动的中止。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36794131">
      <w:pPr>
        <w:pStyle w:val="134"/>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66B5AF41">
      <w:pPr>
        <w:pStyle w:val="134"/>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5C881DFC">
      <w:pPr>
        <w:pStyle w:val="134"/>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4BC38318">
      <w:pPr>
        <w:pStyle w:val="134"/>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386EB3D8">
      <w:pPr>
        <w:pStyle w:val="134"/>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328DF552">
      <w:pPr>
        <w:pStyle w:val="134"/>
        <w:pageBreakBefore w:val="0"/>
        <w:kinsoku/>
        <w:wordWrap/>
        <w:overflowPunct/>
        <w:topLinePunct w:val="0"/>
        <w:bidi w:val="0"/>
        <w:adjustRightInd/>
        <w:snapToGrid/>
        <w:spacing w:before="0" w:beforeAutospacing="0" w:line="360" w:lineRule="auto"/>
        <w:ind w:left="0" w:leftChars="0" w:firstLine="480" w:firstLineChars="200"/>
        <w:jc w:val="both"/>
        <w:textAlignment w:val="auto"/>
        <w:outlineLvl w:val="9"/>
        <w:rPr>
          <w:rFonts w:ascii="宋体" w:hAnsi="宋体" w:cs="宋体"/>
          <w:color w:val="auto"/>
          <w:highlight w:val="none"/>
        </w:rPr>
      </w:pPr>
      <w:r>
        <w:rPr>
          <w:rFonts w:hint="eastAsia" w:ascii="宋体" w:hAnsi="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72B0513B">
      <w:pPr>
        <w:pageBreakBefore w:val="0"/>
        <w:tabs>
          <w:tab w:val="left" w:pos="0"/>
        </w:tabs>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24"/>
          <w:highlight w:val="none"/>
        </w:rPr>
      </w:pPr>
    </w:p>
    <w:p w14:paraId="7A80E5B9">
      <w:pPr>
        <w:pageBreakBefore w:val="0"/>
        <w:kinsoku/>
        <w:wordWrap/>
        <w:overflowPunct/>
        <w:topLinePunct w:val="0"/>
        <w:bidi w:val="0"/>
        <w:adjustRightInd/>
        <w:snapToGrid/>
        <w:spacing w:beforeAutospacing="0" w:line="360" w:lineRule="auto"/>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14:paraId="5D0F3FEF">
      <w:pPr>
        <w:pStyle w:val="25"/>
        <w:pageBreakBefore w:val="0"/>
        <w:kinsoku/>
        <w:wordWrap/>
        <w:overflowPunct/>
        <w:topLinePunct w:val="0"/>
        <w:bidi w:val="0"/>
        <w:adjustRightInd/>
        <w:snapToGrid/>
        <w:spacing w:beforeAutospacing="0" w:line="360" w:lineRule="auto"/>
        <w:ind w:left="0" w:leftChars="0" w:firstLine="482" w:firstLineChars="200"/>
        <w:jc w:val="both"/>
        <w:textAlignment w:val="auto"/>
        <w:outlineLvl w:val="9"/>
        <w:rPr>
          <w:rFonts w:cs="宋体"/>
          <w:b/>
          <w:color w:val="auto"/>
          <w:highlight w:val="none"/>
        </w:rPr>
      </w:pPr>
      <w:r>
        <w:rPr>
          <w:rFonts w:hint="eastAsia" w:cs="宋体"/>
          <w:b/>
          <w:color w:val="auto"/>
          <w:highlight w:val="none"/>
        </w:rPr>
        <w:t>30.验收</w:t>
      </w:r>
    </w:p>
    <w:p w14:paraId="48CD51D5">
      <w:pPr>
        <w:pageBreakBefore w:val="0"/>
        <w:tabs>
          <w:tab w:val="left" w:pos="0"/>
        </w:tabs>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A8233A3">
      <w:pPr>
        <w:pageBreakBefore w:val="0"/>
        <w:tabs>
          <w:tab w:val="left" w:pos="0"/>
        </w:tabs>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28190874">
      <w:pPr>
        <w:pageBreakBefore w:val="0"/>
        <w:tabs>
          <w:tab w:val="left" w:pos="0"/>
        </w:tabs>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5CA420F">
      <w:pPr>
        <w:pageBreakBefore w:val="0"/>
        <w:tabs>
          <w:tab w:val="left" w:pos="0"/>
        </w:tabs>
        <w:kinsoku/>
        <w:wordWrap/>
        <w:overflowPunct/>
        <w:topLinePunct w:val="0"/>
        <w:bidi w:val="0"/>
        <w:adjustRightInd/>
        <w:snapToGrid/>
        <w:spacing w:beforeAutospacing="0" w:line="360" w:lineRule="auto"/>
        <w:ind w:left="0" w:leftChars="0" w:firstLine="480" w:firstLineChars="200"/>
        <w:jc w:val="both"/>
        <w:textAlignment w:val="auto"/>
        <w:outlineLvl w:val="9"/>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65184866">
      <w:pPr>
        <w:tabs>
          <w:tab w:val="left" w:pos="0"/>
        </w:tabs>
        <w:spacing w:line="360" w:lineRule="auto"/>
        <w:ind w:firstLine="480"/>
        <w:rPr>
          <w:rFonts w:ascii="宋体" w:hAnsi="宋体" w:cs="宋体"/>
          <w:color w:val="auto"/>
          <w:kern w:val="0"/>
          <w:sz w:val="24"/>
          <w:highlight w:val="none"/>
        </w:rPr>
        <w:sectPr>
          <w:pgSz w:w="11905" w:h="16838"/>
          <w:pgMar w:top="1440" w:right="1440" w:bottom="1440" w:left="1440"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bookmarkStart w:id="18" w:name="_Hlt74714665"/>
      <w:bookmarkEnd w:id="18"/>
      <w:bookmarkStart w:id="19" w:name="_Hlt68072998"/>
      <w:bookmarkEnd w:id="19"/>
      <w:bookmarkStart w:id="20" w:name="_Hlt74729768"/>
      <w:bookmarkEnd w:id="20"/>
      <w:bookmarkStart w:id="21" w:name="_Hlt75236290"/>
      <w:bookmarkEnd w:id="21"/>
      <w:bookmarkStart w:id="22" w:name="_Hlt74707468"/>
      <w:bookmarkEnd w:id="22"/>
      <w:bookmarkStart w:id="23" w:name="_Hlt68403820"/>
      <w:bookmarkEnd w:id="23"/>
      <w:bookmarkStart w:id="24" w:name="_Hlt74730295"/>
      <w:bookmarkEnd w:id="24"/>
      <w:bookmarkStart w:id="25" w:name="_Hlt68073093"/>
      <w:bookmarkEnd w:id="25"/>
      <w:bookmarkStart w:id="26" w:name="_Hlt75236011"/>
      <w:bookmarkEnd w:id="26"/>
      <w:bookmarkStart w:id="27" w:name="_Hlt75236101"/>
      <w:bookmarkEnd w:id="27"/>
      <w:bookmarkStart w:id="28" w:name="_Hlt68072990"/>
      <w:bookmarkEnd w:id="28"/>
      <w:bookmarkStart w:id="29" w:name="_Hlt68057669"/>
      <w:bookmarkEnd w:id="29"/>
    </w:p>
    <w:bookmarkEnd w:id="14"/>
    <w:bookmarkEnd w:id="15"/>
    <w:p w14:paraId="13BCC15B">
      <w:pPr>
        <w:pStyle w:val="33"/>
        <w:spacing w:line="360" w:lineRule="auto"/>
        <w:jc w:val="center"/>
        <w:outlineLvl w:val="0"/>
        <w:rPr>
          <w:rFonts w:hAnsi="宋体" w:cs="宋体"/>
          <w:b/>
          <w:snapToGrid/>
          <w:color w:val="auto"/>
          <w:sz w:val="36"/>
          <w:szCs w:val="20"/>
          <w:highlight w:val="none"/>
        </w:rPr>
      </w:pPr>
      <w:bookmarkStart w:id="30" w:name="_Toc12835"/>
      <w:bookmarkStart w:id="31" w:name="第四部分"/>
      <w:r>
        <w:rPr>
          <w:rFonts w:hint="eastAsia" w:hAnsi="宋体" w:cs="宋体"/>
          <w:b/>
          <w:snapToGrid/>
          <w:color w:val="auto"/>
          <w:sz w:val="36"/>
          <w:szCs w:val="20"/>
          <w:highlight w:val="none"/>
        </w:rPr>
        <w:t>第三部分 采购需求</w:t>
      </w:r>
      <w:bookmarkEnd w:id="30"/>
    </w:p>
    <w:p w14:paraId="2C8F7F2D">
      <w:pPr>
        <w:keepNext w:val="0"/>
        <w:keepLines w:val="0"/>
        <w:pageBreakBefore w:val="0"/>
        <w:widowControl w:val="0"/>
        <w:numPr>
          <w:ilvl w:val="0"/>
          <w:numId w:val="3"/>
        </w:numPr>
        <w:kinsoku/>
        <w:wordWrap/>
        <w:overflowPunct/>
        <w:topLinePunct w:val="0"/>
        <w:autoSpaceDE/>
        <w:autoSpaceDN/>
        <w:bidi w:val="0"/>
        <w:adjustRightInd/>
        <w:snapToGrid w:val="0"/>
        <w:spacing w:before="156" w:beforeLines="50" w:line="360" w:lineRule="auto"/>
        <w:ind w:firstLine="403"/>
        <w:textAlignment w:val="auto"/>
        <w:rPr>
          <w:rFonts w:hint="eastAsia" w:ascii="Arial" w:hAnsi="Arial" w:eastAsia="宋体" w:cs="宋体"/>
          <w:b/>
          <w:bCs/>
          <w:color w:val="auto"/>
          <w:sz w:val="24"/>
          <w:szCs w:val="24"/>
          <w:highlight w:val="none"/>
          <w:lang w:val="en-US" w:eastAsia="zh-CN"/>
        </w:rPr>
      </w:pPr>
      <w:r>
        <w:rPr>
          <w:rFonts w:hint="eastAsia" w:ascii="Arial" w:hAnsi="Arial" w:cs="宋体"/>
          <w:b/>
          <w:bCs/>
          <w:color w:val="auto"/>
          <w:sz w:val="24"/>
          <w:szCs w:val="24"/>
          <w:highlight w:val="none"/>
          <w:lang w:val="en-US" w:eastAsia="zh-CN"/>
        </w:rPr>
        <w:t>项目采购</w:t>
      </w:r>
      <w:r>
        <w:rPr>
          <w:rFonts w:hint="eastAsia" w:ascii="Arial" w:hAnsi="Arial" w:eastAsia="宋体" w:cs="宋体"/>
          <w:b/>
          <w:bCs/>
          <w:color w:val="auto"/>
          <w:sz w:val="24"/>
          <w:szCs w:val="24"/>
          <w:highlight w:val="none"/>
          <w:lang w:val="en-US" w:eastAsia="zh-CN"/>
        </w:rPr>
        <w:t>需求</w:t>
      </w:r>
    </w:p>
    <w:p w14:paraId="5EE28503">
      <w:pPr>
        <w:pStyle w:val="23"/>
        <w:numPr>
          <w:ilvl w:val="0"/>
          <w:numId w:val="4"/>
        </w:numPr>
        <w:snapToGrid w:val="0"/>
        <w:spacing w:after="0" w:afterLines="0" w:line="360" w:lineRule="auto"/>
        <w:ind w:left="437" w:leftChars="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承包方式：包工包料</w:t>
      </w:r>
      <w:r>
        <w:rPr>
          <w:rFonts w:hint="eastAsia" w:ascii="宋体" w:hAnsi="宋体" w:eastAsia="宋体" w:cs="宋体"/>
          <w:color w:val="auto"/>
          <w:sz w:val="24"/>
          <w:szCs w:val="24"/>
          <w:highlight w:val="none"/>
          <w:lang w:eastAsia="zh-CN"/>
        </w:rPr>
        <w:t>。</w:t>
      </w:r>
    </w:p>
    <w:p w14:paraId="30F03B9A">
      <w:pPr>
        <w:pStyle w:val="23"/>
        <w:numPr>
          <w:ilvl w:val="0"/>
          <w:numId w:val="4"/>
        </w:numPr>
        <w:snapToGrid w:val="0"/>
        <w:spacing w:after="0" w:afterLines="0" w:line="360" w:lineRule="auto"/>
        <w:ind w:left="437" w:leftChars="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质量标准：按国家施工验收规范一次性验收合格。</w:t>
      </w:r>
    </w:p>
    <w:p w14:paraId="42AD0AFF">
      <w:pPr>
        <w:pStyle w:val="24"/>
        <w:numPr>
          <w:ilvl w:val="0"/>
          <w:numId w:val="4"/>
        </w:numPr>
        <w:snapToGrid w:val="0"/>
        <w:spacing w:after="0" w:afterLines="0" w:line="360" w:lineRule="auto"/>
        <w:ind w:left="437" w:leftChars="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招标范围：具体详见本项目的工程量清单。</w:t>
      </w:r>
    </w:p>
    <w:p w14:paraId="4BF7C1BA">
      <w:pPr>
        <w:numPr>
          <w:ilvl w:val="0"/>
          <w:numId w:val="4"/>
        </w:numPr>
        <w:snapToGrid w:val="0"/>
        <w:spacing w:line="360" w:lineRule="auto"/>
        <w:ind w:left="437" w:leftChars="0" w:firstLineChars="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技术规范：</w:t>
      </w:r>
      <w:r>
        <w:rPr>
          <w:rFonts w:hint="eastAsia" w:ascii="宋体" w:hAnsi="宋体" w:eastAsia="宋体" w:cs="宋体"/>
          <w:color w:val="auto"/>
          <w:sz w:val="24"/>
          <w:szCs w:val="24"/>
          <w:highlight w:val="none"/>
        </w:rPr>
        <w:t>根据设计施工图纸和技术文件要求，本工程项目的材料、设备、施工必须达到现行中华人民共和国及省、市、行业的一切有关法规、规范和标准的要求。如有出入则以较严格者为准。</w:t>
      </w:r>
    </w:p>
    <w:p w14:paraId="2053329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仿宋_GB2312"/>
          <w:b w:val="0"/>
          <w:bCs w:val="0"/>
          <w:color w:val="auto"/>
          <w:sz w:val="24"/>
          <w:highlight w:val="none"/>
        </w:rPr>
        <w:t>▲</w:t>
      </w:r>
      <w:r>
        <w:rPr>
          <w:rFonts w:hint="eastAsia" w:ascii="宋体" w:hAnsi="宋体" w:cs="仿宋_GB2312"/>
          <w:b w:val="0"/>
          <w:bCs w:val="0"/>
          <w:color w:val="auto"/>
          <w:sz w:val="24"/>
          <w:highlight w:val="none"/>
          <w:lang w:eastAsia="zh-CN"/>
        </w:rPr>
        <w:t>（</w:t>
      </w:r>
      <w:r>
        <w:rPr>
          <w:rFonts w:hint="eastAsia" w:ascii="宋体" w:hAnsi="宋体" w:cs="仿宋_GB2312"/>
          <w:b w:val="0"/>
          <w:bCs w:val="0"/>
          <w:color w:val="auto"/>
          <w:sz w:val="24"/>
          <w:highlight w:val="none"/>
          <w:lang w:val="en-US" w:eastAsia="zh-CN"/>
        </w:rPr>
        <w:t>5</w:t>
      </w:r>
      <w:r>
        <w:rPr>
          <w:rFonts w:hint="eastAsia" w:ascii="宋体" w:hAnsi="宋体" w:cs="仿宋_GB2312"/>
          <w:b w:val="0"/>
          <w:bCs w:val="0"/>
          <w:color w:val="auto"/>
          <w:sz w:val="24"/>
          <w:highlight w:val="none"/>
          <w:lang w:eastAsia="zh-CN"/>
        </w:rPr>
        <w:t>）</w:t>
      </w:r>
      <w:r>
        <w:rPr>
          <w:rFonts w:hint="eastAsia" w:ascii="宋体" w:hAnsi="宋体" w:eastAsia="宋体" w:cs="宋体"/>
          <w:color w:val="auto"/>
          <w:sz w:val="24"/>
          <w:szCs w:val="24"/>
          <w:highlight w:val="none"/>
          <w:lang w:val="en-US" w:eastAsia="zh-CN"/>
        </w:rPr>
        <w:t>拟派本项目项目经理要求：</w:t>
      </w:r>
      <w:r>
        <w:rPr>
          <w:rFonts w:hint="eastAsia" w:ascii="宋体" w:hAnsi="宋体" w:eastAsia="宋体" w:cs="宋体"/>
          <w:color w:val="auto"/>
          <w:sz w:val="24"/>
          <w:szCs w:val="24"/>
          <w:highlight w:val="none"/>
        </w:rPr>
        <w:t>拟派项目</w:t>
      </w:r>
      <w:r>
        <w:rPr>
          <w:rFonts w:hint="eastAsia" w:ascii="宋体" w:hAnsi="宋体" w:eastAsia="宋体" w:cs="宋体"/>
          <w:color w:val="auto"/>
          <w:sz w:val="24"/>
          <w:szCs w:val="24"/>
          <w:highlight w:val="none"/>
          <w:lang w:val="en-US" w:eastAsia="zh-CN"/>
        </w:rPr>
        <w:t>经理</w:t>
      </w:r>
      <w:r>
        <w:rPr>
          <w:rFonts w:hint="eastAsia" w:ascii="宋体" w:hAnsi="宋体" w:eastAsia="宋体" w:cs="宋体"/>
          <w:color w:val="auto"/>
          <w:sz w:val="24"/>
          <w:szCs w:val="24"/>
          <w:highlight w:val="none"/>
        </w:rPr>
        <w:t>具</w:t>
      </w:r>
      <w:r>
        <w:rPr>
          <w:rFonts w:hint="eastAsia" w:ascii="宋体" w:hAnsi="宋体" w:eastAsia="宋体" w:cs="宋体"/>
          <w:color w:val="auto"/>
          <w:sz w:val="24"/>
          <w:szCs w:val="24"/>
          <w:highlight w:val="none"/>
          <w:lang w:val="en-US" w:eastAsia="zh-CN"/>
        </w:rPr>
        <w:t>有二级及以上注册建造师资格，专业类别为</w:t>
      </w:r>
      <w:r>
        <w:rPr>
          <w:rFonts w:hint="eastAsia" w:ascii="宋体" w:hAnsi="宋体" w:eastAsia="宋体" w:cs="宋体"/>
          <w:color w:val="auto"/>
          <w:sz w:val="24"/>
          <w:szCs w:val="24"/>
          <w:highlight w:val="none"/>
        </w:rPr>
        <w:t>建筑工程</w:t>
      </w:r>
      <w:r>
        <w:rPr>
          <w:rFonts w:hint="eastAsia" w:ascii="宋体" w:hAnsi="宋体" w:eastAsia="宋体" w:cs="宋体"/>
          <w:color w:val="auto"/>
          <w:sz w:val="24"/>
          <w:szCs w:val="24"/>
          <w:highlight w:val="none"/>
          <w:lang w:val="en-US" w:eastAsia="zh-CN"/>
        </w:rPr>
        <w:t>；具有有效的安全生产考核合格证（B证）</w:t>
      </w:r>
      <w:r>
        <w:rPr>
          <w:rFonts w:hint="eastAsia" w:ascii="宋体" w:hAnsi="宋体" w:eastAsia="宋体" w:cs="宋体"/>
          <w:color w:val="auto"/>
          <w:sz w:val="24"/>
          <w:szCs w:val="24"/>
          <w:highlight w:val="none"/>
        </w:rPr>
        <w:t>。</w:t>
      </w:r>
    </w:p>
    <w:p w14:paraId="11AF36A4">
      <w:pPr>
        <w:numPr>
          <w:ilvl w:val="-1"/>
          <w:numId w:val="0"/>
        </w:numPr>
        <w:snapToGrid/>
        <w:spacing w:line="360" w:lineRule="auto"/>
        <w:ind w:firstLine="480" w:firstLineChars="200"/>
        <w:jc w:val="left"/>
        <w:rPr>
          <w:rFonts w:hint="eastAsia" w:ascii="宋体" w:hAnsi="宋体" w:eastAsia="宋体" w:cs="仿宋_GB2312"/>
          <w:color w:val="auto"/>
          <w:sz w:val="24"/>
          <w:szCs w:val="24"/>
          <w:highlight w:val="none"/>
        </w:rPr>
      </w:pPr>
      <w:r>
        <w:rPr>
          <w:rFonts w:hint="eastAsia" w:ascii="宋体" w:hAnsi="宋体" w:eastAsia="宋体" w:cs="仿宋_GB2312"/>
          <w:b w:val="0"/>
          <w:bCs w:val="0"/>
          <w:color w:val="auto"/>
          <w:sz w:val="24"/>
          <w:highlight w:val="none"/>
        </w:rPr>
        <w:t>▲</w:t>
      </w:r>
      <w:r>
        <w:rPr>
          <w:rFonts w:hint="eastAsia" w:ascii="宋体" w:hAnsi="宋体" w:eastAsia="宋体" w:cs="仿宋_GB2312"/>
          <w:color w:val="auto"/>
          <w:sz w:val="24"/>
          <w:szCs w:val="24"/>
          <w:highlight w:val="none"/>
          <w:lang w:val="en-US" w:eastAsia="zh-CN"/>
        </w:rPr>
        <w:t>（5.1）</w:t>
      </w:r>
      <w:r>
        <w:rPr>
          <w:rFonts w:hint="eastAsia" w:ascii="宋体" w:hAnsi="宋体" w:eastAsia="宋体" w:cs="仿宋_GB2312"/>
          <w:color w:val="auto"/>
          <w:sz w:val="24"/>
          <w:szCs w:val="24"/>
          <w:highlight w:val="none"/>
        </w:rPr>
        <w:t>磋商响应文件中须提供项目经理的执业资格证书及安全生产考核合格证书复印件加盖供应商公章（供应商若提供了一级建造师电子注册证书的，电子注册证书应符合《住房和城乡建设部办公厅关于全面实行一级建造师电子注册证书的通知》（建办市[2021]40号）关于电子证书有关使用要求的规定。一级建造师打印电子证书后，应在个人签名处手写本人签名，未手写签名或与签名图像笔迹不一致的，该电子证书无效）。</w:t>
      </w:r>
    </w:p>
    <w:p w14:paraId="4526D9B1">
      <w:pPr>
        <w:numPr>
          <w:ilvl w:val="-1"/>
          <w:numId w:val="0"/>
        </w:numPr>
        <w:snapToGrid/>
        <w:spacing w:line="360" w:lineRule="auto"/>
        <w:ind w:firstLine="480" w:firstLineChars="200"/>
        <w:jc w:val="left"/>
        <w:rPr>
          <w:rFonts w:hint="eastAsia"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rPr>
        <w:t>▲</w:t>
      </w:r>
      <w:r>
        <w:rPr>
          <w:rFonts w:hint="eastAsia" w:ascii="宋体" w:hAnsi="宋体" w:eastAsia="宋体" w:cs="仿宋_GB2312"/>
          <w:color w:val="auto"/>
          <w:sz w:val="24"/>
          <w:szCs w:val="24"/>
          <w:highlight w:val="none"/>
          <w:lang w:eastAsia="zh-CN"/>
        </w:rPr>
        <w:t>（</w:t>
      </w:r>
      <w:r>
        <w:rPr>
          <w:rFonts w:hint="eastAsia" w:ascii="宋体" w:hAnsi="宋体" w:eastAsia="宋体" w:cs="仿宋_GB2312"/>
          <w:color w:val="auto"/>
          <w:sz w:val="24"/>
          <w:szCs w:val="24"/>
          <w:highlight w:val="none"/>
          <w:lang w:val="en-US" w:eastAsia="zh-CN"/>
        </w:rPr>
        <w:t>5.2</w:t>
      </w:r>
      <w:r>
        <w:rPr>
          <w:rFonts w:hint="eastAsia" w:ascii="宋体" w:hAnsi="宋体" w:eastAsia="宋体" w:cs="仿宋_GB2312"/>
          <w:color w:val="auto"/>
          <w:sz w:val="24"/>
          <w:szCs w:val="24"/>
          <w:highlight w:val="none"/>
          <w:lang w:eastAsia="zh-CN"/>
        </w:rPr>
        <w:t>）</w:t>
      </w:r>
      <w:r>
        <w:rPr>
          <w:rFonts w:hint="eastAsia" w:ascii="宋体" w:hAnsi="宋体" w:eastAsia="宋体" w:cs="仿宋_GB2312"/>
          <w:color w:val="auto"/>
          <w:sz w:val="24"/>
          <w:szCs w:val="24"/>
          <w:highlight w:val="none"/>
        </w:rPr>
        <w:t>至投标截止之日，拟派项目经理不得在其他任何在建合同工程担任项目经理（包括工程总承包项目中的施工负责人）。项目经理在建合同工程的认定及变更证明：</w:t>
      </w:r>
      <w:r>
        <w:rPr>
          <w:rFonts w:hint="eastAsia" w:ascii="宋体" w:hAnsi="宋体" w:eastAsia="宋体" w:cs="仿宋_GB2312"/>
          <w:color w:val="auto"/>
          <w:sz w:val="24"/>
          <w:szCs w:val="24"/>
          <w:highlight w:val="none"/>
          <w:lang w:val="en-US" w:eastAsia="zh-CN"/>
        </w:rPr>
        <w:t xml:space="preserve">      </w:t>
      </w:r>
    </w:p>
    <w:p w14:paraId="621EBDBE">
      <w:pPr>
        <w:numPr>
          <w:ilvl w:val="-1"/>
          <w:numId w:val="0"/>
        </w:numPr>
        <w:snapToGrid/>
        <w:spacing w:line="360" w:lineRule="auto"/>
        <w:ind w:firstLine="480" w:firstLineChars="200"/>
        <w:jc w:val="left"/>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val="en-US" w:eastAsia="zh-CN"/>
        </w:rPr>
        <w:t xml:space="preserve"> </w:t>
      </w:r>
      <w:r>
        <w:rPr>
          <w:rFonts w:hint="eastAsia" w:ascii="宋体" w:hAnsi="宋体" w:eastAsia="宋体" w:cs="仿宋_GB2312"/>
          <w:color w:val="auto"/>
          <w:sz w:val="24"/>
          <w:szCs w:val="24"/>
          <w:highlight w:val="none"/>
        </w:rPr>
        <w:t>对项目经理“有在建合同工程”的认定标准：</w:t>
      </w:r>
    </w:p>
    <w:p w14:paraId="1EE98905">
      <w:pPr>
        <w:numPr>
          <w:ilvl w:val="-1"/>
          <w:numId w:val="0"/>
        </w:numPr>
        <w:snapToGrid/>
        <w:spacing w:line="360" w:lineRule="auto"/>
        <w:ind w:firstLine="480" w:firstLineChars="200"/>
        <w:jc w:val="left"/>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a．拟派项目经理在投标截止时间尚有在其他在建合同工程中担任项目经理（包括工程总承包项目中的施工负责人）的情形为“有在建合同工程”。</w:t>
      </w:r>
    </w:p>
    <w:p w14:paraId="14C78273">
      <w:pPr>
        <w:numPr>
          <w:ilvl w:val="-1"/>
          <w:numId w:val="0"/>
        </w:numPr>
        <w:snapToGrid/>
        <w:spacing w:line="360" w:lineRule="auto"/>
        <w:ind w:firstLine="480" w:firstLineChars="200"/>
        <w:jc w:val="left"/>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b．其他工程项目，包括在中华人民共和国境内所有建设工程，不受地域、行业和投资性质的限制。</w:t>
      </w:r>
    </w:p>
    <w:p w14:paraId="10305F99">
      <w:pPr>
        <w:numPr>
          <w:ilvl w:val="-1"/>
          <w:numId w:val="0"/>
        </w:numPr>
        <w:snapToGrid/>
        <w:spacing w:line="360" w:lineRule="auto"/>
        <w:ind w:firstLine="480" w:firstLineChars="200"/>
        <w:jc w:val="left"/>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c．在建合同工程的时间界定：在建合同工程的开始时间为合同工程中标通知书发出之日（不通过招标方式的，开始时间为合同签订之日），结束时间为该合同工程通过验收或合同解除之日。</w:t>
      </w:r>
    </w:p>
    <w:p w14:paraId="2EF93AAA">
      <w:pPr>
        <w:numPr>
          <w:ilvl w:val="-1"/>
          <w:numId w:val="0"/>
        </w:numPr>
        <w:snapToGrid/>
        <w:spacing w:line="360" w:lineRule="auto"/>
        <w:ind w:firstLine="480" w:firstLineChars="200"/>
        <w:jc w:val="left"/>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以下情形视为“有在建合同工程”：</w:t>
      </w:r>
    </w:p>
    <w:p w14:paraId="51250D42">
      <w:pPr>
        <w:numPr>
          <w:ilvl w:val="-1"/>
          <w:numId w:val="0"/>
        </w:numPr>
        <w:snapToGrid/>
        <w:spacing w:line="360" w:lineRule="auto"/>
        <w:ind w:left="0" w:leftChars="0" w:firstLine="480" w:firstLineChars="200"/>
        <w:jc w:val="left"/>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a．合同协议书尚未签订的，中标通知书中载明的项目经理；</w:t>
      </w:r>
    </w:p>
    <w:p w14:paraId="6B5BD381">
      <w:pPr>
        <w:numPr>
          <w:ilvl w:val="-1"/>
          <w:numId w:val="0"/>
        </w:numPr>
        <w:snapToGrid/>
        <w:spacing w:line="360" w:lineRule="auto"/>
        <w:ind w:left="0" w:leftChars="0" w:firstLine="480" w:firstLineChars="200"/>
        <w:jc w:val="left"/>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b．合同协议书已经签订，合同协议书中明确的项目经理；</w:t>
      </w:r>
    </w:p>
    <w:p w14:paraId="1AF7CA35">
      <w:pPr>
        <w:numPr>
          <w:ilvl w:val="-1"/>
          <w:numId w:val="0"/>
        </w:numPr>
        <w:snapToGrid/>
        <w:spacing w:line="360" w:lineRule="auto"/>
        <w:ind w:left="0" w:leftChars="0" w:firstLine="480" w:firstLineChars="200"/>
        <w:jc w:val="left"/>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c．项目经理发生更换的，以现任项目经理视为有“在建合同工程”；</w:t>
      </w:r>
    </w:p>
    <w:p w14:paraId="1883AE98">
      <w:pPr>
        <w:numPr>
          <w:ilvl w:val="-1"/>
          <w:numId w:val="0"/>
        </w:numPr>
        <w:snapToGrid/>
        <w:spacing w:line="360" w:lineRule="auto"/>
        <w:ind w:left="0" w:leftChars="0" w:firstLine="480" w:firstLineChars="200"/>
        <w:jc w:val="left"/>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d．在“全国建筑市场监管公共服务系统”或“浙江省建筑市场监管公共服务系统”或“宁波市建筑市场信用信息管理系统”中未解锁的项目经理（因特殊情况未能解锁的，须提供经建设行政主管部门或其委托相关机构确认的项目完工证明材料）。</w:t>
      </w:r>
    </w:p>
    <w:p w14:paraId="104FF903">
      <w:pPr>
        <w:numPr>
          <w:ilvl w:val="-1"/>
          <w:numId w:val="0"/>
        </w:numPr>
        <w:snapToGrid/>
        <w:spacing w:line="360" w:lineRule="auto"/>
        <w:ind w:left="0" w:leftChars="0" w:firstLine="480" w:firstLineChars="200"/>
        <w:jc w:val="left"/>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（2）在建项目的项目经理办理更换后，</w:t>
      </w:r>
      <w:r>
        <w:rPr>
          <w:rFonts w:hint="eastAsia" w:ascii="宋体" w:hAnsi="宋体" w:cs="仿宋_GB2312"/>
          <w:color w:val="auto"/>
          <w:sz w:val="24"/>
          <w:szCs w:val="24"/>
          <w:highlight w:val="none"/>
          <w:lang w:val="en-US" w:eastAsia="zh-CN"/>
        </w:rPr>
        <w:t>响应文件中</w:t>
      </w:r>
      <w:r>
        <w:rPr>
          <w:rFonts w:hint="eastAsia" w:ascii="宋体" w:hAnsi="宋体" w:eastAsia="宋体" w:cs="仿宋_GB2312"/>
          <w:color w:val="auto"/>
          <w:sz w:val="24"/>
          <w:szCs w:val="24"/>
          <w:highlight w:val="none"/>
        </w:rPr>
        <w:t>须提供的资料：</w:t>
      </w:r>
    </w:p>
    <w:p w14:paraId="755B6207">
      <w:pPr>
        <w:numPr>
          <w:ilvl w:val="-1"/>
          <w:numId w:val="0"/>
        </w:numPr>
        <w:snapToGrid/>
        <w:spacing w:line="360" w:lineRule="auto"/>
        <w:ind w:left="0" w:leftChars="0" w:firstLine="480" w:firstLineChars="200"/>
        <w:jc w:val="left"/>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a．项目业主同意更换证明的复印件；</w:t>
      </w:r>
    </w:p>
    <w:p w14:paraId="1275B989">
      <w:pPr>
        <w:numPr>
          <w:ilvl w:val="-1"/>
          <w:numId w:val="0"/>
        </w:numPr>
        <w:snapToGrid/>
        <w:spacing w:line="360" w:lineRule="auto"/>
        <w:ind w:left="0" w:leftChars="0" w:firstLine="480" w:firstLineChars="200"/>
        <w:jc w:val="left"/>
        <w:rPr>
          <w:rFonts w:hint="eastAsia"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rPr>
        <w:t>b．原项目经理在建项目信息有备案在建设主管部门的，应提供建设主管部门同意更换的证明或网上变更信息截图的复印件</w:t>
      </w:r>
      <w:r>
        <w:rPr>
          <w:rFonts w:hint="eastAsia" w:ascii="宋体" w:hAnsi="宋体" w:eastAsia="宋体" w:cs="仿宋_GB2312"/>
          <w:color w:val="auto"/>
          <w:sz w:val="24"/>
          <w:szCs w:val="24"/>
          <w:highlight w:val="none"/>
          <w:lang w:val="en-US" w:eastAsia="zh-CN"/>
        </w:rPr>
        <w:t>。</w:t>
      </w:r>
    </w:p>
    <w:p w14:paraId="3C80E76F">
      <w:pPr>
        <w:spacing w:line="360" w:lineRule="auto"/>
        <w:ind w:firstLine="480" w:firstLineChars="200"/>
        <w:jc w:val="left"/>
        <w:rPr>
          <w:rFonts w:hint="eastAsia" w:ascii="宋体" w:hAnsi="宋体" w:cs="仿宋_GB2312"/>
          <w:b w:val="0"/>
          <w:bCs w:val="0"/>
          <w:color w:val="auto"/>
          <w:sz w:val="24"/>
          <w:highlight w:val="none"/>
        </w:rPr>
      </w:pPr>
      <w:r>
        <w:rPr>
          <w:rFonts w:hint="eastAsia" w:ascii="宋体" w:hAnsi="宋体" w:cs="仿宋_GB2312"/>
          <w:b w:val="0"/>
          <w:bCs w:val="0"/>
          <w:color w:val="auto"/>
          <w:sz w:val="24"/>
          <w:highlight w:val="none"/>
          <w:lang w:eastAsia="zh-CN"/>
        </w:rPr>
        <w:t>（</w:t>
      </w:r>
      <w:r>
        <w:rPr>
          <w:rFonts w:hint="eastAsia" w:ascii="宋体" w:hAnsi="宋体" w:cs="仿宋_GB2312"/>
          <w:b w:val="0"/>
          <w:bCs w:val="0"/>
          <w:color w:val="auto"/>
          <w:sz w:val="24"/>
          <w:highlight w:val="none"/>
          <w:lang w:val="en-US" w:eastAsia="zh-CN"/>
        </w:rPr>
        <w:t>6</w:t>
      </w:r>
      <w:r>
        <w:rPr>
          <w:rFonts w:hint="eastAsia" w:ascii="宋体" w:hAnsi="宋体" w:cs="仿宋_GB2312"/>
          <w:b w:val="0"/>
          <w:bCs w:val="0"/>
          <w:color w:val="auto"/>
          <w:sz w:val="24"/>
          <w:highlight w:val="none"/>
          <w:lang w:eastAsia="zh-CN"/>
        </w:rPr>
        <w:t>）</w:t>
      </w:r>
      <w:r>
        <w:rPr>
          <w:rFonts w:hint="eastAsia" w:ascii="宋体" w:hAnsi="宋体" w:cs="仿宋_GB2312"/>
          <w:b w:val="0"/>
          <w:bCs w:val="0"/>
          <w:color w:val="auto"/>
          <w:sz w:val="24"/>
          <w:highlight w:val="none"/>
        </w:rPr>
        <w:t>本工程项目范围内所有要求拆除项目（拆除方式及拆除程度需要满足施工图要求）产生的费用、垃圾清运及处置费、保洁费及成品保护费需投标单位自行考虑，该项费用一次性包干，结算时不作调整。</w:t>
      </w:r>
    </w:p>
    <w:p w14:paraId="0967EDC1">
      <w:pPr>
        <w:spacing w:line="360" w:lineRule="auto"/>
        <w:ind w:firstLine="480" w:firstLineChars="200"/>
        <w:jc w:val="left"/>
        <w:rPr>
          <w:rFonts w:ascii="宋体" w:hAnsi="宋体" w:cs="仿宋_GB2312"/>
          <w:b w:val="0"/>
          <w:bCs w:val="0"/>
          <w:color w:val="auto"/>
          <w:sz w:val="24"/>
          <w:highlight w:val="none"/>
        </w:rPr>
      </w:pPr>
      <w:r>
        <w:rPr>
          <w:rFonts w:hint="eastAsia" w:ascii="宋体" w:hAnsi="宋体" w:cs="仿宋_GB2312"/>
          <w:b w:val="0"/>
          <w:bCs w:val="0"/>
          <w:color w:val="auto"/>
          <w:sz w:val="24"/>
          <w:highlight w:val="none"/>
          <w:lang w:eastAsia="zh-CN"/>
        </w:rPr>
        <w:t>（</w:t>
      </w:r>
      <w:r>
        <w:rPr>
          <w:rFonts w:hint="eastAsia" w:ascii="宋体" w:hAnsi="宋体" w:cs="仿宋_GB2312"/>
          <w:b w:val="0"/>
          <w:bCs w:val="0"/>
          <w:color w:val="auto"/>
          <w:sz w:val="24"/>
          <w:highlight w:val="none"/>
          <w:lang w:val="en-US" w:eastAsia="zh-CN"/>
        </w:rPr>
        <w:t>7</w:t>
      </w:r>
      <w:r>
        <w:rPr>
          <w:rFonts w:hint="eastAsia" w:ascii="宋体" w:hAnsi="宋体" w:cs="仿宋_GB2312"/>
          <w:b w:val="0"/>
          <w:bCs w:val="0"/>
          <w:color w:val="auto"/>
          <w:sz w:val="24"/>
          <w:highlight w:val="none"/>
          <w:lang w:eastAsia="zh-CN"/>
        </w:rPr>
        <w:t>）</w:t>
      </w:r>
      <w:r>
        <w:rPr>
          <w:rFonts w:hint="eastAsia" w:ascii="宋体" w:hAnsi="宋体" w:cs="仿宋_GB2312"/>
          <w:b w:val="0"/>
          <w:bCs w:val="0"/>
          <w:color w:val="auto"/>
          <w:sz w:val="24"/>
          <w:highlight w:val="none"/>
        </w:rPr>
        <w:t>工程量清单中的任何内容不得随意更改及删除，不得擅自对招标人提供的工程量清单内容（计量单位、工程数量等）进行变动。工程量清单中所列工程量如有变动，不免除承包人按规定的标准进行施工和修复缺陷的责任。</w:t>
      </w:r>
    </w:p>
    <w:p w14:paraId="157C03AC">
      <w:pPr>
        <w:spacing w:line="360" w:lineRule="auto"/>
        <w:ind w:firstLine="480" w:firstLineChars="200"/>
        <w:jc w:val="left"/>
        <w:rPr>
          <w:rFonts w:hint="eastAsia" w:ascii="宋体" w:hAnsi="宋体" w:cs="仿宋_GB2312"/>
          <w:b w:val="0"/>
          <w:bCs w:val="0"/>
          <w:color w:val="auto"/>
          <w:sz w:val="24"/>
          <w:highlight w:val="none"/>
        </w:rPr>
      </w:pPr>
      <w:r>
        <w:rPr>
          <w:rFonts w:hint="eastAsia" w:ascii="宋体" w:hAnsi="宋体" w:cs="仿宋_GB2312"/>
          <w:b w:val="0"/>
          <w:bCs w:val="0"/>
          <w:color w:val="auto"/>
          <w:sz w:val="24"/>
          <w:highlight w:val="none"/>
          <w:lang w:eastAsia="zh-CN"/>
        </w:rPr>
        <w:t>（</w:t>
      </w:r>
      <w:r>
        <w:rPr>
          <w:rFonts w:hint="eastAsia" w:ascii="宋体" w:hAnsi="宋体" w:cs="仿宋_GB2312"/>
          <w:b w:val="0"/>
          <w:bCs w:val="0"/>
          <w:color w:val="auto"/>
          <w:sz w:val="24"/>
          <w:highlight w:val="none"/>
          <w:lang w:val="en-US" w:eastAsia="zh-CN"/>
        </w:rPr>
        <w:t>8</w:t>
      </w:r>
      <w:r>
        <w:rPr>
          <w:rFonts w:hint="eastAsia" w:ascii="宋体" w:hAnsi="宋体" w:cs="仿宋_GB2312"/>
          <w:b w:val="0"/>
          <w:bCs w:val="0"/>
          <w:color w:val="auto"/>
          <w:sz w:val="24"/>
          <w:highlight w:val="none"/>
          <w:lang w:eastAsia="zh-CN"/>
        </w:rPr>
        <w:t>）</w:t>
      </w:r>
      <w:r>
        <w:rPr>
          <w:rFonts w:hint="eastAsia" w:ascii="宋体" w:hAnsi="宋体" w:cs="仿宋_GB2312"/>
          <w:b w:val="0"/>
          <w:bCs w:val="0"/>
          <w:color w:val="auto"/>
          <w:sz w:val="24"/>
          <w:highlight w:val="none"/>
        </w:rPr>
        <w:t>供应商需提供</w:t>
      </w:r>
      <w:r>
        <w:rPr>
          <w:rFonts w:hint="eastAsia" w:ascii="宋体" w:hAnsi="宋体" w:cs="宋体"/>
          <w:snapToGrid w:val="0"/>
          <w:color w:val="auto"/>
          <w:sz w:val="24"/>
          <w:highlight w:val="none"/>
          <w:lang w:eastAsia="zh-CN"/>
        </w:rPr>
        <w:t>施工</w:t>
      </w:r>
      <w:r>
        <w:rPr>
          <w:rFonts w:hint="eastAsia" w:ascii="宋体" w:hAnsi="宋体" w:cs="宋体"/>
          <w:snapToGrid w:val="0"/>
          <w:color w:val="auto"/>
          <w:sz w:val="24"/>
          <w:highlight w:val="none"/>
        </w:rPr>
        <w:t>现场平面布置情况</w:t>
      </w:r>
      <w:r>
        <w:rPr>
          <w:rFonts w:hint="eastAsia" w:ascii="宋体" w:hAnsi="宋体" w:cs="宋体"/>
          <w:snapToGrid w:val="0"/>
          <w:color w:val="auto"/>
          <w:sz w:val="24"/>
          <w:highlight w:val="none"/>
          <w:lang w:eastAsia="zh-CN"/>
        </w:rPr>
        <w:t>（包含但不仅限于方案详实情况；施工现场临时设置布置情况；施工设备、原材料堆放情况；安全警示情况；施工现场安全通道、消防设施配备情况等）</w:t>
      </w:r>
      <w:r>
        <w:rPr>
          <w:rFonts w:hint="eastAsia" w:ascii="宋体" w:hAnsi="宋体" w:cs="仿宋_GB2312"/>
          <w:b w:val="0"/>
          <w:bCs w:val="0"/>
          <w:color w:val="auto"/>
          <w:sz w:val="24"/>
          <w:highlight w:val="none"/>
        </w:rPr>
        <w:t>；</w:t>
      </w:r>
    </w:p>
    <w:p w14:paraId="5E15A3B9">
      <w:pPr>
        <w:spacing w:line="360" w:lineRule="auto"/>
        <w:ind w:firstLine="480" w:firstLineChars="200"/>
        <w:jc w:val="left"/>
        <w:rPr>
          <w:rFonts w:hint="eastAsia" w:ascii="宋体" w:hAnsi="宋体" w:cs="仿宋_GB2312"/>
          <w:b w:val="0"/>
          <w:bCs w:val="0"/>
          <w:color w:val="auto"/>
          <w:sz w:val="24"/>
          <w:highlight w:val="none"/>
        </w:rPr>
      </w:pPr>
      <w:r>
        <w:rPr>
          <w:rFonts w:hint="eastAsia" w:ascii="宋体" w:hAnsi="宋体" w:cs="仿宋_GB2312"/>
          <w:b w:val="0"/>
          <w:bCs w:val="0"/>
          <w:color w:val="auto"/>
          <w:sz w:val="24"/>
          <w:highlight w:val="none"/>
          <w:lang w:eastAsia="zh-CN"/>
        </w:rPr>
        <w:t>（</w:t>
      </w:r>
      <w:r>
        <w:rPr>
          <w:rFonts w:hint="eastAsia" w:ascii="宋体" w:hAnsi="宋体" w:cs="仿宋_GB2312"/>
          <w:b w:val="0"/>
          <w:bCs w:val="0"/>
          <w:color w:val="auto"/>
          <w:sz w:val="24"/>
          <w:highlight w:val="none"/>
          <w:lang w:val="en-US" w:eastAsia="zh-CN"/>
        </w:rPr>
        <w:t>9</w:t>
      </w:r>
      <w:r>
        <w:rPr>
          <w:rFonts w:hint="eastAsia" w:ascii="宋体" w:hAnsi="宋体" w:cs="仿宋_GB2312"/>
          <w:b w:val="0"/>
          <w:bCs w:val="0"/>
          <w:color w:val="auto"/>
          <w:sz w:val="24"/>
          <w:highlight w:val="none"/>
          <w:lang w:eastAsia="zh-CN"/>
        </w:rPr>
        <w:t>）</w:t>
      </w:r>
      <w:r>
        <w:rPr>
          <w:rFonts w:hint="eastAsia" w:ascii="宋体" w:hAnsi="宋体" w:cs="仿宋_GB2312"/>
          <w:b w:val="0"/>
          <w:bCs w:val="0"/>
          <w:color w:val="auto"/>
          <w:sz w:val="24"/>
          <w:highlight w:val="none"/>
        </w:rPr>
        <w:t>供应商需提供</w:t>
      </w:r>
      <w:r>
        <w:rPr>
          <w:rFonts w:hint="eastAsia" w:ascii="宋体" w:hAnsi="宋体" w:cs="宋体"/>
          <w:color w:val="auto"/>
          <w:sz w:val="24"/>
          <w:szCs w:val="24"/>
          <w:highlight w:val="none"/>
          <w:lang w:eastAsia="zh-CN"/>
        </w:rPr>
        <w:t>施工</w:t>
      </w:r>
      <w:r>
        <w:rPr>
          <w:rFonts w:hint="eastAsia" w:ascii="宋体" w:hAnsi="宋体" w:cs="宋体"/>
          <w:color w:val="auto"/>
          <w:sz w:val="24"/>
          <w:szCs w:val="24"/>
          <w:highlight w:val="none"/>
        </w:rPr>
        <w:t>方案（</w:t>
      </w:r>
      <w:r>
        <w:rPr>
          <w:rFonts w:hint="eastAsia" w:ascii="宋体" w:hAnsi="宋体" w:cs="宋体"/>
          <w:color w:val="auto"/>
          <w:sz w:val="24"/>
          <w:szCs w:val="24"/>
          <w:highlight w:val="none"/>
          <w:lang w:eastAsia="zh-CN"/>
        </w:rPr>
        <w:t>包含但不仅限于安全保障措施，安全文明施工方案及措施、房屋建筑与装饰、</w:t>
      </w:r>
      <w:r>
        <w:rPr>
          <w:rFonts w:hint="eastAsia" w:ascii="宋体" w:hAnsi="宋体" w:cs="宋体"/>
          <w:color w:val="auto"/>
          <w:sz w:val="24"/>
          <w:szCs w:val="24"/>
          <w:highlight w:val="none"/>
          <w:lang w:val="en-US" w:eastAsia="zh-CN"/>
        </w:rPr>
        <w:t>安装</w:t>
      </w:r>
      <w:r>
        <w:rPr>
          <w:rFonts w:hint="eastAsia" w:ascii="宋体" w:hAnsi="宋体" w:cs="宋体"/>
          <w:color w:val="auto"/>
          <w:sz w:val="24"/>
          <w:szCs w:val="24"/>
          <w:highlight w:val="none"/>
          <w:lang w:eastAsia="zh-CN"/>
        </w:rPr>
        <w:t>工程、智能化工程</w:t>
      </w:r>
      <w:r>
        <w:rPr>
          <w:rFonts w:hint="eastAsia" w:ascii="宋体" w:hAnsi="宋体" w:cs="宋体"/>
          <w:color w:val="auto"/>
          <w:sz w:val="24"/>
          <w:szCs w:val="24"/>
          <w:highlight w:val="none"/>
          <w:lang w:val="en-US" w:eastAsia="zh-CN"/>
        </w:rPr>
        <w:t>等</w:t>
      </w:r>
      <w:r>
        <w:rPr>
          <w:rFonts w:hint="eastAsia" w:ascii="宋体" w:hAnsi="宋体" w:cs="宋体"/>
          <w:color w:val="auto"/>
          <w:sz w:val="24"/>
          <w:szCs w:val="24"/>
          <w:highlight w:val="none"/>
        </w:rPr>
        <w:t>）</w:t>
      </w:r>
      <w:r>
        <w:rPr>
          <w:rFonts w:hint="eastAsia" w:ascii="宋体" w:hAnsi="宋体" w:cs="仿宋_GB2312"/>
          <w:b w:val="0"/>
          <w:bCs w:val="0"/>
          <w:color w:val="auto"/>
          <w:sz w:val="24"/>
          <w:highlight w:val="none"/>
        </w:rPr>
        <w:t>；</w:t>
      </w:r>
    </w:p>
    <w:p w14:paraId="5B200641">
      <w:pPr>
        <w:spacing w:line="360" w:lineRule="auto"/>
        <w:ind w:firstLine="480" w:firstLineChars="200"/>
        <w:jc w:val="left"/>
        <w:rPr>
          <w:rFonts w:hint="eastAsia" w:ascii="宋体" w:hAnsi="宋体" w:cs="仿宋_GB2312"/>
          <w:b w:val="0"/>
          <w:bCs w:val="0"/>
          <w:color w:val="auto"/>
          <w:sz w:val="24"/>
          <w:highlight w:val="none"/>
        </w:rPr>
      </w:pPr>
      <w:r>
        <w:rPr>
          <w:rFonts w:hint="eastAsia" w:ascii="宋体" w:hAnsi="宋体" w:cs="仿宋_GB2312"/>
          <w:b w:val="0"/>
          <w:bCs w:val="0"/>
          <w:color w:val="auto"/>
          <w:sz w:val="24"/>
          <w:highlight w:val="none"/>
          <w:lang w:eastAsia="zh-CN"/>
        </w:rPr>
        <w:t>（</w:t>
      </w:r>
      <w:r>
        <w:rPr>
          <w:rFonts w:hint="eastAsia" w:ascii="宋体" w:hAnsi="宋体" w:cs="仿宋_GB2312"/>
          <w:b w:val="0"/>
          <w:bCs w:val="0"/>
          <w:color w:val="auto"/>
          <w:sz w:val="24"/>
          <w:highlight w:val="none"/>
          <w:lang w:val="en-US" w:eastAsia="zh-CN"/>
        </w:rPr>
        <w:t>10</w:t>
      </w:r>
      <w:r>
        <w:rPr>
          <w:rFonts w:hint="eastAsia" w:ascii="宋体" w:hAnsi="宋体" w:cs="仿宋_GB2312"/>
          <w:b w:val="0"/>
          <w:bCs w:val="0"/>
          <w:color w:val="auto"/>
          <w:sz w:val="24"/>
          <w:highlight w:val="none"/>
          <w:lang w:eastAsia="zh-CN"/>
        </w:rPr>
        <w:t>）</w:t>
      </w:r>
      <w:r>
        <w:rPr>
          <w:rFonts w:hint="eastAsia" w:ascii="宋体" w:hAnsi="宋体" w:cs="仿宋_GB2312"/>
          <w:b w:val="0"/>
          <w:bCs w:val="0"/>
          <w:color w:val="auto"/>
          <w:sz w:val="24"/>
          <w:highlight w:val="none"/>
        </w:rPr>
        <w:t>供应商需提供</w:t>
      </w:r>
      <w:r>
        <w:rPr>
          <w:rFonts w:hint="eastAsia" w:ascii="宋体" w:hAnsi="宋体" w:cs="宋体"/>
          <w:color w:val="auto"/>
          <w:sz w:val="24"/>
          <w:szCs w:val="24"/>
          <w:highlight w:val="none"/>
        </w:rPr>
        <w:t>施工进度计划安排</w:t>
      </w:r>
      <w:r>
        <w:rPr>
          <w:rFonts w:hint="eastAsia" w:ascii="宋体" w:hAnsi="宋体" w:cs="宋体"/>
          <w:color w:val="auto"/>
          <w:sz w:val="24"/>
          <w:szCs w:val="24"/>
          <w:highlight w:val="none"/>
          <w:lang w:eastAsia="zh-CN"/>
        </w:rPr>
        <w:t>（包含但不仅限于方案详实情况、时间节点安排情况等）</w:t>
      </w:r>
      <w:r>
        <w:rPr>
          <w:rFonts w:hint="eastAsia" w:ascii="宋体" w:hAnsi="宋体" w:cs="仿宋_GB2312"/>
          <w:b w:val="0"/>
          <w:bCs w:val="0"/>
          <w:color w:val="auto"/>
          <w:sz w:val="24"/>
          <w:highlight w:val="none"/>
        </w:rPr>
        <w:t>；</w:t>
      </w:r>
    </w:p>
    <w:p w14:paraId="03B06338">
      <w:pPr>
        <w:spacing w:line="360" w:lineRule="auto"/>
        <w:ind w:firstLine="480" w:firstLineChars="200"/>
        <w:jc w:val="left"/>
        <w:rPr>
          <w:rFonts w:hint="eastAsia" w:ascii="宋体" w:hAnsi="宋体" w:cs="仿宋_GB2312"/>
          <w:b w:val="0"/>
          <w:bCs w:val="0"/>
          <w:color w:val="auto"/>
          <w:sz w:val="24"/>
          <w:highlight w:val="none"/>
        </w:rPr>
      </w:pPr>
      <w:r>
        <w:rPr>
          <w:rFonts w:hint="eastAsia" w:ascii="宋体" w:hAnsi="宋体" w:cs="仿宋_GB2312"/>
          <w:b w:val="0"/>
          <w:bCs w:val="0"/>
          <w:color w:val="auto"/>
          <w:sz w:val="24"/>
          <w:highlight w:val="none"/>
          <w:lang w:eastAsia="zh-CN"/>
        </w:rPr>
        <w:t>（</w:t>
      </w:r>
      <w:r>
        <w:rPr>
          <w:rFonts w:hint="eastAsia" w:ascii="宋体" w:hAnsi="宋体" w:cs="仿宋_GB2312"/>
          <w:b w:val="0"/>
          <w:bCs w:val="0"/>
          <w:color w:val="auto"/>
          <w:sz w:val="24"/>
          <w:highlight w:val="none"/>
          <w:lang w:val="en-US" w:eastAsia="zh-CN"/>
        </w:rPr>
        <w:t>11</w:t>
      </w:r>
      <w:r>
        <w:rPr>
          <w:rFonts w:hint="eastAsia" w:ascii="宋体" w:hAnsi="宋体" w:cs="仿宋_GB2312"/>
          <w:b w:val="0"/>
          <w:bCs w:val="0"/>
          <w:color w:val="auto"/>
          <w:sz w:val="24"/>
          <w:highlight w:val="none"/>
          <w:lang w:eastAsia="zh-CN"/>
        </w:rPr>
        <w:t>）</w:t>
      </w:r>
      <w:r>
        <w:rPr>
          <w:rFonts w:hint="eastAsia" w:ascii="宋体" w:hAnsi="宋体" w:cs="仿宋_GB2312"/>
          <w:b w:val="0"/>
          <w:bCs w:val="0"/>
          <w:color w:val="auto"/>
          <w:sz w:val="24"/>
          <w:highlight w:val="none"/>
        </w:rPr>
        <w:t>供应商需提供</w:t>
      </w:r>
      <w:r>
        <w:rPr>
          <w:rFonts w:hint="eastAsia" w:ascii="宋体" w:hAnsi="宋体" w:cs="宋体"/>
          <w:color w:val="auto"/>
          <w:sz w:val="24"/>
          <w:szCs w:val="24"/>
          <w:highlight w:val="none"/>
        </w:rPr>
        <w:t>施工质量保证措施（包含但不仅限于材料及设备质量保证措施等）</w:t>
      </w:r>
      <w:r>
        <w:rPr>
          <w:rFonts w:hint="eastAsia" w:ascii="宋体" w:hAnsi="宋体" w:cs="仿宋_GB2312"/>
          <w:b w:val="0"/>
          <w:bCs w:val="0"/>
          <w:color w:val="auto"/>
          <w:sz w:val="24"/>
          <w:highlight w:val="none"/>
        </w:rPr>
        <w:t>；</w:t>
      </w:r>
    </w:p>
    <w:p w14:paraId="7DFC6AEE">
      <w:pPr>
        <w:spacing w:line="360" w:lineRule="auto"/>
        <w:ind w:firstLine="480" w:firstLineChars="200"/>
        <w:jc w:val="left"/>
        <w:rPr>
          <w:rFonts w:hint="eastAsia" w:ascii="宋体" w:hAnsi="宋体" w:cs="仿宋_GB2312"/>
          <w:b w:val="0"/>
          <w:bCs w:val="0"/>
          <w:color w:val="auto"/>
          <w:sz w:val="24"/>
          <w:highlight w:val="none"/>
        </w:rPr>
      </w:pPr>
      <w:r>
        <w:rPr>
          <w:rFonts w:hint="eastAsia" w:ascii="宋体" w:hAnsi="宋体" w:cs="仿宋_GB2312"/>
          <w:b w:val="0"/>
          <w:bCs w:val="0"/>
          <w:color w:val="auto"/>
          <w:sz w:val="24"/>
          <w:highlight w:val="none"/>
          <w:lang w:eastAsia="zh-CN"/>
        </w:rPr>
        <w:t>（</w:t>
      </w:r>
      <w:r>
        <w:rPr>
          <w:rFonts w:hint="eastAsia" w:ascii="宋体" w:hAnsi="宋体" w:cs="仿宋_GB2312"/>
          <w:b w:val="0"/>
          <w:bCs w:val="0"/>
          <w:color w:val="auto"/>
          <w:sz w:val="24"/>
          <w:highlight w:val="none"/>
          <w:lang w:val="en-US" w:eastAsia="zh-CN"/>
        </w:rPr>
        <w:t>12</w:t>
      </w:r>
      <w:r>
        <w:rPr>
          <w:rFonts w:hint="eastAsia" w:ascii="宋体" w:hAnsi="宋体" w:cs="仿宋_GB2312"/>
          <w:b w:val="0"/>
          <w:bCs w:val="0"/>
          <w:color w:val="auto"/>
          <w:sz w:val="24"/>
          <w:highlight w:val="none"/>
          <w:lang w:eastAsia="zh-CN"/>
        </w:rPr>
        <w:t>）</w:t>
      </w:r>
      <w:r>
        <w:rPr>
          <w:rFonts w:hint="eastAsia" w:ascii="宋体" w:hAnsi="宋体" w:cs="仿宋_GB2312"/>
          <w:b w:val="0"/>
          <w:bCs w:val="0"/>
          <w:color w:val="auto"/>
          <w:sz w:val="24"/>
          <w:highlight w:val="none"/>
        </w:rPr>
        <w:t>供应商需提供</w:t>
      </w:r>
      <w:r>
        <w:rPr>
          <w:rFonts w:ascii="宋体" w:hAnsi="宋体" w:cs="宋体"/>
          <w:color w:val="auto"/>
          <w:sz w:val="24"/>
          <w:szCs w:val="24"/>
          <w:highlight w:val="none"/>
        </w:rPr>
        <w:t>项目关键点</w:t>
      </w:r>
      <w:r>
        <w:rPr>
          <w:rFonts w:hint="eastAsia" w:ascii="宋体" w:hAnsi="宋体" w:cs="宋体"/>
          <w:color w:val="auto"/>
          <w:sz w:val="24"/>
          <w:szCs w:val="24"/>
          <w:highlight w:val="none"/>
          <w:lang w:val="en-US" w:eastAsia="zh-CN"/>
        </w:rPr>
        <w:t>和</w:t>
      </w:r>
      <w:r>
        <w:rPr>
          <w:rFonts w:hint="eastAsia" w:ascii="宋体" w:hAnsi="宋体" w:cs="宋体"/>
          <w:color w:val="auto"/>
          <w:sz w:val="24"/>
          <w:szCs w:val="24"/>
          <w:highlight w:val="none"/>
          <w:lang w:eastAsia="zh-CN"/>
        </w:rPr>
        <w:t>重难点分析（包含但不仅限于房屋建筑与装饰、</w:t>
      </w:r>
      <w:r>
        <w:rPr>
          <w:rFonts w:hint="eastAsia" w:ascii="宋体" w:hAnsi="宋体" w:cs="宋体"/>
          <w:color w:val="auto"/>
          <w:sz w:val="24"/>
          <w:szCs w:val="24"/>
          <w:highlight w:val="none"/>
          <w:lang w:val="en-US" w:eastAsia="zh-CN"/>
        </w:rPr>
        <w:t>安装</w:t>
      </w:r>
      <w:r>
        <w:rPr>
          <w:rFonts w:hint="eastAsia" w:ascii="宋体" w:hAnsi="宋体" w:cs="宋体"/>
          <w:color w:val="auto"/>
          <w:sz w:val="24"/>
          <w:szCs w:val="24"/>
          <w:highlight w:val="none"/>
          <w:lang w:eastAsia="zh-CN"/>
        </w:rPr>
        <w:t>工程、智能化工程</w:t>
      </w:r>
      <w:r>
        <w:rPr>
          <w:rFonts w:hint="eastAsia" w:ascii="宋体" w:hAnsi="宋体" w:cs="宋体"/>
          <w:color w:val="auto"/>
          <w:sz w:val="24"/>
          <w:szCs w:val="24"/>
          <w:highlight w:val="none"/>
          <w:lang w:val="en-US" w:eastAsia="zh-CN"/>
        </w:rPr>
        <w:t>等</w:t>
      </w:r>
      <w:r>
        <w:rPr>
          <w:rFonts w:hint="eastAsia" w:ascii="宋体" w:hAnsi="宋体" w:cs="宋体"/>
          <w:color w:val="auto"/>
          <w:sz w:val="24"/>
          <w:szCs w:val="24"/>
          <w:highlight w:val="none"/>
          <w:lang w:eastAsia="zh-CN"/>
        </w:rPr>
        <w:t>）</w:t>
      </w:r>
      <w:r>
        <w:rPr>
          <w:rFonts w:hint="eastAsia" w:ascii="宋体" w:hAnsi="宋体" w:cs="仿宋_GB2312"/>
          <w:b w:val="0"/>
          <w:bCs w:val="0"/>
          <w:color w:val="auto"/>
          <w:sz w:val="24"/>
          <w:highlight w:val="none"/>
        </w:rPr>
        <w:t>；</w:t>
      </w:r>
    </w:p>
    <w:p w14:paraId="4CCD0AEF">
      <w:pPr>
        <w:spacing w:line="360" w:lineRule="auto"/>
        <w:ind w:firstLine="480" w:firstLineChars="200"/>
        <w:jc w:val="left"/>
        <w:rPr>
          <w:rFonts w:hint="eastAsia" w:ascii="宋体" w:hAnsi="宋体" w:cs="仿宋_GB2312"/>
          <w:b w:val="0"/>
          <w:bCs w:val="0"/>
          <w:color w:val="auto"/>
          <w:sz w:val="24"/>
          <w:highlight w:val="none"/>
        </w:rPr>
      </w:pPr>
      <w:r>
        <w:rPr>
          <w:rFonts w:hint="eastAsia" w:ascii="宋体" w:hAnsi="宋体" w:cs="仿宋_GB2312"/>
          <w:b w:val="0"/>
          <w:bCs w:val="0"/>
          <w:color w:val="auto"/>
          <w:sz w:val="24"/>
          <w:highlight w:val="none"/>
          <w:lang w:eastAsia="zh-CN"/>
        </w:rPr>
        <w:t>（</w:t>
      </w:r>
      <w:r>
        <w:rPr>
          <w:rFonts w:hint="eastAsia" w:ascii="宋体" w:hAnsi="宋体" w:cs="仿宋_GB2312"/>
          <w:b w:val="0"/>
          <w:bCs w:val="0"/>
          <w:color w:val="auto"/>
          <w:sz w:val="24"/>
          <w:highlight w:val="none"/>
          <w:lang w:val="en-US" w:eastAsia="zh-CN"/>
        </w:rPr>
        <w:t>13</w:t>
      </w:r>
      <w:r>
        <w:rPr>
          <w:rFonts w:hint="eastAsia" w:ascii="宋体" w:hAnsi="宋体" w:cs="仿宋_GB2312"/>
          <w:b w:val="0"/>
          <w:bCs w:val="0"/>
          <w:color w:val="auto"/>
          <w:sz w:val="24"/>
          <w:highlight w:val="none"/>
          <w:lang w:eastAsia="zh-CN"/>
        </w:rPr>
        <w:t>）</w:t>
      </w:r>
      <w:r>
        <w:rPr>
          <w:rFonts w:hint="eastAsia" w:ascii="宋体" w:hAnsi="宋体" w:cs="仿宋_GB2312"/>
          <w:b w:val="0"/>
          <w:bCs w:val="0"/>
          <w:color w:val="auto"/>
          <w:sz w:val="24"/>
          <w:highlight w:val="none"/>
        </w:rPr>
        <w:t>供应商需提供</w:t>
      </w:r>
      <w:r>
        <w:rPr>
          <w:rFonts w:hint="eastAsia" w:ascii="宋体" w:hAnsi="宋体" w:cs="宋体"/>
          <w:color w:val="auto"/>
          <w:sz w:val="24"/>
          <w:szCs w:val="24"/>
          <w:highlight w:val="none"/>
        </w:rPr>
        <w:t>施工环保管理措施</w:t>
      </w:r>
      <w:r>
        <w:rPr>
          <w:rFonts w:hint="eastAsia" w:ascii="宋体" w:hAnsi="宋体" w:cs="宋体"/>
          <w:color w:val="auto"/>
          <w:sz w:val="24"/>
          <w:szCs w:val="24"/>
          <w:highlight w:val="none"/>
          <w:lang w:eastAsia="zh-CN"/>
        </w:rPr>
        <w:t>（包含但不仅限于防噪音、防扬尘、防刺鼻气味，空气检测、空气治理等施工环境维护保障措施等）</w:t>
      </w:r>
      <w:r>
        <w:rPr>
          <w:rFonts w:hint="eastAsia" w:ascii="宋体" w:hAnsi="宋体" w:cs="仿宋_GB2312"/>
          <w:b w:val="0"/>
          <w:bCs w:val="0"/>
          <w:color w:val="auto"/>
          <w:sz w:val="24"/>
          <w:highlight w:val="none"/>
        </w:rPr>
        <w:t>；</w:t>
      </w:r>
    </w:p>
    <w:p w14:paraId="2FB58BA4">
      <w:pPr>
        <w:spacing w:line="360" w:lineRule="auto"/>
        <w:ind w:firstLine="480" w:firstLineChars="200"/>
        <w:jc w:val="left"/>
        <w:rPr>
          <w:rFonts w:hint="eastAsia" w:ascii="宋体" w:hAnsi="宋体" w:cs="仿宋_GB2312"/>
          <w:b w:val="0"/>
          <w:bCs w:val="0"/>
          <w:color w:val="auto"/>
          <w:sz w:val="24"/>
          <w:highlight w:val="none"/>
        </w:rPr>
      </w:pPr>
      <w:r>
        <w:rPr>
          <w:rFonts w:hint="eastAsia" w:ascii="宋体" w:hAnsi="宋体" w:cs="仿宋_GB2312"/>
          <w:b w:val="0"/>
          <w:bCs w:val="0"/>
          <w:color w:val="auto"/>
          <w:sz w:val="24"/>
          <w:highlight w:val="none"/>
          <w:lang w:eastAsia="zh-CN"/>
        </w:rPr>
        <w:t>（</w:t>
      </w:r>
      <w:r>
        <w:rPr>
          <w:rFonts w:hint="eastAsia" w:ascii="宋体" w:hAnsi="宋体" w:cs="仿宋_GB2312"/>
          <w:b w:val="0"/>
          <w:bCs w:val="0"/>
          <w:color w:val="auto"/>
          <w:sz w:val="24"/>
          <w:highlight w:val="none"/>
          <w:lang w:val="en-US" w:eastAsia="zh-CN"/>
        </w:rPr>
        <w:t>14</w:t>
      </w:r>
      <w:r>
        <w:rPr>
          <w:rFonts w:hint="eastAsia" w:ascii="宋体" w:hAnsi="宋体" w:cs="仿宋_GB2312"/>
          <w:b w:val="0"/>
          <w:bCs w:val="0"/>
          <w:color w:val="auto"/>
          <w:sz w:val="24"/>
          <w:highlight w:val="none"/>
          <w:lang w:eastAsia="zh-CN"/>
        </w:rPr>
        <w:t>）</w:t>
      </w:r>
      <w:r>
        <w:rPr>
          <w:rFonts w:hint="eastAsia" w:ascii="宋体" w:hAnsi="宋体" w:cs="仿宋_GB2312"/>
          <w:b w:val="0"/>
          <w:bCs w:val="0"/>
          <w:color w:val="auto"/>
          <w:sz w:val="24"/>
          <w:highlight w:val="none"/>
        </w:rPr>
        <w:t>供应商需提供</w:t>
      </w:r>
      <w:r>
        <w:rPr>
          <w:rFonts w:hint="eastAsia" w:ascii="宋体" w:hAnsi="宋体" w:eastAsia="宋体" w:cs="宋体"/>
          <w:color w:val="auto"/>
          <w:sz w:val="24"/>
          <w:szCs w:val="24"/>
          <w:highlight w:val="none"/>
          <w:lang w:val="en-US" w:eastAsia="zh-CN"/>
        </w:rPr>
        <w:t>突发事件应急措施（包含但不仅限于发生火灾、触电、机械伤害、化学品伤害等事故的逃生和急救方案等）</w:t>
      </w:r>
      <w:r>
        <w:rPr>
          <w:rFonts w:hint="eastAsia" w:ascii="宋体" w:hAnsi="宋体" w:cs="仿宋_GB2312"/>
          <w:b w:val="0"/>
          <w:bCs w:val="0"/>
          <w:color w:val="auto"/>
          <w:sz w:val="24"/>
          <w:highlight w:val="none"/>
        </w:rPr>
        <w:t>；</w:t>
      </w:r>
    </w:p>
    <w:p w14:paraId="0339D066">
      <w:pPr>
        <w:spacing w:line="360" w:lineRule="auto"/>
        <w:ind w:firstLine="480" w:firstLineChars="200"/>
        <w:jc w:val="left"/>
        <w:rPr>
          <w:rFonts w:hint="eastAsia" w:ascii="宋体" w:hAnsi="宋体" w:cs="仿宋_GB2312"/>
          <w:b w:val="0"/>
          <w:bCs w:val="0"/>
          <w:color w:val="auto"/>
          <w:sz w:val="24"/>
          <w:highlight w:val="none"/>
        </w:rPr>
      </w:pPr>
      <w:r>
        <w:rPr>
          <w:rFonts w:hint="eastAsia" w:ascii="宋体" w:hAnsi="宋体" w:cs="仿宋_GB2312"/>
          <w:b w:val="0"/>
          <w:bCs w:val="0"/>
          <w:color w:val="auto"/>
          <w:sz w:val="24"/>
          <w:highlight w:val="none"/>
          <w:lang w:eastAsia="zh-CN"/>
        </w:rPr>
        <w:t>（</w:t>
      </w:r>
      <w:r>
        <w:rPr>
          <w:rFonts w:hint="eastAsia" w:ascii="宋体" w:hAnsi="宋体" w:cs="仿宋_GB2312"/>
          <w:b w:val="0"/>
          <w:bCs w:val="0"/>
          <w:color w:val="auto"/>
          <w:sz w:val="24"/>
          <w:highlight w:val="none"/>
          <w:lang w:val="en-US" w:eastAsia="zh-CN"/>
        </w:rPr>
        <w:t>15</w:t>
      </w:r>
      <w:r>
        <w:rPr>
          <w:rFonts w:hint="eastAsia" w:ascii="宋体" w:hAnsi="宋体" w:cs="仿宋_GB2312"/>
          <w:b w:val="0"/>
          <w:bCs w:val="0"/>
          <w:color w:val="auto"/>
          <w:sz w:val="24"/>
          <w:highlight w:val="none"/>
          <w:lang w:eastAsia="zh-CN"/>
        </w:rPr>
        <w:t>）</w:t>
      </w:r>
      <w:r>
        <w:rPr>
          <w:rFonts w:hint="eastAsia" w:ascii="宋体" w:hAnsi="宋体" w:cs="仿宋_GB2312"/>
          <w:b w:val="0"/>
          <w:bCs w:val="0"/>
          <w:color w:val="auto"/>
          <w:sz w:val="24"/>
          <w:highlight w:val="none"/>
        </w:rPr>
        <w:t>供应商需提供主要施工机械设备的选用和管理；</w:t>
      </w:r>
    </w:p>
    <w:p w14:paraId="1F8A97F0">
      <w:pPr>
        <w:spacing w:line="360" w:lineRule="auto"/>
        <w:ind w:firstLine="480" w:firstLineChars="200"/>
        <w:jc w:val="left"/>
        <w:rPr>
          <w:rFonts w:hint="eastAsia" w:ascii="宋体" w:hAnsi="宋体" w:cs="仿宋_GB2312"/>
          <w:b w:val="0"/>
          <w:bCs w:val="0"/>
          <w:color w:val="auto"/>
          <w:sz w:val="24"/>
          <w:highlight w:val="none"/>
        </w:rPr>
      </w:pPr>
      <w:r>
        <w:rPr>
          <w:rFonts w:hint="eastAsia" w:ascii="宋体" w:hAnsi="宋体" w:cs="仿宋_GB2312"/>
          <w:b w:val="0"/>
          <w:bCs w:val="0"/>
          <w:color w:val="auto"/>
          <w:sz w:val="24"/>
          <w:highlight w:val="none"/>
          <w:lang w:eastAsia="zh-CN"/>
        </w:rPr>
        <w:t>（</w:t>
      </w:r>
      <w:r>
        <w:rPr>
          <w:rFonts w:hint="eastAsia" w:ascii="宋体" w:hAnsi="宋体" w:cs="仿宋_GB2312"/>
          <w:b w:val="0"/>
          <w:bCs w:val="0"/>
          <w:color w:val="auto"/>
          <w:sz w:val="24"/>
          <w:highlight w:val="none"/>
          <w:lang w:val="en-US" w:eastAsia="zh-CN"/>
        </w:rPr>
        <w:t>16</w:t>
      </w:r>
      <w:r>
        <w:rPr>
          <w:rFonts w:hint="eastAsia" w:ascii="宋体" w:hAnsi="宋体" w:cs="仿宋_GB2312"/>
          <w:b w:val="0"/>
          <w:bCs w:val="0"/>
          <w:color w:val="auto"/>
          <w:sz w:val="24"/>
          <w:highlight w:val="none"/>
          <w:lang w:eastAsia="zh-CN"/>
        </w:rPr>
        <w:t>）</w:t>
      </w:r>
      <w:r>
        <w:rPr>
          <w:rFonts w:hint="eastAsia" w:ascii="宋体" w:hAnsi="宋体" w:cs="仿宋_GB2312"/>
          <w:b w:val="0"/>
          <w:bCs w:val="0"/>
          <w:color w:val="auto"/>
          <w:sz w:val="24"/>
          <w:highlight w:val="none"/>
        </w:rPr>
        <w:t>供应商需提供拟派本项目的项目</w:t>
      </w:r>
      <w:r>
        <w:rPr>
          <w:rFonts w:hint="eastAsia" w:ascii="宋体" w:hAnsi="宋体" w:cs="仿宋_GB2312"/>
          <w:b w:val="0"/>
          <w:bCs w:val="0"/>
          <w:color w:val="auto"/>
          <w:sz w:val="24"/>
          <w:highlight w:val="none"/>
          <w:lang w:val="en-US" w:eastAsia="zh-CN"/>
        </w:rPr>
        <w:t>经理</w:t>
      </w:r>
      <w:r>
        <w:rPr>
          <w:rFonts w:hint="eastAsia" w:ascii="宋体" w:hAnsi="宋体" w:cs="仿宋_GB2312"/>
          <w:b w:val="0"/>
          <w:bCs w:val="0"/>
          <w:color w:val="auto"/>
          <w:sz w:val="24"/>
          <w:highlight w:val="none"/>
        </w:rPr>
        <w:t>、技术负责人、以及其他人员配备情况（包括但不仅限于安全员、质检员、施工员、拟派人员从事本项目相关行业工作年限及经验等）；</w:t>
      </w:r>
    </w:p>
    <w:p w14:paraId="1E2E1815">
      <w:pPr>
        <w:spacing w:line="360" w:lineRule="auto"/>
        <w:ind w:firstLine="480" w:firstLineChars="200"/>
        <w:jc w:val="left"/>
        <w:rPr>
          <w:rFonts w:hint="eastAsia" w:ascii="宋体" w:hAnsi="宋体" w:eastAsia="宋体" w:cs="仿宋_GB2312"/>
          <w:b w:val="0"/>
          <w:bCs w:val="0"/>
          <w:color w:val="auto"/>
          <w:sz w:val="24"/>
          <w:highlight w:val="none"/>
          <w:lang w:val="en-US" w:eastAsia="zh-CN"/>
        </w:rPr>
      </w:pPr>
      <w:r>
        <w:rPr>
          <w:rFonts w:hint="eastAsia" w:ascii="宋体" w:hAnsi="宋体" w:cs="仿宋_GB2312"/>
          <w:b w:val="0"/>
          <w:bCs w:val="0"/>
          <w:color w:val="auto"/>
          <w:sz w:val="24"/>
          <w:highlight w:val="none"/>
          <w:lang w:eastAsia="zh-CN"/>
        </w:rPr>
        <w:t>（</w:t>
      </w:r>
      <w:r>
        <w:rPr>
          <w:rFonts w:hint="eastAsia" w:ascii="宋体" w:hAnsi="宋体" w:cs="仿宋_GB2312"/>
          <w:b w:val="0"/>
          <w:bCs w:val="0"/>
          <w:color w:val="auto"/>
          <w:sz w:val="24"/>
          <w:highlight w:val="none"/>
          <w:lang w:val="en-US" w:eastAsia="zh-CN"/>
        </w:rPr>
        <w:t>17</w:t>
      </w:r>
      <w:r>
        <w:rPr>
          <w:rFonts w:hint="eastAsia" w:ascii="宋体" w:hAnsi="宋体" w:cs="仿宋_GB2312"/>
          <w:b w:val="0"/>
          <w:bCs w:val="0"/>
          <w:color w:val="auto"/>
          <w:sz w:val="24"/>
          <w:highlight w:val="none"/>
          <w:lang w:eastAsia="zh-CN"/>
        </w:rPr>
        <w:t>）</w:t>
      </w:r>
      <w:r>
        <w:rPr>
          <w:rFonts w:hint="eastAsia" w:ascii="宋体" w:hAnsi="宋体" w:cs="仿宋_GB2312"/>
          <w:b w:val="0"/>
          <w:bCs w:val="0"/>
          <w:color w:val="auto"/>
          <w:sz w:val="24"/>
          <w:highlight w:val="none"/>
        </w:rPr>
        <w:t>供应商需提供</w:t>
      </w:r>
      <w:r>
        <w:rPr>
          <w:rFonts w:hint="eastAsia" w:ascii="宋体" w:hAnsi="宋体" w:eastAsia="宋体" w:cs="宋体"/>
          <w:snapToGrid w:val="0"/>
          <w:color w:val="auto"/>
          <w:sz w:val="24"/>
          <w:highlight w:val="none"/>
        </w:rPr>
        <w:t>产品保护措施（包括但不仅限于防止采购的原材料、样品、已完工的成品等失窃或失火）</w:t>
      </w:r>
      <w:r>
        <w:rPr>
          <w:rFonts w:hint="eastAsia" w:ascii="宋体" w:hAnsi="宋体" w:cs="宋体"/>
          <w:snapToGrid w:val="0"/>
          <w:color w:val="auto"/>
          <w:sz w:val="24"/>
          <w:highlight w:val="none"/>
          <w:lang w:eastAsia="zh-CN"/>
        </w:rPr>
        <w:t>；</w:t>
      </w:r>
    </w:p>
    <w:p w14:paraId="20072CC0">
      <w:pPr>
        <w:spacing w:line="360" w:lineRule="auto"/>
        <w:ind w:firstLine="480" w:firstLineChars="200"/>
        <w:jc w:val="left"/>
        <w:rPr>
          <w:rFonts w:hint="eastAsia" w:ascii="宋体" w:hAnsi="宋体" w:cs="仿宋_GB2312"/>
          <w:b w:val="0"/>
          <w:bCs w:val="0"/>
          <w:color w:val="auto"/>
          <w:sz w:val="24"/>
          <w:highlight w:val="none"/>
          <w:lang w:val="en-US" w:eastAsia="zh-CN"/>
        </w:rPr>
      </w:pPr>
      <w:r>
        <w:rPr>
          <w:rFonts w:hint="eastAsia" w:ascii="宋体" w:hAnsi="宋体" w:cs="仿宋_GB2312"/>
          <w:b w:val="0"/>
          <w:bCs w:val="0"/>
          <w:color w:val="auto"/>
          <w:sz w:val="24"/>
          <w:highlight w:val="none"/>
          <w:lang w:eastAsia="zh-CN"/>
        </w:rPr>
        <w:t>（</w:t>
      </w:r>
      <w:r>
        <w:rPr>
          <w:rFonts w:hint="eastAsia" w:ascii="宋体" w:hAnsi="宋体" w:cs="仿宋_GB2312"/>
          <w:b w:val="0"/>
          <w:bCs w:val="0"/>
          <w:color w:val="auto"/>
          <w:sz w:val="24"/>
          <w:highlight w:val="none"/>
          <w:lang w:val="en-US" w:eastAsia="zh-CN"/>
        </w:rPr>
        <w:t>18</w:t>
      </w:r>
      <w:r>
        <w:rPr>
          <w:rFonts w:hint="eastAsia" w:ascii="宋体" w:hAnsi="宋体" w:cs="仿宋_GB2312"/>
          <w:b w:val="0"/>
          <w:bCs w:val="0"/>
          <w:color w:val="auto"/>
          <w:sz w:val="24"/>
          <w:highlight w:val="none"/>
          <w:lang w:eastAsia="zh-CN"/>
        </w:rPr>
        <w:t>）</w:t>
      </w:r>
      <w:r>
        <w:rPr>
          <w:rFonts w:hint="eastAsia" w:ascii="宋体" w:hAnsi="宋体" w:cs="仿宋_GB2312"/>
          <w:b w:val="0"/>
          <w:bCs w:val="0"/>
          <w:color w:val="auto"/>
          <w:sz w:val="24"/>
          <w:highlight w:val="none"/>
        </w:rPr>
        <w:t>供应商需提供</w:t>
      </w:r>
      <w:r>
        <w:rPr>
          <w:rFonts w:hint="eastAsia" w:ascii="宋体" w:hAnsi="宋体" w:eastAsia="宋体" w:cs="宋体"/>
          <w:color w:val="auto"/>
          <w:sz w:val="24"/>
          <w:szCs w:val="24"/>
          <w:highlight w:val="none"/>
          <w:lang w:val="en-US" w:eastAsia="zh-CN"/>
        </w:rPr>
        <w:t>售后服务服务响应（包括但不限于保修期内接到采购人通知后到达时间、处理及时的承诺响应</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一般事故、紧急抢修事故、涉及结构安全的质量问题等）</w:t>
      </w:r>
      <w:r>
        <w:rPr>
          <w:rFonts w:hint="eastAsia" w:ascii="宋体" w:hAnsi="宋体" w:cs="宋体"/>
          <w:color w:val="auto"/>
          <w:sz w:val="24"/>
          <w:szCs w:val="24"/>
          <w:highlight w:val="none"/>
          <w:lang w:val="en-US" w:eastAsia="zh-CN"/>
        </w:rPr>
        <w:t>；</w:t>
      </w:r>
    </w:p>
    <w:p w14:paraId="44F597F0">
      <w:pPr>
        <w:spacing w:line="360" w:lineRule="auto"/>
        <w:ind w:firstLine="480" w:firstLineChars="200"/>
        <w:jc w:val="left"/>
        <w:rPr>
          <w:rFonts w:hint="eastAsia" w:ascii="宋体" w:hAnsi="宋体" w:cs="仿宋_GB2312"/>
          <w:b w:val="0"/>
          <w:bCs w:val="0"/>
          <w:color w:val="auto"/>
          <w:sz w:val="24"/>
          <w:highlight w:val="none"/>
        </w:rPr>
      </w:pPr>
      <w:r>
        <w:rPr>
          <w:rFonts w:hint="eastAsia" w:ascii="宋体" w:hAnsi="宋体" w:cs="仿宋_GB2312"/>
          <w:b w:val="0"/>
          <w:bCs w:val="0"/>
          <w:color w:val="auto"/>
          <w:sz w:val="24"/>
          <w:highlight w:val="none"/>
          <w:lang w:eastAsia="zh-CN"/>
        </w:rPr>
        <w:t>（</w:t>
      </w:r>
      <w:r>
        <w:rPr>
          <w:rFonts w:hint="eastAsia" w:ascii="宋体" w:hAnsi="宋体" w:cs="仿宋_GB2312"/>
          <w:b w:val="0"/>
          <w:bCs w:val="0"/>
          <w:color w:val="auto"/>
          <w:sz w:val="24"/>
          <w:highlight w:val="none"/>
          <w:lang w:val="en-US" w:eastAsia="zh-CN"/>
        </w:rPr>
        <w:t>19</w:t>
      </w:r>
      <w:r>
        <w:rPr>
          <w:rFonts w:hint="eastAsia" w:ascii="宋体" w:hAnsi="宋体" w:cs="仿宋_GB2312"/>
          <w:b w:val="0"/>
          <w:bCs w:val="0"/>
          <w:color w:val="auto"/>
          <w:sz w:val="24"/>
          <w:highlight w:val="none"/>
          <w:lang w:eastAsia="zh-CN"/>
        </w:rPr>
        <w:t>）</w:t>
      </w:r>
      <w:r>
        <w:rPr>
          <w:rFonts w:hint="eastAsia" w:ascii="宋体" w:hAnsi="宋体" w:cs="仿宋_GB2312"/>
          <w:b w:val="0"/>
          <w:bCs w:val="0"/>
          <w:color w:val="auto"/>
          <w:sz w:val="24"/>
          <w:highlight w:val="none"/>
        </w:rPr>
        <w:t>供应商需提供承接过类似项目的情况。</w:t>
      </w:r>
    </w:p>
    <w:p w14:paraId="6FCA3129">
      <w:pPr>
        <w:pStyle w:val="28"/>
        <w:rPr>
          <w:rFonts w:hint="eastAsia"/>
          <w:color w:val="auto"/>
          <w:highlight w:val="none"/>
        </w:rPr>
      </w:pPr>
    </w:p>
    <w:p w14:paraId="78102344">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403"/>
        <w:textAlignment w:val="auto"/>
        <w:rPr>
          <w:rFonts w:hint="eastAsia" w:ascii="Arial" w:hAnsi="Arial" w:eastAsia="宋体" w:cs="宋体"/>
          <w:b/>
          <w:bCs/>
          <w:color w:val="auto"/>
          <w:sz w:val="24"/>
          <w:szCs w:val="24"/>
          <w:highlight w:val="none"/>
          <w:lang w:val="en-US" w:eastAsia="zh-CN"/>
        </w:rPr>
      </w:pPr>
      <w:r>
        <w:rPr>
          <w:rFonts w:hint="eastAsia" w:ascii="Arial" w:hAnsi="Arial" w:eastAsia="宋体" w:cs="宋体"/>
          <w:b/>
          <w:bCs/>
          <w:color w:val="auto"/>
          <w:sz w:val="24"/>
          <w:szCs w:val="24"/>
          <w:highlight w:val="none"/>
          <w:lang w:val="en-US" w:eastAsia="zh-CN"/>
        </w:rPr>
        <w:t>现场踏勘</w:t>
      </w:r>
    </w:p>
    <w:p w14:paraId="2BB72CDA">
      <w:pPr>
        <w:snapToGrid w:val="0"/>
        <w:spacing w:line="360" w:lineRule="auto"/>
        <w:ind w:firstLine="480" w:firstLineChars="200"/>
        <w:rPr>
          <w:rFonts w:hint="eastAsia" w:ascii="Arial" w:hAnsi="Arial"/>
          <w:color w:val="auto"/>
          <w:sz w:val="24"/>
          <w:szCs w:val="24"/>
          <w:highlight w:val="none"/>
        </w:rPr>
      </w:pPr>
      <w:bookmarkStart w:id="32" w:name="_Toc17057"/>
      <w:r>
        <w:rPr>
          <w:rFonts w:hint="eastAsia" w:ascii="Arial" w:hAnsi="Arial"/>
          <w:color w:val="auto"/>
          <w:sz w:val="24"/>
          <w:szCs w:val="24"/>
          <w:highlight w:val="none"/>
        </w:rPr>
        <w:t>本项目不统一组织现场勘察，供应商可自行对本项目现场和周围环境进行勘察。勘察现场所发生的费用由供应商自行承担。不论何种原因所造成，在勘察过程中，供应商自行对由此次踏勘现场而造成的死亡、人身伤害、财产损失、损害以及任何其它损失、损害和引起的费用和开支承担责任。</w:t>
      </w:r>
      <w:bookmarkEnd w:id="32"/>
    </w:p>
    <w:p w14:paraId="0806F4AC">
      <w:pPr>
        <w:snapToGrid w:val="0"/>
        <w:spacing w:line="360" w:lineRule="auto"/>
        <w:ind w:firstLine="480" w:firstLineChars="200"/>
        <w:rPr>
          <w:rFonts w:hint="eastAsia" w:ascii="Arial" w:hAnsi="Arial"/>
          <w:b w:val="0"/>
          <w:bCs w:val="0"/>
          <w:color w:val="auto"/>
          <w:sz w:val="24"/>
          <w:szCs w:val="24"/>
          <w:highlight w:val="none"/>
        </w:rPr>
      </w:pPr>
      <w:r>
        <w:rPr>
          <w:rFonts w:hint="eastAsia" w:ascii="Arial" w:hAnsi="Arial"/>
          <w:b w:val="0"/>
          <w:bCs w:val="0"/>
          <w:color w:val="auto"/>
          <w:sz w:val="24"/>
          <w:szCs w:val="24"/>
          <w:highlight w:val="none"/>
          <w:lang w:val="en-US" w:eastAsia="zh-CN"/>
        </w:rPr>
        <w:t>供应商</w:t>
      </w:r>
      <w:r>
        <w:rPr>
          <w:rFonts w:hint="eastAsia" w:ascii="Arial" w:hAnsi="Arial"/>
          <w:b w:val="0"/>
          <w:bCs w:val="0"/>
          <w:color w:val="auto"/>
          <w:sz w:val="24"/>
          <w:szCs w:val="24"/>
          <w:highlight w:val="none"/>
        </w:rPr>
        <w:t>成交后，不得以不完全了解竞争性磋商采购文件、施工现场、周围环境、施工工序等情况为借口，而提出额外补偿或延长工期等的要求。如漏报，最终所发生的费用均由供应商承担，采购人一律不予承担。</w:t>
      </w:r>
    </w:p>
    <w:p w14:paraId="2B67E8C0">
      <w:pPr>
        <w:pStyle w:val="28"/>
        <w:rPr>
          <w:rFonts w:hint="eastAsia"/>
          <w:color w:val="auto"/>
          <w:highlight w:val="none"/>
        </w:rPr>
      </w:pPr>
    </w:p>
    <w:p w14:paraId="6F5A8CD0">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403"/>
        <w:textAlignment w:val="auto"/>
        <w:rPr>
          <w:rFonts w:hint="eastAsia" w:ascii="Arial" w:hAnsi="Arial" w:eastAsia="宋体" w:cs="宋体"/>
          <w:b/>
          <w:bCs/>
          <w:color w:val="auto"/>
          <w:sz w:val="24"/>
          <w:szCs w:val="24"/>
          <w:highlight w:val="none"/>
          <w:lang w:val="en-US" w:eastAsia="zh-CN"/>
        </w:rPr>
      </w:pPr>
      <w:r>
        <w:rPr>
          <w:rFonts w:hint="eastAsia" w:ascii="Arial" w:hAnsi="Arial" w:eastAsia="宋体" w:cs="宋体"/>
          <w:b/>
          <w:bCs/>
          <w:color w:val="auto"/>
          <w:sz w:val="24"/>
          <w:szCs w:val="24"/>
          <w:highlight w:val="none"/>
          <w:lang w:val="en-US" w:eastAsia="zh-CN"/>
        </w:rPr>
        <w:t>标准和规范</w:t>
      </w:r>
    </w:p>
    <w:p w14:paraId="5D26D4B9">
      <w:pPr>
        <w:spacing w:line="360" w:lineRule="auto"/>
        <w:ind w:firstLine="480" w:firstLineChars="200"/>
        <w:rPr>
          <w:rFonts w:hint="eastAsia" w:ascii="宋体" w:hAnsi="宋体"/>
          <w:bCs/>
          <w:color w:val="auto"/>
          <w:sz w:val="24"/>
          <w:szCs w:val="24"/>
          <w:highlight w:val="none"/>
        </w:rPr>
      </w:pPr>
      <w:r>
        <w:rPr>
          <w:rFonts w:hint="eastAsia" w:ascii="Arial" w:hAnsi="Arial" w:eastAsia="宋体" w:cs="Times New Roman"/>
          <w:color w:val="auto"/>
          <w:sz w:val="24"/>
          <w:szCs w:val="24"/>
          <w:highlight w:val="none"/>
        </w:rPr>
        <w:t>适用于工程的标准规范包括：按通用条款约定；执行国家及省、市及行业现行的有关规范标准等现行施工验收规范。并按如下办法确定适用的标准、规范：“现行标准、规范及有关技术说明”与“合同图纸”之间出现歧义或矛盾时，施工质量要求或工艺标准以两者之间相对较高的为准。“合同图纸”不符合“现行标准，规范及有关技术说明”，承包人有义务及时向发包人提出；标准、规范及有关技术说明有出入的以严格的为准，颁布时间有前后的，以新的为</w:t>
      </w:r>
      <w:r>
        <w:rPr>
          <w:rFonts w:hint="eastAsia" w:ascii="宋体" w:hAnsi="宋体"/>
          <w:bCs/>
          <w:color w:val="auto"/>
          <w:sz w:val="24"/>
          <w:szCs w:val="24"/>
          <w:highlight w:val="none"/>
        </w:rPr>
        <w:t>准。</w:t>
      </w:r>
    </w:p>
    <w:p w14:paraId="75FBB722">
      <w:pPr>
        <w:pStyle w:val="28"/>
        <w:rPr>
          <w:color w:val="auto"/>
          <w:highlight w:val="none"/>
        </w:rPr>
      </w:pPr>
    </w:p>
    <w:p w14:paraId="52DE5FED">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403"/>
        <w:textAlignment w:val="auto"/>
        <w:rPr>
          <w:rFonts w:hint="eastAsia" w:ascii="Arial" w:hAnsi="Arial" w:eastAsia="宋体" w:cs="宋体"/>
          <w:b/>
          <w:bCs/>
          <w:color w:val="auto"/>
          <w:sz w:val="24"/>
          <w:szCs w:val="24"/>
          <w:highlight w:val="none"/>
          <w:lang w:val="en-US" w:eastAsia="zh-CN"/>
        </w:rPr>
      </w:pPr>
      <w:r>
        <w:rPr>
          <w:rFonts w:hint="eastAsia" w:ascii="Arial" w:hAnsi="Arial" w:eastAsia="宋体" w:cs="宋体"/>
          <w:b/>
          <w:bCs/>
          <w:color w:val="auto"/>
          <w:sz w:val="24"/>
          <w:szCs w:val="24"/>
          <w:highlight w:val="none"/>
          <w:lang w:val="en-US" w:eastAsia="zh-CN"/>
        </w:rPr>
        <w:t>其他：本项目的工程量清单和图纸另行提供。</w:t>
      </w:r>
    </w:p>
    <w:p w14:paraId="28DD10FC">
      <w:pPr>
        <w:rPr>
          <w:rFonts w:hint="eastAsia" w:ascii="Arial" w:hAnsi="Arial" w:eastAsia="宋体" w:cs="宋体"/>
          <w:b/>
          <w:bCs/>
          <w:color w:val="auto"/>
          <w:sz w:val="24"/>
          <w:szCs w:val="24"/>
          <w:highlight w:val="none"/>
          <w:lang w:val="en-US" w:eastAsia="zh-CN"/>
        </w:rPr>
      </w:pPr>
      <w:r>
        <w:rPr>
          <w:rFonts w:hint="eastAsia" w:ascii="Arial" w:hAnsi="Arial" w:eastAsia="宋体"/>
          <w:b/>
          <w:bCs/>
          <w:color w:val="auto"/>
          <w:sz w:val="24"/>
          <w:szCs w:val="24"/>
          <w:highlight w:val="none"/>
        </w:rPr>
        <w:br w:type="page"/>
      </w:r>
    </w:p>
    <w:p w14:paraId="5DABA9EC">
      <w:pPr>
        <w:spacing w:line="240" w:lineRule="auto"/>
        <w:jc w:val="left"/>
        <w:rPr>
          <w:rFonts w:ascii="宋体" w:hAnsi="宋体" w:cs="仿宋_GB2312"/>
          <w:b/>
          <w:bCs/>
          <w:color w:val="auto"/>
          <w:sz w:val="24"/>
          <w:highlight w:val="none"/>
        </w:rPr>
      </w:pPr>
      <w:r>
        <w:rPr>
          <w:rFonts w:hint="eastAsia" w:ascii="宋体" w:hAnsi="宋体" w:cs="仿宋_GB2312"/>
          <w:b/>
          <w:bCs/>
          <w:color w:val="auto"/>
          <w:sz w:val="24"/>
          <w:highlight w:val="none"/>
          <w:lang w:val="en-US" w:eastAsia="zh-CN"/>
        </w:rPr>
        <w:t>五</w:t>
      </w:r>
      <w:r>
        <w:rPr>
          <w:rFonts w:hint="eastAsia" w:ascii="宋体" w:hAnsi="宋体" w:cs="仿宋_GB2312"/>
          <w:b/>
          <w:bCs/>
          <w:color w:val="auto"/>
          <w:sz w:val="24"/>
          <w:highlight w:val="none"/>
        </w:rPr>
        <w:t>、商务要求</w:t>
      </w:r>
    </w:p>
    <w:p w14:paraId="676037FA">
      <w:pPr>
        <w:spacing w:line="360" w:lineRule="auto"/>
        <w:ind w:firstLine="480" w:firstLineChars="200"/>
        <w:jc w:val="left"/>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rPr>
        <w:t>1.工期要求：</w:t>
      </w:r>
      <w:r>
        <w:rPr>
          <w:rFonts w:hint="eastAsia" w:ascii="宋体" w:hAnsi="宋体"/>
          <w:color w:val="auto"/>
          <w:sz w:val="24"/>
          <w:highlight w:val="none"/>
          <w:u w:val="single"/>
          <w:lang w:val="en-US" w:eastAsia="zh-CN"/>
        </w:rPr>
        <w:t>接到采购人通知后60天内完工。</w:t>
      </w:r>
    </w:p>
    <w:p w14:paraId="620D120D">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2.工程地点：</w:t>
      </w:r>
      <w:r>
        <w:rPr>
          <w:rFonts w:hint="eastAsia" w:ascii="宋体" w:hAnsi="宋体" w:cs="仿宋_GB2312"/>
          <w:color w:val="auto"/>
          <w:sz w:val="24"/>
          <w:highlight w:val="none"/>
          <w:u w:val="single"/>
        </w:rPr>
        <w:t>项目建设地点位于宁波市公安局交通管理支队海曙大队高桥中队。</w:t>
      </w:r>
    </w:p>
    <w:p w14:paraId="110B64AB">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3.付款条件（</w:t>
      </w:r>
      <w:r>
        <w:rPr>
          <w:rFonts w:hint="eastAsia" w:ascii="宋体" w:hAnsi="宋体" w:cs="仿宋_GB2312"/>
          <w:color w:val="auto"/>
          <w:sz w:val="24"/>
          <w:highlight w:val="none"/>
          <w:lang w:val="en-US" w:eastAsia="zh-CN"/>
        </w:rPr>
        <w:t>付款比例</w:t>
      </w:r>
      <w:r>
        <w:rPr>
          <w:rFonts w:hint="eastAsia" w:ascii="宋体" w:hAnsi="宋体" w:cs="仿宋_GB2312"/>
          <w:color w:val="auto"/>
          <w:sz w:val="24"/>
          <w:highlight w:val="none"/>
        </w:rPr>
        <w:t>和方式）</w:t>
      </w:r>
    </w:p>
    <w:tbl>
      <w:tblPr>
        <w:tblStyle w:val="62"/>
        <w:tblW w:w="4996" w:type="pct"/>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295"/>
        <w:gridCol w:w="2382"/>
        <w:gridCol w:w="5557"/>
      </w:tblGrid>
      <w:tr w14:paraId="05B3C034">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701" w:type="pct"/>
            <w:tcBorders>
              <w:tl2br w:val="nil"/>
              <w:tr2bl w:val="nil"/>
            </w:tcBorders>
            <w:shd w:val="clear" w:color="auto" w:fill="auto"/>
            <w:vAlign w:val="center"/>
          </w:tcPr>
          <w:p w14:paraId="5D49264A">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仿宋_GB2312"/>
                <w:b/>
                <w:bCs/>
                <w:color w:val="auto"/>
                <w:sz w:val="24"/>
                <w:szCs w:val="24"/>
                <w:highlight w:val="none"/>
              </w:rPr>
            </w:pPr>
            <w:r>
              <w:rPr>
                <w:rFonts w:hint="eastAsia" w:ascii="宋体" w:hAnsi="宋体" w:cs="仿宋_GB2312"/>
                <w:b/>
                <w:bCs/>
                <w:color w:val="auto"/>
                <w:sz w:val="24"/>
                <w:szCs w:val="24"/>
                <w:highlight w:val="none"/>
              </w:rPr>
              <w:t>序号</w:t>
            </w:r>
          </w:p>
        </w:tc>
        <w:tc>
          <w:tcPr>
            <w:tcW w:w="1290" w:type="pct"/>
            <w:tcBorders>
              <w:tl2br w:val="nil"/>
              <w:tr2bl w:val="nil"/>
            </w:tcBorders>
            <w:shd w:val="clear" w:color="auto" w:fill="auto"/>
            <w:vAlign w:val="center"/>
          </w:tcPr>
          <w:p w14:paraId="2EA63BD4">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仿宋_GB2312"/>
                <w:b/>
                <w:bCs/>
                <w:color w:val="auto"/>
                <w:sz w:val="24"/>
                <w:szCs w:val="24"/>
                <w:highlight w:val="none"/>
              </w:rPr>
            </w:pPr>
            <w:r>
              <w:rPr>
                <w:rFonts w:hint="eastAsia" w:ascii="宋体" w:hAnsi="宋体" w:cs="仿宋_GB2312"/>
                <w:b/>
                <w:bCs/>
                <w:color w:val="auto"/>
                <w:sz w:val="24"/>
                <w:szCs w:val="24"/>
                <w:highlight w:val="none"/>
              </w:rPr>
              <w:t>付款比例（%）</w:t>
            </w:r>
          </w:p>
        </w:tc>
        <w:tc>
          <w:tcPr>
            <w:tcW w:w="3007" w:type="pct"/>
            <w:tcBorders>
              <w:tl2br w:val="nil"/>
              <w:tr2bl w:val="nil"/>
            </w:tcBorders>
            <w:shd w:val="clear" w:color="auto" w:fill="auto"/>
            <w:vAlign w:val="center"/>
          </w:tcPr>
          <w:p w14:paraId="1C3292A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仿宋_GB2312"/>
                <w:b/>
                <w:bCs/>
                <w:color w:val="auto"/>
                <w:sz w:val="24"/>
                <w:szCs w:val="24"/>
                <w:highlight w:val="none"/>
                <w:lang w:val="en-US" w:eastAsia="zh-CN"/>
              </w:rPr>
            </w:pPr>
            <w:r>
              <w:rPr>
                <w:rFonts w:hint="eastAsia" w:ascii="宋体" w:hAnsi="宋体" w:cs="仿宋_GB2312"/>
                <w:b/>
                <w:bCs/>
                <w:color w:val="auto"/>
                <w:sz w:val="24"/>
                <w:szCs w:val="24"/>
                <w:highlight w:val="none"/>
              </w:rPr>
              <w:t>付款方</w:t>
            </w:r>
            <w:r>
              <w:rPr>
                <w:rFonts w:hint="eastAsia" w:ascii="宋体" w:hAnsi="宋体" w:cs="仿宋_GB2312"/>
                <w:b/>
                <w:bCs/>
                <w:color w:val="auto"/>
                <w:sz w:val="24"/>
                <w:szCs w:val="24"/>
                <w:highlight w:val="none"/>
                <w:lang w:val="en-US" w:eastAsia="zh-CN"/>
              </w:rPr>
              <w:t>式</w:t>
            </w:r>
          </w:p>
        </w:tc>
      </w:tr>
      <w:tr w14:paraId="48F8AC1F">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90" w:hRule="atLeast"/>
        </w:trPr>
        <w:tc>
          <w:tcPr>
            <w:tcW w:w="701" w:type="pct"/>
            <w:tcBorders>
              <w:tl2br w:val="nil"/>
              <w:tr2bl w:val="nil"/>
            </w:tcBorders>
            <w:shd w:val="clear" w:color="auto" w:fill="auto"/>
            <w:vAlign w:val="center"/>
          </w:tcPr>
          <w:p w14:paraId="15524EA5">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仿宋_GB2312"/>
                <w:color w:val="auto"/>
                <w:sz w:val="24"/>
                <w:szCs w:val="24"/>
                <w:highlight w:val="none"/>
              </w:rPr>
            </w:pPr>
            <w:r>
              <w:rPr>
                <w:rFonts w:hint="eastAsia" w:ascii="宋体" w:hAnsi="宋体" w:cs="仿宋_GB2312"/>
                <w:color w:val="auto"/>
                <w:sz w:val="24"/>
                <w:szCs w:val="24"/>
                <w:highlight w:val="none"/>
              </w:rPr>
              <w:t>1</w:t>
            </w:r>
          </w:p>
        </w:tc>
        <w:tc>
          <w:tcPr>
            <w:tcW w:w="1290" w:type="pct"/>
            <w:tcBorders>
              <w:tl2br w:val="nil"/>
              <w:tr2bl w:val="nil"/>
            </w:tcBorders>
            <w:shd w:val="clear" w:color="auto" w:fill="auto"/>
            <w:vAlign w:val="center"/>
          </w:tcPr>
          <w:p w14:paraId="28F6A79D">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szCs w:val="24"/>
                <w:highlight w:val="none"/>
                <w:lang w:val="en-US" w:eastAsia="zh-CN"/>
              </w:rPr>
              <w:t>40%</w:t>
            </w:r>
          </w:p>
        </w:tc>
        <w:tc>
          <w:tcPr>
            <w:tcW w:w="3007" w:type="pct"/>
            <w:tcBorders>
              <w:tl2br w:val="nil"/>
              <w:tr2bl w:val="nil"/>
            </w:tcBorders>
            <w:shd w:val="clear" w:color="auto" w:fill="auto"/>
            <w:vAlign w:val="top"/>
          </w:tcPr>
          <w:p w14:paraId="08AB80D2">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宋体"/>
                <w:bCs/>
                <w:color w:val="auto"/>
                <w:sz w:val="24"/>
                <w:szCs w:val="24"/>
                <w:highlight w:val="none"/>
              </w:rPr>
              <w:t>合同生效以及具备实施条件后7个工作日内，</w:t>
            </w:r>
            <w:r>
              <w:rPr>
                <w:rFonts w:hint="eastAsia" w:ascii="宋体" w:hAnsi="宋体" w:eastAsia="宋体" w:cs="宋体"/>
                <w:bCs/>
                <w:color w:val="auto"/>
                <w:sz w:val="24"/>
                <w:szCs w:val="24"/>
                <w:highlight w:val="none"/>
                <w:lang w:eastAsia="zh-CN"/>
              </w:rPr>
              <w:t>成交供应商</w:t>
            </w:r>
            <w:r>
              <w:rPr>
                <w:rFonts w:hint="eastAsia" w:ascii="宋体" w:hAnsi="宋体" w:eastAsia="宋体" w:cs="宋体"/>
                <w:bCs/>
                <w:color w:val="auto"/>
                <w:sz w:val="24"/>
                <w:szCs w:val="24"/>
                <w:highlight w:val="none"/>
              </w:rPr>
              <w:t>于合同签订前书面承诺放弃预付款或降低预付款支付比例的，可不适用本条款</w:t>
            </w:r>
            <w:r>
              <w:rPr>
                <w:rFonts w:hint="eastAsia" w:ascii="宋体" w:hAnsi="宋体" w:cs="宋体"/>
                <w:color w:val="auto"/>
                <w:sz w:val="24"/>
                <w:szCs w:val="24"/>
                <w:highlight w:val="none"/>
                <w:lang w:val="en-US" w:eastAsia="zh-CN"/>
              </w:rPr>
              <w:t>。</w:t>
            </w:r>
          </w:p>
        </w:tc>
      </w:tr>
      <w:tr w14:paraId="77B6849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701" w:type="pct"/>
            <w:tcBorders>
              <w:tl2br w:val="nil"/>
              <w:tr2bl w:val="nil"/>
            </w:tcBorders>
            <w:shd w:val="clear" w:color="auto" w:fill="auto"/>
            <w:vAlign w:val="center"/>
          </w:tcPr>
          <w:p w14:paraId="6D361A0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宋体" w:hAnsi="宋体" w:cs="仿宋_GB2312"/>
                <w:color w:val="auto"/>
                <w:sz w:val="24"/>
                <w:szCs w:val="24"/>
                <w:highlight w:val="none"/>
              </w:rPr>
            </w:pPr>
            <w:r>
              <w:rPr>
                <w:rFonts w:hint="eastAsia" w:ascii="宋体" w:hAnsi="宋体" w:cs="仿宋_GB2312"/>
                <w:color w:val="auto"/>
                <w:sz w:val="24"/>
                <w:szCs w:val="24"/>
                <w:highlight w:val="none"/>
              </w:rPr>
              <w:t>2</w:t>
            </w:r>
          </w:p>
        </w:tc>
        <w:tc>
          <w:tcPr>
            <w:tcW w:w="1290" w:type="pct"/>
            <w:tcBorders>
              <w:tl2br w:val="nil"/>
              <w:tr2bl w:val="nil"/>
            </w:tcBorders>
            <w:shd w:val="clear" w:color="auto" w:fill="auto"/>
            <w:vAlign w:val="center"/>
          </w:tcPr>
          <w:p w14:paraId="5118D558">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宋体" w:hAnsi="宋体" w:eastAsia="宋体" w:cs="仿宋_GB2312"/>
                <w:color w:val="auto"/>
                <w:sz w:val="24"/>
                <w:szCs w:val="24"/>
                <w:highlight w:val="none"/>
                <w:lang w:val="en-US" w:eastAsia="zh-CN"/>
              </w:rPr>
            </w:pPr>
            <w:r>
              <w:rPr>
                <w:rFonts w:hint="eastAsia" w:ascii="宋体" w:hAnsi="宋体" w:cs="仿宋_GB2312"/>
                <w:color w:val="auto"/>
                <w:sz w:val="24"/>
                <w:szCs w:val="24"/>
                <w:highlight w:val="none"/>
                <w:lang w:val="en-US" w:eastAsia="zh-CN"/>
              </w:rPr>
              <w:t>/</w:t>
            </w:r>
          </w:p>
        </w:tc>
        <w:tc>
          <w:tcPr>
            <w:tcW w:w="3007" w:type="pct"/>
            <w:tcBorders>
              <w:tl2br w:val="nil"/>
              <w:tr2bl w:val="nil"/>
            </w:tcBorders>
            <w:shd w:val="clear" w:color="auto" w:fill="auto"/>
          </w:tcPr>
          <w:p w14:paraId="5558BF71">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仿宋_GB2312"/>
                <w:color w:val="auto"/>
                <w:sz w:val="24"/>
                <w:szCs w:val="24"/>
                <w:highlight w:val="none"/>
                <w:lang w:eastAsia="zh-CN"/>
              </w:rPr>
            </w:pPr>
            <w:r>
              <w:rPr>
                <w:rFonts w:hint="eastAsia" w:ascii="宋体" w:hAnsi="宋体" w:eastAsia="宋体" w:cs="宋体"/>
                <w:bCs/>
                <w:color w:val="auto"/>
                <w:sz w:val="24"/>
                <w:szCs w:val="24"/>
                <w:highlight w:val="none"/>
                <w:lang w:eastAsia="zh-CN"/>
              </w:rPr>
              <w:t>成交供应商</w:t>
            </w:r>
            <w:r>
              <w:rPr>
                <w:rFonts w:hint="eastAsia" w:ascii="宋体" w:hAnsi="宋体" w:eastAsia="宋体" w:cs="仿宋_GB2312"/>
                <w:color w:val="auto"/>
                <w:sz w:val="24"/>
                <w:szCs w:val="24"/>
                <w:highlight w:val="none"/>
                <w:lang w:eastAsia="zh-CN"/>
              </w:rPr>
              <w:t>与</w:t>
            </w:r>
            <w:r>
              <w:rPr>
                <w:rFonts w:hint="eastAsia" w:ascii="宋体" w:hAnsi="宋体" w:cs="仿宋_GB2312"/>
                <w:color w:val="auto"/>
                <w:sz w:val="24"/>
                <w:szCs w:val="24"/>
                <w:highlight w:val="none"/>
                <w:lang w:val="en-US" w:eastAsia="zh-CN"/>
              </w:rPr>
              <w:t>采购人</w:t>
            </w:r>
            <w:r>
              <w:rPr>
                <w:rFonts w:hint="eastAsia" w:ascii="宋体" w:hAnsi="宋体" w:eastAsia="宋体" w:cs="仿宋_GB2312"/>
                <w:color w:val="auto"/>
                <w:sz w:val="24"/>
                <w:szCs w:val="24"/>
                <w:highlight w:val="none"/>
                <w:lang w:eastAsia="zh-CN"/>
              </w:rPr>
              <w:t>签订合同后7日内，</w:t>
            </w:r>
            <w:r>
              <w:rPr>
                <w:rFonts w:hint="eastAsia" w:ascii="宋体" w:hAnsi="宋体" w:eastAsia="宋体" w:cs="宋体"/>
                <w:bCs/>
                <w:color w:val="auto"/>
                <w:sz w:val="24"/>
                <w:szCs w:val="24"/>
                <w:highlight w:val="none"/>
                <w:lang w:eastAsia="zh-CN"/>
              </w:rPr>
              <w:t>成交供应商</w:t>
            </w:r>
            <w:r>
              <w:rPr>
                <w:rFonts w:hint="eastAsia" w:ascii="宋体" w:hAnsi="宋体" w:eastAsia="宋体" w:cs="仿宋_GB2312"/>
                <w:color w:val="auto"/>
                <w:sz w:val="24"/>
                <w:szCs w:val="24"/>
                <w:highlight w:val="none"/>
                <w:lang w:eastAsia="zh-CN"/>
              </w:rPr>
              <w:t>递交合同价1%的履约保证金。</w:t>
            </w:r>
          </w:p>
        </w:tc>
      </w:tr>
      <w:tr w14:paraId="36198226">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770" w:hRule="atLeast"/>
        </w:trPr>
        <w:tc>
          <w:tcPr>
            <w:tcW w:w="701" w:type="pct"/>
            <w:tcBorders>
              <w:tl2br w:val="nil"/>
              <w:tr2bl w:val="nil"/>
            </w:tcBorders>
            <w:shd w:val="clear" w:color="auto" w:fill="auto"/>
            <w:vAlign w:val="center"/>
          </w:tcPr>
          <w:p w14:paraId="2D93AB9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仿宋_GB2312"/>
                <w:color w:val="auto"/>
                <w:sz w:val="24"/>
                <w:szCs w:val="24"/>
                <w:highlight w:val="none"/>
                <w:lang w:val="en-US" w:eastAsia="zh-CN"/>
              </w:rPr>
            </w:pPr>
            <w:r>
              <w:rPr>
                <w:rFonts w:hint="eastAsia" w:ascii="宋体" w:hAnsi="宋体" w:cs="仿宋_GB2312"/>
                <w:color w:val="auto"/>
                <w:sz w:val="24"/>
                <w:szCs w:val="24"/>
                <w:highlight w:val="none"/>
                <w:lang w:val="en-US" w:eastAsia="zh-CN"/>
              </w:rPr>
              <w:t>3</w:t>
            </w:r>
          </w:p>
        </w:tc>
        <w:tc>
          <w:tcPr>
            <w:tcW w:w="1290" w:type="pct"/>
            <w:tcBorders>
              <w:tl2br w:val="nil"/>
              <w:tr2bl w:val="nil"/>
            </w:tcBorders>
            <w:shd w:val="clear" w:color="auto" w:fill="auto"/>
            <w:vAlign w:val="center"/>
          </w:tcPr>
          <w:p w14:paraId="7D7269FC">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宋体" w:hAnsi="宋体" w:eastAsia="宋体" w:cs="仿宋_GB2312"/>
                <w:color w:val="auto"/>
                <w:sz w:val="24"/>
                <w:szCs w:val="24"/>
                <w:highlight w:val="none"/>
                <w:lang w:val="en-US" w:eastAsia="zh-CN"/>
              </w:rPr>
            </w:pPr>
            <w:r>
              <w:rPr>
                <w:rFonts w:hint="eastAsia" w:ascii="宋体" w:hAnsi="宋体" w:cs="仿宋_GB2312"/>
                <w:color w:val="auto"/>
                <w:sz w:val="24"/>
                <w:szCs w:val="24"/>
                <w:highlight w:val="none"/>
                <w:lang w:val="en-US" w:eastAsia="zh-CN"/>
              </w:rPr>
              <w:t>40</w:t>
            </w:r>
            <w:r>
              <w:rPr>
                <w:rFonts w:hint="eastAsia" w:ascii="宋体" w:hAnsi="宋体" w:eastAsia="宋体" w:cs="仿宋_GB2312"/>
                <w:color w:val="auto"/>
                <w:sz w:val="24"/>
                <w:szCs w:val="24"/>
                <w:highlight w:val="none"/>
                <w:lang w:eastAsia="zh-CN"/>
              </w:rPr>
              <w:t>%</w:t>
            </w:r>
          </w:p>
        </w:tc>
        <w:tc>
          <w:tcPr>
            <w:tcW w:w="3007" w:type="pct"/>
            <w:tcBorders>
              <w:tl2br w:val="nil"/>
              <w:tr2bl w:val="nil"/>
            </w:tcBorders>
            <w:shd w:val="clear" w:color="auto" w:fill="auto"/>
          </w:tcPr>
          <w:p w14:paraId="0E316929">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default"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lang w:eastAsia="zh-CN"/>
              </w:rPr>
              <w:t>工程现场初验后，按合同约定提交完整工程结算资料后，</w:t>
            </w:r>
            <w:r>
              <w:rPr>
                <w:rFonts w:hint="eastAsia" w:ascii="宋体" w:hAnsi="宋体" w:cs="仿宋_GB2312"/>
                <w:color w:val="auto"/>
                <w:sz w:val="24"/>
                <w:highlight w:val="none"/>
              </w:rPr>
              <w:t>采购人在成交供应商提供全额发票（增值税专用发票）后7个工作日内</w:t>
            </w:r>
            <w:r>
              <w:rPr>
                <w:rFonts w:hint="eastAsia" w:ascii="宋体" w:hAnsi="宋体" w:eastAsia="宋体" w:cs="仿宋_GB2312"/>
                <w:color w:val="auto"/>
                <w:sz w:val="24"/>
                <w:szCs w:val="24"/>
                <w:highlight w:val="none"/>
                <w:lang w:eastAsia="zh-CN"/>
              </w:rPr>
              <w:t>支付合同价的</w:t>
            </w:r>
            <w:r>
              <w:rPr>
                <w:rFonts w:hint="eastAsia" w:ascii="宋体" w:hAnsi="宋体" w:cs="仿宋_GB2312"/>
                <w:color w:val="auto"/>
                <w:sz w:val="24"/>
                <w:szCs w:val="24"/>
                <w:highlight w:val="none"/>
                <w:lang w:val="en-US" w:eastAsia="zh-CN"/>
              </w:rPr>
              <w:t>40</w:t>
            </w:r>
            <w:r>
              <w:rPr>
                <w:rFonts w:hint="eastAsia" w:ascii="宋体" w:hAnsi="宋体" w:eastAsia="宋体" w:cs="仿宋_GB2312"/>
                <w:color w:val="auto"/>
                <w:sz w:val="24"/>
                <w:szCs w:val="24"/>
                <w:highlight w:val="none"/>
                <w:lang w:eastAsia="zh-CN"/>
              </w:rPr>
              <w:t>%</w:t>
            </w:r>
            <w:r>
              <w:rPr>
                <w:rFonts w:hint="eastAsia" w:ascii="宋体" w:hAnsi="宋体" w:cs="仿宋_GB2312"/>
                <w:color w:val="auto"/>
                <w:sz w:val="24"/>
                <w:szCs w:val="24"/>
                <w:highlight w:val="none"/>
                <w:lang w:eastAsia="zh-CN"/>
              </w:rPr>
              <w:t>。</w:t>
            </w:r>
          </w:p>
        </w:tc>
      </w:tr>
      <w:tr w14:paraId="71204A84">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45" w:hRule="atLeast"/>
        </w:trPr>
        <w:tc>
          <w:tcPr>
            <w:tcW w:w="701" w:type="pct"/>
            <w:tcBorders>
              <w:tl2br w:val="nil"/>
              <w:tr2bl w:val="nil"/>
            </w:tcBorders>
            <w:shd w:val="clear" w:color="auto" w:fill="auto"/>
            <w:vAlign w:val="center"/>
          </w:tcPr>
          <w:p w14:paraId="1D4F392D">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宋体" w:hAnsi="宋体" w:cs="仿宋_GB2312"/>
                <w:color w:val="auto"/>
                <w:sz w:val="24"/>
                <w:szCs w:val="24"/>
                <w:highlight w:val="none"/>
                <w:lang w:val="en-US" w:eastAsia="zh-CN"/>
              </w:rPr>
            </w:pPr>
            <w:r>
              <w:rPr>
                <w:rFonts w:hint="eastAsia" w:ascii="宋体" w:hAnsi="宋体" w:cs="仿宋_GB2312"/>
                <w:color w:val="auto"/>
                <w:sz w:val="24"/>
                <w:szCs w:val="24"/>
                <w:highlight w:val="none"/>
                <w:lang w:val="en-US" w:eastAsia="zh-CN"/>
              </w:rPr>
              <w:t>4</w:t>
            </w:r>
          </w:p>
        </w:tc>
        <w:tc>
          <w:tcPr>
            <w:tcW w:w="1290" w:type="pct"/>
            <w:tcBorders>
              <w:tl2br w:val="nil"/>
              <w:tr2bl w:val="nil"/>
            </w:tcBorders>
            <w:shd w:val="clear" w:color="auto" w:fill="auto"/>
            <w:vAlign w:val="center"/>
          </w:tcPr>
          <w:p w14:paraId="2A881D5D">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lang w:val="en-US" w:eastAsia="zh-CN"/>
              </w:rPr>
              <w:t>/</w:t>
            </w:r>
          </w:p>
        </w:tc>
        <w:tc>
          <w:tcPr>
            <w:tcW w:w="3007" w:type="pct"/>
            <w:tcBorders>
              <w:tl2br w:val="nil"/>
              <w:tr2bl w:val="nil"/>
            </w:tcBorders>
            <w:shd w:val="clear" w:color="auto" w:fill="auto"/>
          </w:tcPr>
          <w:p w14:paraId="070BFA0F">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仿宋_GB2312"/>
                <w:color w:val="auto"/>
                <w:sz w:val="24"/>
                <w:szCs w:val="24"/>
                <w:highlight w:val="none"/>
                <w:lang w:eastAsia="zh-CN"/>
              </w:rPr>
            </w:pPr>
            <w:r>
              <w:rPr>
                <w:rFonts w:hint="eastAsia" w:ascii="宋体" w:hAnsi="宋体" w:eastAsia="宋体" w:cs="仿宋_GB2312"/>
                <w:color w:val="auto"/>
                <w:sz w:val="24"/>
                <w:szCs w:val="24"/>
                <w:highlight w:val="none"/>
                <w:lang w:eastAsia="zh-CN"/>
              </w:rPr>
              <w:t>对于</w:t>
            </w:r>
            <w:r>
              <w:rPr>
                <w:rFonts w:hint="eastAsia" w:ascii="宋体" w:hAnsi="宋体" w:eastAsia="宋体" w:cs="宋体"/>
                <w:bCs/>
                <w:color w:val="auto"/>
                <w:sz w:val="24"/>
                <w:szCs w:val="24"/>
                <w:highlight w:val="none"/>
                <w:lang w:eastAsia="zh-CN"/>
              </w:rPr>
              <w:t>成交供应商</w:t>
            </w:r>
            <w:r>
              <w:rPr>
                <w:rFonts w:hint="eastAsia" w:ascii="宋体" w:hAnsi="宋体" w:eastAsia="宋体" w:cs="仿宋_GB2312"/>
                <w:color w:val="auto"/>
                <w:sz w:val="24"/>
                <w:szCs w:val="24"/>
                <w:highlight w:val="none"/>
                <w:lang w:eastAsia="zh-CN"/>
              </w:rPr>
              <w:t>递交的履约保证金予以结算退还</w:t>
            </w:r>
            <w:r>
              <w:rPr>
                <w:rFonts w:hint="eastAsia" w:ascii="宋体" w:hAnsi="宋体" w:cs="仿宋_GB2312"/>
                <w:color w:val="auto"/>
                <w:sz w:val="24"/>
                <w:szCs w:val="24"/>
                <w:highlight w:val="none"/>
                <w:lang w:eastAsia="zh-CN"/>
              </w:rPr>
              <w:t>。</w:t>
            </w:r>
          </w:p>
        </w:tc>
      </w:tr>
      <w:tr w14:paraId="5FFBAAE2">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701" w:type="pct"/>
            <w:tcBorders>
              <w:tl2br w:val="nil"/>
              <w:tr2bl w:val="nil"/>
            </w:tcBorders>
            <w:shd w:val="clear" w:color="auto" w:fill="auto"/>
            <w:vAlign w:val="center"/>
          </w:tcPr>
          <w:p w14:paraId="28F52FB2">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宋体" w:hAnsi="宋体" w:cs="仿宋_GB2312"/>
                <w:color w:val="auto"/>
                <w:sz w:val="24"/>
                <w:szCs w:val="24"/>
                <w:highlight w:val="none"/>
                <w:lang w:val="en-US" w:eastAsia="zh-CN"/>
              </w:rPr>
            </w:pPr>
            <w:r>
              <w:rPr>
                <w:rFonts w:hint="eastAsia" w:ascii="宋体" w:hAnsi="宋体" w:cs="仿宋_GB2312"/>
                <w:color w:val="auto"/>
                <w:sz w:val="24"/>
                <w:szCs w:val="24"/>
                <w:highlight w:val="none"/>
                <w:lang w:val="en-US" w:eastAsia="zh-CN"/>
              </w:rPr>
              <w:t>5</w:t>
            </w:r>
          </w:p>
        </w:tc>
        <w:tc>
          <w:tcPr>
            <w:tcW w:w="1290" w:type="pct"/>
            <w:tcBorders>
              <w:tl2br w:val="nil"/>
              <w:tr2bl w:val="nil"/>
            </w:tcBorders>
            <w:shd w:val="clear" w:color="auto" w:fill="auto"/>
            <w:vAlign w:val="center"/>
          </w:tcPr>
          <w:p w14:paraId="61E1B5B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lang w:val="en-US" w:eastAsia="zh-CN"/>
              </w:rPr>
              <w:t>2</w:t>
            </w:r>
            <w:r>
              <w:rPr>
                <w:rFonts w:hint="eastAsia" w:ascii="宋体" w:hAnsi="宋体" w:eastAsia="宋体" w:cs="仿宋_GB2312"/>
                <w:color w:val="auto"/>
                <w:sz w:val="24"/>
                <w:szCs w:val="24"/>
                <w:highlight w:val="none"/>
                <w:lang w:eastAsia="zh-CN"/>
              </w:rPr>
              <w:t>0%</w:t>
            </w:r>
          </w:p>
        </w:tc>
        <w:tc>
          <w:tcPr>
            <w:tcW w:w="3007" w:type="pct"/>
            <w:tcBorders>
              <w:tl2br w:val="nil"/>
              <w:tr2bl w:val="nil"/>
            </w:tcBorders>
            <w:shd w:val="clear" w:color="auto" w:fill="auto"/>
          </w:tcPr>
          <w:p w14:paraId="163F7ACF">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仿宋_GB2312"/>
                <w:color w:val="auto"/>
                <w:sz w:val="24"/>
                <w:szCs w:val="24"/>
                <w:highlight w:val="none"/>
                <w:lang w:eastAsia="zh-CN"/>
              </w:rPr>
            </w:pPr>
            <w:r>
              <w:rPr>
                <w:rFonts w:hint="eastAsia" w:ascii="宋体" w:hAnsi="宋体" w:eastAsia="宋体" w:cs="仿宋_GB2312"/>
                <w:color w:val="auto"/>
                <w:sz w:val="24"/>
                <w:szCs w:val="24"/>
                <w:highlight w:val="none"/>
                <w:lang w:eastAsia="zh-CN"/>
              </w:rPr>
              <w:t>工程价款结算审核完成，</w:t>
            </w:r>
            <w:r>
              <w:rPr>
                <w:rFonts w:hint="eastAsia" w:ascii="宋体" w:hAnsi="宋体" w:cs="仿宋_GB2312"/>
                <w:color w:val="auto"/>
                <w:sz w:val="24"/>
                <w:szCs w:val="24"/>
                <w:highlight w:val="none"/>
                <w:lang w:val="en-US" w:eastAsia="zh-CN"/>
              </w:rPr>
              <w:t>采购人</w:t>
            </w:r>
            <w:r>
              <w:rPr>
                <w:rFonts w:hint="eastAsia" w:ascii="宋体" w:hAnsi="宋体" w:eastAsia="宋体" w:cs="仿宋_GB2312"/>
                <w:color w:val="auto"/>
                <w:sz w:val="24"/>
                <w:szCs w:val="24"/>
                <w:highlight w:val="none"/>
                <w:lang w:eastAsia="zh-CN"/>
              </w:rPr>
              <w:t>在</w:t>
            </w:r>
            <w:r>
              <w:rPr>
                <w:rFonts w:hint="eastAsia" w:ascii="宋体" w:hAnsi="宋体" w:cs="仿宋_GB2312"/>
                <w:color w:val="auto"/>
                <w:sz w:val="24"/>
                <w:szCs w:val="24"/>
                <w:highlight w:val="none"/>
                <w:lang w:val="en-US" w:eastAsia="zh-CN"/>
              </w:rPr>
              <w:t>成交供应商</w:t>
            </w:r>
            <w:r>
              <w:rPr>
                <w:rFonts w:hint="eastAsia" w:ascii="宋体" w:hAnsi="宋体" w:eastAsia="宋体" w:cs="仿宋_GB2312"/>
                <w:color w:val="auto"/>
                <w:sz w:val="24"/>
                <w:szCs w:val="24"/>
                <w:highlight w:val="none"/>
                <w:lang w:eastAsia="zh-CN"/>
              </w:rPr>
              <w:t>提供全额发票（增值税专用发票）后</w:t>
            </w:r>
            <w:r>
              <w:rPr>
                <w:rFonts w:hint="eastAsia" w:ascii="宋体" w:hAnsi="宋体" w:cs="仿宋_GB2312"/>
                <w:color w:val="auto"/>
                <w:sz w:val="24"/>
                <w:szCs w:val="24"/>
                <w:highlight w:val="none"/>
                <w:lang w:val="en-US" w:eastAsia="zh-CN"/>
              </w:rPr>
              <w:t>7个工作日内</w:t>
            </w:r>
            <w:r>
              <w:rPr>
                <w:rFonts w:hint="eastAsia" w:ascii="宋体" w:hAnsi="宋体" w:eastAsia="宋体" w:cs="仿宋_GB2312"/>
                <w:color w:val="auto"/>
                <w:sz w:val="24"/>
                <w:szCs w:val="24"/>
                <w:highlight w:val="none"/>
                <w:lang w:eastAsia="zh-CN"/>
              </w:rPr>
              <w:t>支付至结算造价的100%</w:t>
            </w:r>
          </w:p>
        </w:tc>
      </w:tr>
      <w:tr w14:paraId="116EB75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5000" w:type="pct"/>
            <w:gridSpan w:val="3"/>
            <w:tcBorders>
              <w:tl2br w:val="nil"/>
              <w:tr2bl w:val="nil"/>
            </w:tcBorders>
            <w:shd w:val="clear" w:color="auto" w:fill="auto"/>
            <w:vAlign w:val="center"/>
          </w:tcPr>
          <w:p w14:paraId="1DD5B8EC">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default" w:ascii="宋体" w:hAnsi="宋体" w:eastAsia="宋体" w:cs="仿宋_GB2312"/>
                <w:color w:val="auto"/>
                <w:sz w:val="24"/>
                <w:szCs w:val="24"/>
                <w:highlight w:val="none"/>
                <w:lang w:val="en-US" w:eastAsia="zh-CN"/>
              </w:rPr>
            </w:pPr>
            <w:r>
              <w:rPr>
                <w:rFonts w:hint="eastAsia" w:ascii="宋体" w:hAnsi="宋体" w:cs="仿宋_GB2312"/>
                <w:b/>
                <w:bCs/>
                <w:color w:val="auto"/>
                <w:sz w:val="24"/>
                <w:szCs w:val="24"/>
                <w:highlight w:val="none"/>
                <w:lang w:val="en-US" w:eastAsia="zh-CN"/>
              </w:rPr>
              <w:t>注：支付上述款项前，成交供应商须开具同等数额的正规增值税发票（具体发票要求按采购人要求开具），否则采购人有权延迟支付。</w:t>
            </w:r>
          </w:p>
        </w:tc>
      </w:tr>
    </w:tbl>
    <w:p w14:paraId="74D4E806">
      <w:pPr>
        <w:spacing w:line="360" w:lineRule="auto"/>
        <w:ind w:left="0" w:leftChars="0"/>
        <w:jc w:val="left"/>
        <w:rPr>
          <w:rFonts w:ascii="宋体" w:hAnsi="宋体" w:cs="仿宋_GB2312"/>
          <w:color w:val="auto"/>
          <w:sz w:val="24"/>
          <w:highlight w:val="none"/>
        </w:rPr>
      </w:pPr>
      <w:r>
        <w:rPr>
          <w:rFonts w:hint="eastAsia" w:ascii="宋体" w:hAnsi="宋体" w:cs="仿宋_GB2312"/>
          <w:color w:val="auto"/>
          <w:sz w:val="24"/>
          <w:highlight w:val="none"/>
        </w:rPr>
        <w:t>4.工程售后服务要求</w:t>
      </w:r>
    </w:p>
    <w:p w14:paraId="2FB7C824">
      <w:pPr>
        <w:spacing w:line="360" w:lineRule="auto"/>
        <w:ind w:firstLine="0" w:firstLineChars="0"/>
        <w:jc w:val="left"/>
        <w:rPr>
          <w:rFonts w:hint="default" w:ascii="宋体" w:hAnsi="宋体"/>
          <w:color w:val="auto"/>
          <w:sz w:val="24"/>
          <w:highlight w:val="none"/>
          <w:u w:val="none"/>
          <w:lang w:val="en-US" w:eastAsia="zh-CN"/>
        </w:rPr>
      </w:pPr>
      <w:r>
        <w:rPr>
          <w:rFonts w:hint="eastAsia" w:ascii="宋体" w:hAnsi="宋体"/>
          <w:color w:val="auto"/>
          <w:sz w:val="24"/>
          <w:highlight w:val="none"/>
          <w:u w:val="none"/>
          <w:lang w:val="en-US" w:eastAsia="zh-CN"/>
        </w:rPr>
        <w:t>4.1缺陷责任期：</w:t>
      </w:r>
    </w:p>
    <w:p w14:paraId="0C209624">
      <w:pPr>
        <w:spacing w:line="360" w:lineRule="auto"/>
        <w:ind w:firstLine="0" w:firstLineChars="0"/>
        <w:jc w:val="left"/>
        <w:rPr>
          <w:rFonts w:hint="eastAsia" w:ascii="宋体" w:hAnsi="宋体"/>
          <w:color w:val="auto"/>
          <w:sz w:val="24"/>
          <w:highlight w:val="none"/>
          <w:u w:val="single"/>
          <w:lang w:eastAsia="zh-CN"/>
        </w:rPr>
      </w:pPr>
      <w:r>
        <w:rPr>
          <w:rFonts w:hint="eastAsia" w:ascii="宋体" w:hAnsi="宋体"/>
          <w:color w:val="auto"/>
          <w:sz w:val="24"/>
          <w:highlight w:val="none"/>
          <w:u w:val="none"/>
          <w:lang w:val="en-US" w:eastAsia="zh-CN"/>
        </w:rPr>
        <w:t>4.1.1</w:t>
      </w:r>
      <w:r>
        <w:rPr>
          <w:rFonts w:hint="eastAsia" w:ascii="宋体" w:hAnsi="宋体"/>
          <w:color w:val="auto"/>
          <w:sz w:val="24"/>
          <w:highlight w:val="none"/>
          <w:u w:val="none"/>
        </w:rPr>
        <w:t>缺陷责任期：</w:t>
      </w:r>
      <w:r>
        <w:rPr>
          <w:rFonts w:hint="eastAsia" w:ascii="宋体" w:hAnsi="宋体"/>
          <w:color w:val="auto"/>
          <w:sz w:val="24"/>
          <w:highlight w:val="none"/>
          <w:u w:val="single"/>
        </w:rPr>
        <w:t>自工程验收合格之日起</w:t>
      </w:r>
      <w:r>
        <w:rPr>
          <w:rFonts w:hint="eastAsia" w:ascii="宋体" w:hAnsi="宋体"/>
          <w:color w:val="auto"/>
          <w:sz w:val="24"/>
          <w:highlight w:val="none"/>
          <w:u w:val="single"/>
          <w:lang w:val="en-US" w:eastAsia="zh-CN"/>
        </w:rPr>
        <w:t>24个月</w:t>
      </w:r>
      <w:r>
        <w:rPr>
          <w:rFonts w:hint="eastAsia" w:ascii="宋体" w:hAnsi="宋体"/>
          <w:color w:val="auto"/>
          <w:sz w:val="24"/>
          <w:highlight w:val="none"/>
          <w:u w:val="none"/>
          <w:lang w:eastAsia="zh-CN"/>
        </w:rPr>
        <w:t>；</w:t>
      </w:r>
    </w:p>
    <w:p w14:paraId="52BAC92B">
      <w:pPr>
        <w:spacing w:line="360" w:lineRule="auto"/>
        <w:rPr>
          <w:rFonts w:hint="eastAsia" w:ascii="宋体" w:hAnsi="宋体" w:eastAsia="宋体" w:cs="Times New Roman"/>
          <w:color w:val="auto"/>
          <w:kern w:val="2"/>
          <w:sz w:val="24"/>
          <w:szCs w:val="24"/>
          <w:highlight w:val="none"/>
          <w:u w:val="none"/>
          <w:lang w:val="en-US" w:eastAsia="zh-CN" w:bidi="ar-SA"/>
        </w:rPr>
      </w:pPr>
      <w:r>
        <w:rPr>
          <w:rFonts w:hint="eastAsia" w:ascii="宋体" w:hAnsi="宋体" w:cs="Times New Roman"/>
          <w:color w:val="auto"/>
          <w:kern w:val="2"/>
          <w:sz w:val="24"/>
          <w:szCs w:val="24"/>
          <w:highlight w:val="none"/>
          <w:u w:val="none"/>
          <w:lang w:val="en-US" w:eastAsia="zh-CN" w:bidi="ar-SA"/>
        </w:rPr>
        <w:t>4.1.2</w:t>
      </w:r>
      <w:r>
        <w:rPr>
          <w:rFonts w:hint="eastAsia" w:ascii="宋体" w:hAnsi="宋体" w:eastAsia="宋体" w:cs="Times New Roman"/>
          <w:color w:val="auto"/>
          <w:kern w:val="2"/>
          <w:sz w:val="24"/>
          <w:szCs w:val="24"/>
          <w:highlight w:val="none"/>
          <w:u w:val="none"/>
          <w:lang w:val="en-US" w:eastAsia="zh-CN" w:bidi="ar-SA"/>
        </w:rPr>
        <w:t>工程竣工验收合格后，因承包方原因导致的缺陷使工程或某项主要设备不能按原定目的使用的，发包人有权在原缺陷责任期届满前要求承包方延长缺陷责任期，延长的缺陷责任期为24个月。</w:t>
      </w:r>
    </w:p>
    <w:p w14:paraId="5F65B054">
      <w:pPr>
        <w:spacing w:line="360" w:lineRule="auto"/>
        <w:rPr>
          <w:rFonts w:hint="eastAsia" w:ascii="宋体" w:hAnsi="宋体" w:eastAsia="宋体" w:cs="Times New Roman"/>
          <w:color w:val="auto"/>
          <w:kern w:val="2"/>
          <w:sz w:val="24"/>
          <w:szCs w:val="24"/>
          <w:highlight w:val="none"/>
          <w:u w:val="none"/>
          <w:lang w:val="en-US" w:eastAsia="zh-CN" w:bidi="ar-SA"/>
        </w:rPr>
      </w:pPr>
      <w:r>
        <w:rPr>
          <w:rFonts w:hint="eastAsia" w:ascii="宋体" w:hAnsi="宋体" w:cs="Times New Roman"/>
          <w:color w:val="auto"/>
          <w:kern w:val="2"/>
          <w:sz w:val="24"/>
          <w:szCs w:val="24"/>
          <w:highlight w:val="none"/>
          <w:u w:val="none"/>
          <w:lang w:val="en-US" w:eastAsia="zh-CN" w:bidi="ar-SA"/>
        </w:rPr>
        <w:t>4.2</w:t>
      </w:r>
      <w:r>
        <w:rPr>
          <w:rFonts w:hint="eastAsia" w:ascii="宋体" w:hAnsi="宋体" w:eastAsia="宋体" w:cs="Times New Roman"/>
          <w:color w:val="auto"/>
          <w:kern w:val="2"/>
          <w:sz w:val="24"/>
          <w:szCs w:val="24"/>
          <w:highlight w:val="none"/>
          <w:u w:val="none"/>
          <w:lang w:val="en-US" w:eastAsia="zh-CN" w:bidi="ar-SA"/>
        </w:rPr>
        <w:t xml:space="preserve"> 保修的一般规定</w:t>
      </w:r>
    </w:p>
    <w:p w14:paraId="733C1E80">
      <w:pPr>
        <w:spacing w:line="360" w:lineRule="auto"/>
        <w:rPr>
          <w:rFonts w:hint="eastAsia" w:ascii="宋体" w:hAnsi="宋体" w:eastAsia="宋体" w:cs="Times New Roman"/>
          <w:color w:val="auto"/>
          <w:kern w:val="2"/>
          <w:sz w:val="24"/>
          <w:szCs w:val="24"/>
          <w:highlight w:val="none"/>
          <w:u w:val="none"/>
          <w:lang w:val="en-US" w:eastAsia="zh-CN" w:bidi="ar-SA"/>
        </w:rPr>
      </w:pPr>
      <w:r>
        <w:rPr>
          <w:rFonts w:hint="eastAsia" w:ascii="宋体" w:hAnsi="宋体" w:cs="Times New Roman"/>
          <w:color w:val="auto"/>
          <w:kern w:val="2"/>
          <w:sz w:val="24"/>
          <w:szCs w:val="24"/>
          <w:highlight w:val="none"/>
          <w:u w:val="none"/>
          <w:lang w:val="en-US" w:eastAsia="zh-CN" w:bidi="ar-SA"/>
        </w:rPr>
        <w:t>4</w:t>
      </w:r>
      <w:r>
        <w:rPr>
          <w:rFonts w:hint="eastAsia" w:ascii="宋体" w:hAnsi="宋体" w:eastAsia="宋体" w:cs="Times New Roman"/>
          <w:color w:val="auto"/>
          <w:kern w:val="2"/>
          <w:sz w:val="24"/>
          <w:szCs w:val="24"/>
          <w:highlight w:val="none"/>
          <w:u w:val="none"/>
          <w:lang w:val="en-US" w:eastAsia="zh-CN" w:bidi="ar-SA"/>
        </w:rPr>
        <w:t>.</w:t>
      </w:r>
      <w:r>
        <w:rPr>
          <w:rFonts w:hint="eastAsia" w:ascii="宋体" w:hAnsi="宋体" w:cs="Times New Roman"/>
          <w:color w:val="auto"/>
          <w:kern w:val="2"/>
          <w:sz w:val="24"/>
          <w:szCs w:val="24"/>
          <w:highlight w:val="none"/>
          <w:u w:val="none"/>
          <w:lang w:val="en-US" w:eastAsia="zh-CN" w:bidi="ar-SA"/>
        </w:rPr>
        <w:t>2</w:t>
      </w:r>
      <w:r>
        <w:rPr>
          <w:rFonts w:hint="eastAsia" w:ascii="宋体" w:hAnsi="宋体" w:eastAsia="宋体" w:cs="Times New Roman"/>
          <w:color w:val="auto"/>
          <w:kern w:val="2"/>
          <w:sz w:val="24"/>
          <w:szCs w:val="24"/>
          <w:highlight w:val="none"/>
          <w:u w:val="none"/>
          <w:lang w:val="en-US" w:eastAsia="zh-CN" w:bidi="ar-SA"/>
        </w:rPr>
        <w:t>.1 根据国务院的《建设工程质量管理条例》第三十二条规定：施工单位对施工中出现质量问题的建设工程或者竣工验收不合格的建设工程，应当负责返修。</w:t>
      </w:r>
    </w:p>
    <w:p w14:paraId="5DA66828">
      <w:pPr>
        <w:spacing w:line="360" w:lineRule="auto"/>
        <w:rPr>
          <w:rFonts w:hint="eastAsia" w:ascii="宋体" w:hAnsi="宋体" w:eastAsia="宋体" w:cs="Times New Roman"/>
          <w:color w:val="auto"/>
          <w:kern w:val="2"/>
          <w:sz w:val="24"/>
          <w:szCs w:val="24"/>
          <w:highlight w:val="none"/>
          <w:u w:val="none"/>
          <w:lang w:val="en-US" w:eastAsia="zh-CN" w:bidi="ar-SA"/>
        </w:rPr>
      </w:pPr>
      <w:r>
        <w:rPr>
          <w:rFonts w:hint="eastAsia" w:ascii="宋体" w:hAnsi="宋体" w:cs="Times New Roman"/>
          <w:color w:val="auto"/>
          <w:kern w:val="2"/>
          <w:sz w:val="24"/>
          <w:szCs w:val="24"/>
          <w:highlight w:val="none"/>
          <w:u w:val="none"/>
          <w:lang w:val="en-US" w:eastAsia="zh-CN" w:bidi="ar-SA"/>
        </w:rPr>
        <w:t>4</w:t>
      </w:r>
      <w:r>
        <w:rPr>
          <w:rFonts w:hint="eastAsia" w:ascii="宋体" w:hAnsi="宋体" w:eastAsia="宋体" w:cs="Times New Roman"/>
          <w:color w:val="auto"/>
          <w:kern w:val="2"/>
          <w:sz w:val="24"/>
          <w:szCs w:val="24"/>
          <w:highlight w:val="none"/>
          <w:u w:val="none"/>
          <w:lang w:val="en-US" w:eastAsia="zh-CN" w:bidi="ar-SA"/>
        </w:rPr>
        <w:t>.</w:t>
      </w:r>
      <w:r>
        <w:rPr>
          <w:rFonts w:hint="eastAsia" w:ascii="宋体" w:hAnsi="宋体" w:cs="Times New Roman"/>
          <w:color w:val="auto"/>
          <w:kern w:val="2"/>
          <w:sz w:val="24"/>
          <w:szCs w:val="24"/>
          <w:highlight w:val="none"/>
          <w:u w:val="none"/>
          <w:lang w:val="en-US" w:eastAsia="zh-CN" w:bidi="ar-SA"/>
        </w:rPr>
        <w:t>2</w:t>
      </w:r>
      <w:r>
        <w:rPr>
          <w:rFonts w:hint="eastAsia" w:ascii="宋体" w:hAnsi="宋体" w:eastAsia="宋体" w:cs="Times New Roman"/>
          <w:color w:val="auto"/>
          <w:kern w:val="2"/>
          <w:sz w:val="24"/>
          <w:szCs w:val="24"/>
          <w:highlight w:val="none"/>
          <w:u w:val="none"/>
          <w:lang w:val="en-US" w:eastAsia="zh-CN" w:bidi="ar-SA"/>
        </w:rPr>
        <w:t>.2 基础设施工程、房屋建筑的地基基础工程和主体结构工程，为设计文件规定的该工程的合理使用年限。</w:t>
      </w:r>
    </w:p>
    <w:p w14:paraId="6324022E">
      <w:pPr>
        <w:spacing w:line="360" w:lineRule="auto"/>
        <w:rPr>
          <w:rFonts w:hint="eastAsia" w:ascii="宋体" w:hAnsi="宋体" w:eastAsia="宋体" w:cs="Times New Roman"/>
          <w:color w:val="auto"/>
          <w:kern w:val="2"/>
          <w:sz w:val="24"/>
          <w:szCs w:val="24"/>
          <w:highlight w:val="none"/>
          <w:u w:val="none"/>
          <w:lang w:val="en-US" w:eastAsia="zh-CN" w:bidi="ar-SA"/>
        </w:rPr>
      </w:pPr>
      <w:r>
        <w:rPr>
          <w:rFonts w:hint="eastAsia" w:ascii="宋体" w:hAnsi="宋体" w:cs="Times New Roman"/>
          <w:color w:val="auto"/>
          <w:kern w:val="2"/>
          <w:sz w:val="24"/>
          <w:szCs w:val="24"/>
          <w:highlight w:val="none"/>
          <w:u w:val="none"/>
          <w:lang w:val="en-US" w:eastAsia="zh-CN" w:bidi="ar-SA"/>
        </w:rPr>
        <w:t>4</w:t>
      </w:r>
      <w:r>
        <w:rPr>
          <w:rFonts w:hint="eastAsia" w:ascii="宋体" w:hAnsi="宋体" w:eastAsia="宋体" w:cs="Times New Roman"/>
          <w:color w:val="auto"/>
          <w:kern w:val="2"/>
          <w:sz w:val="24"/>
          <w:szCs w:val="24"/>
          <w:highlight w:val="none"/>
          <w:u w:val="none"/>
          <w:lang w:val="en-US" w:eastAsia="zh-CN" w:bidi="ar-SA"/>
        </w:rPr>
        <w:t>.</w:t>
      </w:r>
      <w:r>
        <w:rPr>
          <w:rFonts w:hint="eastAsia" w:ascii="宋体" w:hAnsi="宋体" w:cs="Times New Roman"/>
          <w:color w:val="auto"/>
          <w:kern w:val="2"/>
          <w:sz w:val="24"/>
          <w:szCs w:val="24"/>
          <w:highlight w:val="none"/>
          <w:u w:val="none"/>
          <w:lang w:val="en-US" w:eastAsia="zh-CN" w:bidi="ar-SA"/>
        </w:rPr>
        <w:t>2</w:t>
      </w:r>
      <w:r>
        <w:rPr>
          <w:rFonts w:hint="eastAsia" w:ascii="宋体" w:hAnsi="宋体" w:eastAsia="宋体" w:cs="Times New Roman"/>
          <w:color w:val="auto"/>
          <w:kern w:val="2"/>
          <w:sz w:val="24"/>
          <w:szCs w:val="24"/>
          <w:highlight w:val="none"/>
          <w:u w:val="none"/>
          <w:lang w:val="en-US" w:eastAsia="zh-CN" w:bidi="ar-SA"/>
        </w:rPr>
        <w:t>.3 屋面防水工程、有防水要求的卫生间、房间和外墙面的防渗漏，为5年。</w:t>
      </w:r>
    </w:p>
    <w:p w14:paraId="65D18B71">
      <w:pPr>
        <w:spacing w:line="360" w:lineRule="auto"/>
        <w:rPr>
          <w:rFonts w:hint="eastAsia" w:ascii="宋体" w:hAnsi="宋体" w:eastAsia="宋体" w:cs="Times New Roman"/>
          <w:color w:val="auto"/>
          <w:kern w:val="2"/>
          <w:sz w:val="24"/>
          <w:szCs w:val="24"/>
          <w:highlight w:val="none"/>
          <w:u w:val="none"/>
          <w:lang w:val="en-US" w:eastAsia="zh-CN" w:bidi="ar-SA"/>
        </w:rPr>
      </w:pPr>
      <w:r>
        <w:rPr>
          <w:rFonts w:hint="eastAsia" w:ascii="宋体" w:hAnsi="宋体" w:cs="Times New Roman"/>
          <w:color w:val="auto"/>
          <w:kern w:val="2"/>
          <w:sz w:val="24"/>
          <w:szCs w:val="24"/>
          <w:highlight w:val="none"/>
          <w:u w:val="none"/>
          <w:lang w:val="en-US" w:eastAsia="zh-CN" w:bidi="ar-SA"/>
        </w:rPr>
        <w:t>4</w:t>
      </w:r>
      <w:r>
        <w:rPr>
          <w:rFonts w:hint="eastAsia" w:ascii="宋体" w:hAnsi="宋体" w:eastAsia="宋体" w:cs="Times New Roman"/>
          <w:color w:val="auto"/>
          <w:kern w:val="2"/>
          <w:sz w:val="24"/>
          <w:szCs w:val="24"/>
          <w:highlight w:val="none"/>
          <w:u w:val="none"/>
          <w:lang w:val="en-US" w:eastAsia="zh-CN" w:bidi="ar-SA"/>
        </w:rPr>
        <w:t>.</w:t>
      </w:r>
      <w:r>
        <w:rPr>
          <w:rFonts w:hint="eastAsia" w:ascii="宋体" w:hAnsi="宋体" w:cs="Times New Roman"/>
          <w:color w:val="auto"/>
          <w:kern w:val="2"/>
          <w:sz w:val="24"/>
          <w:szCs w:val="24"/>
          <w:highlight w:val="none"/>
          <w:u w:val="none"/>
          <w:lang w:val="en-US" w:eastAsia="zh-CN" w:bidi="ar-SA"/>
        </w:rPr>
        <w:t>2</w:t>
      </w:r>
      <w:r>
        <w:rPr>
          <w:rFonts w:hint="eastAsia" w:ascii="宋体" w:hAnsi="宋体" w:eastAsia="宋体" w:cs="Times New Roman"/>
          <w:color w:val="auto"/>
          <w:kern w:val="2"/>
          <w:sz w:val="24"/>
          <w:szCs w:val="24"/>
          <w:highlight w:val="none"/>
          <w:u w:val="none"/>
          <w:lang w:val="en-US" w:eastAsia="zh-CN" w:bidi="ar-SA"/>
        </w:rPr>
        <w:t>.4 供热与供冷系统，为2个采暖期、供冷期。</w:t>
      </w:r>
    </w:p>
    <w:p w14:paraId="3427B256">
      <w:pPr>
        <w:spacing w:line="360" w:lineRule="auto"/>
        <w:rPr>
          <w:rFonts w:hint="eastAsia" w:ascii="宋体" w:hAnsi="宋体" w:eastAsia="宋体" w:cs="Times New Roman"/>
          <w:color w:val="auto"/>
          <w:kern w:val="2"/>
          <w:sz w:val="24"/>
          <w:szCs w:val="24"/>
          <w:highlight w:val="none"/>
          <w:u w:val="none"/>
          <w:lang w:val="en-US" w:eastAsia="zh-CN" w:bidi="ar-SA"/>
        </w:rPr>
      </w:pPr>
      <w:r>
        <w:rPr>
          <w:rFonts w:hint="eastAsia" w:ascii="宋体" w:hAnsi="宋体" w:cs="Times New Roman"/>
          <w:color w:val="auto"/>
          <w:kern w:val="2"/>
          <w:sz w:val="24"/>
          <w:szCs w:val="24"/>
          <w:highlight w:val="none"/>
          <w:u w:val="none"/>
          <w:lang w:val="en-US" w:eastAsia="zh-CN" w:bidi="ar-SA"/>
        </w:rPr>
        <w:t>4</w:t>
      </w:r>
      <w:r>
        <w:rPr>
          <w:rFonts w:hint="eastAsia" w:ascii="宋体" w:hAnsi="宋体" w:eastAsia="宋体" w:cs="Times New Roman"/>
          <w:color w:val="auto"/>
          <w:kern w:val="2"/>
          <w:sz w:val="24"/>
          <w:szCs w:val="24"/>
          <w:highlight w:val="none"/>
          <w:u w:val="none"/>
          <w:lang w:val="en-US" w:eastAsia="zh-CN" w:bidi="ar-SA"/>
        </w:rPr>
        <w:t>.</w:t>
      </w:r>
      <w:r>
        <w:rPr>
          <w:rFonts w:hint="eastAsia" w:ascii="宋体" w:hAnsi="宋体" w:cs="Times New Roman"/>
          <w:color w:val="auto"/>
          <w:kern w:val="2"/>
          <w:sz w:val="24"/>
          <w:szCs w:val="24"/>
          <w:highlight w:val="none"/>
          <w:u w:val="none"/>
          <w:lang w:val="en-US" w:eastAsia="zh-CN" w:bidi="ar-SA"/>
        </w:rPr>
        <w:t>2</w:t>
      </w:r>
      <w:r>
        <w:rPr>
          <w:rFonts w:hint="eastAsia" w:ascii="宋体" w:hAnsi="宋体" w:eastAsia="宋体" w:cs="Times New Roman"/>
          <w:color w:val="auto"/>
          <w:kern w:val="2"/>
          <w:sz w:val="24"/>
          <w:szCs w:val="24"/>
          <w:highlight w:val="none"/>
          <w:u w:val="none"/>
          <w:lang w:val="en-US" w:eastAsia="zh-CN" w:bidi="ar-SA"/>
        </w:rPr>
        <w:t>.5 电气管线、给排水管道、设备安装和装修工程，为2年，本项目质保期为2年。</w:t>
      </w:r>
    </w:p>
    <w:p w14:paraId="1CB5B63C">
      <w:pPr>
        <w:spacing w:line="360" w:lineRule="auto"/>
        <w:rPr>
          <w:rFonts w:hint="eastAsia" w:ascii="宋体" w:hAnsi="宋体" w:eastAsia="宋体" w:cs="Times New Roman"/>
          <w:color w:val="auto"/>
          <w:kern w:val="2"/>
          <w:sz w:val="24"/>
          <w:szCs w:val="24"/>
          <w:highlight w:val="none"/>
          <w:u w:val="none"/>
          <w:lang w:val="en-US" w:eastAsia="zh-CN" w:bidi="ar-SA"/>
        </w:rPr>
      </w:pPr>
      <w:r>
        <w:rPr>
          <w:rFonts w:hint="eastAsia" w:ascii="宋体" w:hAnsi="宋体" w:cs="Times New Roman"/>
          <w:color w:val="auto"/>
          <w:kern w:val="2"/>
          <w:sz w:val="24"/>
          <w:szCs w:val="24"/>
          <w:highlight w:val="none"/>
          <w:u w:val="none"/>
          <w:lang w:val="en-US" w:eastAsia="zh-CN" w:bidi="ar-SA"/>
        </w:rPr>
        <w:t>4</w:t>
      </w:r>
      <w:r>
        <w:rPr>
          <w:rFonts w:hint="eastAsia" w:ascii="宋体" w:hAnsi="宋体" w:eastAsia="宋体" w:cs="Times New Roman"/>
          <w:color w:val="auto"/>
          <w:kern w:val="2"/>
          <w:sz w:val="24"/>
          <w:szCs w:val="24"/>
          <w:highlight w:val="none"/>
          <w:u w:val="none"/>
          <w:lang w:val="en-US" w:eastAsia="zh-CN" w:bidi="ar-SA"/>
        </w:rPr>
        <w:t>.</w:t>
      </w:r>
      <w:r>
        <w:rPr>
          <w:rFonts w:hint="eastAsia" w:ascii="宋体" w:hAnsi="宋体" w:cs="Times New Roman"/>
          <w:color w:val="auto"/>
          <w:kern w:val="2"/>
          <w:sz w:val="24"/>
          <w:szCs w:val="24"/>
          <w:highlight w:val="none"/>
          <w:u w:val="none"/>
          <w:lang w:val="en-US" w:eastAsia="zh-CN" w:bidi="ar-SA"/>
        </w:rPr>
        <w:t>2</w:t>
      </w:r>
      <w:r>
        <w:rPr>
          <w:rFonts w:hint="eastAsia" w:ascii="宋体" w:hAnsi="宋体" w:eastAsia="宋体" w:cs="Times New Roman"/>
          <w:color w:val="auto"/>
          <w:kern w:val="2"/>
          <w:sz w:val="24"/>
          <w:szCs w:val="24"/>
          <w:highlight w:val="none"/>
          <w:u w:val="none"/>
          <w:lang w:val="en-US" w:eastAsia="zh-CN" w:bidi="ar-SA"/>
        </w:rPr>
        <w:t>.6 根据国务院的《建设工程质量管理条例》第四十一条规定：建设工程在保修范围和保修期限内发生质量问题的，施工单位应当履行保修义务，并对造成的损失承担赔偿责任。</w:t>
      </w:r>
    </w:p>
    <w:p w14:paraId="67EDDA16">
      <w:pPr>
        <w:spacing w:line="360" w:lineRule="auto"/>
        <w:rPr>
          <w:rFonts w:hint="eastAsia" w:ascii="宋体" w:hAnsi="宋体" w:eastAsia="宋体" w:cs="Times New Roman"/>
          <w:color w:val="auto"/>
          <w:kern w:val="2"/>
          <w:sz w:val="24"/>
          <w:szCs w:val="24"/>
          <w:highlight w:val="none"/>
          <w:u w:val="none"/>
          <w:lang w:val="en-US" w:eastAsia="zh-CN" w:bidi="ar-SA"/>
        </w:rPr>
      </w:pPr>
      <w:r>
        <w:rPr>
          <w:rFonts w:hint="eastAsia" w:ascii="宋体" w:hAnsi="宋体" w:cs="Times New Roman"/>
          <w:color w:val="auto"/>
          <w:kern w:val="2"/>
          <w:sz w:val="24"/>
          <w:szCs w:val="24"/>
          <w:highlight w:val="none"/>
          <w:u w:val="none"/>
          <w:lang w:val="en-US" w:eastAsia="zh-CN" w:bidi="ar-SA"/>
        </w:rPr>
        <w:t>4</w:t>
      </w:r>
      <w:r>
        <w:rPr>
          <w:rFonts w:hint="eastAsia" w:ascii="宋体" w:hAnsi="宋体" w:eastAsia="宋体" w:cs="Times New Roman"/>
          <w:color w:val="auto"/>
          <w:kern w:val="2"/>
          <w:sz w:val="24"/>
          <w:szCs w:val="24"/>
          <w:highlight w:val="none"/>
          <w:u w:val="none"/>
          <w:lang w:val="en-US" w:eastAsia="zh-CN" w:bidi="ar-SA"/>
        </w:rPr>
        <w:t>.</w:t>
      </w:r>
      <w:r>
        <w:rPr>
          <w:rFonts w:hint="eastAsia" w:ascii="宋体" w:hAnsi="宋体" w:cs="Times New Roman"/>
          <w:color w:val="auto"/>
          <w:kern w:val="2"/>
          <w:sz w:val="24"/>
          <w:szCs w:val="24"/>
          <w:highlight w:val="none"/>
          <w:u w:val="none"/>
          <w:lang w:val="en-US" w:eastAsia="zh-CN" w:bidi="ar-SA"/>
        </w:rPr>
        <w:t>3</w:t>
      </w:r>
      <w:r>
        <w:rPr>
          <w:rFonts w:hint="eastAsia" w:ascii="宋体" w:hAnsi="宋体" w:eastAsia="宋体" w:cs="Times New Roman"/>
          <w:color w:val="auto"/>
          <w:kern w:val="2"/>
          <w:sz w:val="24"/>
          <w:szCs w:val="24"/>
          <w:highlight w:val="none"/>
          <w:u w:val="none"/>
          <w:lang w:val="en-US" w:eastAsia="zh-CN" w:bidi="ar-SA"/>
        </w:rPr>
        <w:t xml:space="preserve"> 修复通知</w:t>
      </w:r>
    </w:p>
    <w:p w14:paraId="20ED894B">
      <w:pPr>
        <w:spacing w:line="360" w:lineRule="auto"/>
        <w:rPr>
          <w:rFonts w:hint="eastAsia" w:ascii="宋体" w:hAnsi="宋体" w:eastAsia="宋体" w:cs="Times New Roman"/>
          <w:color w:val="auto"/>
          <w:kern w:val="2"/>
          <w:sz w:val="24"/>
          <w:szCs w:val="24"/>
          <w:highlight w:val="none"/>
          <w:u w:val="none"/>
          <w:lang w:val="en-US" w:eastAsia="zh-CN" w:bidi="ar-SA"/>
        </w:rPr>
      </w:pPr>
      <w:r>
        <w:rPr>
          <w:rFonts w:hint="eastAsia" w:ascii="宋体" w:hAnsi="宋体" w:eastAsia="宋体" w:cs="Times New Roman"/>
          <w:color w:val="auto"/>
          <w:kern w:val="2"/>
          <w:sz w:val="24"/>
          <w:szCs w:val="24"/>
          <w:highlight w:val="none"/>
          <w:u w:val="none"/>
          <w:lang w:val="en-US" w:eastAsia="zh-CN" w:bidi="ar-SA"/>
        </w:rPr>
        <w:t>保修期内，出现质量问题，承包方在接到发包人通知必须立即组织人员进场维修，响应时间（到现场）不得大于4小时，一般质量维修需在3天内维修完毕，严重质量问题需在接到发包人通知后3天内拿出维修方案（须经发包人认可），按维修方案进行维修。若承包方未按约定时间到场，发包人有权自行组织修复或委托第三方修复，发生的修理费用从承包方工程质量保证金中扣除，并视具体情况追究承包方延误维修时间造成的直接损失。</w:t>
      </w:r>
    </w:p>
    <w:p w14:paraId="5B6BF0A1">
      <w:pPr>
        <w:spacing w:line="360" w:lineRule="auto"/>
        <w:rPr>
          <w:rFonts w:hint="eastAsia" w:ascii="宋体" w:hAnsi="宋体" w:eastAsia="宋体" w:cs="Times New Roman"/>
          <w:color w:val="auto"/>
          <w:kern w:val="2"/>
          <w:sz w:val="24"/>
          <w:szCs w:val="24"/>
          <w:highlight w:val="none"/>
          <w:u w:val="none"/>
          <w:lang w:val="en-US" w:eastAsia="zh-CN" w:bidi="ar-SA"/>
        </w:rPr>
      </w:pPr>
      <w:r>
        <w:rPr>
          <w:rFonts w:hint="eastAsia" w:ascii="宋体" w:hAnsi="宋体" w:cs="Times New Roman"/>
          <w:color w:val="auto"/>
          <w:kern w:val="2"/>
          <w:sz w:val="24"/>
          <w:szCs w:val="24"/>
          <w:highlight w:val="none"/>
          <w:u w:val="none"/>
          <w:lang w:val="en-US" w:eastAsia="zh-CN" w:bidi="ar-SA"/>
        </w:rPr>
        <w:t>4</w:t>
      </w:r>
      <w:r>
        <w:rPr>
          <w:rFonts w:hint="eastAsia" w:ascii="宋体" w:hAnsi="宋体" w:eastAsia="宋体" w:cs="Times New Roman"/>
          <w:color w:val="auto"/>
          <w:kern w:val="2"/>
          <w:sz w:val="24"/>
          <w:szCs w:val="24"/>
          <w:highlight w:val="none"/>
          <w:u w:val="none"/>
          <w:lang w:val="en-US" w:eastAsia="zh-CN" w:bidi="ar-SA"/>
        </w:rPr>
        <w:t>.</w:t>
      </w:r>
      <w:r>
        <w:rPr>
          <w:rFonts w:hint="eastAsia" w:ascii="宋体" w:hAnsi="宋体" w:cs="Times New Roman"/>
          <w:color w:val="auto"/>
          <w:kern w:val="2"/>
          <w:sz w:val="24"/>
          <w:szCs w:val="24"/>
          <w:highlight w:val="none"/>
          <w:u w:val="none"/>
          <w:lang w:val="en-US" w:eastAsia="zh-CN" w:bidi="ar-SA"/>
        </w:rPr>
        <w:t>3</w:t>
      </w:r>
      <w:r>
        <w:rPr>
          <w:rFonts w:hint="eastAsia" w:ascii="宋体" w:hAnsi="宋体" w:eastAsia="宋体" w:cs="Times New Roman"/>
          <w:color w:val="auto"/>
          <w:kern w:val="2"/>
          <w:sz w:val="24"/>
          <w:szCs w:val="24"/>
          <w:highlight w:val="none"/>
          <w:u w:val="none"/>
          <w:lang w:val="en-US" w:eastAsia="zh-CN" w:bidi="ar-SA"/>
        </w:rPr>
        <w:t>.1本项目保修期执行《建设工程质量管理条例》及浙江省、宁波市相关保修规定。</w:t>
      </w:r>
    </w:p>
    <w:p w14:paraId="5B63844C">
      <w:pPr>
        <w:spacing w:line="360" w:lineRule="auto"/>
        <w:rPr>
          <w:rFonts w:hint="eastAsia" w:ascii="宋体" w:hAnsi="宋体" w:eastAsia="宋体" w:cs="Times New Roman"/>
          <w:color w:val="auto"/>
          <w:kern w:val="2"/>
          <w:sz w:val="24"/>
          <w:szCs w:val="24"/>
          <w:highlight w:val="none"/>
          <w:u w:val="none"/>
          <w:lang w:val="en-US" w:eastAsia="zh-CN" w:bidi="ar-SA"/>
        </w:rPr>
      </w:pPr>
      <w:r>
        <w:rPr>
          <w:rFonts w:hint="eastAsia" w:ascii="宋体" w:hAnsi="宋体" w:cs="Times New Roman"/>
          <w:color w:val="auto"/>
          <w:kern w:val="2"/>
          <w:sz w:val="24"/>
          <w:szCs w:val="24"/>
          <w:highlight w:val="none"/>
          <w:u w:val="none"/>
          <w:lang w:val="en-US" w:eastAsia="zh-CN" w:bidi="ar-SA"/>
        </w:rPr>
        <w:t>4</w:t>
      </w:r>
      <w:r>
        <w:rPr>
          <w:rFonts w:hint="eastAsia" w:ascii="宋体" w:hAnsi="宋体" w:eastAsia="宋体" w:cs="Times New Roman"/>
          <w:color w:val="auto"/>
          <w:kern w:val="2"/>
          <w:sz w:val="24"/>
          <w:szCs w:val="24"/>
          <w:highlight w:val="none"/>
          <w:u w:val="none"/>
          <w:lang w:val="en-US" w:eastAsia="zh-CN" w:bidi="ar-SA"/>
        </w:rPr>
        <w:t>.</w:t>
      </w:r>
      <w:r>
        <w:rPr>
          <w:rFonts w:hint="eastAsia" w:ascii="宋体" w:hAnsi="宋体" w:cs="Times New Roman"/>
          <w:color w:val="auto"/>
          <w:kern w:val="2"/>
          <w:sz w:val="24"/>
          <w:szCs w:val="24"/>
          <w:highlight w:val="none"/>
          <w:u w:val="none"/>
          <w:lang w:val="en-US" w:eastAsia="zh-CN" w:bidi="ar-SA"/>
        </w:rPr>
        <w:t>3</w:t>
      </w:r>
      <w:r>
        <w:rPr>
          <w:rFonts w:hint="eastAsia" w:ascii="宋体" w:hAnsi="宋体" w:eastAsia="宋体" w:cs="Times New Roman"/>
          <w:color w:val="auto"/>
          <w:kern w:val="2"/>
          <w:sz w:val="24"/>
          <w:szCs w:val="24"/>
          <w:highlight w:val="none"/>
          <w:u w:val="none"/>
          <w:lang w:val="en-US" w:eastAsia="zh-CN" w:bidi="ar-SA"/>
        </w:rPr>
        <w:t>.2本工程保修期</w:t>
      </w:r>
      <w:r>
        <w:rPr>
          <w:rFonts w:hint="eastAsia" w:ascii="宋体" w:hAnsi="宋体" w:cs="Times New Roman"/>
          <w:color w:val="auto"/>
          <w:kern w:val="2"/>
          <w:sz w:val="24"/>
          <w:szCs w:val="24"/>
          <w:highlight w:val="none"/>
          <w:u w:val="none"/>
          <w:lang w:val="en-US" w:eastAsia="zh-CN" w:bidi="ar-SA"/>
        </w:rPr>
        <w:t>为</w:t>
      </w:r>
      <w:r>
        <w:rPr>
          <w:rFonts w:hint="eastAsia" w:ascii="宋体" w:hAnsi="宋体" w:eastAsia="宋体" w:cs="Times New Roman"/>
          <w:color w:val="auto"/>
          <w:kern w:val="2"/>
          <w:sz w:val="24"/>
          <w:szCs w:val="24"/>
          <w:highlight w:val="none"/>
          <w:u w:val="none"/>
          <w:lang w:val="en-US" w:eastAsia="zh-CN" w:bidi="ar-SA"/>
        </w:rPr>
        <w:t>《工程质量保修书》所约定的期间，保修期始于项目正式竣工验收合格的日期。在保修期内承包方应无偿对项目进行修理。</w:t>
      </w:r>
    </w:p>
    <w:p w14:paraId="4356A496">
      <w:pPr>
        <w:spacing w:line="360" w:lineRule="auto"/>
        <w:rPr>
          <w:rFonts w:hint="eastAsia" w:ascii="宋体" w:hAnsi="宋体" w:eastAsia="宋体" w:cs="Times New Roman"/>
          <w:color w:val="auto"/>
          <w:kern w:val="2"/>
          <w:sz w:val="24"/>
          <w:szCs w:val="24"/>
          <w:highlight w:val="none"/>
          <w:u w:val="none"/>
          <w:lang w:val="en-US" w:eastAsia="zh-CN" w:bidi="ar-SA"/>
        </w:rPr>
      </w:pPr>
      <w:r>
        <w:rPr>
          <w:rFonts w:hint="eastAsia" w:ascii="宋体" w:hAnsi="宋体" w:cs="Times New Roman"/>
          <w:color w:val="auto"/>
          <w:kern w:val="2"/>
          <w:sz w:val="24"/>
          <w:szCs w:val="24"/>
          <w:highlight w:val="none"/>
          <w:u w:val="none"/>
          <w:lang w:val="en-US" w:eastAsia="zh-CN" w:bidi="ar-SA"/>
        </w:rPr>
        <w:t>4</w:t>
      </w:r>
      <w:r>
        <w:rPr>
          <w:rFonts w:hint="eastAsia" w:ascii="宋体" w:hAnsi="宋体" w:eastAsia="宋体" w:cs="Times New Roman"/>
          <w:color w:val="auto"/>
          <w:kern w:val="2"/>
          <w:sz w:val="24"/>
          <w:szCs w:val="24"/>
          <w:highlight w:val="none"/>
          <w:u w:val="none"/>
          <w:lang w:val="en-US" w:eastAsia="zh-CN" w:bidi="ar-SA"/>
        </w:rPr>
        <w:t>.</w:t>
      </w:r>
      <w:r>
        <w:rPr>
          <w:rFonts w:hint="eastAsia" w:ascii="宋体" w:hAnsi="宋体" w:cs="Times New Roman"/>
          <w:color w:val="auto"/>
          <w:kern w:val="2"/>
          <w:sz w:val="24"/>
          <w:szCs w:val="24"/>
          <w:highlight w:val="none"/>
          <w:u w:val="none"/>
          <w:lang w:val="en-US" w:eastAsia="zh-CN" w:bidi="ar-SA"/>
        </w:rPr>
        <w:t>3</w:t>
      </w:r>
      <w:r>
        <w:rPr>
          <w:rFonts w:hint="eastAsia" w:ascii="宋体" w:hAnsi="宋体" w:eastAsia="宋体" w:cs="Times New Roman"/>
          <w:color w:val="auto"/>
          <w:kern w:val="2"/>
          <w:sz w:val="24"/>
          <w:szCs w:val="24"/>
          <w:highlight w:val="none"/>
          <w:u w:val="none"/>
          <w:lang w:val="en-US" w:eastAsia="zh-CN" w:bidi="ar-SA"/>
        </w:rPr>
        <w:t>.3在保修期内，接到发包人指令后，及时赶到现场并采取切实可行的措施进行抢险抢修，完成相关维修工作内容，否则发包人有权采取一切措施自行完成，相关费用由承包方承担，并扣罚该分部工程保修费。</w:t>
      </w:r>
    </w:p>
    <w:p w14:paraId="21F5FFD8">
      <w:pPr>
        <w:spacing w:line="360" w:lineRule="auto"/>
        <w:rPr>
          <w:rFonts w:hint="eastAsia" w:ascii="宋体" w:hAnsi="宋体" w:eastAsia="宋体" w:cs="Times New Roman"/>
          <w:color w:val="auto"/>
          <w:kern w:val="2"/>
          <w:sz w:val="24"/>
          <w:szCs w:val="24"/>
          <w:highlight w:val="none"/>
          <w:u w:val="none"/>
          <w:lang w:val="en-US" w:eastAsia="zh-CN" w:bidi="ar-SA"/>
        </w:rPr>
      </w:pPr>
      <w:r>
        <w:rPr>
          <w:rFonts w:hint="eastAsia" w:ascii="宋体" w:hAnsi="宋体" w:cs="Times New Roman"/>
          <w:color w:val="auto"/>
          <w:kern w:val="2"/>
          <w:sz w:val="24"/>
          <w:szCs w:val="24"/>
          <w:highlight w:val="none"/>
          <w:u w:val="none"/>
          <w:lang w:val="en-US" w:eastAsia="zh-CN" w:bidi="ar-SA"/>
        </w:rPr>
        <w:t>4</w:t>
      </w:r>
      <w:r>
        <w:rPr>
          <w:rFonts w:hint="eastAsia" w:ascii="宋体" w:hAnsi="宋体" w:eastAsia="宋体" w:cs="Times New Roman"/>
          <w:color w:val="auto"/>
          <w:kern w:val="2"/>
          <w:sz w:val="24"/>
          <w:szCs w:val="24"/>
          <w:highlight w:val="none"/>
          <w:u w:val="none"/>
          <w:lang w:val="en-US" w:eastAsia="zh-CN" w:bidi="ar-SA"/>
        </w:rPr>
        <w:t>.</w:t>
      </w:r>
      <w:r>
        <w:rPr>
          <w:rFonts w:hint="eastAsia" w:ascii="宋体" w:hAnsi="宋体" w:cs="Times New Roman"/>
          <w:color w:val="auto"/>
          <w:kern w:val="2"/>
          <w:sz w:val="24"/>
          <w:szCs w:val="24"/>
          <w:highlight w:val="none"/>
          <w:u w:val="none"/>
          <w:lang w:val="en-US" w:eastAsia="zh-CN" w:bidi="ar-SA"/>
        </w:rPr>
        <w:t>3</w:t>
      </w:r>
      <w:r>
        <w:rPr>
          <w:rFonts w:hint="eastAsia" w:ascii="宋体" w:hAnsi="宋体" w:eastAsia="宋体" w:cs="Times New Roman"/>
          <w:color w:val="auto"/>
          <w:kern w:val="2"/>
          <w:sz w:val="24"/>
          <w:szCs w:val="24"/>
          <w:highlight w:val="none"/>
          <w:u w:val="none"/>
          <w:lang w:val="en-US" w:eastAsia="zh-CN" w:bidi="ar-SA"/>
        </w:rPr>
        <w:t>.4若因维修人员不到位，保修金不予退还，影响恶劣的，发包人有权向承包方索赔，且由此所造成的一切损失由承包方负责。</w:t>
      </w:r>
    </w:p>
    <w:p w14:paraId="10560A71">
      <w:pPr>
        <w:spacing w:line="360" w:lineRule="auto"/>
        <w:ind w:firstLine="0" w:firstLineChars="0"/>
        <w:jc w:val="left"/>
        <w:rPr>
          <w:rFonts w:hint="eastAsia" w:ascii="宋体" w:hAnsi="宋体" w:eastAsia="宋体"/>
          <w:color w:val="auto"/>
          <w:sz w:val="24"/>
          <w:highlight w:val="none"/>
          <w:u w:val="single"/>
          <w:lang w:eastAsia="zh-CN"/>
        </w:rPr>
      </w:pPr>
      <w:r>
        <w:rPr>
          <w:rFonts w:hint="eastAsia" w:ascii="宋体" w:hAnsi="宋体" w:cs="仿宋_GB2312"/>
          <w:color w:val="auto"/>
          <w:sz w:val="24"/>
          <w:highlight w:val="none"/>
        </w:rPr>
        <w:t>5.其他商务要求（包装和运输、保险等）</w:t>
      </w:r>
      <w:r>
        <w:rPr>
          <w:rFonts w:hint="eastAsia" w:ascii="宋体" w:hAnsi="宋体" w:cs="仿宋_GB2312"/>
          <w:color w:val="auto"/>
          <w:sz w:val="24"/>
          <w:highlight w:val="none"/>
          <w:lang w:eastAsia="zh-CN"/>
        </w:rPr>
        <w:t>：</w:t>
      </w:r>
      <w:r>
        <w:rPr>
          <w:rFonts w:hint="eastAsia" w:ascii="宋体" w:hAnsi="宋体"/>
          <w:color w:val="auto"/>
          <w:sz w:val="24"/>
          <w:highlight w:val="none"/>
          <w:u w:val="none"/>
          <w:lang w:val="en-US" w:eastAsia="zh-CN"/>
        </w:rPr>
        <w:t>无。</w:t>
      </w:r>
    </w:p>
    <w:p w14:paraId="63EAEF4C">
      <w:pPr>
        <w:spacing w:line="360" w:lineRule="auto"/>
        <w:ind w:firstLine="480" w:firstLineChars="200"/>
        <w:jc w:val="left"/>
        <w:rPr>
          <w:rFonts w:ascii="宋体" w:hAnsi="宋体"/>
          <w:color w:val="auto"/>
          <w:sz w:val="24"/>
          <w:highlight w:val="none"/>
          <w:u w:val="single"/>
        </w:rPr>
      </w:pPr>
    </w:p>
    <w:p w14:paraId="76EA2A55">
      <w:pPr>
        <w:widowControl/>
        <w:ind w:firstLine="720" w:firstLineChars="300"/>
        <w:jc w:val="left"/>
        <w:rPr>
          <w:rFonts w:ascii="宋体" w:hAnsi="宋体" w:cs="宋体"/>
          <w:bCs/>
          <w:color w:val="auto"/>
          <w:sz w:val="24"/>
          <w:highlight w:val="none"/>
        </w:rPr>
      </w:pPr>
    </w:p>
    <w:p w14:paraId="33A3CE2C">
      <w:pPr>
        <w:rPr>
          <w:rFonts w:ascii="宋体" w:hAnsi="宋体" w:cs="宋体"/>
          <w:snapToGrid w:val="0"/>
          <w:color w:val="auto"/>
          <w:kern w:val="0"/>
          <w:sz w:val="24"/>
          <w:highlight w:val="none"/>
        </w:rPr>
      </w:pPr>
    </w:p>
    <w:p w14:paraId="564394DD">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24"/>
          <w:highlight w:val="none"/>
        </w:rPr>
        <w:br w:type="page"/>
      </w:r>
      <w:bookmarkStart w:id="33" w:name="_Toc8460"/>
      <w:r>
        <w:rPr>
          <w:rFonts w:hint="eastAsia" w:ascii="宋体" w:hAnsi="宋体" w:cs="宋体"/>
          <w:b/>
          <w:color w:val="auto"/>
          <w:sz w:val="36"/>
          <w:szCs w:val="20"/>
          <w:highlight w:val="none"/>
        </w:rPr>
        <w:t>第四部分</w:t>
      </w:r>
      <w:bookmarkStart w:id="34" w:name="_Toc184310319"/>
      <w:bookmarkEnd w:id="34"/>
      <w:bookmarkStart w:id="35" w:name="_Toc184308065"/>
      <w:bookmarkEnd w:id="35"/>
      <w:bookmarkStart w:id="36" w:name="_Toc184313242"/>
      <w:bookmarkEnd w:id="36"/>
      <w:bookmarkStart w:id="37" w:name="_Toc184308057"/>
      <w:bookmarkEnd w:id="37"/>
      <w:bookmarkStart w:id="38" w:name="_Toc184308074"/>
      <w:bookmarkEnd w:id="38"/>
      <w:bookmarkStart w:id="39" w:name="_Toc184314482"/>
      <w:bookmarkEnd w:id="39"/>
      <w:bookmarkStart w:id="40" w:name="_Toc184310288"/>
      <w:bookmarkEnd w:id="40"/>
      <w:bookmarkStart w:id="41" w:name="_Toc184312075"/>
      <w:bookmarkEnd w:id="41"/>
      <w:bookmarkStart w:id="42" w:name="_Toc184312080"/>
      <w:bookmarkEnd w:id="42"/>
      <w:bookmarkStart w:id="43" w:name="_Toc184308107"/>
      <w:bookmarkEnd w:id="43"/>
      <w:bookmarkStart w:id="44" w:name="_Toc184308095"/>
      <w:bookmarkEnd w:id="44"/>
      <w:bookmarkStart w:id="45" w:name="_Toc184310277"/>
      <w:bookmarkEnd w:id="45"/>
      <w:bookmarkStart w:id="46" w:name="_Toc184312113"/>
      <w:bookmarkEnd w:id="46"/>
      <w:bookmarkStart w:id="47" w:name="_Toc184313250"/>
      <w:bookmarkEnd w:id="47"/>
      <w:bookmarkStart w:id="48" w:name="_Toc184308079"/>
      <w:bookmarkEnd w:id="48"/>
      <w:bookmarkStart w:id="49" w:name="_Toc184308068"/>
      <w:bookmarkEnd w:id="49"/>
      <w:bookmarkStart w:id="50" w:name="_Toc184313304"/>
      <w:bookmarkEnd w:id="50"/>
      <w:bookmarkStart w:id="51" w:name="_Toc184314480"/>
      <w:bookmarkEnd w:id="51"/>
      <w:bookmarkStart w:id="52" w:name="_Toc184312096"/>
      <w:bookmarkEnd w:id="52"/>
      <w:bookmarkStart w:id="53" w:name="_Toc184314469"/>
      <w:bookmarkEnd w:id="53"/>
      <w:bookmarkStart w:id="54" w:name="_Toc184314452"/>
      <w:bookmarkEnd w:id="54"/>
      <w:bookmarkStart w:id="55" w:name="_Toc184312106"/>
      <w:bookmarkEnd w:id="55"/>
      <w:bookmarkStart w:id="56" w:name="_Toc184312110"/>
      <w:bookmarkEnd w:id="56"/>
      <w:bookmarkStart w:id="57" w:name="_Toc184313265"/>
      <w:bookmarkEnd w:id="57"/>
      <w:bookmarkStart w:id="58" w:name="_Toc184310325"/>
      <w:bookmarkEnd w:id="58"/>
      <w:bookmarkStart w:id="59" w:name="_Toc184314481"/>
      <w:bookmarkEnd w:id="59"/>
      <w:bookmarkStart w:id="60" w:name="_Toc184312098"/>
      <w:bookmarkEnd w:id="60"/>
      <w:bookmarkStart w:id="61" w:name="_Toc184312102"/>
      <w:bookmarkEnd w:id="61"/>
      <w:bookmarkStart w:id="62" w:name="_Toc184313264"/>
      <w:bookmarkEnd w:id="62"/>
      <w:bookmarkStart w:id="63" w:name="_Toc184308094"/>
      <w:bookmarkEnd w:id="63"/>
      <w:bookmarkStart w:id="64" w:name="_Toc184314467"/>
      <w:bookmarkEnd w:id="64"/>
      <w:bookmarkStart w:id="65" w:name="_Toc184310329"/>
      <w:bookmarkEnd w:id="65"/>
      <w:bookmarkStart w:id="66" w:name="_Toc184313289"/>
      <w:bookmarkEnd w:id="66"/>
      <w:bookmarkStart w:id="67" w:name="_Toc184310309"/>
      <w:bookmarkEnd w:id="67"/>
      <w:bookmarkStart w:id="68" w:name="_Toc184314472"/>
      <w:bookmarkEnd w:id="68"/>
      <w:bookmarkStart w:id="69" w:name="_Toc184312132"/>
      <w:bookmarkEnd w:id="69"/>
      <w:bookmarkStart w:id="70" w:name="_Toc184314424"/>
      <w:bookmarkEnd w:id="70"/>
      <w:bookmarkStart w:id="71" w:name="_Toc184314414"/>
      <w:bookmarkEnd w:id="71"/>
      <w:bookmarkStart w:id="72" w:name="_Toc184312100"/>
      <w:bookmarkEnd w:id="72"/>
      <w:bookmarkStart w:id="73" w:name="_Toc184312071"/>
      <w:bookmarkEnd w:id="73"/>
      <w:bookmarkStart w:id="74" w:name="_Toc184310339"/>
      <w:bookmarkEnd w:id="74"/>
      <w:bookmarkStart w:id="75" w:name="_Toc184312092"/>
      <w:bookmarkEnd w:id="75"/>
      <w:bookmarkStart w:id="76" w:name="_Toc184313279"/>
      <w:bookmarkEnd w:id="76"/>
      <w:bookmarkStart w:id="77" w:name="_Toc184308049"/>
      <w:bookmarkEnd w:id="77"/>
      <w:bookmarkStart w:id="78" w:name="_Toc184314463"/>
      <w:bookmarkEnd w:id="78"/>
      <w:bookmarkStart w:id="79" w:name="_Toc184310312"/>
      <w:bookmarkEnd w:id="79"/>
      <w:bookmarkStart w:id="80" w:name="_Toc184308105"/>
      <w:bookmarkEnd w:id="80"/>
      <w:bookmarkStart w:id="81" w:name="_Toc184312118"/>
      <w:bookmarkEnd w:id="81"/>
      <w:bookmarkStart w:id="82" w:name="_Toc184314438"/>
      <w:bookmarkEnd w:id="82"/>
      <w:bookmarkStart w:id="83" w:name="_Toc184313307"/>
      <w:bookmarkEnd w:id="83"/>
      <w:bookmarkStart w:id="84" w:name="_Toc184314441"/>
      <w:bookmarkEnd w:id="84"/>
      <w:bookmarkStart w:id="85" w:name="_Toc184308050"/>
      <w:bookmarkEnd w:id="85"/>
      <w:bookmarkStart w:id="86" w:name="_Toc184312085"/>
      <w:bookmarkEnd w:id="86"/>
      <w:bookmarkStart w:id="87" w:name="_Toc184314425"/>
      <w:bookmarkEnd w:id="87"/>
      <w:bookmarkStart w:id="88" w:name="_Toc184314415"/>
      <w:bookmarkEnd w:id="88"/>
      <w:bookmarkStart w:id="89" w:name="_Toc184313244"/>
      <w:bookmarkEnd w:id="89"/>
      <w:bookmarkStart w:id="90" w:name="_Toc184314442"/>
      <w:bookmarkEnd w:id="90"/>
      <w:bookmarkStart w:id="91" w:name="_Toc184308083"/>
      <w:bookmarkEnd w:id="91"/>
      <w:bookmarkStart w:id="92" w:name="_Toc184310287"/>
      <w:bookmarkEnd w:id="92"/>
      <w:bookmarkStart w:id="93" w:name="_Toc184308037"/>
      <w:bookmarkEnd w:id="93"/>
      <w:bookmarkStart w:id="94" w:name="_Toc184314477"/>
      <w:bookmarkEnd w:id="94"/>
      <w:bookmarkStart w:id="95" w:name="_Toc184312137"/>
      <w:bookmarkEnd w:id="95"/>
      <w:bookmarkStart w:id="96" w:name="_Toc184308069"/>
      <w:bookmarkEnd w:id="96"/>
      <w:bookmarkStart w:id="97" w:name="_Toc184313305"/>
      <w:bookmarkEnd w:id="97"/>
      <w:bookmarkStart w:id="98" w:name="_Toc184313281"/>
      <w:bookmarkEnd w:id="98"/>
      <w:bookmarkStart w:id="99" w:name="_Toc184310276"/>
      <w:bookmarkEnd w:id="99"/>
      <w:bookmarkStart w:id="100" w:name="_Toc184308096"/>
      <w:bookmarkEnd w:id="100"/>
      <w:bookmarkStart w:id="101" w:name="_Toc184308036"/>
      <w:bookmarkEnd w:id="101"/>
      <w:bookmarkStart w:id="102" w:name="_Toc184310303"/>
      <w:bookmarkEnd w:id="102"/>
      <w:bookmarkStart w:id="103" w:name="_Toc184310320"/>
      <w:bookmarkEnd w:id="103"/>
      <w:bookmarkStart w:id="104" w:name="_Toc184313271"/>
      <w:bookmarkEnd w:id="104"/>
      <w:bookmarkStart w:id="105" w:name="_Toc184313273"/>
      <w:bookmarkEnd w:id="105"/>
      <w:bookmarkStart w:id="106" w:name="_Toc184310285"/>
      <w:bookmarkEnd w:id="106"/>
      <w:bookmarkStart w:id="107" w:name="_Toc184313284"/>
      <w:bookmarkEnd w:id="107"/>
      <w:bookmarkStart w:id="108" w:name="_Toc184314437"/>
      <w:bookmarkEnd w:id="108"/>
      <w:bookmarkStart w:id="109" w:name="_Toc184314434"/>
      <w:bookmarkEnd w:id="109"/>
      <w:bookmarkStart w:id="110" w:name="_Toc184314476"/>
      <w:bookmarkEnd w:id="110"/>
      <w:bookmarkStart w:id="111" w:name="_Toc184310343"/>
      <w:bookmarkEnd w:id="111"/>
      <w:bookmarkStart w:id="112" w:name="_Toc184312103"/>
      <w:bookmarkEnd w:id="112"/>
      <w:bookmarkStart w:id="113" w:name="_Toc184313256"/>
      <w:bookmarkEnd w:id="113"/>
      <w:bookmarkStart w:id="114" w:name="_Toc184310332"/>
      <w:bookmarkEnd w:id="114"/>
      <w:bookmarkStart w:id="115" w:name="_Toc184310293"/>
      <w:bookmarkEnd w:id="115"/>
      <w:bookmarkStart w:id="116" w:name="_Toc184312089"/>
      <w:bookmarkEnd w:id="116"/>
      <w:bookmarkStart w:id="117" w:name="_Toc184310318"/>
      <w:bookmarkEnd w:id="117"/>
      <w:bookmarkStart w:id="118" w:name="_Toc184308099"/>
      <w:bookmarkEnd w:id="118"/>
      <w:bookmarkStart w:id="119" w:name="_Toc184313266"/>
      <w:bookmarkEnd w:id="119"/>
      <w:bookmarkStart w:id="120" w:name="_Toc184313303"/>
      <w:bookmarkEnd w:id="120"/>
      <w:bookmarkStart w:id="121" w:name="_Toc184313293"/>
      <w:bookmarkEnd w:id="121"/>
      <w:bookmarkStart w:id="122" w:name="_Toc184308054"/>
      <w:bookmarkEnd w:id="122"/>
      <w:bookmarkStart w:id="123" w:name="_Toc184314453"/>
      <w:bookmarkEnd w:id="123"/>
      <w:bookmarkStart w:id="124" w:name="_Toc184313295"/>
      <w:bookmarkEnd w:id="124"/>
      <w:bookmarkStart w:id="125" w:name="_Toc184312119"/>
      <w:bookmarkEnd w:id="125"/>
      <w:bookmarkStart w:id="126" w:name="_Toc184308048"/>
      <w:bookmarkEnd w:id="126"/>
      <w:bookmarkStart w:id="127" w:name="_Toc184308106"/>
      <w:bookmarkEnd w:id="127"/>
      <w:bookmarkStart w:id="128" w:name="_Toc184310323"/>
      <w:bookmarkEnd w:id="128"/>
      <w:bookmarkStart w:id="129" w:name="_Toc184308092"/>
      <w:bookmarkEnd w:id="129"/>
      <w:bookmarkStart w:id="130" w:name="_Toc184314461"/>
      <w:bookmarkEnd w:id="130"/>
      <w:bookmarkStart w:id="131" w:name="_Toc184308070"/>
      <w:bookmarkEnd w:id="131"/>
      <w:bookmarkStart w:id="132" w:name="_Toc184308039"/>
      <w:bookmarkEnd w:id="132"/>
      <w:bookmarkStart w:id="133" w:name="_Toc184308102"/>
      <w:bookmarkEnd w:id="133"/>
      <w:bookmarkStart w:id="134" w:name="_Toc184313282"/>
      <w:bookmarkEnd w:id="134"/>
      <w:bookmarkStart w:id="135" w:name="_Toc184313238"/>
      <w:bookmarkEnd w:id="135"/>
      <w:bookmarkStart w:id="136" w:name="_Toc184313283"/>
      <w:bookmarkEnd w:id="136"/>
      <w:bookmarkStart w:id="137" w:name="_Toc184312078"/>
      <w:bookmarkEnd w:id="137"/>
      <w:bookmarkStart w:id="138" w:name="_Toc184313301"/>
      <w:bookmarkEnd w:id="138"/>
      <w:bookmarkStart w:id="139" w:name="_Toc184308093"/>
      <w:bookmarkEnd w:id="139"/>
      <w:bookmarkStart w:id="140" w:name="_Toc184308062"/>
      <w:bookmarkEnd w:id="140"/>
      <w:bookmarkStart w:id="141" w:name="_Toc184312076"/>
      <w:bookmarkEnd w:id="141"/>
      <w:bookmarkStart w:id="142" w:name="_Toc184310337"/>
      <w:bookmarkEnd w:id="142"/>
      <w:bookmarkStart w:id="143" w:name="_Toc184314420"/>
      <w:bookmarkEnd w:id="143"/>
      <w:bookmarkStart w:id="144" w:name="_Toc184308072"/>
      <w:bookmarkEnd w:id="144"/>
      <w:bookmarkStart w:id="145" w:name="_Toc184310310"/>
      <w:bookmarkEnd w:id="145"/>
      <w:bookmarkStart w:id="146" w:name="_Toc184312101"/>
      <w:bookmarkEnd w:id="146"/>
      <w:bookmarkStart w:id="147" w:name="_Toc184310306"/>
      <w:bookmarkEnd w:id="147"/>
      <w:bookmarkStart w:id="148" w:name="_Toc184310330"/>
      <w:bookmarkEnd w:id="148"/>
      <w:bookmarkStart w:id="149" w:name="_Toc184314478"/>
      <w:bookmarkEnd w:id="149"/>
      <w:bookmarkStart w:id="150" w:name="_Toc184312130"/>
      <w:bookmarkEnd w:id="150"/>
      <w:bookmarkStart w:id="151" w:name="_Toc184313306"/>
      <w:bookmarkEnd w:id="151"/>
      <w:bookmarkStart w:id="152" w:name="_Toc184308063"/>
      <w:bookmarkEnd w:id="152"/>
      <w:bookmarkStart w:id="153" w:name="_Toc184308101"/>
      <w:bookmarkEnd w:id="153"/>
      <w:bookmarkStart w:id="154" w:name="_Toc184308042"/>
      <w:bookmarkEnd w:id="154"/>
      <w:bookmarkStart w:id="155" w:name="_Toc184314410"/>
      <w:bookmarkEnd w:id="155"/>
      <w:bookmarkStart w:id="156" w:name="_Toc184308043"/>
      <w:bookmarkEnd w:id="156"/>
      <w:bookmarkStart w:id="157" w:name="_Toc184313298"/>
      <w:bookmarkEnd w:id="157"/>
      <w:bookmarkStart w:id="158" w:name="_Toc184313270"/>
      <w:bookmarkEnd w:id="158"/>
      <w:bookmarkStart w:id="159" w:name="_Toc184313246"/>
      <w:bookmarkEnd w:id="159"/>
      <w:bookmarkStart w:id="160" w:name="_Toc184314429"/>
      <w:bookmarkEnd w:id="160"/>
      <w:bookmarkStart w:id="161" w:name="_Toc184313286"/>
      <w:bookmarkEnd w:id="161"/>
      <w:bookmarkStart w:id="162" w:name="_Toc184312123"/>
      <w:bookmarkEnd w:id="162"/>
      <w:bookmarkStart w:id="163" w:name="_Toc184310321"/>
      <w:bookmarkEnd w:id="163"/>
      <w:bookmarkStart w:id="164" w:name="_Toc184312095"/>
      <w:bookmarkEnd w:id="164"/>
      <w:bookmarkStart w:id="165" w:name="_Toc184312083"/>
      <w:bookmarkEnd w:id="165"/>
      <w:bookmarkStart w:id="166" w:name="_Toc184310305"/>
      <w:bookmarkEnd w:id="166"/>
      <w:bookmarkStart w:id="167" w:name="_Toc184308078"/>
      <w:bookmarkEnd w:id="167"/>
      <w:bookmarkStart w:id="168" w:name="_Toc184313278"/>
      <w:bookmarkEnd w:id="168"/>
      <w:bookmarkStart w:id="169" w:name="_Toc184312086"/>
      <w:bookmarkEnd w:id="169"/>
      <w:bookmarkStart w:id="170" w:name="_Toc184310295"/>
      <w:bookmarkEnd w:id="170"/>
      <w:bookmarkStart w:id="171" w:name="_Toc184310291"/>
      <w:bookmarkEnd w:id="171"/>
      <w:bookmarkStart w:id="172" w:name="_Toc184308067"/>
      <w:bookmarkEnd w:id="172"/>
      <w:bookmarkStart w:id="173" w:name="_Toc184308087"/>
      <w:bookmarkEnd w:id="173"/>
      <w:bookmarkStart w:id="174" w:name="_Toc184312097"/>
      <w:bookmarkEnd w:id="174"/>
      <w:bookmarkStart w:id="175" w:name="_Toc184310313"/>
      <w:bookmarkEnd w:id="175"/>
      <w:bookmarkStart w:id="176" w:name="_Toc184314471"/>
      <w:bookmarkEnd w:id="176"/>
      <w:bookmarkStart w:id="177" w:name="_Toc184308044"/>
      <w:bookmarkEnd w:id="177"/>
      <w:bookmarkStart w:id="178" w:name="_Toc184308080"/>
      <w:bookmarkEnd w:id="178"/>
      <w:bookmarkStart w:id="179" w:name="_Toc184312138"/>
      <w:bookmarkEnd w:id="179"/>
      <w:bookmarkStart w:id="180" w:name="_Toc184314475"/>
      <w:bookmarkEnd w:id="180"/>
      <w:bookmarkStart w:id="181" w:name="_Toc184313251"/>
      <w:bookmarkEnd w:id="181"/>
      <w:bookmarkStart w:id="182" w:name="_Toc184312134"/>
      <w:bookmarkEnd w:id="182"/>
      <w:bookmarkStart w:id="183" w:name="_Toc184314446"/>
      <w:bookmarkEnd w:id="183"/>
      <w:bookmarkStart w:id="184" w:name="_Toc184313240"/>
      <w:bookmarkEnd w:id="184"/>
      <w:bookmarkStart w:id="185" w:name="_Toc184314460"/>
      <w:bookmarkEnd w:id="185"/>
      <w:bookmarkStart w:id="186" w:name="_Toc184310340"/>
      <w:bookmarkEnd w:id="186"/>
      <w:bookmarkStart w:id="187" w:name="_Toc184313299"/>
      <w:bookmarkEnd w:id="187"/>
      <w:bookmarkStart w:id="188" w:name="_Toc184313296"/>
      <w:bookmarkEnd w:id="188"/>
      <w:bookmarkStart w:id="189" w:name="_Toc184308077"/>
      <w:bookmarkEnd w:id="189"/>
      <w:bookmarkStart w:id="190" w:name="_Toc184314412"/>
      <w:bookmarkEnd w:id="190"/>
      <w:bookmarkStart w:id="191" w:name="_Toc184312127"/>
      <w:bookmarkEnd w:id="191"/>
      <w:bookmarkStart w:id="192" w:name="_Toc184308059"/>
      <w:bookmarkEnd w:id="192"/>
      <w:bookmarkStart w:id="193" w:name="_Toc184308060"/>
      <w:bookmarkEnd w:id="193"/>
      <w:bookmarkStart w:id="194" w:name="_Toc184310283"/>
      <w:bookmarkEnd w:id="194"/>
      <w:bookmarkStart w:id="195" w:name="_Toc184310308"/>
      <w:bookmarkEnd w:id="195"/>
      <w:bookmarkStart w:id="196" w:name="_Toc184313277"/>
      <w:bookmarkEnd w:id="196"/>
      <w:bookmarkStart w:id="197" w:name="_Toc184314431"/>
      <w:bookmarkEnd w:id="197"/>
      <w:bookmarkStart w:id="198" w:name="_Toc184312091"/>
      <w:bookmarkEnd w:id="198"/>
      <w:bookmarkStart w:id="199" w:name="_Toc184308046"/>
      <w:bookmarkEnd w:id="199"/>
      <w:bookmarkStart w:id="200" w:name="_Toc184310314"/>
      <w:bookmarkEnd w:id="200"/>
      <w:bookmarkStart w:id="201" w:name="_Toc184308091"/>
      <w:bookmarkEnd w:id="201"/>
      <w:bookmarkStart w:id="202" w:name="_Toc184313310"/>
      <w:bookmarkEnd w:id="202"/>
      <w:bookmarkStart w:id="203" w:name="_Toc184312120"/>
      <w:bookmarkEnd w:id="203"/>
      <w:bookmarkStart w:id="204" w:name="_Toc184310322"/>
      <w:bookmarkEnd w:id="204"/>
      <w:bookmarkStart w:id="205" w:name="_Toc184312111"/>
      <w:bookmarkEnd w:id="205"/>
      <w:bookmarkStart w:id="206" w:name="_Toc184308081"/>
      <w:bookmarkEnd w:id="206"/>
      <w:bookmarkStart w:id="207" w:name="_Toc184308084"/>
      <w:bookmarkEnd w:id="207"/>
      <w:bookmarkStart w:id="208" w:name="_Toc184313243"/>
      <w:bookmarkEnd w:id="208"/>
      <w:bookmarkStart w:id="209" w:name="_Toc184313239"/>
      <w:bookmarkEnd w:id="209"/>
      <w:bookmarkStart w:id="210" w:name="_Toc184314451"/>
      <w:bookmarkEnd w:id="210"/>
      <w:bookmarkStart w:id="211" w:name="_Toc184312081"/>
      <w:bookmarkEnd w:id="211"/>
      <w:bookmarkStart w:id="212" w:name="_Toc184308055"/>
      <w:bookmarkEnd w:id="212"/>
      <w:bookmarkStart w:id="213" w:name="_Toc184314436"/>
      <w:bookmarkEnd w:id="213"/>
      <w:bookmarkStart w:id="214" w:name="_Toc184308075"/>
      <w:bookmarkEnd w:id="214"/>
      <w:bookmarkStart w:id="215" w:name="_Toc184308097"/>
      <w:bookmarkEnd w:id="215"/>
      <w:bookmarkStart w:id="216" w:name="_Toc184308051"/>
      <w:bookmarkEnd w:id="216"/>
      <w:bookmarkStart w:id="217" w:name="_Toc184310336"/>
      <w:bookmarkEnd w:id="217"/>
      <w:bookmarkStart w:id="218" w:name="_Toc184312094"/>
      <w:bookmarkEnd w:id="218"/>
      <w:bookmarkStart w:id="219" w:name="_Toc184310341"/>
      <w:bookmarkEnd w:id="219"/>
      <w:bookmarkStart w:id="220" w:name="_Toc184310344"/>
      <w:bookmarkEnd w:id="220"/>
      <w:bookmarkStart w:id="221" w:name="_Toc184314470"/>
      <w:bookmarkEnd w:id="221"/>
      <w:bookmarkStart w:id="222" w:name="_Toc184310272"/>
      <w:bookmarkEnd w:id="222"/>
      <w:bookmarkStart w:id="223" w:name="_Toc184310333"/>
      <w:bookmarkEnd w:id="223"/>
      <w:bookmarkStart w:id="224" w:name="_Toc184313269"/>
      <w:bookmarkEnd w:id="224"/>
      <w:bookmarkStart w:id="225" w:name="_Toc184313241"/>
      <w:bookmarkEnd w:id="225"/>
      <w:bookmarkStart w:id="226" w:name="_Toc184310300"/>
      <w:bookmarkEnd w:id="226"/>
      <w:bookmarkStart w:id="227" w:name="_Toc184313268"/>
      <w:bookmarkEnd w:id="227"/>
      <w:bookmarkStart w:id="228" w:name="_Toc184313275"/>
      <w:bookmarkEnd w:id="228"/>
      <w:bookmarkStart w:id="229" w:name="_Toc184314458"/>
      <w:bookmarkEnd w:id="229"/>
      <w:bookmarkStart w:id="230" w:name="_Toc184310290"/>
      <w:bookmarkEnd w:id="230"/>
      <w:bookmarkStart w:id="231" w:name="_Toc184312126"/>
      <w:bookmarkEnd w:id="231"/>
      <w:bookmarkStart w:id="232" w:name="_Toc184312136"/>
      <w:bookmarkEnd w:id="232"/>
      <w:bookmarkStart w:id="233" w:name="_Toc184310286"/>
      <w:bookmarkEnd w:id="233"/>
      <w:bookmarkStart w:id="234" w:name="_Toc184313308"/>
      <w:bookmarkEnd w:id="234"/>
      <w:bookmarkStart w:id="235" w:name="_Toc184313280"/>
      <w:bookmarkEnd w:id="235"/>
      <w:bookmarkStart w:id="236" w:name="_Toc184310278"/>
      <w:bookmarkEnd w:id="236"/>
      <w:bookmarkStart w:id="237" w:name="_Toc184314462"/>
      <w:bookmarkEnd w:id="237"/>
      <w:bookmarkStart w:id="238" w:name="_Toc184314416"/>
      <w:bookmarkEnd w:id="238"/>
      <w:bookmarkStart w:id="239" w:name="_Toc184312068"/>
      <w:bookmarkEnd w:id="239"/>
      <w:bookmarkStart w:id="240" w:name="_Toc184312116"/>
      <w:bookmarkEnd w:id="240"/>
      <w:bookmarkStart w:id="241" w:name="_Toc184313253"/>
      <w:bookmarkEnd w:id="241"/>
      <w:bookmarkStart w:id="242" w:name="_Toc184310327"/>
      <w:bookmarkEnd w:id="242"/>
      <w:bookmarkStart w:id="243" w:name="_Toc184312067"/>
      <w:bookmarkEnd w:id="243"/>
      <w:bookmarkStart w:id="244" w:name="_Toc184312087"/>
      <w:bookmarkEnd w:id="244"/>
      <w:bookmarkStart w:id="245" w:name="_Toc184313285"/>
      <w:bookmarkEnd w:id="245"/>
      <w:bookmarkStart w:id="246" w:name="_Toc184312073"/>
      <w:bookmarkEnd w:id="246"/>
      <w:bookmarkStart w:id="247" w:name="_Toc184308073"/>
      <w:bookmarkEnd w:id="247"/>
      <w:bookmarkStart w:id="248" w:name="_Toc184314435"/>
      <w:bookmarkEnd w:id="248"/>
      <w:bookmarkStart w:id="249" w:name="_Toc184314464"/>
      <w:bookmarkEnd w:id="249"/>
      <w:bookmarkStart w:id="250" w:name="_Toc184312104"/>
      <w:bookmarkEnd w:id="250"/>
      <w:bookmarkStart w:id="251" w:name="_Toc184313276"/>
      <w:bookmarkEnd w:id="251"/>
      <w:bookmarkStart w:id="252" w:name="_Toc184313291"/>
      <w:bookmarkEnd w:id="252"/>
      <w:bookmarkStart w:id="253" w:name="_Toc184308041"/>
      <w:bookmarkEnd w:id="253"/>
      <w:bookmarkStart w:id="254" w:name="_Toc184314427"/>
      <w:bookmarkEnd w:id="254"/>
      <w:bookmarkStart w:id="255" w:name="_Toc184313272"/>
      <w:bookmarkEnd w:id="255"/>
      <w:bookmarkStart w:id="256" w:name="_Toc184312107"/>
      <w:bookmarkEnd w:id="256"/>
      <w:bookmarkStart w:id="257" w:name="_Toc184312079"/>
      <w:bookmarkEnd w:id="257"/>
      <w:bookmarkStart w:id="258" w:name="_Toc184308098"/>
      <w:bookmarkEnd w:id="258"/>
      <w:bookmarkStart w:id="259" w:name="_Toc184308086"/>
      <w:bookmarkEnd w:id="259"/>
      <w:bookmarkStart w:id="260" w:name="_Toc184312108"/>
      <w:bookmarkEnd w:id="260"/>
      <w:bookmarkStart w:id="261" w:name="_Toc184310304"/>
      <w:bookmarkEnd w:id="261"/>
      <w:bookmarkStart w:id="262" w:name="_Toc184308045"/>
      <w:bookmarkEnd w:id="262"/>
      <w:bookmarkStart w:id="263" w:name="_Toc184314449"/>
      <w:bookmarkEnd w:id="263"/>
      <w:bookmarkStart w:id="264" w:name="_Toc184313254"/>
      <w:bookmarkEnd w:id="264"/>
      <w:bookmarkStart w:id="265" w:name="_Toc184312082"/>
      <w:bookmarkEnd w:id="265"/>
      <w:bookmarkStart w:id="266" w:name="_Toc184312070"/>
      <w:bookmarkEnd w:id="266"/>
      <w:bookmarkStart w:id="267" w:name="_Toc184313245"/>
      <w:bookmarkEnd w:id="267"/>
      <w:bookmarkStart w:id="268" w:name="_Toc184314473"/>
      <w:bookmarkEnd w:id="268"/>
      <w:bookmarkStart w:id="269" w:name="_Toc184308088"/>
      <w:bookmarkEnd w:id="269"/>
      <w:bookmarkStart w:id="270" w:name="_Toc184312109"/>
      <w:bookmarkEnd w:id="270"/>
      <w:bookmarkStart w:id="271" w:name="_Toc184310328"/>
      <w:bookmarkEnd w:id="271"/>
      <w:bookmarkStart w:id="272" w:name="_Toc184310307"/>
      <w:bookmarkEnd w:id="272"/>
      <w:bookmarkStart w:id="273" w:name="_Toc184314428"/>
      <w:bookmarkEnd w:id="273"/>
      <w:bookmarkStart w:id="274" w:name="_Toc184308047"/>
      <w:bookmarkEnd w:id="274"/>
      <w:bookmarkStart w:id="275" w:name="_Toc184308108"/>
      <w:bookmarkEnd w:id="275"/>
      <w:bookmarkStart w:id="276" w:name="_Toc184314457"/>
      <w:bookmarkEnd w:id="276"/>
      <w:bookmarkStart w:id="277" w:name="_Toc184308089"/>
      <w:bookmarkEnd w:id="277"/>
      <w:bookmarkStart w:id="278" w:name="_Toc184308040"/>
      <w:bookmarkEnd w:id="278"/>
      <w:bookmarkStart w:id="279" w:name="_Toc184308076"/>
      <w:bookmarkEnd w:id="279"/>
      <w:bookmarkStart w:id="280" w:name="_Toc184308104"/>
      <w:bookmarkEnd w:id="280"/>
      <w:bookmarkStart w:id="281" w:name="_Toc184313274"/>
      <w:bookmarkEnd w:id="281"/>
      <w:bookmarkStart w:id="282" w:name="_Toc184312112"/>
      <w:bookmarkEnd w:id="282"/>
      <w:bookmarkStart w:id="283" w:name="_Toc184310331"/>
      <w:bookmarkEnd w:id="283"/>
      <w:bookmarkStart w:id="284" w:name="_Toc184310274"/>
      <w:bookmarkEnd w:id="284"/>
      <w:bookmarkStart w:id="285" w:name="_Toc184314413"/>
      <w:bookmarkEnd w:id="285"/>
      <w:bookmarkStart w:id="286" w:name="_Toc184314430"/>
      <w:bookmarkEnd w:id="286"/>
      <w:bookmarkStart w:id="287" w:name="_Toc184313294"/>
      <w:bookmarkEnd w:id="287"/>
      <w:bookmarkStart w:id="288" w:name="_Toc184314474"/>
      <w:bookmarkEnd w:id="288"/>
      <w:bookmarkStart w:id="289" w:name="_Toc184313287"/>
      <w:bookmarkEnd w:id="289"/>
      <w:bookmarkStart w:id="290" w:name="_Toc184314444"/>
      <w:bookmarkEnd w:id="290"/>
      <w:bookmarkStart w:id="291" w:name="_Toc184310324"/>
      <w:bookmarkEnd w:id="291"/>
      <w:bookmarkStart w:id="292" w:name="_Toc184314440"/>
      <w:bookmarkEnd w:id="292"/>
      <w:bookmarkStart w:id="293" w:name="_Toc184314456"/>
      <w:bookmarkEnd w:id="293"/>
      <w:bookmarkStart w:id="294" w:name="_Toc184312099"/>
      <w:bookmarkEnd w:id="294"/>
      <w:bookmarkStart w:id="295" w:name="_Toc184310326"/>
      <w:bookmarkEnd w:id="295"/>
      <w:bookmarkStart w:id="296" w:name="_Toc184312125"/>
      <w:bookmarkEnd w:id="296"/>
      <w:bookmarkStart w:id="297" w:name="_Toc184314447"/>
      <w:bookmarkEnd w:id="297"/>
      <w:bookmarkStart w:id="298" w:name="_Toc184308090"/>
      <w:bookmarkEnd w:id="298"/>
      <w:bookmarkStart w:id="299" w:name="_Toc184314422"/>
      <w:bookmarkEnd w:id="299"/>
      <w:bookmarkStart w:id="300" w:name="_Toc184312072"/>
      <w:bookmarkEnd w:id="300"/>
      <w:bookmarkStart w:id="301" w:name="_Toc184312105"/>
      <w:bookmarkEnd w:id="301"/>
      <w:bookmarkStart w:id="302" w:name="_Toc184312069"/>
      <w:bookmarkEnd w:id="302"/>
      <w:bookmarkStart w:id="303" w:name="_Toc184313290"/>
      <w:bookmarkEnd w:id="303"/>
      <w:bookmarkStart w:id="304" w:name="_Toc184314411"/>
      <w:bookmarkEnd w:id="304"/>
      <w:bookmarkStart w:id="305" w:name="_Toc184313263"/>
      <w:bookmarkEnd w:id="305"/>
      <w:bookmarkStart w:id="306" w:name="_Toc184314417"/>
      <w:bookmarkEnd w:id="306"/>
      <w:bookmarkStart w:id="307" w:name="_Toc184312117"/>
      <w:bookmarkEnd w:id="307"/>
      <w:bookmarkStart w:id="308" w:name="_Toc184310292"/>
      <w:bookmarkEnd w:id="308"/>
      <w:bookmarkStart w:id="309" w:name="_Toc184313247"/>
      <w:bookmarkEnd w:id="309"/>
      <w:bookmarkStart w:id="310" w:name="_Toc184312129"/>
      <w:bookmarkEnd w:id="310"/>
      <w:bookmarkStart w:id="311" w:name="_Toc184314455"/>
      <w:bookmarkEnd w:id="311"/>
      <w:bookmarkStart w:id="312" w:name="_Toc184313288"/>
      <w:bookmarkEnd w:id="312"/>
      <w:bookmarkStart w:id="313" w:name="_Toc184310294"/>
      <w:bookmarkEnd w:id="313"/>
      <w:bookmarkStart w:id="314" w:name="_Toc184310317"/>
      <w:bookmarkEnd w:id="314"/>
      <w:bookmarkStart w:id="315" w:name="_Toc184308066"/>
      <w:bookmarkEnd w:id="315"/>
      <w:bookmarkStart w:id="316" w:name="_Toc184314426"/>
      <w:bookmarkEnd w:id="316"/>
      <w:bookmarkStart w:id="317" w:name="_Toc184310311"/>
      <w:bookmarkEnd w:id="317"/>
      <w:bookmarkStart w:id="318" w:name="_Toc184310279"/>
      <w:bookmarkEnd w:id="318"/>
      <w:bookmarkStart w:id="319" w:name="_Toc184308082"/>
      <w:bookmarkEnd w:id="319"/>
      <w:bookmarkStart w:id="320" w:name="_Toc184314466"/>
      <w:bookmarkEnd w:id="320"/>
      <w:bookmarkStart w:id="321" w:name="_Toc184310273"/>
      <w:bookmarkEnd w:id="321"/>
      <w:bookmarkStart w:id="322" w:name="_Toc184314421"/>
      <w:bookmarkEnd w:id="322"/>
      <w:bookmarkStart w:id="323" w:name="_Toc184310280"/>
      <w:bookmarkEnd w:id="323"/>
      <w:bookmarkStart w:id="324" w:name="_Toc184308064"/>
      <w:bookmarkEnd w:id="324"/>
      <w:bookmarkStart w:id="325" w:name="_Toc184308085"/>
      <w:bookmarkEnd w:id="325"/>
      <w:bookmarkStart w:id="326" w:name="_Toc184314454"/>
      <w:bookmarkEnd w:id="326"/>
      <w:bookmarkStart w:id="327" w:name="_Toc184312077"/>
      <w:bookmarkEnd w:id="327"/>
      <w:bookmarkStart w:id="328" w:name="_Toc184314423"/>
      <w:bookmarkEnd w:id="328"/>
      <w:bookmarkStart w:id="329" w:name="_Toc184310281"/>
      <w:bookmarkEnd w:id="329"/>
      <w:bookmarkStart w:id="330" w:name="_Toc184313255"/>
      <w:bookmarkEnd w:id="330"/>
      <w:bookmarkStart w:id="331" w:name="_Toc184312128"/>
      <w:bookmarkEnd w:id="331"/>
      <w:bookmarkStart w:id="332" w:name="_Toc184308056"/>
      <w:bookmarkEnd w:id="332"/>
      <w:bookmarkStart w:id="333" w:name="_Toc184310301"/>
      <w:bookmarkEnd w:id="333"/>
      <w:bookmarkStart w:id="334" w:name="_Toc184310334"/>
      <w:bookmarkEnd w:id="334"/>
      <w:bookmarkStart w:id="335" w:name="_Toc184310342"/>
      <w:bookmarkEnd w:id="335"/>
      <w:bookmarkStart w:id="336" w:name="_Toc184313300"/>
      <w:bookmarkEnd w:id="336"/>
      <w:bookmarkStart w:id="337" w:name="_Toc184310282"/>
      <w:bookmarkEnd w:id="337"/>
      <w:bookmarkStart w:id="338" w:name="_Toc184308100"/>
      <w:bookmarkEnd w:id="338"/>
      <w:bookmarkStart w:id="339" w:name="_Toc184312135"/>
      <w:bookmarkEnd w:id="339"/>
      <w:bookmarkStart w:id="340" w:name="_Toc184314439"/>
      <w:bookmarkEnd w:id="340"/>
      <w:bookmarkStart w:id="341" w:name="_Toc184308038"/>
      <w:bookmarkEnd w:id="341"/>
      <w:bookmarkStart w:id="342" w:name="_Toc184314443"/>
      <w:bookmarkEnd w:id="342"/>
      <w:bookmarkStart w:id="343" w:name="_Toc184310284"/>
      <w:bookmarkEnd w:id="343"/>
      <w:bookmarkStart w:id="344" w:name="_Toc184310298"/>
      <w:bookmarkEnd w:id="344"/>
      <w:bookmarkStart w:id="345" w:name="_Toc184312121"/>
      <w:bookmarkEnd w:id="345"/>
      <w:bookmarkStart w:id="346" w:name="_Toc184308061"/>
      <w:bookmarkEnd w:id="346"/>
      <w:bookmarkStart w:id="347" w:name="_Toc184310299"/>
      <w:bookmarkEnd w:id="347"/>
      <w:bookmarkStart w:id="348" w:name="_Toc184312124"/>
      <w:bookmarkEnd w:id="348"/>
      <w:bookmarkStart w:id="349" w:name="_Toc184313258"/>
      <w:bookmarkEnd w:id="349"/>
      <w:bookmarkStart w:id="350" w:name="_Toc184312088"/>
      <w:bookmarkEnd w:id="350"/>
      <w:bookmarkStart w:id="351" w:name="_Toc184308053"/>
      <w:bookmarkEnd w:id="351"/>
      <w:bookmarkStart w:id="352" w:name="_Toc184310296"/>
      <w:bookmarkEnd w:id="352"/>
      <w:bookmarkStart w:id="353" w:name="_Toc184313297"/>
      <w:bookmarkEnd w:id="353"/>
      <w:bookmarkStart w:id="354" w:name="_Toc184314448"/>
      <w:bookmarkEnd w:id="354"/>
      <w:bookmarkStart w:id="355" w:name="_Toc184314445"/>
      <w:bookmarkEnd w:id="355"/>
      <w:bookmarkStart w:id="356" w:name="_Toc184313267"/>
      <w:bookmarkEnd w:id="356"/>
      <w:bookmarkStart w:id="357" w:name="_Toc184312090"/>
      <w:bookmarkEnd w:id="357"/>
      <w:bookmarkStart w:id="358" w:name="_Toc184308103"/>
      <w:bookmarkEnd w:id="358"/>
      <w:bookmarkStart w:id="359" w:name="_Toc184314479"/>
      <w:bookmarkEnd w:id="359"/>
      <w:bookmarkStart w:id="360" w:name="_Toc184313259"/>
      <w:bookmarkEnd w:id="360"/>
      <w:bookmarkStart w:id="361" w:name="_Toc184313292"/>
      <w:bookmarkEnd w:id="361"/>
      <w:bookmarkStart w:id="362" w:name="_Toc184314465"/>
      <w:bookmarkEnd w:id="362"/>
      <w:bookmarkStart w:id="363" w:name="_Toc184310289"/>
      <w:bookmarkEnd w:id="363"/>
      <w:bookmarkStart w:id="364" w:name="_Toc184310338"/>
      <w:bookmarkEnd w:id="364"/>
      <w:bookmarkStart w:id="365" w:name="_Toc184310297"/>
      <w:bookmarkEnd w:id="365"/>
      <w:bookmarkStart w:id="366" w:name="_Toc184312131"/>
      <w:bookmarkEnd w:id="366"/>
      <w:bookmarkStart w:id="367" w:name="_Toc184313257"/>
      <w:bookmarkEnd w:id="367"/>
      <w:bookmarkStart w:id="368" w:name="_Toc184312114"/>
      <w:bookmarkEnd w:id="368"/>
      <w:bookmarkStart w:id="369" w:name="_Toc184310275"/>
      <w:bookmarkEnd w:id="369"/>
      <w:bookmarkStart w:id="370" w:name="_Toc184308052"/>
      <w:bookmarkEnd w:id="370"/>
      <w:bookmarkStart w:id="371" w:name="_Toc184314418"/>
      <w:bookmarkEnd w:id="371"/>
      <w:bookmarkStart w:id="372" w:name="_Toc184312115"/>
      <w:bookmarkEnd w:id="372"/>
      <w:bookmarkStart w:id="373" w:name="_Toc184313302"/>
      <w:bookmarkEnd w:id="373"/>
      <w:bookmarkStart w:id="374" w:name="_Toc184310315"/>
      <w:bookmarkEnd w:id="374"/>
      <w:bookmarkStart w:id="375" w:name="_Toc184312122"/>
      <w:bookmarkEnd w:id="375"/>
      <w:bookmarkStart w:id="376" w:name="_Toc184312074"/>
      <w:bookmarkEnd w:id="376"/>
      <w:bookmarkStart w:id="377" w:name="_Toc184314432"/>
      <w:bookmarkEnd w:id="377"/>
      <w:bookmarkStart w:id="378" w:name="_Toc184313252"/>
      <w:bookmarkEnd w:id="378"/>
      <w:bookmarkStart w:id="379" w:name="_Toc184314459"/>
      <w:bookmarkEnd w:id="379"/>
      <w:bookmarkStart w:id="380" w:name="_Toc184313248"/>
      <w:bookmarkEnd w:id="380"/>
      <w:bookmarkStart w:id="381" w:name="_Toc184308071"/>
      <w:bookmarkEnd w:id="381"/>
      <w:bookmarkStart w:id="382" w:name="_Toc184314450"/>
      <w:bookmarkEnd w:id="382"/>
      <w:bookmarkStart w:id="383" w:name="_Toc184313309"/>
      <w:bookmarkEnd w:id="383"/>
      <w:bookmarkStart w:id="384" w:name="_Toc184312133"/>
      <w:bookmarkEnd w:id="384"/>
      <w:bookmarkStart w:id="385" w:name="_Toc184310302"/>
      <w:bookmarkEnd w:id="385"/>
      <w:bookmarkStart w:id="386" w:name="_Toc184313261"/>
      <w:bookmarkEnd w:id="386"/>
      <w:bookmarkStart w:id="387" w:name="_Toc184310316"/>
      <w:bookmarkEnd w:id="387"/>
      <w:bookmarkStart w:id="388" w:name="_Toc184308058"/>
      <w:bookmarkEnd w:id="388"/>
      <w:bookmarkStart w:id="389" w:name="_Toc184310335"/>
      <w:bookmarkEnd w:id="389"/>
      <w:bookmarkStart w:id="390" w:name="_Toc184312084"/>
      <w:bookmarkEnd w:id="390"/>
      <w:bookmarkStart w:id="391" w:name="_Toc184313262"/>
      <w:bookmarkEnd w:id="391"/>
      <w:bookmarkStart w:id="392" w:name="_Toc184312139"/>
      <w:bookmarkEnd w:id="392"/>
      <w:bookmarkStart w:id="393" w:name="_Toc184313249"/>
      <w:bookmarkEnd w:id="393"/>
      <w:bookmarkStart w:id="394" w:name="_Toc184314468"/>
      <w:bookmarkEnd w:id="394"/>
      <w:bookmarkStart w:id="395" w:name="_Toc184313260"/>
      <w:bookmarkEnd w:id="395"/>
      <w:bookmarkStart w:id="396" w:name="_Toc184314433"/>
      <w:bookmarkEnd w:id="396"/>
      <w:bookmarkStart w:id="397" w:name="_Toc184312093"/>
      <w:bookmarkEnd w:id="397"/>
      <w:bookmarkStart w:id="398" w:name="_Toc184314419"/>
      <w:bookmarkEnd w:id="398"/>
      <w:r>
        <w:rPr>
          <w:rFonts w:hint="eastAsia" w:ascii="宋体" w:hAnsi="宋体" w:cs="宋体"/>
          <w:b/>
          <w:color w:val="auto"/>
          <w:sz w:val="36"/>
          <w:szCs w:val="20"/>
          <w:highlight w:val="none"/>
        </w:rPr>
        <w:t xml:space="preserve"> 评审办法</w:t>
      </w:r>
      <w:bookmarkEnd w:id="33"/>
    </w:p>
    <w:p w14:paraId="03FC1E35">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2"/>
        <w:tblW w:w="55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7979"/>
        <w:gridCol w:w="798"/>
        <w:gridCol w:w="806"/>
      </w:tblGrid>
      <w:tr w14:paraId="48AED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 w:type="pct"/>
            <w:vAlign w:val="center"/>
          </w:tcPr>
          <w:p w14:paraId="4A733467">
            <w:pPr>
              <w:snapToGrid w:val="0"/>
              <w:jc w:val="center"/>
              <w:outlineLvl w:val="0"/>
              <w:rPr>
                <w:rFonts w:hint="eastAsia" w:ascii="宋体" w:hAnsi="宋体" w:eastAsia="宋体" w:cs="宋体"/>
                <w:b/>
                <w:bCs w:val="0"/>
                <w:color w:val="auto"/>
                <w:sz w:val="24"/>
                <w:szCs w:val="24"/>
                <w:highlight w:val="none"/>
                <w:lang w:eastAsia="zh-CN"/>
              </w:rPr>
            </w:pPr>
            <w:bookmarkStart w:id="399" w:name="_Toc13204"/>
            <w:r>
              <w:rPr>
                <w:rFonts w:hint="eastAsia" w:ascii="宋体" w:hAnsi="宋体" w:cs="宋体"/>
                <w:b/>
                <w:bCs w:val="0"/>
                <w:color w:val="auto"/>
                <w:sz w:val="24"/>
                <w:szCs w:val="24"/>
                <w:highlight w:val="none"/>
              </w:rPr>
              <w:t>序号</w:t>
            </w:r>
            <w:bookmarkEnd w:id="399"/>
          </w:p>
        </w:tc>
        <w:tc>
          <w:tcPr>
            <w:tcW w:w="3880" w:type="pct"/>
            <w:vAlign w:val="center"/>
          </w:tcPr>
          <w:p w14:paraId="0020AD9D">
            <w:pPr>
              <w:snapToGrid w:val="0"/>
              <w:jc w:val="center"/>
              <w:outlineLvl w:val="0"/>
              <w:rPr>
                <w:rFonts w:ascii="宋体" w:hAnsi="宋体" w:cs="宋体"/>
                <w:b/>
                <w:bCs w:val="0"/>
                <w:color w:val="auto"/>
                <w:sz w:val="24"/>
                <w:highlight w:val="none"/>
              </w:rPr>
            </w:pPr>
            <w:bookmarkStart w:id="400" w:name="_Toc4128"/>
            <w:r>
              <w:rPr>
                <w:rFonts w:hint="eastAsia" w:ascii="宋体" w:hAnsi="宋体" w:cs="宋体"/>
                <w:b/>
                <w:bCs w:val="0"/>
                <w:color w:val="auto"/>
                <w:sz w:val="24"/>
                <w:highlight w:val="none"/>
              </w:rPr>
              <w:t>评审标准</w:t>
            </w:r>
            <w:bookmarkEnd w:id="400"/>
          </w:p>
        </w:tc>
        <w:tc>
          <w:tcPr>
            <w:tcW w:w="388" w:type="pct"/>
            <w:vAlign w:val="center"/>
          </w:tcPr>
          <w:p w14:paraId="03842A58">
            <w:pPr>
              <w:snapToGrid w:val="0"/>
              <w:jc w:val="center"/>
              <w:outlineLvl w:val="0"/>
              <w:rPr>
                <w:rFonts w:hint="default" w:ascii="宋体" w:hAnsi="宋体" w:eastAsia="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分值</w:t>
            </w:r>
          </w:p>
        </w:tc>
        <w:tc>
          <w:tcPr>
            <w:tcW w:w="392" w:type="pct"/>
            <w:vAlign w:val="center"/>
          </w:tcPr>
          <w:p w14:paraId="1E10E297">
            <w:pPr>
              <w:snapToGrid w:val="0"/>
              <w:jc w:val="center"/>
              <w:outlineLvl w:val="0"/>
              <w:rPr>
                <w:rFonts w:hint="eastAsia" w:ascii="宋体" w:hAnsi="宋体" w:eastAsia="宋体" w:cs="宋体"/>
                <w:b/>
                <w:bCs w:val="0"/>
                <w:color w:val="auto"/>
                <w:sz w:val="24"/>
                <w:highlight w:val="none"/>
                <w:lang w:val="en-US" w:eastAsia="zh-CN"/>
              </w:rPr>
            </w:pPr>
            <w:bookmarkStart w:id="401" w:name="_Toc22544"/>
            <w:r>
              <w:rPr>
                <w:rFonts w:hint="eastAsia" w:ascii="宋体" w:hAnsi="宋体" w:cs="宋体"/>
                <w:b/>
                <w:bCs w:val="0"/>
                <w:color w:val="auto"/>
                <w:sz w:val="24"/>
                <w:highlight w:val="none"/>
                <w:lang w:val="en-US" w:eastAsia="zh-CN"/>
              </w:rPr>
              <w:t>备注</w:t>
            </w:r>
            <w:bookmarkEnd w:id="401"/>
          </w:p>
        </w:tc>
      </w:tr>
      <w:tr w14:paraId="5E88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 w:type="pct"/>
            <w:vAlign w:val="center"/>
          </w:tcPr>
          <w:p w14:paraId="4E97B517">
            <w:pPr>
              <w:snapToGrid w:val="0"/>
              <w:spacing w:line="240" w:lineRule="auto"/>
              <w:jc w:val="center"/>
              <w:outlineLvl w:val="0"/>
              <w:rPr>
                <w:rFonts w:hint="default" w:ascii="宋体" w:hAnsi="宋体" w:cs="宋体"/>
                <w:color w:val="auto"/>
                <w:sz w:val="24"/>
                <w:szCs w:val="24"/>
                <w:highlight w:val="none"/>
                <w:lang w:val="en-US"/>
              </w:rPr>
            </w:pPr>
            <w:bookmarkStart w:id="402" w:name="_Toc25601"/>
            <w:r>
              <w:rPr>
                <w:rFonts w:hint="eastAsia" w:ascii="宋体" w:hAnsi="宋体" w:cs="宋体"/>
                <w:color w:val="auto"/>
                <w:sz w:val="24"/>
                <w:szCs w:val="24"/>
                <w:highlight w:val="none"/>
                <w:lang w:val="en-US" w:eastAsia="zh-CN"/>
              </w:rPr>
              <w:t>1</w:t>
            </w:r>
            <w:bookmarkEnd w:id="402"/>
          </w:p>
        </w:tc>
        <w:tc>
          <w:tcPr>
            <w:tcW w:w="3880" w:type="pct"/>
            <w:vAlign w:val="center"/>
          </w:tcPr>
          <w:p w14:paraId="3D1CCED2">
            <w:pPr>
              <w:snapToGrid w:val="0"/>
              <w:spacing w:line="360" w:lineRule="auto"/>
              <w:jc w:val="both"/>
              <w:outlineLvl w:val="0"/>
              <w:rPr>
                <w:rFonts w:hint="eastAsia" w:ascii="宋体" w:hAnsi="宋体" w:eastAsia="宋体" w:cs="宋体"/>
                <w:b/>
                <w:bCs/>
                <w:snapToGrid w:val="0"/>
                <w:color w:val="auto"/>
                <w:sz w:val="24"/>
                <w:highlight w:val="none"/>
                <w:lang w:eastAsia="zh-CN"/>
              </w:rPr>
            </w:pPr>
            <w:bookmarkStart w:id="403" w:name="_Toc10844"/>
            <w:r>
              <w:rPr>
                <w:rFonts w:hint="eastAsia" w:ascii="宋体" w:hAnsi="宋体" w:cs="宋体"/>
                <w:b/>
                <w:bCs/>
                <w:snapToGrid w:val="0"/>
                <w:color w:val="auto"/>
                <w:sz w:val="24"/>
                <w:highlight w:val="none"/>
                <w:lang w:eastAsia="zh-CN"/>
              </w:rPr>
              <w:t>施工</w:t>
            </w:r>
            <w:r>
              <w:rPr>
                <w:rFonts w:hint="eastAsia" w:ascii="宋体" w:hAnsi="宋体" w:cs="宋体"/>
                <w:b/>
                <w:bCs/>
                <w:snapToGrid w:val="0"/>
                <w:color w:val="auto"/>
                <w:sz w:val="24"/>
                <w:highlight w:val="none"/>
              </w:rPr>
              <w:t>现场平面布置情况</w:t>
            </w:r>
            <w:r>
              <w:rPr>
                <w:rFonts w:hint="eastAsia" w:ascii="宋体" w:hAnsi="宋体" w:cs="宋体"/>
                <w:b/>
                <w:bCs/>
                <w:snapToGrid w:val="0"/>
                <w:color w:val="auto"/>
                <w:sz w:val="24"/>
                <w:highlight w:val="none"/>
                <w:lang w:eastAsia="zh-CN"/>
              </w:rPr>
              <w:t>（</w:t>
            </w:r>
            <w:r>
              <w:rPr>
                <w:rFonts w:hint="eastAsia" w:ascii="宋体" w:hAnsi="宋体" w:cs="宋体"/>
                <w:b/>
                <w:bCs/>
                <w:snapToGrid w:val="0"/>
                <w:color w:val="auto"/>
                <w:sz w:val="24"/>
                <w:highlight w:val="none"/>
                <w:lang w:val="en-US" w:eastAsia="zh-CN"/>
              </w:rPr>
              <w:t>5分</w:t>
            </w:r>
            <w:r>
              <w:rPr>
                <w:rFonts w:hint="eastAsia" w:ascii="宋体" w:hAnsi="宋体" w:cs="宋体"/>
                <w:b/>
                <w:bCs/>
                <w:snapToGrid w:val="0"/>
                <w:color w:val="auto"/>
                <w:sz w:val="24"/>
                <w:highlight w:val="none"/>
                <w:lang w:eastAsia="zh-CN"/>
              </w:rPr>
              <w:t>）：</w:t>
            </w:r>
            <w:bookmarkEnd w:id="403"/>
          </w:p>
          <w:p w14:paraId="1795A5E4">
            <w:pPr>
              <w:snapToGrid w:val="0"/>
              <w:spacing w:line="360" w:lineRule="auto"/>
              <w:jc w:val="both"/>
              <w:outlineLvl w:val="0"/>
              <w:rPr>
                <w:rFonts w:hint="eastAsia" w:ascii="宋体" w:hAnsi="宋体" w:cs="宋体"/>
                <w:snapToGrid w:val="0"/>
                <w:color w:val="auto"/>
                <w:sz w:val="24"/>
                <w:highlight w:val="none"/>
              </w:rPr>
            </w:pPr>
            <w:bookmarkStart w:id="404" w:name="_Toc11956"/>
            <w:r>
              <w:rPr>
                <w:rFonts w:hint="eastAsia" w:ascii="宋体" w:hAnsi="宋体" w:cs="宋体"/>
                <w:snapToGrid w:val="0"/>
                <w:color w:val="auto"/>
                <w:sz w:val="24"/>
                <w:highlight w:val="none"/>
              </w:rPr>
              <w:t>根据供应商提供的</w:t>
            </w:r>
            <w:r>
              <w:rPr>
                <w:rFonts w:hint="eastAsia" w:ascii="宋体" w:hAnsi="宋体" w:cs="宋体"/>
                <w:snapToGrid w:val="0"/>
                <w:color w:val="auto"/>
                <w:sz w:val="24"/>
                <w:highlight w:val="none"/>
                <w:lang w:eastAsia="zh-CN"/>
              </w:rPr>
              <w:t>施工</w:t>
            </w:r>
            <w:r>
              <w:rPr>
                <w:rFonts w:hint="eastAsia" w:ascii="宋体" w:hAnsi="宋体" w:cs="宋体"/>
                <w:snapToGrid w:val="0"/>
                <w:color w:val="auto"/>
                <w:sz w:val="24"/>
                <w:highlight w:val="none"/>
              </w:rPr>
              <w:t>现场平面布置情况</w:t>
            </w:r>
            <w:r>
              <w:rPr>
                <w:rFonts w:hint="eastAsia" w:ascii="宋体" w:hAnsi="宋体" w:cs="宋体"/>
                <w:snapToGrid w:val="0"/>
                <w:color w:val="auto"/>
                <w:sz w:val="24"/>
                <w:highlight w:val="none"/>
                <w:lang w:eastAsia="zh-CN"/>
              </w:rPr>
              <w:t>（包含但不仅限于方案详实情况；施工现场临时设置布置情况；施工设备、原材料堆放情况；安全警示情况；施工现场安全通道、消防设施配备情况等）</w:t>
            </w:r>
            <w:r>
              <w:rPr>
                <w:rFonts w:hint="eastAsia" w:ascii="宋体" w:hAnsi="宋体" w:cs="宋体"/>
                <w:snapToGrid w:val="0"/>
                <w:color w:val="auto"/>
                <w:sz w:val="24"/>
                <w:highlight w:val="none"/>
              </w:rPr>
              <w:t>进行评议：</w:t>
            </w:r>
            <w:bookmarkEnd w:id="404"/>
          </w:p>
          <w:p w14:paraId="48A184C4">
            <w:pPr>
              <w:snapToGrid w:val="0"/>
              <w:spacing w:line="360" w:lineRule="auto"/>
              <w:jc w:val="both"/>
              <w:outlineLvl w:val="0"/>
              <w:rPr>
                <w:rFonts w:hint="eastAsia" w:ascii="宋体" w:hAnsi="宋体" w:eastAsia="宋体" w:cs="宋体"/>
                <w:snapToGrid w:val="0"/>
                <w:color w:val="auto"/>
                <w:sz w:val="24"/>
                <w:highlight w:val="none"/>
              </w:rPr>
            </w:pPr>
            <w:bookmarkStart w:id="405" w:name="_Toc15906"/>
            <w:r>
              <w:rPr>
                <w:rFonts w:hint="eastAsia" w:ascii="宋体" w:hAnsi="宋体" w:eastAsia="宋体" w:cs="宋体"/>
                <w:snapToGrid w:val="0"/>
                <w:color w:val="auto"/>
                <w:sz w:val="24"/>
                <w:highlight w:val="none"/>
              </w:rPr>
              <w:t>①平面布置方案详实完整，</w:t>
            </w:r>
            <w:r>
              <w:rPr>
                <w:rFonts w:hint="eastAsia" w:ascii="宋体" w:hAnsi="宋体" w:eastAsia="宋体" w:cs="宋体"/>
                <w:snapToGrid w:val="0"/>
                <w:color w:val="auto"/>
                <w:sz w:val="24"/>
                <w:highlight w:val="none"/>
                <w:lang w:eastAsia="zh-CN"/>
              </w:rPr>
              <w:t>施工现场临时设施布置齐全，施工设备、原材料堆放有序，安全警示醒目，施工现场安全通道、消防设施配备充足，可执行力高</w:t>
            </w:r>
            <w:r>
              <w:rPr>
                <w:rFonts w:hint="eastAsia" w:ascii="宋体" w:hAnsi="宋体" w:eastAsia="宋体" w:cs="宋体"/>
                <w:snapToGrid w:val="0"/>
                <w:color w:val="auto"/>
                <w:sz w:val="24"/>
                <w:highlight w:val="none"/>
              </w:rPr>
              <w:t>的得</w:t>
            </w:r>
            <w:r>
              <w:rPr>
                <w:rFonts w:hint="eastAsia" w:ascii="宋体" w:hAnsi="宋体" w:eastAsia="宋体" w:cs="宋体"/>
                <w:snapToGrid w:val="0"/>
                <w:color w:val="auto"/>
                <w:sz w:val="24"/>
                <w:highlight w:val="none"/>
                <w:lang w:val="en-US" w:eastAsia="zh-CN"/>
              </w:rPr>
              <w:t>5</w:t>
            </w:r>
            <w:r>
              <w:rPr>
                <w:rFonts w:hint="eastAsia" w:ascii="宋体" w:hAnsi="宋体" w:eastAsia="宋体" w:cs="宋体"/>
                <w:snapToGrid w:val="0"/>
                <w:color w:val="auto"/>
                <w:sz w:val="24"/>
                <w:highlight w:val="none"/>
              </w:rPr>
              <w:t>分；</w:t>
            </w:r>
            <w:bookmarkEnd w:id="405"/>
          </w:p>
          <w:p w14:paraId="6F0FBDEE">
            <w:pPr>
              <w:snapToGrid w:val="0"/>
              <w:spacing w:line="360" w:lineRule="auto"/>
              <w:jc w:val="both"/>
              <w:outlineLvl w:val="0"/>
              <w:rPr>
                <w:rFonts w:hint="eastAsia" w:ascii="宋体" w:hAnsi="宋体" w:eastAsia="宋体" w:cs="宋体"/>
                <w:snapToGrid w:val="0"/>
                <w:color w:val="auto"/>
                <w:sz w:val="24"/>
                <w:highlight w:val="none"/>
              </w:rPr>
            </w:pPr>
            <w:bookmarkStart w:id="406" w:name="_Toc4712"/>
            <w:r>
              <w:rPr>
                <w:rFonts w:hint="eastAsia" w:ascii="宋体" w:hAnsi="宋体" w:eastAsia="宋体" w:cs="宋体"/>
                <w:snapToGrid w:val="0"/>
                <w:color w:val="auto"/>
                <w:sz w:val="24"/>
                <w:highlight w:val="none"/>
              </w:rPr>
              <w:t>②平面布置方案内容充分，较详细，</w:t>
            </w:r>
            <w:r>
              <w:rPr>
                <w:rFonts w:hint="eastAsia" w:ascii="宋体" w:hAnsi="宋体" w:eastAsia="宋体" w:cs="宋体"/>
                <w:snapToGrid w:val="0"/>
                <w:color w:val="auto"/>
                <w:sz w:val="24"/>
                <w:highlight w:val="none"/>
                <w:lang w:eastAsia="zh-CN"/>
              </w:rPr>
              <w:t>施工现场临时设施布置较齐全，施工设备、原材料堆放较有序，安全警示较醒目，施工现场安全通道、消防设施配备较充足，</w:t>
            </w:r>
            <w:r>
              <w:rPr>
                <w:rFonts w:hint="eastAsia" w:ascii="宋体" w:hAnsi="宋体" w:eastAsia="宋体" w:cs="宋体"/>
                <w:snapToGrid w:val="0"/>
                <w:color w:val="auto"/>
                <w:sz w:val="24"/>
                <w:highlight w:val="none"/>
              </w:rPr>
              <w:t>可执行力度较高的得</w:t>
            </w:r>
            <w:r>
              <w:rPr>
                <w:rFonts w:hint="eastAsia" w:ascii="宋体" w:hAnsi="宋体" w:eastAsia="宋体" w:cs="宋体"/>
                <w:snapToGrid w:val="0"/>
                <w:color w:val="auto"/>
                <w:sz w:val="24"/>
                <w:highlight w:val="none"/>
                <w:lang w:val="en-US" w:eastAsia="zh-CN"/>
              </w:rPr>
              <w:t>3</w:t>
            </w:r>
            <w:r>
              <w:rPr>
                <w:rFonts w:hint="eastAsia" w:ascii="宋体" w:hAnsi="宋体" w:eastAsia="宋体" w:cs="宋体"/>
                <w:snapToGrid w:val="0"/>
                <w:color w:val="auto"/>
                <w:sz w:val="24"/>
                <w:highlight w:val="none"/>
              </w:rPr>
              <w:t>分；</w:t>
            </w:r>
            <w:bookmarkEnd w:id="406"/>
          </w:p>
          <w:p w14:paraId="563010DA">
            <w:pPr>
              <w:snapToGrid w:val="0"/>
              <w:spacing w:line="360" w:lineRule="auto"/>
              <w:jc w:val="both"/>
              <w:outlineLvl w:val="0"/>
              <w:rPr>
                <w:rFonts w:hint="eastAsia" w:ascii="宋体" w:hAnsi="宋体" w:eastAsia="宋体" w:cs="宋体"/>
                <w:snapToGrid w:val="0"/>
                <w:color w:val="auto"/>
                <w:sz w:val="24"/>
                <w:highlight w:val="none"/>
              </w:rPr>
            </w:pPr>
            <w:bookmarkStart w:id="407" w:name="_Toc17940"/>
            <w:r>
              <w:rPr>
                <w:rFonts w:hint="eastAsia" w:ascii="宋体" w:hAnsi="宋体" w:eastAsia="宋体" w:cs="宋体"/>
                <w:snapToGrid w:val="0"/>
                <w:color w:val="auto"/>
                <w:sz w:val="24"/>
                <w:highlight w:val="none"/>
              </w:rPr>
              <w:t>③平面布置方案内容简单，</w:t>
            </w:r>
            <w:r>
              <w:rPr>
                <w:rFonts w:hint="eastAsia" w:ascii="宋体" w:hAnsi="宋体" w:eastAsia="宋体" w:cs="宋体"/>
                <w:snapToGrid w:val="0"/>
                <w:color w:val="auto"/>
                <w:sz w:val="24"/>
                <w:highlight w:val="none"/>
                <w:lang w:eastAsia="zh-CN"/>
              </w:rPr>
              <w:t>施工现场临时设施布置缺失，施工设备、原材料堆放混乱，安全警示不醒目，施工现场安全通道、消防设施配备不充足，</w:t>
            </w:r>
            <w:r>
              <w:rPr>
                <w:rFonts w:hint="eastAsia" w:ascii="宋体" w:hAnsi="宋体" w:eastAsia="宋体" w:cs="宋体"/>
                <w:snapToGrid w:val="0"/>
                <w:color w:val="auto"/>
                <w:sz w:val="24"/>
                <w:highlight w:val="none"/>
              </w:rPr>
              <w:t>可执行力低的得</w:t>
            </w:r>
            <w:r>
              <w:rPr>
                <w:rFonts w:hint="eastAsia" w:ascii="宋体" w:hAnsi="宋体" w:eastAsia="宋体" w:cs="宋体"/>
                <w:snapToGrid w:val="0"/>
                <w:color w:val="auto"/>
                <w:sz w:val="24"/>
                <w:highlight w:val="none"/>
                <w:lang w:val="en-US" w:eastAsia="zh-CN"/>
              </w:rPr>
              <w:t>1</w:t>
            </w:r>
            <w:r>
              <w:rPr>
                <w:rFonts w:hint="eastAsia" w:ascii="宋体" w:hAnsi="宋体" w:eastAsia="宋体" w:cs="宋体"/>
                <w:snapToGrid w:val="0"/>
                <w:color w:val="auto"/>
                <w:sz w:val="24"/>
                <w:highlight w:val="none"/>
              </w:rPr>
              <w:t>分；</w:t>
            </w:r>
            <w:bookmarkEnd w:id="407"/>
          </w:p>
          <w:p w14:paraId="0313B916">
            <w:pPr>
              <w:snapToGrid w:val="0"/>
              <w:spacing w:line="360" w:lineRule="auto"/>
              <w:jc w:val="both"/>
              <w:outlineLvl w:val="0"/>
              <w:rPr>
                <w:rFonts w:hint="eastAsia" w:ascii="宋体" w:hAnsi="宋体" w:cs="宋体"/>
                <w:snapToGrid w:val="0"/>
                <w:color w:val="auto"/>
                <w:sz w:val="24"/>
                <w:highlight w:val="none"/>
              </w:rPr>
            </w:pPr>
            <w:bookmarkStart w:id="408" w:name="_Toc12548"/>
            <w:r>
              <w:rPr>
                <w:rFonts w:hint="eastAsia" w:ascii="宋体" w:hAnsi="宋体" w:eastAsia="宋体" w:cs="宋体"/>
                <w:snapToGrid w:val="0"/>
                <w:color w:val="auto"/>
                <w:sz w:val="24"/>
                <w:highlight w:val="none"/>
              </w:rPr>
              <w:t>④未提供施工现场平面布置情况的不得分。</w:t>
            </w:r>
            <w:bookmarkEnd w:id="408"/>
          </w:p>
        </w:tc>
        <w:tc>
          <w:tcPr>
            <w:tcW w:w="388" w:type="pct"/>
            <w:vAlign w:val="center"/>
          </w:tcPr>
          <w:p w14:paraId="2AA10FE5">
            <w:pPr>
              <w:snapToGrid w:val="0"/>
              <w:spacing w:line="240" w:lineRule="auto"/>
              <w:jc w:val="center"/>
              <w:outlineLvl w:val="0"/>
              <w:rPr>
                <w:rFonts w:hint="default" w:ascii="宋体" w:hAnsi="宋体" w:cs="宋体"/>
                <w:bCs/>
                <w:color w:val="auto"/>
                <w:sz w:val="24"/>
                <w:highlight w:val="none"/>
                <w:lang w:val="en-US" w:eastAsia="zh-CN"/>
              </w:rPr>
            </w:pPr>
            <w:bookmarkStart w:id="409" w:name="_Toc22541"/>
            <w:r>
              <w:rPr>
                <w:rFonts w:hint="eastAsia" w:ascii="宋体" w:hAnsi="宋体" w:cs="宋体"/>
                <w:bCs/>
                <w:color w:val="auto"/>
                <w:sz w:val="24"/>
                <w:highlight w:val="none"/>
                <w:lang w:val="en-US" w:eastAsia="zh-CN"/>
              </w:rPr>
              <w:t>5</w:t>
            </w:r>
            <w:bookmarkEnd w:id="409"/>
          </w:p>
        </w:tc>
        <w:tc>
          <w:tcPr>
            <w:tcW w:w="392" w:type="pct"/>
            <w:vAlign w:val="center"/>
          </w:tcPr>
          <w:p w14:paraId="42DDA5B5">
            <w:pPr>
              <w:snapToGrid w:val="0"/>
              <w:spacing w:line="240" w:lineRule="auto"/>
              <w:jc w:val="center"/>
              <w:outlineLvl w:val="0"/>
              <w:rPr>
                <w:rFonts w:hint="default" w:ascii="宋体" w:hAnsi="宋体" w:cs="宋体"/>
                <w:bCs/>
                <w:color w:val="auto"/>
                <w:sz w:val="24"/>
                <w:highlight w:val="none"/>
                <w:lang w:val="en-US" w:eastAsia="zh-CN"/>
              </w:rPr>
            </w:pPr>
            <w:bookmarkStart w:id="410" w:name="_Toc32346"/>
            <w:r>
              <w:rPr>
                <w:rFonts w:hint="eastAsia" w:ascii="宋体" w:hAnsi="宋体" w:cs="宋体"/>
                <w:bCs/>
                <w:color w:val="auto"/>
                <w:sz w:val="24"/>
                <w:highlight w:val="none"/>
                <w:lang w:val="en-US" w:eastAsia="zh-CN"/>
              </w:rPr>
              <w:t>主观评审</w:t>
            </w:r>
            <w:bookmarkEnd w:id="410"/>
          </w:p>
        </w:tc>
      </w:tr>
      <w:tr w14:paraId="641F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 w:type="pct"/>
            <w:vAlign w:val="center"/>
          </w:tcPr>
          <w:p w14:paraId="42CAD5F4">
            <w:pPr>
              <w:snapToGrid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3880" w:type="pct"/>
            <w:vAlign w:val="center"/>
          </w:tcPr>
          <w:p w14:paraId="462E5F69">
            <w:pPr>
              <w:snapToGrid w:val="0"/>
              <w:spacing w:line="360" w:lineRule="auto"/>
              <w:jc w:val="both"/>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eastAsia="zh-CN"/>
              </w:rPr>
              <w:t>施工</w:t>
            </w:r>
            <w:r>
              <w:rPr>
                <w:rFonts w:hint="eastAsia" w:ascii="宋体" w:hAnsi="宋体" w:cs="宋体"/>
                <w:b/>
                <w:bCs/>
                <w:color w:val="auto"/>
                <w:sz w:val="24"/>
                <w:szCs w:val="24"/>
                <w:highlight w:val="none"/>
              </w:rPr>
              <w:t>方案</w:t>
            </w:r>
            <w:r>
              <w:rPr>
                <w:rFonts w:hint="eastAsia" w:ascii="宋体" w:hAnsi="宋体" w:cs="宋体"/>
                <w:b/>
                <w:bCs/>
                <w:snapToGrid w:val="0"/>
                <w:color w:val="auto"/>
                <w:sz w:val="24"/>
                <w:highlight w:val="none"/>
                <w:lang w:eastAsia="zh-CN"/>
              </w:rPr>
              <w:t>（</w:t>
            </w:r>
            <w:r>
              <w:rPr>
                <w:rFonts w:hint="eastAsia" w:ascii="宋体" w:hAnsi="宋体" w:cs="宋体"/>
                <w:b/>
                <w:bCs/>
                <w:snapToGrid w:val="0"/>
                <w:color w:val="auto"/>
                <w:sz w:val="24"/>
                <w:highlight w:val="none"/>
                <w:lang w:val="en-US" w:eastAsia="zh-CN"/>
              </w:rPr>
              <w:t>5分</w:t>
            </w:r>
            <w:r>
              <w:rPr>
                <w:rFonts w:hint="eastAsia" w:ascii="宋体" w:hAnsi="宋体" w:cs="宋体"/>
                <w:b/>
                <w:bCs/>
                <w:snapToGrid w:val="0"/>
                <w:color w:val="auto"/>
                <w:sz w:val="24"/>
                <w:highlight w:val="none"/>
                <w:lang w:eastAsia="zh-CN"/>
              </w:rPr>
              <w:t>）：</w:t>
            </w:r>
          </w:p>
          <w:p w14:paraId="45489C28">
            <w:pPr>
              <w:snapToGrid w:val="0"/>
              <w:spacing w:line="360" w:lineRule="auto"/>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根据供应商提供的</w:t>
            </w:r>
            <w:r>
              <w:rPr>
                <w:rFonts w:hint="eastAsia" w:ascii="宋体" w:hAnsi="宋体" w:cs="宋体"/>
                <w:color w:val="auto"/>
                <w:sz w:val="24"/>
                <w:szCs w:val="24"/>
                <w:highlight w:val="none"/>
                <w:lang w:eastAsia="zh-CN"/>
              </w:rPr>
              <w:t>施工</w:t>
            </w:r>
            <w:r>
              <w:rPr>
                <w:rFonts w:hint="eastAsia" w:ascii="宋体" w:hAnsi="宋体" w:cs="宋体"/>
                <w:color w:val="auto"/>
                <w:sz w:val="24"/>
                <w:szCs w:val="24"/>
                <w:highlight w:val="none"/>
              </w:rPr>
              <w:t>方案（</w:t>
            </w:r>
            <w:r>
              <w:rPr>
                <w:rFonts w:hint="eastAsia" w:ascii="宋体" w:hAnsi="宋体" w:cs="宋体"/>
                <w:color w:val="auto"/>
                <w:sz w:val="24"/>
                <w:szCs w:val="24"/>
                <w:highlight w:val="none"/>
                <w:lang w:eastAsia="zh-CN"/>
              </w:rPr>
              <w:t>包含但不仅限于安全保障措施，安全文明施工方案及措施、房屋建筑与装饰、安装工程、智能化工程等</w:t>
            </w:r>
            <w:r>
              <w:rPr>
                <w:rFonts w:hint="eastAsia" w:ascii="宋体" w:hAnsi="宋体" w:cs="宋体"/>
                <w:color w:val="auto"/>
                <w:sz w:val="24"/>
                <w:szCs w:val="24"/>
                <w:highlight w:val="none"/>
              </w:rPr>
              <w:t>）进行评议：</w:t>
            </w:r>
          </w:p>
          <w:p w14:paraId="3C66238A">
            <w:pPr>
              <w:snapToGrid w:val="0"/>
              <w:spacing w:line="360" w:lineRule="auto"/>
              <w:jc w:val="both"/>
              <w:rPr>
                <w:rFonts w:hint="eastAsia" w:ascii="宋体" w:hAnsi="宋体" w:cs="宋体"/>
                <w:color w:val="auto"/>
                <w:sz w:val="24"/>
                <w:szCs w:val="24"/>
                <w:highlight w:val="none"/>
              </w:rPr>
            </w:pPr>
            <w:r>
              <w:rPr>
                <w:rFonts w:hint="eastAsia" w:ascii="宋体" w:hAnsi="宋体" w:eastAsia="宋体" w:cs="宋体"/>
                <w:snapToGrid w:val="0"/>
                <w:color w:val="auto"/>
                <w:sz w:val="24"/>
                <w:highlight w:val="none"/>
              </w:rPr>
              <w:t>①</w:t>
            </w:r>
            <w:r>
              <w:rPr>
                <w:rFonts w:hint="eastAsia" w:ascii="宋体" w:hAnsi="宋体" w:cs="宋体"/>
                <w:color w:val="auto"/>
                <w:sz w:val="24"/>
                <w:szCs w:val="24"/>
                <w:highlight w:val="none"/>
              </w:rPr>
              <w:t>施工方案详实、措施得力，可执行力度高的得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p>
          <w:p w14:paraId="35776909">
            <w:pPr>
              <w:snapToGrid w:val="0"/>
              <w:spacing w:line="360" w:lineRule="auto"/>
              <w:jc w:val="both"/>
              <w:rPr>
                <w:rFonts w:hint="eastAsia" w:ascii="宋体" w:hAnsi="宋体" w:cs="宋体"/>
                <w:color w:val="auto"/>
                <w:sz w:val="24"/>
                <w:szCs w:val="24"/>
                <w:highlight w:val="none"/>
              </w:rPr>
            </w:pPr>
            <w:r>
              <w:rPr>
                <w:rFonts w:hint="eastAsia" w:ascii="宋体" w:hAnsi="宋体" w:eastAsia="宋体" w:cs="宋体"/>
                <w:snapToGrid w:val="0"/>
                <w:color w:val="auto"/>
                <w:sz w:val="24"/>
                <w:highlight w:val="none"/>
              </w:rPr>
              <w:t>②</w:t>
            </w:r>
            <w:r>
              <w:rPr>
                <w:rFonts w:hint="eastAsia" w:ascii="宋体" w:hAnsi="宋体" w:cs="宋体"/>
                <w:color w:val="auto"/>
                <w:sz w:val="24"/>
                <w:szCs w:val="24"/>
                <w:highlight w:val="none"/>
              </w:rPr>
              <w:t>施工方案内容充分，措施得当，可执行力度较高的得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w:t>
            </w:r>
          </w:p>
          <w:p w14:paraId="4ECAB809">
            <w:pPr>
              <w:snapToGrid w:val="0"/>
              <w:spacing w:line="360" w:lineRule="auto"/>
              <w:jc w:val="both"/>
              <w:rPr>
                <w:rFonts w:hint="eastAsia" w:ascii="宋体" w:hAnsi="宋体" w:cs="宋体"/>
                <w:color w:val="auto"/>
                <w:sz w:val="24"/>
                <w:szCs w:val="24"/>
                <w:highlight w:val="none"/>
              </w:rPr>
            </w:pPr>
            <w:r>
              <w:rPr>
                <w:rFonts w:hint="eastAsia" w:ascii="宋体" w:hAnsi="宋体" w:eastAsia="宋体" w:cs="宋体"/>
                <w:snapToGrid w:val="0"/>
                <w:color w:val="auto"/>
                <w:sz w:val="24"/>
                <w:highlight w:val="none"/>
              </w:rPr>
              <w:t>③</w:t>
            </w:r>
            <w:r>
              <w:rPr>
                <w:rFonts w:hint="eastAsia" w:ascii="宋体" w:hAnsi="宋体" w:cs="宋体"/>
                <w:color w:val="auto"/>
                <w:sz w:val="24"/>
                <w:szCs w:val="24"/>
                <w:highlight w:val="none"/>
              </w:rPr>
              <w:t>施工方案内容简单，可执行力低的得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p>
          <w:p w14:paraId="677B7E5E">
            <w:pPr>
              <w:snapToGrid w:val="0"/>
              <w:spacing w:line="360" w:lineRule="auto"/>
              <w:jc w:val="both"/>
              <w:rPr>
                <w:rFonts w:ascii="宋体" w:hAnsi="宋体" w:cs="宋体"/>
                <w:color w:val="auto"/>
                <w:highlight w:val="none"/>
              </w:rPr>
            </w:pPr>
            <w:r>
              <w:rPr>
                <w:rFonts w:hint="eastAsia" w:ascii="宋体" w:hAnsi="宋体" w:eastAsia="宋体" w:cs="宋体"/>
                <w:snapToGrid w:val="0"/>
                <w:color w:val="auto"/>
                <w:sz w:val="24"/>
                <w:highlight w:val="none"/>
              </w:rPr>
              <w:t>④</w:t>
            </w:r>
            <w:r>
              <w:rPr>
                <w:rFonts w:hint="eastAsia" w:ascii="宋体" w:hAnsi="宋体" w:cs="宋体"/>
                <w:color w:val="auto"/>
                <w:sz w:val="24"/>
                <w:szCs w:val="24"/>
                <w:highlight w:val="none"/>
              </w:rPr>
              <w:t>未提供施工方案的不得分。</w:t>
            </w:r>
          </w:p>
        </w:tc>
        <w:tc>
          <w:tcPr>
            <w:tcW w:w="388" w:type="pct"/>
            <w:vAlign w:val="center"/>
          </w:tcPr>
          <w:p w14:paraId="6C14A8B4">
            <w:pPr>
              <w:snapToGrid w:val="0"/>
              <w:spacing w:line="240" w:lineRule="auto"/>
              <w:jc w:val="center"/>
              <w:outlineLvl w:val="0"/>
              <w:rPr>
                <w:rFonts w:hint="eastAsia" w:ascii="宋体" w:hAnsi="宋体" w:eastAsia="宋体" w:cs="宋体"/>
                <w:bCs/>
                <w:color w:val="auto"/>
                <w:sz w:val="24"/>
                <w:highlight w:val="none"/>
                <w:lang w:val="en-US" w:eastAsia="zh-CN"/>
              </w:rPr>
            </w:pPr>
            <w:bookmarkStart w:id="411" w:name="_Toc105"/>
            <w:r>
              <w:rPr>
                <w:rFonts w:hint="eastAsia" w:ascii="宋体" w:hAnsi="宋体" w:cs="宋体"/>
                <w:bCs/>
                <w:color w:val="auto"/>
                <w:sz w:val="24"/>
                <w:highlight w:val="none"/>
                <w:lang w:val="en-US" w:eastAsia="zh-CN"/>
              </w:rPr>
              <w:t>5</w:t>
            </w:r>
            <w:bookmarkEnd w:id="411"/>
          </w:p>
        </w:tc>
        <w:tc>
          <w:tcPr>
            <w:tcW w:w="392" w:type="pct"/>
            <w:vAlign w:val="center"/>
          </w:tcPr>
          <w:p w14:paraId="2F1C821F">
            <w:pPr>
              <w:snapToGrid w:val="0"/>
              <w:spacing w:line="240" w:lineRule="auto"/>
              <w:jc w:val="center"/>
              <w:outlineLvl w:val="0"/>
              <w:rPr>
                <w:rFonts w:hint="eastAsia" w:ascii="宋体" w:hAnsi="宋体" w:cs="宋体"/>
                <w:bCs/>
                <w:color w:val="auto"/>
                <w:sz w:val="24"/>
                <w:highlight w:val="none"/>
                <w:lang w:val="en-US" w:eastAsia="zh-CN"/>
              </w:rPr>
            </w:pPr>
            <w:bookmarkStart w:id="412" w:name="_Toc1478"/>
            <w:r>
              <w:rPr>
                <w:rFonts w:hint="eastAsia" w:ascii="宋体" w:hAnsi="宋体" w:cs="宋体"/>
                <w:bCs/>
                <w:color w:val="auto"/>
                <w:sz w:val="24"/>
                <w:highlight w:val="none"/>
                <w:lang w:val="en-US" w:eastAsia="zh-CN"/>
              </w:rPr>
              <w:t>主观评审</w:t>
            </w:r>
            <w:bookmarkEnd w:id="412"/>
          </w:p>
        </w:tc>
      </w:tr>
      <w:tr w14:paraId="254B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 w:type="pct"/>
            <w:vAlign w:val="center"/>
          </w:tcPr>
          <w:p w14:paraId="716C7FDE">
            <w:pPr>
              <w:snapToGrid w:val="0"/>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3880" w:type="pct"/>
            <w:vAlign w:val="center"/>
          </w:tcPr>
          <w:p w14:paraId="0E7901A8">
            <w:pPr>
              <w:snapToGrid w:val="0"/>
              <w:spacing w:line="360" w:lineRule="auto"/>
              <w:jc w:val="both"/>
              <w:rPr>
                <w:rFonts w:hint="eastAsia" w:ascii="宋体" w:hAnsi="宋体" w:cs="宋体"/>
                <w:color w:val="auto"/>
                <w:sz w:val="24"/>
                <w:szCs w:val="24"/>
                <w:highlight w:val="none"/>
              </w:rPr>
            </w:pPr>
            <w:r>
              <w:rPr>
                <w:rFonts w:hint="eastAsia" w:ascii="宋体" w:hAnsi="宋体" w:cs="宋体"/>
                <w:b/>
                <w:bCs/>
                <w:color w:val="auto"/>
                <w:sz w:val="24"/>
                <w:szCs w:val="24"/>
                <w:highlight w:val="none"/>
              </w:rPr>
              <w:t>施工进度计划安排</w:t>
            </w:r>
            <w:r>
              <w:rPr>
                <w:rFonts w:hint="eastAsia" w:ascii="宋体" w:hAnsi="宋体" w:cs="宋体"/>
                <w:b/>
                <w:bCs/>
                <w:snapToGrid w:val="0"/>
                <w:color w:val="auto"/>
                <w:sz w:val="24"/>
                <w:highlight w:val="none"/>
                <w:lang w:eastAsia="zh-CN"/>
              </w:rPr>
              <w:t>（</w:t>
            </w:r>
            <w:r>
              <w:rPr>
                <w:rFonts w:hint="eastAsia" w:ascii="宋体" w:hAnsi="宋体" w:cs="宋体"/>
                <w:b/>
                <w:bCs/>
                <w:snapToGrid w:val="0"/>
                <w:color w:val="auto"/>
                <w:sz w:val="24"/>
                <w:highlight w:val="none"/>
                <w:lang w:val="en-US" w:eastAsia="zh-CN"/>
              </w:rPr>
              <w:t>5分</w:t>
            </w:r>
            <w:r>
              <w:rPr>
                <w:rFonts w:hint="eastAsia" w:ascii="宋体" w:hAnsi="宋体" w:cs="宋体"/>
                <w:b/>
                <w:bCs/>
                <w:snapToGrid w:val="0"/>
                <w:color w:val="auto"/>
                <w:sz w:val="24"/>
                <w:highlight w:val="none"/>
                <w:lang w:eastAsia="zh-CN"/>
              </w:rPr>
              <w:t>）：</w:t>
            </w:r>
          </w:p>
          <w:p w14:paraId="408838EC">
            <w:pPr>
              <w:snapToGrid w:val="0"/>
              <w:spacing w:line="360" w:lineRule="auto"/>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根据供应商提供的施工进度计划安排</w:t>
            </w:r>
            <w:r>
              <w:rPr>
                <w:rFonts w:hint="eastAsia" w:ascii="宋体" w:hAnsi="宋体" w:cs="宋体"/>
                <w:color w:val="auto"/>
                <w:sz w:val="24"/>
                <w:szCs w:val="24"/>
                <w:highlight w:val="none"/>
                <w:lang w:eastAsia="zh-CN"/>
              </w:rPr>
              <w:t>（包含但不仅限于方案详实情况、时间节点安排情况等）</w:t>
            </w:r>
            <w:r>
              <w:rPr>
                <w:rFonts w:hint="eastAsia" w:ascii="宋体" w:hAnsi="宋体" w:cs="宋体"/>
                <w:color w:val="auto"/>
                <w:sz w:val="24"/>
                <w:szCs w:val="24"/>
                <w:highlight w:val="none"/>
              </w:rPr>
              <w:t>进行评议：</w:t>
            </w:r>
          </w:p>
          <w:p w14:paraId="4EDE234F">
            <w:pPr>
              <w:snapToGrid w:val="0"/>
              <w:spacing w:line="360" w:lineRule="auto"/>
              <w:jc w:val="both"/>
              <w:rPr>
                <w:rFonts w:hint="eastAsia" w:ascii="宋体" w:hAnsi="宋体" w:cs="宋体"/>
                <w:color w:val="auto"/>
                <w:sz w:val="24"/>
                <w:szCs w:val="24"/>
                <w:highlight w:val="none"/>
              </w:rPr>
            </w:pPr>
            <w:r>
              <w:rPr>
                <w:rFonts w:hint="eastAsia" w:ascii="宋体" w:hAnsi="宋体" w:eastAsia="宋体" w:cs="宋体"/>
                <w:snapToGrid w:val="0"/>
                <w:color w:val="auto"/>
                <w:sz w:val="24"/>
                <w:highlight w:val="none"/>
              </w:rPr>
              <w:t>①</w:t>
            </w:r>
            <w:r>
              <w:rPr>
                <w:rFonts w:hint="eastAsia" w:ascii="宋体" w:hAnsi="宋体" w:cs="宋体"/>
                <w:color w:val="auto"/>
                <w:sz w:val="24"/>
                <w:szCs w:val="24"/>
                <w:highlight w:val="none"/>
              </w:rPr>
              <w:t>施工进度计划安排方案详实，时间节点明确，具有充分可靠计划的得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p>
          <w:p w14:paraId="3B572567">
            <w:pPr>
              <w:snapToGrid w:val="0"/>
              <w:spacing w:line="360" w:lineRule="auto"/>
              <w:jc w:val="both"/>
              <w:rPr>
                <w:rFonts w:hint="eastAsia" w:ascii="宋体" w:hAnsi="宋体" w:cs="宋体"/>
                <w:color w:val="auto"/>
                <w:sz w:val="24"/>
                <w:szCs w:val="24"/>
                <w:highlight w:val="none"/>
              </w:rPr>
            </w:pPr>
            <w:r>
              <w:rPr>
                <w:rFonts w:hint="eastAsia" w:ascii="宋体" w:hAnsi="宋体" w:eastAsia="宋体" w:cs="宋体"/>
                <w:snapToGrid w:val="0"/>
                <w:color w:val="auto"/>
                <w:sz w:val="24"/>
                <w:highlight w:val="none"/>
              </w:rPr>
              <w:t>②</w:t>
            </w:r>
            <w:r>
              <w:rPr>
                <w:rFonts w:hint="eastAsia" w:ascii="宋体" w:hAnsi="宋体" w:cs="宋体"/>
                <w:color w:val="auto"/>
                <w:sz w:val="24"/>
                <w:szCs w:val="24"/>
                <w:highlight w:val="none"/>
              </w:rPr>
              <w:t>施工进度计划安排方案内容充分，项目实施计划基本满足项目实施的得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w:t>
            </w:r>
          </w:p>
          <w:p w14:paraId="0CFFD494">
            <w:pPr>
              <w:snapToGrid w:val="0"/>
              <w:spacing w:line="360" w:lineRule="auto"/>
              <w:jc w:val="both"/>
              <w:rPr>
                <w:rFonts w:hint="eastAsia" w:ascii="宋体" w:hAnsi="宋体" w:cs="宋体"/>
                <w:color w:val="auto"/>
                <w:sz w:val="24"/>
                <w:szCs w:val="24"/>
                <w:highlight w:val="none"/>
              </w:rPr>
            </w:pPr>
            <w:r>
              <w:rPr>
                <w:rFonts w:hint="eastAsia" w:ascii="宋体" w:hAnsi="宋体" w:eastAsia="宋体" w:cs="宋体"/>
                <w:snapToGrid w:val="0"/>
                <w:color w:val="auto"/>
                <w:sz w:val="24"/>
                <w:highlight w:val="none"/>
              </w:rPr>
              <w:t>③</w:t>
            </w:r>
            <w:r>
              <w:rPr>
                <w:rFonts w:hint="eastAsia" w:ascii="宋体" w:hAnsi="宋体" w:cs="宋体"/>
                <w:color w:val="auto"/>
                <w:sz w:val="24"/>
                <w:szCs w:val="24"/>
                <w:highlight w:val="none"/>
              </w:rPr>
              <w:t>施工进度计划安排方案内容简单，工期计划不足的得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p>
          <w:p w14:paraId="0D410C33">
            <w:pPr>
              <w:snapToGrid w:val="0"/>
              <w:spacing w:line="360" w:lineRule="auto"/>
              <w:jc w:val="both"/>
              <w:rPr>
                <w:rFonts w:ascii="宋体" w:hAnsi="宋体" w:cs="宋体"/>
                <w:color w:val="auto"/>
                <w:highlight w:val="none"/>
              </w:rPr>
            </w:pPr>
            <w:r>
              <w:rPr>
                <w:rFonts w:hint="eastAsia" w:ascii="宋体" w:hAnsi="宋体" w:eastAsia="宋体" w:cs="宋体"/>
                <w:snapToGrid w:val="0"/>
                <w:color w:val="auto"/>
                <w:sz w:val="24"/>
                <w:highlight w:val="none"/>
              </w:rPr>
              <w:t>④</w:t>
            </w:r>
            <w:r>
              <w:rPr>
                <w:rFonts w:hint="eastAsia" w:ascii="宋体" w:hAnsi="宋体" w:cs="宋体"/>
                <w:color w:val="auto"/>
                <w:sz w:val="24"/>
                <w:szCs w:val="24"/>
                <w:highlight w:val="none"/>
              </w:rPr>
              <w:t>未提供施工进度计划安排的不得分。</w:t>
            </w:r>
          </w:p>
        </w:tc>
        <w:tc>
          <w:tcPr>
            <w:tcW w:w="388" w:type="pct"/>
            <w:vAlign w:val="center"/>
          </w:tcPr>
          <w:p w14:paraId="669286BD">
            <w:pPr>
              <w:snapToGrid w:val="0"/>
              <w:spacing w:line="240" w:lineRule="auto"/>
              <w:jc w:val="center"/>
              <w:outlineLvl w:val="0"/>
              <w:rPr>
                <w:rFonts w:hint="eastAsia" w:ascii="宋体" w:hAnsi="宋体" w:eastAsia="宋体" w:cs="宋体"/>
                <w:bCs/>
                <w:color w:val="auto"/>
                <w:sz w:val="24"/>
                <w:highlight w:val="none"/>
                <w:lang w:val="en-US" w:eastAsia="zh-CN"/>
              </w:rPr>
            </w:pPr>
            <w:bookmarkStart w:id="413" w:name="_Toc21446"/>
            <w:r>
              <w:rPr>
                <w:rFonts w:hint="eastAsia" w:ascii="宋体" w:hAnsi="宋体" w:cs="宋体"/>
                <w:bCs/>
                <w:color w:val="auto"/>
                <w:sz w:val="24"/>
                <w:highlight w:val="none"/>
                <w:lang w:val="en-US" w:eastAsia="zh-CN"/>
              </w:rPr>
              <w:t>5</w:t>
            </w:r>
            <w:bookmarkEnd w:id="413"/>
          </w:p>
        </w:tc>
        <w:tc>
          <w:tcPr>
            <w:tcW w:w="392" w:type="pct"/>
            <w:vAlign w:val="center"/>
          </w:tcPr>
          <w:p w14:paraId="61F65DEB">
            <w:pPr>
              <w:snapToGrid w:val="0"/>
              <w:spacing w:line="240" w:lineRule="auto"/>
              <w:jc w:val="center"/>
              <w:outlineLvl w:val="0"/>
              <w:rPr>
                <w:rFonts w:hint="eastAsia" w:ascii="宋体" w:hAnsi="宋体" w:cs="宋体"/>
                <w:bCs/>
                <w:color w:val="auto"/>
                <w:sz w:val="24"/>
                <w:highlight w:val="none"/>
                <w:lang w:val="en-US" w:eastAsia="zh-CN"/>
              </w:rPr>
            </w:pPr>
            <w:bookmarkStart w:id="414" w:name="_Toc3440"/>
            <w:r>
              <w:rPr>
                <w:rFonts w:hint="eastAsia" w:ascii="宋体" w:hAnsi="宋体" w:cs="宋体"/>
                <w:bCs/>
                <w:color w:val="auto"/>
                <w:sz w:val="24"/>
                <w:highlight w:val="none"/>
                <w:lang w:val="en-US" w:eastAsia="zh-CN"/>
              </w:rPr>
              <w:t>主观评审</w:t>
            </w:r>
            <w:bookmarkEnd w:id="414"/>
          </w:p>
        </w:tc>
      </w:tr>
      <w:tr w14:paraId="5FE8C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39" w:type="pct"/>
            <w:vAlign w:val="center"/>
          </w:tcPr>
          <w:p w14:paraId="1E827F7C">
            <w:pPr>
              <w:snapToGrid w:val="0"/>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3880" w:type="pct"/>
            <w:vAlign w:val="center"/>
          </w:tcPr>
          <w:p w14:paraId="0AF8A5F4">
            <w:pPr>
              <w:snapToGrid w:val="0"/>
              <w:spacing w:line="360" w:lineRule="auto"/>
              <w:jc w:val="both"/>
              <w:rPr>
                <w:rFonts w:hint="eastAsia" w:ascii="宋体" w:hAnsi="宋体" w:cs="宋体"/>
                <w:color w:val="auto"/>
                <w:sz w:val="24"/>
                <w:szCs w:val="24"/>
                <w:highlight w:val="none"/>
              </w:rPr>
            </w:pPr>
            <w:r>
              <w:rPr>
                <w:rFonts w:hint="eastAsia" w:ascii="宋体" w:hAnsi="宋体" w:cs="宋体"/>
                <w:b/>
                <w:bCs/>
                <w:color w:val="auto"/>
                <w:sz w:val="24"/>
                <w:szCs w:val="24"/>
                <w:highlight w:val="none"/>
              </w:rPr>
              <w:t>施工质量保证措施</w:t>
            </w:r>
            <w:r>
              <w:rPr>
                <w:rFonts w:hint="eastAsia" w:ascii="宋体" w:hAnsi="宋体" w:cs="宋体"/>
                <w:b/>
                <w:bCs/>
                <w:snapToGrid w:val="0"/>
                <w:color w:val="auto"/>
                <w:sz w:val="24"/>
                <w:highlight w:val="none"/>
                <w:lang w:eastAsia="zh-CN"/>
              </w:rPr>
              <w:t>（</w:t>
            </w:r>
            <w:r>
              <w:rPr>
                <w:rFonts w:hint="eastAsia" w:ascii="宋体" w:hAnsi="宋体" w:cs="宋体"/>
                <w:b/>
                <w:bCs/>
                <w:snapToGrid w:val="0"/>
                <w:color w:val="auto"/>
                <w:sz w:val="24"/>
                <w:highlight w:val="none"/>
                <w:lang w:val="en-US" w:eastAsia="zh-CN"/>
              </w:rPr>
              <w:t>5分</w:t>
            </w:r>
            <w:r>
              <w:rPr>
                <w:rFonts w:hint="eastAsia" w:ascii="宋体" w:hAnsi="宋体" w:cs="宋体"/>
                <w:b/>
                <w:bCs/>
                <w:snapToGrid w:val="0"/>
                <w:color w:val="auto"/>
                <w:sz w:val="24"/>
                <w:highlight w:val="none"/>
                <w:lang w:eastAsia="zh-CN"/>
              </w:rPr>
              <w:t>）：</w:t>
            </w:r>
          </w:p>
          <w:p w14:paraId="0613239A">
            <w:pPr>
              <w:snapToGrid w:val="0"/>
              <w:spacing w:line="360" w:lineRule="auto"/>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根据供应商提供的施工质量保证措施（包含但不仅限于材料及设备质量保证措施等）进行评议：</w:t>
            </w:r>
          </w:p>
          <w:p w14:paraId="79E64952">
            <w:pPr>
              <w:snapToGrid w:val="0"/>
              <w:spacing w:line="360" w:lineRule="auto"/>
              <w:jc w:val="both"/>
              <w:rPr>
                <w:rFonts w:hint="eastAsia" w:ascii="宋体" w:hAnsi="宋体" w:cs="宋体"/>
                <w:color w:val="auto"/>
                <w:sz w:val="24"/>
                <w:szCs w:val="24"/>
                <w:highlight w:val="none"/>
              </w:rPr>
            </w:pPr>
            <w:r>
              <w:rPr>
                <w:rFonts w:hint="eastAsia" w:ascii="宋体" w:hAnsi="宋体" w:eastAsia="宋体" w:cs="宋体"/>
                <w:snapToGrid w:val="0"/>
                <w:color w:val="auto"/>
                <w:sz w:val="24"/>
                <w:highlight w:val="none"/>
              </w:rPr>
              <w:t>①</w:t>
            </w:r>
            <w:r>
              <w:rPr>
                <w:rFonts w:hint="eastAsia" w:ascii="宋体" w:hAnsi="宋体" w:cs="宋体"/>
                <w:color w:val="auto"/>
                <w:sz w:val="24"/>
                <w:szCs w:val="24"/>
                <w:highlight w:val="none"/>
              </w:rPr>
              <w:t>施工质量保证措施方案详实，针对性强，可执行力度高的得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p>
          <w:p w14:paraId="5E417723">
            <w:pPr>
              <w:snapToGrid w:val="0"/>
              <w:spacing w:line="360" w:lineRule="auto"/>
              <w:jc w:val="both"/>
              <w:rPr>
                <w:rFonts w:hint="eastAsia" w:ascii="宋体" w:hAnsi="宋体" w:cs="宋体"/>
                <w:color w:val="auto"/>
                <w:sz w:val="24"/>
                <w:szCs w:val="24"/>
                <w:highlight w:val="none"/>
              </w:rPr>
            </w:pPr>
            <w:r>
              <w:rPr>
                <w:rFonts w:hint="eastAsia" w:ascii="宋体" w:hAnsi="宋体" w:eastAsia="宋体" w:cs="宋体"/>
                <w:snapToGrid w:val="0"/>
                <w:color w:val="auto"/>
                <w:sz w:val="24"/>
                <w:highlight w:val="none"/>
              </w:rPr>
              <w:t>②</w:t>
            </w:r>
            <w:r>
              <w:rPr>
                <w:rFonts w:hint="eastAsia" w:ascii="宋体" w:hAnsi="宋体" w:cs="宋体"/>
                <w:color w:val="auto"/>
                <w:sz w:val="24"/>
                <w:szCs w:val="24"/>
                <w:highlight w:val="none"/>
              </w:rPr>
              <w:t>施工质量保证措施方案内容充分，有一定针对性，可执行力度较高的得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w:t>
            </w:r>
          </w:p>
          <w:p w14:paraId="39EE1FFA">
            <w:pPr>
              <w:snapToGrid w:val="0"/>
              <w:spacing w:line="360" w:lineRule="auto"/>
              <w:jc w:val="both"/>
              <w:rPr>
                <w:rFonts w:hint="eastAsia" w:ascii="宋体" w:hAnsi="宋体" w:cs="宋体"/>
                <w:color w:val="auto"/>
                <w:sz w:val="24"/>
                <w:szCs w:val="24"/>
                <w:highlight w:val="none"/>
              </w:rPr>
            </w:pPr>
            <w:r>
              <w:rPr>
                <w:rFonts w:hint="eastAsia" w:ascii="宋体" w:hAnsi="宋体" w:eastAsia="宋体" w:cs="宋体"/>
                <w:snapToGrid w:val="0"/>
                <w:color w:val="auto"/>
                <w:sz w:val="24"/>
                <w:highlight w:val="none"/>
              </w:rPr>
              <w:t>③</w:t>
            </w:r>
            <w:r>
              <w:rPr>
                <w:rFonts w:hint="eastAsia" w:ascii="宋体" w:hAnsi="宋体" w:cs="宋体"/>
                <w:color w:val="auto"/>
                <w:sz w:val="24"/>
                <w:szCs w:val="24"/>
                <w:highlight w:val="none"/>
              </w:rPr>
              <w:t>施工质量保证措施方案内容简单，无针对性，可执行力低的得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p>
          <w:p w14:paraId="6CF538D3">
            <w:pPr>
              <w:snapToGrid w:val="0"/>
              <w:spacing w:line="360" w:lineRule="auto"/>
              <w:jc w:val="both"/>
              <w:rPr>
                <w:rFonts w:ascii="宋体" w:hAnsi="宋体" w:cs="宋体"/>
                <w:color w:val="auto"/>
                <w:highlight w:val="none"/>
              </w:rPr>
            </w:pPr>
            <w:r>
              <w:rPr>
                <w:rFonts w:hint="eastAsia" w:ascii="宋体" w:hAnsi="宋体" w:eastAsia="宋体" w:cs="宋体"/>
                <w:snapToGrid w:val="0"/>
                <w:color w:val="auto"/>
                <w:sz w:val="24"/>
                <w:highlight w:val="none"/>
              </w:rPr>
              <w:t>④</w:t>
            </w:r>
            <w:r>
              <w:rPr>
                <w:rFonts w:hint="eastAsia" w:ascii="宋体" w:hAnsi="宋体" w:cs="宋体"/>
                <w:color w:val="auto"/>
                <w:sz w:val="24"/>
                <w:szCs w:val="24"/>
                <w:highlight w:val="none"/>
              </w:rPr>
              <w:t>未提供施工质量保证措施的不得分。</w:t>
            </w:r>
          </w:p>
        </w:tc>
        <w:tc>
          <w:tcPr>
            <w:tcW w:w="388" w:type="pct"/>
            <w:vAlign w:val="center"/>
          </w:tcPr>
          <w:p w14:paraId="3DFA8709">
            <w:pPr>
              <w:snapToGrid w:val="0"/>
              <w:spacing w:line="240" w:lineRule="auto"/>
              <w:jc w:val="center"/>
              <w:outlineLvl w:val="0"/>
              <w:rPr>
                <w:rFonts w:hint="eastAsia" w:ascii="宋体" w:hAnsi="宋体" w:eastAsia="宋体" w:cs="宋体"/>
                <w:bCs/>
                <w:color w:val="auto"/>
                <w:sz w:val="24"/>
                <w:highlight w:val="none"/>
                <w:lang w:val="en-US" w:eastAsia="zh-CN"/>
              </w:rPr>
            </w:pPr>
            <w:bookmarkStart w:id="415" w:name="_Toc31646"/>
            <w:r>
              <w:rPr>
                <w:rFonts w:hint="eastAsia" w:ascii="宋体" w:hAnsi="宋体" w:cs="宋体"/>
                <w:bCs/>
                <w:color w:val="auto"/>
                <w:sz w:val="24"/>
                <w:highlight w:val="none"/>
                <w:lang w:val="en-US" w:eastAsia="zh-CN"/>
              </w:rPr>
              <w:t>5</w:t>
            </w:r>
            <w:bookmarkEnd w:id="415"/>
          </w:p>
        </w:tc>
        <w:tc>
          <w:tcPr>
            <w:tcW w:w="392" w:type="pct"/>
            <w:vAlign w:val="center"/>
          </w:tcPr>
          <w:p w14:paraId="49566C48">
            <w:pPr>
              <w:snapToGrid w:val="0"/>
              <w:spacing w:line="240" w:lineRule="auto"/>
              <w:jc w:val="center"/>
              <w:outlineLvl w:val="0"/>
              <w:rPr>
                <w:rFonts w:hint="eastAsia" w:ascii="宋体" w:hAnsi="宋体" w:cs="宋体"/>
                <w:bCs/>
                <w:color w:val="auto"/>
                <w:sz w:val="24"/>
                <w:highlight w:val="none"/>
                <w:lang w:val="en-US" w:eastAsia="zh-CN"/>
              </w:rPr>
            </w:pPr>
            <w:bookmarkStart w:id="416" w:name="_Toc3327"/>
            <w:r>
              <w:rPr>
                <w:rFonts w:hint="eastAsia" w:ascii="宋体" w:hAnsi="宋体" w:cs="宋体"/>
                <w:bCs/>
                <w:color w:val="auto"/>
                <w:sz w:val="24"/>
                <w:highlight w:val="none"/>
                <w:lang w:val="en-US" w:eastAsia="zh-CN"/>
              </w:rPr>
              <w:t>主观评审</w:t>
            </w:r>
            <w:bookmarkEnd w:id="416"/>
          </w:p>
        </w:tc>
      </w:tr>
      <w:tr w14:paraId="7DA5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339" w:type="pct"/>
            <w:vAlign w:val="center"/>
          </w:tcPr>
          <w:p w14:paraId="5CD12D46">
            <w:pPr>
              <w:snapToGrid w:val="0"/>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3880" w:type="pct"/>
            <w:vAlign w:val="center"/>
          </w:tcPr>
          <w:p w14:paraId="6FE7D424">
            <w:pPr>
              <w:snapToGrid w:val="0"/>
              <w:spacing w:line="360" w:lineRule="auto"/>
              <w:jc w:val="both"/>
              <w:rPr>
                <w:rFonts w:ascii="宋体" w:hAnsi="宋体" w:cs="宋体"/>
                <w:b/>
                <w:bCs/>
                <w:color w:val="auto"/>
                <w:sz w:val="24"/>
                <w:szCs w:val="24"/>
                <w:highlight w:val="none"/>
              </w:rPr>
            </w:pPr>
            <w:r>
              <w:rPr>
                <w:rFonts w:ascii="宋体" w:hAnsi="宋体" w:cs="宋体"/>
                <w:b/>
                <w:bCs/>
                <w:color w:val="auto"/>
                <w:sz w:val="24"/>
                <w:szCs w:val="24"/>
                <w:highlight w:val="none"/>
              </w:rPr>
              <w:t>项目关键点</w:t>
            </w:r>
            <w:r>
              <w:rPr>
                <w:rFonts w:hint="eastAsia" w:ascii="宋体" w:hAnsi="宋体" w:cs="宋体"/>
                <w:b/>
                <w:bCs/>
                <w:color w:val="auto"/>
                <w:sz w:val="24"/>
                <w:szCs w:val="24"/>
                <w:highlight w:val="none"/>
                <w:lang w:val="en-US" w:eastAsia="zh-CN"/>
              </w:rPr>
              <w:t>和</w:t>
            </w:r>
            <w:r>
              <w:rPr>
                <w:rFonts w:hint="eastAsia" w:ascii="宋体" w:hAnsi="宋体" w:cs="宋体"/>
                <w:b/>
                <w:bCs/>
                <w:color w:val="auto"/>
                <w:sz w:val="24"/>
                <w:szCs w:val="24"/>
                <w:highlight w:val="none"/>
                <w:lang w:eastAsia="zh-CN"/>
              </w:rPr>
              <w:t>重难点分析</w:t>
            </w:r>
            <w:r>
              <w:rPr>
                <w:rFonts w:hint="eastAsia" w:ascii="宋体" w:hAnsi="宋体" w:cs="宋体"/>
                <w:b/>
                <w:bCs/>
                <w:snapToGrid w:val="0"/>
                <w:color w:val="auto"/>
                <w:sz w:val="24"/>
                <w:highlight w:val="none"/>
                <w:lang w:eastAsia="zh-CN"/>
              </w:rPr>
              <w:t>（</w:t>
            </w:r>
            <w:r>
              <w:rPr>
                <w:rFonts w:hint="eastAsia" w:ascii="宋体" w:hAnsi="宋体" w:cs="宋体"/>
                <w:b/>
                <w:bCs/>
                <w:snapToGrid w:val="0"/>
                <w:color w:val="auto"/>
                <w:sz w:val="24"/>
                <w:highlight w:val="none"/>
                <w:lang w:val="en-US" w:eastAsia="zh-CN"/>
              </w:rPr>
              <w:t>5分</w:t>
            </w:r>
            <w:r>
              <w:rPr>
                <w:rFonts w:hint="eastAsia" w:ascii="宋体" w:hAnsi="宋体" w:cs="宋体"/>
                <w:b/>
                <w:bCs/>
                <w:snapToGrid w:val="0"/>
                <w:color w:val="auto"/>
                <w:sz w:val="24"/>
                <w:highlight w:val="none"/>
                <w:lang w:eastAsia="zh-CN"/>
              </w:rPr>
              <w:t>）：</w:t>
            </w:r>
          </w:p>
          <w:p w14:paraId="206307BD">
            <w:pPr>
              <w:snapToGrid w:val="0"/>
              <w:spacing w:line="360" w:lineRule="auto"/>
              <w:jc w:val="both"/>
              <w:rPr>
                <w:rFonts w:ascii="宋体" w:hAnsi="宋体" w:cs="宋体"/>
                <w:color w:val="auto"/>
                <w:sz w:val="24"/>
                <w:szCs w:val="24"/>
                <w:highlight w:val="none"/>
              </w:rPr>
            </w:pPr>
            <w:r>
              <w:rPr>
                <w:rFonts w:ascii="宋体" w:hAnsi="宋体" w:cs="宋体"/>
                <w:color w:val="auto"/>
                <w:sz w:val="24"/>
                <w:szCs w:val="24"/>
                <w:highlight w:val="none"/>
              </w:rPr>
              <w:t>根据供应商提供的项目关键点</w:t>
            </w:r>
            <w:r>
              <w:rPr>
                <w:rFonts w:hint="eastAsia" w:ascii="宋体" w:hAnsi="宋体" w:cs="宋体"/>
                <w:color w:val="auto"/>
                <w:sz w:val="24"/>
                <w:szCs w:val="24"/>
                <w:highlight w:val="none"/>
                <w:lang w:val="en-US" w:eastAsia="zh-CN"/>
              </w:rPr>
              <w:t>和</w:t>
            </w:r>
            <w:r>
              <w:rPr>
                <w:rFonts w:hint="eastAsia" w:ascii="宋体" w:hAnsi="宋体" w:cs="宋体"/>
                <w:color w:val="auto"/>
                <w:sz w:val="24"/>
                <w:szCs w:val="24"/>
                <w:highlight w:val="none"/>
                <w:lang w:eastAsia="zh-CN"/>
              </w:rPr>
              <w:t>重难点分析（包含但不仅限于房屋建筑与装饰、安装工程、智能化工程等）</w:t>
            </w:r>
            <w:r>
              <w:rPr>
                <w:rFonts w:ascii="宋体" w:hAnsi="宋体" w:cs="宋体"/>
                <w:color w:val="auto"/>
                <w:sz w:val="24"/>
                <w:szCs w:val="24"/>
                <w:highlight w:val="none"/>
              </w:rPr>
              <w:t>进行评议：</w:t>
            </w:r>
          </w:p>
          <w:p w14:paraId="6FA95306">
            <w:pPr>
              <w:snapToGrid w:val="0"/>
              <w:spacing w:line="360" w:lineRule="auto"/>
              <w:jc w:val="both"/>
              <w:rPr>
                <w:rFonts w:hint="eastAsia" w:ascii="宋体" w:hAnsi="宋体" w:cs="宋体"/>
                <w:color w:val="auto"/>
                <w:sz w:val="24"/>
                <w:szCs w:val="24"/>
                <w:highlight w:val="none"/>
              </w:rPr>
            </w:pPr>
            <w:r>
              <w:rPr>
                <w:rFonts w:hint="eastAsia" w:ascii="宋体" w:hAnsi="宋体" w:eastAsia="宋体" w:cs="宋体"/>
                <w:snapToGrid w:val="0"/>
                <w:color w:val="auto"/>
                <w:sz w:val="24"/>
                <w:highlight w:val="none"/>
              </w:rPr>
              <w:t>①</w:t>
            </w:r>
            <w:r>
              <w:rPr>
                <w:rFonts w:hint="eastAsia" w:ascii="宋体" w:hAnsi="宋体" w:cs="宋体"/>
                <w:color w:val="auto"/>
                <w:sz w:val="24"/>
                <w:szCs w:val="24"/>
                <w:highlight w:val="none"/>
              </w:rPr>
              <w:t>项目关键点</w:t>
            </w:r>
            <w:r>
              <w:rPr>
                <w:rFonts w:hint="eastAsia" w:ascii="宋体" w:hAnsi="宋体" w:cs="宋体"/>
                <w:color w:val="auto"/>
                <w:sz w:val="24"/>
                <w:szCs w:val="24"/>
                <w:highlight w:val="none"/>
                <w:lang w:val="en-US" w:eastAsia="zh-CN"/>
              </w:rPr>
              <w:t>和</w:t>
            </w:r>
            <w:r>
              <w:rPr>
                <w:rFonts w:hint="eastAsia" w:ascii="宋体" w:hAnsi="宋体" w:cs="宋体"/>
                <w:color w:val="auto"/>
                <w:sz w:val="24"/>
                <w:szCs w:val="24"/>
                <w:highlight w:val="none"/>
              </w:rPr>
              <w:t>重难点分析到位的得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p>
          <w:p w14:paraId="732A9617">
            <w:pPr>
              <w:snapToGrid w:val="0"/>
              <w:spacing w:line="360" w:lineRule="auto"/>
              <w:jc w:val="both"/>
              <w:rPr>
                <w:rFonts w:hint="eastAsia" w:ascii="宋体" w:hAnsi="宋体" w:cs="宋体"/>
                <w:color w:val="auto"/>
                <w:sz w:val="24"/>
                <w:szCs w:val="24"/>
                <w:highlight w:val="none"/>
              </w:rPr>
            </w:pPr>
            <w:r>
              <w:rPr>
                <w:rFonts w:hint="eastAsia" w:ascii="宋体" w:hAnsi="宋体" w:eastAsia="宋体" w:cs="宋体"/>
                <w:snapToGrid w:val="0"/>
                <w:color w:val="auto"/>
                <w:sz w:val="24"/>
                <w:highlight w:val="none"/>
              </w:rPr>
              <w:t>②</w:t>
            </w:r>
            <w:r>
              <w:rPr>
                <w:rFonts w:hint="eastAsia" w:ascii="宋体" w:hAnsi="宋体" w:cs="宋体"/>
                <w:color w:val="auto"/>
                <w:sz w:val="24"/>
                <w:szCs w:val="24"/>
                <w:highlight w:val="none"/>
              </w:rPr>
              <w:t>项目关键点</w:t>
            </w:r>
            <w:r>
              <w:rPr>
                <w:rFonts w:hint="eastAsia" w:ascii="宋体" w:hAnsi="宋体" w:cs="宋体"/>
                <w:color w:val="auto"/>
                <w:sz w:val="24"/>
                <w:szCs w:val="24"/>
                <w:highlight w:val="none"/>
                <w:lang w:val="en-US" w:eastAsia="zh-CN"/>
              </w:rPr>
              <w:t>和</w:t>
            </w:r>
            <w:r>
              <w:rPr>
                <w:rFonts w:hint="eastAsia" w:ascii="宋体" w:hAnsi="宋体" w:cs="宋体"/>
                <w:color w:val="auto"/>
                <w:sz w:val="24"/>
                <w:szCs w:val="24"/>
                <w:highlight w:val="none"/>
              </w:rPr>
              <w:t>重难点分析较到位的得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w:t>
            </w:r>
          </w:p>
          <w:p w14:paraId="4A02872F">
            <w:pPr>
              <w:snapToGrid w:val="0"/>
              <w:spacing w:line="360" w:lineRule="auto"/>
              <w:jc w:val="both"/>
              <w:rPr>
                <w:rFonts w:hint="eastAsia" w:ascii="宋体" w:hAnsi="宋体" w:cs="宋体"/>
                <w:color w:val="auto"/>
                <w:sz w:val="24"/>
                <w:szCs w:val="24"/>
                <w:highlight w:val="none"/>
              </w:rPr>
            </w:pPr>
            <w:r>
              <w:rPr>
                <w:rFonts w:hint="eastAsia" w:ascii="宋体" w:hAnsi="宋体" w:eastAsia="宋体" w:cs="宋体"/>
                <w:snapToGrid w:val="0"/>
                <w:color w:val="auto"/>
                <w:sz w:val="24"/>
                <w:highlight w:val="none"/>
              </w:rPr>
              <w:t>③</w:t>
            </w:r>
            <w:r>
              <w:rPr>
                <w:rFonts w:hint="eastAsia" w:ascii="宋体" w:hAnsi="宋体" w:cs="宋体"/>
                <w:color w:val="auto"/>
                <w:sz w:val="24"/>
                <w:szCs w:val="24"/>
                <w:highlight w:val="none"/>
              </w:rPr>
              <w:t>项目关键点</w:t>
            </w:r>
            <w:r>
              <w:rPr>
                <w:rFonts w:hint="eastAsia" w:ascii="宋体" w:hAnsi="宋体" w:cs="宋体"/>
                <w:color w:val="auto"/>
                <w:sz w:val="24"/>
                <w:szCs w:val="24"/>
                <w:highlight w:val="none"/>
                <w:lang w:val="en-US" w:eastAsia="zh-CN"/>
              </w:rPr>
              <w:t>和</w:t>
            </w:r>
            <w:r>
              <w:rPr>
                <w:rFonts w:hint="eastAsia" w:ascii="宋体" w:hAnsi="宋体" w:cs="宋体"/>
                <w:color w:val="auto"/>
                <w:sz w:val="24"/>
                <w:szCs w:val="24"/>
                <w:highlight w:val="none"/>
              </w:rPr>
              <w:t>重难点分析不准确的得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p>
          <w:p w14:paraId="06228FB7">
            <w:pPr>
              <w:snapToGrid w:val="0"/>
              <w:spacing w:line="360" w:lineRule="auto"/>
              <w:jc w:val="both"/>
              <w:rPr>
                <w:rFonts w:ascii="宋体" w:hAnsi="宋体" w:cs="宋体"/>
                <w:color w:val="auto"/>
                <w:highlight w:val="none"/>
              </w:rPr>
            </w:pPr>
            <w:r>
              <w:rPr>
                <w:rFonts w:hint="eastAsia" w:ascii="宋体" w:hAnsi="宋体" w:eastAsia="宋体" w:cs="宋体"/>
                <w:snapToGrid w:val="0"/>
                <w:color w:val="auto"/>
                <w:sz w:val="24"/>
                <w:highlight w:val="none"/>
              </w:rPr>
              <w:t>④</w:t>
            </w:r>
            <w:r>
              <w:rPr>
                <w:rFonts w:ascii="宋体" w:hAnsi="宋体" w:cs="宋体"/>
                <w:color w:val="auto"/>
                <w:sz w:val="24"/>
                <w:szCs w:val="24"/>
                <w:highlight w:val="none"/>
              </w:rPr>
              <w:t>未提供项目关键点</w:t>
            </w:r>
            <w:r>
              <w:rPr>
                <w:rFonts w:hint="eastAsia" w:ascii="宋体" w:hAnsi="宋体" w:cs="宋体"/>
                <w:color w:val="auto"/>
                <w:sz w:val="24"/>
                <w:szCs w:val="24"/>
                <w:highlight w:val="none"/>
                <w:lang w:val="en-US" w:eastAsia="zh-CN"/>
              </w:rPr>
              <w:t>和</w:t>
            </w:r>
            <w:r>
              <w:rPr>
                <w:rFonts w:ascii="宋体" w:hAnsi="宋体" w:cs="宋体"/>
                <w:color w:val="auto"/>
                <w:sz w:val="24"/>
                <w:szCs w:val="24"/>
                <w:highlight w:val="none"/>
              </w:rPr>
              <w:t>重难点分析的不得分。</w:t>
            </w:r>
          </w:p>
        </w:tc>
        <w:tc>
          <w:tcPr>
            <w:tcW w:w="388" w:type="pct"/>
            <w:vAlign w:val="center"/>
          </w:tcPr>
          <w:p w14:paraId="263150A9">
            <w:pPr>
              <w:snapToGrid w:val="0"/>
              <w:spacing w:line="240" w:lineRule="auto"/>
              <w:jc w:val="center"/>
              <w:outlineLvl w:val="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5</w:t>
            </w:r>
          </w:p>
        </w:tc>
        <w:tc>
          <w:tcPr>
            <w:tcW w:w="392" w:type="pct"/>
            <w:vAlign w:val="center"/>
          </w:tcPr>
          <w:p w14:paraId="79B5A91E">
            <w:pPr>
              <w:snapToGrid w:val="0"/>
              <w:spacing w:line="240" w:lineRule="auto"/>
              <w:jc w:val="center"/>
              <w:outlineLvl w:val="0"/>
              <w:rPr>
                <w:rFonts w:hint="eastAsia" w:ascii="宋体" w:hAnsi="宋体" w:cs="宋体"/>
                <w:bCs/>
                <w:color w:val="auto"/>
                <w:sz w:val="24"/>
                <w:highlight w:val="none"/>
                <w:lang w:val="en-US" w:eastAsia="zh-CN"/>
              </w:rPr>
            </w:pPr>
            <w:bookmarkStart w:id="417" w:name="_Toc23165"/>
            <w:r>
              <w:rPr>
                <w:rFonts w:hint="eastAsia" w:ascii="宋体" w:hAnsi="宋体" w:cs="宋体"/>
                <w:bCs/>
                <w:color w:val="auto"/>
                <w:sz w:val="24"/>
                <w:highlight w:val="none"/>
                <w:lang w:val="en-US" w:eastAsia="zh-CN"/>
              </w:rPr>
              <w:t>主观评审</w:t>
            </w:r>
            <w:bookmarkEnd w:id="417"/>
          </w:p>
        </w:tc>
      </w:tr>
      <w:tr w14:paraId="7C42B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339" w:type="pct"/>
            <w:vAlign w:val="center"/>
          </w:tcPr>
          <w:p w14:paraId="3F3CCABE">
            <w:pPr>
              <w:snapToGrid w:val="0"/>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3880" w:type="pct"/>
            <w:vAlign w:val="center"/>
          </w:tcPr>
          <w:p w14:paraId="10487B97">
            <w:pPr>
              <w:snapToGrid w:val="0"/>
              <w:spacing w:line="360" w:lineRule="auto"/>
              <w:jc w:val="both"/>
              <w:rPr>
                <w:rFonts w:ascii="宋体" w:hAnsi="宋体" w:cs="宋体"/>
                <w:b/>
                <w:bCs/>
                <w:color w:val="auto"/>
                <w:sz w:val="24"/>
                <w:szCs w:val="24"/>
                <w:highlight w:val="none"/>
              </w:rPr>
            </w:pPr>
            <w:r>
              <w:rPr>
                <w:rFonts w:ascii="宋体" w:hAnsi="宋体" w:cs="宋体"/>
                <w:b/>
                <w:bCs/>
                <w:color w:val="auto"/>
                <w:sz w:val="24"/>
                <w:szCs w:val="24"/>
                <w:highlight w:val="none"/>
              </w:rPr>
              <w:t>项目关键点</w:t>
            </w:r>
            <w:r>
              <w:rPr>
                <w:rFonts w:hint="eastAsia" w:ascii="宋体" w:hAnsi="宋体" w:cs="宋体"/>
                <w:b/>
                <w:bCs/>
                <w:color w:val="auto"/>
                <w:sz w:val="24"/>
                <w:szCs w:val="24"/>
                <w:highlight w:val="none"/>
                <w:lang w:val="en-US" w:eastAsia="zh-CN"/>
              </w:rPr>
              <w:t>和</w:t>
            </w:r>
            <w:r>
              <w:rPr>
                <w:rFonts w:hint="eastAsia" w:ascii="宋体" w:hAnsi="宋体" w:cs="宋体"/>
                <w:b/>
                <w:bCs/>
                <w:color w:val="auto"/>
                <w:sz w:val="24"/>
                <w:szCs w:val="24"/>
                <w:highlight w:val="none"/>
                <w:lang w:eastAsia="zh-CN"/>
              </w:rPr>
              <w:t>重难点分析</w:t>
            </w:r>
            <w:r>
              <w:rPr>
                <w:rFonts w:hint="eastAsia" w:ascii="宋体" w:hAnsi="宋体" w:cs="宋体"/>
                <w:b/>
                <w:bCs/>
                <w:color w:val="auto"/>
                <w:sz w:val="24"/>
                <w:szCs w:val="24"/>
                <w:highlight w:val="none"/>
                <w:lang w:val="en-US" w:eastAsia="zh-CN"/>
              </w:rPr>
              <w:t>的解决措施</w:t>
            </w:r>
            <w:r>
              <w:rPr>
                <w:rFonts w:hint="eastAsia" w:ascii="宋体" w:hAnsi="宋体" w:cs="宋体"/>
                <w:b/>
                <w:bCs/>
                <w:snapToGrid w:val="0"/>
                <w:color w:val="auto"/>
                <w:sz w:val="24"/>
                <w:highlight w:val="none"/>
                <w:lang w:eastAsia="zh-CN"/>
              </w:rPr>
              <w:t>（</w:t>
            </w:r>
            <w:r>
              <w:rPr>
                <w:rFonts w:hint="eastAsia" w:ascii="宋体" w:hAnsi="宋体" w:cs="宋体"/>
                <w:b/>
                <w:bCs/>
                <w:snapToGrid w:val="0"/>
                <w:color w:val="auto"/>
                <w:sz w:val="24"/>
                <w:highlight w:val="none"/>
                <w:lang w:val="en-US" w:eastAsia="zh-CN"/>
              </w:rPr>
              <w:t>5分</w:t>
            </w:r>
            <w:r>
              <w:rPr>
                <w:rFonts w:hint="eastAsia" w:ascii="宋体" w:hAnsi="宋体" w:cs="宋体"/>
                <w:b/>
                <w:bCs/>
                <w:snapToGrid w:val="0"/>
                <w:color w:val="auto"/>
                <w:sz w:val="24"/>
                <w:highlight w:val="none"/>
                <w:lang w:eastAsia="zh-CN"/>
              </w:rPr>
              <w:t>）：</w:t>
            </w:r>
          </w:p>
          <w:p w14:paraId="68237BBF">
            <w:pPr>
              <w:snapToGrid w:val="0"/>
              <w:spacing w:line="360" w:lineRule="auto"/>
              <w:jc w:val="both"/>
              <w:rPr>
                <w:rFonts w:ascii="宋体" w:hAnsi="宋体" w:cs="宋体"/>
                <w:color w:val="auto"/>
                <w:sz w:val="24"/>
                <w:szCs w:val="24"/>
                <w:highlight w:val="none"/>
              </w:rPr>
            </w:pPr>
            <w:r>
              <w:rPr>
                <w:rFonts w:ascii="宋体" w:hAnsi="宋体" w:cs="宋体"/>
                <w:color w:val="auto"/>
                <w:sz w:val="24"/>
                <w:szCs w:val="24"/>
                <w:highlight w:val="none"/>
              </w:rPr>
              <w:t>根据供应商提供的项目关键点</w:t>
            </w:r>
            <w:r>
              <w:rPr>
                <w:rFonts w:hint="eastAsia" w:ascii="宋体" w:hAnsi="宋体" w:cs="宋体"/>
                <w:color w:val="auto"/>
                <w:sz w:val="24"/>
                <w:szCs w:val="24"/>
                <w:highlight w:val="none"/>
                <w:lang w:val="en-US" w:eastAsia="zh-CN"/>
              </w:rPr>
              <w:t>和</w:t>
            </w:r>
            <w:r>
              <w:rPr>
                <w:rFonts w:hint="eastAsia" w:ascii="宋体" w:hAnsi="宋体" w:cs="宋体"/>
                <w:color w:val="auto"/>
                <w:sz w:val="24"/>
                <w:szCs w:val="24"/>
                <w:highlight w:val="none"/>
                <w:lang w:eastAsia="zh-CN"/>
              </w:rPr>
              <w:t>重难点分析（包含但不仅限于房屋建筑与装饰、安装工程、智能化工程等）</w:t>
            </w:r>
            <w:r>
              <w:rPr>
                <w:rFonts w:hint="eastAsia" w:ascii="宋体" w:hAnsi="宋体" w:cs="宋体"/>
                <w:color w:val="auto"/>
                <w:sz w:val="24"/>
                <w:szCs w:val="24"/>
                <w:highlight w:val="none"/>
                <w:lang w:val="en-US" w:eastAsia="zh-CN"/>
              </w:rPr>
              <w:t>的解决措施</w:t>
            </w:r>
            <w:r>
              <w:rPr>
                <w:rFonts w:ascii="宋体" w:hAnsi="宋体" w:cs="宋体"/>
                <w:color w:val="auto"/>
                <w:sz w:val="24"/>
                <w:szCs w:val="24"/>
                <w:highlight w:val="none"/>
              </w:rPr>
              <w:t>进行评议：</w:t>
            </w:r>
          </w:p>
          <w:p w14:paraId="2293D767">
            <w:pPr>
              <w:snapToGrid w:val="0"/>
              <w:spacing w:line="360" w:lineRule="auto"/>
              <w:jc w:val="both"/>
              <w:rPr>
                <w:rFonts w:hint="eastAsia" w:ascii="宋体" w:hAnsi="宋体" w:cs="宋体"/>
                <w:color w:val="auto"/>
                <w:sz w:val="24"/>
                <w:szCs w:val="24"/>
                <w:highlight w:val="none"/>
              </w:rPr>
            </w:pPr>
            <w:r>
              <w:rPr>
                <w:rFonts w:hint="eastAsia" w:ascii="宋体" w:hAnsi="宋体" w:eastAsia="宋体" w:cs="宋体"/>
                <w:snapToGrid w:val="0"/>
                <w:color w:val="auto"/>
                <w:sz w:val="24"/>
                <w:highlight w:val="none"/>
              </w:rPr>
              <w:t>①</w:t>
            </w:r>
            <w:r>
              <w:rPr>
                <w:rFonts w:hint="eastAsia" w:ascii="宋体" w:hAnsi="宋体" w:cs="宋体"/>
                <w:color w:val="auto"/>
                <w:sz w:val="24"/>
                <w:szCs w:val="24"/>
                <w:highlight w:val="none"/>
              </w:rPr>
              <w:t>解决方案详实，针对性强，可执行力度高的得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p>
          <w:p w14:paraId="03737383">
            <w:pPr>
              <w:snapToGrid w:val="0"/>
              <w:spacing w:line="360" w:lineRule="auto"/>
              <w:jc w:val="both"/>
              <w:rPr>
                <w:rFonts w:hint="eastAsia" w:ascii="宋体" w:hAnsi="宋体" w:cs="宋体"/>
                <w:color w:val="auto"/>
                <w:sz w:val="24"/>
                <w:szCs w:val="24"/>
                <w:highlight w:val="none"/>
              </w:rPr>
            </w:pPr>
            <w:r>
              <w:rPr>
                <w:rFonts w:hint="eastAsia" w:ascii="宋体" w:hAnsi="宋体" w:eastAsia="宋体" w:cs="宋体"/>
                <w:snapToGrid w:val="0"/>
                <w:color w:val="auto"/>
                <w:sz w:val="24"/>
                <w:highlight w:val="none"/>
              </w:rPr>
              <w:t>②</w:t>
            </w:r>
            <w:r>
              <w:rPr>
                <w:rFonts w:hint="eastAsia" w:ascii="宋体" w:hAnsi="宋体" w:cs="宋体"/>
                <w:color w:val="auto"/>
                <w:sz w:val="24"/>
                <w:szCs w:val="24"/>
                <w:highlight w:val="none"/>
              </w:rPr>
              <w:t>解决方案内容充分，有一定针对性，可执行力度较高的得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w:t>
            </w:r>
          </w:p>
          <w:p w14:paraId="0C79F892">
            <w:pPr>
              <w:snapToGrid w:val="0"/>
              <w:spacing w:line="360" w:lineRule="auto"/>
              <w:jc w:val="both"/>
              <w:rPr>
                <w:rFonts w:hint="eastAsia" w:ascii="宋体" w:hAnsi="宋体" w:cs="宋体"/>
                <w:color w:val="auto"/>
                <w:sz w:val="24"/>
                <w:szCs w:val="24"/>
                <w:highlight w:val="none"/>
              </w:rPr>
            </w:pPr>
            <w:r>
              <w:rPr>
                <w:rFonts w:hint="eastAsia" w:ascii="宋体" w:hAnsi="宋体" w:eastAsia="宋体" w:cs="宋体"/>
                <w:snapToGrid w:val="0"/>
                <w:color w:val="auto"/>
                <w:sz w:val="24"/>
                <w:highlight w:val="none"/>
              </w:rPr>
              <w:t>③</w:t>
            </w:r>
            <w:r>
              <w:rPr>
                <w:rFonts w:hint="eastAsia" w:ascii="宋体" w:hAnsi="宋体" w:cs="宋体"/>
                <w:color w:val="auto"/>
                <w:sz w:val="24"/>
                <w:szCs w:val="24"/>
                <w:highlight w:val="none"/>
              </w:rPr>
              <w:t>解决方案内容简单，无针对性，可执行力低的得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p>
          <w:p w14:paraId="73A729E9">
            <w:pPr>
              <w:snapToGrid w:val="0"/>
              <w:spacing w:line="360" w:lineRule="auto"/>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snapToGrid w:val="0"/>
                <w:color w:val="auto"/>
                <w:sz w:val="24"/>
                <w:highlight w:val="none"/>
              </w:rPr>
              <w:t>④</w:t>
            </w:r>
            <w:r>
              <w:rPr>
                <w:rFonts w:ascii="宋体" w:hAnsi="宋体" w:cs="宋体"/>
                <w:color w:val="auto"/>
                <w:sz w:val="24"/>
                <w:szCs w:val="24"/>
                <w:highlight w:val="none"/>
              </w:rPr>
              <w:t>未提供项目关键点</w:t>
            </w:r>
            <w:r>
              <w:rPr>
                <w:rFonts w:hint="eastAsia" w:ascii="宋体" w:hAnsi="宋体" w:cs="宋体"/>
                <w:color w:val="auto"/>
                <w:sz w:val="24"/>
                <w:szCs w:val="24"/>
                <w:highlight w:val="none"/>
                <w:lang w:val="en-US" w:eastAsia="zh-CN"/>
              </w:rPr>
              <w:t>和</w:t>
            </w:r>
            <w:r>
              <w:rPr>
                <w:rFonts w:ascii="宋体" w:hAnsi="宋体" w:cs="宋体"/>
                <w:color w:val="auto"/>
                <w:sz w:val="24"/>
                <w:szCs w:val="24"/>
                <w:highlight w:val="none"/>
              </w:rPr>
              <w:t>重难点分析</w:t>
            </w:r>
            <w:r>
              <w:rPr>
                <w:rFonts w:hint="eastAsia" w:ascii="宋体" w:hAnsi="宋体" w:cs="宋体"/>
                <w:color w:val="auto"/>
                <w:sz w:val="24"/>
                <w:szCs w:val="24"/>
                <w:highlight w:val="none"/>
                <w:lang w:val="en-US" w:eastAsia="zh-CN"/>
              </w:rPr>
              <w:t>解决措施</w:t>
            </w:r>
            <w:r>
              <w:rPr>
                <w:rFonts w:ascii="宋体" w:hAnsi="宋体" w:cs="宋体"/>
                <w:color w:val="auto"/>
                <w:sz w:val="24"/>
                <w:szCs w:val="24"/>
                <w:highlight w:val="none"/>
              </w:rPr>
              <w:t>的不得分。</w:t>
            </w:r>
          </w:p>
        </w:tc>
        <w:tc>
          <w:tcPr>
            <w:tcW w:w="388" w:type="pct"/>
            <w:vAlign w:val="center"/>
          </w:tcPr>
          <w:p w14:paraId="17DEB060">
            <w:pPr>
              <w:snapToGrid w:val="0"/>
              <w:spacing w:line="240" w:lineRule="auto"/>
              <w:jc w:val="center"/>
              <w:outlineLvl w:val="0"/>
              <w:rPr>
                <w:rFonts w:hint="eastAsia" w:ascii="宋体" w:hAnsi="宋体" w:eastAsia="宋体" w:cs="宋体"/>
                <w:bCs/>
                <w:color w:val="auto"/>
                <w:kern w:val="2"/>
                <w:sz w:val="24"/>
                <w:szCs w:val="24"/>
                <w:highlight w:val="none"/>
                <w:lang w:val="en-US" w:eastAsia="zh-CN" w:bidi="ar-SA"/>
              </w:rPr>
            </w:pPr>
            <w:bookmarkStart w:id="418" w:name="_Toc12108"/>
            <w:r>
              <w:rPr>
                <w:rFonts w:hint="eastAsia" w:ascii="宋体" w:hAnsi="宋体" w:cs="宋体"/>
                <w:bCs/>
                <w:color w:val="auto"/>
                <w:sz w:val="24"/>
                <w:highlight w:val="none"/>
                <w:lang w:val="en-US" w:eastAsia="zh-CN"/>
              </w:rPr>
              <w:t>5</w:t>
            </w:r>
            <w:bookmarkEnd w:id="418"/>
          </w:p>
        </w:tc>
        <w:tc>
          <w:tcPr>
            <w:tcW w:w="392" w:type="pct"/>
            <w:vAlign w:val="center"/>
          </w:tcPr>
          <w:p w14:paraId="55919FBD">
            <w:pPr>
              <w:snapToGrid w:val="0"/>
              <w:spacing w:line="240" w:lineRule="auto"/>
              <w:jc w:val="center"/>
              <w:outlineLvl w:val="0"/>
              <w:rPr>
                <w:rFonts w:hint="eastAsia" w:ascii="宋体" w:hAnsi="宋体" w:eastAsia="宋体" w:cs="宋体"/>
                <w:bCs/>
                <w:color w:val="auto"/>
                <w:kern w:val="2"/>
                <w:sz w:val="24"/>
                <w:szCs w:val="24"/>
                <w:highlight w:val="none"/>
                <w:lang w:val="en-US" w:eastAsia="zh-CN" w:bidi="ar-SA"/>
              </w:rPr>
            </w:pPr>
            <w:bookmarkStart w:id="419" w:name="_Toc18361"/>
            <w:r>
              <w:rPr>
                <w:rFonts w:hint="eastAsia" w:ascii="宋体" w:hAnsi="宋体" w:cs="宋体"/>
                <w:bCs/>
                <w:color w:val="auto"/>
                <w:sz w:val="24"/>
                <w:highlight w:val="none"/>
                <w:lang w:val="en-US" w:eastAsia="zh-CN"/>
              </w:rPr>
              <w:t>主观评审</w:t>
            </w:r>
            <w:bookmarkEnd w:id="419"/>
          </w:p>
        </w:tc>
      </w:tr>
      <w:tr w14:paraId="1038B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jc w:val="center"/>
        </w:trPr>
        <w:tc>
          <w:tcPr>
            <w:tcW w:w="339" w:type="pct"/>
            <w:vAlign w:val="center"/>
          </w:tcPr>
          <w:p w14:paraId="46975577">
            <w:pPr>
              <w:snapToGrid w:val="0"/>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3880" w:type="pct"/>
            <w:vAlign w:val="center"/>
          </w:tcPr>
          <w:p w14:paraId="36305737">
            <w:pPr>
              <w:snapToGrid w:val="0"/>
              <w:spacing w:line="360" w:lineRule="auto"/>
              <w:jc w:val="both"/>
              <w:rPr>
                <w:rFonts w:hint="eastAsia" w:ascii="宋体" w:hAnsi="宋体" w:cs="宋体"/>
                <w:color w:val="auto"/>
                <w:sz w:val="24"/>
                <w:szCs w:val="24"/>
                <w:highlight w:val="none"/>
              </w:rPr>
            </w:pPr>
            <w:r>
              <w:rPr>
                <w:rFonts w:hint="eastAsia" w:ascii="宋体" w:hAnsi="宋体" w:cs="宋体"/>
                <w:b/>
                <w:bCs/>
                <w:color w:val="auto"/>
                <w:sz w:val="24"/>
                <w:szCs w:val="24"/>
                <w:highlight w:val="none"/>
              </w:rPr>
              <w:t>施工环保管理措施</w:t>
            </w:r>
            <w:r>
              <w:rPr>
                <w:rFonts w:hint="eastAsia" w:ascii="宋体" w:hAnsi="宋体" w:cs="宋体"/>
                <w:b/>
                <w:bCs/>
                <w:snapToGrid w:val="0"/>
                <w:color w:val="auto"/>
                <w:sz w:val="24"/>
                <w:highlight w:val="none"/>
                <w:lang w:eastAsia="zh-CN"/>
              </w:rPr>
              <w:t>（</w:t>
            </w:r>
            <w:r>
              <w:rPr>
                <w:rFonts w:hint="eastAsia" w:ascii="宋体" w:hAnsi="宋体" w:cs="宋体"/>
                <w:b/>
                <w:bCs/>
                <w:snapToGrid w:val="0"/>
                <w:color w:val="auto"/>
                <w:sz w:val="24"/>
                <w:highlight w:val="none"/>
                <w:lang w:val="en-US" w:eastAsia="zh-CN"/>
              </w:rPr>
              <w:t>5分</w:t>
            </w:r>
            <w:r>
              <w:rPr>
                <w:rFonts w:hint="eastAsia" w:ascii="宋体" w:hAnsi="宋体" w:cs="宋体"/>
                <w:b/>
                <w:bCs/>
                <w:snapToGrid w:val="0"/>
                <w:color w:val="auto"/>
                <w:sz w:val="24"/>
                <w:highlight w:val="none"/>
                <w:lang w:eastAsia="zh-CN"/>
              </w:rPr>
              <w:t>）：</w:t>
            </w:r>
          </w:p>
          <w:p w14:paraId="1D9F4C57">
            <w:pPr>
              <w:snapToGrid w:val="0"/>
              <w:spacing w:line="360" w:lineRule="auto"/>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根据供应商提供的施工环保管理措施</w:t>
            </w:r>
            <w:r>
              <w:rPr>
                <w:rFonts w:hint="eastAsia" w:ascii="宋体" w:hAnsi="宋体" w:cs="宋体"/>
                <w:color w:val="auto"/>
                <w:sz w:val="24"/>
                <w:szCs w:val="24"/>
                <w:highlight w:val="none"/>
                <w:lang w:eastAsia="zh-CN"/>
              </w:rPr>
              <w:t>（包含但不仅限于防噪音、防扬尘、防刺鼻气味，空气检测、空气治理等施工环境维护保障措施等）</w:t>
            </w:r>
            <w:r>
              <w:rPr>
                <w:rFonts w:hint="eastAsia" w:ascii="宋体" w:hAnsi="宋体" w:cs="宋体"/>
                <w:color w:val="auto"/>
                <w:sz w:val="24"/>
                <w:szCs w:val="24"/>
                <w:highlight w:val="none"/>
              </w:rPr>
              <w:t>进行评议：</w:t>
            </w:r>
          </w:p>
          <w:p w14:paraId="0AA594A1">
            <w:pPr>
              <w:snapToGrid w:val="0"/>
              <w:spacing w:line="360" w:lineRule="auto"/>
              <w:jc w:val="both"/>
              <w:rPr>
                <w:rFonts w:hint="eastAsia" w:ascii="宋体" w:hAnsi="宋体" w:cs="宋体"/>
                <w:color w:val="auto"/>
                <w:sz w:val="24"/>
                <w:szCs w:val="24"/>
                <w:highlight w:val="none"/>
              </w:rPr>
            </w:pPr>
            <w:r>
              <w:rPr>
                <w:rFonts w:hint="eastAsia" w:ascii="宋体" w:hAnsi="宋体" w:eastAsia="宋体" w:cs="宋体"/>
                <w:snapToGrid w:val="0"/>
                <w:color w:val="auto"/>
                <w:sz w:val="24"/>
                <w:highlight w:val="none"/>
              </w:rPr>
              <w:t>①</w:t>
            </w:r>
            <w:r>
              <w:rPr>
                <w:rFonts w:hint="eastAsia" w:ascii="宋体" w:hAnsi="宋体" w:cs="宋体"/>
                <w:color w:val="auto"/>
                <w:sz w:val="24"/>
                <w:szCs w:val="24"/>
                <w:highlight w:val="none"/>
              </w:rPr>
              <w:t>施工环保管理完善，防噪音、防扬尘、防刺鼻气味等施工环境维护保障措施可行，空气检测及时到位，空气治理方案完善的得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p>
          <w:p w14:paraId="55A4E6AA">
            <w:pPr>
              <w:snapToGrid w:val="0"/>
              <w:spacing w:line="360" w:lineRule="auto"/>
              <w:jc w:val="both"/>
              <w:rPr>
                <w:rFonts w:hint="eastAsia" w:ascii="宋体" w:hAnsi="宋体" w:cs="宋体"/>
                <w:color w:val="auto"/>
                <w:sz w:val="24"/>
                <w:szCs w:val="24"/>
                <w:highlight w:val="none"/>
              </w:rPr>
            </w:pPr>
            <w:r>
              <w:rPr>
                <w:rFonts w:hint="eastAsia" w:ascii="宋体" w:hAnsi="宋体" w:eastAsia="宋体" w:cs="宋体"/>
                <w:snapToGrid w:val="0"/>
                <w:color w:val="auto"/>
                <w:sz w:val="24"/>
                <w:highlight w:val="none"/>
              </w:rPr>
              <w:t>②</w:t>
            </w:r>
            <w:r>
              <w:rPr>
                <w:rFonts w:hint="eastAsia" w:ascii="宋体" w:hAnsi="宋体" w:cs="宋体"/>
                <w:color w:val="auto"/>
                <w:sz w:val="24"/>
                <w:szCs w:val="24"/>
                <w:highlight w:val="none"/>
              </w:rPr>
              <w:t>施工环保管理完善，防噪音、防扬尘、防刺鼻气味等施工环境维护保障措施基本可行，空气检测较及时到位，空气治理方案较完善的得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w:t>
            </w:r>
          </w:p>
          <w:p w14:paraId="754DEDE3">
            <w:pPr>
              <w:snapToGrid w:val="0"/>
              <w:spacing w:line="360" w:lineRule="auto"/>
              <w:jc w:val="both"/>
              <w:rPr>
                <w:rFonts w:hint="eastAsia" w:ascii="宋体" w:hAnsi="宋体" w:cs="宋体"/>
                <w:color w:val="auto"/>
                <w:sz w:val="24"/>
                <w:szCs w:val="24"/>
                <w:highlight w:val="none"/>
              </w:rPr>
            </w:pPr>
            <w:r>
              <w:rPr>
                <w:rFonts w:hint="eastAsia" w:ascii="宋体" w:hAnsi="宋体" w:eastAsia="宋体" w:cs="宋体"/>
                <w:snapToGrid w:val="0"/>
                <w:color w:val="auto"/>
                <w:sz w:val="24"/>
                <w:highlight w:val="none"/>
              </w:rPr>
              <w:t>③</w:t>
            </w:r>
            <w:r>
              <w:rPr>
                <w:rFonts w:hint="eastAsia" w:ascii="宋体" w:hAnsi="宋体" w:cs="宋体"/>
                <w:color w:val="auto"/>
                <w:sz w:val="24"/>
                <w:szCs w:val="24"/>
                <w:highlight w:val="none"/>
              </w:rPr>
              <w:t>施工环保管理完善，防噪音、防扬尘、防刺鼻气味等施工环境维护保障措施不可行，空气检测不及时、不到位，空气治理方案不完善的得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p>
          <w:p w14:paraId="6C7085AE">
            <w:pPr>
              <w:snapToGrid w:val="0"/>
              <w:spacing w:line="360" w:lineRule="auto"/>
              <w:jc w:val="both"/>
              <w:rPr>
                <w:rFonts w:ascii="宋体" w:hAnsi="宋体" w:cs="宋体"/>
                <w:color w:val="auto"/>
                <w:highlight w:val="none"/>
              </w:rPr>
            </w:pPr>
            <w:r>
              <w:rPr>
                <w:rFonts w:hint="eastAsia" w:ascii="宋体" w:hAnsi="宋体" w:eastAsia="宋体" w:cs="宋体"/>
                <w:snapToGrid w:val="0"/>
                <w:color w:val="auto"/>
                <w:sz w:val="24"/>
                <w:highlight w:val="none"/>
              </w:rPr>
              <w:t>④</w:t>
            </w:r>
            <w:r>
              <w:rPr>
                <w:rFonts w:hint="eastAsia" w:ascii="宋体" w:hAnsi="宋体" w:cs="宋体"/>
                <w:color w:val="auto"/>
                <w:sz w:val="24"/>
                <w:szCs w:val="24"/>
                <w:highlight w:val="none"/>
              </w:rPr>
              <w:t>未提供施工环保管理措施的不得分。</w:t>
            </w:r>
          </w:p>
        </w:tc>
        <w:tc>
          <w:tcPr>
            <w:tcW w:w="388" w:type="pct"/>
            <w:vAlign w:val="center"/>
          </w:tcPr>
          <w:p w14:paraId="47C65ACB">
            <w:pPr>
              <w:snapToGrid w:val="0"/>
              <w:spacing w:line="240" w:lineRule="auto"/>
              <w:jc w:val="center"/>
              <w:outlineLvl w:val="0"/>
              <w:rPr>
                <w:rFonts w:hint="eastAsia" w:ascii="宋体" w:hAnsi="宋体" w:eastAsia="宋体" w:cs="宋体"/>
                <w:bCs/>
                <w:color w:val="auto"/>
                <w:kern w:val="2"/>
                <w:sz w:val="24"/>
                <w:szCs w:val="24"/>
                <w:highlight w:val="none"/>
                <w:lang w:val="en-US" w:eastAsia="zh-CN" w:bidi="ar-SA"/>
              </w:rPr>
            </w:pPr>
            <w:bookmarkStart w:id="420" w:name="_Toc22681"/>
            <w:r>
              <w:rPr>
                <w:rFonts w:hint="eastAsia" w:ascii="宋体" w:hAnsi="宋体" w:cs="宋体"/>
                <w:bCs/>
                <w:color w:val="auto"/>
                <w:sz w:val="24"/>
                <w:highlight w:val="none"/>
                <w:lang w:val="en-US" w:eastAsia="zh-CN"/>
              </w:rPr>
              <w:t>5</w:t>
            </w:r>
            <w:bookmarkEnd w:id="420"/>
          </w:p>
        </w:tc>
        <w:tc>
          <w:tcPr>
            <w:tcW w:w="392" w:type="pct"/>
            <w:vAlign w:val="center"/>
          </w:tcPr>
          <w:p w14:paraId="19657EA7">
            <w:pPr>
              <w:snapToGrid w:val="0"/>
              <w:spacing w:line="240" w:lineRule="auto"/>
              <w:jc w:val="center"/>
              <w:outlineLvl w:val="0"/>
              <w:rPr>
                <w:rFonts w:hint="eastAsia" w:ascii="宋体" w:hAnsi="宋体" w:eastAsia="宋体" w:cs="宋体"/>
                <w:bCs/>
                <w:color w:val="auto"/>
                <w:kern w:val="2"/>
                <w:sz w:val="24"/>
                <w:szCs w:val="24"/>
                <w:highlight w:val="none"/>
                <w:lang w:val="en-US" w:eastAsia="zh-CN" w:bidi="ar-SA"/>
              </w:rPr>
            </w:pPr>
            <w:bookmarkStart w:id="421" w:name="_Toc31601"/>
            <w:r>
              <w:rPr>
                <w:rFonts w:hint="eastAsia" w:ascii="宋体" w:hAnsi="宋体" w:cs="宋体"/>
                <w:bCs/>
                <w:color w:val="auto"/>
                <w:sz w:val="24"/>
                <w:highlight w:val="none"/>
                <w:lang w:val="en-US" w:eastAsia="zh-CN"/>
              </w:rPr>
              <w:t>主观评审</w:t>
            </w:r>
            <w:bookmarkEnd w:id="421"/>
          </w:p>
        </w:tc>
      </w:tr>
      <w:tr w14:paraId="5B3AB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9" w:type="pct"/>
            <w:vAlign w:val="center"/>
          </w:tcPr>
          <w:p w14:paraId="10902139">
            <w:pPr>
              <w:snapToGrid w:val="0"/>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3880" w:type="pct"/>
            <w:vAlign w:val="center"/>
          </w:tcPr>
          <w:p w14:paraId="1D8FA7EB">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突发事件应急措施</w:t>
            </w:r>
            <w:r>
              <w:rPr>
                <w:rFonts w:hint="eastAsia" w:ascii="宋体" w:hAnsi="宋体" w:cs="宋体"/>
                <w:b/>
                <w:bCs/>
                <w:snapToGrid w:val="0"/>
                <w:color w:val="auto"/>
                <w:sz w:val="24"/>
                <w:highlight w:val="none"/>
                <w:lang w:eastAsia="zh-CN"/>
              </w:rPr>
              <w:t>（</w:t>
            </w:r>
            <w:r>
              <w:rPr>
                <w:rFonts w:hint="eastAsia" w:ascii="宋体" w:hAnsi="宋体" w:cs="宋体"/>
                <w:b/>
                <w:bCs/>
                <w:snapToGrid w:val="0"/>
                <w:color w:val="auto"/>
                <w:sz w:val="24"/>
                <w:highlight w:val="none"/>
                <w:lang w:val="en-US" w:eastAsia="zh-CN"/>
              </w:rPr>
              <w:t>5分</w:t>
            </w:r>
            <w:r>
              <w:rPr>
                <w:rFonts w:hint="eastAsia" w:ascii="宋体" w:hAnsi="宋体" w:cs="宋体"/>
                <w:b/>
                <w:bCs/>
                <w:snapToGrid w:val="0"/>
                <w:color w:val="auto"/>
                <w:sz w:val="24"/>
                <w:highlight w:val="none"/>
                <w:lang w:eastAsia="zh-CN"/>
              </w:rPr>
              <w:t>）：</w:t>
            </w:r>
          </w:p>
          <w:p w14:paraId="2F914DF5">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根据供应商提供的突发事件应急措施（包含但不仅限于发生火灾、触电、机械伤害、化学品伤害等事故的逃生和急救方案等）进行评议：</w:t>
            </w:r>
          </w:p>
          <w:p w14:paraId="6F0EB0FC">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sz w:val="24"/>
                <w:highlight w:val="none"/>
              </w:rPr>
              <w:t>①</w:t>
            </w:r>
            <w:r>
              <w:rPr>
                <w:rFonts w:hint="eastAsia" w:ascii="宋体" w:hAnsi="宋体" w:eastAsia="宋体" w:cs="宋体"/>
                <w:color w:val="auto"/>
                <w:sz w:val="24"/>
                <w:szCs w:val="24"/>
                <w:highlight w:val="none"/>
                <w:lang w:val="en-US" w:eastAsia="zh-CN"/>
              </w:rPr>
              <w:t>应急措施方案完善，发生火灾、触电、机械伤害、化学品伤害等事故的逃生和急救方案具体有效，措施得力，可执行力度高的得5分；</w:t>
            </w:r>
          </w:p>
          <w:p w14:paraId="5F5B6E2B">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sz w:val="24"/>
                <w:highlight w:val="none"/>
              </w:rPr>
              <w:t>②</w:t>
            </w:r>
            <w:r>
              <w:rPr>
                <w:rFonts w:hint="eastAsia" w:ascii="宋体" w:hAnsi="宋体" w:eastAsia="宋体" w:cs="宋体"/>
                <w:color w:val="auto"/>
                <w:sz w:val="24"/>
                <w:szCs w:val="24"/>
                <w:highlight w:val="none"/>
                <w:lang w:val="en-US" w:eastAsia="zh-CN"/>
              </w:rPr>
              <w:t>应急措施方案内容充分，发生火灾、触电、机械伤害、化学品伤害等事故的逃生和急救方案措施得当，可执行力度较高的得3分；</w:t>
            </w:r>
          </w:p>
          <w:p w14:paraId="1415A8A9">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sz w:val="24"/>
                <w:highlight w:val="none"/>
              </w:rPr>
              <w:t>③</w:t>
            </w:r>
            <w:r>
              <w:rPr>
                <w:rFonts w:hint="eastAsia" w:ascii="宋体" w:hAnsi="宋体" w:eastAsia="宋体" w:cs="宋体"/>
                <w:color w:val="auto"/>
                <w:sz w:val="24"/>
                <w:szCs w:val="24"/>
                <w:highlight w:val="none"/>
                <w:lang w:val="en-US" w:eastAsia="zh-CN"/>
              </w:rPr>
              <w:t>应急措施方案内容简单，发生火灾、触电、机械伤害、化学品伤害等事故的逃生和急救方案措施不力，可执行力低的得1分；</w:t>
            </w:r>
          </w:p>
          <w:p w14:paraId="096564FC">
            <w:pPr>
              <w:spacing w:line="360" w:lineRule="auto"/>
              <w:rPr>
                <w:rFonts w:hint="default" w:eastAsia="宋体"/>
                <w:color w:val="auto"/>
                <w:highlight w:val="none"/>
                <w:lang w:val="en-US" w:eastAsia="zh-CN"/>
              </w:rPr>
            </w:pPr>
            <w:r>
              <w:rPr>
                <w:rFonts w:hint="eastAsia" w:ascii="宋体" w:hAnsi="宋体" w:eastAsia="宋体" w:cs="宋体"/>
                <w:snapToGrid w:val="0"/>
                <w:color w:val="auto"/>
                <w:sz w:val="24"/>
                <w:highlight w:val="none"/>
              </w:rPr>
              <w:t>④</w:t>
            </w:r>
            <w:r>
              <w:rPr>
                <w:rFonts w:hint="eastAsia" w:ascii="宋体" w:hAnsi="宋体" w:eastAsia="宋体" w:cs="宋体"/>
                <w:color w:val="auto"/>
                <w:sz w:val="24"/>
                <w:szCs w:val="24"/>
                <w:highlight w:val="none"/>
                <w:lang w:val="en-US" w:eastAsia="zh-CN"/>
              </w:rPr>
              <w:t>未提供突发事件应急措施的不得分。</w:t>
            </w:r>
          </w:p>
        </w:tc>
        <w:tc>
          <w:tcPr>
            <w:tcW w:w="388" w:type="pct"/>
            <w:vAlign w:val="center"/>
          </w:tcPr>
          <w:p w14:paraId="193666D3">
            <w:pPr>
              <w:snapToGrid w:val="0"/>
              <w:spacing w:line="240" w:lineRule="auto"/>
              <w:jc w:val="center"/>
              <w:outlineLvl w:val="0"/>
              <w:rPr>
                <w:rFonts w:hint="eastAsia" w:ascii="宋体" w:hAnsi="宋体" w:eastAsia="宋体" w:cs="宋体"/>
                <w:bCs/>
                <w:color w:val="auto"/>
                <w:kern w:val="2"/>
                <w:sz w:val="24"/>
                <w:szCs w:val="24"/>
                <w:highlight w:val="none"/>
                <w:lang w:val="en-US" w:eastAsia="zh-CN" w:bidi="ar-SA"/>
              </w:rPr>
            </w:pPr>
            <w:bookmarkStart w:id="422" w:name="_Toc9905"/>
            <w:r>
              <w:rPr>
                <w:rFonts w:hint="eastAsia" w:ascii="宋体" w:hAnsi="宋体" w:cs="宋体"/>
                <w:bCs/>
                <w:color w:val="auto"/>
                <w:sz w:val="24"/>
                <w:highlight w:val="none"/>
                <w:lang w:val="en-US" w:eastAsia="zh-CN"/>
              </w:rPr>
              <w:t>5</w:t>
            </w:r>
            <w:bookmarkEnd w:id="422"/>
          </w:p>
        </w:tc>
        <w:tc>
          <w:tcPr>
            <w:tcW w:w="392" w:type="pct"/>
            <w:vAlign w:val="center"/>
          </w:tcPr>
          <w:p w14:paraId="2DC04E3E">
            <w:pPr>
              <w:snapToGrid w:val="0"/>
              <w:spacing w:line="240" w:lineRule="auto"/>
              <w:jc w:val="center"/>
              <w:outlineLvl w:val="0"/>
              <w:rPr>
                <w:rFonts w:hint="eastAsia" w:ascii="宋体" w:hAnsi="宋体" w:eastAsia="宋体" w:cs="宋体"/>
                <w:bCs/>
                <w:color w:val="auto"/>
                <w:kern w:val="2"/>
                <w:sz w:val="24"/>
                <w:szCs w:val="24"/>
                <w:highlight w:val="none"/>
                <w:lang w:val="en-US" w:eastAsia="zh-CN" w:bidi="ar-SA"/>
              </w:rPr>
            </w:pPr>
            <w:bookmarkStart w:id="423" w:name="_Toc27908"/>
            <w:r>
              <w:rPr>
                <w:rFonts w:hint="eastAsia" w:ascii="宋体" w:hAnsi="宋体" w:cs="宋体"/>
                <w:bCs/>
                <w:color w:val="auto"/>
                <w:sz w:val="24"/>
                <w:highlight w:val="none"/>
                <w:lang w:val="en-US" w:eastAsia="zh-CN"/>
              </w:rPr>
              <w:t>主观评审</w:t>
            </w:r>
            <w:bookmarkEnd w:id="423"/>
          </w:p>
        </w:tc>
      </w:tr>
      <w:tr w14:paraId="5252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 w:type="pct"/>
            <w:vAlign w:val="center"/>
          </w:tcPr>
          <w:p w14:paraId="7B1BF53A">
            <w:pPr>
              <w:snapToGrid w:val="0"/>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3880" w:type="pct"/>
            <w:vAlign w:val="center"/>
          </w:tcPr>
          <w:p w14:paraId="4EB7E079">
            <w:pPr>
              <w:snapToGrid w:val="0"/>
              <w:spacing w:line="360" w:lineRule="auto"/>
              <w:jc w:val="both"/>
              <w:rPr>
                <w:rFonts w:hint="default" w:ascii="宋体" w:hAnsi="宋体" w:eastAsia="宋体" w:cs="宋体"/>
                <w:snapToGrid w:val="0"/>
                <w:color w:val="auto"/>
                <w:sz w:val="24"/>
                <w:highlight w:val="none"/>
                <w:lang w:val="en-US" w:eastAsia="zh-CN"/>
              </w:rPr>
            </w:pPr>
            <w:r>
              <w:rPr>
                <w:rFonts w:hint="default" w:ascii="宋体" w:hAnsi="宋体" w:eastAsia="宋体" w:cs="宋体"/>
                <w:b/>
                <w:bCs/>
                <w:snapToGrid w:val="0"/>
                <w:color w:val="auto"/>
                <w:sz w:val="24"/>
                <w:highlight w:val="none"/>
                <w:lang w:val="en-US" w:eastAsia="zh-CN"/>
              </w:rPr>
              <w:t>主要施工机械设备的选用和管理</w:t>
            </w:r>
            <w:r>
              <w:rPr>
                <w:rFonts w:hint="eastAsia" w:ascii="宋体" w:hAnsi="宋体" w:cs="宋体"/>
                <w:b/>
                <w:bCs/>
                <w:snapToGrid w:val="0"/>
                <w:color w:val="auto"/>
                <w:sz w:val="24"/>
                <w:highlight w:val="none"/>
                <w:lang w:eastAsia="zh-CN"/>
              </w:rPr>
              <w:t>（</w:t>
            </w:r>
            <w:r>
              <w:rPr>
                <w:rFonts w:hint="eastAsia" w:ascii="宋体" w:hAnsi="宋体" w:cs="宋体"/>
                <w:b/>
                <w:bCs/>
                <w:snapToGrid w:val="0"/>
                <w:color w:val="auto"/>
                <w:sz w:val="24"/>
                <w:highlight w:val="none"/>
                <w:lang w:val="en-US" w:eastAsia="zh-CN"/>
              </w:rPr>
              <w:t>5分</w:t>
            </w:r>
            <w:r>
              <w:rPr>
                <w:rFonts w:hint="eastAsia" w:ascii="宋体" w:hAnsi="宋体" w:cs="宋体"/>
                <w:b/>
                <w:bCs/>
                <w:snapToGrid w:val="0"/>
                <w:color w:val="auto"/>
                <w:sz w:val="24"/>
                <w:highlight w:val="none"/>
                <w:lang w:eastAsia="zh-CN"/>
              </w:rPr>
              <w:t>）：</w:t>
            </w:r>
          </w:p>
          <w:p w14:paraId="4E17534C">
            <w:pPr>
              <w:snapToGrid w:val="0"/>
              <w:spacing w:line="360" w:lineRule="auto"/>
              <w:jc w:val="both"/>
              <w:rPr>
                <w:rFonts w:hint="default" w:ascii="宋体" w:hAnsi="宋体" w:eastAsia="宋体" w:cs="宋体"/>
                <w:snapToGrid w:val="0"/>
                <w:color w:val="auto"/>
                <w:sz w:val="24"/>
                <w:highlight w:val="none"/>
                <w:lang w:val="en-US" w:eastAsia="zh-CN"/>
              </w:rPr>
            </w:pPr>
            <w:r>
              <w:rPr>
                <w:rFonts w:hint="default" w:ascii="宋体" w:hAnsi="宋体" w:eastAsia="宋体" w:cs="宋体"/>
                <w:snapToGrid w:val="0"/>
                <w:color w:val="auto"/>
                <w:sz w:val="24"/>
                <w:highlight w:val="none"/>
                <w:lang w:val="en-US" w:eastAsia="zh-CN"/>
              </w:rPr>
              <w:t>根据供应商提供的主要施工机械设备（包含但不限于挖掘设备、起重设备、脚手架设备、切割设备、压缩机、校准设备、检测设备等）的选用和管理进行评议：</w:t>
            </w:r>
          </w:p>
          <w:p w14:paraId="5CB5882E">
            <w:pPr>
              <w:snapToGrid w:val="0"/>
              <w:spacing w:line="360" w:lineRule="auto"/>
              <w:jc w:val="both"/>
              <w:rPr>
                <w:rFonts w:hint="default"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rPr>
              <w:t>①</w:t>
            </w:r>
            <w:r>
              <w:rPr>
                <w:rFonts w:hint="default" w:ascii="宋体" w:hAnsi="宋体" w:eastAsia="宋体" w:cs="宋体"/>
                <w:snapToGrid w:val="0"/>
                <w:color w:val="auto"/>
                <w:sz w:val="24"/>
                <w:highlight w:val="none"/>
                <w:lang w:val="en-US" w:eastAsia="zh-CN"/>
              </w:rPr>
              <w:t>主要施工机械设备配备齐全、设备管理制度完善、保障措施详实的得</w:t>
            </w:r>
            <w:r>
              <w:rPr>
                <w:rFonts w:hint="eastAsia" w:ascii="宋体" w:hAnsi="宋体" w:cs="宋体"/>
                <w:snapToGrid w:val="0"/>
                <w:color w:val="auto"/>
                <w:sz w:val="24"/>
                <w:highlight w:val="none"/>
                <w:lang w:val="en-US" w:eastAsia="zh-CN"/>
              </w:rPr>
              <w:t>5</w:t>
            </w:r>
            <w:r>
              <w:rPr>
                <w:rFonts w:hint="default" w:ascii="宋体" w:hAnsi="宋体" w:eastAsia="宋体" w:cs="宋体"/>
                <w:snapToGrid w:val="0"/>
                <w:color w:val="auto"/>
                <w:sz w:val="24"/>
                <w:highlight w:val="none"/>
                <w:lang w:val="en-US" w:eastAsia="zh-CN"/>
              </w:rPr>
              <w:t>分；</w:t>
            </w:r>
          </w:p>
          <w:p w14:paraId="7136575D">
            <w:pPr>
              <w:snapToGrid w:val="0"/>
              <w:spacing w:line="360" w:lineRule="auto"/>
              <w:jc w:val="both"/>
              <w:rPr>
                <w:rFonts w:hint="default"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rPr>
              <w:t>②</w:t>
            </w:r>
            <w:r>
              <w:rPr>
                <w:rFonts w:hint="default" w:ascii="宋体" w:hAnsi="宋体" w:eastAsia="宋体" w:cs="宋体"/>
                <w:snapToGrid w:val="0"/>
                <w:color w:val="auto"/>
                <w:sz w:val="24"/>
                <w:highlight w:val="none"/>
                <w:lang w:val="en-US" w:eastAsia="zh-CN"/>
              </w:rPr>
              <w:t>主要施工机械设备配备较齐全、设备管理制度较完善、保障措施较详实的得</w:t>
            </w:r>
            <w:r>
              <w:rPr>
                <w:rFonts w:hint="eastAsia" w:ascii="宋体" w:hAnsi="宋体" w:cs="宋体"/>
                <w:snapToGrid w:val="0"/>
                <w:color w:val="auto"/>
                <w:sz w:val="24"/>
                <w:highlight w:val="none"/>
                <w:lang w:val="en-US" w:eastAsia="zh-CN"/>
              </w:rPr>
              <w:t>3</w:t>
            </w:r>
            <w:r>
              <w:rPr>
                <w:rFonts w:hint="default" w:ascii="宋体" w:hAnsi="宋体" w:eastAsia="宋体" w:cs="宋体"/>
                <w:snapToGrid w:val="0"/>
                <w:color w:val="auto"/>
                <w:sz w:val="24"/>
                <w:highlight w:val="none"/>
                <w:lang w:val="en-US" w:eastAsia="zh-CN"/>
              </w:rPr>
              <w:t>分；</w:t>
            </w:r>
          </w:p>
          <w:p w14:paraId="03C2259F">
            <w:pPr>
              <w:snapToGrid w:val="0"/>
              <w:spacing w:line="360" w:lineRule="auto"/>
              <w:jc w:val="both"/>
              <w:rPr>
                <w:rFonts w:hint="default"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rPr>
              <w:t>③</w:t>
            </w:r>
            <w:r>
              <w:rPr>
                <w:rFonts w:hint="default" w:ascii="宋体" w:hAnsi="宋体" w:eastAsia="宋体" w:cs="宋体"/>
                <w:snapToGrid w:val="0"/>
                <w:color w:val="auto"/>
                <w:sz w:val="24"/>
                <w:highlight w:val="none"/>
                <w:lang w:val="en-US" w:eastAsia="zh-CN"/>
              </w:rPr>
              <w:t>主要施工机械设备配备不充分、设备管理制度不到位、保障措施缺失的得</w:t>
            </w:r>
            <w:r>
              <w:rPr>
                <w:rFonts w:hint="eastAsia" w:ascii="宋体" w:hAnsi="宋体" w:cs="宋体"/>
                <w:snapToGrid w:val="0"/>
                <w:color w:val="auto"/>
                <w:sz w:val="24"/>
                <w:highlight w:val="none"/>
                <w:lang w:val="en-US" w:eastAsia="zh-CN"/>
              </w:rPr>
              <w:t>1</w:t>
            </w:r>
            <w:r>
              <w:rPr>
                <w:rFonts w:hint="default" w:ascii="宋体" w:hAnsi="宋体" w:eastAsia="宋体" w:cs="宋体"/>
                <w:snapToGrid w:val="0"/>
                <w:color w:val="auto"/>
                <w:sz w:val="24"/>
                <w:highlight w:val="none"/>
                <w:lang w:val="en-US" w:eastAsia="zh-CN"/>
              </w:rPr>
              <w:t>分；</w:t>
            </w:r>
          </w:p>
          <w:p w14:paraId="722FCA8A">
            <w:pPr>
              <w:snapToGrid w:val="0"/>
              <w:spacing w:line="360" w:lineRule="auto"/>
              <w:jc w:val="both"/>
              <w:rPr>
                <w:rFonts w:hint="default"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rPr>
              <w:t>④</w:t>
            </w:r>
            <w:r>
              <w:rPr>
                <w:rFonts w:hint="default" w:ascii="宋体" w:hAnsi="宋体" w:eastAsia="宋体" w:cs="宋体"/>
                <w:snapToGrid w:val="0"/>
                <w:color w:val="auto"/>
                <w:sz w:val="24"/>
                <w:highlight w:val="none"/>
                <w:lang w:val="en-US" w:eastAsia="zh-CN"/>
              </w:rPr>
              <w:t>未提供主要施工机械设备的选用和管理的不得分。</w:t>
            </w:r>
          </w:p>
        </w:tc>
        <w:tc>
          <w:tcPr>
            <w:tcW w:w="388" w:type="pct"/>
            <w:vAlign w:val="center"/>
          </w:tcPr>
          <w:p w14:paraId="373973A7">
            <w:pPr>
              <w:snapToGrid w:val="0"/>
              <w:spacing w:line="240" w:lineRule="auto"/>
              <w:jc w:val="center"/>
              <w:outlineLvl w:val="0"/>
              <w:rPr>
                <w:rFonts w:hint="default" w:ascii="宋体" w:hAnsi="宋体" w:cs="宋体"/>
                <w:bCs/>
                <w:color w:val="auto"/>
                <w:sz w:val="24"/>
                <w:highlight w:val="none"/>
                <w:lang w:val="en-US" w:eastAsia="zh-CN"/>
              </w:rPr>
            </w:pPr>
            <w:bookmarkStart w:id="424" w:name="_Toc30598"/>
            <w:r>
              <w:rPr>
                <w:rFonts w:hint="eastAsia" w:ascii="宋体" w:hAnsi="宋体" w:cs="宋体"/>
                <w:bCs/>
                <w:color w:val="auto"/>
                <w:sz w:val="24"/>
                <w:highlight w:val="none"/>
                <w:lang w:val="en-US" w:eastAsia="zh-CN"/>
              </w:rPr>
              <w:t>5</w:t>
            </w:r>
            <w:bookmarkEnd w:id="424"/>
          </w:p>
        </w:tc>
        <w:tc>
          <w:tcPr>
            <w:tcW w:w="392" w:type="pct"/>
            <w:vAlign w:val="center"/>
          </w:tcPr>
          <w:p w14:paraId="4A8EB094">
            <w:pPr>
              <w:snapToGrid w:val="0"/>
              <w:spacing w:line="240" w:lineRule="auto"/>
              <w:jc w:val="center"/>
              <w:outlineLvl w:val="0"/>
              <w:rPr>
                <w:rFonts w:hint="eastAsia" w:ascii="宋体" w:hAnsi="宋体" w:cs="宋体"/>
                <w:bCs/>
                <w:color w:val="auto"/>
                <w:sz w:val="24"/>
                <w:highlight w:val="none"/>
                <w:lang w:val="en-US" w:eastAsia="zh-CN"/>
              </w:rPr>
            </w:pPr>
            <w:bookmarkStart w:id="425" w:name="_Toc24190"/>
            <w:r>
              <w:rPr>
                <w:rFonts w:hint="eastAsia" w:ascii="宋体" w:hAnsi="宋体" w:cs="宋体"/>
                <w:bCs/>
                <w:color w:val="auto"/>
                <w:sz w:val="24"/>
                <w:highlight w:val="none"/>
                <w:lang w:val="en-US" w:eastAsia="zh-CN"/>
              </w:rPr>
              <w:t>主观评审</w:t>
            </w:r>
            <w:bookmarkEnd w:id="425"/>
          </w:p>
        </w:tc>
      </w:tr>
      <w:tr w14:paraId="77A65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 w:type="pct"/>
            <w:vAlign w:val="center"/>
          </w:tcPr>
          <w:p w14:paraId="45828E57">
            <w:pPr>
              <w:snapToGrid w:val="0"/>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3880" w:type="pct"/>
            <w:vAlign w:val="center"/>
          </w:tcPr>
          <w:p w14:paraId="006A673F">
            <w:pPr>
              <w:snapToGrid w:val="0"/>
              <w:spacing w:line="360" w:lineRule="auto"/>
              <w:jc w:val="both"/>
              <w:rPr>
                <w:rFonts w:hint="eastAsia" w:ascii="宋体" w:hAnsi="宋体" w:eastAsia="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根据供应商拟派本项目其他人员配备情况（包括但不仅限于安全员、质检员、施工员</w:t>
            </w:r>
            <w:r>
              <w:rPr>
                <w:rFonts w:hint="eastAsia" w:ascii="宋体" w:hAnsi="宋体" w:eastAsia="宋体" w:cs="宋体"/>
                <w:b w:val="0"/>
                <w:bCs w:val="0"/>
                <w:snapToGrid w:val="0"/>
                <w:color w:val="auto"/>
                <w:sz w:val="24"/>
                <w:highlight w:val="none"/>
                <w:lang w:val="en-US" w:eastAsia="zh-CN"/>
              </w:rPr>
              <w:t>、拟派人员从事本项目相关行业工作年限及经验等）进行评议：</w:t>
            </w:r>
          </w:p>
          <w:p w14:paraId="241CA430">
            <w:pPr>
              <w:snapToGrid w:val="0"/>
              <w:spacing w:line="360" w:lineRule="auto"/>
              <w:jc w:val="both"/>
              <w:rPr>
                <w:rFonts w:hint="eastAsia"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①拟派本项目人员配备齐全，专业与本项目高度匹配、且均具有相关工作经验3年及以上，完全满足采购需求的得5分；</w:t>
            </w:r>
          </w:p>
          <w:p w14:paraId="1324DFE1">
            <w:pPr>
              <w:snapToGrid w:val="0"/>
              <w:spacing w:line="360" w:lineRule="auto"/>
              <w:jc w:val="both"/>
              <w:rPr>
                <w:rFonts w:hint="eastAsia"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②拟派本项目人员配备较齐全，专业与本项目较为匹配、部分人员具有相关工作经验1年以上，基本能满足采购需求的得3分；</w:t>
            </w:r>
          </w:p>
          <w:p w14:paraId="059420F1">
            <w:pPr>
              <w:snapToGrid w:val="0"/>
              <w:spacing w:line="360" w:lineRule="auto"/>
              <w:jc w:val="both"/>
              <w:rPr>
                <w:rFonts w:hint="eastAsia"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③拟派本项目人员配备明显不足，专业与本项目匹配度一般，没有相关工作经验，不能满足采购需求的得1分；</w:t>
            </w:r>
          </w:p>
          <w:p w14:paraId="3821DE36">
            <w:pPr>
              <w:snapToGrid w:val="0"/>
              <w:spacing w:line="360" w:lineRule="auto"/>
              <w:jc w:val="both"/>
              <w:rPr>
                <w:rFonts w:hint="eastAsia" w:ascii="宋体" w:hAnsi="宋体" w:cs="宋体"/>
                <w:b/>
                <w:bCs/>
                <w:snapToGrid w:val="0"/>
                <w:color w:val="auto"/>
                <w:sz w:val="24"/>
                <w:highlight w:val="none"/>
                <w:lang w:val="en-US" w:eastAsia="zh-CN"/>
              </w:rPr>
            </w:pPr>
            <w:r>
              <w:rPr>
                <w:rFonts w:hint="eastAsia" w:ascii="宋体" w:hAnsi="宋体" w:eastAsia="宋体" w:cs="宋体"/>
                <w:snapToGrid w:val="0"/>
                <w:color w:val="auto"/>
                <w:sz w:val="24"/>
                <w:highlight w:val="none"/>
              </w:rPr>
              <w:t>④</w:t>
            </w:r>
            <w:r>
              <w:rPr>
                <w:rFonts w:hint="eastAsia" w:ascii="宋体" w:hAnsi="宋体" w:cs="宋体"/>
                <w:b w:val="0"/>
                <w:bCs w:val="0"/>
                <w:snapToGrid w:val="0"/>
                <w:color w:val="auto"/>
                <w:sz w:val="24"/>
                <w:highlight w:val="none"/>
                <w:lang w:val="en-US" w:eastAsia="zh-CN"/>
              </w:rPr>
              <w:t>未提供拟派本项目其他人员配备情况的不得分。</w:t>
            </w:r>
          </w:p>
        </w:tc>
        <w:tc>
          <w:tcPr>
            <w:tcW w:w="388" w:type="pct"/>
            <w:vAlign w:val="center"/>
          </w:tcPr>
          <w:p w14:paraId="55C9E621">
            <w:pPr>
              <w:snapToGrid w:val="0"/>
              <w:spacing w:line="240" w:lineRule="auto"/>
              <w:jc w:val="center"/>
              <w:outlineLvl w:val="0"/>
              <w:rPr>
                <w:rFonts w:hint="default" w:ascii="宋体" w:hAnsi="宋体" w:eastAsia="宋体" w:cs="宋体"/>
                <w:bCs/>
                <w:color w:val="auto"/>
                <w:kern w:val="2"/>
                <w:sz w:val="24"/>
                <w:szCs w:val="24"/>
                <w:highlight w:val="none"/>
                <w:lang w:val="en-US" w:eastAsia="zh-CN" w:bidi="ar-SA"/>
              </w:rPr>
            </w:pPr>
            <w:bookmarkStart w:id="426" w:name="_Toc12709"/>
            <w:r>
              <w:rPr>
                <w:rFonts w:hint="eastAsia" w:ascii="宋体" w:hAnsi="宋体" w:eastAsia="宋体" w:cs="宋体"/>
                <w:bCs/>
                <w:color w:val="auto"/>
                <w:kern w:val="2"/>
                <w:sz w:val="24"/>
                <w:szCs w:val="24"/>
                <w:highlight w:val="none"/>
                <w:lang w:val="en-US" w:eastAsia="zh-CN" w:bidi="ar-SA"/>
              </w:rPr>
              <w:t>5</w:t>
            </w:r>
            <w:bookmarkEnd w:id="426"/>
          </w:p>
        </w:tc>
        <w:tc>
          <w:tcPr>
            <w:tcW w:w="392" w:type="pct"/>
            <w:vAlign w:val="center"/>
          </w:tcPr>
          <w:p w14:paraId="1178A9EE">
            <w:pPr>
              <w:snapToGrid w:val="0"/>
              <w:spacing w:line="240" w:lineRule="auto"/>
              <w:jc w:val="center"/>
              <w:outlineLvl w:val="0"/>
              <w:rPr>
                <w:rFonts w:hint="eastAsia" w:ascii="宋体" w:hAnsi="宋体" w:eastAsia="宋体" w:cs="宋体"/>
                <w:bCs/>
                <w:color w:val="auto"/>
                <w:kern w:val="2"/>
                <w:sz w:val="24"/>
                <w:szCs w:val="24"/>
                <w:highlight w:val="none"/>
                <w:lang w:val="en-US" w:eastAsia="zh-CN" w:bidi="ar-SA"/>
              </w:rPr>
            </w:pPr>
            <w:bookmarkStart w:id="427" w:name="_Toc31880"/>
            <w:r>
              <w:rPr>
                <w:rFonts w:hint="eastAsia" w:ascii="宋体" w:hAnsi="宋体" w:cs="宋体"/>
                <w:bCs/>
                <w:color w:val="auto"/>
                <w:sz w:val="24"/>
                <w:highlight w:val="none"/>
                <w:lang w:val="en-US" w:eastAsia="zh-CN"/>
              </w:rPr>
              <w:t>主观评审</w:t>
            </w:r>
            <w:bookmarkEnd w:id="427"/>
          </w:p>
        </w:tc>
      </w:tr>
      <w:tr w14:paraId="3123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 w:type="pct"/>
            <w:vAlign w:val="center"/>
          </w:tcPr>
          <w:p w14:paraId="07ABDC4F">
            <w:pPr>
              <w:snapToGrid w:val="0"/>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3880" w:type="pct"/>
            <w:vAlign w:val="center"/>
          </w:tcPr>
          <w:p w14:paraId="60B64983">
            <w:pPr>
              <w:snapToGrid w:val="0"/>
              <w:spacing w:line="360" w:lineRule="auto"/>
              <w:jc w:val="both"/>
              <w:rPr>
                <w:rFonts w:hint="eastAsia" w:ascii="宋体" w:hAnsi="宋体" w:eastAsia="宋体" w:cs="宋体"/>
                <w:b/>
                <w:bCs/>
                <w:snapToGrid w:val="0"/>
                <w:color w:val="auto"/>
                <w:sz w:val="24"/>
                <w:highlight w:val="none"/>
                <w:lang w:eastAsia="zh-CN"/>
              </w:rPr>
            </w:pPr>
            <w:r>
              <w:rPr>
                <w:rFonts w:hint="eastAsia" w:ascii="宋体" w:hAnsi="宋体" w:eastAsia="宋体" w:cs="宋体"/>
                <w:b/>
                <w:bCs/>
                <w:snapToGrid w:val="0"/>
                <w:color w:val="auto"/>
                <w:sz w:val="24"/>
                <w:highlight w:val="none"/>
              </w:rPr>
              <w:t>产品保护措施（</w:t>
            </w:r>
            <w:r>
              <w:rPr>
                <w:rFonts w:hint="eastAsia" w:ascii="宋体" w:hAnsi="宋体" w:eastAsia="宋体" w:cs="宋体"/>
                <w:b/>
                <w:bCs/>
                <w:snapToGrid w:val="0"/>
                <w:color w:val="auto"/>
                <w:sz w:val="24"/>
                <w:highlight w:val="none"/>
                <w:lang w:val="en-US" w:eastAsia="zh-CN"/>
              </w:rPr>
              <w:t>5</w:t>
            </w:r>
            <w:r>
              <w:rPr>
                <w:rFonts w:hint="eastAsia" w:ascii="宋体" w:hAnsi="宋体" w:eastAsia="宋体" w:cs="宋体"/>
                <w:b/>
                <w:bCs/>
                <w:snapToGrid w:val="0"/>
                <w:color w:val="auto"/>
                <w:sz w:val="24"/>
                <w:highlight w:val="none"/>
              </w:rPr>
              <w:t>分）</w:t>
            </w:r>
            <w:r>
              <w:rPr>
                <w:rFonts w:hint="eastAsia" w:ascii="宋体" w:hAnsi="宋体" w:eastAsia="宋体" w:cs="宋体"/>
                <w:b/>
                <w:bCs/>
                <w:snapToGrid w:val="0"/>
                <w:color w:val="auto"/>
                <w:sz w:val="24"/>
                <w:highlight w:val="none"/>
                <w:lang w:eastAsia="zh-CN"/>
              </w:rPr>
              <w:t>：</w:t>
            </w:r>
          </w:p>
          <w:p w14:paraId="0EC24453">
            <w:pPr>
              <w:snapToGrid w:val="0"/>
              <w:spacing w:line="360" w:lineRule="auto"/>
              <w:jc w:val="both"/>
              <w:rPr>
                <w:rFonts w:hint="eastAsia" w:ascii="宋体" w:hAnsi="宋体" w:eastAsia="宋体" w:cs="宋体"/>
                <w:snapToGrid w:val="0"/>
                <w:color w:val="auto"/>
                <w:sz w:val="24"/>
                <w:highlight w:val="none"/>
                <w:lang w:val="en-US" w:eastAsia="zh-CN"/>
              </w:rPr>
            </w:pPr>
            <w:r>
              <w:rPr>
                <w:rFonts w:hint="eastAsia" w:ascii="宋体" w:hAnsi="宋体" w:eastAsia="宋体" w:cs="宋体"/>
                <w:snapToGrid w:val="0"/>
                <w:color w:val="auto"/>
                <w:sz w:val="24"/>
                <w:highlight w:val="none"/>
              </w:rPr>
              <w:t>根据供应商提供的本项目的产品保护措施（包括但不仅限于防止采购的原材料、样品、已完工的成品等失窃或失火）进行评议</w:t>
            </w:r>
            <w:r>
              <w:rPr>
                <w:rFonts w:hint="eastAsia" w:ascii="宋体" w:hAnsi="宋体" w:eastAsia="宋体" w:cs="宋体"/>
                <w:snapToGrid w:val="0"/>
                <w:color w:val="auto"/>
                <w:sz w:val="24"/>
                <w:highlight w:val="none"/>
                <w:lang w:eastAsia="zh-CN"/>
              </w:rPr>
              <w:t>：</w:t>
            </w:r>
          </w:p>
          <w:p w14:paraId="5DA8E945">
            <w:pPr>
              <w:snapToGrid w:val="0"/>
              <w:spacing w:line="360" w:lineRule="auto"/>
              <w:jc w:val="both"/>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①保护措施内容合理、可行性强、完全满足采购需求的得</w:t>
            </w:r>
            <w:r>
              <w:rPr>
                <w:rFonts w:hint="default" w:ascii="宋体" w:hAnsi="宋体" w:cs="宋体"/>
                <w:snapToGrid w:val="0"/>
                <w:color w:val="auto"/>
                <w:sz w:val="24"/>
                <w:highlight w:val="none"/>
                <w:lang w:val="en-US"/>
              </w:rPr>
              <w:t>5</w:t>
            </w:r>
            <w:r>
              <w:rPr>
                <w:rFonts w:hint="eastAsia" w:ascii="宋体" w:hAnsi="宋体" w:eastAsia="宋体" w:cs="宋体"/>
                <w:snapToGrid w:val="0"/>
                <w:color w:val="auto"/>
                <w:sz w:val="24"/>
                <w:highlight w:val="none"/>
              </w:rPr>
              <w:t>分；</w:t>
            </w:r>
          </w:p>
          <w:p w14:paraId="0087130C">
            <w:pPr>
              <w:snapToGrid w:val="0"/>
              <w:spacing w:line="360" w:lineRule="auto"/>
              <w:jc w:val="both"/>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②保护措施内容基本合理、可行性一般、基本满足采购需求的得</w:t>
            </w:r>
            <w:r>
              <w:rPr>
                <w:rFonts w:hint="default" w:ascii="宋体" w:hAnsi="宋体" w:cs="宋体"/>
                <w:snapToGrid w:val="0"/>
                <w:color w:val="auto"/>
                <w:sz w:val="24"/>
                <w:highlight w:val="none"/>
                <w:lang w:val="en-US"/>
              </w:rPr>
              <w:t>3</w:t>
            </w:r>
            <w:r>
              <w:rPr>
                <w:rFonts w:hint="eastAsia" w:ascii="宋体" w:hAnsi="宋体" w:eastAsia="宋体" w:cs="宋体"/>
                <w:snapToGrid w:val="0"/>
                <w:color w:val="auto"/>
                <w:sz w:val="24"/>
                <w:highlight w:val="none"/>
              </w:rPr>
              <w:t>分；</w:t>
            </w:r>
          </w:p>
          <w:p w14:paraId="27DB4D48">
            <w:pPr>
              <w:snapToGrid w:val="0"/>
              <w:spacing w:line="360" w:lineRule="auto"/>
              <w:jc w:val="both"/>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③保护措施合理、可行性低、难以满足采购需求的得</w:t>
            </w:r>
            <w:r>
              <w:rPr>
                <w:rFonts w:hint="default" w:ascii="宋体" w:hAnsi="宋体" w:cs="宋体"/>
                <w:snapToGrid w:val="0"/>
                <w:color w:val="auto"/>
                <w:sz w:val="24"/>
                <w:highlight w:val="none"/>
                <w:lang w:val="en-US"/>
              </w:rPr>
              <w:t>1</w:t>
            </w:r>
            <w:r>
              <w:rPr>
                <w:rFonts w:hint="eastAsia" w:ascii="宋体" w:hAnsi="宋体" w:eastAsia="宋体" w:cs="宋体"/>
                <w:snapToGrid w:val="0"/>
                <w:color w:val="auto"/>
                <w:sz w:val="24"/>
                <w:highlight w:val="none"/>
              </w:rPr>
              <w:t>分；</w:t>
            </w:r>
          </w:p>
          <w:p w14:paraId="23FBE7AD">
            <w:pPr>
              <w:snapToGrid w:val="0"/>
              <w:spacing w:line="360" w:lineRule="auto"/>
              <w:jc w:val="both"/>
              <w:rPr>
                <w:rFonts w:hint="eastAsia" w:ascii="宋体" w:hAnsi="宋体" w:eastAsia="宋体" w:cs="宋体"/>
                <w:snapToGrid w:val="0"/>
                <w:color w:val="auto"/>
                <w:sz w:val="24"/>
                <w:highlight w:val="none"/>
                <w:lang w:eastAsia="zh-CN"/>
              </w:rPr>
            </w:pPr>
            <w:r>
              <w:rPr>
                <w:rFonts w:hint="eastAsia" w:ascii="宋体" w:hAnsi="宋体" w:eastAsia="宋体" w:cs="宋体"/>
                <w:snapToGrid w:val="0"/>
                <w:color w:val="auto"/>
                <w:sz w:val="24"/>
                <w:highlight w:val="none"/>
              </w:rPr>
              <w:t>④未提供产品保护措施的不得分</w:t>
            </w:r>
            <w:r>
              <w:rPr>
                <w:rFonts w:hint="eastAsia" w:ascii="宋体" w:hAnsi="宋体" w:eastAsia="宋体" w:cs="宋体"/>
                <w:snapToGrid w:val="0"/>
                <w:color w:val="auto"/>
                <w:sz w:val="24"/>
                <w:highlight w:val="none"/>
                <w:lang w:eastAsia="zh-CN"/>
              </w:rPr>
              <w:t>。</w:t>
            </w:r>
          </w:p>
        </w:tc>
        <w:tc>
          <w:tcPr>
            <w:tcW w:w="388" w:type="pct"/>
            <w:vAlign w:val="center"/>
          </w:tcPr>
          <w:p w14:paraId="61D335DE">
            <w:pPr>
              <w:snapToGrid w:val="0"/>
              <w:spacing w:line="240" w:lineRule="auto"/>
              <w:jc w:val="center"/>
              <w:outlineLvl w:val="0"/>
              <w:rPr>
                <w:rFonts w:hint="eastAsia" w:ascii="宋体" w:hAnsi="宋体" w:eastAsia="宋体" w:cs="宋体"/>
                <w:bCs/>
                <w:color w:val="auto"/>
                <w:kern w:val="2"/>
                <w:sz w:val="24"/>
                <w:szCs w:val="24"/>
                <w:highlight w:val="none"/>
                <w:lang w:val="en-US" w:eastAsia="zh-CN" w:bidi="ar-SA"/>
              </w:rPr>
            </w:pPr>
            <w:bookmarkStart w:id="428" w:name="_Toc1621"/>
            <w:r>
              <w:rPr>
                <w:rFonts w:hint="eastAsia" w:ascii="宋体" w:hAnsi="宋体" w:eastAsia="宋体" w:cs="宋体"/>
                <w:bCs/>
                <w:color w:val="auto"/>
                <w:kern w:val="2"/>
                <w:sz w:val="24"/>
                <w:szCs w:val="24"/>
                <w:highlight w:val="none"/>
                <w:lang w:val="en-US" w:eastAsia="zh-CN" w:bidi="ar-SA"/>
              </w:rPr>
              <w:t>5</w:t>
            </w:r>
            <w:bookmarkEnd w:id="428"/>
          </w:p>
        </w:tc>
        <w:tc>
          <w:tcPr>
            <w:tcW w:w="392" w:type="pct"/>
            <w:vAlign w:val="center"/>
          </w:tcPr>
          <w:p w14:paraId="62794BA5">
            <w:pPr>
              <w:snapToGrid w:val="0"/>
              <w:spacing w:line="240" w:lineRule="auto"/>
              <w:jc w:val="center"/>
              <w:outlineLvl w:val="0"/>
              <w:rPr>
                <w:rFonts w:hint="eastAsia" w:ascii="宋体" w:hAnsi="宋体" w:eastAsia="宋体" w:cs="宋体"/>
                <w:bCs/>
                <w:color w:val="auto"/>
                <w:kern w:val="2"/>
                <w:sz w:val="24"/>
                <w:szCs w:val="24"/>
                <w:highlight w:val="none"/>
                <w:lang w:val="en-US" w:eastAsia="zh-CN" w:bidi="ar-SA"/>
              </w:rPr>
            </w:pPr>
            <w:bookmarkStart w:id="429" w:name="_Toc3714"/>
            <w:r>
              <w:rPr>
                <w:rFonts w:hint="eastAsia" w:ascii="宋体" w:hAnsi="宋体" w:cs="宋体"/>
                <w:bCs/>
                <w:color w:val="auto"/>
                <w:sz w:val="24"/>
                <w:highlight w:val="none"/>
                <w:lang w:val="en-US" w:eastAsia="zh-CN"/>
              </w:rPr>
              <w:t>主观评审</w:t>
            </w:r>
            <w:bookmarkEnd w:id="429"/>
          </w:p>
        </w:tc>
      </w:tr>
      <w:tr w14:paraId="437C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 w:type="pct"/>
            <w:vAlign w:val="center"/>
          </w:tcPr>
          <w:p w14:paraId="4B486096">
            <w:pPr>
              <w:snapToGrid w:val="0"/>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3880" w:type="pct"/>
            <w:vAlign w:val="center"/>
          </w:tcPr>
          <w:p w14:paraId="1D50274E">
            <w:pPr>
              <w:snapToGrid w:val="0"/>
              <w:spacing w:line="360" w:lineRule="auto"/>
              <w:jc w:val="both"/>
              <w:rPr>
                <w:rFonts w:hint="default" w:ascii="宋体" w:hAnsi="宋体" w:eastAsia="宋体" w:cs="宋体"/>
                <w:b/>
                <w:bCs/>
                <w:snapToGrid w:val="0"/>
                <w:color w:val="auto"/>
                <w:sz w:val="24"/>
                <w:highlight w:val="none"/>
                <w:lang w:val="en-US" w:eastAsia="zh-CN"/>
              </w:rPr>
            </w:pPr>
            <w:r>
              <w:rPr>
                <w:rFonts w:hint="eastAsia" w:ascii="宋体" w:hAnsi="宋体" w:eastAsia="宋体" w:cs="宋体"/>
                <w:b/>
                <w:bCs/>
                <w:snapToGrid w:val="0"/>
                <w:color w:val="auto"/>
                <w:sz w:val="24"/>
                <w:highlight w:val="none"/>
                <w:lang w:val="en-US" w:eastAsia="zh-CN"/>
              </w:rPr>
              <w:t>工程质量保障措施（5分）：</w:t>
            </w:r>
          </w:p>
          <w:p w14:paraId="4B64D685">
            <w:pPr>
              <w:snapToGrid w:val="0"/>
              <w:spacing w:line="360" w:lineRule="auto"/>
              <w:jc w:val="both"/>
              <w:rPr>
                <w:rFonts w:hint="eastAsia" w:ascii="宋体" w:hAnsi="宋体" w:eastAsia="宋体" w:cs="宋体"/>
                <w:snapToGrid w:val="0"/>
                <w:color w:val="auto"/>
                <w:sz w:val="24"/>
                <w:highlight w:val="none"/>
                <w:lang w:eastAsia="zh-CN"/>
              </w:rPr>
            </w:pPr>
            <w:r>
              <w:rPr>
                <w:rFonts w:hint="eastAsia" w:ascii="宋体" w:hAnsi="宋体" w:eastAsia="宋体" w:cs="宋体"/>
                <w:snapToGrid w:val="0"/>
                <w:color w:val="auto"/>
                <w:sz w:val="24"/>
                <w:highlight w:val="none"/>
                <w:lang w:val="en-US" w:eastAsia="zh-CN"/>
              </w:rPr>
              <w:t>根据</w:t>
            </w:r>
            <w:r>
              <w:rPr>
                <w:rFonts w:hint="eastAsia" w:ascii="宋体" w:hAnsi="宋体" w:eastAsia="宋体" w:cs="宋体"/>
                <w:snapToGrid w:val="0"/>
                <w:color w:val="auto"/>
                <w:sz w:val="24"/>
                <w:highlight w:val="none"/>
              </w:rPr>
              <w:t>供应商提供的工程质量保证措施，包括项目质量目标及其分解、质量管理及保证体系、质量保证制度的内容是否全面、描述是否清晰、是否切实可行进行评议</w:t>
            </w:r>
            <w:r>
              <w:rPr>
                <w:rFonts w:hint="eastAsia" w:ascii="宋体" w:hAnsi="宋体" w:eastAsia="宋体" w:cs="宋体"/>
                <w:snapToGrid w:val="0"/>
                <w:color w:val="auto"/>
                <w:sz w:val="24"/>
                <w:highlight w:val="none"/>
                <w:lang w:eastAsia="zh-CN"/>
              </w:rPr>
              <w:t>：</w:t>
            </w:r>
          </w:p>
          <w:p w14:paraId="73F014B4">
            <w:pPr>
              <w:snapToGrid w:val="0"/>
              <w:spacing w:line="360" w:lineRule="auto"/>
              <w:jc w:val="both"/>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①工程质量保证措施内容全面完整、描述清晰，措施得力，切实可行的得</w:t>
            </w:r>
            <w:r>
              <w:rPr>
                <w:rFonts w:hint="eastAsia" w:ascii="宋体" w:hAnsi="宋体" w:eastAsia="宋体" w:cs="宋体"/>
                <w:snapToGrid w:val="0"/>
                <w:color w:val="auto"/>
                <w:sz w:val="24"/>
                <w:highlight w:val="none"/>
                <w:lang w:val="en-US" w:eastAsia="zh-CN"/>
              </w:rPr>
              <w:t>5</w:t>
            </w:r>
            <w:r>
              <w:rPr>
                <w:rFonts w:hint="eastAsia" w:ascii="宋体" w:hAnsi="宋体" w:eastAsia="宋体" w:cs="宋体"/>
                <w:snapToGrid w:val="0"/>
                <w:color w:val="auto"/>
                <w:sz w:val="24"/>
                <w:highlight w:val="none"/>
              </w:rPr>
              <w:t>分；</w:t>
            </w:r>
          </w:p>
          <w:p w14:paraId="19869A88">
            <w:pPr>
              <w:snapToGrid w:val="0"/>
              <w:spacing w:line="360" w:lineRule="auto"/>
              <w:jc w:val="both"/>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②工程质量保证措施内容比较详细，措施适当，合理可行的得</w:t>
            </w:r>
            <w:r>
              <w:rPr>
                <w:rFonts w:hint="eastAsia" w:ascii="宋体" w:hAnsi="宋体" w:eastAsia="宋体" w:cs="宋体"/>
                <w:snapToGrid w:val="0"/>
                <w:color w:val="auto"/>
                <w:sz w:val="24"/>
                <w:highlight w:val="none"/>
                <w:lang w:val="en-US" w:eastAsia="zh-CN"/>
              </w:rPr>
              <w:t>3</w:t>
            </w:r>
            <w:r>
              <w:rPr>
                <w:rFonts w:hint="eastAsia" w:ascii="宋体" w:hAnsi="宋体" w:eastAsia="宋体" w:cs="宋体"/>
                <w:snapToGrid w:val="0"/>
                <w:color w:val="auto"/>
                <w:sz w:val="24"/>
                <w:highlight w:val="none"/>
              </w:rPr>
              <w:t>分；</w:t>
            </w:r>
          </w:p>
          <w:p w14:paraId="5DE2760A">
            <w:pPr>
              <w:snapToGrid w:val="0"/>
              <w:spacing w:line="360" w:lineRule="auto"/>
              <w:jc w:val="both"/>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③工程质量保证措施内容比较笼统，细化程度不足，措施欠妥的得</w:t>
            </w:r>
            <w:r>
              <w:rPr>
                <w:rFonts w:hint="eastAsia" w:ascii="宋体" w:hAnsi="宋体" w:eastAsia="宋体" w:cs="宋体"/>
                <w:snapToGrid w:val="0"/>
                <w:color w:val="auto"/>
                <w:sz w:val="24"/>
                <w:highlight w:val="none"/>
                <w:lang w:val="en-US" w:eastAsia="zh-CN"/>
              </w:rPr>
              <w:t>1</w:t>
            </w:r>
            <w:r>
              <w:rPr>
                <w:rFonts w:hint="eastAsia" w:ascii="宋体" w:hAnsi="宋体" w:eastAsia="宋体" w:cs="宋体"/>
                <w:snapToGrid w:val="0"/>
                <w:color w:val="auto"/>
                <w:sz w:val="24"/>
                <w:highlight w:val="none"/>
              </w:rPr>
              <w:t>分；</w:t>
            </w:r>
          </w:p>
          <w:p w14:paraId="4364E435">
            <w:pPr>
              <w:snapToGrid w:val="0"/>
              <w:spacing w:line="360" w:lineRule="auto"/>
              <w:jc w:val="both"/>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④</w:t>
            </w:r>
            <w:r>
              <w:rPr>
                <w:rFonts w:hint="eastAsia" w:ascii="宋体" w:hAnsi="宋体" w:eastAsia="宋体" w:cs="宋体"/>
                <w:snapToGrid w:val="0"/>
                <w:color w:val="auto"/>
                <w:sz w:val="24"/>
                <w:highlight w:val="none"/>
                <w:lang w:val="en-US" w:eastAsia="zh-CN"/>
              </w:rPr>
              <w:t>未提</w:t>
            </w:r>
            <w:r>
              <w:rPr>
                <w:rFonts w:hint="eastAsia" w:ascii="宋体" w:hAnsi="宋体" w:eastAsia="宋体" w:cs="宋体"/>
                <w:b w:val="0"/>
                <w:bCs w:val="0"/>
                <w:snapToGrid w:val="0"/>
                <w:color w:val="auto"/>
                <w:sz w:val="24"/>
                <w:highlight w:val="none"/>
                <w:lang w:val="en-US" w:eastAsia="zh-CN"/>
              </w:rPr>
              <w:t>供工程质量保障措施的</w:t>
            </w:r>
            <w:r>
              <w:rPr>
                <w:rFonts w:hint="eastAsia" w:ascii="宋体" w:hAnsi="宋体" w:eastAsia="宋体" w:cs="宋体"/>
                <w:snapToGrid w:val="0"/>
                <w:color w:val="auto"/>
                <w:sz w:val="24"/>
                <w:highlight w:val="none"/>
              </w:rPr>
              <w:t>不得分。</w:t>
            </w:r>
          </w:p>
        </w:tc>
        <w:tc>
          <w:tcPr>
            <w:tcW w:w="798" w:type="dxa"/>
            <w:vAlign w:val="center"/>
          </w:tcPr>
          <w:p w14:paraId="5D108806">
            <w:pPr>
              <w:snapToGrid w:val="0"/>
              <w:spacing w:line="240" w:lineRule="auto"/>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w:t>
            </w:r>
          </w:p>
        </w:tc>
        <w:tc>
          <w:tcPr>
            <w:tcW w:w="806" w:type="dxa"/>
            <w:vAlign w:val="center"/>
          </w:tcPr>
          <w:p w14:paraId="6C8A5E92">
            <w:pPr>
              <w:snapToGrid w:val="0"/>
              <w:spacing w:line="240" w:lineRule="auto"/>
              <w:jc w:val="center"/>
              <w:outlineLvl w:val="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主观评审</w:t>
            </w:r>
          </w:p>
        </w:tc>
      </w:tr>
      <w:tr w14:paraId="3636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 w:type="pct"/>
            <w:vAlign w:val="center"/>
          </w:tcPr>
          <w:p w14:paraId="2179BE4C">
            <w:pPr>
              <w:snapToGrid w:val="0"/>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3880" w:type="pct"/>
            <w:vAlign w:val="center"/>
          </w:tcPr>
          <w:p w14:paraId="1892E9A7">
            <w:pPr>
              <w:numPr>
                <w:ilvl w:val="-1"/>
                <w:numId w:val="0"/>
              </w:numPr>
              <w:snapToGrid w:val="0"/>
              <w:spacing w:line="360" w:lineRule="auto"/>
              <w:jc w:val="both"/>
              <w:rPr>
                <w:rFonts w:hint="eastAsia" w:ascii="宋体" w:hAnsi="宋体" w:cs="宋体"/>
                <w:b/>
                <w:bCs/>
                <w:snapToGrid w:val="0"/>
                <w:color w:val="auto"/>
                <w:sz w:val="24"/>
                <w:highlight w:val="none"/>
              </w:rPr>
            </w:pPr>
            <w:r>
              <w:rPr>
                <w:rFonts w:hint="eastAsia" w:ascii="宋体" w:hAnsi="宋体" w:cs="宋体"/>
                <w:b/>
                <w:bCs/>
                <w:snapToGrid w:val="0"/>
                <w:color w:val="auto"/>
                <w:sz w:val="24"/>
                <w:highlight w:val="none"/>
                <w:lang w:val="en-US" w:eastAsia="zh-CN"/>
              </w:rPr>
              <w:t>售后服务</w:t>
            </w:r>
            <w:r>
              <w:rPr>
                <w:rFonts w:hint="eastAsia" w:ascii="宋体" w:hAnsi="宋体" w:cs="宋体"/>
                <w:b/>
                <w:bCs/>
                <w:snapToGrid w:val="0"/>
                <w:color w:val="auto"/>
                <w:sz w:val="24"/>
                <w:highlight w:val="none"/>
                <w:lang w:eastAsia="zh-CN"/>
              </w:rPr>
              <w:t>响应（</w:t>
            </w:r>
            <w:r>
              <w:rPr>
                <w:rFonts w:hint="eastAsia" w:ascii="宋体" w:hAnsi="宋体" w:cs="宋体"/>
                <w:b/>
                <w:bCs/>
                <w:snapToGrid w:val="0"/>
                <w:color w:val="auto"/>
                <w:sz w:val="24"/>
                <w:highlight w:val="none"/>
                <w:lang w:val="en-US" w:eastAsia="zh-CN"/>
              </w:rPr>
              <w:t>5分</w:t>
            </w:r>
            <w:r>
              <w:rPr>
                <w:rFonts w:hint="eastAsia" w:ascii="宋体" w:hAnsi="宋体" w:cs="宋体"/>
                <w:b/>
                <w:bCs/>
                <w:snapToGrid w:val="0"/>
                <w:color w:val="auto"/>
                <w:sz w:val="24"/>
                <w:highlight w:val="none"/>
                <w:lang w:eastAsia="zh-CN"/>
              </w:rPr>
              <w:t>）</w:t>
            </w:r>
            <w:r>
              <w:rPr>
                <w:rFonts w:hint="eastAsia" w:ascii="宋体" w:hAnsi="宋体" w:cs="宋体"/>
                <w:b/>
                <w:bCs/>
                <w:snapToGrid w:val="0"/>
                <w:color w:val="auto"/>
                <w:sz w:val="24"/>
                <w:highlight w:val="none"/>
              </w:rPr>
              <w:t>：</w:t>
            </w:r>
          </w:p>
          <w:p w14:paraId="4A8CEED6">
            <w:pPr>
              <w:spacing w:line="360" w:lineRule="auto"/>
              <w:rPr>
                <w:rFonts w:hint="eastAsia" w:ascii="宋体" w:hAnsi="宋体" w:cs="宋体"/>
                <w:b w:val="0"/>
                <w:bCs w:val="0"/>
                <w:snapToGrid w:val="0"/>
                <w:color w:val="auto"/>
                <w:sz w:val="24"/>
                <w:highlight w:val="none"/>
                <w:lang w:val="en-US" w:eastAsia="zh-CN"/>
              </w:rPr>
            </w:pPr>
            <w:r>
              <w:rPr>
                <w:rFonts w:hint="eastAsia" w:ascii="宋体" w:hAnsi="宋体" w:eastAsia="宋体" w:cs="宋体"/>
                <w:color w:val="auto"/>
                <w:sz w:val="24"/>
                <w:szCs w:val="24"/>
                <w:highlight w:val="none"/>
                <w:lang w:val="en-US" w:eastAsia="zh-CN"/>
              </w:rPr>
              <w:t>根据供应商提供的售后服务响应（包括但不限于保修期内接到采购人通知后到达时间、处理及时的承诺响应</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一般事故、紧急抢修事故、涉及结构安全的质量问题等），服务措施等承诺函资料进行评议，</w:t>
            </w:r>
            <w:r>
              <w:rPr>
                <w:rFonts w:hint="eastAsia" w:ascii="宋体" w:hAnsi="宋体" w:cs="宋体"/>
                <w:b w:val="0"/>
                <w:bCs w:val="0"/>
                <w:snapToGrid w:val="0"/>
                <w:color w:val="auto"/>
                <w:sz w:val="24"/>
                <w:highlight w:val="none"/>
                <w:lang w:val="en-US" w:eastAsia="zh-CN"/>
              </w:rPr>
              <w:t>最高得5分：</w:t>
            </w:r>
          </w:p>
          <w:p w14:paraId="4CD9AC99">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①保修期内接到通知后到达时间极快（一般事故1小时内、紧急抢修事故30分钟内、涉及结构安全问题立即响应），服务措施全面完善的得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2BFC18B5">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②保修期内接到通知后到达时间较快（一般事故2小时内、紧急抢修事故1小时内、涉及结构安全问题1小时内响应），服务措施较完善的得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144219AC">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③保修期内接到通知后到达时间一般（一般事故4小时内、紧急抢修事故2小时内、涉及结构安全问题2小时内响应），服务措施完善度一般的得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p>
          <w:p w14:paraId="4AD1FA70">
            <w:pPr>
              <w:numPr>
                <w:ilvl w:val="-1"/>
                <w:numId w:val="0"/>
              </w:numPr>
              <w:snapToGrid w:val="0"/>
              <w:spacing w:line="360" w:lineRule="auto"/>
              <w:ind w:left="0" w:leftChars="0" w:firstLine="0" w:firstLineChars="0"/>
              <w:jc w:val="both"/>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sz w:val="24"/>
                <w:highlight w:val="none"/>
              </w:rPr>
              <w:t>④</w:t>
            </w:r>
            <w:r>
              <w:rPr>
                <w:rFonts w:hint="eastAsia" w:ascii="宋体" w:hAnsi="宋体" w:eastAsia="宋体" w:cs="宋体"/>
                <w:color w:val="auto"/>
                <w:sz w:val="24"/>
                <w:szCs w:val="24"/>
                <w:highlight w:val="none"/>
                <w:lang w:val="en-US" w:eastAsia="zh-CN"/>
              </w:rPr>
              <w:t>未提供</w:t>
            </w:r>
            <w:r>
              <w:rPr>
                <w:rFonts w:hint="eastAsia" w:ascii="宋体" w:hAnsi="宋体" w:cs="宋体"/>
                <w:b w:val="0"/>
                <w:bCs w:val="0"/>
                <w:snapToGrid w:val="0"/>
                <w:color w:val="auto"/>
                <w:sz w:val="24"/>
                <w:highlight w:val="none"/>
                <w:lang w:val="en-US" w:eastAsia="zh-CN"/>
              </w:rPr>
              <w:t>售后服务</w:t>
            </w:r>
            <w:r>
              <w:rPr>
                <w:rFonts w:hint="eastAsia" w:ascii="宋体" w:hAnsi="宋体" w:cs="宋体"/>
                <w:b w:val="0"/>
                <w:bCs w:val="0"/>
                <w:snapToGrid w:val="0"/>
                <w:color w:val="auto"/>
                <w:sz w:val="24"/>
                <w:highlight w:val="none"/>
                <w:lang w:eastAsia="zh-CN"/>
              </w:rPr>
              <w:t>服务响应</w:t>
            </w:r>
            <w:r>
              <w:rPr>
                <w:rFonts w:hint="eastAsia" w:ascii="宋体" w:hAnsi="宋体" w:cs="宋体"/>
                <w:b w:val="0"/>
                <w:bCs w:val="0"/>
                <w:snapToGrid w:val="0"/>
                <w:color w:val="auto"/>
                <w:sz w:val="24"/>
                <w:highlight w:val="none"/>
                <w:lang w:val="en-US" w:eastAsia="zh-CN"/>
              </w:rPr>
              <w:t>方案</w:t>
            </w:r>
            <w:r>
              <w:rPr>
                <w:rFonts w:hint="eastAsia" w:ascii="宋体" w:hAnsi="宋体" w:eastAsia="宋体" w:cs="宋体"/>
                <w:b w:val="0"/>
                <w:bCs w:val="0"/>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不得分。</w:t>
            </w:r>
          </w:p>
        </w:tc>
        <w:tc>
          <w:tcPr>
            <w:tcW w:w="388" w:type="pct"/>
            <w:vAlign w:val="center"/>
          </w:tcPr>
          <w:p w14:paraId="12959A15">
            <w:pPr>
              <w:snapToGrid w:val="0"/>
              <w:spacing w:line="240" w:lineRule="auto"/>
              <w:jc w:val="center"/>
              <w:outlineLvl w:val="0"/>
              <w:rPr>
                <w:rFonts w:hint="eastAsia" w:ascii="宋体" w:hAnsi="宋体" w:eastAsia="宋体" w:cs="宋体"/>
                <w:bCs/>
                <w:color w:val="auto"/>
                <w:kern w:val="2"/>
                <w:sz w:val="24"/>
                <w:szCs w:val="24"/>
                <w:highlight w:val="none"/>
                <w:lang w:val="en-US" w:eastAsia="zh-CN" w:bidi="ar-SA"/>
              </w:rPr>
            </w:pPr>
            <w:bookmarkStart w:id="430" w:name="_Toc5746"/>
            <w:r>
              <w:rPr>
                <w:rFonts w:hint="eastAsia" w:ascii="宋体" w:hAnsi="宋体" w:cs="宋体"/>
                <w:bCs/>
                <w:color w:val="auto"/>
                <w:sz w:val="24"/>
                <w:highlight w:val="none"/>
                <w:lang w:val="en-US" w:eastAsia="zh-CN"/>
              </w:rPr>
              <w:t>5</w:t>
            </w:r>
            <w:bookmarkEnd w:id="430"/>
          </w:p>
        </w:tc>
        <w:tc>
          <w:tcPr>
            <w:tcW w:w="392" w:type="pct"/>
            <w:vAlign w:val="center"/>
          </w:tcPr>
          <w:p w14:paraId="0AF75DCA">
            <w:pPr>
              <w:snapToGrid w:val="0"/>
              <w:spacing w:line="240" w:lineRule="auto"/>
              <w:jc w:val="center"/>
              <w:outlineLvl w:val="0"/>
              <w:rPr>
                <w:rFonts w:hint="eastAsia" w:ascii="宋体" w:hAnsi="宋体" w:eastAsia="宋体" w:cs="宋体"/>
                <w:bCs/>
                <w:color w:val="auto"/>
                <w:kern w:val="2"/>
                <w:sz w:val="24"/>
                <w:szCs w:val="24"/>
                <w:highlight w:val="none"/>
                <w:lang w:val="en-US" w:eastAsia="zh-CN" w:bidi="ar-SA"/>
              </w:rPr>
            </w:pPr>
            <w:bookmarkStart w:id="431" w:name="_Toc10666"/>
            <w:r>
              <w:rPr>
                <w:rFonts w:hint="eastAsia" w:ascii="宋体" w:hAnsi="宋体" w:cs="宋体"/>
                <w:bCs/>
                <w:color w:val="auto"/>
                <w:sz w:val="24"/>
                <w:highlight w:val="none"/>
                <w:lang w:val="en-US" w:eastAsia="zh-CN"/>
              </w:rPr>
              <w:t>主观评审</w:t>
            </w:r>
            <w:bookmarkEnd w:id="431"/>
          </w:p>
        </w:tc>
      </w:tr>
      <w:tr w14:paraId="76B9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9" w:type="pct"/>
            <w:vAlign w:val="center"/>
          </w:tcPr>
          <w:p w14:paraId="38FCCA21">
            <w:pPr>
              <w:numPr>
                <w:ilvl w:val="-1"/>
                <w:numId w:val="0"/>
              </w:numPr>
              <w:snapToGrid w:val="0"/>
              <w:spacing w:line="360" w:lineRule="auto"/>
              <w:jc w:val="center"/>
              <w:rPr>
                <w:rFonts w:hint="default" w:ascii="宋体" w:hAnsi="宋体" w:eastAsia="宋体" w:cs="宋体"/>
                <w:b/>
                <w:bCs/>
                <w:snapToGrid w:val="0"/>
                <w:color w:val="auto"/>
                <w:sz w:val="24"/>
                <w:highlight w:val="none"/>
                <w:lang w:val="en-US" w:eastAsia="zh-CN"/>
              </w:rPr>
            </w:pPr>
            <w:r>
              <w:rPr>
                <w:rFonts w:hint="eastAsia" w:ascii="宋体" w:hAnsi="宋体" w:eastAsia="宋体" w:cs="宋体"/>
                <w:b w:val="0"/>
                <w:bCs w:val="0"/>
                <w:snapToGrid w:val="0"/>
                <w:color w:val="auto"/>
                <w:sz w:val="24"/>
                <w:highlight w:val="none"/>
                <w:lang w:val="en-US" w:eastAsia="zh-CN"/>
              </w:rPr>
              <w:t>14</w:t>
            </w:r>
          </w:p>
        </w:tc>
        <w:tc>
          <w:tcPr>
            <w:tcW w:w="3880" w:type="pct"/>
            <w:vAlign w:val="center"/>
          </w:tcPr>
          <w:p w14:paraId="596F4876">
            <w:pPr>
              <w:numPr>
                <w:ilvl w:val="-1"/>
                <w:numId w:val="0"/>
              </w:numPr>
              <w:snapToGrid w:val="0"/>
              <w:spacing w:line="360" w:lineRule="auto"/>
              <w:jc w:val="both"/>
              <w:rPr>
                <w:rFonts w:hint="default" w:ascii="宋体" w:hAnsi="宋体" w:eastAsia="宋体" w:cs="宋体"/>
                <w:b w:val="0"/>
                <w:bCs w:val="0"/>
                <w:snapToGrid w:val="0"/>
                <w:color w:val="auto"/>
                <w:sz w:val="24"/>
                <w:highlight w:val="none"/>
                <w:lang w:val="en-US" w:eastAsia="zh-CN"/>
              </w:rPr>
            </w:pPr>
            <w:r>
              <w:rPr>
                <w:rFonts w:hint="eastAsia" w:ascii="宋体" w:hAnsi="宋体" w:eastAsia="宋体" w:cs="宋体"/>
                <w:b/>
                <w:bCs/>
                <w:snapToGrid w:val="0"/>
                <w:color w:val="auto"/>
                <w:sz w:val="24"/>
                <w:highlight w:val="none"/>
                <w:lang w:val="en-US" w:eastAsia="zh-CN"/>
              </w:rPr>
              <w:t>认证证书（</w:t>
            </w:r>
            <w:r>
              <w:rPr>
                <w:rFonts w:hint="eastAsia" w:ascii="宋体" w:hAnsi="宋体" w:cs="宋体"/>
                <w:b/>
                <w:bCs/>
                <w:snapToGrid w:val="0"/>
                <w:color w:val="auto"/>
                <w:sz w:val="24"/>
                <w:highlight w:val="none"/>
                <w:lang w:val="en-US" w:eastAsia="zh-CN"/>
              </w:rPr>
              <w:t>3</w:t>
            </w:r>
            <w:r>
              <w:rPr>
                <w:rFonts w:hint="eastAsia" w:ascii="宋体" w:hAnsi="宋体" w:eastAsia="宋体" w:cs="宋体"/>
                <w:b/>
                <w:bCs/>
                <w:snapToGrid w:val="0"/>
                <w:color w:val="auto"/>
                <w:sz w:val="24"/>
                <w:highlight w:val="none"/>
                <w:lang w:val="en-US" w:eastAsia="zh-CN"/>
              </w:rPr>
              <w:t>分）</w:t>
            </w:r>
            <w:r>
              <w:rPr>
                <w:rFonts w:hint="eastAsia" w:ascii="宋体" w:hAnsi="宋体" w:eastAsia="宋体" w:cs="宋体"/>
                <w:b w:val="0"/>
                <w:bCs w:val="0"/>
                <w:snapToGrid w:val="0"/>
                <w:color w:val="auto"/>
                <w:sz w:val="24"/>
                <w:highlight w:val="none"/>
                <w:lang w:val="en-US" w:eastAsia="zh-CN"/>
              </w:rPr>
              <w:t>：</w:t>
            </w:r>
          </w:p>
          <w:p w14:paraId="6E19FD1F">
            <w:pPr>
              <w:numPr>
                <w:ilvl w:val="-1"/>
                <w:numId w:val="0"/>
              </w:numPr>
              <w:snapToGrid w:val="0"/>
              <w:spacing w:line="360" w:lineRule="auto"/>
              <w:jc w:val="both"/>
              <w:rPr>
                <w:rFonts w:hint="eastAsia" w:ascii="宋体" w:hAnsi="宋体" w:eastAsia="宋体" w:cs="宋体"/>
                <w:b w:val="0"/>
                <w:bCs w:val="0"/>
                <w:snapToGrid w:val="0"/>
                <w:color w:val="auto"/>
                <w:sz w:val="24"/>
                <w:highlight w:val="none"/>
                <w:lang w:eastAsia="zh-CN"/>
              </w:rPr>
            </w:pPr>
            <w:r>
              <w:rPr>
                <w:rFonts w:hint="eastAsia" w:ascii="宋体" w:hAnsi="宋体" w:eastAsia="宋体" w:cs="宋体"/>
                <w:b w:val="0"/>
                <w:bCs w:val="0"/>
                <w:snapToGrid w:val="0"/>
                <w:color w:val="auto"/>
                <w:sz w:val="24"/>
                <w:highlight w:val="none"/>
                <w:lang w:eastAsia="zh-CN"/>
              </w:rPr>
              <w:t>供应商具有质量管理体系认证、环境管理体系认证的，每提供1个得</w:t>
            </w:r>
            <w:r>
              <w:rPr>
                <w:rFonts w:hint="eastAsia" w:ascii="宋体" w:hAnsi="宋体" w:cs="宋体"/>
                <w:b w:val="0"/>
                <w:bCs w:val="0"/>
                <w:snapToGrid w:val="0"/>
                <w:color w:val="auto"/>
                <w:sz w:val="24"/>
                <w:highlight w:val="none"/>
                <w:lang w:val="en-US" w:eastAsia="zh-CN"/>
              </w:rPr>
              <w:t>1.5</w:t>
            </w:r>
            <w:r>
              <w:rPr>
                <w:rFonts w:hint="eastAsia" w:ascii="宋体" w:hAnsi="宋体" w:eastAsia="宋体" w:cs="宋体"/>
                <w:b w:val="0"/>
                <w:bCs w:val="0"/>
                <w:snapToGrid w:val="0"/>
                <w:color w:val="auto"/>
                <w:sz w:val="24"/>
                <w:highlight w:val="none"/>
                <w:lang w:eastAsia="zh-CN"/>
              </w:rPr>
              <w:t>分，满分</w:t>
            </w:r>
            <w:r>
              <w:rPr>
                <w:rFonts w:hint="eastAsia" w:ascii="宋体" w:hAnsi="宋体" w:cs="宋体"/>
                <w:b w:val="0"/>
                <w:bCs w:val="0"/>
                <w:snapToGrid w:val="0"/>
                <w:color w:val="auto"/>
                <w:sz w:val="24"/>
                <w:highlight w:val="none"/>
                <w:lang w:val="en-US" w:eastAsia="zh-CN"/>
              </w:rPr>
              <w:t>3</w:t>
            </w:r>
            <w:r>
              <w:rPr>
                <w:rFonts w:hint="eastAsia" w:ascii="宋体" w:hAnsi="宋体" w:eastAsia="宋体" w:cs="宋体"/>
                <w:b w:val="0"/>
                <w:bCs w:val="0"/>
                <w:snapToGrid w:val="0"/>
                <w:color w:val="auto"/>
                <w:sz w:val="24"/>
                <w:highlight w:val="none"/>
                <w:lang w:eastAsia="zh-CN"/>
              </w:rPr>
              <w:t>分。</w:t>
            </w:r>
          </w:p>
          <w:p w14:paraId="1BEC69CD">
            <w:pPr>
              <w:numPr>
                <w:ilvl w:val="-1"/>
                <w:numId w:val="0"/>
              </w:numPr>
              <w:snapToGrid w:val="0"/>
              <w:spacing w:line="360" w:lineRule="auto"/>
              <w:jc w:val="both"/>
              <w:rPr>
                <w:rFonts w:hint="eastAsia" w:ascii="宋体" w:hAnsi="宋体" w:eastAsia="宋体" w:cs="宋体"/>
                <w:b/>
                <w:bCs/>
                <w:snapToGrid w:val="0"/>
                <w:color w:val="auto"/>
                <w:sz w:val="24"/>
                <w:highlight w:val="none"/>
                <w:lang w:eastAsia="zh-CN"/>
              </w:rPr>
            </w:pPr>
            <w:r>
              <w:rPr>
                <w:rFonts w:hint="eastAsia" w:ascii="宋体" w:hAnsi="宋体" w:eastAsia="宋体" w:cs="宋体"/>
                <w:b/>
                <w:bCs/>
                <w:snapToGrid w:val="0"/>
                <w:color w:val="auto"/>
                <w:sz w:val="24"/>
                <w:highlight w:val="none"/>
                <w:lang w:eastAsia="zh-CN"/>
              </w:rPr>
              <w:t>注：</w:t>
            </w:r>
            <w:r>
              <w:rPr>
                <w:rFonts w:hint="eastAsia" w:ascii="宋体" w:hAnsi="宋体" w:cs="宋体"/>
                <w:b/>
                <w:bCs/>
                <w:snapToGrid w:val="0"/>
                <w:color w:val="auto"/>
                <w:sz w:val="24"/>
                <w:highlight w:val="none"/>
              </w:rPr>
              <w:t>磋商</w:t>
            </w:r>
            <w:r>
              <w:rPr>
                <w:rFonts w:hint="eastAsia" w:ascii="宋体" w:hAnsi="宋体" w:eastAsia="宋体" w:cs="宋体"/>
                <w:b/>
                <w:bCs/>
                <w:snapToGrid w:val="0"/>
                <w:color w:val="auto"/>
                <w:sz w:val="24"/>
                <w:highlight w:val="none"/>
                <w:lang w:eastAsia="zh-CN"/>
              </w:rPr>
              <w:t>响应文件中提供上述证书扫描件并公章，</w:t>
            </w:r>
            <w:r>
              <w:rPr>
                <w:rFonts w:hint="eastAsia" w:ascii="宋体" w:hAnsi="宋体" w:eastAsia="宋体" w:cs="宋体"/>
                <w:b/>
                <w:bCs/>
                <w:snapToGrid w:val="0"/>
                <w:color w:val="auto"/>
                <w:sz w:val="24"/>
                <w:highlight w:val="none"/>
                <w:lang w:val="en-US" w:eastAsia="zh-CN"/>
              </w:rPr>
              <w:t>全国认证认可信息公共服务平台可查，提供查询截图，未按上述要求提供资料的不得分</w:t>
            </w:r>
            <w:r>
              <w:rPr>
                <w:rFonts w:hint="eastAsia" w:ascii="宋体" w:hAnsi="宋体" w:eastAsia="宋体" w:cs="宋体"/>
                <w:b/>
                <w:bCs/>
                <w:snapToGrid w:val="0"/>
                <w:color w:val="auto"/>
                <w:sz w:val="24"/>
                <w:highlight w:val="none"/>
                <w:lang w:eastAsia="zh-CN"/>
              </w:rPr>
              <w:t>。</w:t>
            </w:r>
          </w:p>
        </w:tc>
        <w:tc>
          <w:tcPr>
            <w:tcW w:w="388" w:type="pct"/>
            <w:vAlign w:val="center"/>
          </w:tcPr>
          <w:p w14:paraId="0E768AEC">
            <w:pPr>
              <w:snapToGrid w:val="0"/>
              <w:spacing w:line="240" w:lineRule="auto"/>
              <w:jc w:val="center"/>
              <w:outlineLvl w:val="0"/>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3</w:t>
            </w:r>
          </w:p>
        </w:tc>
        <w:tc>
          <w:tcPr>
            <w:tcW w:w="392" w:type="pct"/>
            <w:vAlign w:val="center"/>
          </w:tcPr>
          <w:p w14:paraId="6B494DE0">
            <w:pPr>
              <w:snapToGrid w:val="0"/>
              <w:spacing w:line="240" w:lineRule="auto"/>
              <w:jc w:val="center"/>
              <w:outlineLvl w:val="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客观评审</w:t>
            </w:r>
          </w:p>
        </w:tc>
      </w:tr>
      <w:tr w14:paraId="43D5A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9" w:type="pct"/>
            <w:vAlign w:val="center"/>
          </w:tcPr>
          <w:p w14:paraId="2D5AE1E7">
            <w:pPr>
              <w:snapToGrid w:val="0"/>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3880" w:type="pct"/>
            <w:vAlign w:val="center"/>
          </w:tcPr>
          <w:p w14:paraId="1FF3637C">
            <w:pPr>
              <w:numPr>
                <w:ilvl w:val="-1"/>
                <w:numId w:val="0"/>
              </w:numPr>
              <w:snapToGrid w:val="0"/>
              <w:spacing w:line="360" w:lineRule="auto"/>
              <w:jc w:val="both"/>
              <w:rPr>
                <w:rFonts w:hint="eastAsia" w:ascii="宋体" w:hAnsi="宋体" w:cs="宋体"/>
                <w:b/>
                <w:bCs/>
                <w:snapToGrid w:val="0"/>
                <w:color w:val="auto"/>
                <w:sz w:val="24"/>
                <w:highlight w:val="none"/>
              </w:rPr>
            </w:pPr>
            <w:r>
              <w:rPr>
                <w:rFonts w:hint="eastAsia" w:ascii="宋体" w:hAnsi="宋体" w:cs="宋体"/>
                <w:b/>
                <w:bCs/>
                <w:snapToGrid w:val="0"/>
                <w:color w:val="auto"/>
                <w:sz w:val="24"/>
                <w:highlight w:val="none"/>
              </w:rPr>
              <w:t>业绩</w:t>
            </w:r>
            <w:r>
              <w:rPr>
                <w:rFonts w:hint="eastAsia" w:ascii="宋体" w:hAnsi="宋体" w:cs="宋体"/>
                <w:b/>
                <w:bCs/>
                <w:snapToGrid w:val="0"/>
                <w:color w:val="auto"/>
                <w:sz w:val="24"/>
                <w:highlight w:val="none"/>
                <w:lang w:eastAsia="zh-CN"/>
              </w:rPr>
              <w:t>（</w:t>
            </w:r>
            <w:r>
              <w:rPr>
                <w:rFonts w:hint="eastAsia" w:ascii="宋体" w:hAnsi="宋体" w:cs="宋体"/>
                <w:b/>
                <w:bCs/>
                <w:snapToGrid w:val="0"/>
                <w:color w:val="auto"/>
                <w:sz w:val="24"/>
                <w:highlight w:val="none"/>
                <w:lang w:val="en-US" w:eastAsia="zh-CN"/>
              </w:rPr>
              <w:t>1分</w:t>
            </w:r>
            <w:r>
              <w:rPr>
                <w:rFonts w:hint="eastAsia" w:ascii="宋体" w:hAnsi="宋体" w:cs="宋体"/>
                <w:b/>
                <w:bCs/>
                <w:snapToGrid w:val="0"/>
                <w:color w:val="auto"/>
                <w:sz w:val="24"/>
                <w:highlight w:val="none"/>
                <w:lang w:eastAsia="zh-CN"/>
              </w:rPr>
              <w:t>）</w:t>
            </w:r>
            <w:r>
              <w:rPr>
                <w:rFonts w:hint="eastAsia" w:ascii="宋体" w:hAnsi="宋体" w:cs="宋体"/>
                <w:b/>
                <w:bCs/>
                <w:snapToGrid w:val="0"/>
                <w:color w:val="auto"/>
                <w:sz w:val="24"/>
                <w:highlight w:val="none"/>
              </w:rPr>
              <w:t>：</w:t>
            </w:r>
          </w:p>
          <w:p w14:paraId="117417F7">
            <w:pPr>
              <w:numPr>
                <w:ilvl w:val="-1"/>
                <w:numId w:val="0"/>
              </w:numPr>
              <w:snapToGrid w:val="0"/>
              <w:spacing w:line="360" w:lineRule="auto"/>
              <w:jc w:val="both"/>
              <w:rPr>
                <w:rFonts w:hint="eastAsia" w:ascii="宋体" w:hAnsi="宋体" w:cs="宋体"/>
                <w:snapToGrid w:val="0"/>
                <w:color w:val="auto"/>
                <w:sz w:val="24"/>
                <w:highlight w:val="none"/>
              </w:rPr>
            </w:pPr>
            <w:r>
              <w:rPr>
                <w:rFonts w:hint="eastAsia" w:ascii="宋体" w:hAnsi="宋体" w:cs="宋体"/>
                <w:snapToGrid w:val="0"/>
                <w:color w:val="auto"/>
                <w:sz w:val="24"/>
                <w:highlight w:val="none"/>
              </w:rPr>
              <w:t>自</w:t>
            </w:r>
            <w:r>
              <w:rPr>
                <w:rFonts w:hint="eastAsia" w:ascii="宋体" w:hAnsi="宋体" w:cs="宋体"/>
                <w:snapToGrid w:val="0"/>
                <w:color w:val="auto"/>
                <w:sz w:val="24"/>
                <w:highlight w:val="none"/>
                <w:lang w:val="en-US" w:eastAsia="zh-CN"/>
              </w:rPr>
              <w:t>2022</w:t>
            </w:r>
            <w:r>
              <w:rPr>
                <w:rFonts w:hint="eastAsia" w:ascii="宋体" w:hAnsi="宋体" w:cs="宋体"/>
                <w:snapToGrid w:val="0"/>
                <w:color w:val="auto"/>
                <w:sz w:val="24"/>
                <w:highlight w:val="none"/>
              </w:rPr>
              <w:t>年1月1日以来</w:t>
            </w:r>
            <w:r>
              <w:rPr>
                <w:rFonts w:hint="eastAsia" w:ascii="宋体" w:hAnsi="宋体" w:cs="宋体"/>
                <w:snapToGrid w:val="0"/>
                <w:color w:val="auto"/>
                <w:sz w:val="24"/>
                <w:highlight w:val="none"/>
                <w:lang w:eastAsia="zh-CN"/>
              </w:rPr>
              <w:t>（以合同签订时间为准）</w:t>
            </w:r>
            <w:r>
              <w:rPr>
                <w:rFonts w:hint="eastAsia" w:ascii="宋体" w:hAnsi="宋体" w:cs="宋体"/>
                <w:snapToGrid w:val="0"/>
                <w:color w:val="auto"/>
                <w:sz w:val="24"/>
                <w:highlight w:val="none"/>
              </w:rPr>
              <w:t>供应商承接过类似项目的，每提供1个有效业绩得</w:t>
            </w:r>
            <w:r>
              <w:rPr>
                <w:rFonts w:hint="eastAsia" w:ascii="宋体" w:hAnsi="宋体" w:cs="宋体"/>
                <w:snapToGrid w:val="0"/>
                <w:color w:val="auto"/>
                <w:sz w:val="24"/>
                <w:highlight w:val="none"/>
                <w:lang w:val="en-US" w:eastAsia="zh-CN"/>
              </w:rPr>
              <w:t>0.5</w:t>
            </w:r>
            <w:r>
              <w:rPr>
                <w:rFonts w:hint="eastAsia" w:ascii="宋体" w:hAnsi="宋体" w:cs="宋体"/>
                <w:snapToGrid w:val="0"/>
                <w:color w:val="auto"/>
                <w:sz w:val="24"/>
                <w:highlight w:val="none"/>
              </w:rPr>
              <w:t>分，本项最高</w:t>
            </w:r>
            <w:r>
              <w:rPr>
                <w:rFonts w:hint="eastAsia" w:ascii="宋体" w:hAnsi="宋体" w:cs="宋体"/>
                <w:snapToGrid w:val="0"/>
                <w:color w:val="auto"/>
                <w:sz w:val="24"/>
                <w:highlight w:val="none"/>
                <w:lang w:eastAsia="zh-CN"/>
              </w:rPr>
              <w:t>得</w:t>
            </w:r>
            <w:r>
              <w:rPr>
                <w:rFonts w:hint="eastAsia" w:ascii="宋体" w:hAnsi="宋体" w:cs="宋体"/>
                <w:snapToGrid w:val="0"/>
                <w:color w:val="auto"/>
                <w:sz w:val="24"/>
                <w:highlight w:val="none"/>
                <w:lang w:val="en-US" w:eastAsia="zh-CN"/>
              </w:rPr>
              <w:t>1</w:t>
            </w:r>
            <w:r>
              <w:rPr>
                <w:rFonts w:hint="eastAsia" w:ascii="宋体" w:hAnsi="宋体" w:cs="宋体"/>
                <w:snapToGrid w:val="0"/>
                <w:color w:val="auto"/>
                <w:sz w:val="24"/>
                <w:highlight w:val="none"/>
              </w:rPr>
              <w:t>分。</w:t>
            </w:r>
          </w:p>
          <w:p w14:paraId="1359C234">
            <w:pPr>
              <w:spacing w:line="360" w:lineRule="auto"/>
              <w:rPr>
                <w:rFonts w:ascii="宋体" w:hAnsi="宋体" w:cs="宋体"/>
                <w:color w:val="auto"/>
                <w:highlight w:val="none"/>
              </w:rPr>
            </w:pPr>
            <w:r>
              <w:rPr>
                <w:rFonts w:hint="eastAsia" w:ascii="宋体" w:hAnsi="宋体" w:cs="宋体"/>
                <w:b/>
                <w:bCs/>
                <w:snapToGrid w:val="0"/>
                <w:color w:val="auto"/>
                <w:sz w:val="24"/>
                <w:highlight w:val="none"/>
                <w:lang w:val="en-US" w:eastAsia="zh-CN"/>
              </w:rPr>
              <w:t>注：</w:t>
            </w:r>
            <w:r>
              <w:rPr>
                <w:rFonts w:hint="eastAsia" w:ascii="宋体" w:hAnsi="宋体" w:cs="宋体"/>
                <w:b/>
                <w:bCs/>
                <w:snapToGrid w:val="0"/>
                <w:color w:val="auto"/>
                <w:sz w:val="24"/>
                <w:highlight w:val="none"/>
              </w:rPr>
              <w:t>磋商响应文件中提供合同关键页、中标（成交）通知书、竣工验收报告复印件并加盖供应商公章，缺一不得分。</w:t>
            </w:r>
          </w:p>
        </w:tc>
        <w:tc>
          <w:tcPr>
            <w:tcW w:w="388" w:type="pct"/>
            <w:vAlign w:val="center"/>
          </w:tcPr>
          <w:p w14:paraId="6FFAF6EC">
            <w:pPr>
              <w:snapToGrid w:val="0"/>
              <w:spacing w:line="240" w:lineRule="auto"/>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1</w:t>
            </w:r>
          </w:p>
        </w:tc>
        <w:tc>
          <w:tcPr>
            <w:tcW w:w="392" w:type="pct"/>
            <w:vAlign w:val="center"/>
          </w:tcPr>
          <w:p w14:paraId="5501D11D">
            <w:pPr>
              <w:snapToGrid w:val="0"/>
              <w:spacing w:line="240" w:lineRule="auto"/>
              <w:jc w:val="center"/>
              <w:outlineLvl w:val="0"/>
              <w:rPr>
                <w:rFonts w:hint="eastAsia" w:ascii="宋体" w:hAnsi="宋体" w:eastAsia="宋体" w:cs="宋体"/>
                <w:bCs/>
                <w:color w:val="auto"/>
                <w:kern w:val="2"/>
                <w:sz w:val="24"/>
                <w:szCs w:val="24"/>
                <w:highlight w:val="none"/>
                <w:lang w:val="en-US" w:eastAsia="zh-CN" w:bidi="ar-SA"/>
              </w:rPr>
            </w:pPr>
            <w:bookmarkStart w:id="432" w:name="_Toc3303"/>
            <w:r>
              <w:rPr>
                <w:rFonts w:hint="eastAsia" w:ascii="宋体" w:hAnsi="宋体" w:cs="宋体"/>
                <w:bCs/>
                <w:color w:val="auto"/>
                <w:sz w:val="24"/>
                <w:highlight w:val="none"/>
                <w:lang w:val="en-US" w:eastAsia="zh-CN"/>
              </w:rPr>
              <w:t>客观评审</w:t>
            </w:r>
            <w:bookmarkEnd w:id="432"/>
          </w:p>
        </w:tc>
      </w:tr>
      <w:tr w14:paraId="4CFF0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 w:type="pct"/>
            <w:vAlign w:val="center"/>
          </w:tcPr>
          <w:p w14:paraId="0F64E245">
            <w:pPr>
              <w:snapToGrid w:val="0"/>
              <w:spacing w:line="24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3880" w:type="pct"/>
            <w:vAlign w:val="center"/>
          </w:tcPr>
          <w:p w14:paraId="4B512F93">
            <w:pPr>
              <w:keepNext w:val="0"/>
              <w:keepLines w:val="0"/>
              <w:pageBreakBefore w:val="0"/>
              <w:widowControl/>
              <w:kinsoku/>
              <w:wordWrap/>
              <w:overflowPunct/>
              <w:topLinePunct w:val="0"/>
              <w:bidi w:val="0"/>
              <w:adjustRightInd/>
              <w:snapToGrid/>
              <w:spacing w:line="360" w:lineRule="auto"/>
              <w:jc w:val="left"/>
              <w:textAlignment w:val="auto"/>
              <w:outlineLvl w:val="9"/>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价格分（3</w:t>
            </w:r>
            <w:r>
              <w:rPr>
                <w:rFonts w:hint="eastAsia" w:ascii="宋体" w:hAnsi="宋体" w:cs="宋体"/>
                <w:b/>
                <w:bCs w:val="0"/>
                <w:color w:val="auto"/>
                <w:sz w:val="24"/>
                <w:szCs w:val="24"/>
                <w:highlight w:val="none"/>
                <w:lang w:val="en-US" w:eastAsia="zh-CN"/>
              </w:rPr>
              <w:t>1</w:t>
            </w:r>
            <w:r>
              <w:rPr>
                <w:rFonts w:hint="eastAsia" w:ascii="宋体" w:hAnsi="宋体" w:eastAsia="宋体" w:cs="宋体"/>
                <w:b/>
                <w:bCs w:val="0"/>
                <w:color w:val="auto"/>
                <w:sz w:val="24"/>
                <w:szCs w:val="24"/>
                <w:highlight w:val="none"/>
                <w:lang w:val="en-US" w:eastAsia="zh-CN"/>
              </w:rPr>
              <w:t>分）</w:t>
            </w:r>
          </w:p>
          <w:p w14:paraId="649A23FD">
            <w:pPr>
              <w:keepNext w:val="0"/>
              <w:keepLines w:val="0"/>
              <w:pageBreakBefore w:val="0"/>
              <w:widowControl/>
              <w:kinsoku/>
              <w:wordWrap/>
              <w:overflowPunct/>
              <w:topLinePunct w:val="0"/>
              <w:bidi w:val="0"/>
              <w:adjustRightInd/>
              <w:snapToGrid/>
              <w:spacing w:line="360" w:lineRule="auto"/>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满足磋商文件要求且最后报价最低的供应商的价格为磋商基准价，其价格分为3</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分</w:t>
            </w:r>
            <w:r>
              <w:rPr>
                <w:rFonts w:hint="eastAsia" w:ascii="宋体" w:hAnsi="宋体" w:eastAsia="宋体" w:cs="宋体"/>
                <w:bCs/>
                <w:color w:val="auto"/>
                <w:sz w:val="24"/>
                <w:szCs w:val="24"/>
                <w:highlight w:val="none"/>
              </w:rPr>
              <w:t>。其他</w:t>
            </w:r>
            <w:r>
              <w:rPr>
                <w:rFonts w:hint="eastAsia" w:ascii="宋体" w:hAnsi="宋体" w:eastAsia="宋体" w:cs="宋体"/>
                <w:bCs/>
                <w:color w:val="auto"/>
                <w:sz w:val="24"/>
                <w:szCs w:val="24"/>
                <w:highlight w:val="none"/>
                <w:lang w:val="en-US" w:eastAsia="zh-CN"/>
              </w:rPr>
              <w:t>供应商的</w:t>
            </w:r>
            <w:r>
              <w:rPr>
                <w:rFonts w:hint="eastAsia" w:ascii="宋体" w:hAnsi="宋体" w:eastAsia="宋体" w:cs="宋体"/>
                <w:bCs/>
                <w:color w:val="auto"/>
                <w:sz w:val="24"/>
                <w:szCs w:val="24"/>
                <w:highlight w:val="none"/>
              </w:rPr>
              <w:t>报价得分计算公式如下：</w:t>
            </w:r>
          </w:p>
          <w:p w14:paraId="4EB42974">
            <w:pPr>
              <w:keepNext w:val="0"/>
              <w:keepLines w:val="0"/>
              <w:pageBreakBefore w:val="0"/>
              <w:widowControl/>
              <w:kinsoku/>
              <w:wordWrap/>
              <w:overflowPunct/>
              <w:topLinePunct w:val="0"/>
              <w:bidi w:val="0"/>
              <w:adjustRightInd/>
              <w:snapToGrid/>
              <w:spacing w:line="360" w:lineRule="auto"/>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价格分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磋商基准价/最后磋商报价</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3</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%×100。</w:t>
            </w:r>
          </w:p>
          <w:p w14:paraId="7EC2F0F4">
            <w:pPr>
              <w:tabs>
                <w:tab w:val="left" w:pos="0"/>
              </w:tab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注：1、本磋商项目最高限价（即磋商控制价</w:t>
            </w:r>
            <w:r>
              <w:rPr>
                <w:rFonts w:hint="eastAsia" w:ascii="宋体" w:hAnsi="宋体" w:cs="宋体"/>
                <w:b/>
                <w:color w:val="auto"/>
                <w:sz w:val="24"/>
                <w:szCs w:val="24"/>
                <w:highlight w:val="none"/>
                <w:lang w:eastAsia="zh-CN"/>
              </w:rPr>
              <w:t>：1165379.00元【其中暂估价（含税）：18094.00元；渣土清运费（含税）：3000元；暂列金额（含税）：54500.00元】</w:t>
            </w:r>
            <w:r>
              <w:rPr>
                <w:rFonts w:hint="eastAsia" w:ascii="宋体" w:hAnsi="宋体" w:eastAsia="宋体" w:cs="宋体"/>
                <w:b/>
                <w:color w:val="auto"/>
                <w:sz w:val="24"/>
                <w:szCs w:val="24"/>
                <w:highlight w:val="none"/>
              </w:rPr>
              <w:t>）。报价超过最高限价作无效响应处理。</w:t>
            </w:r>
          </w:p>
          <w:p w14:paraId="7B92C2EC">
            <w:pPr>
              <w:tabs>
                <w:tab w:val="left" w:pos="0"/>
              </w:tabs>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bCs w:val="0"/>
                <w:color w:val="auto"/>
                <w:sz w:val="24"/>
                <w:szCs w:val="24"/>
                <w:highlight w:val="none"/>
                <w:lang w:val="en-US" w:eastAsia="zh-CN"/>
              </w:rPr>
              <w:t>2、最终报价是指磋商结束后，磋商小组要求所有实质性响应的供应商在规定时间内提交的最后报价。</w:t>
            </w:r>
          </w:p>
          <w:p w14:paraId="44C57C1D">
            <w:pPr>
              <w:snapToGrid w:val="0"/>
              <w:spacing w:line="360" w:lineRule="auto"/>
              <w:ind w:firstLine="482" w:firstLineChars="200"/>
              <w:jc w:val="both"/>
              <w:rPr>
                <w:rFonts w:ascii="宋体" w:hAnsi="宋体" w:cs="宋体"/>
                <w:color w:val="auto"/>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、价格得分小数点后保留2位小数，第3位小数四舍五入。</w:t>
            </w:r>
          </w:p>
        </w:tc>
        <w:tc>
          <w:tcPr>
            <w:tcW w:w="388" w:type="pct"/>
            <w:vAlign w:val="center"/>
          </w:tcPr>
          <w:p w14:paraId="1D448F01">
            <w:pPr>
              <w:snapToGrid w:val="0"/>
              <w:spacing w:line="240" w:lineRule="auto"/>
              <w:jc w:val="center"/>
              <w:outlineLvl w:val="0"/>
              <w:rPr>
                <w:rFonts w:hint="eastAsia" w:ascii="宋体" w:hAnsi="宋体" w:eastAsia="宋体" w:cs="宋体"/>
                <w:bCs/>
                <w:color w:val="auto"/>
                <w:sz w:val="24"/>
                <w:highlight w:val="none"/>
                <w:lang w:val="en-US" w:eastAsia="zh-CN"/>
              </w:rPr>
            </w:pPr>
            <w:bookmarkStart w:id="433" w:name="_Toc2520"/>
            <w:r>
              <w:rPr>
                <w:rFonts w:hint="eastAsia" w:ascii="宋体" w:hAnsi="宋体" w:cs="宋体"/>
                <w:bCs/>
                <w:color w:val="auto"/>
                <w:sz w:val="24"/>
                <w:highlight w:val="none"/>
                <w:lang w:val="en-US" w:eastAsia="zh-CN"/>
              </w:rPr>
              <w:t>3</w:t>
            </w:r>
            <w:bookmarkEnd w:id="433"/>
            <w:r>
              <w:rPr>
                <w:rFonts w:hint="eastAsia" w:ascii="宋体" w:hAnsi="宋体" w:cs="宋体"/>
                <w:bCs/>
                <w:color w:val="auto"/>
                <w:sz w:val="24"/>
                <w:highlight w:val="none"/>
                <w:lang w:val="en-US" w:eastAsia="zh-CN"/>
              </w:rPr>
              <w:t>1</w:t>
            </w:r>
          </w:p>
        </w:tc>
        <w:tc>
          <w:tcPr>
            <w:tcW w:w="392" w:type="pct"/>
            <w:vAlign w:val="center"/>
          </w:tcPr>
          <w:p w14:paraId="42FBC085">
            <w:pPr>
              <w:snapToGrid w:val="0"/>
              <w:spacing w:line="240" w:lineRule="auto"/>
              <w:jc w:val="center"/>
              <w:outlineLvl w:val="0"/>
              <w:rPr>
                <w:rFonts w:hint="default" w:ascii="宋体" w:hAnsi="宋体" w:cs="宋体"/>
                <w:bCs/>
                <w:color w:val="auto"/>
                <w:sz w:val="24"/>
                <w:highlight w:val="none"/>
                <w:lang w:val="en-US" w:eastAsia="zh-CN"/>
              </w:rPr>
            </w:pPr>
            <w:bookmarkStart w:id="434" w:name="_Toc28150"/>
            <w:r>
              <w:rPr>
                <w:rFonts w:hint="eastAsia" w:ascii="宋体" w:hAnsi="宋体" w:cs="宋体"/>
                <w:bCs/>
                <w:color w:val="auto"/>
                <w:sz w:val="24"/>
                <w:highlight w:val="none"/>
                <w:lang w:val="en-US" w:eastAsia="zh-CN"/>
              </w:rPr>
              <w:t>客观评审</w:t>
            </w:r>
            <w:bookmarkEnd w:id="434"/>
          </w:p>
        </w:tc>
      </w:tr>
    </w:tbl>
    <w:p w14:paraId="6D5F43DA">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注：供应商编制响应文件（商务技术文件部分）时，建议按此目录（序号和内容）提供评审标准相应的商务技术资料。 </w:t>
      </w:r>
    </w:p>
    <w:p w14:paraId="02899AC3">
      <w:pPr>
        <w:jc w:val="left"/>
        <w:rPr>
          <w:rFonts w:ascii="宋体" w:hAnsi="宋体" w:cs="宋体"/>
          <w:b/>
          <w:color w:val="auto"/>
          <w:sz w:val="32"/>
          <w:highlight w:val="none"/>
        </w:rPr>
      </w:pPr>
      <w:r>
        <w:rPr>
          <w:rFonts w:hint="eastAsia" w:ascii="宋体" w:hAnsi="宋体" w:cs="宋体"/>
          <w:b/>
          <w:color w:val="auto"/>
          <w:sz w:val="32"/>
          <w:highlight w:val="none"/>
        </w:rPr>
        <w:br w:type="page"/>
      </w:r>
    </w:p>
    <w:p w14:paraId="19FC81F0">
      <w:pP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32"/>
          <w:highlight w:val="none"/>
        </w:rPr>
        <w:t>一、评审方法</w:t>
      </w:r>
    </w:p>
    <w:p w14:paraId="5840AB26">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635C3A5E">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14:paraId="25D4E7DC">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4BD1EE98">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14:paraId="52CE07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58371001">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7ECEF592">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14:paraId="25C9535A">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1D99DA96">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在磋商过程中，磋商小组可以根据磋商文件和磋商情况实质性变动采购需求中技术、服务要求以及合同草案中的条款，但不得变动磋商文件中的其他内容。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24872523">
      <w:pPr>
        <w:spacing w:line="360" w:lineRule="auto"/>
        <w:ind w:firstLine="470" w:firstLineChars="196"/>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1C6DD20D">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672B2D14">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639B310D">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378E90C8">
      <w:pPr>
        <w:spacing w:line="360" w:lineRule="auto"/>
        <w:ind w:firstLine="470" w:firstLineChars="196"/>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3.3.3 已提交响应文件的供应商，在提交最后报价之前，可以根据磋商情况退出磋商</w:t>
      </w:r>
      <w:r>
        <w:rPr>
          <w:rFonts w:hint="eastAsia" w:ascii="宋体" w:hAnsi="宋体" w:cs="宋体"/>
          <w:color w:val="auto"/>
          <w:kern w:val="0"/>
          <w:sz w:val="24"/>
          <w:highlight w:val="none"/>
          <w:lang w:eastAsia="zh-CN"/>
        </w:rPr>
        <w:t>。</w:t>
      </w:r>
    </w:p>
    <w:p w14:paraId="3A26DC8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5453718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2AEF7954">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45B7FA51">
      <w:pPr>
        <w:pStyle w:val="134"/>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3F37B2B9">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7F4E4B19">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4708C59E">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58C6F05B">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01C08E7C">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2E7C1EE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73FA8810">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7F63C02C">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287DD734">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6BA7A4A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7C740C97">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2EFE02CE">
      <w:pPr>
        <w:pStyle w:val="134"/>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AB726B5">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3C9EF10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58337CF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7552FC6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0F1B01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3B1C231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14:paraId="42BBCFE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14:paraId="0B3E5BF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14:paraId="2A1CD83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51792E0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4.2.9供应商对根据修正原则修正后的报价不确认的；</w:t>
      </w:r>
    </w:p>
    <w:p w14:paraId="0E8E24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4.2.10供应商提供虚假材料响应的；</w:t>
      </w:r>
    </w:p>
    <w:p w14:paraId="5F27AF6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4.2.11供应商有恶意串通、妨碍其他供应商的竞争行为、损害采购人或者其他供应商的合法权益情形的；</w:t>
      </w:r>
    </w:p>
    <w:p w14:paraId="3485B54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4.2.12供应商仅提交备份响应文件，未在电子交易平台传输递交响应文件的，响应文件无效；</w:t>
      </w:r>
    </w:p>
    <w:p w14:paraId="2529556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 参与同一个采购包（标段）的供应商存在下列情形之一且无法合理解释的，其投标（响应）文件无效：</w:t>
      </w:r>
    </w:p>
    <w:p w14:paraId="1CB5366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4.2.13.1</w:t>
      </w:r>
      <w:r>
        <w:rPr>
          <w:rFonts w:hint="eastAsia" w:ascii="宋体" w:hAnsi="宋体" w:cs="宋体"/>
          <w:color w:val="auto"/>
          <w:kern w:val="0"/>
          <w:sz w:val="24"/>
          <w:highlight w:val="none"/>
        </w:rPr>
        <w:t>不同供应商的电子投标（响应）文件上传计算机的网卡MAC地址或硬盘序列号等硬件信息相同的；</w:t>
      </w:r>
    </w:p>
    <w:p w14:paraId="3D1EA24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4.2.13.2</w:t>
      </w:r>
      <w:r>
        <w:rPr>
          <w:rFonts w:hint="eastAsia" w:ascii="宋体" w:hAnsi="宋体" w:cs="宋体"/>
          <w:color w:val="auto"/>
          <w:kern w:val="0"/>
          <w:sz w:val="24"/>
          <w:highlight w:val="none"/>
        </w:rPr>
        <w:t>上传的电子投标（响应）文件若出现使用本项目其他投标（响应）供应商的数字证书加密的，或者加盖本项目其他投标（响应）供应商的电子印章的；</w:t>
      </w:r>
    </w:p>
    <w:p w14:paraId="6776471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4.2.13.3</w:t>
      </w:r>
      <w:r>
        <w:rPr>
          <w:rFonts w:hint="eastAsia" w:ascii="宋体" w:hAnsi="宋体" w:cs="宋体"/>
          <w:color w:val="auto"/>
          <w:kern w:val="0"/>
          <w:sz w:val="24"/>
          <w:highlight w:val="none"/>
        </w:rPr>
        <w:t>不同供应商的投标（响应）文件的内容存在3处（含）以上错误一致的；</w:t>
      </w:r>
    </w:p>
    <w:p w14:paraId="6ECA183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4.2.13.4</w:t>
      </w:r>
      <w:r>
        <w:rPr>
          <w:rFonts w:hint="eastAsia" w:ascii="宋体" w:hAnsi="宋体" w:cs="宋体"/>
          <w:color w:val="auto"/>
          <w:kern w:val="0"/>
          <w:sz w:val="24"/>
          <w:highlight w:val="none"/>
        </w:rPr>
        <w:t>不同供应商联系人为同一人或不同联系人的联系电话一致的。</w:t>
      </w:r>
    </w:p>
    <w:p w14:paraId="11BC249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4.2.14响应文件不满足采购文件的其它实质性要求的；</w:t>
      </w:r>
    </w:p>
    <w:p w14:paraId="6DFE2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法律、法规、规章（适用本市的）及省级以上规范性文件（适用本市的）规定的其他无效情形。</w:t>
      </w:r>
    </w:p>
    <w:p w14:paraId="56895E2C">
      <w:pPr>
        <w:pStyle w:val="25"/>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6DFDB621">
      <w:pPr>
        <w:pStyle w:val="25"/>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1B9760A6">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FEA3E4E">
      <w:pPr>
        <w:pStyle w:val="25"/>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11D3DCD4">
      <w:pPr>
        <w:pStyle w:val="25"/>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50B3A405">
      <w:pPr>
        <w:pStyle w:val="25"/>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7B779063">
      <w:pPr>
        <w:pStyle w:val="25"/>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0AFA0DE2">
      <w:pPr>
        <w:pStyle w:val="25"/>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2EEC396F">
      <w:pPr>
        <w:pStyle w:val="25"/>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39EFE829">
      <w:pPr>
        <w:pStyle w:val="25"/>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3B414F28">
      <w:pPr>
        <w:pStyle w:val="25"/>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15F070F2">
      <w:pPr>
        <w:pStyle w:val="25"/>
        <w:snapToGrid w:val="0"/>
        <w:spacing w:line="360" w:lineRule="auto"/>
        <w:ind w:firstLine="0" w:firstLineChars="0"/>
        <w:rPr>
          <w:rFonts w:cs="宋体"/>
          <w:color w:val="auto"/>
          <w:highlight w:val="none"/>
        </w:rPr>
        <w:sectPr>
          <w:pgSz w:w="11905" w:h="16838"/>
          <w:pgMar w:top="1440" w:right="1440" w:bottom="1440" w:left="1440" w:header="851" w:footer="992" w:gutter="0"/>
          <w:pgBorders>
            <w:top w:val="none" w:sz="0" w:space="0"/>
            <w:left w:val="none" w:sz="0" w:space="0"/>
            <w:bottom w:val="none" w:sz="0" w:space="0"/>
            <w:right w:val="none" w:sz="0" w:space="0"/>
          </w:pgBorders>
          <w:pgNumType w:fmt="decimal"/>
          <w:cols w:space="0" w:num="1"/>
          <w:titlePg/>
          <w:rtlGutter w:val="0"/>
          <w:docGrid w:linePitch="0" w:charSpace="0"/>
        </w:sectPr>
      </w:pPr>
    </w:p>
    <w:bookmarkEnd w:id="31"/>
    <w:p w14:paraId="42A78CF8">
      <w:pPr>
        <w:spacing w:line="360" w:lineRule="auto"/>
        <w:jc w:val="center"/>
        <w:outlineLvl w:val="0"/>
        <w:rPr>
          <w:rFonts w:ascii="宋体" w:hAnsi="宋体" w:cs="宋体"/>
          <w:b/>
          <w:color w:val="auto"/>
          <w:sz w:val="36"/>
          <w:szCs w:val="36"/>
          <w:highlight w:val="none"/>
        </w:rPr>
      </w:pPr>
      <w:bookmarkStart w:id="435" w:name="_Toc8825"/>
      <w:bookmarkStart w:id="436" w:name="第五部分"/>
      <w:bookmarkStart w:id="437" w:name="_Toc86217003"/>
      <w:r>
        <w:rPr>
          <w:rFonts w:hint="eastAsia" w:ascii="宋体" w:hAnsi="宋体" w:cs="宋体"/>
          <w:b/>
          <w:color w:val="auto"/>
          <w:sz w:val="36"/>
          <w:szCs w:val="36"/>
          <w:highlight w:val="none"/>
        </w:rPr>
        <w:t>第五部分 拟签订的合同文本</w:t>
      </w:r>
      <w:bookmarkEnd w:id="435"/>
    </w:p>
    <w:p w14:paraId="1D3CE09C">
      <w:pPr>
        <w:snapToGrid w:val="0"/>
        <w:spacing w:line="360" w:lineRule="auto"/>
        <w:ind w:firstLine="480" w:firstLineChars="200"/>
        <w:jc w:val="left"/>
        <w:rPr>
          <w:rFonts w:ascii="宋体" w:hAnsi="宋体"/>
          <w:snapToGrid w:val="0"/>
          <w:color w:val="auto"/>
          <w:kern w:val="0"/>
          <w:sz w:val="24"/>
          <w:szCs w:val="20"/>
          <w:highlight w:val="none"/>
        </w:rPr>
      </w:pPr>
      <w:r>
        <w:rPr>
          <w:rFonts w:hint="eastAsia" w:ascii="宋体" w:hAnsi="宋体"/>
          <w:snapToGrid w:val="0"/>
          <w:color w:val="auto"/>
          <w:kern w:val="0"/>
          <w:sz w:val="24"/>
          <w:szCs w:val="20"/>
          <w:highlight w:val="none"/>
        </w:rPr>
        <w:t>参考住房城乡建设部、原国家工商行政管理总局制定的《建设工程施工合同（示范文本）》（GF-2017-0201）。</w:t>
      </w:r>
    </w:p>
    <w:p w14:paraId="733036F4">
      <w:pPr>
        <w:keepNext/>
        <w:keepLines/>
        <w:numPr>
          <w:ilvl w:val="1"/>
          <w:numId w:val="0"/>
        </w:numPr>
        <w:snapToGrid w:val="0"/>
        <w:spacing w:before="100" w:line="360" w:lineRule="auto"/>
        <w:jc w:val="center"/>
        <w:rPr>
          <w:rFonts w:ascii="宋体" w:hAnsi="宋体" w:cs="宋体"/>
          <w:snapToGrid w:val="0"/>
          <w:color w:val="auto"/>
          <w:kern w:val="44"/>
          <w:sz w:val="28"/>
          <w:szCs w:val="20"/>
          <w:highlight w:val="none"/>
        </w:rPr>
      </w:pPr>
      <w:bookmarkStart w:id="438" w:name="_Toc97299497"/>
      <w:bookmarkStart w:id="439" w:name="_Toc32130"/>
      <w:r>
        <w:rPr>
          <w:rFonts w:hint="eastAsia" w:ascii="宋体" w:hAnsi="宋体" w:cs="宋体"/>
          <w:snapToGrid w:val="0"/>
          <w:color w:val="auto"/>
          <w:kern w:val="44"/>
          <w:sz w:val="28"/>
          <w:szCs w:val="20"/>
          <w:highlight w:val="none"/>
        </w:rPr>
        <w:t>第一部分  合同协议书</w:t>
      </w:r>
      <w:bookmarkEnd w:id="438"/>
      <w:bookmarkEnd w:id="439"/>
    </w:p>
    <w:p w14:paraId="01F1953D">
      <w:pPr>
        <w:snapToGrid w:val="0"/>
        <w:spacing w:line="360" w:lineRule="auto"/>
        <w:ind w:firstLine="470" w:firstLineChars="196"/>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发包人（全称）：</w:t>
      </w:r>
      <w:r>
        <w:rPr>
          <w:rFonts w:hint="eastAsia" w:ascii="宋体" w:hAnsi="宋体" w:cs="宋体"/>
          <w:snapToGrid w:val="0"/>
          <w:color w:val="auto"/>
          <w:kern w:val="0"/>
          <w:sz w:val="24"/>
          <w:highlight w:val="none"/>
          <w:u w:val="single"/>
        </w:rPr>
        <w:t xml:space="preserve">    </w:t>
      </w:r>
      <w:bookmarkStart w:id="440" w:name="SOA_hhxys_fbr"/>
      <w:r>
        <w:rPr>
          <w:rFonts w:hint="eastAsia" w:ascii="宋体" w:hAnsi="宋体" w:cs="宋体"/>
          <w:snapToGrid w:val="0"/>
          <w:color w:val="auto"/>
          <w:kern w:val="0"/>
          <w:sz w:val="24"/>
          <w:highlight w:val="none"/>
          <w:u w:val="single"/>
        </w:rPr>
        <w:t xml:space="preserve">                  </w:t>
      </w:r>
      <w:bookmarkEnd w:id="440"/>
      <w:r>
        <w:rPr>
          <w:rFonts w:hint="eastAsia" w:ascii="宋体" w:hAnsi="宋体" w:cs="宋体"/>
          <w:snapToGrid w:val="0"/>
          <w:color w:val="auto"/>
          <w:kern w:val="0"/>
          <w:sz w:val="24"/>
          <w:highlight w:val="none"/>
          <w:u w:val="single"/>
        </w:rPr>
        <w:t xml:space="preserve"> </w:t>
      </w:r>
    </w:p>
    <w:p w14:paraId="3FAA72A6">
      <w:pPr>
        <w:snapToGrid w:val="0"/>
        <w:spacing w:line="360" w:lineRule="auto"/>
        <w:ind w:firstLine="470" w:firstLineChars="196"/>
        <w:rPr>
          <w:rFonts w:ascii="宋体" w:hAnsi="宋体" w:cs="宋体"/>
          <w:b/>
          <w:snapToGrid w:val="0"/>
          <w:color w:val="auto"/>
          <w:kern w:val="0"/>
          <w:sz w:val="24"/>
          <w:highlight w:val="none"/>
          <w:u w:val="single"/>
        </w:rPr>
      </w:pPr>
      <w:r>
        <w:rPr>
          <w:rFonts w:hint="eastAsia" w:ascii="宋体" w:hAnsi="宋体" w:cs="宋体"/>
          <w:snapToGrid w:val="0"/>
          <w:color w:val="auto"/>
          <w:kern w:val="0"/>
          <w:sz w:val="24"/>
          <w:highlight w:val="none"/>
        </w:rPr>
        <w:t>承包人（全称）：</w:t>
      </w:r>
      <w:r>
        <w:rPr>
          <w:rFonts w:hint="eastAsia" w:ascii="宋体" w:hAnsi="宋体" w:cs="宋体"/>
          <w:snapToGrid w:val="0"/>
          <w:color w:val="auto"/>
          <w:kern w:val="0"/>
          <w:sz w:val="24"/>
          <w:highlight w:val="none"/>
          <w:u w:val="single"/>
        </w:rPr>
        <w:t xml:space="preserve">                  </w:t>
      </w:r>
      <w:bookmarkStart w:id="441" w:name="SOA_hhxys_cbr"/>
      <w:r>
        <w:rPr>
          <w:rFonts w:hint="eastAsia" w:ascii="宋体" w:hAnsi="宋体" w:cs="宋体"/>
          <w:snapToGrid w:val="0"/>
          <w:color w:val="auto"/>
          <w:kern w:val="0"/>
          <w:sz w:val="24"/>
          <w:highlight w:val="none"/>
          <w:u w:val="single"/>
        </w:rPr>
        <w:t xml:space="preserve">  </w:t>
      </w:r>
      <w:r>
        <w:rPr>
          <w:rFonts w:hint="eastAsia" w:ascii="宋体" w:hAnsi="宋体" w:cs="宋体"/>
          <w:b/>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rPr>
        <w:t xml:space="preserve">    </w:t>
      </w:r>
      <w:bookmarkEnd w:id="441"/>
      <w:r>
        <w:rPr>
          <w:rFonts w:hint="eastAsia" w:ascii="宋体" w:hAnsi="宋体" w:cs="宋体"/>
          <w:snapToGrid w:val="0"/>
          <w:color w:val="auto"/>
          <w:kern w:val="0"/>
          <w:sz w:val="24"/>
          <w:highlight w:val="none"/>
          <w:u w:val="single"/>
        </w:rPr>
        <w:t xml:space="preserve">   </w:t>
      </w:r>
    </w:p>
    <w:p w14:paraId="20BEF243">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根据《中华人民共和国民法典》、 《中华人民共和国建筑法》及有关法律规定，遵循平等、自愿、公平和诚实信用的原则，双方就</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工程施工及有关事项协商一致，共同达成如下协议：</w:t>
      </w:r>
    </w:p>
    <w:p w14:paraId="5D8A58F7">
      <w:pPr>
        <w:snapToGrid w:val="0"/>
        <w:spacing w:before="24" w:beforeLines="10" w:after="24" w:afterLines="10" w:line="360" w:lineRule="auto"/>
        <w:outlineLvl w:val="1"/>
        <w:rPr>
          <w:rFonts w:ascii="宋体" w:hAnsi="宋体" w:cs="宋体"/>
          <w:b/>
          <w:bCs/>
          <w:snapToGrid w:val="0"/>
          <w:color w:val="auto"/>
          <w:kern w:val="0"/>
          <w:sz w:val="24"/>
          <w:highlight w:val="none"/>
        </w:rPr>
      </w:pPr>
      <w:bookmarkStart w:id="442" w:name="_Toc97299498"/>
      <w:bookmarkStart w:id="443" w:name="_Toc19782"/>
      <w:bookmarkStart w:id="444" w:name="_Toc361220410"/>
      <w:r>
        <w:rPr>
          <w:rFonts w:hint="eastAsia" w:ascii="宋体" w:hAnsi="宋体" w:cs="宋体"/>
          <w:b/>
          <w:bCs/>
          <w:snapToGrid w:val="0"/>
          <w:color w:val="auto"/>
          <w:kern w:val="0"/>
          <w:sz w:val="24"/>
          <w:highlight w:val="none"/>
        </w:rPr>
        <w:t>一、工程概况</w:t>
      </w:r>
      <w:bookmarkEnd w:id="442"/>
      <w:bookmarkEnd w:id="443"/>
      <w:bookmarkEnd w:id="444"/>
    </w:p>
    <w:p w14:paraId="737B4EEE">
      <w:pPr>
        <w:snapToGrid w:val="0"/>
        <w:spacing w:line="360" w:lineRule="auto"/>
        <w:ind w:firstLine="470" w:firstLineChars="196"/>
        <w:rPr>
          <w:rFonts w:ascii="宋体" w:hAnsi="宋体" w:cs="宋体"/>
          <w:snapToGrid w:val="0"/>
          <w:color w:val="auto"/>
          <w:kern w:val="0"/>
          <w:sz w:val="24"/>
          <w:highlight w:val="none"/>
          <w:u w:val="single"/>
        </w:rPr>
      </w:pPr>
      <w:r>
        <w:rPr>
          <w:rFonts w:hint="eastAsia" w:ascii="宋体" w:hAnsi="宋体" w:cs="宋体"/>
          <w:bCs/>
          <w:snapToGrid w:val="0"/>
          <w:color w:val="auto"/>
          <w:kern w:val="0"/>
          <w:sz w:val="24"/>
          <w:highlight w:val="none"/>
        </w:rPr>
        <w:t>1.工程名称</w:t>
      </w:r>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2B771A10">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2.工程地点：</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28BE6F77">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3.工程立项批准文号：</w:t>
      </w:r>
      <w:r>
        <w:rPr>
          <w:rFonts w:hint="eastAsia" w:ascii="宋体" w:hAnsi="宋体" w:cs="宋体"/>
          <w:snapToGrid w:val="0"/>
          <w:color w:val="auto"/>
          <w:kern w:val="0"/>
          <w:sz w:val="24"/>
          <w:highlight w:val="none"/>
          <w:u w:val="single"/>
        </w:rPr>
        <w:t xml:space="preserve">       </w:t>
      </w:r>
      <w:r>
        <w:rPr>
          <w:rFonts w:hint="eastAsia" w:ascii="宋体" w:hAnsi="宋体" w:cs="宋体"/>
          <w:bCs/>
          <w:snapToGrid w:val="0"/>
          <w:color w:val="auto"/>
          <w:kern w:val="0"/>
          <w:sz w:val="24"/>
          <w:highlight w:val="none"/>
        </w:rPr>
        <w:t>。</w:t>
      </w:r>
    </w:p>
    <w:p w14:paraId="2585BF25">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4.资金来源：</w:t>
      </w:r>
      <w:r>
        <w:rPr>
          <w:rFonts w:hint="eastAsia" w:ascii="宋体" w:hAnsi="宋体" w:cs="宋体"/>
          <w:snapToGrid w:val="0"/>
          <w:color w:val="auto"/>
          <w:kern w:val="0"/>
          <w:sz w:val="24"/>
          <w:highlight w:val="none"/>
          <w:u w:val="single"/>
        </w:rPr>
        <w:t>        </w:t>
      </w:r>
      <w:r>
        <w:rPr>
          <w:rFonts w:hint="eastAsia" w:ascii="宋体" w:hAnsi="宋体" w:cs="宋体"/>
          <w:bCs/>
          <w:snapToGrid w:val="0"/>
          <w:color w:val="auto"/>
          <w:kern w:val="0"/>
          <w:sz w:val="24"/>
          <w:highlight w:val="none"/>
        </w:rPr>
        <w:t>。</w:t>
      </w:r>
    </w:p>
    <w:p w14:paraId="71BD5023">
      <w:pPr>
        <w:snapToGrid w:val="0"/>
        <w:spacing w:line="360" w:lineRule="auto"/>
        <w:ind w:firstLine="463" w:firstLineChars="193"/>
        <w:rPr>
          <w:rFonts w:ascii="宋体" w:hAnsi="宋体" w:cs="宋体"/>
          <w:snapToGrid w:val="0"/>
          <w:color w:val="auto"/>
          <w:kern w:val="0"/>
          <w:sz w:val="24"/>
          <w:highlight w:val="none"/>
        </w:rPr>
      </w:pPr>
      <w:r>
        <w:rPr>
          <w:rFonts w:hint="eastAsia" w:ascii="宋体" w:hAnsi="宋体" w:cs="宋体"/>
          <w:bCs/>
          <w:snapToGrid w:val="0"/>
          <w:color w:val="auto"/>
          <w:kern w:val="0"/>
          <w:sz w:val="24"/>
          <w:highlight w:val="none"/>
        </w:rPr>
        <w:t xml:space="preserve">5.工程内容：                           </w:t>
      </w:r>
      <w:r>
        <w:rPr>
          <w:rFonts w:hint="eastAsia" w:ascii="宋体" w:hAnsi="宋体" w:cs="宋体"/>
          <w:snapToGrid w:val="0"/>
          <w:color w:val="auto"/>
          <w:kern w:val="0"/>
          <w:sz w:val="24"/>
          <w:highlight w:val="none"/>
        </w:rPr>
        <w:t xml:space="preserve"> </w:t>
      </w:r>
    </w:p>
    <w:p w14:paraId="27F59FD3">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6.工程承包范围：</w:t>
      </w:r>
    </w:p>
    <w:p w14:paraId="1496B76D">
      <w:pPr>
        <w:snapToGrid w:val="0"/>
        <w:spacing w:line="360" w:lineRule="auto"/>
        <w:ind w:firstLine="463" w:firstLineChars="193"/>
        <w:rPr>
          <w:rFonts w:ascii="宋体" w:hAnsi="宋体" w:cs="宋体"/>
          <w:bCs/>
          <w:snapToGrid w:val="0"/>
          <w:color w:val="auto"/>
          <w:kern w:val="0"/>
          <w:sz w:val="24"/>
          <w:highlight w:val="none"/>
        </w:rPr>
      </w:pPr>
      <w:bookmarkStart w:id="445" w:name="_Toc361220411"/>
      <w:r>
        <w:rPr>
          <w:rFonts w:hint="eastAsia" w:ascii="宋体" w:hAnsi="宋体" w:cs="宋体"/>
          <w:bCs/>
          <w:snapToGrid w:val="0"/>
          <w:color w:val="auto"/>
          <w:kern w:val="0"/>
          <w:sz w:val="24"/>
          <w:highlight w:val="none"/>
        </w:rPr>
        <w:t>本项目为</w:t>
      </w:r>
      <w:r>
        <w:rPr>
          <w:rFonts w:hint="eastAsia" w:ascii="宋体" w:hAnsi="宋体" w:cs="宋体"/>
          <w:bCs/>
          <w:snapToGrid w:val="0"/>
          <w:color w:val="auto"/>
          <w:kern w:val="0"/>
          <w:sz w:val="24"/>
          <w:highlight w:val="none"/>
          <w:lang w:eastAsia="zh-CN"/>
        </w:rPr>
        <w:t>宁波市公安局交通管理支队海曙大队高桥中队修缮项目</w:t>
      </w:r>
      <w:r>
        <w:rPr>
          <w:rFonts w:hint="eastAsia" w:ascii="宋体" w:hAnsi="宋体" w:cs="宋体"/>
          <w:bCs/>
          <w:snapToGrid w:val="0"/>
          <w:color w:val="auto"/>
          <w:kern w:val="0"/>
          <w:sz w:val="24"/>
          <w:highlight w:val="none"/>
        </w:rPr>
        <w:t>，详见图纸、工程量清单以及采购文件要求</w:t>
      </w:r>
    </w:p>
    <w:p w14:paraId="0C070DF7">
      <w:pPr>
        <w:snapToGrid w:val="0"/>
        <w:spacing w:line="360" w:lineRule="auto"/>
        <w:outlineLvl w:val="1"/>
        <w:rPr>
          <w:rFonts w:ascii="宋体" w:hAnsi="宋体" w:cs="宋体"/>
          <w:b/>
          <w:bCs/>
          <w:snapToGrid w:val="0"/>
          <w:color w:val="auto"/>
          <w:kern w:val="0"/>
          <w:sz w:val="24"/>
          <w:highlight w:val="none"/>
        </w:rPr>
      </w:pPr>
      <w:bookmarkStart w:id="446" w:name="_Toc97299499"/>
      <w:bookmarkStart w:id="447" w:name="_Toc29454"/>
      <w:r>
        <w:rPr>
          <w:rFonts w:hint="eastAsia" w:ascii="宋体" w:hAnsi="宋体" w:cs="宋体"/>
          <w:b/>
          <w:bCs/>
          <w:snapToGrid w:val="0"/>
          <w:color w:val="auto"/>
          <w:kern w:val="0"/>
          <w:sz w:val="24"/>
          <w:highlight w:val="none"/>
        </w:rPr>
        <w:t>二、合同工期</w:t>
      </w:r>
      <w:bookmarkEnd w:id="445"/>
      <w:bookmarkEnd w:id="446"/>
      <w:bookmarkEnd w:id="447"/>
    </w:p>
    <w:p w14:paraId="2579F848">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计划开工日期：</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p>
    <w:p w14:paraId="2C66C924">
      <w:pPr>
        <w:snapToGrid w:val="0"/>
        <w:spacing w:line="360" w:lineRule="auto"/>
        <w:ind w:firstLine="459"/>
        <w:rPr>
          <w:rFonts w:ascii="宋体" w:hAnsi="宋体" w:cs="宋体"/>
          <w:snapToGrid w:val="0"/>
          <w:color w:val="auto"/>
          <w:kern w:val="0"/>
          <w:sz w:val="24"/>
          <w:highlight w:val="none"/>
        </w:rPr>
      </w:pPr>
      <w:bookmarkStart w:id="448" w:name="SOA_hhxys_jgn"/>
      <w:r>
        <w:rPr>
          <w:rFonts w:hint="eastAsia" w:ascii="宋体" w:hAnsi="宋体" w:cs="宋体"/>
          <w:snapToGrid w:val="0"/>
          <w:color w:val="auto"/>
          <w:kern w:val="0"/>
          <w:sz w:val="24"/>
          <w:highlight w:val="none"/>
        </w:rPr>
        <w:t>计划竣工日期：</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bookmarkEnd w:id="448"/>
    </w:p>
    <w:p w14:paraId="15983C53">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工期总日历天数：</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天。工期总日历天数与根据前述计划开竣工日期计算的工期天数不一致的，以工期总日历天数为准。</w:t>
      </w:r>
    </w:p>
    <w:p w14:paraId="5E79AAB7">
      <w:pPr>
        <w:snapToGrid w:val="0"/>
        <w:spacing w:line="360" w:lineRule="auto"/>
        <w:outlineLvl w:val="1"/>
        <w:rPr>
          <w:rFonts w:ascii="宋体" w:hAnsi="宋体" w:cs="宋体"/>
          <w:b/>
          <w:bCs/>
          <w:snapToGrid w:val="0"/>
          <w:color w:val="auto"/>
          <w:kern w:val="0"/>
          <w:sz w:val="24"/>
          <w:highlight w:val="none"/>
        </w:rPr>
      </w:pPr>
      <w:bookmarkStart w:id="449" w:name="_Toc97299500"/>
      <w:bookmarkStart w:id="450" w:name="_Toc20892"/>
      <w:bookmarkStart w:id="451" w:name="_Toc361220412"/>
      <w:r>
        <w:rPr>
          <w:rFonts w:hint="eastAsia" w:ascii="宋体" w:hAnsi="宋体" w:cs="宋体"/>
          <w:b/>
          <w:bCs/>
          <w:snapToGrid w:val="0"/>
          <w:color w:val="auto"/>
          <w:kern w:val="0"/>
          <w:sz w:val="24"/>
          <w:highlight w:val="none"/>
        </w:rPr>
        <w:t>三、质量标准</w:t>
      </w:r>
      <w:bookmarkEnd w:id="449"/>
      <w:bookmarkEnd w:id="450"/>
      <w:bookmarkEnd w:id="451"/>
    </w:p>
    <w:p w14:paraId="39A26444">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工程质量符合</w:t>
      </w:r>
      <w:r>
        <w:rPr>
          <w:rFonts w:hint="eastAsia" w:ascii="宋体" w:hAnsi="宋体" w:cs="宋体"/>
          <w:snapToGrid w:val="0"/>
          <w:color w:val="auto"/>
          <w:kern w:val="0"/>
          <w:sz w:val="24"/>
          <w:highlight w:val="none"/>
          <w:u w:val="single"/>
        </w:rPr>
        <w:t></w:t>
      </w:r>
      <w:bookmarkStart w:id="452" w:name="SOA_hhxys_zlbz"/>
      <w:r>
        <w:rPr>
          <w:rFonts w:hint="eastAsia" w:ascii="宋体" w:hAnsi="宋体" w:cs="宋体"/>
          <w:snapToGrid w:val="0"/>
          <w:color w:val="auto"/>
          <w:kern w:val="0"/>
          <w:sz w:val="24"/>
          <w:highlight w:val="none"/>
          <w:u w:val="single"/>
        </w:rPr>
        <w:t xml:space="preserve">       </w:t>
      </w:r>
      <w:bookmarkEnd w:id="452"/>
      <w:r>
        <w:rPr>
          <w:rFonts w:hint="eastAsia" w:ascii="宋体" w:hAnsi="宋体" w:cs="宋体"/>
          <w:snapToGrid w:val="0"/>
          <w:color w:val="auto"/>
          <w:kern w:val="0"/>
          <w:sz w:val="24"/>
          <w:highlight w:val="none"/>
          <w:u w:val="single"/>
        </w:rPr>
        <w:t></w:t>
      </w:r>
      <w:r>
        <w:rPr>
          <w:rFonts w:hint="eastAsia" w:ascii="宋体" w:hAnsi="宋体" w:cs="宋体"/>
          <w:snapToGrid w:val="0"/>
          <w:color w:val="auto"/>
          <w:kern w:val="0"/>
          <w:sz w:val="24"/>
          <w:highlight w:val="none"/>
        </w:rPr>
        <w:t>标准。</w:t>
      </w:r>
    </w:p>
    <w:p w14:paraId="0A68FAC9">
      <w:pPr>
        <w:snapToGrid w:val="0"/>
        <w:spacing w:line="360" w:lineRule="auto"/>
        <w:outlineLvl w:val="1"/>
        <w:rPr>
          <w:rFonts w:ascii="宋体" w:hAnsi="宋体" w:cs="宋体"/>
          <w:b/>
          <w:bCs/>
          <w:snapToGrid w:val="0"/>
          <w:color w:val="auto"/>
          <w:kern w:val="0"/>
          <w:sz w:val="24"/>
          <w:highlight w:val="none"/>
        </w:rPr>
      </w:pPr>
      <w:bookmarkStart w:id="453" w:name="_Toc97299501"/>
      <w:bookmarkStart w:id="454" w:name="_Toc361220413"/>
      <w:bookmarkStart w:id="455" w:name="_Toc16110"/>
      <w:r>
        <w:rPr>
          <w:rFonts w:hint="eastAsia" w:ascii="宋体" w:hAnsi="宋体" w:cs="宋体"/>
          <w:b/>
          <w:bCs/>
          <w:snapToGrid w:val="0"/>
          <w:color w:val="auto"/>
          <w:kern w:val="0"/>
          <w:sz w:val="24"/>
          <w:highlight w:val="none"/>
        </w:rPr>
        <w:t>四、签约合同价与合同价格形式</w:t>
      </w:r>
      <w:bookmarkEnd w:id="453"/>
      <w:bookmarkEnd w:id="454"/>
      <w:bookmarkEnd w:id="455"/>
    </w:p>
    <w:p w14:paraId="34075EB3">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1.签约合同价为：</w:t>
      </w:r>
    </w:p>
    <w:p w14:paraId="4C4324F2">
      <w:pPr>
        <w:snapToGrid w:val="0"/>
        <w:spacing w:line="360" w:lineRule="auto"/>
        <w:ind w:firstLine="600" w:firstLineChars="25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人民币（大写）</w:t>
      </w:r>
      <w:bookmarkStart w:id="456" w:name="SOA_hhxys_htjdx"/>
      <w:r>
        <w:rPr>
          <w:rFonts w:hint="eastAsia" w:ascii="宋体" w:hAnsi="宋体" w:cs="宋体"/>
          <w:snapToGrid w:val="0"/>
          <w:color w:val="auto"/>
          <w:kern w:val="0"/>
          <w:sz w:val="24"/>
          <w:highlight w:val="none"/>
          <w:u w:val="single"/>
        </w:rPr>
        <w:t xml:space="preserve">                   </w:t>
      </w:r>
      <w:bookmarkEnd w:id="456"/>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w:t>
      </w:r>
      <w:bookmarkStart w:id="457" w:name="SOA_hhxys_htjxx"/>
      <w:r>
        <w:rPr>
          <w:rFonts w:hint="eastAsia" w:ascii="宋体" w:hAnsi="宋体" w:cs="宋体"/>
          <w:snapToGrid w:val="0"/>
          <w:color w:val="auto"/>
          <w:kern w:val="0"/>
          <w:sz w:val="24"/>
          <w:highlight w:val="none"/>
          <w:u w:val="single"/>
        </w:rPr>
        <w:t xml:space="preserve">            </w:t>
      </w:r>
      <w:bookmarkEnd w:id="457"/>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元)；</w:t>
      </w:r>
    </w:p>
    <w:p w14:paraId="253234A0">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其中：</w:t>
      </w:r>
    </w:p>
    <w:p w14:paraId="0F341BBC">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（1）安全文明施工费：</w:t>
      </w:r>
    </w:p>
    <w:p w14:paraId="56376F02">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58" w:name="SOA_hhxys_wmsgfdx"/>
      <w:r>
        <w:rPr>
          <w:rFonts w:hint="eastAsia" w:ascii="宋体" w:hAnsi="宋体" w:cs="宋体"/>
          <w:snapToGrid w:val="0"/>
          <w:color w:val="auto"/>
          <w:kern w:val="0"/>
          <w:sz w:val="24"/>
          <w:highlight w:val="none"/>
          <w:u w:val="single"/>
        </w:rPr>
        <w:t xml:space="preserve">                </w:t>
      </w:r>
      <w:bookmarkEnd w:id="458"/>
      <w:r>
        <w:rPr>
          <w:rFonts w:hint="eastAsia" w:ascii="宋体" w:hAnsi="宋体" w:cs="宋体"/>
          <w:snapToGrid w:val="0"/>
          <w:color w:val="auto"/>
          <w:kern w:val="0"/>
          <w:sz w:val="24"/>
          <w:highlight w:val="none"/>
        </w:rPr>
        <w:t>(¥</w:t>
      </w:r>
      <w:bookmarkStart w:id="459" w:name="SOA_hhxys_wmsgfxx"/>
      <w:r>
        <w:rPr>
          <w:rFonts w:hint="eastAsia" w:ascii="宋体" w:hAnsi="宋体" w:cs="宋体"/>
          <w:snapToGrid w:val="0"/>
          <w:color w:val="auto"/>
          <w:kern w:val="0"/>
          <w:sz w:val="24"/>
          <w:highlight w:val="none"/>
          <w:u w:val="single"/>
        </w:rPr>
        <w:t xml:space="preserve">                  </w:t>
      </w:r>
      <w:bookmarkEnd w:id="459"/>
      <w:r>
        <w:rPr>
          <w:rFonts w:hint="eastAsia" w:ascii="宋体" w:hAnsi="宋体" w:cs="宋体"/>
          <w:snapToGrid w:val="0"/>
          <w:color w:val="auto"/>
          <w:kern w:val="0"/>
          <w:sz w:val="24"/>
          <w:highlight w:val="none"/>
        </w:rPr>
        <w:t>元)；</w:t>
      </w:r>
    </w:p>
    <w:p w14:paraId="518BBD5E">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（2）材料和工程设备暂估价金额：</w:t>
      </w:r>
    </w:p>
    <w:p w14:paraId="77801662">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60" w:name="SOA_hhxys_sbzgjdx"/>
      <w:r>
        <w:rPr>
          <w:rFonts w:hint="eastAsia" w:ascii="宋体" w:hAnsi="宋体" w:cs="宋体"/>
          <w:snapToGrid w:val="0"/>
          <w:color w:val="auto"/>
          <w:kern w:val="0"/>
          <w:sz w:val="24"/>
          <w:highlight w:val="none"/>
          <w:u w:val="single"/>
        </w:rPr>
        <w:t xml:space="preserve">       </w:t>
      </w:r>
      <w:bookmarkEnd w:id="460"/>
      <w:r>
        <w:rPr>
          <w:rFonts w:hint="eastAsia" w:ascii="宋体" w:hAnsi="宋体" w:cs="宋体"/>
          <w:snapToGrid w:val="0"/>
          <w:color w:val="auto"/>
          <w:kern w:val="0"/>
          <w:sz w:val="24"/>
          <w:highlight w:val="none"/>
        </w:rPr>
        <w:t>(¥</w:t>
      </w:r>
      <w:bookmarkStart w:id="461" w:name="SOA_hhxys_sbzgjxx"/>
      <w:r>
        <w:rPr>
          <w:rFonts w:hint="eastAsia" w:ascii="宋体" w:hAnsi="宋体" w:cs="宋体"/>
          <w:snapToGrid w:val="0"/>
          <w:color w:val="auto"/>
          <w:kern w:val="0"/>
          <w:sz w:val="24"/>
          <w:highlight w:val="none"/>
          <w:u w:val="single"/>
        </w:rPr>
        <w:t xml:space="preserve">      </w:t>
      </w:r>
      <w:bookmarkEnd w:id="461"/>
      <w:r>
        <w:rPr>
          <w:rFonts w:hint="eastAsia" w:ascii="宋体" w:hAnsi="宋体" w:cs="宋体"/>
          <w:snapToGrid w:val="0"/>
          <w:color w:val="auto"/>
          <w:kern w:val="0"/>
          <w:sz w:val="24"/>
          <w:highlight w:val="none"/>
        </w:rPr>
        <w:t>元)；</w:t>
      </w:r>
    </w:p>
    <w:p w14:paraId="26A6CEDD">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（3）专业工程暂估价金额：</w:t>
      </w:r>
    </w:p>
    <w:p w14:paraId="0EFD4175">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62" w:name="SOA_hhxys_gczgjdx"/>
      <w:r>
        <w:rPr>
          <w:rFonts w:hint="eastAsia" w:ascii="宋体" w:hAnsi="宋体" w:cs="宋体"/>
          <w:snapToGrid w:val="0"/>
          <w:color w:val="auto"/>
          <w:kern w:val="0"/>
          <w:sz w:val="24"/>
          <w:highlight w:val="none"/>
          <w:u w:val="single"/>
        </w:rPr>
        <w:t xml:space="preserve">       </w:t>
      </w:r>
      <w:bookmarkEnd w:id="462"/>
      <w:r>
        <w:rPr>
          <w:rFonts w:hint="eastAsia" w:ascii="宋体" w:hAnsi="宋体" w:cs="宋体"/>
          <w:snapToGrid w:val="0"/>
          <w:color w:val="auto"/>
          <w:kern w:val="0"/>
          <w:sz w:val="24"/>
          <w:highlight w:val="none"/>
        </w:rPr>
        <w:t>(¥</w:t>
      </w:r>
      <w:bookmarkStart w:id="463" w:name="SOA_hhxys_gczgjxx"/>
      <w:r>
        <w:rPr>
          <w:rFonts w:hint="eastAsia" w:ascii="宋体" w:hAnsi="宋体" w:cs="宋体"/>
          <w:snapToGrid w:val="0"/>
          <w:color w:val="auto"/>
          <w:kern w:val="0"/>
          <w:sz w:val="24"/>
          <w:highlight w:val="none"/>
          <w:u w:val="single"/>
        </w:rPr>
        <w:t xml:space="preserve">       </w:t>
      </w:r>
      <w:bookmarkEnd w:id="463"/>
      <w:r>
        <w:rPr>
          <w:rFonts w:hint="eastAsia" w:ascii="宋体" w:hAnsi="宋体" w:cs="宋体"/>
          <w:snapToGrid w:val="0"/>
          <w:color w:val="auto"/>
          <w:kern w:val="0"/>
          <w:sz w:val="24"/>
          <w:highlight w:val="none"/>
        </w:rPr>
        <w:t>元)；</w:t>
      </w:r>
    </w:p>
    <w:p w14:paraId="2285B439">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（4）暂列金额：</w:t>
      </w:r>
    </w:p>
    <w:p w14:paraId="4331F3AD">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64" w:name="SOA_hhxys_zljedx"/>
      <w:r>
        <w:rPr>
          <w:rFonts w:hint="eastAsia" w:ascii="宋体" w:hAnsi="宋体" w:cs="宋体"/>
          <w:snapToGrid w:val="0"/>
          <w:color w:val="auto"/>
          <w:kern w:val="0"/>
          <w:sz w:val="24"/>
          <w:highlight w:val="none"/>
          <w:u w:val="single"/>
        </w:rPr>
        <w:t xml:space="preserve">       </w:t>
      </w:r>
      <w:bookmarkEnd w:id="464"/>
      <w:r>
        <w:rPr>
          <w:rFonts w:hint="eastAsia" w:ascii="宋体" w:hAnsi="宋体" w:cs="宋体"/>
          <w:snapToGrid w:val="0"/>
          <w:color w:val="auto"/>
          <w:kern w:val="0"/>
          <w:sz w:val="24"/>
          <w:highlight w:val="none"/>
        </w:rPr>
        <w:t>(¥</w:t>
      </w:r>
      <w:bookmarkStart w:id="465" w:name="SOA_hhxys_zljexx"/>
      <w:r>
        <w:rPr>
          <w:rFonts w:hint="eastAsia" w:ascii="宋体" w:hAnsi="宋体" w:cs="宋体"/>
          <w:snapToGrid w:val="0"/>
          <w:color w:val="auto"/>
          <w:kern w:val="0"/>
          <w:sz w:val="24"/>
          <w:highlight w:val="none"/>
          <w:u w:val="single"/>
        </w:rPr>
        <w:t xml:space="preserve">        </w:t>
      </w:r>
      <w:bookmarkEnd w:id="465"/>
      <w:r>
        <w:rPr>
          <w:rFonts w:hint="eastAsia" w:ascii="宋体" w:hAnsi="宋体" w:cs="宋体"/>
          <w:snapToGrid w:val="0"/>
          <w:color w:val="auto"/>
          <w:kern w:val="0"/>
          <w:sz w:val="24"/>
          <w:highlight w:val="none"/>
        </w:rPr>
        <w:t>元)。</w:t>
      </w:r>
    </w:p>
    <w:p w14:paraId="03E67031">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2.合同价格形式：</w:t>
      </w:r>
      <w:r>
        <w:rPr>
          <w:rFonts w:hint="eastAsia" w:ascii="宋体" w:hAnsi="宋体" w:cs="宋体"/>
          <w:snapToGrid w:val="0"/>
          <w:color w:val="auto"/>
          <w:kern w:val="0"/>
          <w:sz w:val="24"/>
          <w:highlight w:val="none"/>
          <w:u w:val="single"/>
        </w:rPr>
        <w:t></w:t>
      </w:r>
      <w:bookmarkStart w:id="466" w:name="SOA_hhxys_htjgxs"/>
      <w:r>
        <w:rPr>
          <w:rFonts w:hint="eastAsia" w:ascii="宋体" w:hAnsi="宋体" w:cs="宋体"/>
          <w:snapToGrid w:val="0"/>
          <w:color w:val="auto"/>
          <w:kern w:val="0"/>
          <w:sz w:val="24"/>
          <w:highlight w:val="none"/>
          <w:u w:val="single"/>
        </w:rPr>
        <w:t xml:space="preserve">  </w:t>
      </w:r>
      <w:bookmarkEnd w:id="466"/>
      <w:r>
        <w:rPr>
          <w:rFonts w:hint="eastAsia" w:ascii="宋体" w:hAnsi="宋体" w:cs="宋体"/>
          <w:snapToGrid w:val="0"/>
          <w:color w:val="auto"/>
          <w:kern w:val="0"/>
          <w:sz w:val="24"/>
          <w:highlight w:val="none"/>
          <w:u w:val="single"/>
        </w:rPr>
        <w:t xml:space="preserve">      </w:t>
      </w:r>
      <w:r>
        <w:rPr>
          <w:rFonts w:hint="eastAsia" w:ascii="宋体" w:hAnsi="宋体" w:cs="宋体"/>
          <w:snapToGrid w:val="0"/>
          <w:color w:val="auto"/>
          <w:kern w:val="0"/>
          <w:sz w:val="24"/>
          <w:highlight w:val="none"/>
        </w:rPr>
        <w:t>。</w:t>
      </w:r>
    </w:p>
    <w:p w14:paraId="6939456D">
      <w:pPr>
        <w:snapToGrid w:val="0"/>
        <w:spacing w:line="360" w:lineRule="auto"/>
        <w:outlineLvl w:val="1"/>
        <w:rPr>
          <w:rFonts w:ascii="宋体" w:hAnsi="宋体" w:cs="宋体"/>
          <w:b/>
          <w:bCs/>
          <w:snapToGrid w:val="0"/>
          <w:color w:val="auto"/>
          <w:kern w:val="0"/>
          <w:sz w:val="24"/>
          <w:highlight w:val="none"/>
        </w:rPr>
      </w:pPr>
      <w:bookmarkStart w:id="467" w:name="_Toc97299502"/>
      <w:bookmarkStart w:id="468" w:name="_Toc361220414"/>
      <w:bookmarkStart w:id="469" w:name="_Toc12786"/>
      <w:r>
        <w:rPr>
          <w:rFonts w:hint="eastAsia" w:ascii="宋体" w:hAnsi="宋体" w:cs="宋体"/>
          <w:b/>
          <w:bCs/>
          <w:snapToGrid w:val="0"/>
          <w:color w:val="auto"/>
          <w:kern w:val="0"/>
          <w:sz w:val="24"/>
          <w:highlight w:val="none"/>
        </w:rPr>
        <w:t>五、项目经理</w:t>
      </w:r>
      <w:bookmarkEnd w:id="467"/>
      <w:bookmarkEnd w:id="468"/>
      <w:bookmarkEnd w:id="469"/>
    </w:p>
    <w:p w14:paraId="5D821D22">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承包人项目经理：</w:t>
      </w:r>
      <w:r>
        <w:rPr>
          <w:rFonts w:hint="eastAsia" w:ascii="宋体" w:hAnsi="宋体" w:cs="宋体"/>
          <w:snapToGrid w:val="0"/>
          <w:color w:val="auto"/>
          <w:kern w:val="0"/>
          <w:sz w:val="24"/>
          <w:highlight w:val="none"/>
          <w:u w:val="single"/>
        </w:rPr>
        <w:t></w:t>
      </w:r>
      <w:bookmarkStart w:id="470" w:name="SOA_hhxys_cbrxmjl"/>
      <w:r>
        <w:rPr>
          <w:rFonts w:hint="eastAsia" w:ascii="宋体" w:hAnsi="宋体" w:cs="宋体"/>
          <w:snapToGrid w:val="0"/>
          <w:color w:val="auto"/>
          <w:kern w:val="0"/>
          <w:sz w:val="24"/>
          <w:highlight w:val="none"/>
          <w:u w:val="single"/>
        </w:rPr>
        <w:t xml:space="preserve">        </w:t>
      </w:r>
      <w:bookmarkEnd w:id="470"/>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275AAA3E">
      <w:pPr>
        <w:snapToGrid w:val="0"/>
        <w:spacing w:line="360" w:lineRule="auto"/>
        <w:outlineLvl w:val="1"/>
        <w:rPr>
          <w:rFonts w:ascii="宋体" w:hAnsi="宋体" w:cs="宋体"/>
          <w:b/>
          <w:bCs/>
          <w:snapToGrid w:val="0"/>
          <w:color w:val="auto"/>
          <w:kern w:val="0"/>
          <w:sz w:val="24"/>
          <w:highlight w:val="none"/>
        </w:rPr>
      </w:pPr>
      <w:bookmarkStart w:id="471" w:name="_Toc97299503"/>
      <w:bookmarkStart w:id="472" w:name="_Toc361220415"/>
      <w:bookmarkStart w:id="473" w:name="_Toc26153"/>
      <w:r>
        <w:rPr>
          <w:rFonts w:hint="eastAsia" w:ascii="宋体" w:hAnsi="宋体" w:cs="宋体"/>
          <w:b/>
          <w:bCs/>
          <w:snapToGrid w:val="0"/>
          <w:color w:val="auto"/>
          <w:kern w:val="0"/>
          <w:sz w:val="24"/>
          <w:highlight w:val="none"/>
        </w:rPr>
        <w:t>六、合同文件构成</w:t>
      </w:r>
      <w:bookmarkEnd w:id="471"/>
      <w:bookmarkEnd w:id="472"/>
      <w:bookmarkEnd w:id="473"/>
    </w:p>
    <w:p w14:paraId="1EEE2FC3">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本协议书与下列文件一起构成合同文件：</w:t>
      </w:r>
    </w:p>
    <w:p w14:paraId="7B1EEFD9">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（1）成交通知书（如果有）；</w:t>
      </w:r>
    </w:p>
    <w:p w14:paraId="782B93DE">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（2）响应函及其附录（如果有）； </w:t>
      </w:r>
    </w:p>
    <w:p w14:paraId="481FB976">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（3）专用合同条款及其附件；</w:t>
      </w:r>
    </w:p>
    <w:p w14:paraId="1ED46C57">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（4）通用合同条款；</w:t>
      </w:r>
    </w:p>
    <w:p w14:paraId="67B2D110">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（5）技术标准和要求；</w:t>
      </w:r>
    </w:p>
    <w:p w14:paraId="1B4079CD">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（6）图纸；</w:t>
      </w:r>
    </w:p>
    <w:p w14:paraId="2B732D62">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（7）已标价工程量清单或预算书；</w:t>
      </w:r>
    </w:p>
    <w:p w14:paraId="0423C53F">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（8）其他合同文件。</w:t>
      </w:r>
    </w:p>
    <w:p w14:paraId="0D92BC8C">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在合同订立及履行过程中形成的与合同有关的文件均构成合同文件组成部分。</w:t>
      </w:r>
    </w:p>
    <w:p w14:paraId="277903FB">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上述各项合同文件包括合同当事人就该项合同文件所作出的补充和修改，属于同一类内容的文件，应以最新签署的为准。专用合同条款及其附件须经合同当事人签字或盖章。</w:t>
      </w:r>
    </w:p>
    <w:p w14:paraId="735DD69C">
      <w:pPr>
        <w:snapToGrid w:val="0"/>
        <w:spacing w:line="360" w:lineRule="auto"/>
        <w:outlineLvl w:val="1"/>
        <w:rPr>
          <w:rFonts w:ascii="宋体" w:hAnsi="宋体" w:cs="宋体"/>
          <w:b/>
          <w:bCs/>
          <w:snapToGrid w:val="0"/>
          <w:color w:val="auto"/>
          <w:kern w:val="0"/>
          <w:sz w:val="24"/>
          <w:highlight w:val="none"/>
        </w:rPr>
      </w:pPr>
      <w:bookmarkStart w:id="474" w:name="_Toc97299504"/>
      <w:bookmarkStart w:id="475" w:name="_Toc10028"/>
      <w:bookmarkStart w:id="476" w:name="_Toc361220416"/>
      <w:r>
        <w:rPr>
          <w:rFonts w:hint="eastAsia" w:ascii="宋体" w:hAnsi="宋体" w:cs="宋体"/>
          <w:b/>
          <w:bCs/>
          <w:snapToGrid w:val="0"/>
          <w:color w:val="auto"/>
          <w:kern w:val="0"/>
          <w:sz w:val="24"/>
          <w:highlight w:val="none"/>
        </w:rPr>
        <w:t>七、承诺</w:t>
      </w:r>
      <w:bookmarkEnd w:id="474"/>
      <w:bookmarkEnd w:id="475"/>
      <w:bookmarkEnd w:id="476"/>
    </w:p>
    <w:p w14:paraId="65525499">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1.发包人承诺按照法律规定履行项目审批手续、筹集工程建设资金并按照合同约定的期限和方式支付合同价款。</w:t>
      </w:r>
    </w:p>
    <w:p w14:paraId="3C8D0E44">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2.承包人承诺按照法律规定及合同约定组织完成工程施工，确保工程质量和安全，不进行转包及违法分包，并在缺陷责任期及保修期内承担相应的工程维修责任。</w:t>
      </w:r>
    </w:p>
    <w:p w14:paraId="2DE12FEA">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3.发包人和承包人通过</w:t>
      </w:r>
      <w:r>
        <w:rPr>
          <w:rFonts w:hint="eastAsia"/>
          <w:color w:val="auto"/>
          <w:highlight w:val="none"/>
        </w:rPr>
        <w:t>政府采购</w:t>
      </w:r>
      <w:r>
        <w:rPr>
          <w:rFonts w:hint="eastAsia" w:ascii="宋体" w:hAnsi="宋体" w:cs="宋体"/>
          <w:bCs/>
          <w:snapToGrid w:val="0"/>
          <w:color w:val="auto"/>
          <w:kern w:val="0"/>
          <w:sz w:val="24"/>
          <w:highlight w:val="none"/>
        </w:rPr>
        <w:t>形式签订合同的，双方理解并承诺不再就同一工程另行签订与合同实质性内容相背离的协议。</w:t>
      </w:r>
    </w:p>
    <w:p w14:paraId="2CA9EF81">
      <w:pPr>
        <w:snapToGrid w:val="0"/>
        <w:spacing w:line="360" w:lineRule="auto"/>
        <w:outlineLvl w:val="1"/>
        <w:rPr>
          <w:rFonts w:ascii="宋体" w:hAnsi="宋体" w:cs="宋体"/>
          <w:b/>
          <w:bCs/>
          <w:snapToGrid w:val="0"/>
          <w:color w:val="auto"/>
          <w:kern w:val="0"/>
          <w:sz w:val="24"/>
          <w:highlight w:val="none"/>
        </w:rPr>
      </w:pPr>
      <w:bookmarkStart w:id="477" w:name="_Toc31451"/>
      <w:bookmarkStart w:id="478" w:name="_Toc97299505"/>
      <w:bookmarkStart w:id="479" w:name="_Toc361220417"/>
      <w:r>
        <w:rPr>
          <w:rFonts w:hint="eastAsia" w:ascii="宋体" w:hAnsi="宋体" w:cs="宋体"/>
          <w:b/>
          <w:bCs/>
          <w:snapToGrid w:val="0"/>
          <w:color w:val="auto"/>
          <w:kern w:val="0"/>
          <w:sz w:val="24"/>
          <w:highlight w:val="none"/>
        </w:rPr>
        <w:t>八、词语含义</w:t>
      </w:r>
      <w:bookmarkEnd w:id="477"/>
      <w:bookmarkEnd w:id="478"/>
      <w:bookmarkEnd w:id="479"/>
    </w:p>
    <w:p w14:paraId="5DB46338">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本协议书中词语含义与第二部分通用合同条款中赋予的含义相同。</w:t>
      </w:r>
    </w:p>
    <w:p w14:paraId="2CBB6DCB">
      <w:pPr>
        <w:snapToGrid w:val="0"/>
        <w:spacing w:line="360" w:lineRule="auto"/>
        <w:outlineLvl w:val="1"/>
        <w:rPr>
          <w:rFonts w:ascii="宋体" w:hAnsi="宋体" w:cs="宋体"/>
          <w:b/>
          <w:bCs/>
          <w:snapToGrid w:val="0"/>
          <w:color w:val="auto"/>
          <w:kern w:val="0"/>
          <w:sz w:val="24"/>
          <w:highlight w:val="none"/>
        </w:rPr>
      </w:pPr>
      <w:bookmarkStart w:id="480" w:name="_Toc27800"/>
      <w:bookmarkStart w:id="481" w:name="_Toc361220418"/>
      <w:bookmarkStart w:id="482" w:name="_Toc97299506"/>
      <w:r>
        <w:rPr>
          <w:rFonts w:hint="eastAsia" w:ascii="宋体" w:hAnsi="宋体" w:cs="宋体"/>
          <w:b/>
          <w:bCs/>
          <w:snapToGrid w:val="0"/>
          <w:color w:val="auto"/>
          <w:kern w:val="0"/>
          <w:sz w:val="24"/>
          <w:highlight w:val="none"/>
        </w:rPr>
        <w:t>九、签订时间</w:t>
      </w:r>
      <w:bookmarkEnd w:id="480"/>
      <w:bookmarkEnd w:id="481"/>
      <w:bookmarkEnd w:id="482"/>
    </w:p>
    <w:p w14:paraId="59B27DEF">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本合同于</w:t>
      </w:r>
      <w:bookmarkStart w:id="483" w:name="SOA_hhxys_htqdn"/>
      <w:r>
        <w:rPr>
          <w:rFonts w:hint="eastAsia" w:ascii="宋体" w:hAnsi="宋体" w:cs="宋体"/>
          <w:bCs/>
          <w:snapToGrid w:val="0"/>
          <w:color w:val="auto"/>
          <w:kern w:val="0"/>
          <w:sz w:val="24"/>
          <w:highlight w:val="none"/>
          <w:u w:val="single"/>
        </w:rPr>
        <w:t xml:space="preserve">      </w:t>
      </w:r>
      <w:bookmarkEnd w:id="483"/>
      <w:r>
        <w:rPr>
          <w:rFonts w:hint="eastAsia" w:ascii="宋体" w:hAnsi="宋体" w:cs="宋体"/>
          <w:bCs/>
          <w:snapToGrid w:val="0"/>
          <w:color w:val="auto"/>
          <w:kern w:val="0"/>
          <w:sz w:val="24"/>
          <w:highlight w:val="none"/>
        </w:rPr>
        <w:t>年</w:t>
      </w:r>
      <w:bookmarkStart w:id="484" w:name="SOA_hhxys_htqdy"/>
      <w:r>
        <w:rPr>
          <w:rFonts w:hint="eastAsia" w:ascii="宋体" w:hAnsi="宋体" w:cs="宋体"/>
          <w:bCs/>
          <w:snapToGrid w:val="0"/>
          <w:color w:val="auto"/>
          <w:kern w:val="0"/>
          <w:sz w:val="24"/>
          <w:highlight w:val="none"/>
          <w:u w:val="single"/>
        </w:rPr>
        <w:t xml:space="preserve">      </w:t>
      </w:r>
      <w:bookmarkEnd w:id="484"/>
      <w:r>
        <w:rPr>
          <w:rFonts w:hint="eastAsia" w:ascii="宋体" w:hAnsi="宋体" w:cs="宋体"/>
          <w:bCs/>
          <w:snapToGrid w:val="0"/>
          <w:color w:val="auto"/>
          <w:kern w:val="0"/>
          <w:sz w:val="24"/>
          <w:highlight w:val="none"/>
        </w:rPr>
        <w:t>月</w:t>
      </w:r>
      <w:bookmarkStart w:id="485" w:name="SOA_hhxys_htqdr"/>
      <w:r>
        <w:rPr>
          <w:rFonts w:hint="eastAsia" w:ascii="宋体" w:hAnsi="宋体" w:cs="宋体"/>
          <w:bCs/>
          <w:snapToGrid w:val="0"/>
          <w:color w:val="auto"/>
          <w:kern w:val="0"/>
          <w:sz w:val="24"/>
          <w:highlight w:val="none"/>
          <w:u w:val="single"/>
        </w:rPr>
        <w:t xml:space="preserve">      </w:t>
      </w:r>
      <w:bookmarkEnd w:id="485"/>
      <w:r>
        <w:rPr>
          <w:rFonts w:hint="eastAsia" w:ascii="宋体" w:hAnsi="宋体" w:cs="宋体"/>
          <w:bCs/>
          <w:snapToGrid w:val="0"/>
          <w:color w:val="auto"/>
          <w:kern w:val="0"/>
          <w:sz w:val="24"/>
          <w:highlight w:val="none"/>
        </w:rPr>
        <w:t>日签订。</w:t>
      </w:r>
    </w:p>
    <w:p w14:paraId="6EBB4F79">
      <w:pPr>
        <w:snapToGrid w:val="0"/>
        <w:spacing w:line="360" w:lineRule="auto"/>
        <w:outlineLvl w:val="1"/>
        <w:rPr>
          <w:rFonts w:ascii="宋体" w:hAnsi="宋体" w:cs="宋体"/>
          <w:b/>
          <w:bCs/>
          <w:snapToGrid w:val="0"/>
          <w:color w:val="auto"/>
          <w:kern w:val="0"/>
          <w:sz w:val="24"/>
          <w:highlight w:val="none"/>
        </w:rPr>
      </w:pPr>
      <w:bookmarkStart w:id="486" w:name="_Toc97299507"/>
      <w:bookmarkStart w:id="487" w:name="_Toc32307"/>
      <w:bookmarkStart w:id="488" w:name="_Toc361220419"/>
      <w:r>
        <w:rPr>
          <w:rFonts w:hint="eastAsia" w:ascii="宋体" w:hAnsi="宋体" w:cs="宋体"/>
          <w:b/>
          <w:bCs/>
          <w:snapToGrid w:val="0"/>
          <w:color w:val="auto"/>
          <w:kern w:val="0"/>
          <w:sz w:val="24"/>
          <w:highlight w:val="none"/>
        </w:rPr>
        <w:t>十、签订地点</w:t>
      </w:r>
      <w:bookmarkEnd w:id="486"/>
      <w:bookmarkEnd w:id="487"/>
      <w:bookmarkEnd w:id="488"/>
    </w:p>
    <w:p w14:paraId="6C30A02E">
      <w:pPr>
        <w:snapToGrid w:val="0"/>
        <w:spacing w:line="360" w:lineRule="auto"/>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 xml:space="preserve">    本合同在</w:t>
      </w:r>
      <w:r>
        <w:rPr>
          <w:rFonts w:hint="eastAsia" w:ascii="宋体" w:hAnsi="宋体" w:cs="宋体"/>
          <w:bCs/>
          <w:snapToGrid w:val="0"/>
          <w:color w:val="auto"/>
          <w:kern w:val="0"/>
          <w:sz w:val="24"/>
          <w:highlight w:val="none"/>
          <w:u w:val="single"/>
        </w:rPr>
        <w:t xml:space="preserve">   </w:t>
      </w:r>
      <w:bookmarkStart w:id="489" w:name="SOA_zyht_htqddd"/>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u w:val="single"/>
          <w:lang w:val="en-US" w:eastAsia="zh-CN"/>
        </w:rPr>
        <w:t>宁波</w:t>
      </w:r>
      <w:r>
        <w:rPr>
          <w:rFonts w:hint="eastAsia" w:ascii="宋体" w:hAnsi="宋体" w:cs="宋体"/>
          <w:bCs/>
          <w:snapToGrid w:val="0"/>
          <w:color w:val="auto"/>
          <w:kern w:val="0"/>
          <w:sz w:val="24"/>
          <w:highlight w:val="none"/>
          <w:u w:val="single"/>
        </w:rPr>
        <w:t xml:space="preserve">   </w:t>
      </w:r>
      <w:bookmarkEnd w:id="489"/>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签订。</w:t>
      </w:r>
    </w:p>
    <w:p w14:paraId="290796CE">
      <w:pPr>
        <w:snapToGrid w:val="0"/>
        <w:spacing w:line="360" w:lineRule="auto"/>
        <w:outlineLvl w:val="1"/>
        <w:rPr>
          <w:rFonts w:ascii="宋体" w:hAnsi="宋体" w:cs="宋体"/>
          <w:b/>
          <w:bCs/>
          <w:snapToGrid w:val="0"/>
          <w:color w:val="auto"/>
          <w:kern w:val="0"/>
          <w:sz w:val="24"/>
          <w:highlight w:val="none"/>
        </w:rPr>
      </w:pPr>
      <w:bookmarkStart w:id="490" w:name="_Toc361220420"/>
      <w:bookmarkStart w:id="491" w:name="_Toc19801"/>
      <w:bookmarkStart w:id="492" w:name="_Toc97299508"/>
      <w:r>
        <w:rPr>
          <w:rFonts w:hint="eastAsia" w:ascii="宋体" w:hAnsi="宋体" w:cs="宋体"/>
          <w:b/>
          <w:bCs/>
          <w:snapToGrid w:val="0"/>
          <w:color w:val="auto"/>
          <w:kern w:val="0"/>
          <w:sz w:val="24"/>
          <w:highlight w:val="none"/>
        </w:rPr>
        <w:t>十一、补充协议</w:t>
      </w:r>
      <w:bookmarkEnd w:id="490"/>
      <w:bookmarkEnd w:id="491"/>
      <w:bookmarkEnd w:id="492"/>
    </w:p>
    <w:p w14:paraId="7A657B5C">
      <w:pPr>
        <w:snapToGrid w:val="0"/>
        <w:spacing w:line="360" w:lineRule="auto"/>
        <w:ind w:firstLine="480" w:firstLineChars="200"/>
        <w:rPr>
          <w:rFonts w:ascii="宋体" w:hAnsi="宋体" w:cs="宋体"/>
          <w:b/>
          <w:bCs/>
          <w:snapToGrid w:val="0"/>
          <w:color w:val="auto"/>
          <w:kern w:val="0"/>
          <w:sz w:val="24"/>
          <w:highlight w:val="none"/>
        </w:rPr>
      </w:pPr>
      <w:r>
        <w:rPr>
          <w:rFonts w:hint="eastAsia" w:ascii="宋体" w:hAnsi="宋体" w:cs="宋体"/>
          <w:bCs/>
          <w:snapToGrid w:val="0"/>
          <w:color w:val="auto"/>
          <w:kern w:val="0"/>
          <w:sz w:val="24"/>
          <w:highlight w:val="none"/>
        </w:rPr>
        <w:t>合同未尽事宜，合同当事人另行签订补充协议，补充协议是合同的组成部分。</w:t>
      </w:r>
    </w:p>
    <w:p w14:paraId="6FFCC4F5">
      <w:pPr>
        <w:snapToGrid w:val="0"/>
        <w:spacing w:line="360" w:lineRule="auto"/>
        <w:outlineLvl w:val="1"/>
        <w:rPr>
          <w:rFonts w:ascii="宋体" w:hAnsi="宋体" w:cs="宋体"/>
          <w:b/>
          <w:bCs/>
          <w:snapToGrid w:val="0"/>
          <w:color w:val="auto"/>
          <w:kern w:val="0"/>
          <w:sz w:val="24"/>
          <w:highlight w:val="none"/>
        </w:rPr>
      </w:pPr>
      <w:bookmarkStart w:id="493" w:name="_Toc361220421"/>
      <w:bookmarkStart w:id="494" w:name="_Toc97299509"/>
      <w:bookmarkStart w:id="495" w:name="_Toc27318"/>
      <w:r>
        <w:rPr>
          <w:rFonts w:hint="eastAsia" w:ascii="宋体" w:hAnsi="宋体" w:cs="宋体"/>
          <w:b/>
          <w:bCs/>
          <w:snapToGrid w:val="0"/>
          <w:color w:val="auto"/>
          <w:kern w:val="0"/>
          <w:sz w:val="24"/>
          <w:highlight w:val="none"/>
        </w:rPr>
        <w:t>十二、合同生效</w:t>
      </w:r>
      <w:bookmarkEnd w:id="493"/>
      <w:bookmarkEnd w:id="494"/>
      <w:bookmarkEnd w:id="495"/>
    </w:p>
    <w:p w14:paraId="2BBCAF7B">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本合同自</w:t>
      </w:r>
      <w:r>
        <w:rPr>
          <w:rFonts w:hint="eastAsia" w:ascii="宋体" w:hAnsi="宋体" w:cs="宋体"/>
          <w:bCs/>
          <w:snapToGrid w:val="0"/>
          <w:color w:val="auto"/>
          <w:kern w:val="0"/>
          <w:sz w:val="24"/>
          <w:highlight w:val="none"/>
          <w:u w:val="single"/>
        </w:rPr>
        <w:t xml:space="preserve">  </w:t>
      </w:r>
      <w:bookmarkStart w:id="496" w:name="SOA_hhxys_htsx"/>
      <w:r>
        <w:rPr>
          <w:rFonts w:hint="eastAsia" w:ascii="宋体" w:hAnsi="宋体" w:cs="宋体"/>
          <w:bCs/>
          <w:snapToGrid w:val="0"/>
          <w:color w:val="auto"/>
          <w:kern w:val="0"/>
          <w:sz w:val="24"/>
          <w:highlight w:val="none"/>
          <w:u w:val="single"/>
        </w:rPr>
        <w:t xml:space="preserve">  </w:t>
      </w:r>
      <w:r>
        <w:rPr>
          <w:rFonts w:hint="eastAsia" w:ascii="宋体" w:hAnsi="宋体" w:cs="宋体"/>
          <w:b/>
          <w:bCs/>
          <w:snapToGrid w:val="0"/>
          <w:color w:val="auto"/>
          <w:kern w:val="0"/>
          <w:sz w:val="24"/>
          <w:highlight w:val="none"/>
          <w:u w:val="single"/>
        </w:rPr>
        <w:t xml:space="preserve">   </w:t>
      </w:r>
      <w:r>
        <w:rPr>
          <w:rFonts w:hint="eastAsia" w:ascii="宋体" w:hAnsi="宋体" w:cs="宋体"/>
          <w:bCs/>
          <w:snapToGrid w:val="0"/>
          <w:color w:val="auto"/>
          <w:kern w:val="0"/>
          <w:sz w:val="24"/>
          <w:highlight w:val="none"/>
          <w:u w:val="single"/>
        </w:rPr>
        <w:t xml:space="preserve">   </w:t>
      </w:r>
      <w:bookmarkEnd w:id="496"/>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生效。</w:t>
      </w:r>
    </w:p>
    <w:p w14:paraId="4002D02B">
      <w:pPr>
        <w:snapToGrid w:val="0"/>
        <w:spacing w:line="360" w:lineRule="auto"/>
        <w:outlineLvl w:val="1"/>
        <w:rPr>
          <w:rFonts w:ascii="宋体" w:hAnsi="宋体" w:cs="宋体"/>
          <w:b/>
          <w:bCs/>
          <w:snapToGrid w:val="0"/>
          <w:color w:val="auto"/>
          <w:kern w:val="0"/>
          <w:sz w:val="24"/>
          <w:highlight w:val="none"/>
        </w:rPr>
      </w:pPr>
      <w:bookmarkStart w:id="497" w:name="_Toc97299510"/>
      <w:bookmarkStart w:id="498" w:name="_Toc28195"/>
      <w:bookmarkStart w:id="499" w:name="_Toc361220422"/>
      <w:r>
        <w:rPr>
          <w:rFonts w:hint="eastAsia" w:ascii="宋体" w:hAnsi="宋体" w:cs="宋体"/>
          <w:b/>
          <w:bCs/>
          <w:snapToGrid w:val="0"/>
          <w:color w:val="auto"/>
          <w:kern w:val="0"/>
          <w:sz w:val="24"/>
          <w:highlight w:val="none"/>
        </w:rPr>
        <w:t>十三、合同份数</w:t>
      </w:r>
      <w:bookmarkEnd w:id="497"/>
      <w:bookmarkEnd w:id="498"/>
      <w:bookmarkEnd w:id="499"/>
    </w:p>
    <w:p w14:paraId="1BC95993">
      <w:pPr>
        <w:snapToGrid w:val="0"/>
        <w:spacing w:line="360" w:lineRule="auto"/>
        <w:ind w:left="210" w:leftChars="100" w:firstLine="240" w:firstLineChars="1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本合同一式</w:t>
      </w:r>
      <w:r>
        <w:rPr>
          <w:rFonts w:hint="eastAsia" w:ascii="宋体" w:hAnsi="宋体" w:cs="宋体"/>
          <w:b/>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份，均具有同等法律效力，发包人执</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份，承包人执</w:t>
      </w:r>
      <w:r>
        <w:rPr>
          <w:rFonts w:hint="eastAsia" w:ascii="宋体" w:hAnsi="宋体" w:cs="宋体"/>
          <w:b/>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w:t>
      </w:r>
    </w:p>
    <w:p w14:paraId="17D22ACA">
      <w:pPr>
        <w:snapToGrid w:val="0"/>
        <w:spacing w:line="360" w:lineRule="auto"/>
        <w:ind w:firstLine="480" w:firstLineChars="200"/>
        <w:rPr>
          <w:rFonts w:ascii="宋体" w:hAnsi="宋体" w:cs="宋体"/>
          <w:snapToGrid w:val="0"/>
          <w:color w:val="auto"/>
          <w:kern w:val="0"/>
          <w:sz w:val="24"/>
          <w:highlight w:val="none"/>
        </w:rPr>
      </w:pPr>
    </w:p>
    <w:p w14:paraId="2F7383E4">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发包人：  (公章)</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承包人：  (公章)</w:t>
      </w:r>
    </w:p>
    <w:p w14:paraId="0F556A62">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法定代表人或其委托代理人：</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法定代表人或其委托代理人：</w:t>
      </w:r>
    </w:p>
    <w:p w14:paraId="05D844E4">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（签字）</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（签字）</w:t>
      </w:r>
    </w:p>
    <w:p w14:paraId="438C7A8A">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组织机构代码：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组织机构代码：</w:t>
      </w:r>
      <w:bookmarkStart w:id="500" w:name="SOA_hhxys_zjjgdm1"/>
      <w:r>
        <w:rPr>
          <w:rFonts w:hint="eastAsia" w:ascii="宋体" w:hAnsi="宋体" w:cs="宋体"/>
          <w:snapToGrid w:val="0"/>
          <w:color w:val="auto"/>
          <w:kern w:val="0"/>
          <w:sz w:val="24"/>
          <w:highlight w:val="none"/>
          <w:u w:val="single"/>
        </w:rPr>
        <w:t xml:space="preserve">      </w:t>
      </w:r>
      <w:bookmarkEnd w:id="500"/>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0D199EA8">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74C5914F">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邮政编码：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邮政编码：</w:t>
      </w:r>
      <w:bookmarkStart w:id="501" w:name="SOA_hhxys_cbryb"/>
      <w:r>
        <w:rPr>
          <w:rFonts w:hint="eastAsia" w:ascii="宋体" w:hAnsi="宋体" w:cs="宋体"/>
          <w:snapToGrid w:val="0"/>
          <w:color w:val="auto"/>
          <w:kern w:val="0"/>
          <w:sz w:val="24"/>
          <w:highlight w:val="none"/>
          <w:u w:val="single"/>
        </w:rPr>
        <w:t xml:space="preserve">             </w:t>
      </w:r>
      <w:bookmarkEnd w:id="501"/>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3A7979C7">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法定代表人：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法定代表人：</w:t>
      </w:r>
      <w:bookmarkStart w:id="502" w:name="SOA_hhxys_fddbr1"/>
      <w:r>
        <w:rPr>
          <w:rFonts w:hint="eastAsia" w:ascii="宋体" w:hAnsi="宋体" w:cs="宋体"/>
          <w:snapToGrid w:val="0"/>
          <w:color w:val="auto"/>
          <w:kern w:val="0"/>
          <w:sz w:val="24"/>
          <w:highlight w:val="none"/>
          <w:u w:val="single"/>
        </w:rPr>
        <w:t xml:space="preserve">     </w:t>
      </w:r>
      <w:bookmarkEnd w:id="502"/>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37ED08FF">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委托代理人：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委托代理人：</w:t>
      </w:r>
      <w:bookmarkStart w:id="503" w:name="SOA_hhxys_wtdlr1"/>
      <w:r>
        <w:rPr>
          <w:rFonts w:hint="eastAsia" w:ascii="宋体" w:hAnsi="宋体" w:cs="宋体"/>
          <w:snapToGrid w:val="0"/>
          <w:color w:val="auto"/>
          <w:kern w:val="0"/>
          <w:sz w:val="24"/>
          <w:highlight w:val="none"/>
          <w:u w:val="single"/>
        </w:rPr>
        <w:t xml:space="preserve">    </w:t>
      </w:r>
      <w:bookmarkEnd w:id="503"/>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3D8151AC">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  话：</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  话：</w:t>
      </w:r>
      <w:bookmarkStart w:id="504" w:name="SOA_hhxys_cbrdh"/>
      <w:r>
        <w:rPr>
          <w:rFonts w:hint="eastAsia" w:ascii="宋体" w:hAnsi="宋体" w:cs="宋体"/>
          <w:snapToGrid w:val="0"/>
          <w:color w:val="auto"/>
          <w:kern w:val="0"/>
          <w:sz w:val="24"/>
          <w:highlight w:val="none"/>
          <w:u w:val="single"/>
        </w:rPr>
        <w:t xml:space="preserve">            </w:t>
      </w:r>
      <w:bookmarkEnd w:id="504"/>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6157CF3B">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传  真：</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传  真：</w:t>
      </w:r>
      <w:bookmarkStart w:id="505" w:name="SOA_hhxys_cbrcz"/>
      <w:r>
        <w:rPr>
          <w:rFonts w:hint="eastAsia" w:ascii="宋体" w:hAnsi="宋体" w:cs="宋体"/>
          <w:snapToGrid w:val="0"/>
          <w:color w:val="auto"/>
          <w:kern w:val="0"/>
          <w:sz w:val="24"/>
          <w:highlight w:val="none"/>
          <w:u w:val="single"/>
        </w:rPr>
        <w:t xml:space="preserve">              </w:t>
      </w:r>
      <w:bookmarkEnd w:id="505"/>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0F8871A5">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电子信箱：</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电子信箱：</w:t>
      </w:r>
      <w:bookmarkStart w:id="506" w:name="SOA_hhxys_cbrdzxx"/>
      <w:r>
        <w:rPr>
          <w:rFonts w:hint="eastAsia" w:ascii="宋体" w:hAnsi="宋体" w:cs="宋体"/>
          <w:snapToGrid w:val="0"/>
          <w:color w:val="auto"/>
          <w:kern w:val="0"/>
          <w:sz w:val="24"/>
          <w:highlight w:val="none"/>
          <w:u w:val="single"/>
        </w:rPr>
        <w:t xml:space="preserve">      </w:t>
      </w:r>
      <w:bookmarkEnd w:id="506"/>
      <w:r>
        <w:rPr>
          <w:rFonts w:hint="eastAsia" w:ascii="宋体" w:hAnsi="宋体" w:cs="宋体"/>
          <w:snapToGrid w:val="0"/>
          <w:color w:val="auto"/>
          <w:kern w:val="0"/>
          <w:sz w:val="24"/>
          <w:highlight w:val="none"/>
          <w:u w:val="single"/>
        </w:rPr>
        <w:t xml:space="preserve">  </w:t>
      </w:r>
    </w:p>
    <w:p w14:paraId="5CFA65E9">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 xml:space="preserve">                 </w:t>
      </w:r>
    </w:p>
    <w:p w14:paraId="17075DAC">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w:t>
      </w:r>
      <w:bookmarkStart w:id="507" w:name="SOA_hhxys_cbrzh"/>
      <w:r>
        <w:rPr>
          <w:rFonts w:hint="eastAsia" w:ascii="宋体" w:hAnsi="宋体" w:cs="宋体"/>
          <w:snapToGrid w:val="0"/>
          <w:color w:val="auto"/>
          <w:kern w:val="0"/>
          <w:sz w:val="24"/>
          <w:highlight w:val="none"/>
          <w:u w:val="single"/>
        </w:rPr>
        <w:t xml:space="preserve"> </w:t>
      </w:r>
      <w:bookmarkEnd w:id="507"/>
      <w:r>
        <w:rPr>
          <w:rFonts w:hint="eastAsia" w:ascii="宋体" w:hAnsi="宋体" w:cs="宋体"/>
          <w:snapToGrid w:val="0"/>
          <w:color w:val="auto"/>
          <w:kern w:val="0"/>
          <w:sz w:val="24"/>
          <w:highlight w:val="none"/>
          <w:u w:val="single"/>
        </w:rPr>
        <w:t xml:space="preserve">        </w:t>
      </w:r>
    </w:p>
    <w:p w14:paraId="7A6B03C7">
      <w:pPr>
        <w:keepNext/>
        <w:keepLines/>
        <w:numPr>
          <w:ilvl w:val="1"/>
          <w:numId w:val="0"/>
        </w:numPr>
        <w:spacing w:before="100" w:line="400" w:lineRule="exact"/>
        <w:jc w:val="center"/>
        <w:outlineLvl w:val="1"/>
        <w:rPr>
          <w:rFonts w:ascii="宋体" w:hAnsi="宋体" w:cs="宋体"/>
          <w:snapToGrid w:val="0"/>
          <w:color w:val="auto"/>
          <w:kern w:val="44"/>
          <w:sz w:val="28"/>
          <w:szCs w:val="20"/>
          <w:highlight w:val="none"/>
        </w:rPr>
      </w:pPr>
      <w:r>
        <w:rPr>
          <w:rFonts w:hint="eastAsia" w:ascii="宋体" w:hAnsi="宋体" w:cs="宋体"/>
          <w:snapToGrid w:val="0"/>
          <w:color w:val="auto"/>
          <w:kern w:val="0"/>
          <w:sz w:val="24"/>
          <w:highlight w:val="none"/>
        </w:rPr>
        <w:br w:type="page"/>
      </w:r>
      <w:bookmarkStart w:id="508" w:name="_Toc97299511"/>
      <w:bookmarkStart w:id="509" w:name="_Toc7550"/>
      <w:bookmarkStart w:id="510" w:name="_Toc69485879"/>
      <w:bookmarkStart w:id="511" w:name="_Toc31640"/>
      <w:r>
        <w:rPr>
          <w:rFonts w:hint="eastAsia" w:ascii="宋体" w:hAnsi="宋体" w:cs="宋体"/>
          <w:snapToGrid w:val="0"/>
          <w:color w:val="auto"/>
          <w:kern w:val="44"/>
          <w:sz w:val="28"/>
          <w:szCs w:val="20"/>
          <w:highlight w:val="none"/>
        </w:rPr>
        <w:t>第二部分  通用条款</w:t>
      </w:r>
      <w:bookmarkEnd w:id="508"/>
      <w:bookmarkEnd w:id="509"/>
      <w:bookmarkEnd w:id="510"/>
      <w:bookmarkEnd w:id="511"/>
    </w:p>
    <w:p w14:paraId="134A7EB8">
      <w:pPr>
        <w:keepNext/>
        <w:keepLines/>
        <w:numPr>
          <w:ilvl w:val="1"/>
          <w:numId w:val="0"/>
        </w:numPr>
        <w:spacing w:before="100" w:line="400" w:lineRule="exact"/>
        <w:ind w:firstLine="420" w:firstLineChars="200"/>
        <w:jc w:val="left"/>
        <w:outlineLvl w:val="1"/>
        <w:rPr>
          <w:rFonts w:hint="eastAsia" w:ascii="宋体" w:hAnsi="宋体" w:cs="宋体"/>
          <w:snapToGrid w:val="0"/>
          <w:color w:val="auto"/>
          <w:kern w:val="44"/>
          <w:sz w:val="28"/>
          <w:szCs w:val="20"/>
          <w:highlight w:val="none"/>
        </w:rPr>
      </w:pPr>
      <w:bookmarkStart w:id="512" w:name="_Toc97299512"/>
      <w:bookmarkStart w:id="513" w:name="_Toc69485880"/>
      <w:bookmarkStart w:id="514" w:name="_Toc8278"/>
      <w:bookmarkStart w:id="515" w:name="_Toc15868"/>
      <w:r>
        <w:rPr>
          <w:rFonts w:hint="eastAsia" w:ascii="宋体" w:hAnsi="宋体" w:cs="宋体"/>
          <w:snapToGrid w:val="0"/>
          <w:color w:val="auto"/>
          <w:kern w:val="44"/>
          <w:sz w:val="21"/>
          <w:szCs w:val="21"/>
          <w:highlight w:val="none"/>
        </w:rPr>
        <w:t>通用合同条款直接引用中国建筑工业出版社出版的《建设工程施工合同（示范文本）（GF-2017-0201）第二部分“通用合同条款”内容。</w:t>
      </w:r>
    </w:p>
    <w:p w14:paraId="3B488CFC">
      <w:pPr>
        <w:keepNext/>
        <w:keepLines/>
        <w:numPr>
          <w:ilvl w:val="1"/>
          <w:numId w:val="0"/>
        </w:numPr>
        <w:spacing w:before="100" w:line="400" w:lineRule="exact"/>
        <w:jc w:val="center"/>
        <w:outlineLvl w:val="1"/>
        <w:rPr>
          <w:rFonts w:ascii="宋体" w:hAnsi="宋体" w:cs="宋体"/>
          <w:snapToGrid w:val="0"/>
          <w:color w:val="auto"/>
          <w:kern w:val="44"/>
          <w:sz w:val="28"/>
          <w:szCs w:val="20"/>
          <w:highlight w:val="none"/>
        </w:rPr>
      </w:pPr>
      <w:r>
        <w:rPr>
          <w:rFonts w:hint="eastAsia" w:ascii="宋体" w:hAnsi="宋体" w:cs="宋体"/>
          <w:snapToGrid w:val="0"/>
          <w:color w:val="auto"/>
          <w:kern w:val="44"/>
          <w:sz w:val="28"/>
          <w:szCs w:val="20"/>
          <w:highlight w:val="none"/>
        </w:rPr>
        <w:t>第三部分  专用条款</w:t>
      </w:r>
      <w:bookmarkEnd w:id="512"/>
      <w:bookmarkEnd w:id="513"/>
      <w:bookmarkEnd w:id="514"/>
      <w:bookmarkEnd w:id="515"/>
    </w:p>
    <w:p w14:paraId="6927C9C8">
      <w:pPr>
        <w:keepNext/>
        <w:keepLines/>
        <w:numPr>
          <w:ilvl w:val="1"/>
          <w:numId w:val="0"/>
        </w:numPr>
        <w:snapToGrid/>
        <w:spacing w:before="100" w:line="400" w:lineRule="exact"/>
        <w:ind w:left="0" w:firstLine="420" w:firstLineChars="200"/>
        <w:jc w:val="left"/>
        <w:outlineLvl w:val="1"/>
        <w:rPr>
          <w:rFonts w:hint="eastAsia" w:ascii="宋体" w:hAnsi="宋体" w:cs="宋体"/>
          <w:b w:val="0"/>
          <w:snapToGrid w:val="0"/>
          <w:color w:val="auto"/>
          <w:kern w:val="44"/>
          <w:szCs w:val="21"/>
          <w:highlight w:val="none"/>
        </w:rPr>
      </w:pPr>
      <w:bookmarkStart w:id="516" w:name="_Toc351203633"/>
      <w:r>
        <w:rPr>
          <w:rFonts w:hint="eastAsia" w:ascii="宋体" w:hAnsi="宋体" w:cs="宋体"/>
          <w:snapToGrid w:val="0"/>
          <w:color w:val="auto"/>
          <w:kern w:val="44"/>
          <w:sz w:val="21"/>
          <w:szCs w:val="21"/>
          <w:highlight w:val="none"/>
        </w:rPr>
        <w:t>以下主要专用合同条款根据《建设工程施工合同（示范文本）（GF-2017-0201）第三部分“专用合同条款”的格式与内容确定，除招标人和中标人在合同谈判期间有补充约定外，本合同的专用合同条款按以下条款执行。</w:t>
      </w:r>
    </w:p>
    <w:p w14:paraId="5CF7A285">
      <w:pPr>
        <w:keepNext/>
        <w:numPr>
          <w:ilvl w:val="3"/>
          <w:numId w:val="0"/>
        </w:numPr>
        <w:tabs>
          <w:tab w:val="left" w:pos="864"/>
        </w:tabs>
        <w:snapToGrid w:val="0"/>
        <w:spacing w:line="360" w:lineRule="auto"/>
        <w:ind w:left="426" w:hanging="420"/>
        <w:outlineLvl w:val="3"/>
        <w:rPr>
          <w:rFonts w:hint="eastAsia" w:ascii="宋体" w:hAnsi="宋体"/>
          <w:b/>
          <w:color w:val="auto"/>
          <w:szCs w:val="21"/>
          <w:highlight w:val="none"/>
        </w:rPr>
      </w:pPr>
    </w:p>
    <w:p w14:paraId="2939A899">
      <w:pPr>
        <w:keepNext/>
        <w:numPr>
          <w:ilvl w:val="3"/>
          <w:numId w:val="0"/>
        </w:numPr>
        <w:tabs>
          <w:tab w:val="left" w:pos="864"/>
        </w:tabs>
        <w:snapToGrid w:val="0"/>
        <w:spacing w:line="360" w:lineRule="auto"/>
        <w:ind w:left="426" w:hanging="420"/>
        <w:outlineLvl w:val="3"/>
        <w:rPr>
          <w:rFonts w:ascii="宋体" w:hAnsi="宋体"/>
          <w:b/>
          <w:color w:val="auto"/>
          <w:szCs w:val="21"/>
          <w:highlight w:val="none"/>
        </w:rPr>
      </w:pPr>
      <w:r>
        <w:rPr>
          <w:rFonts w:hint="eastAsia" w:ascii="宋体" w:hAnsi="宋体"/>
          <w:b/>
          <w:color w:val="auto"/>
          <w:szCs w:val="21"/>
          <w:highlight w:val="none"/>
        </w:rPr>
        <w:t>1</w:t>
      </w:r>
      <w:bookmarkStart w:id="517" w:name="_Toc297048342"/>
      <w:bookmarkStart w:id="518" w:name="_Toc296503156"/>
      <w:bookmarkStart w:id="519" w:name="_Toc292559361"/>
      <w:bookmarkStart w:id="520" w:name="_Toc296944495"/>
      <w:bookmarkStart w:id="521" w:name="_Toc296347155"/>
      <w:bookmarkStart w:id="522" w:name="_Toc292559866"/>
      <w:bookmarkStart w:id="523" w:name="_Toc296890984"/>
      <w:bookmarkStart w:id="524" w:name="_Toc296891196"/>
      <w:bookmarkStart w:id="525" w:name="_Toc297120456"/>
      <w:bookmarkStart w:id="526" w:name="_Toc296346657"/>
      <w:r>
        <w:rPr>
          <w:rFonts w:hint="eastAsia" w:ascii="宋体" w:hAnsi="宋体"/>
          <w:b/>
          <w:color w:val="auto"/>
          <w:szCs w:val="21"/>
          <w:highlight w:val="none"/>
        </w:rPr>
        <w:t>. 一般约定</w:t>
      </w:r>
      <w:bookmarkEnd w:id="516"/>
    </w:p>
    <w:bookmarkEnd w:id="517"/>
    <w:bookmarkEnd w:id="518"/>
    <w:bookmarkEnd w:id="519"/>
    <w:bookmarkEnd w:id="520"/>
    <w:bookmarkEnd w:id="521"/>
    <w:bookmarkEnd w:id="522"/>
    <w:bookmarkEnd w:id="523"/>
    <w:bookmarkEnd w:id="524"/>
    <w:bookmarkEnd w:id="525"/>
    <w:bookmarkEnd w:id="526"/>
    <w:p w14:paraId="0D8C7F06">
      <w:pPr>
        <w:snapToGrid w:val="0"/>
        <w:spacing w:line="360" w:lineRule="auto"/>
        <w:ind w:firstLine="367" w:firstLineChars="175"/>
        <w:rPr>
          <w:rFonts w:ascii="宋体" w:hAnsi="宋体"/>
          <w:snapToGrid w:val="0"/>
          <w:color w:val="auto"/>
          <w:kern w:val="0"/>
          <w:szCs w:val="21"/>
          <w:highlight w:val="none"/>
        </w:rPr>
      </w:pPr>
      <w:r>
        <w:rPr>
          <w:rFonts w:hint="eastAsia" w:ascii="宋体" w:hAnsi="宋体"/>
          <w:snapToGrid w:val="0"/>
          <w:color w:val="auto"/>
          <w:kern w:val="0"/>
          <w:szCs w:val="21"/>
          <w:highlight w:val="none"/>
        </w:rPr>
        <w:t>1.1 词语定义</w:t>
      </w:r>
    </w:p>
    <w:p w14:paraId="00065653">
      <w:pPr>
        <w:snapToGrid w:val="0"/>
        <w:spacing w:line="360" w:lineRule="auto"/>
        <w:ind w:firstLine="367" w:firstLineChars="175"/>
        <w:rPr>
          <w:rFonts w:ascii="宋体" w:hAnsi="宋体"/>
          <w:snapToGrid w:val="0"/>
          <w:color w:val="auto"/>
          <w:kern w:val="0"/>
          <w:szCs w:val="21"/>
          <w:highlight w:val="none"/>
        </w:rPr>
      </w:pPr>
      <w:r>
        <w:rPr>
          <w:rFonts w:hint="eastAsia" w:ascii="宋体" w:hAnsi="宋体"/>
          <w:snapToGrid w:val="0"/>
          <w:color w:val="auto"/>
          <w:kern w:val="0"/>
          <w:szCs w:val="21"/>
          <w:highlight w:val="none"/>
        </w:rPr>
        <w:t>1.1.1合同</w:t>
      </w:r>
    </w:p>
    <w:p w14:paraId="579AE1B8">
      <w:pPr>
        <w:shd w:val="clear" w:color="auto" w:fill="FAFAFA"/>
        <w:snapToGrid w:val="0"/>
        <w:spacing w:line="360" w:lineRule="auto"/>
        <w:ind w:firstLine="411" w:firstLineChars="196"/>
        <w:rPr>
          <w:rFonts w:ascii="宋体" w:hAnsi="宋体"/>
          <w:b/>
          <w:snapToGrid w:val="0"/>
          <w:color w:val="auto"/>
          <w:kern w:val="0"/>
          <w:szCs w:val="21"/>
          <w:highlight w:val="none"/>
          <w:u w:val="single"/>
        </w:rPr>
      </w:pPr>
      <w:r>
        <w:rPr>
          <w:rFonts w:hint="eastAsia" w:ascii="宋体" w:hAnsi="宋体"/>
          <w:snapToGrid w:val="0"/>
          <w:color w:val="auto"/>
          <w:kern w:val="0"/>
          <w:szCs w:val="21"/>
          <w:highlight w:val="none"/>
        </w:rPr>
        <w:t>1.1.1.10其他合同文件包括：</w:t>
      </w:r>
      <w:r>
        <w:rPr>
          <w:rFonts w:hint="eastAsia" w:ascii="宋体" w:hAnsi="宋体"/>
          <w:snapToGrid w:val="0"/>
          <w:color w:val="auto"/>
          <w:kern w:val="0"/>
          <w:szCs w:val="21"/>
          <w:highlight w:val="none"/>
          <w:u w:val="single"/>
        </w:rPr>
        <w:t>（1）成交通知书（如果有）；（2）响应函及其附录（如果有）； （3）专用合同条款及其附件；（4）通用合同条款；（5）技术标准和要求；（6）图纸；（7）已标价工程量清单或预算书；（8）其他合同文件</w:t>
      </w:r>
      <w:r>
        <w:rPr>
          <w:rFonts w:hint="eastAsia" w:ascii="宋体" w:hAnsi="宋体"/>
          <w:snapToGrid w:val="0"/>
          <w:color w:val="auto"/>
          <w:kern w:val="0"/>
          <w:szCs w:val="21"/>
          <w:highlight w:val="none"/>
        </w:rPr>
        <w:t>。</w:t>
      </w:r>
    </w:p>
    <w:p w14:paraId="595F1E45">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1.1.2 合同当事人及其他相关方</w:t>
      </w:r>
    </w:p>
    <w:p w14:paraId="0FC6372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1.1.2.4监理人：</w:t>
      </w:r>
    </w:p>
    <w:p w14:paraId="412F840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14:paraId="4501654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536D4B8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7175D6E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7E58625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30D49557">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1.1.2.5 设计人：</w:t>
      </w:r>
    </w:p>
    <w:p w14:paraId="596FF612">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名    称：</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105E4057">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资质类别和等级：</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0"/>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rPr>
        <w:t>；</w:t>
      </w:r>
    </w:p>
    <w:p w14:paraId="65D3DB3D">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联系电话：</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0F4016A0">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电子信箱：</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17CE878A">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通信地址：</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  /  </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rPr>
        <w:t>。</w:t>
      </w:r>
    </w:p>
    <w:p w14:paraId="00E4983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 工程和设备</w:t>
      </w:r>
    </w:p>
    <w:p w14:paraId="377C2B4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1.1.3.7 作为施工现场组成部分的其他场所包括：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38BECB8">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1.1.3.9 永久占地包括：</w:t>
      </w:r>
      <w:r>
        <w:rPr>
          <w:rFonts w:hint="eastAsia" w:ascii="宋体" w:hAnsi="宋体" w:cs="宋体"/>
          <w:color w:val="auto"/>
          <w:szCs w:val="21"/>
          <w:highlight w:val="none"/>
          <w:u w:val="single"/>
        </w:rPr>
        <w:t xml:space="preserve">                        </w:t>
      </w:r>
      <w:r>
        <w:rPr>
          <w:rFonts w:hint="eastAsia" w:ascii="宋体" w:hAnsi="宋体" w:cs="宋体"/>
          <w:color w:val="auto"/>
          <w:kern w:val="0"/>
          <w:szCs w:val="21"/>
          <w:highlight w:val="none"/>
        </w:rPr>
        <w:t>。</w:t>
      </w:r>
    </w:p>
    <w:p w14:paraId="579F763F">
      <w:pPr>
        <w:adjustRightInd/>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color w:val="auto"/>
          <w:kern w:val="0"/>
          <w:szCs w:val="21"/>
          <w:highlight w:val="none"/>
        </w:rPr>
        <w:t>1.1.3.10 临时占地包括：</w:t>
      </w:r>
      <w:r>
        <w:rPr>
          <w:rFonts w:hint="eastAsia" w:ascii="宋体" w:hAnsi="宋体" w:cs="宋体"/>
          <w:color w:val="auto"/>
          <w:szCs w:val="21"/>
          <w:highlight w:val="none"/>
          <w:u w:val="single"/>
        </w:rPr>
        <w:t xml:space="preserve">                       </w:t>
      </w:r>
      <w:r>
        <w:rPr>
          <w:rFonts w:hint="eastAsia" w:ascii="宋体" w:hAnsi="宋体" w:cs="宋体"/>
          <w:color w:val="auto"/>
          <w:kern w:val="0"/>
          <w:szCs w:val="21"/>
          <w:highlight w:val="none"/>
        </w:rPr>
        <w:t>。</w:t>
      </w:r>
    </w:p>
    <w:p w14:paraId="6B0F2C57">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1.3法律 </w:t>
      </w:r>
    </w:p>
    <w:p w14:paraId="18CC2E24">
      <w:pPr>
        <w:autoSpaceDE w:val="0"/>
        <w:autoSpaceDN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适用于合同的其他规范性文件：</w:t>
      </w:r>
      <w:r>
        <w:rPr>
          <w:rFonts w:hint="eastAsia" w:ascii="宋体" w:hAnsi="宋体" w:cs="宋体"/>
          <w:bCs/>
          <w:color w:val="auto"/>
          <w:kern w:val="0"/>
          <w:highlight w:val="none"/>
          <w:u w:val="single"/>
        </w:rPr>
        <w:t>《中华人民共和国民法典》及国家、浙江省、宁波市有关工程建设的法律、法规、规章、条例及规范性文件</w:t>
      </w:r>
      <w:r>
        <w:rPr>
          <w:rFonts w:hint="eastAsia" w:ascii="宋体" w:hAnsi="宋体" w:cs="宋体"/>
          <w:color w:val="auto"/>
          <w:szCs w:val="21"/>
          <w:highlight w:val="none"/>
        </w:rPr>
        <w:t>。</w:t>
      </w:r>
    </w:p>
    <w:p w14:paraId="0FCDEA30">
      <w:pPr>
        <w:autoSpaceDE w:val="0"/>
        <w:autoSpaceDN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 标准和规范</w:t>
      </w:r>
    </w:p>
    <w:p w14:paraId="609B9A10">
      <w:pPr>
        <w:snapToGrid w:val="0"/>
        <w:spacing w:line="360" w:lineRule="auto"/>
        <w:ind w:firstLine="420" w:firstLineChars="200"/>
        <w:rPr>
          <w:rFonts w:ascii="宋体" w:hAnsi="宋体"/>
          <w:b/>
          <w:snapToGrid w:val="0"/>
          <w:color w:val="auto"/>
          <w:kern w:val="0"/>
          <w:szCs w:val="21"/>
          <w:highlight w:val="none"/>
          <w:u w:val="single"/>
        </w:rPr>
      </w:pPr>
      <w:r>
        <w:rPr>
          <w:rFonts w:hint="eastAsia" w:ascii="宋体" w:hAnsi="宋体"/>
          <w:snapToGrid w:val="0"/>
          <w:color w:val="auto"/>
          <w:kern w:val="0"/>
          <w:szCs w:val="21"/>
          <w:highlight w:val="none"/>
        </w:rPr>
        <w:t>1.4.1适用于工程的标准规范包括：</w:t>
      </w:r>
      <w:r>
        <w:rPr>
          <w:rFonts w:hint="eastAsia" w:ascii="宋体" w:hAnsi="宋体" w:cs="宋体"/>
          <w:bCs/>
          <w:color w:val="auto"/>
          <w:kern w:val="0"/>
          <w:highlight w:val="none"/>
          <w:u w:val="single"/>
        </w:rPr>
        <w:t>浙江省、宁波市工程建设相关的施工及验收规范</w:t>
      </w:r>
      <w:r>
        <w:rPr>
          <w:rFonts w:hint="eastAsia" w:ascii="Arial" w:hAnsi="Arial" w:cs="Arial"/>
          <w:snapToGrid w:val="0"/>
          <w:color w:val="auto"/>
          <w:kern w:val="0"/>
          <w:szCs w:val="21"/>
          <w:highlight w:val="none"/>
          <w:u w:val="single"/>
        </w:rPr>
        <w:t>。</w:t>
      </w:r>
    </w:p>
    <w:p w14:paraId="50AB74E7">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1.4.3发包人对工程的技术标准和功能要求的特殊要求：</w:t>
      </w:r>
      <w:r>
        <w:rPr>
          <w:rFonts w:hint="eastAsia" w:ascii="宋体" w:hAnsi="宋体"/>
          <w:snapToGrid w:val="0"/>
          <w:color w:val="auto"/>
          <w:kern w:val="0"/>
          <w:szCs w:val="21"/>
          <w:highlight w:val="none"/>
          <w:u w:val="single"/>
          <w:lang w:val="en-US" w:eastAsia="zh-CN"/>
        </w:rPr>
        <w:t>/</w:t>
      </w:r>
      <w:r>
        <w:rPr>
          <w:rFonts w:hint="eastAsia" w:ascii="宋体" w:hAnsi="宋体"/>
          <w:snapToGrid w:val="0"/>
          <w:color w:val="auto"/>
          <w:kern w:val="0"/>
          <w:szCs w:val="21"/>
          <w:highlight w:val="none"/>
        </w:rPr>
        <w:t>。</w:t>
      </w:r>
    </w:p>
    <w:p w14:paraId="21CDA0C3">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1.5 合同文件的优先顺序</w:t>
      </w:r>
    </w:p>
    <w:p w14:paraId="6A929ABD">
      <w:pPr>
        <w:autoSpaceDE w:val="0"/>
        <w:autoSpaceDN w:val="0"/>
        <w:snapToGrid w:val="0"/>
        <w:spacing w:line="360" w:lineRule="auto"/>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合同文件组成及优先顺序为：</w:t>
      </w:r>
    </w:p>
    <w:p w14:paraId="3407DAC7">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（1）合同协议书</w:t>
      </w:r>
      <w:r>
        <w:rPr>
          <w:rFonts w:hint="eastAsia" w:ascii="宋体" w:hAnsi="宋体"/>
          <w:b/>
          <w:snapToGrid w:val="0"/>
          <w:color w:val="auto"/>
          <w:kern w:val="0"/>
          <w:szCs w:val="21"/>
          <w:highlight w:val="none"/>
        </w:rPr>
        <w:t>；</w:t>
      </w:r>
    </w:p>
    <w:p w14:paraId="1AB5C4D2">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（2）成交通知书（或项目发承包基本情况表）</w:t>
      </w:r>
      <w:r>
        <w:rPr>
          <w:rFonts w:hint="eastAsia" w:ascii="宋体" w:hAnsi="宋体"/>
          <w:b/>
          <w:snapToGrid w:val="0"/>
          <w:color w:val="auto"/>
          <w:kern w:val="0"/>
          <w:szCs w:val="21"/>
          <w:highlight w:val="none"/>
        </w:rPr>
        <w:t>；</w:t>
      </w:r>
    </w:p>
    <w:p w14:paraId="08C71428">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（3）磋商响应文件及磋商记录（如果有）</w:t>
      </w:r>
      <w:r>
        <w:rPr>
          <w:rFonts w:hint="eastAsia" w:ascii="宋体" w:hAnsi="宋体"/>
          <w:b/>
          <w:snapToGrid w:val="0"/>
          <w:color w:val="auto"/>
          <w:kern w:val="0"/>
          <w:szCs w:val="21"/>
          <w:highlight w:val="none"/>
        </w:rPr>
        <w:t>；</w:t>
      </w:r>
    </w:p>
    <w:p w14:paraId="3148B35A">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（4）专用合同条款及其附件</w:t>
      </w:r>
      <w:r>
        <w:rPr>
          <w:rFonts w:hint="eastAsia" w:ascii="宋体" w:hAnsi="宋体"/>
          <w:b/>
          <w:snapToGrid w:val="0"/>
          <w:color w:val="auto"/>
          <w:kern w:val="0"/>
          <w:szCs w:val="21"/>
          <w:highlight w:val="none"/>
        </w:rPr>
        <w:t>；</w:t>
      </w:r>
    </w:p>
    <w:p w14:paraId="4C0AB4E2">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（5）通用合同条款</w:t>
      </w:r>
      <w:r>
        <w:rPr>
          <w:rFonts w:hint="eastAsia" w:ascii="宋体" w:hAnsi="宋体"/>
          <w:b/>
          <w:snapToGrid w:val="0"/>
          <w:color w:val="auto"/>
          <w:kern w:val="0"/>
          <w:szCs w:val="21"/>
          <w:highlight w:val="none"/>
        </w:rPr>
        <w:t>；</w:t>
      </w:r>
    </w:p>
    <w:p w14:paraId="293B2C34">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（6）技术标准和要求</w:t>
      </w:r>
      <w:r>
        <w:rPr>
          <w:rFonts w:hint="eastAsia" w:ascii="宋体" w:hAnsi="宋体"/>
          <w:b/>
          <w:snapToGrid w:val="0"/>
          <w:color w:val="auto"/>
          <w:kern w:val="0"/>
          <w:szCs w:val="21"/>
          <w:highlight w:val="none"/>
        </w:rPr>
        <w:t>；</w:t>
      </w:r>
    </w:p>
    <w:p w14:paraId="24602A2E">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（7）图纸（如有） ；</w:t>
      </w:r>
    </w:p>
    <w:p w14:paraId="3DDB3A02">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（8）已标价工程量清单或预算书</w:t>
      </w:r>
      <w:r>
        <w:rPr>
          <w:rFonts w:hint="eastAsia" w:ascii="宋体" w:hAnsi="宋体"/>
          <w:b/>
          <w:snapToGrid w:val="0"/>
          <w:color w:val="auto"/>
          <w:kern w:val="0"/>
          <w:szCs w:val="21"/>
          <w:highlight w:val="none"/>
        </w:rPr>
        <w:t>；</w:t>
      </w:r>
    </w:p>
    <w:p w14:paraId="726B3D7F">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（9）其他合同文件</w:t>
      </w:r>
      <w:r>
        <w:rPr>
          <w:rFonts w:hint="eastAsia" w:ascii="宋体" w:hAnsi="宋体"/>
          <w:b/>
          <w:snapToGrid w:val="0"/>
          <w:color w:val="auto"/>
          <w:kern w:val="0"/>
          <w:szCs w:val="21"/>
          <w:highlight w:val="none"/>
        </w:rPr>
        <w:t>：</w:t>
      </w:r>
    </w:p>
    <w:p w14:paraId="457BC9A0">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①施工组织设计</w:t>
      </w:r>
      <w:r>
        <w:rPr>
          <w:rFonts w:hint="eastAsia" w:ascii="宋体" w:hAnsi="宋体"/>
          <w:b/>
          <w:snapToGrid w:val="0"/>
          <w:color w:val="auto"/>
          <w:kern w:val="0"/>
          <w:szCs w:val="21"/>
          <w:highlight w:val="none"/>
        </w:rPr>
        <w:t>；</w:t>
      </w:r>
    </w:p>
    <w:p w14:paraId="29A1D97D">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 xml:space="preserve">②其他：采购文件（含采购工程量清单）及采购答疑（如果有）。      </w:t>
      </w:r>
    </w:p>
    <w:p w14:paraId="6F60E753">
      <w:pPr>
        <w:snapToGrid w:val="0"/>
        <w:spacing w:line="360" w:lineRule="auto"/>
        <w:ind w:firstLine="420" w:firstLineChars="200"/>
        <w:outlineLvl w:val="0"/>
        <w:rPr>
          <w:rFonts w:ascii="宋体" w:hAnsi="宋体" w:cs="宋体"/>
          <w:color w:val="auto"/>
          <w:szCs w:val="21"/>
          <w:highlight w:val="none"/>
        </w:rPr>
      </w:pPr>
      <w:bookmarkStart w:id="527" w:name="_Toc32386"/>
      <w:r>
        <w:rPr>
          <w:rFonts w:hint="eastAsia" w:ascii="宋体" w:hAnsi="宋体" w:cs="宋体"/>
          <w:color w:val="auto"/>
          <w:szCs w:val="21"/>
          <w:highlight w:val="none"/>
        </w:rPr>
        <w:t>1.6 图纸和承包人文件</w:t>
      </w:r>
      <w:bookmarkEnd w:id="527"/>
      <w:r>
        <w:rPr>
          <w:rFonts w:hint="eastAsia" w:ascii="宋体" w:hAnsi="宋体" w:cs="宋体"/>
          <w:color w:val="auto"/>
          <w:szCs w:val="21"/>
          <w:highlight w:val="none"/>
        </w:rPr>
        <w:tab/>
      </w:r>
    </w:p>
    <w:p w14:paraId="42FF96D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 图纸的提供</w:t>
      </w:r>
    </w:p>
    <w:p w14:paraId="4DC1633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发包人向承包人提供图纸的期限：</w:t>
      </w:r>
      <w:r>
        <w:rPr>
          <w:rFonts w:hint="eastAsia" w:ascii="宋体" w:hAnsi="宋体" w:cs="宋体"/>
          <w:bCs/>
          <w:color w:val="auto"/>
          <w:kern w:val="0"/>
          <w:highlight w:val="none"/>
          <w:u w:val="single"/>
        </w:rPr>
        <w:t>向承包人发出中标通知书后3天内</w:t>
      </w:r>
      <w:r>
        <w:rPr>
          <w:rFonts w:hint="eastAsia" w:ascii="宋体" w:hAnsi="宋体" w:cs="宋体"/>
          <w:color w:val="auto"/>
          <w:szCs w:val="21"/>
          <w:highlight w:val="none"/>
        </w:rPr>
        <w:t>；</w:t>
      </w:r>
    </w:p>
    <w:p w14:paraId="3D36314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发包人向承包人提供图纸的数量：</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套</w:t>
      </w:r>
      <w:r>
        <w:rPr>
          <w:rFonts w:hint="eastAsia" w:ascii="宋体" w:hAnsi="宋体" w:cs="宋体"/>
          <w:color w:val="auto"/>
          <w:szCs w:val="21"/>
          <w:highlight w:val="none"/>
        </w:rPr>
        <w:t>；</w:t>
      </w:r>
    </w:p>
    <w:p w14:paraId="7CCA0AE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发包人向承包人提供图纸的内容：</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0F10F72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 承包人文件</w:t>
      </w:r>
    </w:p>
    <w:p w14:paraId="0812E0F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需要由承包人提供的文件，包括：</w:t>
      </w:r>
      <w:r>
        <w:rPr>
          <w:rFonts w:hint="eastAsia" w:ascii="宋体" w:hAnsi="宋体"/>
          <w:color w:val="auto"/>
          <w:szCs w:val="21"/>
          <w:highlight w:val="none"/>
          <w:u w:val="single"/>
        </w:rPr>
        <w:t>竣工图及竣工资料</w:t>
      </w:r>
      <w:r>
        <w:rPr>
          <w:rFonts w:hint="eastAsia" w:ascii="宋体" w:hAnsi="宋体" w:cs="宋体"/>
          <w:color w:val="auto"/>
          <w:szCs w:val="21"/>
          <w:highlight w:val="none"/>
        </w:rPr>
        <w:t>；</w:t>
      </w:r>
    </w:p>
    <w:p w14:paraId="7A3509C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承包人提供的文件的期限为：</w:t>
      </w:r>
      <w:r>
        <w:rPr>
          <w:rFonts w:hint="eastAsia" w:ascii="宋体" w:hAnsi="宋体"/>
          <w:color w:val="auto"/>
          <w:szCs w:val="21"/>
          <w:highlight w:val="none"/>
          <w:u w:val="single"/>
        </w:rPr>
        <w:t>竣工验收后30天内</w:t>
      </w:r>
      <w:r>
        <w:rPr>
          <w:rFonts w:hint="eastAsia" w:ascii="宋体" w:hAnsi="宋体" w:cs="宋体"/>
          <w:color w:val="auto"/>
          <w:szCs w:val="21"/>
          <w:highlight w:val="none"/>
        </w:rPr>
        <w:t>；</w:t>
      </w:r>
    </w:p>
    <w:p w14:paraId="0897D92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承包人提供的文件的数量为：</w:t>
      </w:r>
      <w:r>
        <w:rPr>
          <w:rFonts w:hint="eastAsia" w:ascii="宋体" w:hAnsi="宋体"/>
          <w:color w:val="auto"/>
          <w:szCs w:val="21"/>
          <w:highlight w:val="none"/>
          <w:u w:val="single"/>
        </w:rPr>
        <w:t>一式四份</w:t>
      </w:r>
      <w:r>
        <w:rPr>
          <w:rFonts w:hint="eastAsia" w:ascii="宋体" w:hAnsi="宋体" w:cs="宋体"/>
          <w:color w:val="auto"/>
          <w:szCs w:val="21"/>
          <w:highlight w:val="none"/>
        </w:rPr>
        <w:t>；</w:t>
      </w:r>
    </w:p>
    <w:p w14:paraId="36CFA40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承包人提供的文件的形式为：</w:t>
      </w:r>
      <w:r>
        <w:rPr>
          <w:rFonts w:hint="eastAsia" w:ascii="宋体" w:hAnsi="宋体" w:cs="宋体"/>
          <w:color w:val="auto"/>
          <w:szCs w:val="21"/>
          <w:highlight w:val="none"/>
          <w:u w:val="single"/>
          <w:lang w:val="en-US" w:eastAsia="zh-CN"/>
        </w:rPr>
        <w:t>三份纸质，一份电子文件</w:t>
      </w:r>
      <w:r>
        <w:rPr>
          <w:rFonts w:hint="eastAsia" w:ascii="宋体" w:hAnsi="宋体" w:cs="宋体"/>
          <w:color w:val="auto"/>
          <w:szCs w:val="21"/>
          <w:highlight w:val="none"/>
        </w:rPr>
        <w:t>；</w:t>
      </w:r>
    </w:p>
    <w:p w14:paraId="047D263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发包人审批承包人文件的期限：</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319D0395">
      <w:pPr>
        <w:snapToGrid w:val="0"/>
        <w:spacing w:line="360" w:lineRule="auto"/>
        <w:ind w:firstLine="420" w:firstLineChars="200"/>
        <w:outlineLvl w:val="0"/>
        <w:rPr>
          <w:rFonts w:ascii="宋体" w:hAnsi="宋体" w:cs="宋体"/>
          <w:color w:val="auto"/>
          <w:szCs w:val="21"/>
          <w:highlight w:val="none"/>
        </w:rPr>
      </w:pPr>
      <w:bookmarkStart w:id="528" w:name="_Toc3548"/>
      <w:r>
        <w:rPr>
          <w:rFonts w:hint="eastAsia" w:ascii="宋体" w:hAnsi="宋体" w:cs="宋体"/>
          <w:color w:val="auto"/>
          <w:szCs w:val="21"/>
          <w:highlight w:val="none"/>
        </w:rPr>
        <w:t>1.7 联络</w:t>
      </w:r>
      <w:bookmarkEnd w:id="528"/>
    </w:p>
    <w:p w14:paraId="2A81EF45">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1.7.1发包人和承包人应当在</w:t>
      </w:r>
      <w:r>
        <w:rPr>
          <w:rFonts w:hint="eastAsia" w:ascii="宋体" w:hAnsi="宋体"/>
          <w:color w:val="auto"/>
          <w:szCs w:val="21"/>
          <w:highlight w:val="none"/>
          <w:u w:val="single"/>
        </w:rPr>
        <w:t>3</w:t>
      </w:r>
      <w:r>
        <w:rPr>
          <w:rFonts w:hint="eastAsia" w:ascii="宋体" w:hAnsi="宋体" w:cs="宋体"/>
          <w:color w:val="auto"/>
          <w:kern w:val="0"/>
          <w:szCs w:val="21"/>
          <w:highlight w:val="none"/>
        </w:rPr>
        <w:t>天内将与合同有关的通知、批准、证明、证书、指示、指令、要求、请求、同意、意见、确定和决定等书面函件送达对方当事人。</w:t>
      </w:r>
    </w:p>
    <w:p w14:paraId="49122B60">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1.7.2 发包人接收文件的地点：</w:t>
      </w:r>
      <w:r>
        <w:rPr>
          <w:rFonts w:hint="eastAsia" w:ascii="宋体" w:hAnsi="宋体" w:cs="宋体"/>
          <w:color w:val="auto"/>
          <w:szCs w:val="21"/>
          <w:highlight w:val="none"/>
          <w:u w:val="single"/>
        </w:rPr>
        <w:t>      </w:t>
      </w:r>
      <w:r>
        <w:rPr>
          <w:rFonts w:hint="eastAsia" w:ascii="宋体" w:hAnsi="宋体" w:cs="宋体"/>
          <w:color w:val="auto"/>
          <w:kern w:val="0"/>
          <w:szCs w:val="21"/>
          <w:highlight w:val="none"/>
        </w:rPr>
        <w:t>；</w:t>
      </w:r>
    </w:p>
    <w:p w14:paraId="56056236">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发包人指定的接收人为：</w:t>
      </w:r>
      <w:r>
        <w:rPr>
          <w:rFonts w:hint="eastAsia" w:ascii="宋体" w:hAnsi="宋体" w:cs="宋体"/>
          <w:color w:val="auto"/>
          <w:szCs w:val="21"/>
          <w:highlight w:val="none"/>
          <w:u w:val="single"/>
        </w:rPr>
        <w:t>               </w:t>
      </w:r>
      <w:r>
        <w:rPr>
          <w:rFonts w:hint="eastAsia" w:ascii="宋体" w:hAnsi="宋体" w:cs="宋体"/>
          <w:color w:val="auto"/>
          <w:kern w:val="0"/>
          <w:szCs w:val="21"/>
          <w:highlight w:val="none"/>
        </w:rPr>
        <w:t>。</w:t>
      </w:r>
    </w:p>
    <w:p w14:paraId="48ECE977">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承包人接收文件的地点：</w:t>
      </w:r>
      <w:r>
        <w:rPr>
          <w:rFonts w:hint="eastAsia" w:ascii="宋体" w:hAnsi="宋体" w:cs="宋体"/>
          <w:color w:val="auto"/>
          <w:szCs w:val="21"/>
          <w:highlight w:val="none"/>
          <w:u w:val="single"/>
        </w:rPr>
        <w:t>             </w:t>
      </w:r>
      <w:r>
        <w:rPr>
          <w:rFonts w:hint="eastAsia" w:ascii="宋体" w:hAnsi="宋体" w:cs="宋体"/>
          <w:color w:val="auto"/>
          <w:kern w:val="0"/>
          <w:szCs w:val="21"/>
          <w:highlight w:val="none"/>
        </w:rPr>
        <w:t>；</w:t>
      </w:r>
    </w:p>
    <w:p w14:paraId="7E190EEC">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承包人指定的接收人为：</w:t>
      </w:r>
      <w:r>
        <w:rPr>
          <w:rFonts w:hint="eastAsia" w:ascii="宋体" w:hAnsi="宋体" w:cs="宋体"/>
          <w:color w:val="auto"/>
          <w:szCs w:val="21"/>
          <w:highlight w:val="none"/>
          <w:u w:val="single"/>
        </w:rPr>
        <w:t>             </w:t>
      </w:r>
      <w:r>
        <w:rPr>
          <w:rFonts w:hint="eastAsia" w:ascii="宋体" w:hAnsi="宋体" w:cs="宋体"/>
          <w:color w:val="auto"/>
          <w:kern w:val="0"/>
          <w:szCs w:val="21"/>
          <w:highlight w:val="none"/>
        </w:rPr>
        <w:t>。</w:t>
      </w:r>
    </w:p>
    <w:p w14:paraId="3543521E">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监理人接收文件的地点：</w:t>
      </w:r>
      <w:r>
        <w:rPr>
          <w:rFonts w:hint="eastAsia" w:ascii="宋体" w:hAnsi="宋体" w:cs="宋体"/>
          <w:color w:val="auto"/>
          <w:szCs w:val="21"/>
          <w:highlight w:val="none"/>
          <w:u w:val="single"/>
        </w:rPr>
        <w:t>            </w:t>
      </w:r>
      <w:r>
        <w:rPr>
          <w:rFonts w:hint="eastAsia" w:ascii="宋体" w:hAnsi="宋体" w:cs="宋体"/>
          <w:color w:val="auto"/>
          <w:kern w:val="0"/>
          <w:szCs w:val="21"/>
          <w:highlight w:val="none"/>
        </w:rPr>
        <w:t>；</w:t>
      </w:r>
    </w:p>
    <w:p w14:paraId="51419213">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监理人指定的接收人为：</w:t>
      </w:r>
      <w:r>
        <w:rPr>
          <w:rFonts w:hint="eastAsia" w:ascii="宋体" w:hAnsi="宋体" w:cs="宋体"/>
          <w:color w:val="auto"/>
          <w:szCs w:val="21"/>
          <w:highlight w:val="none"/>
          <w:u w:val="single"/>
        </w:rPr>
        <w:t>            </w:t>
      </w:r>
      <w:r>
        <w:rPr>
          <w:rFonts w:hint="eastAsia" w:ascii="宋体" w:hAnsi="宋体" w:cs="宋体"/>
          <w:color w:val="auto"/>
          <w:kern w:val="0"/>
          <w:szCs w:val="21"/>
          <w:highlight w:val="none"/>
        </w:rPr>
        <w:t>。</w:t>
      </w:r>
    </w:p>
    <w:p w14:paraId="2509F62F">
      <w:pPr>
        <w:snapToGrid w:val="0"/>
        <w:spacing w:line="360" w:lineRule="auto"/>
        <w:ind w:firstLine="420" w:firstLineChars="200"/>
        <w:outlineLvl w:val="0"/>
        <w:rPr>
          <w:rFonts w:ascii="宋体" w:hAnsi="宋体" w:cs="宋体"/>
          <w:color w:val="auto"/>
          <w:szCs w:val="21"/>
          <w:highlight w:val="none"/>
        </w:rPr>
      </w:pPr>
      <w:bookmarkStart w:id="529" w:name="_Toc2103"/>
      <w:r>
        <w:rPr>
          <w:rFonts w:hint="eastAsia" w:ascii="宋体" w:hAnsi="宋体" w:cs="宋体"/>
          <w:color w:val="auto"/>
          <w:szCs w:val="21"/>
          <w:highlight w:val="none"/>
        </w:rPr>
        <w:t>1.10 交通运输</w:t>
      </w:r>
      <w:bookmarkEnd w:id="529"/>
    </w:p>
    <w:p w14:paraId="1F87FBC9">
      <w:pPr>
        <w:snapToGrid w:val="0"/>
        <w:spacing w:line="360" w:lineRule="auto"/>
        <w:ind w:firstLine="420" w:firstLineChars="200"/>
        <w:outlineLvl w:val="0"/>
        <w:rPr>
          <w:rFonts w:ascii="宋体" w:hAnsi="宋体" w:cs="宋体"/>
          <w:color w:val="auto"/>
          <w:szCs w:val="21"/>
          <w:highlight w:val="none"/>
        </w:rPr>
      </w:pPr>
      <w:bookmarkStart w:id="530" w:name="_Toc3676"/>
      <w:r>
        <w:rPr>
          <w:rFonts w:hint="eastAsia" w:ascii="宋体" w:hAnsi="宋体" w:cs="宋体"/>
          <w:color w:val="auto"/>
          <w:szCs w:val="21"/>
          <w:highlight w:val="none"/>
        </w:rPr>
        <w:t>1</w:t>
      </w:r>
      <w:bookmarkStart w:id="531" w:name="_Toc312677986"/>
      <w:bookmarkStart w:id="532" w:name="_Toc300934943"/>
      <w:bookmarkStart w:id="533" w:name="_Toc318581155"/>
      <w:bookmarkStart w:id="534" w:name="_Toc304295521"/>
      <w:bookmarkStart w:id="535" w:name="_Toc303539100"/>
      <w:r>
        <w:rPr>
          <w:rFonts w:hint="eastAsia" w:ascii="宋体" w:hAnsi="宋体" w:cs="宋体"/>
          <w:color w:val="auto"/>
          <w:szCs w:val="21"/>
          <w:highlight w:val="none"/>
        </w:rPr>
        <w:t>.10.1 出入现场的权利</w:t>
      </w:r>
      <w:bookmarkEnd w:id="530"/>
    </w:p>
    <w:p w14:paraId="472421B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关于出入现场的权利的约定：</w:t>
      </w:r>
      <w:r>
        <w:rPr>
          <w:rFonts w:hint="eastAsia" w:ascii="宋体" w:hAnsi="宋体"/>
          <w:color w:val="auto"/>
          <w:szCs w:val="21"/>
          <w:highlight w:val="none"/>
          <w:u w:val="single"/>
        </w:rPr>
        <w:t>执行通用条款</w:t>
      </w:r>
      <w:r>
        <w:rPr>
          <w:rFonts w:hint="eastAsia" w:ascii="宋体" w:hAnsi="宋体" w:cs="宋体"/>
          <w:color w:val="auto"/>
          <w:szCs w:val="21"/>
          <w:highlight w:val="none"/>
        </w:rPr>
        <w:t>。</w:t>
      </w:r>
    </w:p>
    <w:bookmarkEnd w:id="531"/>
    <w:bookmarkEnd w:id="532"/>
    <w:bookmarkEnd w:id="533"/>
    <w:bookmarkEnd w:id="534"/>
    <w:bookmarkEnd w:id="535"/>
    <w:p w14:paraId="46C2D9D9">
      <w:pPr>
        <w:snapToGrid w:val="0"/>
        <w:spacing w:line="360" w:lineRule="auto"/>
        <w:ind w:firstLine="420" w:firstLineChars="200"/>
        <w:jc w:val="left"/>
        <w:outlineLvl w:val="0"/>
        <w:rPr>
          <w:rFonts w:ascii="宋体" w:hAnsi="宋体" w:cs="宋体"/>
          <w:color w:val="auto"/>
          <w:szCs w:val="21"/>
          <w:highlight w:val="none"/>
        </w:rPr>
      </w:pPr>
      <w:bookmarkStart w:id="536" w:name="_Toc4351"/>
      <w:r>
        <w:rPr>
          <w:rFonts w:hint="eastAsia" w:ascii="宋体" w:hAnsi="宋体" w:cs="宋体"/>
          <w:color w:val="auto"/>
          <w:szCs w:val="21"/>
          <w:highlight w:val="none"/>
        </w:rPr>
        <w:t>1</w:t>
      </w:r>
      <w:bookmarkStart w:id="537" w:name="_Toc300934944"/>
      <w:bookmarkStart w:id="538" w:name="_Toc304295522"/>
      <w:bookmarkStart w:id="539" w:name="_Toc312677987"/>
      <w:bookmarkStart w:id="540" w:name="_Toc318581156"/>
      <w:bookmarkStart w:id="541" w:name="_Toc303539101"/>
      <w:r>
        <w:rPr>
          <w:rFonts w:hint="eastAsia" w:ascii="宋体" w:hAnsi="宋体" w:cs="宋体"/>
          <w:color w:val="auto"/>
          <w:szCs w:val="21"/>
          <w:highlight w:val="none"/>
        </w:rPr>
        <w:t>.10.3 场内交通</w:t>
      </w:r>
      <w:bookmarkEnd w:id="536"/>
    </w:p>
    <w:p w14:paraId="064EA588">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关于场外交通和场内交通的边界的约定：</w:t>
      </w:r>
      <w:r>
        <w:rPr>
          <w:rFonts w:hint="eastAsia" w:ascii="宋体" w:hAnsi="宋体" w:cs="宋体"/>
          <w:bCs/>
          <w:color w:val="auto"/>
          <w:kern w:val="0"/>
          <w:highlight w:val="none"/>
          <w:u w:val="single"/>
          <w:lang w:val="en-US" w:eastAsia="zh-CN"/>
        </w:rPr>
        <w:t xml:space="preserve">  </w:t>
      </w:r>
      <w:r>
        <w:rPr>
          <w:rFonts w:hint="eastAsia" w:ascii="宋体" w:hAnsi="宋体" w:cs="宋体"/>
          <w:color w:val="auto"/>
          <w:szCs w:val="21"/>
          <w:highlight w:val="none"/>
        </w:rPr>
        <w:t>。</w:t>
      </w:r>
    </w:p>
    <w:p w14:paraId="51287D1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关于发包人向承包人免费提供满足工程施工需要的场内道路和交通设施的约定：</w:t>
      </w:r>
      <w:r>
        <w:rPr>
          <w:rFonts w:hint="eastAsia" w:ascii="宋体" w:hAnsi="宋体"/>
          <w:color w:val="auto"/>
          <w:szCs w:val="21"/>
          <w:highlight w:val="none"/>
          <w:u w:val="single"/>
        </w:rPr>
        <w:t>执行通用条款</w:t>
      </w:r>
      <w:r>
        <w:rPr>
          <w:rFonts w:hint="eastAsia" w:ascii="宋体" w:hAnsi="宋体" w:cs="宋体"/>
          <w:color w:val="auto"/>
          <w:szCs w:val="21"/>
          <w:highlight w:val="none"/>
        </w:rPr>
        <w:t>。</w:t>
      </w:r>
      <w:bookmarkEnd w:id="537"/>
      <w:bookmarkEnd w:id="538"/>
      <w:bookmarkEnd w:id="539"/>
      <w:bookmarkEnd w:id="540"/>
      <w:bookmarkEnd w:id="541"/>
      <w:r>
        <w:rPr>
          <w:rFonts w:hint="eastAsia" w:ascii="宋体" w:hAnsi="宋体" w:cs="宋体"/>
          <w:color w:val="auto"/>
          <w:szCs w:val="21"/>
          <w:highlight w:val="none"/>
        </w:rPr>
        <w:t xml:space="preserve">  </w:t>
      </w:r>
      <w:bookmarkStart w:id="542" w:name="_Toc318581157"/>
    </w:p>
    <w:p w14:paraId="11B77BE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1.10.4超大件和超重件的运输</w:t>
      </w:r>
    </w:p>
    <w:p w14:paraId="276A900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运输超大件或超重件所需的道路和桥梁临时加固改造费用和其他有关费用由</w:t>
      </w:r>
      <w:r>
        <w:rPr>
          <w:rFonts w:hint="eastAsia" w:ascii="宋体" w:hAnsi="宋体" w:cs="宋体"/>
          <w:color w:val="auto"/>
          <w:szCs w:val="21"/>
          <w:highlight w:val="none"/>
          <w:u w:val="single"/>
          <w:lang w:val="en-US" w:eastAsia="zh-CN"/>
        </w:rPr>
        <w:t>承包人</w:t>
      </w:r>
      <w:r>
        <w:rPr>
          <w:rFonts w:hint="eastAsia" w:ascii="宋体" w:hAnsi="宋体" w:cs="宋体"/>
          <w:color w:val="auto"/>
          <w:szCs w:val="21"/>
          <w:highlight w:val="none"/>
        </w:rPr>
        <w:t>承担。</w:t>
      </w:r>
    </w:p>
    <w:bookmarkEnd w:id="542"/>
    <w:p w14:paraId="45885382">
      <w:pPr>
        <w:snapToGrid w:val="0"/>
        <w:spacing w:line="360" w:lineRule="auto"/>
        <w:ind w:firstLine="420" w:firstLineChars="200"/>
        <w:outlineLvl w:val="0"/>
        <w:rPr>
          <w:rFonts w:ascii="宋体" w:hAnsi="宋体" w:cs="宋体"/>
          <w:color w:val="auto"/>
          <w:szCs w:val="21"/>
          <w:highlight w:val="none"/>
        </w:rPr>
      </w:pPr>
      <w:bookmarkStart w:id="543" w:name="_Toc11222"/>
      <w:r>
        <w:rPr>
          <w:rFonts w:hint="eastAsia" w:ascii="宋体" w:hAnsi="宋体" w:cs="宋体"/>
          <w:color w:val="auto"/>
          <w:szCs w:val="21"/>
          <w:highlight w:val="none"/>
        </w:rPr>
        <w:t>1.11 知识产权</w:t>
      </w:r>
      <w:bookmarkEnd w:id="543"/>
    </w:p>
    <w:p w14:paraId="667C3FD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olor w:val="auto"/>
          <w:szCs w:val="21"/>
          <w:highlight w:val="none"/>
        </w:rPr>
        <w:t>执行通用条款</w:t>
      </w:r>
      <w:r>
        <w:rPr>
          <w:rFonts w:hint="eastAsia" w:ascii="宋体" w:hAnsi="宋体" w:cs="宋体"/>
          <w:color w:val="auto"/>
          <w:szCs w:val="21"/>
          <w:highlight w:val="none"/>
        </w:rPr>
        <w:t>。</w:t>
      </w:r>
    </w:p>
    <w:p w14:paraId="6B9EFC6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关于发包人提供的上述文件的使用限制的要求：</w:t>
      </w:r>
      <w:r>
        <w:rPr>
          <w:rFonts w:hint="eastAsia" w:ascii="宋体" w:hAnsi="宋体"/>
          <w:color w:val="auto"/>
          <w:szCs w:val="21"/>
          <w:highlight w:val="none"/>
        </w:rPr>
        <w:t>执行通用条款</w:t>
      </w:r>
      <w:r>
        <w:rPr>
          <w:rFonts w:hint="eastAsia" w:ascii="宋体" w:hAnsi="宋体" w:cs="宋体"/>
          <w:color w:val="auto"/>
          <w:szCs w:val="21"/>
          <w:highlight w:val="none"/>
        </w:rPr>
        <w:t>。</w:t>
      </w:r>
    </w:p>
    <w:p w14:paraId="1D27B51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1.11.2 关于承包人为实施工程所编制文件的著作权的归属：</w:t>
      </w:r>
      <w:r>
        <w:rPr>
          <w:rFonts w:hint="eastAsia" w:ascii="宋体" w:hAnsi="宋体"/>
          <w:color w:val="auto"/>
          <w:szCs w:val="21"/>
          <w:highlight w:val="none"/>
        </w:rPr>
        <w:t>执行通用条款</w:t>
      </w:r>
      <w:r>
        <w:rPr>
          <w:rFonts w:hint="eastAsia" w:ascii="宋体" w:hAnsi="宋体" w:cs="宋体"/>
          <w:color w:val="auto"/>
          <w:szCs w:val="21"/>
          <w:highlight w:val="none"/>
        </w:rPr>
        <w:t>。</w:t>
      </w:r>
    </w:p>
    <w:p w14:paraId="06D5114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关于承包人提供的上述文件的使用限制的要求：</w:t>
      </w:r>
      <w:r>
        <w:rPr>
          <w:rFonts w:hint="eastAsia" w:ascii="宋体" w:hAnsi="宋体"/>
          <w:color w:val="auto"/>
          <w:szCs w:val="21"/>
          <w:highlight w:val="none"/>
        </w:rPr>
        <w:t>执行通用条款</w:t>
      </w:r>
      <w:r>
        <w:rPr>
          <w:rFonts w:hint="eastAsia" w:ascii="宋体" w:hAnsi="宋体" w:cs="宋体"/>
          <w:color w:val="auto"/>
          <w:szCs w:val="21"/>
          <w:highlight w:val="none"/>
        </w:rPr>
        <w:t>。</w:t>
      </w:r>
    </w:p>
    <w:p w14:paraId="5520A4DF">
      <w:pPr>
        <w:snapToGrid w:val="0"/>
        <w:spacing w:line="360" w:lineRule="auto"/>
        <w:ind w:firstLine="420" w:firstLineChars="200"/>
        <w:outlineLvl w:val="0"/>
        <w:rPr>
          <w:rFonts w:ascii="宋体" w:hAnsi="宋体" w:cs="宋体"/>
          <w:color w:val="auto"/>
          <w:kern w:val="0"/>
          <w:szCs w:val="21"/>
          <w:highlight w:val="none"/>
        </w:rPr>
      </w:pPr>
      <w:bookmarkStart w:id="544" w:name="_Toc3390"/>
      <w:r>
        <w:rPr>
          <w:rFonts w:hint="eastAsia" w:ascii="宋体" w:hAnsi="宋体" w:cs="宋体"/>
          <w:color w:val="auto"/>
          <w:szCs w:val="21"/>
          <w:highlight w:val="none"/>
        </w:rPr>
        <w:t>1.11.4 承包人在施工过程中所采用的专利、专有技术、技术秘密的使用费的承担方式：</w:t>
      </w:r>
      <w:r>
        <w:rPr>
          <w:rFonts w:hint="eastAsia" w:ascii="宋体" w:hAnsi="宋体"/>
          <w:color w:val="auto"/>
          <w:szCs w:val="21"/>
          <w:highlight w:val="none"/>
        </w:rPr>
        <w:t>执行通用条款</w:t>
      </w:r>
      <w:r>
        <w:rPr>
          <w:rFonts w:hint="eastAsia" w:ascii="宋体" w:hAnsi="宋体" w:cs="宋体"/>
          <w:color w:val="auto"/>
          <w:kern w:val="0"/>
          <w:szCs w:val="21"/>
          <w:highlight w:val="none"/>
        </w:rPr>
        <w:t>。</w:t>
      </w:r>
      <w:bookmarkEnd w:id="544"/>
    </w:p>
    <w:p w14:paraId="0D55DF4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1.13工程量清单错误的修正</w:t>
      </w:r>
    </w:p>
    <w:p w14:paraId="62751B0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出现工程量清单错误时，是否调整合同价格：</w:t>
      </w:r>
      <w:r>
        <w:rPr>
          <w:rFonts w:hint="eastAsia" w:ascii="宋体" w:hAnsi="宋体" w:cs="宋体"/>
          <w:color w:val="auto"/>
          <w:szCs w:val="21"/>
          <w:highlight w:val="none"/>
          <w:u w:val="single"/>
          <w:lang w:val="en-US" w:eastAsia="zh-CN"/>
        </w:rPr>
        <w:t>/</w:t>
      </w:r>
      <w:r>
        <w:rPr>
          <w:rFonts w:hint="eastAsia" w:ascii="宋体" w:hAnsi="宋体" w:cs="宋体"/>
          <w:color w:val="auto"/>
          <w:kern w:val="0"/>
          <w:szCs w:val="21"/>
          <w:highlight w:val="none"/>
        </w:rPr>
        <w:t>。</w:t>
      </w:r>
    </w:p>
    <w:p w14:paraId="7B3FC81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允许调整合同价格的工程量偏差范围：</w:t>
      </w:r>
      <w:r>
        <w:rPr>
          <w:rFonts w:hint="eastAsia" w:ascii="宋体" w:hAnsi="宋体" w:cs="宋体"/>
          <w:color w:val="auto"/>
          <w:szCs w:val="21"/>
          <w:highlight w:val="none"/>
          <w:u w:val="single"/>
          <w:lang w:val="en-US" w:eastAsia="zh-CN"/>
        </w:rPr>
        <w:t>/</w:t>
      </w:r>
      <w:r>
        <w:rPr>
          <w:rFonts w:hint="eastAsia" w:ascii="宋体" w:hAnsi="宋体" w:cs="宋体"/>
          <w:color w:val="auto"/>
          <w:kern w:val="0"/>
          <w:szCs w:val="21"/>
          <w:highlight w:val="none"/>
        </w:rPr>
        <w:t>。</w:t>
      </w:r>
    </w:p>
    <w:p w14:paraId="4B262667">
      <w:pPr>
        <w:pStyle w:val="5"/>
        <w:snapToGrid w:val="0"/>
        <w:spacing w:before="0" w:after="0" w:line="360" w:lineRule="auto"/>
        <w:rPr>
          <w:rFonts w:ascii="宋体" w:hAnsi="宋体" w:eastAsia="宋体" w:cs="宋体"/>
          <w:b w:val="0"/>
          <w:color w:val="auto"/>
          <w:sz w:val="21"/>
          <w:szCs w:val="21"/>
          <w:highlight w:val="none"/>
        </w:rPr>
      </w:pPr>
      <w:bookmarkStart w:id="545" w:name="_Toc351203634"/>
      <w:r>
        <w:rPr>
          <w:rFonts w:hint="eastAsia" w:ascii="宋体" w:hAnsi="宋体" w:eastAsia="宋体" w:cs="宋体"/>
          <w:b w:val="0"/>
          <w:color w:val="auto"/>
          <w:sz w:val="21"/>
          <w:szCs w:val="21"/>
          <w:highlight w:val="none"/>
        </w:rPr>
        <w:t>2</w:t>
      </w:r>
      <w:bookmarkStart w:id="546" w:name="_Toc296944496"/>
      <w:bookmarkStart w:id="547" w:name="_Toc296346658"/>
      <w:bookmarkStart w:id="548" w:name="_Toc296503157"/>
      <w:bookmarkStart w:id="549" w:name="_Toc297048343"/>
      <w:bookmarkStart w:id="550" w:name="_Toc297120457"/>
      <w:bookmarkStart w:id="551" w:name="_Toc296891197"/>
      <w:bookmarkStart w:id="552" w:name="_Toc292559867"/>
      <w:bookmarkStart w:id="553" w:name="_Toc296347156"/>
      <w:bookmarkStart w:id="554" w:name="_Toc292559362"/>
      <w:bookmarkStart w:id="555" w:name="_Toc296890985"/>
      <w:r>
        <w:rPr>
          <w:rFonts w:hint="eastAsia" w:ascii="宋体" w:hAnsi="宋体" w:eastAsia="宋体" w:cs="宋体"/>
          <w:b w:val="0"/>
          <w:color w:val="auto"/>
          <w:sz w:val="21"/>
          <w:szCs w:val="21"/>
          <w:highlight w:val="none"/>
        </w:rPr>
        <w:t>. 发包人</w:t>
      </w:r>
      <w:bookmarkEnd w:id="545"/>
    </w:p>
    <w:bookmarkEnd w:id="546"/>
    <w:bookmarkEnd w:id="547"/>
    <w:bookmarkEnd w:id="548"/>
    <w:bookmarkEnd w:id="549"/>
    <w:bookmarkEnd w:id="550"/>
    <w:bookmarkEnd w:id="551"/>
    <w:bookmarkEnd w:id="552"/>
    <w:bookmarkEnd w:id="553"/>
    <w:bookmarkEnd w:id="554"/>
    <w:bookmarkEnd w:id="555"/>
    <w:p w14:paraId="38982222">
      <w:pPr>
        <w:snapToGrid w:val="0"/>
        <w:spacing w:line="360" w:lineRule="auto"/>
        <w:ind w:firstLine="420" w:firstLineChars="200"/>
        <w:outlineLvl w:val="0"/>
        <w:rPr>
          <w:rFonts w:ascii="宋体" w:hAnsi="宋体" w:cs="宋体"/>
          <w:color w:val="auto"/>
          <w:szCs w:val="21"/>
          <w:highlight w:val="none"/>
        </w:rPr>
      </w:pPr>
      <w:bookmarkStart w:id="556" w:name="_Toc17580"/>
      <w:r>
        <w:rPr>
          <w:rFonts w:hint="eastAsia" w:ascii="宋体" w:hAnsi="宋体" w:cs="宋体"/>
          <w:color w:val="auto"/>
          <w:szCs w:val="21"/>
          <w:highlight w:val="none"/>
        </w:rPr>
        <w:t>2.2 发包人代表</w:t>
      </w:r>
      <w:bookmarkEnd w:id="556"/>
    </w:p>
    <w:p w14:paraId="213DD04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发包人代表：</w:t>
      </w:r>
    </w:p>
    <w:p w14:paraId="1CE0435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0DEE00E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4CB2E35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20D3D2A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55EAEB2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65B53EE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38829096">
      <w:pPr>
        <w:snapToGrid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发包人对发包人代表的授权范围如下：</w:t>
      </w:r>
      <w:r>
        <w:rPr>
          <w:rFonts w:hint="eastAsia" w:ascii="宋体" w:hAnsi="宋体" w:cs="宋体"/>
          <w:bCs/>
          <w:color w:val="auto"/>
          <w:highlight w:val="none"/>
          <w:u w:val="single"/>
        </w:rPr>
        <w:t>代表发包人履行发包人对工程建设管理的权利和义务，签发（或会签）各项工程联系单，对承包人有监督、协调的权利。工程价款洽商、索赔事项的处理、合同的变更等事项，由发包人代表完成，但需经发包人同意</w:t>
      </w:r>
      <w:r>
        <w:rPr>
          <w:rFonts w:hint="eastAsia" w:ascii="宋体" w:hAnsi="宋体" w:cs="宋体"/>
          <w:color w:val="auto"/>
          <w:szCs w:val="21"/>
          <w:highlight w:val="none"/>
        </w:rPr>
        <w:t>。</w:t>
      </w:r>
    </w:p>
    <w:p w14:paraId="049B6B9F">
      <w:pPr>
        <w:snapToGrid w:val="0"/>
        <w:spacing w:line="360" w:lineRule="auto"/>
        <w:ind w:firstLine="420" w:firstLineChars="200"/>
        <w:outlineLvl w:val="0"/>
        <w:rPr>
          <w:rFonts w:ascii="宋体" w:hAnsi="宋体" w:cs="宋体"/>
          <w:color w:val="auto"/>
          <w:szCs w:val="21"/>
          <w:highlight w:val="none"/>
        </w:rPr>
      </w:pPr>
      <w:bookmarkStart w:id="557" w:name="_Toc30494"/>
      <w:r>
        <w:rPr>
          <w:rFonts w:hint="eastAsia" w:ascii="宋体" w:hAnsi="宋体" w:cs="宋体"/>
          <w:color w:val="auto"/>
          <w:szCs w:val="21"/>
          <w:highlight w:val="none"/>
        </w:rPr>
        <w:t>2.4 施工现场、施工条件和基础资料的提供</w:t>
      </w:r>
      <w:bookmarkEnd w:id="557"/>
    </w:p>
    <w:p w14:paraId="5542F91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 提供施工现场</w:t>
      </w:r>
    </w:p>
    <w:p w14:paraId="653B25C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关于发包人移交施工现场的期限要求：</w:t>
      </w:r>
      <w:r>
        <w:rPr>
          <w:rFonts w:hint="eastAsia" w:ascii="宋体" w:hAnsi="宋体"/>
          <w:color w:val="auto"/>
          <w:szCs w:val="21"/>
          <w:highlight w:val="none"/>
          <w:u w:val="single"/>
        </w:rPr>
        <w:t>/</w:t>
      </w:r>
      <w:r>
        <w:rPr>
          <w:rFonts w:hint="eastAsia" w:ascii="宋体" w:hAnsi="宋体" w:cs="宋体"/>
          <w:color w:val="auto"/>
          <w:szCs w:val="21"/>
          <w:highlight w:val="none"/>
        </w:rPr>
        <w:t>。</w:t>
      </w:r>
    </w:p>
    <w:p w14:paraId="5EF0BF1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 提供施工条件</w:t>
      </w:r>
    </w:p>
    <w:p w14:paraId="4B8F8A8F">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关于发包人应负责提供施工所需要的条件，包括：</w:t>
      </w:r>
      <w:r>
        <w:rPr>
          <w:rFonts w:hint="eastAsia" w:ascii="宋体" w:hAnsi="宋体"/>
          <w:color w:val="auto"/>
          <w:szCs w:val="21"/>
          <w:highlight w:val="none"/>
          <w:u w:val="single"/>
        </w:rPr>
        <w:t>/</w:t>
      </w:r>
      <w:r>
        <w:rPr>
          <w:rFonts w:hint="eastAsia" w:ascii="宋体" w:hAnsi="宋体" w:cs="宋体"/>
          <w:color w:val="auto"/>
          <w:szCs w:val="21"/>
          <w:highlight w:val="none"/>
        </w:rPr>
        <w:t>。</w:t>
      </w:r>
    </w:p>
    <w:p w14:paraId="2CD61A87">
      <w:pPr>
        <w:snapToGrid w:val="0"/>
        <w:spacing w:line="360" w:lineRule="auto"/>
        <w:ind w:firstLine="420" w:firstLineChars="200"/>
        <w:outlineLvl w:val="0"/>
        <w:rPr>
          <w:rFonts w:ascii="宋体" w:hAnsi="宋体" w:cs="宋体"/>
          <w:color w:val="auto"/>
          <w:szCs w:val="21"/>
          <w:highlight w:val="none"/>
        </w:rPr>
      </w:pPr>
      <w:bookmarkStart w:id="558" w:name="_Toc21129"/>
      <w:r>
        <w:rPr>
          <w:rFonts w:hint="eastAsia" w:ascii="宋体" w:hAnsi="宋体" w:cs="宋体"/>
          <w:color w:val="auto"/>
          <w:szCs w:val="21"/>
          <w:highlight w:val="none"/>
        </w:rPr>
        <w:t>2.5 资金来源证明及支付担保</w:t>
      </w:r>
      <w:bookmarkEnd w:id="558"/>
    </w:p>
    <w:p w14:paraId="1737AED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发包人提供资金来源证明的期限要求：</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rPr>
        <w:t>。</w:t>
      </w:r>
    </w:p>
    <w:p w14:paraId="430C1CB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发包人是否提供支付担保：</w:t>
      </w:r>
      <w:r>
        <w:rPr>
          <w:rFonts w:hint="eastAsia" w:ascii="宋体" w:hAnsi="宋体" w:cs="宋体"/>
          <w:color w:val="auto"/>
          <w:szCs w:val="21"/>
          <w:highlight w:val="none"/>
          <w:u w:val="single"/>
          <w:lang w:val="en-US" w:eastAsia="zh-CN"/>
        </w:rPr>
        <w:t>否</w:t>
      </w:r>
      <w:r>
        <w:rPr>
          <w:rFonts w:hint="eastAsia" w:ascii="宋体" w:hAnsi="宋体" w:cs="宋体"/>
          <w:color w:val="auto"/>
          <w:szCs w:val="21"/>
          <w:highlight w:val="none"/>
        </w:rPr>
        <w:t>。</w:t>
      </w:r>
    </w:p>
    <w:p w14:paraId="1782EA11">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发包人提供支付担保的形式：</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rPr>
        <w:t>。</w:t>
      </w:r>
    </w:p>
    <w:p w14:paraId="5D37477A">
      <w:pPr>
        <w:pStyle w:val="5"/>
        <w:snapToGrid w:val="0"/>
        <w:spacing w:before="0" w:after="0" w:line="360" w:lineRule="auto"/>
        <w:rPr>
          <w:rFonts w:ascii="宋体" w:hAnsi="宋体" w:eastAsia="宋体" w:cs="宋体"/>
          <w:b w:val="0"/>
          <w:color w:val="auto"/>
          <w:sz w:val="21"/>
          <w:szCs w:val="21"/>
          <w:highlight w:val="none"/>
        </w:rPr>
      </w:pPr>
      <w:bookmarkStart w:id="559" w:name="_Toc351203635"/>
      <w:r>
        <w:rPr>
          <w:rFonts w:hint="eastAsia" w:ascii="宋体" w:hAnsi="宋体" w:eastAsia="宋体" w:cs="宋体"/>
          <w:b w:val="0"/>
          <w:color w:val="auto"/>
          <w:sz w:val="21"/>
          <w:szCs w:val="21"/>
          <w:highlight w:val="none"/>
        </w:rPr>
        <w:t>3</w:t>
      </w:r>
      <w:bookmarkStart w:id="560" w:name="_Toc296890986"/>
      <w:bookmarkStart w:id="561" w:name="_Toc292559363"/>
      <w:bookmarkStart w:id="562" w:name="_Toc296944497"/>
      <w:bookmarkStart w:id="563" w:name="_Toc296891198"/>
      <w:bookmarkStart w:id="564" w:name="_Toc297048344"/>
      <w:bookmarkStart w:id="565" w:name="_Toc297120458"/>
      <w:bookmarkStart w:id="566" w:name="_Toc296347157"/>
      <w:bookmarkStart w:id="567" w:name="_Toc292559868"/>
      <w:bookmarkStart w:id="568" w:name="_Toc296503158"/>
      <w:bookmarkStart w:id="569" w:name="_Toc296346659"/>
      <w:r>
        <w:rPr>
          <w:rFonts w:hint="eastAsia" w:ascii="宋体" w:hAnsi="宋体" w:eastAsia="宋体" w:cs="宋体"/>
          <w:b w:val="0"/>
          <w:color w:val="auto"/>
          <w:sz w:val="21"/>
          <w:szCs w:val="21"/>
          <w:highlight w:val="none"/>
        </w:rPr>
        <w:t>. 承包人</w:t>
      </w:r>
      <w:bookmarkEnd w:id="559"/>
    </w:p>
    <w:bookmarkEnd w:id="560"/>
    <w:bookmarkEnd w:id="561"/>
    <w:bookmarkEnd w:id="562"/>
    <w:bookmarkEnd w:id="563"/>
    <w:bookmarkEnd w:id="564"/>
    <w:bookmarkEnd w:id="565"/>
    <w:bookmarkEnd w:id="566"/>
    <w:bookmarkEnd w:id="567"/>
    <w:bookmarkEnd w:id="568"/>
    <w:bookmarkEnd w:id="569"/>
    <w:p w14:paraId="05112D2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 承包人的一般义务</w:t>
      </w:r>
    </w:p>
    <w:p w14:paraId="57DE5D1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（9）</w:t>
      </w:r>
      <w:r>
        <w:rPr>
          <w:rFonts w:hint="eastAsia" w:ascii="宋体" w:hAnsi="宋体" w:cs="宋体"/>
          <w:color w:val="auto"/>
          <w:szCs w:val="21"/>
          <w:highlight w:val="none"/>
        </w:rPr>
        <w:t>承包人提交的竣工资料的内容：完整竣工验收资料及竣工验收报告、竣工图。</w:t>
      </w:r>
    </w:p>
    <w:p w14:paraId="64106AC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承包人需要提交的竣工资料套数：一式肆份。</w:t>
      </w:r>
    </w:p>
    <w:p w14:paraId="6D561A4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承包人提交的竣工资料的费用承担：承包人。</w:t>
      </w:r>
    </w:p>
    <w:p w14:paraId="1046737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承包人提交的竣工资料移交时间：工程具备竣工验收条件后30天内。</w:t>
      </w:r>
    </w:p>
    <w:p w14:paraId="53DDDBE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承包人提交的竣工资料形式要求：</w:t>
      </w:r>
      <w:r>
        <w:rPr>
          <w:rFonts w:hint="eastAsia" w:ascii="宋体" w:hAnsi="宋体" w:cs="宋体"/>
          <w:color w:val="auto"/>
          <w:szCs w:val="21"/>
          <w:highlight w:val="none"/>
          <w:u w:val="single"/>
          <w:lang w:val="en-US" w:eastAsia="zh-CN"/>
        </w:rPr>
        <w:t>纸质</w:t>
      </w:r>
      <w:r>
        <w:rPr>
          <w:rFonts w:hint="eastAsia" w:ascii="宋体" w:hAnsi="宋体" w:cs="宋体"/>
          <w:color w:val="auto"/>
          <w:szCs w:val="21"/>
          <w:highlight w:val="none"/>
        </w:rPr>
        <w:t>。</w:t>
      </w:r>
    </w:p>
    <w:p w14:paraId="2838BD07">
      <w:pPr>
        <w:numPr>
          <w:ilvl w:val="0"/>
          <w:numId w:val="5"/>
        </w:numPr>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承包人应履行的其他义务：</w:t>
      </w:r>
    </w:p>
    <w:p w14:paraId="4A5402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承包人应根据工程实际情况配备发电设备，不得因停电影响施工。发包人仅提供水接入点，承包人负责从发包人提供的水接入点到施工现场的供水设施的架设、维护、拆除，相关费用由承包人承担。施工用水、电费用由承包人承担。由发包人提供的水、电设备在施工期间由承包人负责保管，如有丢失或损坏等情况，由承包人按实赔偿。电讯线路及设备由承包人自行解决，并承担该部分费用。</w:t>
      </w:r>
    </w:p>
    <w:p w14:paraId="0FD9F7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包人负责场地内临时道路及出入通道的修建及养护。工程完工前承包人应对因施工造成的已有道路、挡墙、人行道砖、附属设施及由于施工产生的便道等的损坏进行修复，恢复原状，该费用由承包人自行考虑到报价中，结算时不作调整。如不修复，发包人有权委托其他人完成，所需费用从</w:t>
      </w:r>
      <w:r>
        <w:rPr>
          <w:rFonts w:hint="eastAsia" w:ascii="宋体" w:hAnsi="宋体" w:cs="宋体"/>
          <w:color w:val="auto"/>
          <w:kern w:val="0"/>
          <w:szCs w:val="21"/>
          <w:highlight w:val="none"/>
          <w:u w:val="single"/>
        </w:rPr>
        <w:t>合同结算价款</w:t>
      </w:r>
      <w:r>
        <w:rPr>
          <w:rFonts w:hint="eastAsia" w:ascii="宋体" w:hAnsi="宋体" w:cs="宋体"/>
          <w:color w:val="auto"/>
          <w:szCs w:val="21"/>
          <w:highlight w:val="none"/>
        </w:rPr>
        <w:t>中扣除。并应保证发包人免于承担因上述临时道路和设施的使用所引起的补偿费、诉讼费、损害赔偿、指控费及其他开支。</w:t>
      </w:r>
    </w:p>
    <w:p w14:paraId="73188C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3）根据工程需要，提供和维修施工使用的照明、围栏设施，并负责安全保卫，相关费用包含在投标报价中。</w:t>
      </w:r>
    </w:p>
    <w:p w14:paraId="502D56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olor w:val="auto"/>
          <w:szCs w:val="21"/>
          <w:highlight w:val="none"/>
        </w:rPr>
        <w:t>在工程竣工验收合格并正式交付使用前，对已完工程成品的所有保护及费用均由承包人负责，费用包含在承包人的投标报价中。</w:t>
      </w:r>
    </w:p>
    <w:p w14:paraId="7DECD81F">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5）</w:t>
      </w:r>
      <w:r>
        <w:rPr>
          <w:rFonts w:hint="eastAsia" w:ascii="宋体" w:hAnsi="宋体"/>
          <w:color w:val="auto"/>
          <w:szCs w:val="21"/>
          <w:highlight w:val="none"/>
        </w:rPr>
        <w:t>施工场地周围地下管线和邻近建筑物、树木的保护要求及费用承担：承包人应按照发包人要求做好施工场地周围地下管线和邻近建筑物、构筑物（含文物保护建筑）、古树名木的保护工作，并承担相关费用。在发包人提供现场基础资料后，承包人应进一步做好核实调查，并在施工中应充分考虑地下、地上管线及其他建筑物、构筑物的不确定因素，而采用有效的施工方法和加固措施来避免损坏事件发生，相关费用由承包人承担，一旦发生损坏及出现其他损失，承包人承担由此造成的所有直接、间接损失，若承包人不加以修复、赔偿，则发包人将指派他人进行修复工作，由此发生的费用，发包人将从应支付给承包人的款项中扣除。</w:t>
      </w:r>
    </w:p>
    <w:p w14:paraId="761DE941">
      <w:pPr>
        <w:spacing w:line="360" w:lineRule="auto"/>
        <w:ind w:firstLine="420" w:firstLineChars="200"/>
        <w:rPr>
          <w:rFonts w:ascii="宋体" w:hAnsi="宋体"/>
          <w:color w:val="auto"/>
          <w:szCs w:val="21"/>
          <w:highlight w:val="none"/>
        </w:rPr>
      </w:pPr>
      <w:bookmarkStart w:id="570" w:name="_Toc472493651"/>
      <w:bookmarkStart w:id="571" w:name="_Toc431321460"/>
      <w:r>
        <w:rPr>
          <w:rFonts w:hint="eastAsia" w:ascii="宋体" w:hAnsi="宋体" w:cs="宋体"/>
          <w:color w:val="auto"/>
          <w:szCs w:val="21"/>
          <w:highlight w:val="none"/>
        </w:rPr>
        <w:t>6）达到规定的文明施工要求，夜间施工时间应符合建设和环保部门要求。施工场地内建筑垃圾、土方、泥浆及垃圾应按建设单位指定区域堆放，挖填和短驳费用自行考虑计入投标报价中。工程完工移交时，应做好卫生清理，达到发包人的要求。承包人在开工前需根据施工所在地有关规定办理施工现场交通、环卫、</w:t>
      </w:r>
      <w:r>
        <w:rPr>
          <w:rFonts w:hint="eastAsia" w:ascii="宋体" w:hAnsi="宋体"/>
          <w:color w:val="auto"/>
          <w:szCs w:val="21"/>
          <w:highlight w:val="none"/>
        </w:rPr>
        <w:t>市政排污、</w:t>
      </w:r>
      <w:r>
        <w:rPr>
          <w:rFonts w:hint="eastAsia" w:ascii="宋体" w:hAnsi="宋体" w:cs="宋体"/>
          <w:color w:val="auto"/>
          <w:szCs w:val="21"/>
          <w:highlight w:val="none"/>
        </w:rPr>
        <w:t>施工噪音</w:t>
      </w:r>
      <w:r>
        <w:rPr>
          <w:rFonts w:hint="eastAsia" w:ascii="宋体" w:hAnsi="宋体"/>
          <w:color w:val="auto"/>
          <w:szCs w:val="21"/>
          <w:highlight w:val="none"/>
        </w:rPr>
        <w:t>、渣土及泥浆外运</w:t>
      </w:r>
      <w:r>
        <w:rPr>
          <w:rFonts w:hint="eastAsia" w:ascii="宋体" w:hAnsi="宋体" w:cs="宋体"/>
          <w:color w:val="auto"/>
          <w:szCs w:val="21"/>
          <w:highlight w:val="none"/>
        </w:rPr>
        <w:t>等手续，费用由承包人承担</w:t>
      </w:r>
      <w:bookmarkEnd w:id="570"/>
      <w:bookmarkEnd w:id="571"/>
      <w:r>
        <w:rPr>
          <w:rFonts w:hint="eastAsia" w:ascii="宋体" w:hAnsi="宋体"/>
          <w:color w:val="auto"/>
          <w:szCs w:val="21"/>
          <w:highlight w:val="none"/>
        </w:rPr>
        <w:t>。因承包人责任造成不良影响和罚款等均由承包人承担，与发包人无涉。为迎接各种上级检查、领导参观，必须做好场地清洁卫生及其他安全文明措施，费用包含在承包人的投标报价中，不得再向发包人要求增加任何费用。</w:t>
      </w:r>
    </w:p>
    <w:p w14:paraId="02A68719">
      <w:pPr>
        <w:snapToGrid w:val="0"/>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7）承包人有义务承担发包人提出的图纸变更带来的工程量实施工作，承包人对发包人提出的要求承包人工作配合、工程变更等要求，必须在24小时内作出反馈并组织实施，否则承包人将被视作违反合同，发包人有权在承包人工程款中扣除由此而引起的一切费用，直至解除合同</w:t>
      </w:r>
      <w:r>
        <w:rPr>
          <w:rFonts w:hint="eastAsia" w:ascii="宋体" w:hAnsi="宋体" w:cs="宋体"/>
          <w:color w:val="auto"/>
          <w:szCs w:val="21"/>
          <w:highlight w:val="none"/>
        </w:rPr>
        <w:t>。</w:t>
      </w:r>
    </w:p>
    <w:p w14:paraId="30932F7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 项目经理</w:t>
      </w:r>
    </w:p>
    <w:p w14:paraId="3EB8DDD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 xml:space="preserve">3.2.1 </w:t>
      </w:r>
      <w:r>
        <w:rPr>
          <w:rFonts w:hint="eastAsia" w:ascii="宋体" w:hAnsi="宋体" w:cs="宋体"/>
          <w:color w:val="auto"/>
          <w:szCs w:val="21"/>
          <w:highlight w:val="none"/>
        </w:rPr>
        <w:t>项目经理：</w:t>
      </w:r>
    </w:p>
    <w:p w14:paraId="1B5DB75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5BEA13D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44DAC20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建造师执业资格等级：</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35A3D42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建造师注册证书号：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67A3655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建造师执业印章号：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16EED9A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安全生产考核合格证书号：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1F88514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29FFEA1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26BE3C7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3DA0E56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承包人对项目经理的授权范围如下：</w:t>
      </w:r>
      <w:r>
        <w:rPr>
          <w:rFonts w:hint="eastAsia" w:ascii="宋体" w:hAnsi="宋体"/>
          <w:color w:val="auto"/>
          <w:szCs w:val="21"/>
          <w:highlight w:val="none"/>
          <w:u w:val="single"/>
        </w:rPr>
        <w:t>在承包人授权范围内履行承包人的职权，对工程建设的质量、安全、工期以及工程造价控制负责，所有上报给发包人的文件均需项目经理签字</w:t>
      </w:r>
      <w:r>
        <w:rPr>
          <w:rFonts w:hint="eastAsia" w:ascii="宋体" w:hAnsi="宋体" w:cs="宋体"/>
          <w:color w:val="auto"/>
          <w:szCs w:val="21"/>
          <w:highlight w:val="none"/>
        </w:rPr>
        <w:t>。</w:t>
      </w:r>
    </w:p>
    <w:p w14:paraId="7DC33D9C">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关于项目经理每月在施工现场的时间要求：</w:t>
      </w:r>
      <w:r>
        <w:rPr>
          <w:rFonts w:hint="eastAsia" w:ascii="宋体" w:hAnsi="宋体"/>
          <w:color w:val="auto"/>
          <w:szCs w:val="21"/>
          <w:highlight w:val="none"/>
          <w:u w:val="single"/>
        </w:rPr>
        <w:t>/</w:t>
      </w:r>
      <w:r>
        <w:rPr>
          <w:rFonts w:hint="eastAsia" w:ascii="宋体" w:hAnsi="宋体" w:cs="宋体"/>
          <w:color w:val="auto"/>
          <w:szCs w:val="21"/>
          <w:highlight w:val="none"/>
        </w:rPr>
        <w:t>。</w:t>
      </w:r>
    </w:p>
    <w:p w14:paraId="07529899">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承包人未提交劳动合同，以及没有为项目经理缴纳社会保险证明的违约责任：</w:t>
      </w:r>
      <w:r>
        <w:rPr>
          <w:rFonts w:hint="eastAsia" w:ascii="宋体" w:hAnsi="宋体" w:cs="宋体"/>
          <w:color w:val="auto"/>
          <w:szCs w:val="21"/>
          <w:highlight w:val="none"/>
          <w:u w:val="single"/>
        </w:rPr>
        <w:t>发包人有权解除合同，由此造成的费用增加和工期延误损失均由承包人承担</w:t>
      </w:r>
      <w:r>
        <w:rPr>
          <w:rFonts w:hint="eastAsia" w:ascii="宋体" w:hAnsi="宋体" w:cs="宋体"/>
          <w:color w:val="auto"/>
          <w:szCs w:val="21"/>
          <w:highlight w:val="none"/>
        </w:rPr>
        <w:t>。</w:t>
      </w:r>
    </w:p>
    <w:p w14:paraId="36E87273">
      <w:pPr>
        <w:snapToGrid w:val="0"/>
        <w:spacing w:line="360" w:lineRule="auto"/>
        <w:ind w:firstLine="420" w:firstLineChars="200"/>
        <w:rPr>
          <w:rFonts w:hint="eastAsia" w:ascii="宋体" w:hAnsi="宋体" w:cs="宋体"/>
          <w:color w:val="auto"/>
          <w:kern w:val="0"/>
          <w:szCs w:val="21"/>
          <w:highlight w:val="none"/>
          <w:u w:val="single"/>
          <w:lang w:eastAsia="zh-CN"/>
        </w:rPr>
      </w:pPr>
      <w:r>
        <w:rPr>
          <w:rFonts w:hint="eastAsia" w:ascii="宋体" w:hAnsi="宋体" w:cs="宋体"/>
          <w:color w:val="auto"/>
          <w:kern w:val="0"/>
          <w:szCs w:val="21"/>
          <w:highlight w:val="none"/>
        </w:rPr>
        <w:t>项目经理未经批准，擅自离开施工现场的违约责任：</w:t>
      </w:r>
      <w:r>
        <w:rPr>
          <w:rFonts w:hint="eastAsia" w:ascii="宋体" w:hAnsi="宋体" w:cs="宋体"/>
          <w:color w:val="auto"/>
          <w:kern w:val="0"/>
          <w:szCs w:val="21"/>
          <w:highlight w:val="none"/>
          <w:u w:val="single"/>
        </w:rPr>
        <w:t>处违约金1000元/次</w:t>
      </w:r>
      <w:r>
        <w:rPr>
          <w:rFonts w:hint="eastAsia" w:ascii="宋体" w:hAnsi="宋体" w:cs="宋体"/>
          <w:color w:val="auto"/>
          <w:kern w:val="0"/>
          <w:szCs w:val="21"/>
          <w:highlight w:val="none"/>
          <w:u w:val="single"/>
          <w:lang w:eastAsia="zh-CN"/>
        </w:rPr>
        <w:t>。</w:t>
      </w:r>
    </w:p>
    <w:p w14:paraId="6F187F6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承包人擅自更换项目经理的违约责任：</w:t>
      </w:r>
      <w:r>
        <w:rPr>
          <w:rFonts w:hint="eastAsia" w:ascii="宋体" w:hAnsi="宋体" w:cs="宋体"/>
          <w:color w:val="auto"/>
          <w:kern w:val="0"/>
          <w:szCs w:val="21"/>
          <w:highlight w:val="none"/>
          <w:u w:val="single"/>
        </w:rPr>
        <w:t>处违约金3000元/次</w:t>
      </w:r>
      <w:r>
        <w:rPr>
          <w:rFonts w:hint="eastAsia" w:ascii="宋体" w:hAnsi="宋体" w:cs="宋体"/>
          <w:color w:val="auto"/>
          <w:szCs w:val="21"/>
          <w:highlight w:val="none"/>
        </w:rPr>
        <w:t>。</w:t>
      </w:r>
    </w:p>
    <w:p w14:paraId="2CA80786">
      <w:pPr>
        <w:snapToGri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 xml:space="preserve">    </w:t>
      </w:r>
      <w:bookmarkStart w:id="572" w:name="_Toc12597"/>
      <w:r>
        <w:rPr>
          <w:rFonts w:hint="eastAsia" w:ascii="宋体" w:hAnsi="宋体" w:cs="宋体"/>
          <w:color w:val="auto"/>
          <w:szCs w:val="21"/>
          <w:highlight w:val="none"/>
        </w:rPr>
        <w:t>3.2.4 承包人无正当理由拒绝更换项目经理的违约责任：</w:t>
      </w:r>
      <w:r>
        <w:rPr>
          <w:rFonts w:hint="eastAsia" w:ascii="宋体" w:hAnsi="宋体" w:cs="宋体"/>
          <w:color w:val="auto"/>
          <w:kern w:val="0"/>
          <w:szCs w:val="21"/>
          <w:highlight w:val="none"/>
          <w:u w:val="single"/>
        </w:rPr>
        <w:t>发包人认为项目经理无法履行职责的，应提供相关证明材料，并签发《整改通知书》，承包人在收到《整改通知书》后仍无改善的，发包人有权要求承包人更换项目经理。承包人无正当理由拒绝更换的，违约金为合同结算价款总额的30%。情节严重的，发包人有权解除合同，由此造成的一切损失由承包人承担</w:t>
      </w:r>
      <w:r>
        <w:rPr>
          <w:rFonts w:hint="eastAsia" w:ascii="宋体" w:hAnsi="宋体" w:cs="宋体"/>
          <w:color w:val="auto"/>
          <w:szCs w:val="21"/>
          <w:highlight w:val="none"/>
        </w:rPr>
        <w:t>。</w:t>
      </w:r>
      <w:bookmarkEnd w:id="572"/>
    </w:p>
    <w:p w14:paraId="42CAFC4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 承包人人员</w:t>
      </w:r>
    </w:p>
    <w:p w14:paraId="3D23F5F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 承包人提交项目管理机构及施工现场管理人员安排报告的期限：</w:t>
      </w:r>
      <w:r>
        <w:rPr>
          <w:rFonts w:hint="eastAsia" w:ascii="宋体" w:hAnsi="宋体" w:cs="宋体"/>
          <w:color w:val="auto"/>
          <w:kern w:val="0"/>
          <w:szCs w:val="21"/>
          <w:highlight w:val="none"/>
          <w:u w:val="single"/>
        </w:rPr>
        <w:t>承包人应在合同签订后5天内提交与</w:t>
      </w:r>
      <w:r>
        <w:rPr>
          <w:rFonts w:hint="eastAsia" w:ascii="宋体" w:hAnsi="宋体" w:cs="宋体"/>
          <w:color w:val="auto"/>
          <w:szCs w:val="21"/>
          <w:highlight w:val="none"/>
          <w:u w:val="single"/>
        </w:rPr>
        <w:t>投标时所承诺的人员一致的</w:t>
      </w:r>
      <w:r>
        <w:rPr>
          <w:rFonts w:hint="eastAsia" w:ascii="宋体" w:hAnsi="宋体" w:cs="宋体"/>
          <w:color w:val="auto"/>
          <w:kern w:val="0"/>
          <w:szCs w:val="21"/>
          <w:highlight w:val="none"/>
          <w:u w:val="single"/>
        </w:rPr>
        <w:t>项目管理机构及施工现场管理人员安排报告</w:t>
      </w:r>
      <w:r>
        <w:rPr>
          <w:rFonts w:hint="eastAsia" w:ascii="宋体" w:hAnsi="宋体" w:cs="宋体"/>
          <w:color w:val="auto"/>
          <w:szCs w:val="21"/>
          <w:highlight w:val="none"/>
        </w:rPr>
        <w:t>。</w:t>
      </w:r>
    </w:p>
    <w:p w14:paraId="5F83362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3.3.3 承包人无正当理由拒绝撤换主要施工管理人员的违约责任：</w:t>
      </w:r>
      <w:r>
        <w:rPr>
          <w:rFonts w:hint="eastAsia" w:ascii="宋体" w:hAnsi="宋体"/>
          <w:color w:val="auto"/>
          <w:szCs w:val="21"/>
          <w:highlight w:val="none"/>
          <w:u w:val="single"/>
        </w:rPr>
        <w:t>/</w:t>
      </w:r>
      <w:r>
        <w:rPr>
          <w:rFonts w:hint="eastAsia" w:ascii="宋体" w:hAnsi="宋体" w:cs="宋体"/>
          <w:color w:val="auto"/>
          <w:szCs w:val="21"/>
          <w:highlight w:val="none"/>
        </w:rPr>
        <w:t>。</w:t>
      </w:r>
    </w:p>
    <w:p w14:paraId="05D6D3F5">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3.3.4 承包人主要施工管理人员离开施工现场的批准要求：</w:t>
      </w:r>
      <w:r>
        <w:rPr>
          <w:rFonts w:hint="eastAsia" w:ascii="宋体" w:hAnsi="宋体"/>
          <w:color w:val="auto"/>
          <w:szCs w:val="21"/>
          <w:highlight w:val="none"/>
          <w:u w:val="single"/>
        </w:rPr>
        <w:t>/</w:t>
      </w:r>
      <w:r>
        <w:rPr>
          <w:rFonts w:hint="eastAsia" w:ascii="宋体" w:hAnsi="宋体" w:cs="宋体"/>
          <w:color w:val="auto"/>
          <w:szCs w:val="21"/>
          <w:highlight w:val="none"/>
        </w:rPr>
        <w:t>。</w:t>
      </w:r>
    </w:p>
    <w:p w14:paraId="216B641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3.3.5承包人擅自更换主要施工管理人员的违约责任：</w:t>
      </w:r>
      <w:r>
        <w:rPr>
          <w:rFonts w:hint="eastAsia" w:ascii="宋体" w:hAnsi="宋体"/>
          <w:color w:val="auto"/>
          <w:szCs w:val="21"/>
          <w:highlight w:val="none"/>
          <w:u w:val="single"/>
        </w:rPr>
        <w:t>/</w:t>
      </w:r>
      <w:r>
        <w:rPr>
          <w:rFonts w:hint="eastAsia" w:ascii="宋体" w:hAnsi="宋体" w:cs="宋体"/>
          <w:color w:val="auto"/>
          <w:szCs w:val="21"/>
          <w:highlight w:val="none"/>
        </w:rPr>
        <w:t>。</w:t>
      </w:r>
    </w:p>
    <w:p w14:paraId="3C9BE91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承包人主要施工管理人员擅自离开施工现场的违约责任：</w:t>
      </w:r>
      <w:r>
        <w:rPr>
          <w:rFonts w:hint="eastAsia" w:ascii="宋体" w:hAnsi="宋体"/>
          <w:color w:val="auto"/>
          <w:szCs w:val="21"/>
          <w:highlight w:val="none"/>
          <w:u w:val="single"/>
        </w:rPr>
        <w:t>/</w:t>
      </w:r>
      <w:r>
        <w:rPr>
          <w:rFonts w:hint="eastAsia" w:ascii="宋体" w:hAnsi="宋体" w:cs="宋体"/>
          <w:color w:val="auto"/>
          <w:szCs w:val="21"/>
          <w:highlight w:val="none"/>
        </w:rPr>
        <w:t>。</w:t>
      </w:r>
    </w:p>
    <w:p w14:paraId="364841A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bookmarkStart w:id="573" w:name="_Toc296890987"/>
      <w:bookmarkStart w:id="574" w:name="_Toc296891199"/>
      <w:bookmarkStart w:id="575" w:name="_Toc297048345"/>
      <w:bookmarkStart w:id="576" w:name="_Toc297123492"/>
      <w:bookmarkStart w:id="577" w:name="_Toc297120459"/>
      <w:bookmarkStart w:id="578" w:name="_Toc296503159"/>
      <w:bookmarkStart w:id="579" w:name="_Toc303539102"/>
      <w:bookmarkStart w:id="580" w:name="_Toc292559364"/>
      <w:bookmarkStart w:id="581" w:name="_Toc296346660"/>
      <w:bookmarkStart w:id="582" w:name="_Toc296347158"/>
      <w:bookmarkStart w:id="583" w:name="_Toc297216151"/>
      <w:bookmarkStart w:id="584" w:name="_Toc296944498"/>
      <w:bookmarkStart w:id="585" w:name="_Toc292559869"/>
      <w:bookmarkStart w:id="586" w:name="_Toc312677988"/>
      <w:bookmarkStart w:id="587" w:name="_Toc304295523"/>
      <w:bookmarkStart w:id="588" w:name="_Toc300934945"/>
      <w:r>
        <w:rPr>
          <w:rFonts w:hint="eastAsia" w:ascii="宋体" w:hAnsi="宋体" w:cs="宋体"/>
          <w:color w:val="auto"/>
          <w:szCs w:val="21"/>
          <w:highlight w:val="none"/>
        </w:rPr>
        <w:t>.5 分包</w:t>
      </w:r>
    </w:p>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14:paraId="0F3AE43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bookmarkStart w:id="589" w:name="_Toc296891200"/>
      <w:bookmarkStart w:id="590" w:name="_Toc304295524"/>
      <w:bookmarkStart w:id="591" w:name="_Toc297123493"/>
      <w:bookmarkStart w:id="592" w:name="_Toc318581158"/>
      <w:bookmarkStart w:id="593" w:name="_Toc297216152"/>
      <w:bookmarkStart w:id="594" w:name="_Toc296944499"/>
      <w:bookmarkStart w:id="595" w:name="_Toc296503160"/>
      <w:bookmarkStart w:id="596" w:name="_Toc296347159"/>
      <w:bookmarkStart w:id="597" w:name="_Toc292559365"/>
      <w:bookmarkStart w:id="598" w:name="_Toc300934946"/>
      <w:bookmarkStart w:id="599" w:name="_Toc303539103"/>
      <w:bookmarkStart w:id="600" w:name="_Toc292559870"/>
      <w:bookmarkStart w:id="601" w:name="_Toc296346661"/>
      <w:bookmarkStart w:id="602" w:name="_Toc296890988"/>
      <w:bookmarkStart w:id="603" w:name="_Toc297048346"/>
      <w:bookmarkStart w:id="604" w:name="_Toc312677989"/>
      <w:bookmarkStart w:id="605" w:name="_Toc297120460"/>
      <w:r>
        <w:rPr>
          <w:rFonts w:hint="eastAsia" w:ascii="宋体" w:hAnsi="宋体" w:cs="宋体"/>
          <w:color w:val="auto"/>
          <w:szCs w:val="21"/>
          <w:highlight w:val="none"/>
        </w:rPr>
        <w:t>.5.1 分包的一般约定</w:t>
      </w:r>
    </w:p>
    <w:p w14:paraId="761982C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禁止分包的工程包括：</w:t>
      </w:r>
      <w:r>
        <w:rPr>
          <w:rFonts w:hint="eastAsia" w:ascii="宋体" w:hAnsi="宋体" w:cs="宋体"/>
          <w:color w:val="auto"/>
          <w:szCs w:val="21"/>
          <w:highlight w:val="none"/>
          <w:u w:val="single"/>
          <w:lang w:val="en-US" w:eastAsia="zh-CN"/>
        </w:rPr>
        <w:t>本项目不允许分包</w:t>
      </w:r>
      <w:r>
        <w:rPr>
          <w:rFonts w:hint="eastAsia" w:ascii="宋体" w:hAnsi="宋体" w:cs="宋体"/>
          <w:color w:val="auto"/>
          <w:szCs w:val="21"/>
          <w:highlight w:val="none"/>
        </w:rPr>
        <w:t>。</w:t>
      </w:r>
    </w:p>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14:paraId="6831764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 工程照管与成品、半成品保护</w:t>
      </w:r>
    </w:p>
    <w:p w14:paraId="231E46CA">
      <w:pPr>
        <w:snapToGrid w:val="0"/>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rPr>
        <w:t>承包人负责照管工程及工程相关的材料、工程设备的起始时间：</w:t>
      </w:r>
      <w:r>
        <w:rPr>
          <w:rFonts w:hint="eastAsia" w:ascii="宋体" w:hAnsi="宋体"/>
          <w:color w:val="auto"/>
          <w:kern w:val="0"/>
          <w:szCs w:val="21"/>
          <w:highlight w:val="none"/>
          <w:u w:val="single"/>
        </w:rPr>
        <w:t>执行通用条款</w:t>
      </w:r>
      <w:r>
        <w:rPr>
          <w:rFonts w:hint="eastAsia" w:ascii="宋体" w:hAnsi="宋体" w:cs="宋体"/>
          <w:color w:val="auto"/>
          <w:kern w:val="0"/>
          <w:szCs w:val="21"/>
          <w:highlight w:val="none"/>
        </w:rPr>
        <w:t>。</w:t>
      </w:r>
    </w:p>
    <w:p w14:paraId="0B16407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 履约担保</w:t>
      </w:r>
    </w:p>
    <w:p w14:paraId="1E972DD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承包人是否提供履约担保：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CA8DA0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承包人提供履约担保的形式、金额及期限的：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81E50C7">
      <w:pPr>
        <w:pStyle w:val="5"/>
        <w:snapToGrid w:val="0"/>
        <w:spacing w:before="0" w:after="0" w:line="360" w:lineRule="auto"/>
        <w:rPr>
          <w:rFonts w:ascii="宋体" w:hAnsi="宋体" w:eastAsia="宋体" w:cs="宋体"/>
          <w:b w:val="0"/>
          <w:color w:val="auto"/>
          <w:sz w:val="21"/>
          <w:szCs w:val="21"/>
          <w:highlight w:val="none"/>
        </w:rPr>
      </w:pPr>
      <w:bookmarkStart w:id="606" w:name="_Toc351203636"/>
      <w:r>
        <w:rPr>
          <w:rFonts w:hint="eastAsia" w:ascii="宋体" w:hAnsi="宋体" w:eastAsia="宋体" w:cs="宋体"/>
          <w:b w:val="0"/>
          <w:color w:val="auto"/>
          <w:sz w:val="21"/>
          <w:szCs w:val="21"/>
          <w:highlight w:val="none"/>
        </w:rPr>
        <w:t>4</w:t>
      </w:r>
      <w:bookmarkStart w:id="607" w:name="_Toc292559871"/>
      <w:bookmarkStart w:id="608" w:name="_Toc296890990"/>
      <w:bookmarkStart w:id="609" w:name="_Toc296347161"/>
      <w:bookmarkStart w:id="610" w:name="_Toc297120462"/>
      <w:bookmarkStart w:id="611" w:name="_Toc296891202"/>
      <w:bookmarkStart w:id="612" w:name="_Toc292559366"/>
      <w:bookmarkStart w:id="613" w:name="_Toc296944501"/>
      <w:bookmarkStart w:id="614" w:name="_Toc297048348"/>
      <w:bookmarkStart w:id="615" w:name="_Toc296503162"/>
      <w:bookmarkStart w:id="616" w:name="_Toc296346663"/>
      <w:bookmarkStart w:id="617" w:name="_Toc267251413"/>
      <w:r>
        <w:rPr>
          <w:rFonts w:hint="eastAsia" w:ascii="宋体" w:hAnsi="宋体" w:eastAsia="宋体" w:cs="宋体"/>
          <w:b w:val="0"/>
          <w:color w:val="auto"/>
          <w:sz w:val="21"/>
          <w:szCs w:val="21"/>
          <w:highlight w:val="none"/>
        </w:rPr>
        <w:t>. 监</w:t>
      </w:r>
      <w:bookmarkEnd w:id="607"/>
      <w:bookmarkEnd w:id="608"/>
      <w:bookmarkEnd w:id="609"/>
      <w:bookmarkEnd w:id="610"/>
      <w:bookmarkEnd w:id="611"/>
      <w:bookmarkEnd w:id="612"/>
      <w:bookmarkEnd w:id="613"/>
      <w:bookmarkEnd w:id="614"/>
      <w:bookmarkEnd w:id="615"/>
      <w:bookmarkEnd w:id="616"/>
      <w:bookmarkEnd w:id="617"/>
      <w:r>
        <w:rPr>
          <w:rFonts w:hint="eastAsia" w:ascii="宋体" w:hAnsi="宋体" w:eastAsia="宋体" w:cs="宋体"/>
          <w:b w:val="0"/>
          <w:color w:val="auto"/>
          <w:sz w:val="21"/>
          <w:szCs w:val="21"/>
          <w:highlight w:val="none"/>
        </w:rPr>
        <w:t>理人</w:t>
      </w:r>
      <w:bookmarkEnd w:id="606"/>
    </w:p>
    <w:p w14:paraId="389D2D8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4.1监理人的一般规定</w:t>
      </w:r>
    </w:p>
    <w:p w14:paraId="21ACBC6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关于监理人的监理内容：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28848F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关于监理人的监理权限：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7F2508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关于监理人在施工现场的办公场所、生活场所的提供和费用承担的约定：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8FC9B6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 监理人员</w:t>
      </w:r>
    </w:p>
    <w:p w14:paraId="63593EE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总监理工程师：</w:t>
      </w:r>
    </w:p>
    <w:p w14:paraId="2CB6C66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666295A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12B9788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监理工程师执业资格证书号：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0926161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703E698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65F8C79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31494E3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关于监理人的其他约定：</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6B980B3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 商定或确定</w:t>
      </w:r>
    </w:p>
    <w:p w14:paraId="1D30F9AA">
      <w:pPr>
        <w:snapToGrid w:val="0"/>
        <w:spacing w:line="360" w:lineRule="auto"/>
        <w:ind w:firstLine="420" w:firstLineChars="200"/>
        <w:rPr>
          <w:rFonts w:ascii="宋体" w:hAnsi="宋体" w:cs="宋体"/>
          <w:color w:val="auto"/>
          <w:szCs w:val="21"/>
          <w:highlight w:val="none"/>
        </w:rPr>
      </w:pPr>
      <w:bookmarkStart w:id="618" w:name="_Toc267251418"/>
      <w:r>
        <w:rPr>
          <w:rFonts w:hint="eastAsia" w:ascii="宋体" w:hAnsi="宋体" w:cs="宋体"/>
          <w:color w:val="auto"/>
          <w:szCs w:val="21"/>
          <w:highlight w:val="none"/>
        </w:rPr>
        <w:t>在发包人和承包人不能通过协商达成一致意见时，发包人授权监理人对以下事项进行确定：</w:t>
      </w:r>
    </w:p>
    <w:p w14:paraId="69B07669">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67D1725">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D1A506D">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1220453">
      <w:pPr>
        <w:pStyle w:val="5"/>
        <w:snapToGrid w:val="0"/>
        <w:spacing w:before="0" w:after="0" w:line="360" w:lineRule="auto"/>
        <w:rPr>
          <w:rFonts w:ascii="宋体" w:hAnsi="宋体" w:eastAsia="宋体" w:cs="宋体"/>
          <w:b w:val="0"/>
          <w:color w:val="auto"/>
          <w:sz w:val="21"/>
          <w:szCs w:val="21"/>
          <w:highlight w:val="none"/>
        </w:rPr>
      </w:pPr>
      <w:bookmarkStart w:id="619" w:name="_Toc351203637"/>
      <w:r>
        <w:rPr>
          <w:rFonts w:hint="eastAsia" w:ascii="宋体" w:hAnsi="宋体" w:eastAsia="宋体" w:cs="宋体"/>
          <w:b w:val="0"/>
          <w:color w:val="auto"/>
          <w:sz w:val="21"/>
          <w:szCs w:val="21"/>
          <w:highlight w:val="none"/>
        </w:rPr>
        <w:t>5</w:t>
      </w:r>
      <w:bookmarkEnd w:id="618"/>
      <w:bookmarkStart w:id="620" w:name="_Toc296347162"/>
      <w:bookmarkStart w:id="621" w:name="_Toc292559872"/>
      <w:bookmarkStart w:id="622" w:name="_Toc297120463"/>
      <w:bookmarkStart w:id="623" w:name="_Toc296890991"/>
      <w:bookmarkStart w:id="624" w:name="_Toc297048349"/>
      <w:bookmarkStart w:id="625" w:name="_Toc296503163"/>
      <w:bookmarkStart w:id="626" w:name="_Toc296891203"/>
      <w:bookmarkStart w:id="627" w:name="_Toc296346664"/>
      <w:bookmarkStart w:id="628" w:name="_Toc292559367"/>
      <w:bookmarkStart w:id="629" w:name="_Toc296944502"/>
      <w:r>
        <w:rPr>
          <w:rFonts w:hint="eastAsia" w:ascii="宋体" w:hAnsi="宋体" w:eastAsia="宋体" w:cs="宋体"/>
          <w:b w:val="0"/>
          <w:color w:val="auto"/>
          <w:sz w:val="21"/>
          <w:szCs w:val="21"/>
          <w:highlight w:val="none"/>
        </w:rPr>
        <w:t>. 工程质量</w:t>
      </w:r>
      <w:bookmarkEnd w:id="619"/>
    </w:p>
    <w:p w14:paraId="104BD9C0">
      <w:pPr>
        <w:snapToGrid w:val="0"/>
        <w:spacing w:line="360" w:lineRule="auto"/>
        <w:ind w:firstLine="420" w:firstLineChars="200"/>
        <w:outlineLvl w:val="0"/>
        <w:rPr>
          <w:rFonts w:ascii="宋体" w:hAnsi="宋体" w:cs="宋体"/>
          <w:color w:val="auto"/>
          <w:szCs w:val="21"/>
          <w:highlight w:val="none"/>
        </w:rPr>
      </w:pPr>
      <w:bookmarkStart w:id="630" w:name="_Toc9941"/>
      <w:r>
        <w:rPr>
          <w:rFonts w:hint="eastAsia" w:ascii="宋体" w:hAnsi="宋体" w:cs="宋体"/>
          <w:color w:val="auto"/>
          <w:szCs w:val="21"/>
          <w:highlight w:val="none"/>
        </w:rPr>
        <w:t>5.1 质量要求</w:t>
      </w:r>
      <w:bookmarkEnd w:id="630"/>
    </w:p>
    <w:p w14:paraId="6AD319B6">
      <w:pPr>
        <w:snapToGrid w:val="0"/>
        <w:spacing w:line="360" w:lineRule="auto"/>
        <w:ind w:firstLine="420" w:firstLineChars="200"/>
        <w:jc w:val="left"/>
        <w:rPr>
          <w:rFonts w:ascii="宋体" w:hAnsi="宋体" w:cs="宋体"/>
          <w:color w:val="auto"/>
          <w:szCs w:val="21"/>
          <w:highlight w:val="none"/>
        </w:rPr>
      </w:pPr>
      <w:bookmarkStart w:id="631" w:name="_Toc297216155"/>
      <w:bookmarkStart w:id="632" w:name="_Toc304295527"/>
      <w:bookmarkStart w:id="633" w:name="_Toc297123496"/>
      <w:bookmarkStart w:id="634" w:name="_Toc312677997"/>
      <w:bookmarkStart w:id="635" w:name="_Toc300934949"/>
      <w:bookmarkStart w:id="636" w:name="_Toc318581164"/>
      <w:bookmarkStart w:id="637" w:name="_Toc303539106"/>
      <w:r>
        <w:rPr>
          <w:rFonts w:hint="eastAsia" w:ascii="宋体" w:hAnsi="宋体"/>
          <w:color w:val="auto"/>
          <w:szCs w:val="21"/>
          <w:highlight w:val="none"/>
          <w:u w:val="single"/>
        </w:rPr>
        <w:t>按国家、地方相关验收规定验收一次性验收合格</w:t>
      </w:r>
      <w:r>
        <w:rPr>
          <w:rFonts w:hint="eastAsia" w:ascii="宋体" w:hAnsi="宋体" w:cs="宋体"/>
          <w:color w:val="auto"/>
          <w:szCs w:val="21"/>
          <w:highlight w:val="none"/>
        </w:rPr>
        <w:t>。</w:t>
      </w:r>
    </w:p>
    <w:p w14:paraId="210798EA">
      <w:pPr>
        <w:pStyle w:val="5"/>
        <w:snapToGrid w:val="0"/>
        <w:spacing w:before="0" w:after="0" w:line="360" w:lineRule="auto"/>
        <w:rPr>
          <w:rFonts w:ascii="宋体" w:hAnsi="宋体" w:eastAsia="宋体" w:cs="宋体"/>
          <w:b w:val="0"/>
          <w:color w:val="auto"/>
          <w:sz w:val="21"/>
          <w:szCs w:val="21"/>
          <w:highlight w:val="none"/>
        </w:rPr>
      </w:pPr>
      <w:bookmarkStart w:id="638" w:name="_Toc351203638"/>
      <w:r>
        <w:rPr>
          <w:rFonts w:hint="eastAsia" w:ascii="宋体" w:hAnsi="宋体" w:eastAsia="宋体" w:cs="宋体"/>
          <w:b w:val="0"/>
          <w:color w:val="auto"/>
          <w:sz w:val="21"/>
          <w:szCs w:val="21"/>
          <w:highlight w:val="none"/>
        </w:rPr>
        <w:t>6. 安全文明施工与环境保护</w:t>
      </w:r>
      <w:bookmarkEnd w:id="638"/>
    </w:p>
    <w:p w14:paraId="5D7CFF1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6.1安全文明施工</w:t>
      </w:r>
    </w:p>
    <w:p w14:paraId="57D68DE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6.1.1 项目安全生产的达标目标及相应事项的约定：</w:t>
      </w:r>
      <w:r>
        <w:rPr>
          <w:rFonts w:hint="eastAsia" w:ascii="宋体" w:hAnsi="宋体"/>
          <w:color w:val="auto"/>
          <w:szCs w:val="21"/>
          <w:highlight w:val="none"/>
          <w:u w:val="single"/>
        </w:rPr>
        <w:t>合格</w:t>
      </w:r>
      <w:r>
        <w:rPr>
          <w:rFonts w:hint="eastAsia" w:ascii="宋体" w:hAnsi="宋体" w:cs="宋体"/>
          <w:color w:val="auto"/>
          <w:szCs w:val="21"/>
          <w:highlight w:val="none"/>
        </w:rPr>
        <w:t>。</w:t>
      </w:r>
    </w:p>
    <w:p w14:paraId="6D63A6A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6.1.4 关于治安保卫的特别约定：</w:t>
      </w:r>
      <w:r>
        <w:rPr>
          <w:rFonts w:hint="eastAsia" w:ascii="宋体" w:hAnsi="宋体"/>
          <w:color w:val="auto"/>
          <w:szCs w:val="21"/>
          <w:highlight w:val="none"/>
          <w:u w:val="single"/>
        </w:rPr>
        <w:t>执行通用条款</w:t>
      </w:r>
      <w:r>
        <w:rPr>
          <w:rFonts w:hint="eastAsia" w:ascii="宋体" w:hAnsi="宋体" w:cs="宋体"/>
          <w:color w:val="auto"/>
          <w:szCs w:val="21"/>
          <w:highlight w:val="none"/>
        </w:rPr>
        <w:t>。</w:t>
      </w:r>
    </w:p>
    <w:p w14:paraId="7445E4C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6.1.5 文明施工</w:t>
      </w:r>
    </w:p>
    <w:p w14:paraId="05C9835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合同当事人对文明施工的要求：</w:t>
      </w:r>
      <w:r>
        <w:rPr>
          <w:rFonts w:hint="eastAsia" w:ascii="宋体" w:hAnsi="宋体"/>
          <w:color w:val="auto"/>
          <w:szCs w:val="21"/>
          <w:highlight w:val="none"/>
          <w:u w:val="single"/>
        </w:rPr>
        <w:t>文明施工应按《宁波市建设工程文明施工管理规定》文件要求执行</w:t>
      </w:r>
      <w:r>
        <w:rPr>
          <w:rFonts w:hint="eastAsia" w:ascii="宋体" w:hAnsi="宋体" w:cs="宋体"/>
          <w:color w:val="auto"/>
          <w:szCs w:val="21"/>
          <w:highlight w:val="none"/>
        </w:rPr>
        <w:t>。</w:t>
      </w:r>
    </w:p>
    <w:p w14:paraId="1614284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6.1.6 关于安全文明施工费支付比例和支付期限的约定：</w:t>
      </w:r>
      <w:r>
        <w:rPr>
          <w:rFonts w:hint="eastAsia" w:ascii="宋体" w:hAnsi="宋体"/>
          <w:color w:val="auto"/>
          <w:szCs w:val="21"/>
          <w:highlight w:val="none"/>
          <w:u w:val="single"/>
        </w:rPr>
        <w:t>/</w:t>
      </w:r>
      <w:r>
        <w:rPr>
          <w:rFonts w:hint="eastAsia" w:ascii="宋体" w:hAnsi="宋体" w:cs="宋体"/>
          <w:color w:val="auto"/>
          <w:szCs w:val="21"/>
          <w:highlight w:val="none"/>
        </w:rPr>
        <w:t>。</w:t>
      </w:r>
    </w:p>
    <w:bookmarkEnd w:id="631"/>
    <w:bookmarkEnd w:id="632"/>
    <w:bookmarkEnd w:id="633"/>
    <w:bookmarkEnd w:id="634"/>
    <w:bookmarkEnd w:id="635"/>
    <w:bookmarkEnd w:id="636"/>
    <w:bookmarkEnd w:id="637"/>
    <w:p w14:paraId="5214CAA8">
      <w:pPr>
        <w:pStyle w:val="5"/>
        <w:snapToGrid w:val="0"/>
        <w:spacing w:before="0" w:after="0" w:line="360" w:lineRule="auto"/>
        <w:rPr>
          <w:rFonts w:ascii="宋体" w:hAnsi="宋体" w:eastAsia="宋体" w:cs="宋体"/>
          <w:b w:val="0"/>
          <w:color w:val="auto"/>
          <w:sz w:val="21"/>
          <w:szCs w:val="21"/>
          <w:highlight w:val="none"/>
        </w:rPr>
      </w:pPr>
      <w:bookmarkStart w:id="639" w:name="_Toc351203639"/>
      <w:r>
        <w:rPr>
          <w:rFonts w:hint="eastAsia" w:ascii="宋体" w:hAnsi="宋体" w:eastAsia="宋体" w:cs="宋体"/>
          <w:b w:val="0"/>
          <w:color w:val="auto"/>
          <w:sz w:val="21"/>
          <w:szCs w:val="21"/>
          <w:highlight w:val="none"/>
        </w:rPr>
        <w:t>7. 工期和进度</w:t>
      </w:r>
      <w:bookmarkEnd w:id="639"/>
    </w:p>
    <w:p w14:paraId="5DA665C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7.1 施工组织设计</w:t>
      </w:r>
    </w:p>
    <w:p w14:paraId="27AE6353">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7.1.1 合</w:t>
      </w:r>
      <w:r>
        <w:rPr>
          <w:rFonts w:hint="eastAsia" w:ascii="宋体" w:hAnsi="宋体" w:cs="宋体"/>
          <w:color w:val="auto"/>
          <w:kern w:val="0"/>
          <w:szCs w:val="21"/>
          <w:highlight w:val="none"/>
        </w:rPr>
        <w:t>同当事人约定的施工组织设计应包括的其他内容：</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rPr>
        <w:t>。</w:t>
      </w:r>
    </w:p>
    <w:p w14:paraId="5F34C65C">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 xml:space="preserve">7.1.2 </w:t>
      </w:r>
      <w:r>
        <w:rPr>
          <w:rFonts w:hint="eastAsia" w:ascii="宋体" w:hAnsi="宋体" w:cs="宋体"/>
          <w:color w:val="auto"/>
          <w:kern w:val="0"/>
          <w:szCs w:val="21"/>
          <w:highlight w:val="none"/>
        </w:rPr>
        <w:t>施工组织设计的提交和修改</w:t>
      </w:r>
    </w:p>
    <w:p w14:paraId="7210E76C">
      <w:pPr>
        <w:autoSpaceDE w:val="0"/>
        <w:autoSpaceDN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承包人提交详细施工组织设计的期限的约定：</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rPr>
        <w:t>。</w:t>
      </w:r>
    </w:p>
    <w:p w14:paraId="7DED824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发包人和监理人在收到详细的施工组织设计后确认或提出修改意见的期限：</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rPr>
        <w:t>。</w:t>
      </w:r>
    </w:p>
    <w:p w14:paraId="24F7D9B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640" w:name="_Toc303539123"/>
      <w:bookmarkStart w:id="641" w:name="_Toc304295541"/>
      <w:bookmarkStart w:id="642" w:name="_Toc300934966"/>
      <w:bookmarkStart w:id="643" w:name="_Toc312677479"/>
      <w:bookmarkStart w:id="644" w:name="_Toc297123514"/>
      <w:bookmarkStart w:id="645" w:name="_Toc297216173"/>
      <w:bookmarkStart w:id="646" w:name="_Toc312678005"/>
      <w:r>
        <w:rPr>
          <w:rFonts w:hint="eastAsia" w:ascii="宋体" w:hAnsi="宋体" w:cs="宋体"/>
          <w:color w:val="auto"/>
          <w:szCs w:val="21"/>
          <w:highlight w:val="none"/>
        </w:rPr>
        <w:t>.2 施工进度计划</w:t>
      </w:r>
    </w:p>
    <w:p w14:paraId="2950B79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7.2.2 施工进度计划的修订</w:t>
      </w:r>
    </w:p>
    <w:p w14:paraId="324FD36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发包人和监理人在收到修订的施工进度计划后确认或提出修改意见的期限：</w:t>
      </w:r>
      <w:r>
        <w:rPr>
          <w:rFonts w:hint="eastAsia" w:ascii="宋体" w:hAnsi="宋体"/>
          <w:color w:val="auto"/>
          <w:szCs w:val="21"/>
          <w:highlight w:val="none"/>
          <w:u w:val="single"/>
        </w:rPr>
        <w:t>收到正式进度计划文件的3日内</w:t>
      </w:r>
      <w:r>
        <w:rPr>
          <w:rFonts w:hint="eastAsia" w:ascii="宋体" w:hAnsi="宋体" w:cs="宋体"/>
          <w:color w:val="auto"/>
          <w:szCs w:val="21"/>
          <w:highlight w:val="none"/>
        </w:rPr>
        <w:t>。</w:t>
      </w:r>
    </w:p>
    <w:p w14:paraId="0218569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 开工</w:t>
      </w:r>
    </w:p>
    <w:p w14:paraId="4CCBEBE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7.3.1 开工准备</w:t>
      </w:r>
    </w:p>
    <w:p w14:paraId="47017255">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关于承包人提交</w:t>
      </w:r>
      <w:r>
        <w:rPr>
          <w:rFonts w:hint="eastAsia" w:ascii="宋体" w:hAnsi="宋体" w:cs="宋体"/>
          <w:color w:val="auto"/>
          <w:kern w:val="0"/>
          <w:szCs w:val="21"/>
          <w:highlight w:val="none"/>
        </w:rPr>
        <w:t>工程开工报审表的期限：</w:t>
      </w:r>
      <w:r>
        <w:rPr>
          <w:rFonts w:hint="eastAsia" w:ascii="宋体" w:hAnsi="宋体" w:cs="宋体"/>
          <w:color w:val="auto"/>
          <w:kern w:val="0"/>
          <w:szCs w:val="21"/>
          <w:highlight w:val="none"/>
          <w:u w:val="single"/>
        </w:rPr>
        <w:t>合同签订后3日内</w:t>
      </w:r>
      <w:r>
        <w:rPr>
          <w:rFonts w:hint="eastAsia" w:ascii="宋体" w:hAnsi="宋体" w:cs="宋体"/>
          <w:color w:val="auto"/>
          <w:szCs w:val="21"/>
          <w:highlight w:val="none"/>
        </w:rPr>
        <w:t>。</w:t>
      </w:r>
    </w:p>
    <w:p w14:paraId="2304284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关于发包人应完成的其他开工准备工作及期限：</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rPr>
        <w:t>。</w:t>
      </w:r>
    </w:p>
    <w:p w14:paraId="276375F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关于承包人应完成的其他开工准备工作及期限：</w:t>
      </w:r>
      <w:r>
        <w:rPr>
          <w:rFonts w:hint="eastAsia" w:ascii="宋体" w:hAnsi="宋体" w:cs="宋体"/>
          <w:color w:val="auto"/>
          <w:kern w:val="0"/>
          <w:szCs w:val="21"/>
          <w:highlight w:val="none"/>
          <w:u w:val="single"/>
        </w:rPr>
        <w:t>承包人应在合同签订后3日内完成劳动力、材料、机械的进场安排</w:t>
      </w:r>
      <w:r>
        <w:rPr>
          <w:rFonts w:hint="eastAsia" w:ascii="宋体" w:hAnsi="宋体" w:cs="宋体"/>
          <w:color w:val="auto"/>
          <w:szCs w:val="21"/>
          <w:highlight w:val="none"/>
        </w:rPr>
        <w:t>。</w:t>
      </w:r>
    </w:p>
    <w:p w14:paraId="1C8A2D3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7.3.2开工通知</w:t>
      </w:r>
    </w:p>
    <w:p w14:paraId="29B2F12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因发包人原因造成监理人未能在计划开工日期之日起</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rPr>
        <w:t>天内发出开工通知的，承包人有权提出价格调整要求，或者解除合同。</w:t>
      </w:r>
    </w:p>
    <w:bookmarkEnd w:id="640"/>
    <w:bookmarkEnd w:id="641"/>
    <w:bookmarkEnd w:id="642"/>
    <w:bookmarkEnd w:id="643"/>
    <w:bookmarkEnd w:id="644"/>
    <w:bookmarkEnd w:id="645"/>
    <w:bookmarkEnd w:id="646"/>
    <w:p w14:paraId="075C169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 测量放线</w:t>
      </w:r>
    </w:p>
    <w:p w14:paraId="0CD07AE4">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7.4.1发包人通过监理人向承包人提供测量基准点、基准线和水准点及其书面资料的期限：</w:t>
      </w:r>
      <w:r>
        <w:rPr>
          <w:rFonts w:hint="eastAsia" w:ascii="宋体" w:hAnsi="宋体" w:cs="宋体"/>
          <w:color w:val="auto"/>
          <w:kern w:val="0"/>
          <w:szCs w:val="21"/>
          <w:highlight w:val="none"/>
          <w:u w:val="single"/>
        </w:rPr>
        <w:t>不得晚于合同签订后3天</w:t>
      </w:r>
      <w:r>
        <w:rPr>
          <w:rFonts w:hint="eastAsia" w:ascii="宋体" w:hAnsi="宋体" w:cs="宋体"/>
          <w:color w:val="auto"/>
          <w:szCs w:val="21"/>
          <w:highlight w:val="none"/>
        </w:rPr>
        <w:t>。</w:t>
      </w:r>
    </w:p>
    <w:p w14:paraId="256E21D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647" w:name="_Toc303539125"/>
      <w:bookmarkStart w:id="648" w:name="_Toc312678010"/>
      <w:bookmarkStart w:id="649" w:name="_Toc312677484"/>
      <w:bookmarkStart w:id="650" w:name="_Toc300934968"/>
      <w:bookmarkStart w:id="651" w:name="_Toc297123516"/>
      <w:bookmarkStart w:id="652" w:name="_Toc297216175"/>
      <w:bookmarkStart w:id="653" w:name="_Toc304295546"/>
      <w:r>
        <w:rPr>
          <w:rFonts w:hint="eastAsia" w:ascii="宋体" w:hAnsi="宋体" w:cs="宋体"/>
          <w:color w:val="auto"/>
          <w:szCs w:val="21"/>
          <w:highlight w:val="none"/>
        </w:rPr>
        <w:t>.5 工期延误</w:t>
      </w:r>
    </w:p>
    <w:bookmarkEnd w:id="647"/>
    <w:bookmarkEnd w:id="648"/>
    <w:bookmarkEnd w:id="649"/>
    <w:bookmarkEnd w:id="650"/>
    <w:bookmarkEnd w:id="651"/>
    <w:bookmarkEnd w:id="652"/>
    <w:bookmarkEnd w:id="653"/>
    <w:p w14:paraId="2A09CA5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7.5.1 因发包人原因导致工期延误</w:t>
      </w:r>
    </w:p>
    <w:p w14:paraId="77D3EB1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（7）因发包人原因导致工期延误的其他情形：</w:t>
      </w:r>
      <w:r>
        <w:rPr>
          <w:rFonts w:hint="eastAsia" w:ascii="宋体" w:hAnsi="宋体" w:cs="宋体"/>
          <w:color w:val="auto"/>
          <w:kern w:val="0"/>
          <w:szCs w:val="21"/>
          <w:highlight w:val="none"/>
          <w:u w:val="single"/>
        </w:rPr>
        <w:t>/</w:t>
      </w:r>
      <w:r>
        <w:rPr>
          <w:rFonts w:hint="eastAsia" w:ascii="宋体" w:hAnsi="宋体" w:cs="宋体"/>
          <w:color w:val="auto"/>
          <w:szCs w:val="21"/>
          <w:highlight w:val="none"/>
        </w:rPr>
        <w:t>。</w:t>
      </w:r>
    </w:p>
    <w:p w14:paraId="5D86088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w:t>
      </w:r>
      <w:bookmarkStart w:id="654" w:name="_Toc318581169"/>
      <w:bookmarkStart w:id="655" w:name="_Toc312678012"/>
      <w:bookmarkStart w:id="656" w:name="_Toc312677486"/>
      <w:bookmarkStart w:id="657" w:name="_Toc300934970"/>
      <w:bookmarkStart w:id="658" w:name="_Toc304295548"/>
      <w:bookmarkStart w:id="659" w:name="_Toc303539127"/>
      <w:bookmarkStart w:id="660" w:name="_Toc297216177"/>
      <w:bookmarkStart w:id="661" w:name="_Toc297123518"/>
      <w:r>
        <w:rPr>
          <w:rFonts w:hint="eastAsia" w:ascii="宋体" w:hAnsi="宋体" w:cs="宋体"/>
          <w:color w:val="auto"/>
          <w:szCs w:val="21"/>
          <w:highlight w:val="none"/>
        </w:rPr>
        <w:t>.5.2 因承包人原因导致工期延误</w:t>
      </w:r>
    </w:p>
    <w:bookmarkEnd w:id="654"/>
    <w:bookmarkEnd w:id="655"/>
    <w:bookmarkEnd w:id="656"/>
    <w:p w14:paraId="20CB9FF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w:t>
      </w:r>
      <w:bookmarkStart w:id="662" w:name="_Toc312678013"/>
      <w:bookmarkStart w:id="663" w:name="_Toc312677487"/>
      <w:bookmarkStart w:id="664" w:name="_Toc318581170"/>
      <w:r>
        <w:rPr>
          <w:rFonts w:hint="eastAsia" w:ascii="宋体" w:hAnsi="宋体" w:cs="宋体"/>
          <w:color w:val="auto"/>
          <w:szCs w:val="21"/>
          <w:highlight w:val="none"/>
        </w:rPr>
        <w:t>承包人原因造成工期延误，逾期竣工违约金的计算方法为：</w:t>
      </w:r>
      <w:r>
        <w:rPr>
          <w:rFonts w:hint="eastAsia" w:ascii="宋体" w:hAnsi="宋体" w:cs="宋体"/>
          <w:color w:val="auto"/>
          <w:kern w:val="0"/>
          <w:szCs w:val="21"/>
          <w:highlight w:val="none"/>
          <w:u w:val="single"/>
        </w:rPr>
        <w:t>因承包人原因造成工期延误，逾期竣工违约金的计算方法根据“投标函附录”承诺确定，为 1000 元/天</w:t>
      </w:r>
      <w:r>
        <w:rPr>
          <w:rFonts w:hint="eastAsia" w:ascii="宋体" w:hAnsi="宋体" w:cs="宋体"/>
          <w:color w:val="auto"/>
          <w:szCs w:val="21"/>
          <w:highlight w:val="none"/>
        </w:rPr>
        <w:t>。</w:t>
      </w:r>
      <w:bookmarkEnd w:id="657"/>
      <w:bookmarkEnd w:id="658"/>
      <w:bookmarkEnd w:id="659"/>
      <w:bookmarkEnd w:id="660"/>
      <w:bookmarkEnd w:id="661"/>
      <w:bookmarkEnd w:id="662"/>
      <w:bookmarkEnd w:id="663"/>
    </w:p>
    <w:bookmarkEnd w:id="664"/>
    <w:p w14:paraId="787237F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因承包人原因造成工期延误，逾</w:t>
      </w:r>
      <w:bookmarkStart w:id="665" w:name="_Toc312678014"/>
      <w:bookmarkStart w:id="666" w:name="_Toc318581171"/>
      <w:r>
        <w:rPr>
          <w:rFonts w:hint="eastAsia" w:ascii="宋体" w:hAnsi="宋体" w:cs="宋体"/>
          <w:color w:val="auto"/>
          <w:szCs w:val="21"/>
          <w:highlight w:val="none"/>
        </w:rPr>
        <w:t>期竣工违约金的上限：</w:t>
      </w:r>
      <w:r>
        <w:rPr>
          <w:rFonts w:hint="eastAsia" w:ascii="宋体" w:hAnsi="宋体" w:cs="宋体"/>
          <w:color w:val="auto"/>
          <w:kern w:val="0"/>
          <w:szCs w:val="21"/>
          <w:highlight w:val="none"/>
          <w:u w:val="single"/>
        </w:rPr>
        <w:t>合同结算价款15%</w:t>
      </w:r>
      <w:r>
        <w:rPr>
          <w:rFonts w:hint="eastAsia" w:ascii="宋体" w:hAnsi="宋体" w:cs="宋体"/>
          <w:color w:val="auto"/>
          <w:szCs w:val="21"/>
          <w:highlight w:val="none"/>
        </w:rPr>
        <w:t>。</w:t>
      </w:r>
    </w:p>
    <w:bookmarkEnd w:id="665"/>
    <w:bookmarkEnd w:id="666"/>
    <w:p w14:paraId="5F5582B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667" w:name="_Toc297216178"/>
      <w:bookmarkStart w:id="668" w:name="_Toc300934971"/>
      <w:bookmarkStart w:id="669" w:name="_Toc297123519"/>
      <w:bookmarkStart w:id="670" w:name="_Toc303539128"/>
      <w:bookmarkStart w:id="671" w:name="_Toc312678015"/>
      <w:bookmarkStart w:id="672" w:name="_Toc304295549"/>
      <w:r>
        <w:rPr>
          <w:rFonts w:hint="eastAsia" w:ascii="宋体" w:hAnsi="宋体" w:cs="宋体"/>
          <w:color w:val="auto"/>
          <w:szCs w:val="21"/>
          <w:highlight w:val="none"/>
        </w:rPr>
        <w:t>.6 不</w:t>
      </w:r>
      <w:bookmarkEnd w:id="667"/>
      <w:bookmarkEnd w:id="668"/>
      <w:bookmarkEnd w:id="669"/>
      <w:bookmarkEnd w:id="670"/>
      <w:bookmarkEnd w:id="671"/>
      <w:bookmarkEnd w:id="672"/>
      <w:r>
        <w:rPr>
          <w:rFonts w:hint="eastAsia" w:ascii="宋体" w:hAnsi="宋体" w:cs="宋体"/>
          <w:color w:val="auto"/>
          <w:szCs w:val="21"/>
          <w:highlight w:val="none"/>
        </w:rPr>
        <w:t>利物质条件</w:t>
      </w:r>
    </w:p>
    <w:p w14:paraId="4616F618">
      <w:pPr>
        <w:snapToGrid w:val="0"/>
        <w:spacing w:line="360" w:lineRule="auto"/>
        <w:ind w:firstLine="420" w:firstLineChars="200"/>
        <w:jc w:val="left"/>
        <w:rPr>
          <w:rFonts w:ascii="宋体" w:hAnsi="宋体" w:cs="宋体"/>
          <w:color w:val="auto"/>
          <w:szCs w:val="21"/>
          <w:highlight w:val="none"/>
        </w:rPr>
      </w:pPr>
      <w:bookmarkStart w:id="673" w:name="_Toc297216179"/>
      <w:bookmarkStart w:id="674" w:name="_Toc297123520"/>
      <w:bookmarkStart w:id="675" w:name="_Toc303539129"/>
      <w:bookmarkStart w:id="676" w:name="_Toc304295550"/>
      <w:bookmarkStart w:id="677" w:name="_Toc312678016"/>
      <w:bookmarkStart w:id="678" w:name="_Toc300934972"/>
      <w:bookmarkStart w:id="679" w:name="_Toc318581172"/>
      <w:r>
        <w:rPr>
          <w:rFonts w:hint="eastAsia" w:ascii="宋体" w:hAnsi="宋体" w:cs="宋体"/>
          <w:color w:val="auto"/>
          <w:szCs w:val="21"/>
          <w:highlight w:val="none"/>
        </w:rPr>
        <w:t>不利物质条件的其他情形和有关约定：</w:t>
      </w:r>
      <w:r>
        <w:rPr>
          <w:rFonts w:hint="eastAsia" w:ascii="宋体" w:hAnsi="宋体" w:cs="宋体"/>
          <w:color w:val="auto"/>
          <w:kern w:val="0"/>
          <w:szCs w:val="21"/>
          <w:highlight w:val="none"/>
          <w:u w:val="single"/>
        </w:rPr>
        <w:t>地勘资料未涉及的地下管道、文物、岩层等，但不包括气候条件</w:t>
      </w:r>
      <w:r>
        <w:rPr>
          <w:rFonts w:hint="eastAsia" w:ascii="宋体" w:hAnsi="宋体" w:cs="宋体"/>
          <w:color w:val="auto"/>
          <w:szCs w:val="21"/>
          <w:highlight w:val="none"/>
        </w:rPr>
        <w:t>。</w:t>
      </w:r>
    </w:p>
    <w:bookmarkEnd w:id="673"/>
    <w:bookmarkEnd w:id="674"/>
    <w:bookmarkEnd w:id="675"/>
    <w:bookmarkEnd w:id="676"/>
    <w:bookmarkEnd w:id="677"/>
    <w:bookmarkEnd w:id="678"/>
    <w:bookmarkEnd w:id="679"/>
    <w:p w14:paraId="2924216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680" w:name="_Toc304295551"/>
      <w:bookmarkStart w:id="681" w:name="_Toc312678017"/>
      <w:bookmarkStart w:id="682" w:name="_Toc303539130"/>
      <w:bookmarkStart w:id="683" w:name="_Toc297123521"/>
      <w:bookmarkStart w:id="684" w:name="_Toc297216180"/>
      <w:bookmarkStart w:id="685" w:name="_Toc300934973"/>
      <w:r>
        <w:rPr>
          <w:rFonts w:hint="eastAsia" w:ascii="宋体" w:hAnsi="宋体" w:cs="宋体"/>
          <w:color w:val="auto"/>
          <w:szCs w:val="21"/>
          <w:highlight w:val="none"/>
        </w:rPr>
        <w:t>.7异常恶劣的气候条件</w:t>
      </w:r>
    </w:p>
    <w:bookmarkEnd w:id="680"/>
    <w:bookmarkEnd w:id="681"/>
    <w:bookmarkEnd w:id="682"/>
    <w:bookmarkEnd w:id="683"/>
    <w:bookmarkEnd w:id="684"/>
    <w:bookmarkEnd w:id="685"/>
    <w:p w14:paraId="4909327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发包人和承包人同意以下情形视为异常恶劣的气候条件：</w:t>
      </w:r>
    </w:p>
    <w:p w14:paraId="5430E49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Cs/>
          <w:color w:val="auto"/>
          <w:highlight w:val="none"/>
          <w:u w:val="single"/>
        </w:rPr>
        <w:t>以宁波市气象部门公布的达到灾害标准的气象条件为准</w:t>
      </w:r>
      <w:r>
        <w:rPr>
          <w:rFonts w:hint="eastAsia" w:ascii="宋体" w:hAnsi="宋体" w:cs="宋体"/>
          <w:color w:val="auto"/>
          <w:szCs w:val="21"/>
          <w:highlight w:val="none"/>
        </w:rPr>
        <w:t>。</w:t>
      </w:r>
    </w:p>
    <w:p w14:paraId="37140966">
      <w:pPr>
        <w:snapToGrid w:val="0"/>
        <w:spacing w:line="360" w:lineRule="auto"/>
        <w:ind w:firstLine="420" w:firstLineChars="200"/>
        <w:outlineLvl w:val="0"/>
        <w:rPr>
          <w:rFonts w:ascii="宋体" w:hAnsi="宋体" w:cs="宋体"/>
          <w:color w:val="auto"/>
          <w:szCs w:val="21"/>
          <w:highlight w:val="none"/>
        </w:rPr>
      </w:pPr>
      <w:bookmarkStart w:id="686" w:name="_Toc9143"/>
      <w:r>
        <w:rPr>
          <w:rFonts w:hint="eastAsia" w:ascii="宋体" w:hAnsi="宋体" w:cs="宋体"/>
          <w:color w:val="auto"/>
          <w:szCs w:val="21"/>
          <w:highlight w:val="none"/>
        </w:rPr>
        <w:t>7.9 提前竣工的奖励</w:t>
      </w:r>
      <w:bookmarkEnd w:id="686"/>
    </w:p>
    <w:p w14:paraId="56C6E2E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7.9.2提前竣工的奖励：</w:t>
      </w:r>
      <w:r>
        <w:rPr>
          <w:rFonts w:hint="eastAsia" w:ascii="宋体" w:hAnsi="宋体"/>
          <w:color w:val="auto"/>
          <w:szCs w:val="21"/>
          <w:highlight w:val="none"/>
          <w:u w:val="single"/>
        </w:rPr>
        <w:t>/</w:t>
      </w:r>
      <w:r>
        <w:rPr>
          <w:rFonts w:hint="eastAsia" w:ascii="宋体" w:hAnsi="宋体" w:cs="宋体"/>
          <w:color w:val="auto"/>
          <w:szCs w:val="21"/>
          <w:highlight w:val="none"/>
        </w:rPr>
        <w:t>。</w:t>
      </w:r>
    </w:p>
    <w:p w14:paraId="0702C29F">
      <w:pPr>
        <w:pStyle w:val="5"/>
        <w:snapToGrid w:val="0"/>
        <w:spacing w:before="0" w:after="0" w:line="360" w:lineRule="auto"/>
        <w:rPr>
          <w:rFonts w:ascii="宋体" w:hAnsi="宋体" w:eastAsia="宋体" w:cs="宋体"/>
          <w:b w:val="0"/>
          <w:color w:val="auto"/>
          <w:sz w:val="21"/>
          <w:szCs w:val="21"/>
          <w:highlight w:val="none"/>
        </w:rPr>
      </w:pPr>
      <w:bookmarkStart w:id="687" w:name="_Toc351203640"/>
      <w:r>
        <w:rPr>
          <w:rFonts w:hint="eastAsia" w:ascii="宋体" w:hAnsi="宋体" w:eastAsia="宋体" w:cs="宋体"/>
          <w:b w:val="0"/>
          <w:color w:val="auto"/>
          <w:sz w:val="21"/>
          <w:szCs w:val="21"/>
          <w:highlight w:val="none"/>
        </w:rPr>
        <w:t>8. 材料与设备</w:t>
      </w:r>
      <w:bookmarkEnd w:id="687"/>
    </w:p>
    <w:bookmarkEnd w:id="620"/>
    <w:bookmarkEnd w:id="621"/>
    <w:bookmarkEnd w:id="622"/>
    <w:bookmarkEnd w:id="623"/>
    <w:bookmarkEnd w:id="624"/>
    <w:bookmarkEnd w:id="625"/>
    <w:bookmarkEnd w:id="626"/>
    <w:bookmarkEnd w:id="627"/>
    <w:bookmarkEnd w:id="628"/>
    <w:bookmarkEnd w:id="629"/>
    <w:p w14:paraId="762F9727">
      <w:pPr>
        <w:pStyle w:val="969"/>
        <w:spacing w:line="360" w:lineRule="auto"/>
        <w:ind w:firstLine="420" w:firstLineChars="200"/>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8.2承包人采购材料与工程设备</w:t>
      </w:r>
    </w:p>
    <w:p w14:paraId="0153EABA">
      <w:pPr>
        <w:snapToGrid w:val="0"/>
        <w:spacing w:line="360" w:lineRule="auto"/>
        <w:ind w:firstLine="420" w:firstLineChars="200"/>
        <w:rPr>
          <w:rFonts w:hint="eastAsia" w:ascii="宋体" w:hAnsi="宋体" w:cs="宋体"/>
          <w:color w:val="auto"/>
          <w:szCs w:val="21"/>
          <w:highlight w:val="none"/>
        </w:rPr>
      </w:pPr>
      <w:r>
        <w:rPr>
          <w:rFonts w:hint="eastAsia" w:ascii="宋体" w:hAnsi="宋体" w:eastAsia="宋体" w:cs="宋体"/>
          <w:b w:val="0"/>
          <w:color w:val="auto"/>
          <w:sz w:val="21"/>
          <w:szCs w:val="21"/>
          <w:highlight w:val="none"/>
        </w:rPr>
        <w:t>8.2.1（1）承包人采购的材料设备须符合设计和相关标准、规范的要求；主要及重要材料的品牌及价格均应经发包人和其委托的工程师签证确认，特殊材料由发包人确认，价格如无信息价则经双方签证确认，重要材料、设备等，需经发包人确认品牌型号，颜色，规格，尺寸等，承包人方可使用。（2）承包人在定购材料和设备前将材料的样品、质量、品牌、型号、产地等计划内容报给发包人，发包人、监理人认为有必要派员参加选点、看样，其品牌、型号、性能须经发包人、监理人确认后，承包人方可采购。（3）承包人所采购的材料设备应与磋商时注明的设备、材料、品牌、生产厂家、产地、规格、型号、性能等相符，进场的材料、设备如需变更，必须符合施工图纸要求及采购文件规定的档次、范围，并经过发包人和监理人同意。（4）承包人未按要求采购设备材料必须承担工程的返工损失和工期、质量的违约责任。（5）承包人应积极配合发包人对材料、设备的确认工作，若因确认工作缓慢影响到工期，承包人应承担相应损失。（6）承包人选用的材料设备品牌应参照采购文件中的参考品牌或采用经发包人认可的不低于</w:t>
      </w:r>
      <w:bookmarkStart w:id="688" w:name="ed_2017Y11M23D10H12M26"/>
      <w:r>
        <w:rPr>
          <w:rFonts w:hint="eastAsia" w:ascii="宋体" w:hAnsi="宋体" w:eastAsia="宋体" w:cs="宋体"/>
          <w:b w:val="0"/>
          <w:color w:val="auto"/>
          <w:sz w:val="21"/>
          <w:szCs w:val="21"/>
          <w:highlight w:val="none"/>
        </w:rPr>
        <w:t>参考品牌</w:t>
      </w:r>
      <w:bookmarkEnd w:id="688"/>
      <w:r>
        <w:rPr>
          <w:rFonts w:hint="eastAsia" w:ascii="宋体" w:hAnsi="宋体" w:eastAsia="宋体" w:cs="宋体"/>
          <w:b w:val="0"/>
          <w:color w:val="auto"/>
          <w:sz w:val="21"/>
          <w:szCs w:val="21"/>
          <w:highlight w:val="none"/>
        </w:rPr>
        <w:t>档次的产品，价格不作调整。</w:t>
      </w:r>
    </w:p>
    <w:p w14:paraId="7E99B97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w:t>
      </w:r>
      <w:bookmarkStart w:id="689" w:name="_Toc296891207"/>
      <w:bookmarkStart w:id="690" w:name="_Toc297216186"/>
      <w:bookmarkStart w:id="691" w:name="_Toc297123527"/>
      <w:bookmarkStart w:id="692" w:name="_Toc296944506"/>
      <w:bookmarkStart w:id="693" w:name="_Toc297120467"/>
      <w:bookmarkStart w:id="694" w:name="_Toc304295556"/>
      <w:bookmarkStart w:id="695" w:name="_Toc292559372"/>
      <w:bookmarkStart w:id="696" w:name="_Toc312678019"/>
      <w:bookmarkStart w:id="697" w:name="_Toc296503167"/>
      <w:bookmarkStart w:id="698" w:name="_Toc296346668"/>
      <w:bookmarkStart w:id="699" w:name="_Toc297048353"/>
      <w:bookmarkStart w:id="700" w:name="_Toc303539136"/>
      <w:bookmarkStart w:id="701" w:name="_Toc292559877"/>
      <w:bookmarkStart w:id="702" w:name="_Toc296347166"/>
      <w:bookmarkStart w:id="703" w:name="_Toc296890995"/>
      <w:bookmarkStart w:id="704" w:name="_Toc312677493"/>
      <w:bookmarkStart w:id="705" w:name="_Toc280868654"/>
      <w:bookmarkStart w:id="706" w:name="_Toc300934979"/>
      <w:bookmarkStart w:id="707" w:name="_Toc267251424"/>
      <w:bookmarkStart w:id="708" w:name="_Toc280868656"/>
      <w:bookmarkStart w:id="709" w:name="_Toc280868655"/>
      <w:r>
        <w:rPr>
          <w:rFonts w:hint="eastAsia" w:ascii="宋体" w:hAnsi="宋体" w:cs="宋体"/>
          <w:color w:val="auto"/>
          <w:szCs w:val="21"/>
          <w:highlight w:val="none"/>
        </w:rPr>
        <w:t>.4材料与工程设备的保管与使用</w:t>
      </w:r>
    </w:p>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14:paraId="1966B1E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w:t>
      </w:r>
      <w:bookmarkStart w:id="710" w:name="_Toc292559373"/>
      <w:bookmarkStart w:id="711" w:name="_Toc292559878"/>
      <w:bookmarkStart w:id="712" w:name="_Toc312677494"/>
      <w:bookmarkStart w:id="713" w:name="_Toc296346669"/>
      <w:bookmarkStart w:id="714" w:name="_Toc300934980"/>
      <w:bookmarkStart w:id="715" w:name="_Toc296944507"/>
      <w:bookmarkStart w:id="716" w:name="_Toc312678020"/>
      <w:bookmarkStart w:id="717" w:name="_Toc318581173"/>
      <w:bookmarkStart w:id="718" w:name="_Toc296503168"/>
      <w:bookmarkStart w:id="719" w:name="_Toc297216187"/>
      <w:bookmarkStart w:id="720" w:name="_Toc303539137"/>
      <w:bookmarkStart w:id="721" w:name="_Toc297048354"/>
      <w:bookmarkStart w:id="722" w:name="_Toc297120468"/>
      <w:bookmarkStart w:id="723" w:name="_Toc304295557"/>
      <w:bookmarkStart w:id="724" w:name="_Toc296347167"/>
      <w:bookmarkStart w:id="725" w:name="_Toc296891208"/>
      <w:bookmarkStart w:id="726" w:name="_Toc297123528"/>
      <w:bookmarkStart w:id="727" w:name="_Toc296890996"/>
      <w:r>
        <w:rPr>
          <w:rFonts w:hint="eastAsia" w:ascii="宋体" w:hAnsi="宋体" w:cs="宋体"/>
          <w:color w:val="auto"/>
          <w:szCs w:val="21"/>
          <w:highlight w:val="none"/>
        </w:rPr>
        <w:t>.4.1发包人供应的材料设备的保管费用的承担：</w:t>
      </w:r>
      <w:r>
        <w:rPr>
          <w:rFonts w:hint="eastAsia" w:ascii="宋体" w:hAnsi="宋体"/>
          <w:color w:val="auto"/>
          <w:szCs w:val="21"/>
          <w:highlight w:val="none"/>
          <w:u w:val="single"/>
        </w:rPr>
        <w:t>执行通用条款</w:t>
      </w:r>
      <w:r>
        <w:rPr>
          <w:rFonts w:hint="eastAsia" w:ascii="宋体" w:hAnsi="宋体" w:cs="宋体"/>
          <w:color w:val="auto"/>
          <w:szCs w:val="21"/>
          <w:highlight w:val="none"/>
        </w:rPr>
        <w:t>。</w:t>
      </w:r>
      <w:bookmarkEnd w:id="710"/>
      <w:bookmarkEnd w:id="711"/>
    </w:p>
    <w:p w14:paraId="49D74B41">
      <w:pPr>
        <w:snapToGrid w:val="0"/>
        <w:spacing w:line="360" w:lineRule="auto"/>
        <w:ind w:firstLine="420" w:firstLineChars="200"/>
        <w:outlineLvl w:val="0"/>
        <w:rPr>
          <w:rFonts w:ascii="宋体" w:hAnsi="宋体" w:cs="宋体"/>
          <w:color w:val="auto"/>
          <w:szCs w:val="21"/>
          <w:highlight w:val="none"/>
        </w:rPr>
      </w:pPr>
      <w:bookmarkStart w:id="728" w:name="_Toc7101"/>
      <w:r>
        <w:rPr>
          <w:rFonts w:hint="eastAsia" w:ascii="宋体" w:hAnsi="宋体" w:cs="宋体"/>
          <w:color w:val="auto"/>
          <w:szCs w:val="21"/>
          <w:highlight w:val="none"/>
        </w:rPr>
        <w:t>8.6 样品</w:t>
      </w:r>
      <w:bookmarkEnd w:id="728"/>
    </w:p>
    <w:p w14:paraId="1D8FDC7C">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8.6.1样品的报送与封存</w:t>
      </w:r>
    </w:p>
    <w:p w14:paraId="739C6B90">
      <w:pPr>
        <w:autoSpaceDE w:val="0"/>
        <w:autoSpaceDN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需要承包人报送样品的材料或工程设备，样品的种类、名称、规格、数量要求：</w:t>
      </w:r>
      <w:r>
        <w:rPr>
          <w:rFonts w:hint="eastAsia" w:ascii="宋体" w:hAnsi="宋体"/>
          <w:color w:val="auto"/>
          <w:szCs w:val="21"/>
          <w:highlight w:val="none"/>
          <w:u w:val="single"/>
        </w:rPr>
        <w:t>执行通用条款</w:t>
      </w:r>
      <w:r>
        <w:rPr>
          <w:rFonts w:hint="eastAsia" w:ascii="宋体" w:hAnsi="宋体" w:cs="宋体"/>
          <w:color w:val="auto"/>
          <w:szCs w:val="21"/>
          <w:highlight w:val="none"/>
        </w:rPr>
        <w:t>。</w:t>
      </w:r>
    </w:p>
    <w:p w14:paraId="34EE01F3">
      <w:pPr>
        <w:snapToGrid w:val="0"/>
        <w:spacing w:line="360" w:lineRule="auto"/>
        <w:ind w:firstLine="420" w:firstLineChars="200"/>
        <w:outlineLvl w:val="0"/>
        <w:rPr>
          <w:rFonts w:ascii="宋体" w:hAnsi="宋体" w:cs="宋体"/>
          <w:color w:val="auto"/>
          <w:szCs w:val="21"/>
          <w:highlight w:val="none"/>
        </w:rPr>
      </w:pPr>
      <w:bookmarkStart w:id="729" w:name="_Toc4056"/>
      <w:r>
        <w:rPr>
          <w:rFonts w:hint="eastAsia" w:ascii="宋体" w:hAnsi="宋体" w:cs="宋体"/>
          <w:color w:val="auto"/>
          <w:szCs w:val="21"/>
          <w:highlight w:val="none"/>
        </w:rPr>
        <w:t>8.8 施工设备和临时设施</w:t>
      </w:r>
      <w:bookmarkEnd w:id="729"/>
    </w:p>
    <w:p w14:paraId="76749167">
      <w:pPr>
        <w:autoSpaceDE w:val="0"/>
        <w:autoSpaceDN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8.8.1 承包人提供的施工设备和临时设施</w:t>
      </w:r>
    </w:p>
    <w:p w14:paraId="745A279B">
      <w:pPr>
        <w:autoSpaceDE w:val="0"/>
        <w:autoSpaceDN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关于修建临时设施费用承担的约定：</w:t>
      </w:r>
      <w:r>
        <w:rPr>
          <w:rFonts w:hint="eastAsia" w:ascii="宋体" w:hAnsi="宋体"/>
          <w:color w:val="auto"/>
          <w:szCs w:val="21"/>
          <w:highlight w:val="none"/>
          <w:u w:val="single"/>
        </w:rPr>
        <w:t>由承包人承担</w:t>
      </w:r>
      <w:r>
        <w:rPr>
          <w:rFonts w:hint="eastAsia" w:ascii="宋体" w:hAnsi="宋体"/>
          <w:color w:val="auto"/>
          <w:szCs w:val="21"/>
          <w:highlight w:val="none"/>
          <w:u w:val="single"/>
          <w:lang w:val="en-US" w:eastAsia="zh-CN"/>
        </w:rPr>
        <w:t>且</w:t>
      </w:r>
      <w:r>
        <w:rPr>
          <w:rFonts w:hint="eastAsia" w:ascii="宋体" w:hAnsi="宋体" w:cs="宋体"/>
          <w:color w:val="auto"/>
          <w:szCs w:val="21"/>
          <w:highlight w:val="none"/>
          <w:u w:val="single"/>
        </w:rPr>
        <w:t>已包含在合同价款中，结算不另计取</w:t>
      </w:r>
      <w:r>
        <w:rPr>
          <w:rFonts w:hint="eastAsia" w:ascii="宋体" w:hAnsi="宋体" w:cs="宋体"/>
          <w:color w:val="auto"/>
          <w:szCs w:val="21"/>
          <w:highlight w:val="none"/>
        </w:rPr>
        <w:t>。</w:t>
      </w:r>
    </w:p>
    <w:p w14:paraId="2948500F">
      <w:pPr>
        <w:autoSpaceDE w:val="0"/>
        <w:autoSpaceDN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承包人应现场自备发电机组，功率满足不同施工阶段的正常施工需要，不得因外供停电或现场供电容量不足而影响工期，费用不再另计。</w:t>
      </w:r>
    </w:p>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14:paraId="3C902428">
      <w:pPr>
        <w:pStyle w:val="5"/>
        <w:snapToGrid w:val="0"/>
        <w:spacing w:before="0" w:after="0" w:line="360" w:lineRule="auto"/>
        <w:rPr>
          <w:rFonts w:ascii="宋体" w:hAnsi="宋体" w:eastAsia="宋体" w:cs="宋体"/>
          <w:b w:val="0"/>
          <w:color w:val="auto"/>
          <w:sz w:val="21"/>
          <w:szCs w:val="21"/>
          <w:highlight w:val="none"/>
        </w:rPr>
      </w:pPr>
      <w:bookmarkStart w:id="730" w:name="_Toc351203641"/>
      <w:r>
        <w:rPr>
          <w:rFonts w:hint="eastAsia" w:ascii="宋体" w:hAnsi="宋体" w:eastAsia="宋体" w:cs="宋体"/>
          <w:b w:val="0"/>
          <w:color w:val="auto"/>
          <w:sz w:val="21"/>
          <w:szCs w:val="21"/>
          <w:highlight w:val="none"/>
        </w:rPr>
        <w:t>9</w:t>
      </w:r>
      <w:bookmarkEnd w:id="707"/>
      <w:bookmarkEnd w:id="708"/>
      <w:bookmarkEnd w:id="709"/>
      <w:bookmarkStart w:id="731" w:name="_Toc312677495"/>
      <w:bookmarkStart w:id="732" w:name="_Toc300934982"/>
      <w:bookmarkStart w:id="733" w:name="_Toc304295559"/>
      <w:bookmarkStart w:id="734" w:name="_Toc303539139"/>
      <w:bookmarkStart w:id="735" w:name="_Toc312678021"/>
      <w:bookmarkStart w:id="736" w:name="_Toc297216192"/>
      <w:bookmarkStart w:id="737" w:name="_Toc297123533"/>
      <w:bookmarkStart w:id="738" w:name="_Toc296891213"/>
      <w:bookmarkStart w:id="739" w:name="_Toc296503173"/>
      <w:bookmarkStart w:id="740" w:name="_Toc296347172"/>
      <w:bookmarkStart w:id="741" w:name="_Toc297120473"/>
      <w:bookmarkStart w:id="742" w:name="_Toc296944512"/>
      <w:bookmarkStart w:id="743" w:name="_Toc292559883"/>
      <w:bookmarkStart w:id="744" w:name="_Toc296891001"/>
      <w:bookmarkStart w:id="745" w:name="_Toc297048359"/>
      <w:bookmarkStart w:id="746" w:name="_Toc292559378"/>
      <w:bookmarkStart w:id="747" w:name="_Toc296346674"/>
      <w:bookmarkStart w:id="748" w:name="_Toc267251428"/>
      <w:bookmarkStart w:id="749" w:name="_Toc267251427"/>
      <w:r>
        <w:rPr>
          <w:rFonts w:hint="eastAsia" w:ascii="宋体" w:hAnsi="宋体" w:eastAsia="宋体" w:cs="宋体"/>
          <w:b w:val="0"/>
          <w:color w:val="auto"/>
          <w:sz w:val="21"/>
          <w:szCs w:val="21"/>
          <w:highlight w:val="none"/>
        </w:rPr>
        <w:t>. 试验与检验</w:t>
      </w:r>
      <w:bookmarkEnd w:id="730"/>
    </w:p>
    <w:bookmarkEnd w:id="731"/>
    <w:bookmarkEnd w:id="732"/>
    <w:bookmarkEnd w:id="733"/>
    <w:bookmarkEnd w:id="734"/>
    <w:bookmarkEnd w:id="735"/>
    <w:bookmarkEnd w:id="736"/>
    <w:bookmarkEnd w:id="737"/>
    <w:p w14:paraId="1994C103">
      <w:pPr>
        <w:snapToGrid w:val="0"/>
        <w:spacing w:line="360" w:lineRule="auto"/>
        <w:ind w:firstLine="420" w:firstLineChars="200"/>
        <w:jc w:val="left"/>
        <w:rPr>
          <w:rFonts w:ascii="宋体" w:hAnsi="宋体" w:cs="宋体"/>
          <w:color w:val="auto"/>
          <w:szCs w:val="21"/>
          <w:highlight w:val="none"/>
        </w:rPr>
      </w:pPr>
      <w:bookmarkStart w:id="750" w:name="_Toc303539142"/>
      <w:bookmarkStart w:id="751" w:name="_Toc297123536"/>
      <w:bookmarkStart w:id="752" w:name="_Toc312677498"/>
      <w:bookmarkStart w:id="753" w:name="_Toc318581174"/>
      <w:bookmarkStart w:id="754" w:name="_Toc304295562"/>
      <w:bookmarkStart w:id="755" w:name="_Toc312678024"/>
      <w:bookmarkStart w:id="756" w:name="_Toc300934985"/>
      <w:bookmarkStart w:id="757" w:name="_Toc297216195"/>
      <w:r>
        <w:rPr>
          <w:rFonts w:hint="eastAsia" w:ascii="宋体" w:hAnsi="宋体"/>
          <w:color w:val="auto"/>
          <w:szCs w:val="21"/>
          <w:highlight w:val="none"/>
        </w:rPr>
        <w:t>承包人必须对采购的材料质量全面负责，提供产品合格证书、质保书、试验报告。发包人对材料质量有疑问时，有权要求复验，复验合格其相关费用由要求复验方支付，复验不合格其经济损失及复验费用由材料采购方承担</w:t>
      </w:r>
      <w:r>
        <w:rPr>
          <w:rFonts w:hint="eastAsia" w:ascii="宋体" w:hAnsi="宋体" w:cs="宋体"/>
          <w:color w:val="auto"/>
          <w:szCs w:val="21"/>
          <w:highlight w:val="none"/>
        </w:rPr>
        <w:t>。</w:t>
      </w:r>
    </w:p>
    <w:bookmarkEnd w:id="750"/>
    <w:bookmarkEnd w:id="751"/>
    <w:bookmarkEnd w:id="752"/>
    <w:bookmarkEnd w:id="753"/>
    <w:bookmarkEnd w:id="754"/>
    <w:bookmarkEnd w:id="755"/>
    <w:bookmarkEnd w:id="756"/>
    <w:bookmarkEnd w:id="757"/>
    <w:p w14:paraId="1BE322D8">
      <w:pPr>
        <w:pStyle w:val="5"/>
        <w:snapToGrid w:val="0"/>
        <w:spacing w:before="0" w:after="0" w:line="360" w:lineRule="auto"/>
        <w:rPr>
          <w:rFonts w:ascii="宋体" w:hAnsi="宋体" w:eastAsia="宋体" w:cs="宋体"/>
          <w:b w:val="0"/>
          <w:color w:val="auto"/>
          <w:sz w:val="21"/>
          <w:szCs w:val="21"/>
          <w:highlight w:val="none"/>
        </w:rPr>
      </w:pPr>
      <w:bookmarkStart w:id="758" w:name="_Toc351203642"/>
      <w:r>
        <w:rPr>
          <w:rFonts w:hint="eastAsia" w:ascii="宋体" w:hAnsi="宋体" w:eastAsia="宋体" w:cs="宋体"/>
          <w:b w:val="0"/>
          <w:color w:val="auto"/>
          <w:sz w:val="21"/>
          <w:szCs w:val="21"/>
          <w:highlight w:val="none"/>
        </w:rPr>
        <w:t>1</w:t>
      </w:r>
      <w:bookmarkEnd w:id="738"/>
      <w:bookmarkEnd w:id="739"/>
      <w:bookmarkEnd w:id="740"/>
      <w:bookmarkEnd w:id="741"/>
      <w:bookmarkEnd w:id="742"/>
      <w:bookmarkEnd w:id="743"/>
      <w:bookmarkEnd w:id="744"/>
      <w:bookmarkEnd w:id="745"/>
      <w:bookmarkEnd w:id="746"/>
      <w:bookmarkEnd w:id="747"/>
      <w:bookmarkEnd w:id="748"/>
      <w:bookmarkEnd w:id="749"/>
      <w:bookmarkStart w:id="759" w:name="_Toc296347192"/>
      <w:bookmarkStart w:id="760" w:name="_Toc296503193"/>
      <w:bookmarkStart w:id="761" w:name="_Toc292559398"/>
      <w:bookmarkStart w:id="762" w:name="_Toc297123540"/>
      <w:bookmarkStart w:id="763" w:name="_Toc300934989"/>
      <w:bookmarkStart w:id="764" w:name="_Toc296346694"/>
      <w:bookmarkStart w:id="765" w:name="_Toc297120493"/>
      <w:bookmarkStart w:id="766" w:name="_Toc296891233"/>
      <w:bookmarkStart w:id="767" w:name="_Toc297048379"/>
      <w:bookmarkStart w:id="768" w:name="_Toc296891021"/>
      <w:bookmarkStart w:id="769" w:name="_Toc304295566"/>
      <w:bookmarkStart w:id="770" w:name="_Toc296944532"/>
      <w:bookmarkStart w:id="771" w:name="_Toc297216199"/>
      <w:bookmarkStart w:id="772" w:name="_Toc303539146"/>
      <w:bookmarkStart w:id="773" w:name="_Toc292559903"/>
      <w:bookmarkStart w:id="774" w:name="_Toc312677499"/>
      <w:bookmarkStart w:id="775" w:name="_Toc312678025"/>
      <w:bookmarkStart w:id="776" w:name="_Toc267251433"/>
      <w:bookmarkStart w:id="777" w:name="_Toc267251437"/>
      <w:bookmarkStart w:id="778" w:name="_Toc267251441"/>
      <w:bookmarkStart w:id="779" w:name="_Toc267251435"/>
      <w:bookmarkStart w:id="780" w:name="_Toc267251439"/>
      <w:bookmarkStart w:id="781" w:name="_Toc267251440"/>
      <w:bookmarkStart w:id="782" w:name="_Toc267251442"/>
      <w:r>
        <w:rPr>
          <w:rFonts w:hint="eastAsia" w:ascii="宋体" w:hAnsi="宋体" w:eastAsia="宋体" w:cs="宋体"/>
          <w:b w:val="0"/>
          <w:color w:val="auto"/>
          <w:sz w:val="21"/>
          <w:szCs w:val="21"/>
          <w:highlight w:val="none"/>
        </w:rPr>
        <w:t>0. 变更</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bookmarkEnd w:id="774"/>
    <w:bookmarkEnd w:id="775"/>
    <w:p w14:paraId="6C72BB4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bookmarkStart w:id="783" w:name="_Toc296503194"/>
      <w:bookmarkStart w:id="784" w:name="_Toc296346695"/>
      <w:bookmarkStart w:id="785" w:name="_Toc292559904"/>
      <w:bookmarkStart w:id="786" w:name="_Toc297216200"/>
      <w:bookmarkStart w:id="787" w:name="_Toc297120494"/>
      <w:bookmarkStart w:id="788" w:name="_Toc297123541"/>
      <w:bookmarkStart w:id="789" w:name="_Toc312677500"/>
      <w:bookmarkStart w:id="790" w:name="_Toc304295567"/>
      <w:bookmarkStart w:id="791" w:name="_Toc296944533"/>
      <w:bookmarkStart w:id="792" w:name="_Toc296891234"/>
      <w:bookmarkStart w:id="793" w:name="_Toc312678026"/>
      <w:bookmarkStart w:id="794" w:name="_Toc292559399"/>
      <w:bookmarkStart w:id="795" w:name="_Toc296891022"/>
      <w:bookmarkStart w:id="796" w:name="_Toc300934990"/>
      <w:bookmarkStart w:id="797" w:name="_Toc296347193"/>
      <w:bookmarkStart w:id="798" w:name="_Toc303539147"/>
      <w:bookmarkStart w:id="799" w:name="_Toc297048380"/>
      <w:r>
        <w:rPr>
          <w:rFonts w:hint="eastAsia" w:ascii="宋体" w:hAnsi="宋体" w:cs="宋体"/>
          <w:color w:val="auto"/>
          <w:szCs w:val="21"/>
          <w:highlight w:val="none"/>
        </w:rPr>
        <w:t>0.1变更的范围</w:t>
      </w:r>
    </w:p>
    <w:p w14:paraId="21967440">
      <w:pPr>
        <w:spacing w:line="360" w:lineRule="auto"/>
        <w:ind w:firstLine="420" w:firstLineChars="200"/>
        <w:rPr>
          <w:rFonts w:ascii="宋体" w:hAnsi="宋体" w:cs="宋体"/>
          <w:b/>
          <w:bCs/>
          <w:color w:val="auto"/>
          <w:kern w:val="0"/>
          <w:szCs w:val="21"/>
          <w:highlight w:val="none"/>
        </w:rPr>
      </w:pPr>
      <w:r>
        <w:rPr>
          <w:rFonts w:hint="eastAsia" w:ascii="宋体" w:hAnsi="宋体" w:cs="宋体"/>
          <w:color w:val="auto"/>
          <w:szCs w:val="21"/>
          <w:highlight w:val="none"/>
        </w:rPr>
        <w:t>关于变更的范围的约定：</w:t>
      </w:r>
      <w:r>
        <w:rPr>
          <w:rFonts w:hint="eastAsia" w:ascii="宋体" w:hAnsi="宋体" w:cs="宋体"/>
          <w:b/>
          <w:bCs/>
          <w:color w:val="auto"/>
          <w:kern w:val="0"/>
          <w:szCs w:val="21"/>
          <w:highlight w:val="none"/>
        </w:rPr>
        <w:t>合同履行过程中发生以下情形时，应当按照本条约定进行变更。</w:t>
      </w:r>
    </w:p>
    <w:p w14:paraId="6594D08C">
      <w:pPr>
        <w:spacing w:after="120" w:line="360" w:lineRule="auto"/>
        <w:ind w:firstLine="424" w:firstLineChars="202"/>
        <w:rPr>
          <w:color w:val="auto"/>
          <w:highlight w:val="none"/>
        </w:rPr>
      </w:pPr>
      <w:r>
        <w:rPr>
          <w:rFonts w:hint="eastAsia"/>
          <w:color w:val="auto"/>
          <w:highlight w:val="none"/>
        </w:rPr>
        <w:t>当本工程需要变更时，由发包人、监理人、承包人联合签发工程洽商单，结构变更由设计单位出具正式修改通知书和修改图，并经发包人认可，承包人予以实施。若因特殊原因，发包人或监理人要求承包人对变更内容先予以实施，则承包人须在工程变更实施完后5天内会同监理工程师完成“工程变更计量单”，否则发包人有权决定是否调整费用及调整数额；除经发包人确认的经济签证外，一律不作为价格调整依据。</w:t>
      </w:r>
    </w:p>
    <w:p w14:paraId="010376A4">
      <w:pPr>
        <w:autoSpaceDE w:val="0"/>
        <w:autoSpaceDN w:val="0"/>
        <w:adjustRightInd w:val="0"/>
        <w:spacing w:before="9" w:line="360" w:lineRule="auto"/>
        <w:ind w:right="-23"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1．法律法规以及政府主管部门的政策性调整；</w:t>
      </w:r>
    </w:p>
    <w:p w14:paraId="2ACE95A1">
      <w:pPr>
        <w:autoSpaceDE w:val="0"/>
        <w:autoSpaceDN w:val="0"/>
        <w:adjustRightInd w:val="0"/>
        <w:spacing w:before="9" w:line="360" w:lineRule="auto"/>
        <w:ind w:right="-23"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2．发包人要求的工程变更；</w:t>
      </w:r>
    </w:p>
    <w:p w14:paraId="7AC1A06A">
      <w:pPr>
        <w:autoSpaceDE w:val="0"/>
        <w:autoSpaceDN w:val="0"/>
        <w:adjustRightInd w:val="0"/>
        <w:spacing w:before="9" w:line="360" w:lineRule="auto"/>
        <w:ind w:right="-23"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3．项目特征描述不符；</w:t>
      </w:r>
    </w:p>
    <w:p w14:paraId="4FEEE60E">
      <w:pPr>
        <w:autoSpaceDE w:val="0"/>
        <w:autoSpaceDN w:val="0"/>
        <w:adjustRightInd w:val="0"/>
        <w:spacing w:before="9" w:line="360" w:lineRule="auto"/>
        <w:ind w:right="-23"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4．工程量清单缺项；</w:t>
      </w:r>
    </w:p>
    <w:p w14:paraId="34F8A333">
      <w:pPr>
        <w:autoSpaceDE w:val="0"/>
        <w:autoSpaceDN w:val="0"/>
        <w:adjustRightInd w:val="0"/>
        <w:spacing w:before="9" w:line="360" w:lineRule="auto"/>
        <w:ind w:right="-23"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5．工程量偏差；</w:t>
      </w:r>
    </w:p>
    <w:p w14:paraId="7188CC16">
      <w:pPr>
        <w:autoSpaceDE w:val="0"/>
        <w:autoSpaceDN w:val="0"/>
        <w:adjustRightInd w:val="0"/>
        <w:spacing w:before="9" w:line="360" w:lineRule="auto"/>
        <w:ind w:right="-23"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6．暂估价；</w:t>
      </w:r>
    </w:p>
    <w:p w14:paraId="42C826C3">
      <w:pPr>
        <w:autoSpaceDE w:val="0"/>
        <w:autoSpaceDN w:val="0"/>
        <w:adjustRightInd w:val="0"/>
        <w:spacing w:before="9" w:line="360" w:lineRule="auto"/>
        <w:ind w:right="-23"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7．计日工；</w:t>
      </w:r>
    </w:p>
    <w:p w14:paraId="04E576FA">
      <w:pPr>
        <w:autoSpaceDE w:val="0"/>
        <w:autoSpaceDN w:val="0"/>
        <w:adjustRightInd w:val="0"/>
        <w:spacing w:before="9" w:line="360" w:lineRule="auto"/>
        <w:ind w:right="-23"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8．现场签证；</w:t>
      </w:r>
    </w:p>
    <w:p w14:paraId="764DCC85">
      <w:pPr>
        <w:autoSpaceDE w:val="0"/>
        <w:autoSpaceDN w:val="0"/>
        <w:adjustRightInd w:val="0"/>
        <w:spacing w:before="9" w:line="360" w:lineRule="auto"/>
        <w:ind w:right="-23"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9．不可抗力；</w:t>
      </w:r>
    </w:p>
    <w:p w14:paraId="1001BB99">
      <w:pPr>
        <w:autoSpaceDE w:val="0"/>
        <w:autoSpaceDN w:val="0"/>
        <w:adjustRightInd w:val="0"/>
        <w:spacing w:before="9" w:line="360" w:lineRule="auto"/>
        <w:ind w:right="-23"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10．提前竣工；</w:t>
      </w:r>
    </w:p>
    <w:p w14:paraId="25D34698">
      <w:pPr>
        <w:autoSpaceDE w:val="0"/>
        <w:autoSpaceDN w:val="0"/>
        <w:adjustRightInd w:val="0"/>
        <w:spacing w:before="9" w:line="360" w:lineRule="auto"/>
        <w:ind w:right="-23"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11．误期赔偿；</w:t>
      </w:r>
    </w:p>
    <w:p w14:paraId="37284F25">
      <w:pPr>
        <w:autoSpaceDE w:val="0"/>
        <w:autoSpaceDN w:val="0"/>
        <w:adjustRightInd w:val="0"/>
        <w:spacing w:before="9" w:line="360" w:lineRule="auto"/>
        <w:ind w:right="-23"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12．施工索赔；</w:t>
      </w:r>
    </w:p>
    <w:p w14:paraId="167B8AE1">
      <w:pPr>
        <w:autoSpaceDE w:val="0"/>
        <w:autoSpaceDN w:val="0"/>
        <w:adjustRightInd w:val="0"/>
        <w:spacing w:before="9" w:line="360" w:lineRule="auto"/>
        <w:ind w:right="-23"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13．暂列金额；</w:t>
      </w:r>
    </w:p>
    <w:p w14:paraId="3C51A7F9">
      <w:pPr>
        <w:spacing w:line="360" w:lineRule="auto"/>
        <w:ind w:firstLine="426"/>
        <w:jc w:val="left"/>
        <w:rPr>
          <w:rFonts w:ascii="宋体" w:hAnsi="宋体" w:cs="宋体"/>
          <w:b/>
          <w:bCs/>
          <w:color w:val="auto"/>
          <w:kern w:val="0"/>
          <w:szCs w:val="21"/>
          <w:highlight w:val="none"/>
          <w:u w:val="single"/>
        </w:rPr>
      </w:pPr>
      <w:r>
        <w:rPr>
          <w:rFonts w:hint="eastAsia" w:ascii="宋体" w:hAnsi="宋体" w:cs="宋体"/>
          <w:b/>
          <w:bCs/>
          <w:color w:val="auto"/>
          <w:kern w:val="0"/>
          <w:szCs w:val="21"/>
          <w:highlight w:val="none"/>
        </w:rPr>
        <w:t>14．发承包双方约定的其他调整事项：</w:t>
      </w:r>
      <w:r>
        <w:rPr>
          <w:rFonts w:hint="eastAsia" w:ascii="宋体" w:hAnsi="宋体" w:cs="宋体"/>
          <w:b/>
          <w:bCs/>
          <w:color w:val="auto"/>
          <w:kern w:val="0"/>
          <w:szCs w:val="21"/>
          <w:highlight w:val="none"/>
          <w:u w:val="single"/>
        </w:rPr>
        <w:t>按通用条款执行，其余按双方协商约定处理</w:t>
      </w:r>
      <w:r>
        <w:rPr>
          <w:rFonts w:hint="eastAsia" w:ascii="宋体" w:hAnsi="宋体" w:cs="宋体"/>
          <w:b/>
          <w:bCs/>
          <w:color w:val="auto"/>
          <w:kern w:val="0"/>
          <w:szCs w:val="21"/>
          <w:highlight w:val="none"/>
          <w:u w:val="none"/>
        </w:rPr>
        <w:t>。</w:t>
      </w:r>
    </w:p>
    <w:p w14:paraId="06BE4F8F">
      <w:pPr>
        <w:snapToGrid w:val="0"/>
        <w:spacing w:line="360" w:lineRule="auto"/>
        <w:ind w:firstLine="420" w:firstLineChars="200"/>
        <w:jc w:val="left"/>
        <w:rPr>
          <w:rFonts w:ascii="宋体" w:hAnsi="宋体" w:cs="宋体"/>
          <w:color w:val="auto"/>
          <w:szCs w:val="21"/>
          <w:highlight w:val="none"/>
        </w:rPr>
      </w:pPr>
      <w:r>
        <w:rPr>
          <w:rFonts w:hint="eastAsia"/>
          <w:color w:val="auto"/>
          <w:highlight w:val="none"/>
        </w:rPr>
        <w:t>所有涉及合同价款的调整均需经发包人或其委托的咨询单位确认</w:t>
      </w:r>
      <w:r>
        <w:rPr>
          <w:rFonts w:hint="eastAsia" w:ascii="宋体" w:hAnsi="宋体" w:cs="宋体"/>
          <w:color w:val="auto"/>
          <w:szCs w:val="21"/>
          <w:highlight w:val="none"/>
        </w:rPr>
        <w:t>。</w:t>
      </w:r>
    </w:p>
    <w:p w14:paraId="1CAD6BAA">
      <w:pPr>
        <w:snapToGrid w:val="0"/>
        <w:spacing w:line="360" w:lineRule="auto"/>
        <w:ind w:firstLine="420" w:firstLineChars="200"/>
        <w:outlineLvl w:val="0"/>
        <w:rPr>
          <w:rFonts w:ascii="宋体" w:hAnsi="宋体" w:cs="宋体"/>
          <w:color w:val="auto"/>
          <w:szCs w:val="21"/>
          <w:highlight w:val="none"/>
        </w:rPr>
      </w:pPr>
      <w:bookmarkStart w:id="800" w:name="_Toc26230"/>
      <w:r>
        <w:rPr>
          <w:rFonts w:hint="eastAsia" w:ascii="宋体" w:hAnsi="宋体" w:cs="宋体"/>
          <w:color w:val="auto"/>
          <w:szCs w:val="21"/>
          <w:highlight w:val="none"/>
        </w:rPr>
        <w:t>10.4 变更估价</w:t>
      </w:r>
      <w:bookmarkEnd w:id="800"/>
    </w:p>
    <w:p w14:paraId="75413C3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10.4.1 变更估价原则</w:t>
      </w:r>
    </w:p>
    <w:p w14:paraId="69D66D71">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关于变更估价的约定: </w:t>
      </w:r>
    </w:p>
    <w:p w14:paraId="2322B2B1">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.1.1 在合同期内发生下列情况的，合同价格可以相应调整：</w:t>
      </w:r>
    </w:p>
    <w:p w14:paraId="643712F8">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（1）法律法规以及政府主管部门的政策性调整：指开工以后至竣工验收合格之日为止，宁波市政府部门颁布的适用本合同的政策性调价文件（本合同有约定的除外），结算时按文件规定可以调整。</w:t>
      </w:r>
    </w:p>
    <w:p w14:paraId="79391FB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（2）工程变更、现场签证：设计变更、发包人原因引起的变更造成的工程造价增减；经发包人、监理人确认的工程联系单、签证的变更情况；</w:t>
      </w:r>
    </w:p>
    <w:p w14:paraId="6DDBF0BB">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（3）项目特征描述不符、工程量清单缺项、工程量偏差：清单编制说明明确未计入的内容；发包人提供的工程量清单项目或数量有误；</w:t>
      </w:r>
    </w:p>
    <w:p w14:paraId="59ED860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（4）暂估价：暂估材料价、暂估综合单价、暂估总价按规定进行公开招标、议标询价等方式调整。</w:t>
      </w:r>
    </w:p>
    <w:p w14:paraId="79B3622A">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重新组价计价依据：《建设工程工程量清单计价规范》（GB50500-2013）、（2）《房屋建筑与装饰工程工程量计算规范》（GB50854-2013）、（3）《通用安装工程工程量计算规范》（GB50856-2013）、（4）《市政工程工程量计算规范》（GB50857-2013）、（5）《浙江省建设工程计价规则》（2018版）、（6）《浙江省房屋建筑与装饰工程预算定额》（2018版）、（7）《浙江省通用安装工程预算定额》（2018版）、（8）《浙江省市政工程预算定额》（2018版）、（9）《浙江省建设工程施工机械台班费用定额》(2018版)、（10）相关造价管理文件。</w:t>
      </w:r>
    </w:p>
    <w:p w14:paraId="3CF3B2B1">
      <w:pPr>
        <w:snapToGrid w:val="0"/>
        <w:spacing w:line="360" w:lineRule="auto"/>
        <w:ind w:firstLine="420" w:firstLineChars="200"/>
        <w:jc w:val="left"/>
        <w:rPr>
          <w:rFonts w:hint="eastAsia"/>
          <w:color w:val="auto"/>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合同中没有类似工程项目单价的，但又不能套用浙江省2018版工程预算定额确定综合单价的，则由承包人根据市场价格进行组价，并按成交</w:t>
      </w:r>
      <w:r>
        <w:rPr>
          <w:rFonts w:hint="eastAsia" w:ascii="宋体" w:hAnsi="宋体" w:cs="宋体"/>
          <w:bCs/>
          <w:color w:val="auto"/>
          <w:szCs w:val="21"/>
          <w:highlight w:val="none"/>
          <w:lang w:val="en-US" w:eastAsia="zh-CN"/>
        </w:rPr>
        <w:t>浮动</w:t>
      </w:r>
      <w:r>
        <w:rPr>
          <w:rFonts w:hint="eastAsia" w:ascii="宋体" w:hAnsi="宋体" w:cs="宋体"/>
          <w:bCs/>
          <w:color w:val="auto"/>
          <w:szCs w:val="21"/>
          <w:highlight w:val="none"/>
        </w:rPr>
        <w:t>率</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计算，将该组价上报，经发包人审定后作执行，最终以发包人或其委托的造价咨询单位审定价格为准。</w:t>
      </w:r>
    </w:p>
    <w:p w14:paraId="65C41083">
      <w:pPr>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bCs/>
          <w:color w:val="auto"/>
          <w:szCs w:val="21"/>
          <w:highlight w:val="none"/>
        </w:rPr>
        <w:t>成交</w:t>
      </w:r>
      <w:r>
        <w:rPr>
          <w:rFonts w:hint="eastAsia" w:ascii="宋体" w:hAnsi="宋体" w:cs="宋体"/>
          <w:color w:val="auto"/>
          <w:szCs w:val="21"/>
          <w:highlight w:val="none"/>
        </w:rPr>
        <w:t>浮动率=</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磋商响应总价</w:t>
      </w:r>
      <w:r>
        <w:rPr>
          <w:rFonts w:hint="eastAsia" w:ascii="宋体" w:hAnsi="宋体" w:cs="宋体"/>
          <w:color w:val="auto"/>
          <w:szCs w:val="21"/>
          <w:highlight w:val="none"/>
          <w:lang w:val="en-US" w:eastAsia="zh-CN"/>
        </w:rPr>
        <w:t>-暂估价-渣土清运费-暂列金额</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rPr>
        <w:t>磋商控制价</w:t>
      </w:r>
      <w:r>
        <w:rPr>
          <w:rFonts w:hint="eastAsia" w:ascii="宋体" w:hAnsi="宋体" w:cs="宋体"/>
          <w:color w:val="auto"/>
          <w:szCs w:val="21"/>
          <w:highlight w:val="none"/>
          <w:lang w:val="en-US" w:eastAsia="zh-CN"/>
        </w:rPr>
        <w:t>-暂估价-渣土清运费-暂列金额</w:t>
      </w:r>
      <w:r>
        <w:rPr>
          <w:rFonts w:hint="eastAsia" w:ascii="宋体" w:hAnsi="宋体" w:cs="宋体"/>
          <w:color w:val="auto"/>
          <w:szCs w:val="21"/>
          <w:highlight w:val="none"/>
          <w:lang w:eastAsia="zh-CN"/>
        </w:rPr>
        <w:t>）</w:t>
      </w: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×100%（浮动率:%号前保留两位小数）</w:t>
      </w:r>
      <w:r>
        <w:rPr>
          <w:rFonts w:hint="eastAsia"/>
          <w:color w:val="auto"/>
          <w:highlight w:val="none"/>
          <w:lang w:eastAsia="zh-CN"/>
        </w:rPr>
        <w:t>（</w:t>
      </w:r>
      <w:r>
        <w:rPr>
          <w:rFonts w:hint="eastAsia"/>
          <w:color w:val="auto"/>
          <w:highlight w:val="none"/>
          <w:lang w:val="en-US" w:eastAsia="zh-CN"/>
        </w:rPr>
        <w:t>须扣除暂估价、渣土清运费、暂列金额</w:t>
      </w:r>
      <w:r>
        <w:rPr>
          <w:rFonts w:hint="eastAsia"/>
          <w:color w:val="auto"/>
          <w:highlight w:val="none"/>
          <w:lang w:eastAsia="zh-CN"/>
        </w:rPr>
        <w:t>）</w:t>
      </w:r>
    </w:p>
    <w:p w14:paraId="4201AABB">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.2取费标准</w:t>
      </w:r>
    </w:p>
    <w:p w14:paraId="41F495FD">
      <w:pPr>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10.4.2.1</w:t>
      </w:r>
      <w:r>
        <w:rPr>
          <w:rFonts w:hint="eastAsia" w:ascii="宋体" w:hAnsi="宋体" w:eastAsia="宋体" w:cs="宋体"/>
          <w:color w:val="auto"/>
          <w:szCs w:val="21"/>
          <w:highlight w:val="none"/>
        </w:rPr>
        <w:t>编制依据：</w:t>
      </w:r>
    </w:p>
    <w:p w14:paraId="5B7CDAC0">
      <w:pPr>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1、根据宁波市公安局交通管理支队提供的由宁波理工建筑设计研究院有限公司设计的 《宁波市公安局交通警察局海曙大队高桥中队技术业务用房修缮项目2025年06月》施工图以及设计答疑。</w:t>
      </w:r>
    </w:p>
    <w:p w14:paraId="552CC6E5">
      <w:pPr>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1）《建设工程工程量清单计价规范》（GB50500-2013）、（2）《房屋建筑与装饰工程工程量计算规范》（GB50854-2013）、（3）《通用安装工程工程量计算规范》（GB50856-2013）、（4）《市政工程工程量计算规范》（GB50857-2013）、（5）《浙江省建设工程计价规则》（2018版）、（6）《浙江省房屋建筑与装饰工程预算定额》（2018版）、（7）《浙江省通用安装工程预算定额》（2018版）、（8）《浙江省市政工程预算定额》（2018版）、（9）《浙江省建设工程施工机械台班费用定额》(2018版)、（10）相关造价管理文件。</w:t>
      </w:r>
    </w:p>
    <w:p w14:paraId="56C34786">
      <w:pPr>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3、《转发省住建厅、省发改委、省财政厅关于颁发浙江省建设工程计价依据（2018）版的通知》（甬发改投资[2018]601号）、《关于增值税调整后我省建设工程计价依据增值税税率及有关计价调整的通知》（浙建建发【2019】92号)、《宁波市住房和城乡建设局转发省建设厅关于调整建筑工程安全文明施工费的通知》 （甬建发[2022]34号)。 </w:t>
      </w:r>
    </w:p>
    <w:p w14:paraId="47F5E5DA">
      <w:pPr>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4、本工程采用国标工程量清单编制法编制。</w:t>
      </w:r>
    </w:p>
    <w:p w14:paraId="5198972D">
      <w:pPr>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5、本工程采用一般计税法计价，税金按9%计取。</w:t>
      </w:r>
    </w:p>
    <w:p w14:paraId="6EC46EEE">
      <w:pPr>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6、工程取费类别：</w:t>
      </w:r>
    </w:p>
    <w:p w14:paraId="4115E3BB">
      <w:pPr>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（1）建筑工程：企业管理费费率、利润费率按单独装饰工程中值计取</w:t>
      </w:r>
    </w:p>
    <w:p w14:paraId="3F7812E9">
      <w:pPr>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（2）市政工程：企业管理费费率、利润费率按道路、排水、河道护岸、水处理构筑物及城市综合管廊、生活垃圾处理工程中值计取。</w:t>
      </w:r>
    </w:p>
    <w:p w14:paraId="3E0D95A2">
      <w:pPr>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（3）安装工程：企业管理费费率、利润费率按水、电、暖通、消防、智能、自控及通信安装工程中值计取。</w:t>
      </w:r>
    </w:p>
    <w:p w14:paraId="0D503570">
      <w:pPr>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（4）本次招标控制价安全生产责任保险费已按市建管[2024]12号文件计入企业管理费，投标单位投标时在企业管理费中考虑相关费用，实际未投保的，结算时按2921元（含税价）扣回。</w:t>
      </w:r>
    </w:p>
    <w:p w14:paraId="4A84B344">
      <w:pPr>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施工组织措施费计取安全文明施工基本费、冬雨季施工增加费，均按中值计取，其中安全文明施工基本费按市区工程中值费率并根据甬建发〔2022〕34号文乘以1.15系数计取，不计取二次搬运费、行车行人干扰增加费、标化工地增加费、提前竣工增加费及优质工程增加费。</w:t>
      </w:r>
    </w:p>
    <w:p w14:paraId="1F65CA45">
      <w:pPr>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（6）规费按《浙江省建设工程计价规则》（2018版）相应专业工程规费费率的30%计取。</w:t>
      </w:r>
    </w:p>
    <w:p w14:paraId="1A7DAC05">
      <w:pPr>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7、人工信息价按2025年5月刊《宁波建设工程造价信息》综合版计入，一类人工150元/工日，二类人工163元/工日，三类人工186元/工日。</w:t>
      </w:r>
    </w:p>
    <w:p w14:paraId="52E8DF71">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8、材料信息价（含机械燃油动力费）按2025年5月刊《宁波建设工程造价信息》综合版宁波市区除税信息价计入，无宁波市材料信息价的按同期《浙江造价信息》；以上均无的材料按除税市场价计入。</w:t>
      </w:r>
    </w:p>
    <w:p w14:paraId="2465632E">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Start w:id="801" w:name="_Toc297123544"/>
      <w:bookmarkStart w:id="802" w:name="_Toc297120497"/>
      <w:bookmarkStart w:id="803" w:name="_Toc296503197"/>
      <w:bookmarkStart w:id="804" w:name="_Toc296891237"/>
      <w:bookmarkStart w:id="805" w:name="_Toc292559402"/>
      <w:bookmarkStart w:id="806" w:name="_Toc303539150"/>
      <w:bookmarkStart w:id="807" w:name="_Toc297048383"/>
      <w:bookmarkStart w:id="808" w:name="_Toc300934993"/>
      <w:bookmarkStart w:id="809" w:name="_Toc296346698"/>
      <w:bookmarkStart w:id="810" w:name="_Toc296891025"/>
      <w:bookmarkStart w:id="811" w:name="_Toc297216203"/>
      <w:bookmarkStart w:id="812" w:name="_Toc296347196"/>
      <w:bookmarkStart w:id="813" w:name="_Toc296944536"/>
      <w:bookmarkStart w:id="814" w:name="_Toc292559907"/>
      <w:bookmarkStart w:id="815" w:name="_Toc304295570"/>
      <w:bookmarkStart w:id="816" w:name="_Toc312678029"/>
      <w:bookmarkStart w:id="817" w:name="_Toc312677503"/>
      <w:r>
        <w:rPr>
          <w:rFonts w:hint="eastAsia" w:ascii="宋体" w:hAnsi="宋体" w:eastAsia="宋体" w:cs="宋体"/>
          <w:color w:val="auto"/>
          <w:szCs w:val="21"/>
          <w:highlight w:val="none"/>
        </w:rPr>
        <w:t>0.5承</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Start w:id="818" w:name="_Toc296347202"/>
      <w:bookmarkStart w:id="819" w:name="_Toc292559913"/>
      <w:bookmarkStart w:id="820" w:name="_Toc303539151"/>
      <w:bookmarkStart w:id="821" w:name="_Toc296891243"/>
      <w:bookmarkStart w:id="822" w:name="_Toc296891031"/>
      <w:bookmarkStart w:id="823" w:name="_Toc296944542"/>
      <w:bookmarkStart w:id="824" w:name="_Toc297048389"/>
      <w:bookmarkStart w:id="825" w:name="_Toc297216204"/>
      <w:bookmarkStart w:id="826" w:name="_Toc296503203"/>
      <w:bookmarkStart w:id="827" w:name="_Toc296346704"/>
      <w:bookmarkStart w:id="828" w:name="_Toc300934994"/>
      <w:bookmarkStart w:id="829" w:name="_Toc297123545"/>
      <w:bookmarkStart w:id="830" w:name="_Toc292559408"/>
      <w:bookmarkStart w:id="831" w:name="_Toc297120503"/>
      <w:r>
        <w:rPr>
          <w:rFonts w:hint="eastAsia" w:ascii="宋体" w:hAnsi="宋体" w:eastAsia="宋体" w:cs="宋体"/>
          <w:color w:val="auto"/>
          <w:szCs w:val="21"/>
          <w:highlight w:val="none"/>
        </w:rPr>
        <w:t>包人的合理化建议</w:t>
      </w:r>
    </w:p>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14:paraId="7AEB405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监理人审查承包人合理化建议的期限：</w:t>
      </w:r>
      <w:r>
        <w:rPr>
          <w:rFonts w:hint="eastAsia" w:ascii="宋体" w:hAnsi="宋体"/>
          <w:color w:val="auto"/>
          <w:szCs w:val="21"/>
          <w:highlight w:val="none"/>
          <w:u w:val="single"/>
        </w:rPr>
        <w:t>执行通用条款</w:t>
      </w:r>
      <w:r>
        <w:rPr>
          <w:rFonts w:hint="eastAsia" w:ascii="宋体" w:hAnsi="宋体" w:cs="宋体"/>
          <w:color w:val="auto"/>
          <w:szCs w:val="21"/>
          <w:highlight w:val="none"/>
        </w:rPr>
        <w:t>。</w:t>
      </w:r>
    </w:p>
    <w:p w14:paraId="258908A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发包人审批承包人合理化建议的期限：</w:t>
      </w:r>
      <w:r>
        <w:rPr>
          <w:rFonts w:hint="eastAsia" w:ascii="宋体" w:hAnsi="宋体"/>
          <w:color w:val="auto"/>
          <w:szCs w:val="21"/>
          <w:highlight w:val="none"/>
          <w:u w:val="single"/>
        </w:rPr>
        <w:t>执行通用条款</w:t>
      </w:r>
      <w:r>
        <w:rPr>
          <w:rFonts w:hint="eastAsia" w:ascii="宋体" w:hAnsi="宋体" w:cs="宋体"/>
          <w:color w:val="auto"/>
          <w:szCs w:val="21"/>
          <w:highlight w:val="none"/>
        </w:rPr>
        <w:t>。</w:t>
      </w:r>
    </w:p>
    <w:p w14:paraId="46346628">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承</w:t>
      </w:r>
      <w:bookmarkStart w:id="832" w:name="_Toc292559409"/>
      <w:bookmarkStart w:id="833" w:name="_Toc304295571"/>
      <w:bookmarkStart w:id="834" w:name="_Toc297120504"/>
      <w:bookmarkStart w:id="835" w:name="_Toc303539152"/>
      <w:bookmarkStart w:id="836" w:name="_Toc318581175"/>
      <w:bookmarkStart w:id="837" w:name="_Toc292559914"/>
      <w:bookmarkStart w:id="838" w:name="_Toc297048390"/>
      <w:bookmarkStart w:id="839" w:name="_Toc297216205"/>
      <w:bookmarkStart w:id="840" w:name="_Toc296346705"/>
      <w:bookmarkStart w:id="841" w:name="_Toc312678030"/>
      <w:bookmarkStart w:id="842" w:name="_Toc297123546"/>
      <w:bookmarkStart w:id="843" w:name="_Toc296891244"/>
      <w:bookmarkStart w:id="844" w:name="_Toc296944543"/>
      <w:bookmarkStart w:id="845" w:name="_Toc296347203"/>
      <w:bookmarkStart w:id="846" w:name="_Toc300934995"/>
      <w:bookmarkStart w:id="847" w:name="_Toc296891032"/>
      <w:bookmarkStart w:id="848" w:name="_Toc312677504"/>
      <w:bookmarkStart w:id="849" w:name="_Toc296503204"/>
      <w:r>
        <w:rPr>
          <w:rFonts w:hint="eastAsia" w:ascii="宋体" w:hAnsi="宋体" w:cs="宋体"/>
          <w:color w:val="auto"/>
          <w:szCs w:val="21"/>
          <w:highlight w:val="none"/>
        </w:rPr>
        <w:t>包人提出的合理化建议降低了合同价格或者提高了工程经济效益的奖励的方法和金额为：</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rPr>
        <w:t>。</w:t>
      </w:r>
    </w:p>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14:paraId="548F5F5B">
      <w:pPr>
        <w:snapToGrid w:val="0"/>
        <w:spacing w:line="360" w:lineRule="auto"/>
        <w:ind w:firstLine="420" w:firstLineChars="200"/>
        <w:outlineLvl w:val="0"/>
        <w:rPr>
          <w:rFonts w:ascii="宋体" w:hAnsi="宋体" w:cs="宋体"/>
          <w:color w:val="auto"/>
          <w:szCs w:val="21"/>
          <w:highlight w:val="none"/>
        </w:rPr>
      </w:pPr>
      <w:bookmarkStart w:id="850" w:name="_Toc13182"/>
      <w:r>
        <w:rPr>
          <w:rFonts w:hint="eastAsia" w:ascii="宋体" w:hAnsi="宋体" w:cs="宋体"/>
          <w:color w:val="auto"/>
          <w:szCs w:val="21"/>
          <w:highlight w:val="none"/>
        </w:rPr>
        <w:t>1</w:t>
      </w:r>
      <w:bookmarkStart w:id="851" w:name="_Toc312677507"/>
      <w:bookmarkStart w:id="852" w:name="_Toc296891027"/>
      <w:bookmarkStart w:id="853" w:name="_Toc296891239"/>
      <w:bookmarkStart w:id="854" w:name="_Toc297123548"/>
      <w:bookmarkStart w:id="855" w:name="_Toc297048385"/>
      <w:bookmarkStart w:id="856" w:name="_Toc297216207"/>
      <w:bookmarkStart w:id="857" w:name="_Toc296944538"/>
      <w:bookmarkStart w:id="858" w:name="_Toc300934997"/>
      <w:bookmarkStart w:id="859" w:name="_Toc292559909"/>
      <w:bookmarkStart w:id="860" w:name="_Toc304295574"/>
      <w:bookmarkStart w:id="861" w:name="_Toc297120499"/>
      <w:bookmarkStart w:id="862" w:name="_Toc296503199"/>
      <w:bookmarkStart w:id="863" w:name="_Toc296347198"/>
      <w:bookmarkStart w:id="864" w:name="_Toc292559404"/>
      <w:bookmarkStart w:id="865" w:name="_Toc296346700"/>
      <w:bookmarkStart w:id="866" w:name="_Toc312678033"/>
      <w:bookmarkStart w:id="867" w:name="_Toc303539154"/>
      <w:r>
        <w:rPr>
          <w:rFonts w:hint="eastAsia" w:ascii="宋体" w:hAnsi="宋体" w:cs="宋体"/>
          <w:color w:val="auto"/>
          <w:szCs w:val="21"/>
          <w:highlight w:val="none"/>
        </w:rPr>
        <w:t>0.7 暂估价</w:t>
      </w:r>
      <w:bookmarkEnd w:id="850"/>
    </w:p>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14:paraId="2160BBE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暂</w:t>
      </w:r>
      <w:bookmarkStart w:id="868" w:name="_Toc312677508"/>
      <w:bookmarkStart w:id="869" w:name="_Toc312678034"/>
      <w:bookmarkStart w:id="870" w:name="_Toc318581176"/>
      <w:r>
        <w:rPr>
          <w:rFonts w:hint="eastAsia" w:ascii="宋体" w:hAnsi="宋体" w:cs="宋体"/>
          <w:color w:val="auto"/>
          <w:kern w:val="0"/>
          <w:szCs w:val="21"/>
          <w:highlight w:val="none"/>
        </w:rPr>
        <w:t>估价材料和工程设备的明细详见附件11：《</w:t>
      </w:r>
      <w:r>
        <w:rPr>
          <w:rFonts w:hint="eastAsia" w:ascii="宋体" w:hAnsi="宋体" w:cs="宋体"/>
          <w:color w:val="auto"/>
          <w:szCs w:val="21"/>
          <w:highlight w:val="none"/>
        </w:rPr>
        <w:t>暂估价一览表》</w:t>
      </w:r>
      <w:r>
        <w:rPr>
          <w:rFonts w:hint="eastAsia" w:ascii="宋体" w:hAnsi="宋体" w:cs="宋体"/>
          <w:color w:val="auto"/>
          <w:kern w:val="0"/>
          <w:szCs w:val="21"/>
          <w:highlight w:val="none"/>
        </w:rPr>
        <w:t>。</w:t>
      </w:r>
    </w:p>
    <w:bookmarkEnd w:id="868"/>
    <w:bookmarkEnd w:id="869"/>
    <w:bookmarkEnd w:id="870"/>
    <w:p w14:paraId="343A609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10.8 暂列金额</w:t>
      </w:r>
    </w:p>
    <w:p w14:paraId="321E081D">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合同当事人关于暂列金额使用的约定：</w:t>
      </w:r>
      <w:r>
        <w:rPr>
          <w:rFonts w:hint="eastAsia" w:ascii="宋体" w:hAnsi="宋体"/>
          <w:color w:val="auto"/>
          <w:szCs w:val="21"/>
          <w:highlight w:val="none"/>
          <w:u w:val="single"/>
        </w:rPr>
        <w:t>执行通用条款</w:t>
      </w:r>
      <w:r>
        <w:rPr>
          <w:rFonts w:hint="eastAsia" w:ascii="宋体" w:hAnsi="宋体" w:cs="宋体"/>
          <w:color w:val="auto"/>
          <w:kern w:val="0"/>
          <w:szCs w:val="21"/>
          <w:highlight w:val="none"/>
        </w:rPr>
        <w:t>。</w:t>
      </w:r>
    </w:p>
    <w:p w14:paraId="4EB6CB27">
      <w:pPr>
        <w:pStyle w:val="5"/>
        <w:snapToGrid w:val="0"/>
        <w:spacing w:before="0" w:after="0" w:line="360" w:lineRule="auto"/>
        <w:rPr>
          <w:rFonts w:ascii="宋体" w:hAnsi="宋体" w:eastAsia="宋体" w:cs="宋体"/>
          <w:b w:val="0"/>
          <w:color w:val="auto"/>
          <w:sz w:val="21"/>
          <w:szCs w:val="21"/>
          <w:highlight w:val="none"/>
        </w:rPr>
      </w:pPr>
      <w:bookmarkStart w:id="871" w:name="_Toc351203643"/>
      <w:r>
        <w:rPr>
          <w:rFonts w:hint="eastAsia" w:ascii="宋体" w:hAnsi="宋体" w:eastAsia="宋体" w:cs="宋体"/>
          <w:b w:val="0"/>
          <w:color w:val="auto"/>
          <w:sz w:val="21"/>
          <w:szCs w:val="21"/>
          <w:highlight w:val="none"/>
        </w:rPr>
        <w:t>11. 价格调整</w:t>
      </w:r>
      <w:bookmarkEnd w:id="871"/>
    </w:p>
    <w:p w14:paraId="41D97E24">
      <w:pPr>
        <w:snapToGrid w:val="0"/>
        <w:spacing w:line="360" w:lineRule="auto"/>
        <w:ind w:firstLine="420" w:firstLineChars="200"/>
        <w:rPr>
          <w:rFonts w:ascii="宋体" w:hAnsi="宋体" w:cs="宋体"/>
          <w:color w:val="auto"/>
          <w:szCs w:val="21"/>
          <w:highlight w:val="none"/>
        </w:rPr>
      </w:pPr>
      <w:bookmarkStart w:id="872" w:name="_Toc304295577"/>
      <w:bookmarkStart w:id="873" w:name="_Toc297216209"/>
      <w:bookmarkStart w:id="874" w:name="_Toc296891029"/>
      <w:bookmarkStart w:id="875" w:name="_Toc292559911"/>
      <w:bookmarkStart w:id="876" w:name="_Toc296944540"/>
      <w:bookmarkStart w:id="877" w:name="_Toc296891241"/>
      <w:bookmarkStart w:id="878" w:name="_Toc300935000"/>
      <w:bookmarkStart w:id="879" w:name="_Toc296503201"/>
      <w:bookmarkStart w:id="880" w:name="_Toc312678039"/>
      <w:bookmarkStart w:id="881" w:name="_Toc297048387"/>
      <w:bookmarkStart w:id="882" w:name="_Toc297120501"/>
      <w:bookmarkStart w:id="883" w:name="_Toc303539157"/>
      <w:bookmarkStart w:id="884" w:name="_Toc292559406"/>
      <w:bookmarkStart w:id="885" w:name="_Toc297123550"/>
      <w:bookmarkStart w:id="886" w:name="_Toc296346702"/>
      <w:bookmarkStart w:id="887" w:name="_Toc296347200"/>
      <w:r>
        <w:rPr>
          <w:rFonts w:hint="eastAsia" w:ascii="宋体" w:hAnsi="宋体" w:cs="宋体"/>
          <w:color w:val="auto"/>
          <w:szCs w:val="21"/>
          <w:highlight w:val="none"/>
        </w:rPr>
        <w:t>11.1 市场价格波动引起的调整</w:t>
      </w:r>
    </w:p>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p w14:paraId="27611D9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市场价格波动是否调整合同价格的约定：</w:t>
      </w:r>
      <w:r>
        <w:rPr>
          <w:rFonts w:hint="eastAsia" w:ascii="宋体" w:hAnsi="宋体" w:cs="宋体"/>
          <w:color w:val="auto"/>
          <w:szCs w:val="21"/>
          <w:highlight w:val="none"/>
          <w:u w:val="single"/>
          <w:lang w:val="en-US" w:eastAsia="zh-CN"/>
        </w:rPr>
        <w:t>不调整</w:t>
      </w:r>
      <w:r>
        <w:rPr>
          <w:rFonts w:hint="eastAsia" w:ascii="宋体" w:hAnsi="宋体" w:cs="宋体"/>
          <w:color w:val="auto"/>
          <w:szCs w:val="21"/>
          <w:highlight w:val="none"/>
        </w:rPr>
        <w:t>。</w:t>
      </w:r>
    </w:p>
    <w:bookmarkEnd w:id="776"/>
    <w:bookmarkEnd w:id="777"/>
    <w:bookmarkEnd w:id="778"/>
    <w:bookmarkEnd w:id="779"/>
    <w:bookmarkEnd w:id="780"/>
    <w:bookmarkEnd w:id="781"/>
    <w:p w14:paraId="3F705727">
      <w:pPr>
        <w:pStyle w:val="5"/>
        <w:snapToGrid w:val="0"/>
        <w:spacing w:before="0" w:after="0" w:line="360" w:lineRule="auto"/>
        <w:rPr>
          <w:rFonts w:ascii="宋体" w:hAnsi="宋体" w:eastAsia="宋体" w:cs="宋体"/>
          <w:b w:val="0"/>
          <w:color w:val="auto"/>
          <w:sz w:val="21"/>
          <w:szCs w:val="21"/>
          <w:highlight w:val="none"/>
        </w:rPr>
      </w:pPr>
      <w:bookmarkStart w:id="888" w:name="_Toc296347204"/>
      <w:bookmarkStart w:id="889" w:name="_Toc292559915"/>
      <w:bookmarkStart w:id="890" w:name="_Toc297120505"/>
      <w:bookmarkStart w:id="891" w:name="_Toc297048391"/>
      <w:bookmarkStart w:id="892" w:name="_Toc296944544"/>
      <w:bookmarkStart w:id="893" w:name="_Toc296891033"/>
      <w:bookmarkStart w:id="894" w:name="_Toc296503205"/>
      <w:bookmarkStart w:id="895" w:name="_Toc296891245"/>
      <w:bookmarkStart w:id="896" w:name="_Toc292559410"/>
      <w:bookmarkStart w:id="897" w:name="_Toc296346706"/>
      <w:bookmarkStart w:id="898" w:name="_Toc351203644"/>
      <w:bookmarkStart w:id="899" w:name="_Toc312678040"/>
      <w:bookmarkStart w:id="900" w:name="_Toc303539159"/>
      <w:bookmarkStart w:id="901" w:name="_Toc304295579"/>
      <w:bookmarkStart w:id="902" w:name="_Toc297216211"/>
      <w:bookmarkStart w:id="903" w:name="_Toc300935002"/>
      <w:bookmarkStart w:id="904" w:name="_Toc297123552"/>
      <w:r>
        <w:rPr>
          <w:rFonts w:hint="eastAsia" w:ascii="宋体" w:hAnsi="宋体" w:eastAsia="宋体" w:cs="宋体"/>
          <w:b w:val="0"/>
          <w:color w:val="auto"/>
          <w:sz w:val="21"/>
          <w:szCs w:val="21"/>
          <w:highlight w:val="none"/>
        </w:rPr>
        <w:t xml:space="preserve">12. </w:t>
      </w:r>
      <w:bookmarkEnd w:id="888"/>
      <w:bookmarkEnd w:id="889"/>
      <w:bookmarkEnd w:id="890"/>
      <w:bookmarkEnd w:id="891"/>
      <w:bookmarkEnd w:id="892"/>
      <w:bookmarkEnd w:id="893"/>
      <w:bookmarkEnd w:id="894"/>
      <w:bookmarkEnd w:id="895"/>
      <w:bookmarkEnd w:id="896"/>
      <w:bookmarkEnd w:id="897"/>
      <w:r>
        <w:rPr>
          <w:rFonts w:hint="eastAsia" w:ascii="宋体" w:hAnsi="宋体" w:eastAsia="宋体" w:cs="宋体"/>
          <w:b w:val="0"/>
          <w:color w:val="auto"/>
          <w:sz w:val="21"/>
          <w:szCs w:val="21"/>
          <w:highlight w:val="none"/>
        </w:rPr>
        <w:t>合同价格、计量与支付</w:t>
      </w:r>
      <w:bookmarkEnd w:id="898"/>
    </w:p>
    <w:bookmarkEnd w:id="899"/>
    <w:bookmarkEnd w:id="900"/>
    <w:bookmarkEnd w:id="901"/>
    <w:bookmarkEnd w:id="902"/>
    <w:bookmarkEnd w:id="903"/>
    <w:bookmarkEnd w:id="904"/>
    <w:p w14:paraId="0194C8E2">
      <w:pPr>
        <w:snapToGrid w:val="0"/>
        <w:spacing w:line="360" w:lineRule="auto"/>
        <w:ind w:firstLine="420" w:firstLineChars="200"/>
        <w:rPr>
          <w:rFonts w:ascii="宋体" w:hAnsi="宋体" w:cs="宋体"/>
          <w:color w:val="auto"/>
          <w:szCs w:val="21"/>
          <w:highlight w:val="none"/>
        </w:rPr>
      </w:pPr>
      <w:bookmarkStart w:id="905" w:name="_Toc292559916"/>
      <w:bookmarkStart w:id="906" w:name="_Toc292559411"/>
      <w:bookmarkStart w:id="907" w:name="_Toc267251461"/>
      <w:bookmarkStart w:id="908" w:name="_Toc296346707"/>
      <w:bookmarkStart w:id="909" w:name="_Toc297120506"/>
      <w:bookmarkStart w:id="910" w:name="_Toc296347205"/>
      <w:bookmarkStart w:id="911" w:name="_Toc296503206"/>
      <w:bookmarkStart w:id="912" w:name="_Toc296891246"/>
      <w:bookmarkStart w:id="913" w:name="_Toc297048392"/>
      <w:bookmarkStart w:id="914" w:name="_Toc296944545"/>
      <w:bookmarkStart w:id="915" w:name="_Toc296891034"/>
      <w:bookmarkStart w:id="916" w:name="_Toc297216212"/>
      <w:bookmarkStart w:id="917" w:name="_Toc303539160"/>
      <w:bookmarkStart w:id="918" w:name="_Toc304295580"/>
      <w:bookmarkStart w:id="919" w:name="_Toc312678041"/>
      <w:bookmarkStart w:id="920" w:name="_Toc297123553"/>
      <w:bookmarkStart w:id="921" w:name="_Toc300935003"/>
      <w:r>
        <w:rPr>
          <w:rFonts w:hint="eastAsia" w:ascii="宋体" w:hAnsi="宋体" w:cs="宋体"/>
          <w:color w:val="auto"/>
          <w:szCs w:val="21"/>
          <w:highlight w:val="none"/>
        </w:rPr>
        <w:t>12.1 合</w:t>
      </w:r>
      <w:bookmarkEnd w:id="905"/>
      <w:bookmarkEnd w:id="906"/>
      <w:bookmarkEnd w:id="907"/>
      <w:r>
        <w:rPr>
          <w:rFonts w:hint="eastAsia" w:ascii="宋体" w:hAnsi="宋体" w:cs="宋体"/>
          <w:color w:val="auto"/>
          <w:szCs w:val="21"/>
          <w:highlight w:val="none"/>
        </w:rPr>
        <w:t>同价</w:t>
      </w:r>
      <w:bookmarkEnd w:id="908"/>
      <w:bookmarkEnd w:id="909"/>
      <w:bookmarkEnd w:id="910"/>
      <w:bookmarkEnd w:id="911"/>
      <w:bookmarkEnd w:id="912"/>
      <w:bookmarkEnd w:id="913"/>
      <w:bookmarkEnd w:id="914"/>
      <w:bookmarkEnd w:id="915"/>
      <w:r>
        <w:rPr>
          <w:rFonts w:hint="eastAsia" w:ascii="宋体" w:hAnsi="宋体" w:cs="宋体"/>
          <w:color w:val="auto"/>
          <w:szCs w:val="21"/>
          <w:highlight w:val="none"/>
        </w:rPr>
        <w:t>格形式</w:t>
      </w:r>
    </w:p>
    <w:bookmarkEnd w:id="916"/>
    <w:bookmarkEnd w:id="917"/>
    <w:bookmarkEnd w:id="918"/>
    <w:bookmarkEnd w:id="919"/>
    <w:bookmarkEnd w:id="920"/>
    <w:bookmarkEnd w:id="921"/>
    <w:p w14:paraId="1B6C37D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1、单价合同。</w:t>
      </w:r>
    </w:p>
    <w:p w14:paraId="046023A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综合单价包含的风险范围：</w:t>
      </w:r>
      <w:r>
        <w:rPr>
          <w:rFonts w:hint="eastAsia" w:ascii="宋体" w:hAnsi="宋体"/>
          <w:color w:val="auto"/>
          <w:szCs w:val="21"/>
          <w:highlight w:val="none"/>
          <w:u w:val="single"/>
        </w:rPr>
        <w:t>/</w:t>
      </w:r>
      <w:r>
        <w:rPr>
          <w:rFonts w:hint="eastAsia" w:ascii="宋体" w:hAnsi="宋体" w:cs="宋体"/>
          <w:color w:val="auto"/>
          <w:szCs w:val="21"/>
          <w:highlight w:val="none"/>
        </w:rPr>
        <w:t>。</w:t>
      </w:r>
    </w:p>
    <w:p w14:paraId="3CB1A8E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风险费用的计算方法：</w:t>
      </w:r>
      <w:r>
        <w:rPr>
          <w:rFonts w:hint="eastAsia" w:ascii="宋体" w:hAnsi="宋体"/>
          <w:color w:val="auto"/>
          <w:szCs w:val="21"/>
          <w:highlight w:val="none"/>
          <w:u w:val="single"/>
        </w:rPr>
        <w:t>/</w:t>
      </w:r>
      <w:r>
        <w:rPr>
          <w:rFonts w:hint="eastAsia" w:ascii="宋体" w:hAnsi="宋体" w:cs="宋体"/>
          <w:color w:val="auto"/>
          <w:szCs w:val="21"/>
          <w:highlight w:val="none"/>
        </w:rPr>
        <w:t>。</w:t>
      </w:r>
    </w:p>
    <w:p w14:paraId="6F56B72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olor w:val="auto"/>
          <w:szCs w:val="21"/>
          <w:highlight w:val="none"/>
          <w:u w:val="single"/>
        </w:rPr>
        <w:t>/</w:t>
      </w:r>
      <w:r>
        <w:rPr>
          <w:rFonts w:hint="eastAsia" w:ascii="宋体" w:hAnsi="宋体" w:cs="宋体"/>
          <w:color w:val="auto"/>
          <w:szCs w:val="21"/>
          <w:highlight w:val="none"/>
        </w:rPr>
        <w:t>。</w:t>
      </w:r>
    </w:p>
    <w:p w14:paraId="467ADFA3">
      <w:pPr>
        <w:snapToGrid w:val="0"/>
        <w:spacing w:line="360" w:lineRule="auto"/>
        <w:ind w:firstLine="420" w:firstLineChars="200"/>
        <w:rPr>
          <w:rFonts w:ascii="宋体" w:hAnsi="宋体" w:cs="宋体"/>
          <w:color w:val="auto"/>
          <w:szCs w:val="21"/>
          <w:highlight w:val="none"/>
        </w:rPr>
      </w:pPr>
      <w:bookmarkStart w:id="922" w:name="_Toc303539161"/>
      <w:bookmarkStart w:id="923" w:name="_Toc297216213"/>
      <w:bookmarkStart w:id="924" w:name="_Toc300935004"/>
      <w:bookmarkStart w:id="925" w:name="_Toc312678042"/>
      <w:bookmarkStart w:id="926" w:name="_Toc304295581"/>
      <w:bookmarkStart w:id="927" w:name="_Toc297123554"/>
      <w:bookmarkStart w:id="928" w:name="_Toc292559412"/>
      <w:bookmarkStart w:id="929" w:name="_Toc292559917"/>
      <w:bookmarkStart w:id="930" w:name="_Toc296891247"/>
      <w:bookmarkStart w:id="931" w:name="_Toc296347206"/>
      <w:bookmarkStart w:id="932" w:name="_Toc296503207"/>
      <w:bookmarkStart w:id="933" w:name="_Toc296891035"/>
      <w:bookmarkStart w:id="934" w:name="_Toc296346708"/>
      <w:bookmarkStart w:id="935" w:name="_Toc297048393"/>
      <w:bookmarkStart w:id="936" w:name="_Toc296944546"/>
      <w:bookmarkStart w:id="937" w:name="_Toc297120507"/>
      <w:r>
        <w:rPr>
          <w:rFonts w:hint="eastAsia" w:ascii="宋体" w:hAnsi="宋体" w:cs="宋体"/>
          <w:color w:val="auto"/>
          <w:szCs w:val="21"/>
          <w:highlight w:val="none"/>
        </w:rPr>
        <w:t>12.2 预付款</w:t>
      </w:r>
    </w:p>
    <w:bookmarkEnd w:id="922"/>
    <w:bookmarkEnd w:id="923"/>
    <w:bookmarkEnd w:id="924"/>
    <w:bookmarkEnd w:id="925"/>
    <w:bookmarkEnd w:id="926"/>
    <w:bookmarkEnd w:id="927"/>
    <w:p w14:paraId="7C8E610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12.2.1 预付款的支付</w:t>
      </w:r>
    </w:p>
    <w:p w14:paraId="0A5F9DB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预付款支付比例或金额：</w:t>
      </w:r>
      <w:r>
        <w:rPr>
          <w:rFonts w:hint="eastAsia" w:ascii="宋体" w:hAnsi="宋体"/>
          <w:color w:val="auto"/>
          <w:szCs w:val="21"/>
          <w:highlight w:val="none"/>
          <w:u w:val="single"/>
        </w:rPr>
        <w:t>签约合同价的</w:t>
      </w:r>
      <w:r>
        <w:rPr>
          <w:rFonts w:hint="eastAsia" w:ascii="宋体" w:hAnsi="宋体"/>
          <w:color w:val="auto"/>
          <w:szCs w:val="21"/>
          <w:highlight w:val="none"/>
          <w:u w:val="single"/>
          <w:lang w:val="en-US" w:eastAsia="zh-CN"/>
        </w:rPr>
        <w:t>4</w:t>
      </w:r>
      <w:r>
        <w:rPr>
          <w:rFonts w:hint="eastAsia" w:ascii="宋体" w:hAnsi="宋体"/>
          <w:color w:val="auto"/>
          <w:szCs w:val="21"/>
          <w:highlight w:val="none"/>
          <w:u w:val="single"/>
        </w:rPr>
        <w:t>0%。</w:t>
      </w:r>
    </w:p>
    <w:p w14:paraId="40FA066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预付款支付期限：</w:t>
      </w:r>
      <w:r>
        <w:rPr>
          <w:rFonts w:hint="eastAsia" w:ascii="宋体" w:hAnsi="宋体" w:cs="宋体"/>
          <w:color w:val="auto"/>
          <w:szCs w:val="21"/>
          <w:highlight w:val="none"/>
          <w:u w:val="single"/>
        </w:rPr>
        <w:t>合同生效以及具备实施条件后7个工作日内</w:t>
      </w:r>
      <w:r>
        <w:rPr>
          <w:rFonts w:hint="eastAsia" w:ascii="宋体" w:hAnsi="宋体" w:cs="宋体"/>
          <w:color w:val="auto"/>
          <w:szCs w:val="21"/>
          <w:highlight w:val="none"/>
        </w:rPr>
        <w:t>。</w:t>
      </w:r>
    </w:p>
    <w:p w14:paraId="0A5BEA1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预付款扣回的方式：</w:t>
      </w:r>
      <w:r>
        <w:rPr>
          <w:rFonts w:hint="eastAsia" w:ascii="宋体" w:hAnsi="宋体"/>
          <w:color w:val="auto"/>
          <w:szCs w:val="21"/>
          <w:highlight w:val="none"/>
          <w:u w:val="single"/>
        </w:rPr>
        <w:t>/</w:t>
      </w:r>
      <w:r>
        <w:rPr>
          <w:rFonts w:hint="eastAsia" w:ascii="宋体" w:hAnsi="宋体" w:cs="宋体"/>
          <w:color w:val="auto"/>
          <w:szCs w:val="21"/>
          <w:highlight w:val="none"/>
        </w:rPr>
        <w:t>。</w:t>
      </w:r>
    </w:p>
    <w:p w14:paraId="551762A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12.2.2 预付款担保</w:t>
      </w:r>
    </w:p>
    <w:p w14:paraId="5B9712F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承包人提交预付款担保的期限：</w:t>
      </w:r>
      <w:r>
        <w:rPr>
          <w:rFonts w:hint="eastAsia" w:ascii="宋体" w:hAnsi="宋体"/>
          <w:color w:val="auto"/>
          <w:szCs w:val="21"/>
          <w:highlight w:val="none"/>
          <w:u w:val="single"/>
        </w:rPr>
        <w:t>/</w:t>
      </w:r>
      <w:r>
        <w:rPr>
          <w:rFonts w:hint="eastAsia" w:ascii="宋体" w:hAnsi="宋体" w:cs="宋体"/>
          <w:color w:val="auto"/>
          <w:szCs w:val="21"/>
          <w:highlight w:val="none"/>
        </w:rPr>
        <w:t>。</w:t>
      </w:r>
    </w:p>
    <w:p w14:paraId="689712E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预付款担保的形式为：</w:t>
      </w:r>
      <w:r>
        <w:rPr>
          <w:rFonts w:hint="eastAsia" w:ascii="宋体" w:hAnsi="宋体"/>
          <w:color w:val="auto"/>
          <w:szCs w:val="21"/>
          <w:highlight w:val="none"/>
          <w:u w:val="single"/>
        </w:rPr>
        <w:t>/</w:t>
      </w:r>
      <w:r>
        <w:rPr>
          <w:rFonts w:hint="eastAsia" w:ascii="宋体" w:hAnsi="宋体" w:cs="宋体"/>
          <w:color w:val="auto"/>
          <w:szCs w:val="21"/>
          <w:highlight w:val="none"/>
        </w:rPr>
        <w:t>。</w:t>
      </w:r>
    </w:p>
    <w:bookmarkEnd w:id="928"/>
    <w:bookmarkEnd w:id="929"/>
    <w:bookmarkEnd w:id="930"/>
    <w:bookmarkEnd w:id="931"/>
    <w:bookmarkEnd w:id="932"/>
    <w:bookmarkEnd w:id="933"/>
    <w:bookmarkEnd w:id="934"/>
    <w:bookmarkEnd w:id="935"/>
    <w:bookmarkEnd w:id="936"/>
    <w:bookmarkEnd w:id="937"/>
    <w:p w14:paraId="44D9828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 计量</w:t>
      </w:r>
    </w:p>
    <w:p w14:paraId="3A22429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12.3.1 计量原则</w:t>
      </w:r>
    </w:p>
    <w:p w14:paraId="4F84078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工程量计算规则：</w:t>
      </w:r>
      <w:r>
        <w:rPr>
          <w:rFonts w:hint="eastAsia" w:ascii="宋体" w:hAnsi="宋体" w:cs="宋体"/>
          <w:color w:val="auto"/>
          <w:szCs w:val="21"/>
          <w:highlight w:val="none"/>
          <w:u w:val="single"/>
        </w:rPr>
        <w:t>执行通用条款</w:t>
      </w:r>
      <w:r>
        <w:rPr>
          <w:rFonts w:hint="eastAsia" w:ascii="宋体" w:hAnsi="宋体" w:cs="宋体"/>
          <w:color w:val="auto"/>
          <w:szCs w:val="21"/>
          <w:highlight w:val="none"/>
        </w:rPr>
        <w:t>。</w:t>
      </w:r>
    </w:p>
    <w:p w14:paraId="71307CF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12.3.2 计量周期</w:t>
      </w:r>
    </w:p>
    <w:p w14:paraId="051DEC5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关于计量周期的约定：</w:t>
      </w:r>
      <w:r>
        <w:rPr>
          <w:rFonts w:hint="eastAsia" w:ascii="宋体" w:hAnsi="宋体" w:cs="宋体"/>
          <w:color w:val="auto"/>
          <w:szCs w:val="21"/>
          <w:highlight w:val="none"/>
          <w:u w:val="single"/>
        </w:rPr>
        <w:t>执行通用条款</w:t>
      </w:r>
      <w:r>
        <w:rPr>
          <w:rFonts w:hint="eastAsia" w:ascii="宋体" w:hAnsi="宋体" w:cs="宋体"/>
          <w:color w:val="auto"/>
          <w:szCs w:val="21"/>
          <w:highlight w:val="none"/>
        </w:rPr>
        <w:t>。</w:t>
      </w:r>
    </w:p>
    <w:p w14:paraId="0FA622A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12.3.3 单价合同的计量</w:t>
      </w:r>
    </w:p>
    <w:p w14:paraId="0A338BE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关于单价合同计量的约定：</w:t>
      </w:r>
      <w:r>
        <w:rPr>
          <w:rFonts w:hint="eastAsia" w:ascii="宋体" w:hAnsi="宋体" w:cs="宋体"/>
          <w:color w:val="auto"/>
          <w:szCs w:val="21"/>
          <w:highlight w:val="none"/>
          <w:u w:val="single"/>
        </w:rPr>
        <w:t>执行通用条款</w:t>
      </w:r>
      <w:r>
        <w:rPr>
          <w:rFonts w:hint="eastAsia" w:ascii="宋体" w:hAnsi="宋体" w:cs="宋体"/>
          <w:color w:val="auto"/>
          <w:szCs w:val="21"/>
          <w:highlight w:val="none"/>
        </w:rPr>
        <w:t>。</w:t>
      </w:r>
    </w:p>
    <w:p w14:paraId="2B351B3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12.4 工程进度款支付</w:t>
      </w:r>
    </w:p>
    <w:p w14:paraId="7FE8E41A">
      <w:pPr>
        <w:snapToGrid w:val="0"/>
        <w:spacing w:line="360" w:lineRule="auto"/>
        <w:ind w:firstLine="420" w:firstLineChars="200"/>
        <w:jc w:val="left"/>
        <w:rPr>
          <w:rFonts w:ascii="宋体" w:hAnsi="宋体" w:cs="宋体"/>
          <w:color w:val="auto"/>
          <w:szCs w:val="21"/>
          <w:highlight w:val="none"/>
        </w:rPr>
      </w:pPr>
      <w:bookmarkStart w:id="938" w:name="_Toc297123556"/>
      <w:bookmarkStart w:id="939" w:name="_Toc292559416"/>
      <w:bookmarkStart w:id="940" w:name="_Toc292559921"/>
      <w:bookmarkStart w:id="941" w:name="_Toc296503211"/>
      <w:bookmarkStart w:id="942" w:name="_Toc303539163"/>
      <w:bookmarkStart w:id="943" w:name="_Toc296346712"/>
      <w:bookmarkStart w:id="944" w:name="_Toc296347210"/>
      <w:bookmarkStart w:id="945" w:name="_Toc297216215"/>
      <w:bookmarkStart w:id="946" w:name="_Toc297120511"/>
      <w:bookmarkStart w:id="947" w:name="_Toc296891039"/>
      <w:bookmarkStart w:id="948" w:name="_Toc296891251"/>
      <w:bookmarkStart w:id="949" w:name="_Toc297048397"/>
      <w:bookmarkStart w:id="950" w:name="_Toc300935006"/>
      <w:bookmarkStart w:id="951" w:name="_Toc296944550"/>
      <w:r>
        <w:rPr>
          <w:rFonts w:hint="eastAsia" w:ascii="宋体" w:hAnsi="宋体" w:cs="宋体"/>
          <w:color w:val="auto"/>
          <w:szCs w:val="21"/>
          <w:highlight w:val="none"/>
        </w:rPr>
        <w:t>12.4.1 付款周期</w:t>
      </w:r>
    </w:p>
    <w:p w14:paraId="05B1C93B">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关于付款周期的约定：</w:t>
      </w:r>
    </w:p>
    <w:p w14:paraId="4D8B02BF">
      <w:pPr>
        <w:numPr>
          <w:ilvl w:val="0"/>
          <w:numId w:val="6"/>
        </w:num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w:t>
      </w:r>
    </w:p>
    <w:p w14:paraId="1891AE98">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（2）支付上述款项前，承包人必须开具同等数额的正规增值税发票（具体发票要求按发包人要求开具），否则有权延迟支付。</w:t>
      </w:r>
    </w:p>
    <w:p w14:paraId="7E27FA4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（3）联系单调整费用：</w:t>
      </w:r>
    </w:p>
    <w:p w14:paraId="263B83C2">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以上工程款均不包括联系单调整费用，联系单预算书及工程量计算稿需作为联系单的附件与联系单同时报审，及时上报代建人、跟踪审计单位和发包人审核确认。联系单调整费用在工程结算完成后支付。</w:t>
      </w:r>
    </w:p>
    <w:p w14:paraId="2A26839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承包人违约金必须在余款结清前提交发包人，否则发包人有权不支付余款，待承包人提交违约金后支付</w:t>
      </w:r>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r>
        <w:rPr>
          <w:rFonts w:hint="eastAsia" w:ascii="宋体" w:hAnsi="宋体" w:cs="宋体"/>
          <w:color w:val="auto"/>
          <w:szCs w:val="21"/>
          <w:highlight w:val="none"/>
        </w:rPr>
        <w:t>。</w:t>
      </w:r>
    </w:p>
    <w:bookmarkEnd w:id="782"/>
    <w:p w14:paraId="627F6D1E">
      <w:pPr>
        <w:pStyle w:val="5"/>
        <w:snapToGrid w:val="0"/>
        <w:spacing w:before="0" w:after="0" w:line="360" w:lineRule="auto"/>
        <w:rPr>
          <w:rFonts w:ascii="宋体" w:hAnsi="宋体" w:eastAsia="宋体" w:cs="宋体"/>
          <w:b w:val="0"/>
          <w:color w:val="auto"/>
          <w:sz w:val="21"/>
          <w:szCs w:val="21"/>
          <w:highlight w:val="none"/>
        </w:rPr>
      </w:pPr>
      <w:bookmarkStart w:id="952" w:name="_Toc351203645"/>
      <w:bookmarkStart w:id="953" w:name="_Toc296503219"/>
      <w:bookmarkStart w:id="954" w:name="_Toc296891047"/>
      <w:bookmarkStart w:id="955" w:name="_Toc292559424"/>
      <w:bookmarkStart w:id="956" w:name="_Toc297123564"/>
      <w:bookmarkStart w:id="957" w:name="_Toc296346720"/>
      <w:bookmarkStart w:id="958" w:name="_Toc297048405"/>
      <w:bookmarkStart w:id="959" w:name="_Toc303539172"/>
      <w:bookmarkStart w:id="960" w:name="_Toc300935015"/>
      <w:bookmarkStart w:id="961" w:name="_Toc296944558"/>
      <w:bookmarkStart w:id="962" w:name="_Toc296347218"/>
      <w:bookmarkStart w:id="963" w:name="_Toc297216223"/>
      <w:bookmarkStart w:id="964" w:name="_Toc312678053"/>
      <w:bookmarkStart w:id="965" w:name="_Toc292559929"/>
      <w:bookmarkStart w:id="966" w:name="_Toc296891259"/>
      <w:bookmarkStart w:id="967" w:name="_Toc297120519"/>
      <w:bookmarkStart w:id="968" w:name="_Toc304295593"/>
      <w:r>
        <w:rPr>
          <w:rFonts w:hint="eastAsia" w:ascii="宋体" w:hAnsi="宋体" w:eastAsia="宋体" w:cs="宋体"/>
          <w:b w:val="0"/>
          <w:color w:val="auto"/>
          <w:sz w:val="21"/>
          <w:szCs w:val="21"/>
          <w:highlight w:val="none"/>
        </w:rPr>
        <w:t>13. 验收和工程试车</w:t>
      </w:r>
      <w:bookmarkEnd w:id="952"/>
    </w:p>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p w14:paraId="24BA04D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 分部分项工程验收</w:t>
      </w:r>
    </w:p>
    <w:p w14:paraId="6A78FB4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13.1.2监理人不能按时进行验收时，应提前</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rPr>
        <w:t>小时提交书面延期要求。</w:t>
      </w:r>
    </w:p>
    <w:p w14:paraId="3BF0E65A">
      <w:pPr>
        <w:snapToGrid w:val="0"/>
        <w:spacing w:line="360" w:lineRule="auto"/>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lang w:val="en-US" w:eastAsia="zh-CN"/>
        </w:rPr>
        <w:t>48</w:t>
      </w:r>
      <w:r>
        <w:rPr>
          <w:rFonts w:hint="eastAsia" w:ascii="宋体" w:hAnsi="宋体" w:cs="宋体"/>
          <w:color w:val="auto"/>
          <w:szCs w:val="21"/>
          <w:highlight w:val="none"/>
        </w:rPr>
        <w:t>小时。</w:t>
      </w:r>
    </w:p>
    <w:p w14:paraId="15A65C6E">
      <w:pPr>
        <w:snapToGrid w:val="0"/>
        <w:spacing w:line="360" w:lineRule="auto"/>
        <w:ind w:firstLine="420" w:firstLineChars="200"/>
        <w:rPr>
          <w:rFonts w:ascii="宋体" w:hAnsi="宋体" w:cs="宋体"/>
          <w:color w:val="auto"/>
          <w:szCs w:val="21"/>
          <w:highlight w:val="none"/>
        </w:rPr>
      </w:pPr>
      <w:bookmarkStart w:id="969" w:name="_Toc296347222"/>
      <w:bookmarkStart w:id="970" w:name="_Toc297216224"/>
      <w:bookmarkStart w:id="971" w:name="_Toc296891051"/>
      <w:bookmarkStart w:id="972" w:name="_Toc303539173"/>
      <w:bookmarkStart w:id="973" w:name="_Toc292559428"/>
      <w:bookmarkStart w:id="974" w:name="_Toc312678056"/>
      <w:bookmarkStart w:id="975" w:name="_Toc296503223"/>
      <w:bookmarkStart w:id="976" w:name="_Toc296944562"/>
      <w:bookmarkStart w:id="977" w:name="_Toc300935016"/>
      <w:bookmarkStart w:id="978" w:name="_Toc296346724"/>
      <w:bookmarkStart w:id="979" w:name="_Toc292559933"/>
      <w:bookmarkStart w:id="980" w:name="_Toc297120523"/>
      <w:bookmarkStart w:id="981" w:name="_Toc296891263"/>
      <w:bookmarkStart w:id="982" w:name="_Toc304295596"/>
      <w:bookmarkStart w:id="983" w:name="_Toc297123565"/>
      <w:bookmarkStart w:id="984" w:name="_Toc297048409"/>
      <w:bookmarkStart w:id="985" w:name="_Toc267251475"/>
      <w:bookmarkStart w:id="986" w:name="_Toc267251474"/>
      <w:bookmarkStart w:id="987" w:name="_Toc267251476"/>
      <w:bookmarkStart w:id="988" w:name="_Toc267251471"/>
      <w:bookmarkStart w:id="989" w:name="_Toc267251473"/>
      <w:bookmarkStart w:id="990" w:name="_Toc267251470"/>
      <w:bookmarkStart w:id="991" w:name="_Toc267251472"/>
      <w:r>
        <w:rPr>
          <w:rFonts w:hint="eastAsia" w:ascii="宋体" w:hAnsi="宋体" w:cs="宋体"/>
          <w:color w:val="auto"/>
          <w:szCs w:val="21"/>
          <w:highlight w:val="none"/>
        </w:rPr>
        <w:t>13.2 竣工验收</w:t>
      </w:r>
    </w:p>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p w14:paraId="2934CC92">
      <w:pPr>
        <w:snapToGrid w:val="0"/>
        <w:spacing w:line="360" w:lineRule="auto"/>
        <w:ind w:firstLine="420" w:firstLineChars="200"/>
        <w:jc w:val="left"/>
        <w:rPr>
          <w:rFonts w:ascii="宋体" w:hAnsi="宋体" w:cs="宋体"/>
          <w:color w:val="auto"/>
          <w:szCs w:val="21"/>
          <w:highlight w:val="none"/>
        </w:rPr>
      </w:pPr>
      <w:bookmarkStart w:id="992" w:name="_Toc280868704"/>
      <w:bookmarkStart w:id="993" w:name="_Toc280868705"/>
      <w:bookmarkStart w:id="994" w:name="_Toc280868706"/>
      <w:bookmarkStart w:id="995" w:name="_Toc280868707"/>
      <w:bookmarkStart w:id="996" w:name="_Toc280868708"/>
      <w:bookmarkStart w:id="997" w:name="_Toc280868709"/>
      <w:r>
        <w:rPr>
          <w:rFonts w:hint="eastAsia" w:ascii="宋体" w:hAnsi="宋体" w:cs="宋体"/>
          <w:color w:val="auto"/>
          <w:szCs w:val="21"/>
          <w:highlight w:val="none"/>
        </w:rPr>
        <w:t>13.2.2竣工验收程序</w:t>
      </w:r>
    </w:p>
    <w:bookmarkEnd w:id="992"/>
    <w:p w14:paraId="3D5ECAA1">
      <w:pPr>
        <w:snapToGrid w:val="0"/>
        <w:spacing w:line="360" w:lineRule="auto"/>
        <w:ind w:left="4200" w:leftChars="200" w:hanging="3780" w:hangingChars="1800"/>
        <w:jc w:val="left"/>
        <w:rPr>
          <w:rFonts w:ascii="宋体" w:hAnsi="宋体" w:cs="宋体"/>
          <w:color w:val="auto"/>
          <w:szCs w:val="21"/>
          <w:highlight w:val="none"/>
        </w:rPr>
      </w:pPr>
      <w:r>
        <w:rPr>
          <w:rFonts w:hint="eastAsia" w:ascii="宋体" w:hAnsi="宋体" w:cs="宋体"/>
          <w:color w:val="auto"/>
          <w:kern w:val="0"/>
          <w:szCs w:val="21"/>
          <w:highlight w:val="none"/>
        </w:rPr>
        <w:t>关于竣工验收程序的约定：</w:t>
      </w:r>
      <w:r>
        <w:rPr>
          <w:rFonts w:hint="eastAsia" w:ascii="宋体" w:hAnsi="宋体" w:cs="宋体"/>
          <w:color w:val="auto"/>
          <w:szCs w:val="21"/>
          <w:highlight w:val="none"/>
          <w:u w:val="single"/>
        </w:rPr>
        <w:t>执行通用条款</w:t>
      </w:r>
      <w:r>
        <w:rPr>
          <w:rFonts w:hint="eastAsia" w:ascii="宋体" w:hAnsi="宋体" w:cs="宋体"/>
          <w:color w:val="auto"/>
          <w:szCs w:val="21"/>
          <w:highlight w:val="none"/>
        </w:rPr>
        <w:t>。</w:t>
      </w:r>
    </w:p>
    <w:p w14:paraId="3226B1A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发包人不按照本项约定组织竣工验收、颁发工程接收证书的违约金的计算方法：</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rPr>
        <w:t>。</w:t>
      </w:r>
    </w:p>
    <w:bookmarkEnd w:id="993"/>
    <w:p w14:paraId="60B5E41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13.2.5移交、接收全部与部分工程</w:t>
      </w:r>
    </w:p>
    <w:bookmarkEnd w:id="994"/>
    <w:p w14:paraId="20EC6C97">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承包人向发包人移交工程的期限：</w:t>
      </w:r>
      <w:r>
        <w:rPr>
          <w:rFonts w:hint="eastAsia" w:ascii="宋体" w:hAnsi="宋体" w:cs="宋体"/>
          <w:color w:val="auto"/>
          <w:szCs w:val="21"/>
          <w:highlight w:val="none"/>
          <w:u w:val="single"/>
        </w:rPr>
        <w:t>执行通用条款</w:t>
      </w:r>
      <w:r>
        <w:rPr>
          <w:rFonts w:hint="eastAsia" w:ascii="宋体" w:hAnsi="宋体" w:cs="宋体"/>
          <w:color w:val="auto"/>
          <w:szCs w:val="21"/>
          <w:highlight w:val="none"/>
        </w:rPr>
        <w:t>。</w:t>
      </w:r>
    </w:p>
    <w:p w14:paraId="4A5078D3">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发包人未按本合同约定接收全部或部分工程的，违约金的计算方法为：</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rPr>
        <w:t>。</w:t>
      </w:r>
    </w:p>
    <w:bookmarkEnd w:id="995"/>
    <w:p w14:paraId="2456962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承包人未按时移交工程的，违约金的计算方法为：</w:t>
      </w:r>
      <w:r>
        <w:rPr>
          <w:rFonts w:hint="eastAsia" w:ascii="宋体" w:hAnsi="宋体" w:cs="宋体"/>
          <w:color w:val="auto"/>
          <w:szCs w:val="21"/>
          <w:highlight w:val="none"/>
          <w:u w:val="single"/>
        </w:rPr>
        <w:t>承包人无正当理由未按时移交工程的，除承担自应接收工程之日起的工程照管、成本保护、保管等与工程有关的各项费用外，应当按本合同约定的工期延误赔偿标准的5倍向发包人支付逾期移交工程的违约金</w:t>
      </w:r>
      <w:r>
        <w:rPr>
          <w:rFonts w:hint="eastAsia" w:ascii="宋体" w:hAnsi="宋体" w:cs="宋体"/>
          <w:color w:val="auto"/>
          <w:szCs w:val="21"/>
          <w:highlight w:val="none"/>
        </w:rPr>
        <w:t>。</w:t>
      </w:r>
    </w:p>
    <w:bookmarkEnd w:id="996"/>
    <w:p w14:paraId="58FF2CFF">
      <w:pPr>
        <w:snapToGrid w:val="0"/>
        <w:spacing w:line="360" w:lineRule="auto"/>
        <w:ind w:firstLine="420" w:firstLineChars="200"/>
        <w:outlineLvl w:val="0"/>
        <w:rPr>
          <w:rFonts w:ascii="宋体" w:hAnsi="宋体" w:cs="宋体"/>
          <w:color w:val="auto"/>
          <w:szCs w:val="21"/>
          <w:highlight w:val="none"/>
        </w:rPr>
      </w:pPr>
      <w:bookmarkStart w:id="998" w:name="_Toc23722"/>
      <w:r>
        <w:rPr>
          <w:rFonts w:hint="eastAsia" w:ascii="宋体" w:hAnsi="宋体" w:cs="宋体"/>
          <w:color w:val="auto"/>
          <w:szCs w:val="21"/>
          <w:highlight w:val="none"/>
        </w:rPr>
        <w:t>13.6 竣工退场</w:t>
      </w:r>
      <w:bookmarkEnd w:id="998"/>
    </w:p>
    <w:p w14:paraId="3C63EE6A">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13.6.1 竣工退场</w:t>
      </w:r>
    </w:p>
    <w:p w14:paraId="7922812F">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承包人完成竣工退场的期限：</w:t>
      </w:r>
      <w:r>
        <w:rPr>
          <w:rFonts w:hint="eastAsia" w:ascii="宋体" w:hAnsi="宋体" w:cs="宋体"/>
          <w:color w:val="auto"/>
          <w:szCs w:val="21"/>
          <w:highlight w:val="none"/>
          <w:u w:val="single"/>
        </w:rPr>
        <w:t>承包人应当在发包人颁发工程接收证书后14天内完成竣工退场，逾期未完成的，按通用条款执行</w:t>
      </w:r>
      <w:r>
        <w:rPr>
          <w:rFonts w:hint="eastAsia" w:ascii="宋体" w:hAnsi="宋体" w:cs="宋体"/>
          <w:color w:val="auto"/>
          <w:kern w:val="0"/>
          <w:szCs w:val="21"/>
          <w:highlight w:val="none"/>
        </w:rPr>
        <w:t>。</w:t>
      </w:r>
    </w:p>
    <w:p w14:paraId="1613FB4B">
      <w:pPr>
        <w:pStyle w:val="5"/>
        <w:snapToGrid w:val="0"/>
        <w:spacing w:before="0" w:after="0" w:line="360" w:lineRule="auto"/>
        <w:rPr>
          <w:rFonts w:ascii="宋体" w:hAnsi="宋体" w:eastAsia="宋体" w:cs="宋体"/>
          <w:b w:val="0"/>
          <w:color w:val="auto"/>
          <w:sz w:val="21"/>
          <w:szCs w:val="21"/>
          <w:highlight w:val="none"/>
        </w:rPr>
      </w:pPr>
      <w:bookmarkStart w:id="999" w:name="_Toc351203646"/>
      <w:r>
        <w:rPr>
          <w:rFonts w:hint="eastAsia" w:ascii="宋体" w:hAnsi="宋体" w:eastAsia="宋体" w:cs="宋体"/>
          <w:b w:val="0"/>
          <w:color w:val="auto"/>
          <w:sz w:val="21"/>
          <w:szCs w:val="21"/>
          <w:highlight w:val="none"/>
        </w:rPr>
        <w:t>14. 竣工结算</w:t>
      </w:r>
      <w:bookmarkEnd w:id="999"/>
    </w:p>
    <w:p w14:paraId="10D01ED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 竣工结算申请</w:t>
      </w:r>
    </w:p>
    <w:p w14:paraId="76949AD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承包人提交竣工结算申请单的期限：</w:t>
      </w:r>
      <w:r>
        <w:rPr>
          <w:rFonts w:hint="eastAsia" w:ascii="宋体" w:hAnsi="宋体" w:cs="宋体"/>
          <w:color w:val="auto"/>
          <w:szCs w:val="21"/>
          <w:highlight w:val="none"/>
          <w:u w:val="single"/>
        </w:rPr>
        <w:t>执行通用条款</w:t>
      </w:r>
      <w:r>
        <w:rPr>
          <w:rFonts w:hint="eastAsia" w:ascii="宋体" w:hAnsi="宋体" w:cs="宋体"/>
          <w:color w:val="auto"/>
          <w:szCs w:val="21"/>
          <w:highlight w:val="none"/>
        </w:rPr>
        <w:t>。</w:t>
      </w:r>
    </w:p>
    <w:p w14:paraId="115A316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竣工结算申请单应包括的内容：</w:t>
      </w:r>
      <w:r>
        <w:rPr>
          <w:rFonts w:hint="eastAsia" w:ascii="宋体" w:hAnsi="宋体" w:cs="宋体"/>
          <w:color w:val="auto"/>
          <w:szCs w:val="21"/>
          <w:highlight w:val="none"/>
          <w:u w:val="single"/>
        </w:rPr>
        <w:t>执行通用条款</w:t>
      </w:r>
      <w:r>
        <w:rPr>
          <w:rFonts w:hint="eastAsia" w:ascii="宋体" w:hAnsi="宋体" w:cs="宋体"/>
          <w:color w:val="auto"/>
          <w:szCs w:val="21"/>
          <w:highlight w:val="none"/>
        </w:rPr>
        <w:t>。</w:t>
      </w:r>
    </w:p>
    <w:p w14:paraId="065F5162">
      <w:pPr>
        <w:snapToGrid w:val="0"/>
        <w:spacing w:line="360" w:lineRule="auto"/>
        <w:ind w:firstLine="420" w:firstLineChars="200"/>
        <w:outlineLvl w:val="0"/>
        <w:rPr>
          <w:rFonts w:ascii="宋体" w:hAnsi="宋体" w:cs="宋体"/>
          <w:color w:val="auto"/>
          <w:szCs w:val="21"/>
          <w:highlight w:val="none"/>
        </w:rPr>
      </w:pPr>
      <w:bookmarkStart w:id="1000" w:name="_Toc26508"/>
      <w:r>
        <w:rPr>
          <w:rFonts w:hint="eastAsia" w:ascii="宋体" w:hAnsi="宋体" w:cs="宋体"/>
          <w:color w:val="auto"/>
          <w:szCs w:val="21"/>
          <w:highlight w:val="none"/>
        </w:rPr>
        <w:t>14.2 竣工结算审核</w:t>
      </w:r>
      <w:bookmarkEnd w:id="1000"/>
    </w:p>
    <w:p w14:paraId="1B393F3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发包人审批竣工付款申请单的期限：</w:t>
      </w:r>
      <w:r>
        <w:rPr>
          <w:rFonts w:hint="eastAsia" w:ascii="宋体" w:hAnsi="宋体" w:cs="宋体"/>
          <w:color w:val="auto"/>
          <w:szCs w:val="21"/>
          <w:highlight w:val="none"/>
          <w:u w:val="single"/>
        </w:rPr>
        <w:t>执行通用条款</w:t>
      </w:r>
      <w:r>
        <w:rPr>
          <w:rFonts w:hint="eastAsia" w:ascii="宋体" w:hAnsi="宋体" w:cs="宋体"/>
          <w:color w:val="auto"/>
          <w:szCs w:val="21"/>
          <w:highlight w:val="none"/>
        </w:rPr>
        <w:t>。</w:t>
      </w:r>
    </w:p>
    <w:p w14:paraId="2F2EDB5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发包人完成竣工付款的期限：</w:t>
      </w:r>
      <w:r>
        <w:rPr>
          <w:rFonts w:hint="eastAsia" w:ascii="宋体" w:hAnsi="宋体" w:cs="宋体"/>
          <w:color w:val="auto"/>
          <w:szCs w:val="21"/>
          <w:highlight w:val="none"/>
          <w:u w:val="single"/>
        </w:rPr>
        <w:t>执行通用条款</w:t>
      </w:r>
      <w:r>
        <w:rPr>
          <w:rFonts w:hint="eastAsia" w:ascii="宋体" w:hAnsi="宋体" w:cs="宋体"/>
          <w:color w:val="auto"/>
          <w:szCs w:val="21"/>
          <w:highlight w:val="none"/>
        </w:rPr>
        <w:t>。</w:t>
      </w:r>
    </w:p>
    <w:p w14:paraId="52C29DF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关于竣工付款证书异议部分复核的方式和程序：</w:t>
      </w:r>
      <w:r>
        <w:rPr>
          <w:rFonts w:hint="eastAsia" w:ascii="宋体" w:hAnsi="宋体" w:cs="宋体"/>
          <w:color w:val="auto"/>
          <w:szCs w:val="21"/>
          <w:highlight w:val="none"/>
          <w:u w:val="single"/>
        </w:rPr>
        <w:t>执行通用条款</w:t>
      </w:r>
      <w:r>
        <w:rPr>
          <w:rFonts w:hint="eastAsia" w:ascii="宋体" w:hAnsi="宋体" w:cs="宋体"/>
          <w:color w:val="auto"/>
          <w:szCs w:val="21"/>
          <w:highlight w:val="none"/>
        </w:rPr>
        <w:t>。</w:t>
      </w:r>
    </w:p>
    <w:p w14:paraId="26B6C7C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14.4 最终结清</w:t>
      </w:r>
    </w:p>
    <w:p w14:paraId="7C3F30C3">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14.4.1 最终结清申请单</w:t>
      </w:r>
    </w:p>
    <w:p w14:paraId="79E94CC3">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承包人提交最终结清申请单的份数：</w:t>
      </w:r>
      <w:r>
        <w:rPr>
          <w:rFonts w:hint="eastAsia" w:ascii="宋体" w:hAnsi="宋体" w:cs="宋体"/>
          <w:color w:val="auto"/>
          <w:szCs w:val="21"/>
          <w:highlight w:val="none"/>
          <w:u w:val="single"/>
        </w:rPr>
        <w:t>执行通用条款</w:t>
      </w:r>
      <w:r>
        <w:rPr>
          <w:rFonts w:hint="eastAsia" w:ascii="宋体" w:hAnsi="宋体" w:cs="宋体"/>
          <w:color w:val="auto"/>
          <w:szCs w:val="21"/>
          <w:highlight w:val="none"/>
        </w:rPr>
        <w:t>。</w:t>
      </w:r>
    </w:p>
    <w:p w14:paraId="787B006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承包人提交最终结算申请单的期限：</w:t>
      </w:r>
      <w:r>
        <w:rPr>
          <w:rFonts w:hint="eastAsia" w:ascii="宋体" w:hAnsi="宋体" w:cs="宋体"/>
          <w:color w:val="auto"/>
          <w:szCs w:val="21"/>
          <w:highlight w:val="none"/>
          <w:u w:val="single"/>
        </w:rPr>
        <w:t>执行通用条款</w:t>
      </w:r>
      <w:r>
        <w:rPr>
          <w:rFonts w:hint="eastAsia" w:ascii="宋体" w:hAnsi="宋体" w:cs="宋体"/>
          <w:color w:val="auto"/>
          <w:szCs w:val="21"/>
          <w:highlight w:val="none"/>
        </w:rPr>
        <w:t xml:space="preserve">。 </w:t>
      </w:r>
    </w:p>
    <w:p w14:paraId="65D220B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14.4.2 最终结清证书和支付</w:t>
      </w:r>
    </w:p>
    <w:p w14:paraId="4A4EF42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（1）发包人完成最终结清申请单的审批并颁发最终结清证书的期限：</w:t>
      </w:r>
      <w:r>
        <w:rPr>
          <w:rFonts w:hint="eastAsia" w:ascii="宋体" w:hAnsi="宋体" w:cs="宋体"/>
          <w:color w:val="auto"/>
          <w:szCs w:val="21"/>
          <w:highlight w:val="none"/>
          <w:u w:val="single"/>
        </w:rPr>
        <w:t>执行通用条款</w:t>
      </w:r>
      <w:r>
        <w:rPr>
          <w:rFonts w:hint="eastAsia" w:ascii="宋体" w:hAnsi="宋体" w:cs="宋体"/>
          <w:color w:val="auto"/>
          <w:szCs w:val="21"/>
          <w:highlight w:val="none"/>
        </w:rPr>
        <w:t>。</w:t>
      </w:r>
    </w:p>
    <w:p w14:paraId="308B328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（2）发包人完成支付的期限：</w:t>
      </w:r>
      <w:r>
        <w:rPr>
          <w:rFonts w:hint="eastAsia" w:ascii="宋体" w:hAnsi="宋体" w:cs="宋体"/>
          <w:color w:val="auto"/>
          <w:szCs w:val="21"/>
          <w:highlight w:val="none"/>
          <w:u w:val="single"/>
        </w:rPr>
        <w:t>执行通用条款</w:t>
      </w:r>
      <w:r>
        <w:rPr>
          <w:rFonts w:hint="eastAsia" w:ascii="宋体" w:hAnsi="宋体" w:cs="宋体"/>
          <w:color w:val="auto"/>
          <w:szCs w:val="21"/>
          <w:highlight w:val="none"/>
        </w:rPr>
        <w:t>。</w:t>
      </w:r>
    </w:p>
    <w:bookmarkEnd w:id="985"/>
    <w:bookmarkEnd w:id="986"/>
    <w:bookmarkEnd w:id="987"/>
    <w:bookmarkEnd w:id="988"/>
    <w:bookmarkEnd w:id="989"/>
    <w:bookmarkEnd w:id="990"/>
    <w:bookmarkEnd w:id="991"/>
    <w:bookmarkEnd w:id="997"/>
    <w:p w14:paraId="65079D91">
      <w:pPr>
        <w:pStyle w:val="5"/>
        <w:snapToGrid w:val="0"/>
        <w:spacing w:before="0" w:after="0" w:line="360" w:lineRule="auto"/>
        <w:rPr>
          <w:rFonts w:ascii="宋体" w:hAnsi="宋体" w:eastAsia="宋体" w:cs="宋体"/>
          <w:b w:val="0"/>
          <w:color w:val="auto"/>
          <w:sz w:val="21"/>
          <w:szCs w:val="21"/>
          <w:highlight w:val="none"/>
        </w:rPr>
      </w:pPr>
      <w:bookmarkStart w:id="1001" w:name="_Toc351203647"/>
      <w:bookmarkStart w:id="1002" w:name="_Toc267251483"/>
      <w:bookmarkStart w:id="1003" w:name="_Toc267251482"/>
      <w:bookmarkStart w:id="1004" w:name="_Toc267251484"/>
      <w:bookmarkStart w:id="1005" w:name="_Toc267251485"/>
      <w:bookmarkStart w:id="1006" w:name="_Toc267251488"/>
      <w:bookmarkStart w:id="1007" w:name="_Toc267251486"/>
      <w:bookmarkStart w:id="1008" w:name="_Toc267251490"/>
      <w:bookmarkStart w:id="1009" w:name="_Toc267251489"/>
      <w:bookmarkStart w:id="1010" w:name="_Toc267251492"/>
      <w:bookmarkStart w:id="1011" w:name="_Toc267251501"/>
      <w:bookmarkStart w:id="1012" w:name="_Toc267251498"/>
      <w:bookmarkStart w:id="1013" w:name="_Toc267251491"/>
      <w:bookmarkStart w:id="1014" w:name="_Toc267251494"/>
      <w:bookmarkStart w:id="1015" w:name="_Toc267251493"/>
      <w:bookmarkStart w:id="1016" w:name="_Toc267251499"/>
      <w:bookmarkStart w:id="1017" w:name="_Toc267251496"/>
      <w:bookmarkStart w:id="1018" w:name="_Toc267251497"/>
      <w:bookmarkStart w:id="1019" w:name="_Toc267251503"/>
      <w:bookmarkStart w:id="1020" w:name="_Toc267251502"/>
      <w:bookmarkStart w:id="1021" w:name="_Toc267251495"/>
      <w:bookmarkStart w:id="1022" w:name="_Toc267251504"/>
      <w:bookmarkStart w:id="1023" w:name="_Toc267251506"/>
      <w:bookmarkStart w:id="1024" w:name="_Toc267251507"/>
      <w:bookmarkStart w:id="1025" w:name="_Toc267251508"/>
      <w:bookmarkStart w:id="1026" w:name="_Toc267251515"/>
      <w:bookmarkStart w:id="1027" w:name="_Toc267251514"/>
      <w:bookmarkStart w:id="1028" w:name="_Toc267251510"/>
      <w:bookmarkStart w:id="1029" w:name="_Toc267251513"/>
      <w:bookmarkStart w:id="1030" w:name="_Toc267251509"/>
      <w:bookmarkStart w:id="1031" w:name="_Toc267251511"/>
      <w:r>
        <w:rPr>
          <w:rFonts w:hint="eastAsia" w:ascii="宋体" w:hAnsi="宋体" w:eastAsia="宋体" w:cs="宋体"/>
          <w:b w:val="0"/>
          <w:color w:val="auto"/>
          <w:sz w:val="21"/>
          <w:szCs w:val="21"/>
          <w:highlight w:val="none"/>
        </w:rPr>
        <w:t>15. 缺陷责任期与保修</w:t>
      </w:r>
      <w:bookmarkEnd w:id="1001"/>
    </w:p>
    <w:p w14:paraId="399BAED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15.2缺陷责任期</w:t>
      </w:r>
      <w:bookmarkEnd w:id="1002"/>
    </w:p>
    <w:p w14:paraId="26D0370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缺陷责任期的具体期限：</w:t>
      </w:r>
      <w:r>
        <w:rPr>
          <w:rFonts w:hint="eastAsia" w:ascii="宋体" w:hAnsi="宋体" w:cs="宋体"/>
          <w:color w:val="auto"/>
          <w:szCs w:val="21"/>
          <w:highlight w:val="none"/>
          <w:u w:val="single"/>
          <w:lang w:val="en-US" w:eastAsia="zh-CN"/>
        </w:rPr>
        <w:t>自本工程竣工验收合格之日起24个月</w:t>
      </w:r>
      <w:r>
        <w:rPr>
          <w:rFonts w:hint="eastAsia" w:ascii="宋体" w:hAnsi="宋体" w:cs="宋体"/>
          <w:color w:val="auto"/>
          <w:szCs w:val="21"/>
          <w:highlight w:val="none"/>
        </w:rPr>
        <w:t>。</w:t>
      </w:r>
    </w:p>
    <w:p w14:paraId="3F109929">
      <w:pPr>
        <w:snapToGrid w:val="0"/>
        <w:spacing w:line="360" w:lineRule="auto"/>
        <w:ind w:firstLine="420" w:firstLineChars="200"/>
        <w:outlineLvl w:val="0"/>
        <w:rPr>
          <w:rFonts w:ascii="宋体" w:hAnsi="宋体" w:cs="宋体"/>
          <w:color w:val="auto"/>
          <w:szCs w:val="21"/>
          <w:highlight w:val="none"/>
        </w:rPr>
      </w:pPr>
      <w:bookmarkStart w:id="1032" w:name="_Toc20009"/>
      <w:r>
        <w:rPr>
          <w:rFonts w:hint="eastAsia" w:ascii="宋体" w:hAnsi="宋体" w:cs="宋体"/>
          <w:color w:val="auto"/>
          <w:szCs w:val="21"/>
          <w:highlight w:val="none"/>
        </w:rPr>
        <w:t>15.3 质量保证金</w:t>
      </w:r>
      <w:bookmarkEnd w:id="1032"/>
    </w:p>
    <w:p w14:paraId="541C6E6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关于是否扣留质量保证金的约定：</w:t>
      </w:r>
      <w:r>
        <w:rPr>
          <w:rFonts w:hint="eastAsia" w:ascii="宋体" w:hAnsi="宋体" w:cs="宋体"/>
          <w:color w:val="auto"/>
          <w:szCs w:val="21"/>
          <w:highlight w:val="none"/>
          <w:u w:val="single"/>
        </w:rPr>
        <w:t>不扣留</w:t>
      </w:r>
      <w:r>
        <w:rPr>
          <w:rFonts w:hint="eastAsia" w:ascii="宋体" w:hAnsi="宋体" w:cs="宋体"/>
          <w:color w:val="auto"/>
          <w:szCs w:val="21"/>
          <w:highlight w:val="none"/>
        </w:rPr>
        <w:t>。在工程项目竣工前，承包人按专用合同条款第3.7条提供履约担保的，发包人不得同时预留工程质量保证金。</w:t>
      </w:r>
    </w:p>
    <w:p w14:paraId="3A5B103B">
      <w:pPr>
        <w:snapToGrid w:val="0"/>
        <w:spacing w:line="360" w:lineRule="auto"/>
        <w:ind w:firstLine="420" w:firstLineChars="200"/>
        <w:jc w:val="left"/>
        <w:outlineLvl w:val="0"/>
        <w:rPr>
          <w:rFonts w:ascii="宋体" w:hAnsi="宋体" w:cs="宋体"/>
          <w:color w:val="auto"/>
          <w:szCs w:val="21"/>
          <w:highlight w:val="none"/>
        </w:rPr>
      </w:pPr>
      <w:bookmarkStart w:id="1033" w:name="_Toc30004"/>
      <w:r>
        <w:rPr>
          <w:rFonts w:hint="eastAsia" w:ascii="宋体" w:hAnsi="宋体" w:cs="宋体"/>
          <w:color w:val="auto"/>
          <w:szCs w:val="21"/>
          <w:highlight w:val="none"/>
        </w:rPr>
        <w:t>15.3.1 承包人提供质量保证金的方式</w:t>
      </w:r>
      <w:bookmarkEnd w:id="1033"/>
    </w:p>
    <w:p w14:paraId="09057E9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质量保证金采用以下第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种方式：</w:t>
      </w:r>
    </w:p>
    <w:p w14:paraId="64A1EA48">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（1）质量保证金保函，保证金额为：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3C20D713">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%的工程款；</w:t>
      </w:r>
    </w:p>
    <w:p w14:paraId="52528397">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（3）其他方式: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4F53BFC7">
      <w:pPr>
        <w:snapToGrid w:val="0"/>
        <w:spacing w:line="360" w:lineRule="auto"/>
        <w:ind w:firstLine="420" w:firstLineChars="200"/>
        <w:jc w:val="left"/>
        <w:outlineLvl w:val="0"/>
        <w:rPr>
          <w:rFonts w:ascii="宋体" w:hAnsi="宋体" w:cs="宋体"/>
          <w:color w:val="auto"/>
          <w:szCs w:val="21"/>
          <w:highlight w:val="none"/>
        </w:rPr>
      </w:pPr>
      <w:bookmarkStart w:id="1034" w:name="_Toc23901"/>
      <w:r>
        <w:rPr>
          <w:rFonts w:hint="eastAsia" w:ascii="宋体" w:hAnsi="宋体" w:cs="宋体"/>
          <w:color w:val="auto"/>
          <w:szCs w:val="21"/>
          <w:highlight w:val="none"/>
        </w:rPr>
        <w:t>15.3.2 质量保证金的扣留</w:t>
      </w:r>
      <w:bookmarkEnd w:id="1034"/>
      <w:r>
        <w:rPr>
          <w:rFonts w:hint="eastAsia" w:ascii="宋体" w:hAnsi="宋体" w:cs="宋体"/>
          <w:color w:val="auto"/>
          <w:szCs w:val="21"/>
          <w:highlight w:val="none"/>
        </w:rPr>
        <w:t xml:space="preserve"> </w:t>
      </w:r>
    </w:p>
    <w:p w14:paraId="57218AB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质量保证金的扣留采取以下第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种方式：</w:t>
      </w:r>
    </w:p>
    <w:p w14:paraId="0DEB1FE1">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（1）在支付工程进度款时逐次扣留，在此情形下，质量保证金的计算基数不包括预付款的支付、扣回以及价格调整的金额；</w:t>
      </w:r>
    </w:p>
    <w:p w14:paraId="5C38E02A">
      <w:pPr>
        <w:autoSpaceDE w:val="0"/>
        <w:autoSpaceDN w:val="0"/>
        <w:snapToGrid w:val="0"/>
        <w:spacing w:line="360" w:lineRule="auto"/>
        <w:ind w:firstLine="420" w:firstLineChars="200"/>
        <w:jc w:val="left"/>
        <w:outlineLvl w:val="0"/>
        <w:rPr>
          <w:rFonts w:ascii="宋体" w:hAnsi="宋体" w:cs="宋体"/>
          <w:color w:val="auto"/>
          <w:kern w:val="0"/>
          <w:szCs w:val="21"/>
          <w:highlight w:val="none"/>
        </w:rPr>
      </w:pPr>
      <w:bookmarkStart w:id="1035" w:name="_Toc826"/>
      <w:r>
        <w:rPr>
          <w:rFonts w:hint="eastAsia" w:ascii="宋体" w:hAnsi="宋体" w:cs="宋体"/>
          <w:color w:val="auto"/>
          <w:kern w:val="0"/>
          <w:szCs w:val="21"/>
          <w:highlight w:val="none"/>
        </w:rPr>
        <w:t>（2）工程竣工结算时一次性扣留质量保证金；</w:t>
      </w:r>
      <w:bookmarkEnd w:id="1035"/>
    </w:p>
    <w:p w14:paraId="1DDF59DC">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（3）其他扣留方式: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31070426">
      <w:pPr>
        <w:snapToGrid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szCs w:val="21"/>
          <w:highlight w:val="none"/>
        </w:rPr>
        <w:t>关于质量保证金的补充约定：</w:t>
      </w:r>
      <w:r>
        <w:rPr>
          <w:rFonts w:hint="eastAsia" w:ascii="宋体" w:hAnsi="宋体" w:cs="宋体"/>
          <w:color w:val="auto"/>
          <w:kern w:val="0"/>
          <w:szCs w:val="21"/>
          <w:highlight w:val="none"/>
          <w:u w:val="single"/>
        </w:rPr>
        <w:t xml:space="preserve">                            </w:t>
      </w:r>
    </w:p>
    <w:p w14:paraId="75FB6D82">
      <w:pPr>
        <w:snapToGrid w:val="0"/>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bookmarkEnd w:id="1003"/>
    <w:bookmarkEnd w:id="1004"/>
    <w:p w14:paraId="76D40BA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15.4保修</w:t>
      </w:r>
    </w:p>
    <w:bookmarkEnd w:id="1005"/>
    <w:p w14:paraId="6CD3A7A0">
      <w:pPr>
        <w:snapToGrid w:val="0"/>
        <w:spacing w:line="360" w:lineRule="auto"/>
        <w:ind w:firstLine="409" w:firstLineChars="195"/>
        <w:jc w:val="left"/>
        <w:rPr>
          <w:rFonts w:ascii="宋体" w:hAnsi="宋体" w:cs="宋体"/>
          <w:color w:val="auto"/>
          <w:szCs w:val="21"/>
          <w:highlight w:val="none"/>
        </w:rPr>
      </w:pPr>
      <w:r>
        <w:rPr>
          <w:rFonts w:hint="eastAsia" w:ascii="宋体" w:hAnsi="宋体" w:cs="宋体"/>
          <w:color w:val="auto"/>
          <w:szCs w:val="21"/>
          <w:highlight w:val="none"/>
        </w:rPr>
        <w:t>15.4.1 保修责任</w:t>
      </w:r>
    </w:p>
    <w:p w14:paraId="5FE89A35">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工程保修期为：</w:t>
      </w:r>
      <w:r>
        <w:rPr>
          <w:rFonts w:hint="eastAsia" w:ascii="宋体" w:hAnsi="宋体" w:cs="宋体"/>
          <w:color w:val="auto"/>
          <w:szCs w:val="21"/>
          <w:highlight w:val="none"/>
          <w:u w:val="single"/>
        </w:rPr>
        <w:t>本项目保修期执行《建设工程质量管理条例》及浙江省、宁波市相关保修规定</w:t>
      </w:r>
      <w:r>
        <w:rPr>
          <w:rFonts w:hint="eastAsia" w:ascii="宋体" w:hAnsi="宋体" w:cs="宋体"/>
          <w:color w:val="auto"/>
          <w:kern w:val="0"/>
          <w:szCs w:val="21"/>
          <w:highlight w:val="none"/>
        </w:rPr>
        <w:t>。</w:t>
      </w:r>
    </w:p>
    <w:p w14:paraId="1283EEC1">
      <w:pPr>
        <w:snapToGrid w:val="0"/>
        <w:spacing w:line="360" w:lineRule="auto"/>
        <w:ind w:firstLine="409" w:firstLineChars="195"/>
        <w:jc w:val="left"/>
        <w:rPr>
          <w:rFonts w:ascii="宋体" w:hAnsi="宋体" w:cs="宋体"/>
          <w:color w:val="auto"/>
          <w:szCs w:val="21"/>
          <w:highlight w:val="none"/>
        </w:rPr>
      </w:pPr>
      <w:r>
        <w:rPr>
          <w:rFonts w:hint="eastAsia" w:ascii="宋体" w:hAnsi="宋体" w:cs="宋体"/>
          <w:color w:val="auto"/>
          <w:szCs w:val="21"/>
          <w:highlight w:val="none"/>
        </w:rPr>
        <w:t>15.4.3 修复通知</w:t>
      </w:r>
    </w:p>
    <w:p w14:paraId="79CB8223">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承包人收到保修通知并到达工程现场的合理时间：</w:t>
      </w:r>
      <w:r>
        <w:rPr>
          <w:rFonts w:hint="eastAsia" w:ascii="宋体" w:hAnsi="宋体" w:cs="宋体"/>
          <w:color w:val="auto"/>
          <w:kern w:val="0"/>
          <w:szCs w:val="21"/>
          <w:highlight w:val="none"/>
          <w:u w:val="single"/>
        </w:rPr>
        <w:t>保修期内，出现质量问题，承包方在接到发包人通知</w:t>
      </w:r>
      <w:r>
        <w:rPr>
          <w:rFonts w:hint="eastAsia" w:ascii="宋体" w:hAnsi="宋体" w:cs="宋体"/>
          <w:color w:val="auto"/>
          <w:kern w:val="0"/>
          <w:szCs w:val="21"/>
          <w:highlight w:val="none"/>
          <w:u w:val="single"/>
          <w:lang w:val="en-US" w:eastAsia="zh-CN"/>
        </w:rPr>
        <w:t>后</w:t>
      </w:r>
      <w:r>
        <w:rPr>
          <w:rFonts w:hint="eastAsia" w:ascii="宋体" w:hAnsi="宋体" w:cs="宋体"/>
          <w:color w:val="auto"/>
          <w:kern w:val="0"/>
          <w:szCs w:val="21"/>
          <w:highlight w:val="none"/>
          <w:u w:val="single"/>
        </w:rPr>
        <w:t>必须立即组织人员进场维修，响应时间（到现场）不得大于4小时，一般质量维修需在3天内维修完毕，严重质量问题需在接到发包人通知后3天内拿出维修方案（须经发包人认可），按维修方案进行维修。若承包方未按约定时间到场，发包人有权自行组织修复或委托第三方修复，发生的修理费用从承包方工程质量保证金中扣除，并视具体情况追究承包方延误维修时间造成的直接损失</w:t>
      </w:r>
      <w:r>
        <w:rPr>
          <w:rFonts w:hint="eastAsia" w:ascii="宋体" w:hAnsi="宋体" w:cs="宋体"/>
          <w:color w:val="auto"/>
          <w:kern w:val="0"/>
          <w:szCs w:val="21"/>
          <w:highlight w:val="none"/>
        </w:rPr>
        <w:t>。</w:t>
      </w:r>
    </w:p>
    <w:bookmarkEnd w:id="1006"/>
    <w:bookmarkEnd w:id="1007"/>
    <w:bookmarkEnd w:id="1008"/>
    <w:bookmarkEnd w:id="1009"/>
    <w:p w14:paraId="2652FB23">
      <w:pPr>
        <w:pStyle w:val="5"/>
        <w:snapToGrid w:val="0"/>
        <w:spacing w:before="0" w:after="0" w:line="360" w:lineRule="auto"/>
        <w:rPr>
          <w:rFonts w:ascii="宋体" w:hAnsi="宋体" w:eastAsia="宋体" w:cs="宋体"/>
          <w:b w:val="0"/>
          <w:color w:val="auto"/>
          <w:sz w:val="21"/>
          <w:szCs w:val="21"/>
          <w:highlight w:val="none"/>
        </w:rPr>
      </w:pPr>
      <w:bookmarkStart w:id="1036" w:name="_Toc351203648"/>
      <w:bookmarkStart w:id="1037" w:name="_Toc280868717"/>
      <w:bookmarkStart w:id="1038" w:name="_Toc280868718"/>
      <w:r>
        <w:rPr>
          <w:rFonts w:hint="eastAsia" w:ascii="宋体" w:hAnsi="宋体" w:eastAsia="宋体" w:cs="宋体"/>
          <w:b w:val="0"/>
          <w:color w:val="auto"/>
          <w:sz w:val="21"/>
          <w:szCs w:val="21"/>
          <w:highlight w:val="none"/>
        </w:rPr>
        <w:t>16. 违约</w:t>
      </w:r>
      <w:bookmarkEnd w:id="1036"/>
    </w:p>
    <w:p w14:paraId="2786AA84">
      <w:pPr>
        <w:snapToGrid w:val="0"/>
        <w:spacing w:line="360" w:lineRule="auto"/>
        <w:ind w:firstLine="420" w:firstLineChars="200"/>
        <w:outlineLvl w:val="0"/>
        <w:rPr>
          <w:rFonts w:ascii="宋体" w:hAnsi="宋体" w:cs="宋体"/>
          <w:color w:val="auto"/>
          <w:szCs w:val="21"/>
          <w:highlight w:val="none"/>
        </w:rPr>
      </w:pPr>
      <w:bookmarkStart w:id="1039" w:name="_Toc21513"/>
      <w:r>
        <w:rPr>
          <w:rFonts w:hint="eastAsia" w:ascii="宋体" w:hAnsi="宋体" w:cs="宋体"/>
          <w:color w:val="auto"/>
          <w:szCs w:val="21"/>
          <w:highlight w:val="none"/>
        </w:rPr>
        <w:t>16.1 发包人违约</w:t>
      </w:r>
      <w:bookmarkEnd w:id="1039"/>
    </w:p>
    <w:p w14:paraId="1BF89A2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16.1.1发包人违约的情形</w:t>
      </w:r>
    </w:p>
    <w:p w14:paraId="6AA0F36B">
      <w:pPr>
        <w:snapToGrid w:val="0"/>
        <w:spacing w:line="360" w:lineRule="auto"/>
        <w:ind w:left="1050" w:leftChars="200" w:hanging="630" w:hangingChars="300"/>
        <w:jc w:val="left"/>
        <w:rPr>
          <w:rFonts w:ascii="宋体" w:hAnsi="宋体" w:cs="宋体"/>
          <w:color w:val="auto"/>
          <w:kern w:val="0"/>
          <w:szCs w:val="21"/>
          <w:highlight w:val="none"/>
        </w:rPr>
      </w:pPr>
      <w:r>
        <w:rPr>
          <w:rFonts w:hint="eastAsia" w:ascii="宋体" w:hAnsi="宋体" w:cs="宋体"/>
          <w:color w:val="auto"/>
          <w:kern w:val="0"/>
          <w:szCs w:val="21"/>
          <w:highlight w:val="none"/>
        </w:rPr>
        <w:t>发包人违约的其他情形：</w:t>
      </w:r>
      <w:r>
        <w:rPr>
          <w:rFonts w:hint="eastAsia" w:ascii="宋体" w:hAnsi="宋体"/>
          <w:color w:val="auto"/>
          <w:kern w:val="0"/>
          <w:szCs w:val="21"/>
          <w:highlight w:val="none"/>
          <w:u w:val="single"/>
        </w:rPr>
        <w:t>执行通用条款</w:t>
      </w:r>
      <w:r>
        <w:rPr>
          <w:rFonts w:hint="eastAsia" w:ascii="宋体" w:hAnsi="宋体" w:cs="宋体"/>
          <w:color w:val="auto"/>
          <w:kern w:val="0"/>
          <w:szCs w:val="21"/>
          <w:highlight w:val="none"/>
        </w:rPr>
        <w:t>。</w:t>
      </w:r>
    </w:p>
    <w:p w14:paraId="21E97206">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16.1.2 发包人违约的责任</w:t>
      </w:r>
      <w:r>
        <w:rPr>
          <w:rFonts w:hint="eastAsia" w:ascii="宋体" w:hAnsi="宋体" w:cs="宋体"/>
          <w:color w:val="auto"/>
          <w:kern w:val="0"/>
          <w:szCs w:val="21"/>
          <w:highlight w:val="none"/>
          <w:lang w:eastAsia="zh-CN"/>
        </w:rPr>
        <w:t>：</w:t>
      </w:r>
      <w:r>
        <w:rPr>
          <w:rFonts w:hint="eastAsia" w:ascii="宋体" w:hAnsi="宋体"/>
          <w:color w:val="auto"/>
          <w:kern w:val="0"/>
          <w:szCs w:val="21"/>
          <w:highlight w:val="none"/>
          <w:u w:val="single"/>
        </w:rPr>
        <w:t>执行通用条款</w:t>
      </w:r>
      <w:r>
        <w:rPr>
          <w:rFonts w:hint="eastAsia" w:ascii="宋体" w:hAnsi="宋体" w:cs="宋体"/>
          <w:color w:val="auto"/>
          <w:kern w:val="0"/>
          <w:szCs w:val="21"/>
          <w:highlight w:val="none"/>
        </w:rPr>
        <w:t>。</w:t>
      </w:r>
    </w:p>
    <w:p w14:paraId="19856FE0">
      <w:pPr>
        <w:snapToGrid w:val="0"/>
        <w:spacing w:line="360" w:lineRule="auto"/>
        <w:ind w:firstLine="420" w:firstLineChars="200"/>
        <w:outlineLvl w:val="0"/>
        <w:rPr>
          <w:rFonts w:ascii="宋体" w:hAnsi="宋体" w:cs="宋体"/>
          <w:color w:val="auto"/>
          <w:szCs w:val="21"/>
          <w:highlight w:val="none"/>
        </w:rPr>
      </w:pPr>
      <w:bookmarkStart w:id="1040" w:name="_Toc16922"/>
      <w:r>
        <w:rPr>
          <w:rFonts w:hint="eastAsia" w:ascii="宋体" w:hAnsi="宋体" w:cs="宋体"/>
          <w:color w:val="auto"/>
          <w:szCs w:val="21"/>
          <w:highlight w:val="none"/>
        </w:rPr>
        <w:t>16.2 承包人违约</w:t>
      </w:r>
      <w:bookmarkEnd w:id="1040"/>
    </w:p>
    <w:p w14:paraId="171365BF">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16.2.1 承包人违约的情形</w:t>
      </w:r>
    </w:p>
    <w:p w14:paraId="6E9D67D6">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承包人违约的其他情形：</w:t>
      </w:r>
      <w:r>
        <w:rPr>
          <w:rFonts w:hint="eastAsia" w:ascii="宋体" w:hAnsi="宋体"/>
          <w:color w:val="auto"/>
          <w:kern w:val="0"/>
          <w:szCs w:val="21"/>
          <w:highlight w:val="none"/>
          <w:u w:val="single"/>
        </w:rPr>
        <w:t>执行通用条款</w:t>
      </w:r>
      <w:r>
        <w:rPr>
          <w:rFonts w:hint="eastAsia" w:ascii="宋体" w:hAnsi="宋体" w:cs="宋体"/>
          <w:color w:val="auto"/>
          <w:kern w:val="0"/>
          <w:szCs w:val="21"/>
          <w:highlight w:val="none"/>
        </w:rPr>
        <w:t>。</w:t>
      </w:r>
    </w:p>
    <w:p w14:paraId="4EE60D83">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16.2.2承包人违约的责任</w:t>
      </w:r>
    </w:p>
    <w:p w14:paraId="73A25332">
      <w:pPr>
        <w:snapToGrid w:val="0"/>
        <w:spacing w:line="360" w:lineRule="auto"/>
        <w:ind w:left="1050" w:leftChars="200" w:hanging="630" w:hangingChars="3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承包人违约责任的承担方式和计算方法：</w:t>
      </w:r>
      <w:r>
        <w:rPr>
          <w:rFonts w:hint="eastAsia" w:ascii="宋体" w:hAnsi="宋体"/>
          <w:color w:val="auto"/>
          <w:kern w:val="0"/>
          <w:szCs w:val="21"/>
          <w:highlight w:val="none"/>
          <w:u w:val="single"/>
        </w:rPr>
        <w:t>执行通用条款</w:t>
      </w:r>
      <w:r>
        <w:rPr>
          <w:rFonts w:hint="eastAsia" w:ascii="宋体" w:hAnsi="宋体" w:cs="宋体"/>
          <w:color w:val="auto"/>
          <w:kern w:val="0"/>
          <w:szCs w:val="21"/>
          <w:highlight w:val="none"/>
        </w:rPr>
        <w:t>。</w:t>
      </w:r>
      <w:r>
        <w:rPr>
          <w:rFonts w:hint="eastAsia" w:ascii="宋体" w:hAnsi="宋体" w:cs="宋体"/>
          <w:color w:val="auto"/>
          <w:szCs w:val="21"/>
          <w:highlight w:val="none"/>
        </w:rPr>
        <w:t xml:space="preserve">    </w:t>
      </w:r>
    </w:p>
    <w:p w14:paraId="001D82D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16.2.3 因承包人违约解除合同</w:t>
      </w:r>
    </w:p>
    <w:p w14:paraId="2DD1433A">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关于承包人违约解除合同的特别约定：</w:t>
      </w:r>
      <w:r>
        <w:rPr>
          <w:rFonts w:hint="eastAsia" w:ascii="宋体" w:hAnsi="宋体"/>
          <w:color w:val="auto"/>
          <w:kern w:val="0"/>
          <w:szCs w:val="21"/>
          <w:highlight w:val="none"/>
          <w:u w:val="single"/>
        </w:rPr>
        <w:t>执行通用条款</w:t>
      </w:r>
      <w:r>
        <w:rPr>
          <w:rFonts w:hint="eastAsia" w:ascii="宋体" w:hAnsi="宋体" w:cs="宋体"/>
          <w:color w:val="auto"/>
          <w:kern w:val="0"/>
          <w:szCs w:val="21"/>
          <w:highlight w:val="none"/>
        </w:rPr>
        <w:t>。</w:t>
      </w:r>
    </w:p>
    <w:p w14:paraId="4CCA159C">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发包人继续使用承包人在施工现场的材料、设备、临时工程、承包人文件和由承包人或以其名义编制的其他文件的费用承担方式：</w:t>
      </w:r>
      <w:r>
        <w:rPr>
          <w:rFonts w:hint="eastAsia" w:ascii="宋体" w:hAnsi="宋体"/>
          <w:color w:val="auto"/>
          <w:kern w:val="0"/>
          <w:szCs w:val="21"/>
          <w:highlight w:val="none"/>
          <w:u w:val="single"/>
        </w:rPr>
        <w:t>执行通用条款</w:t>
      </w:r>
      <w:r>
        <w:rPr>
          <w:rFonts w:hint="eastAsia" w:ascii="宋体" w:hAnsi="宋体" w:cs="宋体"/>
          <w:color w:val="auto"/>
          <w:kern w:val="0"/>
          <w:szCs w:val="21"/>
          <w:highlight w:val="none"/>
        </w:rPr>
        <w:t>。</w:t>
      </w:r>
    </w:p>
    <w:p w14:paraId="6834AA19">
      <w:pPr>
        <w:pStyle w:val="5"/>
        <w:snapToGrid w:val="0"/>
        <w:spacing w:before="0" w:after="0" w:line="360" w:lineRule="auto"/>
        <w:rPr>
          <w:rFonts w:ascii="宋体" w:hAnsi="宋体" w:eastAsia="宋体" w:cs="宋体"/>
          <w:b w:val="0"/>
          <w:color w:val="auto"/>
          <w:sz w:val="21"/>
          <w:szCs w:val="21"/>
          <w:highlight w:val="none"/>
        </w:rPr>
      </w:pPr>
      <w:bookmarkStart w:id="1041" w:name="_Toc351203649"/>
      <w:r>
        <w:rPr>
          <w:rFonts w:hint="eastAsia" w:ascii="宋体" w:hAnsi="宋体" w:eastAsia="宋体" w:cs="宋体"/>
          <w:b w:val="0"/>
          <w:color w:val="auto"/>
          <w:sz w:val="21"/>
          <w:szCs w:val="21"/>
          <w:highlight w:val="none"/>
        </w:rPr>
        <w:t>17. 不可抗力</w:t>
      </w:r>
      <w:bookmarkEnd w:id="1041"/>
      <w:r>
        <w:rPr>
          <w:rFonts w:hint="eastAsia" w:ascii="宋体" w:hAnsi="宋体" w:eastAsia="宋体" w:cs="宋体"/>
          <w:b w:val="0"/>
          <w:color w:val="auto"/>
          <w:sz w:val="21"/>
          <w:szCs w:val="21"/>
          <w:highlight w:val="none"/>
        </w:rPr>
        <w:t xml:space="preserve"> </w:t>
      </w:r>
      <w:bookmarkEnd w:id="1037"/>
    </w:p>
    <w:p w14:paraId="74BE387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17.1 不可抗力的确认</w:t>
      </w:r>
    </w:p>
    <w:p w14:paraId="6E5713E2">
      <w:pPr>
        <w:snapToGrid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szCs w:val="21"/>
          <w:highlight w:val="none"/>
        </w:rPr>
        <w:t xml:space="preserve">除通用合同条款约定的不可抗力事件之外，视为不可抗力的其他情形： </w:t>
      </w:r>
      <w:r>
        <w:rPr>
          <w:rFonts w:hint="eastAsia" w:ascii="宋体" w:hAnsi="宋体" w:cs="宋体"/>
          <w:bCs/>
          <w:color w:val="auto"/>
          <w:kern w:val="0"/>
          <w:highlight w:val="none"/>
          <w:u w:val="single"/>
        </w:rPr>
        <w:t>火灾、洪水、罢工、政府征用、政府禁止令等</w:t>
      </w:r>
      <w:r>
        <w:rPr>
          <w:rFonts w:hint="eastAsia" w:ascii="宋体" w:hAnsi="宋体" w:cs="宋体"/>
          <w:color w:val="auto"/>
          <w:kern w:val="0"/>
          <w:szCs w:val="21"/>
          <w:highlight w:val="none"/>
        </w:rPr>
        <w:t>。</w:t>
      </w:r>
    </w:p>
    <w:p w14:paraId="676CECB5">
      <w:pPr>
        <w:snapToGrid w:val="0"/>
        <w:spacing w:line="360" w:lineRule="auto"/>
        <w:ind w:firstLine="420" w:firstLineChars="200"/>
        <w:outlineLvl w:val="0"/>
        <w:rPr>
          <w:rFonts w:ascii="宋体" w:hAnsi="宋体" w:cs="宋体"/>
          <w:color w:val="auto"/>
          <w:szCs w:val="21"/>
          <w:highlight w:val="none"/>
        </w:rPr>
      </w:pPr>
      <w:bookmarkStart w:id="1042" w:name="_Toc8029"/>
      <w:r>
        <w:rPr>
          <w:rFonts w:hint="eastAsia" w:ascii="宋体" w:hAnsi="宋体" w:cs="宋体"/>
          <w:color w:val="auto"/>
          <w:szCs w:val="21"/>
          <w:highlight w:val="none"/>
        </w:rPr>
        <w:t>17.4 因不可抗力解除合同</w:t>
      </w:r>
      <w:bookmarkEnd w:id="1042"/>
    </w:p>
    <w:p w14:paraId="2806580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合同解除后，发包人应在商定或确定发包人应支付款项后</w:t>
      </w:r>
      <w:r>
        <w:rPr>
          <w:rFonts w:hint="eastAsia" w:ascii="宋体" w:hAnsi="宋体" w:cs="宋体"/>
          <w:color w:val="auto"/>
          <w:szCs w:val="21"/>
          <w:highlight w:val="none"/>
          <w:u w:val="single"/>
          <w:lang w:val="en-US" w:eastAsia="zh-CN"/>
        </w:rPr>
        <w:t>28</w:t>
      </w:r>
      <w:r>
        <w:rPr>
          <w:rFonts w:hint="eastAsia" w:ascii="宋体" w:hAnsi="宋体" w:cs="宋体"/>
          <w:color w:val="auto"/>
          <w:szCs w:val="21"/>
          <w:highlight w:val="none"/>
        </w:rPr>
        <w:t>天内完成款项的支付。</w:t>
      </w:r>
    </w:p>
    <w:p w14:paraId="73C396DE">
      <w:pPr>
        <w:pStyle w:val="5"/>
        <w:snapToGrid w:val="0"/>
        <w:spacing w:before="0" w:after="0" w:line="360" w:lineRule="auto"/>
        <w:rPr>
          <w:rFonts w:ascii="宋体" w:hAnsi="宋体" w:eastAsia="宋体" w:cs="宋体"/>
          <w:b w:val="0"/>
          <w:color w:val="auto"/>
          <w:sz w:val="21"/>
          <w:szCs w:val="21"/>
          <w:highlight w:val="none"/>
        </w:rPr>
      </w:pPr>
      <w:bookmarkStart w:id="1043" w:name="_Toc351203650"/>
      <w:r>
        <w:rPr>
          <w:rFonts w:hint="eastAsia" w:ascii="宋体" w:hAnsi="宋体" w:eastAsia="宋体" w:cs="宋体"/>
          <w:b w:val="0"/>
          <w:color w:val="auto"/>
          <w:sz w:val="21"/>
          <w:szCs w:val="21"/>
          <w:highlight w:val="none"/>
        </w:rPr>
        <w:t>18. 保险</w:t>
      </w:r>
      <w:bookmarkEnd w:id="1043"/>
    </w:p>
    <w:bookmarkEnd w:id="1038"/>
    <w:p w14:paraId="0F242C9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 工程保险</w:t>
      </w:r>
    </w:p>
    <w:p w14:paraId="4A467CE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关于工程保险的特别约定：</w:t>
      </w:r>
      <w:r>
        <w:rPr>
          <w:rFonts w:hint="eastAsia" w:ascii="宋体" w:hAnsi="宋体"/>
          <w:color w:val="auto"/>
          <w:kern w:val="0"/>
          <w:szCs w:val="21"/>
          <w:highlight w:val="none"/>
          <w:u w:val="single"/>
        </w:rPr>
        <w:t>执行通用条款</w:t>
      </w:r>
      <w:r>
        <w:rPr>
          <w:rFonts w:hint="eastAsia" w:ascii="宋体" w:hAnsi="宋体" w:cs="宋体"/>
          <w:color w:val="auto"/>
          <w:kern w:val="0"/>
          <w:szCs w:val="21"/>
          <w:highlight w:val="none"/>
        </w:rPr>
        <w:t>。</w:t>
      </w:r>
    </w:p>
    <w:p w14:paraId="29378A3F">
      <w:pPr>
        <w:snapToGrid w:val="0"/>
        <w:spacing w:line="360" w:lineRule="auto"/>
        <w:ind w:firstLine="420" w:firstLineChars="200"/>
        <w:outlineLvl w:val="0"/>
        <w:rPr>
          <w:rFonts w:ascii="宋体" w:hAnsi="宋体" w:cs="宋体"/>
          <w:color w:val="auto"/>
          <w:szCs w:val="21"/>
          <w:highlight w:val="none"/>
        </w:rPr>
      </w:pPr>
      <w:bookmarkStart w:id="1044" w:name="_Toc30301"/>
      <w:r>
        <w:rPr>
          <w:rFonts w:hint="eastAsia" w:ascii="宋体" w:hAnsi="宋体" w:cs="宋体"/>
          <w:color w:val="auto"/>
          <w:szCs w:val="21"/>
          <w:highlight w:val="none"/>
        </w:rPr>
        <w:t>18.3 其他保险</w:t>
      </w:r>
      <w:bookmarkEnd w:id="1044"/>
    </w:p>
    <w:p w14:paraId="6A05DED0">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关于其他保险的约定：</w:t>
      </w:r>
      <w:r>
        <w:rPr>
          <w:rFonts w:hint="eastAsia" w:ascii="宋体" w:hAnsi="宋体"/>
          <w:color w:val="auto"/>
          <w:kern w:val="0"/>
          <w:szCs w:val="21"/>
          <w:highlight w:val="none"/>
          <w:u w:val="single"/>
        </w:rPr>
        <w:t>执行通用条款</w:t>
      </w:r>
      <w:r>
        <w:rPr>
          <w:rFonts w:hint="eastAsia" w:ascii="宋体" w:hAnsi="宋体" w:cs="宋体"/>
          <w:color w:val="auto"/>
          <w:kern w:val="0"/>
          <w:szCs w:val="21"/>
          <w:highlight w:val="none"/>
        </w:rPr>
        <w:t>。</w:t>
      </w:r>
    </w:p>
    <w:p w14:paraId="642EDAFE">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承包人是否应为其施工设备等办理财产保险：</w:t>
      </w:r>
      <w:r>
        <w:rPr>
          <w:rFonts w:hint="eastAsia" w:ascii="宋体" w:hAnsi="宋体" w:cs="宋体"/>
          <w:color w:val="auto"/>
          <w:szCs w:val="21"/>
          <w:highlight w:val="none"/>
          <w:u w:val="single"/>
          <w:lang w:val="en-US" w:eastAsia="zh-CN"/>
        </w:rPr>
        <w:t>是</w:t>
      </w:r>
      <w:r>
        <w:rPr>
          <w:rFonts w:hint="eastAsia" w:ascii="宋体" w:hAnsi="宋体" w:cs="宋体"/>
          <w:color w:val="auto"/>
          <w:szCs w:val="21"/>
          <w:highlight w:val="none"/>
        </w:rPr>
        <w:t>。</w:t>
      </w:r>
    </w:p>
    <w:p w14:paraId="5A2E29D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18.7 通知义务</w:t>
      </w:r>
    </w:p>
    <w:p w14:paraId="2F1B715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关于变更保险合同时的通知义务的约定：</w:t>
      </w:r>
      <w:r>
        <w:rPr>
          <w:rFonts w:hint="eastAsia" w:ascii="宋体" w:hAnsi="宋体"/>
          <w:color w:val="auto"/>
          <w:kern w:val="0"/>
          <w:szCs w:val="21"/>
          <w:highlight w:val="none"/>
          <w:u w:val="single"/>
        </w:rPr>
        <w:t>执行通用条款</w:t>
      </w:r>
      <w:r>
        <w:rPr>
          <w:rFonts w:hint="eastAsia" w:ascii="宋体" w:hAnsi="宋体" w:cs="宋体"/>
          <w:color w:val="auto"/>
          <w:szCs w:val="21"/>
          <w:highlight w:val="none"/>
        </w:rPr>
        <w:t>。</w:t>
      </w:r>
    </w:p>
    <w:bookmarkEnd w:id="1010"/>
    <w:bookmarkEnd w:id="1011"/>
    <w:bookmarkEnd w:id="1012"/>
    <w:bookmarkEnd w:id="1013"/>
    <w:bookmarkEnd w:id="1014"/>
    <w:bookmarkEnd w:id="1015"/>
    <w:bookmarkEnd w:id="1016"/>
    <w:bookmarkEnd w:id="1017"/>
    <w:bookmarkEnd w:id="1018"/>
    <w:bookmarkEnd w:id="1019"/>
    <w:bookmarkEnd w:id="1020"/>
    <w:bookmarkEnd w:id="1021"/>
    <w:p w14:paraId="2C50C2BC">
      <w:pPr>
        <w:pStyle w:val="5"/>
        <w:snapToGrid w:val="0"/>
        <w:spacing w:before="0" w:after="0" w:line="360" w:lineRule="auto"/>
        <w:rPr>
          <w:rFonts w:ascii="宋体" w:hAnsi="宋体" w:eastAsia="宋体" w:cs="宋体"/>
          <w:b w:val="0"/>
          <w:color w:val="auto"/>
          <w:sz w:val="21"/>
          <w:szCs w:val="21"/>
          <w:highlight w:val="none"/>
        </w:rPr>
      </w:pPr>
      <w:bookmarkStart w:id="1045" w:name="_Toc351203651"/>
      <w:r>
        <w:rPr>
          <w:rFonts w:hint="eastAsia" w:ascii="宋体" w:hAnsi="宋体" w:eastAsia="宋体" w:cs="宋体"/>
          <w:b w:val="0"/>
          <w:color w:val="auto"/>
          <w:sz w:val="21"/>
          <w:szCs w:val="21"/>
          <w:highlight w:val="none"/>
        </w:rPr>
        <w:t>20. 争议解决</w:t>
      </w:r>
      <w:bookmarkEnd w:id="1045"/>
    </w:p>
    <w:bookmarkEnd w:id="1022"/>
    <w:bookmarkEnd w:id="1023"/>
    <w:p w14:paraId="48515259">
      <w:pPr>
        <w:snapToGrid w:val="0"/>
        <w:spacing w:line="360" w:lineRule="auto"/>
        <w:ind w:firstLine="420" w:firstLineChars="200"/>
        <w:outlineLvl w:val="0"/>
        <w:rPr>
          <w:rFonts w:ascii="宋体" w:hAnsi="宋体" w:cs="宋体"/>
          <w:color w:val="auto"/>
          <w:szCs w:val="21"/>
          <w:highlight w:val="none"/>
        </w:rPr>
      </w:pPr>
      <w:bookmarkStart w:id="1046" w:name="_Toc13681"/>
      <w:r>
        <w:rPr>
          <w:rFonts w:hint="eastAsia" w:ascii="宋体" w:hAnsi="宋体" w:cs="宋体"/>
          <w:color w:val="auto"/>
          <w:szCs w:val="21"/>
          <w:highlight w:val="none"/>
        </w:rPr>
        <w:t>20.3 争</w:t>
      </w:r>
      <w:bookmarkEnd w:id="1024"/>
      <w:r>
        <w:rPr>
          <w:rFonts w:hint="eastAsia" w:ascii="宋体" w:hAnsi="宋体" w:cs="宋体"/>
          <w:color w:val="auto"/>
          <w:szCs w:val="21"/>
          <w:highlight w:val="none"/>
        </w:rPr>
        <w:t>议评审</w:t>
      </w:r>
      <w:bookmarkEnd w:id="1046"/>
    </w:p>
    <w:p w14:paraId="50FED49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合同当事人是否同意将工程争议提交争议评审小组决定：</w:t>
      </w:r>
      <w:r>
        <w:rPr>
          <w:rFonts w:hint="eastAsia" w:ascii="宋体" w:hAnsi="宋体" w:cs="宋体"/>
          <w:color w:val="auto"/>
          <w:szCs w:val="21"/>
          <w:highlight w:val="none"/>
          <w:u w:val="single"/>
          <w:lang w:val="en-US" w:eastAsia="zh-CN"/>
        </w:rPr>
        <w:t>不同意</w:t>
      </w:r>
      <w:r>
        <w:rPr>
          <w:rFonts w:hint="eastAsia" w:ascii="宋体" w:hAnsi="宋体" w:cs="宋体"/>
          <w:color w:val="auto"/>
          <w:szCs w:val="21"/>
          <w:highlight w:val="none"/>
        </w:rPr>
        <w:t xml:space="preserve">。  </w:t>
      </w:r>
    </w:p>
    <w:p w14:paraId="2E92E183">
      <w:pPr>
        <w:snapToGrid w:val="0"/>
        <w:spacing w:line="360" w:lineRule="auto"/>
        <w:ind w:firstLine="420" w:firstLineChars="200"/>
        <w:outlineLvl w:val="0"/>
        <w:rPr>
          <w:rFonts w:ascii="宋体" w:hAnsi="宋体" w:cs="宋体"/>
          <w:color w:val="auto"/>
          <w:szCs w:val="21"/>
          <w:highlight w:val="none"/>
        </w:rPr>
      </w:pPr>
      <w:bookmarkStart w:id="1047" w:name="_Toc15019"/>
      <w:r>
        <w:rPr>
          <w:rFonts w:hint="eastAsia" w:ascii="宋体" w:hAnsi="宋体" w:cs="宋体"/>
          <w:color w:val="auto"/>
          <w:szCs w:val="21"/>
          <w:highlight w:val="none"/>
        </w:rPr>
        <w:t>20.4仲裁或诉讼</w:t>
      </w:r>
      <w:bookmarkEnd w:id="1025"/>
      <w:bookmarkEnd w:id="1047"/>
    </w:p>
    <w:p w14:paraId="2665AE4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因合同及合同有关事项发生的争议，按下列第（1）种方式解决：</w:t>
      </w:r>
    </w:p>
    <w:p w14:paraId="5DD3740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（1）向</w:t>
      </w:r>
      <w:r>
        <w:rPr>
          <w:rFonts w:hint="eastAsia" w:ascii="宋体" w:hAnsi="宋体" w:cs="宋体"/>
          <w:color w:val="auto"/>
          <w:szCs w:val="21"/>
          <w:highlight w:val="none"/>
          <w:u w:val="single"/>
          <w:lang w:val="en-US" w:eastAsia="zh-CN"/>
        </w:rPr>
        <w:t>宁波市</w:t>
      </w:r>
      <w:r>
        <w:rPr>
          <w:rFonts w:hint="eastAsia" w:ascii="宋体" w:hAnsi="宋体" w:cs="宋体"/>
          <w:color w:val="auto"/>
          <w:szCs w:val="21"/>
          <w:highlight w:val="none"/>
        </w:rPr>
        <w:t>仲裁委员会申请仲裁；</w:t>
      </w:r>
    </w:p>
    <w:p w14:paraId="68305D1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（2）向</w:t>
      </w:r>
      <w:r>
        <w:rPr>
          <w:rFonts w:hint="eastAsia" w:ascii="宋体" w:hAnsi="宋体" w:cs="宋体"/>
          <w:color w:val="auto"/>
          <w:szCs w:val="21"/>
          <w:highlight w:val="none"/>
          <w:u w:val="single"/>
          <w:lang w:val="en-US" w:eastAsia="zh-CN"/>
        </w:rPr>
        <w:t>宁波市</w:t>
      </w:r>
      <w:r>
        <w:rPr>
          <w:rFonts w:hint="eastAsia" w:ascii="宋体" w:hAnsi="宋体" w:cs="宋体"/>
          <w:color w:val="auto"/>
          <w:szCs w:val="21"/>
          <w:highlight w:val="none"/>
        </w:rPr>
        <w:t>人民法院起诉。</w:t>
      </w:r>
      <w:bookmarkEnd w:id="1026"/>
      <w:bookmarkEnd w:id="1027"/>
      <w:bookmarkEnd w:id="1028"/>
      <w:bookmarkEnd w:id="1029"/>
      <w:bookmarkEnd w:id="1030"/>
      <w:bookmarkEnd w:id="1031"/>
    </w:p>
    <w:p w14:paraId="0E136B34">
      <w:pPr>
        <w:snapToGrid w:val="0"/>
        <w:spacing w:line="360" w:lineRule="auto"/>
        <w:ind w:firstLine="482"/>
        <w:rPr>
          <w:rFonts w:ascii="宋体" w:hAnsi="宋体"/>
          <w:color w:val="auto"/>
          <w:sz w:val="18"/>
          <w:szCs w:val="21"/>
          <w:highlight w:val="none"/>
        </w:rPr>
      </w:pPr>
      <w:r>
        <w:rPr>
          <w:rFonts w:hint="eastAsia" w:ascii="宋体" w:hAnsi="宋体"/>
          <w:b/>
          <w:color w:val="auto"/>
          <w:sz w:val="18"/>
          <w:szCs w:val="21"/>
          <w:highlight w:val="none"/>
        </w:rPr>
        <w:t>附件：</w:t>
      </w:r>
    </w:p>
    <w:p w14:paraId="2E916439">
      <w:pPr>
        <w:adjustRightInd/>
        <w:snapToGrid w:val="0"/>
        <w:spacing w:line="360" w:lineRule="auto"/>
        <w:ind w:firstLine="371" w:firstLineChars="177"/>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附件1：建筑工程质量保修书</w:t>
      </w:r>
    </w:p>
    <w:p w14:paraId="4DA79BC1">
      <w:pPr>
        <w:adjustRightInd/>
        <w:ind w:firstLine="371" w:firstLineChars="177"/>
        <w:jc w:val="left"/>
        <w:rPr>
          <w:rFonts w:ascii="宋体" w:hAnsi="宋体"/>
          <w:snapToGrid w:val="0"/>
          <w:color w:val="auto"/>
          <w:kern w:val="0"/>
          <w:szCs w:val="21"/>
          <w:highlight w:val="none"/>
        </w:rPr>
      </w:pPr>
    </w:p>
    <w:p w14:paraId="374B860F">
      <w:pPr>
        <w:spacing w:before="162" w:line="440" w:lineRule="exact"/>
        <w:ind w:firstLine="480"/>
        <w:rPr>
          <w:rFonts w:ascii="宋体" w:hAnsi="宋体"/>
          <w:b/>
          <w:bCs/>
          <w:color w:val="auto"/>
          <w:sz w:val="24"/>
          <w:highlight w:val="none"/>
        </w:rPr>
      </w:pPr>
      <w:r>
        <w:rPr>
          <w:rFonts w:ascii="宋体" w:hAnsi="宋体"/>
          <w:color w:val="auto"/>
          <w:sz w:val="24"/>
          <w:highlight w:val="none"/>
          <w:u w:val="single"/>
        </w:rPr>
        <w:br w:type="page"/>
      </w:r>
      <w:bookmarkStart w:id="1048" w:name="_Toc249091536"/>
      <w:bookmarkStart w:id="1049" w:name="_Toc534620509"/>
      <w:r>
        <w:rPr>
          <w:rFonts w:hint="eastAsia" w:ascii="宋体" w:hAnsi="宋体"/>
          <w:b/>
          <w:bCs/>
          <w:color w:val="auto"/>
          <w:sz w:val="24"/>
          <w:highlight w:val="none"/>
        </w:rPr>
        <w:t>附件1:</w:t>
      </w:r>
    </w:p>
    <w:bookmarkEnd w:id="1048"/>
    <w:bookmarkEnd w:id="1049"/>
    <w:p w14:paraId="600ACB83">
      <w:pPr>
        <w:adjustRightInd/>
        <w:spacing w:before="120" w:beforeLines="50" w:after="120" w:afterLines="50" w:line="288" w:lineRule="auto"/>
        <w:jc w:val="center"/>
        <w:rPr>
          <w:rFonts w:ascii="宋体" w:hAnsi="宋体"/>
          <w:snapToGrid w:val="0"/>
          <w:color w:val="auto"/>
          <w:kern w:val="0"/>
          <w:szCs w:val="21"/>
          <w:highlight w:val="none"/>
        </w:rPr>
      </w:pPr>
      <w:r>
        <w:rPr>
          <w:rFonts w:ascii="宋体" w:hAnsi="宋体"/>
          <w:snapToGrid w:val="0"/>
          <w:color w:val="auto"/>
          <w:kern w:val="0"/>
          <w:szCs w:val="21"/>
          <w:highlight w:val="none"/>
        </w:rPr>
        <w:t>工程质量保修书</w:t>
      </w:r>
    </w:p>
    <w:p w14:paraId="12F0C4A9">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发包人（全称）：</w:t>
      </w:r>
      <w:r>
        <w:rPr>
          <w:rFonts w:ascii="宋体" w:hAnsi="宋体"/>
          <w:snapToGrid w:val="0"/>
          <w:color w:val="auto"/>
          <w:kern w:val="0"/>
          <w:szCs w:val="21"/>
          <w:highlight w:val="none"/>
          <w:u w:val="single"/>
        </w:rPr>
        <w:t xml:space="preserve">  </w:t>
      </w:r>
      <w:bookmarkStart w:id="1050" w:name="SOA_zyht_zlbxfb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50"/>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7F029547">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承包人（全称）：</w:t>
      </w:r>
      <w:r>
        <w:rPr>
          <w:rFonts w:ascii="宋体" w:hAnsi="宋体"/>
          <w:snapToGrid w:val="0"/>
          <w:color w:val="auto"/>
          <w:kern w:val="0"/>
          <w:szCs w:val="21"/>
          <w:highlight w:val="none"/>
          <w:u w:val="single"/>
        </w:rPr>
        <w:t xml:space="preserve">  </w:t>
      </w:r>
      <w:bookmarkStart w:id="1051" w:name="SOA_zyht_zlbxcbr"/>
      <w:r>
        <w:rPr>
          <w:rFonts w:ascii="宋体" w:hAnsi="宋体"/>
          <w:snapToGrid w:val="0"/>
          <w:color w:val="auto"/>
          <w:kern w:val="0"/>
          <w:szCs w:val="21"/>
          <w:highlight w:val="none"/>
          <w:u w:val="single"/>
        </w:rPr>
        <w:t xml:space="preserve"> </w:t>
      </w:r>
      <w:bookmarkEnd w:id="1051"/>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226C3EE3">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发包人和承包人根据《中华人民共和国建筑法》和《建设工程质量管理条例》，经协商一致就</w:t>
      </w:r>
      <w:r>
        <w:rPr>
          <w:rFonts w:ascii="宋体" w:hAnsi="宋体"/>
          <w:snapToGrid w:val="0"/>
          <w:color w:val="auto"/>
          <w:kern w:val="0"/>
          <w:szCs w:val="21"/>
          <w:highlight w:val="none"/>
          <w:u w:val="single"/>
        </w:rPr>
        <w:t xml:space="preserve">  </w:t>
      </w:r>
      <w:bookmarkStart w:id="1052" w:name="SOA_zyht_gcqc"/>
      <w:r>
        <w:rPr>
          <w:rFonts w:ascii="宋体" w:hAnsi="宋体"/>
          <w:snapToGrid w:val="0"/>
          <w:color w:val="auto"/>
          <w:kern w:val="0"/>
          <w:szCs w:val="21"/>
          <w:highlight w:val="none"/>
          <w:u w:val="single"/>
        </w:rPr>
        <w:t xml:space="preserve"> </w:t>
      </w:r>
      <w:r>
        <w:rPr>
          <w:rFonts w:hint="eastAsia" w:ascii="宋体" w:hAnsi="宋体" w:cs="宋体"/>
          <w:b/>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52"/>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（工程全称）签订工程质量保修书。</w:t>
      </w:r>
    </w:p>
    <w:p w14:paraId="5FD1A0D4">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一、工程质量保修范围和内容</w:t>
      </w:r>
    </w:p>
    <w:p w14:paraId="49FD05EE">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承包人在质量保修期内，按照有关法律规定和合同约定，承担工程质量保修责任。</w:t>
      </w:r>
    </w:p>
    <w:p w14:paraId="5C23E019">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8F4FF6F">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u w:val="single"/>
        </w:rPr>
        <w:t xml:space="preserve">   </w:t>
      </w:r>
      <w:bookmarkStart w:id="1053" w:name="SOA_zyht_gczlbxfw"/>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双方约定对施工承包范围内的所有内容实行保修</w:t>
      </w:r>
      <w:r>
        <w:rPr>
          <w:rFonts w:ascii="宋体" w:hAnsi="宋体"/>
          <w:snapToGrid w:val="0"/>
          <w:color w:val="auto"/>
          <w:kern w:val="0"/>
          <w:szCs w:val="21"/>
          <w:highlight w:val="none"/>
          <w:u w:val="single"/>
        </w:rPr>
        <w:t xml:space="preserve">   </w:t>
      </w:r>
      <w:bookmarkEnd w:id="1053"/>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6BC918AA">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二、质量保修期</w:t>
      </w:r>
    </w:p>
    <w:p w14:paraId="4092015C">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根据《建设工程质量管理条例》及有关规定，工程的质量保修期如下：</w:t>
      </w:r>
    </w:p>
    <w:p w14:paraId="5BDF532C">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1．地基基础工程和主体结构工程为设计文件规定的工程合理使用年限；</w:t>
      </w:r>
    </w:p>
    <w:p w14:paraId="3B269A18">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ascii="宋体" w:hAnsi="宋体"/>
          <w:snapToGrid w:val="0"/>
          <w:color w:val="auto"/>
          <w:kern w:val="0"/>
          <w:szCs w:val="21"/>
          <w:highlight w:val="none"/>
        </w:rPr>
        <w:t>屋面防水工程、有防水要求的卫生间、房间和外墙面的防渗</w:t>
      </w:r>
      <w:r>
        <w:rPr>
          <w:rFonts w:hint="eastAsia" w:ascii="宋体" w:hAnsi="宋体"/>
          <w:snapToGrid w:val="0"/>
          <w:color w:val="auto"/>
          <w:kern w:val="0"/>
          <w:szCs w:val="21"/>
          <w:highlight w:val="none"/>
        </w:rPr>
        <w:t>为</w:t>
      </w:r>
      <w:r>
        <w:rPr>
          <w:rFonts w:hint="eastAsia" w:ascii="宋体" w:hAnsi="宋体"/>
          <w:snapToGrid w:val="0"/>
          <w:color w:val="auto"/>
          <w:kern w:val="0"/>
          <w:szCs w:val="21"/>
          <w:highlight w:val="none"/>
          <w:u w:val="single"/>
        </w:rPr>
        <w:t xml:space="preserve"> 5 </w:t>
      </w:r>
      <w:r>
        <w:rPr>
          <w:rFonts w:ascii="宋体" w:hAnsi="宋体"/>
          <w:snapToGrid w:val="0"/>
          <w:color w:val="auto"/>
          <w:kern w:val="0"/>
          <w:szCs w:val="21"/>
          <w:highlight w:val="none"/>
        </w:rPr>
        <w:t>年；</w:t>
      </w:r>
    </w:p>
    <w:p w14:paraId="1D2A35A2">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装修工程为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2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680AE79F">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ascii="宋体" w:hAnsi="宋体"/>
          <w:snapToGrid w:val="0"/>
          <w:color w:val="auto"/>
          <w:kern w:val="0"/>
          <w:szCs w:val="21"/>
          <w:highlight w:val="none"/>
        </w:rPr>
        <w:t>电气管线、给排水管道、设备安装工程为</w:t>
      </w:r>
      <w:bookmarkStart w:id="1054" w:name="SOA_zyht_azbxnx"/>
      <w:r>
        <w:rPr>
          <w:rFonts w:ascii="宋体" w:hAnsi="宋体"/>
          <w:snapToGrid w:val="0"/>
          <w:color w:val="auto"/>
          <w:kern w:val="0"/>
          <w:szCs w:val="21"/>
          <w:highlight w:val="none"/>
          <w:u w:val="single"/>
        </w:rPr>
        <w:t xml:space="preserve"> </w:t>
      </w:r>
      <w:bookmarkEnd w:id="1054"/>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00C70CD6">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w:t>
      </w:r>
      <w:r>
        <w:rPr>
          <w:rFonts w:ascii="宋体" w:hAnsi="宋体"/>
          <w:snapToGrid w:val="0"/>
          <w:color w:val="auto"/>
          <w:kern w:val="0"/>
          <w:szCs w:val="21"/>
          <w:highlight w:val="none"/>
        </w:rPr>
        <w:t>供热与供冷系统为</w:t>
      </w:r>
      <w:r>
        <w:rPr>
          <w:rFonts w:ascii="宋体" w:hAnsi="宋体"/>
          <w:snapToGrid w:val="0"/>
          <w:color w:val="auto"/>
          <w:kern w:val="0"/>
          <w:szCs w:val="21"/>
          <w:highlight w:val="none"/>
          <w:u w:val="single"/>
        </w:rPr>
        <w:t xml:space="preserve"> </w:t>
      </w:r>
      <w:bookmarkStart w:id="1055" w:name="SOA_zyht_grbxnx"/>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bookmarkEnd w:id="1055"/>
      <w:r>
        <w:rPr>
          <w:rFonts w:ascii="宋体" w:hAnsi="宋体"/>
          <w:snapToGrid w:val="0"/>
          <w:color w:val="auto"/>
          <w:kern w:val="0"/>
          <w:szCs w:val="21"/>
          <w:highlight w:val="none"/>
        </w:rPr>
        <w:t>个采暖期、供冷期；</w:t>
      </w:r>
    </w:p>
    <w:p w14:paraId="6E6652EF">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住宅小区内的给排水设施、道路等配套工程为</w:t>
      </w:r>
      <w:r>
        <w:rPr>
          <w:rFonts w:hint="eastAsia" w:ascii="宋体" w:hAnsi="宋体"/>
          <w:snapToGrid w:val="0"/>
          <w:color w:val="auto"/>
          <w:kern w:val="0"/>
          <w:szCs w:val="21"/>
          <w:highlight w:val="none"/>
          <w:u w:val="single"/>
        </w:rPr>
        <w:t>2</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047A530D">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7．</w:t>
      </w:r>
      <w:r>
        <w:rPr>
          <w:rFonts w:ascii="宋体" w:hAnsi="宋体"/>
          <w:snapToGrid w:val="0"/>
          <w:color w:val="auto"/>
          <w:kern w:val="0"/>
          <w:szCs w:val="21"/>
          <w:highlight w:val="none"/>
        </w:rPr>
        <w:t>其他项目保修期限约定如下：</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043C0D6E">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质量保修期自工程竣工验收合格之日起计算。</w:t>
      </w:r>
    </w:p>
    <w:p w14:paraId="6F7C6E92">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三、缺陷责任期</w:t>
      </w:r>
    </w:p>
    <w:p w14:paraId="30DF235E">
      <w:pPr>
        <w:adjustRightInd/>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工程缺陷责任期为</w:t>
      </w:r>
      <w:bookmarkStart w:id="1056" w:name="SOA_zyht_gcqxq"/>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24 </w:t>
      </w:r>
      <w:r>
        <w:rPr>
          <w:rFonts w:ascii="宋体" w:hAnsi="宋体"/>
          <w:snapToGrid w:val="0"/>
          <w:color w:val="auto"/>
          <w:kern w:val="0"/>
          <w:szCs w:val="21"/>
          <w:highlight w:val="none"/>
          <w:u w:val="single"/>
        </w:rPr>
        <w:t xml:space="preserve"> </w:t>
      </w:r>
      <w:bookmarkEnd w:id="1056"/>
      <w:r>
        <w:rPr>
          <w:rFonts w:ascii="宋体" w:hAnsi="宋体"/>
          <w:snapToGrid w:val="0"/>
          <w:color w:val="auto"/>
          <w:kern w:val="0"/>
          <w:szCs w:val="21"/>
          <w:highlight w:val="none"/>
        </w:rPr>
        <w:t>个月，缺陷责任期自</w:t>
      </w:r>
      <w:r>
        <w:rPr>
          <w:rFonts w:hint="eastAsia" w:ascii="宋体" w:hAnsi="宋体"/>
          <w:snapToGrid w:val="0"/>
          <w:color w:val="auto"/>
          <w:kern w:val="0"/>
          <w:szCs w:val="21"/>
          <w:highlight w:val="none"/>
        </w:rPr>
        <w:t>工程通过竣工验收合格之日</w:t>
      </w:r>
      <w:r>
        <w:rPr>
          <w:rFonts w:ascii="宋体" w:hAnsi="宋体"/>
          <w:snapToGrid w:val="0"/>
          <w:color w:val="auto"/>
          <w:kern w:val="0"/>
          <w:szCs w:val="21"/>
          <w:highlight w:val="none"/>
        </w:rPr>
        <w:t>起计算。单位工程先于全部工程进行验收，单位工程缺陷责任期自单位工程</w:t>
      </w:r>
      <w:r>
        <w:rPr>
          <w:rFonts w:hint="eastAsia" w:ascii="宋体" w:hAnsi="宋体"/>
          <w:snapToGrid w:val="0"/>
          <w:color w:val="auto"/>
          <w:kern w:val="0"/>
          <w:szCs w:val="21"/>
          <w:highlight w:val="none"/>
        </w:rPr>
        <w:t>验收合格之日</w:t>
      </w:r>
      <w:r>
        <w:rPr>
          <w:rFonts w:ascii="宋体" w:hAnsi="宋体"/>
          <w:snapToGrid w:val="0"/>
          <w:color w:val="auto"/>
          <w:kern w:val="0"/>
          <w:szCs w:val="21"/>
          <w:highlight w:val="none"/>
        </w:rPr>
        <w:t>起</w:t>
      </w:r>
      <w:r>
        <w:rPr>
          <w:rFonts w:hint="eastAsia" w:ascii="宋体" w:hAnsi="宋体"/>
          <w:snapToGrid w:val="0"/>
          <w:color w:val="auto"/>
          <w:kern w:val="0"/>
          <w:szCs w:val="21"/>
          <w:highlight w:val="none"/>
        </w:rPr>
        <w:t>计</w:t>
      </w:r>
      <w:r>
        <w:rPr>
          <w:rFonts w:ascii="宋体" w:hAnsi="宋体"/>
          <w:snapToGrid w:val="0"/>
          <w:color w:val="auto"/>
          <w:kern w:val="0"/>
          <w:szCs w:val="21"/>
          <w:highlight w:val="none"/>
        </w:rPr>
        <w:t>算。</w:t>
      </w:r>
    </w:p>
    <w:p w14:paraId="5F78B172">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缺陷责任期终止后，发包人应退还剩余的质量保证金。</w:t>
      </w:r>
    </w:p>
    <w:p w14:paraId="2BF601F8">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四、质量保修责任</w:t>
      </w:r>
    </w:p>
    <w:p w14:paraId="388AFF65">
      <w:pPr>
        <w:adjustRightInd/>
        <w:spacing w:line="288"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属于保修范围、内容的项目，承包人应当在接到保修通知之日起7天内派人保修。承包人不在约定期限内派人保修的，发包人可以委托他人修理。</w:t>
      </w:r>
    </w:p>
    <w:p w14:paraId="55586E25">
      <w:pPr>
        <w:adjustRightInd/>
        <w:spacing w:line="300"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ascii="宋体" w:hAnsi="宋体"/>
          <w:snapToGrid w:val="0"/>
          <w:color w:val="auto"/>
          <w:kern w:val="0"/>
          <w:szCs w:val="21"/>
          <w:highlight w:val="none"/>
        </w:rPr>
        <w:t>发生紧急事故需抢修的，承包人在接到事故通知后，应当立即到达事故现场抢修。</w:t>
      </w:r>
    </w:p>
    <w:p w14:paraId="65B5DC66">
      <w:pPr>
        <w:adjustRightInd/>
        <w:spacing w:line="300"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D699F3C">
      <w:pPr>
        <w:adjustRightInd/>
        <w:spacing w:line="300" w:lineRule="auto"/>
        <w:ind w:left="420" w:leftChars="200" w:firstLine="105" w:firstLineChars="50"/>
        <w:rPr>
          <w:rFonts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ascii="宋体" w:hAnsi="宋体"/>
          <w:snapToGrid w:val="0"/>
          <w:color w:val="auto"/>
          <w:kern w:val="0"/>
          <w:szCs w:val="21"/>
          <w:highlight w:val="none"/>
        </w:rPr>
        <w:t>质量保修完成后，由发包人组织验收。</w:t>
      </w:r>
    </w:p>
    <w:p w14:paraId="04E6A507">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五、保修费用</w:t>
      </w:r>
    </w:p>
    <w:p w14:paraId="0E019457">
      <w:pPr>
        <w:adjustRightInd/>
        <w:spacing w:line="300" w:lineRule="auto"/>
        <w:ind w:firstLine="480"/>
        <w:rPr>
          <w:rFonts w:ascii="宋体" w:hAnsi="宋体"/>
          <w:snapToGrid w:val="0"/>
          <w:color w:val="auto"/>
          <w:kern w:val="0"/>
          <w:szCs w:val="21"/>
          <w:highlight w:val="none"/>
        </w:rPr>
      </w:pPr>
      <w:r>
        <w:rPr>
          <w:rFonts w:ascii="宋体" w:hAnsi="宋体"/>
          <w:snapToGrid w:val="0"/>
          <w:color w:val="auto"/>
          <w:kern w:val="0"/>
          <w:szCs w:val="21"/>
          <w:highlight w:val="none"/>
        </w:rPr>
        <w:t>保修费用由造成质量缺陷的责任方承担。</w:t>
      </w:r>
    </w:p>
    <w:p w14:paraId="04BB8209">
      <w:pPr>
        <w:adjustRightInd/>
        <w:spacing w:line="360" w:lineRule="auto"/>
        <w:ind w:firstLine="600"/>
        <w:jc w:val="left"/>
        <w:rPr>
          <w:rFonts w:ascii="宋体" w:hAnsi="宋体"/>
          <w:snapToGrid w:val="0"/>
          <w:color w:val="auto"/>
          <w:kern w:val="0"/>
          <w:szCs w:val="21"/>
          <w:highlight w:val="none"/>
        </w:rPr>
      </w:pPr>
      <w:r>
        <w:rPr>
          <w:rFonts w:ascii="宋体" w:hAnsi="宋体"/>
          <w:b/>
          <w:snapToGrid w:val="0"/>
          <w:color w:val="auto"/>
          <w:kern w:val="0"/>
          <w:szCs w:val="21"/>
          <w:highlight w:val="none"/>
        </w:rPr>
        <w:t>六</w:t>
      </w:r>
      <w:r>
        <w:rPr>
          <w:rFonts w:ascii="宋体" w:hAnsi="宋体"/>
          <w:snapToGrid w:val="0"/>
          <w:color w:val="auto"/>
          <w:kern w:val="0"/>
          <w:szCs w:val="21"/>
          <w:highlight w:val="none"/>
        </w:rPr>
        <w:t>、双方约定的其他工程质量保修事项：</w:t>
      </w:r>
      <w:r>
        <w:rPr>
          <w:rFonts w:hint="eastAsia" w:ascii="宋体" w:hAnsi="宋体"/>
          <w:snapToGrid w:val="0"/>
          <w:color w:val="auto"/>
          <w:kern w:val="0"/>
          <w:szCs w:val="21"/>
          <w:highlight w:val="none"/>
          <w:u w:val="single"/>
        </w:rPr>
        <w:t>甲方在保修期内发现质量问题并通知乙方，乙方应及时派专业人员进行维修，如乙方未及时派专业人员进行维修，甲方有权请其</w:t>
      </w:r>
      <w:r>
        <w:rPr>
          <w:rFonts w:hint="eastAsia" w:ascii="宋体" w:hAnsi="宋体"/>
          <w:snapToGrid w:val="0"/>
          <w:color w:val="auto"/>
          <w:kern w:val="0"/>
          <w:szCs w:val="21"/>
          <w:highlight w:val="none"/>
          <w:u w:val="single"/>
          <w:lang w:val="en-US" w:eastAsia="zh-CN"/>
        </w:rPr>
        <w:t>他</w:t>
      </w:r>
      <w:r>
        <w:rPr>
          <w:rFonts w:hint="eastAsia" w:ascii="宋体" w:hAnsi="宋体"/>
          <w:snapToGrid w:val="0"/>
          <w:color w:val="auto"/>
          <w:kern w:val="0"/>
          <w:szCs w:val="21"/>
          <w:highlight w:val="none"/>
          <w:u w:val="single"/>
        </w:rPr>
        <w:t>人进行维修，由此产生的费用</w:t>
      </w:r>
      <w:r>
        <w:rPr>
          <w:rFonts w:hint="eastAsia" w:ascii="宋体" w:hAnsi="宋体"/>
          <w:snapToGrid w:val="0"/>
          <w:color w:val="auto"/>
          <w:kern w:val="0"/>
          <w:szCs w:val="21"/>
          <w:highlight w:val="none"/>
          <w:u w:val="single"/>
          <w:lang w:val="en-US" w:eastAsia="zh-CN"/>
        </w:rPr>
        <w:t>由</w:t>
      </w:r>
      <w:r>
        <w:rPr>
          <w:rFonts w:hint="eastAsia" w:ascii="宋体" w:hAnsi="宋体"/>
          <w:snapToGrid w:val="0"/>
          <w:color w:val="auto"/>
          <w:kern w:val="0"/>
          <w:szCs w:val="21"/>
          <w:highlight w:val="none"/>
          <w:u w:val="single"/>
        </w:rPr>
        <w:t>乙方</w:t>
      </w:r>
      <w:r>
        <w:rPr>
          <w:rFonts w:hint="eastAsia" w:ascii="宋体" w:hAnsi="宋体"/>
          <w:snapToGrid w:val="0"/>
          <w:color w:val="auto"/>
          <w:kern w:val="0"/>
          <w:szCs w:val="21"/>
          <w:highlight w:val="none"/>
          <w:u w:val="single"/>
          <w:lang w:val="en-US" w:eastAsia="zh-CN"/>
        </w:rPr>
        <w:t>支付</w:t>
      </w:r>
      <w:r>
        <w:rPr>
          <w:rFonts w:hint="eastAsia" w:ascii="宋体" w:hAnsi="宋体"/>
          <w:snapToGrid w:val="0"/>
          <w:color w:val="auto"/>
          <w:kern w:val="0"/>
          <w:szCs w:val="21"/>
          <w:highlight w:val="none"/>
          <w:u w:val="single"/>
        </w:rPr>
        <w:t>，同时乙方将承担因维修延误给甲方造成的一切损失</w:t>
      </w:r>
      <w:r>
        <w:rPr>
          <w:rFonts w:ascii="宋体" w:hAnsi="宋体"/>
          <w:snapToGrid w:val="0"/>
          <w:color w:val="auto"/>
          <w:kern w:val="0"/>
          <w:szCs w:val="21"/>
          <w:highlight w:val="none"/>
        </w:rPr>
        <w:t>。</w:t>
      </w:r>
    </w:p>
    <w:p w14:paraId="787BF04A">
      <w:pPr>
        <w:adjustRightInd/>
        <w:spacing w:line="300" w:lineRule="auto"/>
        <w:ind w:firstLine="399" w:firstLineChars="190"/>
        <w:rPr>
          <w:rFonts w:ascii="宋体" w:hAnsi="宋体"/>
          <w:snapToGrid w:val="0"/>
          <w:color w:val="auto"/>
          <w:kern w:val="0"/>
          <w:szCs w:val="21"/>
          <w:highlight w:val="none"/>
        </w:rPr>
      </w:pPr>
      <w:r>
        <w:rPr>
          <w:rFonts w:ascii="宋体" w:hAnsi="宋体"/>
          <w:snapToGrid w:val="0"/>
          <w:color w:val="auto"/>
          <w:kern w:val="0"/>
          <w:szCs w:val="21"/>
          <w:highlight w:val="none"/>
        </w:rPr>
        <w:t>工程质量保修书由发包人、承包人在工程竣工验收前共同签署，作为施工合同附件，其有效期限至保修期满。</w:t>
      </w:r>
    </w:p>
    <w:p w14:paraId="3FB7B24D">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发包人(公章)：</w:t>
      </w:r>
      <w:r>
        <w:rPr>
          <w:rFonts w:ascii="宋体" w:hAnsi="宋体"/>
          <w:snapToGrid w:val="0"/>
          <w:color w:val="auto"/>
          <w:kern w:val="0"/>
          <w:szCs w:val="21"/>
          <w:highlight w:val="none"/>
          <w:u w:val="single"/>
        </w:rPr>
        <w:t xml:space="preserve"> </w:t>
      </w:r>
      <w:bookmarkStart w:id="1057" w:name="SOA_zyht_fb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57"/>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承包人(公章)：</w:t>
      </w:r>
      <w:r>
        <w:rPr>
          <w:rFonts w:ascii="宋体" w:hAnsi="宋体"/>
          <w:snapToGrid w:val="0"/>
          <w:color w:val="auto"/>
          <w:kern w:val="0"/>
          <w:szCs w:val="21"/>
          <w:highlight w:val="none"/>
          <w:u w:val="single"/>
        </w:rPr>
        <w:t></w:t>
      </w:r>
      <w:bookmarkStart w:id="1058" w:name="SOA_zyht_cb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58"/>
      <w:r>
        <w:rPr>
          <w:rFonts w:hint="eastAsia" w:ascii="宋体" w:hAnsi="宋体"/>
          <w:snapToGrid w:val="0"/>
          <w:color w:val="auto"/>
          <w:kern w:val="0"/>
          <w:szCs w:val="21"/>
          <w:highlight w:val="none"/>
          <w:u w:val="single"/>
        </w:rPr>
        <w:t xml:space="preserve">  </w:t>
      </w:r>
    </w:p>
    <w:p w14:paraId="2C377265">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 xml:space="preserve"> </w:t>
      </w:r>
      <w:bookmarkStart w:id="1059" w:name="SOA_zyht_fbrdz"/>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59"/>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w:t>
      </w:r>
      <w:bookmarkStart w:id="1060" w:name="SOA_zyht_cbrdz"/>
      <w:r>
        <w:rPr>
          <w:rFonts w:ascii="宋体" w:hAnsi="宋体"/>
          <w:snapToGrid w:val="0"/>
          <w:color w:val="auto"/>
          <w:kern w:val="0"/>
          <w:szCs w:val="21"/>
          <w:highlight w:val="none"/>
          <w:u w:val="single"/>
        </w:rPr>
        <w:t xml:space="preserve">      </w:t>
      </w:r>
      <w:bookmarkEnd w:id="1060"/>
      <w:r>
        <w:rPr>
          <w:rFonts w:ascii="宋体" w:hAnsi="宋体"/>
          <w:snapToGrid w:val="0"/>
          <w:color w:val="auto"/>
          <w:kern w:val="0"/>
          <w:szCs w:val="21"/>
          <w:highlight w:val="none"/>
          <w:u w:val="single"/>
        </w:rPr>
        <w:t></w:t>
      </w:r>
    </w:p>
    <w:p w14:paraId="4C55732F">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法定代表人(签字)：</w:t>
      </w:r>
      <w:bookmarkStart w:id="1061" w:name="SOA_zyht_fddbr1"/>
      <w:r>
        <w:rPr>
          <w:rFonts w:ascii="宋体" w:hAnsi="宋体"/>
          <w:snapToGrid w:val="0"/>
          <w:color w:val="auto"/>
          <w:kern w:val="0"/>
          <w:szCs w:val="21"/>
          <w:highlight w:val="none"/>
          <w:u w:val="single"/>
        </w:rPr>
        <w:t xml:space="preserve">      </w:t>
      </w:r>
      <w:bookmarkEnd w:id="1061"/>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法定代表人(签字)：</w:t>
      </w:r>
      <w:bookmarkStart w:id="1062" w:name="SOA_zyht_fddbr2"/>
      <w:r>
        <w:rPr>
          <w:rFonts w:ascii="宋体" w:hAnsi="宋体"/>
          <w:snapToGrid w:val="0"/>
          <w:color w:val="auto"/>
          <w:kern w:val="0"/>
          <w:szCs w:val="21"/>
          <w:highlight w:val="none"/>
          <w:u w:val="single"/>
        </w:rPr>
        <w:t xml:space="preserve">      </w:t>
      </w:r>
      <w:bookmarkEnd w:id="1062"/>
      <w:r>
        <w:rPr>
          <w:rFonts w:hint="eastAsia" w:ascii="宋体" w:hAnsi="宋体"/>
          <w:snapToGrid w:val="0"/>
          <w:color w:val="auto"/>
          <w:kern w:val="0"/>
          <w:szCs w:val="21"/>
          <w:highlight w:val="none"/>
          <w:u w:val="single"/>
        </w:rPr>
        <w:t xml:space="preserve">  </w:t>
      </w:r>
    </w:p>
    <w:p w14:paraId="3B099A88">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委托代理人(签字)：</w:t>
      </w:r>
      <w:bookmarkStart w:id="1063" w:name="SOA_zyht_wtdlr1"/>
      <w:r>
        <w:rPr>
          <w:rFonts w:ascii="宋体" w:hAnsi="宋体"/>
          <w:snapToGrid w:val="0"/>
          <w:color w:val="auto"/>
          <w:kern w:val="0"/>
          <w:szCs w:val="21"/>
          <w:highlight w:val="none"/>
          <w:u w:val="single"/>
        </w:rPr>
        <w:t xml:space="preserve">      </w:t>
      </w:r>
      <w:bookmarkEnd w:id="1063"/>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委托代理人(签字)：</w:t>
      </w:r>
      <w:bookmarkStart w:id="1064" w:name="SOA_zyht_wtdlr2"/>
      <w:r>
        <w:rPr>
          <w:rFonts w:ascii="宋体" w:hAnsi="宋体"/>
          <w:snapToGrid w:val="0"/>
          <w:color w:val="auto"/>
          <w:kern w:val="0"/>
          <w:szCs w:val="21"/>
          <w:highlight w:val="none"/>
          <w:u w:val="single"/>
        </w:rPr>
        <w:t xml:space="preserve">      </w:t>
      </w:r>
      <w:bookmarkEnd w:id="1064"/>
      <w:r>
        <w:rPr>
          <w:rFonts w:hint="eastAsia" w:ascii="宋体" w:hAnsi="宋体"/>
          <w:snapToGrid w:val="0"/>
          <w:color w:val="auto"/>
          <w:kern w:val="0"/>
          <w:szCs w:val="21"/>
          <w:highlight w:val="none"/>
          <w:u w:val="single"/>
        </w:rPr>
        <w:t xml:space="preserve">  </w:t>
      </w:r>
    </w:p>
    <w:p w14:paraId="72A58D96">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w:t>
      </w:r>
      <w:bookmarkStart w:id="1065" w:name="SOA_zyht_fbrdh1"/>
      <w:r>
        <w:rPr>
          <w:rFonts w:ascii="宋体" w:hAnsi="宋体"/>
          <w:snapToGrid w:val="0"/>
          <w:color w:val="auto"/>
          <w:kern w:val="0"/>
          <w:szCs w:val="21"/>
          <w:highlight w:val="none"/>
          <w:u w:val="single"/>
        </w:rPr>
        <w:t xml:space="preserve">      </w:t>
      </w:r>
      <w:bookmarkEnd w:id="1065"/>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w:t>
      </w:r>
      <w:bookmarkStart w:id="1066" w:name="SOA_zyht_cbrdh"/>
      <w:r>
        <w:rPr>
          <w:rFonts w:ascii="宋体" w:hAnsi="宋体"/>
          <w:snapToGrid w:val="0"/>
          <w:color w:val="auto"/>
          <w:kern w:val="0"/>
          <w:szCs w:val="21"/>
          <w:highlight w:val="none"/>
          <w:u w:val="single"/>
        </w:rPr>
        <w:t xml:space="preserve">      </w:t>
      </w:r>
      <w:bookmarkEnd w:id="1066"/>
      <w:r>
        <w:rPr>
          <w:rFonts w:ascii="宋体" w:hAnsi="宋体"/>
          <w:snapToGrid w:val="0"/>
          <w:color w:val="auto"/>
          <w:kern w:val="0"/>
          <w:szCs w:val="21"/>
          <w:highlight w:val="none"/>
          <w:u w:val="single"/>
        </w:rPr>
        <w:t xml:space="preserve"> </w:t>
      </w:r>
    </w:p>
    <w:p w14:paraId="709907A1">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传  真：</w:t>
      </w:r>
      <w:r>
        <w:rPr>
          <w:rFonts w:hint="eastAsia" w:ascii="宋体" w:hAnsi="宋体"/>
          <w:snapToGrid w:val="0"/>
          <w:color w:val="auto"/>
          <w:kern w:val="0"/>
          <w:szCs w:val="21"/>
          <w:highlight w:val="none"/>
          <w:u w:val="single"/>
        </w:rPr>
        <w:t xml:space="preserve">  </w:t>
      </w:r>
      <w:bookmarkStart w:id="1067" w:name="SOA_zyht_fbrcz"/>
      <w:r>
        <w:rPr>
          <w:rFonts w:ascii="宋体" w:hAnsi="宋体"/>
          <w:snapToGrid w:val="0"/>
          <w:color w:val="auto"/>
          <w:kern w:val="0"/>
          <w:szCs w:val="21"/>
          <w:highlight w:val="none"/>
          <w:u w:val="single"/>
        </w:rPr>
        <w:t xml:space="preserve">      </w:t>
      </w:r>
      <w:bookmarkEnd w:id="1067"/>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传  真：</w:t>
      </w:r>
      <w:r>
        <w:rPr>
          <w:rFonts w:ascii="宋体" w:hAnsi="宋体"/>
          <w:snapToGrid w:val="0"/>
          <w:color w:val="auto"/>
          <w:kern w:val="0"/>
          <w:szCs w:val="21"/>
          <w:highlight w:val="none"/>
          <w:u w:val="single"/>
        </w:rPr>
        <w:t></w:t>
      </w:r>
      <w:bookmarkStart w:id="1068" w:name="SOA_zyht_cbrcz"/>
      <w:r>
        <w:rPr>
          <w:rFonts w:ascii="宋体" w:hAnsi="宋体"/>
          <w:snapToGrid w:val="0"/>
          <w:color w:val="auto"/>
          <w:kern w:val="0"/>
          <w:szCs w:val="21"/>
          <w:highlight w:val="none"/>
          <w:u w:val="single"/>
        </w:rPr>
        <w:t xml:space="preserve">      </w:t>
      </w:r>
      <w:bookmarkEnd w:id="1068"/>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p>
    <w:p w14:paraId="54513BE5">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开户银行：</w:t>
      </w:r>
      <w:bookmarkStart w:id="1069" w:name="SOA_zyht_fbrkhyh"/>
      <w:r>
        <w:rPr>
          <w:rFonts w:ascii="宋体" w:hAnsi="宋体"/>
          <w:snapToGrid w:val="0"/>
          <w:color w:val="auto"/>
          <w:kern w:val="0"/>
          <w:szCs w:val="21"/>
          <w:highlight w:val="none"/>
          <w:u w:val="single"/>
        </w:rPr>
        <w:t xml:space="preserve">      </w:t>
      </w:r>
      <w:bookmarkEnd w:id="1069"/>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开户银行：</w:t>
      </w:r>
      <w:bookmarkStart w:id="1070" w:name="SOA_zyht_cbrkhyh"/>
      <w:r>
        <w:rPr>
          <w:rFonts w:ascii="宋体" w:hAnsi="宋体"/>
          <w:snapToGrid w:val="0"/>
          <w:color w:val="auto"/>
          <w:kern w:val="0"/>
          <w:szCs w:val="21"/>
          <w:highlight w:val="none"/>
          <w:u w:val="single"/>
        </w:rPr>
        <w:t xml:space="preserve">      </w:t>
      </w:r>
      <w:bookmarkEnd w:id="1070"/>
      <w:r>
        <w:rPr>
          <w:rFonts w:hint="eastAsia" w:ascii="宋体" w:hAnsi="宋体"/>
          <w:snapToGrid w:val="0"/>
          <w:color w:val="auto"/>
          <w:kern w:val="0"/>
          <w:szCs w:val="21"/>
          <w:highlight w:val="none"/>
          <w:u w:val="single"/>
        </w:rPr>
        <w:t xml:space="preserve">  </w:t>
      </w:r>
    </w:p>
    <w:p w14:paraId="4558B31E">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账  号：</w:t>
      </w:r>
      <w:r>
        <w:rPr>
          <w:rFonts w:ascii="宋体" w:hAnsi="宋体"/>
          <w:snapToGrid w:val="0"/>
          <w:color w:val="auto"/>
          <w:kern w:val="0"/>
          <w:szCs w:val="21"/>
          <w:highlight w:val="none"/>
          <w:u w:val="single"/>
        </w:rPr>
        <w:t></w:t>
      </w:r>
      <w:bookmarkStart w:id="1071" w:name="SOA_zyht_fbrzh"/>
      <w:r>
        <w:rPr>
          <w:rFonts w:ascii="宋体" w:hAnsi="宋体"/>
          <w:snapToGrid w:val="0"/>
          <w:color w:val="auto"/>
          <w:kern w:val="0"/>
          <w:szCs w:val="21"/>
          <w:highlight w:val="none"/>
          <w:u w:val="single"/>
        </w:rPr>
        <w:t xml:space="preserve">      </w:t>
      </w:r>
      <w:bookmarkEnd w:id="1071"/>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账</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 xml:space="preserve"> 号：</w:t>
      </w:r>
      <w:r>
        <w:rPr>
          <w:rFonts w:ascii="宋体" w:hAnsi="宋体"/>
          <w:snapToGrid w:val="0"/>
          <w:color w:val="auto"/>
          <w:kern w:val="0"/>
          <w:szCs w:val="21"/>
          <w:highlight w:val="none"/>
          <w:u w:val="single"/>
        </w:rPr>
        <w:t></w:t>
      </w:r>
      <w:bookmarkStart w:id="1072" w:name="SOA_zyht_cbrzh"/>
      <w:r>
        <w:rPr>
          <w:rFonts w:ascii="宋体" w:hAnsi="宋体"/>
          <w:snapToGrid w:val="0"/>
          <w:color w:val="auto"/>
          <w:kern w:val="0"/>
          <w:szCs w:val="21"/>
          <w:highlight w:val="none"/>
          <w:u w:val="single"/>
        </w:rPr>
        <w:t xml:space="preserve">      </w:t>
      </w:r>
      <w:bookmarkEnd w:id="1072"/>
      <w:r>
        <w:rPr>
          <w:rFonts w:hint="eastAsia" w:ascii="宋体" w:hAnsi="宋体"/>
          <w:snapToGrid w:val="0"/>
          <w:color w:val="auto"/>
          <w:kern w:val="0"/>
          <w:szCs w:val="21"/>
          <w:highlight w:val="none"/>
          <w:u w:val="single"/>
        </w:rPr>
        <w:t xml:space="preserve">  </w:t>
      </w:r>
    </w:p>
    <w:p w14:paraId="187FBBF5">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bookmarkStart w:id="1073" w:name="SOA_zyht_fbryb"/>
      <w:r>
        <w:rPr>
          <w:rFonts w:ascii="宋体" w:hAnsi="宋体"/>
          <w:snapToGrid w:val="0"/>
          <w:color w:val="auto"/>
          <w:kern w:val="0"/>
          <w:szCs w:val="21"/>
          <w:highlight w:val="none"/>
          <w:u w:val="single"/>
        </w:rPr>
        <w:t xml:space="preserve">      </w:t>
      </w:r>
      <w:bookmarkEnd w:id="1073"/>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w:t>
      </w:r>
      <w:bookmarkStart w:id="1074" w:name="SOA_zyht_cbryb"/>
      <w:r>
        <w:rPr>
          <w:rFonts w:ascii="宋体" w:hAnsi="宋体"/>
          <w:snapToGrid w:val="0"/>
          <w:color w:val="auto"/>
          <w:kern w:val="0"/>
          <w:szCs w:val="21"/>
          <w:highlight w:val="none"/>
          <w:u w:val="single"/>
        </w:rPr>
        <w:t xml:space="preserve">     </w:t>
      </w:r>
      <w:bookmarkEnd w:id="1074"/>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p>
    <w:p w14:paraId="3B6462D7">
      <w:pPr>
        <w:spacing w:line="480" w:lineRule="auto"/>
        <w:jc w:val="center"/>
        <w:rPr>
          <w:rFonts w:ascii="宋体" w:hAnsi="宋体" w:cs="宋体"/>
          <w:b/>
          <w:color w:val="auto"/>
          <w:sz w:val="28"/>
          <w:szCs w:val="28"/>
          <w:highlight w:val="none"/>
        </w:rPr>
      </w:pPr>
    </w:p>
    <w:p w14:paraId="1E2B878B">
      <w:pPr>
        <w:spacing w:line="360" w:lineRule="auto"/>
        <w:ind w:left="-420" w:leftChars="-200" w:right="-420" w:rightChars="-200" w:firstLine="480" w:firstLineChars="200"/>
        <w:jc w:val="center"/>
        <w:outlineLvl w:val="0"/>
        <w:rPr>
          <w:rFonts w:ascii="宋体" w:hAnsi="宋体" w:cs="宋体"/>
          <w:color w:val="auto"/>
          <w:sz w:val="24"/>
          <w:highlight w:val="none"/>
        </w:rPr>
      </w:pPr>
    </w:p>
    <w:p w14:paraId="1A8015B0">
      <w:pPr>
        <w:spacing w:line="360" w:lineRule="auto"/>
        <w:ind w:left="-420" w:leftChars="-200" w:right="-420" w:rightChars="-200" w:firstLine="480" w:firstLineChars="200"/>
        <w:jc w:val="center"/>
        <w:outlineLvl w:val="0"/>
        <w:rPr>
          <w:rFonts w:ascii="宋体" w:hAnsi="宋体" w:cs="宋体"/>
          <w:color w:val="auto"/>
          <w:sz w:val="24"/>
          <w:highlight w:val="none"/>
        </w:rPr>
        <w:sectPr>
          <w:headerReference r:id="rId10" w:type="first"/>
          <w:footerReference r:id="rId12" w:type="first"/>
          <w:footerReference r:id="rId11" w:type="default"/>
          <w:pgSz w:w="11905" w:h="16838"/>
          <w:pgMar w:top="1440" w:right="1440" w:bottom="1440" w:left="1440"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bookmarkEnd w:id="436"/>
    <w:bookmarkEnd w:id="437"/>
    <w:p w14:paraId="6C1219D6">
      <w:pPr>
        <w:numPr>
          <w:ilvl w:val="0"/>
          <w:numId w:val="7"/>
        </w:numPr>
        <w:snapToGrid w:val="0"/>
        <w:spacing w:line="360" w:lineRule="auto"/>
        <w:jc w:val="center"/>
        <w:outlineLvl w:val="0"/>
        <w:rPr>
          <w:rFonts w:hint="eastAsia" w:ascii="宋体" w:hAnsi="宋体" w:cs="宋体"/>
          <w:b/>
          <w:color w:val="auto"/>
          <w:sz w:val="36"/>
          <w:szCs w:val="20"/>
          <w:highlight w:val="none"/>
        </w:rPr>
      </w:pPr>
      <w:bookmarkStart w:id="1075" w:name="_Toc30607"/>
      <w:r>
        <w:rPr>
          <w:rFonts w:hint="eastAsia" w:ascii="宋体" w:hAnsi="宋体" w:cs="宋体"/>
          <w:b/>
          <w:color w:val="auto"/>
          <w:sz w:val="36"/>
          <w:szCs w:val="20"/>
          <w:highlight w:val="none"/>
        </w:rPr>
        <w:t>应提交的有关格式范例</w:t>
      </w:r>
      <w:bookmarkEnd w:id="1075"/>
    </w:p>
    <w:p w14:paraId="62CDAB12">
      <w:pPr>
        <w:spacing w:line="360" w:lineRule="auto"/>
        <w:jc w:val="center"/>
        <w:outlineLvl w:val="1"/>
        <w:rPr>
          <w:rFonts w:hint="eastAsia" w:ascii="宋体" w:hAnsi="宋体" w:cs="宋体"/>
          <w:b/>
          <w:color w:val="auto"/>
          <w:kern w:val="0"/>
          <w:sz w:val="36"/>
          <w:szCs w:val="36"/>
          <w:highlight w:val="none"/>
        </w:rPr>
      </w:pPr>
      <w:bookmarkStart w:id="1076" w:name="_Toc29848"/>
    </w:p>
    <w:p w14:paraId="2E8406D5">
      <w:pP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bookmarkEnd w:id="1076"/>
    </w:p>
    <w:p w14:paraId="770AB924">
      <w:pPr>
        <w:pStyle w:val="28"/>
        <w:numPr>
          <w:ilvl w:val="0"/>
          <w:numId w:val="0"/>
        </w:numPr>
        <w:ind w:right="-512" w:rightChars="-244"/>
        <w:rPr>
          <w:color w:val="auto"/>
          <w:highlight w:val="none"/>
        </w:rPr>
      </w:pPr>
    </w:p>
    <w:p w14:paraId="1C36A1C1">
      <w:pPr>
        <w:snapToGrid w:val="0"/>
        <w:spacing w:line="360" w:lineRule="auto"/>
        <w:ind w:right="480"/>
        <w:jc w:val="center"/>
        <w:rPr>
          <w:rFonts w:hint="eastAsia" w:ascii="宋体" w:hAnsi="宋体" w:cs="宋体"/>
          <w:b/>
          <w:color w:val="auto"/>
          <w:kern w:val="0"/>
          <w:sz w:val="32"/>
          <w:szCs w:val="32"/>
          <w:highlight w:val="none"/>
        </w:rPr>
        <w:sectPr>
          <w:pgSz w:w="11905" w:h="16838"/>
          <w:pgMar w:top="1440" w:right="1440" w:bottom="1440" w:left="1440"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cs="宋体"/>
          <w:b/>
          <w:color w:val="auto"/>
          <w:kern w:val="0"/>
          <w:sz w:val="32"/>
          <w:szCs w:val="32"/>
          <w:highlight w:val="none"/>
        </w:rPr>
        <w:t>一、 有效的企业法人营业执照（或事业法人登记证）、其他组织（个体工商户）的营业执照或者民办非企业单位登记证书。</w:t>
      </w:r>
    </w:p>
    <w:p w14:paraId="1E4DDC2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二、</w:t>
      </w:r>
      <w:r>
        <w:rPr>
          <w:rFonts w:hint="eastAsia" w:ascii="宋体" w:hAnsi="宋体" w:cs="宋体"/>
          <w:b/>
          <w:color w:val="auto"/>
          <w:kern w:val="0"/>
          <w:sz w:val="32"/>
          <w:szCs w:val="32"/>
          <w:highlight w:val="none"/>
        </w:rPr>
        <w:t>符合参加政府采购活动应当具备的一般条件的承诺函</w:t>
      </w:r>
    </w:p>
    <w:p w14:paraId="49834336">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宁波市公安局交通管理支队</w:t>
      </w:r>
      <w:r>
        <w:rPr>
          <w:rFonts w:hint="eastAsia" w:ascii="宋体" w:hAnsi="宋体" w:cs="宋体"/>
          <w:color w:val="auto"/>
          <w:sz w:val="24"/>
          <w:highlight w:val="none"/>
        </w:rPr>
        <w:t>、（采购代理机构）：</w:t>
      </w:r>
    </w:p>
    <w:p w14:paraId="3C4BD6D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宁波市公安局交通管理支队海曙大队高桥中队修缮项目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CBNB-20252346GGC</w:t>
      </w:r>
      <w:r>
        <w:rPr>
          <w:rFonts w:hint="eastAsia" w:ascii="宋体" w:hAnsi="宋体" w:cs="宋体"/>
          <w:color w:val="auto"/>
          <w:sz w:val="24"/>
          <w:highlight w:val="none"/>
        </w:rPr>
        <w:t>】政府采购活动，郑重承诺：</w:t>
      </w:r>
    </w:p>
    <w:p w14:paraId="0A7133C4">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41BFA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AA7E8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B9E8EA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95475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06998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C604B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E7BF1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w:t>
      </w:r>
    </w:p>
    <w:p w14:paraId="4159AC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3FFBA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8A341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8F82275">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1631A2E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4E9E42F">
      <w:pPr>
        <w:snapToGrid w:val="0"/>
        <w:spacing w:line="360" w:lineRule="auto"/>
        <w:ind w:right="480"/>
        <w:jc w:val="center"/>
        <w:rPr>
          <w:rFonts w:ascii="宋体" w:hAnsi="宋体" w:cs="宋体"/>
          <w:b/>
          <w:color w:val="auto"/>
          <w:kern w:val="0"/>
          <w:sz w:val="32"/>
          <w:szCs w:val="32"/>
          <w:highlight w:val="none"/>
        </w:rPr>
        <w:sectPr>
          <w:pgSz w:w="11905" w:h="16838"/>
          <w:pgMar w:top="1440" w:right="1440" w:bottom="1440" w:left="1440"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32C3D00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、落实政府采购政策需满足的资格要求</w:t>
      </w:r>
    </w:p>
    <w:p w14:paraId="1B948CE6">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2C3C065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w:t>
      </w:r>
      <w:r>
        <w:rPr>
          <w:rFonts w:hint="eastAsia" w:ascii="宋体" w:hAnsi="宋体" w:cs="宋体"/>
          <w:color w:val="auto"/>
          <w:sz w:val="24"/>
          <w:highlight w:val="none"/>
          <w:lang w:val="en-US" w:eastAsia="zh-CN"/>
        </w:rPr>
        <w:t>格式详见附件</w:t>
      </w:r>
      <w:r>
        <w:rPr>
          <w:rFonts w:hint="eastAsia" w:ascii="宋体" w:hAnsi="宋体" w:cs="宋体"/>
          <w:color w:val="auto"/>
          <w:sz w:val="24"/>
          <w:highlight w:val="none"/>
        </w:rPr>
        <w:t xml:space="preserve">）。 </w:t>
      </w:r>
    </w:p>
    <w:p w14:paraId="05F9677A">
      <w:pPr>
        <w:widowControl/>
        <w:spacing w:line="360" w:lineRule="auto"/>
        <w:ind w:firstLine="480"/>
        <w:jc w:val="left"/>
        <w:rPr>
          <w:rFonts w:ascii="宋体" w:hAnsi="宋体" w:cs="宋体"/>
          <w:color w:val="auto"/>
          <w:sz w:val="24"/>
          <w:highlight w:val="none"/>
        </w:rPr>
      </w:pPr>
    </w:p>
    <w:p w14:paraId="6BAFFCC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要求合同分包的，提供分包意向协议（</w:t>
      </w:r>
      <w:r>
        <w:rPr>
          <w:rFonts w:hint="eastAsia" w:ascii="宋体" w:hAnsi="宋体" w:cs="宋体"/>
          <w:color w:val="auto"/>
          <w:sz w:val="24"/>
          <w:highlight w:val="none"/>
          <w:lang w:val="en-US" w:eastAsia="zh-CN"/>
        </w:rPr>
        <w:t>格式详见附件</w:t>
      </w:r>
      <w:r>
        <w:rPr>
          <w:rFonts w:hint="eastAsia" w:ascii="宋体" w:hAnsi="宋体" w:cs="宋体"/>
          <w:color w:val="auto"/>
          <w:sz w:val="24"/>
          <w:highlight w:val="none"/>
        </w:rPr>
        <w:t>）和中小企业声明函（</w:t>
      </w:r>
      <w:r>
        <w:rPr>
          <w:rFonts w:hint="eastAsia" w:ascii="宋体" w:hAnsi="宋体" w:cs="宋体"/>
          <w:color w:val="auto"/>
          <w:sz w:val="24"/>
          <w:highlight w:val="none"/>
          <w:lang w:val="en-US" w:eastAsia="zh-CN"/>
        </w:rPr>
        <w:t>格式详见附件</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83810CD">
      <w:pPr>
        <w:widowControl/>
        <w:spacing w:line="360" w:lineRule="auto"/>
        <w:ind w:left="150"/>
        <w:jc w:val="center"/>
        <w:rPr>
          <w:rFonts w:ascii="宋体" w:hAnsi="宋体" w:cs="宋体"/>
          <w:b/>
          <w:color w:val="auto"/>
          <w:kern w:val="0"/>
          <w:sz w:val="32"/>
          <w:szCs w:val="32"/>
          <w:highlight w:val="none"/>
        </w:rPr>
      </w:pPr>
    </w:p>
    <w:p w14:paraId="53C86EE6">
      <w:pPr>
        <w:widowControl/>
        <w:spacing w:line="360" w:lineRule="auto"/>
        <w:ind w:left="150"/>
        <w:jc w:val="center"/>
        <w:rPr>
          <w:rFonts w:hint="eastAsia" w:ascii="宋体" w:hAnsi="宋体" w:cs="宋体"/>
          <w:b/>
          <w:color w:val="auto"/>
          <w:kern w:val="0"/>
          <w:sz w:val="32"/>
          <w:szCs w:val="32"/>
          <w:highlight w:val="none"/>
          <w:lang w:val="en-US" w:eastAsia="zh-CN"/>
        </w:rPr>
      </w:pPr>
    </w:p>
    <w:p w14:paraId="716A424E">
      <w:pPr>
        <w:widowControl/>
        <w:spacing w:line="360" w:lineRule="auto"/>
        <w:ind w:left="150"/>
        <w:jc w:val="center"/>
        <w:rPr>
          <w:rFonts w:hint="eastAsia" w:ascii="宋体" w:hAnsi="宋体" w:cs="宋体"/>
          <w:b/>
          <w:color w:val="auto"/>
          <w:kern w:val="0"/>
          <w:sz w:val="32"/>
          <w:szCs w:val="32"/>
          <w:highlight w:val="none"/>
          <w:lang w:val="en-US" w:eastAsia="zh-CN"/>
        </w:rPr>
      </w:pPr>
    </w:p>
    <w:p w14:paraId="1A6306F7">
      <w:pPr>
        <w:widowControl/>
        <w:spacing w:line="360" w:lineRule="auto"/>
        <w:ind w:left="150"/>
        <w:jc w:val="center"/>
        <w:rPr>
          <w:rFonts w:hint="eastAsia" w:ascii="宋体" w:hAnsi="宋体" w:cs="宋体"/>
          <w:b/>
          <w:color w:val="auto"/>
          <w:kern w:val="0"/>
          <w:sz w:val="32"/>
          <w:szCs w:val="32"/>
          <w:highlight w:val="none"/>
          <w:lang w:val="en-US" w:eastAsia="zh-CN"/>
        </w:rPr>
      </w:pPr>
    </w:p>
    <w:p w14:paraId="2CD69CD1">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、本项目的特定资格要求</w:t>
      </w:r>
    </w:p>
    <w:p w14:paraId="2E62D76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14:paraId="063E4D5B">
      <w:pPr>
        <w:rPr>
          <w:rFonts w:ascii="宋体" w:hAnsi="宋体" w:cs="宋体"/>
          <w:color w:val="auto"/>
          <w:highlight w:val="none"/>
        </w:rPr>
      </w:pPr>
    </w:p>
    <w:p w14:paraId="312317AA">
      <w:pPr>
        <w:snapToGrid w:val="0"/>
        <w:spacing w:line="360" w:lineRule="auto"/>
        <w:ind w:right="480"/>
        <w:jc w:val="center"/>
        <w:rPr>
          <w:rFonts w:ascii="宋体" w:hAnsi="宋体" w:cs="宋体"/>
          <w:b/>
          <w:color w:val="auto"/>
          <w:kern w:val="0"/>
          <w:sz w:val="32"/>
          <w:szCs w:val="32"/>
          <w:highlight w:val="none"/>
        </w:rPr>
        <w:sectPr>
          <w:pgSz w:w="11905" w:h="16838"/>
          <w:pgMar w:top="1440" w:right="1440" w:bottom="1440" w:left="1440"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7D206D12">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DB2E938">
      <w:pPr>
        <w:snapToGrid w:val="0"/>
        <w:jc w:val="center"/>
        <w:rPr>
          <w:rFonts w:hint="eastAsia" w:ascii="宋体" w:hAnsi="宋体" w:cs="宋体"/>
          <w:b/>
          <w:bCs/>
          <w:color w:val="auto"/>
          <w:sz w:val="32"/>
          <w:szCs w:val="32"/>
          <w:highlight w:val="none"/>
          <w:lang w:val="zh-CN"/>
        </w:rPr>
      </w:pPr>
    </w:p>
    <w:p w14:paraId="5B1A570D">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236C10EC">
      <w:pPr>
        <w:snapToGrid w:val="0"/>
        <w:spacing w:line="360" w:lineRule="auto"/>
        <w:rPr>
          <w:rFonts w:hint="eastAsia" w:ascii="宋体" w:hAnsi="宋体" w:cs="宋体"/>
          <w:color w:val="auto"/>
          <w:sz w:val="24"/>
          <w:highlight w:val="none"/>
          <w:lang w:eastAsia="zh-CN"/>
        </w:rPr>
      </w:pPr>
    </w:p>
    <w:p w14:paraId="28B45AD4">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宁波市公安局交通管理支队</w:t>
      </w:r>
      <w:r>
        <w:rPr>
          <w:rFonts w:hint="eastAsia" w:ascii="宋体" w:hAnsi="宋体" w:cs="宋体"/>
          <w:color w:val="auto"/>
          <w:sz w:val="24"/>
          <w:highlight w:val="none"/>
        </w:rPr>
        <w:t>、（采购代理机构）：</w:t>
      </w:r>
    </w:p>
    <w:p w14:paraId="35A1B73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宁波市公安局交通管理支队海曙大队高桥中队修缮项目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CBNB-20252346GGC</w:t>
      </w:r>
      <w:r>
        <w:rPr>
          <w:rFonts w:hint="eastAsia" w:ascii="宋体" w:hAnsi="宋体" w:cs="宋体"/>
          <w:color w:val="auto"/>
          <w:sz w:val="24"/>
          <w:highlight w:val="none"/>
        </w:rPr>
        <w:t>】采购的有关活动，并对此项目提交响应文件及报价。为此：</w:t>
      </w:r>
    </w:p>
    <w:p w14:paraId="6A7E3A6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14D26F1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565ADDE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AB3DDAA">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70B589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425494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文件的全部要求。对</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文件中材料的真实性、合法性负责，积极配合采购人、采购代理机构复核</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文件中的资料。</w:t>
      </w:r>
    </w:p>
    <w:p w14:paraId="6EC979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178D50F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1C11D79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45A3D4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0795DAC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66CA21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027FD0C">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6CA232A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3A4A9A3">
      <w:pPr>
        <w:snapToGrid w:val="0"/>
        <w:spacing w:line="360" w:lineRule="auto"/>
        <w:ind w:left="420" w:leftChars="200" w:firstLine="4200" w:firstLineChars="1750"/>
        <w:rPr>
          <w:rFonts w:ascii="宋体" w:hAnsi="宋体" w:cs="宋体"/>
          <w:color w:val="auto"/>
          <w:kern w:val="0"/>
          <w:sz w:val="24"/>
          <w:highlight w:val="none"/>
          <w:u w:val="single"/>
        </w:rPr>
      </w:pPr>
    </w:p>
    <w:p w14:paraId="2B55F711">
      <w:pPr>
        <w:snapToGrid/>
        <w:spacing w:line="360" w:lineRule="auto"/>
        <w:ind w:right="420"/>
        <w:jc w:val="left"/>
        <w:rPr>
          <w:rFonts w:ascii="宋体" w:hAnsi="宋体" w:cs="宋体"/>
          <w:b/>
          <w:color w:val="auto"/>
          <w:kern w:val="0"/>
          <w:sz w:val="32"/>
          <w:szCs w:val="32"/>
          <w:highlight w:val="none"/>
        </w:rPr>
      </w:pPr>
      <w:r>
        <w:rPr>
          <w:rFonts w:hint="eastAsia" w:ascii="宋体" w:hAnsi="宋体" w:cs="宋体"/>
          <w:color w:val="auto"/>
          <w:sz w:val="24"/>
          <w:highlight w:val="none"/>
        </w:rPr>
        <w:t>注：按本格式和要求提供。</w:t>
      </w:r>
    </w:p>
    <w:p w14:paraId="26449DA0">
      <w:pPr>
        <w:snapToGrid w:val="0"/>
        <w:spacing w:line="360" w:lineRule="auto"/>
        <w:rPr>
          <w:rFonts w:ascii="宋体" w:hAnsi="宋体" w:cs="宋体"/>
          <w:color w:val="auto"/>
          <w:sz w:val="24"/>
          <w:highlight w:val="none"/>
        </w:rPr>
      </w:pPr>
    </w:p>
    <w:p w14:paraId="34D97E3C">
      <w:pPr>
        <w:jc w:val="center"/>
        <w:rPr>
          <w:rFonts w:ascii="宋体" w:hAnsi="宋体" w:cs="宋体"/>
          <w:b/>
          <w:color w:val="auto"/>
          <w:kern w:val="0"/>
          <w:sz w:val="32"/>
          <w:szCs w:val="32"/>
          <w:highlight w:val="none"/>
        </w:rPr>
      </w:pPr>
    </w:p>
    <w:p w14:paraId="36880C8E">
      <w:pPr>
        <w:jc w:val="center"/>
        <w:rPr>
          <w:rFonts w:ascii="宋体" w:hAnsi="宋体" w:cs="宋体"/>
          <w:b/>
          <w:color w:val="auto"/>
          <w:kern w:val="0"/>
          <w:sz w:val="32"/>
          <w:szCs w:val="32"/>
          <w:highlight w:val="none"/>
        </w:rPr>
        <w:sectPr>
          <w:pgSz w:w="11905" w:h="16838"/>
          <w:pgMar w:top="1440" w:right="1440" w:bottom="1440" w:left="1440"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473B4D2">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6B4484E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A479D30">
      <w:pPr>
        <w:snapToGrid w:val="0"/>
        <w:jc w:val="cente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4062058F">
      <w:pPr>
        <w:pStyle w:val="28"/>
        <w:rPr>
          <w:color w:val="auto"/>
          <w:highlight w:val="none"/>
          <w:lang w:val="zh-CN"/>
        </w:rPr>
      </w:pPr>
    </w:p>
    <w:p w14:paraId="7AF622D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宁波市公安局交通管理支队</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385EAC2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宁波市公安局交通管理支队海曙大队高桥中队修缮项目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CBNB-20252346GGC</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1DA2E7C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A39FA0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11EED9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7B4B6BB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41384216">
      <w:pPr>
        <w:snapToGrid w:val="0"/>
        <w:spacing w:line="360" w:lineRule="auto"/>
        <w:rPr>
          <w:rFonts w:ascii="宋体" w:hAnsi="宋体" w:cs="宋体"/>
          <w:color w:val="auto"/>
          <w:sz w:val="24"/>
          <w:highlight w:val="none"/>
        </w:rPr>
      </w:pPr>
    </w:p>
    <w:p w14:paraId="76A801D4">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45826206">
      <w:pPr>
        <w:snapToGrid w:val="0"/>
        <w:spacing w:line="360" w:lineRule="auto"/>
        <w:rPr>
          <w:rFonts w:hint="eastAsia" w:ascii="宋体" w:hAnsi="宋体" w:cs="宋体"/>
          <w:color w:val="auto"/>
          <w:sz w:val="24"/>
          <w:highlight w:val="none"/>
          <w:lang w:eastAsia="zh-CN"/>
        </w:rPr>
      </w:pPr>
    </w:p>
    <w:p w14:paraId="327CE6F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宁波市公安局交通管理支队</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4B93008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宁波市公安局交通管理支队海曙大队高桥中队修缮项目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CBNB-20252346GGC</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47BAEB2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48C2FF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52A515B">
      <w:pPr>
        <w:jc w:val="center"/>
        <w:rPr>
          <w:rFonts w:ascii="宋体" w:hAnsi="宋体" w:cs="宋体"/>
          <w:b/>
          <w:color w:val="auto"/>
          <w:kern w:val="0"/>
          <w:sz w:val="32"/>
          <w:szCs w:val="32"/>
          <w:highlight w:val="none"/>
        </w:rPr>
      </w:pPr>
    </w:p>
    <w:p w14:paraId="5B687F3F">
      <w:pPr>
        <w:jc w:val="center"/>
        <w:rPr>
          <w:rFonts w:ascii="宋体" w:hAnsi="宋体" w:cs="宋体"/>
          <w:b/>
          <w:color w:val="auto"/>
          <w:kern w:val="0"/>
          <w:sz w:val="32"/>
          <w:szCs w:val="32"/>
          <w:highlight w:val="none"/>
        </w:rPr>
      </w:pPr>
    </w:p>
    <w:p w14:paraId="00990DAA">
      <w:pPr>
        <w:rPr>
          <w:rFonts w:ascii="宋体" w:hAnsi="宋体" w:cs="宋体"/>
          <w:color w:val="auto"/>
          <w:highlight w:val="none"/>
        </w:rPr>
      </w:pPr>
    </w:p>
    <w:p w14:paraId="7CF8B32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872B4E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9BB0BE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386286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0124689">
      <w:pPr>
        <w:snapToGrid w:val="0"/>
        <w:jc w:val="center"/>
        <w:rPr>
          <w:rFonts w:hint="eastAsia" w:ascii="宋体" w:hAnsi="宋体" w:cs="宋体"/>
          <w:b/>
          <w:bCs/>
          <w:color w:val="auto"/>
          <w:sz w:val="32"/>
          <w:szCs w:val="32"/>
          <w:highlight w:val="none"/>
          <w:lang w:val="zh-CN"/>
        </w:rPr>
        <w:sectPr>
          <w:pgSz w:w="11905" w:h="16838"/>
          <w:pgMar w:top="1440" w:right="1440" w:bottom="1440" w:left="1440"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1618903B">
      <w:pPr>
        <w:snapToGrid w:val="0"/>
        <w:jc w:val="center"/>
        <w:rPr>
          <w:rFonts w:hint="eastAsia" w:ascii="宋体" w:hAnsi="宋体" w:cs="宋体"/>
          <w:b/>
          <w:bCs/>
          <w:color w:val="auto"/>
          <w:sz w:val="32"/>
          <w:szCs w:val="32"/>
          <w:highlight w:val="none"/>
          <w:lang w:val="zh-CN"/>
        </w:rPr>
      </w:pPr>
    </w:p>
    <w:p w14:paraId="4C17D097">
      <w:pPr>
        <w:snapToGrid w:val="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w:t>
      </w:r>
    </w:p>
    <w:p w14:paraId="6856FAD7">
      <w:pPr>
        <w:snapToGrid w:val="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（适用于法定代表人、单位负责人或者自然人本人代表供应商参加响应）</w:t>
      </w:r>
    </w:p>
    <w:p w14:paraId="0D0DB872">
      <w:pPr>
        <w:pStyle w:val="152"/>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759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FF55DEB">
            <w:pPr>
              <w:pStyle w:val="152"/>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F60016C">
            <w:pPr>
              <w:pStyle w:val="152"/>
              <w:adjustRightInd w:val="0"/>
              <w:spacing w:line="360" w:lineRule="auto"/>
              <w:rPr>
                <w:rFonts w:hAnsi="宋体" w:cs="宋体"/>
                <w:bCs/>
                <w:color w:val="auto"/>
                <w:sz w:val="24"/>
                <w:highlight w:val="none"/>
              </w:rPr>
            </w:pPr>
          </w:p>
        </w:tc>
      </w:tr>
    </w:tbl>
    <w:p w14:paraId="0932D90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D9727B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59B191D2">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C5C7F8B">
      <w:pPr>
        <w:jc w:val="center"/>
        <w:rPr>
          <w:rFonts w:ascii="宋体" w:hAnsi="宋体" w:cs="宋体"/>
          <w:b/>
          <w:color w:val="auto"/>
          <w:kern w:val="0"/>
          <w:sz w:val="32"/>
          <w:szCs w:val="32"/>
          <w:highlight w:val="none"/>
        </w:rPr>
      </w:pPr>
    </w:p>
    <w:p w14:paraId="439BE0A6">
      <w:pPr>
        <w:jc w:val="center"/>
        <w:rPr>
          <w:rFonts w:ascii="宋体" w:hAnsi="宋体" w:cs="宋体"/>
          <w:b/>
          <w:color w:val="auto"/>
          <w:kern w:val="0"/>
          <w:sz w:val="32"/>
          <w:szCs w:val="32"/>
          <w:highlight w:val="none"/>
        </w:rPr>
      </w:pPr>
    </w:p>
    <w:p w14:paraId="5A907F62">
      <w:pPr>
        <w:jc w:val="center"/>
        <w:rPr>
          <w:rFonts w:ascii="宋体" w:hAnsi="宋体" w:cs="宋体"/>
          <w:b/>
          <w:color w:val="auto"/>
          <w:kern w:val="0"/>
          <w:sz w:val="32"/>
          <w:szCs w:val="32"/>
          <w:highlight w:val="none"/>
        </w:rPr>
      </w:pPr>
    </w:p>
    <w:p w14:paraId="019CDF34">
      <w:pPr>
        <w:jc w:val="center"/>
        <w:rPr>
          <w:rFonts w:ascii="宋体" w:hAnsi="宋体" w:cs="宋体"/>
          <w:b/>
          <w:color w:val="auto"/>
          <w:kern w:val="0"/>
          <w:sz w:val="32"/>
          <w:szCs w:val="32"/>
          <w:highlight w:val="none"/>
        </w:rPr>
      </w:pPr>
    </w:p>
    <w:p w14:paraId="0C2D3C7F">
      <w:pPr>
        <w:jc w:val="center"/>
        <w:rPr>
          <w:rFonts w:ascii="宋体" w:hAnsi="宋体" w:cs="宋体"/>
          <w:b/>
          <w:color w:val="auto"/>
          <w:kern w:val="0"/>
          <w:sz w:val="32"/>
          <w:szCs w:val="32"/>
          <w:highlight w:val="none"/>
        </w:rPr>
      </w:pPr>
    </w:p>
    <w:p w14:paraId="6E76BE3B">
      <w:pPr>
        <w:jc w:val="center"/>
        <w:rPr>
          <w:rFonts w:ascii="宋体" w:hAnsi="宋体" w:cs="宋体"/>
          <w:b/>
          <w:color w:val="auto"/>
          <w:kern w:val="0"/>
          <w:sz w:val="32"/>
          <w:szCs w:val="32"/>
          <w:highlight w:val="none"/>
        </w:rPr>
      </w:pPr>
    </w:p>
    <w:p w14:paraId="32D3CCB5">
      <w:pPr>
        <w:jc w:val="center"/>
        <w:rPr>
          <w:rFonts w:ascii="宋体" w:hAnsi="宋体" w:cs="宋体"/>
          <w:b/>
          <w:color w:val="auto"/>
          <w:kern w:val="0"/>
          <w:sz w:val="32"/>
          <w:szCs w:val="32"/>
          <w:highlight w:val="none"/>
        </w:rPr>
      </w:pPr>
    </w:p>
    <w:p w14:paraId="245E0A67">
      <w:pPr>
        <w:jc w:val="center"/>
        <w:rPr>
          <w:rFonts w:ascii="宋体" w:hAnsi="宋体" w:cs="宋体"/>
          <w:b/>
          <w:color w:val="auto"/>
          <w:kern w:val="0"/>
          <w:sz w:val="32"/>
          <w:szCs w:val="32"/>
          <w:highlight w:val="none"/>
        </w:rPr>
      </w:pPr>
    </w:p>
    <w:p w14:paraId="1D1B07D3">
      <w:pPr>
        <w:jc w:val="center"/>
        <w:rPr>
          <w:rFonts w:ascii="宋体" w:hAnsi="宋体" w:cs="宋体"/>
          <w:b/>
          <w:color w:val="auto"/>
          <w:kern w:val="0"/>
          <w:sz w:val="32"/>
          <w:szCs w:val="32"/>
          <w:highlight w:val="none"/>
        </w:rPr>
      </w:pPr>
    </w:p>
    <w:p w14:paraId="7F7374D7">
      <w:pPr>
        <w:jc w:val="center"/>
        <w:rPr>
          <w:rFonts w:ascii="宋体" w:hAnsi="宋体" w:cs="宋体"/>
          <w:b/>
          <w:color w:val="auto"/>
          <w:kern w:val="0"/>
          <w:sz w:val="32"/>
          <w:szCs w:val="32"/>
          <w:highlight w:val="none"/>
        </w:rPr>
      </w:pPr>
    </w:p>
    <w:p w14:paraId="41ED5903">
      <w:pPr>
        <w:snapToGrid w:val="0"/>
        <w:spacing w:line="360" w:lineRule="auto"/>
        <w:ind w:right="480"/>
        <w:rPr>
          <w:rFonts w:ascii="宋体" w:hAnsi="宋体" w:cs="宋体"/>
          <w:b/>
          <w:color w:val="auto"/>
          <w:kern w:val="0"/>
          <w:sz w:val="32"/>
          <w:szCs w:val="32"/>
          <w:highlight w:val="none"/>
        </w:rPr>
        <w:sectPr>
          <w:pgSz w:w="11905" w:h="16838"/>
          <w:pgMar w:top="1440" w:right="1440" w:bottom="1440" w:left="1440"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4A4250C9">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5018D190">
      <w:pPr>
        <w:widowControl/>
        <w:spacing w:line="360" w:lineRule="auto"/>
        <w:ind w:firstLine="120" w:firstLineChars="50"/>
        <w:jc w:val="left"/>
        <w:rPr>
          <w:rFonts w:hint="eastAsia" w:ascii="宋体" w:hAnsi="宋体" w:cs="宋体"/>
          <w:color w:val="auto"/>
          <w:sz w:val="24"/>
          <w:highlight w:val="none"/>
        </w:rPr>
      </w:pPr>
      <w:bookmarkStart w:id="1077" w:name="_Hlk101169080"/>
    </w:p>
    <w:p w14:paraId="24A6BCEA">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w:t>
      </w:r>
      <w:r>
        <w:rPr>
          <w:rFonts w:hint="eastAsia" w:ascii="宋体" w:hAnsi="宋体" w:cs="宋体"/>
          <w:b/>
          <w:color w:val="auto"/>
          <w:sz w:val="24"/>
          <w:highlight w:val="none"/>
          <w:lang w:val="en-US" w:eastAsia="zh-CN"/>
        </w:rPr>
        <w:t>格式详见附件</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1077"/>
    <w:p w14:paraId="13120D34">
      <w:pPr>
        <w:snapToGrid w:val="0"/>
        <w:spacing w:line="360" w:lineRule="auto"/>
        <w:rPr>
          <w:rFonts w:ascii="宋体" w:hAnsi="宋体" w:cs="宋体"/>
          <w:color w:val="auto"/>
          <w:kern w:val="0"/>
          <w:sz w:val="24"/>
          <w:highlight w:val="none"/>
        </w:rPr>
      </w:pPr>
    </w:p>
    <w:p w14:paraId="6B72B41B">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5325FB41">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112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229249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0804D5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D1C385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48657F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7F20EE2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0811C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A91E592">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2AD670EC">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61D7F5A6">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36A16C91">
            <w:pPr>
              <w:rPr>
                <w:rFonts w:ascii="宋体" w:hAnsi="宋体" w:cs="宋体"/>
                <w:color w:val="auto"/>
                <w:sz w:val="24"/>
                <w:highlight w:val="none"/>
              </w:rPr>
            </w:pPr>
            <w:r>
              <w:rPr>
                <w:rFonts w:hint="eastAsia" w:ascii="宋体" w:hAnsi="宋体" w:cs="宋体"/>
                <w:color w:val="auto"/>
                <w:sz w:val="24"/>
                <w:highlight w:val="none"/>
              </w:rPr>
              <w:t>见响应文件</w:t>
            </w:r>
          </w:p>
          <w:p w14:paraId="3BA0DBA2">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375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4F5D3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283E8DE0">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066C3BF">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14:paraId="3CF18031">
            <w:pPr>
              <w:rPr>
                <w:rFonts w:ascii="宋体" w:hAnsi="宋体" w:cs="宋体"/>
                <w:color w:val="auto"/>
                <w:sz w:val="24"/>
                <w:highlight w:val="none"/>
              </w:rPr>
            </w:pPr>
            <w:r>
              <w:rPr>
                <w:rFonts w:hint="eastAsia" w:ascii="宋体" w:hAnsi="宋体" w:cs="宋体"/>
                <w:color w:val="auto"/>
                <w:sz w:val="24"/>
                <w:highlight w:val="none"/>
              </w:rPr>
              <w:t>见响应文件</w:t>
            </w:r>
          </w:p>
          <w:p w14:paraId="2F9E5813">
            <w:pPr>
              <w:pStyle w:val="2"/>
              <w:jc w:val="both"/>
              <w:rPr>
                <w:rFonts w:ascii="宋体" w:hAnsi="宋体" w:eastAsia="宋体" w:cs="宋体"/>
                <w:color w:val="auto"/>
                <w:highlight w:val="none"/>
                <w:lang w:val="en-US"/>
              </w:rPr>
            </w:pPr>
            <w:bookmarkStart w:id="1078" w:name="_Toc9233"/>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bookmarkEnd w:id="1078"/>
          </w:p>
        </w:tc>
      </w:tr>
      <w:tr w14:paraId="11D4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183D112">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747BA416">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3CD57334">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5BFF13E6">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439B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BA5C54">
            <w:pPr>
              <w:jc w:val="center"/>
              <w:rPr>
                <w:rFonts w:ascii="宋体" w:hAnsi="宋体" w:cs="宋体"/>
                <w:color w:val="auto"/>
                <w:sz w:val="24"/>
                <w:highlight w:val="none"/>
              </w:rPr>
            </w:pPr>
            <w:r>
              <w:rPr>
                <w:rFonts w:hint="eastAsia" w:ascii="宋体" w:hAnsi="宋体" w:cs="宋体"/>
                <w:color w:val="auto"/>
                <w:sz w:val="24"/>
                <w:highlight w:val="none"/>
              </w:rPr>
              <w:t>4</w:t>
            </w:r>
          </w:p>
        </w:tc>
        <w:tc>
          <w:tcPr>
            <w:tcW w:w="4991" w:type="dxa"/>
            <w:vAlign w:val="center"/>
          </w:tcPr>
          <w:p w14:paraId="50B874FD">
            <w:pPr>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14:paraId="5DB09401">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7CF48C06">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5C64D0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12571DD">
      <w:pPr>
        <w:jc w:val="center"/>
        <w:rPr>
          <w:rFonts w:ascii="宋体" w:hAnsi="宋体" w:cs="宋体"/>
          <w:b/>
          <w:color w:val="auto"/>
          <w:kern w:val="0"/>
          <w:sz w:val="32"/>
          <w:szCs w:val="32"/>
          <w:highlight w:val="none"/>
        </w:rPr>
      </w:pPr>
    </w:p>
    <w:p w14:paraId="3FB1DEA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16AA41B">
      <w:pPr>
        <w:jc w:val="center"/>
        <w:rPr>
          <w:rFonts w:ascii="宋体" w:hAnsi="宋体" w:cs="宋体"/>
          <w:b/>
          <w:color w:val="auto"/>
          <w:kern w:val="0"/>
          <w:sz w:val="32"/>
          <w:szCs w:val="32"/>
          <w:highlight w:val="none"/>
        </w:rPr>
      </w:pPr>
    </w:p>
    <w:p w14:paraId="131A50C3">
      <w:pPr>
        <w:jc w:val="center"/>
        <w:rPr>
          <w:rFonts w:ascii="宋体" w:hAnsi="宋体" w:cs="宋体"/>
          <w:b/>
          <w:color w:val="auto"/>
          <w:kern w:val="0"/>
          <w:sz w:val="32"/>
          <w:szCs w:val="32"/>
          <w:highlight w:val="none"/>
        </w:rPr>
      </w:pPr>
    </w:p>
    <w:p w14:paraId="0915A0A0">
      <w:pPr>
        <w:jc w:val="center"/>
        <w:rPr>
          <w:rFonts w:ascii="宋体" w:hAnsi="宋体" w:cs="宋体"/>
          <w:b/>
          <w:color w:val="auto"/>
          <w:kern w:val="0"/>
          <w:sz w:val="32"/>
          <w:szCs w:val="32"/>
          <w:highlight w:val="none"/>
        </w:rPr>
      </w:pPr>
    </w:p>
    <w:p w14:paraId="4D79B6F4">
      <w:pPr>
        <w:jc w:val="center"/>
        <w:rPr>
          <w:rFonts w:ascii="宋体" w:hAnsi="宋体" w:cs="宋体"/>
          <w:b/>
          <w:color w:val="auto"/>
          <w:kern w:val="0"/>
          <w:sz w:val="32"/>
          <w:szCs w:val="32"/>
          <w:highlight w:val="none"/>
        </w:rPr>
      </w:pPr>
    </w:p>
    <w:p w14:paraId="73E65EC3">
      <w:pPr>
        <w:jc w:val="center"/>
        <w:rPr>
          <w:rFonts w:ascii="宋体" w:hAnsi="宋体" w:cs="宋体"/>
          <w:b/>
          <w:color w:val="auto"/>
          <w:kern w:val="0"/>
          <w:sz w:val="32"/>
          <w:szCs w:val="32"/>
          <w:highlight w:val="none"/>
        </w:rPr>
      </w:pPr>
    </w:p>
    <w:p w14:paraId="48B5D284">
      <w:pPr>
        <w:jc w:val="center"/>
        <w:rPr>
          <w:rFonts w:ascii="宋体" w:hAnsi="宋体" w:cs="宋体"/>
          <w:b/>
          <w:color w:val="auto"/>
          <w:kern w:val="0"/>
          <w:sz w:val="32"/>
          <w:szCs w:val="32"/>
          <w:highlight w:val="none"/>
        </w:rPr>
      </w:pPr>
    </w:p>
    <w:p w14:paraId="5AD8938F">
      <w:pPr>
        <w:jc w:val="center"/>
        <w:rPr>
          <w:rFonts w:ascii="宋体" w:hAnsi="宋体" w:cs="宋体"/>
          <w:b/>
          <w:color w:val="auto"/>
          <w:kern w:val="0"/>
          <w:sz w:val="32"/>
          <w:szCs w:val="32"/>
          <w:highlight w:val="none"/>
        </w:rPr>
      </w:pPr>
    </w:p>
    <w:p w14:paraId="4EFDC431">
      <w:pPr>
        <w:jc w:val="center"/>
        <w:rPr>
          <w:rFonts w:ascii="宋体" w:hAnsi="宋体" w:cs="宋体"/>
          <w:b/>
          <w:color w:val="auto"/>
          <w:kern w:val="0"/>
          <w:sz w:val="32"/>
          <w:szCs w:val="32"/>
          <w:highlight w:val="none"/>
        </w:rPr>
      </w:pPr>
    </w:p>
    <w:p w14:paraId="1066FAE0">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483FCEB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p w14:paraId="7CC33867">
      <w:pPr>
        <w:jc w:val="center"/>
        <w:rPr>
          <w:rFonts w:ascii="宋体" w:hAnsi="宋体" w:cs="宋体"/>
          <w:b/>
          <w:color w:val="auto"/>
          <w:kern w:val="0"/>
          <w:sz w:val="32"/>
          <w:szCs w:val="32"/>
          <w:highlight w:val="none"/>
        </w:rPr>
      </w:pPr>
    </w:p>
    <w:p w14:paraId="7C06467E">
      <w:pPr>
        <w:jc w:val="center"/>
        <w:rPr>
          <w:rFonts w:ascii="宋体" w:hAnsi="宋体" w:cs="宋体"/>
          <w:b/>
          <w:color w:val="auto"/>
          <w:kern w:val="0"/>
          <w:sz w:val="32"/>
          <w:szCs w:val="32"/>
          <w:highlight w:val="none"/>
        </w:rPr>
      </w:pPr>
    </w:p>
    <w:p w14:paraId="6F62B8AA">
      <w:pPr>
        <w:jc w:val="center"/>
        <w:rPr>
          <w:rFonts w:ascii="宋体" w:hAnsi="宋体" w:cs="宋体"/>
          <w:b/>
          <w:color w:val="auto"/>
          <w:kern w:val="0"/>
          <w:sz w:val="32"/>
          <w:szCs w:val="32"/>
          <w:highlight w:val="none"/>
        </w:rPr>
      </w:pPr>
    </w:p>
    <w:p w14:paraId="112E5B8A">
      <w:pPr>
        <w:jc w:val="center"/>
        <w:rPr>
          <w:rFonts w:ascii="宋体" w:hAnsi="宋体" w:cs="宋体"/>
          <w:b/>
          <w:color w:val="auto"/>
          <w:kern w:val="0"/>
          <w:sz w:val="32"/>
          <w:szCs w:val="32"/>
          <w:highlight w:val="none"/>
        </w:rPr>
      </w:pPr>
    </w:p>
    <w:p w14:paraId="62E1E0AC">
      <w:pPr>
        <w:jc w:val="center"/>
        <w:rPr>
          <w:rFonts w:ascii="宋体" w:hAnsi="宋体" w:cs="宋体"/>
          <w:b/>
          <w:color w:val="auto"/>
          <w:kern w:val="0"/>
          <w:sz w:val="32"/>
          <w:szCs w:val="32"/>
          <w:highlight w:val="none"/>
        </w:rPr>
      </w:pPr>
    </w:p>
    <w:p w14:paraId="2066CCF1">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9A63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38FCB9">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2F93220">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12B11615">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7C87EE18">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C4F0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253CE0">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3BB5E1F1">
            <w:pPr>
              <w:jc w:val="center"/>
              <w:rPr>
                <w:rFonts w:ascii="宋体" w:hAnsi="宋体" w:cs="宋体"/>
                <w:b/>
                <w:color w:val="auto"/>
                <w:kern w:val="0"/>
                <w:sz w:val="32"/>
                <w:szCs w:val="32"/>
                <w:highlight w:val="none"/>
              </w:rPr>
            </w:pPr>
          </w:p>
        </w:tc>
        <w:tc>
          <w:tcPr>
            <w:tcW w:w="3546" w:type="dxa"/>
          </w:tcPr>
          <w:p w14:paraId="1DB6307C">
            <w:pPr>
              <w:jc w:val="center"/>
              <w:rPr>
                <w:rFonts w:ascii="宋体" w:hAnsi="宋体" w:cs="宋体"/>
                <w:b/>
                <w:color w:val="auto"/>
                <w:kern w:val="0"/>
                <w:sz w:val="32"/>
                <w:szCs w:val="32"/>
                <w:highlight w:val="none"/>
              </w:rPr>
            </w:pPr>
          </w:p>
        </w:tc>
        <w:tc>
          <w:tcPr>
            <w:tcW w:w="1276" w:type="dxa"/>
          </w:tcPr>
          <w:p w14:paraId="027CEDF0">
            <w:pPr>
              <w:jc w:val="center"/>
              <w:rPr>
                <w:rFonts w:ascii="宋体" w:hAnsi="宋体" w:cs="宋体"/>
                <w:b/>
                <w:color w:val="auto"/>
                <w:kern w:val="0"/>
                <w:sz w:val="32"/>
                <w:szCs w:val="32"/>
                <w:highlight w:val="none"/>
              </w:rPr>
            </w:pPr>
          </w:p>
        </w:tc>
      </w:tr>
      <w:tr w14:paraId="1A036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7D9033">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0548E32F">
            <w:pPr>
              <w:jc w:val="center"/>
              <w:rPr>
                <w:rFonts w:ascii="宋体" w:hAnsi="宋体" w:cs="宋体"/>
                <w:b/>
                <w:color w:val="auto"/>
                <w:kern w:val="0"/>
                <w:sz w:val="32"/>
                <w:szCs w:val="32"/>
                <w:highlight w:val="none"/>
              </w:rPr>
            </w:pPr>
          </w:p>
        </w:tc>
        <w:tc>
          <w:tcPr>
            <w:tcW w:w="3546" w:type="dxa"/>
          </w:tcPr>
          <w:p w14:paraId="3AAC813D">
            <w:pPr>
              <w:jc w:val="center"/>
              <w:rPr>
                <w:rFonts w:ascii="宋体" w:hAnsi="宋体" w:cs="宋体"/>
                <w:b/>
                <w:color w:val="auto"/>
                <w:kern w:val="0"/>
                <w:sz w:val="32"/>
                <w:szCs w:val="32"/>
                <w:highlight w:val="none"/>
              </w:rPr>
            </w:pPr>
          </w:p>
        </w:tc>
        <w:tc>
          <w:tcPr>
            <w:tcW w:w="1276" w:type="dxa"/>
          </w:tcPr>
          <w:p w14:paraId="1ED411D6">
            <w:pPr>
              <w:jc w:val="center"/>
              <w:rPr>
                <w:rFonts w:ascii="宋体" w:hAnsi="宋体" w:cs="宋体"/>
                <w:b/>
                <w:color w:val="auto"/>
                <w:kern w:val="0"/>
                <w:sz w:val="32"/>
                <w:szCs w:val="32"/>
                <w:highlight w:val="none"/>
              </w:rPr>
            </w:pPr>
          </w:p>
        </w:tc>
      </w:tr>
      <w:tr w14:paraId="3D84C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D99B43">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3E64C051">
            <w:pPr>
              <w:jc w:val="center"/>
              <w:rPr>
                <w:rFonts w:ascii="宋体" w:hAnsi="宋体" w:cs="宋体"/>
                <w:b/>
                <w:color w:val="auto"/>
                <w:kern w:val="0"/>
                <w:sz w:val="32"/>
                <w:szCs w:val="32"/>
                <w:highlight w:val="none"/>
              </w:rPr>
            </w:pPr>
          </w:p>
        </w:tc>
        <w:tc>
          <w:tcPr>
            <w:tcW w:w="3546" w:type="dxa"/>
          </w:tcPr>
          <w:p w14:paraId="4B1B75B7">
            <w:pPr>
              <w:jc w:val="center"/>
              <w:rPr>
                <w:rFonts w:ascii="宋体" w:hAnsi="宋体" w:cs="宋体"/>
                <w:b/>
                <w:color w:val="auto"/>
                <w:kern w:val="0"/>
                <w:sz w:val="32"/>
                <w:szCs w:val="32"/>
                <w:highlight w:val="none"/>
              </w:rPr>
            </w:pPr>
          </w:p>
        </w:tc>
        <w:tc>
          <w:tcPr>
            <w:tcW w:w="1276" w:type="dxa"/>
          </w:tcPr>
          <w:p w14:paraId="5620620D">
            <w:pPr>
              <w:jc w:val="center"/>
              <w:rPr>
                <w:rFonts w:ascii="宋体" w:hAnsi="宋体" w:cs="宋体"/>
                <w:b/>
                <w:color w:val="auto"/>
                <w:kern w:val="0"/>
                <w:sz w:val="32"/>
                <w:szCs w:val="32"/>
                <w:highlight w:val="none"/>
              </w:rPr>
            </w:pPr>
          </w:p>
        </w:tc>
      </w:tr>
    </w:tbl>
    <w:p w14:paraId="1A57F784">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106C5E2B">
      <w:pPr>
        <w:jc w:val="center"/>
        <w:rPr>
          <w:rFonts w:ascii="宋体" w:hAnsi="宋体" w:cs="宋体"/>
          <w:b/>
          <w:color w:val="auto"/>
          <w:kern w:val="0"/>
          <w:sz w:val="32"/>
          <w:szCs w:val="32"/>
          <w:highlight w:val="none"/>
        </w:rPr>
      </w:pPr>
    </w:p>
    <w:p w14:paraId="196E4CC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83939E0">
      <w:pPr>
        <w:ind w:firstLine="1911" w:firstLineChars="595"/>
        <w:rPr>
          <w:rFonts w:ascii="宋体" w:hAnsi="宋体" w:cs="宋体"/>
          <w:b/>
          <w:bCs/>
          <w:color w:val="auto"/>
          <w:sz w:val="32"/>
          <w:szCs w:val="32"/>
          <w:highlight w:val="none"/>
        </w:rPr>
        <w:sectPr>
          <w:footerReference r:id="rId14" w:type="first"/>
          <w:footerReference r:id="rId13" w:type="default"/>
          <w:pgSz w:w="11905" w:h="16838"/>
          <w:pgMar w:top="1440" w:right="1440" w:bottom="1440" w:left="1440"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6122700">
      <w:pPr>
        <w:snapToGrid w:val="0"/>
        <w:jc w:val="center"/>
        <w:rPr>
          <w:rFonts w:hint="eastAsia" w:ascii="宋体" w:hAnsi="宋体" w:cs="宋体"/>
          <w:b/>
          <w:bCs/>
          <w:color w:val="auto"/>
          <w:sz w:val="32"/>
          <w:szCs w:val="32"/>
          <w:highlight w:val="none"/>
        </w:rPr>
      </w:pPr>
      <w:bookmarkStart w:id="1079" w:name="_Toc15852046"/>
      <w:r>
        <w:rPr>
          <w:rFonts w:hint="eastAsia" w:ascii="宋体" w:hAnsi="宋体" w:cs="宋体"/>
          <w:b/>
          <w:bCs/>
          <w:color w:val="auto"/>
          <w:sz w:val="32"/>
          <w:szCs w:val="32"/>
          <w:highlight w:val="none"/>
          <w:lang w:val="en-US" w:eastAsia="zh-CN"/>
        </w:rPr>
        <w:t>七、</w:t>
      </w:r>
      <w:r>
        <w:rPr>
          <w:rFonts w:hint="eastAsia" w:ascii="宋体" w:hAnsi="宋体" w:cs="宋体"/>
          <w:b/>
          <w:bCs/>
          <w:color w:val="auto"/>
          <w:sz w:val="32"/>
          <w:szCs w:val="32"/>
          <w:highlight w:val="none"/>
        </w:rPr>
        <w:t>项目管理机构</w:t>
      </w:r>
      <w:bookmarkEnd w:id="1079"/>
    </w:p>
    <w:p w14:paraId="3C1B13D3">
      <w:pPr>
        <w:keepNext/>
        <w:keepLines/>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1）项目管理机构组成表</w:t>
      </w:r>
    </w:p>
    <w:p w14:paraId="01CA8CD3">
      <w:pPr>
        <w:keepNext/>
        <w:keepLines/>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项目管理机构组成表</w:t>
      </w:r>
    </w:p>
    <w:tbl>
      <w:tblPr>
        <w:tblStyle w:val="62"/>
        <w:tblW w:w="9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26"/>
        <w:gridCol w:w="889"/>
        <w:gridCol w:w="1451"/>
        <w:gridCol w:w="900"/>
        <w:gridCol w:w="1080"/>
        <w:gridCol w:w="1286"/>
        <w:gridCol w:w="1328"/>
        <w:gridCol w:w="1069"/>
      </w:tblGrid>
      <w:tr w14:paraId="77E77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14" w:type="dxa"/>
            <w:vMerge w:val="restart"/>
            <w:vAlign w:val="center"/>
          </w:tcPr>
          <w:p w14:paraId="19D856B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726" w:type="dxa"/>
            <w:vMerge w:val="restart"/>
            <w:vAlign w:val="center"/>
          </w:tcPr>
          <w:p w14:paraId="1CAFA3C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889" w:type="dxa"/>
            <w:vMerge w:val="restart"/>
            <w:vAlign w:val="center"/>
          </w:tcPr>
          <w:p w14:paraId="41E81D4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6045" w:type="dxa"/>
            <w:gridSpan w:val="5"/>
            <w:vAlign w:val="center"/>
          </w:tcPr>
          <w:p w14:paraId="67F7848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执业或职业资格证明</w:t>
            </w:r>
          </w:p>
        </w:tc>
        <w:tc>
          <w:tcPr>
            <w:tcW w:w="1069" w:type="dxa"/>
            <w:vMerge w:val="restart"/>
            <w:vAlign w:val="center"/>
          </w:tcPr>
          <w:p w14:paraId="294BDBB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11E05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14" w:type="dxa"/>
            <w:vMerge w:val="continue"/>
          </w:tcPr>
          <w:p w14:paraId="47E430AD">
            <w:pPr>
              <w:spacing w:line="360" w:lineRule="auto"/>
              <w:rPr>
                <w:rFonts w:hint="eastAsia" w:ascii="宋体" w:hAnsi="宋体" w:eastAsia="宋体" w:cs="宋体"/>
                <w:color w:val="auto"/>
                <w:sz w:val="24"/>
                <w:szCs w:val="24"/>
                <w:highlight w:val="none"/>
              </w:rPr>
            </w:pPr>
          </w:p>
        </w:tc>
        <w:tc>
          <w:tcPr>
            <w:tcW w:w="726" w:type="dxa"/>
            <w:vMerge w:val="continue"/>
          </w:tcPr>
          <w:p w14:paraId="2E5DDF3B">
            <w:pPr>
              <w:spacing w:line="360" w:lineRule="auto"/>
              <w:rPr>
                <w:rFonts w:hint="eastAsia" w:ascii="宋体" w:hAnsi="宋体" w:eastAsia="宋体" w:cs="宋体"/>
                <w:color w:val="auto"/>
                <w:sz w:val="24"/>
                <w:szCs w:val="24"/>
                <w:highlight w:val="none"/>
              </w:rPr>
            </w:pPr>
          </w:p>
        </w:tc>
        <w:tc>
          <w:tcPr>
            <w:tcW w:w="889" w:type="dxa"/>
            <w:vMerge w:val="continue"/>
          </w:tcPr>
          <w:p w14:paraId="45532FBC">
            <w:pPr>
              <w:spacing w:line="360" w:lineRule="auto"/>
              <w:rPr>
                <w:rFonts w:hint="eastAsia" w:ascii="宋体" w:hAnsi="宋体" w:eastAsia="宋体" w:cs="宋体"/>
                <w:color w:val="auto"/>
                <w:sz w:val="24"/>
                <w:szCs w:val="24"/>
                <w:highlight w:val="none"/>
              </w:rPr>
            </w:pPr>
          </w:p>
        </w:tc>
        <w:tc>
          <w:tcPr>
            <w:tcW w:w="1451" w:type="dxa"/>
            <w:vAlign w:val="center"/>
          </w:tcPr>
          <w:p w14:paraId="373B16B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证书名称</w:t>
            </w:r>
          </w:p>
        </w:tc>
        <w:tc>
          <w:tcPr>
            <w:tcW w:w="900" w:type="dxa"/>
            <w:vAlign w:val="center"/>
          </w:tcPr>
          <w:p w14:paraId="46C0959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级别</w:t>
            </w:r>
          </w:p>
        </w:tc>
        <w:tc>
          <w:tcPr>
            <w:tcW w:w="1080" w:type="dxa"/>
            <w:vAlign w:val="center"/>
          </w:tcPr>
          <w:p w14:paraId="0581227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证号</w:t>
            </w:r>
          </w:p>
        </w:tc>
        <w:tc>
          <w:tcPr>
            <w:tcW w:w="1286" w:type="dxa"/>
            <w:vAlign w:val="center"/>
          </w:tcPr>
          <w:p w14:paraId="0AD8764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328" w:type="dxa"/>
            <w:vAlign w:val="center"/>
          </w:tcPr>
          <w:p w14:paraId="0CE7D51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养老保险</w:t>
            </w:r>
          </w:p>
        </w:tc>
        <w:tc>
          <w:tcPr>
            <w:tcW w:w="1069" w:type="dxa"/>
            <w:vMerge w:val="continue"/>
          </w:tcPr>
          <w:p w14:paraId="4654E9C1">
            <w:pPr>
              <w:spacing w:line="360" w:lineRule="auto"/>
              <w:rPr>
                <w:rFonts w:hint="eastAsia" w:ascii="宋体" w:hAnsi="宋体" w:eastAsia="宋体" w:cs="宋体"/>
                <w:color w:val="auto"/>
                <w:sz w:val="24"/>
                <w:szCs w:val="24"/>
                <w:highlight w:val="none"/>
              </w:rPr>
            </w:pPr>
          </w:p>
        </w:tc>
      </w:tr>
      <w:tr w14:paraId="571FD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tcPr>
          <w:p w14:paraId="3840FA4E">
            <w:pPr>
              <w:spacing w:line="360" w:lineRule="auto"/>
              <w:rPr>
                <w:rFonts w:hint="eastAsia" w:ascii="宋体" w:hAnsi="宋体" w:eastAsia="宋体" w:cs="宋体"/>
                <w:color w:val="auto"/>
                <w:sz w:val="24"/>
                <w:szCs w:val="24"/>
                <w:highlight w:val="none"/>
              </w:rPr>
            </w:pPr>
          </w:p>
        </w:tc>
        <w:tc>
          <w:tcPr>
            <w:tcW w:w="726" w:type="dxa"/>
          </w:tcPr>
          <w:p w14:paraId="27B37482">
            <w:pPr>
              <w:spacing w:line="360" w:lineRule="auto"/>
              <w:rPr>
                <w:rFonts w:hint="eastAsia" w:ascii="宋体" w:hAnsi="宋体" w:eastAsia="宋体" w:cs="宋体"/>
                <w:color w:val="auto"/>
                <w:sz w:val="24"/>
                <w:szCs w:val="24"/>
                <w:highlight w:val="none"/>
              </w:rPr>
            </w:pPr>
          </w:p>
        </w:tc>
        <w:tc>
          <w:tcPr>
            <w:tcW w:w="889" w:type="dxa"/>
          </w:tcPr>
          <w:p w14:paraId="47B44028">
            <w:pPr>
              <w:spacing w:line="360" w:lineRule="auto"/>
              <w:rPr>
                <w:rFonts w:hint="eastAsia" w:ascii="宋体" w:hAnsi="宋体" w:eastAsia="宋体" w:cs="宋体"/>
                <w:color w:val="auto"/>
                <w:sz w:val="24"/>
                <w:szCs w:val="24"/>
                <w:highlight w:val="none"/>
              </w:rPr>
            </w:pPr>
          </w:p>
        </w:tc>
        <w:tc>
          <w:tcPr>
            <w:tcW w:w="1451" w:type="dxa"/>
          </w:tcPr>
          <w:p w14:paraId="062E39D3">
            <w:pPr>
              <w:spacing w:line="360" w:lineRule="auto"/>
              <w:rPr>
                <w:rFonts w:hint="eastAsia" w:ascii="宋体" w:hAnsi="宋体" w:eastAsia="宋体" w:cs="宋体"/>
                <w:color w:val="auto"/>
                <w:sz w:val="24"/>
                <w:szCs w:val="24"/>
                <w:highlight w:val="none"/>
              </w:rPr>
            </w:pPr>
          </w:p>
        </w:tc>
        <w:tc>
          <w:tcPr>
            <w:tcW w:w="900" w:type="dxa"/>
          </w:tcPr>
          <w:p w14:paraId="6460A796">
            <w:pPr>
              <w:spacing w:line="360" w:lineRule="auto"/>
              <w:rPr>
                <w:rFonts w:hint="eastAsia" w:ascii="宋体" w:hAnsi="宋体" w:eastAsia="宋体" w:cs="宋体"/>
                <w:color w:val="auto"/>
                <w:sz w:val="24"/>
                <w:szCs w:val="24"/>
                <w:highlight w:val="none"/>
              </w:rPr>
            </w:pPr>
          </w:p>
        </w:tc>
        <w:tc>
          <w:tcPr>
            <w:tcW w:w="1080" w:type="dxa"/>
          </w:tcPr>
          <w:p w14:paraId="36AD0933">
            <w:pPr>
              <w:spacing w:line="360" w:lineRule="auto"/>
              <w:rPr>
                <w:rFonts w:hint="eastAsia" w:ascii="宋体" w:hAnsi="宋体" w:eastAsia="宋体" w:cs="宋体"/>
                <w:color w:val="auto"/>
                <w:sz w:val="24"/>
                <w:szCs w:val="24"/>
                <w:highlight w:val="none"/>
              </w:rPr>
            </w:pPr>
          </w:p>
        </w:tc>
        <w:tc>
          <w:tcPr>
            <w:tcW w:w="1286" w:type="dxa"/>
          </w:tcPr>
          <w:p w14:paraId="4A5A93C4">
            <w:pPr>
              <w:spacing w:line="360" w:lineRule="auto"/>
              <w:rPr>
                <w:rFonts w:hint="eastAsia" w:ascii="宋体" w:hAnsi="宋体" w:eastAsia="宋体" w:cs="宋体"/>
                <w:color w:val="auto"/>
                <w:sz w:val="24"/>
                <w:szCs w:val="24"/>
                <w:highlight w:val="none"/>
              </w:rPr>
            </w:pPr>
          </w:p>
        </w:tc>
        <w:tc>
          <w:tcPr>
            <w:tcW w:w="1328" w:type="dxa"/>
          </w:tcPr>
          <w:p w14:paraId="66A33519">
            <w:pPr>
              <w:spacing w:line="360" w:lineRule="auto"/>
              <w:ind w:firstLine="480" w:firstLineChars="200"/>
              <w:rPr>
                <w:rFonts w:hint="eastAsia" w:ascii="宋体" w:hAnsi="宋体" w:eastAsia="宋体" w:cs="宋体"/>
                <w:color w:val="auto"/>
                <w:sz w:val="24"/>
                <w:szCs w:val="24"/>
                <w:highlight w:val="none"/>
              </w:rPr>
            </w:pPr>
          </w:p>
        </w:tc>
        <w:tc>
          <w:tcPr>
            <w:tcW w:w="1069" w:type="dxa"/>
          </w:tcPr>
          <w:p w14:paraId="0525EC18">
            <w:pPr>
              <w:spacing w:line="360" w:lineRule="auto"/>
              <w:rPr>
                <w:rFonts w:hint="eastAsia" w:ascii="宋体" w:hAnsi="宋体" w:eastAsia="宋体" w:cs="宋体"/>
                <w:color w:val="auto"/>
                <w:sz w:val="24"/>
                <w:szCs w:val="24"/>
                <w:highlight w:val="none"/>
              </w:rPr>
            </w:pPr>
          </w:p>
        </w:tc>
      </w:tr>
      <w:tr w14:paraId="00BC1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14" w:type="dxa"/>
          </w:tcPr>
          <w:p w14:paraId="26C4109A">
            <w:pPr>
              <w:spacing w:line="360" w:lineRule="auto"/>
              <w:rPr>
                <w:rFonts w:hint="eastAsia" w:ascii="宋体" w:hAnsi="宋体" w:eastAsia="宋体" w:cs="宋体"/>
                <w:color w:val="auto"/>
                <w:sz w:val="24"/>
                <w:szCs w:val="24"/>
                <w:highlight w:val="none"/>
              </w:rPr>
            </w:pPr>
          </w:p>
        </w:tc>
        <w:tc>
          <w:tcPr>
            <w:tcW w:w="726" w:type="dxa"/>
          </w:tcPr>
          <w:p w14:paraId="57A94057">
            <w:pPr>
              <w:spacing w:line="360" w:lineRule="auto"/>
              <w:rPr>
                <w:rFonts w:hint="eastAsia" w:ascii="宋体" w:hAnsi="宋体" w:eastAsia="宋体" w:cs="宋体"/>
                <w:color w:val="auto"/>
                <w:sz w:val="24"/>
                <w:szCs w:val="24"/>
                <w:highlight w:val="none"/>
              </w:rPr>
            </w:pPr>
          </w:p>
        </w:tc>
        <w:tc>
          <w:tcPr>
            <w:tcW w:w="889" w:type="dxa"/>
          </w:tcPr>
          <w:p w14:paraId="4BB660B7">
            <w:pPr>
              <w:spacing w:line="360" w:lineRule="auto"/>
              <w:rPr>
                <w:rFonts w:hint="eastAsia" w:ascii="宋体" w:hAnsi="宋体" w:eastAsia="宋体" w:cs="宋体"/>
                <w:color w:val="auto"/>
                <w:sz w:val="24"/>
                <w:szCs w:val="24"/>
                <w:highlight w:val="none"/>
              </w:rPr>
            </w:pPr>
          </w:p>
        </w:tc>
        <w:tc>
          <w:tcPr>
            <w:tcW w:w="1451" w:type="dxa"/>
          </w:tcPr>
          <w:p w14:paraId="24CCAB14">
            <w:pPr>
              <w:spacing w:line="360" w:lineRule="auto"/>
              <w:rPr>
                <w:rFonts w:hint="eastAsia" w:ascii="宋体" w:hAnsi="宋体" w:eastAsia="宋体" w:cs="宋体"/>
                <w:color w:val="auto"/>
                <w:sz w:val="24"/>
                <w:szCs w:val="24"/>
                <w:highlight w:val="none"/>
              </w:rPr>
            </w:pPr>
          </w:p>
        </w:tc>
        <w:tc>
          <w:tcPr>
            <w:tcW w:w="900" w:type="dxa"/>
          </w:tcPr>
          <w:p w14:paraId="3003BB3B">
            <w:pPr>
              <w:spacing w:line="360" w:lineRule="auto"/>
              <w:rPr>
                <w:rFonts w:hint="eastAsia" w:ascii="宋体" w:hAnsi="宋体" w:eastAsia="宋体" w:cs="宋体"/>
                <w:color w:val="auto"/>
                <w:sz w:val="24"/>
                <w:szCs w:val="24"/>
                <w:highlight w:val="none"/>
              </w:rPr>
            </w:pPr>
          </w:p>
        </w:tc>
        <w:tc>
          <w:tcPr>
            <w:tcW w:w="1080" w:type="dxa"/>
          </w:tcPr>
          <w:p w14:paraId="0466A85D">
            <w:pPr>
              <w:spacing w:line="360" w:lineRule="auto"/>
              <w:rPr>
                <w:rFonts w:hint="eastAsia" w:ascii="宋体" w:hAnsi="宋体" w:eastAsia="宋体" w:cs="宋体"/>
                <w:color w:val="auto"/>
                <w:sz w:val="24"/>
                <w:szCs w:val="24"/>
                <w:highlight w:val="none"/>
              </w:rPr>
            </w:pPr>
          </w:p>
        </w:tc>
        <w:tc>
          <w:tcPr>
            <w:tcW w:w="1286" w:type="dxa"/>
          </w:tcPr>
          <w:p w14:paraId="0D3CBB63">
            <w:pPr>
              <w:spacing w:line="360" w:lineRule="auto"/>
              <w:rPr>
                <w:rFonts w:hint="eastAsia" w:ascii="宋体" w:hAnsi="宋体" w:eastAsia="宋体" w:cs="宋体"/>
                <w:color w:val="auto"/>
                <w:sz w:val="24"/>
                <w:szCs w:val="24"/>
                <w:highlight w:val="none"/>
              </w:rPr>
            </w:pPr>
          </w:p>
        </w:tc>
        <w:tc>
          <w:tcPr>
            <w:tcW w:w="1328" w:type="dxa"/>
          </w:tcPr>
          <w:p w14:paraId="1A4FC378">
            <w:pPr>
              <w:spacing w:line="360" w:lineRule="auto"/>
              <w:rPr>
                <w:rFonts w:hint="eastAsia" w:ascii="宋体" w:hAnsi="宋体" w:eastAsia="宋体" w:cs="宋体"/>
                <w:color w:val="auto"/>
                <w:sz w:val="24"/>
                <w:szCs w:val="24"/>
                <w:highlight w:val="none"/>
              </w:rPr>
            </w:pPr>
          </w:p>
        </w:tc>
        <w:tc>
          <w:tcPr>
            <w:tcW w:w="1069" w:type="dxa"/>
          </w:tcPr>
          <w:p w14:paraId="66432FAE">
            <w:pPr>
              <w:spacing w:line="360" w:lineRule="auto"/>
              <w:rPr>
                <w:rFonts w:hint="eastAsia" w:ascii="宋体" w:hAnsi="宋体" w:eastAsia="宋体" w:cs="宋体"/>
                <w:color w:val="auto"/>
                <w:sz w:val="24"/>
                <w:szCs w:val="24"/>
                <w:highlight w:val="none"/>
              </w:rPr>
            </w:pPr>
          </w:p>
        </w:tc>
      </w:tr>
      <w:tr w14:paraId="5C2D5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tcPr>
          <w:p w14:paraId="021513A0">
            <w:pPr>
              <w:spacing w:line="360" w:lineRule="auto"/>
              <w:rPr>
                <w:rFonts w:hint="eastAsia" w:ascii="宋体" w:hAnsi="宋体" w:eastAsia="宋体" w:cs="宋体"/>
                <w:color w:val="auto"/>
                <w:sz w:val="24"/>
                <w:szCs w:val="24"/>
                <w:highlight w:val="none"/>
              </w:rPr>
            </w:pPr>
          </w:p>
        </w:tc>
        <w:tc>
          <w:tcPr>
            <w:tcW w:w="726" w:type="dxa"/>
          </w:tcPr>
          <w:p w14:paraId="433C0D8A">
            <w:pPr>
              <w:spacing w:line="360" w:lineRule="auto"/>
              <w:rPr>
                <w:rFonts w:hint="eastAsia" w:ascii="宋体" w:hAnsi="宋体" w:eastAsia="宋体" w:cs="宋体"/>
                <w:color w:val="auto"/>
                <w:sz w:val="24"/>
                <w:szCs w:val="24"/>
                <w:highlight w:val="none"/>
              </w:rPr>
            </w:pPr>
          </w:p>
        </w:tc>
        <w:tc>
          <w:tcPr>
            <w:tcW w:w="889" w:type="dxa"/>
          </w:tcPr>
          <w:p w14:paraId="17D01BE0">
            <w:pPr>
              <w:spacing w:line="360" w:lineRule="auto"/>
              <w:rPr>
                <w:rFonts w:hint="eastAsia" w:ascii="宋体" w:hAnsi="宋体" w:eastAsia="宋体" w:cs="宋体"/>
                <w:color w:val="auto"/>
                <w:sz w:val="24"/>
                <w:szCs w:val="24"/>
                <w:highlight w:val="none"/>
              </w:rPr>
            </w:pPr>
          </w:p>
        </w:tc>
        <w:tc>
          <w:tcPr>
            <w:tcW w:w="1451" w:type="dxa"/>
          </w:tcPr>
          <w:p w14:paraId="241CEB25">
            <w:pPr>
              <w:spacing w:line="360" w:lineRule="auto"/>
              <w:rPr>
                <w:rFonts w:hint="eastAsia" w:ascii="宋体" w:hAnsi="宋体" w:eastAsia="宋体" w:cs="宋体"/>
                <w:color w:val="auto"/>
                <w:sz w:val="24"/>
                <w:szCs w:val="24"/>
                <w:highlight w:val="none"/>
              </w:rPr>
            </w:pPr>
          </w:p>
        </w:tc>
        <w:tc>
          <w:tcPr>
            <w:tcW w:w="900" w:type="dxa"/>
          </w:tcPr>
          <w:p w14:paraId="5481D68E">
            <w:pPr>
              <w:spacing w:line="360" w:lineRule="auto"/>
              <w:rPr>
                <w:rFonts w:hint="eastAsia" w:ascii="宋体" w:hAnsi="宋体" w:eastAsia="宋体" w:cs="宋体"/>
                <w:color w:val="auto"/>
                <w:sz w:val="24"/>
                <w:szCs w:val="24"/>
                <w:highlight w:val="none"/>
              </w:rPr>
            </w:pPr>
          </w:p>
        </w:tc>
        <w:tc>
          <w:tcPr>
            <w:tcW w:w="1080" w:type="dxa"/>
          </w:tcPr>
          <w:p w14:paraId="65210365">
            <w:pPr>
              <w:spacing w:line="360" w:lineRule="auto"/>
              <w:rPr>
                <w:rFonts w:hint="eastAsia" w:ascii="宋体" w:hAnsi="宋体" w:eastAsia="宋体" w:cs="宋体"/>
                <w:color w:val="auto"/>
                <w:sz w:val="24"/>
                <w:szCs w:val="24"/>
                <w:highlight w:val="none"/>
              </w:rPr>
            </w:pPr>
          </w:p>
        </w:tc>
        <w:tc>
          <w:tcPr>
            <w:tcW w:w="1286" w:type="dxa"/>
          </w:tcPr>
          <w:p w14:paraId="4E5A4F14">
            <w:pPr>
              <w:spacing w:line="360" w:lineRule="auto"/>
              <w:rPr>
                <w:rFonts w:hint="eastAsia" w:ascii="宋体" w:hAnsi="宋体" w:eastAsia="宋体" w:cs="宋体"/>
                <w:color w:val="auto"/>
                <w:sz w:val="24"/>
                <w:szCs w:val="24"/>
                <w:highlight w:val="none"/>
              </w:rPr>
            </w:pPr>
          </w:p>
        </w:tc>
        <w:tc>
          <w:tcPr>
            <w:tcW w:w="1328" w:type="dxa"/>
          </w:tcPr>
          <w:p w14:paraId="65325BD8">
            <w:pPr>
              <w:spacing w:line="360" w:lineRule="auto"/>
              <w:rPr>
                <w:rFonts w:hint="eastAsia" w:ascii="宋体" w:hAnsi="宋体" w:eastAsia="宋体" w:cs="宋体"/>
                <w:color w:val="auto"/>
                <w:sz w:val="24"/>
                <w:szCs w:val="24"/>
                <w:highlight w:val="none"/>
              </w:rPr>
            </w:pPr>
          </w:p>
        </w:tc>
        <w:tc>
          <w:tcPr>
            <w:tcW w:w="1069" w:type="dxa"/>
          </w:tcPr>
          <w:p w14:paraId="5FC793B1">
            <w:pPr>
              <w:spacing w:line="360" w:lineRule="auto"/>
              <w:rPr>
                <w:rFonts w:hint="eastAsia" w:ascii="宋体" w:hAnsi="宋体" w:eastAsia="宋体" w:cs="宋体"/>
                <w:color w:val="auto"/>
                <w:sz w:val="24"/>
                <w:szCs w:val="24"/>
                <w:highlight w:val="none"/>
              </w:rPr>
            </w:pPr>
          </w:p>
        </w:tc>
      </w:tr>
      <w:tr w14:paraId="375EC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14" w:type="dxa"/>
          </w:tcPr>
          <w:p w14:paraId="728FB1BA">
            <w:pPr>
              <w:spacing w:line="360" w:lineRule="auto"/>
              <w:rPr>
                <w:rFonts w:hint="eastAsia" w:ascii="宋体" w:hAnsi="宋体" w:eastAsia="宋体" w:cs="宋体"/>
                <w:color w:val="auto"/>
                <w:sz w:val="24"/>
                <w:szCs w:val="24"/>
                <w:highlight w:val="none"/>
              </w:rPr>
            </w:pPr>
          </w:p>
        </w:tc>
        <w:tc>
          <w:tcPr>
            <w:tcW w:w="726" w:type="dxa"/>
          </w:tcPr>
          <w:p w14:paraId="04E70581">
            <w:pPr>
              <w:spacing w:line="360" w:lineRule="auto"/>
              <w:rPr>
                <w:rFonts w:hint="eastAsia" w:ascii="宋体" w:hAnsi="宋体" w:eastAsia="宋体" w:cs="宋体"/>
                <w:color w:val="auto"/>
                <w:sz w:val="24"/>
                <w:szCs w:val="24"/>
                <w:highlight w:val="none"/>
              </w:rPr>
            </w:pPr>
          </w:p>
        </w:tc>
        <w:tc>
          <w:tcPr>
            <w:tcW w:w="889" w:type="dxa"/>
          </w:tcPr>
          <w:p w14:paraId="2BDE5C2C">
            <w:pPr>
              <w:spacing w:line="360" w:lineRule="auto"/>
              <w:rPr>
                <w:rFonts w:hint="eastAsia" w:ascii="宋体" w:hAnsi="宋体" w:eastAsia="宋体" w:cs="宋体"/>
                <w:color w:val="auto"/>
                <w:sz w:val="24"/>
                <w:szCs w:val="24"/>
                <w:highlight w:val="none"/>
              </w:rPr>
            </w:pPr>
          </w:p>
        </w:tc>
        <w:tc>
          <w:tcPr>
            <w:tcW w:w="1451" w:type="dxa"/>
          </w:tcPr>
          <w:p w14:paraId="42D0FC87">
            <w:pPr>
              <w:spacing w:line="360" w:lineRule="auto"/>
              <w:rPr>
                <w:rFonts w:hint="eastAsia" w:ascii="宋体" w:hAnsi="宋体" w:eastAsia="宋体" w:cs="宋体"/>
                <w:color w:val="auto"/>
                <w:sz w:val="24"/>
                <w:szCs w:val="24"/>
                <w:highlight w:val="none"/>
              </w:rPr>
            </w:pPr>
          </w:p>
        </w:tc>
        <w:tc>
          <w:tcPr>
            <w:tcW w:w="900" w:type="dxa"/>
          </w:tcPr>
          <w:p w14:paraId="22EE10FA">
            <w:pPr>
              <w:spacing w:line="360" w:lineRule="auto"/>
              <w:rPr>
                <w:rFonts w:hint="eastAsia" w:ascii="宋体" w:hAnsi="宋体" w:eastAsia="宋体" w:cs="宋体"/>
                <w:color w:val="auto"/>
                <w:sz w:val="24"/>
                <w:szCs w:val="24"/>
                <w:highlight w:val="none"/>
              </w:rPr>
            </w:pPr>
          </w:p>
        </w:tc>
        <w:tc>
          <w:tcPr>
            <w:tcW w:w="1080" w:type="dxa"/>
          </w:tcPr>
          <w:p w14:paraId="71EF4B5F">
            <w:pPr>
              <w:spacing w:line="360" w:lineRule="auto"/>
              <w:rPr>
                <w:rFonts w:hint="eastAsia" w:ascii="宋体" w:hAnsi="宋体" w:eastAsia="宋体" w:cs="宋体"/>
                <w:color w:val="auto"/>
                <w:sz w:val="24"/>
                <w:szCs w:val="24"/>
                <w:highlight w:val="none"/>
              </w:rPr>
            </w:pPr>
          </w:p>
        </w:tc>
        <w:tc>
          <w:tcPr>
            <w:tcW w:w="1286" w:type="dxa"/>
          </w:tcPr>
          <w:p w14:paraId="18B4AD26">
            <w:pPr>
              <w:spacing w:line="360" w:lineRule="auto"/>
              <w:rPr>
                <w:rFonts w:hint="eastAsia" w:ascii="宋体" w:hAnsi="宋体" w:eastAsia="宋体" w:cs="宋体"/>
                <w:color w:val="auto"/>
                <w:sz w:val="24"/>
                <w:szCs w:val="24"/>
                <w:highlight w:val="none"/>
              </w:rPr>
            </w:pPr>
          </w:p>
        </w:tc>
        <w:tc>
          <w:tcPr>
            <w:tcW w:w="1328" w:type="dxa"/>
          </w:tcPr>
          <w:p w14:paraId="192F4B05">
            <w:pPr>
              <w:spacing w:line="360" w:lineRule="auto"/>
              <w:rPr>
                <w:rFonts w:hint="eastAsia" w:ascii="宋体" w:hAnsi="宋体" w:eastAsia="宋体" w:cs="宋体"/>
                <w:color w:val="auto"/>
                <w:sz w:val="24"/>
                <w:szCs w:val="24"/>
                <w:highlight w:val="none"/>
              </w:rPr>
            </w:pPr>
          </w:p>
        </w:tc>
        <w:tc>
          <w:tcPr>
            <w:tcW w:w="1069" w:type="dxa"/>
          </w:tcPr>
          <w:p w14:paraId="390291CC">
            <w:pPr>
              <w:spacing w:line="360" w:lineRule="auto"/>
              <w:rPr>
                <w:rFonts w:hint="eastAsia" w:ascii="宋体" w:hAnsi="宋体" w:eastAsia="宋体" w:cs="宋体"/>
                <w:color w:val="auto"/>
                <w:sz w:val="24"/>
                <w:szCs w:val="24"/>
                <w:highlight w:val="none"/>
              </w:rPr>
            </w:pPr>
          </w:p>
        </w:tc>
      </w:tr>
      <w:tr w14:paraId="3333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tcPr>
          <w:p w14:paraId="7501DFAF">
            <w:pPr>
              <w:spacing w:line="360" w:lineRule="auto"/>
              <w:rPr>
                <w:rFonts w:hint="eastAsia" w:ascii="宋体" w:hAnsi="宋体" w:eastAsia="宋体" w:cs="宋体"/>
                <w:color w:val="auto"/>
                <w:sz w:val="24"/>
                <w:szCs w:val="24"/>
                <w:highlight w:val="none"/>
              </w:rPr>
            </w:pPr>
          </w:p>
        </w:tc>
        <w:tc>
          <w:tcPr>
            <w:tcW w:w="726" w:type="dxa"/>
          </w:tcPr>
          <w:p w14:paraId="5B692C32">
            <w:pPr>
              <w:spacing w:line="360" w:lineRule="auto"/>
              <w:rPr>
                <w:rFonts w:hint="eastAsia" w:ascii="宋体" w:hAnsi="宋体" w:eastAsia="宋体" w:cs="宋体"/>
                <w:color w:val="auto"/>
                <w:sz w:val="24"/>
                <w:szCs w:val="24"/>
                <w:highlight w:val="none"/>
              </w:rPr>
            </w:pPr>
          </w:p>
        </w:tc>
        <w:tc>
          <w:tcPr>
            <w:tcW w:w="889" w:type="dxa"/>
          </w:tcPr>
          <w:p w14:paraId="1D5E6E94">
            <w:pPr>
              <w:spacing w:line="360" w:lineRule="auto"/>
              <w:rPr>
                <w:rFonts w:hint="eastAsia" w:ascii="宋体" w:hAnsi="宋体" w:eastAsia="宋体" w:cs="宋体"/>
                <w:color w:val="auto"/>
                <w:sz w:val="24"/>
                <w:szCs w:val="24"/>
                <w:highlight w:val="none"/>
              </w:rPr>
            </w:pPr>
          </w:p>
        </w:tc>
        <w:tc>
          <w:tcPr>
            <w:tcW w:w="1451" w:type="dxa"/>
          </w:tcPr>
          <w:p w14:paraId="0FEF512B">
            <w:pPr>
              <w:spacing w:line="360" w:lineRule="auto"/>
              <w:rPr>
                <w:rFonts w:hint="eastAsia" w:ascii="宋体" w:hAnsi="宋体" w:eastAsia="宋体" w:cs="宋体"/>
                <w:color w:val="auto"/>
                <w:sz w:val="24"/>
                <w:szCs w:val="24"/>
                <w:highlight w:val="none"/>
              </w:rPr>
            </w:pPr>
          </w:p>
        </w:tc>
        <w:tc>
          <w:tcPr>
            <w:tcW w:w="900" w:type="dxa"/>
          </w:tcPr>
          <w:p w14:paraId="6AD0AAA0">
            <w:pPr>
              <w:spacing w:line="360" w:lineRule="auto"/>
              <w:rPr>
                <w:rFonts w:hint="eastAsia" w:ascii="宋体" w:hAnsi="宋体" w:eastAsia="宋体" w:cs="宋体"/>
                <w:color w:val="auto"/>
                <w:sz w:val="24"/>
                <w:szCs w:val="24"/>
                <w:highlight w:val="none"/>
              </w:rPr>
            </w:pPr>
          </w:p>
        </w:tc>
        <w:tc>
          <w:tcPr>
            <w:tcW w:w="1080" w:type="dxa"/>
          </w:tcPr>
          <w:p w14:paraId="75EC4605">
            <w:pPr>
              <w:spacing w:line="360" w:lineRule="auto"/>
              <w:rPr>
                <w:rFonts w:hint="eastAsia" w:ascii="宋体" w:hAnsi="宋体" w:eastAsia="宋体" w:cs="宋体"/>
                <w:color w:val="auto"/>
                <w:sz w:val="24"/>
                <w:szCs w:val="24"/>
                <w:highlight w:val="none"/>
              </w:rPr>
            </w:pPr>
          </w:p>
        </w:tc>
        <w:tc>
          <w:tcPr>
            <w:tcW w:w="1286" w:type="dxa"/>
          </w:tcPr>
          <w:p w14:paraId="3AF43F33">
            <w:pPr>
              <w:spacing w:line="360" w:lineRule="auto"/>
              <w:rPr>
                <w:rFonts w:hint="eastAsia" w:ascii="宋体" w:hAnsi="宋体" w:eastAsia="宋体" w:cs="宋体"/>
                <w:color w:val="auto"/>
                <w:sz w:val="24"/>
                <w:szCs w:val="24"/>
                <w:highlight w:val="none"/>
              </w:rPr>
            </w:pPr>
          </w:p>
        </w:tc>
        <w:tc>
          <w:tcPr>
            <w:tcW w:w="1328" w:type="dxa"/>
          </w:tcPr>
          <w:p w14:paraId="330F9329">
            <w:pPr>
              <w:spacing w:line="360" w:lineRule="auto"/>
              <w:rPr>
                <w:rFonts w:hint="eastAsia" w:ascii="宋体" w:hAnsi="宋体" w:eastAsia="宋体" w:cs="宋体"/>
                <w:color w:val="auto"/>
                <w:sz w:val="24"/>
                <w:szCs w:val="24"/>
                <w:highlight w:val="none"/>
              </w:rPr>
            </w:pPr>
          </w:p>
        </w:tc>
        <w:tc>
          <w:tcPr>
            <w:tcW w:w="1069" w:type="dxa"/>
          </w:tcPr>
          <w:p w14:paraId="6395F075">
            <w:pPr>
              <w:spacing w:line="360" w:lineRule="auto"/>
              <w:rPr>
                <w:rFonts w:hint="eastAsia" w:ascii="宋体" w:hAnsi="宋体" w:eastAsia="宋体" w:cs="宋体"/>
                <w:color w:val="auto"/>
                <w:sz w:val="24"/>
                <w:szCs w:val="24"/>
                <w:highlight w:val="none"/>
              </w:rPr>
            </w:pPr>
          </w:p>
        </w:tc>
      </w:tr>
      <w:tr w14:paraId="1144F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14" w:type="dxa"/>
          </w:tcPr>
          <w:p w14:paraId="260F167D">
            <w:pPr>
              <w:spacing w:line="360" w:lineRule="auto"/>
              <w:rPr>
                <w:rFonts w:hint="eastAsia" w:ascii="宋体" w:hAnsi="宋体" w:eastAsia="宋体" w:cs="宋体"/>
                <w:color w:val="auto"/>
                <w:sz w:val="24"/>
                <w:szCs w:val="24"/>
                <w:highlight w:val="none"/>
              </w:rPr>
            </w:pPr>
          </w:p>
        </w:tc>
        <w:tc>
          <w:tcPr>
            <w:tcW w:w="726" w:type="dxa"/>
          </w:tcPr>
          <w:p w14:paraId="47EB9AF0">
            <w:pPr>
              <w:spacing w:line="360" w:lineRule="auto"/>
              <w:rPr>
                <w:rFonts w:hint="eastAsia" w:ascii="宋体" w:hAnsi="宋体" w:eastAsia="宋体" w:cs="宋体"/>
                <w:color w:val="auto"/>
                <w:sz w:val="24"/>
                <w:szCs w:val="24"/>
                <w:highlight w:val="none"/>
              </w:rPr>
            </w:pPr>
          </w:p>
        </w:tc>
        <w:tc>
          <w:tcPr>
            <w:tcW w:w="889" w:type="dxa"/>
          </w:tcPr>
          <w:p w14:paraId="233FFDBE">
            <w:pPr>
              <w:spacing w:line="360" w:lineRule="auto"/>
              <w:rPr>
                <w:rFonts w:hint="eastAsia" w:ascii="宋体" w:hAnsi="宋体" w:eastAsia="宋体" w:cs="宋体"/>
                <w:color w:val="auto"/>
                <w:sz w:val="24"/>
                <w:szCs w:val="24"/>
                <w:highlight w:val="none"/>
              </w:rPr>
            </w:pPr>
          </w:p>
        </w:tc>
        <w:tc>
          <w:tcPr>
            <w:tcW w:w="1451" w:type="dxa"/>
          </w:tcPr>
          <w:p w14:paraId="2383BDF2">
            <w:pPr>
              <w:spacing w:line="360" w:lineRule="auto"/>
              <w:rPr>
                <w:rFonts w:hint="eastAsia" w:ascii="宋体" w:hAnsi="宋体" w:eastAsia="宋体" w:cs="宋体"/>
                <w:color w:val="auto"/>
                <w:sz w:val="24"/>
                <w:szCs w:val="24"/>
                <w:highlight w:val="none"/>
              </w:rPr>
            </w:pPr>
          </w:p>
        </w:tc>
        <w:tc>
          <w:tcPr>
            <w:tcW w:w="900" w:type="dxa"/>
          </w:tcPr>
          <w:p w14:paraId="182EF490">
            <w:pPr>
              <w:spacing w:line="360" w:lineRule="auto"/>
              <w:rPr>
                <w:rFonts w:hint="eastAsia" w:ascii="宋体" w:hAnsi="宋体" w:eastAsia="宋体" w:cs="宋体"/>
                <w:color w:val="auto"/>
                <w:sz w:val="24"/>
                <w:szCs w:val="24"/>
                <w:highlight w:val="none"/>
              </w:rPr>
            </w:pPr>
          </w:p>
        </w:tc>
        <w:tc>
          <w:tcPr>
            <w:tcW w:w="1080" w:type="dxa"/>
          </w:tcPr>
          <w:p w14:paraId="55A6DE03">
            <w:pPr>
              <w:spacing w:line="360" w:lineRule="auto"/>
              <w:rPr>
                <w:rFonts w:hint="eastAsia" w:ascii="宋体" w:hAnsi="宋体" w:eastAsia="宋体" w:cs="宋体"/>
                <w:color w:val="auto"/>
                <w:sz w:val="24"/>
                <w:szCs w:val="24"/>
                <w:highlight w:val="none"/>
              </w:rPr>
            </w:pPr>
          </w:p>
        </w:tc>
        <w:tc>
          <w:tcPr>
            <w:tcW w:w="1286" w:type="dxa"/>
          </w:tcPr>
          <w:p w14:paraId="6BE82FDE">
            <w:pPr>
              <w:spacing w:line="360" w:lineRule="auto"/>
              <w:rPr>
                <w:rFonts w:hint="eastAsia" w:ascii="宋体" w:hAnsi="宋体" w:eastAsia="宋体" w:cs="宋体"/>
                <w:color w:val="auto"/>
                <w:sz w:val="24"/>
                <w:szCs w:val="24"/>
                <w:highlight w:val="none"/>
              </w:rPr>
            </w:pPr>
          </w:p>
        </w:tc>
        <w:tc>
          <w:tcPr>
            <w:tcW w:w="1328" w:type="dxa"/>
          </w:tcPr>
          <w:p w14:paraId="0ADC239D">
            <w:pPr>
              <w:spacing w:line="360" w:lineRule="auto"/>
              <w:rPr>
                <w:rFonts w:hint="eastAsia" w:ascii="宋体" w:hAnsi="宋体" w:eastAsia="宋体" w:cs="宋体"/>
                <w:color w:val="auto"/>
                <w:sz w:val="24"/>
                <w:szCs w:val="24"/>
                <w:highlight w:val="none"/>
              </w:rPr>
            </w:pPr>
          </w:p>
        </w:tc>
        <w:tc>
          <w:tcPr>
            <w:tcW w:w="1069" w:type="dxa"/>
          </w:tcPr>
          <w:p w14:paraId="2A192604">
            <w:pPr>
              <w:spacing w:line="360" w:lineRule="auto"/>
              <w:rPr>
                <w:rFonts w:hint="eastAsia" w:ascii="宋体" w:hAnsi="宋体" w:eastAsia="宋体" w:cs="宋体"/>
                <w:color w:val="auto"/>
                <w:sz w:val="24"/>
                <w:szCs w:val="24"/>
                <w:highlight w:val="none"/>
              </w:rPr>
            </w:pPr>
          </w:p>
        </w:tc>
      </w:tr>
      <w:tr w14:paraId="38382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tcPr>
          <w:p w14:paraId="5040DBC2">
            <w:pPr>
              <w:spacing w:line="360" w:lineRule="auto"/>
              <w:rPr>
                <w:rFonts w:hint="eastAsia" w:ascii="宋体" w:hAnsi="宋体" w:eastAsia="宋体" w:cs="宋体"/>
                <w:color w:val="auto"/>
                <w:sz w:val="24"/>
                <w:szCs w:val="24"/>
                <w:highlight w:val="none"/>
              </w:rPr>
            </w:pPr>
          </w:p>
        </w:tc>
        <w:tc>
          <w:tcPr>
            <w:tcW w:w="726" w:type="dxa"/>
          </w:tcPr>
          <w:p w14:paraId="0A2DF320">
            <w:pPr>
              <w:spacing w:line="360" w:lineRule="auto"/>
              <w:rPr>
                <w:rFonts w:hint="eastAsia" w:ascii="宋体" w:hAnsi="宋体" w:eastAsia="宋体" w:cs="宋体"/>
                <w:color w:val="auto"/>
                <w:sz w:val="24"/>
                <w:szCs w:val="24"/>
                <w:highlight w:val="none"/>
              </w:rPr>
            </w:pPr>
          </w:p>
        </w:tc>
        <w:tc>
          <w:tcPr>
            <w:tcW w:w="889" w:type="dxa"/>
          </w:tcPr>
          <w:p w14:paraId="19126785">
            <w:pPr>
              <w:spacing w:line="360" w:lineRule="auto"/>
              <w:rPr>
                <w:rFonts w:hint="eastAsia" w:ascii="宋体" w:hAnsi="宋体" w:eastAsia="宋体" w:cs="宋体"/>
                <w:color w:val="auto"/>
                <w:sz w:val="24"/>
                <w:szCs w:val="24"/>
                <w:highlight w:val="none"/>
              </w:rPr>
            </w:pPr>
          </w:p>
        </w:tc>
        <w:tc>
          <w:tcPr>
            <w:tcW w:w="1451" w:type="dxa"/>
          </w:tcPr>
          <w:p w14:paraId="3DB0510E">
            <w:pPr>
              <w:spacing w:line="360" w:lineRule="auto"/>
              <w:rPr>
                <w:rFonts w:hint="eastAsia" w:ascii="宋体" w:hAnsi="宋体" w:eastAsia="宋体" w:cs="宋体"/>
                <w:color w:val="auto"/>
                <w:sz w:val="24"/>
                <w:szCs w:val="24"/>
                <w:highlight w:val="none"/>
              </w:rPr>
            </w:pPr>
          </w:p>
        </w:tc>
        <w:tc>
          <w:tcPr>
            <w:tcW w:w="900" w:type="dxa"/>
          </w:tcPr>
          <w:p w14:paraId="593FCAA9">
            <w:pPr>
              <w:spacing w:line="360" w:lineRule="auto"/>
              <w:rPr>
                <w:rFonts w:hint="eastAsia" w:ascii="宋体" w:hAnsi="宋体" w:eastAsia="宋体" w:cs="宋体"/>
                <w:color w:val="auto"/>
                <w:sz w:val="24"/>
                <w:szCs w:val="24"/>
                <w:highlight w:val="none"/>
              </w:rPr>
            </w:pPr>
          </w:p>
        </w:tc>
        <w:tc>
          <w:tcPr>
            <w:tcW w:w="1080" w:type="dxa"/>
          </w:tcPr>
          <w:p w14:paraId="4AE89BC2">
            <w:pPr>
              <w:spacing w:line="360" w:lineRule="auto"/>
              <w:rPr>
                <w:rFonts w:hint="eastAsia" w:ascii="宋体" w:hAnsi="宋体" w:eastAsia="宋体" w:cs="宋体"/>
                <w:color w:val="auto"/>
                <w:sz w:val="24"/>
                <w:szCs w:val="24"/>
                <w:highlight w:val="none"/>
              </w:rPr>
            </w:pPr>
          </w:p>
        </w:tc>
        <w:tc>
          <w:tcPr>
            <w:tcW w:w="1286" w:type="dxa"/>
          </w:tcPr>
          <w:p w14:paraId="570CB7EB">
            <w:pPr>
              <w:spacing w:line="360" w:lineRule="auto"/>
              <w:rPr>
                <w:rFonts w:hint="eastAsia" w:ascii="宋体" w:hAnsi="宋体" w:eastAsia="宋体" w:cs="宋体"/>
                <w:color w:val="auto"/>
                <w:sz w:val="24"/>
                <w:szCs w:val="24"/>
                <w:highlight w:val="none"/>
              </w:rPr>
            </w:pPr>
          </w:p>
        </w:tc>
        <w:tc>
          <w:tcPr>
            <w:tcW w:w="1328" w:type="dxa"/>
          </w:tcPr>
          <w:p w14:paraId="09AB6E8C">
            <w:pPr>
              <w:spacing w:line="360" w:lineRule="auto"/>
              <w:rPr>
                <w:rFonts w:hint="eastAsia" w:ascii="宋体" w:hAnsi="宋体" w:eastAsia="宋体" w:cs="宋体"/>
                <w:color w:val="auto"/>
                <w:sz w:val="24"/>
                <w:szCs w:val="24"/>
                <w:highlight w:val="none"/>
              </w:rPr>
            </w:pPr>
          </w:p>
        </w:tc>
        <w:tc>
          <w:tcPr>
            <w:tcW w:w="1069" w:type="dxa"/>
          </w:tcPr>
          <w:p w14:paraId="41E1ECCA">
            <w:pPr>
              <w:spacing w:line="360" w:lineRule="auto"/>
              <w:rPr>
                <w:rFonts w:hint="eastAsia" w:ascii="宋体" w:hAnsi="宋体" w:eastAsia="宋体" w:cs="宋体"/>
                <w:color w:val="auto"/>
                <w:sz w:val="24"/>
                <w:szCs w:val="24"/>
                <w:highlight w:val="none"/>
              </w:rPr>
            </w:pPr>
          </w:p>
        </w:tc>
      </w:tr>
      <w:tr w14:paraId="14233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14" w:type="dxa"/>
          </w:tcPr>
          <w:p w14:paraId="284D015D">
            <w:pPr>
              <w:spacing w:line="360" w:lineRule="auto"/>
              <w:rPr>
                <w:rFonts w:hint="eastAsia" w:ascii="宋体" w:hAnsi="宋体" w:eastAsia="宋体" w:cs="宋体"/>
                <w:color w:val="auto"/>
                <w:sz w:val="24"/>
                <w:szCs w:val="24"/>
                <w:highlight w:val="none"/>
              </w:rPr>
            </w:pPr>
          </w:p>
        </w:tc>
        <w:tc>
          <w:tcPr>
            <w:tcW w:w="726" w:type="dxa"/>
          </w:tcPr>
          <w:p w14:paraId="5C1DCF11">
            <w:pPr>
              <w:spacing w:line="360" w:lineRule="auto"/>
              <w:rPr>
                <w:rFonts w:hint="eastAsia" w:ascii="宋体" w:hAnsi="宋体" w:eastAsia="宋体" w:cs="宋体"/>
                <w:color w:val="auto"/>
                <w:sz w:val="24"/>
                <w:szCs w:val="24"/>
                <w:highlight w:val="none"/>
              </w:rPr>
            </w:pPr>
          </w:p>
        </w:tc>
        <w:tc>
          <w:tcPr>
            <w:tcW w:w="889" w:type="dxa"/>
          </w:tcPr>
          <w:p w14:paraId="62710C4F">
            <w:pPr>
              <w:spacing w:line="360" w:lineRule="auto"/>
              <w:rPr>
                <w:rFonts w:hint="eastAsia" w:ascii="宋体" w:hAnsi="宋体" w:eastAsia="宋体" w:cs="宋体"/>
                <w:color w:val="auto"/>
                <w:sz w:val="24"/>
                <w:szCs w:val="24"/>
                <w:highlight w:val="none"/>
              </w:rPr>
            </w:pPr>
          </w:p>
        </w:tc>
        <w:tc>
          <w:tcPr>
            <w:tcW w:w="1451" w:type="dxa"/>
          </w:tcPr>
          <w:p w14:paraId="123EE767">
            <w:pPr>
              <w:spacing w:line="360" w:lineRule="auto"/>
              <w:rPr>
                <w:rFonts w:hint="eastAsia" w:ascii="宋体" w:hAnsi="宋体" w:eastAsia="宋体" w:cs="宋体"/>
                <w:color w:val="auto"/>
                <w:sz w:val="24"/>
                <w:szCs w:val="24"/>
                <w:highlight w:val="none"/>
              </w:rPr>
            </w:pPr>
          </w:p>
        </w:tc>
        <w:tc>
          <w:tcPr>
            <w:tcW w:w="900" w:type="dxa"/>
          </w:tcPr>
          <w:p w14:paraId="6BCD8EC2">
            <w:pPr>
              <w:spacing w:line="360" w:lineRule="auto"/>
              <w:rPr>
                <w:rFonts w:hint="eastAsia" w:ascii="宋体" w:hAnsi="宋体" w:eastAsia="宋体" w:cs="宋体"/>
                <w:color w:val="auto"/>
                <w:sz w:val="24"/>
                <w:szCs w:val="24"/>
                <w:highlight w:val="none"/>
              </w:rPr>
            </w:pPr>
          </w:p>
        </w:tc>
        <w:tc>
          <w:tcPr>
            <w:tcW w:w="1080" w:type="dxa"/>
          </w:tcPr>
          <w:p w14:paraId="576BA824">
            <w:pPr>
              <w:spacing w:line="360" w:lineRule="auto"/>
              <w:rPr>
                <w:rFonts w:hint="eastAsia" w:ascii="宋体" w:hAnsi="宋体" w:eastAsia="宋体" w:cs="宋体"/>
                <w:color w:val="auto"/>
                <w:sz w:val="24"/>
                <w:szCs w:val="24"/>
                <w:highlight w:val="none"/>
              </w:rPr>
            </w:pPr>
          </w:p>
        </w:tc>
        <w:tc>
          <w:tcPr>
            <w:tcW w:w="1286" w:type="dxa"/>
          </w:tcPr>
          <w:p w14:paraId="2635B8AC">
            <w:pPr>
              <w:spacing w:line="360" w:lineRule="auto"/>
              <w:rPr>
                <w:rFonts w:hint="eastAsia" w:ascii="宋体" w:hAnsi="宋体" w:eastAsia="宋体" w:cs="宋体"/>
                <w:color w:val="auto"/>
                <w:sz w:val="24"/>
                <w:szCs w:val="24"/>
                <w:highlight w:val="none"/>
              </w:rPr>
            </w:pPr>
          </w:p>
        </w:tc>
        <w:tc>
          <w:tcPr>
            <w:tcW w:w="1328" w:type="dxa"/>
          </w:tcPr>
          <w:p w14:paraId="26EFA8D5">
            <w:pPr>
              <w:spacing w:line="360" w:lineRule="auto"/>
              <w:rPr>
                <w:rFonts w:hint="eastAsia" w:ascii="宋体" w:hAnsi="宋体" w:eastAsia="宋体" w:cs="宋体"/>
                <w:color w:val="auto"/>
                <w:sz w:val="24"/>
                <w:szCs w:val="24"/>
                <w:highlight w:val="none"/>
              </w:rPr>
            </w:pPr>
          </w:p>
        </w:tc>
        <w:tc>
          <w:tcPr>
            <w:tcW w:w="1069" w:type="dxa"/>
          </w:tcPr>
          <w:p w14:paraId="2C538D9E">
            <w:pPr>
              <w:spacing w:line="360" w:lineRule="auto"/>
              <w:rPr>
                <w:rFonts w:hint="eastAsia" w:ascii="宋体" w:hAnsi="宋体" w:eastAsia="宋体" w:cs="宋体"/>
                <w:color w:val="auto"/>
                <w:sz w:val="24"/>
                <w:szCs w:val="24"/>
                <w:highlight w:val="none"/>
              </w:rPr>
            </w:pPr>
          </w:p>
        </w:tc>
      </w:tr>
    </w:tbl>
    <w:p w14:paraId="3A48C40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485B070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1.本表应包括项目经理、项目技术负责人、施工员、质量员、安全员等关键岗位人员。</w:t>
      </w:r>
    </w:p>
    <w:p w14:paraId="2D5D3C4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2.参与评审及实施的人员由供应商在响应文件中提供供应商在响应截止时间当月或前三个月内任意一个月为该人员交纳社保的证明材料，社保证明必须是社保机构出具，可以是政务系统下载文件的复制件。</w:t>
      </w:r>
    </w:p>
    <w:p w14:paraId="5000B126">
      <w:pPr>
        <w:pStyle w:val="82"/>
        <w:rPr>
          <w:rFonts w:hint="eastAsia" w:ascii="宋体" w:hAnsi="宋体" w:eastAsia="宋体" w:cs="宋体"/>
          <w:color w:val="auto"/>
          <w:sz w:val="24"/>
          <w:szCs w:val="24"/>
          <w:highlight w:val="none"/>
        </w:rPr>
        <w:sectPr>
          <w:headerReference r:id="rId15" w:type="default"/>
          <w:footerReference r:id="rId16" w:type="default"/>
          <w:pgSz w:w="11907" w:h="16840"/>
          <w:pgMar w:top="1440" w:right="1701" w:bottom="1440" w:left="1701" w:header="720" w:footer="720" w:gutter="0"/>
          <w:pgNumType w:fmt="decimal"/>
          <w:cols w:space="720" w:num="1"/>
          <w:docGrid w:type="lines" w:linePitch="285" w:charSpace="0"/>
        </w:sectPr>
      </w:pPr>
    </w:p>
    <w:p w14:paraId="44BEFF5E">
      <w:pPr>
        <w:keepNext/>
        <w:keepLines/>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2）主要人员简历表</w:t>
      </w:r>
    </w:p>
    <w:p w14:paraId="70537FB4">
      <w:pPr>
        <w:keepNext/>
        <w:keepLines/>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主要人员简历表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55"/>
        <w:gridCol w:w="1625"/>
        <w:gridCol w:w="1080"/>
        <w:gridCol w:w="900"/>
        <w:gridCol w:w="540"/>
        <w:gridCol w:w="1252"/>
        <w:gridCol w:w="728"/>
        <w:gridCol w:w="1789"/>
      </w:tblGrid>
      <w:tr w14:paraId="2F48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15" w:type="dxa"/>
            <w:gridSpan w:val="2"/>
            <w:vAlign w:val="center"/>
          </w:tcPr>
          <w:p w14:paraId="52C6D35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625" w:type="dxa"/>
            <w:vAlign w:val="center"/>
          </w:tcPr>
          <w:p w14:paraId="31CF012A">
            <w:pPr>
              <w:rPr>
                <w:rFonts w:hint="eastAsia" w:ascii="宋体" w:hAnsi="宋体" w:eastAsia="宋体" w:cs="宋体"/>
                <w:color w:val="auto"/>
                <w:sz w:val="24"/>
                <w:szCs w:val="24"/>
                <w:highlight w:val="none"/>
              </w:rPr>
            </w:pPr>
          </w:p>
        </w:tc>
        <w:tc>
          <w:tcPr>
            <w:tcW w:w="1080" w:type="dxa"/>
            <w:vAlign w:val="center"/>
          </w:tcPr>
          <w:p w14:paraId="4F79D8F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440" w:type="dxa"/>
            <w:gridSpan w:val="2"/>
            <w:vAlign w:val="center"/>
          </w:tcPr>
          <w:p w14:paraId="6320ABDF">
            <w:pPr>
              <w:rPr>
                <w:rFonts w:hint="eastAsia" w:ascii="宋体" w:hAnsi="宋体" w:eastAsia="宋体" w:cs="宋体"/>
                <w:color w:val="auto"/>
                <w:sz w:val="24"/>
                <w:szCs w:val="24"/>
                <w:highlight w:val="none"/>
              </w:rPr>
            </w:pPr>
          </w:p>
        </w:tc>
        <w:tc>
          <w:tcPr>
            <w:tcW w:w="1980" w:type="dxa"/>
            <w:gridSpan w:val="2"/>
            <w:vAlign w:val="center"/>
          </w:tcPr>
          <w:p w14:paraId="0D7508C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          历</w:t>
            </w:r>
          </w:p>
        </w:tc>
        <w:tc>
          <w:tcPr>
            <w:tcW w:w="1789" w:type="dxa"/>
            <w:vAlign w:val="center"/>
          </w:tcPr>
          <w:p w14:paraId="25729549">
            <w:pPr>
              <w:rPr>
                <w:rFonts w:hint="eastAsia" w:ascii="宋体" w:hAnsi="宋体" w:eastAsia="宋体" w:cs="宋体"/>
                <w:color w:val="auto"/>
                <w:sz w:val="24"/>
                <w:szCs w:val="24"/>
                <w:highlight w:val="none"/>
              </w:rPr>
            </w:pPr>
          </w:p>
        </w:tc>
      </w:tr>
      <w:tr w14:paraId="7F2DC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615" w:type="dxa"/>
            <w:gridSpan w:val="2"/>
            <w:vAlign w:val="center"/>
          </w:tcPr>
          <w:p w14:paraId="44DD8E0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625" w:type="dxa"/>
            <w:vAlign w:val="center"/>
          </w:tcPr>
          <w:p w14:paraId="748A3D20">
            <w:pPr>
              <w:rPr>
                <w:rFonts w:hint="eastAsia" w:ascii="宋体" w:hAnsi="宋体" w:eastAsia="宋体" w:cs="宋体"/>
                <w:color w:val="auto"/>
                <w:sz w:val="24"/>
                <w:szCs w:val="24"/>
                <w:highlight w:val="none"/>
              </w:rPr>
            </w:pPr>
          </w:p>
        </w:tc>
        <w:tc>
          <w:tcPr>
            <w:tcW w:w="1080" w:type="dxa"/>
            <w:vAlign w:val="center"/>
          </w:tcPr>
          <w:p w14:paraId="2A75235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440" w:type="dxa"/>
            <w:gridSpan w:val="2"/>
            <w:vAlign w:val="center"/>
          </w:tcPr>
          <w:p w14:paraId="143DF53F">
            <w:pPr>
              <w:rPr>
                <w:rFonts w:hint="eastAsia" w:ascii="宋体" w:hAnsi="宋体" w:eastAsia="宋体" w:cs="宋体"/>
                <w:color w:val="auto"/>
                <w:sz w:val="24"/>
                <w:szCs w:val="24"/>
                <w:highlight w:val="none"/>
              </w:rPr>
            </w:pPr>
          </w:p>
        </w:tc>
        <w:tc>
          <w:tcPr>
            <w:tcW w:w="1980" w:type="dxa"/>
            <w:gridSpan w:val="2"/>
            <w:vAlign w:val="center"/>
          </w:tcPr>
          <w:p w14:paraId="20C5681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拟在本合同任职</w:t>
            </w:r>
          </w:p>
        </w:tc>
        <w:tc>
          <w:tcPr>
            <w:tcW w:w="1789" w:type="dxa"/>
            <w:vAlign w:val="center"/>
          </w:tcPr>
          <w:p w14:paraId="1F952040">
            <w:pPr>
              <w:rPr>
                <w:rFonts w:hint="eastAsia" w:ascii="宋体" w:hAnsi="宋体" w:eastAsia="宋体" w:cs="宋体"/>
                <w:color w:val="auto"/>
                <w:sz w:val="24"/>
                <w:szCs w:val="24"/>
                <w:highlight w:val="none"/>
              </w:rPr>
            </w:pPr>
          </w:p>
        </w:tc>
      </w:tr>
      <w:tr w14:paraId="1AF70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15" w:type="dxa"/>
            <w:gridSpan w:val="2"/>
            <w:vAlign w:val="center"/>
          </w:tcPr>
          <w:p w14:paraId="2C90E40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7914" w:type="dxa"/>
            <w:gridSpan w:val="7"/>
            <w:vAlign w:val="center"/>
          </w:tcPr>
          <w:p w14:paraId="445BA36D">
            <w:pPr>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年毕业于                 学校         专业</w:t>
            </w:r>
          </w:p>
        </w:tc>
      </w:tr>
      <w:tr w14:paraId="2228F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529" w:type="dxa"/>
            <w:gridSpan w:val="9"/>
            <w:vAlign w:val="center"/>
          </w:tcPr>
          <w:p w14:paraId="44ADB2C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r>
      <w:tr w14:paraId="058B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60" w:type="dxa"/>
            <w:vAlign w:val="center"/>
          </w:tcPr>
          <w:p w14:paraId="3775EEE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p>
        </w:tc>
        <w:tc>
          <w:tcPr>
            <w:tcW w:w="3960" w:type="dxa"/>
            <w:gridSpan w:val="4"/>
            <w:vAlign w:val="center"/>
          </w:tcPr>
          <w:p w14:paraId="512EEC8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参加过的类似项目</w:t>
            </w:r>
          </w:p>
        </w:tc>
        <w:tc>
          <w:tcPr>
            <w:tcW w:w="1792" w:type="dxa"/>
            <w:gridSpan w:val="2"/>
            <w:vAlign w:val="center"/>
          </w:tcPr>
          <w:p w14:paraId="59A6659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担任职务</w:t>
            </w:r>
          </w:p>
        </w:tc>
        <w:tc>
          <w:tcPr>
            <w:tcW w:w="2517" w:type="dxa"/>
            <w:gridSpan w:val="2"/>
            <w:vAlign w:val="center"/>
          </w:tcPr>
          <w:p w14:paraId="35CD8D8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发包人及联系电话</w:t>
            </w:r>
          </w:p>
        </w:tc>
      </w:tr>
      <w:tr w14:paraId="7B46C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60" w:type="dxa"/>
            <w:vAlign w:val="center"/>
          </w:tcPr>
          <w:p w14:paraId="7D6D8342">
            <w:pPr>
              <w:rPr>
                <w:rFonts w:hint="eastAsia" w:ascii="宋体" w:hAnsi="宋体" w:eastAsia="宋体" w:cs="宋体"/>
                <w:color w:val="auto"/>
                <w:sz w:val="24"/>
                <w:szCs w:val="24"/>
                <w:highlight w:val="none"/>
              </w:rPr>
            </w:pPr>
          </w:p>
        </w:tc>
        <w:tc>
          <w:tcPr>
            <w:tcW w:w="3960" w:type="dxa"/>
            <w:gridSpan w:val="4"/>
            <w:vAlign w:val="center"/>
          </w:tcPr>
          <w:p w14:paraId="13B564C1">
            <w:pPr>
              <w:rPr>
                <w:rFonts w:hint="eastAsia" w:ascii="宋体" w:hAnsi="宋体" w:eastAsia="宋体" w:cs="宋体"/>
                <w:color w:val="auto"/>
                <w:sz w:val="24"/>
                <w:szCs w:val="24"/>
                <w:highlight w:val="none"/>
              </w:rPr>
            </w:pPr>
          </w:p>
        </w:tc>
        <w:tc>
          <w:tcPr>
            <w:tcW w:w="1792" w:type="dxa"/>
            <w:gridSpan w:val="2"/>
            <w:vAlign w:val="center"/>
          </w:tcPr>
          <w:p w14:paraId="2025CADF">
            <w:pPr>
              <w:rPr>
                <w:rFonts w:hint="eastAsia" w:ascii="宋体" w:hAnsi="宋体" w:eastAsia="宋体" w:cs="宋体"/>
                <w:color w:val="auto"/>
                <w:sz w:val="24"/>
                <w:szCs w:val="24"/>
                <w:highlight w:val="none"/>
              </w:rPr>
            </w:pPr>
          </w:p>
        </w:tc>
        <w:tc>
          <w:tcPr>
            <w:tcW w:w="2517" w:type="dxa"/>
            <w:gridSpan w:val="2"/>
            <w:vAlign w:val="center"/>
          </w:tcPr>
          <w:p w14:paraId="21CF1E13">
            <w:pPr>
              <w:rPr>
                <w:rFonts w:hint="eastAsia" w:ascii="宋体" w:hAnsi="宋体" w:eastAsia="宋体" w:cs="宋体"/>
                <w:color w:val="auto"/>
                <w:sz w:val="24"/>
                <w:szCs w:val="24"/>
                <w:highlight w:val="none"/>
              </w:rPr>
            </w:pPr>
          </w:p>
        </w:tc>
      </w:tr>
      <w:tr w14:paraId="677F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60" w:type="dxa"/>
            <w:vAlign w:val="center"/>
          </w:tcPr>
          <w:p w14:paraId="3634D3B7">
            <w:pPr>
              <w:rPr>
                <w:rFonts w:hint="eastAsia" w:ascii="宋体" w:hAnsi="宋体" w:eastAsia="宋体" w:cs="宋体"/>
                <w:color w:val="auto"/>
                <w:sz w:val="24"/>
                <w:szCs w:val="24"/>
                <w:highlight w:val="none"/>
              </w:rPr>
            </w:pPr>
          </w:p>
        </w:tc>
        <w:tc>
          <w:tcPr>
            <w:tcW w:w="3960" w:type="dxa"/>
            <w:gridSpan w:val="4"/>
            <w:vAlign w:val="center"/>
          </w:tcPr>
          <w:p w14:paraId="66DF33D0">
            <w:pPr>
              <w:rPr>
                <w:rFonts w:hint="eastAsia" w:ascii="宋体" w:hAnsi="宋体" w:eastAsia="宋体" w:cs="宋体"/>
                <w:color w:val="auto"/>
                <w:sz w:val="24"/>
                <w:szCs w:val="24"/>
                <w:highlight w:val="none"/>
              </w:rPr>
            </w:pPr>
          </w:p>
        </w:tc>
        <w:tc>
          <w:tcPr>
            <w:tcW w:w="1792" w:type="dxa"/>
            <w:gridSpan w:val="2"/>
            <w:vAlign w:val="center"/>
          </w:tcPr>
          <w:p w14:paraId="0782BC72">
            <w:pPr>
              <w:rPr>
                <w:rFonts w:hint="eastAsia" w:ascii="宋体" w:hAnsi="宋体" w:eastAsia="宋体" w:cs="宋体"/>
                <w:color w:val="auto"/>
                <w:sz w:val="24"/>
                <w:szCs w:val="24"/>
                <w:highlight w:val="none"/>
              </w:rPr>
            </w:pPr>
          </w:p>
        </w:tc>
        <w:tc>
          <w:tcPr>
            <w:tcW w:w="2517" w:type="dxa"/>
            <w:gridSpan w:val="2"/>
            <w:vAlign w:val="center"/>
          </w:tcPr>
          <w:p w14:paraId="687BB726">
            <w:pPr>
              <w:rPr>
                <w:rFonts w:hint="eastAsia" w:ascii="宋体" w:hAnsi="宋体" w:eastAsia="宋体" w:cs="宋体"/>
                <w:color w:val="auto"/>
                <w:sz w:val="24"/>
                <w:szCs w:val="24"/>
                <w:highlight w:val="none"/>
              </w:rPr>
            </w:pPr>
          </w:p>
        </w:tc>
      </w:tr>
      <w:tr w14:paraId="0BA8D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60" w:type="dxa"/>
            <w:vAlign w:val="center"/>
          </w:tcPr>
          <w:p w14:paraId="65F6ABB9">
            <w:pPr>
              <w:rPr>
                <w:rFonts w:hint="eastAsia" w:ascii="宋体" w:hAnsi="宋体" w:eastAsia="宋体" w:cs="宋体"/>
                <w:color w:val="auto"/>
                <w:sz w:val="24"/>
                <w:szCs w:val="24"/>
                <w:highlight w:val="none"/>
              </w:rPr>
            </w:pPr>
          </w:p>
        </w:tc>
        <w:tc>
          <w:tcPr>
            <w:tcW w:w="3960" w:type="dxa"/>
            <w:gridSpan w:val="4"/>
            <w:vAlign w:val="center"/>
          </w:tcPr>
          <w:p w14:paraId="3F77A0F1">
            <w:pPr>
              <w:rPr>
                <w:rFonts w:hint="eastAsia" w:ascii="宋体" w:hAnsi="宋体" w:eastAsia="宋体" w:cs="宋体"/>
                <w:color w:val="auto"/>
                <w:sz w:val="24"/>
                <w:szCs w:val="24"/>
                <w:highlight w:val="none"/>
              </w:rPr>
            </w:pPr>
          </w:p>
        </w:tc>
        <w:tc>
          <w:tcPr>
            <w:tcW w:w="1792" w:type="dxa"/>
            <w:gridSpan w:val="2"/>
            <w:vAlign w:val="center"/>
          </w:tcPr>
          <w:p w14:paraId="638BF6FF">
            <w:pPr>
              <w:rPr>
                <w:rFonts w:hint="eastAsia" w:ascii="宋体" w:hAnsi="宋体" w:eastAsia="宋体" w:cs="宋体"/>
                <w:color w:val="auto"/>
                <w:sz w:val="24"/>
                <w:szCs w:val="24"/>
                <w:highlight w:val="none"/>
              </w:rPr>
            </w:pPr>
          </w:p>
        </w:tc>
        <w:tc>
          <w:tcPr>
            <w:tcW w:w="2517" w:type="dxa"/>
            <w:gridSpan w:val="2"/>
            <w:vAlign w:val="center"/>
          </w:tcPr>
          <w:p w14:paraId="78886E50">
            <w:pPr>
              <w:rPr>
                <w:rFonts w:hint="eastAsia" w:ascii="宋体" w:hAnsi="宋体" w:eastAsia="宋体" w:cs="宋体"/>
                <w:color w:val="auto"/>
                <w:sz w:val="24"/>
                <w:szCs w:val="24"/>
                <w:highlight w:val="none"/>
              </w:rPr>
            </w:pPr>
          </w:p>
        </w:tc>
      </w:tr>
      <w:tr w14:paraId="3278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260" w:type="dxa"/>
            <w:vAlign w:val="center"/>
          </w:tcPr>
          <w:p w14:paraId="042579B6">
            <w:pPr>
              <w:rPr>
                <w:rFonts w:hint="eastAsia" w:ascii="宋体" w:hAnsi="宋体" w:eastAsia="宋体" w:cs="宋体"/>
                <w:color w:val="auto"/>
                <w:sz w:val="24"/>
                <w:szCs w:val="24"/>
                <w:highlight w:val="none"/>
              </w:rPr>
            </w:pPr>
          </w:p>
        </w:tc>
        <w:tc>
          <w:tcPr>
            <w:tcW w:w="3960" w:type="dxa"/>
            <w:gridSpan w:val="4"/>
            <w:vAlign w:val="center"/>
          </w:tcPr>
          <w:p w14:paraId="422C79D1">
            <w:pPr>
              <w:rPr>
                <w:rFonts w:hint="eastAsia" w:ascii="宋体" w:hAnsi="宋体" w:eastAsia="宋体" w:cs="宋体"/>
                <w:color w:val="auto"/>
                <w:sz w:val="24"/>
                <w:szCs w:val="24"/>
                <w:highlight w:val="none"/>
              </w:rPr>
            </w:pPr>
          </w:p>
        </w:tc>
        <w:tc>
          <w:tcPr>
            <w:tcW w:w="1792" w:type="dxa"/>
            <w:gridSpan w:val="2"/>
            <w:vAlign w:val="center"/>
          </w:tcPr>
          <w:p w14:paraId="5D04063A">
            <w:pPr>
              <w:rPr>
                <w:rFonts w:hint="eastAsia" w:ascii="宋体" w:hAnsi="宋体" w:eastAsia="宋体" w:cs="宋体"/>
                <w:color w:val="auto"/>
                <w:sz w:val="24"/>
                <w:szCs w:val="24"/>
                <w:highlight w:val="none"/>
              </w:rPr>
            </w:pPr>
          </w:p>
        </w:tc>
        <w:tc>
          <w:tcPr>
            <w:tcW w:w="2517" w:type="dxa"/>
            <w:gridSpan w:val="2"/>
            <w:vAlign w:val="center"/>
          </w:tcPr>
          <w:p w14:paraId="54C15D1C">
            <w:pPr>
              <w:rPr>
                <w:rFonts w:hint="eastAsia" w:ascii="宋体" w:hAnsi="宋体" w:eastAsia="宋体" w:cs="宋体"/>
                <w:color w:val="auto"/>
                <w:sz w:val="24"/>
                <w:szCs w:val="24"/>
                <w:highlight w:val="none"/>
              </w:rPr>
            </w:pPr>
          </w:p>
        </w:tc>
      </w:tr>
      <w:tr w14:paraId="373F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60" w:type="dxa"/>
            <w:vAlign w:val="center"/>
          </w:tcPr>
          <w:p w14:paraId="18BD05EA">
            <w:pPr>
              <w:rPr>
                <w:rFonts w:hint="eastAsia" w:ascii="宋体" w:hAnsi="宋体" w:eastAsia="宋体" w:cs="宋体"/>
                <w:color w:val="auto"/>
                <w:sz w:val="24"/>
                <w:szCs w:val="24"/>
                <w:highlight w:val="none"/>
              </w:rPr>
            </w:pPr>
          </w:p>
        </w:tc>
        <w:tc>
          <w:tcPr>
            <w:tcW w:w="3960" w:type="dxa"/>
            <w:gridSpan w:val="4"/>
            <w:vAlign w:val="center"/>
          </w:tcPr>
          <w:p w14:paraId="5E650703">
            <w:pPr>
              <w:rPr>
                <w:rFonts w:hint="eastAsia" w:ascii="宋体" w:hAnsi="宋体" w:eastAsia="宋体" w:cs="宋体"/>
                <w:color w:val="auto"/>
                <w:sz w:val="24"/>
                <w:szCs w:val="24"/>
                <w:highlight w:val="none"/>
              </w:rPr>
            </w:pPr>
          </w:p>
        </w:tc>
        <w:tc>
          <w:tcPr>
            <w:tcW w:w="1792" w:type="dxa"/>
            <w:gridSpan w:val="2"/>
            <w:vAlign w:val="center"/>
          </w:tcPr>
          <w:p w14:paraId="0A97D4A0">
            <w:pPr>
              <w:rPr>
                <w:rFonts w:hint="eastAsia" w:ascii="宋体" w:hAnsi="宋体" w:eastAsia="宋体" w:cs="宋体"/>
                <w:color w:val="auto"/>
                <w:sz w:val="24"/>
                <w:szCs w:val="24"/>
                <w:highlight w:val="none"/>
              </w:rPr>
            </w:pPr>
          </w:p>
        </w:tc>
        <w:tc>
          <w:tcPr>
            <w:tcW w:w="2517" w:type="dxa"/>
            <w:gridSpan w:val="2"/>
            <w:vAlign w:val="center"/>
          </w:tcPr>
          <w:p w14:paraId="152EE4AB">
            <w:pPr>
              <w:rPr>
                <w:rFonts w:hint="eastAsia" w:ascii="宋体" w:hAnsi="宋体" w:eastAsia="宋体" w:cs="宋体"/>
                <w:color w:val="auto"/>
                <w:sz w:val="24"/>
                <w:szCs w:val="24"/>
                <w:highlight w:val="none"/>
              </w:rPr>
            </w:pPr>
          </w:p>
        </w:tc>
      </w:tr>
      <w:tr w14:paraId="0E0D3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60" w:type="dxa"/>
            <w:vAlign w:val="center"/>
          </w:tcPr>
          <w:p w14:paraId="29E0B3CF">
            <w:pPr>
              <w:rPr>
                <w:rFonts w:hint="eastAsia" w:ascii="宋体" w:hAnsi="宋体" w:eastAsia="宋体" w:cs="宋体"/>
                <w:color w:val="auto"/>
                <w:sz w:val="24"/>
                <w:szCs w:val="24"/>
                <w:highlight w:val="none"/>
              </w:rPr>
            </w:pPr>
          </w:p>
        </w:tc>
        <w:tc>
          <w:tcPr>
            <w:tcW w:w="3960" w:type="dxa"/>
            <w:gridSpan w:val="4"/>
            <w:vAlign w:val="center"/>
          </w:tcPr>
          <w:p w14:paraId="15A978F9">
            <w:pPr>
              <w:rPr>
                <w:rFonts w:hint="eastAsia" w:ascii="宋体" w:hAnsi="宋体" w:eastAsia="宋体" w:cs="宋体"/>
                <w:color w:val="auto"/>
                <w:sz w:val="24"/>
                <w:szCs w:val="24"/>
                <w:highlight w:val="none"/>
              </w:rPr>
            </w:pPr>
          </w:p>
        </w:tc>
        <w:tc>
          <w:tcPr>
            <w:tcW w:w="1792" w:type="dxa"/>
            <w:gridSpan w:val="2"/>
            <w:vAlign w:val="center"/>
          </w:tcPr>
          <w:p w14:paraId="4070DFFC">
            <w:pPr>
              <w:rPr>
                <w:rFonts w:hint="eastAsia" w:ascii="宋体" w:hAnsi="宋体" w:eastAsia="宋体" w:cs="宋体"/>
                <w:color w:val="auto"/>
                <w:sz w:val="24"/>
                <w:szCs w:val="24"/>
                <w:highlight w:val="none"/>
              </w:rPr>
            </w:pPr>
          </w:p>
        </w:tc>
        <w:tc>
          <w:tcPr>
            <w:tcW w:w="2517" w:type="dxa"/>
            <w:gridSpan w:val="2"/>
            <w:vAlign w:val="center"/>
          </w:tcPr>
          <w:p w14:paraId="4DA30B75">
            <w:pPr>
              <w:rPr>
                <w:rFonts w:hint="eastAsia" w:ascii="宋体" w:hAnsi="宋体" w:eastAsia="宋体" w:cs="宋体"/>
                <w:color w:val="auto"/>
                <w:sz w:val="24"/>
                <w:szCs w:val="24"/>
                <w:highlight w:val="none"/>
              </w:rPr>
            </w:pPr>
          </w:p>
        </w:tc>
      </w:tr>
      <w:tr w14:paraId="02F4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60" w:type="dxa"/>
            <w:vAlign w:val="center"/>
          </w:tcPr>
          <w:p w14:paraId="7B31A1A5">
            <w:pPr>
              <w:rPr>
                <w:rFonts w:hint="eastAsia" w:ascii="宋体" w:hAnsi="宋体" w:eastAsia="宋体" w:cs="宋体"/>
                <w:color w:val="auto"/>
                <w:sz w:val="24"/>
                <w:szCs w:val="24"/>
                <w:highlight w:val="none"/>
              </w:rPr>
            </w:pPr>
          </w:p>
        </w:tc>
        <w:tc>
          <w:tcPr>
            <w:tcW w:w="3960" w:type="dxa"/>
            <w:gridSpan w:val="4"/>
            <w:vAlign w:val="center"/>
          </w:tcPr>
          <w:p w14:paraId="4CA7F723">
            <w:pPr>
              <w:rPr>
                <w:rFonts w:hint="eastAsia" w:ascii="宋体" w:hAnsi="宋体" w:eastAsia="宋体" w:cs="宋体"/>
                <w:color w:val="auto"/>
                <w:sz w:val="24"/>
                <w:szCs w:val="24"/>
                <w:highlight w:val="none"/>
              </w:rPr>
            </w:pPr>
          </w:p>
        </w:tc>
        <w:tc>
          <w:tcPr>
            <w:tcW w:w="1792" w:type="dxa"/>
            <w:gridSpan w:val="2"/>
            <w:vAlign w:val="center"/>
          </w:tcPr>
          <w:p w14:paraId="2E20535E">
            <w:pPr>
              <w:rPr>
                <w:rFonts w:hint="eastAsia" w:ascii="宋体" w:hAnsi="宋体" w:eastAsia="宋体" w:cs="宋体"/>
                <w:color w:val="auto"/>
                <w:sz w:val="24"/>
                <w:szCs w:val="24"/>
                <w:highlight w:val="none"/>
              </w:rPr>
            </w:pPr>
          </w:p>
        </w:tc>
        <w:tc>
          <w:tcPr>
            <w:tcW w:w="2517" w:type="dxa"/>
            <w:gridSpan w:val="2"/>
            <w:vAlign w:val="center"/>
          </w:tcPr>
          <w:p w14:paraId="66ED7B26">
            <w:pPr>
              <w:rPr>
                <w:rFonts w:hint="eastAsia" w:ascii="宋体" w:hAnsi="宋体" w:eastAsia="宋体" w:cs="宋体"/>
                <w:color w:val="auto"/>
                <w:sz w:val="24"/>
                <w:szCs w:val="24"/>
                <w:highlight w:val="none"/>
              </w:rPr>
            </w:pPr>
          </w:p>
        </w:tc>
      </w:tr>
      <w:tr w14:paraId="09EFA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60" w:type="dxa"/>
            <w:vAlign w:val="center"/>
          </w:tcPr>
          <w:p w14:paraId="0E2EC2D2">
            <w:pPr>
              <w:rPr>
                <w:rFonts w:hint="eastAsia" w:ascii="宋体" w:hAnsi="宋体" w:eastAsia="宋体" w:cs="宋体"/>
                <w:color w:val="auto"/>
                <w:sz w:val="24"/>
                <w:szCs w:val="24"/>
                <w:highlight w:val="none"/>
              </w:rPr>
            </w:pPr>
          </w:p>
        </w:tc>
        <w:tc>
          <w:tcPr>
            <w:tcW w:w="3960" w:type="dxa"/>
            <w:gridSpan w:val="4"/>
            <w:vAlign w:val="center"/>
          </w:tcPr>
          <w:p w14:paraId="21AF3F31">
            <w:pPr>
              <w:rPr>
                <w:rFonts w:hint="eastAsia" w:ascii="宋体" w:hAnsi="宋体" w:eastAsia="宋体" w:cs="宋体"/>
                <w:color w:val="auto"/>
                <w:sz w:val="24"/>
                <w:szCs w:val="24"/>
                <w:highlight w:val="none"/>
              </w:rPr>
            </w:pPr>
          </w:p>
        </w:tc>
        <w:tc>
          <w:tcPr>
            <w:tcW w:w="1792" w:type="dxa"/>
            <w:gridSpan w:val="2"/>
            <w:vAlign w:val="center"/>
          </w:tcPr>
          <w:p w14:paraId="6BBBBC61">
            <w:pPr>
              <w:rPr>
                <w:rFonts w:hint="eastAsia" w:ascii="宋体" w:hAnsi="宋体" w:eastAsia="宋体" w:cs="宋体"/>
                <w:color w:val="auto"/>
                <w:sz w:val="24"/>
                <w:szCs w:val="24"/>
                <w:highlight w:val="none"/>
              </w:rPr>
            </w:pPr>
          </w:p>
        </w:tc>
        <w:tc>
          <w:tcPr>
            <w:tcW w:w="2517" w:type="dxa"/>
            <w:gridSpan w:val="2"/>
            <w:vAlign w:val="center"/>
          </w:tcPr>
          <w:p w14:paraId="0F986CE7">
            <w:pPr>
              <w:rPr>
                <w:rFonts w:hint="eastAsia" w:ascii="宋体" w:hAnsi="宋体" w:eastAsia="宋体" w:cs="宋体"/>
                <w:color w:val="auto"/>
                <w:sz w:val="24"/>
                <w:szCs w:val="24"/>
                <w:highlight w:val="none"/>
              </w:rPr>
            </w:pPr>
          </w:p>
        </w:tc>
      </w:tr>
      <w:tr w14:paraId="06264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60" w:type="dxa"/>
            <w:vAlign w:val="center"/>
          </w:tcPr>
          <w:p w14:paraId="59A58816">
            <w:pPr>
              <w:rPr>
                <w:rFonts w:hint="eastAsia" w:ascii="宋体" w:hAnsi="宋体" w:eastAsia="宋体" w:cs="宋体"/>
                <w:color w:val="auto"/>
                <w:sz w:val="24"/>
                <w:szCs w:val="24"/>
                <w:highlight w:val="none"/>
              </w:rPr>
            </w:pPr>
          </w:p>
        </w:tc>
        <w:tc>
          <w:tcPr>
            <w:tcW w:w="3960" w:type="dxa"/>
            <w:gridSpan w:val="4"/>
            <w:vAlign w:val="center"/>
          </w:tcPr>
          <w:p w14:paraId="276CB727">
            <w:pPr>
              <w:rPr>
                <w:rFonts w:hint="eastAsia" w:ascii="宋体" w:hAnsi="宋体" w:eastAsia="宋体" w:cs="宋体"/>
                <w:color w:val="auto"/>
                <w:sz w:val="24"/>
                <w:szCs w:val="24"/>
                <w:highlight w:val="none"/>
              </w:rPr>
            </w:pPr>
          </w:p>
        </w:tc>
        <w:tc>
          <w:tcPr>
            <w:tcW w:w="1792" w:type="dxa"/>
            <w:gridSpan w:val="2"/>
            <w:vAlign w:val="center"/>
          </w:tcPr>
          <w:p w14:paraId="73758D0D">
            <w:pPr>
              <w:rPr>
                <w:rFonts w:hint="eastAsia" w:ascii="宋体" w:hAnsi="宋体" w:eastAsia="宋体" w:cs="宋体"/>
                <w:color w:val="auto"/>
                <w:sz w:val="24"/>
                <w:szCs w:val="24"/>
                <w:highlight w:val="none"/>
              </w:rPr>
            </w:pPr>
          </w:p>
        </w:tc>
        <w:tc>
          <w:tcPr>
            <w:tcW w:w="2517" w:type="dxa"/>
            <w:gridSpan w:val="2"/>
            <w:vAlign w:val="center"/>
          </w:tcPr>
          <w:p w14:paraId="12EA9AEA">
            <w:pPr>
              <w:rPr>
                <w:rFonts w:hint="eastAsia" w:ascii="宋体" w:hAnsi="宋体" w:eastAsia="宋体" w:cs="宋体"/>
                <w:color w:val="auto"/>
                <w:sz w:val="24"/>
                <w:szCs w:val="24"/>
                <w:highlight w:val="none"/>
              </w:rPr>
            </w:pPr>
          </w:p>
        </w:tc>
      </w:tr>
      <w:tr w14:paraId="09DC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60" w:type="dxa"/>
            <w:vAlign w:val="center"/>
          </w:tcPr>
          <w:p w14:paraId="1040DFA1">
            <w:pPr>
              <w:rPr>
                <w:rFonts w:hint="eastAsia" w:ascii="宋体" w:hAnsi="宋体" w:eastAsia="宋体" w:cs="宋体"/>
                <w:color w:val="auto"/>
                <w:sz w:val="24"/>
                <w:szCs w:val="24"/>
                <w:highlight w:val="none"/>
              </w:rPr>
            </w:pPr>
          </w:p>
        </w:tc>
        <w:tc>
          <w:tcPr>
            <w:tcW w:w="3960" w:type="dxa"/>
            <w:gridSpan w:val="4"/>
            <w:vAlign w:val="center"/>
          </w:tcPr>
          <w:p w14:paraId="1F911031">
            <w:pPr>
              <w:rPr>
                <w:rFonts w:hint="eastAsia" w:ascii="宋体" w:hAnsi="宋体" w:eastAsia="宋体" w:cs="宋体"/>
                <w:color w:val="auto"/>
                <w:sz w:val="24"/>
                <w:szCs w:val="24"/>
                <w:highlight w:val="none"/>
              </w:rPr>
            </w:pPr>
          </w:p>
        </w:tc>
        <w:tc>
          <w:tcPr>
            <w:tcW w:w="1792" w:type="dxa"/>
            <w:gridSpan w:val="2"/>
            <w:vAlign w:val="center"/>
          </w:tcPr>
          <w:p w14:paraId="39976444">
            <w:pPr>
              <w:rPr>
                <w:rFonts w:hint="eastAsia" w:ascii="宋体" w:hAnsi="宋体" w:eastAsia="宋体" w:cs="宋体"/>
                <w:color w:val="auto"/>
                <w:sz w:val="24"/>
                <w:szCs w:val="24"/>
                <w:highlight w:val="none"/>
              </w:rPr>
            </w:pPr>
          </w:p>
        </w:tc>
        <w:tc>
          <w:tcPr>
            <w:tcW w:w="2517" w:type="dxa"/>
            <w:gridSpan w:val="2"/>
            <w:vAlign w:val="center"/>
          </w:tcPr>
          <w:p w14:paraId="769199FD">
            <w:pPr>
              <w:rPr>
                <w:rFonts w:hint="eastAsia" w:ascii="宋体" w:hAnsi="宋体" w:eastAsia="宋体" w:cs="宋体"/>
                <w:color w:val="auto"/>
                <w:sz w:val="24"/>
                <w:szCs w:val="24"/>
                <w:highlight w:val="none"/>
              </w:rPr>
            </w:pPr>
          </w:p>
        </w:tc>
      </w:tr>
      <w:tr w14:paraId="43D45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260" w:type="dxa"/>
            <w:vAlign w:val="center"/>
          </w:tcPr>
          <w:p w14:paraId="32B264CA">
            <w:pPr>
              <w:rPr>
                <w:rFonts w:hint="eastAsia" w:ascii="宋体" w:hAnsi="宋体" w:eastAsia="宋体" w:cs="宋体"/>
                <w:color w:val="auto"/>
                <w:sz w:val="24"/>
                <w:szCs w:val="24"/>
                <w:highlight w:val="none"/>
              </w:rPr>
            </w:pPr>
          </w:p>
        </w:tc>
        <w:tc>
          <w:tcPr>
            <w:tcW w:w="3960" w:type="dxa"/>
            <w:gridSpan w:val="4"/>
            <w:vAlign w:val="center"/>
          </w:tcPr>
          <w:p w14:paraId="0DDB3D20">
            <w:pPr>
              <w:rPr>
                <w:rFonts w:hint="eastAsia" w:ascii="宋体" w:hAnsi="宋体" w:eastAsia="宋体" w:cs="宋体"/>
                <w:color w:val="auto"/>
                <w:sz w:val="24"/>
                <w:szCs w:val="24"/>
                <w:highlight w:val="none"/>
              </w:rPr>
            </w:pPr>
          </w:p>
        </w:tc>
        <w:tc>
          <w:tcPr>
            <w:tcW w:w="1792" w:type="dxa"/>
            <w:gridSpan w:val="2"/>
            <w:vAlign w:val="center"/>
          </w:tcPr>
          <w:p w14:paraId="248F5B5B">
            <w:pPr>
              <w:rPr>
                <w:rFonts w:hint="eastAsia" w:ascii="宋体" w:hAnsi="宋体" w:eastAsia="宋体" w:cs="宋体"/>
                <w:color w:val="auto"/>
                <w:sz w:val="24"/>
                <w:szCs w:val="24"/>
                <w:highlight w:val="none"/>
              </w:rPr>
            </w:pPr>
          </w:p>
        </w:tc>
        <w:tc>
          <w:tcPr>
            <w:tcW w:w="2517" w:type="dxa"/>
            <w:gridSpan w:val="2"/>
            <w:vAlign w:val="center"/>
          </w:tcPr>
          <w:p w14:paraId="66D32329">
            <w:pPr>
              <w:rPr>
                <w:rFonts w:hint="eastAsia" w:ascii="宋体" w:hAnsi="宋体" w:eastAsia="宋体" w:cs="宋体"/>
                <w:color w:val="auto"/>
                <w:sz w:val="24"/>
                <w:szCs w:val="24"/>
                <w:highlight w:val="none"/>
              </w:rPr>
            </w:pPr>
          </w:p>
        </w:tc>
      </w:tr>
    </w:tbl>
    <w:p w14:paraId="4E27581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后附：项目经理的注册执业资格证书、安全生产考核合格证书（B证）等复印件，或其他人员的相关证书复印件。</w:t>
      </w:r>
    </w:p>
    <w:p w14:paraId="100B2E0B">
      <w:pPr>
        <w:spacing w:line="360" w:lineRule="auto"/>
        <w:ind w:firstLine="480" w:firstLineChars="200"/>
        <w:rPr>
          <w:rFonts w:hint="eastAsia" w:ascii="宋体" w:hAnsi="宋体" w:eastAsia="宋体" w:cs="宋体"/>
          <w:color w:val="auto"/>
          <w:sz w:val="24"/>
          <w:szCs w:val="24"/>
          <w:highlight w:val="none"/>
        </w:rPr>
      </w:pPr>
    </w:p>
    <w:p w14:paraId="1C4EA8A8">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F9693CD">
      <w:pPr>
        <w:adjustRightInd w:val="0"/>
        <w:snapToGrid w:val="0"/>
        <w:spacing w:line="480" w:lineRule="auto"/>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八、项目经理无在建项目承诺书</w:t>
      </w:r>
    </w:p>
    <w:p w14:paraId="70397737">
      <w:pPr>
        <w:adjustRightInd w:val="0"/>
        <w:snapToGrid w:val="0"/>
        <w:spacing w:line="48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项目经理无在建项目承诺书</w:t>
      </w:r>
    </w:p>
    <w:p w14:paraId="2C229283">
      <w:pPr>
        <w:spacing w:line="360" w:lineRule="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致：</w:t>
      </w:r>
      <w:r>
        <w:rPr>
          <w:rFonts w:hint="eastAsia" w:ascii="宋体" w:hAnsi="宋体" w:cs="宋体"/>
          <w:color w:val="auto"/>
          <w:sz w:val="24"/>
          <w:szCs w:val="24"/>
          <w:highlight w:val="none"/>
          <w:u w:val="single"/>
          <w:lang w:val="en-US" w:eastAsia="zh-CN"/>
        </w:rPr>
        <w:t>宁波市公安局交通管理支队</w:t>
      </w:r>
      <w:r>
        <w:rPr>
          <w:rFonts w:hint="eastAsia" w:ascii="宋体" w:hAnsi="宋体" w:eastAsia="宋体" w:cs="宋体"/>
          <w:color w:val="auto"/>
          <w:sz w:val="24"/>
          <w:szCs w:val="24"/>
          <w:highlight w:val="none"/>
          <w:u w:val="single"/>
          <w:lang w:val="en-US" w:eastAsia="zh-CN"/>
        </w:rPr>
        <w:t>/宁波中基国际招标有限公司</w:t>
      </w:r>
    </w:p>
    <w:p w14:paraId="0BE30427">
      <w:pPr>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（法定代表人姓名）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（供应商名称）  </w:t>
      </w:r>
      <w:r>
        <w:rPr>
          <w:rFonts w:hint="eastAsia" w:ascii="宋体" w:hAnsi="宋体" w:eastAsia="宋体" w:cs="宋体"/>
          <w:color w:val="auto"/>
          <w:sz w:val="24"/>
          <w:szCs w:val="24"/>
          <w:highlight w:val="none"/>
        </w:rPr>
        <w:t>的法定代表人，现承诺本项目拟派的项目经理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，项目经理身份证号：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目前无在建工程。若有虚假一经查实，愿意承担一切责任，并承担由此造成的一切损失。</w:t>
      </w:r>
    </w:p>
    <w:p w14:paraId="414326EF">
      <w:pPr>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我方特此承诺。</w:t>
      </w:r>
    </w:p>
    <w:p w14:paraId="77FB7079">
      <w:pPr>
        <w:spacing w:line="360" w:lineRule="auto"/>
        <w:ind w:right="210"/>
        <w:jc w:val="right"/>
        <w:rPr>
          <w:rFonts w:hint="eastAsia" w:ascii="宋体" w:hAnsi="宋体" w:eastAsia="宋体" w:cs="宋体"/>
          <w:color w:val="auto"/>
          <w:sz w:val="24"/>
          <w:szCs w:val="24"/>
          <w:highlight w:val="none"/>
        </w:rPr>
      </w:pPr>
    </w:p>
    <w:p w14:paraId="0AB4D88D">
      <w:pPr>
        <w:spacing w:line="360" w:lineRule="auto"/>
        <w:jc w:val="right"/>
        <w:rPr>
          <w:rFonts w:hint="eastAsia" w:ascii="宋体" w:hAnsi="宋体" w:eastAsia="宋体" w:cs="宋体"/>
          <w:color w:val="auto"/>
          <w:sz w:val="24"/>
          <w:szCs w:val="24"/>
          <w:highlight w:val="none"/>
        </w:rPr>
      </w:pPr>
    </w:p>
    <w:p w14:paraId="6EE35A36">
      <w:pPr>
        <w:snapToGrid w:val="0"/>
        <w:spacing w:line="360" w:lineRule="auto"/>
        <w:ind w:firstLine="4212" w:firstLineChars="175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（填写全称并加盖公章)        </w:t>
      </w:r>
    </w:p>
    <w:p w14:paraId="7A12C121">
      <w:pPr>
        <w:snapToGrid w:val="0"/>
        <w:spacing w:line="360" w:lineRule="auto"/>
        <w:ind w:firstLine="4212" w:firstLineChars="175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1EC22C45">
      <w:pPr>
        <w:snapToGrid w:val="0"/>
        <w:spacing w:line="360" w:lineRule="auto"/>
        <w:rPr>
          <w:rFonts w:hint="eastAsia" w:ascii="宋体" w:hAnsi="宋体" w:eastAsia="宋体" w:cs="宋体"/>
          <w:color w:val="auto"/>
          <w:sz w:val="24"/>
          <w:szCs w:val="24"/>
          <w:highlight w:val="none"/>
        </w:rPr>
      </w:pPr>
    </w:p>
    <w:p w14:paraId="4E360D64">
      <w:pPr>
        <w:pStyle w:val="25"/>
        <w:spacing w:line="360" w:lineRule="auto"/>
        <w:jc w:val="center"/>
        <w:rPr>
          <w:rFonts w:hint="eastAsia" w:ascii="宋体" w:hAnsi="宋体" w:eastAsia="宋体" w:cs="宋体"/>
          <w:color w:val="auto"/>
          <w:sz w:val="24"/>
          <w:szCs w:val="24"/>
          <w:highlight w:val="none"/>
        </w:rPr>
      </w:pPr>
    </w:p>
    <w:p w14:paraId="6BA3ACA0">
      <w:pPr>
        <w:adjustRightInd w:val="0"/>
        <w:snapToGrid w:val="0"/>
        <w:spacing w:line="480" w:lineRule="auto"/>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cs="宋体"/>
          <w:b/>
          <w:bCs/>
          <w:color w:val="auto"/>
          <w:sz w:val="32"/>
          <w:szCs w:val="32"/>
          <w:highlight w:val="none"/>
          <w:lang w:val="en-US" w:eastAsia="zh-CN"/>
        </w:rPr>
        <w:t>九、施工组织设计</w:t>
      </w:r>
    </w:p>
    <w:p w14:paraId="6CE49FBD">
      <w:pPr>
        <w:spacing w:line="360" w:lineRule="auto"/>
        <w:rPr>
          <w:rFonts w:hint="eastAsia" w:ascii="宋体" w:hAnsi="宋体" w:cs="宋体"/>
          <w:b/>
          <w:color w:val="auto"/>
          <w:kern w:val="0"/>
          <w:sz w:val="32"/>
          <w:szCs w:val="32"/>
          <w:highlight w:val="none"/>
          <w:lang w:val="en-US" w:eastAsia="zh-CN"/>
        </w:rPr>
      </w:pPr>
      <w:r>
        <w:rPr>
          <w:rFonts w:hint="eastAsia" w:ascii="宋体" w:hAnsi="宋体" w:eastAsia="宋体" w:cs="宋体"/>
          <w:color w:val="auto"/>
          <w:sz w:val="24"/>
          <w:szCs w:val="24"/>
          <w:highlight w:val="none"/>
        </w:rPr>
        <w:t>应包括但不限于施工现场平面布置情况、施工方案、施工进度计划安排、施工质量保证措施、项目关键点、重难点分析及合理化建议、施工环保管理措施、突发事件应急措施、有必要说明的其他内容。</w:t>
      </w:r>
    </w:p>
    <w:p w14:paraId="5C7ED2C2">
      <w:pPr>
        <w:spacing w:line="360" w:lineRule="auto"/>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5F424BBC">
      <w:pPr>
        <w:snapToGrid w:val="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十</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14F18BA4">
      <w:pPr>
        <w:snapToGrid w:val="0"/>
        <w:spacing w:line="360" w:lineRule="auto"/>
        <w:rPr>
          <w:rFonts w:ascii="宋体" w:hAnsi="宋体" w:cs="宋体"/>
          <w:color w:val="auto"/>
          <w:sz w:val="24"/>
          <w:highlight w:val="none"/>
        </w:rPr>
      </w:pPr>
    </w:p>
    <w:p w14:paraId="40A5127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宁波市公安局交通管理支队</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2F2EE4E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891AF8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9C47C8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0AA95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391DBB5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1D34DF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291ED6F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1951F8D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5E985E4E">
      <w:pPr>
        <w:autoSpaceDE w:val="0"/>
        <w:autoSpaceDN w:val="0"/>
        <w:spacing w:line="360" w:lineRule="auto"/>
        <w:ind w:left="2"/>
        <w:jc w:val="left"/>
        <w:rPr>
          <w:rFonts w:ascii="宋体" w:hAnsi="宋体" w:cs="宋体"/>
          <w:color w:val="auto"/>
          <w:kern w:val="0"/>
          <w:sz w:val="24"/>
          <w:highlight w:val="none"/>
          <w:lang w:val="zh-CN"/>
        </w:rPr>
      </w:pPr>
    </w:p>
    <w:p w14:paraId="2025B2F7">
      <w:pPr>
        <w:autoSpaceDE w:val="0"/>
        <w:autoSpaceDN w:val="0"/>
        <w:spacing w:line="360" w:lineRule="auto"/>
        <w:ind w:left="2"/>
        <w:jc w:val="left"/>
        <w:rPr>
          <w:rFonts w:ascii="宋体" w:hAnsi="宋体" w:cs="宋体"/>
          <w:color w:val="auto"/>
          <w:kern w:val="0"/>
          <w:sz w:val="24"/>
          <w:highlight w:val="none"/>
          <w:lang w:val="zh-CN"/>
        </w:rPr>
      </w:pPr>
    </w:p>
    <w:p w14:paraId="61ADC5BF">
      <w:pPr>
        <w:autoSpaceDE w:val="0"/>
        <w:autoSpaceDN w:val="0"/>
        <w:spacing w:line="360" w:lineRule="auto"/>
        <w:ind w:left="2"/>
        <w:jc w:val="left"/>
        <w:rPr>
          <w:rFonts w:ascii="宋体" w:hAnsi="宋体" w:cs="宋体"/>
          <w:color w:val="auto"/>
          <w:kern w:val="0"/>
          <w:sz w:val="24"/>
          <w:highlight w:val="none"/>
          <w:lang w:val="zh-CN"/>
        </w:rPr>
      </w:pPr>
    </w:p>
    <w:p w14:paraId="3A565E68">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A436E9B">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E76F8F9">
      <w:pPr>
        <w:spacing w:line="360" w:lineRule="auto"/>
        <w:jc w:val="center"/>
        <w:rPr>
          <w:rFonts w:ascii="宋体" w:hAnsi="宋体" w:cs="宋体"/>
          <w:b/>
          <w:bCs/>
          <w:color w:val="auto"/>
          <w:sz w:val="24"/>
          <w:highlight w:val="none"/>
        </w:rPr>
      </w:pPr>
    </w:p>
    <w:p w14:paraId="6CE015F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954ADE8">
      <w:pPr>
        <w:spacing w:line="240" w:lineRule="auto"/>
        <w:jc w:val="left"/>
        <w:rPr>
          <w:rFonts w:ascii="宋体" w:hAnsi="宋体" w:cs="宋体"/>
          <w:b/>
          <w:bCs/>
          <w:color w:val="auto"/>
          <w:sz w:val="24"/>
          <w:highlight w:val="none"/>
        </w:rPr>
        <w:sectPr>
          <w:headerReference r:id="rId17" w:type="default"/>
          <w:footerReference r:id="rId18" w:type="default"/>
          <w:pgSz w:w="11905" w:h="16838"/>
          <w:pgMar w:top="1440" w:right="1440" w:bottom="1440" w:left="1440"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ascii="宋体" w:hAnsi="宋体" w:cs="宋体"/>
          <w:b/>
          <w:bCs/>
          <w:color w:val="auto"/>
          <w:sz w:val="24"/>
          <w:highlight w:val="none"/>
        </w:rPr>
        <w:br w:type="page"/>
      </w:r>
    </w:p>
    <w:p w14:paraId="33565013">
      <w:pPr>
        <w:spacing w:line="360" w:lineRule="auto"/>
        <w:jc w:val="center"/>
        <w:outlineLvl w:val="0"/>
        <w:rPr>
          <w:rFonts w:hint="eastAsia" w:ascii="宋体" w:hAnsi="宋体" w:cs="宋体"/>
          <w:b/>
          <w:color w:val="auto"/>
          <w:kern w:val="0"/>
          <w:sz w:val="36"/>
          <w:szCs w:val="36"/>
          <w:highlight w:val="none"/>
        </w:rPr>
      </w:pPr>
      <w:bookmarkStart w:id="1080" w:name="_Toc11255"/>
    </w:p>
    <w:p w14:paraId="46A0F1DC">
      <w:pPr>
        <w:spacing w:line="360" w:lineRule="auto"/>
        <w:jc w:val="center"/>
        <w:outlineLvl w:val="0"/>
        <w:rPr>
          <w:rFonts w:hint="eastAsia" w:ascii="宋体" w:hAnsi="宋体" w:cs="宋体"/>
          <w:b/>
          <w:color w:val="auto"/>
          <w:kern w:val="0"/>
          <w:sz w:val="36"/>
          <w:szCs w:val="36"/>
          <w:highlight w:val="none"/>
        </w:rPr>
      </w:pPr>
    </w:p>
    <w:p w14:paraId="687FCB17">
      <w:pPr>
        <w:spacing w:line="360" w:lineRule="auto"/>
        <w:jc w:val="center"/>
        <w:outlineLvl w:val="0"/>
        <w:rPr>
          <w:rFonts w:hint="eastAsia" w:ascii="宋体" w:hAnsi="宋体" w:cs="宋体"/>
          <w:b/>
          <w:color w:val="auto"/>
          <w:kern w:val="0"/>
          <w:sz w:val="36"/>
          <w:szCs w:val="36"/>
          <w:highlight w:val="none"/>
        </w:rPr>
      </w:pPr>
    </w:p>
    <w:p w14:paraId="4B52CBAD">
      <w:pPr>
        <w:spacing w:line="360" w:lineRule="auto"/>
        <w:jc w:val="center"/>
        <w:outlineLvl w:val="0"/>
        <w:rPr>
          <w:rFonts w:hint="eastAsia" w:ascii="宋体" w:hAnsi="宋体" w:cs="宋体"/>
          <w:b/>
          <w:color w:val="auto"/>
          <w:kern w:val="0"/>
          <w:sz w:val="36"/>
          <w:szCs w:val="36"/>
          <w:highlight w:val="none"/>
        </w:rPr>
      </w:pPr>
    </w:p>
    <w:p w14:paraId="39F83DBB">
      <w:pPr>
        <w:spacing w:line="360" w:lineRule="auto"/>
        <w:jc w:val="center"/>
        <w:outlineLvl w:val="0"/>
        <w:rPr>
          <w:rFonts w:hint="eastAsia" w:ascii="宋体" w:hAnsi="宋体" w:cs="宋体"/>
          <w:b/>
          <w:color w:val="auto"/>
          <w:kern w:val="0"/>
          <w:sz w:val="36"/>
          <w:szCs w:val="36"/>
          <w:highlight w:val="none"/>
        </w:rPr>
      </w:pPr>
    </w:p>
    <w:p w14:paraId="3A2DC3B6">
      <w:pPr>
        <w:spacing w:line="360" w:lineRule="auto"/>
        <w:jc w:val="center"/>
        <w:outlineLvl w:val="0"/>
        <w:rPr>
          <w:rFonts w:hint="eastAsia" w:ascii="宋体" w:hAnsi="宋体" w:cs="宋体"/>
          <w:b/>
          <w:color w:val="auto"/>
          <w:kern w:val="0"/>
          <w:sz w:val="36"/>
          <w:szCs w:val="36"/>
          <w:highlight w:val="none"/>
        </w:rPr>
      </w:pPr>
    </w:p>
    <w:p w14:paraId="7788AD3C">
      <w:pPr>
        <w:spacing w:line="360" w:lineRule="auto"/>
        <w:jc w:val="center"/>
        <w:outlineLvl w:val="0"/>
        <w:rPr>
          <w:rFonts w:hint="eastAsia" w:ascii="宋体" w:hAnsi="宋体" w:cs="宋体"/>
          <w:b/>
          <w:color w:val="auto"/>
          <w:kern w:val="0"/>
          <w:sz w:val="36"/>
          <w:szCs w:val="36"/>
          <w:highlight w:val="none"/>
        </w:rPr>
      </w:pPr>
    </w:p>
    <w:p w14:paraId="2AE70F76">
      <w:pPr>
        <w:spacing w:line="360" w:lineRule="auto"/>
        <w:jc w:val="center"/>
        <w:outlineLvl w:val="0"/>
        <w:rPr>
          <w:rFonts w:hint="eastAsia" w:ascii="宋体" w:hAnsi="宋体" w:cs="宋体"/>
          <w:b/>
          <w:color w:val="auto"/>
          <w:kern w:val="0"/>
          <w:sz w:val="36"/>
          <w:szCs w:val="36"/>
          <w:highlight w:val="none"/>
        </w:rPr>
      </w:pPr>
    </w:p>
    <w:p w14:paraId="3D972F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bookmarkEnd w:id="1080"/>
    </w:p>
    <w:p w14:paraId="0802D030">
      <w:pPr>
        <w:snapToGrid w:val="0"/>
        <w:spacing w:line="360" w:lineRule="auto"/>
        <w:ind w:right="480"/>
        <w:jc w:val="center"/>
        <w:rPr>
          <w:rFonts w:ascii="宋体" w:hAnsi="宋体" w:cs="宋体"/>
          <w:b/>
          <w:color w:val="auto"/>
          <w:kern w:val="0"/>
          <w:sz w:val="32"/>
          <w:szCs w:val="32"/>
          <w:highlight w:val="none"/>
        </w:rPr>
      </w:pPr>
    </w:p>
    <w:p w14:paraId="570595DC">
      <w:pPr>
        <w:snapToGrid w:val="0"/>
        <w:spacing w:line="360" w:lineRule="auto"/>
        <w:ind w:right="480"/>
        <w:jc w:val="center"/>
        <w:rPr>
          <w:rFonts w:ascii="宋体" w:hAnsi="宋体" w:cs="宋体"/>
          <w:b/>
          <w:color w:val="auto"/>
          <w:kern w:val="0"/>
          <w:sz w:val="32"/>
          <w:szCs w:val="32"/>
          <w:highlight w:val="none"/>
        </w:rPr>
      </w:pPr>
    </w:p>
    <w:p w14:paraId="3DB8F9E6">
      <w:pPr>
        <w:snapToGrid w:val="0"/>
        <w:spacing w:line="360" w:lineRule="auto"/>
        <w:ind w:right="480"/>
        <w:jc w:val="center"/>
        <w:rPr>
          <w:rFonts w:ascii="宋体" w:hAnsi="宋体" w:cs="宋体"/>
          <w:b/>
          <w:color w:val="auto"/>
          <w:kern w:val="0"/>
          <w:sz w:val="32"/>
          <w:szCs w:val="32"/>
          <w:highlight w:val="none"/>
        </w:rPr>
      </w:pPr>
    </w:p>
    <w:p w14:paraId="5D32925C">
      <w:pPr>
        <w:snapToGrid w:val="0"/>
        <w:spacing w:line="360" w:lineRule="auto"/>
        <w:ind w:right="480"/>
        <w:jc w:val="center"/>
        <w:rPr>
          <w:rFonts w:ascii="宋体" w:hAnsi="宋体" w:cs="宋体"/>
          <w:b/>
          <w:color w:val="auto"/>
          <w:kern w:val="0"/>
          <w:sz w:val="32"/>
          <w:szCs w:val="32"/>
          <w:highlight w:val="none"/>
        </w:rPr>
      </w:pPr>
    </w:p>
    <w:p w14:paraId="7BDA238C">
      <w:pPr>
        <w:snapToGrid w:val="0"/>
        <w:spacing w:line="360" w:lineRule="auto"/>
        <w:ind w:right="480"/>
        <w:jc w:val="center"/>
        <w:rPr>
          <w:rFonts w:ascii="宋体" w:hAnsi="宋体" w:cs="宋体"/>
          <w:b/>
          <w:color w:val="auto"/>
          <w:kern w:val="0"/>
          <w:sz w:val="32"/>
          <w:szCs w:val="32"/>
          <w:highlight w:val="none"/>
        </w:rPr>
      </w:pPr>
    </w:p>
    <w:p w14:paraId="6ACDDC1E">
      <w:pPr>
        <w:snapToGrid w:val="0"/>
        <w:spacing w:line="360" w:lineRule="auto"/>
        <w:ind w:right="480"/>
        <w:jc w:val="center"/>
        <w:rPr>
          <w:rFonts w:ascii="宋体" w:hAnsi="宋体" w:cs="宋体"/>
          <w:b/>
          <w:color w:val="auto"/>
          <w:kern w:val="0"/>
          <w:sz w:val="32"/>
          <w:szCs w:val="32"/>
          <w:highlight w:val="none"/>
        </w:rPr>
      </w:pPr>
    </w:p>
    <w:p w14:paraId="7768085C">
      <w:pPr>
        <w:snapToGrid w:val="0"/>
        <w:spacing w:line="360" w:lineRule="auto"/>
        <w:ind w:right="480"/>
        <w:jc w:val="center"/>
        <w:rPr>
          <w:rFonts w:ascii="宋体" w:hAnsi="宋体" w:cs="宋体"/>
          <w:b/>
          <w:color w:val="auto"/>
          <w:kern w:val="0"/>
          <w:sz w:val="32"/>
          <w:szCs w:val="32"/>
          <w:highlight w:val="none"/>
        </w:rPr>
      </w:pPr>
    </w:p>
    <w:p w14:paraId="311AF697">
      <w:pPr>
        <w:snapToGrid w:val="0"/>
        <w:spacing w:line="360" w:lineRule="auto"/>
        <w:ind w:right="480"/>
        <w:jc w:val="center"/>
        <w:rPr>
          <w:rFonts w:ascii="宋体" w:hAnsi="宋体" w:cs="宋体"/>
          <w:b/>
          <w:color w:val="auto"/>
          <w:kern w:val="0"/>
          <w:sz w:val="32"/>
          <w:szCs w:val="32"/>
          <w:highlight w:val="none"/>
        </w:rPr>
      </w:pPr>
    </w:p>
    <w:p w14:paraId="6ADF8EDA">
      <w:pPr>
        <w:snapToGrid w:val="0"/>
        <w:spacing w:line="360" w:lineRule="auto"/>
        <w:ind w:right="480"/>
        <w:jc w:val="center"/>
        <w:rPr>
          <w:rFonts w:ascii="宋体" w:hAnsi="宋体" w:cs="宋体"/>
          <w:b/>
          <w:color w:val="auto"/>
          <w:kern w:val="0"/>
          <w:sz w:val="32"/>
          <w:szCs w:val="32"/>
          <w:highlight w:val="none"/>
        </w:rPr>
      </w:pPr>
    </w:p>
    <w:p w14:paraId="01DEBC9F">
      <w:pPr>
        <w:snapToGrid w:val="0"/>
        <w:spacing w:line="360" w:lineRule="auto"/>
        <w:ind w:right="480"/>
        <w:jc w:val="center"/>
        <w:rPr>
          <w:rFonts w:ascii="宋体" w:hAnsi="宋体" w:cs="宋体"/>
          <w:b/>
          <w:color w:val="auto"/>
          <w:kern w:val="0"/>
          <w:sz w:val="32"/>
          <w:szCs w:val="32"/>
          <w:highlight w:val="none"/>
        </w:rPr>
      </w:pPr>
    </w:p>
    <w:p w14:paraId="78C73A00">
      <w:pPr>
        <w:snapToGrid w:val="0"/>
        <w:spacing w:line="360" w:lineRule="auto"/>
        <w:ind w:right="480"/>
        <w:jc w:val="center"/>
        <w:rPr>
          <w:rFonts w:ascii="宋体" w:hAnsi="宋体" w:cs="宋体"/>
          <w:b/>
          <w:color w:val="auto"/>
          <w:kern w:val="0"/>
          <w:sz w:val="32"/>
          <w:szCs w:val="32"/>
          <w:highlight w:val="none"/>
        </w:rPr>
      </w:pPr>
    </w:p>
    <w:p w14:paraId="7541179C">
      <w:pPr>
        <w:snapToGrid w:val="0"/>
        <w:spacing w:line="360" w:lineRule="auto"/>
        <w:ind w:right="480"/>
        <w:jc w:val="center"/>
        <w:rPr>
          <w:rFonts w:ascii="宋体" w:hAnsi="宋体" w:cs="宋体"/>
          <w:b/>
          <w:color w:val="auto"/>
          <w:kern w:val="0"/>
          <w:sz w:val="32"/>
          <w:szCs w:val="32"/>
          <w:highlight w:val="none"/>
        </w:rPr>
      </w:pPr>
    </w:p>
    <w:p w14:paraId="783E2D13">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21" w:type="first"/>
          <w:headerReference r:id="rId19" w:type="default"/>
          <w:footerReference r:id="rId20" w:type="default"/>
          <w:pgSz w:w="11905" w:h="16838"/>
          <w:pgMar w:top="1440" w:right="1440" w:bottom="1440" w:left="1440"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132513E4">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bookmarkStart w:id="1081" w:name="_Toc8448"/>
      <w:r>
        <w:rPr>
          <w:rFonts w:hint="eastAsia" w:ascii="宋体" w:hAnsi="宋体" w:eastAsia="宋体" w:cs="宋体"/>
          <w:color w:val="auto"/>
          <w:kern w:val="2"/>
          <w:sz w:val="32"/>
          <w:szCs w:val="32"/>
          <w:highlight w:val="none"/>
        </w:rPr>
        <w:t>一、报价单</w:t>
      </w:r>
      <w:bookmarkEnd w:id="1081"/>
    </w:p>
    <w:p w14:paraId="7265E07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宁波市公安局交通管理支队</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7321E8EC">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lang w:eastAsia="zh-CN"/>
        </w:rPr>
        <w:t>宁波市公安局交通管理支队海曙大队高桥中队修缮项目</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CBNB-20252346GGC</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03AD1EE5">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2"/>
        <w:gridCol w:w="2262"/>
        <w:gridCol w:w="2282"/>
        <w:gridCol w:w="2262"/>
        <w:gridCol w:w="3217"/>
        <w:gridCol w:w="1886"/>
      </w:tblGrid>
      <w:tr w14:paraId="55C52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98" w:type="pct"/>
            <w:vAlign w:val="center"/>
          </w:tcPr>
          <w:p w14:paraId="7240103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798" w:type="pct"/>
          </w:tcPr>
          <w:p w14:paraId="71CE94F4">
            <w:pPr>
              <w:spacing w:line="360" w:lineRule="auto"/>
              <w:jc w:val="center"/>
              <w:rPr>
                <w:rFonts w:ascii="宋体" w:hAnsi="宋体" w:cs="宋体"/>
                <w:b/>
                <w:color w:val="auto"/>
                <w:sz w:val="24"/>
                <w:highlight w:val="none"/>
              </w:rPr>
            </w:pPr>
          </w:p>
          <w:p w14:paraId="61E87F2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805" w:type="pct"/>
            <w:vAlign w:val="center"/>
          </w:tcPr>
          <w:p w14:paraId="5AF98A9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施工工期</w:t>
            </w:r>
          </w:p>
        </w:tc>
        <w:tc>
          <w:tcPr>
            <w:tcW w:w="798" w:type="pct"/>
            <w:vAlign w:val="center"/>
          </w:tcPr>
          <w:p w14:paraId="77FBD7D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1135" w:type="pct"/>
            <w:vAlign w:val="center"/>
          </w:tcPr>
          <w:p w14:paraId="6FDC0E8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664" w:type="pct"/>
            <w:vAlign w:val="center"/>
          </w:tcPr>
          <w:p w14:paraId="5F41A43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tc>
      </w:tr>
      <w:tr w14:paraId="0974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798" w:type="pct"/>
            <w:vAlign w:val="center"/>
          </w:tcPr>
          <w:p w14:paraId="742D6C7D">
            <w:pPr>
              <w:snapToGrid w:val="0"/>
              <w:spacing w:line="360" w:lineRule="auto"/>
              <w:jc w:val="center"/>
              <w:rPr>
                <w:rFonts w:ascii="宋体" w:hAnsi="宋体" w:cs="宋体"/>
                <w:color w:val="auto"/>
                <w:sz w:val="24"/>
                <w:highlight w:val="none"/>
              </w:rPr>
            </w:pPr>
          </w:p>
        </w:tc>
        <w:tc>
          <w:tcPr>
            <w:tcW w:w="798" w:type="pct"/>
            <w:vAlign w:val="center"/>
          </w:tcPr>
          <w:p w14:paraId="3990D65B">
            <w:pPr>
              <w:snapToGrid w:val="0"/>
              <w:spacing w:line="360" w:lineRule="auto"/>
              <w:jc w:val="center"/>
              <w:rPr>
                <w:rFonts w:ascii="宋体" w:hAnsi="宋体" w:cs="宋体"/>
                <w:color w:val="auto"/>
                <w:sz w:val="24"/>
                <w:highlight w:val="none"/>
              </w:rPr>
            </w:pPr>
          </w:p>
        </w:tc>
        <w:tc>
          <w:tcPr>
            <w:tcW w:w="805" w:type="pct"/>
            <w:vAlign w:val="center"/>
          </w:tcPr>
          <w:p w14:paraId="1A650E38">
            <w:pPr>
              <w:snapToGrid w:val="0"/>
              <w:spacing w:line="360" w:lineRule="auto"/>
              <w:jc w:val="center"/>
              <w:rPr>
                <w:rFonts w:ascii="宋体" w:hAnsi="宋体" w:cs="宋体"/>
                <w:color w:val="auto"/>
                <w:sz w:val="24"/>
                <w:highlight w:val="none"/>
              </w:rPr>
            </w:pPr>
          </w:p>
        </w:tc>
        <w:tc>
          <w:tcPr>
            <w:tcW w:w="798" w:type="pct"/>
            <w:vAlign w:val="center"/>
          </w:tcPr>
          <w:p w14:paraId="671D0D60">
            <w:pPr>
              <w:spacing w:line="360" w:lineRule="auto"/>
              <w:jc w:val="center"/>
              <w:rPr>
                <w:rFonts w:ascii="宋体" w:hAnsi="宋体" w:cs="宋体"/>
                <w:color w:val="auto"/>
                <w:sz w:val="24"/>
                <w:highlight w:val="none"/>
              </w:rPr>
            </w:pPr>
          </w:p>
        </w:tc>
        <w:tc>
          <w:tcPr>
            <w:tcW w:w="1135" w:type="pct"/>
            <w:vAlign w:val="center"/>
          </w:tcPr>
          <w:p w14:paraId="7C94EDBE">
            <w:pPr>
              <w:spacing w:line="360" w:lineRule="auto"/>
              <w:jc w:val="center"/>
              <w:rPr>
                <w:rFonts w:ascii="宋体" w:hAnsi="宋体" w:cs="宋体"/>
                <w:color w:val="auto"/>
                <w:sz w:val="24"/>
                <w:highlight w:val="none"/>
              </w:rPr>
            </w:pPr>
          </w:p>
        </w:tc>
        <w:tc>
          <w:tcPr>
            <w:tcW w:w="664" w:type="pct"/>
            <w:vAlign w:val="center"/>
          </w:tcPr>
          <w:p w14:paraId="72A37615">
            <w:pPr>
              <w:spacing w:line="360" w:lineRule="auto"/>
              <w:jc w:val="center"/>
              <w:rPr>
                <w:rFonts w:ascii="宋体" w:hAnsi="宋体" w:cs="宋体"/>
                <w:color w:val="auto"/>
                <w:sz w:val="24"/>
                <w:highlight w:val="none"/>
              </w:rPr>
            </w:pPr>
          </w:p>
        </w:tc>
      </w:tr>
      <w:tr w14:paraId="1F39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401" w:type="pct"/>
            <w:gridSpan w:val="3"/>
            <w:vAlign w:val="center"/>
          </w:tcPr>
          <w:p w14:paraId="4892710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2598" w:type="pct"/>
            <w:gridSpan w:val="3"/>
            <w:vAlign w:val="center"/>
          </w:tcPr>
          <w:p w14:paraId="0DE04367">
            <w:pPr>
              <w:spacing w:line="360" w:lineRule="auto"/>
              <w:jc w:val="center"/>
              <w:rPr>
                <w:rFonts w:ascii="宋体" w:hAnsi="宋体" w:cs="宋体"/>
                <w:color w:val="auto"/>
                <w:sz w:val="24"/>
                <w:highlight w:val="none"/>
              </w:rPr>
            </w:pPr>
          </w:p>
        </w:tc>
      </w:tr>
      <w:tr w14:paraId="1BDAF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401" w:type="pct"/>
            <w:gridSpan w:val="3"/>
            <w:vAlign w:val="center"/>
          </w:tcPr>
          <w:p w14:paraId="2DBD5A5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2598" w:type="pct"/>
            <w:gridSpan w:val="3"/>
            <w:vAlign w:val="center"/>
          </w:tcPr>
          <w:p w14:paraId="7B53D834">
            <w:pPr>
              <w:spacing w:line="360" w:lineRule="auto"/>
              <w:jc w:val="center"/>
              <w:rPr>
                <w:rFonts w:ascii="宋体" w:hAnsi="宋体" w:cs="宋体"/>
                <w:color w:val="auto"/>
                <w:sz w:val="24"/>
                <w:highlight w:val="none"/>
              </w:rPr>
            </w:pPr>
          </w:p>
        </w:tc>
      </w:tr>
    </w:tbl>
    <w:p w14:paraId="1857BA7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9838DF7">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p>
    <w:p w14:paraId="2FAEF8E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cs="仿宋_GB2312" w:asciiTheme="minorEastAsia" w:hAnsiTheme="minorEastAsia" w:eastAsiaTheme="minorEastAsia"/>
          <w:color w:val="auto"/>
          <w:kern w:val="0"/>
          <w:sz w:val="24"/>
          <w:szCs w:val="24"/>
          <w:highlight w:val="none"/>
          <w:lang w:val="en-US" w:eastAsia="zh-CN" w:bidi="ar-SA"/>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p>
    <w:p w14:paraId="5DD2969F">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70F90E9D">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en-US" w:eastAsia="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C9EC21C">
      <w:pPr>
        <w:spacing w:line="360" w:lineRule="auto"/>
        <w:ind w:firstLine="482" w:firstLineChars="200"/>
        <w:rPr>
          <w:rFonts w:ascii="宋体" w:hAnsi="宋体" w:cs="宋体"/>
          <w:b/>
          <w:color w:val="auto"/>
          <w:kern w:val="0"/>
          <w:sz w:val="24"/>
          <w:highlight w:val="none"/>
        </w:rPr>
      </w:pPr>
    </w:p>
    <w:p w14:paraId="57D6349C">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632344DB">
      <w:pPr>
        <w:rPr>
          <w:rFonts w:ascii="宋体" w:hAnsi="宋体" w:eastAsia="宋体" w:cs="宋体"/>
          <w:color w:val="auto"/>
          <w:kern w:val="2"/>
          <w:sz w:val="32"/>
          <w:szCs w:val="32"/>
          <w:highlight w:val="none"/>
        </w:rPr>
      </w:pPr>
      <w:r>
        <w:rPr>
          <w:rFonts w:ascii="宋体" w:hAnsi="宋体" w:eastAsia="宋体" w:cs="宋体"/>
          <w:color w:val="auto"/>
          <w:kern w:val="2"/>
          <w:sz w:val="32"/>
          <w:szCs w:val="32"/>
          <w:highlight w:val="none"/>
        </w:rPr>
        <w:br w:type="page"/>
      </w:r>
    </w:p>
    <w:p w14:paraId="75EC06D4">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5" w:orient="landscape"/>
          <w:pgMar w:top="1440" w:right="1440" w:bottom="1440" w:left="1440"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19BF8455">
      <w:pPr>
        <w:pStyle w:val="695"/>
        <w:keepNext w:val="0"/>
        <w:pageBreakBefore w:val="0"/>
        <w:tabs>
          <w:tab w:val="clear" w:pos="720"/>
        </w:tabs>
        <w:snapToGrid w:val="0"/>
        <w:spacing w:before="120" w:after="120"/>
        <w:outlineLvl w:val="9"/>
        <w:rPr>
          <w:rFonts w:hint="eastAsia" w:ascii="宋体" w:hAnsi="宋体" w:eastAsia="宋体" w:cs="宋体"/>
          <w:color w:val="auto"/>
          <w:kern w:val="2"/>
          <w:sz w:val="32"/>
          <w:szCs w:val="32"/>
          <w:highlight w:val="none"/>
        </w:rPr>
      </w:pPr>
      <w:bookmarkStart w:id="1082" w:name="_Toc23729"/>
      <w:bookmarkStart w:id="1083" w:name="_Toc11139"/>
      <w:bookmarkStart w:id="1084" w:name="_Toc465665161"/>
      <w:r>
        <w:rPr>
          <w:rFonts w:hint="eastAsia" w:ascii="宋体" w:hAnsi="宋体" w:eastAsia="宋体" w:cs="宋体"/>
          <w:color w:val="auto"/>
          <w:kern w:val="2"/>
          <w:sz w:val="32"/>
          <w:szCs w:val="32"/>
          <w:highlight w:val="none"/>
        </w:rPr>
        <w:t>二、已标价工程量清单</w:t>
      </w:r>
      <w:bookmarkEnd w:id="1082"/>
    </w:p>
    <w:p w14:paraId="557337E5">
      <w:pPr>
        <w:ind w:right="420"/>
        <w:rPr>
          <w:rFonts w:hint="eastAsia" w:ascii="宋体" w:hAnsi="宋体" w:cs="宋体"/>
          <w:color w:val="auto"/>
          <w:sz w:val="24"/>
          <w:highlight w:val="none"/>
        </w:rPr>
      </w:pPr>
      <w:r>
        <w:rPr>
          <w:rFonts w:hint="eastAsia" w:ascii="宋体" w:hAnsi="宋体" w:cs="宋体"/>
          <w:color w:val="auto"/>
          <w:sz w:val="24"/>
          <w:highlight w:val="none"/>
        </w:rPr>
        <w:t xml:space="preserve">注：此处提交采购人提供的预算报告，结算按预算内综合单价结合中标浮动率进行计算 </w:t>
      </w:r>
    </w:p>
    <w:p w14:paraId="730A3F41">
      <w:pPr>
        <w:pStyle w:val="61"/>
        <w:ind w:firstLine="480"/>
        <w:rPr>
          <w:rFonts w:hint="eastAsia" w:cs="宋体"/>
          <w:color w:val="auto"/>
          <w:sz w:val="24"/>
          <w:highlight w:val="none"/>
        </w:rPr>
      </w:pPr>
    </w:p>
    <w:p w14:paraId="04E60AB7">
      <w:pPr>
        <w:rPr>
          <w:rFonts w:hint="eastAsia" w:ascii="宋体" w:hAnsi="宋体" w:cs="宋体"/>
          <w:color w:val="auto"/>
          <w:highlight w:val="none"/>
          <w:lang w:eastAsia="zh-CN"/>
        </w:rPr>
      </w:pPr>
      <w:r>
        <w:rPr>
          <w:rFonts w:hint="eastAsia" w:ascii="宋体" w:hAnsi="宋体" w:cs="宋体"/>
          <w:color w:val="auto"/>
          <w:highlight w:val="none"/>
        </w:rPr>
        <w:t>浮动率=【（</w:t>
      </w:r>
      <w:r>
        <w:rPr>
          <w:rFonts w:hint="eastAsia" w:ascii="宋体" w:hAnsi="宋体" w:cs="宋体"/>
          <w:color w:val="auto"/>
          <w:highlight w:val="none"/>
          <w:lang w:val="en-US" w:eastAsia="zh-CN"/>
        </w:rPr>
        <w:t>最终</w:t>
      </w:r>
      <w:r>
        <w:rPr>
          <w:rFonts w:hint="eastAsia" w:ascii="宋体" w:hAnsi="宋体" w:cs="宋体"/>
          <w:color w:val="auto"/>
          <w:highlight w:val="none"/>
        </w:rPr>
        <w:t>报价－</w:t>
      </w:r>
      <w:r>
        <w:rPr>
          <w:rFonts w:hint="eastAsia" w:ascii="宋体" w:hAnsi="宋体" w:cs="宋体"/>
          <w:color w:val="auto"/>
          <w:highlight w:val="none"/>
          <w:lang w:val="en-US" w:eastAsia="zh-CN"/>
        </w:rPr>
        <w:t>暂估价-渣土清运费-</w:t>
      </w:r>
      <w:r>
        <w:rPr>
          <w:rFonts w:hint="eastAsia" w:ascii="宋体" w:hAnsi="宋体" w:cs="宋体"/>
          <w:color w:val="auto"/>
          <w:highlight w:val="none"/>
        </w:rPr>
        <w:t>暂列金）/（招标控制价－</w:t>
      </w:r>
      <w:r>
        <w:rPr>
          <w:rFonts w:hint="eastAsia" w:ascii="宋体" w:hAnsi="宋体" w:cs="宋体"/>
          <w:color w:val="auto"/>
          <w:highlight w:val="none"/>
          <w:lang w:val="en-US" w:eastAsia="zh-CN"/>
        </w:rPr>
        <w:t>暂估价-渣土清运费-</w:t>
      </w:r>
      <w:r>
        <w:rPr>
          <w:rFonts w:hint="eastAsia" w:ascii="宋体" w:hAnsi="宋体" w:cs="宋体"/>
          <w:color w:val="auto"/>
          <w:highlight w:val="none"/>
        </w:rPr>
        <w:t>暂列金）-1】×100%</w:t>
      </w:r>
      <w:r>
        <w:rPr>
          <w:rFonts w:hint="eastAsia" w:ascii="宋体" w:hAnsi="宋体" w:cs="宋体"/>
          <w:color w:val="auto"/>
          <w:highlight w:val="none"/>
          <w:lang w:eastAsia="zh-CN"/>
        </w:rPr>
        <w:t>。</w:t>
      </w:r>
    </w:p>
    <w:p w14:paraId="3B364F06">
      <w:pPr>
        <w:pStyle w:val="61"/>
        <w:rPr>
          <w:rFonts w:hint="eastAsia" w:ascii="宋体" w:hAnsi="宋体" w:cs="宋体"/>
          <w:color w:val="auto"/>
          <w:highlight w:val="none"/>
          <w:lang w:eastAsia="zh-CN"/>
        </w:rPr>
      </w:pPr>
    </w:p>
    <w:p w14:paraId="6986A9A3">
      <w:pPr>
        <w:pStyle w:val="61"/>
        <w:ind w:left="0" w:leftChars="0" w:firstLine="0" w:firstLineChars="0"/>
        <w:rPr>
          <w:rFonts w:hint="eastAsia" w:ascii="宋体" w:hAnsi="宋体" w:eastAsia="宋体" w:cs="宋体"/>
          <w:color w:val="auto"/>
          <w:highlight w:val="none"/>
          <w:lang w:eastAsia="zh-CN"/>
        </w:rPr>
      </w:pPr>
      <w:r>
        <w:rPr>
          <w:rFonts w:hint="eastAsia" w:cs="宋体"/>
          <w:color w:val="auto"/>
          <w:highlight w:val="none"/>
        </w:rPr>
        <w:t>浮动率正数表示上浮，负数表示下浮</w:t>
      </w:r>
      <w:r>
        <w:rPr>
          <w:rFonts w:hint="eastAsia" w:cs="宋体"/>
          <w:color w:val="auto"/>
          <w:highlight w:val="none"/>
          <w:lang w:eastAsia="zh-CN"/>
        </w:rPr>
        <w:t>。</w:t>
      </w:r>
    </w:p>
    <w:p w14:paraId="4F629B72">
      <w:pPr>
        <w:pStyle w:val="3"/>
        <w:keepNext w:val="0"/>
        <w:keepLines w:val="0"/>
        <w:pageBreakBefore/>
        <w:widowControl/>
        <w:spacing w:before="100" w:beforeAutospacing="1" w:after="100" w:afterAutospacing="1" w:line="360" w:lineRule="auto"/>
        <w:jc w:val="center"/>
        <w:rPr>
          <w:rFonts w:ascii="宋体" w:hAnsi="宋体" w:cs="宋体"/>
          <w:color w:val="auto"/>
          <w:highlight w:val="none"/>
        </w:rPr>
      </w:pPr>
      <w:r>
        <w:rPr>
          <w:rFonts w:hint="eastAsia" w:ascii="宋体" w:hAnsi="宋体" w:cs="宋体"/>
          <w:color w:val="auto"/>
          <w:highlight w:val="none"/>
        </w:rPr>
        <w:t>附件</w:t>
      </w:r>
      <w:bookmarkEnd w:id="1083"/>
      <w:bookmarkEnd w:id="1084"/>
    </w:p>
    <w:p w14:paraId="16F333C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6D0CC31">
      <w:pPr>
        <w:spacing w:line="360" w:lineRule="auto"/>
        <w:jc w:val="center"/>
        <w:rPr>
          <w:rFonts w:ascii="宋体" w:hAnsi="宋体" w:cs="宋体"/>
          <w:b/>
          <w:color w:val="auto"/>
          <w:spacing w:val="6"/>
          <w:sz w:val="32"/>
          <w:szCs w:val="32"/>
          <w:highlight w:val="none"/>
        </w:rPr>
      </w:pPr>
      <w:bookmarkStart w:id="1085" w:name="OLE_LINK14"/>
      <w:bookmarkStart w:id="1086" w:name="OLE_LINK13"/>
      <w:r>
        <w:rPr>
          <w:rFonts w:hint="eastAsia" w:ascii="宋体" w:hAnsi="宋体" w:cs="宋体"/>
          <w:b/>
          <w:color w:val="auto"/>
          <w:spacing w:val="6"/>
          <w:sz w:val="32"/>
          <w:szCs w:val="32"/>
          <w:highlight w:val="none"/>
        </w:rPr>
        <w:t>残疾人福利性单位声明函</w:t>
      </w:r>
    </w:p>
    <w:bookmarkEnd w:id="1085"/>
    <w:bookmarkEnd w:id="1086"/>
    <w:p w14:paraId="64A8A925">
      <w:pPr>
        <w:spacing w:line="360" w:lineRule="auto"/>
        <w:rPr>
          <w:rFonts w:ascii="宋体" w:hAnsi="宋体" w:cs="宋体"/>
          <w:b/>
          <w:color w:val="auto"/>
          <w:spacing w:val="6"/>
          <w:sz w:val="30"/>
          <w:szCs w:val="30"/>
          <w:highlight w:val="none"/>
        </w:rPr>
      </w:pPr>
    </w:p>
    <w:p w14:paraId="12CB31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EFCF2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2BB031F">
      <w:pPr>
        <w:spacing w:line="360" w:lineRule="auto"/>
        <w:ind w:firstLine="480" w:firstLineChars="200"/>
        <w:rPr>
          <w:rFonts w:ascii="宋体" w:hAnsi="宋体" w:cs="宋体"/>
          <w:color w:val="auto"/>
          <w:sz w:val="24"/>
          <w:highlight w:val="none"/>
        </w:rPr>
      </w:pPr>
    </w:p>
    <w:p w14:paraId="491B54F6">
      <w:pPr>
        <w:spacing w:line="360" w:lineRule="auto"/>
        <w:ind w:firstLine="480" w:firstLineChars="200"/>
        <w:rPr>
          <w:rFonts w:ascii="宋体" w:hAnsi="宋体" w:cs="宋体"/>
          <w:color w:val="auto"/>
          <w:sz w:val="24"/>
          <w:highlight w:val="none"/>
        </w:rPr>
      </w:pPr>
    </w:p>
    <w:p w14:paraId="490E2257">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7B9D2347">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01CC7A4C">
      <w:pPr>
        <w:spacing w:line="360" w:lineRule="auto"/>
        <w:ind w:firstLine="480" w:firstLineChars="200"/>
        <w:rPr>
          <w:rFonts w:ascii="宋体" w:hAnsi="宋体" w:cs="宋体"/>
          <w:color w:val="auto"/>
          <w:sz w:val="24"/>
          <w:highlight w:val="none"/>
        </w:rPr>
      </w:pPr>
    </w:p>
    <w:p w14:paraId="33B27A64">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备注：享受政府采购支持政策的残疾人福利性单位应当同时满足以下条件：</w:t>
      </w:r>
    </w:p>
    <w:p w14:paraId="5154C1B2">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（一）安置的残疾人占本单位在职职工人数的比例不低于25%（含25%），并且安置的残疾人人数不少于10人（含10人）；</w:t>
      </w:r>
    </w:p>
    <w:p w14:paraId="13134DF6">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（二）依法与安置的每位残疾人签订了一年以上（含一年）的劳动合同或服务协议；</w:t>
      </w:r>
    </w:p>
    <w:p w14:paraId="400862CB">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（三）为安置的每位残疾人按月足额缴纳了基本养老保险、基本医疗保险、失业保险、工伤保险和生育保险等社会保险费；</w:t>
      </w:r>
    </w:p>
    <w:p w14:paraId="06A6FF05">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（四）通过银行等金融机构向安置的每位残疾人，按月支付了不低于单位所在区县适用的经省级人民政府批准的月最低工资标准的工资；</w:t>
      </w:r>
    </w:p>
    <w:p w14:paraId="27335643">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（五）提供本单位制造的货物、承担的工程或者服务（以下简称产品），或者提供其他残疾人福利性单位制造的货物（不包括使用非残疾人福利性单位注册商标的货物）。</w:t>
      </w:r>
    </w:p>
    <w:p w14:paraId="27DFE71C">
      <w:pPr>
        <w:spacing w:line="360" w:lineRule="auto"/>
        <w:ind w:firstLine="360" w:firstLineChars="200"/>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4479AAD">
      <w:pPr>
        <w:spacing w:line="360" w:lineRule="auto"/>
        <w:ind w:firstLine="420" w:firstLineChars="200"/>
        <w:rPr>
          <w:rFonts w:ascii="宋体" w:hAnsi="宋体" w:cs="宋体"/>
          <w:color w:val="auto"/>
          <w:highlight w:val="none"/>
        </w:rPr>
      </w:pPr>
    </w:p>
    <w:p w14:paraId="17A38BBD">
      <w:pPr>
        <w:spacing w:line="360" w:lineRule="auto"/>
        <w:ind w:firstLine="420" w:firstLineChars="200"/>
        <w:rPr>
          <w:rFonts w:ascii="宋体" w:hAnsi="宋体" w:cs="宋体"/>
          <w:color w:val="auto"/>
          <w:highlight w:val="none"/>
        </w:rPr>
      </w:pPr>
    </w:p>
    <w:p w14:paraId="459C826D">
      <w:pPr>
        <w:spacing w:line="360" w:lineRule="auto"/>
        <w:ind w:firstLine="420" w:firstLineChars="200"/>
        <w:rPr>
          <w:rFonts w:ascii="宋体" w:hAnsi="宋体" w:cs="宋体"/>
          <w:color w:val="auto"/>
          <w:highlight w:val="none"/>
        </w:rPr>
      </w:pPr>
    </w:p>
    <w:p w14:paraId="1F50FB16">
      <w:pPr>
        <w:autoSpaceDE w:val="0"/>
        <w:autoSpaceDN w:val="0"/>
        <w:jc w:val="both"/>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cs="宋体"/>
          <w:b/>
          <w:color w:val="auto"/>
          <w:spacing w:val="6"/>
          <w:sz w:val="32"/>
          <w:szCs w:val="32"/>
          <w:highlight w:val="none"/>
        </w:rPr>
        <w:t>：</w:t>
      </w:r>
    </w:p>
    <w:p w14:paraId="5FF2FB07">
      <w:pPr>
        <w:autoSpaceDE w:val="0"/>
        <w:autoSpaceDN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业务专用章使用说明函</w:t>
      </w:r>
    </w:p>
    <w:p w14:paraId="631E22F9">
      <w:pPr>
        <w:spacing w:line="360" w:lineRule="auto"/>
        <w:rPr>
          <w:rFonts w:ascii="宋体" w:hAnsi="宋体" w:cs="宋体"/>
          <w:color w:val="auto"/>
          <w:sz w:val="24"/>
          <w:highlight w:val="none"/>
          <w:u w:val="single"/>
        </w:rPr>
      </w:pPr>
    </w:p>
    <w:p w14:paraId="7DB0F2DE">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u w:val="single"/>
          <w:lang w:eastAsia="zh-CN"/>
        </w:rPr>
        <w:t>宁波市公安局交通管理支队</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宁波中基国际招标有限公司</w:t>
      </w:r>
    </w:p>
    <w:p w14:paraId="3ACE58B4">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宁波市公安局交通管理支队海曙大队高桥中队修缮项目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CBNB-20252346GGC</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2CA2BE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2621B7E">
      <w:pPr>
        <w:spacing w:line="360" w:lineRule="auto"/>
        <w:ind w:firstLine="494"/>
        <w:rPr>
          <w:rFonts w:ascii="宋体" w:hAnsi="宋体" w:cs="宋体"/>
          <w:color w:val="auto"/>
          <w:sz w:val="24"/>
          <w:highlight w:val="none"/>
        </w:rPr>
      </w:pPr>
    </w:p>
    <w:p w14:paraId="63ADB6CA">
      <w:pPr>
        <w:spacing w:line="360" w:lineRule="auto"/>
        <w:ind w:firstLine="494"/>
        <w:rPr>
          <w:rFonts w:ascii="宋体" w:hAnsi="宋体" w:cs="宋体"/>
          <w:color w:val="auto"/>
          <w:sz w:val="24"/>
          <w:highlight w:val="none"/>
        </w:rPr>
      </w:pPr>
    </w:p>
    <w:p w14:paraId="0058DA15">
      <w:pPr>
        <w:spacing w:line="360" w:lineRule="auto"/>
        <w:ind w:firstLine="494"/>
        <w:rPr>
          <w:rFonts w:ascii="宋体" w:hAnsi="宋体" w:cs="宋体"/>
          <w:color w:val="auto"/>
          <w:sz w:val="24"/>
          <w:highlight w:val="none"/>
        </w:rPr>
      </w:pPr>
    </w:p>
    <w:p w14:paraId="18B8FBCA">
      <w:pPr>
        <w:spacing w:line="360" w:lineRule="auto"/>
        <w:ind w:firstLine="494"/>
        <w:rPr>
          <w:rFonts w:ascii="宋体" w:hAnsi="宋体" w:cs="宋体"/>
          <w:color w:val="auto"/>
          <w:sz w:val="24"/>
          <w:highlight w:val="none"/>
        </w:rPr>
      </w:pPr>
    </w:p>
    <w:p w14:paraId="6CEBDFE0">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14:paraId="712CBE29">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446C0F2">
      <w:pPr>
        <w:rPr>
          <w:rFonts w:ascii="宋体" w:hAnsi="宋体" w:cs="宋体"/>
          <w:color w:val="auto"/>
          <w:sz w:val="24"/>
          <w:highlight w:val="none"/>
        </w:rPr>
      </w:pPr>
      <w:r>
        <w:rPr>
          <w:rFonts w:hint="eastAsia" w:ascii="宋体" w:hAnsi="宋体" w:cs="宋体"/>
          <w:b/>
          <w:bCs/>
          <w:color w:val="auto"/>
          <w:sz w:val="24"/>
          <w:highlight w:val="none"/>
        </w:rPr>
        <w:t>附：</w:t>
      </w:r>
    </w:p>
    <w:p w14:paraId="43B33769">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4F2530DA">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4F2530DA">
                      <w:pPr>
                        <w:jc w:val="center"/>
                      </w:pPr>
                    </w:p>
                  </w:txbxContent>
                </v:textbox>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08F11C6C">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08F11C6C">
                      <w:pPr>
                        <w:jc w:val="center"/>
                      </w:pPr>
                    </w:p>
                  </w:txbxContent>
                </v:textbox>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14:paraId="3CD1A899">
      <w:pPr>
        <w:autoSpaceDE w:val="0"/>
        <w:autoSpaceDN w:val="0"/>
        <w:jc w:val="center"/>
        <w:rPr>
          <w:rFonts w:ascii="宋体" w:hAnsi="宋体" w:cs="宋体"/>
          <w:b/>
          <w:color w:val="auto"/>
          <w:spacing w:val="6"/>
          <w:sz w:val="32"/>
          <w:szCs w:val="32"/>
          <w:highlight w:val="none"/>
        </w:rPr>
      </w:pPr>
    </w:p>
    <w:p w14:paraId="6F584C56">
      <w:pPr>
        <w:autoSpaceDE w:val="0"/>
        <w:autoSpaceDN w:val="0"/>
        <w:jc w:val="center"/>
        <w:rPr>
          <w:rFonts w:ascii="宋体" w:hAnsi="宋体" w:cs="宋体"/>
          <w:b/>
          <w:color w:val="auto"/>
          <w:spacing w:val="6"/>
          <w:sz w:val="32"/>
          <w:szCs w:val="32"/>
          <w:highlight w:val="none"/>
        </w:rPr>
      </w:pPr>
    </w:p>
    <w:p w14:paraId="77A695CB">
      <w:pPr>
        <w:autoSpaceDE w:val="0"/>
        <w:autoSpaceDN w:val="0"/>
        <w:jc w:val="center"/>
        <w:rPr>
          <w:rFonts w:ascii="宋体" w:hAnsi="宋体" w:cs="宋体"/>
          <w:b/>
          <w:color w:val="auto"/>
          <w:spacing w:val="6"/>
          <w:sz w:val="32"/>
          <w:szCs w:val="32"/>
          <w:highlight w:val="none"/>
        </w:rPr>
      </w:pPr>
    </w:p>
    <w:p w14:paraId="36E7957D">
      <w:pPr>
        <w:autoSpaceDE w:val="0"/>
        <w:autoSpaceDN w:val="0"/>
        <w:jc w:val="center"/>
        <w:rPr>
          <w:rFonts w:ascii="宋体" w:hAnsi="宋体" w:cs="宋体"/>
          <w:b/>
          <w:color w:val="auto"/>
          <w:spacing w:val="6"/>
          <w:sz w:val="32"/>
          <w:szCs w:val="32"/>
          <w:highlight w:val="none"/>
        </w:rPr>
      </w:pPr>
    </w:p>
    <w:p w14:paraId="49E5087C">
      <w:pPr>
        <w:autoSpaceDE w:val="0"/>
        <w:autoSpaceDN w:val="0"/>
        <w:jc w:val="center"/>
        <w:rPr>
          <w:rFonts w:ascii="宋体" w:hAnsi="宋体" w:cs="宋体"/>
          <w:b/>
          <w:color w:val="auto"/>
          <w:spacing w:val="6"/>
          <w:sz w:val="32"/>
          <w:szCs w:val="32"/>
          <w:highlight w:val="none"/>
        </w:rPr>
      </w:pPr>
    </w:p>
    <w:p w14:paraId="0A278055">
      <w:pPr>
        <w:autoSpaceDE w:val="0"/>
        <w:autoSpaceDN w:val="0"/>
        <w:jc w:val="center"/>
        <w:rPr>
          <w:rFonts w:ascii="宋体" w:hAnsi="宋体" w:cs="宋体"/>
          <w:b/>
          <w:color w:val="auto"/>
          <w:spacing w:val="6"/>
          <w:sz w:val="32"/>
          <w:szCs w:val="32"/>
          <w:highlight w:val="none"/>
        </w:rPr>
      </w:pPr>
    </w:p>
    <w:p w14:paraId="0FBF50BE">
      <w:pPr>
        <w:autoSpaceDE w:val="0"/>
        <w:autoSpaceDN w:val="0"/>
        <w:jc w:val="center"/>
        <w:rPr>
          <w:rFonts w:ascii="宋体" w:hAnsi="宋体" w:cs="宋体"/>
          <w:b/>
          <w:color w:val="auto"/>
          <w:spacing w:val="6"/>
          <w:sz w:val="32"/>
          <w:szCs w:val="32"/>
          <w:highlight w:val="none"/>
        </w:rPr>
      </w:pPr>
    </w:p>
    <w:p w14:paraId="426E39DD">
      <w:pPr>
        <w:autoSpaceDE w:val="0"/>
        <w:autoSpaceDN w:val="0"/>
        <w:jc w:val="center"/>
        <w:rPr>
          <w:rFonts w:ascii="宋体" w:hAnsi="宋体" w:cs="宋体"/>
          <w:b/>
          <w:color w:val="auto"/>
          <w:spacing w:val="6"/>
          <w:sz w:val="32"/>
          <w:szCs w:val="32"/>
          <w:highlight w:val="none"/>
        </w:rPr>
      </w:pPr>
    </w:p>
    <w:p w14:paraId="5B42950A">
      <w:pPr>
        <w:autoSpaceDE w:val="0"/>
        <w:autoSpaceDN w:val="0"/>
        <w:jc w:val="center"/>
        <w:rPr>
          <w:rFonts w:ascii="宋体" w:hAnsi="宋体" w:cs="宋体"/>
          <w:b/>
          <w:color w:val="auto"/>
          <w:spacing w:val="6"/>
          <w:sz w:val="32"/>
          <w:szCs w:val="32"/>
          <w:highlight w:val="none"/>
        </w:rPr>
      </w:pPr>
    </w:p>
    <w:p w14:paraId="5C18CD21">
      <w:pPr>
        <w:autoSpaceDE w:val="0"/>
        <w:autoSpaceDN w:val="0"/>
        <w:jc w:val="center"/>
        <w:rPr>
          <w:rFonts w:ascii="宋体" w:hAnsi="宋体" w:cs="宋体"/>
          <w:b/>
          <w:color w:val="auto"/>
          <w:spacing w:val="6"/>
          <w:sz w:val="32"/>
          <w:szCs w:val="32"/>
          <w:highlight w:val="none"/>
        </w:rPr>
      </w:pPr>
    </w:p>
    <w:p w14:paraId="0B855320">
      <w:pPr>
        <w:autoSpaceDE w:val="0"/>
        <w:autoSpaceDN w:val="0"/>
        <w:jc w:val="center"/>
        <w:rPr>
          <w:rFonts w:ascii="宋体" w:hAnsi="宋体" w:cs="宋体"/>
          <w:b/>
          <w:color w:val="auto"/>
          <w:spacing w:val="6"/>
          <w:sz w:val="32"/>
          <w:szCs w:val="32"/>
          <w:highlight w:val="none"/>
        </w:rPr>
      </w:pPr>
    </w:p>
    <w:p w14:paraId="64C361D8">
      <w:pPr>
        <w:autoSpaceDE w:val="0"/>
        <w:autoSpaceDN w:val="0"/>
        <w:jc w:val="center"/>
        <w:rPr>
          <w:rFonts w:ascii="宋体" w:hAnsi="宋体" w:cs="宋体"/>
          <w:b/>
          <w:color w:val="auto"/>
          <w:spacing w:val="6"/>
          <w:sz w:val="32"/>
          <w:szCs w:val="32"/>
          <w:highlight w:val="none"/>
        </w:rPr>
      </w:pPr>
    </w:p>
    <w:p w14:paraId="6F5CCD68">
      <w:pPr>
        <w:autoSpaceDE w:val="0"/>
        <w:autoSpaceDN w:val="0"/>
        <w:jc w:val="center"/>
        <w:rPr>
          <w:rFonts w:ascii="宋体" w:hAnsi="宋体" w:cs="宋体"/>
          <w:b/>
          <w:color w:val="auto"/>
          <w:spacing w:val="6"/>
          <w:sz w:val="32"/>
          <w:szCs w:val="32"/>
          <w:highlight w:val="none"/>
        </w:rPr>
      </w:pPr>
    </w:p>
    <w:p w14:paraId="6B0E88D0">
      <w:pPr>
        <w:autoSpaceDE w:val="0"/>
        <w:autoSpaceDN w:val="0"/>
        <w:jc w:val="both"/>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3</w:t>
      </w:r>
      <w:r>
        <w:rPr>
          <w:rFonts w:hint="eastAsia" w:ascii="宋体" w:hAnsi="宋体" w:cs="宋体"/>
          <w:b/>
          <w:color w:val="auto"/>
          <w:spacing w:val="6"/>
          <w:sz w:val="32"/>
          <w:szCs w:val="32"/>
          <w:highlight w:val="none"/>
        </w:rPr>
        <w:t>：</w:t>
      </w:r>
    </w:p>
    <w:p w14:paraId="1D0FA615">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分包意向协议</w:t>
      </w:r>
      <w:r>
        <w:rPr>
          <w:rFonts w:hint="eastAsia" w:ascii="宋体" w:hAnsi="宋体" w:cs="宋体"/>
          <w:b/>
          <w:color w:val="auto"/>
          <w:kern w:val="0"/>
          <w:sz w:val="32"/>
          <w:szCs w:val="32"/>
          <w:highlight w:val="none"/>
          <w:lang w:val="zh-CN"/>
        </w:rPr>
        <w:t>（</w:t>
      </w:r>
      <w:r>
        <w:rPr>
          <w:rFonts w:hint="eastAsia" w:ascii="宋体" w:hAnsi="宋体" w:cs="宋体"/>
          <w:b/>
          <w:color w:val="auto"/>
          <w:kern w:val="0"/>
          <w:sz w:val="32"/>
          <w:szCs w:val="32"/>
          <w:highlight w:val="none"/>
          <w:lang w:val="en-US" w:eastAsia="zh-CN"/>
        </w:rPr>
        <w:t>如适用</w:t>
      </w:r>
      <w:r>
        <w:rPr>
          <w:rFonts w:hint="eastAsia" w:ascii="宋体" w:hAnsi="宋体" w:cs="宋体"/>
          <w:b/>
          <w:color w:val="auto"/>
          <w:kern w:val="0"/>
          <w:sz w:val="32"/>
          <w:szCs w:val="32"/>
          <w:highlight w:val="none"/>
          <w:lang w:val="zh-CN"/>
        </w:rPr>
        <w:t>）</w:t>
      </w:r>
    </w:p>
    <w:p w14:paraId="128887D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648C262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val="en-US" w:eastAsia="zh-CN"/>
        </w:rPr>
        <w:t xml:space="preserve"> （项目名称） </w:t>
      </w:r>
      <w:r>
        <w:rPr>
          <w:rFonts w:hint="eastAsia" w:ascii="宋体" w:hAnsi="宋体" w:cs="宋体"/>
          <w:color w:val="auto"/>
          <w:sz w:val="24"/>
          <w:highlight w:val="none"/>
        </w:rPr>
        <w:t>【项目编号：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71E3C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29E945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3E152FD">
      <w:pPr>
        <w:pStyle w:val="2"/>
        <w:ind w:left="664" w:leftChars="316" w:firstLine="229" w:firstLineChars="95"/>
        <w:rPr>
          <w:rFonts w:ascii="宋体" w:hAnsi="宋体" w:eastAsia="宋体" w:cs="宋体"/>
          <w:color w:val="auto"/>
          <w:kern w:val="0"/>
          <w:sz w:val="24"/>
          <w:szCs w:val="24"/>
          <w:highlight w:val="none"/>
        </w:rPr>
      </w:pPr>
      <w:bookmarkStart w:id="1087" w:name="_Toc7437"/>
      <w:r>
        <w:rPr>
          <w:rFonts w:hint="eastAsia" w:ascii="宋体" w:hAnsi="宋体" w:eastAsia="宋体" w:cs="宋体"/>
          <w:color w:val="auto"/>
          <w:kern w:val="0"/>
          <w:sz w:val="24"/>
          <w:szCs w:val="24"/>
          <w:highlight w:val="none"/>
        </w:rPr>
        <w:t>……</w:t>
      </w:r>
      <w:bookmarkEnd w:id="1087"/>
    </w:p>
    <w:p w14:paraId="2315F50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4F0216D9">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942C59F">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08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1088"/>
    </w:p>
    <w:p w14:paraId="406606BF">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90EB8A4">
      <w:pPr>
        <w:snapToGrid w:val="0"/>
        <w:spacing w:line="24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39734DA">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A5B7B77">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0A07E14">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7CA5E38">
      <w:pPr>
        <w:snapToGrid w:val="0"/>
        <w:spacing w:line="24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A9A3D64">
      <w:pPr>
        <w:snapToGrid w:val="0"/>
        <w:spacing w:line="24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3186CB2">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2320E25">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8F0A8CC">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A433E4F">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49443E82">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7F448B55">
      <w:pPr>
        <w:autoSpaceDE/>
        <w:autoSpaceDN/>
        <w:spacing w:line="360" w:lineRule="auto"/>
        <w:jc w:val="center"/>
        <w:rPr>
          <w:rFonts w:ascii="宋体" w:hAnsi="宋体" w:cs="宋体"/>
          <w:b/>
          <w:color w:val="auto"/>
          <w:spacing w:val="6"/>
          <w:sz w:val="32"/>
          <w:szCs w:val="32"/>
          <w:highlight w:val="none"/>
        </w:rPr>
      </w:pPr>
      <w:r>
        <w:rPr>
          <w:rFonts w:hint="eastAsia" w:ascii="宋体" w:hAnsi="宋体" w:cs="宋体"/>
          <w:color w:val="auto"/>
          <w:kern w:val="0"/>
          <w:sz w:val="24"/>
          <w:highlight w:val="none"/>
          <w:lang w:val="zh-CN"/>
        </w:rPr>
        <w:t xml:space="preserve">                                        日期：  年  月   日</w:t>
      </w:r>
    </w:p>
    <w:p w14:paraId="7274D6D7">
      <w:pPr>
        <w:autoSpaceDE w:val="0"/>
        <w:autoSpaceDN w:val="0"/>
        <w:jc w:val="center"/>
        <w:rPr>
          <w:rFonts w:ascii="宋体" w:hAnsi="宋体" w:cs="宋体"/>
          <w:b/>
          <w:color w:val="auto"/>
          <w:spacing w:val="6"/>
          <w:sz w:val="32"/>
          <w:szCs w:val="32"/>
          <w:highlight w:val="none"/>
        </w:rPr>
        <w:sectPr>
          <w:footerReference r:id="rId24" w:type="first"/>
          <w:headerReference r:id="rId22" w:type="default"/>
          <w:footerReference r:id="rId23" w:type="default"/>
          <w:pgSz w:w="11905" w:h="16838"/>
          <w:pgMar w:top="1440" w:right="1440" w:bottom="1440" w:left="1440"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11CC2CA0">
      <w:pPr>
        <w:autoSpaceDE w:val="0"/>
        <w:autoSpaceDN w:val="0"/>
        <w:jc w:val="both"/>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4</w:t>
      </w:r>
      <w:r>
        <w:rPr>
          <w:rFonts w:hint="eastAsia" w:ascii="宋体" w:hAnsi="宋体" w:cs="宋体"/>
          <w:b/>
          <w:color w:val="auto"/>
          <w:spacing w:val="6"/>
          <w:sz w:val="32"/>
          <w:szCs w:val="32"/>
          <w:highlight w:val="none"/>
        </w:rPr>
        <w:t>：</w:t>
      </w:r>
    </w:p>
    <w:p w14:paraId="68073B37">
      <w:pPr>
        <w:spacing w:line="360" w:lineRule="auto"/>
        <w:jc w:val="center"/>
        <w:rPr>
          <w:rFonts w:ascii="宋体" w:hAnsi="宋体" w:cs="宋体"/>
          <w:color w:val="auto"/>
          <w:sz w:val="24"/>
          <w:highlight w:val="none"/>
          <w:u w:val="single"/>
        </w:rPr>
      </w:pPr>
    </w:p>
    <w:p w14:paraId="0BCAB1AE">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5D593200">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lang w:eastAsia="zh-CN"/>
        </w:rPr>
        <w:t>宁波市公安局交通管理支队</w:t>
      </w:r>
      <w:r>
        <w:rPr>
          <w:rFonts w:hint="eastAsia" w:ascii="宋体" w:hAnsi="宋体" w:cs="宋体"/>
          <w:color w:val="auto"/>
          <w:sz w:val="24"/>
          <w:highlight w:val="none"/>
        </w:rPr>
        <w:t>的</w:t>
      </w:r>
      <w:r>
        <w:rPr>
          <w:rFonts w:hint="eastAsia" w:ascii="宋体" w:hAnsi="宋体" w:cs="宋体"/>
          <w:color w:val="auto"/>
          <w:sz w:val="24"/>
          <w:highlight w:val="none"/>
          <w:u w:val="single"/>
          <w:lang w:eastAsia="zh-CN"/>
        </w:rPr>
        <w:t>宁波市公安局交通管理支队海曙大队高桥中队修缮项目</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D9EC23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val="en-US" w:eastAsia="zh-CN"/>
        </w:rPr>
        <w:t>宁波市公安局交通管理支队海曙大队高桥中队修缮项目</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val="en-US" w:eastAsia="zh-CN"/>
        </w:rPr>
        <w:t>建筑业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6244D1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760981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F958902">
      <w:pPr>
        <w:spacing w:line="360" w:lineRule="auto"/>
        <w:ind w:firstLine="480" w:firstLineChars="200"/>
        <w:rPr>
          <w:rFonts w:ascii="宋体" w:hAnsi="宋体" w:cs="宋体"/>
          <w:color w:val="auto"/>
          <w:sz w:val="24"/>
          <w:highlight w:val="none"/>
        </w:rPr>
      </w:pPr>
    </w:p>
    <w:p w14:paraId="6079A36F">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76FBD71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266F567">
      <w:pPr>
        <w:spacing w:line="360" w:lineRule="auto"/>
        <w:ind w:firstLine="540" w:firstLineChars="300"/>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27F6C9CD">
      <w:pPr>
        <w:spacing w:line="360" w:lineRule="auto"/>
        <w:ind w:right="42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注：</w:t>
      </w:r>
    </w:p>
    <w:p w14:paraId="22EF5873">
      <w:pPr>
        <w:spacing w:line="360" w:lineRule="auto"/>
        <w:ind w:right="42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5992F192">
      <w:pPr>
        <w:spacing w:line="360" w:lineRule="auto"/>
        <w:ind w:right="42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 xml:space="preserve">建筑业。营业收入80000万元以下或资产总额80000万元以下的为中小微型企业。其中，营业收入6000万元及以上，且资产总额5000万元及以上的为中型企业；营业收入300万元及以上，且资产总额300万元及以上的为小型企业；营业收入 300万元以下或资产总额300万元以下的为微型企业。 </w:t>
      </w:r>
    </w:p>
    <w:p w14:paraId="140CA03C">
      <w:pPr>
        <w:spacing w:line="360" w:lineRule="auto"/>
        <w:ind w:right="42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FDC1E8E">
      <w:pPr>
        <w:spacing w:line="360" w:lineRule="auto"/>
        <w:ind w:right="420"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联合体投标的，联合体双方均需提供中小企业声明函。</w:t>
      </w:r>
    </w:p>
    <w:p w14:paraId="11287685">
      <w:pPr>
        <w:spacing w:line="360" w:lineRule="auto"/>
        <w:jc w:val="center"/>
        <w:rPr>
          <w:rFonts w:ascii="宋体" w:hAnsi="宋体" w:cs="宋体"/>
          <w:b/>
          <w:color w:val="auto"/>
          <w:sz w:val="32"/>
          <w:szCs w:val="32"/>
          <w:highlight w:val="none"/>
        </w:rPr>
      </w:pPr>
    </w:p>
    <w:p w14:paraId="572EA8A0">
      <w:pPr>
        <w:pStyle w:val="25"/>
        <w:ind w:left="0" w:leftChars="0" w:firstLine="0" w:firstLineChars="0"/>
        <w:rPr>
          <w:color w:val="auto"/>
          <w:highlight w:val="none"/>
        </w:rPr>
      </w:pPr>
    </w:p>
    <w:sectPr>
      <w:pgSz w:w="11905" w:h="16838"/>
      <w:pgMar w:top="1440" w:right="1440" w:bottom="1440" w:left="1440"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450D8">
    <w:pPr>
      <w:pStyle w:val="40"/>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6F29D">
    <w:pPr>
      <w:pStyle w:val="4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C915EA">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BC915EA">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E2D23">
    <w:pPr>
      <w:pStyle w:val="4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6A0D2B">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F6A0D2B">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4547F">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F61035">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5F61035">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FB8CD">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10E538">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110E538">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55EFD">
    <w:pPr>
      <w:pStyle w:val="40"/>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912122">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B912122">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9ADC7">
    <w:pPr>
      <w:pStyle w:val="40"/>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213A4">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1E213A4">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382BE">
    <w:pPr>
      <w:pStyle w:val="40"/>
      <w:framePr w:wrap="around" w:vAnchor="text" w:hAnchor="margin" w:xAlign="right" w:y="1"/>
      <w:rPr>
        <w:rStyle w:val="72"/>
      </w:rPr>
    </w:pPr>
    <w:r>
      <w:fldChar w:fldCharType="begin"/>
    </w:r>
    <w:r>
      <w:rPr>
        <w:rStyle w:val="72"/>
      </w:rPr>
      <w:instrText xml:space="preserve">PAGE  </w:instrText>
    </w:r>
    <w:r>
      <w:fldChar w:fldCharType="end"/>
    </w:r>
  </w:p>
  <w:p w14:paraId="5B90529F">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D27EB">
    <w:pPr>
      <w:pStyle w:val="40"/>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493B7">
    <w:pPr>
      <w:pStyle w:val="40"/>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B06237">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DB06237">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FEFCA">
    <w:pPr>
      <w:pStyle w:val="40"/>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D8D5B5">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8D8D5B5">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2FA4F">
    <w:pPr>
      <w:rPr>
        <w:rFonts w:ascii="仿宋_GB2312" w:eastAsia="仿宋_GB23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1CCEAE">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E1CCEAE">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2AC95">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FAA60F">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9FAA60F">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26D84">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5D531A">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35D531A">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7C1CE">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0BCC06">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70BCC06">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C1A0F">
    <w:pPr>
      <w:pStyle w:val="41"/>
      <w:pBdr>
        <w:bottom w:val="single" w:color="auto" w:sz="6" w:space="0"/>
      </w:pBdr>
      <w:jc w:val="right"/>
      <w:rPr>
        <w:rFonts w:ascii="仿宋_GB2312" w:eastAsia="仿宋_GB2312"/>
        <w:i/>
        <w:u w:val="single"/>
      </w:rPr>
    </w:pPr>
    <w:r>
      <w:rPr>
        <w:lang w:val="zh-CN"/>
      </w:rPr>
      <w:t>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5A3D3">
    <w:pPr>
      <w:pStyle w:val="41"/>
      <w:pBdr>
        <w:bottom w:val="single" w:color="auto" w:sz="6" w:space="0"/>
      </w:pBdr>
      <w:tabs>
        <w:tab w:val="center" w:pos="4535"/>
        <w:tab w:val="right" w:pos="9070"/>
        <w:tab w:val="clear" w:pos="4153"/>
        <w:tab w:val="clear" w:pos="8306"/>
      </w:tabs>
      <w:jc w:val="right"/>
    </w:pPr>
    <w:r>
      <w:rPr>
        <w:lang w:val="zh-CN"/>
      </w:rPr>
      <w:t>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96617">
    <w:pPr>
      <w:pStyle w:val="41"/>
      <w:pBdr>
        <w:bottom w:val="single" w:color="auto" w:sz="6" w:space="0"/>
      </w:pBdr>
      <w:tabs>
        <w:tab w:val="center" w:pos="4535"/>
        <w:tab w:val="right" w:pos="9070"/>
        <w:tab w:val="clear" w:pos="4153"/>
        <w:tab w:val="clear" w:pos="8306"/>
      </w:tabs>
      <w:jc w:val="right"/>
    </w:pPr>
    <w:r>
      <w:rPr>
        <w:lang w:val="zh-CN"/>
      </w:rPr>
      <w:t>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9705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9399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2593E">
    <w:pPr>
      <w:pStyle w:val="41"/>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政府采购</w:t>
    </w:r>
    <w:r>
      <w:rPr>
        <w:rFonts w:hint="eastAsia"/>
        <w:lang w:val="zh-CN"/>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146C5">
    <w:pPr>
      <w:pStyle w:val="41"/>
      <w:pBdr>
        <w:bottom w:val="single" w:color="auto" w:sz="6" w:space="0"/>
      </w:pBdr>
      <w:tabs>
        <w:tab w:val="center" w:pos="4535"/>
        <w:tab w:val="right" w:pos="9070"/>
        <w:tab w:val="clear" w:pos="4153"/>
        <w:tab w:val="clear" w:pos="8306"/>
      </w:tabs>
      <w:jc w:val="right"/>
      <w:rPr>
        <w:rFonts w:ascii="仿宋_GB2312"/>
        <w:b/>
        <w:i/>
        <w:iCs/>
        <w:u w:val="single"/>
      </w:rPr>
    </w:pPr>
    <w:r>
      <w:rPr>
        <w:lang w:val="zh-CN"/>
      </w:rPr>
      <w:t>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B8693E"/>
    <w:multiLevelType w:val="singleLevel"/>
    <w:tmpl w:val="A1B8693E"/>
    <w:lvl w:ilvl="0" w:tentative="0">
      <w:start w:val="2"/>
      <w:numFmt w:val="decimal"/>
      <w:suff w:val="nothing"/>
      <w:lvlText w:val="（%1）"/>
      <w:lvlJc w:val="left"/>
    </w:lvl>
  </w:abstractNum>
  <w:abstractNum w:abstractNumId="1">
    <w:nsid w:val="DE7624AE"/>
    <w:multiLevelType w:val="singleLevel"/>
    <w:tmpl w:val="DE7624AE"/>
    <w:lvl w:ilvl="0" w:tentative="0">
      <w:start w:val="10"/>
      <w:numFmt w:val="decimal"/>
      <w:suff w:val="nothing"/>
      <w:lvlText w:val="（%1）"/>
      <w:lvlJc w:val="left"/>
    </w:lvl>
  </w:abstractNum>
  <w:abstractNum w:abstractNumId="2">
    <w:nsid w:val="00000019"/>
    <w:multiLevelType w:val="singleLevel"/>
    <w:tmpl w:val="00000019"/>
    <w:lvl w:ilvl="0" w:tentative="0">
      <w:start w:val="1"/>
      <w:numFmt w:val="chineseCounting"/>
      <w:suff w:val="nothing"/>
      <w:lvlText w:val="%1、"/>
      <w:lvlJc w:val="left"/>
      <w:pPr>
        <w:tabs>
          <w:tab w:val="left" w:pos="0"/>
        </w:tabs>
        <w:ind w:left="0" w:firstLine="400"/>
      </w:pPr>
      <w:rPr>
        <w:rFonts w:hint="eastAsia" w:ascii="宋体" w:hAnsi="宋体" w:eastAsia="宋体" w:cs="宋体"/>
        <w:b/>
        <w:bCs/>
      </w:rPr>
    </w:lvl>
  </w:abstractNum>
  <w:abstractNum w:abstractNumId="3">
    <w:nsid w:val="00000035"/>
    <w:multiLevelType w:val="singleLevel"/>
    <w:tmpl w:val="00000035"/>
    <w:lvl w:ilvl="0" w:tentative="0">
      <w:start w:val="1"/>
      <w:numFmt w:val="decimal"/>
      <w:suff w:val="nothing"/>
      <w:lvlText w:val="（%1）"/>
      <w:lvlJc w:val="left"/>
      <w:pPr>
        <w:tabs>
          <w:tab w:val="left" w:pos="0"/>
        </w:tabs>
        <w:ind w:left="437" w:firstLine="403"/>
      </w:pPr>
      <w:rPr>
        <w:rFonts w:hint="default" w:ascii="宋体" w:hAnsi="宋体" w:eastAsia="宋体" w:cs="宋体"/>
        <w:b w:val="0"/>
        <w:bCs w:val="0"/>
      </w:rPr>
    </w:lvl>
  </w:abstractNum>
  <w:abstractNum w:abstractNumId="4">
    <w:nsid w:val="08DDAD96"/>
    <w:multiLevelType w:val="singleLevel"/>
    <w:tmpl w:val="08DDAD96"/>
    <w:lvl w:ilvl="0" w:tentative="0">
      <w:start w:val="1"/>
      <w:numFmt w:val="decimal"/>
      <w:suff w:val="space"/>
      <w:lvlText w:val="（%1）"/>
      <w:lvlJc w:val="left"/>
    </w:lvl>
  </w:abstractNum>
  <w:abstractNum w:abstractNumId="5">
    <w:nsid w:val="55EF43E1"/>
    <w:multiLevelType w:val="singleLevel"/>
    <w:tmpl w:val="55EF43E1"/>
    <w:lvl w:ilvl="0" w:tentative="0">
      <w:start w:val="1"/>
      <w:numFmt w:val="decimal"/>
      <w:suff w:val="nothing"/>
      <w:lvlText w:val="（%1）"/>
      <w:lvlJc w:val="left"/>
    </w:lvl>
  </w:abstractNum>
  <w:abstractNum w:abstractNumId="6">
    <w:nsid w:val="57267446"/>
    <w:multiLevelType w:val="singleLevel"/>
    <w:tmpl w:val="57267446"/>
    <w:lvl w:ilvl="0" w:tentative="0">
      <w:start w:val="6"/>
      <w:numFmt w:val="chineseCounting"/>
      <w:suff w:val="space"/>
      <w:lvlText w:val="第%1部分"/>
      <w:lvlJc w:val="left"/>
      <w:rPr>
        <w:rFonts w:hint="eastAsia"/>
      </w:rPr>
    </w:lvl>
  </w:abstractNum>
  <w:num w:numId="1">
    <w:abstractNumId w:val="5"/>
  </w:num>
  <w:num w:numId="2">
    <w:abstractNumId w:val="0"/>
  </w:num>
  <w:num w:numId="3">
    <w:abstractNumId w:val="2"/>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trackRevisions w:val="1"/>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MDU5NGYxMTI0OGI2YjA3MGJkNWJmYzJmNzNiODEifQ=="/>
    <w:docVar w:name="KSO_WPS_MARK_KEY" w:val="fe90b4ce-5f06-4d66-acd7-120a6646d9b7"/>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B5A3A"/>
    <w:rsid w:val="011F6449"/>
    <w:rsid w:val="01236AFB"/>
    <w:rsid w:val="012E058E"/>
    <w:rsid w:val="019F7441"/>
    <w:rsid w:val="01AE1035"/>
    <w:rsid w:val="01B37585"/>
    <w:rsid w:val="01C65DA5"/>
    <w:rsid w:val="01D55165"/>
    <w:rsid w:val="01DF6BF8"/>
    <w:rsid w:val="01EC2C57"/>
    <w:rsid w:val="022004C2"/>
    <w:rsid w:val="025F0711"/>
    <w:rsid w:val="026B2E25"/>
    <w:rsid w:val="02824D4D"/>
    <w:rsid w:val="02D40D80"/>
    <w:rsid w:val="02DC4B10"/>
    <w:rsid w:val="02DD76CE"/>
    <w:rsid w:val="02F36323"/>
    <w:rsid w:val="02F5619C"/>
    <w:rsid w:val="0326446A"/>
    <w:rsid w:val="032D5555"/>
    <w:rsid w:val="036634D2"/>
    <w:rsid w:val="03AD58A1"/>
    <w:rsid w:val="03DD35E4"/>
    <w:rsid w:val="03F040A4"/>
    <w:rsid w:val="04076900"/>
    <w:rsid w:val="041A5A3B"/>
    <w:rsid w:val="042311BA"/>
    <w:rsid w:val="042B157A"/>
    <w:rsid w:val="048F763B"/>
    <w:rsid w:val="049F330E"/>
    <w:rsid w:val="04AA775C"/>
    <w:rsid w:val="04AF1889"/>
    <w:rsid w:val="04B968CB"/>
    <w:rsid w:val="04C64E6C"/>
    <w:rsid w:val="04F66F48"/>
    <w:rsid w:val="05251E14"/>
    <w:rsid w:val="055B50C7"/>
    <w:rsid w:val="05A16594"/>
    <w:rsid w:val="05A7762D"/>
    <w:rsid w:val="060E5941"/>
    <w:rsid w:val="06110FAF"/>
    <w:rsid w:val="061E21DC"/>
    <w:rsid w:val="06493CA7"/>
    <w:rsid w:val="065A6178"/>
    <w:rsid w:val="066F1CF3"/>
    <w:rsid w:val="06930BB8"/>
    <w:rsid w:val="06C81297"/>
    <w:rsid w:val="06F41BE1"/>
    <w:rsid w:val="07245D42"/>
    <w:rsid w:val="07264C62"/>
    <w:rsid w:val="0779354C"/>
    <w:rsid w:val="07A46B95"/>
    <w:rsid w:val="08061376"/>
    <w:rsid w:val="08452D77"/>
    <w:rsid w:val="086401F8"/>
    <w:rsid w:val="08661343"/>
    <w:rsid w:val="08751CAA"/>
    <w:rsid w:val="087C17E8"/>
    <w:rsid w:val="087E4C40"/>
    <w:rsid w:val="08923AEE"/>
    <w:rsid w:val="08A871D0"/>
    <w:rsid w:val="08B35123"/>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E8152B"/>
    <w:rsid w:val="0A1C0718"/>
    <w:rsid w:val="0A3E7710"/>
    <w:rsid w:val="0A5B7E63"/>
    <w:rsid w:val="0A703465"/>
    <w:rsid w:val="0AA374A5"/>
    <w:rsid w:val="0AAB7649"/>
    <w:rsid w:val="0ABC5606"/>
    <w:rsid w:val="0B30404E"/>
    <w:rsid w:val="0B4C6C14"/>
    <w:rsid w:val="0B547599"/>
    <w:rsid w:val="0B631A88"/>
    <w:rsid w:val="0B683D45"/>
    <w:rsid w:val="0B7F3F11"/>
    <w:rsid w:val="0B884417"/>
    <w:rsid w:val="0BD51E39"/>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39220B"/>
    <w:rsid w:val="0E5604B2"/>
    <w:rsid w:val="0E5A244A"/>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2EE2AE2"/>
    <w:rsid w:val="13072A44"/>
    <w:rsid w:val="135F4BE2"/>
    <w:rsid w:val="13637D2A"/>
    <w:rsid w:val="139B1A0A"/>
    <w:rsid w:val="139D25C7"/>
    <w:rsid w:val="13BF3CE4"/>
    <w:rsid w:val="13CF2234"/>
    <w:rsid w:val="13DC0614"/>
    <w:rsid w:val="141008D8"/>
    <w:rsid w:val="14125FE6"/>
    <w:rsid w:val="142373C3"/>
    <w:rsid w:val="14633870"/>
    <w:rsid w:val="146D271E"/>
    <w:rsid w:val="14982588"/>
    <w:rsid w:val="149A5AD9"/>
    <w:rsid w:val="14A7619D"/>
    <w:rsid w:val="150536C3"/>
    <w:rsid w:val="150C1963"/>
    <w:rsid w:val="151447A0"/>
    <w:rsid w:val="152B4878"/>
    <w:rsid w:val="154A6454"/>
    <w:rsid w:val="15762120"/>
    <w:rsid w:val="168E0E90"/>
    <w:rsid w:val="16A8729C"/>
    <w:rsid w:val="16B33777"/>
    <w:rsid w:val="16BC70A7"/>
    <w:rsid w:val="16C6339E"/>
    <w:rsid w:val="172F2D79"/>
    <w:rsid w:val="17557BEF"/>
    <w:rsid w:val="17D349C1"/>
    <w:rsid w:val="1830729E"/>
    <w:rsid w:val="183D7707"/>
    <w:rsid w:val="185A650C"/>
    <w:rsid w:val="1870062C"/>
    <w:rsid w:val="18817102"/>
    <w:rsid w:val="18830A15"/>
    <w:rsid w:val="18852B28"/>
    <w:rsid w:val="188B5321"/>
    <w:rsid w:val="18AC64E2"/>
    <w:rsid w:val="19932372"/>
    <w:rsid w:val="19A20DD5"/>
    <w:rsid w:val="19AE03F1"/>
    <w:rsid w:val="19C01BFD"/>
    <w:rsid w:val="1A071A03"/>
    <w:rsid w:val="1A1F16AE"/>
    <w:rsid w:val="1A3B5C77"/>
    <w:rsid w:val="1A984BAD"/>
    <w:rsid w:val="1AB8220E"/>
    <w:rsid w:val="1AE4166C"/>
    <w:rsid w:val="1AF06CFB"/>
    <w:rsid w:val="1AF11B8D"/>
    <w:rsid w:val="1B0A71FE"/>
    <w:rsid w:val="1B11359C"/>
    <w:rsid w:val="1B2A271F"/>
    <w:rsid w:val="1B530544"/>
    <w:rsid w:val="1B713184"/>
    <w:rsid w:val="1BA209CF"/>
    <w:rsid w:val="1BB4777D"/>
    <w:rsid w:val="1BD75AB8"/>
    <w:rsid w:val="1C0459C2"/>
    <w:rsid w:val="1C1B3B4A"/>
    <w:rsid w:val="1C48260B"/>
    <w:rsid w:val="1C7725CD"/>
    <w:rsid w:val="1C88086E"/>
    <w:rsid w:val="1D266CE1"/>
    <w:rsid w:val="1D3963AF"/>
    <w:rsid w:val="1D3D0FE5"/>
    <w:rsid w:val="1D594678"/>
    <w:rsid w:val="1D6A673C"/>
    <w:rsid w:val="1D733C7A"/>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904124"/>
    <w:rsid w:val="1FE868A9"/>
    <w:rsid w:val="20034907"/>
    <w:rsid w:val="20173E4B"/>
    <w:rsid w:val="204E48BC"/>
    <w:rsid w:val="208921B3"/>
    <w:rsid w:val="20973DEB"/>
    <w:rsid w:val="20B26522"/>
    <w:rsid w:val="20B44310"/>
    <w:rsid w:val="20DE259A"/>
    <w:rsid w:val="211116EB"/>
    <w:rsid w:val="214F6D89"/>
    <w:rsid w:val="216133FC"/>
    <w:rsid w:val="21880A2D"/>
    <w:rsid w:val="21D56769"/>
    <w:rsid w:val="21E52EF3"/>
    <w:rsid w:val="21FB5D7B"/>
    <w:rsid w:val="22015E94"/>
    <w:rsid w:val="220B1C3D"/>
    <w:rsid w:val="221D1D20"/>
    <w:rsid w:val="22334A87"/>
    <w:rsid w:val="22BE6801"/>
    <w:rsid w:val="233500BF"/>
    <w:rsid w:val="23377FF7"/>
    <w:rsid w:val="235A601B"/>
    <w:rsid w:val="236B425F"/>
    <w:rsid w:val="23836192"/>
    <w:rsid w:val="23901F29"/>
    <w:rsid w:val="239C0061"/>
    <w:rsid w:val="23B908A4"/>
    <w:rsid w:val="23DC1F18"/>
    <w:rsid w:val="23E95BEF"/>
    <w:rsid w:val="23FD0064"/>
    <w:rsid w:val="243304D3"/>
    <w:rsid w:val="245375B0"/>
    <w:rsid w:val="24642C0A"/>
    <w:rsid w:val="247660B5"/>
    <w:rsid w:val="24B22173"/>
    <w:rsid w:val="24B95AD9"/>
    <w:rsid w:val="24BE24DA"/>
    <w:rsid w:val="24CF5825"/>
    <w:rsid w:val="24D663E6"/>
    <w:rsid w:val="24D77F2B"/>
    <w:rsid w:val="250822DD"/>
    <w:rsid w:val="255A0317"/>
    <w:rsid w:val="258B00E2"/>
    <w:rsid w:val="25A917A6"/>
    <w:rsid w:val="25BE27CC"/>
    <w:rsid w:val="25F74A5C"/>
    <w:rsid w:val="2628662C"/>
    <w:rsid w:val="262D45DE"/>
    <w:rsid w:val="266E3D23"/>
    <w:rsid w:val="26871DC8"/>
    <w:rsid w:val="26A53EF9"/>
    <w:rsid w:val="26A94201"/>
    <w:rsid w:val="26AC274F"/>
    <w:rsid w:val="27044A29"/>
    <w:rsid w:val="271D34C8"/>
    <w:rsid w:val="273E5511"/>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3E0D8B"/>
    <w:rsid w:val="2B437463"/>
    <w:rsid w:val="2B7807EE"/>
    <w:rsid w:val="2B8330C6"/>
    <w:rsid w:val="2BA50BF7"/>
    <w:rsid w:val="2BBF00EC"/>
    <w:rsid w:val="2BC37CFD"/>
    <w:rsid w:val="2BD5237F"/>
    <w:rsid w:val="2BE536CE"/>
    <w:rsid w:val="2BE758D9"/>
    <w:rsid w:val="2C09049E"/>
    <w:rsid w:val="2C0A653C"/>
    <w:rsid w:val="2C191F85"/>
    <w:rsid w:val="2C3A0F72"/>
    <w:rsid w:val="2CE82D6F"/>
    <w:rsid w:val="2D343236"/>
    <w:rsid w:val="2DD15014"/>
    <w:rsid w:val="2DF72DE4"/>
    <w:rsid w:val="2E0220AF"/>
    <w:rsid w:val="2E447356"/>
    <w:rsid w:val="2E4B082A"/>
    <w:rsid w:val="2E594847"/>
    <w:rsid w:val="2E5D4E86"/>
    <w:rsid w:val="2E5D790B"/>
    <w:rsid w:val="2E9A3C18"/>
    <w:rsid w:val="2EBB0FEE"/>
    <w:rsid w:val="2EC63002"/>
    <w:rsid w:val="2ED30F85"/>
    <w:rsid w:val="2F0A6B38"/>
    <w:rsid w:val="2F946CCB"/>
    <w:rsid w:val="2FD25781"/>
    <w:rsid w:val="2FDC745C"/>
    <w:rsid w:val="2FFD7934"/>
    <w:rsid w:val="30733ACD"/>
    <w:rsid w:val="308C3862"/>
    <w:rsid w:val="309379D8"/>
    <w:rsid w:val="30A270F7"/>
    <w:rsid w:val="30DF1478"/>
    <w:rsid w:val="30EC586F"/>
    <w:rsid w:val="319C6071"/>
    <w:rsid w:val="31A11ECE"/>
    <w:rsid w:val="31AC537E"/>
    <w:rsid w:val="31E3679B"/>
    <w:rsid w:val="31E732FD"/>
    <w:rsid w:val="32476510"/>
    <w:rsid w:val="32517576"/>
    <w:rsid w:val="327821C9"/>
    <w:rsid w:val="32894A85"/>
    <w:rsid w:val="32A30D11"/>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8E704D"/>
    <w:rsid w:val="363143C4"/>
    <w:rsid w:val="363A3B40"/>
    <w:rsid w:val="3648016B"/>
    <w:rsid w:val="365302AE"/>
    <w:rsid w:val="36607A0A"/>
    <w:rsid w:val="366E227C"/>
    <w:rsid w:val="366F2E0D"/>
    <w:rsid w:val="367B6A5C"/>
    <w:rsid w:val="36A74ADA"/>
    <w:rsid w:val="36AD60D5"/>
    <w:rsid w:val="36B224F9"/>
    <w:rsid w:val="36EC0CC9"/>
    <w:rsid w:val="373F410B"/>
    <w:rsid w:val="376554CF"/>
    <w:rsid w:val="377D6AEF"/>
    <w:rsid w:val="37BD52A0"/>
    <w:rsid w:val="37EB7A11"/>
    <w:rsid w:val="37EE7094"/>
    <w:rsid w:val="38296C89"/>
    <w:rsid w:val="383002EB"/>
    <w:rsid w:val="38586797"/>
    <w:rsid w:val="387D0A94"/>
    <w:rsid w:val="38BC0149"/>
    <w:rsid w:val="38C369F1"/>
    <w:rsid w:val="38D87D1C"/>
    <w:rsid w:val="39636459"/>
    <w:rsid w:val="396B7F6C"/>
    <w:rsid w:val="39825969"/>
    <w:rsid w:val="39B417A9"/>
    <w:rsid w:val="39FC5695"/>
    <w:rsid w:val="3A006D8E"/>
    <w:rsid w:val="3A064259"/>
    <w:rsid w:val="3A204F94"/>
    <w:rsid w:val="3A3651E5"/>
    <w:rsid w:val="3A4706F9"/>
    <w:rsid w:val="3A744481"/>
    <w:rsid w:val="3A7D3D8C"/>
    <w:rsid w:val="3A8C7BEF"/>
    <w:rsid w:val="3A906246"/>
    <w:rsid w:val="3AA77366"/>
    <w:rsid w:val="3B2349B7"/>
    <w:rsid w:val="3B616CFF"/>
    <w:rsid w:val="3B6259F6"/>
    <w:rsid w:val="3B976654"/>
    <w:rsid w:val="3BA63351"/>
    <w:rsid w:val="3BC01EFC"/>
    <w:rsid w:val="3BCA786A"/>
    <w:rsid w:val="3BD31E2F"/>
    <w:rsid w:val="3BF15831"/>
    <w:rsid w:val="3BFE56A8"/>
    <w:rsid w:val="3C105946"/>
    <w:rsid w:val="3C471448"/>
    <w:rsid w:val="3C5F759A"/>
    <w:rsid w:val="3C6C525A"/>
    <w:rsid w:val="3CBB297D"/>
    <w:rsid w:val="3CCE23CB"/>
    <w:rsid w:val="3CD17D17"/>
    <w:rsid w:val="3D3C7F39"/>
    <w:rsid w:val="3D440F09"/>
    <w:rsid w:val="3D4504A0"/>
    <w:rsid w:val="3D8734BB"/>
    <w:rsid w:val="3D9A11D4"/>
    <w:rsid w:val="3DA16D89"/>
    <w:rsid w:val="3DA364BE"/>
    <w:rsid w:val="3DE041CB"/>
    <w:rsid w:val="3E00276C"/>
    <w:rsid w:val="3E0D48F6"/>
    <w:rsid w:val="3E1868B4"/>
    <w:rsid w:val="3E377251"/>
    <w:rsid w:val="3E3B5EF8"/>
    <w:rsid w:val="3E42664B"/>
    <w:rsid w:val="3E5A7334"/>
    <w:rsid w:val="3E7B5D6B"/>
    <w:rsid w:val="3E843E66"/>
    <w:rsid w:val="3E8F51FE"/>
    <w:rsid w:val="3E926F87"/>
    <w:rsid w:val="3E9A59DE"/>
    <w:rsid w:val="3EAF4836"/>
    <w:rsid w:val="3EC33DFA"/>
    <w:rsid w:val="3EC408A4"/>
    <w:rsid w:val="3EFE5765"/>
    <w:rsid w:val="3F060E16"/>
    <w:rsid w:val="3F1D1096"/>
    <w:rsid w:val="3F2F0234"/>
    <w:rsid w:val="3F6363FE"/>
    <w:rsid w:val="3F756B8F"/>
    <w:rsid w:val="3F95482B"/>
    <w:rsid w:val="400426DE"/>
    <w:rsid w:val="40151F5F"/>
    <w:rsid w:val="4019356B"/>
    <w:rsid w:val="40592157"/>
    <w:rsid w:val="406E1CAE"/>
    <w:rsid w:val="4070413B"/>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AD1FF3"/>
    <w:rsid w:val="43C77C27"/>
    <w:rsid w:val="43DE09EE"/>
    <w:rsid w:val="44002FAD"/>
    <w:rsid w:val="441C37AA"/>
    <w:rsid w:val="449101DD"/>
    <w:rsid w:val="44DE1391"/>
    <w:rsid w:val="44FE43BB"/>
    <w:rsid w:val="451B225C"/>
    <w:rsid w:val="452410C9"/>
    <w:rsid w:val="45317DFB"/>
    <w:rsid w:val="456D3CE4"/>
    <w:rsid w:val="4579042C"/>
    <w:rsid w:val="457F0571"/>
    <w:rsid w:val="45851176"/>
    <w:rsid w:val="45B815BE"/>
    <w:rsid w:val="45C55BC2"/>
    <w:rsid w:val="45C63B94"/>
    <w:rsid w:val="45E0442A"/>
    <w:rsid w:val="460E7DA5"/>
    <w:rsid w:val="46422483"/>
    <w:rsid w:val="4659254A"/>
    <w:rsid w:val="465B0637"/>
    <w:rsid w:val="465E3F0D"/>
    <w:rsid w:val="466A16E6"/>
    <w:rsid w:val="46893F2B"/>
    <w:rsid w:val="46C444E6"/>
    <w:rsid w:val="46C4686E"/>
    <w:rsid w:val="477B778F"/>
    <w:rsid w:val="478203EC"/>
    <w:rsid w:val="47B025FA"/>
    <w:rsid w:val="47B813A0"/>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840299"/>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3F2CF1"/>
    <w:rsid w:val="4CB6685F"/>
    <w:rsid w:val="4CC367FE"/>
    <w:rsid w:val="4CC92BA5"/>
    <w:rsid w:val="4CF90278"/>
    <w:rsid w:val="4D077F3C"/>
    <w:rsid w:val="4D103E2D"/>
    <w:rsid w:val="4D123355"/>
    <w:rsid w:val="4D1B3D5A"/>
    <w:rsid w:val="4D2A3B31"/>
    <w:rsid w:val="4D312C52"/>
    <w:rsid w:val="4D58679F"/>
    <w:rsid w:val="4D905305"/>
    <w:rsid w:val="4D964A72"/>
    <w:rsid w:val="4D9C1254"/>
    <w:rsid w:val="4D9E5B15"/>
    <w:rsid w:val="4E76066F"/>
    <w:rsid w:val="4E793892"/>
    <w:rsid w:val="4E7D272E"/>
    <w:rsid w:val="4E800872"/>
    <w:rsid w:val="4EC569ED"/>
    <w:rsid w:val="4ED50EA1"/>
    <w:rsid w:val="4EEA24BB"/>
    <w:rsid w:val="4EEC050C"/>
    <w:rsid w:val="4F104EC3"/>
    <w:rsid w:val="4F47354A"/>
    <w:rsid w:val="4F911C54"/>
    <w:rsid w:val="4FE625E0"/>
    <w:rsid w:val="5021480F"/>
    <w:rsid w:val="50315626"/>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316BE6"/>
    <w:rsid w:val="5244713B"/>
    <w:rsid w:val="52615633"/>
    <w:rsid w:val="526F4DE4"/>
    <w:rsid w:val="52807BCE"/>
    <w:rsid w:val="52977FD4"/>
    <w:rsid w:val="52A25790"/>
    <w:rsid w:val="52A96B6F"/>
    <w:rsid w:val="52B45975"/>
    <w:rsid w:val="52D94AA4"/>
    <w:rsid w:val="52EA3A62"/>
    <w:rsid w:val="52F50BB8"/>
    <w:rsid w:val="53097272"/>
    <w:rsid w:val="534C1537"/>
    <w:rsid w:val="53544462"/>
    <w:rsid w:val="5397158E"/>
    <w:rsid w:val="53A13E23"/>
    <w:rsid w:val="53E325D5"/>
    <w:rsid w:val="54013861"/>
    <w:rsid w:val="54487265"/>
    <w:rsid w:val="544D6070"/>
    <w:rsid w:val="54605E1E"/>
    <w:rsid w:val="54B3506A"/>
    <w:rsid w:val="54CA0D16"/>
    <w:rsid w:val="54DD4057"/>
    <w:rsid w:val="54E7490F"/>
    <w:rsid w:val="550764A4"/>
    <w:rsid w:val="550B2BF6"/>
    <w:rsid w:val="55214EB5"/>
    <w:rsid w:val="55364EFD"/>
    <w:rsid w:val="555152D2"/>
    <w:rsid w:val="555667CB"/>
    <w:rsid w:val="555D4828"/>
    <w:rsid w:val="557A4C8B"/>
    <w:rsid w:val="558931E1"/>
    <w:rsid w:val="55923347"/>
    <w:rsid w:val="55925180"/>
    <w:rsid w:val="55983B1B"/>
    <w:rsid w:val="55A03EEB"/>
    <w:rsid w:val="55A8376B"/>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C7F56"/>
    <w:rsid w:val="597E3DD8"/>
    <w:rsid w:val="59E13618"/>
    <w:rsid w:val="59F80043"/>
    <w:rsid w:val="5A09252F"/>
    <w:rsid w:val="5A0B2778"/>
    <w:rsid w:val="5A2A7C7B"/>
    <w:rsid w:val="5A3E2560"/>
    <w:rsid w:val="5A5D3B6E"/>
    <w:rsid w:val="5A637A76"/>
    <w:rsid w:val="5A6D33BA"/>
    <w:rsid w:val="5A792B1F"/>
    <w:rsid w:val="5A874767"/>
    <w:rsid w:val="5AA85BE2"/>
    <w:rsid w:val="5AA911EB"/>
    <w:rsid w:val="5AAD6F28"/>
    <w:rsid w:val="5AAE77B2"/>
    <w:rsid w:val="5ABE2749"/>
    <w:rsid w:val="5AD63A24"/>
    <w:rsid w:val="5AE51A4D"/>
    <w:rsid w:val="5B2E1A1D"/>
    <w:rsid w:val="5B843A1C"/>
    <w:rsid w:val="5B873E3F"/>
    <w:rsid w:val="5BA06A1D"/>
    <w:rsid w:val="5C02690E"/>
    <w:rsid w:val="5C196DA7"/>
    <w:rsid w:val="5C2340B8"/>
    <w:rsid w:val="5C2A048C"/>
    <w:rsid w:val="5C2A2760"/>
    <w:rsid w:val="5C4D2220"/>
    <w:rsid w:val="5C80234E"/>
    <w:rsid w:val="5C8A680C"/>
    <w:rsid w:val="5D0C4701"/>
    <w:rsid w:val="5D0F0395"/>
    <w:rsid w:val="5D221076"/>
    <w:rsid w:val="5D397964"/>
    <w:rsid w:val="5D5A391C"/>
    <w:rsid w:val="5D5F10C0"/>
    <w:rsid w:val="5D790E2F"/>
    <w:rsid w:val="5D891B7B"/>
    <w:rsid w:val="5DAD38EE"/>
    <w:rsid w:val="5DF20EA2"/>
    <w:rsid w:val="5E006862"/>
    <w:rsid w:val="5E0207B9"/>
    <w:rsid w:val="5E1834A1"/>
    <w:rsid w:val="5E261785"/>
    <w:rsid w:val="5E3F358C"/>
    <w:rsid w:val="5E4A7017"/>
    <w:rsid w:val="5E552BBA"/>
    <w:rsid w:val="5E5F6CA0"/>
    <w:rsid w:val="5E611C10"/>
    <w:rsid w:val="5E7A0F3F"/>
    <w:rsid w:val="5EFC7377"/>
    <w:rsid w:val="5F06174D"/>
    <w:rsid w:val="5F2A6B30"/>
    <w:rsid w:val="5F3A3602"/>
    <w:rsid w:val="5F45733B"/>
    <w:rsid w:val="5F6277C6"/>
    <w:rsid w:val="5F6D0B1D"/>
    <w:rsid w:val="5F8D0B82"/>
    <w:rsid w:val="5F8E3BB6"/>
    <w:rsid w:val="5FB8580A"/>
    <w:rsid w:val="5FC53DF1"/>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0C10EB"/>
    <w:rsid w:val="624F3E49"/>
    <w:rsid w:val="62632286"/>
    <w:rsid w:val="62885958"/>
    <w:rsid w:val="62F40B65"/>
    <w:rsid w:val="62FC2CFE"/>
    <w:rsid w:val="63024505"/>
    <w:rsid w:val="63075F77"/>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6195831"/>
    <w:rsid w:val="661A5BD3"/>
    <w:rsid w:val="662E75B1"/>
    <w:rsid w:val="66342C2E"/>
    <w:rsid w:val="663E784C"/>
    <w:rsid w:val="668B6A45"/>
    <w:rsid w:val="66AF3DF4"/>
    <w:rsid w:val="67112C4A"/>
    <w:rsid w:val="672F3F24"/>
    <w:rsid w:val="673E055F"/>
    <w:rsid w:val="67551CE3"/>
    <w:rsid w:val="67A22552"/>
    <w:rsid w:val="67B22DCC"/>
    <w:rsid w:val="67BE71AA"/>
    <w:rsid w:val="67CF7323"/>
    <w:rsid w:val="67D90273"/>
    <w:rsid w:val="67DE5875"/>
    <w:rsid w:val="67E55852"/>
    <w:rsid w:val="67EB1AB4"/>
    <w:rsid w:val="67FA1285"/>
    <w:rsid w:val="67FC0C04"/>
    <w:rsid w:val="68551F4F"/>
    <w:rsid w:val="687C10C9"/>
    <w:rsid w:val="68840C16"/>
    <w:rsid w:val="68876EFB"/>
    <w:rsid w:val="68884654"/>
    <w:rsid w:val="689F444F"/>
    <w:rsid w:val="689F7EB7"/>
    <w:rsid w:val="68B96DBB"/>
    <w:rsid w:val="68CA2805"/>
    <w:rsid w:val="68E937A3"/>
    <w:rsid w:val="68FB149A"/>
    <w:rsid w:val="6910189E"/>
    <w:rsid w:val="693E15D3"/>
    <w:rsid w:val="69627681"/>
    <w:rsid w:val="6977531D"/>
    <w:rsid w:val="69CC2BFF"/>
    <w:rsid w:val="69FD55B8"/>
    <w:rsid w:val="6A0B1C62"/>
    <w:rsid w:val="6A2406C8"/>
    <w:rsid w:val="6A9A1ADF"/>
    <w:rsid w:val="6ADE0BD1"/>
    <w:rsid w:val="6AE81378"/>
    <w:rsid w:val="6AE96859"/>
    <w:rsid w:val="6B147746"/>
    <w:rsid w:val="6B24787C"/>
    <w:rsid w:val="6B573233"/>
    <w:rsid w:val="6B5B6274"/>
    <w:rsid w:val="6B935D53"/>
    <w:rsid w:val="6BB01E7E"/>
    <w:rsid w:val="6BF73790"/>
    <w:rsid w:val="6C1316F7"/>
    <w:rsid w:val="6C196F71"/>
    <w:rsid w:val="6C226FCB"/>
    <w:rsid w:val="6C31226F"/>
    <w:rsid w:val="6C517EC7"/>
    <w:rsid w:val="6C552F0B"/>
    <w:rsid w:val="6C6E01CE"/>
    <w:rsid w:val="6C8C67B7"/>
    <w:rsid w:val="6C9A1FF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EE256B9"/>
    <w:rsid w:val="6F2A7D94"/>
    <w:rsid w:val="6F4D1B95"/>
    <w:rsid w:val="6F8331F1"/>
    <w:rsid w:val="6FAE1A09"/>
    <w:rsid w:val="6FD75BF8"/>
    <w:rsid w:val="70735A2E"/>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476224"/>
    <w:rsid w:val="73C0646E"/>
    <w:rsid w:val="742222F5"/>
    <w:rsid w:val="74476126"/>
    <w:rsid w:val="74706664"/>
    <w:rsid w:val="747F3682"/>
    <w:rsid w:val="749C4185"/>
    <w:rsid w:val="75067759"/>
    <w:rsid w:val="752E6DCD"/>
    <w:rsid w:val="7551380D"/>
    <w:rsid w:val="755D394A"/>
    <w:rsid w:val="75600BE5"/>
    <w:rsid w:val="7564475C"/>
    <w:rsid w:val="7583797F"/>
    <w:rsid w:val="75B439A7"/>
    <w:rsid w:val="75D20610"/>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26436F"/>
    <w:rsid w:val="783D1176"/>
    <w:rsid w:val="7861270F"/>
    <w:rsid w:val="78775729"/>
    <w:rsid w:val="78A42DB0"/>
    <w:rsid w:val="78A656AB"/>
    <w:rsid w:val="78B2245C"/>
    <w:rsid w:val="78E172CC"/>
    <w:rsid w:val="78EA1D1F"/>
    <w:rsid w:val="79036DC3"/>
    <w:rsid w:val="7904172F"/>
    <w:rsid w:val="790F7E27"/>
    <w:rsid w:val="792A231A"/>
    <w:rsid w:val="79316829"/>
    <w:rsid w:val="797E66A9"/>
    <w:rsid w:val="797F645C"/>
    <w:rsid w:val="798518A4"/>
    <w:rsid w:val="79A97383"/>
    <w:rsid w:val="79E27E8B"/>
    <w:rsid w:val="79F850CE"/>
    <w:rsid w:val="79FD443C"/>
    <w:rsid w:val="7A1D1975"/>
    <w:rsid w:val="7A3E5150"/>
    <w:rsid w:val="7A4670D6"/>
    <w:rsid w:val="7A534B63"/>
    <w:rsid w:val="7A615382"/>
    <w:rsid w:val="7A67303B"/>
    <w:rsid w:val="7A7C4677"/>
    <w:rsid w:val="7AAB1D04"/>
    <w:rsid w:val="7ABA4368"/>
    <w:rsid w:val="7AD05746"/>
    <w:rsid w:val="7AFB16D6"/>
    <w:rsid w:val="7B257FFD"/>
    <w:rsid w:val="7B343476"/>
    <w:rsid w:val="7B3960C4"/>
    <w:rsid w:val="7B5A2978"/>
    <w:rsid w:val="7B5A7E4C"/>
    <w:rsid w:val="7B667AF9"/>
    <w:rsid w:val="7B7468F8"/>
    <w:rsid w:val="7BEB41C7"/>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894C20"/>
    <w:rsid w:val="7E9A4E1F"/>
    <w:rsid w:val="7EA7723A"/>
    <w:rsid w:val="7EF56FBB"/>
    <w:rsid w:val="7F0768EB"/>
    <w:rsid w:val="7F143BEC"/>
    <w:rsid w:val="7F2D15EA"/>
    <w:rsid w:val="7F362021"/>
    <w:rsid w:val="7F715AF2"/>
    <w:rsid w:val="7F7B47F9"/>
    <w:rsid w:val="7F886E69"/>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5"/>
    <w:qFormat/>
    <w:uiPriority w:val="0"/>
    <w:pPr>
      <w:shd w:val="clear" w:color="auto" w:fill="000080"/>
    </w:pPr>
  </w:style>
  <w:style w:type="paragraph" w:styleId="19">
    <w:name w:val="annotation text"/>
    <w:basedOn w:val="1"/>
    <w:link w:val="347"/>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3"/>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4"/>
    <w:qFormat/>
    <w:uiPriority w:val="0"/>
    <w:pPr>
      <w:ind w:firstLine="420"/>
    </w:pPr>
    <w:rPr>
      <w:rFonts w:hAnsi="Calibri" w:cs="Times New Roman"/>
      <w:snapToGrid/>
      <w:szCs w:val="20"/>
    </w:rPr>
  </w:style>
  <w:style w:type="paragraph" w:styleId="25">
    <w:name w:val="Body Text Indent"/>
    <w:basedOn w:val="1"/>
    <w:link w:val="268"/>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8"/>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4"/>
    <w:qFormat/>
    <w:uiPriority w:val="0"/>
    <w:pPr>
      <w:ind w:left="100" w:leftChars="2500"/>
    </w:pPr>
    <w:rPr>
      <w:rFonts w:ascii="宋体"/>
      <w:sz w:val="24"/>
      <w:szCs w:val="21"/>
      <w:lang w:val="zh-CN"/>
    </w:rPr>
  </w:style>
  <w:style w:type="paragraph" w:styleId="37">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8">
    <w:name w:val="endnote text"/>
    <w:basedOn w:val="1"/>
    <w:link w:val="934"/>
    <w:qFormat/>
    <w:uiPriority w:val="0"/>
    <w:rPr>
      <w:lang w:val="zh-CN"/>
    </w:rPr>
  </w:style>
  <w:style w:type="paragraph" w:styleId="39">
    <w:name w:val="Balloon Text"/>
    <w:basedOn w:val="1"/>
    <w:link w:val="191"/>
    <w:qFormat/>
    <w:uiPriority w:val="0"/>
    <w:rPr>
      <w:sz w:val="18"/>
      <w:szCs w:val="18"/>
    </w:rPr>
  </w:style>
  <w:style w:type="paragraph" w:styleId="40">
    <w:name w:val="footer"/>
    <w:basedOn w:val="1"/>
    <w:link w:val="386"/>
    <w:qFormat/>
    <w:uiPriority w:val="99"/>
    <w:pPr>
      <w:tabs>
        <w:tab w:val="center" w:pos="4153"/>
        <w:tab w:val="right" w:pos="8306"/>
      </w:tabs>
      <w:snapToGrid w:val="0"/>
      <w:jc w:val="left"/>
    </w:pPr>
    <w:rPr>
      <w:sz w:val="18"/>
      <w:szCs w:val="18"/>
    </w:rPr>
  </w:style>
  <w:style w:type="paragraph" w:styleId="41">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link w:val="313"/>
    <w:qFormat/>
    <w:uiPriority w:val="0"/>
    <w:pPr>
      <w:adjustRightInd/>
      <w:snapToGrid/>
      <w:spacing w:before="60" w:after="60" w:line="300" w:lineRule="exact"/>
      <w:ind w:firstLine="0"/>
    </w:pPr>
    <w:rPr>
      <w:rFonts w:ascii="Calibri" w:hAnsi="Times New Roman" w:eastAsia="宋体" w:cs="Times New Roman"/>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8"/>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5"/>
    <w:qFormat/>
    <w:uiPriority w:val="0"/>
    <w:pPr>
      <w:spacing w:after="120" w:line="480" w:lineRule="auto"/>
    </w:pPr>
  </w:style>
  <w:style w:type="paragraph" w:styleId="57">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9"/>
    <w:qFormat/>
    <w:uiPriority w:val="0"/>
    <w:rPr>
      <w:b/>
      <w:bCs/>
    </w:rPr>
  </w:style>
  <w:style w:type="paragraph" w:styleId="61">
    <w:name w:val="Body Text First Indent 2"/>
    <w:basedOn w:val="25"/>
    <w:link w:val="12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样式3"/>
    <w:basedOn w:val="33"/>
    <w:next w:val="1"/>
    <w:qFormat/>
    <w:uiPriority w:val="0"/>
    <w:pPr>
      <w:tabs>
        <w:tab w:val="left" w:pos="2790"/>
        <w:tab w:val="left" w:pos="4230"/>
      </w:tabs>
      <w:spacing w:before="312" w:beforeLines="100"/>
      <w:jc w:val="left"/>
    </w:pPr>
  </w:style>
  <w:style w:type="paragraph" w:styleId="82">
    <w:name w:val="List Paragraph"/>
    <w:basedOn w:val="1"/>
    <w:qFormat/>
    <w:uiPriority w:val="34"/>
    <w:pPr>
      <w:ind w:firstLine="420" w:firstLineChars="200"/>
    </w:pPr>
  </w:style>
  <w:style w:type="paragraph" w:customStyle="1" w:styleId="83">
    <w:name w:val="Normal Indent"/>
    <w:basedOn w:val="1"/>
    <w:next w:val="1"/>
    <w:qFormat/>
    <w:uiPriority w:val="0"/>
    <w:pPr>
      <w:ind w:firstLine="420"/>
    </w:pPr>
    <w:rPr>
      <w:szCs w:val="20"/>
    </w:rPr>
  </w:style>
  <w:style w:type="paragraph" w:customStyle="1" w:styleId="84">
    <w:name w:val="Normal Indent1"/>
    <w:basedOn w:val="1"/>
    <w:next w:val="1"/>
    <w:qFormat/>
    <w:uiPriority w:val="0"/>
    <w:pPr>
      <w:ind w:firstLine="420"/>
    </w:pPr>
    <w:rPr>
      <w:szCs w:val="20"/>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0"/>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1"/>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9"/>
    <w:qFormat/>
    <w:uiPriority w:val="0"/>
    <w:rPr>
      <w:rFonts w:ascii="Arial" w:hAnsi="Arial" w:eastAsia="黑体" w:cs="Arial"/>
      <w:snapToGrid w:val="0"/>
      <w:kern w:val="0"/>
      <w:szCs w:val="21"/>
    </w:rPr>
  </w:style>
  <w:style w:type="character" w:customStyle="1" w:styleId="128">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7"/>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7"/>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2"/>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6"/>
    <w:qFormat/>
    <w:uiPriority w:val="0"/>
    <w:rPr>
      <w:rFonts w:ascii="宋体"/>
      <w:kern w:val="2"/>
      <w:sz w:val="24"/>
      <w:szCs w:val="21"/>
      <w:lang w:val="zh-CN"/>
    </w:rPr>
  </w:style>
  <w:style w:type="character" w:customStyle="1" w:styleId="185">
    <w:name w:val="标题 9 Char"/>
    <w:link w:val="10"/>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39"/>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8"/>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9"/>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0"/>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5"/>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6"/>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列出段落1"/>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5"/>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59"/>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6"/>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7"/>
    <w:qFormat/>
    <w:uiPriority w:val="0"/>
    <w:rPr>
      <w:rFonts w:ascii="黑体" w:hAnsi="Courier New" w:eastAsia="黑体"/>
    </w:rPr>
  </w:style>
  <w:style w:type="character" w:customStyle="1" w:styleId="305">
    <w:name w:val="正文文本 2 Char1"/>
    <w:link w:val="56"/>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5"/>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8"/>
    <w:qFormat/>
    <w:uiPriority w:val="0"/>
    <w:rPr>
      <w:b/>
      <w:bCs/>
      <w:kern w:val="2"/>
      <w:sz w:val="24"/>
      <w:szCs w:val="24"/>
    </w:rPr>
  </w:style>
  <w:style w:type="character" w:customStyle="1" w:styleId="311">
    <w:name w:val="正文文本缩进 2 Char"/>
    <w:link w:val="37"/>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0"/>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24"/>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5"/>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1"/>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19"/>
    <w:qFormat/>
    <w:uiPriority w:val="99"/>
    <w:rPr>
      <w:kern w:val="2"/>
      <w:sz w:val="21"/>
      <w:szCs w:val="24"/>
    </w:rPr>
  </w:style>
  <w:style w:type="character" w:customStyle="1" w:styleId="348">
    <w:name w:val="签名 Char"/>
    <w:link w:val="42"/>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9"/>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3"/>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0"/>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1"/>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69"/>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link w:val="431"/>
    <w:qFormat/>
    <w:uiPriority w:val="0"/>
    <w:pPr>
      <w:widowControl w:val="0"/>
      <w:adjustRightInd/>
      <w:snapToGrid/>
      <w:spacing w:line="360" w:lineRule="auto"/>
      <w:ind w:firstLine="200" w:firstLineChars="200"/>
    </w:pPr>
    <w:rPr>
      <w:rFonts w:ascii="Calibri" w:hAnsi="Times New Roman" w:eastAsia="宋体" w:cs="Times New Roman"/>
      <w:snapToGrid/>
      <w:color w:val="auto"/>
      <w:kern w:val="2"/>
      <w:sz w:val="24"/>
    </w:rPr>
  </w:style>
  <w:style w:type="character" w:customStyle="1" w:styleId="4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4">
    <w:name w:val="gray6"/>
    <w:basedOn w:val="69"/>
    <w:qFormat/>
    <w:uiPriority w:val="0"/>
    <w:rPr>
      <w:rFonts w:ascii="Arial" w:hAnsi="Arial" w:eastAsia="黑体" w:cs="Arial"/>
      <w:snapToGrid w:val="0"/>
      <w:kern w:val="0"/>
      <w:szCs w:val="21"/>
    </w:rPr>
  </w:style>
  <w:style w:type="character" w:customStyle="1" w:styleId="435">
    <w:name w:val="hui"/>
    <w:basedOn w:val="69"/>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5"/>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2"/>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6"/>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8"/>
    <w:next w:val="238"/>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8"/>
    <w:next w:val="238"/>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qFormat/>
    <w:uiPriority w:val="0"/>
    <w:pPr>
      <w:widowControl w:val="0"/>
      <w:tabs>
        <w:tab w:val="left" w:pos="0"/>
        <w:tab w:val="left" w:pos="992"/>
      </w:tabs>
      <w:adjustRightInd/>
      <w:snapToGrid/>
      <w:spacing w:line="360" w:lineRule="auto"/>
      <w:ind w:firstLine="0"/>
    </w:pPr>
    <w:rPr>
      <w:rFonts w:ascii="黑体" w:hAnsi="Times New Roman" w:eastAsia="黑体" w:cs="Times New Roman"/>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qFormat/>
    <w:uiPriority w:val="0"/>
    <w:pPr>
      <w:adjustRightInd/>
      <w:snapToGrid/>
      <w:spacing w:before="100" w:beforeAutospacing="1" w:after="100" w:afterLines="50" w:afterAutospacing="1" w:line="360" w:lineRule="auto"/>
      <w:ind w:firstLine="480" w:firstLineChars="200"/>
      <w:jc w:val="left"/>
    </w:pPr>
    <w:rPr>
      <w:rFonts w:ascii="Times New Roman" w:hAnsi="Times New Roman" w:eastAsia="宋体" w:cs="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6"/>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6"/>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8"/>
    <w:qFormat/>
    <w:uiPriority w:val="0"/>
    <w:rPr>
      <w:kern w:val="2"/>
      <w:sz w:val="21"/>
      <w:szCs w:val="24"/>
      <w:lang w:val="zh-CN"/>
    </w:rPr>
  </w:style>
  <w:style w:type="character" w:customStyle="1" w:styleId="935">
    <w:name w:val="无间隔 字符"/>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1"/>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样式 标题 2 + Times New Roman 四号 非加粗 段前: 5 磅 段后: 0 磅 行距: 固定值 20..."/>
    <w:basedOn w:val="2"/>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7">
    <w:name w:val="p16"/>
    <w:basedOn w:val="1"/>
    <w:qFormat/>
    <w:uiPriority w:val="0"/>
    <w:pPr>
      <w:widowControl/>
      <w:spacing w:before="100" w:after="100"/>
      <w:jc w:val="left"/>
    </w:pPr>
    <w:rPr>
      <w:rFonts w:ascii="宋体" w:hAnsi="宋体" w:cs="宋体"/>
      <w:color w:val="000000"/>
      <w:kern w:val="0"/>
      <w:sz w:val="24"/>
    </w:rPr>
  </w:style>
  <w:style w:type="paragraph" w:customStyle="1" w:styleId="96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9">
    <w:name w:val="须知小标题"/>
    <w:basedOn w:val="1"/>
    <w:qFormat/>
    <w:uiPriority w:val="0"/>
    <w:pPr>
      <w:spacing w:line="500" w:lineRule="exact"/>
    </w:pPr>
    <w:rPr>
      <w:rFonts w:ascii="黑体" w:hAnsi="Calibri" w:eastAsia="黑体" w:cs="Calibri"/>
      <w:b/>
      <w:sz w:val="28"/>
      <w:szCs w:val="20"/>
    </w:rPr>
  </w:style>
  <w:style w:type="paragraph" w:customStyle="1" w:styleId="970">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header" Target="header7.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2662</Words>
  <Characters>3064</Characters>
  <Lines>405</Lines>
  <Paragraphs>114</Paragraphs>
  <TotalTime>4</TotalTime>
  <ScaleCrop>false</ScaleCrop>
  <LinksUpToDate>false</LinksUpToDate>
  <CharactersWithSpaces>3189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陈俊</cp:lastModifiedBy>
  <cp:lastPrinted>2025-02-24T05:27:00Z</cp:lastPrinted>
  <dcterms:modified xsi:type="dcterms:W3CDTF">2025-07-18T09:28:26Z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F582EE61DD8047D090415F1756344ADB_13</vt:lpwstr>
  </property>
  <property fmtid="{D5CDD505-2E9C-101B-9397-08002B2CF9AE}" pid="5" name="commondata">
    <vt:lpwstr>eyJoZGlkIjoiNGNlMmFkMDQ1NDY0ZmRiM2Q0NjY4NTFjN2IwMTllYjMifQ==</vt:lpwstr>
  </property>
  <property fmtid="{D5CDD505-2E9C-101B-9397-08002B2CF9AE}" pid="6" name="KSOTemplateDocerSaveRecord">
    <vt:lpwstr>eyJoZGlkIjoiODBiZmJkMmI1OTY1YThlMGFiYjJlZjAwNjE5NDYwNzciLCJ1c2VySWQiOiIyMDM5ODM4MDEifQ==</vt:lpwstr>
  </property>
</Properties>
</file>