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line="360" w:lineRule="auto"/>
        <w:jc w:val="center"/>
        <w:rPr>
          <w:rFonts w:ascii="宋体" w:hAnsi="宋体"/>
          <w:b/>
          <w:bCs/>
          <w:sz w:val="48"/>
          <w:szCs w:val="48"/>
        </w:rPr>
      </w:pPr>
    </w:p>
    <w:p>
      <w:pPr>
        <w:tabs>
          <w:tab w:val="left" w:pos="426"/>
        </w:tabs>
        <w:spacing w:line="360" w:lineRule="auto"/>
        <w:jc w:val="center"/>
        <w:rPr>
          <w:rFonts w:hint="eastAsia" w:ascii="宋体" w:hAnsi="宋体" w:eastAsia="宋体"/>
          <w:sz w:val="36"/>
          <w:szCs w:val="36"/>
          <w:lang w:eastAsia="zh-CN"/>
        </w:rPr>
      </w:pPr>
      <w:r>
        <w:rPr>
          <w:rFonts w:hint="eastAsia" w:ascii="宋体" w:hAnsi="宋体"/>
          <w:sz w:val="36"/>
          <w:szCs w:val="36"/>
          <w:lang w:eastAsia="zh-CN"/>
        </w:rPr>
        <w:t>宁波市地表水水质自动监测数据采购（第二期）项目</w:t>
      </w:r>
    </w:p>
    <w:p>
      <w:pPr>
        <w:spacing w:after="120"/>
        <w:jc w:val="center"/>
        <w:rPr>
          <w:rFonts w:hint="eastAsia" w:ascii="宋体" w:hAnsi="宋体" w:eastAsia="宋体" w:cs="宋体"/>
          <w:sz w:val="32"/>
          <w:szCs w:val="32"/>
          <w:lang w:eastAsia="zh-CN"/>
        </w:rPr>
      </w:pPr>
      <w:r>
        <w:rPr>
          <w:rFonts w:hint="eastAsia" w:ascii="宋体" w:hAnsi="宋体" w:cs="宋体"/>
          <w:sz w:val="32"/>
          <w:szCs w:val="32"/>
        </w:rPr>
        <w:t>项目编号：</w:t>
      </w:r>
      <w:r>
        <w:rPr>
          <w:rFonts w:ascii="宋体" w:hAnsi="宋体" w:cs="宋体"/>
          <w:sz w:val="32"/>
          <w:szCs w:val="32"/>
        </w:rPr>
        <w:t>NBMC-</w:t>
      </w:r>
      <w:r>
        <w:rPr>
          <w:rFonts w:hint="eastAsia" w:ascii="宋体" w:hAnsi="宋体" w:cs="宋体"/>
          <w:color w:val="auto"/>
          <w:sz w:val="32"/>
          <w:szCs w:val="32"/>
          <w:lang w:eastAsia="zh-CN"/>
        </w:rPr>
        <w:t>202390</w:t>
      </w:r>
      <w:r>
        <w:rPr>
          <w:rFonts w:hint="eastAsia" w:ascii="宋体" w:hAnsi="宋体" w:cs="宋体"/>
          <w:color w:val="auto"/>
          <w:sz w:val="32"/>
          <w:szCs w:val="32"/>
          <w:lang w:val="en-US" w:eastAsia="zh-CN"/>
        </w:rPr>
        <w:t>23</w:t>
      </w:r>
      <w:r>
        <w:rPr>
          <w:rFonts w:hint="eastAsia" w:ascii="宋体" w:hAnsi="宋体" w:cs="宋体"/>
          <w:color w:val="auto"/>
          <w:sz w:val="32"/>
          <w:szCs w:val="32"/>
          <w:lang w:eastAsia="zh-CN"/>
        </w:rPr>
        <w:t>G</w:t>
      </w:r>
    </w:p>
    <w:p>
      <w:pPr>
        <w:spacing w:after="120"/>
        <w:jc w:val="center"/>
        <w:rPr>
          <w:rFonts w:ascii="宋体" w:hAnsi="宋体" w:cs="宋体"/>
          <w:b/>
          <w:bCs/>
          <w:sz w:val="32"/>
          <w:szCs w:val="32"/>
        </w:rPr>
      </w:pPr>
    </w:p>
    <w:p>
      <w:pPr>
        <w:spacing w:after="120"/>
        <w:jc w:val="center"/>
        <w:rPr>
          <w:rFonts w:ascii="宋体" w:hAnsi="宋体" w:cs="宋体"/>
          <w:b/>
          <w:bCs/>
          <w:sz w:val="32"/>
          <w:szCs w:val="32"/>
        </w:rPr>
      </w:pPr>
    </w:p>
    <w:p>
      <w:pPr>
        <w:spacing w:after="120"/>
        <w:jc w:val="center"/>
        <w:rPr>
          <w:rFonts w:ascii="宋体" w:hAnsi="宋体" w:cs="宋体"/>
          <w:b/>
          <w:bCs/>
          <w:sz w:val="32"/>
          <w:szCs w:val="32"/>
        </w:rPr>
      </w:pPr>
    </w:p>
    <w:p>
      <w:pPr>
        <w:spacing w:after="240"/>
        <w:jc w:val="center"/>
        <w:rPr>
          <w:rFonts w:ascii="宋体" w:hAnsi="宋体" w:cs="宋体"/>
          <w:b/>
          <w:bCs/>
          <w:sz w:val="72"/>
          <w:szCs w:val="72"/>
        </w:rPr>
      </w:pPr>
      <w:r>
        <w:rPr>
          <w:rFonts w:hint="eastAsia" w:ascii="宋体" w:hAnsi="宋体" w:cs="宋体"/>
          <w:b/>
          <w:bCs/>
          <w:sz w:val="72"/>
          <w:szCs w:val="72"/>
        </w:rPr>
        <w:t>公开招标文件</w:t>
      </w:r>
    </w:p>
    <w:p>
      <w:pPr>
        <w:spacing w:after="240"/>
        <w:jc w:val="center"/>
        <w:rPr>
          <w:rFonts w:ascii="宋体" w:hAnsi="宋体"/>
          <w:sz w:val="32"/>
          <w:szCs w:val="32"/>
        </w:rPr>
      </w:pPr>
      <w:r>
        <w:rPr>
          <w:rFonts w:hint="eastAsia" w:ascii="宋体" w:hAnsi="宋体"/>
          <w:sz w:val="32"/>
          <w:szCs w:val="32"/>
        </w:rPr>
        <w:t>（政府采购电子交易项目</w:t>
      </w:r>
      <w:r>
        <w:rPr>
          <w:rFonts w:hint="eastAsia" w:asciiTheme="minorEastAsia" w:hAnsiTheme="minorEastAsia" w:eastAsiaTheme="minorEastAsia"/>
          <w:sz w:val="32"/>
          <w:szCs w:val="32"/>
        </w:rPr>
        <w:t>·服务类</w:t>
      </w:r>
      <w:r>
        <w:rPr>
          <w:rFonts w:hint="eastAsia" w:ascii="宋体" w:hAnsi="宋体"/>
          <w:sz w:val="32"/>
          <w:szCs w:val="32"/>
        </w:rPr>
        <w:t>）</w:t>
      </w: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jc w:val="center"/>
        <w:outlineLvl w:val="0"/>
        <w:rPr>
          <w:rFonts w:ascii="宋体" w:hAnsi="宋体"/>
          <w:b/>
          <w:bCs/>
          <w:sz w:val="44"/>
          <w:szCs w:val="44"/>
        </w:rPr>
      </w:pPr>
    </w:p>
    <w:p>
      <w:pPr>
        <w:jc w:val="center"/>
        <w:rPr>
          <w:rFonts w:hint="eastAsia" w:ascii="宋体" w:hAnsi="宋体"/>
          <w:sz w:val="32"/>
          <w:szCs w:val="32"/>
        </w:rPr>
      </w:pPr>
    </w:p>
    <w:p>
      <w:pPr>
        <w:jc w:val="center"/>
        <w:rPr>
          <w:rFonts w:hint="eastAsia" w:ascii="宋体" w:hAnsi="宋体"/>
          <w:sz w:val="32"/>
          <w:szCs w:val="32"/>
        </w:rPr>
      </w:pPr>
    </w:p>
    <w:p>
      <w:pPr>
        <w:jc w:val="center"/>
        <w:rPr>
          <w:rFonts w:ascii="宋体" w:hAnsi="宋体"/>
          <w:sz w:val="32"/>
          <w:szCs w:val="32"/>
        </w:rPr>
      </w:pPr>
      <w:r>
        <w:rPr>
          <w:rFonts w:hint="eastAsia" w:ascii="宋体" w:hAnsi="宋体"/>
          <w:sz w:val="32"/>
          <w:szCs w:val="32"/>
        </w:rPr>
        <w:t>采购人：宁波市生态环境局</w:t>
      </w:r>
    </w:p>
    <w:p>
      <w:pPr>
        <w:jc w:val="center"/>
        <w:rPr>
          <w:rFonts w:ascii="宋体" w:hAnsi="宋体"/>
          <w:sz w:val="32"/>
          <w:szCs w:val="32"/>
        </w:rPr>
      </w:pPr>
      <w:r>
        <w:rPr>
          <w:rFonts w:hint="eastAsia" w:ascii="宋体" w:hAnsi="宋体"/>
          <w:sz w:val="32"/>
          <w:szCs w:val="32"/>
        </w:rPr>
        <w:t>代理机构：宁波名诚招标代理有限公司</w:t>
      </w:r>
    </w:p>
    <w:p>
      <w:pPr>
        <w:jc w:val="center"/>
        <w:rPr>
          <w:rFonts w:ascii="宋体" w:hAnsi="宋体"/>
          <w:sz w:val="32"/>
          <w:szCs w:val="32"/>
        </w:rPr>
      </w:pPr>
      <w:r>
        <w:rPr>
          <w:rFonts w:hint="eastAsia" w:ascii="宋体" w:hAnsi="宋体"/>
          <w:sz w:val="32"/>
          <w:szCs w:val="32"/>
        </w:rPr>
        <w:t>编制日期：</w:t>
      </w:r>
      <w:r>
        <w:rPr>
          <w:rFonts w:hint="eastAsia" w:ascii="宋体" w:hAnsi="宋体"/>
          <w:sz w:val="32"/>
          <w:szCs w:val="32"/>
          <w:lang w:val="en-US" w:eastAsia="zh-CN"/>
        </w:rPr>
        <w:t>2023</w:t>
      </w:r>
      <w:r>
        <w:rPr>
          <w:rFonts w:ascii="宋体" w:hAnsi="宋体"/>
          <w:sz w:val="32"/>
          <w:szCs w:val="32"/>
        </w:rPr>
        <w:t>年</w:t>
      </w:r>
      <w:r>
        <w:rPr>
          <w:rFonts w:hint="eastAsia" w:ascii="宋体" w:hAnsi="宋体"/>
          <w:sz w:val="32"/>
          <w:szCs w:val="32"/>
          <w:lang w:val="en-US" w:eastAsia="zh-CN"/>
        </w:rPr>
        <w:t>2</w:t>
      </w:r>
      <w:r>
        <w:rPr>
          <w:rFonts w:ascii="宋体" w:hAnsi="宋体"/>
          <w:sz w:val="32"/>
          <w:szCs w:val="32"/>
        </w:rPr>
        <w:t>月</w:t>
      </w:r>
    </w:p>
    <w:p>
      <w:pPr>
        <w:jc w:val="center"/>
        <w:rPr>
          <w:rFonts w:ascii="宋体" w:hAnsi="宋体"/>
          <w:sz w:val="32"/>
          <w:szCs w:val="32"/>
        </w:rPr>
      </w:pPr>
    </w:p>
    <w:p>
      <w:pPr>
        <w:spacing w:line="360" w:lineRule="auto"/>
        <w:rPr>
          <w:rFonts w:hAnsi="宋体"/>
        </w:rPr>
      </w:pPr>
    </w:p>
    <w:p>
      <w:pPr>
        <w:pStyle w:val="24"/>
        <w:spacing w:beforeLines="0" w:afterLines="0" w:line="360" w:lineRule="auto"/>
        <w:jc w:val="center"/>
        <w:rPr>
          <w:rFonts w:hAnsi="宋体"/>
          <w:sz w:val="28"/>
          <w:szCs w:val="28"/>
        </w:rPr>
        <w:sectPr>
          <w:headerReference r:id="rId3" w:type="default"/>
          <w:headerReference r:id="rId4" w:type="even"/>
          <w:footerReference r:id="rId5" w:type="even"/>
          <w:pgSz w:w="11906" w:h="16838"/>
          <w:pgMar w:top="1440" w:right="1440" w:bottom="1440" w:left="1610" w:header="851" w:footer="851" w:gutter="0"/>
          <w:cols w:space="720" w:num="1"/>
          <w:titlePg/>
          <w:docGrid w:linePitch="312" w:charSpace="0"/>
        </w:sectPr>
      </w:pPr>
    </w:p>
    <w:p>
      <w:pPr>
        <w:pStyle w:val="280"/>
        <w:spacing w:before="0" w:after="0" w:line="360" w:lineRule="auto"/>
        <w:jc w:val="center"/>
        <w:rPr>
          <w:rFonts w:ascii="宋体" w:hAnsi="宋体"/>
          <w:sz w:val="24"/>
        </w:rPr>
      </w:pPr>
      <w:r>
        <w:rPr>
          <w:rFonts w:ascii="宋体" w:hAnsi="宋体"/>
          <w:sz w:val="24"/>
        </w:rPr>
        <w:t>目</w:t>
      </w:r>
      <w:r>
        <w:rPr>
          <w:rFonts w:hint="eastAsia" w:ascii="宋体" w:hAnsi="宋体"/>
          <w:sz w:val="24"/>
        </w:rPr>
        <w:t xml:space="preserve">  </w:t>
      </w:r>
      <w:r>
        <w:rPr>
          <w:rFonts w:ascii="宋体" w:hAnsi="宋体"/>
          <w:sz w:val="24"/>
        </w:rPr>
        <w:t>录</w:t>
      </w:r>
    </w:p>
    <w:p>
      <w:pPr>
        <w:pStyle w:val="31"/>
        <w:tabs>
          <w:tab w:val="right" w:leader="dot" w:pos="8846"/>
        </w:tabs>
        <w:spacing w:line="360" w:lineRule="auto"/>
        <w:rPr>
          <w:rFonts w:ascii="宋体" w:hAnsi="宋体"/>
          <w:sz w:val="24"/>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"_Toc34844741" </w:instrText>
      </w:r>
      <w:r>
        <w:fldChar w:fldCharType="separate"/>
      </w:r>
      <w:r>
        <w:rPr>
          <w:rStyle w:val="51"/>
          <w:rFonts w:hint="eastAsia" w:ascii="宋体" w:hAnsi="宋体"/>
          <w:color w:val="auto"/>
          <w:sz w:val="24"/>
        </w:rPr>
        <w:t>第一章  投标邀请</w:t>
      </w:r>
      <w:r>
        <w:rPr>
          <w:rFonts w:ascii="宋体" w:hAnsi="宋体"/>
          <w:sz w:val="24"/>
        </w:rPr>
        <w:tab/>
      </w:r>
      <w:r>
        <w:rPr>
          <w:rFonts w:ascii="宋体" w:hAnsi="宋体"/>
          <w:sz w:val="24"/>
        </w:rPr>
        <w:fldChar w:fldCharType="begin"/>
      </w:r>
      <w:r>
        <w:rPr>
          <w:rFonts w:ascii="宋体" w:hAnsi="宋体"/>
          <w:sz w:val="24"/>
        </w:rPr>
        <w:instrText xml:space="preserve"> PAGEREF _Toc34844741 \h </w:instrText>
      </w:r>
      <w:r>
        <w:rPr>
          <w:rFonts w:ascii="宋体" w:hAnsi="宋体"/>
          <w:sz w:val="24"/>
        </w:rPr>
        <w:fldChar w:fldCharType="separate"/>
      </w:r>
      <w:r>
        <w:rPr>
          <w:rFonts w:ascii="宋体" w:hAnsi="宋体"/>
          <w:sz w:val="24"/>
        </w:rPr>
        <w:t>2</w:t>
      </w:r>
      <w:r>
        <w:rPr>
          <w:rFonts w:ascii="宋体" w:hAnsi="宋体"/>
          <w:sz w:val="24"/>
        </w:rPr>
        <w:fldChar w:fldCharType="end"/>
      </w:r>
      <w:r>
        <w:rPr>
          <w:rFonts w:ascii="宋体" w:hAnsi="宋体"/>
          <w:sz w:val="24"/>
        </w:rPr>
        <w:fldChar w:fldCharType="end"/>
      </w:r>
    </w:p>
    <w:p>
      <w:pPr>
        <w:pStyle w:val="31"/>
        <w:tabs>
          <w:tab w:val="right" w:leader="dot" w:pos="8846"/>
        </w:tabs>
        <w:spacing w:line="360" w:lineRule="auto"/>
        <w:rPr>
          <w:rFonts w:ascii="宋体" w:hAnsi="宋体"/>
          <w:sz w:val="24"/>
        </w:rPr>
      </w:pPr>
      <w:r>
        <w:fldChar w:fldCharType="begin"/>
      </w:r>
      <w:r>
        <w:instrText xml:space="preserve"> HYPERLINK \l "_Toc34844742" </w:instrText>
      </w:r>
      <w:r>
        <w:fldChar w:fldCharType="separate"/>
      </w:r>
      <w:r>
        <w:rPr>
          <w:rStyle w:val="51"/>
          <w:rFonts w:hint="eastAsia" w:ascii="宋体" w:hAnsi="宋体"/>
          <w:color w:val="auto"/>
          <w:sz w:val="24"/>
        </w:rPr>
        <w:t>第二章  采购需求</w:t>
      </w:r>
      <w:r>
        <w:rPr>
          <w:rFonts w:ascii="宋体" w:hAnsi="宋体"/>
          <w:sz w:val="24"/>
        </w:rPr>
        <w:tab/>
      </w:r>
      <w:r>
        <w:rPr>
          <w:rFonts w:ascii="宋体" w:hAnsi="宋体"/>
          <w:sz w:val="24"/>
        </w:rPr>
        <w:fldChar w:fldCharType="begin"/>
      </w:r>
      <w:r>
        <w:rPr>
          <w:rFonts w:ascii="宋体" w:hAnsi="宋体"/>
          <w:sz w:val="24"/>
        </w:rPr>
        <w:instrText xml:space="preserve"> PAGEREF _Toc34844742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31"/>
        <w:tabs>
          <w:tab w:val="right" w:leader="dot" w:pos="8846"/>
        </w:tabs>
        <w:spacing w:line="360" w:lineRule="auto"/>
        <w:rPr>
          <w:rFonts w:ascii="宋体" w:hAnsi="宋体"/>
          <w:sz w:val="24"/>
        </w:rPr>
      </w:pPr>
      <w:r>
        <w:fldChar w:fldCharType="begin"/>
      </w:r>
      <w:r>
        <w:instrText xml:space="preserve"> HYPERLINK \l "_Toc34844743" </w:instrText>
      </w:r>
      <w:r>
        <w:fldChar w:fldCharType="separate"/>
      </w:r>
      <w:r>
        <w:rPr>
          <w:rStyle w:val="51"/>
          <w:rFonts w:hint="eastAsia" w:ascii="宋体" w:hAnsi="宋体"/>
          <w:color w:val="auto"/>
          <w:sz w:val="24"/>
        </w:rPr>
        <w:t>第三章  投标人须知</w:t>
      </w:r>
      <w:r>
        <w:rPr>
          <w:rFonts w:ascii="宋体" w:hAnsi="宋体"/>
          <w:sz w:val="24"/>
        </w:rPr>
        <w:tab/>
      </w:r>
      <w:r>
        <w:rPr>
          <w:rFonts w:ascii="宋体" w:hAnsi="宋体"/>
          <w:sz w:val="24"/>
        </w:rPr>
        <w:fldChar w:fldCharType="begin"/>
      </w:r>
      <w:r>
        <w:rPr>
          <w:rFonts w:ascii="宋体" w:hAnsi="宋体"/>
          <w:sz w:val="24"/>
        </w:rPr>
        <w:instrText xml:space="preserve"> PAGEREF _Toc34844743 \h </w:instrText>
      </w:r>
      <w:r>
        <w:rPr>
          <w:rFonts w:ascii="宋体" w:hAnsi="宋体"/>
          <w:sz w:val="24"/>
        </w:rPr>
        <w:fldChar w:fldCharType="separate"/>
      </w:r>
      <w:r>
        <w:rPr>
          <w:rFonts w:ascii="宋体" w:hAnsi="宋体"/>
          <w:sz w:val="24"/>
        </w:rPr>
        <w:t>14</w:t>
      </w:r>
      <w:r>
        <w:rPr>
          <w:rFonts w:ascii="宋体" w:hAnsi="宋体"/>
          <w:sz w:val="24"/>
        </w:rPr>
        <w:fldChar w:fldCharType="end"/>
      </w:r>
      <w:r>
        <w:rPr>
          <w:rFonts w:ascii="宋体" w:hAnsi="宋体"/>
          <w:sz w:val="24"/>
        </w:rPr>
        <w:fldChar w:fldCharType="end"/>
      </w:r>
    </w:p>
    <w:p>
      <w:pPr>
        <w:pStyle w:val="31"/>
        <w:tabs>
          <w:tab w:val="right" w:leader="dot" w:pos="8846"/>
        </w:tabs>
        <w:spacing w:line="360" w:lineRule="auto"/>
        <w:rPr>
          <w:rFonts w:ascii="宋体" w:hAnsi="宋体"/>
          <w:sz w:val="24"/>
        </w:rPr>
      </w:pPr>
      <w:r>
        <w:fldChar w:fldCharType="begin"/>
      </w:r>
      <w:r>
        <w:instrText xml:space="preserve"> HYPERLINK \l "_Toc34844744" </w:instrText>
      </w:r>
      <w:r>
        <w:fldChar w:fldCharType="separate"/>
      </w:r>
      <w:r>
        <w:rPr>
          <w:rStyle w:val="51"/>
          <w:rFonts w:hint="eastAsia" w:ascii="宋体" w:hAnsi="宋体"/>
          <w:color w:val="auto"/>
          <w:sz w:val="24"/>
        </w:rPr>
        <w:t>第四章  评标方法及评标标准</w:t>
      </w:r>
      <w:r>
        <w:rPr>
          <w:rFonts w:ascii="宋体" w:hAnsi="宋体"/>
          <w:sz w:val="24"/>
        </w:rPr>
        <w:tab/>
      </w:r>
      <w:r>
        <w:rPr>
          <w:rFonts w:ascii="宋体" w:hAnsi="宋体"/>
          <w:sz w:val="24"/>
        </w:rPr>
        <w:fldChar w:fldCharType="begin"/>
      </w:r>
      <w:r>
        <w:rPr>
          <w:rFonts w:ascii="宋体" w:hAnsi="宋体"/>
          <w:sz w:val="24"/>
        </w:rPr>
        <w:instrText xml:space="preserve"> PAGEREF _Toc34844744 \h </w:instrText>
      </w:r>
      <w:r>
        <w:rPr>
          <w:rFonts w:ascii="宋体" w:hAnsi="宋体"/>
          <w:sz w:val="24"/>
        </w:rPr>
        <w:fldChar w:fldCharType="separate"/>
      </w:r>
      <w:r>
        <w:rPr>
          <w:rFonts w:ascii="宋体" w:hAnsi="宋体"/>
          <w:sz w:val="24"/>
        </w:rPr>
        <w:t>26</w:t>
      </w:r>
      <w:r>
        <w:rPr>
          <w:rFonts w:ascii="宋体" w:hAnsi="宋体"/>
          <w:sz w:val="24"/>
        </w:rPr>
        <w:fldChar w:fldCharType="end"/>
      </w:r>
      <w:r>
        <w:rPr>
          <w:rFonts w:ascii="宋体" w:hAnsi="宋体"/>
          <w:sz w:val="24"/>
        </w:rPr>
        <w:fldChar w:fldCharType="end"/>
      </w:r>
    </w:p>
    <w:p>
      <w:pPr>
        <w:pStyle w:val="31"/>
        <w:tabs>
          <w:tab w:val="right" w:leader="dot" w:pos="8846"/>
        </w:tabs>
        <w:spacing w:line="360" w:lineRule="auto"/>
        <w:rPr>
          <w:rFonts w:ascii="宋体" w:hAnsi="宋体"/>
          <w:sz w:val="24"/>
        </w:rPr>
      </w:pPr>
      <w:r>
        <w:fldChar w:fldCharType="begin"/>
      </w:r>
      <w:r>
        <w:instrText xml:space="preserve"> HYPERLINK \l "_Toc34844745" </w:instrText>
      </w:r>
      <w:r>
        <w:fldChar w:fldCharType="separate"/>
      </w:r>
      <w:r>
        <w:rPr>
          <w:rStyle w:val="51"/>
          <w:rFonts w:hint="eastAsia" w:ascii="宋体" w:hAnsi="宋体"/>
          <w:color w:val="auto"/>
          <w:sz w:val="24"/>
        </w:rPr>
        <w:t>第五章  合同文本</w:t>
      </w:r>
      <w:r>
        <w:rPr>
          <w:rFonts w:ascii="宋体" w:hAnsi="宋体"/>
          <w:sz w:val="24"/>
        </w:rPr>
        <w:tab/>
      </w:r>
      <w:r>
        <w:rPr>
          <w:rFonts w:ascii="宋体" w:hAnsi="宋体"/>
          <w:sz w:val="24"/>
        </w:rPr>
        <w:fldChar w:fldCharType="begin"/>
      </w:r>
      <w:r>
        <w:rPr>
          <w:rFonts w:ascii="宋体" w:hAnsi="宋体"/>
          <w:sz w:val="24"/>
        </w:rPr>
        <w:instrText xml:space="preserve"> PAGEREF _Toc34844745 \h </w:instrText>
      </w:r>
      <w:r>
        <w:rPr>
          <w:rFonts w:ascii="宋体" w:hAnsi="宋体"/>
          <w:sz w:val="24"/>
        </w:rPr>
        <w:fldChar w:fldCharType="separate"/>
      </w:r>
      <w:r>
        <w:rPr>
          <w:rFonts w:ascii="宋体" w:hAnsi="宋体"/>
          <w:sz w:val="24"/>
        </w:rPr>
        <w:t>30</w:t>
      </w:r>
      <w:r>
        <w:rPr>
          <w:rFonts w:ascii="宋体" w:hAnsi="宋体"/>
          <w:sz w:val="24"/>
        </w:rPr>
        <w:fldChar w:fldCharType="end"/>
      </w:r>
      <w:r>
        <w:rPr>
          <w:rFonts w:ascii="宋体" w:hAnsi="宋体"/>
          <w:sz w:val="24"/>
        </w:rPr>
        <w:fldChar w:fldCharType="end"/>
      </w:r>
    </w:p>
    <w:p>
      <w:pPr>
        <w:pStyle w:val="31"/>
        <w:tabs>
          <w:tab w:val="right" w:leader="dot" w:pos="8846"/>
        </w:tabs>
        <w:spacing w:line="360" w:lineRule="auto"/>
        <w:rPr>
          <w:rFonts w:ascii="宋体" w:hAnsi="宋体"/>
          <w:szCs w:val="22"/>
        </w:rPr>
      </w:pPr>
      <w:r>
        <w:fldChar w:fldCharType="begin"/>
      </w:r>
      <w:r>
        <w:instrText xml:space="preserve"> HYPERLINK \l "_Toc34844746" </w:instrText>
      </w:r>
      <w:r>
        <w:fldChar w:fldCharType="separate"/>
      </w:r>
      <w:r>
        <w:rPr>
          <w:rStyle w:val="51"/>
          <w:rFonts w:hint="eastAsia" w:ascii="宋体" w:hAnsi="宋体"/>
          <w:color w:val="auto"/>
          <w:sz w:val="24"/>
        </w:rPr>
        <w:t>第六章  投标文件格式</w:t>
      </w:r>
      <w:r>
        <w:rPr>
          <w:rFonts w:ascii="宋体" w:hAnsi="宋体"/>
          <w:sz w:val="24"/>
        </w:rPr>
        <w:tab/>
      </w:r>
      <w:r>
        <w:rPr>
          <w:rFonts w:ascii="宋体" w:hAnsi="宋体"/>
          <w:sz w:val="24"/>
        </w:rPr>
        <w:fldChar w:fldCharType="begin"/>
      </w:r>
      <w:r>
        <w:rPr>
          <w:rFonts w:ascii="宋体" w:hAnsi="宋体"/>
          <w:sz w:val="24"/>
        </w:rPr>
        <w:instrText xml:space="preserve"> PAGEREF _Toc34844746 \h </w:instrText>
      </w:r>
      <w:r>
        <w:rPr>
          <w:rFonts w:ascii="宋体" w:hAnsi="宋体"/>
          <w:sz w:val="24"/>
        </w:rPr>
        <w:fldChar w:fldCharType="separate"/>
      </w:r>
      <w:r>
        <w:rPr>
          <w:rFonts w:ascii="宋体" w:hAnsi="宋体"/>
          <w:sz w:val="24"/>
        </w:rPr>
        <w:t>32</w:t>
      </w:r>
      <w:r>
        <w:rPr>
          <w:rFonts w:ascii="宋体" w:hAnsi="宋体"/>
          <w:sz w:val="24"/>
        </w:rPr>
        <w:fldChar w:fldCharType="end"/>
      </w:r>
      <w:r>
        <w:rPr>
          <w:rFonts w:ascii="宋体" w:hAnsi="宋体"/>
          <w:sz w:val="24"/>
        </w:rPr>
        <w:fldChar w:fldCharType="end"/>
      </w:r>
    </w:p>
    <w:p>
      <w:pPr>
        <w:spacing w:line="360" w:lineRule="auto"/>
        <w:rPr>
          <w:rFonts w:ascii="宋体" w:hAnsi="宋体"/>
        </w:rPr>
      </w:pPr>
      <w:r>
        <w:rPr>
          <w:rFonts w:ascii="宋体" w:hAnsi="宋体"/>
          <w:b/>
          <w:bCs/>
          <w:lang w:val="zh-CN"/>
        </w:rPr>
        <w:fldChar w:fldCharType="end"/>
      </w:r>
    </w:p>
    <w:p>
      <w:pPr>
        <w:pStyle w:val="24"/>
        <w:snapToGrid w:val="0"/>
        <w:spacing w:beforeLines="0" w:afterLines="0" w:line="360" w:lineRule="auto"/>
        <w:jc w:val="center"/>
        <w:outlineLvl w:val="0"/>
        <w:rPr>
          <w:rFonts w:hAnsi="宋体"/>
          <w:sz w:val="28"/>
          <w:szCs w:val="28"/>
        </w:rPr>
      </w:pPr>
    </w:p>
    <w:p>
      <w:pPr>
        <w:pStyle w:val="24"/>
        <w:snapToGrid w:val="0"/>
        <w:spacing w:beforeLines="0" w:afterLines="0" w:line="360" w:lineRule="auto"/>
        <w:jc w:val="center"/>
        <w:outlineLvl w:val="0"/>
        <w:rPr>
          <w:rFonts w:hAnsi="宋体"/>
          <w:sz w:val="28"/>
          <w:szCs w:val="28"/>
        </w:rPr>
      </w:pPr>
    </w:p>
    <w:p>
      <w:pPr>
        <w:pStyle w:val="24"/>
        <w:snapToGrid w:val="0"/>
        <w:spacing w:beforeLines="0" w:afterLines="0" w:line="360" w:lineRule="auto"/>
        <w:jc w:val="center"/>
        <w:outlineLvl w:val="0"/>
        <w:rPr>
          <w:rFonts w:hAnsi="宋体"/>
          <w:sz w:val="28"/>
          <w:szCs w:val="28"/>
        </w:rPr>
      </w:pPr>
    </w:p>
    <w:p>
      <w:pPr>
        <w:pStyle w:val="24"/>
        <w:snapToGrid w:val="0"/>
        <w:spacing w:beforeLines="0" w:afterLines="0" w:line="360" w:lineRule="auto"/>
        <w:jc w:val="center"/>
        <w:outlineLvl w:val="0"/>
        <w:rPr>
          <w:rFonts w:hAnsi="宋体"/>
          <w:sz w:val="28"/>
          <w:szCs w:val="28"/>
        </w:rPr>
        <w:sectPr>
          <w:footerReference r:id="rId7" w:type="first"/>
          <w:footerReference r:id="rId6" w:type="default"/>
          <w:pgSz w:w="11906" w:h="16838"/>
          <w:pgMar w:top="1440" w:right="1440" w:bottom="1440" w:left="1610" w:header="851" w:footer="851" w:gutter="0"/>
          <w:pgNumType w:start="1"/>
          <w:cols w:space="720" w:num="1"/>
          <w:docGrid w:linePitch="312" w:charSpace="0"/>
        </w:sectPr>
      </w:pPr>
    </w:p>
    <w:p>
      <w:pPr>
        <w:pStyle w:val="41"/>
        <w:spacing w:line="360" w:lineRule="auto"/>
        <w:rPr>
          <w:rFonts w:ascii="宋体" w:hAnsi="宋体" w:eastAsia="宋体"/>
          <w:sz w:val="24"/>
        </w:rPr>
      </w:pPr>
      <w:bookmarkStart w:id="0" w:name="_Toc34844741"/>
      <w:r>
        <w:rPr>
          <w:rFonts w:hint="eastAsia" w:ascii="宋体" w:hAnsi="宋体" w:eastAsia="宋体"/>
          <w:sz w:val="24"/>
        </w:rPr>
        <w:t>第一章  投标邀请</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color w:val="auto"/>
          <w:szCs w:val="28"/>
        </w:rPr>
      </w:pPr>
      <w:r>
        <w:rPr>
          <w:rFonts w:hint="eastAsia" w:ascii="宋体" w:hAnsi="宋体"/>
          <w:szCs w:val="28"/>
          <w:u w:val="single"/>
          <w:lang w:eastAsia="zh-CN"/>
        </w:rPr>
        <w:t>宁波市地表水水质自动监测数据采购（第二期）项目</w:t>
      </w:r>
      <w:r>
        <w:rPr>
          <w:rFonts w:hint="eastAsia" w:ascii="宋体" w:hAnsi="宋体"/>
          <w:color w:val="auto"/>
          <w:szCs w:val="28"/>
        </w:rPr>
        <w:t>招标项目的潜在投标人应在</w:t>
      </w:r>
      <w:r>
        <w:rPr>
          <w:rFonts w:hint="eastAsia" w:ascii="宋体" w:hAnsi="宋体"/>
          <w:color w:val="auto"/>
          <w:u w:val="single"/>
        </w:rPr>
        <w:t>政采云平台（https://www.zcygov.cn）</w:t>
      </w:r>
      <w:r>
        <w:rPr>
          <w:rFonts w:hint="eastAsia" w:ascii="宋体" w:hAnsi="宋体"/>
          <w:color w:val="auto"/>
          <w:szCs w:val="28"/>
        </w:rPr>
        <w:t>获取招标文件，并于</w:t>
      </w:r>
      <w:r>
        <w:rPr>
          <w:rFonts w:hint="eastAsia" w:ascii="宋体" w:hAnsi="宋体"/>
          <w:color w:val="auto"/>
          <w:szCs w:val="28"/>
          <w:u w:val="single"/>
          <w:lang w:val="en-US" w:eastAsia="zh-CN"/>
        </w:rPr>
        <w:t>2023</w:t>
      </w:r>
      <w:r>
        <w:rPr>
          <w:rFonts w:hint="eastAsia" w:ascii="宋体" w:hAnsi="宋体"/>
          <w:bCs/>
          <w:color w:val="auto"/>
          <w:szCs w:val="28"/>
          <w:u w:val="single"/>
        </w:rPr>
        <w:t>年</w:t>
      </w:r>
      <w:r>
        <w:rPr>
          <w:rFonts w:hint="eastAsia" w:ascii="宋体" w:hAnsi="宋体"/>
          <w:bCs/>
          <w:color w:val="auto"/>
          <w:szCs w:val="28"/>
          <w:u w:val="single"/>
          <w:lang w:val="en-US" w:eastAsia="zh-CN"/>
        </w:rPr>
        <w:t>2</w:t>
      </w:r>
      <w:r>
        <w:rPr>
          <w:rFonts w:hint="eastAsia" w:ascii="宋体" w:hAnsi="宋体"/>
          <w:bCs/>
          <w:color w:val="auto"/>
          <w:szCs w:val="28"/>
          <w:u w:val="single"/>
        </w:rPr>
        <w:t>月</w:t>
      </w:r>
      <w:r>
        <w:rPr>
          <w:rFonts w:hint="eastAsia" w:ascii="宋体" w:hAnsi="宋体"/>
          <w:bCs/>
          <w:color w:val="auto"/>
          <w:szCs w:val="28"/>
          <w:u w:val="single"/>
          <w:lang w:val="en-US" w:eastAsia="zh-CN"/>
        </w:rPr>
        <w:t>24</w:t>
      </w:r>
      <w:r>
        <w:rPr>
          <w:rFonts w:hint="eastAsia" w:ascii="宋体" w:hAnsi="宋体"/>
          <w:bCs/>
          <w:color w:val="auto"/>
          <w:szCs w:val="28"/>
          <w:u w:val="single"/>
        </w:rPr>
        <w:t>日</w:t>
      </w:r>
      <w:r>
        <w:rPr>
          <w:rFonts w:hint="eastAsia" w:ascii="宋体" w:hAnsi="宋体"/>
          <w:bCs/>
          <w:color w:val="auto"/>
          <w:szCs w:val="28"/>
          <w:u w:val="single"/>
          <w:lang w:val="en-US" w:eastAsia="zh-CN"/>
        </w:rPr>
        <w:t>09</w:t>
      </w:r>
      <w:r>
        <w:rPr>
          <w:rFonts w:hint="eastAsia" w:ascii="宋体" w:hAnsi="宋体"/>
          <w:bCs/>
          <w:color w:val="auto"/>
          <w:szCs w:val="28"/>
          <w:u w:val="single"/>
        </w:rPr>
        <w:t>点</w:t>
      </w:r>
      <w:r>
        <w:rPr>
          <w:rFonts w:hint="eastAsia" w:ascii="宋体" w:hAnsi="宋体"/>
          <w:bCs/>
          <w:color w:val="auto"/>
          <w:szCs w:val="28"/>
          <w:u w:val="single"/>
          <w:lang w:val="en-US" w:eastAsia="zh-CN"/>
        </w:rPr>
        <w:t>30</w:t>
      </w:r>
      <w:r>
        <w:rPr>
          <w:rFonts w:hint="eastAsia" w:ascii="宋体" w:hAnsi="宋体"/>
          <w:bCs/>
          <w:color w:val="auto"/>
          <w:szCs w:val="28"/>
          <w:u w:val="single"/>
        </w:rPr>
        <w:t>分</w:t>
      </w:r>
      <w:r>
        <w:rPr>
          <w:rFonts w:hint="eastAsia" w:ascii="宋体" w:hAnsi="宋体"/>
          <w:bCs/>
          <w:color w:val="auto"/>
          <w:szCs w:val="28"/>
        </w:rPr>
        <w:t>（北京时间）前递交投标</w:t>
      </w:r>
      <w:r>
        <w:rPr>
          <w:rFonts w:ascii="宋体" w:hAnsi="宋体"/>
          <w:bCs/>
          <w:color w:val="auto"/>
          <w:szCs w:val="28"/>
        </w:rPr>
        <w:t>文件</w:t>
      </w:r>
      <w:r>
        <w:rPr>
          <w:rFonts w:hint="eastAsia" w:ascii="宋体" w:hAnsi="宋体"/>
          <w:color w:val="auto"/>
          <w:szCs w:val="28"/>
        </w:rPr>
        <w:t>。</w:t>
      </w:r>
    </w:p>
    <w:p>
      <w:pPr>
        <w:snapToGrid w:val="0"/>
        <w:spacing w:line="400" w:lineRule="exact"/>
        <w:rPr>
          <w:rFonts w:ascii="宋体" w:hAnsi="宋体" w:cs="Arial"/>
          <w:szCs w:val="21"/>
        </w:rPr>
      </w:pPr>
      <w:bookmarkStart w:id="1" w:name="_Toc35393621"/>
      <w:bookmarkStart w:id="2" w:name="_Toc28359079"/>
      <w:bookmarkStart w:id="3" w:name="_Toc35393790"/>
      <w:bookmarkStart w:id="4" w:name="_Toc28359002"/>
      <w:bookmarkStart w:id="5" w:name="_Hlk24379207"/>
      <w:r>
        <w:rPr>
          <w:rFonts w:hint="eastAsia" w:ascii="宋体" w:hAnsi="宋体" w:cs="Arial"/>
          <w:szCs w:val="21"/>
        </w:rPr>
        <w:t>一、项目基本情况</w:t>
      </w:r>
      <w:bookmarkEnd w:id="1"/>
      <w:bookmarkEnd w:id="2"/>
      <w:bookmarkEnd w:id="3"/>
      <w:bookmarkEnd w:id="4"/>
    </w:p>
    <w:p>
      <w:pPr>
        <w:spacing w:line="400" w:lineRule="exact"/>
        <w:ind w:firstLine="420" w:firstLineChars="200"/>
        <w:rPr>
          <w:rFonts w:hint="eastAsia" w:ascii="宋体" w:hAnsi="宋体" w:eastAsia="宋体"/>
          <w:szCs w:val="21"/>
          <w:lang w:eastAsia="zh-CN"/>
        </w:rPr>
      </w:pPr>
      <w:r>
        <w:rPr>
          <w:rFonts w:hint="eastAsia" w:ascii="宋体" w:hAnsi="宋体"/>
          <w:szCs w:val="21"/>
        </w:rPr>
        <w:t>项目编号：NBMC-</w:t>
      </w:r>
      <w:r>
        <w:rPr>
          <w:rFonts w:hint="eastAsia" w:ascii="宋体" w:hAnsi="宋体"/>
          <w:szCs w:val="21"/>
          <w:lang w:eastAsia="zh-CN"/>
        </w:rPr>
        <w:t>20239023G</w:t>
      </w:r>
    </w:p>
    <w:p>
      <w:pPr>
        <w:spacing w:line="400" w:lineRule="exact"/>
        <w:ind w:firstLine="420" w:firstLineChars="200"/>
        <w:rPr>
          <w:rFonts w:hint="eastAsia" w:ascii="宋体" w:hAnsi="宋体" w:eastAsia="宋体"/>
          <w:color w:val="auto"/>
          <w:szCs w:val="21"/>
          <w:lang w:eastAsia="zh-CN"/>
        </w:rPr>
      </w:pPr>
      <w:r>
        <w:rPr>
          <w:rFonts w:hint="eastAsia" w:ascii="宋体" w:hAnsi="宋体"/>
          <w:szCs w:val="21"/>
        </w:rPr>
        <w:t>项目名称：</w:t>
      </w:r>
      <w:r>
        <w:rPr>
          <w:rFonts w:hint="eastAsia" w:ascii="宋体" w:hAnsi="宋体"/>
          <w:szCs w:val="21"/>
          <w:lang w:eastAsia="zh-CN"/>
        </w:rPr>
        <w:t>宁波市地表水水</w:t>
      </w:r>
      <w:r>
        <w:rPr>
          <w:rFonts w:hint="eastAsia" w:ascii="宋体" w:hAnsi="宋体"/>
          <w:color w:val="auto"/>
          <w:szCs w:val="21"/>
          <w:lang w:eastAsia="zh-CN"/>
        </w:rPr>
        <w:t>质自动监测数据采购（第二期）项目</w:t>
      </w:r>
    </w:p>
    <w:bookmarkEnd w:id="5"/>
    <w:p>
      <w:pPr>
        <w:spacing w:line="400" w:lineRule="exact"/>
        <w:ind w:firstLine="420" w:firstLineChars="200"/>
        <w:rPr>
          <w:rFonts w:hint="default" w:ascii="宋体" w:hAnsi="宋体" w:eastAsia="宋体"/>
          <w:color w:val="auto"/>
          <w:szCs w:val="21"/>
          <w:lang w:val="en-US" w:eastAsia="zh-CN"/>
        </w:rPr>
      </w:pPr>
      <w:r>
        <w:rPr>
          <w:rFonts w:hint="eastAsia" w:ascii="宋体" w:hAnsi="宋体"/>
          <w:color w:val="auto"/>
          <w:szCs w:val="21"/>
        </w:rPr>
        <w:t>预算金额（元）：</w:t>
      </w:r>
      <w:r>
        <w:rPr>
          <w:rFonts w:hint="eastAsia" w:ascii="宋体" w:hAnsi="宋体"/>
          <w:color w:val="auto"/>
          <w:szCs w:val="21"/>
          <w:lang w:val="en-US" w:eastAsia="zh-CN"/>
        </w:rPr>
        <w:t>16200000.00</w:t>
      </w:r>
    </w:p>
    <w:p>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最高限价（元）：</w:t>
      </w:r>
      <w:r>
        <w:rPr>
          <w:rFonts w:hint="eastAsia" w:ascii="宋体" w:hAnsi="宋体"/>
          <w:color w:val="auto"/>
          <w:szCs w:val="21"/>
          <w:highlight w:val="none"/>
          <w:lang w:val="en-US" w:eastAsia="zh-CN"/>
        </w:rPr>
        <w:t>8000000.00,8200000.00</w:t>
      </w:r>
    </w:p>
    <w:p>
      <w:pPr>
        <w:spacing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采购需求：</w:t>
      </w:r>
    </w:p>
    <w:p>
      <w:pPr>
        <w:spacing w:line="400" w:lineRule="exact"/>
        <w:ind w:left="420" w:leftChars="200" w:firstLine="0" w:firstLineChars="0"/>
        <w:rPr>
          <w:rFonts w:hint="default" w:ascii="宋体" w:hAnsi="宋体" w:eastAsia="宋体"/>
          <w:color w:val="auto"/>
          <w:szCs w:val="21"/>
          <w:shd w:val="clear" w:color="auto" w:fill="auto"/>
          <w:lang w:val="en-US" w:eastAsia="zh-CN"/>
        </w:rPr>
      </w:pPr>
      <w:r>
        <w:rPr>
          <w:rFonts w:hint="eastAsia" w:ascii="宋体" w:hAnsi="宋体"/>
          <w:color w:val="auto"/>
          <w:szCs w:val="21"/>
        </w:rPr>
        <w:t>标项一</w:t>
      </w:r>
      <w:r>
        <w:rPr>
          <w:rFonts w:hint="eastAsia" w:ascii="宋体" w:hAnsi="宋体"/>
          <w:color w:val="auto"/>
          <w:szCs w:val="21"/>
        </w:rPr>
        <w:br w:type="textWrapping"/>
      </w:r>
      <w:r>
        <w:rPr>
          <w:rFonts w:hint="eastAsia" w:ascii="宋体" w:hAnsi="宋体"/>
          <w:color w:val="auto"/>
          <w:szCs w:val="21"/>
        </w:rPr>
        <w:t>标项名称:象山县、宁海县、奉化区、鄞州区、高新区、北仑区、镇海区、东钱湖旅游度假区地表水水质自动监测数据服务采购项目</w:t>
      </w:r>
      <w:r>
        <w:rPr>
          <w:rFonts w:hint="eastAsia" w:ascii="宋体" w:hAnsi="宋体"/>
          <w:color w:val="auto"/>
          <w:szCs w:val="21"/>
        </w:rPr>
        <w:br w:type="textWrapping"/>
      </w:r>
      <w:r>
        <w:rPr>
          <w:rFonts w:hint="eastAsia" w:ascii="宋体" w:hAnsi="宋体"/>
          <w:color w:val="auto"/>
          <w:szCs w:val="21"/>
        </w:rPr>
        <w:t>数量:不限</w:t>
      </w:r>
      <w:r>
        <w:rPr>
          <w:rFonts w:hint="eastAsia" w:ascii="宋体" w:hAnsi="宋体"/>
          <w:color w:val="auto"/>
          <w:szCs w:val="21"/>
        </w:rPr>
        <w:br w:type="textWrapping"/>
      </w:r>
      <w:r>
        <w:rPr>
          <w:rFonts w:hint="eastAsia" w:ascii="宋体" w:hAnsi="宋体"/>
          <w:color w:val="auto"/>
          <w:szCs w:val="21"/>
        </w:rPr>
        <w:t>预算金额（元）:</w:t>
      </w:r>
      <w:r>
        <w:rPr>
          <w:rFonts w:hint="eastAsia" w:ascii="宋体" w:hAnsi="宋体"/>
          <w:color w:val="auto"/>
          <w:szCs w:val="21"/>
          <w:highlight w:val="none"/>
          <w:lang w:val="en-US" w:eastAsia="zh-CN"/>
        </w:rPr>
        <w:t>8000000.00</w:t>
      </w:r>
      <w:r>
        <w:rPr>
          <w:rFonts w:hint="eastAsia" w:ascii="宋体" w:hAnsi="宋体"/>
          <w:color w:val="auto"/>
          <w:szCs w:val="21"/>
        </w:rPr>
        <w:br w:type="textWrapping"/>
      </w:r>
      <w:r>
        <w:rPr>
          <w:rFonts w:hint="eastAsia" w:ascii="宋体" w:hAnsi="宋体"/>
          <w:color w:val="auto"/>
          <w:szCs w:val="21"/>
        </w:rPr>
        <w:t>简要规格描述或项目基本概况介绍、用途：</w:t>
      </w:r>
      <w:r>
        <w:rPr>
          <w:rStyle w:val="399"/>
          <w:rFonts w:hint="eastAsia" w:ascii="宋体" w:hAnsi="宋体"/>
          <w:color w:val="auto"/>
          <w:sz w:val="21"/>
          <w:szCs w:val="21"/>
        </w:rPr>
        <w:t>站点数量：</w:t>
      </w:r>
      <w:r>
        <w:rPr>
          <w:rStyle w:val="399"/>
          <w:rFonts w:ascii="宋体" w:hAnsi="宋体"/>
          <w:color w:val="auto"/>
          <w:sz w:val="21"/>
          <w:szCs w:val="21"/>
        </w:rPr>
        <w:t>4</w:t>
      </w:r>
      <w:r>
        <w:rPr>
          <w:rStyle w:val="399"/>
          <w:rFonts w:hint="eastAsia" w:ascii="宋体" w:hAnsi="宋体"/>
          <w:color w:val="auto"/>
          <w:sz w:val="21"/>
          <w:szCs w:val="21"/>
        </w:rPr>
        <w:t>0个。监测因子：常规五参数（水温、pH、电导率、溶解氧、浊度）、氨氮、高锰酸盐指数、总磷、总氮（仅限入海河流站点）、</w:t>
      </w:r>
      <w:r>
        <w:rPr>
          <w:rFonts w:hint="eastAsia" w:ascii="宋体" w:hAnsi="宋体"/>
          <w:color w:val="auto"/>
          <w:sz w:val="21"/>
          <w:szCs w:val="21"/>
        </w:rPr>
        <w:t>在线藻类分析仪和生物毒性分析仪（东钱湖南湖中心站）</w:t>
      </w:r>
      <w:r>
        <w:rPr>
          <w:rStyle w:val="399"/>
          <w:rFonts w:hint="eastAsia" w:ascii="宋体" w:hAnsi="宋体"/>
          <w:color w:val="auto"/>
          <w:sz w:val="21"/>
          <w:szCs w:val="21"/>
        </w:rPr>
        <w:t>。 具体详见“第二章 招标需求”</w:t>
      </w:r>
      <w:r>
        <w:rPr>
          <w:rFonts w:hint="eastAsia" w:ascii="宋体" w:hAnsi="宋体"/>
          <w:color w:val="auto"/>
          <w:szCs w:val="21"/>
          <w:lang w:eastAsia="zh-CN"/>
        </w:rPr>
        <w:t>。</w:t>
      </w:r>
      <w:r>
        <w:rPr>
          <w:rFonts w:hint="eastAsia" w:ascii="宋体" w:hAnsi="宋体"/>
          <w:color w:val="auto"/>
          <w:szCs w:val="21"/>
        </w:rPr>
        <w:br w:type="textWrapping"/>
      </w:r>
      <w:r>
        <w:rPr>
          <w:rFonts w:hint="eastAsia" w:ascii="宋体" w:hAnsi="宋体"/>
          <w:color w:val="auto"/>
          <w:szCs w:val="21"/>
        </w:rPr>
        <w:t>备注：</w:t>
      </w:r>
      <w:r>
        <w:rPr>
          <w:rFonts w:hint="eastAsia" w:ascii="宋体" w:hAnsi="宋体"/>
          <w:color w:val="auto"/>
          <w:szCs w:val="21"/>
          <w:shd w:val="clear" w:color="auto" w:fill="auto"/>
          <w:lang w:val="en-US" w:eastAsia="zh-CN"/>
        </w:rPr>
        <w:t>每年预算金额为800万元。</w:t>
      </w:r>
    </w:p>
    <w:p>
      <w:pPr>
        <w:spacing w:line="400" w:lineRule="exact"/>
        <w:ind w:left="420" w:leftChars="200" w:firstLine="0" w:firstLineChars="0"/>
        <w:rPr>
          <w:rFonts w:hint="eastAsia" w:ascii="宋体" w:hAnsi="宋体"/>
          <w:color w:val="auto"/>
          <w:szCs w:val="21"/>
        </w:rPr>
      </w:pPr>
      <w:r>
        <w:rPr>
          <w:rFonts w:hint="eastAsia" w:ascii="宋体" w:hAnsi="宋体"/>
          <w:color w:val="auto"/>
          <w:szCs w:val="21"/>
        </w:rPr>
        <w:t>标项二</w:t>
      </w:r>
      <w:r>
        <w:rPr>
          <w:rFonts w:hint="eastAsia" w:ascii="宋体" w:hAnsi="宋体"/>
          <w:color w:val="auto"/>
          <w:szCs w:val="21"/>
        </w:rPr>
        <w:br w:type="textWrapping"/>
      </w:r>
      <w:r>
        <w:rPr>
          <w:rFonts w:hint="eastAsia" w:ascii="宋体" w:hAnsi="宋体"/>
          <w:color w:val="auto"/>
          <w:szCs w:val="21"/>
        </w:rPr>
        <w:t>标项名称</w:t>
      </w:r>
      <w:r>
        <w:rPr>
          <w:rFonts w:hint="eastAsia" w:ascii="宋体" w:hAnsi="宋体"/>
          <w:color w:val="auto"/>
          <w:szCs w:val="21"/>
          <w:u w:val="none"/>
        </w:rPr>
        <w:t>:</w:t>
      </w:r>
      <w:r>
        <w:rPr>
          <w:rStyle w:val="399"/>
          <w:rFonts w:hint="eastAsia" w:ascii="宋体" w:hAnsi="宋体"/>
          <w:color w:val="auto"/>
          <w:sz w:val="21"/>
          <w:szCs w:val="21"/>
          <w:u w:val="none"/>
        </w:rPr>
        <w:t>余姚市、慈溪市、江北区、海曙区、杭州湾新区</w:t>
      </w:r>
      <w:r>
        <w:rPr>
          <w:rStyle w:val="399"/>
          <w:rFonts w:hint="eastAsia" w:ascii="宋体" w:hAnsi="宋体"/>
          <w:color w:val="auto"/>
          <w:sz w:val="21"/>
          <w:szCs w:val="21"/>
        </w:rPr>
        <w:t>地表水水质自动监测数据服务采购项目</w:t>
      </w:r>
      <w:r>
        <w:rPr>
          <w:rFonts w:hint="eastAsia" w:ascii="宋体" w:hAnsi="宋体"/>
          <w:color w:val="auto"/>
          <w:szCs w:val="21"/>
        </w:rPr>
        <w:br w:type="textWrapping"/>
      </w:r>
      <w:r>
        <w:rPr>
          <w:rFonts w:hint="eastAsia" w:ascii="宋体" w:hAnsi="宋体"/>
          <w:color w:val="auto"/>
          <w:szCs w:val="21"/>
        </w:rPr>
        <w:t>数量:不限</w:t>
      </w:r>
      <w:r>
        <w:rPr>
          <w:rFonts w:hint="eastAsia" w:ascii="宋体" w:hAnsi="宋体"/>
          <w:color w:val="auto"/>
          <w:szCs w:val="21"/>
        </w:rPr>
        <w:br w:type="textWrapping"/>
      </w:r>
      <w:r>
        <w:rPr>
          <w:rFonts w:hint="eastAsia" w:ascii="宋体" w:hAnsi="宋体"/>
          <w:color w:val="auto"/>
          <w:szCs w:val="21"/>
        </w:rPr>
        <w:t>预算金额（元）:</w:t>
      </w:r>
      <w:r>
        <w:rPr>
          <w:rFonts w:hint="eastAsia" w:ascii="宋体" w:hAnsi="宋体"/>
          <w:color w:val="auto"/>
          <w:szCs w:val="21"/>
          <w:highlight w:val="none"/>
          <w:lang w:val="en-US" w:eastAsia="zh-CN"/>
        </w:rPr>
        <w:t>8200000.00</w:t>
      </w:r>
      <w:r>
        <w:rPr>
          <w:rFonts w:hint="eastAsia" w:ascii="宋体" w:hAnsi="宋体"/>
          <w:color w:val="auto"/>
          <w:szCs w:val="21"/>
        </w:rPr>
        <w:br w:type="textWrapping"/>
      </w:r>
      <w:r>
        <w:rPr>
          <w:rFonts w:hint="eastAsia" w:ascii="宋体" w:hAnsi="宋体"/>
          <w:color w:val="auto"/>
          <w:szCs w:val="21"/>
        </w:rPr>
        <w:t>简要规格描述或项目基本概况介绍、用途：</w:t>
      </w:r>
      <w:r>
        <w:rPr>
          <w:rStyle w:val="399"/>
          <w:rFonts w:hint="eastAsia" w:ascii="宋体" w:hAnsi="宋体"/>
          <w:color w:val="auto"/>
          <w:sz w:val="21"/>
          <w:szCs w:val="21"/>
        </w:rPr>
        <w:t>站点数量：</w:t>
      </w:r>
      <w:r>
        <w:rPr>
          <w:rStyle w:val="399"/>
          <w:rFonts w:ascii="宋体" w:hAnsi="宋体"/>
          <w:color w:val="auto"/>
          <w:sz w:val="21"/>
          <w:szCs w:val="21"/>
        </w:rPr>
        <w:t>4</w:t>
      </w:r>
      <w:r>
        <w:rPr>
          <w:rStyle w:val="399"/>
          <w:rFonts w:hint="eastAsia" w:ascii="宋体" w:hAnsi="宋体"/>
          <w:color w:val="auto"/>
          <w:sz w:val="21"/>
          <w:szCs w:val="21"/>
        </w:rPr>
        <w:t>1个。监测因子：常规五参数（水温、pH、电导率、溶解氧、浊度）、氨氮、高锰酸盐指数、总磷、总氮（仅限入海河流站点）、</w:t>
      </w:r>
      <w:r>
        <w:rPr>
          <w:rFonts w:hint="eastAsia" w:ascii="宋体" w:hAnsi="宋体"/>
          <w:color w:val="auto"/>
          <w:sz w:val="21"/>
          <w:szCs w:val="21"/>
        </w:rPr>
        <w:t>在线藻类分析仪和生物毒性分析仪（姚江湾头站）</w:t>
      </w:r>
      <w:r>
        <w:rPr>
          <w:rStyle w:val="399"/>
          <w:rFonts w:hint="eastAsia" w:ascii="宋体" w:hAnsi="宋体"/>
          <w:color w:val="auto"/>
          <w:sz w:val="21"/>
          <w:szCs w:val="21"/>
        </w:rPr>
        <w:t>。 具体详见“第二章 招标需求”。</w:t>
      </w:r>
      <w:r>
        <w:rPr>
          <w:rFonts w:hint="eastAsia" w:ascii="宋体" w:hAnsi="宋体"/>
          <w:color w:val="auto"/>
          <w:szCs w:val="21"/>
        </w:rPr>
        <w:br w:type="textWrapping"/>
      </w:r>
      <w:r>
        <w:rPr>
          <w:rFonts w:hint="eastAsia" w:ascii="宋体" w:hAnsi="宋体"/>
          <w:color w:val="auto"/>
          <w:szCs w:val="21"/>
        </w:rPr>
        <w:t>备注：</w:t>
      </w:r>
      <w:r>
        <w:rPr>
          <w:rFonts w:hint="eastAsia" w:ascii="宋体" w:hAnsi="宋体"/>
          <w:color w:val="auto"/>
          <w:szCs w:val="21"/>
          <w:shd w:val="clear" w:color="auto" w:fill="auto"/>
          <w:lang w:val="en-US" w:eastAsia="zh-CN"/>
        </w:rPr>
        <w:t>每年预算金额为820万元。</w:t>
      </w:r>
    </w:p>
    <w:p>
      <w:pPr>
        <w:spacing w:line="400" w:lineRule="exact"/>
        <w:ind w:left="420" w:leftChars="200" w:firstLine="0" w:firstLineChars="0"/>
        <w:rPr>
          <w:rFonts w:hint="eastAsia" w:ascii="宋体" w:hAnsi="宋体"/>
          <w:color w:val="auto"/>
          <w:szCs w:val="21"/>
        </w:rPr>
      </w:pPr>
      <w:r>
        <w:rPr>
          <w:rFonts w:hint="eastAsia" w:ascii="宋体" w:hAnsi="宋体"/>
          <w:color w:val="auto"/>
          <w:szCs w:val="21"/>
        </w:rPr>
        <w:t>合同履约期限：标项1、2，</w:t>
      </w:r>
      <w:r>
        <w:rPr>
          <w:rFonts w:hint="eastAsia" w:ascii="宋体" w:hAnsi="宋体"/>
          <w:color w:val="auto"/>
          <w:szCs w:val="21"/>
          <w:highlight w:val="none"/>
          <w:lang w:val="en-US" w:eastAsia="zh-CN"/>
        </w:rPr>
        <w:t>服务</w:t>
      </w:r>
      <w:r>
        <w:rPr>
          <w:rFonts w:hint="eastAsia" w:ascii="宋体" w:hAnsi="宋体"/>
          <w:color w:val="auto"/>
          <w:szCs w:val="21"/>
          <w:highlight w:val="none"/>
        </w:rPr>
        <w:t>期限为</w:t>
      </w:r>
      <w:r>
        <w:rPr>
          <w:rFonts w:hint="eastAsia" w:ascii="宋体" w:hAnsi="宋体"/>
          <w:color w:val="auto"/>
          <w:szCs w:val="21"/>
          <w:highlight w:val="none"/>
          <w:lang w:val="en-US" w:eastAsia="zh-CN"/>
        </w:rPr>
        <w:t>1</w:t>
      </w:r>
      <w:r>
        <w:rPr>
          <w:rFonts w:hint="eastAsia" w:ascii="宋体" w:hAnsi="宋体"/>
          <w:color w:val="auto"/>
          <w:szCs w:val="21"/>
          <w:highlight w:val="none"/>
        </w:rPr>
        <w:t>年，运维开始时间为合同</w:t>
      </w:r>
      <w:r>
        <w:rPr>
          <w:rFonts w:hint="eastAsia" w:ascii="宋体" w:hAnsi="宋体"/>
          <w:color w:val="auto"/>
          <w:szCs w:val="21"/>
          <w:highlight w:val="none"/>
          <w:lang w:val="en-US" w:eastAsia="zh-CN"/>
        </w:rPr>
        <w:t>签订并生效，且上一年度服务到期后起</w:t>
      </w:r>
      <w:r>
        <w:rPr>
          <w:rFonts w:hint="eastAsia" w:ascii="宋体" w:hAnsi="宋体"/>
          <w:color w:val="auto"/>
          <w:szCs w:val="21"/>
        </w:rPr>
        <w:t>。</w:t>
      </w:r>
      <w:r>
        <w:rPr>
          <w:rFonts w:hint="eastAsia" w:ascii="宋体" w:hAnsi="宋体"/>
          <w:color w:val="auto"/>
          <w:szCs w:val="21"/>
          <w:highlight w:val="none"/>
          <w:lang w:val="en-US" w:eastAsia="zh-CN"/>
        </w:rPr>
        <w:t>经</w:t>
      </w:r>
      <w:r>
        <w:rPr>
          <w:rFonts w:hint="eastAsia" w:ascii="宋体" w:hAnsi="宋体"/>
          <w:color w:val="auto"/>
          <w:szCs w:val="21"/>
          <w:lang w:val="en-US" w:eastAsia="zh-CN"/>
        </w:rPr>
        <w:t>采购人考核合格后可续签2年，合同一年一签</w:t>
      </w:r>
      <w:r>
        <w:rPr>
          <w:rFonts w:hint="eastAsia" w:ascii="宋体" w:hAnsi="宋体"/>
          <w:color w:val="auto"/>
          <w:szCs w:val="21"/>
          <w:highlight w:val="none"/>
          <w:lang w:val="en-US" w:eastAsia="zh-CN"/>
        </w:rPr>
        <w:t>。</w:t>
      </w:r>
    </w:p>
    <w:p>
      <w:pPr>
        <w:spacing w:line="400" w:lineRule="exact"/>
        <w:ind w:left="420" w:leftChars="200" w:firstLine="0" w:firstLineChars="0"/>
        <w:rPr>
          <w:rFonts w:hint="default" w:ascii="宋体" w:hAnsi="宋体"/>
          <w:color w:val="auto"/>
          <w:szCs w:val="21"/>
          <w:lang w:val="en-US" w:eastAsia="zh-CN"/>
        </w:rPr>
      </w:pPr>
      <w:r>
        <w:rPr>
          <w:rFonts w:hint="eastAsia" w:ascii="宋体" w:hAnsi="宋体"/>
          <w:color w:val="auto"/>
          <w:szCs w:val="21"/>
        </w:rPr>
        <w:t>标项1、2：本标项（否）接受联合体投标。</w:t>
      </w:r>
    </w:p>
    <w:p>
      <w:pPr>
        <w:snapToGrid w:val="0"/>
        <w:spacing w:line="400" w:lineRule="exact"/>
        <w:rPr>
          <w:rFonts w:ascii="宋体" w:hAnsi="宋体" w:cs="Arial"/>
          <w:color w:val="auto"/>
          <w:szCs w:val="21"/>
        </w:rPr>
      </w:pPr>
      <w:bookmarkStart w:id="6" w:name="_Toc35393791"/>
      <w:bookmarkStart w:id="7" w:name="_Toc28359080"/>
      <w:bookmarkStart w:id="8" w:name="_Toc35393622"/>
      <w:bookmarkStart w:id="9" w:name="_Toc28359003"/>
      <w:r>
        <w:rPr>
          <w:rFonts w:hint="eastAsia" w:ascii="宋体" w:hAnsi="宋体" w:cs="Arial"/>
          <w:color w:val="auto"/>
          <w:szCs w:val="21"/>
        </w:rPr>
        <w:t>二、申请人的资格要求：</w:t>
      </w:r>
      <w:bookmarkEnd w:id="6"/>
      <w:bookmarkEnd w:id="7"/>
      <w:bookmarkEnd w:id="8"/>
      <w:bookmarkEnd w:id="9"/>
    </w:p>
    <w:p>
      <w:pPr>
        <w:spacing w:line="400" w:lineRule="exact"/>
        <w:ind w:firstLine="420" w:firstLineChars="200"/>
        <w:rPr>
          <w:rFonts w:ascii="宋体" w:hAnsi="宋体"/>
          <w:color w:val="auto"/>
          <w:szCs w:val="21"/>
        </w:rPr>
      </w:pPr>
      <w:r>
        <w:rPr>
          <w:rFonts w:hint="eastAsia" w:ascii="宋体" w:hAnsi="宋体"/>
          <w:color w:val="auto"/>
          <w:szCs w:val="21"/>
        </w:rPr>
        <w:t>1.满足《中华人民共和国政府采购法》第二十二条</w:t>
      </w:r>
      <w:r>
        <w:rPr>
          <w:rFonts w:hint="eastAsia" w:ascii="宋体" w:hAnsi="宋体"/>
          <w:color w:val="auto"/>
        </w:rPr>
        <w:t>的</w:t>
      </w:r>
      <w:r>
        <w:rPr>
          <w:rFonts w:hint="eastAsia" w:ascii="宋体" w:hAnsi="宋体"/>
          <w:color w:val="auto"/>
          <w:szCs w:val="21"/>
        </w:rPr>
        <w:t>规定；</w:t>
      </w:r>
    </w:p>
    <w:p>
      <w:pPr>
        <w:spacing w:line="400" w:lineRule="exact"/>
        <w:ind w:firstLine="420" w:firstLineChars="200"/>
        <w:rPr>
          <w:rFonts w:ascii="宋体" w:hAnsi="宋体"/>
          <w:color w:val="auto"/>
        </w:rPr>
      </w:pPr>
      <w:r>
        <w:rPr>
          <w:rFonts w:hint="eastAsia" w:ascii="宋体" w:hAnsi="宋体"/>
          <w:color w:val="auto"/>
          <w:szCs w:val="21"/>
        </w:rPr>
        <w:t>2.</w:t>
      </w:r>
      <w:r>
        <w:rPr>
          <w:rFonts w:hint="eastAsia" w:ascii="宋体" w:hAnsi="宋体"/>
          <w:color w:val="auto"/>
        </w:rPr>
        <w:t>未被“信用中国”网站</w:t>
      </w:r>
      <w:r>
        <w:rPr>
          <w:rFonts w:ascii="宋体" w:hAnsi="宋体"/>
          <w:color w:val="auto"/>
        </w:rPr>
        <w:t xml:space="preserve">(www.creditchina.gov.cn) </w:t>
      </w:r>
      <w:r>
        <w:rPr>
          <w:rFonts w:hint="eastAsia" w:ascii="宋体" w:hAnsi="宋体"/>
          <w:color w:val="auto"/>
        </w:rPr>
        <w:t>列入“失信被执行人或重大税收违法案件当事人名单或政府采购严重违法失信行为记录名单”；未被中国政府采购网</w:t>
      </w:r>
      <w:r>
        <w:rPr>
          <w:rFonts w:ascii="宋体" w:hAnsi="宋体"/>
          <w:color w:val="auto"/>
        </w:rPr>
        <w:t>(www.ccgp.gov.cn)“政府采购严重违法失信行为信息记录”中列入禁止参加政府采购活动期间。</w:t>
      </w:r>
    </w:p>
    <w:p>
      <w:pPr>
        <w:spacing w:line="400" w:lineRule="exact"/>
        <w:ind w:firstLine="420" w:firstLineChars="200"/>
        <w:rPr>
          <w:rFonts w:ascii="宋体" w:hAnsi="宋体"/>
          <w:iCs/>
          <w:color w:val="auto"/>
          <w:szCs w:val="21"/>
          <w:u w:val="single"/>
        </w:rPr>
      </w:pPr>
      <w:bookmarkStart w:id="10" w:name="_Toc28359081"/>
      <w:bookmarkStart w:id="11" w:name="_Toc28359004"/>
      <w:r>
        <w:rPr>
          <w:rFonts w:ascii="宋体" w:hAnsi="宋体"/>
          <w:color w:val="auto"/>
          <w:szCs w:val="21"/>
        </w:rPr>
        <w:t>3</w:t>
      </w:r>
      <w:r>
        <w:rPr>
          <w:rFonts w:hint="eastAsia" w:ascii="宋体" w:hAnsi="宋体"/>
          <w:color w:val="auto"/>
          <w:szCs w:val="21"/>
        </w:rPr>
        <w:t>.落实政府采购政策需满足的资格要求：</w:t>
      </w:r>
      <w:r>
        <w:rPr>
          <w:rFonts w:hint="eastAsia" w:ascii="宋体" w:hAnsi="宋体"/>
          <w:color w:val="auto"/>
          <w:szCs w:val="21"/>
          <w:lang w:val="en-US" w:eastAsia="zh-CN"/>
        </w:rPr>
        <w:t>标项1：无；标项2：无</w:t>
      </w:r>
      <w:r>
        <w:rPr>
          <w:rFonts w:hint="eastAsia" w:ascii="宋体" w:hAnsi="宋体"/>
          <w:color w:val="auto"/>
          <w:szCs w:val="21"/>
        </w:rPr>
        <w:t>。</w:t>
      </w:r>
    </w:p>
    <w:p>
      <w:pPr>
        <w:spacing w:line="400" w:lineRule="exact"/>
        <w:ind w:firstLine="420" w:firstLineChars="200"/>
        <w:rPr>
          <w:rFonts w:hint="eastAsia" w:ascii="宋体" w:hAnsi="宋体" w:eastAsia="宋体"/>
          <w:iCs/>
          <w:color w:val="auto"/>
          <w:szCs w:val="21"/>
          <w:u w:val="single"/>
          <w:lang w:val="en-US" w:eastAsia="zh-CN"/>
        </w:rPr>
      </w:pPr>
      <w:r>
        <w:rPr>
          <w:rFonts w:ascii="宋体" w:hAnsi="宋体"/>
          <w:color w:val="auto"/>
          <w:szCs w:val="21"/>
        </w:rPr>
        <w:t>4</w:t>
      </w:r>
      <w:r>
        <w:rPr>
          <w:rFonts w:hint="eastAsia" w:ascii="宋体" w:hAnsi="宋体"/>
          <w:color w:val="auto"/>
          <w:szCs w:val="21"/>
        </w:rPr>
        <w:t>.本项目的特定资格要求：</w:t>
      </w:r>
      <w:r>
        <w:rPr>
          <w:rFonts w:hint="eastAsia" w:ascii="宋体" w:hAnsi="宋体"/>
          <w:color w:val="auto"/>
          <w:szCs w:val="21"/>
          <w:lang w:val="en-US" w:eastAsia="zh-CN"/>
        </w:rPr>
        <w:t>无。</w:t>
      </w:r>
    </w:p>
    <w:p>
      <w:pPr>
        <w:snapToGrid w:val="0"/>
        <w:spacing w:line="400" w:lineRule="exact"/>
        <w:rPr>
          <w:rFonts w:ascii="宋体" w:hAnsi="宋体" w:cs="Arial"/>
          <w:color w:val="auto"/>
          <w:szCs w:val="21"/>
        </w:rPr>
      </w:pPr>
      <w:bookmarkStart w:id="12" w:name="_Toc35393792"/>
      <w:bookmarkStart w:id="13" w:name="_Toc35393623"/>
      <w:r>
        <w:rPr>
          <w:rFonts w:hint="eastAsia" w:ascii="宋体" w:hAnsi="宋体" w:cs="Arial"/>
          <w:color w:val="auto"/>
          <w:szCs w:val="21"/>
        </w:rPr>
        <w:t>三、获取招标文件</w:t>
      </w:r>
      <w:bookmarkEnd w:id="10"/>
      <w:bookmarkEnd w:id="11"/>
      <w:bookmarkEnd w:id="12"/>
      <w:bookmarkEnd w:id="13"/>
    </w:p>
    <w:p>
      <w:pPr>
        <w:snapToGrid w:val="0"/>
        <w:spacing w:line="400" w:lineRule="exact"/>
        <w:ind w:firstLine="411" w:firstLineChars="196"/>
        <w:rPr>
          <w:rFonts w:ascii="宋体" w:hAnsi="宋体" w:cs="宋体"/>
          <w:b/>
          <w:color w:val="auto"/>
          <w:szCs w:val="21"/>
        </w:rPr>
      </w:pPr>
      <w:r>
        <w:rPr>
          <w:rFonts w:hint="eastAsia" w:ascii="宋体" w:hAnsi="宋体" w:cs="宋体"/>
          <w:color w:val="auto"/>
          <w:szCs w:val="21"/>
        </w:rPr>
        <w:t>时间：</w:t>
      </w:r>
      <w:r>
        <w:rPr>
          <w:rFonts w:hint="eastAsia" w:ascii="宋体" w:hAnsi="宋体" w:cs="宋体"/>
          <w:color w:val="auto"/>
          <w:szCs w:val="21"/>
          <w:lang w:val="en-US" w:eastAsia="zh-CN"/>
        </w:rPr>
        <w:t>2023</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3</w:t>
      </w:r>
      <w:r>
        <w:rPr>
          <w:rFonts w:hint="eastAsia" w:ascii="宋体" w:hAnsi="宋体" w:cs="宋体"/>
          <w:color w:val="auto"/>
          <w:szCs w:val="21"/>
        </w:rPr>
        <w:t>日至</w:t>
      </w:r>
      <w:r>
        <w:rPr>
          <w:rFonts w:hint="eastAsia" w:ascii="宋体" w:hAnsi="宋体" w:cs="宋体"/>
          <w:color w:val="auto"/>
          <w:szCs w:val="21"/>
          <w:lang w:val="en-US" w:eastAsia="zh-CN"/>
        </w:rPr>
        <w:t>2023</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日，每天上午</w:t>
      </w:r>
      <w:r>
        <w:rPr>
          <w:rFonts w:hint="eastAsia" w:ascii="宋体" w:hAnsi="宋体" w:cs="宋体"/>
          <w:color w:val="auto"/>
          <w:szCs w:val="21"/>
          <w:u w:val="single"/>
        </w:rPr>
        <w:t>00：00</w:t>
      </w:r>
      <w:r>
        <w:rPr>
          <w:rFonts w:hint="eastAsia" w:ascii="宋体" w:hAnsi="宋体" w:cs="宋体"/>
          <w:color w:val="auto"/>
          <w:szCs w:val="21"/>
        </w:rPr>
        <w:t>至</w:t>
      </w:r>
      <w:r>
        <w:rPr>
          <w:rFonts w:hint="eastAsia" w:ascii="宋体" w:hAnsi="宋体" w:cs="宋体"/>
          <w:color w:val="auto"/>
          <w:szCs w:val="21"/>
          <w:u w:val="single"/>
        </w:rPr>
        <w:t>12：00</w:t>
      </w:r>
      <w:r>
        <w:rPr>
          <w:rFonts w:hint="eastAsia" w:ascii="宋体" w:hAnsi="宋体" w:cs="宋体"/>
          <w:color w:val="auto"/>
          <w:szCs w:val="21"/>
        </w:rPr>
        <w:t>，下午</w:t>
      </w:r>
      <w:r>
        <w:rPr>
          <w:rFonts w:hint="eastAsia" w:ascii="宋体" w:hAnsi="宋体" w:cs="宋体"/>
          <w:color w:val="auto"/>
          <w:szCs w:val="21"/>
          <w:u w:val="single"/>
        </w:rPr>
        <w:t>12：00</w:t>
      </w:r>
      <w:r>
        <w:rPr>
          <w:rFonts w:hint="eastAsia" w:ascii="宋体" w:hAnsi="宋体" w:cs="宋体"/>
          <w:color w:val="auto"/>
          <w:szCs w:val="21"/>
        </w:rPr>
        <w:t>至</w:t>
      </w:r>
      <w:r>
        <w:rPr>
          <w:rFonts w:hint="eastAsia" w:ascii="宋体" w:hAnsi="宋体" w:cs="宋体"/>
          <w:color w:val="auto"/>
          <w:szCs w:val="21"/>
          <w:u w:val="single"/>
        </w:rPr>
        <w:t>23：59</w:t>
      </w:r>
      <w:r>
        <w:rPr>
          <w:rFonts w:hint="eastAsia" w:ascii="宋体" w:hAnsi="宋体" w:cs="宋体"/>
          <w:color w:val="auto"/>
          <w:szCs w:val="21"/>
        </w:rPr>
        <w:t>（北京时间）</w:t>
      </w:r>
    </w:p>
    <w:p>
      <w:pPr>
        <w:snapToGrid w:val="0"/>
        <w:spacing w:line="400" w:lineRule="exact"/>
        <w:ind w:firstLine="411" w:firstLineChars="196"/>
        <w:rPr>
          <w:rFonts w:ascii="宋体" w:hAnsi="宋体" w:cs="宋体"/>
          <w:szCs w:val="21"/>
          <w:u w:val="single"/>
        </w:rPr>
      </w:pPr>
      <w:r>
        <w:rPr>
          <w:rFonts w:hint="eastAsia" w:ascii="宋体" w:hAnsi="宋体" w:cs="宋体"/>
          <w:szCs w:val="21"/>
        </w:rPr>
        <w:t>地点：</w:t>
      </w:r>
      <w:r>
        <w:rPr>
          <w:rFonts w:hint="eastAsia" w:ascii="宋体" w:hAnsi="宋体"/>
          <w:u w:val="single"/>
        </w:rPr>
        <w:t>政采云平台（https://www.zcygov.cn）</w:t>
      </w:r>
    </w:p>
    <w:p>
      <w:pPr>
        <w:snapToGrid w:val="0"/>
        <w:spacing w:line="400" w:lineRule="exact"/>
        <w:ind w:firstLine="411" w:firstLineChars="196"/>
        <w:rPr>
          <w:rFonts w:asciiTheme="minorEastAsia" w:hAnsiTheme="minorEastAsia" w:eastAsiaTheme="minorEastAsia"/>
          <w:szCs w:val="21"/>
        </w:rPr>
      </w:pPr>
      <w:r>
        <w:rPr>
          <w:rFonts w:hint="eastAsia" w:cs="宋体" w:asciiTheme="minorEastAsia" w:hAnsiTheme="minorEastAsia" w:eastAsiaTheme="minorEastAsia"/>
          <w:szCs w:val="21"/>
        </w:rPr>
        <w:t>方式：</w:t>
      </w:r>
      <w:r>
        <w:rPr>
          <w:rFonts w:hint="eastAsia" w:asciiTheme="minorEastAsia" w:hAnsiTheme="minorEastAsia" w:eastAsiaTheme="minorEastAsia"/>
          <w:szCs w:val="21"/>
        </w:rPr>
        <w:t>依法</w:t>
      </w:r>
      <w:r>
        <w:rPr>
          <w:rFonts w:asciiTheme="minorEastAsia" w:hAnsiTheme="minorEastAsia" w:eastAsiaTheme="minorEastAsia"/>
          <w:szCs w:val="21"/>
        </w:rPr>
        <w:t>获取</w:t>
      </w:r>
      <w:r>
        <w:rPr>
          <w:rFonts w:hint="eastAsia" w:asciiTheme="minorEastAsia" w:hAnsiTheme="minorEastAsia" w:eastAsiaTheme="minorEastAsia"/>
          <w:szCs w:val="21"/>
        </w:rPr>
        <w:t>本项目招标文件的</w:t>
      </w:r>
      <w:r>
        <w:rPr>
          <w:rFonts w:asciiTheme="minorEastAsia" w:hAnsiTheme="minorEastAsia" w:eastAsiaTheme="minorEastAsia"/>
          <w:szCs w:val="21"/>
        </w:rPr>
        <w:t>方式</w:t>
      </w:r>
      <w:r>
        <w:rPr>
          <w:rFonts w:hint="eastAsia" w:asciiTheme="minorEastAsia" w:hAnsiTheme="minorEastAsia" w:eastAsiaTheme="minorEastAsia"/>
          <w:szCs w:val="21"/>
        </w:rPr>
        <w:t>为</w:t>
      </w:r>
      <w:r>
        <w:rPr>
          <w:rFonts w:hint="eastAsia" w:cs="Arial" w:asciiTheme="minorEastAsia" w:hAnsiTheme="minorEastAsia" w:eastAsiaTheme="minorEastAsia"/>
          <w:szCs w:val="21"/>
        </w:rPr>
        <w:t>潜在投标人登陆政采云平台，根据政采云平台的规定步骤进行操作并在线申请获取招标文件。仅需浏览招标文件的只需点击“游客，浏览采购文件”直接下载招标文件进行浏览。</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任何网站显示的本项目招标公告附件中提供的招标文件仅供阅览使用，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szCs w:val="21"/>
        </w:rPr>
        <w:t>文件</w:t>
      </w:r>
      <w:r>
        <w:rPr>
          <w:rFonts w:hint="eastAsia" w:cs="Arial" w:asciiTheme="minorEastAsia" w:hAnsiTheme="minorEastAsia" w:eastAsiaTheme="minorEastAsia"/>
          <w:szCs w:val="21"/>
        </w:rPr>
        <w:t>的投标人提交的投标文件。</w:t>
      </w:r>
    </w:p>
    <w:p>
      <w:pPr>
        <w:spacing w:line="400" w:lineRule="exact"/>
        <w:ind w:firstLine="540"/>
        <w:rPr>
          <w:rFonts w:ascii="宋体" w:hAnsi="宋体" w:cs="宋体"/>
          <w:color w:val="auto"/>
          <w:szCs w:val="21"/>
        </w:rPr>
      </w:pPr>
      <w:r>
        <w:rPr>
          <w:rFonts w:hint="eastAsia" w:ascii="宋体" w:hAnsi="宋体" w:cs="宋体"/>
          <w:szCs w:val="21"/>
        </w:rPr>
        <w:t>售价：0元</w:t>
      </w:r>
    </w:p>
    <w:p>
      <w:pPr>
        <w:snapToGrid w:val="0"/>
        <w:spacing w:line="400" w:lineRule="exact"/>
        <w:rPr>
          <w:rFonts w:ascii="宋体" w:hAnsi="宋体" w:cs="Arial"/>
          <w:color w:val="auto"/>
          <w:szCs w:val="21"/>
        </w:rPr>
      </w:pPr>
      <w:bookmarkStart w:id="14" w:name="_Toc28359005"/>
      <w:bookmarkStart w:id="15" w:name="_Toc28359082"/>
      <w:bookmarkStart w:id="16" w:name="_Toc35393624"/>
      <w:bookmarkStart w:id="17" w:name="_Toc35393793"/>
      <w:r>
        <w:rPr>
          <w:rFonts w:hint="eastAsia" w:ascii="宋体" w:hAnsi="宋体" w:cs="Arial"/>
          <w:color w:val="auto"/>
          <w:szCs w:val="21"/>
        </w:rPr>
        <w:t>四、提交投标文件</w:t>
      </w:r>
      <w:bookmarkEnd w:id="14"/>
      <w:bookmarkEnd w:id="15"/>
      <w:r>
        <w:rPr>
          <w:rFonts w:hint="eastAsia" w:ascii="宋体" w:hAnsi="宋体" w:cs="Arial"/>
          <w:color w:val="auto"/>
          <w:szCs w:val="21"/>
        </w:rPr>
        <w:t>截止时间、开标时间和地点</w:t>
      </w:r>
      <w:bookmarkEnd w:id="16"/>
      <w:bookmarkEnd w:id="17"/>
    </w:p>
    <w:p>
      <w:pPr>
        <w:spacing w:line="400" w:lineRule="exact"/>
        <w:ind w:firstLine="420" w:firstLineChars="200"/>
        <w:rPr>
          <w:rFonts w:ascii="宋体" w:hAnsi="宋体"/>
          <w:bCs/>
          <w:color w:val="auto"/>
          <w:szCs w:val="21"/>
        </w:rPr>
      </w:pPr>
      <w:r>
        <w:rPr>
          <w:rFonts w:hint="eastAsia" w:ascii="宋体" w:hAnsi="宋体" w:cs="Arial"/>
          <w:color w:val="auto"/>
          <w:szCs w:val="21"/>
        </w:rPr>
        <w:t>提交投标文件截止时间：</w:t>
      </w:r>
      <w:r>
        <w:rPr>
          <w:rFonts w:hint="eastAsia" w:ascii="宋体" w:hAnsi="宋体" w:cs="宋体"/>
          <w:color w:val="auto"/>
          <w:szCs w:val="21"/>
          <w:lang w:val="en-US" w:eastAsia="zh-CN"/>
        </w:rPr>
        <w:t>2023</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24</w:t>
      </w:r>
      <w:r>
        <w:rPr>
          <w:rFonts w:hint="eastAsia" w:ascii="宋体" w:hAnsi="宋体" w:cs="宋体"/>
          <w:color w:val="auto"/>
          <w:szCs w:val="21"/>
        </w:rPr>
        <w:t>日</w:t>
      </w:r>
      <w:r>
        <w:rPr>
          <w:rFonts w:hint="eastAsia" w:ascii="宋体" w:hAnsi="宋体"/>
          <w:bCs/>
          <w:color w:val="auto"/>
          <w:szCs w:val="21"/>
          <w:u w:val="single"/>
          <w:lang w:val="en-US" w:eastAsia="zh-CN"/>
        </w:rPr>
        <w:t>09</w:t>
      </w:r>
      <w:r>
        <w:rPr>
          <w:rFonts w:hint="eastAsia" w:ascii="宋体" w:hAnsi="宋体"/>
          <w:bCs/>
          <w:color w:val="auto"/>
          <w:szCs w:val="21"/>
          <w:u w:val="single"/>
        </w:rPr>
        <w:t>点</w:t>
      </w:r>
      <w:r>
        <w:rPr>
          <w:rFonts w:hint="eastAsia" w:ascii="宋体" w:hAnsi="宋体"/>
          <w:bCs/>
          <w:color w:val="auto"/>
          <w:szCs w:val="21"/>
          <w:u w:val="single"/>
          <w:lang w:val="en-US" w:eastAsia="zh-CN"/>
        </w:rPr>
        <w:t>30</w:t>
      </w:r>
      <w:r>
        <w:rPr>
          <w:rFonts w:hint="eastAsia" w:ascii="宋体" w:hAnsi="宋体"/>
          <w:bCs/>
          <w:color w:val="auto"/>
          <w:szCs w:val="21"/>
          <w:u w:val="single"/>
        </w:rPr>
        <w:t>分</w:t>
      </w:r>
      <w:r>
        <w:rPr>
          <w:rFonts w:hint="eastAsia" w:ascii="宋体" w:hAnsi="宋体"/>
          <w:bCs/>
          <w:color w:val="auto"/>
          <w:szCs w:val="21"/>
        </w:rPr>
        <w:t>（北京时间）</w:t>
      </w:r>
    </w:p>
    <w:p>
      <w:pPr>
        <w:spacing w:line="400" w:lineRule="exact"/>
        <w:ind w:firstLine="420" w:firstLineChars="200"/>
        <w:rPr>
          <w:rFonts w:ascii="宋体" w:hAnsi="宋体"/>
          <w:bCs/>
          <w:color w:val="auto"/>
          <w:szCs w:val="21"/>
        </w:rPr>
      </w:pPr>
      <w:r>
        <w:rPr>
          <w:rFonts w:hint="eastAsia" w:ascii="宋体" w:hAnsi="宋体" w:cs="Arial"/>
          <w:color w:val="auto"/>
          <w:szCs w:val="21"/>
        </w:rPr>
        <w:t>提交投标文件</w:t>
      </w:r>
      <w:r>
        <w:rPr>
          <w:rFonts w:hint="eastAsia" w:ascii="宋体" w:hAnsi="宋体"/>
          <w:bCs/>
          <w:color w:val="auto"/>
          <w:szCs w:val="21"/>
        </w:rPr>
        <w:t>地点（网址）：</w:t>
      </w:r>
      <w:r>
        <w:rPr>
          <w:rFonts w:cs="Arial" w:asciiTheme="minorEastAsia" w:hAnsiTheme="minorEastAsia" w:eastAsiaTheme="minorEastAsia"/>
          <w:color w:val="auto"/>
          <w:szCs w:val="21"/>
        </w:rPr>
        <w:t>本项目通过“政府采购云平台（www.zcygov.cn）”实行在线提交投标文件（电子投标）</w:t>
      </w:r>
      <w:r>
        <w:rPr>
          <w:rFonts w:hint="eastAsia" w:cs="Arial" w:asciiTheme="minorEastAsia" w:hAnsiTheme="minorEastAsia" w:eastAsiaTheme="minorEastAsia"/>
          <w:color w:val="auto"/>
          <w:szCs w:val="21"/>
        </w:rPr>
        <w:t>。</w:t>
      </w:r>
    </w:p>
    <w:p>
      <w:pPr>
        <w:spacing w:line="400" w:lineRule="exact"/>
        <w:ind w:firstLine="420" w:firstLineChars="200"/>
        <w:rPr>
          <w:rFonts w:ascii="宋体" w:hAnsi="宋体"/>
          <w:bCs/>
          <w:color w:val="auto"/>
          <w:szCs w:val="21"/>
        </w:rPr>
      </w:pPr>
      <w:r>
        <w:rPr>
          <w:rFonts w:hint="eastAsia" w:ascii="宋体" w:hAnsi="宋体"/>
          <w:bCs/>
          <w:color w:val="auto"/>
          <w:szCs w:val="21"/>
        </w:rPr>
        <w:t>开标时间：</w:t>
      </w:r>
      <w:r>
        <w:rPr>
          <w:rFonts w:hint="eastAsia" w:ascii="宋体" w:hAnsi="宋体" w:cs="宋体"/>
          <w:color w:val="auto"/>
          <w:szCs w:val="21"/>
          <w:lang w:val="en-US" w:eastAsia="zh-CN"/>
        </w:rPr>
        <w:t>2023</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24</w:t>
      </w:r>
      <w:r>
        <w:rPr>
          <w:rFonts w:hint="eastAsia" w:ascii="宋体" w:hAnsi="宋体" w:cs="宋体"/>
          <w:color w:val="auto"/>
          <w:szCs w:val="21"/>
        </w:rPr>
        <w:t>日</w:t>
      </w:r>
      <w:r>
        <w:rPr>
          <w:rFonts w:hint="eastAsia" w:ascii="宋体" w:hAnsi="宋体"/>
          <w:bCs/>
          <w:color w:val="auto"/>
          <w:szCs w:val="21"/>
          <w:u w:val="single"/>
          <w:lang w:val="en-US" w:eastAsia="zh-CN"/>
        </w:rPr>
        <w:t>09</w:t>
      </w:r>
      <w:r>
        <w:rPr>
          <w:rFonts w:hint="eastAsia" w:ascii="宋体" w:hAnsi="宋体"/>
          <w:bCs/>
          <w:color w:val="auto"/>
          <w:szCs w:val="21"/>
          <w:u w:val="single"/>
        </w:rPr>
        <w:t>点</w:t>
      </w:r>
      <w:r>
        <w:rPr>
          <w:rFonts w:hint="eastAsia" w:ascii="宋体" w:hAnsi="宋体"/>
          <w:bCs/>
          <w:color w:val="auto"/>
          <w:szCs w:val="21"/>
          <w:u w:val="single"/>
          <w:lang w:val="en-US" w:eastAsia="zh-CN"/>
        </w:rPr>
        <w:t>30</w:t>
      </w:r>
      <w:r>
        <w:rPr>
          <w:rFonts w:hint="eastAsia" w:ascii="宋体" w:hAnsi="宋体"/>
          <w:bCs/>
          <w:color w:val="auto"/>
          <w:szCs w:val="21"/>
          <w:u w:val="single"/>
        </w:rPr>
        <w:t>分（北京时间）</w:t>
      </w:r>
    </w:p>
    <w:p>
      <w:pPr>
        <w:spacing w:line="400" w:lineRule="exact"/>
        <w:ind w:firstLine="420" w:firstLineChars="200"/>
        <w:rPr>
          <w:rFonts w:ascii="宋体" w:hAnsi="宋体"/>
          <w:bCs/>
          <w:color w:val="000000"/>
          <w:szCs w:val="21"/>
        </w:rPr>
      </w:pPr>
      <w:r>
        <w:rPr>
          <w:rFonts w:hint="eastAsia" w:ascii="宋体" w:hAnsi="宋体"/>
          <w:bCs/>
          <w:color w:val="auto"/>
          <w:szCs w:val="21"/>
        </w:rPr>
        <w:t>开标地点（网址）：</w:t>
      </w:r>
      <w:bookmarkStart w:id="18" w:name="_Toc28359007"/>
      <w:bookmarkStart w:id="19" w:name="_Toc35393794"/>
      <w:bookmarkStart w:id="20" w:name="_Toc35393625"/>
      <w:bookmarkStart w:id="21" w:name="_Toc28359084"/>
      <w:r>
        <w:rPr>
          <w:rFonts w:hint="eastAsia" w:cs="Arial" w:asciiTheme="minorEastAsia" w:hAnsiTheme="minorEastAsia" w:eastAsiaTheme="minorEastAsia"/>
          <w:color w:val="auto"/>
          <w:szCs w:val="21"/>
        </w:rPr>
        <w:t>本项目通过</w:t>
      </w:r>
      <w:r>
        <w:rPr>
          <w:rFonts w:hint="eastAsia" w:asciiTheme="minorEastAsia" w:hAnsiTheme="minorEastAsia" w:eastAsiaTheme="minorEastAsia"/>
          <w:color w:val="auto"/>
          <w:u w:val="single"/>
        </w:rPr>
        <w:t>政采云平台（ht</w:t>
      </w:r>
      <w:r>
        <w:rPr>
          <w:rFonts w:hint="eastAsia" w:asciiTheme="minorEastAsia" w:hAnsiTheme="minorEastAsia" w:eastAsiaTheme="minorEastAsia"/>
          <w:u w:val="single"/>
        </w:rPr>
        <w:t>tps://www.zcygov.cn）</w:t>
      </w:r>
      <w:r>
        <w:rPr>
          <w:rFonts w:hint="eastAsia" w:asciiTheme="minorEastAsia" w:hAnsiTheme="minorEastAsia" w:eastAsiaTheme="minorEastAsia"/>
        </w:rPr>
        <w:t>实行线上开标。</w:t>
      </w:r>
    </w:p>
    <w:p>
      <w:pPr>
        <w:snapToGrid w:val="0"/>
        <w:spacing w:line="400" w:lineRule="exact"/>
        <w:rPr>
          <w:rFonts w:ascii="宋体" w:hAnsi="宋体" w:cs="Arial"/>
          <w:szCs w:val="21"/>
        </w:rPr>
      </w:pPr>
      <w:r>
        <w:rPr>
          <w:rFonts w:hint="eastAsia" w:ascii="宋体" w:hAnsi="宋体" w:cs="Arial"/>
          <w:szCs w:val="21"/>
        </w:rPr>
        <w:t>五、公告期限</w:t>
      </w:r>
      <w:bookmarkEnd w:id="18"/>
      <w:bookmarkEnd w:id="19"/>
      <w:bookmarkEnd w:id="20"/>
      <w:bookmarkEnd w:id="21"/>
    </w:p>
    <w:p>
      <w:pPr>
        <w:spacing w:line="40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napToGrid w:val="0"/>
        <w:spacing w:line="400" w:lineRule="exact"/>
        <w:rPr>
          <w:rFonts w:ascii="宋体" w:hAnsi="宋体" w:cs="Arial"/>
          <w:szCs w:val="21"/>
        </w:rPr>
      </w:pPr>
      <w:bookmarkStart w:id="22" w:name="_Toc35393626"/>
      <w:bookmarkStart w:id="23" w:name="_Toc35393795"/>
      <w:r>
        <w:rPr>
          <w:rFonts w:hint="eastAsia" w:ascii="宋体" w:hAnsi="宋体" w:cs="Arial"/>
          <w:szCs w:val="21"/>
        </w:rPr>
        <w:t>六、其他补充事宜</w:t>
      </w:r>
      <w:bookmarkEnd w:id="22"/>
      <w:bookmarkEnd w:id="23"/>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1、</w:t>
      </w:r>
      <w:r>
        <w:rPr>
          <w:rFonts w:cs="Arial" w:asciiTheme="minorEastAsia" w:hAnsiTheme="minorEastAsia" w:eastAsiaTheme="minorEastAsia"/>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2.其他事项：</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2.1</w:t>
      </w:r>
      <w:r>
        <w:rPr>
          <w:rFonts w:hint="eastAsia" w:cs="Arial" w:asciiTheme="minorEastAsia" w:hAnsiTheme="minorEastAsia" w:eastAsiaTheme="minorEastAsia"/>
          <w:szCs w:val="21"/>
        </w:rPr>
        <w:t>为依法获取本项目招标文件及投标响应，潜在投标人应当按照《浙江省政府采购供应商注册及诚信管理暂行办法》的规定在“浙江政府采购网(</w:t>
      </w:r>
      <w:r>
        <w:rPr>
          <w:rFonts w:cs="Arial" w:asciiTheme="minorEastAsia" w:hAnsiTheme="minorEastAsia" w:eastAsiaTheme="minorEastAsia"/>
          <w:szCs w:val="21"/>
        </w:rPr>
        <w:t>http://zfcg.czt.zj.gov.cn/</w:t>
      </w:r>
      <w:r>
        <w:rPr>
          <w:rFonts w:hint="eastAsia" w:cs="Arial" w:asciiTheme="minorEastAsia" w:hAnsiTheme="minorEastAsia" w:eastAsiaTheme="minorEastAsia"/>
          <w:szCs w:val="21"/>
        </w:rPr>
        <w:t>)”政采云平台注册登记。中标人必须成为注册供应商，未注册的投标人，请注意注册所需时间，由此产生的后果自行承担。</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2.2</w:t>
      </w:r>
      <w:r>
        <w:rPr>
          <w:rFonts w:hint="eastAsia" w:cs="Arial" w:asciiTheme="minorEastAsia" w:hAnsiTheme="minorEastAsia" w:eastAsiaTheme="minorEastAsia"/>
          <w:szCs w:val="21"/>
        </w:rPr>
        <w:t>本项目依据《浙江省政府采购项目电子交易管理暂行办法》，通过政采云平台（</w:t>
      </w:r>
      <w:r>
        <w:rPr>
          <w:rFonts w:hint="eastAsia" w:ascii="宋体" w:hAnsi="宋体"/>
          <w:u w:val="single"/>
        </w:rPr>
        <w:t>https://www.zcygov.cn</w:t>
      </w:r>
      <w:r>
        <w:rPr>
          <w:rFonts w:hint="eastAsia" w:cs="Arial" w:asciiTheme="minorEastAsia" w:hAnsiTheme="minorEastAsia" w:eastAsiaTheme="minorEastAsia"/>
          <w:szCs w:val="21"/>
        </w:rPr>
        <w:t>）实行电子交易（在线投标响应）。潜在投标人在参与本项目投标前应当完成“政府采购云平台”的账号注册、身份认证（CA数字证书申领）、“政采云电子交易客户端”下载安装，相关操作指南参考如下：</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1）供应商注册（入驻）：https://middle.zcygov.cn/v-settle-front/registry；</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w:t>
      </w:r>
      <w:r>
        <w:rPr>
          <w:rFonts w:hint="eastAsia" w:cs="Arial" w:asciiTheme="minorEastAsia" w:hAnsiTheme="minorEastAsia" w:eastAsiaTheme="minorEastAsia"/>
          <w:szCs w:val="21"/>
        </w:rPr>
        <w:t>）浙江省“电子交易/不见面开评标”学习专题（网址https://edu.zcygov.cn/luban/e-biding）</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3）“政府采购云平台”服务热线电话：400-881-7190。</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2.3</w:t>
      </w:r>
      <w:r>
        <w:rPr>
          <w:rFonts w:hint="eastAsia" w:cs="Arial" w:asciiTheme="minorEastAsia" w:hAnsiTheme="minorEastAsia" w:eastAsiaTheme="minorEastAsia"/>
          <w:szCs w:val="21"/>
        </w:rPr>
        <w:t>对符合财政扶持政策的中小企业（小型、微型）、残疾人福利性单位给予价格优惠，执行扶持不发达地区和少数民族地区政府采购政策。</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2.4</w:t>
      </w:r>
      <w:r>
        <w:rPr>
          <w:rFonts w:hint="eastAsia" w:cs="Arial" w:asciiTheme="minorEastAsia" w:hAnsiTheme="minorEastAsia" w:eastAsiaTheme="minorEastAsia"/>
          <w:szCs w:val="21"/>
        </w:rPr>
        <w:t>电子投标注意事项</w:t>
      </w:r>
    </w:p>
    <w:p>
      <w:pPr>
        <w:snapToGrid w:val="0"/>
        <w:spacing w:line="400" w:lineRule="exact"/>
        <w:ind w:firstLine="411" w:firstLineChars="196"/>
        <w:rPr>
          <w:rFonts w:cs="宋体" w:asciiTheme="minorEastAsia" w:hAnsiTheme="minorEastAsia" w:eastAsiaTheme="minorEastAsia"/>
          <w:szCs w:val="21"/>
        </w:rPr>
      </w:pPr>
      <w:r>
        <w:rPr>
          <w:rFonts w:hint="eastAsia" w:cs="Arial" w:asciiTheme="minorEastAsia" w:hAnsiTheme="minorEastAsia" w:eastAsiaTheme="minorEastAsia"/>
          <w:szCs w:val="21"/>
        </w:rPr>
        <w:t>1）投标人应于提交投标文件截止时间前将电子加密投标文件上传到政府采购云平台（</w:t>
      </w:r>
      <w:r>
        <w:rPr>
          <w:rFonts w:hint="eastAsia" w:ascii="宋体" w:hAnsi="宋体"/>
          <w:u w:val="single"/>
        </w:rPr>
        <w:t>https://www.zcygov.cn</w:t>
      </w:r>
      <w:r>
        <w:rPr>
          <w:rFonts w:hint="eastAsia" w:cs="Arial" w:asciiTheme="minorEastAsia" w:hAnsiTheme="minorEastAsia" w:eastAsiaTheme="minorEastAsia"/>
          <w:szCs w:val="21"/>
        </w:rPr>
        <w:t>）</w:t>
      </w:r>
      <w:r>
        <w:rPr>
          <w:rFonts w:hint="eastAsia" w:cs="宋体" w:asciiTheme="minorEastAsia" w:hAnsiTheme="minorEastAsia" w:eastAsiaTheme="minorEastAsia"/>
          <w:szCs w:val="21"/>
        </w:rPr>
        <w:t>，未按规定上传电子加密投标文件，视为投标人放弃投标。</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2）投标人在“政府采购云平台”完成“电子加密投标文件”的上传提交之外，还可以在投标截止时间前提交以U盘为介质存储的备份投标文件，备份投标文件递交可采用现场或邮寄递交的方式，但此项并非强制要求。</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w:t>
      </w:r>
      <w:r>
        <w:rPr>
          <w:rFonts w:hint="eastAsia" w:asciiTheme="minorEastAsia" w:hAnsiTheme="minorEastAsia" w:eastAsiaTheme="minorEastAsia"/>
          <w:b/>
          <w:szCs w:val="21"/>
        </w:rPr>
        <w:t>视为投标人放弃投标</w:t>
      </w:r>
      <w:r>
        <w:rPr>
          <w:rFonts w:hint="eastAsia" w:asciiTheme="minorEastAsia" w:hAnsiTheme="minorEastAsia" w:eastAsiaTheme="minorEastAsia"/>
          <w:szCs w:val="21"/>
        </w:rPr>
        <w:t>，因此产生的后果投标人自行承担</w:t>
      </w:r>
      <w:r>
        <w:rPr>
          <w:rFonts w:hint="eastAsia" w:cs="宋体" w:asciiTheme="minorEastAsia" w:hAnsiTheme="minorEastAsia" w:eastAsiaTheme="minorEastAsia"/>
          <w:szCs w:val="21"/>
        </w:rPr>
        <w:t>。</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电子加密投标文件按时解密的，备份投标文件自动失效。</w:t>
      </w:r>
    </w:p>
    <w:p>
      <w:pPr>
        <w:snapToGrid w:val="0"/>
        <w:spacing w:line="400" w:lineRule="exact"/>
        <w:ind w:firstLine="413"/>
        <w:rPr>
          <w:rFonts w:ascii="宋体" w:hAnsi="宋体" w:cs="Arial"/>
          <w:color w:val="FF0000"/>
          <w:szCs w:val="21"/>
        </w:rPr>
      </w:pPr>
      <w:r>
        <w:rPr>
          <w:rFonts w:cs="Arial" w:asciiTheme="minorEastAsia" w:hAnsiTheme="minorEastAsia" w:eastAsiaTheme="minorEastAsia"/>
          <w:szCs w:val="21"/>
        </w:rPr>
        <w:t>2.5</w:t>
      </w:r>
      <w:r>
        <w:rPr>
          <w:rFonts w:hint="eastAsia" w:cs="Arial" w:asciiTheme="minorEastAsia" w:hAnsiTheme="minorEastAsia" w:eastAsiaTheme="minorEastAsia"/>
          <w:szCs w:val="21"/>
        </w:rPr>
        <w:t>本次政府采购活动有关信息在浙江政府采购网（zfcg.czt.zj.gov.cn）、宁波政府采购网(</w:t>
      </w:r>
      <w:r>
        <w:fldChar w:fldCharType="begin"/>
      </w:r>
      <w:r>
        <w:instrText xml:space="preserve"> HYPERLINK "http://www.nbzfcg.cn" </w:instrText>
      </w:r>
      <w:r>
        <w:fldChar w:fldCharType="separate"/>
      </w:r>
      <w:r>
        <w:rPr>
          <w:rFonts w:hint="eastAsia"/>
        </w:rPr>
        <w:t>www.nbzfcg.cn</w:t>
      </w:r>
      <w:r>
        <w:rPr>
          <w:rFonts w:hint="eastAsia"/>
        </w:rPr>
        <w:fldChar w:fldCharType="end"/>
      </w:r>
      <w:r>
        <w:rPr>
          <w:rFonts w:hint="eastAsia" w:cs="Arial" w:asciiTheme="minorEastAsia" w:hAnsiTheme="minorEastAsia" w:eastAsiaTheme="minorEastAsia"/>
          <w:szCs w:val="21"/>
        </w:rPr>
        <w:t>)网站上公布，发布信息视同送达所有潜在供应商，参加投标的供应商有义务在采购活动期间浏览公告发布网站。</w:t>
      </w:r>
    </w:p>
    <w:p>
      <w:pPr>
        <w:snapToGrid w:val="0"/>
        <w:spacing w:line="400" w:lineRule="exact"/>
        <w:ind w:firstLine="420"/>
        <w:rPr>
          <w:rFonts w:ascii="宋体" w:hAnsi="宋体" w:cs="Arial"/>
          <w:color w:val="FF0000"/>
          <w:szCs w:val="21"/>
        </w:rPr>
      </w:pPr>
    </w:p>
    <w:p>
      <w:pPr>
        <w:snapToGrid w:val="0"/>
        <w:spacing w:line="400" w:lineRule="exact"/>
        <w:rPr>
          <w:rFonts w:ascii="宋体" w:hAnsi="宋体" w:cs="Arial"/>
          <w:szCs w:val="21"/>
        </w:rPr>
      </w:pPr>
      <w:bookmarkStart w:id="24" w:name="_Toc35393796"/>
      <w:bookmarkStart w:id="25" w:name="_Toc35393627"/>
      <w:bookmarkStart w:id="26" w:name="_Toc28359008"/>
      <w:bookmarkStart w:id="27" w:name="_Toc28359085"/>
      <w:r>
        <w:rPr>
          <w:rFonts w:hint="eastAsia" w:ascii="宋体" w:hAnsi="宋体" w:cs="Arial"/>
          <w:szCs w:val="21"/>
        </w:rPr>
        <w:t>七、对本次招标提出询问，请按</w:t>
      </w:r>
      <w:r>
        <w:rPr>
          <w:rFonts w:ascii="宋体" w:hAnsi="宋体" w:cs="Arial"/>
          <w:szCs w:val="21"/>
        </w:rPr>
        <w:t>以下方式</w:t>
      </w:r>
      <w:r>
        <w:rPr>
          <w:rFonts w:hint="eastAsia" w:ascii="宋体" w:hAnsi="宋体" w:cs="Arial"/>
          <w:szCs w:val="21"/>
        </w:rPr>
        <w:t>联系。</w:t>
      </w:r>
      <w:bookmarkEnd w:id="24"/>
      <w:bookmarkEnd w:id="25"/>
      <w:bookmarkEnd w:id="26"/>
      <w:bookmarkEnd w:id="27"/>
    </w:p>
    <w:p>
      <w:pPr>
        <w:snapToGrid w:val="0"/>
        <w:spacing w:line="400" w:lineRule="exact"/>
        <w:ind w:firstLine="411" w:firstLineChars="196"/>
        <w:rPr>
          <w:rFonts w:ascii="宋体" w:hAnsi="宋体"/>
          <w:szCs w:val="21"/>
        </w:rPr>
      </w:pPr>
      <w:r>
        <w:rPr>
          <w:rFonts w:hint="eastAsia" w:ascii="宋体" w:hAnsi="宋体" w:cs="宋体"/>
          <w:szCs w:val="21"/>
        </w:rPr>
        <w:t>1.采购人信息</w:t>
      </w:r>
    </w:p>
    <w:p>
      <w:pPr>
        <w:snapToGrid w:val="0"/>
        <w:spacing w:line="400" w:lineRule="exact"/>
        <w:ind w:firstLine="411" w:firstLineChars="196"/>
        <w:rPr>
          <w:rFonts w:ascii="宋体" w:hAnsi="宋体"/>
          <w:szCs w:val="21"/>
        </w:rPr>
      </w:pPr>
      <w:r>
        <w:rPr>
          <w:rFonts w:hint="eastAsia" w:ascii="宋体" w:hAnsi="宋体"/>
          <w:szCs w:val="21"/>
        </w:rPr>
        <w:t>名称：宁波市生态环境局</w:t>
      </w:r>
    </w:p>
    <w:p>
      <w:pPr>
        <w:snapToGrid w:val="0"/>
        <w:spacing w:line="400" w:lineRule="exact"/>
        <w:ind w:firstLine="411" w:firstLineChars="196"/>
        <w:rPr>
          <w:rFonts w:ascii="宋体" w:hAnsi="宋体"/>
          <w:szCs w:val="21"/>
        </w:rPr>
      </w:pPr>
      <w:r>
        <w:rPr>
          <w:rFonts w:hint="eastAsia" w:ascii="宋体" w:hAnsi="宋体"/>
          <w:szCs w:val="21"/>
        </w:rPr>
        <w:t>地址：宁波市海曙区柳汀街545号</w:t>
      </w:r>
    </w:p>
    <w:p>
      <w:pPr>
        <w:snapToGrid w:val="0"/>
        <w:spacing w:line="400" w:lineRule="exact"/>
        <w:ind w:firstLine="411" w:firstLineChars="196"/>
        <w:rPr>
          <w:rFonts w:ascii="宋体" w:hAnsi="宋体"/>
          <w:szCs w:val="21"/>
        </w:rPr>
      </w:pPr>
      <w:r>
        <w:rPr>
          <w:rFonts w:hint="eastAsia" w:ascii="宋体" w:hAnsi="宋体"/>
          <w:szCs w:val="21"/>
        </w:rPr>
        <w:t>联系人：</w:t>
      </w:r>
      <w:r>
        <w:rPr>
          <w:rFonts w:hint="eastAsia" w:ascii="宋体" w:hAnsi="宋体"/>
          <w:szCs w:val="21"/>
          <w:lang w:val="en-US" w:eastAsia="zh-CN"/>
        </w:rPr>
        <w:t>阚</w:t>
      </w:r>
      <w:r>
        <w:rPr>
          <w:rFonts w:hint="eastAsia" w:ascii="宋体" w:hAnsi="宋体"/>
          <w:szCs w:val="21"/>
        </w:rPr>
        <w:t>老师</w:t>
      </w:r>
    </w:p>
    <w:p>
      <w:pPr>
        <w:snapToGrid w:val="0"/>
        <w:spacing w:line="400" w:lineRule="exact"/>
        <w:ind w:firstLine="411" w:firstLineChars="196"/>
        <w:rPr>
          <w:rFonts w:hint="default" w:ascii="宋体" w:hAnsi="宋体" w:eastAsia="宋体"/>
          <w:szCs w:val="21"/>
          <w:lang w:val="en-US" w:eastAsia="zh-CN"/>
        </w:rPr>
      </w:pPr>
      <w:r>
        <w:rPr>
          <w:rFonts w:hint="eastAsia" w:ascii="宋体" w:hAnsi="宋体"/>
          <w:szCs w:val="21"/>
        </w:rPr>
        <w:t>联系方式：</w:t>
      </w:r>
      <w:bookmarkStart w:id="28" w:name="_Toc28359009"/>
      <w:bookmarkStart w:id="29" w:name="_Toc28359086"/>
      <w:r>
        <w:rPr>
          <w:rFonts w:hint="eastAsia" w:ascii="宋体" w:hAnsi="宋体"/>
          <w:szCs w:val="21"/>
        </w:rPr>
        <w:t>0574-</w:t>
      </w:r>
      <w:r>
        <w:rPr>
          <w:rFonts w:ascii="仿宋" w:hAnsi="仿宋" w:cs="Arial"/>
          <w:color w:val="000000"/>
          <w:kern w:val="0"/>
          <w:szCs w:val="21"/>
        </w:rPr>
        <w:t>87207680</w:t>
      </w:r>
    </w:p>
    <w:p>
      <w:pPr>
        <w:snapToGrid w:val="0"/>
        <w:spacing w:line="400" w:lineRule="exact"/>
        <w:ind w:firstLine="411" w:firstLineChars="196"/>
        <w:rPr>
          <w:rFonts w:ascii="宋体" w:hAnsi="宋体"/>
          <w:szCs w:val="21"/>
        </w:rPr>
      </w:pPr>
      <w:r>
        <w:rPr>
          <w:rFonts w:hint="eastAsia" w:ascii="宋体" w:hAnsi="宋体"/>
          <w:szCs w:val="21"/>
        </w:rPr>
        <w:t>质疑联系人：</w:t>
      </w:r>
      <w:r>
        <w:rPr>
          <w:rFonts w:hint="eastAsia" w:ascii="宋体" w:hAnsi="宋体"/>
          <w:szCs w:val="21"/>
          <w:lang w:val="en-US" w:eastAsia="zh-CN"/>
        </w:rPr>
        <w:t>王</w:t>
      </w:r>
      <w:r>
        <w:rPr>
          <w:rFonts w:hint="eastAsia" w:ascii="宋体" w:hAnsi="宋体"/>
          <w:szCs w:val="21"/>
        </w:rPr>
        <w:t>老师</w:t>
      </w:r>
    </w:p>
    <w:p>
      <w:pPr>
        <w:snapToGrid w:val="0"/>
        <w:spacing w:line="400" w:lineRule="exact"/>
        <w:ind w:firstLine="411" w:firstLineChars="196"/>
        <w:rPr>
          <w:rFonts w:ascii="宋体" w:hAnsi="宋体"/>
          <w:szCs w:val="21"/>
        </w:rPr>
      </w:pPr>
      <w:r>
        <w:rPr>
          <w:rFonts w:hint="eastAsia" w:ascii="宋体" w:hAnsi="宋体"/>
          <w:szCs w:val="21"/>
        </w:rPr>
        <w:t>质疑联系人电话：0574-</w:t>
      </w:r>
      <w:r>
        <w:rPr>
          <w:rFonts w:hint="eastAsia" w:cs="宋体" w:asciiTheme="minorEastAsia" w:hAnsiTheme="minorEastAsia" w:eastAsiaTheme="minorEastAsia"/>
          <w:color w:val="auto"/>
          <w:szCs w:val="21"/>
        </w:rPr>
        <w:t>87259944</w:t>
      </w:r>
    </w:p>
    <w:p>
      <w:pPr>
        <w:snapToGrid w:val="0"/>
        <w:spacing w:line="400" w:lineRule="exact"/>
        <w:ind w:firstLine="411" w:firstLineChars="196"/>
        <w:rPr>
          <w:rFonts w:ascii="宋体" w:hAnsi="宋体"/>
          <w:szCs w:val="21"/>
        </w:rPr>
      </w:pPr>
      <w:r>
        <w:rPr>
          <w:rFonts w:hint="eastAsia" w:ascii="宋体" w:hAnsi="宋体" w:cs="宋体"/>
          <w:szCs w:val="21"/>
        </w:rPr>
        <w:t>2.采购代理机构信息</w:t>
      </w:r>
      <w:bookmarkEnd w:id="28"/>
      <w:bookmarkEnd w:id="29"/>
    </w:p>
    <w:p>
      <w:pPr>
        <w:snapToGrid w:val="0"/>
        <w:spacing w:line="400" w:lineRule="exact"/>
        <w:ind w:firstLine="411" w:firstLineChars="196"/>
        <w:rPr>
          <w:rFonts w:ascii="宋体" w:hAnsi="宋体"/>
          <w:szCs w:val="21"/>
        </w:rPr>
      </w:pPr>
      <w:r>
        <w:rPr>
          <w:rFonts w:hint="eastAsia" w:ascii="宋体" w:hAnsi="宋体"/>
          <w:szCs w:val="21"/>
        </w:rPr>
        <w:t>名称：宁波名诚招标代理有限公司</w:t>
      </w:r>
    </w:p>
    <w:p>
      <w:pPr>
        <w:snapToGrid w:val="0"/>
        <w:spacing w:line="400" w:lineRule="exact"/>
        <w:ind w:firstLine="411" w:firstLineChars="196"/>
        <w:rPr>
          <w:rFonts w:ascii="宋体" w:hAnsi="宋体"/>
          <w:szCs w:val="21"/>
        </w:rPr>
      </w:pPr>
      <w:bookmarkStart w:id="30" w:name="_Toc28359010"/>
      <w:bookmarkStart w:id="31" w:name="_Toc28359087"/>
      <w:r>
        <w:rPr>
          <w:rFonts w:hint="eastAsia" w:ascii="宋体" w:hAnsi="宋体"/>
          <w:szCs w:val="21"/>
        </w:rPr>
        <w:t>地址：宁波市海曙区青石巷5号永煌大厦9楼</w:t>
      </w:r>
    </w:p>
    <w:p>
      <w:pPr>
        <w:snapToGrid w:val="0"/>
        <w:spacing w:line="400" w:lineRule="exact"/>
        <w:ind w:firstLine="411" w:firstLineChars="196"/>
        <w:rPr>
          <w:szCs w:val="21"/>
          <w:shd w:val="clear" w:color="auto" w:fill="FFFFFF"/>
        </w:rPr>
      </w:pPr>
      <w:r>
        <w:rPr>
          <w:szCs w:val="21"/>
          <w:shd w:val="clear" w:color="auto" w:fill="FFFFFF"/>
        </w:rPr>
        <w:t>项目联系人（询问）：万修文、</w:t>
      </w:r>
      <w:r>
        <w:rPr>
          <w:rFonts w:hint="eastAsia"/>
          <w:szCs w:val="21"/>
          <w:shd w:val="clear" w:color="auto" w:fill="FFFFFF"/>
          <w:lang w:val="en-US" w:eastAsia="zh-CN"/>
        </w:rPr>
        <w:t>洪心怡、</w:t>
      </w:r>
      <w:r>
        <w:rPr>
          <w:rFonts w:hint="eastAsia"/>
          <w:szCs w:val="21"/>
          <w:shd w:val="clear" w:color="auto" w:fill="FFFFFF"/>
        </w:rPr>
        <w:t>王裕挺</w:t>
      </w:r>
    </w:p>
    <w:p>
      <w:pPr>
        <w:snapToGrid w:val="0"/>
        <w:spacing w:line="400" w:lineRule="exact"/>
        <w:ind w:firstLine="411" w:firstLineChars="196"/>
        <w:rPr>
          <w:rFonts w:ascii="宋体" w:hAnsi="宋体" w:cs="Arial"/>
          <w:szCs w:val="21"/>
        </w:rPr>
      </w:pPr>
      <w:r>
        <w:rPr>
          <w:szCs w:val="21"/>
          <w:shd w:val="clear" w:color="auto" w:fill="FFFFFF"/>
        </w:rPr>
        <w:t>项目联系方式（询问）：</w:t>
      </w:r>
      <w:r>
        <w:rPr>
          <w:rFonts w:ascii="宋体" w:hAnsi="宋体" w:cs="Arial"/>
          <w:szCs w:val="21"/>
        </w:rPr>
        <w:t>0574-</w:t>
      </w:r>
      <w:r>
        <w:rPr>
          <w:rFonts w:hint="eastAsia" w:ascii="宋体" w:hAnsi="宋体" w:cs="Arial"/>
          <w:szCs w:val="21"/>
        </w:rPr>
        <w:t>83860503</w:t>
      </w:r>
    </w:p>
    <w:p>
      <w:pPr>
        <w:snapToGrid w:val="0"/>
        <w:spacing w:line="400" w:lineRule="exact"/>
        <w:ind w:firstLine="411" w:firstLineChars="196"/>
        <w:rPr>
          <w:rFonts w:ascii="宋体" w:hAnsi="宋体"/>
          <w:bCs/>
          <w:szCs w:val="21"/>
        </w:rPr>
      </w:pPr>
      <w:r>
        <w:rPr>
          <w:rFonts w:hint="eastAsia" w:ascii="宋体" w:hAnsi="宋体"/>
          <w:bCs/>
          <w:szCs w:val="21"/>
        </w:rPr>
        <w:t>质疑联系人：方芳</w:t>
      </w:r>
    </w:p>
    <w:p>
      <w:pPr>
        <w:snapToGrid w:val="0"/>
        <w:spacing w:line="400" w:lineRule="exact"/>
        <w:ind w:firstLine="411" w:firstLineChars="196"/>
        <w:rPr>
          <w:rFonts w:ascii="宋体" w:hAnsi="宋体"/>
          <w:bCs/>
          <w:szCs w:val="21"/>
        </w:rPr>
      </w:pPr>
      <w:r>
        <w:rPr>
          <w:rFonts w:hint="eastAsia" w:ascii="宋体" w:hAnsi="宋体"/>
          <w:bCs/>
          <w:szCs w:val="21"/>
        </w:rPr>
        <w:t>质疑联系人电话：0574-87101271</w:t>
      </w:r>
    </w:p>
    <w:p>
      <w:pPr>
        <w:snapToGrid w:val="0"/>
        <w:spacing w:line="400" w:lineRule="exact"/>
        <w:ind w:firstLine="411" w:firstLineChars="196"/>
        <w:rPr>
          <w:rFonts w:ascii="宋体" w:hAnsi="宋体" w:cs="宋体"/>
          <w:szCs w:val="21"/>
        </w:rPr>
      </w:pPr>
      <w:r>
        <w:rPr>
          <w:rFonts w:hint="eastAsia" w:ascii="宋体" w:hAnsi="宋体" w:cs="宋体"/>
          <w:szCs w:val="21"/>
        </w:rPr>
        <w:t>3.</w:t>
      </w:r>
      <w:bookmarkEnd w:id="0"/>
      <w:bookmarkEnd w:id="30"/>
      <w:bookmarkEnd w:id="31"/>
      <w:r>
        <w:rPr>
          <w:rFonts w:hint="eastAsia" w:ascii="宋体" w:hAnsi="宋体" w:cs="宋体"/>
          <w:szCs w:val="21"/>
        </w:rPr>
        <w:t xml:space="preserve"> 同级政府采购监督管理部门</w:t>
      </w:r>
    </w:p>
    <w:p>
      <w:pPr>
        <w:snapToGrid w:val="0"/>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 xml:space="preserve">名称：宁波市财政局政府采购办公室 </w:t>
      </w:r>
    </w:p>
    <w:p>
      <w:pPr>
        <w:snapToGrid w:val="0"/>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地址：宁波市海曙区中山西路19号</w:t>
      </w:r>
    </w:p>
    <w:p>
      <w:pPr>
        <w:snapToGrid w:val="0"/>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传真：/</w:t>
      </w:r>
    </w:p>
    <w:p>
      <w:pPr>
        <w:snapToGrid w:val="0"/>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联系人：</w:t>
      </w:r>
      <w:r>
        <w:rPr>
          <w:rFonts w:hint="eastAsia" w:asciiTheme="minorEastAsia" w:hAnsiTheme="minorEastAsia" w:eastAsiaTheme="minorEastAsia"/>
          <w:szCs w:val="21"/>
          <w:lang w:val="en-US" w:eastAsia="zh-CN"/>
        </w:rPr>
        <w:t>李</w:t>
      </w:r>
      <w:r>
        <w:rPr>
          <w:rFonts w:hint="eastAsia" w:asciiTheme="minorEastAsia" w:hAnsiTheme="minorEastAsia" w:eastAsiaTheme="minorEastAsia"/>
          <w:szCs w:val="21"/>
        </w:rPr>
        <w:t>老师</w:t>
      </w:r>
    </w:p>
    <w:p>
      <w:pPr>
        <w:snapToGrid w:val="0"/>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监督投诉电话：0574-89388042</w:t>
      </w:r>
    </w:p>
    <w:p>
      <w:pPr>
        <w:spacing w:line="400" w:lineRule="exact"/>
        <w:ind w:firstLine="315" w:firstLineChars="150"/>
        <w:rPr>
          <w:szCs w:val="21"/>
          <w:shd w:val="clear" w:color="auto" w:fill="FFFFFF"/>
        </w:rPr>
      </w:pPr>
      <w:r>
        <w:rPr>
          <w:szCs w:val="21"/>
          <w:shd w:val="clear" w:color="auto" w:fill="FFFFFF"/>
        </w:rPr>
        <w:t xml:space="preserve">若对项目采购电子交易系统操作有疑问，可登录政采云（https://www.zcygov.cn/），点击右侧咨询小采，获取采小蜜智能服务管家帮助，或拨打政采云服务热线400-881-7190获取热线服务帮助。 </w:t>
      </w:r>
    </w:p>
    <w:p>
      <w:pPr>
        <w:snapToGrid w:val="0"/>
        <w:spacing w:line="400" w:lineRule="exact"/>
        <w:ind w:firstLine="411" w:firstLineChars="196"/>
        <w:rPr>
          <w:rFonts w:ascii="宋体" w:hAnsi="宋体"/>
          <w:color w:val="FF0000"/>
          <w:szCs w:val="21"/>
          <w:u w:val="single"/>
        </w:rPr>
      </w:pPr>
      <w:r>
        <w:rPr>
          <w:szCs w:val="21"/>
          <w:shd w:val="clear" w:color="auto" w:fill="FFFFFF"/>
        </w:rPr>
        <w:t>CA问题联系电话（人工）：汇信CA 400-888-4636；天谷CA 400-087-8198。</w:t>
      </w:r>
    </w:p>
    <w:p>
      <w:pPr>
        <w:snapToGrid w:val="0"/>
        <w:spacing w:line="400" w:lineRule="exact"/>
        <w:ind w:firstLine="411" w:firstLineChars="196"/>
        <w:rPr>
          <w:rFonts w:ascii="宋体" w:hAnsi="宋体"/>
          <w:color w:val="FF0000"/>
          <w:szCs w:val="21"/>
          <w:u w:val="single"/>
        </w:rPr>
      </w:pPr>
    </w:p>
    <w:p>
      <w:pPr>
        <w:pStyle w:val="41"/>
        <w:spacing w:line="360" w:lineRule="auto"/>
        <w:rPr>
          <w:rFonts w:ascii="宋体" w:hAnsi="宋体" w:eastAsia="宋体"/>
          <w:sz w:val="32"/>
        </w:rPr>
      </w:pPr>
      <w:r>
        <w:rPr>
          <w:rFonts w:ascii="宋体" w:hAnsi="宋体" w:eastAsia="宋体"/>
        </w:rPr>
        <w:br w:type="page"/>
      </w:r>
      <w:bookmarkStart w:id="32" w:name="_Toc34844742"/>
      <w:r>
        <w:rPr>
          <w:rFonts w:hint="eastAsia" w:ascii="宋体" w:hAnsi="宋体" w:eastAsia="宋体"/>
          <w:sz w:val="24"/>
        </w:rPr>
        <w:t>第二章  采购需求</w:t>
      </w:r>
      <w:bookmarkEnd w:id="32"/>
    </w:p>
    <w:p>
      <w:pPr>
        <w:spacing w:line="360" w:lineRule="auto"/>
        <w:ind w:firstLine="422" w:firstLineChars="200"/>
        <w:jc w:val="both"/>
        <w:rPr>
          <w:rFonts w:hint="eastAsia" w:ascii="宋体" w:hAnsi="宋体"/>
          <w:b/>
          <w:kern w:val="1"/>
          <w:szCs w:val="21"/>
        </w:rPr>
      </w:pPr>
      <w:r>
        <w:rPr>
          <w:rFonts w:hint="eastAsia" w:ascii="宋体" w:hAnsi="宋体"/>
          <w:b/>
          <w:kern w:val="1"/>
          <w:szCs w:val="21"/>
        </w:rPr>
        <w:t>一、技术需求</w:t>
      </w:r>
    </w:p>
    <w:p>
      <w:pPr>
        <w:spacing w:line="360" w:lineRule="auto"/>
        <w:outlineLvl w:val="0"/>
        <w:rPr>
          <w:rFonts w:ascii="宋体" w:hAnsi="宋体"/>
          <w:b/>
          <w:szCs w:val="21"/>
        </w:rPr>
      </w:pPr>
      <w:bookmarkStart w:id="33" w:name="_Toc49435395"/>
      <w:r>
        <w:rPr>
          <w:rFonts w:hint="eastAsia" w:ascii="宋体" w:hAnsi="宋体"/>
          <w:b/>
          <w:szCs w:val="21"/>
        </w:rPr>
        <w:t>1.项目概况</w:t>
      </w:r>
      <w:bookmarkEnd w:id="33"/>
    </w:p>
    <w:p>
      <w:pPr>
        <w:spacing w:line="360" w:lineRule="auto"/>
        <w:ind w:firstLine="420" w:firstLineChars="200"/>
        <w:rPr>
          <w:rFonts w:ascii="宋体" w:hAnsi="宋体"/>
          <w:szCs w:val="21"/>
        </w:rPr>
      </w:pPr>
      <w:r>
        <w:rPr>
          <w:rFonts w:ascii="宋体" w:hAnsi="宋体"/>
          <w:szCs w:val="21"/>
        </w:rPr>
        <w:t>为全面落实浙江省生态环境厅</w:t>
      </w:r>
      <w:r>
        <w:rPr>
          <w:rFonts w:hint="eastAsia" w:ascii="宋体" w:hAnsi="宋体"/>
          <w:szCs w:val="21"/>
        </w:rPr>
        <w:t>《关于征求&lt;浙江省生态环境监测监控能力提升方案（2020-2022）（征求意见稿）&gt;》和全市智能化治水现场会精神以及市领导要求，</w:t>
      </w:r>
      <w:r>
        <w:rPr>
          <w:rFonts w:ascii="宋体" w:hAnsi="宋体"/>
          <w:szCs w:val="21"/>
        </w:rPr>
        <w:t>加快推进水污染治理工作，</w:t>
      </w:r>
      <w:r>
        <w:rPr>
          <w:rFonts w:hint="eastAsia" w:ascii="宋体" w:hAnsi="宋体"/>
          <w:szCs w:val="21"/>
        </w:rPr>
        <w:t>宁波市生态环境局拟向第三方购买宁波市地表水水质自动监测数据的方式，对宁波市常规监测断面水质进行考核。</w:t>
      </w:r>
    </w:p>
    <w:p>
      <w:pPr>
        <w:spacing w:line="360" w:lineRule="auto"/>
        <w:ind w:firstLine="420" w:firstLineChars="200"/>
        <w:rPr>
          <w:rFonts w:hint="eastAsia" w:ascii="宋体" w:hAnsi="宋体"/>
          <w:szCs w:val="21"/>
        </w:rPr>
      </w:pPr>
      <w:r>
        <w:rPr>
          <w:rFonts w:hint="eastAsia" w:ascii="宋体" w:hAnsi="宋体"/>
          <w:szCs w:val="21"/>
        </w:rPr>
        <w:t>本次项目拟采购全市81个地表水水质自动监测</w:t>
      </w:r>
      <w:r>
        <w:rPr>
          <w:rFonts w:hint="eastAsia" w:ascii="宋体" w:hAnsi="宋体"/>
          <w:szCs w:val="21"/>
          <w:lang w:val="en-US" w:eastAsia="zh-CN"/>
        </w:rPr>
        <w:t>站监测数据服务</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标项</w:t>
      </w:r>
      <w:r>
        <w:rPr>
          <w:rFonts w:ascii="宋体" w:hAnsi="宋体"/>
          <w:szCs w:val="21"/>
        </w:rPr>
        <w:t>一</w:t>
      </w:r>
      <w:r>
        <w:rPr>
          <w:rFonts w:hint="eastAsia" w:ascii="宋体" w:hAnsi="宋体"/>
          <w:szCs w:val="21"/>
        </w:rPr>
        <w:t>（共40个点位）包含</w:t>
      </w:r>
      <w:r>
        <w:rPr>
          <w:rFonts w:ascii="宋体" w:hAnsi="宋体"/>
          <w:szCs w:val="21"/>
          <w:u w:val="single"/>
        </w:rPr>
        <w:t xml:space="preserve"> </w:t>
      </w:r>
      <w:r>
        <w:rPr>
          <w:rFonts w:hint="eastAsia" w:ascii="宋体" w:hAnsi="宋体"/>
          <w:szCs w:val="21"/>
          <w:u w:val="single"/>
        </w:rPr>
        <w:t>象山县（6个点位）、宁海县（8个点位）、奉化区（5个点位）、鄞州区（6个点位）、高新区（2个点位）、北仑区（8个点位）、镇海区（4个点位）、东钱湖旅游度假区（1个点位）</w:t>
      </w:r>
      <w:r>
        <w:rPr>
          <w:rFonts w:hint="eastAsia" w:ascii="宋体" w:hAnsi="宋体"/>
          <w:szCs w:val="21"/>
        </w:rPr>
        <w:t>地表水水质自动监测数据采购服务，共计40个站点的地表水水质自动监测数据采购服务。</w:t>
      </w:r>
    </w:p>
    <w:p>
      <w:pPr>
        <w:spacing w:line="360" w:lineRule="auto"/>
        <w:ind w:firstLine="420" w:firstLineChars="200"/>
        <w:rPr>
          <w:rFonts w:hint="eastAsia" w:ascii="宋体" w:hAnsi="宋体"/>
          <w:szCs w:val="21"/>
        </w:rPr>
      </w:pPr>
      <w:r>
        <w:rPr>
          <w:rFonts w:hint="eastAsia" w:ascii="宋体" w:hAnsi="宋体"/>
          <w:szCs w:val="21"/>
        </w:rPr>
        <w:t>标项二（共41个点位）包含</w:t>
      </w:r>
      <w:r>
        <w:rPr>
          <w:rFonts w:hint="eastAsia" w:ascii="宋体" w:hAnsi="宋体"/>
          <w:szCs w:val="21"/>
          <w:u w:val="single"/>
        </w:rPr>
        <w:t>余姚市（11个点位）、慈溪市（7个点位）、江北区（11个点位）、海曙区（11个点位）、杭州湾新区（1个点位）</w:t>
      </w:r>
      <w:r>
        <w:rPr>
          <w:rFonts w:hint="eastAsia" w:ascii="宋体" w:hAnsi="宋体"/>
          <w:szCs w:val="21"/>
        </w:rPr>
        <w:t>地表水水质自动监测数据采购服务，共计41个站点的地表水水质自动监测数据采购服务。</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szCs w:val="21"/>
          <w:lang w:val="en-US" w:eastAsia="zh-CN"/>
        </w:rPr>
        <w:t>整体</w:t>
      </w:r>
      <w:r>
        <w:rPr>
          <w:rFonts w:hint="eastAsia" w:ascii="宋体" w:hAnsi="宋体"/>
          <w:szCs w:val="21"/>
        </w:rPr>
        <w:t>项目为7年</w:t>
      </w:r>
      <w:r>
        <w:rPr>
          <w:rFonts w:ascii="宋体" w:hAnsi="宋体"/>
          <w:szCs w:val="21"/>
        </w:rPr>
        <w:t>地表水</w:t>
      </w:r>
      <w:r>
        <w:rPr>
          <w:rFonts w:hint="eastAsia" w:ascii="宋体" w:hAnsi="宋体"/>
          <w:szCs w:val="21"/>
        </w:rPr>
        <w:t>常规五参数（水</w:t>
      </w:r>
      <w:r>
        <w:rPr>
          <w:rFonts w:hint="eastAsia" w:ascii="宋体" w:hAnsi="宋体"/>
          <w:color w:val="auto"/>
          <w:szCs w:val="21"/>
          <w:highlight w:val="none"/>
        </w:rPr>
        <w:t>温、pH、电导率、溶解氧、浊度）、氨氮、高锰酸盐指数、总磷、总氮（仅限入海河流站点）、在线藻类分析仪和生物毒性分析仪（仅限饮用水源保护区：标项一的东钱湖南湖中心站和标项二的姚江湾头站）的有效数据</w:t>
      </w:r>
      <w:r>
        <w:rPr>
          <w:rFonts w:hint="eastAsia" w:ascii="宋体" w:hAnsi="宋体"/>
          <w:color w:val="auto"/>
          <w:szCs w:val="21"/>
          <w:highlight w:val="none"/>
          <w:lang w:eastAsia="zh-CN"/>
        </w:rPr>
        <w:t>。</w:t>
      </w:r>
      <w:r>
        <w:rPr>
          <w:rFonts w:hint="eastAsia" w:ascii="宋体" w:hAnsi="宋体"/>
          <w:bCs/>
          <w:color w:val="auto"/>
          <w:szCs w:val="21"/>
          <w:highlight w:val="none"/>
          <w:lang w:val="en-US" w:eastAsia="zh-CN"/>
        </w:rPr>
        <w:t>2020年12月份已完成2020年12月-2023年12月份的第一期（3年）的数据服务采购活动，</w:t>
      </w:r>
      <w:r>
        <w:rPr>
          <w:rFonts w:hint="eastAsia" w:ascii="宋体" w:hAnsi="宋体"/>
          <w:color w:val="auto"/>
          <w:szCs w:val="21"/>
          <w:highlight w:val="none"/>
        </w:rPr>
        <w:t>自动监测站</w:t>
      </w:r>
      <w:r>
        <w:rPr>
          <w:rFonts w:hint="eastAsia" w:ascii="宋体" w:hAnsi="宋体"/>
          <w:color w:val="auto"/>
          <w:szCs w:val="21"/>
          <w:highlight w:val="none"/>
          <w:lang w:val="en-US" w:eastAsia="zh-CN"/>
        </w:rPr>
        <w:t>目前已由原服务承接单位全部建成，且已正常运行。</w:t>
      </w:r>
      <w:r>
        <w:rPr>
          <w:rFonts w:hint="eastAsia" w:ascii="宋体" w:hAnsi="宋体"/>
          <w:bCs/>
          <w:color w:val="auto"/>
          <w:szCs w:val="21"/>
          <w:highlight w:val="none"/>
        </w:rPr>
        <w:t>本次</w:t>
      </w:r>
      <w:r>
        <w:rPr>
          <w:rFonts w:ascii="宋体" w:hAnsi="宋体"/>
          <w:bCs/>
          <w:color w:val="auto"/>
          <w:szCs w:val="21"/>
          <w:highlight w:val="none"/>
        </w:rPr>
        <w:t>招标</w:t>
      </w:r>
      <w:r>
        <w:rPr>
          <w:rFonts w:hint="eastAsia" w:ascii="宋体" w:hAnsi="宋体"/>
          <w:bCs/>
          <w:color w:val="auto"/>
          <w:szCs w:val="21"/>
          <w:highlight w:val="none"/>
        </w:rPr>
        <w:t>为</w:t>
      </w:r>
      <w:r>
        <w:rPr>
          <w:rFonts w:hint="eastAsia" w:ascii="宋体" w:hAnsi="宋体"/>
          <w:bCs/>
          <w:color w:val="auto"/>
          <w:szCs w:val="21"/>
          <w:highlight w:val="none"/>
          <w:lang w:val="en-US" w:eastAsia="zh-CN"/>
        </w:rPr>
        <w:t>2023年12月-2026年12月（整体项目采购的第二期，共3年，合同一年一签，年度考核合格后进行续签）</w:t>
      </w:r>
      <w:r>
        <w:rPr>
          <w:rFonts w:hint="eastAsia" w:ascii="宋体" w:hAnsi="宋体"/>
          <w:bCs/>
          <w:color w:val="auto"/>
          <w:szCs w:val="21"/>
          <w:highlight w:val="none"/>
        </w:rPr>
        <w:t>的水质自动监测数据采购服务</w:t>
      </w:r>
      <w:r>
        <w:rPr>
          <w:rFonts w:hint="eastAsia" w:ascii="宋体" w:hAnsi="宋体"/>
          <w:color w:val="auto"/>
          <w:szCs w:val="21"/>
          <w:highlight w:val="none"/>
        </w:rPr>
        <w:t>。提供实时数据，接受考核。项目三年运行期间产生的水、电、网络等费用由中标人负责。</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为确保数据持续保障服务和资产成本考虑，及2020年项目编号ZJZC-203125-2招标文件约定，本次采购活动新的中标人需要按原有设备的资产折旧价向上一家单位购买固定资产，原有固定资产清单详见附件，固定资产现价按原价</w:t>
      </w:r>
      <w:r>
        <w:rPr>
          <w:rFonts w:hint="eastAsia" w:ascii="宋体" w:hAnsi="宋体"/>
          <w:color w:val="auto"/>
          <w:szCs w:val="21"/>
          <w:highlight w:val="none"/>
        </w:rPr>
        <w:t>每年</w:t>
      </w:r>
      <w:r>
        <w:rPr>
          <w:rFonts w:ascii="宋体" w:hAnsi="宋体"/>
          <w:color w:val="auto"/>
          <w:szCs w:val="21"/>
          <w:highlight w:val="none"/>
        </w:rPr>
        <w:t>折旧</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计算。本次采购</w:t>
      </w:r>
      <w:r>
        <w:rPr>
          <w:rFonts w:hint="eastAsia" w:ascii="宋体" w:hAnsi="宋体"/>
          <w:color w:val="auto"/>
          <w:szCs w:val="21"/>
          <w:highlight w:val="none"/>
        </w:rPr>
        <w:t>三年</w:t>
      </w:r>
      <w:r>
        <w:rPr>
          <w:rFonts w:ascii="宋体" w:hAnsi="宋体"/>
          <w:color w:val="auto"/>
          <w:szCs w:val="21"/>
          <w:highlight w:val="none"/>
        </w:rPr>
        <w:t>后，</w:t>
      </w:r>
      <w:r>
        <w:rPr>
          <w:rFonts w:hint="eastAsia" w:ascii="宋体" w:hAnsi="宋体"/>
          <w:color w:val="auto"/>
          <w:szCs w:val="21"/>
          <w:highlight w:val="none"/>
        </w:rPr>
        <w:t>站房及仪器设备、采水、各系统、软件等固定资产根据合同价格按每年</w:t>
      </w:r>
      <w:r>
        <w:rPr>
          <w:rFonts w:ascii="宋体" w:hAnsi="宋体"/>
          <w:color w:val="auto"/>
          <w:szCs w:val="21"/>
          <w:highlight w:val="none"/>
        </w:rPr>
        <w:t>折旧</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转让给新</w:t>
      </w:r>
      <w:r>
        <w:rPr>
          <w:rFonts w:ascii="宋体" w:hAnsi="宋体"/>
          <w:color w:val="auto"/>
          <w:szCs w:val="21"/>
          <w:highlight w:val="none"/>
        </w:rPr>
        <w:t>的中标单位</w:t>
      </w:r>
      <w:r>
        <w:rPr>
          <w:rFonts w:hint="eastAsia" w:ascii="宋体" w:hAnsi="宋体"/>
          <w:color w:val="auto"/>
          <w:szCs w:val="21"/>
          <w:highlight w:val="none"/>
        </w:rPr>
        <w:t>。</w:t>
      </w:r>
    </w:p>
    <w:p>
      <w:pPr>
        <w:spacing w:line="360" w:lineRule="auto"/>
        <w:ind w:firstLine="420" w:firstLineChars="200"/>
        <w:rPr>
          <w:rFonts w:hint="eastAsia" w:ascii="宋体" w:hAnsi="宋体"/>
          <w:szCs w:val="21"/>
        </w:rPr>
      </w:pPr>
      <w:r>
        <w:rPr>
          <w:rFonts w:hint="eastAsia" w:ascii="宋体" w:hAnsi="宋体"/>
          <w:szCs w:val="21"/>
          <w:lang w:val="en-US" w:eastAsia="zh-CN"/>
        </w:rPr>
        <w:t>整体</w:t>
      </w:r>
      <w:r>
        <w:rPr>
          <w:rFonts w:hint="eastAsia" w:ascii="宋体" w:hAnsi="宋体"/>
          <w:szCs w:val="21"/>
        </w:rPr>
        <w:t>项目7年服务</w:t>
      </w:r>
      <w:r>
        <w:rPr>
          <w:rFonts w:ascii="宋体" w:hAnsi="宋体"/>
          <w:szCs w:val="21"/>
        </w:rPr>
        <w:t>期</w:t>
      </w:r>
      <w:r>
        <w:rPr>
          <w:rFonts w:hint="eastAsia" w:ascii="宋体" w:hAnsi="宋体"/>
          <w:szCs w:val="21"/>
        </w:rPr>
        <w:t>后，站房及仪器设备等固定资产</w:t>
      </w:r>
      <w:r>
        <w:rPr>
          <w:rFonts w:hint="eastAsia" w:ascii="宋体" w:hAnsi="宋体"/>
          <w:szCs w:val="21"/>
          <w:lang w:val="en-US" w:eastAsia="zh-CN"/>
        </w:rPr>
        <w:t>归</w:t>
      </w:r>
      <w:r>
        <w:rPr>
          <w:rFonts w:hint="eastAsia" w:ascii="宋体" w:hAnsi="宋体"/>
          <w:szCs w:val="21"/>
        </w:rPr>
        <w:t>业主</w:t>
      </w:r>
      <w:r>
        <w:rPr>
          <w:rFonts w:hint="eastAsia" w:ascii="宋体" w:hAnsi="宋体"/>
          <w:szCs w:val="21"/>
          <w:lang w:val="en-US" w:eastAsia="zh-CN"/>
        </w:rPr>
        <w:t>所有</w:t>
      </w:r>
      <w:r>
        <w:rPr>
          <w:rFonts w:hint="eastAsia" w:ascii="宋体" w:hAnsi="宋体"/>
          <w:szCs w:val="21"/>
        </w:rPr>
        <w:t>。</w:t>
      </w:r>
    </w:p>
    <w:p>
      <w:pPr>
        <w:spacing w:line="360" w:lineRule="auto"/>
        <w:jc w:val="center"/>
        <w:rPr>
          <w:rFonts w:hint="eastAsia" w:ascii="宋体" w:hAnsi="宋体"/>
          <w:b/>
          <w:szCs w:val="21"/>
        </w:rPr>
      </w:pPr>
      <w:r>
        <w:rPr>
          <w:rFonts w:hint="eastAsia" w:ascii="宋体" w:hAnsi="宋体"/>
          <w:b/>
          <w:szCs w:val="21"/>
        </w:rPr>
        <w:t>项目采购情况表</w:t>
      </w:r>
      <w:bookmarkStart w:id="34" w:name="_Toc49435396"/>
    </w:p>
    <w:tbl>
      <w:tblPr>
        <w:tblStyle w:val="44"/>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10"/>
        <w:gridCol w:w="4281"/>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877" w:type="dxa"/>
            <w:shd w:val="clear" w:color="auto" w:fill="D9D9D9"/>
            <w:noWrap w:val="0"/>
            <w:vAlign w:val="center"/>
          </w:tcPr>
          <w:p>
            <w:pPr>
              <w:jc w:val="center"/>
              <w:rPr>
                <w:rFonts w:hint="eastAsia" w:ascii="宋体" w:hAnsi="宋体"/>
              </w:rPr>
            </w:pPr>
            <w:r>
              <w:rPr>
                <w:rFonts w:hint="eastAsia" w:ascii="宋体" w:hAnsi="宋体"/>
              </w:rPr>
              <w:t>标项</w:t>
            </w:r>
          </w:p>
        </w:tc>
        <w:tc>
          <w:tcPr>
            <w:tcW w:w="1310" w:type="dxa"/>
            <w:shd w:val="clear" w:color="auto" w:fill="D9D9D9"/>
            <w:noWrap w:val="0"/>
            <w:vAlign w:val="center"/>
          </w:tcPr>
          <w:p>
            <w:pPr>
              <w:jc w:val="center"/>
              <w:rPr>
                <w:rFonts w:ascii="宋体" w:hAnsi="宋体"/>
              </w:rPr>
            </w:pPr>
            <w:r>
              <w:rPr>
                <w:rFonts w:hint="eastAsia" w:ascii="宋体" w:hAnsi="宋体"/>
              </w:rPr>
              <w:t>站点数量</w:t>
            </w:r>
          </w:p>
        </w:tc>
        <w:tc>
          <w:tcPr>
            <w:tcW w:w="4281" w:type="dxa"/>
            <w:shd w:val="clear" w:color="auto" w:fill="D9D9D9"/>
            <w:noWrap w:val="0"/>
            <w:vAlign w:val="center"/>
          </w:tcPr>
          <w:p>
            <w:pPr>
              <w:jc w:val="center"/>
              <w:rPr>
                <w:rFonts w:ascii="宋体" w:hAnsi="宋体"/>
              </w:rPr>
            </w:pPr>
            <w:r>
              <w:rPr>
                <w:rFonts w:hint="eastAsia" w:ascii="宋体" w:hAnsi="宋体"/>
              </w:rPr>
              <w:t>监测因子</w:t>
            </w:r>
          </w:p>
        </w:tc>
        <w:tc>
          <w:tcPr>
            <w:tcW w:w="2070" w:type="dxa"/>
            <w:shd w:val="clear" w:color="auto" w:fill="D9D9D9"/>
            <w:noWrap w:val="0"/>
            <w:vAlign w:val="center"/>
          </w:tcPr>
          <w:p>
            <w:pPr>
              <w:jc w:val="center"/>
              <w:rPr>
                <w:rFonts w:ascii="宋体" w:hAnsi="宋体"/>
              </w:rPr>
            </w:pPr>
            <w:r>
              <w:rPr>
                <w:rFonts w:hint="eastAsia" w:ascii="宋体" w:hAnsi="宋体"/>
              </w:rPr>
              <w:t>数据采购年限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877" w:type="dxa"/>
            <w:noWrap w:val="0"/>
            <w:vAlign w:val="center"/>
          </w:tcPr>
          <w:p>
            <w:pPr>
              <w:jc w:val="center"/>
              <w:rPr>
                <w:rFonts w:hint="eastAsia" w:ascii="宋体" w:hAnsi="宋体"/>
              </w:rPr>
            </w:pPr>
            <w:r>
              <w:rPr>
                <w:rFonts w:hint="eastAsia" w:ascii="宋体" w:hAnsi="宋体"/>
              </w:rPr>
              <w:t>一</w:t>
            </w:r>
          </w:p>
        </w:tc>
        <w:tc>
          <w:tcPr>
            <w:tcW w:w="1310" w:type="dxa"/>
            <w:noWrap w:val="0"/>
            <w:vAlign w:val="center"/>
          </w:tcPr>
          <w:p>
            <w:pPr>
              <w:jc w:val="center"/>
              <w:rPr>
                <w:rFonts w:ascii="宋体" w:hAnsi="宋体"/>
              </w:rPr>
            </w:pPr>
            <w:r>
              <w:rPr>
                <w:rFonts w:ascii="宋体" w:hAnsi="宋体"/>
              </w:rPr>
              <w:t>4</w:t>
            </w:r>
            <w:r>
              <w:rPr>
                <w:rFonts w:hint="eastAsia" w:ascii="宋体" w:hAnsi="宋体"/>
              </w:rPr>
              <w:t>0个</w:t>
            </w:r>
          </w:p>
        </w:tc>
        <w:tc>
          <w:tcPr>
            <w:tcW w:w="4281" w:type="dxa"/>
            <w:noWrap w:val="0"/>
            <w:vAlign w:val="center"/>
          </w:tcPr>
          <w:p>
            <w:pPr>
              <w:rPr>
                <w:rFonts w:ascii="宋体" w:hAnsi="宋体"/>
              </w:rPr>
            </w:pPr>
            <w:r>
              <w:rPr>
                <w:rFonts w:hint="eastAsia" w:ascii="宋体" w:hAnsi="宋体"/>
              </w:rPr>
              <w:t>常规五参数（水温、pH、电导率、溶解氧、浊度）、氨氮、高锰酸盐指数、总磷、总氮（仅限入海河流站点）、</w:t>
            </w:r>
            <w:r>
              <w:rPr>
                <w:rFonts w:hint="eastAsia" w:ascii="宋体" w:hAnsi="宋体"/>
                <w:szCs w:val="21"/>
              </w:rPr>
              <w:t>在线藻类分析仪和生物毒性分析仪（东钱湖南湖中心站）</w:t>
            </w:r>
          </w:p>
        </w:tc>
        <w:tc>
          <w:tcPr>
            <w:tcW w:w="2070" w:type="dxa"/>
            <w:noWrap w:val="0"/>
            <w:vAlign w:val="center"/>
          </w:tcPr>
          <w:p>
            <w:pPr>
              <w:jc w:val="center"/>
              <w:rPr>
                <w:rFonts w:hint="default" w:ascii="宋体" w:hAnsi="宋体" w:eastAsia="宋体"/>
                <w:lang w:val="en-US" w:eastAsia="zh-CN"/>
              </w:rPr>
            </w:pPr>
            <w:r>
              <w:rPr>
                <w:rFonts w:hint="eastAsia" w:ascii="宋体" w:hAnsi="宋体"/>
                <w:lang w:val="en-US" w:eastAsia="zh-CN"/>
              </w:rPr>
              <w:t>1年，经采购人考核合格后可续签2年，合同一年一签。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77" w:type="dxa"/>
            <w:noWrap w:val="0"/>
            <w:vAlign w:val="center"/>
          </w:tcPr>
          <w:p>
            <w:pPr>
              <w:jc w:val="center"/>
              <w:rPr>
                <w:rFonts w:hint="eastAsia" w:ascii="宋体" w:hAnsi="宋体"/>
              </w:rPr>
            </w:pPr>
            <w:r>
              <w:rPr>
                <w:rFonts w:hint="eastAsia" w:ascii="宋体" w:hAnsi="宋体"/>
              </w:rPr>
              <w:t>二</w:t>
            </w:r>
          </w:p>
        </w:tc>
        <w:tc>
          <w:tcPr>
            <w:tcW w:w="1310" w:type="dxa"/>
            <w:noWrap w:val="0"/>
            <w:vAlign w:val="center"/>
          </w:tcPr>
          <w:p>
            <w:pPr>
              <w:jc w:val="center"/>
              <w:rPr>
                <w:rFonts w:hint="eastAsia" w:ascii="宋体" w:hAnsi="宋体"/>
              </w:rPr>
            </w:pPr>
            <w:r>
              <w:rPr>
                <w:rFonts w:ascii="宋体" w:hAnsi="宋体"/>
              </w:rPr>
              <w:t>4</w:t>
            </w:r>
            <w:r>
              <w:rPr>
                <w:rFonts w:hint="eastAsia" w:ascii="宋体" w:hAnsi="宋体"/>
              </w:rPr>
              <w:t>1个</w:t>
            </w:r>
          </w:p>
        </w:tc>
        <w:tc>
          <w:tcPr>
            <w:tcW w:w="4281" w:type="dxa"/>
            <w:noWrap w:val="0"/>
            <w:vAlign w:val="center"/>
          </w:tcPr>
          <w:p>
            <w:pPr>
              <w:rPr>
                <w:rFonts w:hint="eastAsia" w:ascii="宋体" w:hAnsi="宋体"/>
              </w:rPr>
            </w:pPr>
            <w:r>
              <w:rPr>
                <w:rFonts w:hint="eastAsia" w:ascii="宋体" w:hAnsi="宋体"/>
              </w:rPr>
              <w:t>常规五参数（水温、pH、电导率、溶解氧、浊度）、氨氮、高锰酸盐指数、总磷、总氮（仅限入海河流站点）、</w:t>
            </w:r>
            <w:r>
              <w:rPr>
                <w:rFonts w:hint="eastAsia" w:ascii="宋体" w:hAnsi="宋体"/>
                <w:szCs w:val="21"/>
              </w:rPr>
              <w:t>在线藻类分析仪和生物毒性分析仪（姚江湾头站）</w:t>
            </w:r>
          </w:p>
        </w:tc>
        <w:tc>
          <w:tcPr>
            <w:tcW w:w="2070" w:type="dxa"/>
            <w:noWrap w:val="0"/>
            <w:vAlign w:val="center"/>
          </w:tcPr>
          <w:p>
            <w:pPr>
              <w:jc w:val="center"/>
              <w:rPr>
                <w:rFonts w:hint="eastAsia" w:ascii="宋体" w:hAnsi="宋体"/>
              </w:rPr>
            </w:pPr>
            <w:r>
              <w:rPr>
                <w:rFonts w:hint="eastAsia" w:ascii="宋体" w:hAnsi="宋体"/>
                <w:lang w:val="en-US" w:eastAsia="zh-CN"/>
              </w:rPr>
              <w:t>1年，经采购人考核合格后可续签2年，合同一年一签。</w:t>
            </w:r>
          </w:p>
        </w:tc>
      </w:tr>
      <w:bookmarkEnd w:id="34"/>
    </w:tbl>
    <w:p>
      <w:pPr>
        <w:spacing w:line="360" w:lineRule="auto"/>
        <w:jc w:val="center"/>
        <w:outlineLvl w:val="1"/>
        <w:rPr>
          <w:rFonts w:hint="eastAsia" w:ascii="宋体" w:hAnsi="宋体"/>
          <w:b/>
          <w:szCs w:val="21"/>
        </w:rPr>
      </w:pPr>
    </w:p>
    <w:p>
      <w:pPr>
        <w:spacing w:line="360" w:lineRule="auto"/>
        <w:jc w:val="center"/>
        <w:outlineLvl w:val="1"/>
        <w:rPr>
          <w:rFonts w:ascii="宋体" w:hAnsi="宋体"/>
          <w:b/>
          <w:szCs w:val="21"/>
        </w:rPr>
      </w:pPr>
      <w:r>
        <w:rPr>
          <w:rFonts w:hint="eastAsia" w:ascii="宋体" w:hAnsi="宋体"/>
          <w:b/>
          <w:szCs w:val="21"/>
        </w:rPr>
        <w:t>监测站点及平台配置情况</w:t>
      </w:r>
    </w:p>
    <w:p>
      <w:pPr>
        <w:spacing w:line="360" w:lineRule="auto"/>
        <w:rPr>
          <w:rFonts w:hint="default" w:ascii="宋体" w:hAnsi="宋体" w:eastAsia="宋体"/>
          <w:b/>
          <w:bCs w:val="0"/>
          <w:szCs w:val="21"/>
          <w:lang w:val="en-US" w:eastAsia="zh-CN"/>
        </w:rPr>
      </w:pPr>
      <w:r>
        <w:rPr>
          <w:rFonts w:hint="eastAsia" w:ascii="宋体" w:hAnsi="宋体"/>
          <w:b/>
          <w:bCs w:val="0"/>
          <w:szCs w:val="21"/>
          <w:lang w:val="en-US" w:eastAsia="zh-CN"/>
        </w:rPr>
        <w:t>标项1：象山县、宁海县、奉化区、鄞州区、高新区、北仑区、镇海区、东钱湖旅游度假区地表水水质自动监测数据服务采购项目</w:t>
      </w:r>
    </w:p>
    <w:tbl>
      <w:tblPr>
        <w:tblStyle w:val="4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20"/>
        <w:gridCol w:w="1510"/>
        <w:gridCol w:w="730"/>
        <w:gridCol w:w="659"/>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blHeader/>
        </w:trPr>
        <w:tc>
          <w:tcPr>
            <w:tcW w:w="1420" w:type="pct"/>
            <w:noWrap w:val="0"/>
            <w:tcMar>
              <w:top w:w="15" w:type="dxa"/>
              <w:left w:w="15" w:type="dxa"/>
              <w:right w:w="15" w:type="dxa"/>
            </w:tcMar>
            <w:vAlign w:val="center"/>
          </w:tcPr>
          <w:p>
            <w:pPr>
              <w:widowControl/>
              <w:jc w:val="center"/>
              <w:textAlignment w:val="center"/>
              <w:rPr>
                <w:rFonts w:ascii="Times New Roman" w:hAnsi="Times New Roman"/>
                <w:b/>
                <w:color w:val="000000"/>
                <w:szCs w:val="21"/>
              </w:rPr>
            </w:pPr>
            <w:r>
              <w:rPr>
                <w:rFonts w:ascii="Times New Roman" w:hAnsi="Times New Roman"/>
                <w:b/>
                <w:color w:val="000000"/>
                <w:kern w:val="0"/>
                <w:szCs w:val="21"/>
              </w:rPr>
              <w:t>名称</w:t>
            </w:r>
          </w:p>
        </w:tc>
        <w:tc>
          <w:tcPr>
            <w:tcW w:w="851" w:type="pct"/>
            <w:noWrap w:val="0"/>
            <w:tcMar>
              <w:top w:w="15" w:type="dxa"/>
              <w:left w:w="15" w:type="dxa"/>
              <w:right w:w="15" w:type="dxa"/>
            </w:tcMar>
            <w:vAlign w:val="center"/>
          </w:tcPr>
          <w:p>
            <w:pPr>
              <w:widowControl/>
              <w:jc w:val="center"/>
              <w:textAlignment w:val="center"/>
              <w:rPr>
                <w:rFonts w:ascii="Times New Roman" w:hAnsi="Times New Roman"/>
                <w:b/>
                <w:color w:val="000000"/>
                <w:szCs w:val="21"/>
              </w:rPr>
            </w:pPr>
            <w:r>
              <w:rPr>
                <w:rFonts w:ascii="Times New Roman" w:hAnsi="Times New Roman"/>
                <w:b/>
                <w:color w:val="000000"/>
                <w:kern w:val="0"/>
                <w:szCs w:val="21"/>
              </w:rPr>
              <w:t>规格\型号</w:t>
            </w:r>
          </w:p>
        </w:tc>
        <w:tc>
          <w:tcPr>
            <w:tcW w:w="411" w:type="pct"/>
            <w:noWrap w:val="0"/>
            <w:tcMar>
              <w:top w:w="15" w:type="dxa"/>
              <w:left w:w="15" w:type="dxa"/>
              <w:right w:w="15" w:type="dxa"/>
            </w:tcMar>
            <w:vAlign w:val="center"/>
          </w:tcPr>
          <w:p>
            <w:pPr>
              <w:widowControl/>
              <w:jc w:val="center"/>
              <w:textAlignment w:val="center"/>
              <w:rPr>
                <w:rFonts w:ascii="Times New Roman" w:hAnsi="Times New Roman"/>
                <w:b/>
                <w:color w:val="000000"/>
                <w:szCs w:val="21"/>
              </w:rPr>
            </w:pPr>
            <w:r>
              <w:rPr>
                <w:rFonts w:ascii="Times New Roman" w:hAnsi="Times New Roman"/>
                <w:b/>
                <w:color w:val="000000"/>
                <w:kern w:val="0"/>
                <w:szCs w:val="21"/>
              </w:rPr>
              <w:t>单位</w:t>
            </w:r>
          </w:p>
        </w:tc>
        <w:tc>
          <w:tcPr>
            <w:tcW w:w="371" w:type="pct"/>
            <w:noWrap w:val="0"/>
            <w:tcMar>
              <w:top w:w="15" w:type="dxa"/>
              <w:left w:w="15" w:type="dxa"/>
              <w:right w:w="15" w:type="dxa"/>
            </w:tcMar>
            <w:vAlign w:val="center"/>
          </w:tcPr>
          <w:p>
            <w:pPr>
              <w:widowControl/>
              <w:jc w:val="center"/>
              <w:textAlignment w:val="center"/>
              <w:rPr>
                <w:rFonts w:ascii="Times New Roman" w:hAnsi="Times New Roman"/>
                <w:b/>
                <w:color w:val="000000"/>
                <w:szCs w:val="21"/>
              </w:rPr>
            </w:pPr>
            <w:r>
              <w:rPr>
                <w:rFonts w:ascii="Times New Roman" w:hAnsi="Times New Roman"/>
                <w:b/>
                <w:color w:val="000000"/>
                <w:kern w:val="0"/>
                <w:szCs w:val="21"/>
              </w:rPr>
              <w:t>数量</w:t>
            </w:r>
          </w:p>
        </w:tc>
        <w:tc>
          <w:tcPr>
            <w:tcW w:w="1944" w:type="pct"/>
            <w:noWrap w:val="0"/>
            <w:tcMar>
              <w:top w:w="15" w:type="dxa"/>
              <w:left w:w="15" w:type="dxa"/>
              <w:right w:w="15" w:type="dxa"/>
            </w:tcMar>
            <w:vAlign w:val="center"/>
          </w:tcPr>
          <w:p>
            <w:pPr>
              <w:widowControl/>
              <w:jc w:val="center"/>
              <w:textAlignment w:val="center"/>
              <w:rPr>
                <w:rFonts w:ascii="Times New Roman" w:hAnsi="Times New Roman"/>
                <w:b/>
                <w:color w:val="000000"/>
                <w:szCs w:val="21"/>
              </w:rPr>
            </w:pPr>
            <w:r>
              <w:rPr>
                <w:rFonts w:ascii="Times New Roman" w:hAnsi="Times New Roman"/>
                <w:b/>
                <w:color w:val="000000"/>
                <w:kern w:val="0"/>
                <w:szCs w:val="21"/>
              </w:rPr>
              <w:t>制造商名称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blHeader/>
        </w:trPr>
        <w:tc>
          <w:tcPr>
            <w:tcW w:w="5000" w:type="pct"/>
            <w:gridSpan w:val="5"/>
            <w:noWrap w:val="0"/>
            <w:tcMar>
              <w:top w:w="15" w:type="dxa"/>
              <w:left w:w="15" w:type="dxa"/>
              <w:right w:w="15" w:type="dxa"/>
            </w:tcMar>
            <w:vAlign w:val="center"/>
          </w:tcPr>
          <w:p>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地表水水质自动监测系统（含绿洁水务水质通用控制软件V1.0）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5000" w:type="pct"/>
            <w:gridSpan w:val="5"/>
            <w:noWrap w:val="0"/>
            <w:tcMar>
              <w:top w:w="15" w:type="dxa"/>
              <w:left w:w="15" w:type="dxa"/>
              <w:right w:w="15" w:type="dxa"/>
            </w:tcMar>
            <w:vAlign w:val="center"/>
          </w:tcPr>
          <w:p>
            <w:pPr>
              <w:widowControl/>
              <w:jc w:val="left"/>
              <w:textAlignment w:val="center"/>
              <w:rPr>
                <w:rFonts w:ascii="Times New Roman" w:hAnsi="Times New Roman"/>
                <w:color w:val="000000"/>
                <w:szCs w:val="21"/>
              </w:rPr>
            </w:pPr>
            <w:r>
              <w:rPr>
                <w:rFonts w:ascii="Times New Roman" w:hAnsi="Times New Roman"/>
                <w:color w:val="000000"/>
                <w:kern w:val="0"/>
                <w:szCs w:val="21"/>
              </w:rPr>
              <w:t>一、主要仪器、系统集成及站房等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420"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五参数水质自动分析仪</w:t>
            </w:r>
          </w:p>
        </w:tc>
        <w:tc>
          <w:tcPr>
            <w:tcW w:w="85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GR-6600</w:t>
            </w:r>
          </w:p>
        </w:tc>
        <w:tc>
          <w:tcPr>
            <w:tcW w:w="41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套</w:t>
            </w:r>
          </w:p>
        </w:tc>
        <w:tc>
          <w:tcPr>
            <w:tcW w:w="37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40</w:t>
            </w:r>
          </w:p>
        </w:tc>
        <w:tc>
          <w:tcPr>
            <w:tcW w:w="194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杭州绿洁环境科技股份有限公司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420"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氨氮水质自动分析仪</w:t>
            </w:r>
          </w:p>
        </w:tc>
        <w:tc>
          <w:tcPr>
            <w:tcW w:w="85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GR-3411</w:t>
            </w:r>
          </w:p>
        </w:tc>
        <w:tc>
          <w:tcPr>
            <w:tcW w:w="41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套</w:t>
            </w:r>
          </w:p>
        </w:tc>
        <w:tc>
          <w:tcPr>
            <w:tcW w:w="37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40</w:t>
            </w:r>
          </w:p>
        </w:tc>
        <w:tc>
          <w:tcPr>
            <w:tcW w:w="194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杭州绿洁环境科技股份有限公司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1420"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高锰酸盐指数水质自动分析仪</w:t>
            </w:r>
          </w:p>
        </w:tc>
        <w:tc>
          <w:tcPr>
            <w:tcW w:w="85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GR-2110</w:t>
            </w:r>
          </w:p>
        </w:tc>
        <w:tc>
          <w:tcPr>
            <w:tcW w:w="41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套</w:t>
            </w:r>
          </w:p>
        </w:tc>
        <w:tc>
          <w:tcPr>
            <w:tcW w:w="37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40</w:t>
            </w:r>
          </w:p>
        </w:tc>
        <w:tc>
          <w:tcPr>
            <w:tcW w:w="194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杭州绿洁环境科技股份有限公司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420"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总磷水质自动分析仪</w:t>
            </w:r>
          </w:p>
        </w:tc>
        <w:tc>
          <w:tcPr>
            <w:tcW w:w="85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GR-3100</w:t>
            </w:r>
          </w:p>
        </w:tc>
        <w:tc>
          <w:tcPr>
            <w:tcW w:w="41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套</w:t>
            </w:r>
          </w:p>
        </w:tc>
        <w:tc>
          <w:tcPr>
            <w:tcW w:w="37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40</w:t>
            </w:r>
          </w:p>
        </w:tc>
        <w:tc>
          <w:tcPr>
            <w:tcW w:w="194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杭州绿洁环境科技股份有限公司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rPr>
        <w:tc>
          <w:tcPr>
            <w:tcW w:w="1420"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总氮水质自动分析仪（实际数量以签订合同的数量为准）</w:t>
            </w:r>
          </w:p>
        </w:tc>
        <w:tc>
          <w:tcPr>
            <w:tcW w:w="85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GR-2140</w:t>
            </w:r>
          </w:p>
        </w:tc>
        <w:tc>
          <w:tcPr>
            <w:tcW w:w="41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套</w:t>
            </w:r>
          </w:p>
        </w:tc>
        <w:tc>
          <w:tcPr>
            <w:tcW w:w="37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10</w:t>
            </w:r>
          </w:p>
        </w:tc>
        <w:tc>
          <w:tcPr>
            <w:tcW w:w="194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杭州绿洁环境科技股份有限公司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1420"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在线藻类分析仪</w:t>
            </w:r>
          </w:p>
        </w:tc>
        <w:tc>
          <w:tcPr>
            <w:tcW w:w="85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Alage Online Analyser</w:t>
            </w:r>
          </w:p>
        </w:tc>
        <w:tc>
          <w:tcPr>
            <w:tcW w:w="41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套</w:t>
            </w:r>
          </w:p>
        </w:tc>
        <w:tc>
          <w:tcPr>
            <w:tcW w:w="37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1</w:t>
            </w:r>
          </w:p>
        </w:tc>
        <w:tc>
          <w:tcPr>
            <w:tcW w:w="194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bbe Moldaenke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trPr>
        <w:tc>
          <w:tcPr>
            <w:tcW w:w="1420"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生物毒性分析仪</w:t>
            </w:r>
          </w:p>
        </w:tc>
        <w:tc>
          <w:tcPr>
            <w:tcW w:w="85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tox sniffer系列</w:t>
            </w:r>
            <w:r>
              <w:rPr>
                <w:rStyle w:val="380"/>
              </w:rPr>
              <w:t>GR-8800</w:t>
            </w:r>
          </w:p>
        </w:tc>
        <w:tc>
          <w:tcPr>
            <w:tcW w:w="41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套</w:t>
            </w:r>
          </w:p>
        </w:tc>
        <w:tc>
          <w:tcPr>
            <w:tcW w:w="37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1</w:t>
            </w:r>
          </w:p>
        </w:tc>
        <w:tc>
          <w:tcPr>
            <w:tcW w:w="194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杭州绿洁环境科技股份有限公司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420"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系统集成（含站控平台）</w:t>
            </w:r>
          </w:p>
        </w:tc>
        <w:tc>
          <w:tcPr>
            <w:tcW w:w="85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定制</w:t>
            </w:r>
          </w:p>
        </w:tc>
        <w:tc>
          <w:tcPr>
            <w:tcW w:w="41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套</w:t>
            </w:r>
          </w:p>
        </w:tc>
        <w:tc>
          <w:tcPr>
            <w:tcW w:w="37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40</w:t>
            </w:r>
          </w:p>
        </w:tc>
        <w:tc>
          <w:tcPr>
            <w:tcW w:w="194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杭州绿洁环境科技股份有限公司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420"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水质监测站房</w:t>
            </w:r>
          </w:p>
        </w:tc>
        <w:tc>
          <w:tcPr>
            <w:tcW w:w="85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定制</w:t>
            </w:r>
          </w:p>
        </w:tc>
        <w:tc>
          <w:tcPr>
            <w:tcW w:w="41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套</w:t>
            </w:r>
          </w:p>
        </w:tc>
        <w:tc>
          <w:tcPr>
            <w:tcW w:w="37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40</w:t>
            </w:r>
          </w:p>
        </w:tc>
        <w:tc>
          <w:tcPr>
            <w:tcW w:w="194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杭州绿洁环境科技股份有限公司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5000" w:type="pct"/>
            <w:gridSpan w:val="5"/>
            <w:noWrap w:val="0"/>
            <w:tcMar>
              <w:top w:w="15" w:type="dxa"/>
              <w:left w:w="15" w:type="dxa"/>
              <w:right w:w="15" w:type="dxa"/>
            </w:tcMar>
            <w:vAlign w:val="center"/>
          </w:tcPr>
          <w:p>
            <w:pPr>
              <w:widowControl/>
              <w:jc w:val="left"/>
              <w:textAlignment w:val="center"/>
              <w:rPr>
                <w:rFonts w:ascii="Times New Roman" w:hAnsi="Times New Roman"/>
                <w:color w:val="000000"/>
                <w:szCs w:val="21"/>
              </w:rPr>
            </w:pPr>
            <w:r>
              <w:rPr>
                <w:rFonts w:ascii="Times New Roman" w:hAnsi="Times New Roman"/>
                <w:color w:val="000000"/>
                <w:kern w:val="0"/>
                <w:szCs w:val="21"/>
              </w:rPr>
              <w:t>二、配套平台及软件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1420"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平台及软件</w:t>
            </w:r>
          </w:p>
        </w:tc>
        <w:tc>
          <w:tcPr>
            <w:tcW w:w="85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定制</w:t>
            </w:r>
          </w:p>
        </w:tc>
        <w:tc>
          <w:tcPr>
            <w:tcW w:w="41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套</w:t>
            </w:r>
          </w:p>
        </w:tc>
        <w:tc>
          <w:tcPr>
            <w:tcW w:w="37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1</w:t>
            </w:r>
          </w:p>
        </w:tc>
        <w:tc>
          <w:tcPr>
            <w:tcW w:w="194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杭州绿洁环境科技股份有限公司</w:t>
            </w:r>
          </w:p>
        </w:tc>
      </w:tr>
    </w:tbl>
    <w:p>
      <w:pPr>
        <w:spacing w:line="360" w:lineRule="auto"/>
        <w:ind w:firstLine="420" w:firstLineChars="200"/>
        <w:rPr>
          <w:rFonts w:hint="eastAsia" w:ascii="宋体" w:hAnsi="宋体"/>
          <w:bCs/>
          <w:szCs w:val="21"/>
        </w:rPr>
      </w:pPr>
    </w:p>
    <w:p>
      <w:pPr>
        <w:spacing w:line="360" w:lineRule="auto"/>
        <w:rPr>
          <w:rFonts w:hint="default" w:ascii="宋体" w:hAnsi="宋体" w:eastAsia="宋体"/>
          <w:b/>
          <w:bCs w:val="0"/>
          <w:szCs w:val="21"/>
          <w:lang w:val="en-US" w:eastAsia="zh-CN"/>
        </w:rPr>
      </w:pPr>
      <w:r>
        <w:rPr>
          <w:rFonts w:hint="eastAsia" w:ascii="宋体" w:hAnsi="宋体"/>
          <w:b/>
          <w:bCs w:val="0"/>
          <w:szCs w:val="21"/>
          <w:lang w:val="en-US" w:eastAsia="zh-CN"/>
        </w:rPr>
        <w:t>标项2：余姚市、慈溪市、江北区、海曙区、杭州湾新区地表水水质自动监测数据服务采购项目</w:t>
      </w:r>
    </w:p>
    <w:tbl>
      <w:tblPr>
        <w:tblStyle w:val="44"/>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2068"/>
        <w:gridCol w:w="1814"/>
        <w:gridCol w:w="601"/>
        <w:gridCol w:w="601"/>
        <w:gridCol w:w="3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3" w:hRule="atLeast"/>
          <w:jc w:val="center"/>
        </w:trPr>
        <w:tc>
          <w:tcPr>
            <w:tcW w:w="2068" w:type="dxa"/>
            <w:shd w:val="clear" w:color="auto" w:fill="auto"/>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品名</w:t>
            </w:r>
          </w:p>
        </w:tc>
        <w:tc>
          <w:tcPr>
            <w:tcW w:w="1814" w:type="dxa"/>
            <w:shd w:val="clear" w:color="auto" w:fill="auto"/>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规格</w:t>
            </w:r>
            <w:r>
              <w:rPr>
                <w:rFonts w:ascii="Times New Roman" w:hAnsi="Times New Roman"/>
                <w:color w:val="000000"/>
                <w:kern w:val="0"/>
                <w:szCs w:val="21"/>
              </w:rPr>
              <w:t>\</w:t>
            </w:r>
            <w:r>
              <w:rPr>
                <w:rFonts w:hint="eastAsia" w:ascii="Times New Roman" w:hAnsi="Times New Roman"/>
                <w:color w:val="000000"/>
                <w:kern w:val="0"/>
                <w:szCs w:val="21"/>
              </w:rPr>
              <w:t>型号</w:t>
            </w:r>
          </w:p>
        </w:tc>
        <w:tc>
          <w:tcPr>
            <w:tcW w:w="601" w:type="dxa"/>
            <w:shd w:val="clear" w:color="auto" w:fill="auto"/>
            <w:vAlign w:val="center"/>
          </w:tcPr>
          <w:p>
            <w:pPr>
              <w:widowControl/>
              <w:jc w:val="center"/>
              <w:textAlignment w:val="center"/>
              <w:rPr>
                <w:rFonts w:hint="eastAsia" w:ascii="Times New Roman" w:hAnsi="Times New Roman" w:eastAsia="宋体"/>
                <w:color w:val="000000"/>
                <w:kern w:val="0"/>
                <w:szCs w:val="21"/>
                <w:lang w:val="en-US" w:eastAsia="zh-CN"/>
              </w:rPr>
            </w:pPr>
            <w:r>
              <w:rPr>
                <w:rFonts w:hint="eastAsia"/>
                <w:color w:val="000000"/>
                <w:kern w:val="0"/>
                <w:szCs w:val="21"/>
                <w:lang w:val="en-US" w:eastAsia="zh-CN"/>
              </w:rPr>
              <w:t>单位</w:t>
            </w:r>
          </w:p>
        </w:tc>
        <w:tc>
          <w:tcPr>
            <w:tcW w:w="601" w:type="dxa"/>
            <w:shd w:val="clear" w:color="auto" w:fill="auto"/>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rPr>
              <w:t>数量</w:t>
            </w:r>
          </w:p>
        </w:tc>
        <w:tc>
          <w:tcPr>
            <w:tcW w:w="3633" w:type="dxa"/>
            <w:shd w:val="clear" w:color="auto" w:fill="auto"/>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40" w:hRule="atLeast"/>
          <w:jc w:val="center"/>
        </w:trPr>
        <w:tc>
          <w:tcPr>
            <w:tcW w:w="2068"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五参数分析仪</w:t>
            </w:r>
          </w:p>
        </w:tc>
        <w:tc>
          <w:tcPr>
            <w:tcW w:w="1814"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理工环科</w:t>
            </w:r>
            <w:r>
              <w:rPr>
                <w:rFonts w:ascii="Times New Roman" w:hAnsi="Times New Roman"/>
                <w:color w:val="000000"/>
                <w:kern w:val="0"/>
                <w:szCs w:val="21"/>
              </w:rPr>
              <w:t>WQMS2000-MS5</w:t>
            </w:r>
          </w:p>
        </w:tc>
        <w:tc>
          <w:tcPr>
            <w:tcW w:w="601" w:type="dxa"/>
            <w:vAlign w:val="center"/>
          </w:tcPr>
          <w:p>
            <w:pPr>
              <w:widowControl/>
              <w:jc w:val="center"/>
              <w:textAlignment w:val="center"/>
              <w:rPr>
                <w:rFonts w:hint="eastAsia" w:ascii="Times New Roman" w:hAnsi="Times New Roman" w:eastAsia="宋体"/>
                <w:color w:val="000000"/>
                <w:kern w:val="0"/>
                <w:szCs w:val="21"/>
                <w:lang w:val="en-US" w:eastAsia="zh-CN"/>
              </w:rPr>
            </w:pPr>
            <w:r>
              <w:rPr>
                <w:rFonts w:hint="eastAsia"/>
                <w:color w:val="000000"/>
                <w:kern w:val="0"/>
                <w:szCs w:val="21"/>
                <w:lang w:val="en-US" w:eastAsia="zh-CN"/>
              </w:rPr>
              <w:t>套</w:t>
            </w:r>
          </w:p>
        </w:tc>
        <w:tc>
          <w:tcPr>
            <w:tcW w:w="601"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ascii="Times New Roman" w:hAnsi="Times New Roman"/>
                <w:color w:val="000000"/>
                <w:kern w:val="0"/>
                <w:szCs w:val="21"/>
              </w:rPr>
              <w:t>41</w:t>
            </w:r>
          </w:p>
        </w:tc>
        <w:tc>
          <w:tcPr>
            <w:tcW w:w="3633"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rPr>
              <w:t>宁波理工环境能源科技股份有限公司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40" w:hRule="atLeast"/>
          <w:jc w:val="center"/>
        </w:trPr>
        <w:tc>
          <w:tcPr>
            <w:tcW w:w="2068"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氨氮分析仪</w:t>
            </w:r>
          </w:p>
        </w:tc>
        <w:tc>
          <w:tcPr>
            <w:tcW w:w="1814"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理工环科</w:t>
            </w:r>
            <w:r>
              <w:rPr>
                <w:rFonts w:ascii="Times New Roman" w:hAnsi="Times New Roman"/>
                <w:color w:val="000000"/>
                <w:kern w:val="0"/>
                <w:szCs w:val="21"/>
              </w:rPr>
              <w:t>WQMS2000-NHN</w:t>
            </w:r>
          </w:p>
        </w:tc>
        <w:tc>
          <w:tcPr>
            <w:tcW w:w="601" w:type="dxa"/>
            <w:vAlign w:val="center"/>
          </w:tcPr>
          <w:p>
            <w:pPr>
              <w:widowControl/>
              <w:jc w:val="center"/>
              <w:textAlignment w:val="center"/>
              <w:rPr>
                <w:rFonts w:ascii="Times New Roman" w:hAnsi="Times New Roman"/>
                <w:color w:val="000000"/>
                <w:kern w:val="0"/>
                <w:szCs w:val="21"/>
              </w:rPr>
            </w:pPr>
            <w:r>
              <w:rPr>
                <w:rFonts w:hint="eastAsia"/>
                <w:color w:val="000000"/>
                <w:kern w:val="0"/>
                <w:szCs w:val="21"/>
                <w:lang w:val="en-US" w:eastAsia="zh-CN"/>
              </w:rPr>
              <w:t>套</w:t>
            </w:r>
          </w:p>
        </w:tc>
        <w:tc>
          <w:tcPr>
            <w:tcW w:w="601"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ascii="Times New Roman" w:hAnsi="Times New Roman"/>
                <w:color w:val="000000"/>
                <w:kern w:val="0"/>
                <w:szCs w:val="21"/>
              </w:rPr>
              <w:t>41</w:t>
            </w:r>
          </w:p>
        </w:tc>
        <w:tc>
          <w:tcPr>
            <w:tcW w:w="3633"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rPr>
              <w:t>宁波理工环境能源科技股份有限公司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40" w:hRule="atLeast"/>
          <w:jc w:val="center"/>
        </w:trPr>
        <w:tc>
          <w:tcPr>
            <w:tcW w:w="2068"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高锰酸盐指数分析仪</w:t>
            </w:r>
          </w:p>
        </w:tc>
        <w:tc>
          <w:tcPr>
            <w:tcW w:w="1814"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理工环科</w:t>
            </w:r>
            <w:r>
              <w:rPr>
                <w:rFonts w:ascii="Times New Roman" w:hAnsi="Times New Roman"/>
                <w:color w:val="000000"/>
                <w:kern w:val="0"/>
                <w:szCs w:val="21"/>
              </w:rPr>
              <w:t>WQMS2000-CODmn</w:t>
            </w:r>
          </w:p>
        </w:tc>
        <w:tc>
          <w:tcPr>
            <w:tcW w:w="601" w:type="dxa"/>
            <w:vAlign w:val="center"/>
          </w:tcPr>
          <w:p>
            <w:pPr>
              <w:widowControl/>
              <w:jc w:val="center"/>
              <w:textAlignment w:val="center"/>
              <w:rPr>
                <w:rFonts w:ascii="Times New Roman" w:hAnsi="Times New Roman"/>
                <w:color w:val="000000"/>
                <w:kern w:val="0"/>
                <w:szCs w:val="21"/>
              </w:rPr>
            </w:pPr>
            <w:r>
              <w:rPr>
                <w:rFonts w:hint="eastAsia"/>
                <w:color w:val="000000"/>
                <w:kern w:val="0"/>
                <w:szCs w:val="21"/>
                <w:lang w:val="en-US" w:eastAsia="zh-CN"/>
              </w:rPr>
              <w:t>套</w:t>
            </w:r>
          </w:p>
        </w:tc>
        <w:tc>
          <w:tcPr>
            <w:tcW w:w="601"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ascii="Times New Roman" w:hAnsi="Times New Roman"/>
                <w:color w:val="000000"/>
                <w:kern w:val="0"/>
                <w:szCs w:val="21"/>
              </w:rPr>
              <w:t>41</w:t>
            </w:r>
          </w:p>
        </w:tc>
        <w:tc>
          <w:tcPr>
            <w:tcW w:w="3633"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rPr>
              <w:t>宁波理工环境能源科技股份有限公司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40" w:hRule="atLeast"/>
          <w:jc w:val="center"/>
        </w:trPr>
        <w:tc>
          <w:tcPr>
            <w:tcW w:w="2068"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总磷分析仪</w:t>
            </w:r>
          </w:p>
        </w:tc>
        <w:tc>
          <w:tcPr>
            <w:tcW w:w="1814"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理工环科</w:t>
            </w:r>
            <w:r>
              <w:rPr>
                <w:rFonts w:ascii="Times New Roman" w:hAnsi="Times New Roman"/>
                <w:color w:val="000000"/>
                <w:kern w:val="0"/>
                <w:szCs w:val="21"/>
              </w:rPr>
              <w:t>WQMS2000-TP</w:t>
            </w:r>
          </w:p>
        </w:tc>
        <w:tc>
          <w:tcPr>
            <w:tcW w:w="601" w:type="dxa"/>
            <w:vAlign w:val="center"/>
          </w:tcPr>
          <w:p>
            <w:pPr>
              <w:widowControl/>
              <w:jc w:val="center"/>
              <w:textAlignment w:val="center"/>
              <w:rPr>
                <w:rFonts w:ascii="Times New Roman" w:hAnsi="Times New Roman"/>
                <w:color w:val="000000"/>
                <w:kern w:val="0"/>
                <w:szCs w:val="21"/>
              </w:rPr>
            </w:pPr>
            <w:r>
              <w:rPr>
                <w:rFonts w:hint="eastAsia"/>
                <w:color w:val="000000"/>
                <w:kern w:val="0"/>
                <w:szCs w:val="21"/>
                <w:lang w:val="en-US" w:eastAsia="zh-CN"/>
              </w:rPr>
              <w:t>套</w:t>
            </w:r>
          </w:p>
        </w:tc>
        <w:tc>
          <w:tcPr>
            <w:tcW w:w="601"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ascii="Times New Roman" w:hAnsi="Times New Roman"/>
                <w:color w:val="000000"/>
                <w:kern w:val="0"/>
                <w:szCs w:val="21"/>
              </w:rPr>
              <w:t>41</w:t>
            </w:r>
          </w:p>
        </w:tc>
        <w:tc>
          <w:tcPr>
            <w:tcW w:w="3633"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rPr>
              <w:t>宁波理工环境能源科技股份有限公司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40" w:hRule="atLeast"/>
          <w:jc w:val="center"/>
        </w:trPr>
        <w:tc>
          <w:tcPr>
            <w:tcW w:w="2068"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总氮分析仪</w:t>
            </w:r>
          </w:p>
        </w:tc>
        <w:tc>
          <w:tcPr>
            <w:tcW w:w="1814"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理工环科</w:t>
            </w:r>
            <w:r>
              <w:rPr>
                <w:rFonts w:ascii="Times New Roman" w:hAnsi="Times New Roman"/>
                <w:color w:val="000000"/>
                <w:kern w:val="0"/>
                <w:szCs w:val="21"/>
              </w:rPr>
              <w:t>WQMS2000-TN</w:t>
            </w:r>
          </w:p>
        </w:tc>
        <w:tc>
          <w:tcPr>
            <w:tcW w:w="601" w:type="dxa"/>
            <w:vAlign w:val="center"/>
          </w:tcPr>
          <w:p>
            <w:pPr>
              <w:widowControl/>
              <w:jc w:val="center"/>
              <w:textAlignment w:val="center"/>
              <w:rPr>
                <w:rFonts w:ascii="Times New Roman" w:hAnsi="Times New Roman"/>
                <w:color w:val="000000"/>
                <w:kern w:val="0"/>
                <w:szCs w:val="21"/>
              </w:rPr>
            </w:pPr>
            <w:r>
              <w:rPr>
                <w:rFonts w:hint="eastAsia"/>
                <w:color w:val="000000"/>
                <w:kern w:val="0"/>
                <w:szCs w:val="21"/>
                <w:lang w:val="en-US" w:eastAsia="zh-CN"/>
              </w:rPr>
              <w:t>套</w:t>
            </w:r>
          </w:p>
        </w:tc>
        <w:tc>
          <w:tcPr>
            <w:tcW w:w="601"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ascii="Times New Roman" w:hAnsi="Times New Roman"/>
                <w:color w:val="000000"/>
                <w:kern w:val="0"/>
                <w:szCs w:val="21"/>
              </w:rPr>
              <w:t>2</w:t>
            </w:r>
          </w:p>
        </w:tc>
        <w:tc>
          <w:tcPr>
            <w:tcW w:w="3633"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rPr>
              <w:t>宁波理工环境能源科技股份有限公司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0" w:hRule="atLeast"/>
          <w:jc w:val="center"/>
        </w:trPr>
        <w:tc>
          <w:tcPr>
            <w:tcW w:w="2068"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在线藻类分析仪</w:t>
            </w:r>
          </w:p>
        </w:tc>
        <w:tc>
          <w:tcPr>
            <w:tcW w:w="1814" w:type="dxa"/>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AOA</w:t>
            </w:r>
          </w:p>
        </w:tc>
        <w:tc>
          <w:tcPr>
            <w:tcW w:w="601" w:type="dxa"/>
            <w:vAlign w:val="center"/>
          </w:tcPr>
          <w:p>
            <w:pPr>
              <w:widowControl/>
              <w:jc w:val="center"/>
              <w:textAlignment w:val="center"/>
              <w:rPr>
                <w:rFonts w:ascii="Times New Roman" w:hAnsi="Times New Roman"/>
                <w:color w:val="000000"/>
                <w:kern w:val="0"/>
                <w:szCs w:val="21"/>
              </w:rPr>
            </w:pPr>
            <w:r>
              <w:rPr>
                <w:rFonts w:hint="eastAsia"/>
                <w:color w:val="000000"/>
                <w:kern w:val="0"/>
                <w:szCs w:val="21"/>
                <w:lang w:val="en-US" w:eastAsia="zh-CN"/>
              </w:rPr>
              <w:t>套</w:t>
            </w:r>
          </w:p>
        </w:tc>
        <w:tc>
          <w:tcPr>
            <w:tcW w:w="601"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color w:val="000000"/>
                <w:kern w:val="0"/>
                <w:szCs w:val="21"/>
              </w:rPr>
              <w:t>1</w:t>
            </w:r>
          </w:p>
        </w:tc>
        <w:tc>
          <w:tcPr>
            <w:tcW w:w="3633"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ascii="Times New Roman" w:hAnsi="Times New Roman"/>
                <w:color w:val="000000"/>
                <w:kern w:val="0"/>
                <w:szCs w:val="21"/>
              </w:rPr>
              <w:t>bbe Moldaenke GmbH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40" w:hRule="atLeast"/>
          <w:jc w:val="center"/>
        </w:trPr>
        <w:tc>
          <w:tcPr>
            <w:tcW w:w="2068"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生物毒性分析仪</w:t>
            </w:r>
          </w:p>
        </w:tc>
        <w:tc>
          <w:tcPr>
            <w:tcW w:w="1814" w:type="dxa"/>
            <w:vAlign w:val="center"/>
          </w:tcPr>
          <w:p>
            <w:pPr>
              <w:widowControl/>
              <w:jc w:val="center"/>
              <w:textAlignment w:val="center"/>
              <w:rPr>
                <w:rFonts w:ascii="Times New Roman" w:hAnsi="Times New Roman"/>
                <w:color w:val="000000"/>
                <w:kern w:val="0"/>
                <w:szCs w:val="21"/>
              </w:rPr>
            </w:pPr>
            <w:r>
              <w:rPr>
                <w:rFonts w:ascii="Times New Roman" w:hAnsi="Times New Roman"/>
                <w:color w:val="000000"/>
                <w:kern w:val="0"/>
                <w:szCs w:val="21"/>
              </w:rPr>
              <w:t>TOX Sniffer</w:t>
            </w:r>
            <w:r>
              <w:rPr>
                <w:rFonts w:hint="eastAsia" w:ascii="Times New Roman" w:hAnsi="Times New Roman"/>
                <w:color w:val="000000"/>
                <w:kern w:val="0"/>
                <w:szCs w:val="21"/>
              </w:rPr>
              <w:t>系列</w:t>
            </w:r>
            <w:r>
              <w:rPr>
                <w:rFonts w:ascii="Times New Roman" w:hAnsi="Times New Roman"/>
                <w:color w:val="000000"/>
                <w:kern w:val="0"/>
                <w:szCs w:val="21"/>
              </w:rPr>
              <w:t>GR-8800</w:t>
            </w:r>
          </w:p>
        </w:tc>
        <w:tc>
          <w:tcPr>
            <w:tcW w:w="601" w:type="dxa"/>
            <w:vAlign w:val="center"/>
          </w:tcPr>
          <w:p>
            <w:pPr>
              <w:widowControl/>
              <w:jc w:val="center"/>
              <w:textAlignment w:val="center"/>
              <w:rPr>
                <w:rFonts w:ascii="Times New Roman" w:hAnsi="Times New Roman"/>
                <w:color w:val="000000"/>
                <w:kern w:val="0"/>
                <w:szCs w:val="21"/>
              </w:rPr>
            </w:pPr>
            <w:r>
              <w:rPr>
                <w:rFonts w:hint="eastAsia"/>
                <w:color w:val="000000"/>
                <w:kern w:val="0"/>
                <w:szCs w:val="21"/>
                <w:lang w:val="en-US" w:eastAsia="zh-CN"/>
              </w:rPr>
              <w:t>套</w:t>
            </w:r>
          </w:p>
        </w:tc>
        <w:tc>
          <w:tcPr>
            <w:tcW w:w="601"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ascii="Times New Roman" w:hAnsi="Times New Roman"/>
                <w:color w:val="000000"/>
                <w:kern w:val="0"/>
                <w:szCs w:val="21"/>
              </w:rPr>
              <w:t>1</w:t>
            </w:r>
          </w:p>
        </w:tc>
        <w:tc>
          <w:tcPr>
            <w:tcW w:w="3633"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rPr>
              <w:t>杭州绿洁环境科技股份有限公司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92" w:hRule="atLeast"/>
          <w:jc w:val="center"/>
        </w:trPr>
        <w:tc>
          <w:tcPr>
            <w:tcW w:w="2068"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水质自动监测站站房</w:t>
            </w:r>
          </w:p>
        </w:tc>
        <w:tc>
          <w:tcPr>
            <w:tcW w:w="1814"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理工环科（定制）</w:t>
            </w:r>
          </w:p>
        </w:tc>
        <w:tc>
          <w:tcPr>
            <w:tcW w:w="601" w:type="dxa"/>
            <w:vAlign w:val="center"/>
          </w:tcPr>
          <w:p>
            <w:pPr>
              <w:widowControl/>
              <w:jc w:val="center"/>
              <w:textAlignment w:val="center"/>
              <w:rPr>
                <w:rFonts w:ascii="Times New Roman" w:hAnsi="Times New Roman"/>
                <w:color w:val="000000"/>
                <w:kern w:val="0"/>
                <w:szCs w:val="21"/>
              </w:rPr>
            </w:pPr>
            <w:r>
              <w:rPr>
                <w:rFonts w:hint="eastAsia"/>
                <w:color w:val="000000"/>
                <w:kern w:val="0"/>
                <w:szCs w:val="21"/>
                <w:lang w:val="en-US" w:eastAsia="zh-CN"/>
              </w:rPr>
              <w:t>套</w:t>
            </w:r>
          </w:p>
        </w:tc>
        <w:tc>
          <w:tcPr>
            <w:tcW w:w="601"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ascii="Times New Roman" w:hAnsi="Times New Roman"/>
                <w:color w:val="000000"/>
                <w:kern w:val="0"/>
                <w:szCs w:val="21"/>
              </w:rPr>
              <w:t>41</w:t>
            </w:r>
          </w:p>
        </w:tc>
        <w:tc>
          <w:tcPr>
            <w:tcW w:w="3633"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rPr>
              <w:t>宁波理工环境能源科技股份有限公司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92" w:hRule="atLeast"/>
          <w:jc w:val="center"/>
        </w:trPr>
        <w:tc>
          <w:tcPr>
            <w:tcW w:w="2068"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采水单元</w:t>
            </w:r>
          </w:p>
        </w:tc>
        <w:tc>
          <w:tcPr>
            <w:tcW w:w="1814"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理工环科（定制）</w:t>
            </w:r>
          </w:p>
        </w:tc>
        <w:tc>
          <w:tcPr>
            <w:tcW w:w="601" w:type="dxa"/>
            <w:vAlign w:val="center"/>
          </w:tcPr>
          <w:p>
            <w:pPr>
              <w:widowControl/>
              <w:jc w:val="center"/>
              <w:textAlignment w:val="center"/>
              <w:rPr>
                <w:rFonts w:ascii="Times New Roman" w:hAnsi="Times New Roman"/>
                <w:color w:val="000000"/>
                <w:kern w:val="0"/>
                <w:szCs w:val="21"/>
              </w:rPr>
            </w:pPr>
            <w:r>
              <w:rPr>
                <w:rFonts w:hint="eastAsia"/>
                <w:color w:val="000000"/>
                <w:kern w:val="0"/>
                <w:szCs w:val="21"/>
                <w:lang w:val="en-US" w:eastAsia="zh-CN"/>
              </w:rPr>
              <w:t>套</w:t>
            </w:r>
          </w:p>
        </w:tc>
        <w:tc>
          <w:tcPr>
            <w:tcW w:w="601"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ascii="Times New Roman" w:hAnsi="Times New Roman"/>
                <w:color w:val="000000"/>
                <w:kern w:val="0"/>
                <w:szCs w:val="21"/>
              </w:rPr>
              <w:t>41</w:t>
            </w:r>
          </w:p>
        </w:tc>
        <w:tc>
          <w:tcPr>
            <w:tcW w:w="3633"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rPr>
              <w:t>宁波理工环境能源科技股份有限公司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92" w:hRule="atLeast"/>
          <w:jc w:val="center"/>
        </w:trPr>
        <w:tc>
          <w:tcPr>
            <w:tcW w:w="2068"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配水与预处理单元</w:t>
            </w:r>
          </w:p>
        </w:tc>
        <w:tc>
          <w:tcPr>
            <w:tcW w:w="1814"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理工环科（定制）</w:t>
            </w:r>
          </w:p>
        </w:tc>
        <w:tc>
          <w:tcPr>
            <w:tcW w:w="601" w:type="dxa"/>
            <w:vAlign w:val="center"/>
          </w:tcPr>
          <w:p>
            <w:pPr>
              <w:widowControl/>
              <w:jc w:val="center"/>
              <w:textAlignment w:val="center"/>
              <w:rPr>
                <w:rFonts w:ascii="Times New Roman" w:hAnsi="Times New Roman"/>
                <w:color w:val="000000"/>
                <w:kern w:val="0"/>
                <w:szCs w:val="21"/>
              </w:rPr>
            </w:pPr>
            <w:r>
              <w:rPr>
                <w:rFonts w:hint="eastAsia"/>
                <w:color w:val="000000"/>
                <w:kern w:val="0"/>
                <w:szCs w:val="21"/>
                <w:lang w:val="en-US" w:eastAsia="zh-CN"/>
              </w:rPr>
              <w:t>套</w:t>
            </w:r>
          </w:p>
        </w:tc>
        <w:tc>
          <w:tcPr>
            <w:tcW w:w="601"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ascii="Times New Roman" w:hAnsi="Times New Roman"/>
                <w:color w:val="000000"/>
                <w:kern w:val="0"/>
                <w:szCs w:val="21"/>
              </w:rPr>
              <w:t>41</w:t>
            </w:r>
          </w:p>
        </w:tc>
        <w:tc>
          <w:tcPr>
            <w:tcW w:w="3633"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rPr>
              <w:t>宁波理工环境能源科技股份有限公司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40" w:hRule="atLeast"/>
          <w:jc w:val="center"/>
        </w:trPr>
        <w:tc>
          <w:tcPr>
            <w:tcW w:w="2068"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站控平台（控制单元及数据采集传输单元）</w:t>
            </w:r>
          </w:p>
        </w:tc>
        <w:tc>
          <w:tcPr>
            <w:tcW w:w="1814"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理工环科（定制）</w:t>
            </w:r>
          </w:p>
        </w:tc>
        <w:tc>
          <w:tcPr>
            <w:tcW w:w="601" w:type="dxa"/>
            <w:vAlign w:val="center"/>
          </w:tcPr>
          <w:p>
            <w:pPr>
              <w:widowControl/>
              <w:jc w:val="center"/>
              <w:textAlignment w:val="center"/>
              <w:rPr>
                <w:rFonts w:ascii="Times New Roman" w:hAnsi="Times New Roman"/>
                <w:color w:val="000000"/>
                <w:kern w:val="0"/>
                <w:szCs w:val="21"/>
              </w:rPr>
            </w:pPr>
            <w:r>
              <w:rPr>
                <w:rFonts w:hint="eastAsia"/>
                <w:color w:val="000000"/>
                <w:kern w:val="0"/>
                <w:szCs w:val="21"/>
                <w:lang w:val="en-US" w:eastAsia="zh-CN"/>
              </w:rPr>
              <w:t>套</w:t>
            </w:r>
          </w:p>
        </w:tc>
        <w:tc>
          <w:tcPr>
            <w:tcW w:w="601"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ascii="Times New Roman" w:hAnsi="Times New Roman"/>
                <w:color w:val="000000"/>
                <w:kern w:val="0"/>
                <w:szCs w:val="21"/>
              </w:rPr>
              <w:t>41</w:t>
            </w:r>
          </w:p>
        </w:tc>
        <w:tc>
          <w:tcPr>
            <w:tcW w:w="3633"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rPr>
              <w:t>宁波理工环境能源科技股份有限公司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92" w:hRule="atLeast"/>
          <w:jc w:val="center"/>
        </w:trPr>
        <w:tc>
          <w:tcPr>
            <w:tcW w:w="2068"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辅助单元</w:t>
            </w:r>
          </w:p>
        </w:tc>
        <w:tc>
          <w:tcPr>
            <w:tcW w:w="1814"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理工环科（定制）</w:t>
            </w:r>
          </w:p>
        </w:tc>
        <w:tc>
          <w:tcPr>
            <w:tcW w:w="601" w:type="dxa"/>
            <w:vAlign w:val="center"/>
          </w:tcPr>
          <w:p>
            <w:pPr>
              <w:widowControl/>
              <w:jc w:val="center"/>
              <w:textAlignment w:val="center"/>
              <w:rPr>
                <w:rFonts w:ascii="Times New Roman" w:hAnsi="Times New Roman"/>
                <w:color w:val="000000"/>
                <w:kern w:val="0"/>
                <w:szCs w:val="21"/>
              </w:rPr>
            </w:pPr>
            <w:r>
              <w:rPr>
                <w:rFonts w:hint="eastAsia"/>
                <w:color w:val="000000"/>
                <w:kern w:val="0"/>
                <w:szCs w:val="21"/>
                <w:lang w:val="en-US" w:eastAsia="zh-CN"/>
              </w:rPr>
              <w:t>套</w:t>
            </w:r>
          </w:p>
        </w:tc>
        <w:tc>
          <w:tcPr>
            <w:tcW w:w="601"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ascii="Times New Roman" w:hAnsi="Times New Roman"/>
                <w:color w:val="000000"/>
                <w:kern w:val="0"/>
                <w:szCs w:val="21"/>
              </w:rPr>
              <w:t>41</w:t>
            </w:r>
          </w:p>
        </w:tc>
        <w:tc>
          <w:tcPr>
            <w:tcW w:w="3633"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rPr>
              <w:t>宁波理工环境能源科技股份有限公司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92" w:hRule="atLeast"/>
          <w:jc w:val="center"/>
        </w:trPr>
        <w:tc>
          <w:tcPr>
            <w:tcW w:w="2068"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外采水装置</w:t>
            </w:r>
          </w:p>
        </w:tc>
        <w:tc>
          <w:tcPr>
            <w:tcW w:w="1814"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理工环科（定制）</w:t>
            </w:r>
          </w:p>
        </w:tc>
        <w:tc>
          <w:tcPr>
            <w:tcW w:w="601" w:type="dxa"/>
            <w:vAlign w:val="center"/>
          </w:tcPr>
          <w:p>
            <w:pPr>
              <w:widowControl/>
              <w:jc w:val="center"/>
              <w:textAlignment w:val="center"/>
              <w:rPr>
                <w:rFonts w:ascii="Times New Roman" w:hAnsi="Times New Roman"/>
                <w:color w:val="000000"/>
                <w:kern w:val="0"/>
                <w:szCs w:val="21"/>
              </w:rPr>
            </w:pPr>
            <w:r>
              <w:rPr>
                <w:rFonts w:hint="eastAsia"/>
                <w:color w:val="000000"/>
                <w:kern w:val="0"/>
                <w:szCs w:val="21"/>
                <w:lang w:val="en-US" w:eastAsia="zh-CN"/>
              </w:rPr>
              <w:t>套</w:t>
            </w:r>
          </w:p>
        </w:tc>
        <w:tc>
          <w:tcPr>
            <w:tcW w:w="601"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ascii="Times New Roman" w:hAnsi="Times New Roman"/>
                <w:color w:val="000000"/>
                <w:kern w:val="0"/>
                <w:szCs w:val="21"/>
              </w:rPr>
              <w:t>41</w:t>
            </w:r>
          </w:p>
        </w:tc>
        <w:tc>
          <w:tcPr>
            <w:tcW w:w="3633"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rPr>
              <w:t>宁波理工环境能源科技股份有限公司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76" w:hRule="atLeast"/>
          <w:jc w:val="center"/>
        </w:trPr>
        <w:tc>
          <w:tcPr>
            <w:tcW w:w="2068"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水质监测平台</w:t>
            </w:r>
          </w:p>
        </w:tc>
        <w:tc>
          <w:tcPr>
            <w:tcW w:w="1814" w:type="dxa"/>
            <w:vAlign w:val="center"/>
          </w:tcPr>
          <w:p>
            <w:pPr>
              <w:widowControl/>
              <w:jc w:val="center"/>
              <w:textAlignment w:val="center"/>
              <w:rPr>
                <w:rFonts w:ascii="Times New Roman" w:hAnsi="Times New Roman"/>
                <w:color w:val="000000"/>
                <w:kern w:val="0"/>
                <w:szCs w:val="21"/>
              </w:rPr>
            </w:pPr>
            <w:r>
              <w:rPr>
                <w:rFonts w:hint="eastAsia" w:ascii="Times New Roman" w:hAnsi="Times New Roman"/>
                <w:color w:val="000000"/>
                <w:kern w:val="0"/>
                <w:szCs w:val="21"/>
              </w:rPr>
              <w:t>理工环科（定制）</w:t>
            </w:r>
          </w:p>
        </w:tc>
        <w:tc>
          <w:tcPr>
            <w:tcW w:w="601" w:type="dxa"/>
            <w:vAlign w:val="center"/>
          </w:tcPr>
          <w:p>
            <w:pPr>
              <w:widowControl/>
              <w:jc w:val="center"/>
              <w:textAlignment w:val="center"/>
              <w:rPr>
                <w:rFonts w:ascii="Times New Roman" w:hAnsi="Times New Roman"/>
                <w:color w:val="000000"/>
                <w:kern w:val="0"/>
                <w:szCs w:val="21"/>
              </w:rPr>
            </w:pPr>
            <w:r>
              <w:rPr>
                <w:rFonts w:hint="eastAsia"/>
                <w:color w:val="000000"/>
                <w:kern w:val="0"/>
                <w:szCs w:val="21"/>
                <w:lang w:val="en-US" w:eastAsia="zh-CN"/>
              </w:rPr>
              <w:t>套</w:t>
            </w:r>
          </w:p>
        </w:tc>
        <w:tc>
          <w:tcPr>
            <w:tcW w:w="601"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ascii="Times New Roman" w:hAnsi="Times New Roman"/>
                <w:color w:val="000000"/>
                <w:kern w:val="0"/>
                <w:szCs w:val="21"/>
              </w:rPr>
              <w:t>1</w:t>
            </w:r>
          </w:p>
        </w:tc>
        <w:tc>
          <w:tcPr>
            <w:tcW w:w="3633" w:type="dxa"/>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rPr>
              <w:t>宁波理工环境能源科技股份有限公司</w:t>
            </w:r>
          </w:p>
        </w:tc>
      </w:tr>
    </w:tbl>
    <w:p>
      <w:pPr>
        <w:spacing w:line="360" w:lineRule="auto"/>
        <w:outlineLvl w:val="1"/>
        <w:rPr>
          <w:rFonts w:hint="eastAsia" w:ascii="宋体" w:hAnsi="宋体"/>
          <w:b/>
          <w:szCs w:val="21"/>
        </w:rPr>
      </w:pPr>
      <w:bookmarkStart w:id="35" w:name="_Toc49435407"/>
    </w:p>
    <w:p>
      <w:pPr>
        <w:spacing w:line="360" w:lineRule="auto"/>
        <w:rPr>
          <w:rFonts w:hint="eastAsia" w:ascii="宋体" w:hAnsi="宋体"/>
          <w:b/>
          <w:szCs w:val="21"/>
        </w:rPr>
      </w:pPr>
      <w:r>
        <w:rPr>
          <w:rFonts w:hint="eastAsia" w:ascii="宋体" w:hAnsi="宋体"/>
          <w:b/>
          <w:szCs w:val="21"/>
        </w:rPr>
        <w:t>2.招标要求</w:t>
      </w:r>
    </w:p>
    <w:p>
      <w:pPr>
        <w:spacing w:line="360" w:lineRule="auto"/>
        <w:outlineLvl w:val="1"/>
        <w:rPr>
          <w:rFonts w:hint="eastAsia" w:ascii="宋体" w:hAnsi="宋体" w:cs="宋体"/>
          <w:bCs/>
          <w:color w:val="auto"/>
          <w:szCs w:val="21"/>
        </w:rPr>
      </w:pPr>
      <w:r>
        <w:rPr>
          <w:rFonts w:hint="eastAsia" w:ascii="宋体" w:hAnsi="宋体" w:eastAsia="宋体" w:cs="宋体"/>
          <w:b/>
          <w:bCs w:val="0"/>
          <w:color w:val="auto"/>
          <w:szCs w:val="21"/>
        </w:rPr>
        <w:t>▲</w:t>
      </w:r>
      <w:r>
        <w:rPr>
          <w:rFonts w:hint="eastAsia" w:ascii="宋体" w:hAnsi="宋体" w:eastAsia="宋体" w:cs="宋体"/>
          <w:b/>
          <w:bCs w:val="0"/>
          <w:color w:val="auto"/>
          <w:szCs w:val="21"/>
          <w:lang w:val="en-US" w:eastAsia="zh-CN"/>
        </w:rPr>
        <w:t>2.1投标人须承诺：若中标，配合采购人完成商用密码服务体系建设和生态环境质量自动监测网络安全升级改造工作，及日常运维工作。</w:t>
      </w:r>
    </w:p>
    <w:p>
      <w:pPr>
        <w:spacing w:line="360" w:lineRule="auto"/>
        <w:outlineLvl w:val="1"/>
        <w:rPr>
          <w:rFonts w:hint="eastAsia" w:ascii="宋体" w:hAnsi="宋体"/>
          <w:b/>
          <w:color w:val="auto"/>
          <w:szCs w:val="21"/>
          <w:lang w:val="en-US" w:eastAsia="zh-CN"/>
        </w:rPr>
      </w:pPr>
      <w:r>
        <w:rPr>
          <w:rFonts w:hint="eastAsia" w:ascii="宋体" w:hAnsi="宋体" w:cs="宋体"/>
          <w:bCs/>
          <w:color w:val="auto"/>
          <w:szCs w:val="21"/>
        </w:rPr>
        <w:t>▲</w:t>
      </w:r>
      <w:r>
        <w:rPr>
          <w:rFonts w:hint="eastAsia" w:ascii="宋体" w:hAnsi="宋体"/>
          <w:b/>
          <w:color w:val="auto"/>
          <w:szCs w:val="21"/>
          <w:lang w:val="en-US" w:eastAsia="zh-CN"/>
        </w:rPr>
        <w:t>2.2投标人须承诺：若中标，将按原有设备的资产折旧价向上一家单位转让其固定资产，固定资产现价按原价每年折旧6%计算（共3年）。</w:t>
      </w:r>
    </w:p>
    <w:p>
      <w:pPr>
        <w:spacing w:line="360" w:lineRule="auto"/>
        <w:outlineLvl w:val="1"/>
        <w:rPr>
          <w:rFonts w:hint="eastAsia" w:ascii="宋体" w:hAnsi="宋体"/>
          <w:b/>
          <w:szCs w:val="21"/>
        </w:rPr>
      </w:pPr>
      <w:r>
        <w:rPr>
          <w:rFonts w:hint="eastAsia" w:ascii="宋体" w:hAnsi="宋体"/>
          <w:b/>
          <w:szCs w:val="21"/>
        </w:rPr>
        <w:t>2.</w:t>
      </w:r>
      <w:r>
        <w:rPr>
          <w:rFonts w:hint="eastAsia" w:ascii="宋体" w:hAnsi="宋体"/>
          <w:b/>
          <w:szCs w:val="21"/>
          <w:lang w:val="en-US" w:eastAsia="zh-CN"/>
        </w:rPr>
        <w:t>3</w:t>
      </w:r>
      <w:r>
        <w:rPr>
          <w:rFonts w:hint="eastAsia" w:ascii="宋体" w:hAnsi="宋体"/>
          <w:b/>
          <w:szCs w:val="21"/>
        </w:rPr>
        <w:t>.站点运营及管理</w:t>
      </w:r>
      <w:bookmarkEnd w:id="35"/>
    </w:p>
    <w:p>
      <w:pPr>
        <w:rPr>
          <w:rFonts w:hint="eastAsia" w:ascii="宋体" w:hAnsi="宋体" w:cs="宋体"/>
          <w:b/>
          <w:bCs/>
        </w:rPr>
      </w:pPr>
      <w:r>
        <w:rPr>
          <w:rFonts w:hint="eastAsia" w:ascii="宋体" w:hAnsi="宋体" w:cs="宋体"/>
          <w:b/>
          <w:bCs/>
          <w:lang w:val="en-US" w:eastAsia="zh-CN"/>
        </w:rPr>
        <w:t>2.3.1</w:t>
      </w:r>
      <w:r>
        <w:rPr>
          <w:rFonts w:hint="eastAsia" w:ascii="宋体" w:hAnsi="宋体" w:cs="宋体"/>
          <w:b/>
          <w:bCs/>
        </w:rPr>
        <w:t>运维实施要求</w:t>
      </w:r>
    </w:p>
    <w:p>
      <w:pPr>
        <w:spacing w:line="360" w:lineRule="auto"/>
        <w:ind w:firstLine="420" w:firstLineChars="200"/>
        <w:rPr>
          <w:rFonts w:hint="eastAsia" w:ascii="宋体" w:hAnsi="宋体"/>
        </w:rPr>
      </w:pPr>
      <w:r>
        <w:rPr>
          <w:rFonts w:hint="eastAsia" w:ascii="宋体" w:hAnsi="宋体"/>
        </w:rPr>
        <w:t>中标单位须按照采购人的技术要求，全面负责水站（站房、采水、所有仪器设备等）的日常运营及管理。</w:t>
      </w:r>
    </w:p>
    <w:p>
      <w:pPr>
        <w:spacing w:line="360" w:lineRule="auto"/>
        <w:ind w:firstLine="420" w:firstLineChars="200"/>
        <w:rPr>
          <w:rFonts w:hint="eastAsia" w:ascii="宋体" w:hAnsi="宋体"/>
          <w:bCs/>
          <w:szCs w:val="21"/>
        </w:rPr>
      </w:pPr>
      <w:r>
        <w:rPr>
          <w:rFonts w:hint="eastAsia" w:ascii="宋体" w:hAnsi="宋体"/>
          <w:bCs/>
          <w:szCs w:val="21"/>
        </w:rPr>
        <w:t>（1）中标单位运营及管理期间必须遵守国家的有关法律、法规及其他规定，依照有关规范和技术要求，使水站的运行结果达到采购人的考核指标要求，充分发挥水质自动监测系统的效能；</w:t>
      </w:r>
    </w:p>
    <w:p>
      <w:pPr>
        <w:spacing w:line="360" w:lineRule="auto"/>
        <w:ind w:firstLine="420" w:firstLineChars="200"/>
        <w:rPr>
          <w:rFonts w:hint="eastAsia" w:ascii="宋体" w:hAnsi="宋体"/>
          <w:bCs/>
          <w:szCs w:val="21"/>
        </w:rPr>
      </w:pPr>
      <w:r>
        <w:rPr>
          <w:rFonts w:hint="eastAsia" w:ascii="宋体" w:hAnsi="宋体"/>
          <w:bCs/>
          <w:szCs w:val="21"/>
        </w:rPr>
        <w:t>（2）运营及管理期间，水电费、通讯费、试剂耗材、仪器设备维修、设施设备的保养和水站安全保障所发生的费用等均由中标单位支付；</w:t>
      </w:r>
    </w:p>
    <w:p>
      <w:pPr>
        <w:spacing w:line="360" w:lineRule="auto"/>
        <w:ind w:firstLine="420" w:firstLineChars="200"/>
        <w:rPr>
          <w:rFonts w:hint="eastAsia" w:ascii="宋体" w:hAnsi="宋体"/>
          <w:bCs/>
          <w:szCs w:val="21"/>
        </w:rPr>
      </w:pPr>
      <w:r>
        <w:rPr>
          <w:rFonts w:hint="eastAsia" w:ascii="宋体" w:hAnsi="宋体"/>
          <w:bCs/>
          <w:szCs w:val="21"/>
        </w:rPr>
        <w:t>（3）中标单位应设立运维服务机构。</w:t>
      </w:r>
    </w:p>
    <w:p>
      <w:pPr>
        <w:spacing w:line="360" w:lineRule="auto"/>
        <w:ind w:firstLine="420" w:firstLineChars="200"/>
        <w:rPr>
          <w:rFonts w:hint="eastAsia" w:ascii="宋体" w:hAnsi="宋体"/>
          <w:bCs/>
          <w:szCs w:val="21"/>
        </w:rPr>
      </w:pPr>
      <w:r>
        <w:rPr>
          <w:rFonts w:hint="eastAsia" w:ascii="宋体" w:hAnsi="宋体"/>
          <w:bCs/>
          <w:szCs w:val="21"/>
        </w:rPr>
        <w:t>（4）中标单位应至少每8个站点配备1辆运维车辆。</w:t>
      </w:r>
    </w:p>
    <w:p>
      <w:pPr>
        <w:spacing w:line="360" w:lineRule="auto"/>
        <w:ind w:firstLine="420" w:firstLineChars="200"/>
        <w:rPr>
          <w:rFonts w:hint="eastAsia" w:ascii="宋体" w:hAnsi="宋体"/>
          <w:bCs/>
          <w:szCs w:val="21"/>
        </w:rPr>
      </w:pPr>
      <w:r>
        <w:rPr>
          <w:rFonts w:hint="eastAsia" w:ascii="宋体" w:hAnsi="宋体"/>
          <w:bCs/>
          <w:szCs w:val="21"/>
        </w:rPr>
        <w:t xml:space="preserve">（5）中标单位相关技术人员具有相关的专业知识，能独立运营及管理水站； </w:t>
      </w:r>
    </w:p>
    <w:p>
      <w:pPr>
        <w:spacing w:line="360" w:lineRule="auto"/>
        <w:ind w:firstLine="420" w:firstLineChars="200"/>
        <w:rPr>
          <w:rFonts w:hint="eastAsia" w:ascii="宋体" w:hAnsi="宋体"/>
          <w:bCs/>
          <w:szCs w:val="21"/>
        </w:rPr>
      </w:pPr>
      <w:r>
        <w:rPr>
          <w:rFonts w:hint="eastAsia" w:ascii="宋体" w:hAnsi="宋体"/>
          <w:bCs/>
          <w:szCs w:val="21"/>
        </w:rPr>
        <w:t>（6）人员要求：中标单位应保证项目团队中项目经理有5年水质自动监测站运维经验；项目团队中骨干人员（不含项目经理）不得少于3人，骨干人员具备本科及以上学历，且工作满3年。</w:t>
      </w:r>
    </w:p>
    <w:p>
      <w:pPr>
        <w:rPr>
          <w:rFonts w:hint="eastAsia" w:ascii="宋体" w:hAnsi="宋体" w:cs="宋体"/>
          <w:b/>
          <w:bCs/>
        </w:rPr>
      </w:pPr>
      <w:r>
        <w:rPr>
          <w:rFonts w:hint="eastAsia" w:ascii="宋体" w:hAnsi="宋体" w:cs="宋体"/>
          <w:b/>
          <w:bCs/>
          <w:lang w:val="en-US" w:eastAsia="zh-CN"/>
        </w:rPr>
        <w:t>2.3.2</w:t>
      </w:r>
      <w:r>
        <w:rPr>
          <w:rFonts w:hint="eastAsia" w:ascii="宋体" w:hAnsi="宋体" w:cs="宋体"/>
          <w:b/>
          <w:bCs/>
        </w:rPr>
        <w:t>运维应急预案要求</w:t>
      </w:r>
    </w:p>
    <w:p>
      <w:pPr>
        <w:spacing w:line="360" w:lineRule="auto"/>
        <w:ind w:firstLine="420" w:firstLineChars="200"/>
        <w:rPr>
          <w:rFonts w:hint="eastAsia" w:ascii="宋体" w:hAnsi="宋体"/>
          <w:bCs/>
          <w:szCs w:val="21"/>
        </w:rPr>
      </w:pPr>
      <w:r>
        <w:rPr>
          <w:rFonts w:hint="eastAsia" w:ascii="宋体" w:hAnsi="宋体"/>
          <w:bCs/>
          <w:szCs w:val="21"/>
        </w:rPr>
        <w:t>针对异常数据、系统故障和数据缺失等情况，中标单位必须建立一套完整的应急维护方案。</w:t>
      </w:r>
    </w:p>
    <w:p>
      <w:pPr>
        <w:spacing w:line="360" w:lineRule="auto"/>
        <w:ind w:firstLine="420" w:firstLineChars="200"/>
        <w:rPr>
          <w:rFonts w:hint="eastAsia" w:ascii="宋体" w:hAnsi="宋体"/>
          <w:bCs/>
          <w:szCs w:val="21"/>
        </w:rPr>
      </w:pPr>
      <w:r>
        <w:rPr>
          <w:rFonts w:hint="eastAsia" w:ascii="宋体" w:hAnsi="宋体"/>
          <w:bCs/>
          <w:szCs w:val="21"/>
        </w:rPr>
        <w:t>(1)发生数据异常情况时应及时远程启动标样核查，通过核查结果初步判定仪表当前的状态是否正常；确系污染过程应启动水站加密测试模式，同时记录并上报；</w:t>
      </w:r>
    </w:p>
    <w:p>
      <w:pPr>
        <w:spacing w:line="360" w:lineRule="auto"/>
        <w:ind w:firstLine="420" w:firstLineChars="200"/>
        <w:rPr>
          <w:rFonts w:hint="eastAsia" w:ascii="宋体" w:hAnsi="宋体"/>
          <w:bCs/>
          <w:szCs w:val="21"/>
        </w:rPr>
      </w:pPr>
      <w:r>
        <w:rPr>
          <w:rFonts w:hint="eastAsia" w:ascii="宋体" w:hAnsi="宋体"/>
          <w:bCs/>
          <w:szCs w:val="21"/>
        </w:rPr>
        <w:t>(2)水站仪器发生故障时，中标单位应及时响应（响应时间不超过8小时），并在24小时内解决所有的故障，如故障不能排除，应在48小时内更换备机；</w:t>
      </w:r>
    </w:p>
    <w:p>
      <w:pPr>
        <w:spacing w:line="360" w:lineRule="auto"/>
        <w:ind w:firstLine="420" w:firstLineChars="200"/>
        <w:rPr>
          <w:rFonts w:hint="eastAsia" w:ascii="宋体" w:hAnsi="宋体"/>
          <w:bCs/>
          <w:szCs w:val="21"/>
        </w:rPr>
      </w:pPr>
      <w:r>
        <w:rPr>
          <w:rFonts w:hint="eastAsia" w:ascii="宋体" w:hAnsi="宋体"/>
          <w:bCs/>
          <w:szCs w:val="21"/>
        </w:rPr>
        <w:t>(3)当出现水站长时间停电和水位不足造成水站无法自动取样时需进行人工补测，并将实验室分析结果录入数据平台；补测频率为每周两次，两次采样间隔不低于两天；根据各站仪器配置补测相关监测项目，包括pH、溶解氧、氨氮、高锰酸盐指数、总磷和总氮等。</w:t>
      </w:r>
    </w:p>
    <w:p>
      <w:pPr>
        <w:rPr>
          <w:rFonts w:hint="eastAsia" w:ascii="宋体" w:hAnsi="宋体" w:cs="宋体"/>
          <w:b/>
          <w:bCs/>
        </w:rPr>
      </w:pPr>
      <w:r>
        <w:rPr>
          <w:rFonts w:hint="eastAsia" w:ascii="宋体" w:hAnsi="宋体" w:cs="宋体"/>
          <w:b/>
          <w:bCs/>
          <w:lang w:val="en-US" w:eastAsia="zh-CN"/>
        </w:rPr>
        <w:t>2.3.3</w:t>
      </w:r>
      <w:r>
        <w:rPr>
          <w:rFonts w:hint="eastAsia" w:ascii="宋体" w:hAnsi="宋体" w:cs="宋体"/>
          <w:b/>
          <w:bCs/>
        </w:rPr>
        <w:t>运营及管理质量控制要求</w:t>
      </w:r>
    </w:p>
    <w:p>
      <w:pPr>
        <w:spacing w:line="360" w:lineRule="auto"/>
        <w:ind w:firstLine="420" w:firstLineChars="200"/>
        <w:rPr>
          <w:rFonts w:hint="eastAsia" w:ascii="宋体" w:hAnsi="宋体"/>
          <w:bCs/>
          <w:szCs w:val="21"/>
        </w:rPr>
      </w:pPr>
      <w:r>
        <w:rPr>
          <w:rFonts w:hint="eastAsia" w:ascii="宋体" w:hAnsi="宋体"/>
          <w:bCs/>
          <w:szCs w:val="21"/>
        </w:rPr>
        <w:t>中标单位定期对地表水水质自动监测系统开展质量控制工作，保证监测数据有效率不低于80%。</w:t>
      </w:r>
    </w:p>
    <w:p>
      <w:pPr>
        <w:spacing w:line="360" w:lineRule="auto"/>
        <w:ind w:firstLine="420" w:firstLineChars="200"/>
        <w:rPr>
          <w:rFonts w:ascii="宋体" w:hAnsi="宋体"/>
          <w:szCs w:val="21"/>
        </w:rPr>
      </w:pPr>
      <w:r>
        <w:rPr>
          <w:rFonts w:hint="eastAsia" w:ascii="宋体" w:hAnsi="宋体"/>
          <w:bCs/>
          <w:szCs w:val="21"/>
        </w:rPr>
        <w:t>各项质控措施测试结果应符合</w:t>
      </w:r>
      <w:r>
        <w:rPr>
          <w:rFonts w:hint="eastAsia" w:ascii="宋体" w:hAnsi="宋体"/>
          <w:szCs w:val="21"/>
        </w:rPr>
        <w:t>《地表水自动监测技术规范》HJ915-201</w:t>
      </w:r>
      <w:r>
        <w:rPr>
          <w:rFonts w:ascii="宋体" w:hAnsi="宋体"/>
          <w:szCs w:val="21"/>
        </w:rPr>
        <w:t>7</w:t>
      </w:r>
      <w:r>
        <w:rPr>
          <w:rFonts w:hint="eastAsia" w:ascii="宋体" w:hAnsi="宋体"/>
          <w:szCs w:val="21"/>
        </w:rPr>
        <w:t>要求。</w:t>
      </w:r>
    </w:p>
    <w:p>
      <w:pPr>
        <w:spacing w:line="360" w:lineRule="auto"/>
        <w:outlineLvl w:val="1"/>
        <w:rPr>
          <w:rFonts w:ascii="宋体" w:hAnsi="宋体"/>
          <w:b/>
          <w:szCs w:val="21"/>
        </w:rPr>
      </w:pPr>
      <w:bookmarkStart w:id="36" w:name="_Toc49435408"/>
      <w:r>
        <w:rPr>
          <w:rFonts w:hint="eastAsia" w:ascii="宋体" w:hAnsi="宋体"/>
          <w:b/>
          <w:szCs w:val="21"/>
        </w:rPr>
        <w:t>2.</w:t>
      </w:r>
      <w:r>
        <w:rPr>
          <w:rFonts w:hint="eastAsia" w:ascii="宋体" w:hAnsi="宋体"/>
          <w:b/>
          <w:szCs w:val="21"/>
          <w:lang w:val="en-US" w:eastAsia="zh-CN"/>
        </w:rPr>
        <w:t>4</w:t>
      </w:r>
      <w:r>
        <w:rPr>
          <w:rFonts w:hint="eastAsia" w:ascii="宋体" w:hAnsi="宋体"/>
          <w:b/>
          <w:szCs w:val="21"/>
        </w:rPr>
        <w:t>数据要求</w:t>
      </w:r>
      <w:bookmarkEnd w:id="36"/>
    </w:p>
    <w:p>
      <w:pPr>
        <w:spacing w:line="360" w:lineRule="auto"/>
        <w:ind w:firstLine="420" w:firstLineChars="200"/>
        <w:rPr>
          <w:rFonts w:ascii="宋体" w:hAnsi="宋体"/>
          <w:bCs/>
          <w:szCs w:val="21"/>
        </w:rPr>
      </w:pPr>
      <w:r>
        <w:rPr>
          <w:rFonts w:hint="eastAsia" w:ascii="宋体" w:hAnsi="宋体"/>
          <w:bCs/>
          <w:szCs w:val="21"/>
        </w:rPr>
        <w:t>（1）中标单位必须保证数据有效、及时的交由招标人，数据应以电子报表和纸质报表的形式同时呈送，数据报表包含：原始数据、时均值、日均值、月均值等。未经招标人允许，不得将数据提供给任何单位和个人。</w:t>
      </w:r>
    </w:p>
    <w:p>
      <w:pPr>
        <w:spacing w:line="360" w:lineRule="auto"/>
        <w:ind w:firstLine="420" w:firstLineChars="200"/>
        <w:rPr>
          <w:rFonts w:ascii="宋体" w:hAnsi="宋体"/>
          <w:bCs/>
          <w:szCs w:val="21"/>
        </w:rPr>
      </w:pPr>
      <w:r>
        <w:rPr>
          <w:rFonts w:hint="eastAsia" w:ascii="宋体" w:hAnsi="宋体"/>
          <w:bCs/>
          <w:szCs w:val="21"/>
        </w:rPr>
        <w:t>（2）数据采集间隔为4小时，每天每站点采集6组数据，每月采集180组数据，从优选取其中的120组数据作有效性考核。如遇停电等客观原因造成的数据缺失除外。</w:t>
      </w:r>
    </w:p>
    <w:p>
      <w:pPr>
        <w:spacing w:line="360" w:lineRule="auto"/>
        <w:ind w:firstLine="420" w:firstLineChars="200"/>
        <w:rPr>
          <w:rFonts w:ascii="宋体" w:hAnsi="宋体"/>
          <w:bCs/>
          <w:szCs w:val="21"/>
        </w:rPr>
      </w:pPr>
      <w:r>
        <w:rPr>
          <w:rFonts w:hint="eastAsia" w:ascii="宋体" w:hAnsi="宋体"/>
          <w:bCs/>
          <w:szCs w:val="21"/>
        </w:rPr>
        <w:t>（3）为保证数据的有效性，中标人需接受业主对数据有效性的考核，考核办法另附。</w:t>
      </w:r>
    </w:p>
    <w:p>
      <w:pPr>
        <w:spacing w:line="360" w:lineRule="auto"/>
        <w:ind w:firstLine="420" w:firstLineChars="200"/>
        <w:rPr>
          <w:rFonts w:ascii="宋体" w:hAnsi="宋体"/>
          <w:bCs/>
          <w:szCs w:val="21"/>
        </w:rPr>
      </w:pPr>
      <w:r>
        <w:rPr>
          <w:rFonts w:hint="eastAsia" w:ascii="宋体" w:hAnsi="宋体"/>
          <w:bCs/>
          <w:szCs w:val="21"/>
        </w:rPr>
        <w:t>（4）数据质量要求</w:t>
      </w:r>
    </w:p>
    <w:p>
      <w:pPr>
        <w:spacing w:line="360" w:lineRule="auto"/>
        <w:ind w:firstLine="420" w:firstLineChars="200"/>
        <w:rPr>
          <w:rFonts w:ascii="宋体" w:hAnsi="宋体"/>
          <w:bCs/>
          <w:szCs w:val="21"/>
        </w:rPr>
      </w:pPr>
      <w:r>
        <w:rPr>
          <w:rFonts w:hint="eastAsia" w:ascii="宋体" w:hAnsi="宋体"/>
          <w:bCs/>
          <w:szCs w:val="21"/>
        </w:rPr>
        <w:t>每个点位每月有效数据获取率大于等于8</w:t>
      </w:r>
      <w:r>
        <w:rPr>
          <w:rFonts w:ascii="宋体" w:hAnsi="宋体"/>
          <w:bCs/>
          <w:szCs w:val="21"/>
        </w:rPr>
        <w:t>0</w:t>
      </w:r>
      <w:r>
        <w:rPr>
          <w:rFonts w:hint="eastAsia" w:ascii="宋体" w:hAnsi="宋体"/>
          <w:bCs/>
          <w:szCs w:val="21"/>
        </w:rPr>
        <w:t>％(因地震、洪水等不可抗拒因素除外)。</w:t>
      </w:r>
    </w:p>
    <w:p>
      <w:pPr>
        <w:spacing w:line="360" w:lineRule="auto"/>
        <w:ind w:firstLine="420" w:firstLineChars="200"/>
        <w:rPr>
          <w:rFonts w:ascii="宋体" w:hAnsi="宋体"/>
          <w:bCs/>
          <w:szCs w:val="21"/>
        </w:rPr>
      </w:pPr>
      <w:r>
        <w:rPr>
          <w:rFonts w:hint="eastAsia" w:ascii="宋体" w:hAnsi="宋体"/>
          <w:bCs/>
          <w:szCs w:val="21"/>
        </w:rPr>
        <w:t>（5）数据有效性判断</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数据的有效性由考核方根据中标单位提供的监测断面历史数据、当期运维报告、比对报告等进行判断。</w:t>
      </w:r>
    </w:p>
    <w:p>
      <w:pPr>
        <w:spacing w:line="360" w:lineRule="auto"/>
        <w:ind w:firstLine="420" w:firstLineChars="200"/>
        <w:rPr>
          <w:rFonts w:hint="eastAsia"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lang w:val="en-US" w:eastAsia="zh-CN"/>
        </w:rPr>
        <w:t>6</w:t>
      </w:r>
      <w:r>
        <w:rPr>
          <w:rFonts w:hint="eastAsia" w:ascii="宋体" w:hAnsi="宋体"/>
          <w:bCs/>
          <w:color w:val="auto"/>
          <w:szCs w:val="21"/>
          <w:lang w:eastAsia="zh-CN"/>
        </w:rPr>
        <w:t>）</w:t>
      </w:r>
      <w:r>
        <w:rPr>
          <w:rFonts w:hint="eastAsia" w:ascii="宋体" w:hAnsi="宋体"/>
          <w:bCs/>
          <w:color w:val="auto"/>
          <w:szCs w:val="21"/>
        </w:rPr>
        <w:t>数据保密</w:t>
      </w:r>
    </w:p>
    <w:p>
      <w:pPr>
        <w:spacing w:line="360" w:lineRule="auto"/>
        <w:ind w:firstLine="420" w:firstLineChars="200"/>
        <w:rPr>
          <w:rFonts w:hint="eastAsia" w:ascii="宋体" w:hAnsi="宋体"/>
          <w:bCs/>
          <w:color w:val="auto"/>
          <w:szCs w:val="21"/>
          <w:lang w:eastAsia="zh-CN"/>
        </w:rPr>
      </w:pPr>
      <w:r>
        <w:rPr>
          <w:rFonts w:hint="eastAsia" w:ascii="宋体" w:hAnsi="宋体"/>
          <w:bCs/>
          <w:color w:val="auto"/>
          <w:szCs w:val="21"/>
        </w:rPr>
        <w:t>投标人应承担监测数据的保密责任，中标单位对水站的监测数据负有保密责任，不得以任何方式和渠道向外界提供或用于商业用途。</w:t>
      </w:r>
    </w:p>
    <w:p>
      <w:pPr>
        <w:spacing w:line="360" w:lineRule="auto"/>
        <w:outlineLvl w:val="1"/>
        <w:rPr>
          <w:rFonts w:ascii="宋体" w:hAnsi="宋体"/>
          <w:b/>
          <w:szCs w:val="21"/>
        </w:rPr>
      </w:pPr>
      <w:bookmarkStart w:id="37" w:name="_Toc49435409"/>
      <w:r>
        <w:rPr>
          <w:rFonts w:hint="eastAsia" w:ascii="宋体" w:hAnsi="宋体"/>
          <w:b/>
          <w:szCs w:val="21"/>
        </w:rPr>
        <w:t>2.</w:t>
      </w:r>
      <w:r>
        <w:rPr>
          <w:rFonts w:hint="eastAsia" w:ascii="宋体" w:hAnsi="宋体"/>
          <w:b/>
          <w:szCs w:val="21"/>
          <w:lang w:val="en-US" w:eastAsia="zh-CN"/>
        </w:rPr>
        <w:t>5</w:t>
      </w:r>
      <w:r>
        <w:rPr>
          <w:rFonts w:hint="eastAsia" w:ascii="宋体" w:hAnsi="宋体"/>
          <w:b/>
          <w:szCs w:val="21"/>
        </w:rPr>
        <w:t>考核/支付办法（试行）</w:t>
      </w:r>
      <w:bookmarkEnd w:id="37"/>
    </w:p>
    <w:p>
      <w:pPr>
        <w:spacing w:line="300" w:lineRule="auto"/>
        <w:ind w:firstLine="420" w:firstLineChars="200"/>
        <w:rPr>
          <w:rFonts w:ascii="宋体" w:hAnsi="宋体"/>
          <w:bCs/>
          <w:szCs w:val="21"/>
        </w:rPr>
      </w:pPr>
      <w:r>
        <w:rPr>
          <w:rFonts w:hint="eastAsia" w:ascii="宋体" w:hAnsi="宋体"/>
          <w:bCs/>
          <w:szCs w:val="21"/>
        </w:rPr>
        <w:t>由招标人确定第三方对中标人提供的监测数据和运维质量进行考核，数据质量考核方法是对自动监测站采样杯中的水样做人工检测与自动监测数据进行比对。具体以考核办法为准。按照年初预付、月考核季度结算的方式支付该项目费用。</w:t>
      </w:r>
    </w:p>
    <w:p>
      <w:pPr>
        <w:spacing w:line="300" w:lineRule="auto"/>
        <w:ind w:firstLine="420" w:firstLineChars="200"/>
        <w:rPr>
          <w:rFonts w:ascii="宋体" w:hAnsi="宋体"/>
          <w:bCs/>
          <w:szCs w:val="21"/>
        </w:rPr>
      </w:pPr>
      <w:r>
        <w:rPr>
          <w:rFonts w:hint="eastAsia" w:ascii="宋体" w:hAnsi="宋体"/>
          <w:bCs/>
          <w:szCs w:val="21"/>
        </w:rPr>
        <w:t>（1）单站考核结果在80分以上，支付该站点本月度数据采购费用的100%；</w:t>
      </w:r>
    </w:p>
    <w:p>
      <w:pPr>
        <w:spacing w:line="300" w:lineRule="auto"/>
        <w:ind w:firstLine="420" w:firstLineChars="200"/>
        <w:rPr>
          <w:rFonts w:ascii="宋体" w:hAnsi="宋体"/>
          <w:bCs/>
          <w:szCs w:val="21"/>
        </w:rPr>
      </w:pPr>
      <w:r>
        <w:rPr>
          <w:rFonts w:hint="eastAsia" w:ascii="宋体" w:hAnsi="宋体"/>
          <w:bCs/>
          <w:szCs w:val="21"/>
        </w:rPr>
        <w:t>（2）单站考核结果在70分以上，80分以下，为初级警告，扣除该站点当月数据采购费用的20%，并责令整改；</w:t>
      </w:r>
    </w:p>
    <w:p>
      <w:pPr>
        <w:spacing w:line="300" w:lineRule="auto"/>
        <w:ind w:firstLine="420" w:firstLineChars="200"/>
        <w:rPr>
          <w:rFonts w:ascii="宋体" w:hAnsi="宋体"/>
          <w:bCs/>
          <w:szCs w:val="21"/>
        </w:rPr>
      </w:pPr>
      <w:r>
        <w:rPr>
          <w:rFonts w:hint="eastAsia" w:ascii="宋体" w:hAnsi="宋体"/>
          <w:bCs/>
          <w:szCs w:val="21"/>
        </w:rPr>
        <w:t>（3）单站考核结果在60分以上，70分以下，为二级警告，扣除该站点当月数据采购费用的50%，并责令整改；</w:t>
      </w:r>
    </w:p>
    <w:p>
      <w:pPr>
        <w:spacing w:line="300" w:lineRule="auto"/>
        <w:ind w:firstLine="420" w:firstLineChars="200"/>
        <w:rPr>
          <w:rFonts w:hint="eastAsia" w:ascii="宋体" w:hAnsi="宋体"/>
          <w:bCs/>
          <w:szCs w:val="21"/>
        </w:rPr>
      </w:pPr>
      <w:r>
        <w:rPr>
          <w:rFonts w:hint="eastAsia" w:ascii="宋体" w:hAnsi="宋体"/>
          <w:bCs/>
          <w:szCs w:val="21"/>
        </w:rPr>
        <w:t>（4）单站考核结果在60分以下，扣除该站点当月数据采购费用的100%；</w:t>
      </w:r>
    </w:p>
    <w:p>
      <w:pPr>
        <w:spacing w:line="300" w:lineRule="auto"/>
        <w:ind w:firstLine="420" w:firstLineChars="200"/>
        <w:rPr>
          <w:rFonts w:hint="eastAsia" w:ascii="宋体" w:hAnsi="宋体"/>
          <w:bCs/>
          <w:szCs w:val="21"/>
        </w:rPr>
      </w:pPr>
      <w:r>
        <w:rPr>
          <w:rFonts w:hint="eastAsia" w:ascii="宋体" w:hAnsi="宋体"/>
          <w:bCs/>
          <w:szCs w:val="21"/>
        </w:rPr>
        <w:t>注：以上考核办法以本项目运维监理单位经采购人确认同意出具的为准。若采购人每年期服务款项已提前支付至当年期合同的100%时，以上考核扣除的罚金从中标单位递交的中扣除，不足部分按照接到采购人通知后15日内补足。若中标单位未在规定时间内补足考核扣除的罚金，采购人将向本项目合同签订地人民法院提请诉讼，合同签订地在此约定为宁波市。</w:t>
      </w:r>
    </w:p>
    <w:p>
      <w:pPr>
        <w:spacing w:line="300" w:lineRule="auto"/>
        <w:ind w:firstLine="420" w:firstLineChars="200"/>
        <w:rPr>
          <w:rFonts w:hint="eastAsia" w:ascii="宋体" w:hAnsi="宋体"/>
          <w:bCs/>
          <w:szCs w:val="21"/>
        </w:rPr>
      </w:pPr>
      <w:r>
        <w:rPr>
          <w:rFonts w:hint="eastAsia" w:ascii="宋体" w:hAnsi="宋体"/>
          <w:bCs/>
          <w:szCs w:val="21"/>
        </w:rPr>
        <w:t>考核办法如下附表：</w:t>
      </w:r>
    </w:p>
    <w:p>
      <w:pPr>
        <w:spacing w:line="300" w:lineRule="auto"/>
        <w:jc w:val="center"/>
        <w:rPr>
          <w:rFonts w:ascii="宋体" w:hAnsi="宋体"/>
          <w:bCs/>
          <w:szCs w:val="21"/>
        </w:rPr>
      </w:pPr>
      <w:r>
        <w:rPr>
          <w:rFonts w:hint="eastAsia" w:ascii="宋体" w:hAnsi="宋体"/>
          <w:bCs/>
          <w:szCs w:val="21"/>
        </w:rPr>
        <w:t>水质自动站运维考核表（试行）</w:t>
      </w:r>
    </w:p>
    <w:p>
      <w:pPr>
        <w:spacing w:line="360" w:lineRule="auto"/>
        <w:ind w:firstLine="420" w:firstLineChars="200"/>
        <w:rPr>
          <w:rFonts w:ascii="宋体" w:hAnsi="宋体"/>
          <w:bCs/>
          <w:szCs w:val="21"/>
        </w:rPr>
      </w:pPr>
      <w:r>
        <w:rPr>
          <w:rFonts w:hint="eastAsia" w:ascii="宋体" w:hAnsi="宋体"/>
          <w:bCs/>
          <w:szCs w:val="21"/>
        </w:rPr>
        <w:t>站点名称：________________考核日期：____________________</w:t>
      </w:r>
    </w:p>
    <w:tbl>
      <w:tblPr>
        <w:tblStyle w:val="44"/>
        <w:tblW w:w="9331" w:type="dxa"/>
        <w:jc w:val="center"/>
        <w:tblLayout w:type="fixed"/>
        <w:tblCellMar>
          <w:top w:w="0" w:type="dxa"/>
          <w:left w:w="0" w:type="dxa"/>
          <w:bottom w:w="0" w:type="dxa"/>
          <w:right w:w="0" w:type="dxa"/>
        </w:tblCellMar>
      </w:tblPr>
      <w:tblGrid>
        <w:gridCol w:w="779"/>
        <w:gridCol w:w="2101"/>
        <w:gridCol w:w="5811"/>
        <w:gridCol w:w="640"/>
      </w:tblGrid>
      <w:tr>
        <w:tblPrEx>
          <w:tblCellMar>
            <w:top w:w="0" w:type="dxa"/>
            <w:left w:w="0" w:type="dxa"/>
            <w:bottom w:w="0" w:type="dxa"/>
            <w:right w:w="0" w:type="dxa"/>
          </w:tblCellMar>
        </w:tblPrEx>
        <w:trPr>
          <w:trHeight w:val="340" w:hRule="atLeast"/>
          <w:jc w:val="center"/>
        </w:trPr>
        <w:tc>
          <w:tcPr>
            <w:tcW w:w="28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szCs w:val="21"/>
              </w:rPr>
              <w:t>考核内容及评分标准</w:t>
            </w:r>
          </w:p>
        </w:tc>
        <w:tc>
          <w:tcPr>
            <w:tcW w:w="581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szCs w:val="21"/>
              </w:rPr>
              <w:t>考核要求</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szCs w:val="21"/>
              </w:rPr>
              <w:t>得分</w:t>
            </w:r>
          </w:p>
        </w:tc>
      </w:tr>
      <w:tr>
        <w:tblPrEx>
          <w:tblCellMar>
            <w:top w:w="0" w:type="dxa"/>
            <w:left w:w="0" w:type="dxa"/>
            <w:bottom w:w="0" w:type="dxa"/>
            <w:right w:w="0" w:type="dxa"/>
          </w:tblCellMar>
        </w:tblPrEx>
        <w:trPr>
          <w:trHeight w:val="340" w:hRule="atLeast"/>
          <w:jc w:val="center"/>
        </w:trPr>
        <w:tc>
          <w:tcPr>
            <w:tcW w:w="779" w:type="dxa"/>
            <w:vMerge w:val="restart"/>
            <w:tcBorders>
              <w:top w:val="single" w:color="000000" w:sz="4" w:space="0"/>
              <w:left w:val="single" w:color="000000" w:sz="4" w:space="0"/>
              <w:right w:val="single" w:color="auto" w:sz="4" w:space="0"/>
            </w:tcBorders>
            <w:noWrap w:val="0"/>
            <w:vAlign w:val="center"/>
          </w:tcPr>
          <w:p>
            <w:pPr>
              <w:rPr>
                <w:rFonts w:ascii="宋体" w:hAnsi="宋体"/>
                <w:szCs w:val="21"/>
              </w:rPr>
            </w:pPr>
            <w:r>
              <w:rPr>
                <w:rFonts w:hint="eastAsia" w:ascii="宋体" w:hAnsi="宋体"/>
                <w:szCs w:val="21"/>
              </w:rPr>
              <w:t>一．水站维护</w:t>
            </w:r>
          </w:p>
          <w:p>
            <w:pPr>
              <w:rPr>
                <w:rFonts w:ascii="宋体" w:hAnsi="宋体"/>
                <w:szCs w:val="21"/>
              </w:rPr>
            </w:pPr>
            <w:r>
              <w:rPr>
                <w:rFonts w:hint="eastAsia" w:ascii="宋体" w:hAnsi="宋体"/>
                <w:szCs w:val="21"/>
              </w:rPr>
              <w:t>（30分）</w:t>
            </w:r>
          </w:p>
        </w:tc>
        <w:tc>
          <w:tcPr>
            <w:tcW w:w="2101" w:type="dxa"/>
            <w:tcBorders>
              <w:top w:val="single" w:color="000000" w:sz="4" w:space="0"/>
              <w:left w:val="single" w:color="auto"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szCs w:val="21"/>
              </w:rPr>
              <w:t>站房（</w:t>
            </w:r>
            <w:r>
              <w:rPr>
                <w:rFonts w:ascii="宋体" w:hAnsi="宋体"/>
                <w:szCs w:val="21"/>
              </w:rPr>
              <w:t>6</w:t>
            </w:r>
            <w:r>
              <w:rPr>
                <w:rFonts w:hint="eastAsia" w:ascii="宋体" w:hAnsi="宋体"/>
                <w:szCs w:val="21"/>
              </w:rPr>
              <w:t>分）</w:t>
            </w:r>
          </w:p>
        </w:tc>
        <w:tc>
          <w:tcPr>
            <w:tcW w:w="58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szCs w:val="21"/>
              </w:rPr>
              <w:t>清洁整齐，及时检查水、电、动环、视频等满足要求，保证</w:t>
            </w:r>
          </w:p>
          <w:p>
            <w:pPr>
              <w:rPr>
                <w:rFonts w:ascii="宋体" w:hAnsi="宋体"/>
                <w:szCs w:val="21"/>
              </w:rPr>
            </w:pPr>
            <w:r>
              <w:rPr>
                <w:rFonts w:hint="eastAsia" w:ascii="宋体" w:hAnsi="宋体"/>
                <w:szCs w:val="21"/>
              </w:rPr>
              <w:t>系统仪器具有良好的运行环境；认真做好每周巡检记录。</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p>
        </w:tc>
      </w:tr>
      <w:tr>
        <w:tblPrEx>
          <w:tblCellMar>
            <w:top w:w="0" w:type="dxa"/>
            <w:left w:w="0" w:type="dxa"/>
            <w:bottom w:w="0" w:type="dxa"/>
            <w:right w:w="0" w:type="dxa"/>
          </w:tblCellMar>
        </w:tblPrEx>
        <w:trPr>
          <w:trHeight w:val="340" w:hRule="atLeast"/>
          <w:jc w:val="center"/>
        </w:trPr>
        <w:tc>
          <w:tcPr>
            <w:tcW w:w="779" w:type="dxa"/>
            <w:vMerge w:val="continue"/>
            <w:tcBorders>
              <w:left w:val="single" w:color="000000" w:sz="4" w:space="0"/>
              <w:right w:val="single" w:color="auto" w:sz="4" w:space="0"/>
            </w:tcBorders>
            <w:noWrap w:val="0"/>
            <w:vAlign w:val="center"/>
          </w:tcPr>
          <w:p>
            <w:pPr>
              <w:rPr>
                <w:rFonts w:ascii="宋体" w:hAnsi="宋体"/>
                <w:szCs w:val="21"/>
              </w:rPr>
            </w:pPr>
          </w:p>
        </w:tc>
        <w:tc>
          <w:tcPr>
            <w:tcW w:w="2101" w:type="dxa"/>
            <w:tcBorders>
              <w:top w:val="single" w:color="000000" w:sz="4" w:space="0"/>
              <w:left w:val="single" w:color="auto"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szCs w:val="21"/>
              </w:rPr>
              <w:t>仪器维护（</w:t>
            </w:r>
            <w:r>
              <w:rPr>
                <w:rFonts w:ascii="宋体" w:hAnsi="宋体"/>
                <w:szCs w:val="21"/>
              </w:rPr>
              <w:t>12</w:t>
            </w:r>
            <w:r>
              <w:rPr>
                <w:rFonts w:hint="eastAsia" w:ascii="宋体" w:hAnsi="宋体"/>
                <w:szCs w:val="21"/>
              </w:rPr>
              <w:t>分）</w:t>
            </w:r>
          </w:p>
        </w:tc>
        <w:tc>
          <w:tcPr>
            <w:tcW w:w="58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szCs w:val="21"/>
              </w:rPr>
              <w:t>定期清洗、更换试剂、易耗品；及时修复仪器故障并做好设</w:t>
            </w:r>
          </w:p>
          <w:p>
            <w:pPr>
              <w:rPr>
                <w:rFonts w:ascii="宋体" w:hAnsi="宋体"/>
                <w:szCs w:val="21"/>
              </w:rPr>
            </w:pPr>
            <w:r>
              <w:rPr>
                <w:rFonts w:hint="eastAsia" w:ascii="宋体" w:hAnsi="宋体"/>
                <w:szCs w:val="21"/>
              </w:rPr>
              <w:t>备维护记录。</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p>
        </w:tc>
      </w:tr>
      <w:tr>
        <w:tblPrEx>
          <w:tblCellMar>
            <w:top w:w="0" w:type="dxa"/>
            <w:left w:w="0" w:type="dxa"/>
            <w:bottom w:w="0" w:type="dxa"/>
            <w:right w:w="0" w:type="dxa"/>
          </w:tblCellMar>
        </w:tblPrEx>
        <w:trPr>
          <w:trHeight w:val="340" w:hRule="atLeast"/>
          <w:jc w:val="center"/>
        </w:trPr>
        <w:tc>
          <w:tcPr>
            <w:tcW w:w="779" w:type="dxa"/>
            <w:vMerge w:val="continue"/>
            <w:tcBorders>
              <w:left w:val="single" w:color="000000" w:sz="4" w:space="0"/>
              <w:bottom w:val="single" w:color="auto" w:sz="4" w:space="0"/>
              <w:right w:val="single" w:color="auto" w:sz="4" w:space="0"/>
            </w:tcBorders>
            <w:noWrap w:val="0"/>
            <w:vAlign w:val="center"/>
          </w:tcPr>
          <w:p>
            <w:pPr>
              <w:rPr>
                <w:rFonts w:ascii="宋体" w:hAnsi="宋体"/>
                <w:szCs w:val="21"/>
              </w:rPr>
            </w:pPr>
          </w:p>
        </w:tc>
        <w:tc>
          <w:tcPr>
            <w:tcW w:w="2101" w:type="dxa"/>
            <w:tcBorders>
              <w:top w:val="single" w:color="000000" w:sz="4" w:space="0"/>
              <w:left w:val="single" w:color="auto"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szCs w:val="21"/>
              </w:rPr>
              <w:t>系统维护（</w:t>
            </w:r>
            <w:r>
              <w:rPr>
                <w:rFonts w:ascii="宋体" w:hAnsi="宋体"/>
                <w:szCs w:val="21"/>
              </w:rPr>
              <w:t>12</w:t>
            </w:r>
            <w:r>
              <w:rPr>
                <w:rFonts w:hint="eastAsia" w:ascii="宋体" w:hAnsi="宋体"/>
                <w:szCs w:val="21"/>
              </w:rPr>
              <w:t>分）</w:t>
            </w:r>
          </w:p>
        </w:tc>
        <w:tc>
          <w:tcPr>
            <w:tcW w:w="581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szCs w:val="21"/>
              </w:rPr>
              <w:t>保证取水、配水、预处理系统正常，管理畅通；保证空压机、UPS、视频、动环等正常运行；认真做好试剂更换记录、备品备件更换记录等。</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p>
        </w:tc>
      </w:tr>
      <w:tr>
        <w:tblPrEx>
          <w:tblCellMar>
            <w:top w:w="0" w:type="dxa"/>
            <w:left w:w="0" w:type="dxa"/>
            <w:bottom w:w="0" w:type="dxa"/>
            <w:right w:w="0" w:type="dxa"/>
          </w:tblCellMar>
        </w:tblPrEx>
        <w:trPr>
          <w:trHeight w:val="340" w:hRule="atLeast"/>
          <w:jc w:val="center"/>
        </w:trPr>
        <w:tc>
          <w:tcPr>
            <w:tcW w:w="779" w:type="dxa"/>
            <w:vMerge w:val="restart"/>
            <w:tcBorders>
              <w:top w:val="single" w:color="auto" w:sz="4" w:space="0"/>
              <w:left w:val="single" w:color="auto" w:sz="4" w:space="0"/>
              <w:right w:val="single" w:color="auto" w:sz="4" w:space="0"/>
            </w:tcBorders>
            <w:noWrap w:val="0"/>
            <w:vAlign w:val="center"/>
          </w:tcPr>
          <w:p>
            <w:pPr>
              <w:rPr>
                <w:rFonts w:ascii="宋体" w:hAnsi="宋体"/>
                <w:szCs w:val="21"/>
              </w:rPr>
            </w:pPr>
            <w:r>
              <w:rPr>
                <w:rFonts w:hint="eastAsia" w:ascii="宋体" w:hAnsi="宋体"/>
                <w:szCs w:val="21"/>
              </w:rPr>
              <w:t>二．质控管理</w:t>
            </w:r>
          </w:p>
          <w:p>
            <w:pPr>
              <w:rPr>
                <w:rFonts w:ascii="宋体" w:hAnsi="宋体"/>
                <w:szCs w:val="21"/>
              </w:rPr>
            </w:pPr>
            <w:r>
              <w:rPr>
                <w:rFonts w:hint="eastAsia" w:ascii="宋体" w:hAnsi="宋体"/>
                <w:szCs w:val="21"/>
              </w:rPr>
              <w:t>（70分）</w:t>
            </w:r>
          </w:p>
        </w:tc>
        <w:tc>
          <w:tcPr>
            <w:tcW w:w="210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运行期质控样检查</w:t>
            </w:r>
          </w:p>
          <w:p>
            <w:pPr>
              <w:rPr>
                <w:rFonts w:ascii="宋体" w:hAnsi="宋体"/>
                <w:szCs w:val="21"/>
              </w:rPr>
            </w:pPr>
            <w:r>
              <w:rPr>
                <w:rFonts w:hint="eastAsia" w:ascii="宋体" w:hAnsi="宋体"/>
                <w:szCs w:val="21"/>
              </w:rPr>
              <w:t>（15分）</w:t>
            </w:r>
          </w:p>
        </w:tc>
        <w:tc>
          <w:tcPr>
            <w:tcW w:w="5811"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szCs w:val="21"/>
              </w:rPr>
              <w:t>按照每月不少于一次进行质控样测试工作，认真做好记录，</w:t>
            </w:r>
          </w:p>
          <w:p>
            <w:pPr>
              <w:rPr>
                <w:rFonts w:ascii="宋体" w:hAnsi="宋体"/>
                <w:szCs w:val="21"/>
              </w:rPr>
            </w:pPr>
            <w:r>
              <w:rPr>
                <w:rFonts w:hint="eastAsia" w:ascii="宋体" w:hAnsi="宋体"/>
                <w:szCs w:val="21"/>
              </w:rPr>
              <w:t>单次质控不合格扣3分，扣完为止</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p>
        </w:tc>
      </w:tr>
      <w:tr>
        <w:tblPrEx>
          <w:tblCellMar>
            <w:top w:w="0" w:type="dxa"/>
            <w:left w:w="0" w:type="dxa"/>
            <w:bottom w:w="0" w:type="dxa"/>
            <w:right w:w="0" w:type="dxa"/>
          </w:tblCellMar>
        </w:tblPrEx>
        <w:trPr>
          <w:trHeight w:val="340" w:hRule="atLeast"/>
          <w:jc w:val="center"/>
        </w:trPr>
        <w:tc>
          <w:tcPr>
            <w:tcW w:w="779" w:type="dxa"/>
            <w:vMerge w:val="continue"/>
            <w:tcBorders>
              <w:left w:val="single" w:color="auto" w:sz="4" w:space="0"/>
              <w:right w:val="single" w:color="auto" w:sz="4" w:space="0"/>
            </w:tcBorders>
            <w:noWrap w:val="0"/>
            <w:vAlign w:val="center"/>
          </w:tcPr>
          <w:p>
            <w:pPr>
              <w:rPr>
                <w:rFonts w:ascii="宋体" w:hAnsi="宋体"/>
                <w:szCs w:val="21"/>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实验室比对（15分）</w:t>
            </w:r>
          </w:p>
        </w:tc>
        <w:tc>
          <w:tcPr>
            <w:tcW w:w="5811"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szCs w:val="21"/>
              </w:rPr>
              <w:t>按照每月不少于一次进行比对工作，认真做好记录，单项比</w:t>
            </w:r>
          </w:p>
          <w:p>
            <w:pPr>
              <w:rPr>
                <w:rFonts w:ascii="宋体" w:hAnsi="宋体"/>
                <w:szCs w:val="21"/>
              </w:rPr>
            </w:pPr>
            <w:r>
              <w:rPr>
                <w:rFonts w:hint="eastAsia" w:ascii="宋体" w:hAnsi="宋体"/>
                <w:szCs w:val="21"/>
              </w:rPr>
              <w:t>对不合格扣3分，扣完为止</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p>
        </w:tc>
      </w:tr>
      <w:tr>
        <w:tblPrEx>
          <w:tblCellMar>
            <w:top w:w="0" w:type="dxa"/>
            <w:left w:w="0" w:type="dxa"/>
            <w:bottom w:w="0" w:type="dxa"/>
            <w:right w:w="0" w:type="dxa"/>
          </w:tblCellMar>
        </w:tblPrEx>
        <w:trPr>
          <w:trHeight w:val="340" w:hRule="atLeast"/>
          <w:jc w:val="center"/>
        </w:trPr>
        <w:tc>
          <w:tcPr>
            <w:tcW w:w="779" w:type="dxa"/>
            <w:vMerge w:val="continue"/>
            <w:tcBorders>
              <w:left w:val="single" w:color="auto" w:sz="4" w:space="0"/>
              <w:right w:val="single" w:color="auto" w:sz="4" w:space="0"/>
            </w:tcBorders>
            <w:noWrap w:val="0"/>
            <w:vAlign w:val="center"/>
          </w:tcPr>
          <w:p>
            <w:pPr>
              <w:rPr>
                <w:rFonts w:ascii="宋体" w:hAnsi="宋体"/>
                <w:szCs w:val="21"/>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有效数据获取率（30分）</w:t>
            </w:r>
          </w:p>
        </w:tc>
        <w:tc>
          <w:tcPr>
            <w:tcW w:w="5811"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cs="宋体"/>
                <w:szCs w:val="21"/>
              </w:rPr>
              <w:t>单站</w:t>
            </w:r>
            <w:r>
              <w:rPr>
                <w:rFonts w:hint="eastAsia" w:ascii="宋体" w:hAnsi="宋体"/>
                <w:szCs w:val="21"/>
              </w:rPr>
              <w:t>低于8</w:t>
            </w:r>
            <w:r>
              <w:rPr>
                <w:rFonts w:ascii="宋体" w:hAnsi="宋体"/>
                <w:szCs w:val="21"/>
              </w:rPr>
              <w:t>0</w:t>
            </w:r>
            <w:r>
              <w:rPr>
                <w:rFonts w:hint="eastAsia" w:ascii="宋体" w:hAnsi="宋体"/>
                <w:szCs w:val="21"/>
              </w:rPr>
              <w:t>%此项考评分为0，单台次仪器低于8</w:t>
            </w:r>
            <w:r>
              <w:rPr>
                <w:rFonts w:ascii="宋体" w:hAnsi="宋体"/>
                <w:szCs w:val="21"/>
              </w:rPr>
              <w:t>0</w:t>
            </w:r>
            <w:r>
              <w:rPr>
                <w:rFonts w:hint="eastAsia" w:ascii="宋体" w:hAnsi="宋体"/>
                <w:szCs w:val="21"/>
              </w:rPr>
              <w:t>%扣5分，</w:t>
            </w:r>
          </w:p>
          <w:p>
            <w:pPr>
              <w:rPr>
                <w:rFonts w:ascii="宋体" w:hAnsi="宋体"/>
                <w:szCs w:val="21"/>
              </w:rPr>
            </w:pPr>
            <w:r>
              <w:rPr>
                <w:rFonts w:hint="eastAsia" w:ascii="宋体" w:hAnsi="宋体"/>
                <w:szCs w:val="21"/>
              </w:rPr>
              <w:t>扣完为止</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p>
        </w:tc>
      </w:tr>
      <w:tr>
        <w:tblPrEx>
          <w:tblCellMar>
            <w:top w:w="0" w:type="dxa"/>
            <w:left w:w="0" w:type="dxa"/>
            <w:bottom w:w="0" w:type="dxa"/>
            <w:right w:w="0" w:type="dxa"/>
          </w:tblCellMar>
        </w:tblPrEx>
        <w:trPr>
          <w:trHeight w:val="340" w:hRule="atLeast"/>
          <w:jc w:val="center"/>
        </w:trPr>
        <w:tc>
          <w:tcPr>
            <w:tcW w:w="779"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档案</w:t>
            </w:r>
            <w:r>
              <w:rPr>
                <w:rFonts w:hint="eastAsia" w:ascii="宋体" w:hAnsi="宋体"/>
                <w:szCs w:val="21"/>
              </w:rPr>
              <w:t>、记录</w:t>
            </w:r>
            <w:r>
              <w:rPr>
                <w:rFonts w:ascii="宋体" w:hAnsi="宋体"/>
                <w:szCs w:val="21"/>
              </w:rPr>
              <w:t>管理</w:t>
            </w:r>
            <w:r>
              <w:rPr>
                <w:rFonts w:hint="eastAsia" w:ascii="宋体" w:hAnsi="宋体"/>
                <w:szCs w:val="21"/>
              </w:rPr>
              <w:t>（10分）</w:t>
            </w:r>
          </w:p>
        </w:tc>
        <w:tc>
          <w:tcPr>
            <w:tcW w:w="5811"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szCs w:val="21"/>
              </w:rPr>
              <w:t>运营及管理</w:t>
            </w:r>
            <w:r>
              <w:rPr>
                <w:rFonts w:ascii="宋体" w:hAnsi="宋体"/>
                <w:szCs w:val="21"/>
              </w:rPr>
              <w:t>记录是否齐全，有无定期清洗、定期更换试剂、</w:t>
            </w:r>
          </w:p>
          <w:p>
            <w:pPr>
              <w:rPr>
                <w:rFonts w:ascii="宋体" w:hAnsi="宋体"/>
                <w:szCs w:val="21"/>
              </w:rPr>
            </w:pPr>
            <w:r>
              <w:rPr>
                <w:rFonts w:ascii="宋体" w:hAnsi="宋体"/>
                <w:szCs w:val="21"/>
              </w:rPr>
              <w:t>定期更换易耗品；定期校准仪器；及时维修</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p>
        </w:tc>
      </w:tr>
      <w:tr>
        <w:tblPrEx>
          <w:tblCellMar>
            <w:top w:w="0" w:type="dxa"/>
            <w:left w:w="0" w:type="dxa"/>
            <w:bottom w:w="0" w:type="dxa"/>
            <w:right w:w="0" w:type="dxa"/>
          </w:tblCellMar>
        </w:tblPrEx>
        <w:trPr>
          <w:trHeight w:val="340" w:hRule="atLeast"/>
          <w:jc w:val="center"/>
        </w:trPr>
        <w:tc>
          <w:tcPr>
            <w:tcW w:w="779" w:type="dxa"/>
            <w:vMerge w:val="restart"/>
            <w:tcBorders>
              <w:top w:val="single" w:color="auto" w:sz="4" w:space="0"/>
              <w:left w:val="single" w:color="auto" w:sz="4" w:space="0"/>
              <w:right w:val="single" w:color="auto" w:sz="4" w:space="0"/>
            </w:tcBorders>
            <w:noWrap w:val="0"/>
            <w:vAlign w:val="center"/>
          </w:tcPr>
          <w:p>
            <w:pPr>
              <w:rPr>
                <w:rFonts w:ascii="宋体" w:hAnsi="宋体"/>
                <w:szCs w:val="21"/>
              </w:rPr>
            </w:pPr>
            <w:r>
              <w:rPr>
                <w:rFonts w:hint="eastAsia" w:ascii="宋体" w:hAnsi="宋体"/>
                <w:szCs w:val="21"/>
              </w:rPr>
              <w:t>不符合项扣分</w:t>
            </w:r>
          </w:p>
        </w:tc>
        <w:tc>
          <w:tcPr>
            <w:tcW w:w="210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报告上报不及时</w:t>
            </w:r>
          </w:p>
        </w:tc>
        <w:tc>
          <w:tcPr>
            <w:tcW w:w="5811" w:type="dxa"/>
            <w:tcBorders>
              <w:top w:val="single" w:color="auto" w:sz="4" w:space="0"/>
              <w:left w:val="single" w:color="auto" w:sz="4" w:space="0"/>
              <w:bottom w:val="single" w:color="auto" w:sz="4" w:space="0"/>
              <w:right w:val="single" w:color="000000" w:sz="4" w:space="0"/>
            </w:tcBorders>
            <w:noWrap w:val="0"/>
            <w:vAlign w:val="center"/>
          </w:tcPr>
          <w:p>
            <w:pPr>
              <w:rPr>
                <w:rFonts w:hint="eastAsia" w:ascii="宋体" w:hAnsi="宋体"/>
                <w:szCs w:val="21"/>
              </w:rPr>
            </w:pPr>
            <w:r>
              <w:rPr>
                <w:rFonts w:hint="eastAsia" w:ascii="宋体" w:hAnsi="宋体"/>
                <w:szCs w:val="21"/>
              </w:rPr>
              <w:t>每月3日前，将数据审核表、月均值表、质控比对表上报业</w:t>
            </w:r>
          </w:p>
          <w:p>
            <w:pPr>
              <w:rPr>
                <w:rFonts w:ascii="宋体" w:hAnsi="宋体"/>
                <w:szCs w:val="21"/>
              </w:rPr>
            </w:pPr>
            <w:r>
              <w:rPr>
                <w:rFonts w:hint="eastAsia" w:ascii="宋体" w:hAnsi="宋体"/>
                <w:szCs w:val="21"/>
              </w:rPr>
              <w:t>主。不按时达到要求的，每次扣1分</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p>
        </w:tc>
      </w:tr>
      <w:tr>
        <w:tblPrEx>
          <w:tblCellMar>
            <w:top w:w="0" w:type="dxa"/>
            <w:left w:w="0" w:type="dxa"/>
            <w:bottom w:w="0" w:type="dxa"/>
            <w:right w:w="0" w:type="dxa"/>
          </w:tblCellMar>
        </w:tblPrEx>
        <w:trPr>
          <w:trHeight w:val="340" w:hRule="atLeast"/>
          <w:jc w:val="center"/>
        </w:trPr>
        <w:tc>
          <w:tcPr>
            <w:tcW w:w="779" w:type="dxa"/>
            <w:vMerge w:val="continue"/>
            <w:tcBorders>
              <w:left w:val="single" w:color="auto" w:sz="4" w:space="0"/>
              <w:right w:val="single" w:color="auto" w:sz="4" w:space="0"/>
            </w:tcBorders>
            <w:noWrap w:val="0"/>
            <w:vAlign w:val="center"/>
          </w:tcPr>
          <w:p>
            <w:pPr>
              <w:rPr>
                <w:rFonts w:ascii="宋体" w:hAnsi="宋体"/>
                <w:szCs w:val="21"/>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故障未及时修复</w:t>
            </w:r>
          </w:p>
        </w:tc>
        <w:tc>
          <w:tcPr>
            <w:tcW w:w="5811" w:type="dxa"/>
            <w:tcBorders>
              <w:top w:val="single" w:color="auto" w:sz="4" w:space="0"/>
              <w:left w:val="single" w:color="auto" w:sz="4" w:space="0"/>
              <w:bottom w:val="single" w:color="auto" w:sz="4" w:space="0"/>
              <w:right w:val="single" w:color="000000" w:sz="4" w:space="0"/>
            </w:tcBorders>
            <w:noWrap w:val="0"/>
            <w:vAlign w:val="center"/>
          </w:tcPr>
          <w:p>
            <w:pPr>
              <w:rPr>
                <w:rFonts w:ascii="宋体" w:hAnsi="宋体"/>
                <w:szCs w:val="21"/>
              </w:rPr>
            </w:pPr>
            <w:r>
              <w:rPr>
                <w:rFonts w:hint="eastAsia" w:ascii="宋体" w:hAnsi="宋体"/>
                <w:szCs w:val="21"/>
              </w:rPr>
              <w:t>按照2.8的要求，未及时恢复的，每次扣1分。</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p>
        </w:tc>
      </w:tr>
      <w:tr>
        <w:tblPrEx>
          <w:tblCellMar>
            <w:top w:w="0" w:type="dxa"/>
            <w:left w:w="0" w:type="dxa"/>
            <w:bottom w:w="0" w:type="dxa"/>
            <w:right w:w="0" w:type="dxa"/>
          </w:tblCellMar>
        </w:tblPrEx>
        <w:trPr>
          <w:trHeight w:val="340" w:hRule="atLeast"/>
          <w:jc w:val="center"/>
        </w:trPr>
        <w:tc>
          <w:tcPr>
            <w:tcW w:w="779" w:type="dxa"/>
            <w:vMerge w:val="continue"/>
            <w:tcBorders>
              <w:left w:val="single" w:color="auto" w:sz="4" w:space="0"/>
              <w:right w:val="single" w:color="auto" w:sz="4" w:space="0"/>
            </w:tcBorders>
            <w:noWrap w:val="0"/>
            <w:vAlign w:val="center"/>
          </w:tcPr>
          <w:p>
            <w:pPr>
              <w:rPr>
                <w:rFonts w:ascii="宋体" w:hAnsi="宋体"/>
                <w:szCs w:val="21"/>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异常数据未及时上报</w:t>
            </w:r>
          </w:p>
        </w:tc>
        <w:tc>
          <w:tcPr>
            <w:tcW w:w="5811" w:type="dxa"/>
            <w:tcBorders>
              <w:top w:val="single" w:color="auto" w:sz="4" w:space="0"/>
              <w:left w:val="single" w:color="auto" w:sz="4" w:space="0"/>
              <w:bottom w:val="single" w:color="auto" w:sz="4" w:space="0"/>
              <w:right w:val="single" w:color="000000" w:sz="4" w:space="0"/>
            </w:tcBorders>
            <w:noWrap w:val="0"/>
            <w:vAlign w:val="center"/>
          </w:tcPr>
          <w:p>
            <w:pPr>
              <w:rPr>
                <w:rFonts w:hint="eastAsia" w:ascii="宋体" w:hAnsi="宋体"/>
                <w:szCs w:val="21"/>
              </w:rPr>
            </w:pPr>
            <w:r>
              <w:rPr>
                <w:rFonts w:hint="eastAsia" w:ascii="宋体" w:hAnsi="宋体"/>
                <w:szCs w:val="21"/>
              </w:rPr>
              <w:t>出现异常数据，确认不是因仪器故障原因导致未上报的每次</w:t>
            </w:r>
          </w:p>
          <w:p>
            <w:pPr>
              <w:rPr>
                <w:rFonts w:ascii="宋体" w:hAnsi="宋体"/>
                <w:szCs w:val="21"/>
              </w:rPr>
            </w:pPr>
            <w:r>
              <w:rPr>
                <w:rFonts w:hint="eastAsia" w:ascii="宋体" w:hAnsi="宋体"/>
                <w:szCs w:val="21"/>
              </w:rPr>
              <w:t>扣1分</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p>
        </w:tc>
      </w:tr>
      <w:tr>
        <w:tblPrEx>
          <w:tblCellMar>
            <w:top w:w="0" w:type="dxa"/>
            <w:left w:w="0" w:type="dxa"/>
            <w:bottom w:w="0" w:type="dxa"/>
            <w:right w:w="0" w:type="dxa"/>
          </w:tblCellMar>
        </w:tblPrEx>
        <w:trPr>
          <w:trHeight w:val="34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7912" w:type="dxa"/>
            <w:gridSpan w:val="2"/>
            <w:tcBorders>
              <w:top w:val="single" w:color="auto" w:sz="4" w:space="0"/>
              <w:left w:val="single" w:color="auto" w:sz="4" w:space="0"/>
              <w:bottom w:val="single" w:color="auto" w:sz="4" w:space="0"/>
              <w:right w:val="single" w:color="000000" w:sz="4" w:space="0"/>
            </w:tcBorders>
            <w:noWrap w:val="0"/>
            <w:vAlign w:val="center"/>
          </w:tcPr>
          <w:p>
            <w:pPr>
              <w:rPr>
                <w:rFonts w:ascii="宋体" w:hAnsi="宋体"/>
                <w:szCs w:val="21"/>
              </w:rPr>
            </w:pPr>
            <w:r>
              <w:rPr>
                <w:rFonts w:hint="eastAsia" w:ascii="宋体" w:hAnsi="宋体"/>
                <w:szCs w:val="21"/>
              </w:rPr>
              <w:t>总分</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p>
        </w:tc>
      </w:tr>
    </w:tbl>
    <w:p>
      <w:pPr>
        <w:spacing w:line="360" w:lineRule="auto"/>
        <w:rPr>
          <w:rFonts w:ascii="宋体" w:hAnsi="宋体"/>
          <w:szCs w:val="21"/>
        </w:rPr>
      </w:pPr>
      <w:r>
        <w:rPr>
          <w:rFonts w:hint="eastAsia" w:ascii="宋体" w:hAnsi="宋体"/>
          <w:szCs w:val="21"/>
        </w:rPr>
        <w:t>服务商公司名称(盖章)：</w:t>
      </w:r>
      <w:r>
        <w:rPr>
          <w:rFonts w:hint="eastAsia" w:ascii="宋体" w:hAnsi="宋体"/>
          <w:bCs/>
          <w:szCs w:val="21"/>
        </w:rPr>
        <w:t>________________</w:t>
      </w:r>
      <w:r>
        <w:rPr>
          <w:rFonts w:hint="eastAsia" w:ascii="宋体" w:hAnsi="宋体"/>
          <w:szCs w:val="21"/>
        </w:rPr>
        <w:t>考核方单位名称（盖章）：</w:t>
      </w:r>
      <w:r>
        <w:rPr>
          <w:rFonts w:hint="eastAsia" w:ascii="宋体" w:hAnsi="宋体"/>
          <w:bCs/>
          <w:szCs w:val="21"/>
        </w:rPr>
        <w:t>________________</w:t>
      </w:r>
    </w:p>
    <w:p>
      <w:pPr>
        <w:rPr>
          <w:rFonts w:ascii="宋体" w:hAnsi="宋体"/>
          <w:color w:val="000000"/>
        </w:rPr>
      </w:pPr>
      <w:r>
        <w:rPr>
          <w:rFonts w:hint="eastAsia" w:ascii="宋体" w:hAnsi="宋体"/>
          <w:szCs w:val="21"/>
        </w:rPr>
        <w:t>经办人：</w:t>
      </w:r>
      <w:r>
        <w:rPr>
          <w:rFonts w:hint="eastAsia" w:ascii="宋体" w:hAnsi="宋体"/>
          <w:bCs/>
          <w:szCs w:val="21"/>
        </w:rPr>
        <w:t>________________</w:t>
      </w:r>
      <w:r>
        <w:rPr>
          <w:rFonts w:hint="eastAsia" w:ascii="宋体" w:hAnsi="宋体"/>
          <w:szCs w:val="21"/>
        </w:rPr>
        <w:t>经办人：</w:t>
      </w:r>
      <w:r>
        <w:rPr>
          <w:rFonts w:hint="eastAsia" w:ascii="宋体" w:hAnsi="宋体"/>
          <w:bCs/>
          <w:szCs w:val="21"/>
        </w:rPr>
        <w:t>________________</w:t>
      </w:r>
    </w:p>
    <w:p>
      <w:pPr>
        <w:pStyle w:val="55"/>
      </w:pPr>
    </w:p>
    <w:p>
      <w:pPr>
        <w:pStyle w:val="2"/>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注：最终考核办法以采购人最终确定</w:t>
      </w:r>
      <w:r>
        <w:rPr>
          <w:rFonts w:hint="eastAsia" w:ascii="宋体" w:hAnsi="宋体" w:cs="Times New Roman"/>
          <w:b/>
          <w:bCs/>
          <w:kern w:val="2"/>
          <w:sz w:val="21"/>
          <w:szCs w:val="21"/>
          <w:lang w:val="en-US" w:eastAsia="zh-CN" w:bidi="ar-SA"/>
        </w:rPr>
        <w:t>的</w:t>
      </w:r>
      <w:r>
        <w:rPr>
          <w:rFonts w:hint="eastAsia" w:ascii="宋体" w:hAnsi="宋体" w:eastAsia="宋体" w:cs="Times New Roman"/>
          <w:b/>
          <w:bCs/>
          <w:kern w:val="2"/>
          <w:sz w:val="21"/>
          <w:szCs w:val="21"/>
          <w:lang w:val="en-US" w:eastAsia="zh-CN" w:bidi="ar-SA"/>
        </w:rPr>
        <w:t>为准。</w:t>
      </w:r>
    </w:p>
    <w:p>
      <w:pPr>
        <w:rPr>
          <w:rFonts w:hint="eastAsia" w:ascii="宋体" w:hAnsi="宋体"/>
          <w:b/>
          <w:kern w:val="1"/>
          <w:szCs w:val="21"/>
        </w:rPr>
      </w:pPr>
      <w:r>
        <w:rPr>
          <w:rFonts w:hint="eastAsia" w:ascii="宋体" w:hAnsi="宋体"/>
          <w:b/>
          <w:kern w:val="1"/>
          <w:szCs w:val="21"/>
        </w:rPr>
        <w:br w:type="page"/>
      </w:r>
    </w:p>
    <w:p>
      <w:pPr>
        <w:rPr>
          <w:rFonts w:hint="eastAsia" w:ascii="宋体" w:hAnsi="宋体"/>
          <w:b/>
          <w:kern w:val="1"/>
          <w:szCs w:val="21"/>
          <w:lang w:val="en-US" w:eastAsia="zh-CN"/>
        </w:rPr>
      </w:pPr>
      <w:r>
        <w:rPr>
          <w:rFonts w:hint="eastAsia" w:ascii="宋体" w:hAnsi="宋体"/>
          <w:b/>
          <w:kern w:val="1"/>
          <w:szCs w:val="21"/>
          <w:lang w:val="en-US" w:eastAsia="zh-CN"/>
        </w:rPr>
        <w:t>附件1：标项1已建好监测站点的固定资产清单</w:t>
      </w:r>
    </w:p>
    <w:tbl>
      <w:tblPr>
        <w:tblStyle w:val="44"/>
        <w:tblW w:w="50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52"/>
        <w:gridCol w:w="1532"/>
        <w:gridCol w:w="735"/>
        <w:gridCol w:w="665"/>
        <w:gridCol w:w="1883"/>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blHeader/>
        </w:trPr>
        <w:tc>
          <w:tcPr>
            <w:tcW w:w="1434" w:type="pct"/>
            <w:noWrap w:val="0"/>
            <w:tcMar>
              <w:top w:w="15" w:type="dxa"/>
              <w:left w:w="15" w:type="dxa"/>
              <w:right w:w="15" w:type="dxa"/>
            </w:tcMar>
            <w:vAlign w:val="center"/>
          </w:tcPr>
          <w:p>
            <w:pPr>
              <w:widowControl/>
              <w:jc w:val="center"/>
              <w:textAlignment w:val="center"/>
              <w:rPr>
                <w:rFonts w:ascii="Times New Roman" w:hAnsi="Times New Roman"/>
                <w:b/>
                <w:color w:val="000000"/>
                <w:szCs w:val="21"/>
              </w:rPr>
            </w:pPr>
            <w:r>
              <w:rPr>
                <w:rFonts w:ascii="Times New Roman" w:hAnsi="Times New Roman"/>
                <w:b/>
                <w:color w:val="000000"/>
                <w:kern w:val="0"/>
                <w:szCs w:val="21"/>
              </w:rPr>
              <w:t>名称</w:t>
            </w:r>
          </w:p>
        </w:tc>
        <w:tc>
          <w:tcPr>
            <w:tcW w:w="861" w:type="pct"/>
            <w:noWrap w:val="0"/>
            <w:tcMar>
              <w:top w:w="15" w:type="dxa"/>
              <w:left w:w="15" w:type="dxa"/>
              <w:right w:w="15" w:type="dxa"/>
            </w:tcMar>
            <w:vAlign w:val="center"/>
          </w:tcPr>
          <w:p>
            <w:pPr>
              <w:widowControl/>
              <w:jc w:val="center"/>
              <w:textAlignment w:val="center"/>
              <w:rPr>
                <w:rFonts w:ascii="Times New Roman" w:hAnsi="Times New Roman"/>
                <w:b/>
                <w:color w:val="000000"/>
                <w:szCs w:val="21"/>
              </w:rPr>
            </w:pPr>
            <w:r>
              <w:rPr>
                <w:rFonts w:ascii="Times New Roman" w:hAnsi="Times New Roman"/>
                <w:b/>
                <w:color w:val="000000"/>
                <w:kern w:val="0"/>
                <w:szCs w:val="21"/>
              </w:rPr>
              <w:t>规格\型号</w:t>
            </w:r>
          </w:p>
        </w:tc>
        <w:tc>
          <w:tcPr>
            <w:tcW w:w="413" w:type="pct"/>
            <w:noWrap w:val="0"/>
            <w:tcMar>
              <w:top w:w="15" w:type="dxa"/>
              <w:left w:w="15" w:type="dxa"/>
              <w:right w:w="15" w:type="dxa"/>
            </w:tcMar>
            <w:vAlign w:val="center"/>
          </w:tcPr>
          <w:p>
            <w:pPr>
              <w:widowControl/>
              <w:jc w:val="center"/>
              <w:textAlignment w:val="center"/>
              <w:rPr>
                <w:rFonts w:ascii="Times New Roman" w:hAnsi="Times New Roman"/>
                <w:b/>
                <w:color w:val="000000"/>
                <w:szCs w:val="21"/>
              </w:rPr>
            </w:pPr>
            <w:r>
              <w:rPr>
                <w:rFonts w:ascii="Times New Roman" w:hAnsi="Times New Roman"/>
                <w:b/>
                <w:color w:val="000000"/>
                <w:kern w:val="0"/>
                <w:szCs w:val="21"/>
              </w:rPr>
              <w:t>单位</w:t>
            </w:r>
          </w:p>
        </w:tc>
        <w:tc>
          <w:tcPr>
            <w:tcW w:w="374" w:type="pct"/>
            <w:noWrap w:val="0"/>
            <w:tcMar>
              <w:top w:w="15" w:type="dxa"/>
              <w:left w:w="15" w:type="dxa"/>
              <w:right w:w="15" w:type="dxa"/>
            </w:tcMar>
            <w:vAlign w:val="center"/>
          </w:tcPr>
          <w:p>
            <w:pPr>
              <w:widowControl/>
              <w:jc w:val="center"/>
              <w:textAlignment w:val="center"/>
              <w:rPr>
                <w:rFonts w:ascii="Times New Roman" w:hAnsi="Times New Roman"/>
                <w:b/>
                <w:color w:val="000000"/>
                <w:szCs w:val="21"/>
              </w:rPr>
            </w:pPr>
            <w:r>
              <w:rPr>
                <w:rFonts w:ascii="Times New Roman" w:hAnsi="Times New Roman"/>
                <w:b/>
                <w:color w:val="000000"/>
                <w:kern w:val="0"/>
                <w:szCs w:val="21"/>
              </w:rPr>
              <w:t>数量</w:t>
            </w:r>
          </w:p>
        </w:tc>
        <w:tc>
          <w:tcPr>
            <w:tcW w:w="1055" w:type="pct"/>
            <w:noWrap w:val="0"/>
            <w:tcMar>
              <w:top w:w="15" w:type="dxa"/>
              <w:left w:w="15" w:type="dxa"/>
              <w:right w:w="15" w:type="dxa"/>
            </w:tcMar>
            <w:vAlign w:val="center"/>
          </w:tcPr>
          <w:p>
            <w:pPr>
              <w:widowControl/>
              <w:jc w:val="center"/>
              <w:textAlignment w:val="center"/>
              <w:rPr>
                <w:rFonts w:ascii="Times New Roman" w:hAnsi="Times New Roman"/>
                <w:b/>
                <w:color w:val="000000"/>
                <w:szCs w:val="21"/>
              </w:rPr>
            </w:pPr>
            <w:r>
              <w:rPr>
                <w:rFonts w:ascii="Times New Roman" w:hAnsi="Times New Roman"/>
                <w:b/>
                <w:color w:val="000000"/>
                <w:kern w:val="0"/>
                <w:szCs w:val="21"/>
              </w:rPr>
              <w:t>制造商名称</w:t>
            </w:r>
          </w:p>
        </w:tc>
        <w:tc>
          <w:tcPr>
            <w:tcW w:w="859" w:type="pct"/>
            <w:noWrap w:val="0"/>
            <w:tcMar>
              <w:top w:w="15" w:type="dxa"/>
              <w:left w:w="15" w:type="dxa"/>
              <w:right w:w="15" w:type="dxa"/>
            </w:tcMar>
            <w:vAlign w:val="center"/>
          </w:tcPr>
          <w:p>
            <w:pPr>
              <w:widowControl/>
              <w:jc w:val="center"/>
              <w:textAlignment w:val="center"/>
              <w:rPr>
                <w:rFonts w:ascii="Times New Roman" w:hAnsi="Times New Roman"/>
                <w:b/>
                <w:color w:val="000000"/>
                <w:szCs w:val="21"/>
              </w:rPr>
            </w:pPr>
            <w:r>
              <w:rPr>
                <w:rFonts w:ascii="Times New Roman" w:hAnsi="Times New Roman"/>
                <w:b/>
                <w:color w:val="000000"/>
                <w:kern w:val="0"/>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blHeader/>
        </w:trPr>
        <w:tc>
          <w:tcPr>
            <w:tcW w:w="4140" w:type="pct"/>
            <w:gridSpan w:val="5"/>
            <w:noWrap w:val="0"/>
            <w:tcMar>
              <w:top w:w="15" w:type="dxa"/>
              <w:left w:w="15" w:type="dxa"/>
              <w:right w:w="15" w:type="dxa"/>
            </w:tcMar>
            <w:vAlign w:val="center"/>
          </w:tcPr>
          <w:p>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地表水水质自动监测系统（含绿洁水务水质通用控制软件V1.0）</w:t>
            </w:r>
          </w:p>
        </w:tc>
        <w:tc>
          <w:tcPr>
            <w:tcW w:w="859" w:type="pct"/>
            <w:noWrap w:val="0"/>
            <w:tcMar>
              <w:top w:w="15" w:type="dxa"/>
              <w:left w:w="15" w:type="dxa"/>
              <w:right w:w="15" w:type="dxa"/>
            </w:tcMar>
            <w:vAlign w:val="center"/>
          </w:tcPr>
          <w:p>
            <w:pPr>
              <w:widowControl/>
              <w:jc w:val="center"/>
              <w:textAlignment w:val="center"/>
              <w:rPr>
                <w:rFonts w:ascii="Times New Roman" w:hAnsi="Times New Roman"/>
                <w:bCs/>
                <w:color w:val="000000"/>
                <w:kern w:val="0"/>
                <w:szCs w:val="21"/>
              </w:rPr>
            </w:pPr>
            <w:r>
              <w:rPr>
                <w:rFonts w:ascii="Times New Roman" w:hAnsi="Times New Roman"/>
                <w:bCs/>
                <w:color w:val="000000"/>
                <w:kern w:val="0"/>
                <w:szCs w:val="21"/>
              </w:rPr>
              <w:t>29,460,000.00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5000" w:type="pct"/>
            <w:gridSpan w:val="6"/>
            <w:noWrap w:val="0"/>
            <w:tcMar>
              <w:top w:w="15" w:type="dxa"/>
              <w:left w:w="15" w:type="dxa"/>
              <w:right w:w="15" w:type="dxa"/>
            </w:tcMar>
            <w:vAlign w:val="center"/>
          </w:tcPr>
          <w:p>
            <w:pPr>
              <w:widowControl/>
              <w:jc w:val="left"/>
              <w:textAlignment w:val="center"/>
              <w:rPr>
                <w:rFonts w:ascii="Times New Roman" w:hAnsi="Times New Roman"/>
                <w:color w:val="000000"/>
                <w:szCs w:val="21"/>
              </w:rPr>
            </w:pPr>
            <w:r>
              <w:rPr>
                <w:rFonts w:ascii="Times New Roman" w:hAnsi="Times New Roman"/>
                <w:color w:val="000000"/>
                <w:kern w:val="0"/>
                <w:szCs w:val="21"/>
              </w:rPr>
              <w:t>一、主要仪器、系统集成及站房等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143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五参数水质自动分析仪</w:t>
            </w:r>
          </w:p>
        </w:tc>
        <w:tc>
          <w:tcPr>
            <w:tcW w:w="86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GR-6600</w:t>
            </w:r>
          </w:p>
        </w:tc>
        <w:tc>
          <w:tcPr>
            <w:tcW w:w="413"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套</w:t>
            </w:r>
          </w:p>
        </w:tc>
        <w:tc>
          <w:tcPr>
            <w:tcW w:w="37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40</w:t>
            </w:r>
          </w:p>
        </w:tc>
        <w:tc>
          <w:tcPr>
            <w:tcW w:w="1055"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杭州绿洁环境科技股份有限公司</w:t>
            </w:r>
          </w:p>
        </w:tc>
        <w:tc>
          <w:tcPr>
            <w:tcW w:w="859"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2,400,000.00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143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氨氮水质自动分析仪</w:t>
            </w:r>
          </w:p>
        </w:tc>
        <w:tc>
          <w:tcPr>
            <w:tcW w:w="86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GR-3411</w:t>
            </w:r>
          </w:p>
        </w:tc>
        <w:tc>
          <w:tcPr>
            <w:tcW w:w="413"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套</w:t>
            </w:r>
          </w:p>
        </w:tc>
        <w:tc>
          <w:tcPr>
            <w:tcW w:w="37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40</w:t>
            </w:r>
          </w:p>
        </w:tc>
        <w:tc>
          <w:tcPr>
            <w:tcW w:w="1055"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杭州绿洁环境科技股份有限公司</w:t>
            </w:r>
          </w:p>
        </w:tc>
        <w:tc>
          <w:tcPr>
            <w:tcW w:w="859"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3,600,000.00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143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高锰酸盐指数水质自动分析仪</w:t>
            </w:r>
          </w:p>
        </w:tc>
        <w:tc>
          <w:tcPr>
            <w:tcW w:w="86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GR-2110</w:t>
            </w:r>
          </w:p>
        </w:tc>
        <w:tc>
          <w:tcPr>
            <w:tcW w:w="413"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套</w:t>
            </w:r>
          </w:p>
        </w:tc>
        <w:tc>
          <w:tcPr>
            <w:tcW w:w="37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40</w:t>
            </w:r>
          </w:p>
        </w:tc>
        <w:tc>
          <w:tcPr>
            <w:tcW w:w="1055"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杭州绿洁环境科技股份有限公司</w:t>
            </w:r>
          </w:p>
        </w:tc>
        <w:tc>
          <w:tcPr>
            <w:tcW w:w="859"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3,600,000.00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143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总磷水质自动分析仪</w:t>
            </w:r>
          </w:p>
        </w:tc>
        <w:tc>
          <w:tcPr>
            <w:tcW w:w="86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GR-3100</w:t>
            </w:r>
          </w:p>
        </w:tc>
        <w:tc>
          <w:tcPr>
            <w:tcW w:w="413"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套</w:t>
            </w:r>
          </w:p>
        </w:tc>
        <w:tc>
          <w:tcPr>
            <w:tcW w:w="37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40</w:t>
            </w:r>
          </w:p>
        </w:tc>
        <w:tc>
          <w:tcPr>
            <w:tcW w:w="1055"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杭州绿洁环境科技股份有限公司</w:t>
            </w:r>
          </w:p>
        </w:tc>
        <w:tc>
          <w:tcPr>
            <w:tcW w:w="859"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3,600,000.00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143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总氮水质自动分析仪（实际数量以签订合同的数量为准）</w:t>
            </w:r>
          </w:p>
        </w:tc>
        <w:tc>
          <w:tcPr>
            <w:tcW w:w="86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GR-2140</w:t>
            </w:r>
          </w:p>
        </w:tc>
        <w:tc>
          <w:tcPr>
            <w:tcW w:w="413"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套</w:t>
            </w:r>
          </w:p>
        </w:tc>
        <w:tc>
          <w:tcPr>
            <w:tcW w:w="37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10</w:t>
            </w:r>
          </w:p>
        </w:tc>
        <w:tc>
          <w:tcPr>
            <w:tcW w:w="1055"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杭州绿洁环境科技股份有限公司</w:t>
            </w:r>
          </w:p>
        </w:tc>
        <w:tc>
          <w:tcPr>
            <w:tcW w:w="859"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900,000.00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143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在线藻类分析仪</w:t>
            </w:r>
          </w:p>
        </w:tc>
        <w:tc>
          <w:tcPr>
            <w:tcW w:w="86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Alage Online Analyser</w:t>
            </w:r>
          </w:p>
        </w:tc>
        <w:tc>
          <w:tcPr>
            <w:tcW w:w="413"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套</w:t>
            </w:r>
          </w:p>
        </w:tc>
        <w:tc>
          <w:tcPr>
            <w:tcW w:w="37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1</w:t>
            </w:r>
          </w:p>
        </w:tc>
        <w:tc>
          <w:tcPr>
            <w:tcW w:w="1055"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bbe Moldaenke</w:t>
            </w:r>
          </w:p>
        </w:tc>
        <w:tc>
          <w:tcPr>
            <w:tcW w:w="859"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143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生物毒性分析仪</w:t>
            </w:r>
          </w:p>
        </w:tc>
        <w:tc>
          <w:tcPr>
            <w:tcW w:w="86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tox sniffer系列</w:t>
            </w:r>
            <w:r>
              <w:rPr>
                <w:rStyle w:val="380"/>
              </w:rPr>
              <w:t>GR-8800</w:t>
            </w:r>
          </w:p>
        </w:tc>
        <w:tc>
          <w:tcPr>
            <w:tcW w:w="413"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套</w:t>
            </w:r>
          </w:p>
        </w:tc>
        <w:tc>
          <w:tcPr>
            <w:tcW w:w="37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1</w:t>
            </w:r>
          </w:p>
        </w:tc>
        <w:tc>
          <w:tcPr>
            <w:tcW w:w="1055"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杭州绿洁环境科技股份有限公司</w:t>
            </w:r>
          </w:p>
        </w:tc>
        <w:tc>
          <w:tcPr>
            <w:tcW w:w="859"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600,000.00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143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系统集成（含站控平台）</w:t>
            </w:r>
          </w:p>
        </w:tc>
        <w:tc>
          <w:tcPr>
            <w:tcW w:w="86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定制</w:t>
            </w:r>
          </w:p>
        </w:tc>
        <w:tc>
          <w:tcPr>
            <w:tcW w:w="413"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套</w:t>
            </w:r>
          </w:p>
        </w:tc>
        <w:tc>
          <w:tcPr>
            <w:tcW w:w="37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40</w:t>
            </w:r>
          </w:p>
        </w:tc>
        <w:tc>
          <w:tcPr>
            <w:tcW w:w="1055"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杭州绿洁环境科技股份有限公司</w:t>
            </w:r>
          </w:p>
        </w:tc>
        <w:tc>
          <w:tcPr>
            <w:tcW w:w="859"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6,560,000.00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143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水质监测站房</w:t>
            </w:r>
          </w:p>
        </w:tc>
        <w:tc>
          <w:tcPr>
            <w:tcW w:w="86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定制</w:t>
            </w:r>
          </w:p>
        </w:tc>
        <w:tc>
          <w:tcPr>
            <w:tcW w:w="413"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套</w:t>
            </w:r>
          </w:p>
        </w:tc>
        <w:tc>
          <w:tcPr>
            <w:tcW w:w="37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40</w:t>
            </w:r>
          </w:p>
        </w:tc>
        <w:tc>
          <w:tcPr>
            <w:tcW w:w="1055"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杭州绿洁环境科技股份有限公司</w:t>
            </w:r>
          </w:p>
        </w:tc>
        <w:tc>
          <w:tcPr>
            <w:tcW w:w="859"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5000" w:type="pct"/>
            <w:gridSpan w:val="6"/>
            <w:noWrap w:val="0"/>
            <w:tcMar>
              <w:top w:w="15" w:type="dxa"/>
              <w:left w:w="15" w:type="dxa"/>
              <w:right w:w="15" w:type="dxa"/>
            </w:tcMar>
            <w:vAlign w:val="center"/>
          </w:tcPr>
          <w:p>
            <w:pPr>
              <w:widowControl/>
              <w:jc w:val="left"/>
              <w:textAlignment w:val="center"/>
              <w:rPr>
                <w:rFonts w:ascii="Times New Roman" w:hAnsi="Times New Roman"/>
                <w:color w:val="000000"/>
                <w:szCs w:val="21"/>
              </w:rPr>
            </w:pPr>
            <w:r>
              <w:rPr>
                <w:rFonts w:ascii="Times New Roman" w:hAnsi="Times New Roman"/>
                <w:color w:val="000000"/>
                <w:kern w:val="0"/>
                <w:szCs w:val="21"/>
              </w:rPr>
              <w:t>二、配套平台及软件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143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平台及软件</w:t>
            </w:r>
          </w:p>
        </w:tc>
        <w:tc>
          <w:tcPr>
            <w:tcW w:w="86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定制</w:t>
            </w:r>
          </w:p>
        </w:tc>
        <w:tc>
          <w:tcPr>
            <w:tcW w:w="413"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套</w:t>
            </w:r>
          </w:p>
        </w:tc>
        <w:tc>
          <w:tcPr>
            <w:tcW w:w="37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1</w:t>
            </w:r>
          </w:p>
        </w:tc>
        <w:tc>
          <w:tcPr>
            <w:tcW w:w="1055"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杭州绿洁环境科技股份有限公司</w:t>
            </w:r>
          </w:p>
        </w:tc>
        <w:tc>
          <w:tcPr>
            <w:tcW w:w="859"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5000" w:type="pct"/>
            <w:gridSpan w:val="6"/>
            <w:noWrap w:val="0"/>
            <w:tcMar>
              <w:top w:w="15" w:type="dxa"/>
              <w:left w:w="15" w:type="dxa"/>
              <w:right w:w="15" w:type="dxa"/>
            </w:tcMar>
            <w:vAlign w:val="center"/>
          </w:tcPr>
          <w:p>
            <w:pPr>
              <w:widowControl/>
              <w:jc w:val="left"/>
              <w:textAlignment w:val="center"/>
              <w:rPr>
                <w:rFonts w:ascii="Times New Roman" w:hAnsi="Times New Roman"/>
                <w:color w:val="000000"/>
                <w:szCs w:val="21"/>
              </w:rPr>
            </w:pPr>
            <w:r>
              <w:rPr>
                <w:rFonts w:ascii="Times New Roman" w:hAnsi="Times New Roman"/>
                <w:color w:val="000000"/>
                <w:kern w:val="0"/>
                <w:szCs w:val="21"/>
              </w:rPr>
              <w:t>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143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服务</w:t>
            </w:r>
          </w:p>
        </w:tc>
        <w:tc>
          <w:tcPr>
            <w:tcW w:w="861"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定制</w:t>
            </w:r>
          </w:p>
        </w:tc>
        <w:tc>
          <w:tcPr>
            <w:tcW w:w="413"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套</w:t>
            </w:r>
          </w:p>
        </w:tc>
        <w:tc>
          <w:tcPr>
            <w:tcW w:w="374"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40</w:t>
            </w:r>
          </w:p>
        </w:tc>
        <w:tc>
          <w:tcPr>
            <w:tcW w:w="1055"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杭州绿洁环境科技股份有限公司</w:t>
            </w:r>
          </w:p>
        </w:tc>
        <w:tc>
          <w:tcPr>
            <w:tcW w:w="859" w:type="pct"/>
            <w:noWrap w:val="0"/>
            <w:tcMar>
              <w:top w:w="15" w:type="dxa"/>
              <w:left w:w="15" w:type="dxa"/>
              <w:right w:w="15" w:type="dxa"/>
            </w:tcMar>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rPr>
              <w:t>4,400,000.00</w:t>
            </w:r>
          </w:p>
        </w:tc>
      </w:tr>
    </w:tbl>
    <w:p>
      <w:pPr>
        <w:rPr>
          <w:rFonts w:hint="eastAsia" w:ascii="宋体" w:hAnsi="宋体"/>
          <w:b/>
          <w:kern w:val="1"/>
          <w:szCs w:val="21"/>
          <w:lang w:val="en-US" w:eastAsia="zh-CN"/>
        </w:rPr>
      </w:pPr>
    </w:p>
    <w:p>
      <w:pPr>
        <w:rPr>
          <w:rFonts w:hint="eastAsia" w:ascii="宋体" w:hAnsi="宋体"/>
          <w:b/>
          <w:kern w:val="1"/>
          <w:szCs w:val="21"/>
          <w:lang w:val="en-US" w:eastAsia="zh-CN"/>
        </w:rPr>
      </w:pPr>
    </w:p>
    <w:p>
      <w:pPr>
        <w:rPr>
          <w:rFonts w:hint="eastAsia" w:ascii="宋体" w:hAnsi="宋体"/>
          <w:b/>
          <w:kern w:val="1"/>
          <w:szCs w:val="21"/>
          <w:lang w:val="en-US" w:eastAsia="zh-CN"/>
        </w:rPr>
      </w:pPr>
    </w:p>
    <w:p>
      <w:pPr>
        <w:rPr>
          <w:rFonts w:hint="eastAsia" w:ascii="宋体" w:hAnsi="宋体"/>
          <w:b/>
          <w:kern w:val="1"/>
          <w:szCs w:val="21"/>
          <w:lang w:val="en-US" w:eastAsia="zh-CN"/>
        </w:rPr>
      </w:pPr>
    </w:p>
    <w:p>
      <w:pPr>
        <w:rPr>
          <w:rFonts w:hint="eastAsia" w:ascii="宋体" w:hAnsi="宋体"/>
          <w:b/>
          <w:kern w:val="1"/>
          <w:szCs w:val="21"/>
          <w:lang w:val="en-US" w:eastAsia="zh-CN"/>
        </w:rPr>
      </w:pPr>
    </w:p>
    <w:p>
      <w:pPr>
        <w:rPr>
          <w:rFonts w:hint="eastAsia" w:ascii="宋体" w:hAnsi="宋体"/>
          <w:b/>
          <w:kern w:val="1"/>
          <w:szCs w:val="21"/>
        </w:rPr>
      </w:pPr>
      <w:r>
        <w:rPr>
          <w:rFonts w:hint="eastAsia" w:ascii="宋体" w:hAnsi="宋体"/>
          <w:b/>
          <w:kern w:val="1"/>
          <w:szCs w:val="21"/>
        </w:rPr>
        <w:br w:type="page"/>
      </w:r>
    </w:p>
    <w:p>
      <w:pPr>
        <w:rPr>
          <w:rFonts w:hint="eastAsia" w:ascii="宋体" w:hAnsi="宋体"/>
          <w:b/>
          <w:kern w:val="1"/>
          <w:szCs w:val="21"/>
          <w:lang w:val="en-US" w:eastAsia="zh-CN"/>
        </w:rPr>
      </w:pPr>
      <w:r>
        <w:rPr>
          <w:rFonts w:hint="eastAsia" w:ascii="宋体" w:hAnsi="宋体"/>
          <w:b/>
          <w:kern w:val="1"/>
          <w:szCs w:val="21"/>
          <w:lang w:val="en-US" w:eastAsia="zh-CN"/>
        </w:rPr>
        <w:t>附件2：标项2已建好监测站点的固定资产清单</w:t>
      </w:r>
    </w:p>
    <w:p>
      <w:pPr>
        <w:rPr>
          <w:rFonts w:hint="eastAsia" w:ascii="宋体" w:hAnsi="宋体"/>
          <w:b/>
          <w:kern w:val="1"/>
          <w:szCs w:val="21"/>
        </w:rPr>
      </w:pPr>
    </w:p>
    <w:tbl>
      <w:tblPr>
        <w:tblStyle w:val="44"/>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691"/>
        <w:gridCol w:w="1484"/>
        <w:gridCol w:w="2592"/>
        <w:gridCol w:w="869"/>
        <w:gridCol w:w="122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5" w:hRule="atLeast"/>
          <w:jc w:val="center"/>
        </w:trPr>
        <w:tc>
          <w:tcPr>
            <w:tcW w:w="1691" w:type="dxa"/>
            <w:shd w:val="clear" w:color="auto" w:fill="FFFFFF" w:themeFill="background1"/>
            <w:vAlign w:val="center"/>
          </w:tcPr>
          <w:p>
            <w:pPr>
              <w:pStyle w:val="24"/>
              <w:spacing w:beforeLines="0" w:afterLines="0" w:line="360" w:lineRule="auto"/>
              <w:jc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品名</w:t>
            </w:r>
          </w:p>
        </w:tc>
        <w:tc>
          <w:tcPr>
            <w:tcW w:w="1484" w:type="dxa"/>
            <w:shd w:val="clear" w:color="auto" w:fill="FFFFFF" w:themeFill="background1"/>
            <w:vAlign w:val="center"/>
          </w:tcPr>
          <w:p>
            <w:pPr>
              <w:pStyle w:val="24"/>
              <w:spacing w:beforeLines="0" w:afterLines="0" w:line="360" w:lineRule="auto"/>
              <w:jc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规格</w:t>
            </w:r>
            <w:r>
              <w:rPr>
                <w:rFonts w:ascii="Times New Roman" w:hAnsi="Times New Roman" w:eastAsia="宋体" w:cs="Times New Roman"/>
                <w:color w:val="000000"/>
                <w:kern w:val="0"/>
                <w:sz w:val="21"/>
                <w:szCs w:val="21"/>
                <w:lang w:val="en-US" w:eastAsia="zh-CN" w:bidi="ar-SA"/>
              </w:rPr>
              <w:t>\</w:t>
            </w:r>
            <w:r>
              <w:rPr>
                <w:rFonts w:hint="eastAsia" w:ascii="Times New Roman" w:hAnsi="Times New Roman" w:eastAsia="宋体" w:cs="Times New Roman"/>
                <w:color w:val="000000"/>
                <w:kern w:val="0"/>
                <w:sz w:val="21"/>
                <w:szCs w:val="21"/>
                <w:lang w:val="en-US" w:eastAsia="zh-CN" w:bidi="ar-SA"/>
              </w:rPr>
              <w:t>型号</w:t>
            </w:r>
          </w:p>
        </w:tc>
        <w:tc>
          <w:tcPr>
            <w:tcW w:w="2592" w:type="dxa"/>
            <w:shd w:val="clear" w:color="auto" w:fill="FFFFFF" w:themeFill="background1"/>
            <w:vAlign w:val="center"/>
          </w:tcPr>
          <w:p>
            <w:pPr>
              <w:pStyle w:val="24"/>
              <w:spacing w:beforeLines="0" w:afterLines="0" w:line="360" w:lineRule="auto"/>
              <w:jc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制造商</w:t>
            </w:r>
          </w:p>
        </w:tc>
        <w:tc>
          <w:tcPr>
            <w:tcW w:w="869" w:type="dxa"/>
            <w:shd w:val="clear" w:color="auto" w:fill="FFFFFF" w:themeFill="background1"/>
            <w:vAlign w:val="center"/>
          </w:tcPr>
          <w:p>
            <w:pPr>
              <w:pStyle w:val="24"/>
              <w:spacing w:beforeLines="0" w:afterLines="0" w:line="360" w:lineRule="auto"/>
              <w:jc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数量</w:t>
            </w:r>
          </w:p>
        </w:tc>
        <w:tc>
          <w:tcPr>
            <w:tcW w:w="1225" w:type="dxa"/>
            <w:shd w:val="clear" w:color="auto" w:fill="FFFFFF" w:themeFill="background1"/>
            <w:vAlign w:val="center"/>
          </w:tcPr>
          <w:p>
            <w:pPr>
              <w:pStyle w:val="24"/>
              <w:spacing w:beforeLines="0" w:afterLines="0" w:line="360" w:lineRule="auto"/>
              <w:jc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单价（元）</w:t>
            </w:r>
          </w:p>
        </w:tc>
        <w:tc>
          <w:tcPr>
            <w:tcW w:w="1576" w:type="dxa"/>
            <w:shd w:val="clear" w:color="auto" w:fill="FFFFFF" w:themeFill="background1"/>
            <w:vAlign w:val="center"/>
          </w:tcPr>
          <w:p>
            <w:pPr>
              <w:pStyle w:val="24"/>
              <w:spacing w:beforeLines="0" w:afterLines="0" w:line="360" w:lineRule="auto"/>
              <w:jc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8" w:hRule="atLeast"/>
          <w:jc w:val="center"/>
        </w:trPr>
        <w:tc>
          <w:tcPr>
            <w:tcW w:w="1691"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五参数分析仪</w:t>
            </w:r>
          </w:p>
        </w:tc>
        <w:tc>
          <w:tcPr>
            <w:tcW w:w="1484"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理工环科</w:t>
            </w:r>
            <w:r>
              <w:rPr>
                <w:rFonts w:ascii="Times New Roman" w:hAnsi="Times New Roman" w:eastAsia="宋体" w:cs="Times New Roman"/>
                <w:color w:val="000000"/>
                <w:kern w:val="0"/>
                <w:sz w:val="21"/>
                <w:szCs w:val="21"/>
                <w:lang w:val="en-US" w:eastAsia="zh-CN" w:bidi="ar-SA"/>
              </w:rPr>
              <w:t>WQMS2000-MS5</w:t>
            </w:r>
          </w:p>
        </w:tc>
        <w:tc>
          <w:tcPr>
            <w:tcW w:w="2592"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宁波理工环境能源科技股份有限公司</w:t>
            </w:r>
          </w:p>
        </w:tc>
        <w:tc>
          <w:tcPr>
            <w:tcW w:w="869"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41</w:t>
            </w:r>
          </w:p>
        </w:tc>
        <w:tc>
          <w:tcPr>
            <w:tcW w:w="1225"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90,000.00</w:t>
            </w:r>
          </w:p>
        </w:tc>
        <w:tc>
          <w:tcPr>
            <w:tcW w:w="1576"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3,690,000.00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8" w:hRule="atLeast"/>
          <w:jc w:val="center"/>
        </w:trPr>
        <w:tc>
          <w:tcPr>
            <w:tcW w:w="1691"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氨氮分析仪</w:t>
            </w:r>
          </w:p>
        </w:tc>
        <w:tc>
          <w:tcPr>
            <w:tcW w:w="1484"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理工环科</w:t>
            </w:r>
            <w:r>
              <w:rPr>
                <w:rFonts w:ascii="Times New Roman" w:hAnsi="Times New Roman" w:eastAsia="宋体" w:cs="Times New Roman"/>
                <w:color w:val="000000"/>
                <w:kern w:val="0"/>
                <w:sz w:val="21"/>
                <w:szCs w:val="21"/>
                <w:lang w:val="en-US" w:eastAsia="zh-CN" w:bidi="ar-SA"/>
              </w:rPr>
              <w:t>WQMS2000-NHN</w:t>
            </w:r>
          </w:p>
        </w:tc>
        <w:tc>
          <w:tcPr>
            <w:tcW w:w="2592"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宁波理工环境能源科技股份有限公司</w:t>
            </w:r>
          </w:p>
        </w:tc>
        <w:tc>
          <w:tcPr>
            <w:tcW w:w="869"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41</w:t>
            </w:r>
          </w:p>
        </w:tc>
        <w:tc>
          <w:tcPr>
            <w:tcW w:w="1225"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129,000.00</w:t>
            </w:r>
          </w:p>
        </w:tc>
        <w:tc>
          <w:tcPr>
            <w:tcW w:w="1576"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5,289,000.00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8" w:hRule="atLeast"/>
          <w:jc w:val="center"/>
        </w:trPr>
        <w:tc>
          <w:tcPr>
            <w:tcW w:w="1691"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高锰酸盐指数分析仪</w:t>
            </w:r>
          </w:p>
        </w:tc>
        <w:tc>
          <w:tcPr>
            <w:tcW w:w="1484"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理工环科</w:t>
            </w:r>
            <w:r>
              <w:rPr>
                <w:rFonts w:ascii="Times New Roman" w:hAnsi="Times New Roman" w:eastAsia="宋体" w:cs="Times New Roman"/>
                <w:color w:val="000000"/>
                <w:kern w:val="0"/>
                <w:sz w:val="21"/>
                <w:szCs w:val="21"/>
                <w:lang w:val="en-US" w:eastAsia="zh-CN" w:bidi="ar-SA"/>
              </w:rPr>
              <w:t>WQMS2000-CODmn</w:t>
            </w:r>
          </w:p>
        </w:tc>
        <w:tc>
          <w:tcPr>
            <w:tcW w:w="2592"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宁波理工环境能源科技股份有限公司</w:t>
            </w:r>
          </w:p>
        </w:tc>
        <w:tc>
          <w:tcPr>
            <w:tcW w:w="869"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41</w:t>
            </w:r>
          </w:p>
        </w:tc>
        <w:tc>
          <w:tcPr>
            <w:tcW w:w="1225"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130,000.00</w:t>
            </w:r>
          </w:p>
        </w:tc>
        <w:tc>
          <w:tcPr>
            <w:tcW w:w="1576"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5,330,000.00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8" w:hRule="atLeast"/>
          <w:jc w:val="center"/>
        </w:trPr>
        <w:tc>
          <w:tcPr>
            <w:tcW w:w="1691"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总磷分析仪</w:t>
            </w:r>
          </w:p>
        </w:tc>
        <w:tc>
          <w:tcPr>
            <w:tcW w:w="1484"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理工环科</w:t>
            </w:r>
            <w:r>
              <w:rPr>
                <w:rFonts w:ascii="Times New Roman" w:hAnsi="Times New Roman" w:eastAsia="宋体" w:cs="Times New Roman"/>
                <w:color w:val="000000"/>
                <w:kern w:val="0"/>
                <w:sz w:val="21"/>
                <w:szCs w:val="21"/>
                <w:lang w:val="en-US" w:eastAsia="zh-CN" w:bidi="ar-SA"/>
              </w:rPr>
              <w:t>WQMS2000-TP</w:t>
            </w:r>
          </w:p>
        </w:tc>
        <w:tc>
          <w:tcPr>
            <w:tcW w:w="2592"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宁波理工环境能源科技股份有限公司</w:t>
            </w:r>
          </w:p>
        </w:tc>
        <w:tc>
          <w:tcPr>
            <w:tcW w:w="869"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41</w:t>
            </w:r>
          </w:p>
        </w:tc>
        <w:tc>
          <w:tcPr>
            <w:tcW w:w="1225"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129,000.00</w:t>
            </w:r>
          </w:p>
        </w:tc>
        <w:tc>
          <w:tcPr>
            <w:tcW w:w="1576"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5,289,000.00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8" w:hRule="atLeast"/>
          <w:jc w:val="center"/>
        </w:trPr>
        <w:tc>
          <w:tcPr>
            <w:tcW w:w="1691"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总氮分析仪</w:t>
            </w:r>
          </w:p>
        </w:tc>
        <w:tc>
          <w:tcPr>
            <w:tcW w:w="1484"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理工环科</w:t>
            </w:r>
            <w:r>
              <w:rPr>
                <w:rFonts w:ascii="Times New Roman" w:hAnsi="Times New Roman" w:eastAsia="宋体" w:cs="Times New Roman"/>
                <w:color w:val="000000"/>
                <w:kern w:val="0"/>
                <w:sz w:val="21"/>
                <w:szCs w:val="21"/>
                <w:lang w:val="en-US" w:eastAsia="zh-CN" w:bidi="ar-SA"/>
              </w:rPr>
              <w:t>WQMS2000-TN</w:t>
            </w:r>
          </w:p>
        </w:tc>
        <w:tc>
          <w:tcPr>
            <w:tcW w:w="2592"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宁波理工环境能源科技股份有限公司</w:t>
            </w:r>
          </w:p>
        </w:tc>
        <w:tc>
          <w:tcPr>
            <w:tcW w:w="869"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2</w:t>
            </w:r>
          </w:p>
        </w:tc>
        <w:tc>
          <w:tcPr>
            <w:tcW w:w="1225"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123,000.00</w:t>
            </w:r>
          </w:p>
        </w:tc>
        <w:tc>
          <w:tcPr>
            <w:tcW w:w="1576"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246,000.00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8" w:hRule="atLeast"/>
          <w:jc w:val="center"/>
        </w:trPr>
        <w:tc>
          <w:tcPr>
            <w:tcW w:w="1691"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在线藻类分析仪</w:t>
            </w:r>
          </w:p>
        </w:tc>
        <w:tc>
          <w:tcPr>
            <w:tcW w:w="1484"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AOA</w:t>
            </w:r>
          </w:p>
        </w:tc>
        <w:tc>
          <w:tcPr>
            <w:tcW w:w="2592"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bbe Moldaenke GmbH</w:t>
            </w:r>
          </w:p>
        </w:tc>
        <w:tc>
          <w:tcPr>
            <w:tcW w:w="869"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1</w:t>
            </w:r>
          </w:p>
        </w:tc>
        <w:tc>
          <w:tcPr>
            <w:tcW w:w="1225"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705,200.00</w:t>
            </w:r>
          </w:p>
        </w:tc>
        <w:tc>
          <w:tcPr>
            <w:tcW w:w="1576"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705,200.00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8" w:hRule="atLeast"/>
          <w:jc w:val="center"/>
        </w:trPr>
        <w:tc>
          <w:tcPr>
            <w:tcW w:w="1691"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生物毒性分析仪</w:t>
            </w:r>
          </w:p>
        </w:tc>
        <w:tc>
          <w:tcPr>
            <w:tcW w:w="1484"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TOX Sniffer</w:t>
            </w:r>
            <w:r>
              <w:rPr>
                <w:rFonts w:hint="eastAsia" w:ascii="Times New Roman" w:hAnsi="Times New Roman" w:eastAsia="宋体" w:cs="Times New Roman"/>
                <w:color w:val="000000"/>
                <w:kern w:val="0"/>
                <w:sz w:val="21"/>
                <w:szCs w:val="21"/>
                <w:lang w:val="en-US" w:eastAsia="zh-CN" w:bidi="ar-SA"/>
              </w:rPr>
              <w:t>系列</w:t>
            </w:r>
            <w:r>
              <w:rPr>
                <w:rFonts w:ascii="Times New Roman" w:hAnsi="Times New Roman" w:eastAsia="宋体" w:cs="Times New Roman"/>
                <w:color w:val="000000"/>
                <w:kern w:val="0"/>
                <w:sz w:val="21"/>
                <w:szCs w:val="21"/>
                <w:lang w:val="en-US" w:eastAsia="zh-CN" w:bidi="ar-SA"/>
              </w:rPr>
              <w:t>GR-8800</w:t>
            </w:r>
          </w:p>
        </w:tc>
        <w:tc>
          <w:tcPr>
            <w:tcW w:w="2592"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杭州绿洁环境科技股份有限公司</w:t>
            </w:r>
          </w:p>
        </w:tc>
        <w:tc>
          <w:tcPr>
            <w:tcW w:w="869"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1</w:t>
            </w:r>
          </w:p>
        </w:tc>
        <w:tc>
          <w:tcPr>
            <w:tcW w:w="1225"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123,000.00</w:t>
            </w:r>
          </w:p>
        </w:tc>
        <w:tc>
          <w:tcPr>
            <w:tcW w:w="1576"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123,000.00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8" w:hRule="atLeast"/>
          <w:jc w:val="center"/>
        </w:trPr>
        <w:tc>
          <w:tcPr>
            <w:tcW w:w="1691"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水质自动监测站站房</w:t>
            </w:r>
          </w:p>
        </w:tc>
        <w:tc>
          <w:tcPr>
            <w:tcW w:w="1484"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理工环科（定制）</w:t>
            </w:r>
          </w:p>
        </w:tc>
        <w:tc>
          <w:tcPr>
            <w:tcW w:w="2592"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宁波理工环境能源科技股份有限公司</w:t>
            </w:r>
          </w:p>
        </w:tc>
        <w:tc>
          <w:tcPr>
            <w:tcW w:w="869"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41</w:t>
            </w:r>
          </w:p>
        </w:tc>
        <w:tc>
          <w:tcPr>
            <w:tcW w:w="1225"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150,000.00</w:t>
            </w:r>
          </w:p>
        </w:tc>
        <w:tc>
          <w:tcPr>
            <w:tcW w:w="1576"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6,150,000.00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8" w:hRule="atLeast"/>
          <w:jc w:val="center"/>
        </w:trPr>
        <w:tc>
          <w:tcPr>
            <w:tcW w:w="1691"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采水单元</w:t>
            </w:r>
          </w:p>
        </w:tc>
        <w:tc>
          <w:tcPr>
            <w:tcW w:w="1484"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理工环科（定制）</w:t>
            </w:r>
          </w:p>
        </w:tc>
        <w:tc>
          <w:tcPr>
            <w:tcW w:w="2592"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宁波理工环境能源科技股份有限公司</w:t>
            </w:r>
          </w:p>
        </w:tc>
        <w:tc>
          <w:tcPr>
            <w:tcW w:w="869"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41</w:t>
            </w:r>
          </w:p>
        </w:tc>
        <w:tc>
          <w:tcPr>
            <w:tcW w:w="1225"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42,000.00</w:t>
            </w:r>
          </w:p>
        </w:tc>
        <w:tc>
          <w:tcPr>
            <w:tcW w:w="1576"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1,722,000.00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8" w:hRule="atLeast"/>
          <w:jc w:val="center"/>
        </w:trPr>
        <w:tc>
          <w:tcPr>
            <w:tcW w:w="1691"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配水与预处理单元</w:t>
            </w:r>
          </w:p>
        </w:tc>
        <w:tc>
          <w:tcPr>
            <w:tcW w:w="1484"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理工环科（定制）</w:t>
            </w:r>
          </w:p>
        </w:tc>
        <w:tc>
          <w:tcPr>
            <w:tcW w:w="2592"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宁波理工环境能源科技股份有限公司</w:t>
            </w:r>
          </w:p>
        </w:tc>
        <w:tc>
          <w:tcPr>
            <w:tcW w:w="869"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41</w:t>
            </w:r>
          </w:p>
        </w:tc>
        <w:tc>
          <w:tcPr>
            <w:tcW w:w="1225"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42,000.00</w:t>
            </w:r>
          </w:p>
        </w:tc>
        <w:tc>
          <w:tcPr>
            <w:tcW w:w="1576"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1,722,000.00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8" w:hRule="atLeast"/>
          <w:jc w:val="center"/>
        </w:trPr>
        <w:tc>
          <w:tcPr>
            <w:tcW w:w="1691"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站控平台（控制单元及数据采集传输单元）</w:t>
            </w:r>
          </w:p>
        </w:tc>
        <w:tc>
          <w:tcPr>
            <w:tcW w:w="1484"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理工环科（定制）</w:t>
            </w:r>
          </w:p>
        </w:tc>
        <w:tc>
          <w:tcPr>
            <w:tcW w:w="2592"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宁波理工环境能源科技股份有限公司</w:t>
            </w:r>
          </w:p>
        </w:tc>
        <w:tc>
          <w:tcPr>
            <w:tcW w:w="869"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41</w:t>
            </w:r>
          </w:p>
        </w:tc>
        <w:tc>
          <w:tcPr>
            <w:tcW w:w="1225"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102,000.00</w:t>
            </w:r>
          </w:p>
        </w:tc>
        <w:tc>
          <w:tcPr>
            <w:tcW w:w="1576"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4,182,000.00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8" w:hRule="atLeast"/>
          <w:jc w:val="center"/>
        </w:trPr>
        <w:tc>
          <w:tcPr>
            <w:tcW w:w="1691"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辅助单元</w:t>
            </w:r>
          </w:p>
        </w:tc>
        <w:tc>
          <w:tcPr>
            <w:tcW w:w="1484"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理工环科（定制）</w:t>
            </w:r>
          </w:p>
        </w:tc>
        <w:tc>
          <w:tcPr>
            <w:tcW w:w="2592"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宁波理工环境能源科技股份有限公司</w:t>
            </w:r>
          </w:p>
        </w:tc>
        <w:tc>
          <w:tcPr>
            <w:tcW w:w="869"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41</w:t>
            </w:r>
          </w:p>
        </w:tc>
        <w:tc>
          <w:tcPr>
            <w:tcW w:w="1225"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42,000.00</w:t>
            </w:r>
          </w:p>
        </w:tc>
        <w:tc>
          <w:tcPr>
            <w:tcW w:w="1576"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1,722,000.00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8" w:hRule="atLeast"/>
          <w:jc w:val="center"/>
        </w:trPr>
        <w:tc>
          <w:tcPr>
            <w:tcW w:w="1691"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外采水装置</w:t>
            </w:r>
          </w:p>
        </w:tc>
        <w:tc>
          <w:tcPr>
            <w:tcW w:w="1484"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理工环科（定制）</w:t>
            </w:r>
          </w:p>
        </w:tc>
        <w:tc>
          <w:tcPr>
            <w:tcW w:w="2592"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宁波理工环境能源科技股份有限公司</w:t>
            </w:r>
          </w:p>
        </w:tc>
        <w:tc>
          <w:tcPr>
            <w:tcW w:w="869"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41</w:t>
            </w:r>
          </w:p>
        </w:tc>
        <w:tc>
          <w:tcPr>
            <w:tcW w:w="1225"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45,000.00</w:t>
            </w:r>
          </w:p>
        </w:tc>
        <w:tc>
          <w:tcPr>
            <w:tcW w:w="1576"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1,845,000.00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53" w:hRule="atLeast"/>
          <w:jc w:val="center"/>
        </w:trPr>
        <w:tc>
          <w:tcPr>
            <w:tcW w:w="1691"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水质监测平台</w:t>
            </w:r>
          </w:p>
        </w:tc>
        <w:tc>
          <w:tcPr>
            <w:tcW w:w="1484"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理工环科（定制）</w:t>
            </w:r>
          </w:p>
        </w:tc>
        <w:tc>
          <w:tcPr>
            <w:tcW w:w="2592"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宁波理工环境能源科技股份有限公司</w:t>
            </w:r>
          </w:p>
        </w:tc>
        <w:tc>
          <w:tcPr>
            <w:tcW w:w="869"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1</w:t>
            </w:r>
          </w:p>
        </w:tc>
        <w:tc>
          <w:tcPr>
            <w:tcW w:w="1225"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615,000.00</w:t>
            </w:r>
          </w:p>
        </w:tc>
        <w:tc>
          <w:tcPr>
            <w:tcW w:w="1576" w:type="dxa"/>
            <w:vAlign w:val="center"/>
          </w:tcPr>
          <w:p>
            <w:pPr>
              <w:widowControl/>
              <w:jc w:val="center"/>
              <w:textAlignment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615,000.00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7861" w:type="dxa"/>
            <w:gridSpan w:val="5"/>
            <w:vAlign w:val="center"/>
          </w:tcPr>
          <w:p>
            <w:pPr>
              <w:pStyle w:val="24"/>
              <w:spacing w:beforeLines="0" w:afterLines="0" w:line="360" w:lineRule="auto"/>
              <w:jc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合计（元）</w:t>
            </w:r>
          </w:p>
        </w:tc>
        <w:tc>
          <w:tcPr>
            <w:tcW w:w="1576" w:type="dxa"/>
            <w:vAlign w:val="center"/>
          </w:tcPr>
          <w:p>
            <w:pPr>
              <w:pStyle w:val="24"/>
              <w:spacing w:beforeLines="0" w:afterLines="0" w:line="360" w:lineRule="auto"/>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38,630,200.00</w:t>
            </w:r>
          </w:p>
        </w:tc>
      </w:tr>
    </w:tbl>
    <w:p>
      <w:pPr>
        <w:rPr>
          <w:rFonts w:hint="eastAsia" w:ascii="宋体" w:hAnsi="宋体"/>
          <w:b/>
          <w:kern w:val="1"/>
          <w:szCs w:val="21"/>
        </w:rPr>
      </w:pPr>
    </w:p>
    <w:p>
      <w:pPr>
        <w:rPr>
          <w:rFonts w:hint="eastAsia" w:ascii="宋体" w:hAnsi="宋体"/>
          <w:b/>
          <w:kern w:val="1"/>
          <w:szCs w:val="21"/>
        </w:rPr>
      </w:pPr>
      <w:r>
        <w:rPr>
          <w:rFonts w:hint="eastAsia" w:ascii="宋体" w:hAnsi="宋体"/>
          <w:b/>
          <w:kern w:val="1"/>
          <w:szCs w:val="21"/>
        </w:rPr>
        <w:br w:type="page"/>
      </w:r>
    </w:p>
    <w:p>
      <w:pPr>
        <w:widowControl/>
        <w:tabs>
          <w:tab w:val="left" w:pos="420"/>
          <w:tab w:val="left" w:pos="851"/>
        </w:tabs>
        <w:spacing w:line="360" w:lineRule="auto"/>
        <w:ind w:firstLine="424" w:firstLineChars="201"/>
        <w:jc w:val="left"/>
        <w:rPr>
          <w:rFonts w:ascii="宋体" w:hAnsi="宋体"/>
          <w:b/>
          <w:kern w:val="1"/>
          <w:szCs w:val="21"/>
        </w:rPr>
      </w:pPr>
      <w:r>
        <w:rPr>
          <w:rFonts w:hint="eastAsia" w:ascii="宋体" w:hAnsi="宋体"/>
          <w:b/>
          <w:kern w:val="1"/>
          <w:szCs w:val="21"/>
        </w:rPr>
        <w:t>二</w:t>
      </w:r>
      <w:r>
        <w:rPr>
          <w:rFonts w:ascii="宋体" w:hAnsi="宋体"/>
          <w:b/>
          <w:kern w:val="1"/>
          <w:szCs w:val="21"/>
        </w:rPr>
        <w:t>、商务要求</w:t>
      </w:r>
    </w:p>
    <w:tbl>
      <w:tblPr>
        <w:tblStyle w:val="44"/>
        <w:tblW w:w="8859" w:type="dxa"/>
        <w:tblInd w:w="108" w:type="dxa"/>
        <w:tblLayout w:type="fixed"/>
        <w:tblCellMar>
          <w:top w:w="0" w:type="dxa"/>
          <w:left w:w="108" w:type="dxa"/>
          <w:bottom w:w="0" w:type="dxa"/>
          <w:right w:w="108" w:type="dxa"/>
        </w:tblCellMar>
      </w:tblPr>
      <w:tblGrid>
        <w:gridCol w:w="1557"/>
        <w:gridCol w:w="7302"/>
      </w:tblGrid>
      <w:tr>
        <w:tblPrEx>
          <w:tblCellMar>
            <w:top w:w="0" w:type="dxa"/>
            <w:left w:w="108" w:type="dxa"/>
            <w:bottom w:w="0" w:type="dxa"/>
            <w:right w:w="108" w:type="dxa"/>
          </w:tblCellMar>
        </w:tblPrEx>
        <w:trPr>
          <w:trHeight w:val="493"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项目</w:t>
            </w:r>
          </w:p>
        </w:tc>
        <w:tc>
          <w:tcPr>
            <w:tcW w:w="7302" w:type="dxa"/>
            <w:tcBorders>
              <w:top w:val="single" w:color="000000" w:sz="4" w:space="0"/>
              <w:left w:val="single" w:color="000000" w:sz="4" w:space="0"/>
              <w:bottom w:val="single" w:color="000000" w:sz="4" w:space="0"/>
              <w:right w:val="single" w:color="000000" w:sz="4" w:space="0"/>
            </w:tcBorders>
            <w:vAlign w:val="center"/>
          </w:tcPr>
          <w:p>
            <w:pPr>
              <w:pStyle w:val="41"/>
              <w:spacing w:before="0" w:after="0"/>
              <w:ind w:left="-108"/>
              <w:rPr>
                <w:rFonts w:asciiTheme="minorEastAsia" w:hAnsiTheme="minorEastAsia" w:eastAsiaTheme="minorEastAsia"/>
                <w:color w:val="auto"/>
                <w:kern w:val="1"/>
                <w:sz w:val="21"/>
                <w:szCs w:val="21"/>
              </w:rPr>
            </w:pPr>
            <w:r>
              <w:rPr>
                <w:rFonts w:asciiTheme="minorEastAsia" w:hAnsiTheme="minorEastAsia" w:eastAsiaTheme="minorEastAsia"/>
                <w:color w:val="auto"/>
                <w:kern w:val="1"/>
                <w:sz w:val="21"/>
                <w:szCs w:val="21"/>
              </w:rPr>
              <w:t>要求</w:t>
            </w:r>
          </w:p>
        </w:tc>
      </w:tr>
      <w:tr>
        <w:tblPrEx>
          <w:tblCellMar>
            <w:top w:w="0" w:type="dxa"/>
            <w:left w:w="108" w:type="dxa"/>
            <w:bottom w:w="0" w:type="dxa"/>
            <w:right w:w="108" w:type="dxa"/>
          </w:tblCellMar>
        </w:tblPrEx>
        <w:trPr>
          <w:trHeight w:val="725"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服务期限</w:t>
            </w:r>
          </w:p>
        </w:tc>
        <w:tc>
          <w:tcPr>
            <w:tcW w:w="730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cs="Times New Roman" w:asciiTheme="minorEastAsia" w:hAnsiTheme="minorEastAsia" w:eastAsiaTheme="minorEastAsia"/>
                <w:b w:val="0"/>
                <w:bCs w:val="0"/>
                <w:color w:val="auto"/>
                <w:kern w:val="1"/>
                <w:sz w:val="21"/>
                <w:szCs w:val="21"/>
                <w:lang w:val="en-US" w:eastAsia="zh-CN" w:bidi="ar-SA"/>
              </w:rPr>
            </w:pPr>
            <w:r>
              <w:rPr>
                <w:rFonts w:hint="eastAsia" w:cs="Times New Roman" w:asciiTheme="minorEastAsia" w:hAnsiTheme="minorEastAsia" w:eastAsiaTheme="minorEastAsia"/>
                <w:b w:val="0"/>
                <w:bCs w:val="0"/>
                <w:color w:val="auto"/>
                <w:kern w:val="1"/>
                <w:sz w:val="21"/>
                <w:szCs w:val="21"/>
                <w:lang w:val="en-US" w:eastAsia="zh-CN" w:bidi="ar-SA"/>
              </w:rPr>
              <w:t>标项1、标项2：服务期限为1年，运维开始时间为合同签订并生效，且上一年度服务到期后起。经采购人考核合格后可续签2年，合同一年一签。</w:t>
            </w:r>
          </w:p>
        </w:tc>
      </w:tr>
      <w:tr>
        <w:tblPrEx>
          <w:tblCellMar>
            <w:top w:w="0" w:type="dxa"/>
            <w:left w:w="108" w:type="dxa"/>
            <w:bottom w:w="0" w:type="dxa"/>
            <w:right w:w="108" w:type="dxa"/>
          </w:tblCellMar>
        </w:tblPrEx>
        <w:trPr>
          <w:trHeight w:val="493"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rPr>
            </w:pPr>
            <w:r>
              <w:rPr>
                <w:rFonts w:hint="eastAsia" w:ascii="宋体" w:hAnsi="宋体"/>
                <w:color w:val="auto"/>
                <w:szCs w:val="21"/>
              </w:rPr>
              <w:t>成果交付地点</w:t>
            </w:r>
          </w:p>
        </w:tc>
        <w:tc>
          <w:tcPr>
            <w:tcW w:w="7302" w:type="dxa"/>
            <w:tcBorders>
              <w:top w:val="single" w:color="000000" w:sz="4" w:space="0"/>
              <w:left w:val="single" w:color="000000" w:sz="4" w:space="0"/>
              <w:bottom w:val="single" w:color="000000" w:sz="4" w:space="0"/>
              <w:right w:val="single" w:color="000000" w:sz="4" w:space="0"/>
            </w:tcBorders>
            <w:vAlign w:val="center"/>
          </w:tcPr>
          <w:p>
            <w:pPr>
              <w:pStyle w:val="41"/>
              <w:spacing w:before="0" w:after="0"/>
              <w:jc w:val="both"/>
              <w:rPr>
                <w:rFonts w:hint="eastAsia" w:cs="Times New Roman" w:asciiTheme="minorEastAsia" w:hAnsiTheme="minorEastAsia" w:eastAsiaTheme="minorEastAsia"/>
                <w:b w:val="0"/>
                <w:bCs w:val="0"/>
                <w:color w:val="auto"/>
                <w:kern w:val="1"/>
                <w:sz w:val="21"/>
                <w:szCs w:val="21"/>
                <w:lang w:val="en-US" w:eastAsia="zh-CN" w:bidi="ar-SA"/>
              </w:rPr>
            </w:pPr>
            <w:r>
              <w:rPr>
                <w:rFonts w:hint="eastAsia" w:cs="Times New Roman" w:asciiTheme="minorEastAsia" w:hAnsiTheme="minorEastAsia" w:eastAsiaTheme="minorEastAsia"/>
                <w:b w:val="0"/>
                <w:bCs w:val="0"/>
                <w:color w:val="auto"/>
                <w:kern w:val="1"/>
                <w:sz w:val="21"/>
                <w:szCs w:val="21"/>
                <w:lang w:val="en-US" w:eastAsia="zh-CN" w:bidi="ar-SA"/>
              </w:rPr>
              <w:t>采购人指定地点。</w:t>
            </w:r>
          </w:p>
        </w:tc>
      </w:tr>
      <w:tr>
        <w:tblPrEx>
          <w:tblCellMar>
            <w:top w:w="0" w:type="dxa"/>
            <w:left w:w="108" w:type="dxa"/>
            <w:bottom w:w="0" w:type="dxa"/>
            <w:right w:w="108" w:type="dxa"/>
          </w:tblCellMar>
        </w:tblPrEx>
        <w:trPr>
          <w:trHeight w:val="1438"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质量标准</w:t>
            </w:r>
          </w:p>
        </w:tc>
        <w:tc>
          <w:tcPr>
            <w:tcW w:w="730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成果质量必须执行国家相关标准、行业标准、地方标准或者其它标准、规范（从严）：具有国家标准及规范的，按最新的标准及规范执行；具有行业标准及规范的，按最新的标准及规范执行；具有</w:t>
            </w:r>
            <w:r>
              <w:rPr>
                <w:rFonts w:hint="eastAsia" w:asciiTheme="minorEastAsia" w:hAnsiTheme="minorEastAsia" w:eastAsiaTheme="minorEastAsia"/>
                <w:color w:val="auto"/>
                <w:kern w:val="1"/>
                <w:szCs w:val="21"/>
              </w:rPr>
              <w:t>其他标准及规范的，按照最新的标准及规范执行。</w:t>
            </w:r>
          </w:p>
        </w:tc>
      </w:tr>
      <w:tr>
        <w:tblPrEx>
          <w:tblCellMar>
            <w:top w:w="0" w:type="dxa"/>
            <w:left w:w="108" w:type="dxa"/>
            <w:bottom w:w="0" w:type="dxa"/>
            <w:right w:w="108" w:type="dxa"/>
          </w:tblCellMar>
        </w:tblPrEx>
        <w:trPr>
          <w:trHeight w:val="493"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验收</w:t>
            </w:r>
          </w:p>
        </w:tc>
        <w:tc>
          <w:tcPr>
            <w:tcW w:w="730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按照招标文件要求、中标人的投标文件（承诺）及签订的合同约定进行验收。</w:t>
            </w:r>
          </w:p>
        </w:tc>
      </w:tr>
      <w:tr>
        <w:tblPrEx>
          <w:tblCellMar>
            <w:top w:w="0" w:type="dxa"/>
            <w:left w:w="108" w:type="dxa"/>
            <w:bottom w:w="0" w:type="dxa"/>
            <w:right w:w="108" w:type="dxa"/>
          </w:tblCellMar>
        </w:tblPrEx>
        <w:trPr>
          <w:trHeight w:val="493"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签订合同时间</w:t>
            </w:r>
          </w:p>
        </w:tc>
        <w:tc>
          <w:tcPr>
            <w:tcW w:w="730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中标通知书发出之日起30日内签订合同，具体签约时间以招标人通知为准。</w:t>
            </w:r>
          </w:p>
        </w:tc>
      </w:tr>
      <w:tr>
        <w:tblPrEx>
          <w:tblCellMar>
            <w:top w:w="0" w:type="dxa"/>
            <w:left w:w="108" w:type="dxa"/>
            <w:bottom w:w="0" w:type="dxa"/>
            <w:right w:w="108" w:type="dxa"/>
          </w:tblCellMar>
        </w:tblPrEx>
        <w:trPr>
          <w:trHeight w:val="2864"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合同款项支付条件及方式</w:t>
            </w:r>
          </w:p>
        </w:tc>
        <w:tc>
          <w:tcPr>
            <w:tcW w:w="730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Theme="minorEastAsia" w:hAnsiTheme="minorEastAsia" w:eastAsiaTheme="minorEastAsia"/>
                <w:color w:val="auto"/>
                <w:kern w:val="1"/>
                <w:szCs w:val="21"/>
                <w:lang w:val="en-US" w:eastAsia="zh-CN"/>
              </w:rPr>
            </w:pPr>
            <w:r>
              <w:rPr>
                <w:rFonts w:hint="eastAsia" w:asciiTheme="minorEastAsia" w:hAnsiTheme="minorEastAsia" w:eastAsiaTheme="minorEastAsia"/>
                <w:color w:val="auto"/>
                <w:kern w:val="1"/>
                <w:szCs w:val="21"/>
                <w:lang w:val="en-US" w:eastAsia="zh-CN"/>
              </w:rPr>
              <w:t>标项1、标项2：</w:t>
            </w:r>
          </w:p>
          <w:p>
            <w:pPr>
              <w:spacing w:line="300" w:lineRule="exact"/>
              <w:jc w:val="left"/>
              <w:rPr>
                <w:rFonts w:hint="default" w:asciiTheme="minorEastAsia" w:hAnsiTheme="minorEastAsia" w:eastAsiaTheme="minorEastAsia"/>
                <w:color w:val="auto"/>
                <w:kern w:val="1"/>
                <w:szCs w:val="21"/>
                <w:lang w:val="en-US" w:eastAsia="zh-CN"/>
              </w:rPr>
            </w:pPr>
            <w:r>
              <w:rPr>
                <w:rFonts w:hint="default" w:asciiTheme="minorEastAsia" w:hAnsiTheme="minorEastAsia" w:eastAsiaTheme="minorEastAsia"/>
                <w:color w:val="auto"/>
                <w:kern w:val="1"/>
                <w:szCs w:val="21"/>
                <w:lang w:val="en-US" w:eastAsia="zh-CN"/>
              </w:rPr>
              <w:t>合同签订</w:t>
            </w:r>
            <w:r>
              <w:rPr>
                <w:rFonts w:hint="eastAsia" w:asciiTheme="minorEastAsia" w:hAnsiTheme="minorEastAsia" w:eastAsiaTheme="minorEastAsia"/>
                <w:color w:val="auto"/>
                <w:kern w:val="1"/>
                <w:szCs w:val="21"/>
                <w:lang w:val="en-US" w:eastAsia="zh-CN"/>
              </w:rPr>
              <w:t>并生效</w:t>
            </w:r>
            <w:r>
              <w:rPr>
                <w:rFonts w:hint="default" w:asciiTheme="minorEastAsia" w:hAnsiTheme="minorEastAsia" w:eastAsiaTheme="minorEastAsia"/>
                <w:color w:val="auto"/>
                <w:kern w:val="1"/>
                <w:szCs w:val="21"/>
                <w:lang w:val="en-US" w:eastAsia="zh-CN"/>
              </w:rPr>
              <w:t>后</w:t>
            </w:r>
            <w:r>
              <w:rPr>
                <w:rFonts w:hint="eastAsia" w:asciiTheme="minorEastAsia" w:hAnsiTheme="minorEastAsia" w:eastAsiaTheme="minorEastAsia"/>
                <w:color w:val="auto"/>
                <w:kern w:val="1"/>
                <w:szCs w:val="21"/>
                <w:lang w:val="en-US" w:eastAsia="zh-CN"/>
              </w:rPr>
              <w:t>7个工作日内</w:t>
            </w:r>
            <w:r>
              <w:rPr>
                <w:rFonts w:hint="default" w:asciiTheme="minorEastAsia" w:hAnsiTheme="minorEastAsia" w:eastAsiaTheme="minorEastAsia"/>
                <w:color w:val="auto"/>
                <w:kern w:val="1"/>
                <w:szCs w:val="21"/>
                <w:lang w:val="en-US" w:eastAsia="zh-CN"/>
              </w:rPr>
              <w:t>，支付第一年期合同金额的50%；</w:t>
            </w:r>
          </w:p>
          <w:p>
            <w:pPr>
              <w:spacing w:line="300" w:lineRule="exact"/>
              <w:jc w:val="left"/>
              <w:rPr>
                <w:rFonts w:hint="default" w:asciiTheme="minorEastAsia" w:hAnsiTheme="minorEastAsia" w:eastAsiaTheme="minorEastAsia"/>
                <w:color w:val="auto"/>
                <w:kern w:val="1"/>
                <w:szCs w:val="21"/>
                <w:lang w:val="en-US" w:eastAsia="zh-CN"/>
              </w:rPr>
            </w:pPr>
            <w:r>
              <w:rPr>
                <w:rFonts w:hint="eastAsia" w:asciiTheme="minorEastAsia" w:hAnsiTheme="minorEastAsia" w:eastAsiaTheme="minorEastAsia"/>
                <w:color w:val="auto"/>
                <w:kern w:val="1"/>
                <w:szCs w:val="21"/>
                <w:lang w:val="en-US" w:eastAsia="zh-CN"/>
              </w:rPr>
              <w:t>第一年期的第一个季度数据服务考核合格后，且满足支付条件（财政资金指标下达）7个工作日内</w:t>
            </w:r>
            <w:r>
              <w:rPr>
                <w:rFonts w:hint="default" w:asciiTheme="minorEastAsia" w:hAnsiTheme="minorEastAsia" w:eastAsiaTheme="minorEastAsia"/>
                <w:color w:val="auto"/>
                <w:kern w:val="1"/>
                <w:szCs w:val="21"/>
                <w:lang w:val="en-US" w:eastAsia="zh-CN"/>
              </w:rPr>
              <w:t>支付</w:t>
            </w:r>
            <w:r>
              <w:rPr>
                <w:rFonts w:hint="eastAsia" w:asciiTheme="minorEastAsia" w:hAnsiTheme="minorEastAsia" w:eastAsiaTheme="minorEastAsia"/>
                <w:color w:val="auto"/>
                <w:kern w:val="1"/>
                <w:szCs w:val="21"/>
                <w:lang w:val="en-US" w:eastAsia="zh-CN"/>
              </w:rPr>
              <w:t>至</w:t>
            </w:r>
            <w:r>
              <w:rPr>
                <w:rFonts w:hint="default" w:asciiTheme="minorEastAsia" w:hAnsiTheme="minorEastAsia" w:eastAsiaTheme="minorEastAsia"/>
                <w:color w:val="auto"/>
                <w:kern w:val="1"/>
                <w:szCs w:val="21"/>
                <w:lang w:val="en-US" w:eastAsia="zh-CN"/>
              </w:rPr>
              <w:t>第一年期合同总金额的100%</w:t>
            </w:r>
            <w:r>
              <w:rPr>
                <w:rFonts w:hint="eastAsia" w:asciiTheme="minorEastAsia" w:hAnsiTheme="minorEastAsia" w:eastAsiaTheme="minorEastAsia"/>
                <w:color w:val="auto"/>
                <w:kern w:val="1"/>
                <w:szCs w:val="21"/>
                <w:lang w:val="en-US" w:eastAsia="zh-CN"/>
              </w:rPr>
              <w:t>，中标人并提供当年期合同总金额50%的预付款保函。</w:t>
            </w:r>
          </w:p>
          <w:p>
            <w:pPr>
              <w:spacing w:line="300" w:lineRule="exact"/>
              <w:jc w:val="left"/>
              <w:rPr>
                <w:rFonts w:hint="default" w:asciiTheme="minorEastAsia" w:hAnsiTheme="minorEastAsia" w:eastAsiaTheme="minorEastAsia"/>
                <w:color w:val="auto"/>
                <w:kern w:val="1"/>
                <w:szCs w:val="21"/>
                <w:lang w:val="en-US" w:eastAsia="zh-CN"/>
              </w:rPr>
            </w:pPr>
            <w:r>
              <w:rPr>
                <w:rFonts w:hint="eastAsia" w:asciiTheme="minorEastAsia" w:hAnsiTheme="minorEastAsia" w:eastAsiaTheme="minorEastAsia"/>
                <w:color w:val="auto"/>
                <w:kern w:val="1"/>
                <w:szCs w:val="21"/>
                <w:lang w:val="en-US" w:eastAsia="zh-CN"/>
              </w:rPr>
              <w:t>（3）</w:t>
            </w:r>
            <w:r>
              <w:rPr>
                <w:rFonts w:hint="default" w:asciiTheme="minorEastAsia" w:hAnsiTheme="minorEastAsia" w:eastAsiaTheme="minorEastAsia"/>
                <w:color w:val="auto"/>
                <w:kern w:val="1"/>
                <w:szCs w:val="21"/>
                <w:lang w:val="en-US" w:eastAsia="zh-CN"/>
              </w:rPr>
              <w:t>第2年</w:t>
            </w:r>
            <w:r>
              <w:rPr>
                <w:rFonts w:hint="eastAsia" w:asciiTheme="minorEastAsia" w:hAnsiTheme="minorEastAsia" w:eastAsiaTheme="minorEastAsia"/>
                <w:color w:val="auto"/>
                <w:kern w:val="1"/>
                <w:szCs w:val="21"/>
                <w:lang w:val="en-US" w:eastAsia="zh-CN"/>
              </w:rPr>
              <w:t>和</w:t>
            </w:r>
            <w:r>
              <w:rPr>
                <w:rFonts w:hint="default" w:asciiTheme="minorEastAsia" w:hAnsiTheme="minorEastAsia" w:eastAsiaTheme="minorEastAsia"/>
                <w:color w:val="auto"/>
                <w:kern w:val="1"/>
                <w:szCs w:val="21"/>
                <w:lang w:val="en-US" w:eastAsia="zh-CN"/>
              </w:rPr>
              <w:t>第3年</w:t>
            </w:r>
            <w:r>
              <w:rPr>
                <w:rFonts w:hint="eastAsia" w:asciiTheme="minorEastAsia" w:hAnsiTheme="minorEastAsia" w:eastAsiaTheme="minorEastAsia"/>
                <w:color w:val="auto"/>
                <w:kern w:val="1"/>
                <w:szCs w:val="21"/>
                <w:lang w:val="en-US" w:eastAsia="zh-CN"/>
              </w:rPr>
              <w:t>支付要求：合同续签且生效后，按第一年期支付标准同期进行支付，中标人并同期提供当年期合同总金额50%的预付款保函</w:t>
            </w:r>
            <w:r>
              <w:rPr>
                <w:rFonts w:hint="default" w:asciiTheme="minorEastAsia" w:hAnsiTheme="minorEastAsia" w:eastAsiaTheme="minorEastAsia"/>
                <w:color w:val="auto"/>
                <w:kern w:val="1"/>
                <w:szCs w:val="21"/>
                <w:lang w:val="en-US" w:eastAsia="zh-CN"/>
              </w:rPr>
              <w:t>。</w:t>
            </w:r>
          </w:p>
          <w:p>
            <w:pPr>
              <w:spacing w:line="300" w:lineRule="exact"/>
              <w:jc w:val="left"/>
              <w:rPr>
                <w:rFonts w:hint="default" w:asciiTheme="minorEastAsia" w:hAnsiTheme="minorEastAsia" w:eastAsiaTheme="minorEastAsia"/>
                <w:color w:val="auto"/>
                <w:kern w:val="1"/>
                <w:szCs w:val="21"/>
                <w:lang w:val="en-US" w:eastAsia="zh-CN"/>
              </w:rPr>
            </w:pPr>
            <w:r>
              <w:rPr>
                <w:rFonts w:hint="default" w:asciiTheme="minorEastAsia" w:hAnsiTheme="minorEastAsia" w:eastAsiaTheme="minorEastAsia"/>
                <w:color w:val="auto"/>
                <w:kern w:val="1"/>
                <w:szCs w:val="21"/>
                <w:lang w:val="en-US" w:eastAsia="zh-CN"/>
              </w:rPr>
              <w:t>以上所有费用支付按招标文件中考核办法执行。</w:t>
            </w:r>
          </w:p>
        </w:tc>
      </w:tr>
      <w:tr>
        <w:tblPrEx>
          <w:tblCellMar>
            <w:top w:w="0" w:type="dxa"/>
            <w:left w:w="108" w:type="dxa"/>
            <w:bottom w:w="0" w:type="dxa"/>
            <w:right w:w="108" w:type="dxa"/>
          </w:tblCellMar>
        </w:tblPrEx>
        <w:trPr>
          <w:trHeight w:val="2600"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jc w:val="left"/>
              <w:rPr>
                <w:rFonts w:asciiTheme="minorEastAsia" w:hAnsiTheme="minorEastAsia" w:eastAsiaTheme="minorEastAsia"/>
                <w:color w:val="auto"/>
                <w:szCs w:val="21"/>
              </w:rPr>
            </w:pPr>
            <w:r>
              <w:rPr>
                <w:rFonts w:hint="eastAsia" w:asciiTheme="minorEastAsia" w:hAnsiTheme="minorEastAsia" w:eastAsiaTheme="minorEastAsia"/>
                <w:color w:val="auto"/>
              </w:rPr>
              <w:t>发票要求</w:t>
            </w:r>
          </w:p>
        </w:tc>
        <w:tc>
          <w:tcPr>
            <w:tcW w:w="7302" w:type="dxa"/>
            <w:tcBorders>
              <w:top w:val="single" w:color="000000" w:sz="4" w:space="0"/>
              <w:left w:val="single" w:color="000000" w:sz="4" w:space="0"/>
              <w:bottom w:val="single" w:color="000000" w:sz="4" w:space="0"/>
              <w:right w:val="single" w:color="000000" w:sz="4" w:space="0"/>
            </w:tcBorders>
            <w:vAlign w:val="center"/>
          </w:tcPr>
          <w:p>
            <w:pPr>
              <w:ind w:right="34" w:rightChars="16"/>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中标人应在招标人支付费用前，依据相应的金额，先行向招标人提供足额且符合税法规定的发票。招标人在收到中标人提供的发票后在合同约定的时间支付相应款项，否则招标人有权延迟支付相应费用而不被视为违约，亦无须承担任何违约责任。</w:t>
            </w:r>
          </w:p>
          <w:p>
            <w:pPr>
              <w:ind w:right="34" w:rightChars="16"/>
              <w:jc w:val="left"/>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2）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招标人造成的一切损失。</w:t>
            </w:r>
          </w:p>
        </w:tc>
      </w:tr>
      <w:tr>
        <w:tblPrEx>
          <w:tblCellMar>
            <w:top w:w="0" w:type="dxa"/>
            <w:left w:w="108" w:type="dxa"/>
            <w:bottom w:w="0" w:type="dxa"/>
            <w:right w:w="108" w:type="dxa"/>
          </w:tblCellMar>
        </w:tblPrEx>
        <w:trPr>
          <w:trHeight w:val="1404"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ind w:right="34" w:rightChars="16"/>
              <w:jc w:val="lef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履约保证金</w:t>
            </w:r>
            <w:r>
              <w:rPr>
                <w:rFonts w:hint="eastAsia" w:asciiTheme="minorEastAsia" w:hAnsiTheme="minorEastAsia" w:eastAsiaTheme="minorEastAsia"/>
                <w:color w:val="auto"/>
                <w:szCs w:val="21"/>
                <w:lang w:val="en-US" w:eastAsia="zh-CN"/>
              </w:rPr>
              <w:t>/预付款保函</w:t>
            </w:r>
          </w:p>
        </w:tc>
        <w:tc>
          <w:tcPr>
            <w:tcW w:w="7302" w:type="dxa"/>
            <w:tcBorders>
              <w:top w:val="single" w:color="000000" w:sz="4" w:space="0"/>
              <w:left w:val="single" w:color="000000" w:sz="4" w:space="0"/>
              <w:bottom w:val="single" w:color="000000" w:sz="4" w:space="0"/>
              <w:right w:val="single" w:color="000000" w:sz="4" w:space="0"/>
            </w:tcBorders>
            <w:vAlign w:val="center"/>
          </w:tcPr>
          <w:p>
            <w:pPr>
              <w:ind w:right="34" w:rightChars="16"/>
              <w:jc w:val="left"/>
              <w:rPr>
                <w:rFonts w:hint="eastAsia" w:asciiTheme="minorEastAsia" w:hAnsiTheme="minorEastAsia" w:eastAsiaTheme="minorEastAsia"/>
                <w:color w:val="auto"/>
                <w:szCs w:val="21"/>
                <w:lang w:val="en-US" w:eastAsia="zh-CN"/>
              </w:rPr>
            </w:pPr>
            <w:r>
              <w:rPr>
                <w:rFonts w:hint="eastAsia"/>
                <w:color w:val="auto"/>
                <w:lang w:val="en-US" w:eastAsia="zh-CN"/>
              </w:rPr>
              <w:t>本</w:t>
            </w:r>
            <w:r>
              <w:rPr>
                <w:rFonts w:hint="eastAsia" w:asciiTheme="minorEastAsia" w:hAnsiTheme="minorEastAsia" w:eastAsiaTheme="minorEastAsia"/>
                <w:color w:val="auto"/>
                <w:szCs w:val="21"/>
                <w:lang w:val="en-US" w:eastAsia="zh-CN"/>
              </w:rPr>
              <w:t>项目不要求提交履约保证金，对预付款保函作以下要求：</w:t>
            </w:r>
          </w:p>
          <w:p>
            <w:pPr>
              <w:spacing w:line="300" w:lineRule="exact"/>
              <w:jc w:val="left"/>
              <w:rPr>
                <w:rFonts w:hint="default" w:eastAsiaTheme="minorEastAsia"/>
                <w:color w:val="auto"/>
                <w:highlight w:val="none"/>
                <w:lang w:val="en-US" w:eastAsia="zh-CN"/>
              </w:rPr>
            </w:pPr>
            <w:r>
              <w:rPr>
                <w:rFonts w:hint="eastAsia"/>
                <w:color w:val="auto"/>
                <w:lang w:val="en-US" w:eastAsia="zh-CN"/>
              </w:rPr>
              <w:t>1、预付款保函要求：合同款项支付至当年期全部合同金额时，</w:t>
            </w:r>
            <w:r>
              <w:rPr>
                <w:rFonts w:hint="eastAsia" w:eastAsiaTheme="minorEastAsia"/>
                <w:color w:val="auto"/>
                <w:highlight w:val="none"/>
                <w:lang w:val="en-US" w:eastAsia="zh-CN"/>
              </w:rPr>
              <w:t>中标人提供当年期合同总金额50%的预付款保函。</w:t>
            </w:r>
          </w:p>
          <w:p>
            <w:pPr>
              <w:spacing w:line="300" w:lineRule="exact"/>
              <w:jc w:val="left"/>
              <w:rPr>
                <w:rFonts w:hint="default"/>
                <w:color w:val="auto"/>
                <w:lang w:val="en-US" w:eastAsia="zh-CN"/>
              </w:rPr>
            </w:pPr>
            <w:r>
              <w:rPr>
                <w:rFonts w:hint="eastAsia" w:cs="Times New Roman" w:asciiTheme="minorEastAsia" w:hAnsiTheme="minorEastAsia" w:eastAsiaTheme="minorEastAsia"/>
                <w:b w:val="0"/>
                <w:bCs w:val="0"/>
                <w:color w:val="auto"/>
                <w:kern w:val="2"/>
                <w:sz w:val="21"/>
                <w:szCs w:val="21"/>
                <w:lang w:val="en-US" w:eastAsia="zh-CN" w:bidi="ar-SA"/>
              </w:rPr>
              <w:t>2、预付款</w:t>
            </w:r>
            <w:r>
              <w:rPr>
                <w:rFonts w:hint="eastAsia"/>
                <w:color w:val="auto"/>
                <w:lang w:val="en-US" w:eastAsia="zh-CN"/>
              </w:rPr>
              <w:t>保函</w:t>
            </w:r>
            <w:r>
              <w:rPr>
                <w:rFonts w:hint="eastAsia" w:cs="Times New Roman" w:asciiTheme="minorEastAsia" w:hAnsiTheme="minorEastAsia" w:eastAsiaTheme="minorEastAsia"/>
                <w:b w:val="0"/>
                <w:bCs w:val="0"/>
                <w:color w:val="auto"/>
                <w:kern w:val="2"/>
                <w:sz w:val="21"/>
                <w:szCs w:val="21"/>
                <w:lang w:val="en-US" w:eastAsia="zh-CN" w:bidi="ar-SA"/>
              </w:rPr>
              <w:t>退还：当年服务到期后7个工作日内，退还当年期预付款保函。</w:t>
            </w:r>
          </w:p>
        </w:tc>
      </w:tr>
      <w:tr>
        <w:tblPrEx>
          <w:tblCellMar>
            <w:top w:w="0" w:type="dxa"/>
            <w:left w:w="108" w:type="dxa"/>
            <w:bottom w:w="0" w:type="dxa"/>
            <w:right w:w="108" w:type="dxa"/>
          </w:tblCellMar>
        </w:tblPrEx>
        <w:trPr>
          <w:trHeight w:val="670"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其他</w:t>
            </w:r>
          </w:p>
        </w:tc>
        <w:tc>
          <w:tcPr>
            <w:tcW w:w="7302" w:type="dxa"/>
            <w:tcBorders>
              <w:top w:val="single" w:color="000000" w:sz="4" w:space="0"/>
              <w:left w:val="single" w:color="000000" w:sz="4" w:space="0"/>
              <w:bottom w:val="single" w:color="000000" w:sz="4" w:space="0"/>
              <w:right w:val="single" w:color="000000" w:sz="4" w:space="0"/>
            </w:tcBorders>
            <w:vAlign w:val="center"/>
          </w:tcPr>
          <w:p>
            <w:pPr>
              <w:ind w:right="34" w:rightChars="16"/>
              <w:jc w:val="left"/>
              <w:rPr>
                <w:rFonts w:asciiTheme="minorEastAsia" w:hAnsiTheme="minorEastAsia" w:eastAsiaTheme="minorEastAsia"/>
                <w:color w:val="auto"/>
              </w:rPr>
            </w:pPr>
            <w:r>
              <w:rPr>
                <w:rFonts w:hint="eastAsia" w:asciiTheme="minorEastAsia" w:hAnsiTheme="minorEastAsia" w:eastAsiaTheme="minorEastAsia"/>
                <w:color w:val="auto"/>
                <w:szCs w:val="21"/>
              </w:rPr>
              <w:t>在合同执行过程中，中标人应承担由于其行为所造成的招标人或第三人的人身伤害、财产损失或损坏的责任，无论何种原因所造成，招标人均不负责。</w:t>
            </w:r>
          </w:p>
        </w:tc>
      </w:tr>
    </w:tbl>
    <w:p>
      <w:pPr>
        <w:pStyle w:val="41"/>
        <w:spacing w:before="0" w:after="0" w:line="360" w:lineRule="auto"/>
        <w:rPr>
          <w:rFonts w:ascii="宋体" w:hAnsi="宋体" w:eastAsia="宋体"/>
          <w:sz w:val="32"/>
        </w:rPr>
      </w:pPr>
      <w:r>
        <w:rPr>
          <w:rFonts w:ascii="宋体" w:hAnsi="宋体" w:eastAsia="宋体"/>
        </w:rPr>
        <w:br w:type="page"/>
      </w:r>
      <w:bookmarkStart w:id="38" w:name="_Toc34844743"/>
      <w:r>
        <w:rPr>
          <w:rFonts w:hint="eastAsia" w:ascii="宋体" w:hAnsi="宋体" w:eastAsia="宋体"/>
          <w:sz w:val="24"/>
        </w:rPr>
        <w:t>第三章  投标人须知</w:t>
      </w:r>
      <w:bookmarkEnd w:id="38"/>
    </w:p>
    <w:p>
      <w:pPr>
        <w:spacing w:line="360" w:lineRule="auto"/>
        <w:jc w:val="center"/>
        <w:rPr>
          <w:rFonts w:ascii="宋体" w:hAnsi="宋体"/>
          <w:b/>
          <w:szCs w:val="21"/>
        </w:rPr>
      </w:pPr>
      <w:r>
        <w:rPr>
          <w:rFonts w:hint="eastAsia" w:ascii="宋体" w:hAnsi="宋体"/>
          <w:b/>
          <w:szCs w:val="21"/>
        </w:rPr>
        <w:t>《投标人须知前附表》</w:t>
      </w:r>
    </w:p>
    <w:p>
      <w:pPr>
        <w:spacing w:line="360" w:lineRule="auto"/>
        <w:ind w:firstLine="424" w:firstLineChars="202"/>
        <w:jc w:val="left"/>
        <w:rPr>
          <w:rFonts w:ascii="宋体" w:hAnsi="宋体"/>
          <w:szCs w:val="22"/>
        </w:rPr>
      </w:pPr>
      <w:r>
        <w:rPr>
          <w:rStyle w:val="389"/>
          <w:rFonts w:hint="default"/>
          <w:color w:val="auto"/>
          <w:sz w:val="21"/>
        </w:rPr>
        <w:t>说明：</w:t>
      </w:r>
      <w:r>
        <w:rPr>
          <w:rStyle w:val="389"/>
          <w:rFonts w:hint="default"/>
          <w:color w:val="auto"/>
        </w:rPr>
        <w:t>投标人应仔细阅读招标文件的《第三章  投标人须知》，下面所列资料是对“投标人须知”的具体补充和说明。如有矛盾，以本表为准。</w:t>
      </w:r>
    </w:p>
    <w:tbl>
      <w:tblPr>
        <w:tblStyle w:val="44"/>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721"/>
        <w:gridCol w:w="5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条款号</w:t>
            </w:r>
          </w:p>
        </w:tc>
        <w:tc>
          <w:tcPr>
            <w:tcW w:w="17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条款名称</w:t>
            </w:r>
          </w:p>
        </w:tc>
        <w:tc>
          <w:tcPr>
            <w:tcW w:w="55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3.1</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采购人</w:t>
            </w:r>
          </w:p>
        </w:tc>
        <w:tc>
          <w:tcPr>
            <w:tcW w:w="558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宁波市生态环境局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采购代理机构</w:t>
            </w:r>
          </w:p>
        </w:tc>
        <w:tc>
          <w:tcPr>
            <w:tcW w:w="558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宁波名诚招标代理有限公司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3.3</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政府采购监督管理部门</w:t>
            </w:r>
          </w:p>
        </w:tc>
        <w:tc>
          <w:tcPr>
            <w:tcW w:w="558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cs="Arial" w:asciiTheme="minorEastAsia" w:hAnsiTheme="minorEastAsia" w:eastAsiaTheme="minorEastAsia"/>
                <w:szCs w:val="21"/>
              </w:rPr>
              <w:t>宁波市政府</w:t>
            </w:r>
            <w:r>
              <w:rPr>
                <w:rFonts w:cs="Arial" w:asciiTheme="minorEastAsia" w:hAnsiTheme="minorEastAsia" w:eastAsiaTheme="minorEastAsia"/>
                <w:szCs w:val="21"/>
              </w:rPr>
              <w:t>采购管理办公室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3.4（4）</w:t>
            </w:r>
          </w:p>
        </w:tc>
        <w:tc>
          <w:tcPr>
            <w:tcW w:w="1721"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left"/>
              <w:rPr>
                <w:rFonts w:asciiTheme="minorEastAsia" w:hAnsiTheme="minorEastAsia" w:eastAsiaTheme="minorEastAsia"/>
                <w:b/>
                <w:sz w:val="21"/>
                <w:szCs w:val="21"/>
              </w:rPr>
            </w:pPr>
            <w:r>
              <w:rPr>
                <w:rFonts w:hint="eastAsia" w:asciiTheme="minorEastAsia" w:hAnsiTheme="minorEastAsia" w:eastAsiaTheme="minorEastAsia"/>
                <w:sz w:val="21"/>
                <w:szCs w:val="21"/>
              </w:rPr>
              <w:t>是否为专门面向中小企业采购</w:t>
            </w:r>
          </w:p>
        </w:tc>
        <w:tc>
          <w:tcPr>
            <w:tcW w:w="5582"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hint="default" w:asciiTheme="minorEastAsia" w:hAnsiTheme="minorEastAsia" w:eastAsiaTheme="minorEastAsia"/>
                <w:b w:val="0"/>
                <w:bCs w:val="0"/>
                <w:sz w:val="21"/>
                <w:szCs w:val="21"/>
                <w:lang w:val="en-US" w:eastAsia="zh-CN"/>
              </w:rPr>
            </w:pPr>
            <w:r>
              <w:rPr>
                <w:rFonts w:hint="eastAsia" w:asciiTheme="minorEastAsia" w:hAnsiTheme="minorEastAsia" w:eastAsiaTheme="minorEastAsia"/>
                <w:b w:val="0"/>
                <w:bCs w:val="0"/>
                <w:sz w:val="21"/>
                <w:szCs w:val="21"/>
                <w:lang w:val="en-US" w:eastAsia="zh-CN"/>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11.3</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质疑函递交方式、接收部门、联系电话和通讯地址</w:t>
            </w:r>
          </w:p>
        </w:tc>
        <w:tc>
          <w:tcPr>
            <w:tcW w:w="5582"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递交方式：</w:t>
            </w:r>
            <w:r>
              <w:rPr>
                <w:rFonts w:hint="eastAsia" w:asciiTheme="minorEastAsia" w:hAnsiTheme="minorEastAsia" w:eastAsiaTheme="minorEastAsia"/>
                <w:sz w:val="21"/>
                <w:szCs w:val="21"/>
                <w:u w:val="single"/>
              </w:rPr>
              <w:t>书面形式</w:t>
            </w:r>
          </w:p>
          <w:p>
            <w:pPr>
              <w:pStyle w:val="326"/>
              <w:widowControl w:val="0"/>
              <w:spacing w:before="0" w:beforeAutospacing="0" w:afterAutospacing="0"/>
              <w:jc w:val="both"/>
              <w:rPr>
                <w:rFonts w:asciiTheme="minorEastAsia" w:hAnsiTheme="minorEastAsia" w:eastAsiaTheme="minorEastAsia"/>
                <w:b/>
                <w:bCs/>
                <w:sz w:val="21"/>
                <w:szCs w:val="21"/>
                <w:u w:val="single"/>
              </w:rPr>
            </w:pPr>
            <w:r>
              <w:rPr>
                <w:rFonts w:hint="eastAsia" w:asciiTheme="minorEastAsia" w:hAnsiTheme="minorEastAsia" w:eastAsiaTheme="minorEastAsia"/>
                <w:sz w:val="21"/>
                <w:szCs w:val="21"/>
              </w:rPr>
              <w:t>接收部门：</w:t>
            </w:r>
            <w:r>
              <w:rPr>
                <w:rFonts w:hint="eastAsia" w:asciiTheme="minorEastAsia" w:hAnsiTheme="minorEastAsia" w:eastAsiaTheme="minorEastAsia"/>
                <w:sz w:val="21"/>
                <w:szCs w:val="21"/>
                <w:u w:val="single"/>
              </w:rPr>
              <w:t>综合办</w:t>
            </w:r>
          </w:p>
          <w:p>
            <w:pPr>
              <w:pStyle w:val="326"/>
              <w:widowControl w:val="0"/>
              <w:spacing w:before="0" w:beforeAutospacing="0" w:afterAutospacing="0"/>
              <w:jc w:val="both"/>
              <w:rPr>
                <w:rFonts w:asciiTheme="minorEastAsia" w:hAnsiTheme="minorEastAsia" w:eastAsiaTheme="minorEastAsia"/>
                <w:b/>
                <w:bCs/>
                <w:sz w:val="21"/>
                <w:szCs w:val="21"/>
                <w:u w:val="single"/>
              </w:rPr>
            </w:pPr>
            <w:r>
              <w:rPr>
                <w:rFonts w:asciiTheme="minorEastAsia" w:hAnsiTheme="minorEastAsia" w:eastAsiaTheme="minorEastAsia"/>
                <w:sz w:val="21"/>
                <w:szCs w:val="21"/>
              </w:rPr>
              <w:t>联系电话：</w:t>
            </w:r>
            <w:r>
              <w:rPr>
                <w:rFonts w:hint="eastAsia" w:asciiTheme="minorEastAsia" w:hAnsiTheme="minorEastAsia" w:eastAsiaTheme="minorEastAsia"/>
                <w:bCs/>
                <w:sz w:val="21"/>
                <w:szCs w:val="21"/>
                <w:u w:val="single"/>
              </w:rPr>
              <w:t>0574-87101271</w:t>
            </w:r>
          </w:p>
          <w:p>
            <w:pPr>
              <w:ind w:firstLine="29" w:firstLineChars="14"/>
              <w:jc w:val="left"/>
              <w:rPr>
                <w:rFonts w:asciiTheme="minorEastAsia" w:hAnsiTheme="minorEastAsia" w:eastAsiaTheme="minorEastAsia"/>
                <w:bCs/>
                <w:szCs w:val="21"/>
              </w:rPr>
            </w:pPr>
            <w:r>
              <w:rPr>
                <w:rFonts w:hint="eastAsia" w:asciiTheme="minorEastAsia" w:hAnsiTheme="minorEastAsia" w:eastAsiaTheme="minorEastAsia"/>
                <w:szCs w:val="21"/>
              </w:rPr>
              <w:t>通讯地址：</w:t>
            </w:r>
            <w:r>
              <w:rPr>
                <w:rFonts w:hint="eastAsia" w:asciiTheme="minorEastAsia" w:hAnsiTheme="minorEastAsia" w:eastAsiaTheme="minorEastAsia"/>
                <w:bCs/>
                <w:szCs w:val="21"/>
                <w:u w:val="single"/>
              </w:rPr>
              <w:t>宁波市海曙区青石巷5号永煌大厦9楼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14.1</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采购</w:t>
            </w:r>
            <w:r>
              <w:rPr>
                <w:rFonts w:asciiTheme="minorEastAsia" w:hAnsiTheme="minorEastAsia" w:eastAsiaTheme="minorEastAsia"/>
                <w:szCs w:val="21"/>
              </w:rPr>
              <w:t>代理</w:t>
            </w:r>
            <w:r>
              <w:rPr>
                <w:rFonts w:hint="eastAsia" w:asciiTheme="minorEastAsia" w:hAnsiTheme="minorEastAsia" w:eastAsiaTheme="minorEastAsia"/>
                <w:szCs w:val="21"/>
              </w:rPr>
              <w:t>服务</w:t>
            </w:r>
            <w:r>
              <w:rPr>
                <w:rFonts w:asciiTheme="minorEastAsia" w:hAnsiTheme="minorEastAsia" w:eastAsiaTheme="minorEastAsia"/>
                <w:szCs w:val="21"/>
              </w:rPr>
              <w:t>费用的收取标准</w:t>
            </w:r>
          </w:p>
        </w:tc>
        <w:tc>
          <w:tcPr>
            <w:tcW w:w="5582"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inorEastAsia" w:hAnsiTheme="minorEastAsia" w:eastAsiaTheme="minorEastAsia"/>
                <w:bCs/>
              </w:rPr>
            </w:pPr>
            <w:r>
              <w:rPr>
                <w:rFonts w:hint="eastAsia" w:asciiTheme="minorEastAsia" w:hAnsiTheme="minorEastAsia" w:eastAsiaTheme="minorEastAsia"/>
                <w:bCs/>
              </w:rPr>
              <w:t>1.根据国家发改委发改办价格[2003]857号通知和原国家计委计价格[2002]1980号文件规定的收费费率为取费标准。</w:t>
            </w:r>
          </w:p>
          <w:p>
            <w:pPr>
              <w:ind w:firstLine="29" w:firstLineChars="14"/>
              <w:jc w:val="left"/>
              <w:rPr>
                <w:rFonts w:asciiTheme="minorEastAsia" w:hAnsiTheme="minorEastAsia" w:eastAsiaTheme="minorEastAsia"/>
                <w:bCs/>
                <w:szCs w:val="21"/>
              </w:rPr>
            </w:pPr>
            <w:r>
              <w:rPr>
                <w:rFonts w:hint="eastAsia" w:asciiTheme="minorEastAsia" w:hAnsiTheme="minorEastAsia" w:eastAsiaTheme="minorEastAsia"/>
                <w:bCs/>
              </w:rPr>
              <w:t>2.以</w:t>
            </w:r>
            <w:r>
              <w:rPr>
                <w:rFonts w:hint="eastAsia" w:asciiTheme="minorEastAsia" w:hAnsiTheme="minorEastAsia" w:eastAsiaTheme="minorEastAsia"/>
                <w:bCs/>
                <w:lang w:val="en-US" w:eastAsia="zh-CN"/>
              </w:rPr>
              <w:t>各标项中标</w:t>
            </w:r>
            <w:r>
              <w:rPr>
                <w:rFonts w:hint="eastAsia" w:asciiTheme="minorEastAsia" w:hAnsiTheme="minorEastAsia" w:eastAsiaTheme="minorEastAsia"/>
                <w:bCs/>
              </w:rPr>
              <w:t>通知书确定的</w:t>
            </w:r>
            <w:r>
              <w:rPr>
                <w:rFonts w:hint="eastAsia" w:asciiTheme="minorEastAsia" w:hAnsiTheme="minorEastAsia" w:eastAsiaTheme="minorEastAsia"/>
                <w:bCs/>
                <w:lang w:val="en-US" w:eastAsia="zh-CN"/>
              </w:rPr>
              <w:t>三年中标</w:t>
            </w:r>
            <w:r>
              <w:rPr>
                <w:rFonts w:hint="eastAsia" w:asciiTheme="minorEastAsia" w:hAnsiTheme="minorEastAsia" w:eastAsiaTheme="minorEastAsia"/>
                <w:bCs/>
              </w:rPr>
              <w:t>总金额为计算基数，结合上述费率标准计算本</w:t>
            </w:r>
            <w:r>
              <w:rPr>
                <w:rFonts w:hint="eastAsia" w:asciiTheme="minorEastAsia" w:hAnsiTheme="minorEastAsia" w:eastAsiaTheme="minorEastAsia"/>
                <w:bCs/>
                <w:lang w:val="en-US" w:eastAsia="zh-CN"/>
              </w:rPr>
              <w:t>标项</w:t>
            </w:r>
            <w:r>
              <w:rPr>
                <w:rFonts w:hint="eastAsia" w:asciiTheme="minorEastAsia" w:hAnsiTheme="minorEastAsia" w:eastAsiaTheme="minorEastAsia"/>
                <w:bCs/>
              </w:rPr>
              <w:t>的代理服务费用。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14.2</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采购代理服务费的支付</w:t>
            </w:r>
          </w:p>
        </w:tc>
        <w:tc>
          <w:tcPr>
            <w:tcW w:w="5582"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inorEastAsia" w:hAnsiTheme="minorEastAsia" w:eastAsiaTheme="minorEastAsia"/>
                <w:bCs/>
                <w:szCs w:val="21"/>
                <w:highlight w:val="yellow"/>
              </w:rPr>
            </w:pPr>
            <w:r>
              <w:rPr>
                <w:rFonts w:hint="eastAsia" w:asciiTheme="minorEastAsia" w:hAnsiTheme="minorEastAsia" w:eastAsiaTheme="minorEastAsia"/>
                <w:bCs/>
                <w:szCs w:val="21"/>
              </w:rPr>
              <w:t>本项目代理服务费由中标人支付，中标人在领取中标通知书时一次性全额支付，代理服务费金额为固定金额，不随项目合同金额的增减而浮动。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721"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left"/>
              <w:rPr>
                <w:rFonts w:asciiTheme="minorEastAsia" w:hAnsiTheme="minorEastAsia" w:eastAsiaTheme="minorEastAsia"/>
                <w:b/>
                <w:sz w:val="21"/>
                <w:szCs w:val="21"/>
              </w:rPr>
            </w:pPr>
            <w:r>
              <w:rPr>
                <w:rFonts w:hint="eastAsia" w:asciiTheme="minorEastAsia" w:hAnsiTheme="minorEastAsia" w:eastAsiaTheme="minorEastAsia"/>
                <w:sz w:val="21"/>
                <w:szCs w:val="21"/>
              </w:rPr>
              <w:t>现场考察</w:t>
            </w:r>
          </w:p>
        </w:tc>
        <w:tc>
          <w:tcPr>
            <w:tcW w:w="558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szCs w:val="21"/>
              </w:rPr>
            </w:pPr>
            <w:r>
              <w:rPr>
                <w:rFonts w:hint="eastAsia" w:asciiTheme="minorEastAsia" w:hAnsiTheme="minorEastAsia" w:eastAsiaTheme="minorEastAsia"/>
                <w:szCs w:val="21"/>
              </w:rPr>
              <w:t>本项不适用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89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22.1</w:t>
            </w:r>
          </w:p>
        </w:tc>
        <w:tc>
          <w:tcPr>
            <w:tcW w:w="172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宋体" w:hAnsi="宋体" w:cs="宋体"/>
                <w:bCs/>
                <w:szCs w:val="21"/>
              </w:rPr>
              <w:t>▲</w:t>
            </w:r>
            <w:r>
              <w:rPr>
                <w:rFonts w:hint="eastAsia" w:asciiTheme="minorEastAsia" w:hAnsiTheme="minorEastAsia" w:eastAsiaTheme="minorEastAsia"/>
                <w:szCs w:val="21"/>
              </w:rPr>
              <w:t>资格要求响应文件的组成</w:t>
            </w:r>
          </w:p>
        </w:tc>
        <w:tc>
          <w:tcPr>
            <w:tcW w:w="5582"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1.投标人资格声明函；</w:t>
            </w:r>
          </w:p>
          <w:p>
            <w:pPr>
              <w:rPr>
                <w:rFonts w:asciiTheme="minorEastAsia" w:hAnsiTheme="minorEastAsia" w:eastAsiaTheme="minorEastAsia"/>
              </w:rPr>
            </w:pPr>
            <w:r>
              <w:rPr>
                <w:rFonts w:hint="eastAsia" w:asciiTheme="minorEastAsia" w:hAnsiTheme="minorEastAsia" w:eastAsiaTheme="minorEastAsia"/>
                <w:szCs w:val="21"/>
              </w:rPr>
              <w:t>2.法人或者其他组织的营业执照等登记证明文件复印件；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8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172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商务技术文件的组成</w:t>
            </w:r>
          </w:p>
        </w:tc>
        <w:tc>
          <w:tcPr>
            <w:tcW w:w="5582"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宋体" w:hAnsi="宋体" w:cs="宋体"/>
                <w:bCs/>
                <w:szCs w:val="21"/>
              </w:rPr>
              <w:t>▲</w:t>
            </w:r>
            <w:r>
              <w:rPr>
                <w:rFonts w:hint="eastAsia" w:asciiTheme="minorEastAsia" w:hAnsiTheme="minorEastAsia" w:eastAsiaTheme="minorEastAsia"/>
                <w:szCs w:val="21"/>
              </w:rPr>
              <w:t>1.投标函；</w:t>
            </w:r>
          </w:p>
          <w:p>
            <w:pPr>
              <w:rPr>
                <w:rFonts w:asciiTheme="minorEastAsia" w:hAnsiTheme="minorEastAsia" w:eastAsiaTheme="minorEastAsia"/>
                <w:szCs w:val="21"/>
              </w:rPr>
            </w:pPr>
            <w:r>
              <w:rPr>
                <w:rFonts w:hint="eastAsia" w:ascii="宋体" w:hAnsi="宋体" w:cs="宋体"/>
                <w:bCs/>
                <w:szCs w:val="21"/>
              </w:rPr>
              <w:t>▲</w:t>
            </w:r>
            <w:r>
              <w:rPr>
                <w:rFonts w:hint="eastAsia" w:asciiTheme="minorEastAsia" w:hAnsiTheme="minorEastAsia" w:eastAsiaTheme="minorEastAsia"/>
                <w:szCs w:val="21"/>
              </w:rPr>
              <w:t>2.法定代表人身份证复印件（双面）或法定代表人授权委托书及其附件；</w:t>
            </w:r>
          </w:p>
          <w:p>
            <w:pPr>
              <w:rPr>
                <w:rFonts w:asciiTheme="minorEastAsia" w:hAnsiTheme="minorEastAsia" w:eastAsiaTheme="minorEastAsia"/>
                <w:szCs w:val="21"/>
              </w:rPr>
            </w:pPr>
            <w:r>
              <w:rPr>
                <w:rFonts w:hint="eastAsia" w:asciiTheme="minorEastAsia" w:hAnsiTheme="minorEastAsia" w:eastAsiaTheme="minorEastAsia"/>
                <w:szCs w:val="21"/>
              </w:rPr>
              <w:t>3.评委打分索引表；</w:t>
            </w:r>
          </w:p>
          <w:p>
            <w:pP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商务要求</w:t>
            </w:r>
            <w:r>
              <w:rPr>
                <w:rFonts w:hint="eastAsia" w:asciiTheme="minorEastAsia" w:hAnsiTheme="minorEastAsia" w:eastAsiaTheme="minorEastAsia"/>
                <w:szCs w:val="21"/>
              </w:rPr>
              <w:t>响应表；</w:t>
            </w:r>
          </w:p>
          <w:p>
            <w:pPr>
              <w:rPr>
                <w:rFonts w:asciiTheme="minorEastAsia" w:hAnsiTheme="minorEastAsia" w:eastAsiaTheme="minorEastAsia"/>
                <w:szCs w:val="21"/>
              </w:rPr>
            </w:pPr>
            <w:r>
              <w:rPr>
                <w:rFonts w:hint="eastAsia" w:asciiTheme="minorEastAsia" w:hAnsiTheme="minorEastAsia" w:eastAsiaTheme="minorEastAsia"/>
                <w:szCs w:val="21"/>
              </w:rPr>
              <w:t>5.技术要求响应表；</w:t>
            </w:r>
          </w:p>
          <w:p>
            <w:pP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项目</w:t>
            </w:r>
            <w:r>
              <w:rPr>
                <w:rFonts w:hint="eastAsia" w:asciiTheme="minorEastAsia" w:hAnsiTheme="minorEastAsia" w:eastAsiaTheme="minorEastAsia"/>
                <w:szCs w:val="21"/>
                <w:lang w:val="en-US" w:eastAsia="zh-CN"/>
              </w:rPr>
              <w:t>服务</w:t>
            </w:r>
            <w:r>
              <w:rPr>
                <w:rFonts w:hint="eastAsia" w:asciiTheme="minorEastAsia" w:hAnsiTheme="minorEastAsia" w:eastAsiaTheme="minorEastAsia"/>
                <w:szCs w:val="21"/>
              </w:rPr>
              <w:t>方案</w:t>
            </w:r>
          </w:p>
          <w:p>
            <w:pPr>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.项目</w:t>
            </w:r>
            <w:r>
              <w:rPr>
                <w:rFonts w:hint="eastAsia" w:asciiTheme="minorEastAsia" w:hAnsiTheme="minorEastAsia" w:eastAsiaTheme="minorEastAsia"/>
                <w:szCs w:val="21"/>
                <w:lang w:val="en-US" w:eastAsia="zh-CN"/>
              </w:rPr>
              <w:t>服务</w:t>
            </w:r>
            <w:r>
              <w:rPr>
                <w:rFonts w:hint="eastAsia" w:asciiTheme="minorEastAsia" w:hAnsiTheme="minorEastAsia" w:eastAsiaTheme="minorEastAsia"/>
                <w:szCs w:val="21"/>
              </w:rPr>
              <w:t>人员情况表；</w:t>
            </w:r>
          </w:p>
          <w:p>
            <w:pPr>
              <w:rPr>
                <w:rFonts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.类似项目业绩一览表；</w:t>
            </w:r>
          </w:p>
          <w:p>
            <w:pPr>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.与项目评审及合同实施有关的其他资料。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8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172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报价要求响应文件的组成</w:t>
            </w:r>
          </w:p>
        </w:tc>
        <w:tc>
          <w:tcPr>
            <w:tcW w:w="5582" w:type="dxa"/>
            <w:tcBorders>
              <w:top w:val="single" w:color="auto" w:sz="4" w:space="0"/>
              <w:left w:val="single" w:color="auto" w:sz="4" w:space="0"/>
              <w:right w:val="single" w:color="auto" w:sz="4" w:space="0"/>
            </w:tcBorders>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开标一览表；</w:t>
            </w:r>
          </w:p>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2.</w:t>
            </w:r>
            <w:bookmarkStart w:id="39" w:name="_Hlk104213143"/>
            <w:r>
              <w:rPr>
                <w:rFonts w:hint="eastAsia" w:asciiTheme="minorEastAsia" w:hAnsiTheme="minorEastAsia" w:eastAsiaTheme="minorEastAsia"/>
                <w:szCs w:val="21"/>
              </w:rPr>
              <w:t>投标报价组成明细表</w:t>
            </w:r>
            <w:bookmarkEnd w:id="39"/>
            <w:r>
              <w:rPr>
                <w:rFonts w:hint="eastAsia" w:asciiTheme="minorEastAsia" w:hAnsiTheme="minorEastAsia" w:eastAsiaTheme="minorEastAsia"/>
                <w:szCs w:val="21"/>
                <w:lang w:eastAsia="zh-CN"/>
              </w:rPr>
              <w:t>；</w:t>
            </w:r>
          </w:p>
          <w:p>
            <w:pPr>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.中小企业声明函（如不符合，无法获得政策优惠，可不提供）；</w:t>
            </w:r>
          </w:p>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.残疾人福利性单位声明函（如不符合，无法获得政策优惠，可不提供）；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89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24.1</w:t>
            </w:r>
          </w:p>
        </w:tc>
        <w:tc>
          <w:tcPr>
            <w:tcW w:w="172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投标文件的份数</w:t>
            </w:r>
          </w:p>
        </w:tc>
        <w:tc>
          <w:tcPr>
            <w:tcW w:w="5582" w:type="dxa"/>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ascii="宋体" w:hAnsi="宋体" w:cs="宋体"/>
                <w:bCs/>
                <w:szCs w:val="21"/>
              </w:rPr>
              <w:t>▲</w:t>
            </w:r>
            <w:r>
              <w:rPr>
                <w:rFonts w:hint="eastAsia" w:asciiTheme="minorEastAsia" w:hAnsiTheme="minorEastAsia" w:eastAsiaTheme="minorEastAsia"/>
                <w:szCs w:val="21"/>
              </w:rPr>
              <w:t>1.电子加密投标文件：1份；</w:t>
            </w:r>
          </w:p>
          <w:p>
            <w:pPr>
              <w:jc w:val="left"/>
              <w:rPr>
                <w:rFonts w:asciiTheme="minorEastAsia" w:hAnsiTheme="minorEastAsia" w:eastAsiaTheme="minorEastAsia"/>
                <w:szCs w:val="21"/>
              </w:rPr>
            </w:pPr>
            <w:r>
              <w:rPr>
                <w:rFonts w:hint="eastAsia" w:asciiTheme="minorEastAsia" w:hAnsiTheme="minorEastAsia" w:eastAsiaTheme="minorEastAsia"/>
                <w:szCs w:val="21"/>
              </w:rPr>
              <w:t>2.备份投标文件：1份，以U盘存储（不强制要求提供）。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27.1</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投标</w:t>
            </w:r>
            <w:r>
              <w:rPr>
                <w:rFonts w:asciiTheme="minorEastAsia" w:hAnsiTheme="minorEastAsia" w:eastAsiaTheme="minorEastAsia"/>
                <w:szCs w:val="21"/>
              </w:rPr>
              <w:t>有效期</w:t>
            </w:r>
          </w:p>
        </w:tc>
        <w:tc>
          <w:tcPr>
            <w:tcW w:w="558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cs="Arial" w:asciiTheme="minorEastAsia" w:hAnsiTheme="minorEastAsia" w:eastAsiaTheme="minorEastAsia"/>
                <w:szCs w:val="21"/>
              </w:rPr>
              <w:t>90日历</w:t>
            </w:r>
            <w:r>
              <w:rPr>
                <w:rFonts w:hint="eastAsia" w:cs="Arial" w:asciiTheme="minorEastAsia" w:hAnsiTheme="minorEastAsia" w:eastAsiaTheme="minorEastAsia"/>
                <w:szCs w:val="21"/>
                <w:lang w:val="en-US" w:eastAsia="zh-CN"/>
              </w:rPr>
              <w:t>日</w:t>
            </w:r>
            <w:r>
              <w:rPr>
                <w:rFonts w:hint="eastAsia" w:cs="Arial"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30.1</w:t>
            </w:r>
          </w:p>
        </w:tc>
        <w:tc>
          <w:tcPr>
            <w:tcW w:w="1721"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投标截止时间及地点</w:t>
            </w:r>
          </w:p>
        </w:tc>
        <w:tc>
          <w:tcPr>
            <w:tcW w:w="5582"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详见投标邀请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32.2</w:t>
            </w:r>
          </w:p>
        </w:tc>
        <w:tc>
          <w:tcPr>
            <w:tcW w:w="1721"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投标文件解密时间</w:t>
            </w:r>
          </w:p>
        </w:tc>
        <w:tc>
          <w:tcPr>
            <w:tcW w:w="5582"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解密指令发出后3</w:t>
            </w:r>
            <w:r>
              <w:rPr>
                <w:rFonts w:asciiTheme="minorEastAsia" w:hAnsiTheme="minorEastAsia" w:eastAsiaTheme="minorEastAsia"/>
                <w:sz w:val="21"/>
                <w:szCs w:val="21"/>
              </w:rPr>
              <w:t>0</w:t>
            </w:r>
            <w:r>
              <w:rPr>
                <w:rFonts w:hint="eastAsia" w:asciiTheme="minorEastAsia" w:hAnsiTheme="minorEastAsia" w:eastAsiaTheme="minorEastAsia"/>
                <w:sz w:val="21"/>
                <w:szCs w:val="21"/>
              </w:rPr>
              <w:t>分钟内（以电子交易系统解密倒计时为准）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89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33.7</w:t>
            </w:r>
          </w:p>
        </w:tc>
        <w:tc>
          <w:tcPr>
            <w:tcW w:w="1721"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评标方法</w:t>
            </w:r>
          </w:p>
        </w:tc>
        <w:tc>
          <w:tcPr>
            <w:tcW w:w="5582"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892"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721"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sz w:val="21"/>
                <w:szCs w:val="21"/>
              </w:rPr>
            </w:pPr>
            <w:r>
              <w:rPr>
                <w:rFonts w:asciiTheme="minorEastAsia" w:hAnsiTheme="minorEastAsia" w:eastAsiaTheme="minorEastAsia"/>
                <w:sz w:val="21"/>
                <w:szCs w:val="21"/>
              </w:rPr>
              <w:t>中标候选</w:t>
            </w:r>
            <w:r>
              <w:rPr>
                <w:rFonts w:hint="eastAsia" w:asciiTheme="minorEastAsia" w:hAnsiTheme="minorEastAsia" w:eastAsiaTheme="minorEastAsia"/>
                <w:sz w:val="21"/>
                <w:szCs w:val="21"/>
              </w:rPr>
              <w:t>人的</w:t>
            </w:r>
            <w:r>
              <w:rPr>
                <w:rFonts w:asciiTheme="minorEastAsia" w:hAnsiTheme="minorEastAsia" w:eastAsiaTheme="minorEastAsia"/>
                <w:sz w:val="21"/>
                <w:szCs w:val="21"/>
              </w:rPr>
              <w:t>数量</w:t>
            </w:r>
          </w:p>
        </w:tc>
        <w:tc>
          <w:tcPr>
            <w:tcW w:w="5582"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所有有效的投标人</w:t>
            </w:r>
          </w:p>
        </w:tc>
      </w:tr>
    </w:tbl>
    <w:p>
      <w:pPr>
        <w:spacing w:line="360" w:lineRule="auto"/>
        <w:rPr>
          <w:rFonts w:ascii="宋体" w:hAnsi="宋体"/>
          <w:b/>
          <w:szCs w:val="21"/>
        </w:rPr>
      </w:pPr>
    </w:p>
    <w:p>
      <w:pPr>
        <w:pStyle w:val="24"/>
        <w:tabs>
          <w:tab w:val="left" w:pos="426"/>
        </w:tabs>
        <w:snapToGrid w:val="0"/>
        <w:spacing w:beforeLines="0" w:afterLines="0" w:line="360" w:lineRule="auto"/>
        <w:jc w:val="center"/>
        <w:rPr>
          <w:rFonts w:hAnsi="宋体"/>
          <w:b/>
          <w:sz w:val="21"/>
          <w:szCs w:val="21"/>
        </w:rPr>
      </w:pPr>
      <w:r>
        <w:rPr>
          <w:rFonts w:hAnsi="宋体"/>
          <w:b/>
          <w:sz w:val="21"/>
          <w:szCs w:val="21"/>
        </w:rPr>
        <w:br w:type="page"/>
      </w:r>
      <w:r>
        <w:rPr>
          <w:rFonts w:hint="eastAsia" w:hAnsi="宋体"/>
          <w:b/>
          <w:sz w:val="21"/>
          <w:szCs w:val="21"/>
        </w:rPr>
        <w:t>一、总  则</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1.</w:t>
      </w:r>
      <w:r>
        <w:rPr>
          <w:rFonts w:asciiTheme="minorEastAsia" w:hAnsiTheme="minorEastAsia" w:eastAsiaTheme="minorEastAsia"/>
          <w:b/>
          <w:szCs w:val="21"/>
        </w:rPr>
        <w:t>适用范围</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本招标文件仅适用于本次公开招标所述的服务项目采购。</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2.定义</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1</w:t>
      </w:r>
      <w:r>
        <w:rPr>
          <w:rFonts w:hint="eastAsia" w:asciiTheme="minorEastAsia" w:hAnsiTheme="minorEastAsia" w:eastAsiaTheme="minorEastAsia"/>
          <w:szCs w:val="21"/>
        </w:rPr>
        <w:t>服务：系指除货物和工程以外的其他政府采购对象。</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2.2中标人（中标供应商）：是指经法定采购程序确定并授予合同的投标人。</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2.3</w:t>
      </w:r>
      <w:r>
        <w:rPr>
          <w:rFonts w:cs="Arial" w:asciiTheme="minorEastAsia" w:hAnsiTheme="minorEastAsia" w:eastAsiaTheme="minorEastAsia"/>
          <w:szCs w:val="21"/>
        </w:rPr>
        <w:t>书面形式</w:t>
      </w:r>
      <w:r>
        <w:rPr>
          <w:rFonts w:hint="eastAsia" w:cs="Arial" w:asciiTheme="minorEastAsia" w:hAnsiTheme="minorEastAsia" w:eastAsiaTheme="minorEastAsia"/>
          <w:szCs w:val="21"/>
        </w:rPr>
        <w:t>：</w:t>
      </w:r>
      <w:r>
        <w:rPr>
          <w:rFonts w:cs="Arial" w:asciiTheme="minorEastAsia" w:hAnsiTheme="minorEastAsia" w:eastAsiaTheme="minorEastAsia"/>
          <w:szCs w:val="21"/>
        </w:rPr>
        <w:t>包括</w:t>
      </w:r>
      <w:r>
        <w:rPr>
          <w:rFonts w:hint="eastAsia" w:cs="Arial" w:asciiTheme="minorEastAsia" w:hAnsiTheme="minorEastAsia" w:eastAsiaTheme="minorEastAsia"/>
          <w:szCs w:val="21"/>
        </w:rPr>
        <w:t>信件、</w:t>
      </w:r>
      <w:r>
        <w:rPr>
          <w:rFonts w:cs="Arial" w:asciiTheme="minorEastAsia" w:hAnsiTheme="minorEastAsia" w:eastAsiaTheme="minorEastAsia"/>
          <w:szCs w:val="21"/>
        </w:rPr>
        <w:t>电报、电传、传真等可以有形地表现所载内容的形式</w:t>
      </w:r>
      <w:r>
        <w:rPr>
          <w:rFonts w:hint="eastAsia" w:cs="Arial" w:asciiTheme="minorEastAsia" w:hAnsiTheme="minorEastAsia" w:eastAsiaTheme="minorEastAsia"/>
          <w:szCs w:val="21"/>
        </w:rPr>
        <w:t>。以电子数据交换、电子邮件等方式能够有形地表现所载内容，并可以随时调取查用的数据电文，视为书面形式。</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2.4实质性条款：标注</w:t>
      </w:r>
      <w:r>
        <w:rPr>
          <w:rFonts w:cs="Arial" w:asciiTheme="minorEastAsia" w:hAnsiTheme="minorEastAsia" w:eastAsiaTheme="minorEastAsia"/>
          <w:szCs w:val="21"/>
        </w:rPr>
        <w:t>“▲”</w:t>
      </w:r>
      <w:r>
        <w:rPr>
          <w:rFonts w:hint="eastAsia" w:cs="Arial" w:asciiTheme="minorEastAsia" w:hAnsiTheme="minorEastAsia" w:eastAsiaTheme="minorEastAsia"/>
          <w:szCs w:val="21"/>
        </w:rPr>
        <w:t>的属于招标文件的</w:t>
      </w:r>
      <w:r>
        <w:rPr>
          <w:rFonts w:cs="Arial" w:asciiTheme="minorEastAsia" w:hAnsiTheme="minorEastAsia" w:eastAsiaTheme="minorEastAsia"/>
          <w:szCs w:val="21"/>
        </w:rPr>
        <w:t>实质性要求条款。</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2.5公章:</w:t>
      </w:r>
      <w:r>
        <w:rPr>
          <w:rFonts w:cs="Arial" w:asciiTheme="minorEastAsia" w:hAnsiTheme="minorEastAsia" w:eastAsiaTheme="minorEastAsia"/>
          <w:szCs w:val="21"/>
        </w:rPr>
        <w:t>投标人在投标文件及通知等事项的书面文件中的单位盖章、公章等处，均仅指与投标当事人名称全称相一致的标准公章</w:t>
      </w:r>
      <w:r>
        <w:rPr>
          <w:rFonts w:hint="eastAsia" w:cs="Arial" w:asciiTheme="minorEastAsia" w:hAnsiTheme="minorEastAsia" w:eastAsiaTheme="minorEastAsia"/>
          <w:szCs w:val="21"/>
        </w:rPr>
        <w:t>（行政章）</w:t>
      </w:r>
      <w:r>
        <w:rPr>
          <w:rFonts w:cs="Arial" w:asciiTheme="minorEastAsia" w:hAnsiTheme="minorEastAsia" w:eastAsiaTheme="minorEastAsia"/>
          <w:szCs w:val="21"/>
        </w:rPr>
        <w:t>，不得使用其它形式，如带有“专用章”</w:t>
      </w:r>
      <w:r>
        <w:rPr>
          <w:rFonts w:hint="eastAsia" w:cs="Arial" w:asciiTheme="minorEastAsia" w:hAnsiTheme="minorEastAsia" w:eastAsiaTheme="minorEastAsia"/>
          <w:szCs w:val="21"/>
        </w:rPr>
        <w:t>“业务章”</w:t>
      </w:r>
      <w:r>
        <w:rPr>
          <w:rFonts w:cs="Arial" w:asciiTheme="minorEastAsia" w:hAnsiTheme="minorEastAsia" w:eastAsiaTheme="minorEastAsia"/>
          <w:szCs w:val="21"/>
        </w:rPr>
        <w:t>等字样的印章。</w:t>
      </w:r>
    </w:p>
    <w:p>
      <w:pPr>
        <w:spacing w:line="360" w:lineRule="auto"/>
        <w:ind w:firstLine="437"/>
        <w:outlineLvl w:val="3"/>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w:t>
      </w:r>
      <w:r>
        <w:rPr>
          <w:rFonts w:hint="eastAsia" w:asciiTheme="minorEastAsia" w:hAnsiTheme="minorEastAsia" w:eastAsiaTheme="minorEastAsia"/>
          <w:b/>
          <w:szCs w:val="21"/>
        </w:rPr>
        <w:t>采购人、采购代理机构及投标人</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.1采购人</w:t>
      </w:r>
      <w:r>
        <w:rPr>
          <w:rFonts w:hint="eastAsia" w:asciiTheme="minorEastAsia" w:hAnsiTheme="minorEastAsia" w:eastAsiaTheme="minorEastAsia"/>
          <w:szCs w:val="21"/>
        </w:rPr>
        <w:t>（招标人）</w:t>
      </w:r>
      <w:r>
        <w:rPr>
          <w:rFonts w:asciiTheme="minorEastAsia" w:hAnsiTheme="minorEastAsia" w:eastAsiaTheme="minorEastAsia"/>
          <w:szCs w:val="21"/>
        </w:rPr>
        <w:t>：是指依法开展政府采购活动的国家机关、事业单位、团体组织。</w:t>
      </w:r>
      <w:r>
        <w:rPr>
          <w:rFonts w:hint="eastAsia" w:asciiTheme="minorEastAsia" w:hAnsiTheme="minorEastAsia" w:eastAsiaTheme="minorEastAsia"/>
          <w:szCs w:val="21"/>
        </w:rPr>
        <w:t>本项目的采购人见《</w:t>
      </w:r>
      <w:r>
        <w:rPr>
          <w:rFonts w:hint="eastAsia" w:asciiTheme="minorEastAsia" w:hAnsiTheme="minorEastAsia" w:eastAsiaTheme="minorEastAsia"/>
          <w:szCs w:val="21"/>
          <w:u w:val="single"/>
        </w:rPr>
        <w:t>投标人须知前附表</w:t>
      </w:r>
      <w:r>
        <w:rPr>
          <w:rFonts w:hint="eastAsia"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.2采购代理机构</w:t>
      </w:r>
      <w:r>
        <w:rPr>
          <w:rFonts w:hint="eastAsia" w:asciiTheme="minorEastAsia" w:hAnsiTheme="minorEastAsia" w:eastAsiaTheme="minorEastAsia"/>
          <w:szCs w:val="21"/>
        </w:rPr>
        <w:t>（招标代理公司）</w:t>
      </w:r>
      <w:r>
        <w:rPr>
          <w:rFonts w:asciiTheme="minorEastAsia" w:hAnsiTheme="minorEastAsia" w:eastAsiaTheme="minorEastAsia"/>
          <w:szCs w:val="21"/>
        </w:rPr>
        <w:t>：是指从事采购代理业务的社会中介机构。本项目的采购代理机构见</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asciiTheme="minorEastAsia" w:hAnsiTheme="minorEastAsia" w:eastAsiaTheme="minorEastAsia"/>
          <w:szCs w:val="21"/>
        </w:rPr>
        <w:t>3.3政府采购监督管理部门：</w:t>
      </w:r>
      <w:r>
        <w:rPr>
          <w:rFonts w:hint="eastAsia" w:asciiTheme="minorEastAsia" w:hAnsiTheme="minorEastAsia" w:eastAsiaTheme="minorEastAsia"/>
          <w:szCs w:val="21"/>
        </w:rPr>
        <w:t>各级人民政府指定的有关部门依法履行与政府采购活动有关的监督管理职责。本项目的政府采购监督管理部门见《</w:t>
      </w:r>
      <w:r>
        <w:rPr>
          <w:rFonts w:hint="eastAsia" w:asciiTheme="minorEastAsia" w:hAnsiTheme="minorEastAsia" w:eastAsiaTheme="minorEastAsia"/>
          <w:szCs w:val="21"/>
          <w:u w:val="single"/>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.4投标人</w:t>
      </w:r>
      <w:r>
        <w:rPr>
          <w:rFonts w:hint="eastAsia" w:asciiTheme="minorEastAsia" w:hAnsiTheme="minorEastAsia" w:eastAsiaTheme="minorEastAsia"/>
          <w:szCs w:val="21"/>
        </w:rPr>
        <w:t>（投标供应商、供应商）</w:t>
      </w:r>
      <w:r>
        <w:rPr>
          <w:rFonts w:asciiTheme="minorEastAsia" w:hAnsiTheme="minorEastAsia" w:eastAsiaTheme="minorEastAsia"/>
          <w:szCs w:val="21"/>
        </w:rPr>
        <w:t>：是指向采购人提供</w:t>
      </w:r>
      <w:r>
        <w:rPr>
          <w:rFonts w:hint="eastAsia" w:asciiTheme="minorEastAsia" w:hAnsiTheme="minorEastAsia" w:eastAsiaTheme="minorEastAsia"/>
          <w:szCs w:val="21"/>
        </w:rPr>
        <w:t>本项目服务</w:t>
      </w:r>
      <w:r>
        <w:rPr>
          <w:rFonts w:asciiTheme="minorEastAsia" w:hAnsiTheme="minorEastAsia" w:eastAsiaTheme="minorEastAsia"/>
          <w:szCs w:val="21"/>
        </w:rPr>
        <w:t>的法人、非法人组织</w:t>
      </w:r>
      <w:r>
        <w:rPr>
          <w:rFonts w:hint="eastAsia" w:asciiTheme="minorEastAsia" w:hAnsiTheme="minorEastAsia" w:eastAsiaTheme="minorEastAsia"/>
          <w:szCs w:val="21"/>
        </w:rPr>
        <w:t>，</w:t>
      </w:r>
      <w:r>
        <w:rPr>
          <w:rFonts w:asciiTheme="minorEastAsia" w:hAnsiTheme="minorEastAsia" w:eastAsiaTheme="minorEastAsia"/>
          <w:szCs w:val="21"/>
        </w:rPr>
        <w:t>须满足</w:t>
      </w:r>
      <w:r>
        <w:rPr>
          <w:rFonts w:hint="eastAsia" w:asciiTheme="minorEastAsia" w:hAnsiTheme="minorEastAsia" w:eastAsiaTheme="minorEastAsia"/>
          <w:szCs w:val="21"/>
        </w:rPr>
        <w:t>招标公告（投标邀请）中</w:t>
      </w:r>
      <w:r>
        <w:rPr>
          <w:rFonts w:asciiTheme="minorEastAsia" w:hAnsiTheme="minorEastAsia" w:eastAsiaTheme="minorEastAsia"/>
          <w:szCs w:val="21"/>
        </w:rPr>
        <w:t>关于</w:t>
      </w:r>
      <w:r>
        <w:rPr>
          <w:rFonts w:hint="eastAsia" w:asciiTheme="minorEastAsia" w:hAnsiTheme="minorEastAsia" w:eastAsiaTheme="minorEastAsia"/>
          <w:szCs w:val="21"/>
        </w:rPr>
        <w:t>申请人的资格要求</w:t>
      </w:r>
      <w:r>
        <w:rPr>
          <w:rFonts w:asciiTheme="minorEastAsia" w:hAnsiTheme="minorEastAsia" w:eastAsiaTheme="minorEastAsia"/>
          <w:szCs w:val="21"/>
        </w:rPr>
        <w:t>的规定。</w:t>
      </w:r>
    </w:p>
    <w:p>
      <w:pPr>
        <w:spacing w:line="360" w:lineRule="auto"/>
        <w:ind w:firstLine="435"/>
        <w:rPr>
          <w:rFonts w:asciiTheme="minorEastAsia" w:hAnsiTheme="minorEastAsia" w:eastAsiaTheme="minorEastAsia"/>
          <w:szCs w:val="21"/>
        </w:rPr>
      </w:pPr>
      <w:bookmarkStart w:id="40" w:name="_Hlk60580614"/>
      <w:r>
        <w:rPr>
          <w:rFonts w:asciiTheme="minorEastAsia" w:hAnsiTheme="minorEastAsia" w:eastAsiaTheme="minorEastAsia"/>
          <w:szCs w:val="21"/>
        </w:rPr>
        <w:t>若</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中</w:t>
      </w:r>
      <w:r>
        <w:rPr>
          <w:rFonts w:hint="eastAsia" w:asciiTheme="minorEastAsia" w:hAnsiTheme="minorEastAsia" w:eastAsiaTheme="minorEastAsia"/>
          <w:szCs w:val="21"/>
        </w:rPr>
        <w:t>明确本项目</w:t>
      </w:r>
      <w:r>
        <w:rPr>
          <w:rFonts w:asciiTheme="minorEastAsia" w:hAnsiTheme="minorEastAsia" w:eastAsiaTheme="minorEastAsia"/>
          <w:szCs w:val="21"/>
        </w:rPr>
        <w:t>专门面向中小企业采购，</w:t>
      </w:r>
      <w:r>
        <w:rPr>
          <w:rFonts w:hint="eastAsia" w:asciiTheme="minorEastAsia" w:hAnsiTheme="minorEastAsia" w:eastAsiaTheme="minorEastAsia"/>
          <w:szCs w:val="21"/>
        </w:rPr>
        <w:t>如投标人非中小企业的</w:t>
      </w:r>
      <w:r>
        <w:rPr>
          <w:rFonts w:asciiTheme="minorEastAsia" w:hAnsiTheme="minorEastAsia" w:eastAsiaTheme="minorEastAsia"/>
          <w:szCs w:val="21"/>
        </w:rPr>
        <w:t>，其投标将被认定为</w:t>
      </w:r>
      <w:r>
        <w:rPr>
          <w:rFonts w:asciiTheme="minorEastAsia" w:hAnsiTheme="minorEastAsia" w:eastAsiaTheme="minorEastAsia"/>
          <w:b/>
          <w:szCs w:val="21"/>
        </w:rPr>
        <w:t>投标无效</w:t>
      </w:r>
      <w:r>
        <w:rPr>
          <w:rFonts w:asciiTheme="minorEastAsia" w:hAnsiTheme="minorEastAsia" w:eastAsiaTheme="minorEastAsia"/>
          <w:szCs w:val="21"/>
        </w:rPr>
        <w:t>。</w:t>
      </w:r>
    </w:p>
    <w:bookmarkEnd w:id="40"/>
    <w:p>
      <w:pPr>
        <w:spacing w:line="360" w:lineRule="auto"/>
        <w:ind w:firstLine="435"/>
        <w:rPr>
          <w:rFonts w:hint="default" w:asciiTheme="minorEastAsia" w:hAnsiTheme="minorEastAsia" w:eastAsiaTheme="minorEastAsia"/>
          <w:szCs w:val="21"/>
          <w:lang w:val="en-US" w:eastAsia="zh-CN"/>
        </w:rPr>
      </w:pPr>
      <w:bookmarkStart w:id="41" w:name="_Hlk60580861"/>
      <w:r>
        <w:rPr>
          <w:rFonts w:hint="eastAsia" w:asciiTheme="minorEastAsia" w:hAnsiTheme="minorEastAsia" w:eastAsiaTheme="minorEastAsia"/>
          <w:bCs/>
          <w:kern w:val="0"/>
          <w:szCs w:val="21"/>
        </w:rPr>
        <w:t>3</w:t>
      </w:r>
      <w:r>
        <w:rPr>
          <w:rFonts w:asciiTheme="minorEastAsia" w:hAnsiTheme="minorEastAsia" w:eastAsiaTheme="minorEastAsia"/>
          <w:bCs/>
          <w:kern w:val="0"/>
          <w:szCs w:val="21"/>
        </w:rPr>
        <w:t>.5</w:t>
      </w:r>
      <w:bookmarkEnd w:id="41"/>
      <w:r>
        <w:rPr>
          <w:rFonts w:hint="eastAsia" w:asciiTheme="minorEastAsia" w:hAnsiTheme="minorEastAsia" w:eastAsiaTheme="minorEastAsia"/>
          <w:bCs/>
          <w:kern w:val="0"/>
          <w:szCs w:val="21"/>
          <w:lang w:val="en-US" w:eastAsia="zh-CN"/>
        </w:rPr>
        <w:t>本项目不接受联合体投标。</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.6单位负责人为同一人或者存在直接控股、管理关系的不同供应商，</w:t>
      </w:r>
      <w:r>
        <w:rPr>
          <w:rFonts w:hint="eastAsia" w:asciiTheme="minorEastAsia" w:hAnsiTheme="minorEastAsia" w:eastAsiaTheme="minorEastAsia"/>
          <w:szCs w:val="21"/>
        </w:rPr>
        <w:t>不得参加同一合同项下的政府采购活动。否则其投标将被认定为</w:t>
      </w:r>
      <w:r>
        <w:rPr>
          <w:rFonts w:hint="eastAsia" w:asciiTheme="minorEastAsia" w:hAnsiTheme="minorEastAsia" w:eastAsiaTheme="minorEastAsia"/>
          <w:b/>
          <w:bCs/>
          <w:szCs w:val="21"/>
        </w:rPr>
        <w:t>投标无效</w:t>
      </w:r>
      <w:r>
        <w:rPr>
          <w:rFonts w:hint="eastAsia"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.7为本项目提供过整体设计、规范编制或者项目管理、监理、检测等服务的供应商，不得再参加本项目的采购活动。</w:t>
      </w:r>
      <w:bookmarkStart w:id="42" w:name="_Hlk13431092"/>
      <w:r>
        <w:rPr>
          <w:rFonts w:asciiTheme="minorEastAsia" w:hAnsiTheme="minorEastAsia" w:eastAsiaTheme="minorEastAsia"/>
          <w:szCs w:val="21"/>
        </w:rPr>
        <w:t>否则其投标将被认定为</w:t>
      </w:r>
      <w:r>
        <w:rPr>
          <w:rFonts w:asciiTheme="minorEastAsia" w:hAnsiTheme="minorEastAsia" w:eastAsiaTheme="minorEastAsia"/>
          <w:b/>
          <w:szCs w:val="21"/>
        </w:rPr>
        <w:t>投标无效</w:t>
      </w:r>
      <w:r>
        <w:rPr>
          <w:rFonts w:asciiTheme="minorEastAsia" w:hAnsiTheme="minorEastAsia" w:eastAsiaTheme="minorEastAsia"/>
          <w:szCs w:val="21"/>
        </w:rPr>
        <w:t>。</w:t>
      </w:r>
      <w:bookmarkEnd w:id="42"/>
    </w:p>
    <w:p>
      <w:pPr>
        <w:spacing w:line="360" w:lineRule="auto"/>
        <w:ind w:firstLine="435"/>
        <w:rPr>
          <w:rFonts w:asciiTheme="minorEastAsia" w:hAnsiTheme="minorEastAsia" w:eastAsiaTheme="minorEastAsia"/>
          <w:b/>
          <w:szCs w:val="21"/>
        </w:rPr>
      </w:pPr>
      <w:r>
        <w:rPr>
          <w:rFonts w:hint="eastAsia" w:asciiTheme="minorEastAsia" w:hAnsiTheme="minorEastAsia" w:eastAsiaTheme="minorEastAsia"/>
          <w:b/>
          <w:szCs w:val="21"/>
        </w:rPr>
        <w:t>4</w:t>
      </w:r>
      <w:r>
        <w:rPr>
          <w:rFonts w:asciiTheme="minorEastAsia" w:hAnsiTheme="minorEastAsia" w:eastAsiaTheme="minorEastAsia"/>
          <w:b/>
          <w:szCs w:val="21"/>
        </w:rPr>
        <w:t>.</w:t>
      </w:r>
      <w:r>
        <w:rPr>
          <w:rFonts w:hint="eastAsia" w:asciiTheme="minorEastAsia" w:hAnsiTheme="minorEastAsia" w:eastAsiaTheme="minorEastAsia"/>
          <w:b/>
          <w:szCs w:val="21"/>
        </w:rPr>
        <w:t>资金来源</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.1</w:t>
      </w:r>
      <w:r>
        <w:rPr>
          <w:rFonts w:hint="eastAsia" w:asciiTheme="minorEastAsia" w:hAnsiTheme="minorEastAsia" w:eastAsiaTheme="minorEastAsia"/>
          <w:szCs w:val="21"/>
        </w:rPr>
        <w:t>本项目的采购人已获得足以支付本次招标后所签订的合同项下的资金。</w:t>
      </w:r>
    </w:p>
    <w:p>
      <w:pPr>
        <w:spacing w:line="360" w:lineRule="auto"/>
        <w:ind w:firstLine="435"/>
        <w:rPr>
          <w:rFonts w:asciiTheme="minorEastAsia" w:hAnsiTheme="minorEastAsia" w:eastAsiaTheme="minorEastAsia"/>
          <w:szCs w:val="21"/>
        </w:rPr>
      </w:pPr>
      <w:bookmarkStart w:id="43" w:name="_Hlk11702998"/>
      <w:r>
        <w:rPr>
          <w:rFonts w:hint="eastAsia" w:asciiTheme="minorEastAsia" w:hAnsiTheme="minorEastAsia" w:eastAsiaTheme="minorEastAsia"/>
          <w:szCs w:val="21"/>
        </w:rPr>
        <w:t>4.2项目预算金额和分项（或分包）最高限价见</w:t>
      </w:r>
      <w:r>
        <w:rPr>
          <w:rFonts w:hint="eastAsia" w:asciiTheme="minorEastAsia" w:hAnsiTheme="minorEastAsia" w:eastAsiaTheme="minorEastAsia"/>
          <w:szCs w:val="21"/>
          <w:u w:val="single"/>
        </w:rPr>
        <w:t>投标邀请</w:t>
      </w:r>
      <w:r>
        <w:rPr>
          <w:rFonts w:hint="eastAsia" w:asciiTheme="minorEastAsia" w:hAnsiTheme="minorEastAsia" w:eastAsiaTheme="minorEastAsia"/>
          <w:szCs w:val="21"/>
        </w:rPr>
        <w:t>。</w:t>
      </w:r>
    </w:p>
    <w:bookmarkEnd w:id="43"/>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5.投标委托</w:t>
      </w:r>
    </w:p>
    <w:p>
      <w:pPr>
        <w:pStyle w:val="293"/>
        <w:widowControl w:val="0"/>
        <w:spacing w:afterLines="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投标文件的签署人应当为投标人的法定代表人，并在投标文件中提供法定代表人身份证正反面复印件。如投标人的法定代表人委托他人签署投标文件办理投标事务的，投标文件中必须提供投标人的</w:t>
      </w:r>
      <w:r>
        <w:rPr>
          <w:rFonts w:asciiTheme="minorEastAsia" w:hAnsiTheme="minorEastAsia" w:eastAsiaTheme="minorEastAsia"/>
          <w:sz w:val="21"/>
          <w:szCs w:val="21"/>
        </w:rPr>
        <w:t>法定代表人出具的授权委托书</w:t>
      </w:r>
      <w:r>
        <w:rPr>
          <w:rFonts w:hint="eastAsia" w:asciiTheme="minorEastAsia" w:hAnsiTheme="minorEastAsia" w:eastAsiaTheme="minorEastAsia"/>
          <w:sz w:val="21"/>
          <w:szCs w:val="21"/>
        </w:rPr>
        <w:t>及授权代表的身份证正反面复印件</w:t>
      </w:r>
      <w:r>
        <w:rPr>
          <w:rFonts w:asciiTheme="minorEastAsia" w:hAnsiTheme="minorEastAsia" w:eastAsiaTheme="minorEastAsia"/>
          <w:sz w:val="21"/>
          <w:szCs w:val="21"/>
        </w:rPr>
        <w:t>。</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6.投标费用</w:t>
      </w:r>
    </w:p>
    <w:p>
      <w:pPr>
        <w:pStyle w:val="293"/>
        <w:widowControl w:val="0"/>
        <w:spacing w:afterLines="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不论投标的结果如何，投标人自行承担所有与准备和参加投标有关的费用。</w:t>
      </w:r>
    </w:p>
    <w:p>
      <w:pPr>
        <w:spacing w:line="360" w:lineRule="auto"/>
        <w:ind w:firstLine="437"/>
        <w:outlineLvl w:val="3"/>
        <w:rPr>
          <w:rFonts w:asciiTheme="minorEastAsia" w:hAnsiTheme="minorEastAsia" w:eastAsiaTheme="minorEastAsia"/>
          <w:b/>
          <w:szCs w:val="21"/>
        </w:rPr>
      </w:pPr>
      <w:r>
        <w:rPr>
          <w:rFonts w:hint="eastAsia" w:asciiTheme="minorEastAsia" w:hAnsiTheme="minorEastAsia" w:eastAsiaTheme="minorEastAsia"/>
          <w:b/>
          <w:szCs w:val="21"/>
        </w:rPr>
        <w:t>7</w:t>
      </w:r>
      <w:r>
        <w:rPr>
          <w:rFonts w:asciiTheme="minorEastAsia" w:hAnsiTheme="minorEastAsia" w:eastAsiaTheme="minorEastAsia"/>
          <w:b/>
          <w:szCs w:val="21"/>
        </w:rPr>
        <w:t>.</w:t>
      </w:r>
      <w:r>
        <w:rPr>
          <w:rFonts w:hint="eastAsia" w:asciiTheme="minorEastAsia" w:hAnsiTheme="minorEastAsia" w:eastAsiaTheme="minorEastAsia"/>
          <w:b/>
          <w:szCs w:val="21"/>
        </w:rPr>
        <w:t>适用法律</w:t>
      </w:r>
    </w:p>
    <w:p>
      <w:pPr>
        <w:pStyle w:val="293"/>
        <w:widowControl w:val="0"/>
        <w:spacing w:afterLines="0" w:line="360" w:lineRule="auto"/>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本项目采购人、采购代理机构、投标人、评标委员会的相关行为均受《中华人民共和国政府采购法》《中华人民共和国政府采购法实施条例》《政府采购货物和服务招标投标管理办法》等政府采购法律法规的约束，其权利亦受到上述法律法规的保护。</w:t>
      </w:r>
    </w:p>
    <w:p>
      <w:pPr>
        <w:pStyle w:val="293"/>
        <w:widowControl w:val="0"/>
        <w:spacing w:afterLines="0" w:line="360" w:lineRule="auto"/>
        <w:ind w:firstLine="420"/>
        <w:rPr>
          <w:rFonts w:hint="default"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8.关于分公司投标的说明</w:t>
      </w:r>
    </w:p>
    <w:p>
      <w:pPr>
        <w:pStyle w:val="293"/>
        <w:widowControl w:val="0"/>
        <w:spacing w:afterLines="0" w:line="360" w:lineRule="auto"/>
        <w:ind w:firstLine="420"/>
        <w:rPr>
          <w:rFonts w:hint="default"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除银行、保险、石油石化、电力、电信、移动、联通等行业允许分公司投标外，其余不允许分公司投标。如允许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8.知识产权</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投标人应保证在本项目使用的任何产品（包括部分使用），不会产生因第三方提出侵犯其</w:t>
      </w:r>
      <w:r>
        <w:rPr>
          <w:rFonts w:hint="eastAsia" w:asciiTheme="minorEastAsia" w:hAnsiTheme="minorEastAsia" w:eastAsiaTheme="minorEastAsia"/>
          <w:sz w:val="21"/>
          <w:szCs w:val="21"/>
        </w:rPr>
        <w:t>著作权、</w:t>
      </w:r>
      <w:r>
        <w:rPr>
          <w:rFonts w:asciiTheme="minorEastAsia" w:hAnsiTheme="minorEastAsia" w:eastAsiaTheme="minorEastAsia"/>
          <w:sz w:val="21"/>
          <w:szCs w:val="21"/>
        </w:rPr>
        <w:t>专利权、商标权</w:t>
      </w:r>
      <w:r>
        <w:rPr>
          <w:rFonts w:hint="eastAsia" w:asciiTheme="minorEastAsia" w:hAnsiTheme="minorEastAsia" w:eastAsiaTheme="minorEastAsia"/>
          <w:sz w:val="21"/>
          <w:szCs w:val="21"/>
        </w:rPr>
        <w:t>等</w:t>
      </w:r>
      <w:r>
        <w:rPr>
          <w:rFonts w:asciiTheme="minorEastAsia" w:hAnsiTheme="minorEastAsia" w:eastAsiaTheme="minorEastAsia"/>
          <w:sz w:val="21"/>
          <w:szCs w:val="21"/>
        </w:rPr>
        <w:t>知识产权而引起</w:t>
      </w:r>
      <w:r>
        <w:rPr>
          <w:rFonts w:hint="eastAsia" w:asciiTheme="minorEastAsia" w:hAnsiTheme="minorEastAsia" w:eastAsiaTheme="minorEastAsia"/>
          <w:sz w:val="21"/>
          <w:szCs w:val="21"/>
        </w:rPr>
        <w:t>法律或经济纠纷。</w:t>
      </w:r>
      <w:r>
        <w:rPr>
          <w:rFonts w:asciiTheme="minorEastAsia" w:hAnsiTheme="minorEastAsia" w:eastAsiaTheme="minorEastAsia"/>
          <w:sz w:val="21"/>
          <w:szCs w:val="21"/>
        </w:rPr>
        <w:t>如果任何第三方提出侵权</w:t>
      </w:r>
      <w:r>
        <w:rPr>
          <w:rFonts w:hint="eastAsia" w:asciiTheme="minorEastAsia" w:hAnsiTheme="minorEastAsia" w:eastAsiaTheme="minorEastAsia"/>
          <w:sz w:val="21"/>
          <w:szCs w:val="21"/>
        </w:rPr>
        <w:t>指控，由投标人</w:t>
      </w:r>
      <w:r>
        <w:rPr>
          <w:rFonts w:asciiTheme="minorEastAsia" w:hAnsiTheme="minorEastAsia" w:eastAsiaTheme="minorEastAsia"/>
          <w:sz w:val="21"/>
          <w:szCs w:val="21"/>
        </w:rPr>
        <w:t>与该第三方交涉并承担由此发生的一切责任、费用和赔偿</w:t>
      </w:r>
      <w:r>
        <w:rPr>
          <w:rFonts w:hint="eastAsia" w:asciiTheme="minorEastAsia" w:hAnsiTheme="minorEastAsia" w:eastAsiaTheme="minorEastAsia"/>
          <w:sz w:val="21"/>
          <w:szCs w:val="21"/>
        </w:rPr>
        <w:t>。</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sz w:val="21"/>
          <w:szCs w:val="21"/>
        </w:rPr>
        <w:t>投标人如采用自身所不拥有的知识产权，无论投标人是否在投标报价中单独列明，采购人均视为投标人的投标报价已包含投</w:t>
      </w:r>
      <w:r>
        <w:rPr>
          <w:rFonts w:hint="eastAsia" w:asciiTheme="minorEastAsia" w:hAnsiTheme="minorEastAsia" w:eastAsiaTheme="minorEastAsia"/>
          <w:color w:val="auto"/>
          <w:sz w:val="21"/>
          <w:szCs w:val="21"/>
        </w:rPr>
        <w:t>标人合法获取该知识产权的相关费用。</w:t>
      </w:r>
    </w:p>
    <w:p>
      <w:pPr>
        <w:spacing w:line="360" w:lineRule="auto"/>
        <w:ind w:firstLine="422" w:firstLineChars="200"/>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9.转包</w:t>
      </w:r>
    </w:p>
    <w:p>
      <w:pPr>
        <w:snapToGrid w:val="0"/>
        <w:spacing w:line="360" w:lineRule="auto"/>
        <w:ind w:firstLine="420" w:firstLineChars="200"/>
        <w:jc w:val="left"/>
        <w:rPr>
          <w:rFonts w:cs="Arial" w:asciiTheme="minorEastAsia" w:hAnsiTheme="minorEastAsia" w:eastAsiaTheme="minorEastAsia"/>
          <w:color w:val="auto"/>
          <w:szCs w:val="21"/>
        </w:rPr>
      </w:pPr>
      <w:r>
        <w:rPr>
          <w:rFonts w:cs="Arial" w:asciiTheme="minorEastAsia" w:hAnsiTheme="minorEastAsia" w:eastAsiaTheme="minorEastAsia"/>
          <w:color w:val="auto"/>
          <w:szCs w:val="21"/>
        </w:rPr>
        <w:t>本项目不允许转包</w:t>
      </w:r>
      <w:r>
        <w:rPr>
          <w:rFonts w:hint="eastAsia" w:cs="Arial" w:asciiTheme="minorEastAsia" w:hAnsiTheme="minorEastAsia" w:eastAsiaTheme="minorEastAsia"/>
          <w:color w:val="auto"/>
          <w:szCs w:val="21"/>
        </w:rPr>
        <w:t>。</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10.分包</w:t>
      </w:r>
    </w:p>
    <w:p>
      <w:pPr>
        <w:snapToGrid w:val="0"/>
        <w:spacing w:line="360" w:lineRule="auto"/>
        <w:ind w:firstLine="420" w:firstLineChars="200"/>
        <w:jc w:val="lef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本项目经采购人同意后，非关键、非主体工作内容允许分包。</w:t>
      </w:r>
    </w:p>
    <w:p>
      <w:pPr>
        <w:tabs>
          <w:tab w:val="left" w:pos="426"/>
        </w:tabs>
        <w:snapToGrid w:val="0"/>
        <w:spacing w:line="360" w:lineRule="auto"/>
        <w:ind w:firstLine="422" w:firstLineChars="200"/>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11.</w:t>
      </w:r>
      <w:r>
        <w:rPr>
          <w:rFonts w:cs="宋体" w:asciiTheme="minorEastAsia" w:hAnsiTheme="minorEastAsia" w:eastAsiaTheme="minorEastAsia"/>
          <w:b/>
          <w:color w:val="auto"/>
          <w:kern w:val="0"/>
          <w:szCs w:val="21"/>
        </w:rPr>
        <w:t>质疑和投诉</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color w:val="auto"/>
          <w:szCs w:val="21"/>
        </w:rPr>
        <w:t>11.1投标人认为招标文件、招标过程和中标结果使自己的权益受到损害的，可以在知道或者应知其权益受到损害之日起七个工作日内，以书面形式向采购人</w:t>
      </w:r>
      <w:r>
        <w:rPr>
          <w:rFonts w:hint="eastAsia" w:cs="Arial" w:asciiTheme="minorEastAsia" w:hAnsiTheme="minorEastAsia" w:eastAsiaTheme="minorEastAsia"/>
          <w:szCs w:val="21"/>
        </w:rPr>
        <w:t>或其委托的采购代理机构提出质疑。</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11.2投标人应在法定质疑期内一次性提出针对同一采购程序环节的质疑。</w:t>
      </w:r>
    </w:p>
    <w:p>
      <w:pPr>
        <w:snapToGrid w:val="0"/>
        <w:spacing w:line="360" w:lineRule="auto"/>
        <w:ind w:firstLine="420" w:firstLineChars="200"/>
        <w:jc w:val="left"/>
        <w:rPr>
          <w:rFonts w:asciiTheme="minorEastAsia" w:hAnsiTheme="minorEastAsia" w:eastAsiaTheme="minorEastAsia"/>
          <w:szCs w:val="21"/>
        </w:rPr>
      </w:pPr>
      <w:r>
        <w:rPr>
          <w:rFonts w:hint="eastAsia" w:cs="Arial" w:asciiTheme="minorEastAsia" w:hAnsiTheme="minorEastAsia" w:eastAsiaTheme="minorEastAsia"/>
          <w:szCs w:val="21"/>
        </w:rPr>
        <w:t>11</w:t>
      </w:r>
      <w:r>
        <w:rPr>
          <w:rFonts w:hint="eastAsia" w:asciiTheme="minorEastAsia" w:hAnsiTheme="minorEastAsia" w:eastAsiaTheme="minorEastAsia"/>
          <w:szCs w:val="21"/>
        </w:rPr>
        <w:t>.3采购代理机构质疑函接收部门、联系电话和通讯地址：见《投标人须知前附表》。</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11.4质疑投标人对采购人或采购代理机构的答复不满意或者采购人或采购代理机构未在规定的时间内作出答复的，可以在答复期满后十五个工作日内向同级政府采购监督管理部门投诉。</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11.5</w:t>
      </w:r>
      <w:r>
        <w:rPr>
          <w:rFonts w:cs="Arial" w:asciiTheme="minorEastAsia" w:hAnsiTheme="minorEastAsia" w:eastAsiaTheme="minorEastAsia"/>
          <w:szCs w:val="21"/>
        </w:rPr>
        <w:t>质疑、投诉</w:t>
      </w:r>
      <w:r>
        <w:rPr>
          <w:rFonts w:hint="eastAsia" w:cs="Arial" w:asciiTheme="minorEastAsia" w:hAnsiTheme="minorEastAsia" w:eastAsiaTheme="minorEastAsia"/>
          <w:szCs w:val="21"/>
        </w:rPr>
        <w:t>均须</w:t>
      </w:r>
      <w:r>
        <w:rPr>
          <w:rFonts w:cs="Arial" w:asciiTheme="minorEastAsia" w:hAnsiTheme="minorEastAsia" w:eastAsiaTheme="minorEastAsia"/>
          <w:szCs w:val="21"/>
        </w:rPr>
        <w:t>采用书面形式，质疑、投诉</w:t>
      </w:r>
      <w:r>
        <w:rPr>
          <w:rFonts w:hint="eastAsia" w:cs="Arial" w:asciiTheme="minorEastAsia" w:hAnsiTheme="minorEastAsia" w:eastAsiaTheme="minorEastAsia"/>
          <w:szCs w:val="21"/>
        </w:rPr>
        <w:t>资料</w:t>
      </w:r>
      <w:r>
        <w:rPr>
          <w:rFonts w:cs="Arial" w:asciiTheme="minorEastAsia" w:hAnsiTheme="minorEastAsia" w:eastAsiaTheme="minorEastAsia"/>
          <w:szCs w:val="21"/>
        </w:rPr>
        <w:t>均应明确阐述</w:t>
      </w:r>
      <w:r>
        <w:rPr>
          <w:rFonts w:hint="eastAsia" w:cs="Arial" w:asciiTheme="minorEastAsia" w:hAnsiTheme="minorEastAsia" w:eastAsiaTheme="minorEastAsia"/>
          <w:szCs w:val="21"/>
        </w:rPr>
        <w:t>自身</w:t>
      </w:r>
      <w:r>
        <w:rPr>
          <w:rFonts w:cs="Arial" w:asciiTheme="minorEastAsia" w:hAnsiTheme="minorEastAsia" w:eastAsiaTheme="minorEastAsia"/>
          <w:szCs w:val="21"/>
        </w:rPr>
        <w:t>合法权益受到损害的实质性内容，提供相关事实、依据和证据及其来源或线索，便于调查、答复和处理</w:t>
      </w:r>
      <w:r>
        <w:rPr>
          <w:rFonts w:hint="eastAsia" w:cs="Arial" w:asciiTheme="minorEastAsia" w:hAnsiTheme="minorEastAsia" w:eastAsiaTheme="minorEastAsia"/>
          <w:szCs w:val="21"/>
        </w:rPr>
        <w:t>，</w:t>
      </w:r>
      <w:r>
        <w:rPr>
          <w:rFonts w:cs="Arial" w:asciiTheme="minorEastAsia" w:hAnsiTheme="minorEastAsia" w:eastAsiaTheme="minorEastAsia"/>
          <w:szCs w:val="21"/>
        </w:rPr>
        <w:t>质疑、投诉</w:t>
      </w:r>
      <w:r>
        <w:rPr>
          <w:rFonts w:hint="eastAsia" w:cs="Arial" w:asciiTheme="minorEastAsia" w:hAnsiTheme="minorEastAsia" w:eastAsiaTheme="minorEastAsia"/>
          <w:szCs w:val="21"/>
        </w:rPr>
        <w:t>文件具体格式要求详见《第七章  政府采购供应商质疑函及投诉书格式》。</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12.信用记录查询及使用</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12.1</w:t>
      </w:r>
      <w:r>
        <w:rPr>
          <w:rFonts w:asciiTheme="minorEastAsia" w:hAnsiTheme="minorEastAsia" w:eastAsiaTheme="minorEastAsia"/>
          <w:sz w:val="21"/>
          <w:szCs w:val="21"/>
        </w:rPr>
        <w:t>投标人信用信息查询渠道</w:t>
      </w:r>
      <w:r>
        <w:rPr>
          <w:rFonts w:hint="eastAsia" w:asciiTheme="minorEastAsia" w:hAnsiTheme="minorEastAsia" w:eastAsiaTheme="minorEastAsia"/>
          <w:sz w:val="21"/>
          <w:szCs w:val="21"/>
        </w:rPr>
        <w:t>：通过“信用中国”网站（www.creditchina.gov.cn）、中国政府采购网（www.ccgp.gov.cn）查询本项目投标人的信用记录。</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12.2</w:t>
      </w:r>
      <w:r>
        <w:rPr>
          <w:rFonts w:asciiTheme="minorEastAsia" w:hAnsiTheme="minorEastAsia" w:eastAsiaTheme="minorEastAsia"/>
          <w:sz w:val="21"/>
          <w:szCs w:val="21"/>
        </w:rPr>
        <w:t>信息查询截止时点</w:t>
      </w:r>
      <w:r>
        <w:rPr>
          <w:rFonts w:hint="eastAsia" w:asciiTheme="minorEastAsia" w:hAnsiTheme="minorEastAsia" w:eastAsiaTheme="minorEastAsia"/>
          <w:sz w:val="21"/>
          <w:szCs w:val="21"/>
        </w:rPr>
        <w:t>：投标截止时间后至评审结束前。</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12.3</w:t>
      </w:r>
      <w:r>
        <w:rPr>
          <w:rFonts w:asciiTheme="minorEastAsia" w:hAnsiTheme="minorEastAsia" w:eastAsiaTheme="minorEastAsia"/>
          <w:sz w:val="21"/>
          <w:szCs w:val="21"/>
        </w:rPr>
        <w:t>信用信息查询记录和证据留存的具体方式</w:t>
      </w:r>
      <w:r>
        <w:rPr>
          <w:rFonts w:hint="eastAsia" w:asciiTheme="minorEastAsia" w:hAnsiTheme="minorEastAsia" w:eastAsiaTheme="minorEastAsia"/>
          <w:sz w:val="21"/>
          <w:szCs w:val="21"/>
        </w:rPr>
        <w:t>：</w:t>
      </w:r>
      <w:r>
        <w:rPr>
          <w:rFonts w:asciiTheme="minorEastAsia" w:hAnsiTheme="minorEastAsia" w:eastAsiaTheme="minorEastAsia"/>
          <w:sz w:val="21"/>
          <w:szCs w:val="21"/>
        </w:rPr>
        <w:t>采购代理机构</w:t>
      </w:r>
      <w:r>
        <w:rPr>
          <w:rFonts w:hint="eastAsia" w:asciiTheme="minorEastAsia" w:hAnsiTheme="minorEastAsia" w:eastAsiaTheme="minorEastAsia"/>
          <w:sz w:val="21"/>
          <w:szCs w:val="21"/>
        </w:rPr>
        <w:t>工作人员将查询网页打印、签字并与其他采购文件一并存档备查。</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投标人不良信用记录以</w:t>
      </w:r>
      <w:r>
        <w:rPr>
          <w:rFonts w:asciiTheme="minorEastAsia" w:hAnsiTheme="minorEastAsia" w:eastAsiaTheme="minorEastAsia"/>
          <w:sz w:val="21"/>
          <w:szCs w:val="21"/>
        </w:rPr>
        <w:t>采购代理机构</w:t>
      </w:r>
      <w:r>
        <w:rPr>
          <w:rFonts w:hint="eastAsia" w:asciiTheme="minorEastAsia" w:hAnsiTheme="minorEastAsia" w:eastAsiaTheme="minorEastAsia"/>
          <w:sz w:val="21"/>
          <w:szCs w:val="21"/>
        </w:rPr>
        <w:t>查询结果为准。</w:t>
      </w:r>
      <w:bookmarkStart w:id="44" w:name="_Hlk24663338"/>
      <w:r>
        <w:rPr>
          <w:rFonts w:hint="eastAsia" w:asciiTheme="minorEastAsia" w:hAnsiTheme="minorEastAsia" w:eastAsiaTheme="minorEastAsia"/>
          <w:sz w:val="21"/>
          <w:szCs w:val="21"/>
        </w:rPr>
        <w:t>在</w:t>
      </w:r>
      <w:r>
        <w:rPr>
          <w:rFonts w:asciiTheme="minorEastAsia" w:hAnsiTheme="minorEastAsia" w:eastAsiaTheme="minorEastAsia"/>
          <w:sz w:val="21"/>
          <w:szCs w:val="21"/>
        </w:rPr>
        <w:t>招标文件规定</w:t>
      </w:r>
      <w:r>
        <w:rPr>
          <w:rFonts w:hint="eastAsia" w:asciiTheme="minorEastAsia" w:hAnsiTheme="minorEastAsia" w:eastAsiaTheme="minorEastAsia"/>
          <w:sz w:val="21"/>
          <w:szCs w:val="21"/>
        </w:rPr>
        <w:t>的查询时间之外，网站信息发生的任何变更均不作为资格审查依据。</w:t>
      </w:r>
      <w:bookmarkEnd w:id="44"/>
      <w:r>
        <w:rPr>
          <w:rFonts w:hint="eastAsia" w:asciiTheme="minorEastAsia" w:hAnsiTheme="minorEastAsia" w:eastAsiaTheme="minorEastAsia"/>
          <w:sz w:val="21"/>
          <w:szCs w:val="21"/>
        </w:rPr>
        <w:t>投标人自行提供的网站查询结果材料亦不作为资格审查依据。</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12.4</w:t>
      </w:r>
      <w:r>
        <w:rPr>
          <w:rFonts w:asciiTheme="minorEastAsia" w:hAnsiTheme="minorEastAsia" w:eastAsiaTheme="minorEastAsia"/>
          <w:sz w:val="21"/>
          <w:szCs w:val="21"/>
        </w:rPr>
        <w:t>信用信息的使用规则</w:t>
      </w:r>
      <w:r>
        <w:rPr>
          <w:rFonts w:hint="eastAsia" w:asciiTheme="minorEastAsia" w:hAnsiTheme="minorEastAsia" w:eastAsiaTheme="minorEastAsia"/>
          <w:sz w:val="21"/>
          <w:szCs w:val="21"/>
        </w:rPr>
        <w:t>：</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p>
    <w:p>
      <w:pPr>
        <w:spacing w:line="360" w:lineRule="auto"/>
        <w:ind w:firstLine="422" w:firstLineChars="200"/>
        <w:jc w:val="left"/>
        <w:rPr>
          <w:rFonts w:asciiTheme="minorEastAsia" w:hAnsiTheme="minorEastAsia" w:eastAsiaTheme="minorEastAsia"/>
          <w:szCs w:val="21"/>
        </w:rPr>
      </w:pPr>
      <w:r>
        <w:rPr>
          <w:rFonts w:hint="eastAsia" w:asciiTheme="minorEastAsia" w:hAnsiTheme="minorEastAsia" w:eastAsiaTheme="minorEastAsia"/>
          <w:b/>
          <w:szCs w:val="21"/>
        </w:rPr>
        <w:t>13.政府采购信息发布媒体</w:t>
      </w:r>
    </w:p>
    <w:p>
      <w:pPr>
        <w:pStyle w:val="20"/>
        <w:snapToGrid w:val="0"/>
        <w:spacing w:after="0" w:line="360" w:lineRule="auto"/>
        <w:ind w:left="0" w:leftChars="0"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详见第一章（投标邀请）。</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14.</w:t>
      </w:r>
      <w:r>
        <w:rPr>
          <w:rFonts w:asciiTheme="minorEastAsia" w:hAnsiTheme="minorEastAsia" w:eastAsiaTheme="minorEastAsia"/>
          <w:b/>
          <w:szCs w:val="21"/>
        </w:rPr>
        <w:t>采购代理</w:t>
      </w:r>
      <w:r>
        <w:rPr>
          <w:rFonts w:hint="eastAsia" w:asciiTheme="minorEastAsia" w:hAnsiTheme="minorEastAsia" w:eastAsiaTheme="minorEastAsia"/>
          <w:b/>
          <w:szCs w:val="21"/>
        </w:rPr>
        <w:t>服务</w:t>
      </w:r>
      <w:r>
        <w:rPr>
          <w:rFonts w:asciiTheme="minorEastAsia" w:hAnsiTheme="minorEastAsia" w:eastAsiaTheme="minorEastAsia"/>
          <w:b/>
          <w:szCs w:val="21"/>
        </w:rPr>
        <w:t>费用的收取标准和方式</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14.1</w:t>
      </w:r>
      <w:r>
        <w:rPr>
          <w:rFonts w:asciiTheme="minorEastAsia" w:hAnsiTheme="minorEastAsia" w:eastAsiaTheme="minorEastAsia"/>
          <w:sz w:val="21"/>
          <w:szCs w:val="21"/>
        </w:rPr>
        <w:t>采购</w:t>
      </w:r>
      <w:r>
        <w:rPr>
          <w:rFonts w:hint="eastAsia" w:asciiTheme="minorEastAsia" w:hAnsiTheme="minorEastAsia" w:eastAsiaTheme="minorEastAsia"/>
          <w:sz w:val="21"/>
          <w:szCs w:val="21"/>
        </w:rPr>
        <w:t>代理服务费用的收取标准：详见《投标人须知前附表》。</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14.2</w:t>
      </w:r>
      <w:r>
        <w:rPr>
          <w:rFonts w:asciiTheme="minorEastAsia" w:hAnsiTheme="minorEastAsia" w:eastAsiaTheme="minorEastAsia"/>
          <w:sz w:val="21"/>
          <w:szCs w:val="21"/>
        </w:rPr>
        <w:t>采购</w:t>
      </w:r>
      <w:r>
        <w:rPr>
          <w:rFonts w:hint="eastAsia" w:asciiTheme="minorEastAsia" w:hAnsiTheme="minorEastAsia" w:eastAsiaTheme="minorEastAsia"/>
          <w:sz w:val="21"/>
          <w:szCs w:val="21"/>
        </w:rPr>
        <w:t>代理服务费的支付：详见《投标人须知前附表》。</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14.3</w:t>
      </w:r>
      <w:r>
        <w:rPr>
          <w:rFonts w:asciiTheme="minorEastAsia" w:hAnsiTheme="minorEastAsia" w:eastAsiaTheme="minorEastAsia"/>
          <w:sz w:val="21"/>
          <w:szCs w:val="21"/>
        </w:rPr>
        <w:t>采购</w:t>
      </w:r>
      <w:r>
        <w:rPr>
          <w:rFonts w:hint="eastAsia" w:asciiTheme="minorEastAsia" w:hAnsiTheme="minorEastAsia" w:eastAsiaTheme="minorEastAsia"/>
          <w:sz w:val="21"/>
          <w:szCs w:val="21"/>
        </w:rPr>
        <w:t>代理服务费收款账户信息：</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开户银行：宁波银行海曙支行</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户名：宁波名诚招标代理有限公司</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账号：20010122000443166</w:t>
      </w:r>
    </w:p>
    <w:p>
      <w:pPr>
        <w:pStyle w:val="24"/>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15.其他</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15.1招标文件的标题和序号只是为了查阅方便，不影响对招标文件的理解。</w:t>
      </w:r>
    </w:p>
    <w:p>
      <w:pPr>
        <w:pStyle w:val="24"/>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15.2投标人提交的投标文件针对招标文件同一条款出现不同表述（响应）的，按照不利于投标人的标准进行认定；在合同签订或履行中发现存在上述情形的，按照有利于采购人的标准执行。</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15.3招标文件要求携带原件备查的资料，如果该资料可以通过互联网或者相关信息系统查询的，投标人能够当场提供账号、网址等进行查询、核实资料真伪及有关数据的，视同提供了原件。</w:t>
      </w:r>
    </w:p>
    <w:p>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asciiTheme="minorEastAsia" w:hAnsiTheme="minorEastAsia" w:eastAsiaTheme="minorEastAsia"/>
          <w:b/>
          <w:sz w:val="21"/>
          <w:szCs w:val="21"/>
        </w:rPr>
        <w:t>二</w:t>
      </w:r>
      <w:r>
        <w:rPr>
          <w:rFonts w:hint="eastAsia" w:asciiTheme="minorEastAsia" w:hAnsiTheme="minorEastAsia" w:eastAsiaTheme="minorEastAsia"/>
          <w:b/>
          <w:sz w:val="21"/>
          <w:szCs w:val="21"/>
        </w:rPr>
        <w:t>、招标</w:t>
      </w:r>
      <w:r>
        <w:rPr>
          <w:rFonts w:asciiTheme="minorEastAsia" w:hAnsiTheme="minorEastAsia" w:eastAsiaTheme="minorEastAsia"/>
          <w:b/>
          <w:sz w:val="21"/>
          <w:szCs w:val="21"/>
        </w:rPr>
        <w:t>文件</w:t>
      </w:r>
    </w:p>
    <w:p>
      <w:pPr>
        <w:pStyle w:val="24"/>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16.招标文件的编制依据与构成</w:t>
      </w:r>
    </w:p>
    <w:p>
      <w:pPr>
        <w:pStyle w:val="24"/>
        <w:snapToGrid w:val="0"/>
        <w:spacing w:beforeLines="0" w:afterLines="0" w:line="360" w:lineRule="auto"/>
        <w:ind w:firstLine="420" w:firstLineChars="200"/>
        <w:rPr>
          <w:rFonts w:asciiTheme="minorEastAsia" w:hAnsiTheme="minorEastAsia" w:eastAsiaTheme="minorEastAsia"/>
          <w:b/>
          <w:sz w:val="21"/>
          <w:szCs w:val="21"/>
        </w:rPr>
      </w:pPr>
      <w:r>
        <w:rPr>
          <w:rFonts w:hint="eastAsia" w:asciiTheme="minorEastAsia" w:hAnsiTheme="minorEastAsia" w:eastAsiaTheme="minorEastAsia"/>
          <w:sz w:val="21"/>
          <w:szCs w:val="21"/>
        </w:rPr>
        <w:t>16.1本招标文件根据《中华人民共和国政府采购法》《中华人民共和国政府采购法实施条例》《政府采购货物和服务招标投标管理办法》等政府采购法律法规的规定编制。</w:t>
      </w:r>
    </w:p>
    <w:p>
      <w:pPr>
        <w:pStyle w:val="24"/>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16.2本项目要求提供的服务及伴随的货物和工程、招标过程和合同条件在招标文件中均有说明。</w:t>
      </w:r>
    </w:p>
    <w:p>
      <w:pPr>
        <w:pStyle w:val="24"/>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16.3招标文件以中文文字编写，共七章。由下列文件以及在招标过程中发出的澄清或修改文件和补充文件组成，内容如下：</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第一章  投标邀请</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第二章  </w:t>
      </w:r>
      <w:r>
        <w:rPr>
          <w:rFonts w:asciiTheme="minorEastAsia" w:hAnsiTheme="minorEastAsia" w:eastAsiaTheme="minorEastAsia"/>
          <w:sz w:val="21"/>
          <w:szCs w:val="21"/>
        </w:rPr>
        <w:t>采购需求</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第三章  </w:t>
      </w:r>
      <w:r>
        <w:rPr>
          <w:rFonts w:asciiTheme="minorEastAsia" w:hAnsiTheme="minorEastAsia" w:eastAsiaTheme="minorEastAsia"/>
          <w:sz w:val="21"/>
          <w:szCs w:val="21"/>
        </w:rPr>
        <w:t>投标人须知</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第四章  </w:t>
      </w:r>
      <w:r>
        <w:rPr>
          <w:rFonts w:asciiTheme="minorEastAsia" w:hAnsiTheme="minorEastAsia" w:eastAsiaTheme="minorEastAsia"/>
          <w:sz w:val="21"/>
          <w:szCs w:val="21"/>
        </w:rPr>
        <w:t>评标</w:t>
      </w:r>
      <w:r>
        <w:rPr>
          <w:rFonts w:hint="eastAsia" w:asciiTheme="minorEastAsia" w:hAnsiTheme="minorEastAsia" w:eastAsiaTheme="minorEastAsia"/>
          <w:sz w:val="21"/>
          <w:szCs w:val="21"/>
        </w:rPr>
        <w:t>方法</w:t>
      </w:r>
      <w:r>
        <w:rPr>
          <w:rFonts w:asciiTheme="minorEastAsia" w:hAnsiTheme="minorEastAsia" w:eastAsiaTheme="minorEastAsia"/>
          <w:sz w:val="21"/>
          <w:szCs w:val="21"/>
        </w:rPr>
        <w:t>及</w:t>
      </w:r>
      <w:r>
        <w:rPr>
          <w:rFonts w:hint="eastAsia" w:asciiTheme="minorEastAsia" w:hAnsiTheme="minorEastAsia" w:eastAsiaTheme="minorEastAsia"/>
          <w:sz w:val="21"/>
          <w:szCs w:val="21"/>
        </w:rPr>
        <w:t>评标</w:t>
      </w:r>
      <w:r>
        <w:rPr>
          <w:rFonts w:asciiTheme="minorEastAsia" w:hAnsiTheme="minorEastAsia" w:eastAsiaTheme="minorEastAsia"/>
          <w:sz w:val="21"/>
          <w:szCs w:val="21"/>
        </w:rPr>
        <w:t>标准</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第五章  </w:t>
      </w:r>
      <w:r>
        <w:rPr>
          <w:rFonts w:asciiTheme="minorEastAsia" w:hAnsiTheme="minorEastAsia" w:eastAsiaTheme="minorEastAsia"/>
          <w:sz w:val="21"/>
          <w:szCs w:val="21"/>
        </w:rPr>
        <w:t>合同文本</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第六章  </w:t>
      </w:r>
      <w:r>
        <w:rPr>
          <w:rFonts w:asciiTheme="minorEastAsia" w:hAnsiTheme="minorEastAsia" w:eastAsiaTheme="minorEastAsia"/>
          <w:sz w:val="21"/>
          <w:szCs w:val="21"/>
        </w:rPr>
        <w:t>投标文件格式</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第七章  政府采购供应商质疑函及投诉书范本</w:t>
      </w:r>
    </w:p>
    <w:p>
      <w:pPr>
        <w:pStyle w:val="14"/>
        <w:widowControl w:val="0"/>
        <w:numPr>
          <w:ilvl w:val="0"/>
          <w:numId w:val="0"/>
        </w:numPr>
        <w:tabs>
          <w:tab w:val="clear" w:pos="454"/>
        </w:tabs>
        <w:snapToGrid w:val="0"/>
        <w:spacing w:afterLines="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17.招标文件的询问、澄清和修改</w:t>
      </w:r>
    </w:p>
    <w:p>
      <w:pPr>
        <w:pStyle w:val="24"/>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17.</w:t>
      </w: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询问</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bCs/>
          <w:sz w:val="21"/>
          <w:szCs w:val="21"/>
        </w:rPr>
        <w:t>投标人</w:t>
      </w:r>
      <w:r>
        <w:rPr>
          <w:rFonts w:hint="eastAsia" w:asciiTheme="minorEastAsia" w:hAnsiTheme="minorEastAsia" w:eastAsiaTheme="minorEastAsia"/>
          <w:bCs/>
          <w:sz w:val="21"/>
          <w:szCs w:val="21"/>
        </w:rPr>
        <w:t>对招标文件有疑问，可以向</w:t>
      </w:r>
      <w:r>
        <w:rPr>
          <w:rFonts w:hint="eastAsia" w:asciiTheme="minorEastAsia" w:hAnsiTheme="minorEastAsia" w:eastAsiaTheme="minorEastAsia"/>
          <w:sz w:val="21"/>
          <w:szCs w:val="21"/>
        </w:rPr>
        <w:t>采购人或采购代理机构</w:t>
      </w:r>
      <w:r>
        <w:rPr>
          <w:rFonts w:hint="eastAsia" w:asciiTheme="minorEastAsia" w:hAnsiTheme="minorEastAsia" w:eastAsiaTheme="minorEastAsia"/>
          <w:bCs/>
          <w:sz w:val="21"/>
          <w:szCs w:val="21"/>
        </w:rPr>
        <w:t>询问，</w:t>
      </w:r>
      <w:r>
        <w:rPr>
          <w:rFonts w:hint="eastAsia" w:asciiTheme="minorEastAsia" w:hAnsiTheme="minorEastAsia" w:eastAsiaTheme="minorEastAsia"/>
          <w:sz w:val="21"/>
          <w:szCs w:val="21"/>
        </w:rPr>
        <w:t>采购人或采购代理机构将依法</w:t>
      </w:r>
      <w:r>
        <w:rPr>
          <w:rFonts w:hint="eastAsia" w:asciiTheme="minorEastAsia" w:hAnsiTheme="minorEastAsia" w:eastAsiaTheme="minorEastAsia"/>
          <w:bCs/>
          <w:sz w:val="21"/>
          <w:szCs w:val="21"/>
        </w:rPr>
        <w:t>对潜在投标人</w:t>
      </w:r>
      <w:r>
        <w:rPr>
          <w:rFonts w:hint="eastAsia" w:asciiTheme="minorEastAsia" w:hAnsiTheme="minorEastAsia" w:eastAsiaTheme="minorEastAsia"/>
          <w:sz w:val="21"/>
          <w:szCs w:val="21"/>
        </w:rPr>
        <w:t>的询问作出答复。</w:t>
      </w:r>
    </w:p>
    <w:p>
      <w:pPr>
        <w:pStyle w:val="24"/>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17.2澄清和修改</w:t>
      </w:r>
    </w:p>
    <w:p>
      <w:pPr>
        <w:pStyle w:val="24"/>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w:t>
      </w:r>
      <w:r>
        <w:rPr>
          <w:rFonts w:hint="eastAsia" w:asciiTheme="minorEastAsia" w:hAnsiTheme="minorEastAsia" w:eastAsiaTheme="minorEastAsia"/>
          <w:sz w:val="21"/>
          <w:szCs w:val="21"/>
        </w:rPr>
        <w:t>采购人或采购代理机构</w:t>
      </w:r>
      <w:r>
        <w:rPr>
          <w:rFonts w:asciiTheme="minorEastAsia" w:hAnsiTheme="minorEastAsia" w:eastAsiaTheme="minorEastAsia"/>
          <w:bCs/>
          <w:sz w:val="21"/>
          <w:szCs w:val="21"/>
        </w:rPr>
        <w:t>可以</w:t>
      </w:r>
      <w:r>
        <w:rPr>
          <w:rFonts w:hint="eastAsia" w:asciiTheme="minorEastAsia" w:hAnsiTheme="minorEastAsia" w:eastAsiaTheme="minorEastAsia"/>
          <w:bCs/>
          <w:sz w:val="21"/>
          <w:szCs w:val="21"/>
        </w:rPr>
        <w:t>主动的或在解答投标人提出的问题时</w:t>
      </w:r>
      <w:r>
        <w:rPr>
          <w:rFonts w:asciiTheme="minorEastAsia" w:hAnsiTheme="minorEastAsia" w:eastAsiaTheme="minorEastAsia"/>
          <w:bCs/>
          <w:sz w:val="21"/>
          <w:szCs w:val="21"/>
        </w:rPr>
        <w:t>对已发出的招标文件进行必要的澄清或者修改。澄清或者修改</w:t>
      </w:r>
      <w:r>
        <w:rPr>
          <w:rFonts w:hint="eastAsia" w:asciiTheme="minorEastAsia" w:hAnsiTheme="minorEastAsia" w:eastAsiaTheme="minorEastAsia"/>
          <w:bCs/>
          <w:sz w:val="21"/>
          <w:szCs w:val="21"/>
        </w:rPr>
        <w:t>将</w:t>
      </w:r>
      <w:r>
        <w:rPr>
          <w:rFonts w:asciiTheme="minorEastAsia" w:hAnsiTheme="minorEastAsia" w:eastAsiaTheme="minorEastAsia"/>
          <w:bCs/>
          <w:sz w:val="21"/>
          <w:szCs w:val="21"/>
        </w:rPr>
        <w:t>在原</w:t>
      </w:r>
      <w:r>
        <w:rPr>
          <w:rFonts w:hint="eastAsia" w:asciiTheme="minorEastAsia" w:hAnsiTheme="minorEastAsia" w:eastAsiaTheme="minorEastAsia"/>
          <w:bCs/>
          <w:sz w:val="21"/>
          <w:szCs w:val="21"/>
        </w:rPr>
        <w:t>招标</w:t>
      </w:r>
      <w:r>
        <w:rPr>
          <w:rFonts w:asciiTheme="minorEastAsia" w:hAnsiTheme="minorEastAsia" w:eastAsiaTheme="minorEastAsia"/>
          <w:bCs/>
          <w:sz w:val="21"/>
          <w:szCs w:val="21"/>
        </w:rPr>
        <w:t>公告发布媒体发布</w:t>
      </w:r>
      <w:r>
        <w:rPr>
          <w:rFonts w:hint="eastAsia" w:asciiTheme="minorEastAsia" w:hAnsiTheme="minorEastAsia" w:eastAsiaTheme="minorEastAsia"/>
          <w:bCs/>
          <w:sz w:val="21"/>
          <w:szCs w:val="21"/>
        </w:rPr>
        <w:t>更正</w:t>
      </w:r>
      <w:r>
        <w:rPr>
          <w:rFonts w:asciiTheme="minorEastAsia" w:hAnsiTheme="minorEastAsia" w:eastAsiaTheme="minorEastAsia"/>
          <w:bCs/>
          <w:sz w:val="21"/>
          <w:szCs w:val="21"/>
        </w:rPr>
        <w:t>公告</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澄清或者修改的内容为招标文件的组成部分</w:t>
      </w:r>
      <w:r>
        <w:rPr>
          <w:rFonts w:hint="eastAsia" w:asciiTheme="minorEastAsia" w:hAnsiTheme="minorEastAsia" w:eastAsiaTheme="minorEastAsia"/>
          <w:bCs/>
          <w:sz w:val="21"/>
          <w:szCs w:val="21"/>
        </w:rPr>
        <w:t>，对投标人起约束作用</w:t>
      </w:r>
      <w:r>
        <w:rPr>
          <w:rFonts w:asciiTheme="minorEastAsia" w:hAnsiTheme="minorEastAsia" w:eastAsiaTheme="minorEastAsia"/>
          <w:bCs/>
          <w:sz w:val="21"/>
          <w:szCs w:val="21"/>
        </w:rPr>
        <w:t>。</w:t>
      </w:r>
    </w:p>
    <w:p>
      <w:pPr>
        <w:pStyle w:val="24"/>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（2）潜在</w:t>
      </w:r>
      <w:r>
        <w:rPr>
          <w:rFonts w:asciiTheme="minorEastAsia" w:hAnsiTheme="minorEastAsia" w:eastAsiaTheme="minorEastAsia"/>
          <w:bCs/>
          <w:sz w:val="21"/>
          <w:szCs w:val="21"/>
        </w:rPr>
        <w:t>投标人在收到书面形式通知后，</w:t>
      </w:r>
      <w:r>
        <w:rPr>
          <w:rFonts w:hint="eastAsia" w:asciiTheme="minorEastAsia" w:hAnsiTheme="minorEastAsia" w:eastAsiaTheme="minorEastAsia"/>
          <w:bCs/>
          <w:sz w:val="21"/>
          <w:szCs w:val="21"/>
        </w:rPr>
        <w:t>认为</w:t>
      </w:r>
      <w:r>
        <w:rPr>
          <w:rFonts w:asciiTheme="minorEastAsia" w:hAnsiTheme="minorEastAsia" w:eastAsiaTheme="minorEastAsia"/>
          <w:bCs/>
          <w:sz w:val="21"/>
          <w:szCs w:val="21"/>
        </w:rPr>
        <w:t>澄清或者修改的</w:t>
      </w:r>
      <w:r>
        <w:rPr>
          <w:rFonts w:hint="eastAsia" w:asciiTheme="minorEastAsia" w:hAnsiTheme="minorEastAsia" w:eastAsiaTheme="minorEastAsia"/>
          <w:bCs/>
          <w:sz w:val="21"/>
          <w:szCs w:val="21"/>
        </w:rPr>
        <w:t>内容</w:t>
      </w:r>
      <w:r>
        <w:rPr>
          <w:rFonts w:asciiTheme="minorEastAsia" w:hAnsiTheme="minorEastAsia" w:eastAsiaTheme="minorEastAsia"/>
          <w:bCs/>
          <w:sz w:val="21"/>
          <w:szCs w:val="21"/>
        </w:rPr>
        <w:t>影响投标文件编制</w:t>
      </w:r>
      <w:r>
        <w:rPr>
          <w:rFonts w:hint="eastAsia" w:asciiTheme="minorEastAsia" w:hAnsiTheme="minorEastAsia" w:eastAsiaTheme="minorEastAsia"/>
          <w:bCs/>
          <w:sz w:val="21"/>
          <w:szCs w:val="21"/>
        </w:rPr>
        <w:t>的</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应当</w:t>
      </w:r>
      <w:r>
        <w:rPr>
          <w:rFonts w:asciiTheme="minorEastAsia" w:hAnsiTheme="minorEastAsia" w:eastAsiaTheme="minorEastAsia"/>
          <w:bCs/>
          <w:sz w:val="21"/>
          <w:szCs w:val="21"/>
        </w:rPr>
        <w:t>在收到</w:t>
      </w:r>
      <w:r>
        <w:rPr>
          <w:rFonts w:hint="eastAsia" w:asciiTheme="minorEastAsia" w:hAnsiTheme="minorEastAsia" w:eastAsiaTheme="minorEastAsia"/>
          <w:bCs/>
          <w:sz w:val="21"/>
          <w:szCs w:val="21"/>
        </w:rPr>
        <w:t>书面通知</w:t>
      </w:r>
      <w:r>
        <w:rPr>
          <w:rFonts w:asciiTheme="minorEastAsia" w:hAnsiTheme="minorEastAsia" w:eastAsiaTheme="minorEastAsia"/>
          <w:bCs/>
          <w:sz w:val="21"/>
          <w:szCs w:val="21"/>
        </w:rPr>
        <w:t>后</w:t>
      </w:r>
      <w:r>
        <w:rPr>
          <w:rFonts w:hint="eastAsia" w:asciiTheme="minorEastAsia" w:hAnsiTheme="minorEastAsia" w:eastAsiaTheme="minorEastAsia"/>
          <w:bCs/>
          <w:sz w:val="21"/>
          <w:szCs w:val="21"/>
        </w:rPr>
        <w:t>及时</w:t>
      </w:r>
      <w:r>
        <w:rPr>
          <w:rFonts w:asciiTheme="minorEastAsia" w:hAnsiTheme="minorEastAsia" w:eastAsiaTheme="minorEastAsia"/>
          <w:bCs/>
          <w:sz w:val="21"/>
          <w:szCs w:val="21"/>
        </w:rPr>
        <w:t>将</w:t>
      </w:r>
      <w:r>
        <w:rPr>
          <w:rFonts w:hint="eastAsia" w:asciiTheme="minorEastAsia" w:hAnsiTheme="minorEastAsia" w:eastAsiaTheme="minorEastAsia"/>
          <w:bCs/>
          <w:sz w:val="21"/>
          <w:szCs w:val="21"/>
        </w:rPr>
        <w:t>有关</w:t>
      </w:r>
      <w:r>
        <w:rPr>
          <w:rFonts w:asciiTheme="minorEastAsia" w:hAnsiTheme="minorEastAsia" w:eastAsiaTheme="minorEastAsia"/>
          <w:bCs/>
          <w:sz w:val="21"/>
          <w:szCs w:val="21"/>
        </w:rPr>
        <w:t>意见以书面形式向</w:t>
      </w:r>
      <w:r>
        <w:rPr>
          <w:rFonts w:hint="eastAsia" w:asciiTheme="minorEastAsia" w:hAnsiTheme="minorEastAsia" w:eastAsiaTheme="minorEastAsia"/>
          <w:sz w:val="21"/>
          <w:szCs w:val="21"/>
        </w:rPr>
        <w:t>采购人或采购代理机构</w:t>
      </w:r>
      <w:r>
        <w:rPr>
          <w:rFonts w:asciiTheme="minorEastAsia" w:hAnsiTheme="minorEastAsia" w:eastAsiaTheme="minorEastAsia"/>
          <w:bCs/>
          <w:sz w:val="21"/>
          <w:szCs w:val="21"/>
        </w:rPr>
        <w:t>提出，否则，</w:t>
      </w:r>
      <w:r>
        <w:rPr>
          <w:rFonts w:hint="eastAsia" w:asciiTheme="minorEastAsia" w:hAnsiTheme="minorEastAsia" w:eastAsiaTheme="minorEastAsia"/>
          <w:sz w:val="21"/>
          <w:szCs w:val="21"/>
        </w:rPr>
        <w:t>采购人或采购代理机构</w:t>
      </w:r>
      <w:r>
        <w:rPr>
          <w:rFonts w:asciiTheme="minorEastAsia" w:hAnsiTheme="minorEastAsia" w:eastAsiaTheme="minorEastAsia"/>
          <w:bCs/>
          <w:sz w:val="21"/>
          <w:szCs w:val="21"/>
        </w:rPr>
        <w:t>视</w:t>
      </w:r>
      <w:r>
        <w:rPr>
          <w:rFonts w:hint="eastAsia" w:asciiTheme="minorEastAsia" w:hAnsiTheme="minorEastAsia" w:eastAsiaTheme="minorEastAsia"/>
          <w:bCs/>
          <w:sz w:val="21"/>
          <w:szCs w:val="21"/>
        </w:rPr>
        <w:t>为潜在</w:t>
      </w:r>
      <w:r>
        <w:rPr>
          <w:rFonts w:asciiTheme="minorEastAsia" w:hAnsiTheme="minorEastAsia" w:eastAsiaTheme="minorEastAsia"/>
          <w:bCs/>
          <w:sz w:val="21"/>
          <w:szCs w:val="21"/>
        </w:rPr>
        <w:t>投标人完全接受澄清或者修改的</w:t>
      </w:r>
      <w:r>
        <w:rPr>
          <w:rFonts w:hint="eastAsia" w:asciiTheme="minorEastAsia" w:hAnsiTheme="minorEastAsia" w:eastAsiaTheme="minorEastAsia"/>
          <w:bCs/>
          <w:sz w:val="21"/>
          <w:szCs w:val="21"/>
        </w:rPr>
        <w:t>内容，</w:t>
      </w:r>
      <w:r>
        <w:rPr>
          <w:rFonts w:asciiTheme="minorEastAsia" w:hAnsiTheme="minorEastAsia" w:eastAsiaTheme="minorEastAsia"/>
          <w:bCs/>
          <w:sz w:val="21"/>
          <w:szCs w:val="21"/>
        </w:rPr>
        <w:t>且</w:t>
      </w:r>
      <w:r>
        <w:rPr>
          <w:rFonts w:hint="eastAsia" w:asciiTheme="minorEastAsia" w:hAnsiTheme="minorEastAsia" w:eastAsiaTheme="minorEastAsia"/>
          <w:bCs/>
          <w:sz w:val="21"/>
          <w:szCs w:val="21"/>
        </w:rPr>
        <w:t>不</w:t>
      </w:r>
      <w:r>
        <w:rPr>
          <w:rFonts w:asciiTheme="minorEastAsia" w:hAnsiTheme="minorEastAsia" w:eastAsiaTheme="minorEastAsia"/>
          <w:bCs/>
          <w:sz w:val="21"/>
          <w:szCs w:val="21"/>
        </w:rPr>
        <w:t>影响</w:t>
      </w:r>
      <w:r>
        <w:rPr>
          <w:rFonts w:hint="eastAsia" w:asciiTheme="minorEastAsia" w:hAnsiTheme="minorEastAsia" w:eastAsiaTheme="minorEastAsia"/>
          <w:bCs/>
          <w:sz w:val="21"/>
          <w:szCs w:val="21"/>
        </w:rPr>
        <w:t>投标</w:t>
      </w:r>
      <w:r>
        <w:rPr>
          <w:rFonts w:asciiTheme="minorEastAsia" w:hAnsiTheme="minorEastAsia" w:eastAsiaTheme="minorEastAsia"/>
          <w:bCs/>
          <w:sz w:val="21"/>
          <w:szCs w:val="21"/>
        </w:rPr>
        <w:t>文件编制。</w:t>
      </w:r>
    </w:p>
    <w:p>
      <w:pPr>
        <w:pStyle w:val="24"/>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（3）潜在</w:t>
      </w:r>
      <w:r>
        <w:rPr>
          <w:rFonts w:asciiTheme="minorEastAsia" w:hAnsiTheme="minorEastAsia" w:eastAsiaTheme="minorEastAsia"/>
          <w:bCs/>
          <w:sz w:val="21"/>
          <w:szCs w:val="21"/>
        </w:rPr>
        <w:t>投标人要求澄清</w:t>
      </w:r>
      <w:r>
        <w:rPr>
          <w:rFonts w:hint="eastAsia" w:asciiTheme="minorEastAsia" w:hAnsiTheme="minorEastAsia" w:eastAsiaTheme="minorEastAsia"/>
          <w:bCs/>
          <w:sz w:val="21"/>
          <w:szCs w:val="21"/>
        </w:rPr>
        <w:t>和回复的书面材料</w:t>
      </w:r>
      <w:r>
        <w:rPr>
          <w:rFonts w:asciiTheme="minorEastAsia" w:hAnsiTheme="minorEastAsia" w:eastAsiaTheme="minorEastAsia"/>
          <w:bCs/>
          <w:sz w:val="21"/>
          <w:szCs w:val="21"/>
        </w:rPr>
        <w:t>应加盖单位公章</w:t>
      </w:r>
      <w:r>
        <w:rPr>
          <w:rFonts w:hint="eastAsia" w:asciiTheme="minorEastAsia" w:hAnsiTheme="minorEastAsia" w:eastAsiaTheme="minorEastAsia"/>
          <w:bCs/>
          <w:sz w:val="21"/>
          <w:szCs w:val="21"/>
        </w:rPr>
        <w:t>并注明</w:t>
      </w:r>
      <w:r>
        <w:rPr>
          <w:rFonts w:asciiTheme="minorEastAsia" w:hAnsiTheme="minorEastAsia" w:eastAsiaTheme="minorEastAsia"/>
          <w:bCs/>
          <w:sz w:val="21"/>
          <w:szCs w:val="21"/>
        </w:rPr>
        <w:t>日期。</w:t>
      </w:r>
    </w:p>
    <w:p>
      <w:pPr>
        <w:pStyle w:val="24"/>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（4）</w:t>
      </w:r>
      <w:r>
        <w:rPr>
          <w:rFonts w:asciiTheme="minorEastAsia" w:hAnsiTheme="minorEastAsia" w:eastAsiaTheme="minorEastAsia"/>
          <w:bCs/>
          <w:sz w:val="21"/>
          <w:szCs w:val="21"/>
        </w:rPr>
        <w:t>当招标文件与</w:t>
      </w:r>
      <w:r>
        <w:rPr>
          <w:rFonts w:hint="eastAsia" w:asciiTheme="minorEastAsia" w:hAnsiTheme="minorEastAsia" w:eastAsiaTheme="minorEastAsia"/>
          <w:bCs/>
          <w:sz w:val="21"/>
          <w:szCs w:val="21"/>
        </w:rPr>
        <w:t>补充文件（包含</w:t>
      </w:r>
      <w:r>
        <w:rPr>
          <w:rFonts w:asciiTheme="minorEastAsia" w:hAnsiTheme="minorEastAsia" w:eastAsiaTheme="minorEastAsia"/>
          <w:bCs/>
          <w:sz w:val="21"/>
          <w:szCs w:val="21"/>
        </w:rPr>
        <w:t>澄清或修改</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就同一内容的表述不一致时，以最后发出的</w:t>
      </w:r>
      <w:r>
        <w:rPr>
          <w:rFonts w:hint="eastAsia" w:asciiTheme="minorEastAsia" w:hAnsiTheme="minorEastAsia" w:eastAsiaTheme="minorEastAsia"/>
          <w:bCs/>
          <w:sz w:val="21"/>
          <w:szCs w:val="21"/>
        </w:rPr>
        <w:t>补充</w:t>
      </w:r>
      <w:r>
        <w:rPr>
          <w:rFonts w:asciiTheme="minorEastAsia" w:hAnsiTheme="minorEastAsia" w:eastAsiaTheme="minorEastAsia"/>
          <w:bCs/>
          <w:sz w:val="21"/>
          <w:szCs w:val="21"/>
        </w:rPr>
        <w:t>文件为准。</w:t>
      </w:r>
    </w:p>
    <w:p>
      <w:pPr>
        <w:pStyle w:val="24"/>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（5）潜在投标人必须保证获取招标文件时提供资料的真实、准确，并确保联系方式的畅通，否则，由此导致采购人或采购代理机构无法及时通知有关事项造成的后果由投标人自行承担。</w:t>
      </w:r>
    </w:p>
    <w:p>
      <w:pPr>
        <w:pStyle w:val="24"/>
        <w:snapToGrid w:val="0"/>
        <w:spacing w:beforeLines="0" w:afterLines="0" w:line="360" w:lineRule="auto"/>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18.现场考察及标前答疑会</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18.1采购代理机构可以在招标文件提供期限截止后，组织已获取招标文件的潜在投标人现场考察或者召开开标前答疑会。</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18.2招标文件中未载明现场考察或者召开开标前答疑会的，在招标文件提供期限截止后以书面形式通知所有获取招标文件的潜在投标人。</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18.3</w:t>
      </w:r>
      <w:r>
        <w:rPr>
          <w:rFonts w:asciiTheme="minorEastAsia" w:hAnsiTheme="minorEastAsia" w:eastAsiaTheme="minorEastAsia"/>
          <w:sz w:val="21"/>
          <w:szCs w:val="21"/>
        </w:rPr>
        <w:t>潜在投标人</w:t>
      </w:r>
      <w:r>
        <w:rPr>
          <w:rFonts w:hint="eastAsia" w:asciiTheme="minorEastAsia" w:hAnsiTheme="minorEastAsia" w:eastAsiaTheme="minorEastAsia"/>
          <w:sz w:val="21"/>
          <w:szCs w:val="21"/>
        </w:rPr>
        <w:t>应当在通知的时间准时参加现场考察或答疑会，否则自行承担未及时参加造成的后果。</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18.4除采购人的原因外，投标人自行负责现场考察或参加开标前答疑会造成的自身或第三人的人身伤害、财产损失或损坏的责任。</w:t>
      </w:r>
    </w:p>
    <w:p>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asciiTheme="minorEastAsia" w:hAnsiTheme="minorEastAsia" w:eastAsiaTheme="minorEastAsia"/>
          <w:b/>
          <w:sz w:val="21"/>
          <w:szCs w:val="21"/>
        </w:rPr>
        <w:t>三、投标文件的编制</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19.投标范围</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19</w:t>
      </w:r>
      <w:r>
        <w:rPr>
          <w:rFonts w:asciiTheme="minorEastAsia" w:hAnsiTheme="minorEastAsia" w:eastAsiaTheme="minorEastAsia"/>
          <w:szCs w:val="21"/>
        </w:rPr>
        <w:t>.1项目有</w:t>
      </w:r>
      <w:r>
        <w:rPr>
          <w:rFonts w:hint="eastAsia" w:asciiTheme="minorEastAsia" w:hAnsiTheme="minorEastAsia" w:eastAsiaTheme="minorEastAsia"/>
          <w:szCs w:val="21"/>
        </w:rPr>
        <w:t>多个标包</w:t>
      </w:r>
      <w:r>
        <w:rPr>
          <w:rFonts w:asciiTheme="minorEastAsia" w:hAnsiTheme="minorEastAsia" w:eastAsiaTheme="minorEastAsia"/>
          <w:szCs w:val="21"/>
        </w:rPr>
        <w:t>的，投标人</w:t>
      </w:r>
      <w:r>
        <w:rPr>
          <w:rFonts w:hint="eastAsia" w:asciiTheme="minorEastAsia" w:hAnsiTheme="minorEastAsia" w:eastAsiaTheme="minorEastAsia"/>
          <w:szCs w:val="21"/>
        </w:rPr>
        <w:t>可以</w:t>
      </w:r>
      <w:r>
        <w:rPr>
          <w:rFonts w:asciiTheme="minorEastAsia" w:hAnsiTheme="minorEastAsia" w:eastAsiaTheme="minorEastAsia"/>
          <w:szCs w:val="21"/>
        </w:rPr>
        <w:t>对招标文件其中某一个或几个</w:t>
      </w:r>
      <w:r>
        <w:rPr>
          <w:rFonts w:hint="eastAsia" w:asciiTheme="minorEastAsia" w:hAnsiTheme="minorEastAsia" w:eastAsiaTheme="minorEastAsia"/>
          <w:szCs w:val="21"/>
        </w:rPr>
        <w:t>标包</w:t>
      </w:r>
      <w:r>
        <w:rPr>
          <w:rFonts w:asciiTheme="minorEastAsia" w:hAnsiTheme="minorEastAsia" w:eastAsiaTheme="minorEastAsia"/>
          <w:szCs w:val="21"/>
        </w:rPr>
        <w:t>进行投标。</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19</w:t>
      </w:r>
      <w:r>
        <w:rPr>
          <w:rFonts w:asciiTheme="minorEastAsia" w:hAnsiTheme="minorEastAsia" w:eastAsiaTheme="minorEastAsia"/>
          <w:szCs w:val="21"/>
        </w:rPr>
        <w:t>.2投标人应当对所投</w:t>
      </w:r>
      <w:r>
        <w:rPr>
          <w:rFonts w:hint="eastAsia" w:asciiTheme="minorEastAsia" w:hAnsiTheme="minorEastAsia" w:eastAsiaTheme="minorEastAsia"/>
          <w:szCs w:val="21"/>
        </w:rPr>
        <w:t>标包的“采购</w:t>
      </w:r>
      <w:r>
        <w:rPr>
          <w:rFonts w:asciiTheme="minorEastAsia" w:hAnsiTheme="minorEastAsia" w:eastAsiaTheme="minorEastAsia"/>
          <w:szCs w:val="21"/>
        </w:rPr>
        <w:t>需求</w:t>
      </w:r>
      <w:r>
        <w:rPr>
          <w:rFonts w:hint="eastAsia" w:asciiTheme="minorEastAsia" w:hAnsiTheme="minorEastAsia" w:eastAsiaTheme="minorEastAsia"/>
          <w:szCs w:val="21"/>
        </w:rPr>
        <w:t>”</w:t>
      </w:r>
      <w:r>
        <w:rPr>
          <w:rFonts w:asciiTheme="minorEastAsia" w:hAnsiTheme="minorEastAsia" w:eastAsiaTheme="minorEastAsia"/>
          <w:szCs w:val="21"/>
        </w:rPr>
        <w:t>所列的</w:t>
      </w:r>
      <w:r>
        <w:rPr>
          <w:rFonts w:hint="eastAsia" w:asciiTheme="minorEastAsia" w:hAnsiTheme="minorEastAsia" w:eastAsiaTheme="minorEastAsia"/>
          <w:szCs w:val="21"/>
        </w:rPr>
        <w:t>全部</w:t>
      </w:r>
      <w:r>
        <w:rPr>
          <w:rFonts w:asciiTheme="minorEastAsia" w:hAnsiTheme="minorEastAsia" w:eastAsiaTheme="minorEastAsia"/>
          <w:szCs w:val="21"/>
        </w:rPr>
        <w:t>内容进行投标，如仅响应</w:t>
      </w:r>
      <w:r>
        <w:rPr>
          <w:rFonts w:hint="eastAsia" w:asciiTheme="minorEastAsia" w:hAnsiTheme="minorEastAsia" w:eastAsiaTheme="minorEastAsia"/>
          <w:szCs w:val="21"/>
        </w:rPr>
        <w:t>所投标包</w:t>
      </w:r>
      <w:r>
        <w:rPr>
          <w:rFonts w:asciiTheme="minorEastAsia" w:hAnsiTheme="minorEastAsia" w:eastAsiaTheme="minorEastAsia"/>
          <w:szCs w:val="21"/>
        </w:rPr>
        <w:t>中的部分内容，其</w:t>
      </w:r>
      <w:r>
        <w:rPr>
          <w:rFonts w:hint="eastAsia" w:asciiTheme="minorEastAsia" w:hAnsiTheme="minorEastAsia" w:eastAsiaTheme="minorEastAsia"/>
          <w:szCs w:val="21"/>
        </w:rPr>
        <w:t>对该标包的</w:t>
      </w:r>
      <w:r>
        <w:rPr>
          <w:rFonts w:asciiTheme="minorEastAsia" w:hAnsiTheme="minorEastAsia" w:eastAsiaTheme="minorEastAsia"/>
          <w:szCs w:val="21"/>
        </w:rPr>
        <w:t>投标将被认定为</w:t>
      </w:r>
      <w:r>
        <w:rPr>
          <w:rFonts w:asciiTheme="minorEastAsia" w:hAnsiTheme="minorEastAsia" w:eastAsiaTheme="minorEastAsia"/>
          <w:b/>
          <w:szCs w:val="21"/>
        </w:rPr>
        <w:t>投标无效</w:t>
      </w:r>
      <w:r>
        <w:rPr>
          <w:rFonts w:asciiTheme="minorEastAsia" w:hAnsiTheme="minorEastAsia" w:eastAsiaTheme="minorEastAsia"/>
          <w:szCs w:val="21"/>
        </w:rPr>
        <w:t>。</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20.投标文件中标准和计量单位的使用</w:t>
      </w:r>
    </w:p>
    <w:p>
      <w:pPr>
        <w:spacing w:line="360" w:lineRule="auto"/>
        <w:ind w:firstLine="435"/>
        <w:rPr>
          <w:rFonts w:asciiTheme="minorEastAsia" w:hAnsiTheme="minorEastAsia" w:eastAsiaTheme="minorEastAsia"/>
          <w:szCs w:val="21"/>
        </w:rPr>
      </w:pPr>
      <w:bookmarkStart w:id="45" w:name="_Hlk16458980"/>
      <w:r>
        <w:rPr>
          <w:rFonts w:hint="eastAsia" w:asciiTheme="minorEastAsia" w:hAnsiTheme="minorEastAsia" w:eastAsiaTheme="minorEastAsia"/>
          <w:szCs w:val="21"/>
        </w:rPr>
        <w:t>20.1</w:t>
      </w:r>
      <w:r>
        <w:rPr>
          <w:rFonts w:asciiTheme="minorEastAsia" w:hAnsiTheme="minorEastAsia" w:eastAsiaTheme="minorEastAsia"/>
          <w:szCs w:val="21"/>
        </w:rPr>
        <w:t>无论招标文件中是否要求，</w:t>
      </w:r>
      <w:r>
        <w:rPr>
          <w:rFonts w:hint="eastAsia" w:asciiTheme="minorEastAsia" w:hAnsiTheme="minorEastAsia" w:eastAsiaTheme="minorEastAsia"/>
          <w:szCs w:val="21"/>
        </w:rPr>
        <w:t>投标人所投服务及伴随的货物和工程均应符合国家强制性标准。</w:t>
      </w:r>
    </w:p>
    <w:bookmarkEnd w:id="45"/>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20.2</w:t>
      </w:r>
      <w:r>
        <w:rPr>
          <w:rFonts w:asciiTheme="minorEastAsia" w:hAnsiTheme="minorEastAsia" w:eastAsiaTheme="minorEastAsia"/>
          <w:sz w:val="21"/>
          <w:szCs w:val="21"/>
        </w:rPr>
        <w:t>投标人与采购</w:t>
      </w:r>
      <w:r>
        <w:rPr>
          <w:rFonts w:hint="eastAsia" w:asciiTheme="minorEastAsia" w:hAnsiTheme="minorEastAsia" w:eastAsiaTheme="minorEastAsia"/>
          <w:sz w:val="21"/>
          <w:szCs w:val="21"/>
        </w:rPr>
        <w:t>代理</w:t>
      </w:r>
      <w:r>
        <w:rPr>
          <w:rFonts w:asciiTheme="minorEastAsia" w:hAnsiTheme="minorEastAsia" w:eastAsiaTheme="minorEastAsia"/>
          <w:sz w:val="21"/>
          <w:szCs w:val="21"/>
        </w:rPr>
        <w:t>机构之间与投标有关的所有往来通知、函件和投标文件均用中文表述。投标人随投标文件提供的证明文件和资料可以为其它语言，但必须附中文译文</w:t>
      </w:r>
      <w:r>
        <w:rPr>
          <w:rFonts w:hint="eastAsia" w:asciiTheme="minorEastAsia" w:hAnsiTheme="minorEastAsia" w:eastAsiaTheme="minorEastAsia"/>
          <w:sz w:val="21"/>
          <w:szCs w:val="21"/>
        </w:rPr>
        <w:t>，未提供中文译文的视为未提供。</w:t>
      </w:r>
      <w:r>
        <w:rPr>
          <w:rFonts w:asciiTheme="minorEastAsia" w:hAnsiTheme="minorEastAsia" w:eastAsiaTheme="minorEastAsia"/>
          <w:sz w:val="21"/>
          <w:szCs w:val="21"/>
        </w:rPr>
        <w:t>翻译的中文资料与外文资料出现差异时，以中文为准。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20.3</w:t>
      </w:r>
      <w:r>
        <w:rPr>
          <w:rFonts w:asciiTheme="minorEastAsia" w:hAnsiTheme="minorEastAsia" w:eastAsiaTheme="minorEastAsia"/>
          <w:szCs w:val="21"/>
        </w:rPr>
        <w:t>除招标文件中有特殊要求外，投标文件中所使用的计量单位，应采用中华人民共和国法定计量单位。</w:t>
      </w:r>
    </w:p>
    <w:p>
      <w:pPr>
        <w:pStyle w:val="24"/>
        <w:snapToGrid w:val="0"/>
        <w:spacing w:beforeLines="0" w:afterLines="0" w:line="36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21.投标文件的形式</w:t>
      </w:r>
    </w:p>
    <w:p>
      <w:pPr>
        <w:pStyle w:val="24"/>
        <w:snapToGrid w:val="0"/>
        <w:spacing w:beforeLines="0" w:afterLines="0" w:line="36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本项目投标文件采用电子投标文件形式，为在政采云系统上编制生成的电子加密投标文件及其备份投标文件。</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21.1电子加密投标文件是指通过“政采云电子投标客户端”完成投标文件编制后生成并加密的数据电文形式的加密标书，后缀名为【.jmbs】。</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21.2备份投标文件是指与电子加密投标文件同时生成的数据电文形式的备份标书，后缀名为【.bfbs】。</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22.投标文件内容的构成</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22.1投标人编写的投标文件应包含资格要求响应文件、商务技术文件和报价要求响应文件。</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上述各文件的组成内容详见《投标人须知前附表》，未列入的内容，投标人认为需要的可以自行提供相关材料。</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22.2招标文件明确要求在投标文件中附（提交）证明材料而投标人未在投标文件中提供的，不被认定为对具体条款作出响应。</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23.投标文件的制作</w:t>
      </w:r>
    </w:p>
    <w:p>
      <w:pPr>
        <w:spacing w:line="360" w:lineRule="auto"/>
        <w:ind w:firstLine="420" w:firstLineChars="200"/>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23.1本项目要求提供电子加密投标文件，投标人应当安装“政采云电子投标客户端”，按照招标文件和政采云平台的要求编制并加密投标文件。</w:t>
      </w:r>
      <w:r>
        <w:rPr>
          <w:rFonts w:cs="Arial" w:asciiTheme="minorEastAsia" w:hAnsiTheme="minorEastAsia" w:eastAsiaTheme="minorEastAsia"/>
          <w:kern w:val="0"/>
          <w:szCs w:val="21"/>
        </w:rPr>
        <w:t>投标文件的制作应满足以下规定：</w:t>
      </w:r>
    </w:p>
    <w:p>
      <w:pPr>
        <w:spacing w:line="360" w:lineRule="auto"/>
        <w:ind w:firstLine="420" w:firstLineChars="200"/>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w:t>
      </w:r>
      <w:r>
        <w:rPr>
          <w:rFonts w:cs="Arial" w:asciiTheme="minorEastAsia" w:hAnsiTheme="minorEastAsia" w:eastAsiaTheme="minorEastAsia"/>
          <w:kern w:val="0"/>
          <w:szCs w:val="21"/>
        </w:rPr>
        <w:t>投标文件由投标人使用电子交易系统提供的投标文件制作工具制作生成。</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（2）投标人应完整地填写并提供投标函、开标一览表等招标文件提供的格式文件，招标文件未提供文件格式的，由投标人自行拟定。</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23.2投标人应准确设置评审关联定位，避免未设置或设置错误导致投标文件被误读、漏读或者查找不到相关内容。</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24.投标文件的份数、签署及盖章</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24.1投标文件的份数</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投标文件的数量要求详见《投标人须知前附表》。</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24.2投标文件的签署及盖章</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（1）招标文件要求签名的应当由投标人的法定代表人或经其正式授权的代表签字或盖章，</w:t>
      </w:r>
      <w:r>
        <w:rPr>
          <w:rFonts w:hint="eastAsia" w:asciiTheme="minorEastAsia" w:hAnsiTheme="minorEastAsia" w:eastAsiaTheme="minorEastAsia"/>
          <w:b/>
          <w:szCs w:val="21"/>
        </w:rPr>
        <w:t>因未获取电子姓名签章无法直接在系统中进行法定代表人或其授权代表电子签字操作的，可以线下签字或盖章后扫描后上传。</w:t>
      </w:r>
    </w:p>
    <w:p>
      <w:pPr>
        <w:snapToGrid w:val="0"/>
        <w:spacing w:line="360" w:lineRule="auto"/>
        <w:ind w:firstLine="420" w:firstLineChars="200"/>
        <w:jc w:val="left"/>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w:t>
      </w:r>
      <w:r>
        <w:rPr>
          <w:rFonts w:cs="Arial" w:asciiTheme="minorEastAsia" w:hAnsiTheme="minorEastAsia" w:eastAsiaTheme="minorEastAsia"/>
          <w:kern w:val="0"/>
          <w:szCs w:val="21"/>
        </w:rPr>
        <w:t>第</w:t>
      </w:r>
      <w:r>
        <w:rPr>
          <w:rFonts w:hint="eastAsia" w:cs="Arial" w:asciiTheme="minorEastAsia" w:hAnsiTheme="minorEastAsia" w:eastAsiaTheme="minorEastAsia"/>
          <w:kern w:val="0"/>
          <w:szCs w:val="21"/>
        </w:rPr>
        <w:t>六</w:t>
      </w:r>
      <w:r>
        <w:rPr>
          <w:rFonts w:cs="Arial" w:asciiTheme="minorEastAsia" w:hAnsiTheme="minorEastAsia" w:eastAsiaTheme="minorEastAsia"/>
          <w:kern w:val="0"/>
          <w:szCs w:val="21"/>
        </w:rPr>
        <w:t>章</w:t>
      </w:r>
      <w:r>
        <w:rPr>
          <w:rFonts w:hint="eastAsia" w:cs="Arial" w:asciiTheme="minorEastAsia" w:hAnsiTheme="minorEastAsia" w:eastAsiaTheme="minorEastAsia"/>
          <w:kern w:val="0"/>
          <w:szCs w:val="21"/>
        </w:rPr>
        <w:t xml:space="preserve">  </w:t>
      </w:r>
      <w:r>
        <w:rPr>
          <w:rFonts w:cs="Arial" w:asciiTheme="minorEastAsia" w:hAnsiTheme="minorEastAsia" w:eastAsiaTheme="minorEastAsia"/>
          <w:kern w:val="0"/>
          <w:szCs w:val="21"/>
        </w:rPr>
        <w:t>投标文件格式</w:t>
      </w:r>
      <w:r>
        <w:rPr>
          <w:rFonts w:hint="eastAsia" w:cs="Arial" w:asciiTheme="minorEastAsia" w:hAnsiTheme="minorEastAsia" w:eastAsiaTheme="minorEastAsia"/>
          <w:kern w:val="0"/>
          <w:szCs w:val="21"/>
        </w:rPr>
        <w:t>》提供的相关文件</w:t>
      </w:r>
      <w:r>
        <w:rPr>
          <w:rFonts w:cs="Arial" w:asciiTheme="minorEastAsia" w:hAnsiTheme="minorEastAsia" w:eastAsiaTheme="minorEastAsia"/>
          <w:kern w:val="0"/>
          <w:szCs w:val="21"/>
        </w:rPr>
        <w:t>要求</w:t>
      </w:r>
      <w:r>
        <w:rPr>
          <w:rFonts w:hint="eastAsia" w:cs="Arial" w:asciiTheme="minorEastAsia" w:hAnsiTheme="minorEastAsia" w:eastAsiaTheme="minorEastAsia"/>
          <w:kern w:val="0"/>
          <w:szCs w:val="21"/>
        </w:rPr>
        <w:t>加盖公</w:t>
      </w:r>
      <w:r>
        <w:rPr>
          <w:rFonts w:cs="Arial" w:asciiTheme="minorEastAsia" w:hAnsiTheme="minorEastAsia" w:eastAsiaTheme="minorEastAsia"/>
          <w:kern w:val="0"/>
          <w:szCs w:val="21"/>
        </w:rPr>
        <w:t>章处，投标人均应加盖</w:t>
      </w:r>
      <w:r>
        <w:rPr>
          <w:rFonts w:hint="eastAsia" w:cs="Arial" w:asciiTheme="minorEastAsia" w:hAnsiTheme="minorEastAsia" w:eastAsiaTheme="minorEastAsia"/>
          <w:kern w:val="0"/>
          <w:szCs w:val="21"/>
        </w:rPr>
        <w:t>单位公</w:t>
      </w:r>
      <w:r>
        <w:rPr>
          <w:rFonts w:cs="Arial" w:asciiTheme="minorEastAsia" w:hAnsiTheme="minorEastAsia" w:eastAsiaTheme="minorEastAsia"/>
          <w:kern w:val="0"/>
          <w:szCs w:val="21"/>
        </w:rPr>
        <w:t>章</w:t>
      </w:r>
      <w:r>
        <w:rPr>
          <w:rFonts w:hint="eastAsia" w:cs="Arial" w:asciiTheme="minorEastAsia" w:hAnsiTheme="minorEastAsia" w:eastAsiaTheme="minorEastAsia"/>
          <w:kern w:val="0"/>
          <w:szCs w:val="21"/>
        </w:rPr>
        <w:t>，</w:t>
      </w:r>
      <w:r>
        <w:rPr>
          <w:rFonts w:hint="eastAsia" w:asciiTheme="minorEastAsia" w:hAnsiTheme="minorEastAsia" w:eastAsiaTheme="minorEastAsia"/>
          <w:szCs w:val="21"/>
        </w:rPr>
        <w:t>可使用电子公章在线签章或线下盖单位公章扫描后上传。</w:t>
      </w:r>
      <w:r>
        <w:rPr>
          <w:rFonts w:cs="Arial" w:asciiTheme="minorEastAsia" w:hAnsiTheme="minorEastAsia" w:eastAsiaTheme="minorEastAsia"/>
          <w:kern w:val="0"/>
          <w:szCs w:val="21"/>
        </w:rPr>
        <w:t>联合体投标的，除联合协议</w:t>
      </w:r>
      <w:r>
        <w:rPr>
          <w:rFonts w:hint="eastAsia" w:cs="Arial" w:asciiTheme="minorEastAsia" w:hAnsiTheme="minorEastAsia" w:eastAsiaTheme="minorEastAsia"/>
          <w:kern w:val="0"/>
          <w:szCs w:val="21"/>
        </w:rPr>
        <w:t>及联合体各成员单位提供的本单位证明材料</w:t>
      </w:r>
      <w:r>
        <w:rPr>
          <w:rFonts w:cs="Arial" w:asciiTheme="minorEastAsia" w:hAnsiTheme="minorEastAsia" w:eastAsiaTheme="minorEastAsia"/>
          <w:kern w:val="0"/>
          <w:szCs w:val="21"/>
        </w:rPr>
        <w:t>外，投标文件由联合体牵头人按上述规定加盖联合体牵头人单位</w:t>
      </w:r>
      <w:r>
        <w:rPr>
          <w:rFonts w:hint="eastAsia" w:cs="Arial" w:asciiTheme="minorEastAsia" w:hAnsiTheme="minorEastAsia" w:eastAsiaTheme="minorEastAsia"/>
          <w:kern w:val="0"/>
          <w:szCs w:val="21"/>
        </w:rPr>
        <w:t>公</w:t>
      </w:r>
      <w:r>
        <w:rPr>
          <w:rFonts w:cs="Arial" w:asciiTheme="minorEastAsia" w:hAnsiTheme="minorEastAsia" w:eastAsiaTheme="minorEastAsia"/>
          <w:kern w:val="0"/>
          <w:szCs w:val="21"/>
        </w:rPr>
        <w:t>章。</w:t>
      </w:r>
    </w:p>
    <w:p>
      <w:pPr>
        <w:snapToGrid w:val="0"/>
        <w:spacing w:line="360" w:lineRule="auto"/>
        <w:ind w:firstLine="420" w:firstLineChars="200"/>
        <w:jc w:val="left"/>
        <w:rPr>
          <w:rFonts w:asciiTheme="minorEastAsia" w:hAnsiTheme="minorEastAsia" w:eastAsiaTheme="minorEastAsia"/>
          <w:b/>
          <w:szCs w:val="21"/>
        </w:rPr>
      </w:pPr>
      <w:r>
        <w:rPr>
          <w:rFonts w:hint="eastAsia" w:asciiTheme="minorEastAsia" w:hAnsiTheme="minorEastAsia" w:eastAsiaTheme="minorEastAsia"/>
          <w:szCs w:val="21"/>
        </w:rPr>
        <w:t>电子签章操作指南详见《政府采购项目电子交易管理操作指南-供应商》,</w:t>
      </w:r>
      <w:r>
        <w:rPr>
          <w:rFonts w:hint="eastAsia" w:asciiTheme="minorEastAsia" w:hAnsiTheme="minorEastAsia" w:eastAsiaTheme="minorEastAsia"/>
          <w:b/>
          <w:szCs w:val="21"/>
        </w:rPr>
        <w:t>系统要求进行电子签章的文件，按系统要求签章。</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（3）投标</w:t>
      </w:r>
      <w:r>
        <w:rPr>
          <w:rFonts w:asciiTheme="minorEastAsia" w:hAnsiTheme="minorEastAsia" w:eastAsiaTheme="minorEastAsia"/>
          <w:szCs w:val="21"/>
        </w:rPr>
        <w:t>文件若有错</w:t>
      </w:r>
      <w:r>
        <w:rPr>
          <w:rFonts w:hint="eastAsia" w:asciiTheme="minorEastAsia" w:hAnsiTheme="minorEastAsia" w:eastAsiaTheme="minorEastAsia"/>
          <w:szCs w:val="21"/>
        </w:rPr>
        <w:t>、</w:t>
      </w:r>
      <w:r>
        <w:rPr>
          <w:rFonts w:asciiTheme="minorEastAsia" w:hAnsiTheme="minorEastAsia" w:eastAsiaTheme="minorEastAsia"/>
          <w:szCs w:val="21"/>
        </w:rPr>
        <w:t>漏处</w:t>
      </w:r>
      <w:r>
        <w:rPr>
          <w:rFonts w:hint="eastAsia" w:asciiTheme="minorEastAsia" w:hAnsiTheme="minorEastAsia" w:eastAsiaTheme="minorEastAsia"/>
          <w:szCs w:val="21"/>
        </w:rPr>
        <w:t>等必须修改的，修改处应当</w:t>
      </w:r>
      <w:r>
        <w:rPr>
          <w:rFonts w:asciiTheme="minorEastAsia" w:hAnsiTheme="minorEastAsia" w:eastAsiaTheme="minorEastAsia"/>
          <w:szCs w:val="21"/>
        </w:rPr>
        <w:t>加盖</w:t>
      </w:r>
      <w:r>
        <w:rPr>
          <w:rFonts w:hint="eastAsia" w:asciiTheme="minorEastAsia" w:hAnsiTheme="minorEastAsia" w:eastAsiaTheme="minorEastAsia"/>
          <w:szCs w:val="21"/>
        </w:rPr>
        <w:t>投标人</w:t>
      </w:r>
      <w:r>
        <w:rPr>
          <w:rFonts w:asciiTheme="minorEastAsia" w:hAnsiTheme="minorEastAsia" w:eastAsiaTheme="minorEastAsia"/>
          <w:szCs w:val="21"/>
        </w:rPr>
        <w:t>公章或者</w:t>
      </w:r>
      <w:r>
        <w:rPr>
          <w:rFonts w:hint="eastAsia" w:asciiTheme="minorEastAsia" w:hAnsiTheme="minorEastAsia" w:eastAsiaTheme="minorEastAsia"/>
          <w:szCs w:val="21"/>
        </w:rPr>
        <w:t>由投标人的</w:t>
      </w:r>
      <w:r>
        <w:rPr>
          <w:rFonts w:asciiTheme="minorEastAsia" w:hAnsiTheme="minorEastAsia" w:eastAsiaTheme="minorEastAsia"/>
          <w:szCs w:val="21"/>
        </w:rPr>
        <w:t>法定代表人</w:t>
      </w:r>
      <w:r>
        <w:rPr>
          <w:rFonts w:hint="eastAsia" w:asciiTheme="minorEastAsia" w:hAnsiTheme="minorEastAsia" w:eastAsiaTheme="minorEastAsia"/>
          <w:szCs w:val="21"/>
        </w:rPr>
        <w:t>或其</w:t>
      </w:r>
      <w:r>
        <w:rPr>
          <w:rFonts w:asciiTheme="minorEastAsia" w:hAnsiTheme="minorEastAsia" w:eastAsiaTheme="minorEastAsia"/>
          <w:szCs w:val="21"/>
        </w:rPr>
        <w:t>授权</w:t>
      </w:r>
      <w:r>
        <w:rPr>
          <w:rFonts w:hint="eastAsia" w:asciiTheme="minorEastAsia" w:hAnsiTheme="minorEastAsia" w:eastAsiaTheme="minorEastAsia"/>
          <w:szCs w:val="21"/>
        </w:rPr>
        <w:t>代表</w:t>
      </w:r>
      <w:r>
        <w:rPr>
          <w:rFonts w:asciiTheme="minorEastAsia" w:hAnsiTheme="minorEastAsia" w:eastAsiaTheme="minorEastAsia"/>
          <w:szCs w:val="21"/>
        </w:rPr>
        <w:t>签字</w:t>
      </w:r>
      <w:r>
        <w:rPr>
          <w:rFonts w:hint="eastAsia" w:asciiTheme="minorEastAsia" w:hAnsiTheme="minorEastAsia" w:eastAsiaTheme="minorEastAsia"/>
          <w:szCs w:val="21"/>
        </w:rPr>
        <w:t>或盖章</w:t>
      </w:r>
      <w:r>
        <w:rPr>
          <w:rFonts w:asciiTheme="minorEastAsia" w:hAnsiTheme="minorEastAsia" w:eastAsiaTheme="minorEastAsia"/>
          <w:szCs w:val="21"/>
        </w:rPr>
        <w:t>。</w:t>
      </w:r>
    </w:p>
    <w:p>
      <w:pPr>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2</w:t>
      </w:r>
      <w:r>
        <w:rPr>
          <w:rFonts w:hint="eastAsia" w:asciiTheme="minorEastAsia" w:hAnsiTheme="minorEastAsia" w:eastAsiaTheme="minorEastAsia"/>
          <w:b/>
          <w:szCs w:val="21"/>
        </w:rPr>
        <w:t>5</w:t>
      </w:r>
      <w:r>
        <w:rPr>
          <w:rFonts w:asciiTheme="minorEastAsia" w:hAnsiTheme="minorEastAsia" w:eastAsiaTheme="minorEastAsia"/>
          <w:b/>
          <w:szCs w:val="21"/>
        </w:rPr>
        <w:t>.投标报价要求</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25.1投标报价的组成：</w:t>
      </w:r>
      <w:r>
        <w:rPr>
          <w:rFonts w:asciiTheme="minorEastAsia" w:hAnsiTheme="minorEastAsia" w:eastAsiaTheme="minorEastAsia"/>
          <w:szCs w:val="21"/>
        </w:rPr>
        <w:t>投标人的报价应当包括满足本次招标全部采购需求所应提供的服务</w:t>
      </w:r>
      <w:r>
        <w:rPr>
          <w:rFonts w:hint="eastAsia" w:asciiTheme="minorEastAsia" w:hAnsiTheme="minorEastAsia" w:eastAsiaTheme="minorEastAsia"/>
          <w:szCs w:val="21"/>
        </w:rPr>
        <w:t>的费用、专家评审费用、招标代理服务费等。</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25.2所有投标或结算货币均为人民币，针对本项目的投标报价（包含分项报价）</w:t>
      </w:r>
      <w:r>
        <w:rPr>
          <w:rFonts w:asciiTheme="minorEastAsia" w:hAnsiTheme="minorEastAsia" w:eastAsiaTheme="minorEastAsia"/>
          <w:szCs w:val="21"/>
        </w:rPr>
        <w:t>只允许有一个，</w:t>
      </w:r>
      <w:r>
        <w:rPr>
          <w:rFonts w:hint="eastAsia" w:asciiTheme="minorEastAsia" w:hAnsiTheme="minorEastAsia" w:eastAsiaTheme="minorEastAsia"/>
          <w:szCs w:val="21"/>
        </w:rPr>
        <w:t>不接受</w:t>
      </w:r>
      <w:r>
        <w:rPr>
          <w:rFonts w:asciiTheme="minorEastAsia" w:hAnsiTheme="minorEastAsia" w:eastAsiaTheme="minorEastAsia"/>
          <w:szCs w:val="21"/>
        </w:rPr>
        <w:t>有选择的</w:t>
      </w:r>
      <w:r>
        <w:rPr>
          <w:rFonts w:hint="eastAsia" w:asciiTheme="minorEastAsia" w:hAnsiTheme="minorEastAsia" w:eastAsiaTheme="minorEastAsia"/>
          <w:szCs w:val="21"/>
        </w:rPr>
        <w:t>或有附加条件的投标</w:t>
      </w:r>
      <w:r>
        <w:rPr>
          <w:rFonts w:asciiTheme="minorEastAsia" w:hAnsiTheme="minorEastAsia" w:eastAsiaTheme="minorEastAsia"/>
          <w:szCs w:val="21"/>
        </w:rPr>
        <w:t>报价</w:t>
      </w:r>
      <w:r>
        <w:rPr>
          <w:rFonts w:hint="eastAsia" w:asciiTheme="minorEastAsia" w:hAnsiTheme="minorEastAsia" w:eastAsiaTheme="minorEastAsia"/>
          <w:szCs w:val="21"/>
        </w:rPr>
        <w:t>（包含分项报价）</w:t>
      </w:r>
      <w:r>
        <w:rPr>
          <w:rFonts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25.3</w:t>
      </w:r>
      <w:r>
        <w:rPr>
          <w:rFonts w:hint="eastAsia" w:asciiTheme="minorEastAsia" w:hAnsiTheme="minorEastAsia" w:eastAsiaTheme="minorEastAsia"/>
          <w:b/>
          <w:szCs w:val="21"/>
        </w:rPr>
        <w:t>投标报价不允许为0元（即赠送），投标报价明细中不允许出现0元的单项报价，否则视同赠送，采购人不予接受，其投标文件按照投标无效处理。</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26.投标保证金</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本项目无须投标人缴纳投标保证金。</w:t>
      </w:r>
    </w:p>
    <w:p>
      <w:pPr>
        <w:spacing w:line="360" w:lineRule="auto"/>
        <w:ind w:firstLine="420" w:firstLineChars="200"/>
        <w:rPr>
          <w:rFonts w:asciiTheme="minorEastAsia" w:hAnsiTheme="minorEastAsia" w:eastAsiaTheme="minorEastAsia"/>
          <w:b/>
          <w:szCs w:val="21"/>
        </w:rPr>
      </w:pPr>
      <w:r>
        <w:rPr>
          <w:rFonts w:asciiTheme="minorEastAsia" w:hAnsiTheme="minorEastAsia" w:eastAsiaTheme="minorEastAsia"/>
          <w:szCs w:val="21"/>
        </w:rPr>
        <w:t>▲</w:t>
      </w:r>
      <w:r>
        <w:rPr>
          <w:rFonts w:hint="eastAsia" w:asciiTheme="minorEastAsia" w:hAnsiTheme="minorEastAsia" w:eastAsiaTheme="minorEastAsia"/>
          <w:b/>
          <w:szCs w:val="21"/>
        </w:rPr>
        <w:t>27.投标有效期</w:t>
      </w:r>
    </w:p>
    <w:p>
      <w:pPr>
        <w:pStyle w:val="24"/>
        <w:snapToGrid w:val="0"/>
        <w:spacing w:beforeLines="0" w:afterLines="0"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27.1投标有效期为从投标截止之日算起的日历天数，投标有效期详见《</w:t>
      </w:r>
      <w:r>
        <w:rPr>
          <w:rFonts w:hint="eastAsia" w:asciiTheme="minorEastAsia" w:hAnsiTheme="minorEastAsia" w:eastAsiaTheme="minorEastAsia"/>
          <w:sz w:val="21"/>
          <w:szCs w:val="21"/>
          <w:u w:val="single"/>
        </w:rPr>
        <w:t>投标人须知前附表</w:t>
      </w:r>
      <w:r>
        <w:rPr>
          <w:rFonts w:hint="eastAsia" w:asciiTheme="minorEastAsia" w:hAnsiTheme="minorEastAsia" w:eastAsiaTheme="minorEastAsia"/>
          <w:sz w:val="21"/>
          <w:szCs w:val="21"/>
        </w:rPr>
        <w:t>》。</w:t>
      </w:r>
    </w:p>
    <w:p>
      <w:pPr>
        <w:spacing w:line="360" w:lineRule="auto"/>
        <w:ind w:firstLine="435"/>
        <w:rPr>
          <w:rFonts w:asciiTheme="minorEastAsia" w:hAnsiTheme="minorEastAsia" w:eastAsiaTheme="minorEastAsia"/>
          <w:kern w:val="0"/>
          <w:szCs w:val="21"/>
        </w:rPr>
      </w:pPr>
      <w:r>
        <w:rPr>
          <w:rFonts w:hint="eastAsia" w:asciiTheme="minorEastAsia" w:hAnsiTheme="minorEastAsia" w:eastAsiaTheme="minorEastAsia"/>
          <w:kern w:val="0"/>
          <w:szCs w:val="21"/>
        </w:rPr>
        <w:t>27.2在投标有效期内，投标人的投标保持有效，投标人不得要求撤销或修改其投标文件。投标有效期不满足要求的投标，其投标将被认定为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kern w:val="0"/>
          <w:szCs w:val="21"/>
        </w:rPr>
        <w:t>投标无效</w:t>
      </w:r>
      <w:r>
        <w:rPr>
          <w:rFonts w:hint="eastAsia" w:asciiTheme="minorEastAsia" w:hAnsiTheme="minorEastAsia" w:eastAsiaTheme="minorEastAsia"/>
          <w:kern w:val="0"/>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27.3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以书面形式提交。</w:t>
      </w:r>
    </w:p>
    <w:p>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四、投标文件的提交</w:t>
      </w:r>
    </w:p>
    <w:p>
      <w:pPr>
        <w:pStyle w:val="24"/>
        <w:snapToGrid w:val="0"/>
        <w:spacing w:beforeLines="0" w:afterLines="0" w:line="360" w:lineRule="auto"/>
        <w:ind w:firstLine="422" w:firstLineChars="200"/>
        <w:jc w:val="lef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28.电子加密投标文件的提交</w:t>
      </w:r>
    </w:p>
    <w:p>
      <w:pPr>
        <w:pStyle w:val="24"/>
        <w:snapToGrid w:val="0"/>
        <w:spacing w:beforeLines="0" w:afterLines="0" w:line="360" w:lineRule="auto"/>
        <w:ind w:firstLine="420"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投标人应当在投标截止时间前将电子加密投标文件上传至政采云平台，成功上传后，投标人可自行打印投标文件接收回执。</w:t>
      </w:r>
    </w:p>
    <w:p>
      <w:pPr>
        <w:pStyle w:val="24"/>
        <w:snapToGrid w:val="0"/>
        <w:spacing w:beforeLines="0" w:afterLines="0" w:line="360" w:lineRule="auto"/>
        <w:ind w:firstLine="422" w:firstLineChars="200"/>
        <w:jc w:val="left"/>
        <w:rPr>
          <w:rFonts w:cs="宋体" w:asciiTheme="minorEastAsia" w:hAnsiTheme="minorEastAsia" w:eastAsiaTheme="minorEastAsia"/>
          <w:b/>
          <w:sz w:val="21"/>
          <w:szCs w:val="21"/>
        </w:rPr>
      </w:pPr>
      <w:r>
        <w:rPr>
          <w:rFonts w:hint="eastAsia" w:asciiTheme="minorEastAsia" w:hAnsiTheme="minorEastAsia" w:eastAsiaTheme="minorEastAsia"/>
          <w:b/>
          <w:sz w:val="21"/>
          <w:szCs w:val="21"/>
        </w:rPr>
        <w:t>29.</w:t>
      </w:r>
      <w:r>
        <w:rPr>
          <w:rFonts w:hint="eastAsia" w:cs="宋体" w:asciiTheme="minorEastAsia" w:hAnsiTheme="minorEastAsia" w:eastAsiaTheme="minorEastAsia"/>
          <w:b/>
          <w:sz w:val="21"/>
          <w:szCs w:val="21"/>
        </w:rPr>
        <w:t>备份投标文件的提交</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人可以在投标截止时间前提交备份投标文件。备份投标文件的载体必须密封包装，密封包装应当清楚的标明项目名称、项目编号、投标人名称并加盖公章。采购人或采购代理机构拒绝接收未按照规定密封、标注、盖章的备份投标文件。</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30.投标截止时间及地点</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30.1投标截止时间及地点见投标邀请。</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30.2采购人或采购代理机构可以根据项目情况</w:t>
      </w:r>
      <w:r>
        <w:rPr>
          <w:rFonts w:asciiTheme="minorEastAsia" w:hAnsiTheme="minorEastAsia" w:eastAsiaTheme="minorEastAsia"/>
          <w:szCs w:val="21"/>
        </w:rPr>
        <w:t>，</w:t>
      </w:r>
      <w:r>
        <w:rPr>
          <w:rFonts w:hint="eastAsia" w:asciiTheme="minorEastAsia" w:hAnsiTheme="minorEastAsia" w:eastAsiaTheme="minorEastAsia"/>
          <w:szCs w:val="21"/>
        </w:rPr>
        <w:t>推迟投标截止时间。在此情况下，采购人、采购代理机构和投标人受投标截止时间约束的所有权利和义务均应延长至新的投标截止时间。</w:t>
      </w:r>
    </w:p>
    <w:p>
      <w:pPr>
        <w:snapToGrid w:val="0"/>
        <w:spacing w:line="360" w:lineRule="auto"/>
        <w:ind w:firstLine="422" w:firstLineChars="200"/>
        <w:jc w:val="left"/>
        <w:rPr>
          <w:rFonts w:asciiTheme="minorEastAsia" w:hAnsiTheme="minorEastAsia" w:eastAsiaTheme="minorEastAsia"/>
          <w:szCs w:val="21"/>
        </w:rPr>
      </w:pPr>
      <w:r>
        <w:rPr>
          <w:rFonts w:hint="eastAsia" w:asciiTheme="minorEastAsia" w:hAnsiTheme="minorEastAsia" w:eastAsiaTheme="minorEastAsia"/>
          <w:b/>
          <w:szCs w:val="21"/>
        </w:rPr>
        <w:t>31.投标文件的修改和撤回</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31.1</w:t>
      </w:r>
      <w:r>
        <w:rPr>
          <w:rFonts w:asciiTheme="minorEastAsia" w:hAnsiTheme="minorEastAsia" w:eastAsiaTheme="minorEastAsia"/>
          <w:szCs w:val="21"/>
        </w:rPr>
        <w:t>投标人在投标截止时间前，可以对</w:t>
      </w:r>
      <w:r>
        <w:rPr>
          <w:rFonts w:hint="eastAsia" w:asciiTheme="minorEastAsia" w:hAnsiTheme="minorEastAsia" w:eastAsiaTheme="minorEastAsia"/>
          <w:szCs w:val="21"/>
        </w:rPr>
        <w:t>已经提交</w:t>
      </w:r>
      <w:r>
        <w:rPr>
          <w:rFonts w:asciiTheme="minorEastAsia" w:hAnsiTheme="minorEastAsia" w:eastAsiaTheme="minorEastAsia"/>
          <w:szCs w:val="21"/>
        </w:rPr>
        <w:t>的投标文件进行补充、修改或者撤回。</w:t>
      </w:r>
    </w:p>
    <w:p>
      <w:pPr>
        <w:snapToGrid w:val="0"/>
        <w:spacing w:line="360" w:lineRule="auto"/>
        <w:ind w:firstLine="420" w:firstLineChars="200"/>
        <w:jc w:val="left"/>
        <w:rPr>
          <w:rFonts w:cs="Helvetica" w:asciiTheme="minorEastAsia" w:hAnsiTheme="minorEastAsia" w:eastAsiaTheme="minorEastAsia"/>
          <w:kern w:val="0"/>
          <w:szCs w:val="21"/>
        </w:rPr>
      </w:pPr>
      <w:r>
        <w:rPr>
          <w:rFonts w:hint="eastAsia" w:asciiTheme="minorEastAsia" w:hAnsiTheme="minorEastAsia" w:eastAsiaTheme="minorEastAsia"/>
          <w:szCs w:val="21"/>
        </w:rPr>
        <w:t>对已经完成传输递交的</w:t>
      </w:r>
      <w:r>
        <w:rPr>
          <w:rFonts w:hint="eastAsia" w:cs="宋体" w:asciiTheme="minorEastAsia" w:hAnsiTheme="minorEastAsia" w:eastAsiaTheme="minorEastAsia"/>
          <w:szCs w:val="21"/>
        </w:rPr>
        <w:t>电子加密投标文件进行</w:t>
      </w:r>
      <w:r>
        <w:rPr>
          <w:rFonts w:hint="eastAsia" w:cs="Helvetica" w:asciiTheme="minorEastAsia" w:hAnsiTheme="minorEastAsia" w:eastAsiaTheme="minorEastAsia"/>
          <w:kern w:val="0"/>
          <w:szCs w:val="21"/>
        </w:rPr>
        <w:t>补充或者修改的，应当先行撤回原文件，补充、修改后重新传输递交。投标人在投标截止时间前未重新完成传输递交的，视为撤回投标文件。投标截止时间后递交的电子加密投标文件，电子交易平台将拒收。</w:t>
      </w:r>
    </w:p>
    <w:p>
      <w:pPr>
        <w:snapToGrid w:val="0"/>
        <w:spacing w:line="360" w:lineRule="auto"/>
        <w:ind w:firstLine="420" w:firstLineChars="200"/>
        <w:jc w:val="left"/>
        <w:rPr>
          <w:rFonts w:cs="Helvetica" w:asciiTheme="minorEastAsia" w:hAnsiTheme="minorEastAsia" w:eastAsiaTheme="minorEastAsia"/>
          <w:kern w:val="0"/>
          <w:szCs w:val="21"/>
        </w:rPr>
      </w:pPr>
      <w:r>
        <w:rPr>
          <w:rFonts w:hint="eastAsia" w:cs="Arial" w:asciiTheme="minorEastAsia" w:hAnsiTheme="minorEastAsia" w:eastAsiaTheme="minorEastAsia"/>
          <w:szCs w:val="21"/>
        </w:rPr>
        <w:t>31.2投标人在投标截止时间前</w:t>
      </w:r>
      <w:r>
        <w:rPr>
          <w:rFonts w:cs="Arial" w:asciiTheme="minorEastAsia" w:hAnsiTheme="minorEastAsia" w:eastAsiaTheme="minorEastAsia"/>
          <w:szCs w:val="21"/>
        </w:rPr>
        <w:t>递交</w:t>
      </w:r>
      <w:r>
        <w:rPr>
          <w:rFonts w:hint="eastAsia" w:cs="Arial" w:asciiTheme="minorEastAsia" w:hAnsiTheme="minorEastAsia" w:eastAsiaTheme="minorEastAsia"/>
          <w:szCs w:val="21"/>
        </w:rPr>
        <w:t>了需要补充或修改的</w:t>
      </w:r>
      <w:r>
        <w:rPr>
          <w:rFonts w:hint="eastAsia" w:cs="宋体" w:asciiTheme="minorEastAsia" w:hAnsiTheme="minorEastAsia" w:eastAsiaTheme="minorEastAsia"/>
          <w:szCs w:val="21"/>
        </w:rPr>
        <w:t>电子加密投标文件的</w:t>
      </w:r>
      <w:r>
        <w:rPr>
          <w:rFonts w:cs="Arial" w:asciiTheme="minorEastAsia" w:hAnsiTheme="minorEastAsia" w:eastAsiaTheme="minorEastAsia"/>
          <w:szCs w:val="21"/>
        </w:rPr>
        <w:t>备份投标文件</w:t>
      </w:r>
      <w:r>
        <w:rPr>
          <w:rFonts w:hint="eastAsia" w:cs="Arial" w:asciiTheme="minorEastAsia" w:hAnsiTheme="minorEastAsia" w:eastAsiaTheme="minorEastAsia"/>
          <w:szCs w:val="21"/>
        </w:rPr>
        <w:t>，可以</w:t>
      </w:r>
      <w:r>
        <w:rPr>
          <w:rFonts w:cs="Arial" w:asciiTheme="minorEastAsia" w:hAnsiTheme="minorEastAsia" w:eastAsiaTheme="minorEastAsia"/>
          <w:szCs w:val="21"/>
        </w:rPr>
        <w:t>重新</w:t>
      </w:r>
      <w:r>
        <w:rPr>
          <w:rFonts w:hint="eastAsia" w:cs="Arial" w:asciiTheme="minorEastAsia" w:hAnsiTheme="minorEastAsia" w:eastAsiaTheme="minorEastAsia"/>
          <w:szCs w:val="21"/>
        </w:rPr>
        <w:t>提交补充或修改后的</w:t>
      </w:r>
      <w:r>
        <w:rPr>
          <w:rFonts w:cs="Arial" w:asciiTheme="minorEastAsia" w:hAnsiTheme="minorEastAsia" w:eastAsiaTheme="minorEastAsia"/>
          <w:szCs w:val="21"/>
        </w:rPr>
        <w:t>备份投标文件</w:t>
      </w:r>
      <w:r>
        <w:rPr>
          <w:rFonts w:hint="eastAsia" w:cs="Arial"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31.3</w:t>
      </w:r>
      <w:r>
        <w:rPr>
          <w:rFonts w:asciiTheme="minorEastAsia" w:hAnsiTheme="minorEastAsia" w:eastAsiaTheme="minorEastAsia"/>
          <w:szCs w:val="21"/>
        </w:rPr>
        <w:t>投标截止时间后</w:t>
      </w:r>
      <w:r>
        <w:rPr>
          <w:rFonts w:hint="eastAsia" w:asciiTheme="minorEastAsia" w:hAnsiTheme="minorEastAsia" w:eastAsiaTheme="minorEastAsia"/>
          <w:szCs w:val="21"/>
        </w:rPr>
        <w:t>，投标人不得对其投标文件进行补充、修改</w:t>
      </w:r>
      <w:r>
        <w:rPr>
          <w:rFonts w:asciiTheme="minorEastAsia" w:hAnsiTheme="minorEastAsia" w:eastAsiaTheme="minorEastAsia"/>
          <w:szCs w:val="21"/>
        </w:rPr>
        <w:t>。</w:t>
      </w:r>
    </w:p>
    <w:p>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五、开标与评标</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32.开标</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32.1采购代理机构按招标文件规定的时间通过电子交易平台组织公开开标，所有投标人均应当准时在线参加</w:t>
      </w:r>
      <w:r>
        <w:rPr>
          <w:rFonts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32.2开标时，采购代理机构依托电子交易平台发起开始解密指令，</w:t>
      </w:r>
      <w:r>
        <w:rPr>
          <w:rFonts w:asciiTheme="minorEastAsia" w:hAnsiTheme="minorEastAsia" w:eastAsiaTheme="minorEastAsia"/>
          <w:szCs w:val="21"/>
        </w:rPr>
        <w:t>各投标</w:t>
      </w:r>
      <w:r>
        <w:rPr>
          <w:rFonts w:hint="eastAsia" w:asciiTheme="minorEastAsia" w:hAnsiTheme="minorEastAsia" w:eastAsiaTheme="minorEastAsia"/>
          <w:szCs w:val="21"/>
        </w:rPr>
        <w:t>人</w:t>
      </w:r>
      <w:r>
        <w:rPr>
          <w:rFonts w:asciiTheme="minorEastAsia" w:hAnsiTheme="minorEastAsia" w:eastAsiaTheme="minorEastAsia"/>
          <w:szCs w:val="21"/>
        </w:rPr>
        <w:t>应</w:t>
      </w:r>
      <w:r>
        <w:rPr>
          <w:rFonts w:hint="eastAsia" w:asciiTheme="minorEastAsia" w:hAnsiTheme="minorEastAsia" w:eastAsiaTheme="minorEastAsia"/>
          <w:szCs w:val="21"/>
        </w:rPr>
        <w:t>在30分钟内</w:t>
      </w:r>
      <w:r>
        <w:rPr>
          <w:rFonts w:asciiTheme="minorEastAsia" w:hAnsiTheme="minorEastAsia" w:eastAsiaTheme="minorEastAsia"/>
          <w:szCs w:val="21"/>
        </w:rPr>
        <w:t>（</w:t>
      </w:r>
      <w:r>
        <w:rPr>
          <w:rFonts w:hint="eastAsia" w:asciiTheme="minorEastAsia" w:hAnsiTheme="minorEastAsia" w:eastAsiaTheme="minorEastAsia"/>
          <w:szCs w:val="21"/>
        </w:rPr>
        <w:t>以电子交易系统解密倒计时为准</w:t>
      </w:r>
      <w:r>
        <w:rPr>
          <w:rFonts w:asciiTheme="minorEastAsia" w:hAnsiTheme="minorEastAsia" w:eastAsiaTheme="minorEastAsia"/>
          <w:szCs w:val="21"/>
        </w:rPr>
        <w:t>）对本单位的投标文件</w:t>
      </w:r>
      <w:r>
        <w:rPr>
          <w:rFonts w:hint="eastAsia" w:asciiTheme="minorEastAsia" w:hAnsiTheme="minorEastAsia" w:eastAsiaTheme="minorEastAsia"/>
          <w:szCs w:val="21"/>
        </w:rPr>
        <w:t>进行</w:t>
      </w:r>
      <w:r>
        <w:rPr>
          <w:rFonts w:asciiTheme="minorEastAsia" w:hAnsiTheme="minorEastAsia" w:eastAsiaTheme="minorEastAsia"/>
          <w:szCs w:val="21"/>
        </w:rPr>
        <w:t>解密。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32.3</w:t>
      </w:r>
      <w:r>
        <w:rPr>
          <w:rFonts w:asciiTheme="minorEastAsia" w:hAnsiTheme="minorEastAsia" w:eastAsiaTheme="minorEastAsia"/>
          <w:szCs w:val="21"/>
        </w:rPr>
        <w:t>开标时，采购代理机构将通过网上开标系统公布</w:t>
      </w:r>
      <w:r>
        <w:rPr>
          <w:rFonts w:hint="eastAsia" w:asciiTheme="minorEastAsia" w:hAnsiTheme="minorEastAsia" w:eastAsiaTheme="minorEastAsia"/>
          <w:szCs w:val="21"/>
        </w:rPr>
        <w:t>开标结果，公布内容包括投标人名称、投标报价及招标文件规定的其他内容。</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本项目开标分为</w:t>
      </w:r>
      <w:r>
        <w:rPr>
          <w:rFonts w:hint="eastAsia" w:asciiTheme="minorEastAsia" w:hAnsiTheme="minorEastAsia" w:eastAsiaTheme="minorEastAsia"/>
          <w:b/>
          <w:szCs w:val="21"/>
          <w:lang w:val="en-US" w:eastAsia="zh-CN"/>
        </w:rPr>
        <w:t>一</w:t>
      </w:r>
      <w:r>
        <w:rPr>
          <w:rFonts w:hint="eastAsia" w:asciiTheme="minorEastAsia" w:hAnsiTheme="minorEastAsia" w:eastAsiaTheme="minorEastAsia"/>
          <w:b/>
          <w:szCs w:val="21"/>
        </w:rPr>
        <w:t>个阶段。</w:t>
      </w:r>
      <w:r>
        <w:rPr>
          <w:rFonts w:hint="eastAsia" w:asciiTheme="minorEastAsia" w:hAnsiTheme="minorEastAsia" w:eastAsiaTheme="minorEastAsia"/>
          <w:b/>
          <w:szCs w:val="21"/>
          <w:lang w:val="en-US" w:eastAsia="zh-CN"/>
        </w:rPr>
        <w:t>一次性开启</w:t>
      </w:r>
      <w:r>
        <w:rPr>
          <w:rFonts w:hint="eastAsia" w:asciiTheme="minorEastAsia" w:hAnsiTheme="minorEastAsia" w:eastAsiaTheme="minorEastAsia"/>
          <w:b/>
          <w:szCs w:val="21"/>
        </w:rPr>
        <w:t>所有有效投标人的</w:t>
      </w:r>
      <w:r>
        <w:rPr>
          <w:rFonts w:hint="eastAsia" w:asciiTheme="minorEastAsia" w:hAnsiTheme="minorEastAsia" w:eastAsiaTheme="minorEastAsia"/>
          <w:b/>
          <w:szCs w:val="21"/>
          <w:lang w:val="en-US" w:eastAsia="zh-CN"/>
        </w:rPr>
        <w:t>投标</w:t>
      </w:r>
      <w:r>
        <w:rPr>
          <w:rFonts w:hint="eastAsia" w:asciiTheme="minorEastAsia" w:hAnsiTheme="minorEastAsia" w:eastAsiaTheme="minorEastAsia"/>
          <w:b/>
          <w:szCs w:val="21"/>
        </w:rPr>
        <w:t>文件</w:t>
      </w:r>
      <w:r>
        <w:rPr>
          <w:rFonts w:hint="eastAsia" w:asciiTheme="minorEastAsia" w:hAnsiTheme="minorEastAsia" w:eastAsiaTheme="minorEastAsia"/>
          <w:b/>
          <w:szCs w:val="21"/>
          <w:lang w:eastAsia="zh-CN"/>
        </w:rPr>
        <w:t>，</w:t>
      </w:r>
      <w:r>
        <w:rPr>
          <w:rFonts w:hint="eastAsia" w:asciiTheme="minorEastAsia" w:hAnsiTheme="minorEastAsia" w:eastAsiaTheme="minorEastAsia"/>
          <w:b/>
          <w:szCs w:val="21"/>
        </w:rPr>
        <w:t>公布投标人的</w:t>
      </w:r>
      <w:r>
        <w:rPr>
          <w:rFonts w:hint="eastAsia" w:asciiTheme="minorEastAsia" w:hAnsiTheme="minorEastAsia" w:eastAsiaTheme="minorEastAsia"/>
          <w:b/>
          <w:szCs w:val="21"/>
          <w:lang w:val="en-US" w:eastAsia="zh-CN"/>
        </w:rPr>
        <w:t>信息和</w:t>
      </w:r>
      <w:r>
        <w:rPr>
          <w:rFonts w:hint="eastAsia" w:asciiTheme="minorEastAsia" w:hAnsiTheme="minorEastAsia" w:eastAsiaTheme="minorEastAsia"/>
          <w:b/>
          <w:szCs w:val="21"/>
        </w:rPr>
        <w:t>投标报价</w:t>
      </w:r>
      <w:r>
        <w:rPr>
          <w:rFonts w:hint="eastAsia" w:asciiTheme="minorEastAsia" w:hAnsiTheme="minorEastAsia" w:eastAsiaTheme="minorEastAsia"/>
          <w:b/>
          <w:szCs w:val="21"/>
          <w:lang w:eastAsia="zh-CN"/>
        </w:rPr>
        <w:t>，</w:t>
      </w:r>
      <w:r>
        <w:rPr>
          <w:rFonts w:hint="eastAsia" w:asciiTheme="minorEastAsia" w:hAnsiTheme="minorEastAsia" w:eastAsiaTheme="minorEastAsia"/>
          <w:b/>
          <w:szCs w:val="21"/>
        </w:rPr>
        <w:t>待资格及商务技术评审结束后，在政采云系统上公布第一阶段无效投标人名单及其他有效投标人的商务技术得分</w:t>
      </w:r>
      <w:r>
        <w:rPr>
          <w:rFonts w:hint="eastAsia" w:asciiTheme="minorEastAsia" w:hAnsiTheme="minorEastAsia" w:eastAsiaTheme="minorEastAsia"/>
          <w:b/>
          <w:szCs w:val="21"/>
          <w:lang w:eastAsia="zh-CN"/>
        </w:rPr>
        <w:t>。</w:t>
      </w:r>
      <w:r>
        <w:rPr>
          <w:rFonts w:hint="eastAsia" w:asciiTheme="minorEastAsia" w:hAnsiTheme="minorEastAsia" w:eastAsiaTheme="minorEastAsia"/>
          <w:b/>
          <w:szCs w:val="21"/>
        </w:rPr>
        <w:t>经评标委员会</w:t>
      </w:r>
      <w:r>
        <w:rPr>
          <w:rFonts w:hint="eastAsia" w:asciiTheme="minorEastAsia" w:hAnsiTheme="minorEastAsia" w:eastAsiaTheme="minorEastAsia"/>
          <w:b/>
          <w:szCs w:val="21"/>
          <w:lang w:val="en-US" w:eastAsia="zh-CN"/>
        </w:rPr>
        <w:t>全部</w:t>
      </w:r>
      <w:r>
        <w:rPr>
          <w:rFonts w:hint="eastAsia" w:asciiTheme="minorEastAsia" w:hAnsiTheme="minorEastAsia" w:eastAsiaTheme="minorEastAsia"/>
          <w:b/>
          <w:szCs w:val="21"/>
        </w:rPr>
        <w:t>评审</w:t>
      </w:r>
      <w:r>
        <w:rPr>
          <w:rFonts w:hint="eastAsia" w:asciiTheme="minorEastAsia" w:hAnsiTheme="minorEastAsia" w:eastAsiaTheme="minorEastAsia"/>
          <w:b/>
          <w:szCs w:val="21"/>
          <w:lang w:val="en-US" w:eastAsia="zh-CN"/>
        </w:rPr>
        <w:t>完成</w:t>
      </w:r>
      <w:r>
        <w:rPr>
          <w:rFonts w:hint="eastAsia" w:asciiTheme="minorEastAsia" w:hAnsiTheme="minorEastAsia" w:eastAsiaTheme="minorEastAsia"/>
          <w:b/>
          <w:szCs w:val="21"/>
        </w:rPr>
        <w:t>后在政采云系统上公布投标人的最终得分。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32.4投标人如未在线参加开标的，视同认可开标结果，事后不得对开标结果提出异议。同时，投标人因未在线参加开标而导致电子加密投标文件无法按时解密等一切后果由投标人自行承担。</w:t>
      </w:r>
    </w:p>
    <w:p>
      <w:pPr>
        <w:snapToGrid w:val="0"/>
        <w:spacing w:line="360" w:lineRule="auto"/>
        <w:ind w:firstLine="420" w:firstLineChars="200"/>
        <w:jc w:val="left"/>
        <w:rPr>
          <w:rFonts w:cs="Arial" w:asciiTheme="minorEastAsia" w:hAnsiTheme="minorEastAsia" w:eastAsiaTheme="minorEastAsia"/>
          <w:kern w:val="0"/>
          <w:szCs w:val="21"/>
        </w:rPr>
      </w:pPr>
      <w:r>
        <w:rPr>
          <w:rFonts w:hint="eastAsia" w:asciiTheme="minorEastAsia" w:hAnsiTheme="minorEastAsia" w:eastAsiaTheme="minorEastAsia"/>
          <w:szCs w:val="21"/>
        </w:rPr>
        <w:t>32.5发生投标人在规定时间内解密电子加密投标文件但解密失败的情形，如投标人已按招标文件规定提交了备份投标文件，将由采购代理机构按政采云平台操作规范将备份投标文件上传至政采云平台异常端口处理，上传成功后，电子加密投标文件自动失效；使用备份文件仍无法成功或投标人</w:t>
      </w:r>
      <w:r>
        <w:rPr>
          <w:rFonts w:hint="eastAsia" w:cs="Arial" w:asciiTheme="minorEastAsia" w:hAnsiTheme="minorEastAsia" w:eastAsiaTheme="minorEastAsia"/>
          <w:kern w:val="0"/>
          <w:szCs w:val="21"/>
        </w:rPr>
        <w:t>未按规定提交备份投标文件的</w:t>
      </w:r>
      <w:r>
        <w:rPr>
          <w:rFonts w:hint="eastAsia" w:asciiTheme="minorEastAsia" w:hAnsiTheme="minorEastAsia" w:eastAsiaTheme="minorEastAsia"/>
          <w:szCs w:val="21"/>
        </w:rPr>
        <w:t>，</w:t>
      </w:r>
      <w:r>
        <w:rPr>
          <w:rFonts w:hint="eastAsia" w:asciiTheme="minorEastAsia" w:hAnsiTheme="minorEastAsia" w:eastAsiaTheme="minorEastAsia"/>
          <w:b/>
          <w:szCs w:val="21"/>
        </w:rPr>
        <w:t>视为撤回投标文件</w:t>
      </w:r>
      <w:r>
        <w:rPr>
          <w:rFonts w:hint="eastAsia"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电子加密投标文件已按时解密的，备份投标文件自动失效。</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32.6</w:t>
      </w:r>
      <w:r>
        <w:rPr>
          <w:rFonts w:asciiTheme="minorEastAsia" w:hAnsiTheme="minorEastAsia" w:eastAsiaTheme="minorEastAsia"/>
          <w:szCs w:val="21"/>
        </w:rPr>
        <w:t>开标过程由采购代理机构负责记录，由参加开标的投标人代表和相关工作人员签字确认后随采购文件一并存档。</w:t>
      </w:r>
    </w:p>
    <w:p>
      <w:pPr>
        <w:snapToGri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投标人代表对开标过程和开标记录有疑义，以及认为</w:t>
      </w:r>
      <w:r>
        <w:rPr>
          <w:rFonts w:hint="eastAsia" w:asciiTheme="minorEastAsia" w:hAnsiTheme="minorEastAsia" w:eastAsiaTheme="minorEastAsia"/>
          <w:szCs w:val="21"/>
        </w:rPr>
        <w:t>采购人或采购代理机构</w:t>
      </w:r>
      <w:r>
        <w:rPr>
          <w:rFonts w:asciiTheme="minorEastAsia" w:hAnsiTheme="minorEastAsia" w:eastAsiaTheme="minorEastAsia"/>
          <w:szCs w:val="21"/>
        </w:rPr>
        <w:t>相关工作人员有需要回避的情形的，应当场提出询问或者回避申请。</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33.评标</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33.1采购代理机构负责组织评标工作，评标委员会负责具体评审。</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33.2开标结束后，采购人或采购代理机构依据法律法规和招标文件中规定的内容对投标人的资格进行审查，未通过资格审查的投标人不进入评标。</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33.3评标委员会由采购人代表和评审专家组成，成员为</w:t>
      </w:r>
      <w:r>
        <w:rPr>
          <w:rFonts w:asciiTheme="minorEastAsia" w:hAnsiTheme="minorEastAsia" w:eastAsiaTheme="minorEastAsia"/>
          <w:szCs w:val="21"/>
        </w:rPr>
        <w:t>5</w:t>
      </w:r>
      <w:r>
        <w:rPr>
          <w:rFonts w:hint="eastAsia" w:asciiTheme="minorEastAsia" w:hAnsiTheme="minorEastAsia" w:eastAsiaTheme="minorEastAsia"/>
          <w:szCs w:val="21"/>
        </w:rPr>
        <w:t>人及以上单数。</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评标委员会成员名单在评标结果公告前保密。评标委员会成员与供应商有下列利害关系之一的，应当回避：</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（1）参加采购活动前3年内与供应商存在劳动关系；</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（2）参加采购活动前3年内担任供应商的董事、监事；</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（3）参加采购活动前3年内是供应商的控股股东或者实际控制人；</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（4）与供应商的法定代表人或者负责人有夫妻、直系血亲、三代以内旁系血亲或者近姻亲关系；</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（5）与供应商有其他可能影响政府采购活动公平、公正进行的关系。</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33.4评标委员会应当对符合资格要求的投标人的投标文件进行符合性审查，以确定其是否满足招标文件的实质性要求。</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33.5对于投标文件中含义不明确、同类问题表述不一致或者有明显文字和计算错误的内容，评标委员会应当以书面形式要求投标人作出必要的澄清、说明或者补正。</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投标人的澄清、说明或者补正应当采用书面形式并加盖公章，或者由法定代表人或其授权的代表签字或盖章。投标人的澄清、说明或者补正不得超出投标文件的范围或者改变投标文件的实质性内容。</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33.6评标委员会应当按照招标文件中规定的评标方法和标准，对符合性审查合格的投标文件进行商务和技术评估，综合比较与评价。</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33.7本项目采用综合评分法，评审程序及评分标准的设置详见《第四章  评标方法及评标标准》。</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shd w:val="clear" w:color="auto" w:fill="FFFFFF"/>
        </w:rPr>
        <w:t>评标结果按评审后得分由高到低顺序排列。得分相同的，按投标报价由低到高顺序排列。得分且投标报价相同的并列。投标文件满足招标文件全部实质性要求，且按照</w:t>
      </w:r>
      <w:r>
        <w:rPr>
          <w:rFonts w:hint="eastAsia" w:asciiTheme="minorEastAsia" w:hAnsiTheme="minorEastAsia" w:eastAsiaTheme="minorEastAsia"/>
          <w:szCs w:val="21"/>
          <w:shd w:val="clear" w:color="auto" w:fill="FFFFFF"/>
          <w:lang w:val="en-US" w:eastAsia="zh-CN"/>
        </w:rPr>
        <w:t>各标项</w:t>
      </w:r>
      <w:r>
        <w:rPr>
          <w:rFonts w:asciiTheme="minorEastAsia" w:hAnsiTheme="minorEastAsia" w:eastAsiaTheme="minorEastAsia"/>
          <w:szCs w:val="21"/>
          <w:shd w:val="clear" w:color="auto" w:fill="FFFFFF"/>
        </w:rPr>
        <w:t>评审因素的量化指标评审得分最高的投标人为</w:t>
      </w:r>
      <w:r>
        <w:rPr>
          <w:rFonts w:hint="eastAsia" w:asciiTheme="minorEastAsia" w:hAnsiTheme="minorEastAsia" w:eastAsiaTheme="minorEastAsia"/>
          <w:szCs w:val="21"/>
          <w:shd w:val="clear" w:color="auto" w:fill="FFFFFF"/>
          <w:lang w:val="en-US" w:eastAsia="zh-CN"/>
        </w:rPr>
        <w:t>各标项</w:t>
      </w:r>
      <w:r>
        <w:rPr>
          <w:rFonts w:asciiTheme="minorEastAsia" w:hAnsiTheme="minorEastAsia" w:eastAsiaTheme="minorEastAsia"/>
          <w:szCs w:val="21"/>
          <w:shd w:val="clear" w:color="auto" w:fill="FFFFFF"/>
        </w:rPr>
        <w:t>排名第一的中标候选人。</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33.8报价修正</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电子交易平台客户端里开标一览表录入的投标报价与报价文件中的开标一览表投标报价不一致的，以报价文件中的投标报价为准。投标文件报价出现前后不一致的，按照下列规定修正：</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（1）投标文件中开标一览表（报价表）内容与投标文件中相应内容不一致的，以开标一览表（报价表）为准；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（2）大写金额和小写金额不一致的，以大写金额为准；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（3）单价金额小数点或者百分比有明显错位的，以开标一览表的总价为准，并修改单价；</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（4）总价金额与按单价汇总金额不一致的，以单价金额计算结果为准。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同时出现两种以上不一致的，按照前款规定的顺序修正。修正后的报价由投标人确认，采用书面形式并加盖公章，或者由投标人的法定代表人或其授权的代表签字。经投标人确认后产生约束力，投标人不确认的，</w:t>
      </w:r>
      <w:r>
        <w:rPr>
          <w:rFonts w:hint="eastAsia" w:asciiTheme="minorEastAsia" w:hAnsiTheme="minorEastAsia" w:eastAsiaTheme="minorEastAsia"/>
          <w:b/>
          <w:szCs w:val="21"/>
        </w:rPr>
        <w:t>其投标无效</w:t>
      </w:r>
      <w:r>
        <w:rPr>
          <w:rFonts w:hint="eastAsia"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33.9</w:t>
      </w:r>
      <w:r>
        <w:rPr>
          <w:rFonts w:asciiTheme="minorEastAsia" w:hAnsiTheme="minorEastAsia" w:eastAsiaTheme="minor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33.10</w:t>
      </w:r>
      <w:r>
        <w:rPr>
          <w:rFonts w:asciiTheme="minorEastAsia" w:hAnsiTheme="minorEastAsia" w:eastAsiaTheme="minorEastAsia"/>
          <w:szCs w:val="21"/>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33.11投标人存在下列情况之一的，投标无效:</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（1）投标文件未按招标文件要求签署、盖章影响投标文件效力的；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（2）不具备招标文件中规定的资格要求的（包括未提交有效的资格证明文件）；</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（3）未对招标文件的实质性条款作出响应的；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（4）报价超过招标文件中规定的预算金额或者最高限价或单项限价的；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（5）投标文件含有采购人不能接受的附加条件的；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（6）投标文件中含有虚假材料的；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（7）仅提交备份投标文件的；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（8）投标人违背诚实信用原则的；</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（9）不同投标人的投标文件出自同一终端设备或在相同Internet主机分配地址（相同IP地址）；</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（10）法律、法规和招标文件规定的其他无效情形。</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33.12所有有关人员对评标情况以及在评标过程中获悉的国家秘密、商业秘密负有保密责任。</w:t>
      </w:r>
    </w:p>
    <w:p>
      <w:pPr>
        <w:pStyle w:val="24"/>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34.废标的情形</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在本项目招标采购中，出现下列情形之一的，应予废标：</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（1）符合资格要求的投标人或者对招标文件作实质响应的投标人不足三家的；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（2）出现影响采购公正的违法、违规行为的；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（3）投标人的报价均超过了采购预算，采购人不能支付的；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（4）因重大变故，采购任务取消的。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（5）电子交易平台无法正常运行，无法保证电子交易的公平、公正和安全的情况。</w:t>
      </w:r>
    </w:p>
    <w:p>
      <w:pPr>
        <w:pStyle w:val="24"/>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35.中止电子交易活动的情形</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（1）电子交易平台发生故障而无法登录访问的；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（2）电子交易平台应用或数据库出现错误，不能进行正常操作的；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（3）电子交易平台发现严重安全漏洞，有潜在泄密危险的；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（4）病毒发作导致不能进行正常操作的；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（5）其他无法保证电子交易的公平、公正和安全的情况。</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出现前款规定情形，不影响采购公平、公正性的，采购组织机构可以待上述情形消除后继续组织电子交易活动；影响或可能影响采购公平、公正性的，将重新采购。</w:t>
      </w:r>
    </w:p>
    <w:p>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六、授予合同</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36.中标人的确定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36.1</w:t>
      </w:r>
      <w:r>
        <w:rPr>
          <w:rFonts w:asciiTheme="minorEastAsia" w:hAnsiTheme="minorEastAsia" w:eastAsiaTheme="minorEastAsia"/>
          <w:szCs w:val="21"/>
        </w:rPr>
        <w:t>本项目</w:t>
      </w:r>
      <w:r>
        <w:rPr>
          <w:rFonts w:hint="eastAsia" w:asciiTheme="minorEastAsia" w:hAnsiTheme="minorEastAsia" w:eastAsiaTheme="minorEastAsia"/>
          <w:szCs w:val="21"/>
        </w:rPr>
        <w:t>采购人按评标报告推荐的</w:t>
      </w:r>
      <w:r>
        <w:rPr>
          <w:rFonts w:hint="eastAsia" w:asciiTheme="minorEastAsia" w:hAnsiTheme="minorEastAsia" w:eastAsiaTheme="minorEastAsia"/>
          <w:szCs w:val="21"/>
          <w:lang w:val="en-US" w:eastAsia="zh-CN"/>
        </w:rPr>
        <w:t>各标项</w:t>
      </w:r>
      <w:r>
        <w:rPr>
          <w:rFonts w:hint="eastAsia" w:asciiTheme="minorEastAsia" w:hAnsiTheme="minorEastAsia" w:eastAsiaTheme="minorEastAsia"/>
          <w:szCs w:val="21"/>
        </w:rPr>
        <w:t>中标候选人顺序确定排名第一的中标候选人为</w:t>
      </w:r>
      <w:r>
        <w:rPr>
          <w:rFonts w:hint="eastAsia" w:asciiTheme="minorEastAsia" w:hAnsiTheme="minorEastAsia" w:eastAsiaTheme="minorEastAsia"/>
          <w:szCs w:val="21"/>
          <w:lang w:val="en-US" w:eastAsia="zh-CN"/>
        </w:rPr>
        <w:t>本标项</w:t>
      </w:r>
      <w:r>
        <w:rPr>
          <w:rFonts w:hint="eastAsia" w:asciiTheme="minorEastAsia" w:hAnsiTheme="minorEastAsia" w:eastAsiaTheme="minorEastAsia"/>
          <w:szCs w:val="21"/>
        </w:rPr>
        <w:t>中标人。</w:t>
      </w:r>
      <w:r>
        <w:rPr>
          <w:rFonts w:asciiTheme="minorEastAsia" w:hAnsiTheme="minorEastAsia" w:eastAsiaTheme="minorEastAsia"/>
          <w:szCs w:val="21"/>
          <w:shd w:val="clear" w:color="auto" w:fill="FFFFFF"/>
        </w:rPr>
        <w:t>中标候选人并列的，由采购人或者采购人委托评标委员会按照招标文件规定的方式确定</w:t>
      </w:r>
      <w:r>
        <w:rPr>
          <w:rFonts w:hint="eastAsia" w:asciiTheme="minorEastAsia" w:hAnsiTheme="minorEastAsia" w:eastAsiaTheme="minorEastAsia"/>
          <w:szCs w:val="21"/>
          <w:shd w:val="clear" w:color="auto" w:fill="FFFFFF"/>
          <w:lang w:val="en-US" w:eastAsia="zh-CN"/>
        </w:rPr>
        <w:t>各标项</w:t>
      </w:r>
      <w:r>
        <w:rPr>
          <w:rFonts w:asciiTheme="minorEastAsia" w:hAnsiTheme="minorEastAsia" w:eastAsiaTheme="minorEastAsia"/>
          <w:szCs w:val="21"/>
          <w:shd w:val="clear" w:color="auto" w:fill="FFFFFF"/>
        </w:rPr>
        <w:t>中标人；招标文件未规定的，采取随机抽取的方式确定。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36.2自中标人确定之日起2个工作日内，采购代理机构在招标公告发布媒体上公告中标结果，在公告中标结果的同时，向中标人发出中标通知书。</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36.3因重大变故采购任务取消时，采购人有权拒绝任何投标人中标，且对受影响的投标人不承担任何责任。</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37.签订合同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37.1采购人按照招标文件和中标人投标文件的规定，与中标人签订书面合同。所签订的合同不得对招标文件确定的事项和中标人投标文件作实质性修改。</w:t>
      </w:r>
    </w:p>
    <w:p>
      <w:pPr>
        <w:spacing w:line="360" w:lineRule="auto"/>
        <w:ind w:firstLine="420" w:firstLineChars="200"/>
        <w:rPr>
          <w:rFonts w:ascii="宋体" w:hAnsi="宋体"/>
          <w:szCs w:val="21"/>
        </w:rPr>
      </w:pPr>
      <w:r>
        <w:rPr>
          <w:rFonts w:hint="eastAsia" w:asciiTheme="minorEastAsia" w:hAnsiTheme="minorEastAsia" w:eastAsiaTheme="minorEastAsia"/>
          <w:szCs w:val="21"/>
        </w:rPr>
        <w:t>37.2采购人和中标人可以按照招标文件提供的合同文本签订合同，也可以由双方商议后重新拟定，但正式签订的合同应当包括招标文件提供的合同文本中已经确定的实质性条款。</w:t>
      </w:r>
    </w:p>
    <w:p>
      <w:pPr>
        <w:pStyle w:val="41"/>
        <w:spacing w:line="360" w:lineRule="auto"/>
        <w:rPr>
          <w:rFonts w:ascii="宋体" w:hAnsi="宋体" w:eastAsia="宋体"/>
          <w:sz w:val="32"/>
        </w:rPr>
      </w:pPr>
      <w:r>
        <w:rPr>
          <w:rFonts w:ascii="宋体" w:hAnsi="宋体" w:eastAsia="宋体"/>
          <w:sz w:val="21"/>
          <w:szCs w:val="21"/>
        </w:rPr>
        <w:br w:type="page"/>
      </w:r>
      <w:bookmarkStart w:id="46" w:name="_Toc34844744"/>
      <w:r>
        <w:rPr>
          <w:rFonts w:hint="eastAsia" w:ascii="宋体" w:hAnsi="宋体" w:eastAsia="宋体"/>
          <w:sz w:val="24"/>
        </w:rPr>
        <w:t xml:space="preserve">第四章  </w:t>
      </w:r>
      <w:r>
        <w:rPr>
          <w:rFonts w:ascii="宋体" w:hAnsi="宋体" w:eastAsia="宋体"/>
          <w:sz w:val="24"/>
        </w:rPr>
        <w:t>评标</w:t>
      </w:r>
      <w:r>
        <w:rPr>
          <w:rFonts w:hint="eastAsia" w:ascii="宋体" w:hAnsi="宋体" w:eastAsia="宋体"/>
          <w:sz w:val="24"/>
        </w:rPr>
        <w:t>方法</w:t>
      </w:r>
      <w:r>
        <w:rPr>
          <w:rFonts w:ascii="宋体" w:hAnsi="宋体" w:eastAsia="宋体"/>
          <w:sz w:val="24"/>
        </w:rPr>
        <w:t>及</w:t>
      </w:r>
      <w:r>
        <w:rPr>
          <w:rFonts w:hint="eastAsia" w:ascii="宋体" w:hAnsi="宋体" w:eastAsia="宋体"/>
          <w:sz w:val="24"/>
        </w:rPr>
        <w:t>评标</w:t>
      </w:r>
      <w:r>
        <w:rPr>
          <w:rFonts w:ascii="宋体" w:hAnsi="宋体" w:eastAsia="宋体"/>
          <w:sz w:val="24"/>
        </w:rPr>
        <w:t>标准</w:t>
      </w:r>
      <w:bookmarkEnd w:id="46"/>
    </w:p>
    <w:p>
      <w:pPr>
        <w:spacing w:line="360" w:lineRule="auto"/>
        <w:ind w:firstLine="422" w:firstLineChars="200"/>
        <w:rPr>
          <w:rFonts w:ascii="宋体" w:hAnsi="宋体"/>
          <w:b/>
          <w:szCs w:val="21"/>
        </w:rPr>
      </w:pPr>
      <w:r>
        <w:rPr>
          <w:rFonts w:hint="eastAsia" w:ascii="宋体" w:hAnsi="宋体"/>
          <w:b/>
          <w:szCs w:val="21"/>
        </w:rPr>
        <w:t>一、总则</w:t>
      </w:r>
    </w:p>
    <w:p>
      <w:pPr>
        <w:spacing w:line="360" w:lineRule="auto"/>
        <w:ind w:firstLine="420" w:firstLineChars="200"/>
        <w:rPr>
          <w:rFonts w:ascii="宋体" w:hAnsi="宋体"/>
          <w:szCs w:val="21"/>
        </w:rPr>
      </w:pPr>
      <w:r>
        <w:rPr>
          <w:rFonts w:ascii="宋体" w:hAnsi="宋体"/>
          <w:szCs w:val="21"/>
        </w:rPr>
        <w:t>遵循公开、公正、公平、择优和诚实信用的原则，评标人员应本着认真、公正、诚实、廉洁的精神进行评标工作，择优推荐中标候选人。</w:t>
      </w:r>
      <w:r>
        <w:rPr>
          <w:rFonts w:hint="eastAsia" w:ascii="宋体" w:hAnsi="宋体"/>
          <w:szCs w:val="21"/>
        </w:rPr>
        <w:t>评标委员会成员</w:t>
      </w:r>
      <w:r>
        <w:rPr>
          <w:rFonts w:ascii="宋体" w:hAnsi="宋体"/>
          <w:szCs w:val="21"/>
        </w:rPr>
        <w:t>必须严格遵守保密规定，不得泄露评标的有关情况。</w:t>
      </w:r>
    </w:p>
    <w:p>
      <w:pPr>
        <w:spacing w:line="360" w:lineRule="auto"/>
        <w:ind w:firstLine="422" w:firstLineChars="200"/>
        <w:rPr>
          <w:rFonts w:ascii="宋体" w:hAnsi="宋体"/>
          <w:b/>
          <w:szCs w:val="21"/>
        </w:rPr>
      </w:pPr>
      <w:r>
        <w:rPr>
          <w:rFonts w:hint="eastAsia" w:ascii="宋体" w:hAnsi="宋体"/>
          <w:b/>
          <w:szCs w:val="21"/>
        </w:rPr>
        <w:t>二、评标方法</w:t>
      </w:r>
    </w:p>
    <w:p>
      <w:pPr>
        <w:spacing w:line="360" w:lineRule="auto"/>
        <w:ind w:firstLine="422" w:firstLineChars="200"/>
        <w:rPr>
          <w:rFonts w:ascii="宋体" w:hAnsi="宋体"/>
          <w:b/>
          <w:szCs w:val="21"/>
        </w:rPr>
      </w:pPr>
      <w:r>
        <w:rPr>
          <w:rFonts w:hint="eastAsia" w:ascii="宋体" w:hAnsi="宋体"/>
          <w:b/>
          <w:szCs w:val="21"/>
        </w:rPr>
        <w:t>1.本项目采用综合评分法。</w:t>
      </w:r>
    </w:p>
    <w:p>
      <w:pPr>
        <w:spacing w:line="360" w:lineRule="auto"/>
        <w:ind w:firstLine="420" w:firstLineChars="200"/>
        <w:rPr>
          <w:rFonts w:ascii="宋体" w:hAnsi="宋体"/>
          <w:szCs w:val="21"/>
        </w:rPr>
      </w:pPr>
      <w:r>
        <w:rPr>
          <w:rFonts w:hint="eastAsia" w:ascii="宋体" w:hAnsi="宋体"/>
          <w:szCs w:val="21"/>
        </w:rPr>
        <w:t>1.1评标时，评标委员会各成员应当独立对每个投标人的投标文件进行评价，根据评委打分表的</w:t>
      </w:r>
      <w:r>
        <w:rPr>
          <w:rFonts w:ascii="宋体" w:hAnsi="宋体"/>
          <w:szCs w:val="21"/>
        </w:rPr>
        <w:t>评分标准</w:t>
      </w:r>
      <w:r>
        <w:rPr>
          <w:rFonts w:hint="eastAsia" w:ascii="宋体" w:hAnsi="宋体"/>
          <w:szCs w:val="21"/>
        </w:rPr>
        <w:t>和评分</w:t>
      </w:r>
      <w:r>
        <w:rPr>
          <w:rFonts w:ascii="宋体" w:hAnsi="宋体"/>
          <w:szCs w:val="21"/>
        </w:rPr>
        <w:t>范围</w:t>
      </w:r>
      <w:r>
        <w:rPr>
          <w:rFonts w:hint="eastAsia" w:ascii="宋体" w:hAnsi="宋体"/>
          <w:szCs w:val="21"/>
        </w:rPr>
        <w:t>，逐栏打分并汇总。</w:t>
      </w:r>
    </w:p>
    <w:p>
      <w:pPr>
        <w:spacing w:line="360" w:lineRule="auto"/>
        <w:ind w:firstLine="420" w:firstLineChars="200"/>
        <w:rPr>
          <w:rFonts w:ascii="宋体" w:hAnsi="宋体"/>
          <w:szCs w:val="21"/>
        </w:rPr>
      </w:pPr>
      <w:r>
        <w:rPr>
          <w:rFonts w:hint="eastAsia" w:ascii="宋体" w:hAnsi="宋体"/>
          <w:szCs w:val="21"/>
        </w:rPr>
        <w:t>1.2评分均为小数点后四舍五入保留一位小数。</w:t>
      </w:r>
    </w:p>
    <w:p>
      <w:pPr>
        <w:spacing w:line="360" w:lineRule="auto"/>
        <w:ind w:firstLine="420" w:firstLineChars="200"/>
        <w:rPr>
          <w:rFonts w:ascii="宋体" w:hAnsi="宋体"/>
          <w:szCs w:val="21"/>
        </w:rPr>
      </w:pPr>
      <w:r>
        <w:rPr>
          <w:rFonts w:hint="eastAsia" w:ascii="宋体" w:hAnsi="宋体"/>
          <w:szCs w:val="21"/>
        </w:rPr>
        <w:t>1.3评委打分表中分值重复的上限不含本数,下限含本数。</w:t>
      </w:r>
    </w:p>
    <w:p>
      <w:pPr>
        <w:spacing w:line="360" w:lineRule="auto"/>
        <w:ind w:firstLine="420" w:firstLineChars="200"/>
        <w:rPr>
          <w:rFonts w:ascii="宋体" w:hAnsi="宋体"/>
          <w:szCs w:val="21"/>
        </w:rPr>
      </w:pPr>
      <w:r>
        <w:rPr>
          <w:rFonts w:hint="eastAsia" w:ascii="宋体" w:hAnsi="宋体"/>
          <w:szCs w:val="21"/>
        </w:rPr>
        <w:t>1.4</w:t>
      </w:r>
      <w:r>
        <w:rPr>
          <w:rFonts w:ascii="宋体" w:hAnsi="宋体"/>
          <w:szCs w:val="21"/>
        </w:rPr>
        <w:t>各投标人的</w:t>
      </w:r>
      <w:r>
        <w:rPr>
          <w:rFonts w:hint="eastAsia" w:ascii="宋体" w:hAnsi="宋体"/>
          <w:szCs w:val="21"/>
        </w:rPr>
        <w:t>最终评标</w:t>
      </w:r>
      <w:r>
        <w:rPr>
          <w:rFonts w:ascii="宋体" w:hAnsi="宋体"/>
          <w:szCs w:val="21"/>
        </w:rPr>
        <w:t>得分为所有评委</w:t>
      </w:r>
      <w:r>
        <w:rPr>
          <w:rFonts w:hint="eastAsia" w:ascii="宋体" w:hAnsi="宋体"/>
          <w:szCs w:val="21"/>
        </w:rPr>
        <w:t>评</w:t>
      </w:r>
      <w:r>
        <w:rPr>
          <w:rFonts w:ascii="宋体" w:hAnsi="宋体"/>
          <w:szCs w:val="21"/>
        </w:rPr>
        <w:t>分的算术平均数</w:t>
      </w:r>
      <w:r>
        <w:rPr>
          <w:rFonts w:hint="eastAsia" w:ascii="宋体" w:hAnsi="宋体"/>
          <w:szCs w:val="21"/>
        </w:rPr>
        <w:t>，小数点后四舍五入保留二位小数。</w:t>
      </w:r>
    </w:p>
    <w:p>
      <w:pPr>
        <w:spacing w:line="360" w:lineRule="auto"/>
        <w:ind w:firstLine="422" w:firstLineChars="200"/>
        <w:rPr>
          <w:rFonts w:ascii="宋体" w:hAnsi="宋体"/>
          <w:b/>
        </w:rPr>
      </w:pPr>
      <w:r>
        <w:rPr>
          <w:rFonts w:hint="eastAsia" w:ascii="宋体" w:hAnsi="宋体"/>
          <w:b/>
        </w:rPr>
        <w:t>2.价格扣除（价格优惠）</w:t>
      </w:r>
    </w:p>
    <w:p>
      <w:pPr>
        <w:spacing w:line="360" w:lineRule="auto"/>
        <w:ind w:firstLine="420" w:firstLineChars="200"/>
        <w:rPr>
          <w:rFonts w:ascii="宋体" w:hAnsi="宋体"/>
        </w:rPr>
      </w:pPr>
      <w:r>
        <w:rPr>
          <w:rFonts w:hint="eastAsia" w:asciiTheme="minorEastAsia" w:hAnsiTheme="minorEastAsia" w:eastAsiaTheme="minorEastAsia"/>
          <w:szCs w:val="21"/>
        </w:rPr>
        <w:t>对满足价格扣除条件且在投标文件中提交了</w:t>
      </w:r>
      <w:r>
        <w:rPr>
          <w:rFonts w:asciiTheme="minorEastAsia" w:hAnsiTheme="minorEastAsia" w:eastAsiaTheme="minorEastAsia"/>
          <w:szCs w:val="21"/>
        </w:rPr>
        <w:t>《中小企业声明函》《残疾人福利性单位声明函》</w:t>
      </w:r>
      <w:r>
        <w:rPr>
          <w:rFonts w:hint="eastAsia" w:asciiTheme="minorEastAsia" w:hAnsiTheme="minorEastAsia" w:eastAsiaTheme="minorEastAsia"/>
          <w:szCs w:val="21"/>
        </w:rPr>
        <w:t>的供应商，</w:t>
      </w:r>
      <w:r>
        <w:rPr>
          <w:rFonts w:asciiTheme="minorEastAsia" w:hAnsiTheme="minorEastAsia" w:eastAsiaTheme="minorEastAsia"/>
          <w:szCs w:val="21"/>
        </w:rPr>
        <w:t>对</w:t>
      </w:r>
      <w:r>
        <w:rPr>
          <w:rFonts w:hint="eastAsia" w:asciiTheme="minorEastAsia" w:hAnsiTheme="minorEastAsia" w:eastAsiaTheme="minorEastAsia"/>
          <w:szCs w:val="21"/>
        </w:rPr>
        <w:t>其</w:t>
      </w:r>
      <w:r>
        <w:rPr>
          <w:rFonts w:hint="eastAsia" w:asciiTheme="minorEastAsia" w:hAnsiTheme="minorEastAsia" w:eastAsiaTheme="minorEastAsia"/>
          <w:szCs w:val="21"/>
          <w:lang w:val="en-US" w:eastAsia="zh-CN"/>
        </w:rPr>
        <w:t>投标</w:t>
      </w:r>
      <w:r>
        <w:rPr>
          <w:rFonts w:hint="eastAsia" w:asciiTheme="minorEastAsia" w:hAnsiTheme="minorEastAsia" w:eastAsiaTheme="minorEastAsia"/>
          <w:szCs w:val="21"/>
        </w:rPr>
        <w:t>报价给予</w:t>
      </w:r>
      <w:r>
        <w:rPr>
          <w:rFonts w:hint="eastAsia"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lang w:val="en-US" w:eastAsia="zh-CN"/>
        </w:rPr>
        <w:t>1</w:t>
      </w:r>
      <w:r>
        <w:rPr>
          <w:rFonts w:cs="Arial" w:asciiTheme="minorEastAsia" w:hAnsiTheme="minorEastAsia" w:eastAsiaTheme="minorEastAsia"/>
          <w:szCs w:val="21"/>
          <w:u w:val="single"/>
        </w:rPr>
        <w:t>0</w:t>
      </w:r>
      <w:r>
        <w:rPr>
          <w:rFonts w:hint="eastAsia" w:cs="Arial" w:asciiTheme="minorEastAsia" w:hAnsiTheme="minorEastAsia" w:eastAsiaTheme="minorEastAsia"/>
          <w:szCs w:val="21"/>
          <w:u w:val="single"/>
        </w:rPr>
        <w:t xml:space="preserve"> </w:t>
      </w:r>
      <w:r>
        <w:rPr>
          <w:rFonts w:hint="eastAsia" w:cs="Arial" w:asciiTheme="minorEastAsia" w:hAnsiTheme="minorEastAsia" w:eastAsiaTheme="minorEastAsia"/>
          <w:szCs w:val="21"/>
        </w:rPr>
        <w:t>%</w:t>
      </w:r>
      <w:r>
        <w:rPr>
          <w:rFonts w:asciiTheme="minorEastAsia" w:hAnsiTheme="minorEastAsia" w:eastAsiaTheme="minorEastAsia"/>
          <w:szCs w:val="21"/>
        </w:rPr>
        <w:t>的</w:t>
      </w:r>
      <w:r>
        <w:rPr>
          <w:rFonts w:hint="eastAsia" w:asciiTheme="minorEastAsia" w:hAnsiTheme="minorEastAsia" w:eastAsiaTheme="minorEastAsia"/>
          <w:szCs w:val="21"/>
        </w:rPr>
        <w:t>扣除</w:t>
      </w:r>
      <w:r>
        <w:rPr>
          <w:rFonts w:asciiTheme="minorEastAsia" w:hAnsiTheme="minorEastAsia" w:eastAsiaTheme="minorEastAsia"/>
        </w:rPr>
        <w:t>。</w:t>
      </w:r>
    </w:p>
    <w:p>
      <w:pPr>
        <w:spacing w:line="360" w:lineRule="auto"/>
        <w:ind w:firstLine="422" w:firstLineChars="200"/>
        <w:rPr>
          <w:rFonts w:hint="eastAsia" w:ascii="宋体" w:hAnsi="宋体"/>
          <w:b/>
          <w:szCs w:val="21"/>
        </w:rPr>
      </w:pPr>
      <w:r>
        <w:rPr>
          <w:rFonts w:hint="eastAsia" w:ascii="宋体" w:hAnsi="宋体"/>
          <w:b/>
          <w:szCs w:val="21"/>
        </w:rPr>
        <w:t>因落实政府采购政策进行价格调整的，以调整后的价格计算评标基准价和投标报价。</w:t>
      </w:r>
    </w:p>
    <w:p>
      <w:pPr>
        <w:spacing w:line="360" w:lineRule="auto"/>
        <w:ind w:firstLine="422" w:firstLineChars="200"/>
        <w:rPr>
          <w:rFonts w:ascii="宋体" w:hAnsi="宋体"/>
          <w:b/>
        </w:rPr>
      </w:pPr>
      <w:r>
        <w:rPr>
          <w:rFonts w:hint="eastAsia" w:ascii="宋体" w:hAnsi="宋体"/>
          <w:b/>
        </w:rPr>
        <w:t>2.1小型和微型企业产品价格扣除</w:t>
      </w:r>
    </w:p>
    <w:p>
      <w:pPr>
        <w:spacing w:line="360" w:lineRule="auto"/>
        <w:ind w:firstLine="420" w:firstLineChars="200"/>
        <w:rPr>
          <w:rFonts w:ascii="宋体" w:hAnsi="宋体"/>
        </w:rPr>
      </w:pPr>
      <w:r>
        <w:rPr>
          <w:rFonts w:hint="eastAsia" w:ascii="宋体" w:hAnsi="宋体"/>
        </w:rPr>
        <w:t>小型、微型企业应当同时符合以下条件：</w:t>
      </w:r>
    </w:p>
    <w:p>
      <w:pPr>
        <w:spacing w:line="360" w:lineRule="auto"/>
        <w:ind w:firstLine="420" w:firstLineChars="200"/>
        <w:rPr>
          <w:rFonts w:ascii="宋体" w:hAnsi="宋体"/>
        </w:rPr>
      </w:pPr>
      <w:r>
        <w:rPr>
          <w:rFonts w:hint="eastAsia" w:ascii="宋体" w:hAnsi="宋体"/>
        </w:rPr>
        <w:t>1）</w:t>
      </w:r>
      <w:r>
        <w:t>服务由中小企业承接，即提供服务的人员为中小企业依照《中华人民共和国劳动合同法》订立劳动合同的从业人员。</w:t>
      </w:r>
    </w:p>
    <w:p>
      <w:pPr>
        <w:spacing w:line="360" w:lineRule="auto"/>
        <w:ind w:firstLine="420" w:firstLineChars="200"/>
        <w:rPr>
          <w:rFonts w:ascii="宋体" w:hAnsi="宋体"/>
        </w:rPr>
      </w:pPr>
      <w:r>
        <w:rPr>
          <w:rFonts w:hint="eastAsia" w:ascii="宋体" w:hAnsi="宋体"/>
        </w:rPr>
        <w:t>2）</w:t>
      </w:r>
      <w:r>
        <w:t>在中华人民共和国境内依法设立，依据国务院批准的中小企业划分标准确定的小型企业和微型企业，</w:t>
      </w:r>
      <w:r>
        <w:rPr>
          <w:rFonts w:hint="eastAsia"/>
        </w:rPr>
        <w:t>且</w:t>
      </w:r>
      <w:r>
        <w:t>与大企业的负责人</w:t>
      </w:r>
      <w:r>
        <w:rPr>
          <w:rFonts w:hint="eastAsia"/>
        </w:rPr>
        <w:t>不</w:t>
      </w:r>
      <w:r>
        <w:t>为同一人，或者与大企业</w:t>
      </w:r>
      <w:r>
        <w:rPr>
          <w:rFonts w:hint="eastAsia"/>
        </w:rPr>
        <w:t>不</w:t>
      </w:r>
      <w:r>
        <w:t>存在直接控股、管理关系。</w:t>
      </w:r>
    </w:p>
    <w:p>
      <w:pPr>
        <w:spacing w:line="360" w:lineRule="auto"/>
        <w:ind w:firstLine="422" w:firstLineChars="200"/>
        <w:rPr>
          <w:rFonts w:ascii="宋体" w:hAnsi="宋体"/>
          <w:b/>
        </w:rPr>
      </w:pPr>
      <w:r>
        <w:rPr>
          <w:rFonts w:hint="eastAsia" w:ascii="宋体" w:hAnsi="宋体"/>
          <w:b/>
        </w:rPr>
        <w:t>3）符合</w:t>
      </w:r>
      <w:r>
        <w:rPr>
          <w:rFonts w:ascii="宋体" w:hAnsi="宋体"/>
          <w:b/>
        </w:rPr>
        <w:t>采购标的对应的中小企业划分标准所属行业</w:t>
      </w:r>
      <w:r>
        <w:rPr>
          <w:rFonts w:hint="eastAsia" w:ascii="宋体" w:hAnsi="宋体"/>
          <w:b/>
        </w:rPr>
        <w:t>：</w:t>
      </w:r>
      <w:r>
        <w:rPr>
          <w:rFonts w:hint="eastAsia" w:ascii="宋体" w:hAnsi="宋体"/>
          <w:iCs/>
          <w:u w:val="single"/>
          <w:lang w:eastAsia="zh-CN"/>
        </w:rPr>
        <w:t>宁波市地表水水质自动监测数据采购（第二期）项目</w:t>
      </w:r>
      <w:r>
        <w:rPr>
          <w:rFonts w:ascii="宋体" w:hAnsi="宋体"/>
          <w:iCs/>
          <w:u w:val="single"/>
        </w:rPr>
        <w:t xml:space="preserve"> </w:t>
      </w:r>
      <w:r>
        <w:rPr>
          <w:rFonts w:ascii="宋体" w:hAnsi="宋体"/>
        </w:rPr>
        <w:t>，</w:t>
      </w:r>
      <w:r>
        <w:rPr>
          <w:rFonts w:hint="eastAsia" w:ascii="宋体" w:hAnsi="宋体"/>
          <w:lang w:val="en-US" w:eastAsia="zh-CN"/>
        </w:rPr>
        <w:t>各标项</w:t>
      </w:r>
      <w:r>
        <w:rPr>
          <w:rFonts w:ascii="宋体" w:hAnsi="宋体"/>
        </w:rPr>
        <w:t>属于</w:t>
      </w:r>
      <w:r>
        <w:rPr>
          <w:rFonts w:hint="eastAsia" w:ascii="宋体" w:hAnsi="宋体"/>
          <w:u w:val="single"/>
          <w:lang w:eastAsia="zh-CN"/>
        </w:rPr>
        <w:t>其他未列明行业</w:t>
      </w:r>
      <w:r>
        <w:rPr>
          <w:rFonts w:ascii="宋体" w:hAnsi="宋体"/>
        </w:rPr>
        <w:t>；</w:t>
      </w:r>
    </w:p>
    <w:p>
      <w:pPr>
        <w:spacing w:line="360" w:lineRule="auto"/>
        <w:ind w:firstLine="420" w:firstLineChars="200"/>
        <w:rPr>
          <w:rFonts w:ascii="宋体" w:hAnsi="宋体"/>
        </w:rPr>
      </w:pPr>
      <w:r>
        <w:rPr>
          <w:rFonts w:hint="eastAsia" w:ascii="宋体" w:hAnsi="宋体"/>
        </w:rPr>
        <w:t>中小企业划分标准以《工业和信息化部、国家统计局、国家发展和改革委员会、财政部关于印发中小企业划型标准规定的通知》（工信部联企业[2011]300号）规定的划分标准为准。</w:t>
      </w:r>
    </w:p>
    <w:p>
      <w:pPr>
        <w:spacing w:line="360" w:lineRule="auto"/>
        <w:ind w:firstLine="420" w:firstLineChars="200"/>
        <w:rPr>
          <w:rFonts w:ascii="宋体" w:hAnsi="宋体"/>
        </w:rPr>
      </w:pPr>
      <w:r>
        <w:rPr>
          <w:rFonts w:hint="eastAsia" w:ascii="宋体" w:hAnsi="宋体"/>
        </w:rPr>
        <w:t>参加政府采购活动的</w:t>
      </w:r>
      <w:r>
        <w:rPr>
          <w:rFonts w:hint="eastAsia" w:ascii="宋体" w:hAnsi="宋体"/>
          <w:b/>
        </w:rPr>
        <w:t>小型企业和微型企业</w:t>
      </w:r>
      <w:r>
        <w:rPr>
          <w:rFonts w:hint="eastAsia" w:ascii="宋体" w:hAnsi="宋体"/>
        </w:rPr>
        <w:t>应当在投标文件中提供《中小企业声明函》，否则不予认可。</w:t>
      </w:r>
    </w:p>
    <w:p>
      <w:pPr>
        <w:spacing w:line="360" w:lineRule="auto"/>
        <w:ind w:firstLine="422" w:firstLineChars="200"/>
        <w:rPr>
          <w:rFonts w:ascii="宋体" w:hAnsi="宋体"/>
          <w:b/>
        </w:rPr>
      </w:pPr>
      <w:r>
        <w:rPr>
          <w:rFonts w:hint="eastAsia" w:ascii="宋体" w:hAnsi="宋体"/>
          <w:b/>
        </w:rPr>
        <w:t>2.</w:t>
      </w:r>
      <w:r>
        <w:rPr>
          <w:rFonts w:ascii="宋体" w:hAnsi="宋体"/>
          <w:b/>
        </w:rPr>
        <w:t>2</w:t>
      </w:r>
      <w:r>
        <w:rPr>
          <w:rFonts w:hint="eastAsia" w:ascii="宋体" w:hAnsi="宋体"/>
          <w:b/>
        </w:rPr>
        <w:t>残疾人福利性单位产品价格扣除</w:t>
      </w:r>
    </w:p>
    <w:p>
      <w:pPr>
        <w:spacing w:line="360" w:lineRule="auto"/>
        <w:ind w:firstLine="420" w:firstLineChars="200"/>
        <w:rPr>
          <w:rFonts w:ascii="宋体" w:hAnsi="宋体"/>
        </w:rPr>
      </w:pPr>
      <w:r>
        <w:rPr>
          <w:rFonts w:hint="eastAsia" w:ascii="宋体" w:hAnsi="宋体"/>
        </w:rPr>
        <w:t>根据《关于促进残疾人就业政府采购政策的通知》（财库[2017]141号）的规定，符合条件的残疾人福利性单位在参加政府采购活动时，在投标文件中提供该通知规定的《残疾人福利性单位声明函》，并对声明的真实性负责。</w:t>
      </w:r>
    </w:p>
    <w:p>
      <w:pPr>
        <w:spacing w:line="360" w:lineRule="auto"/>
        <w:ind w:firstLine="420" w:firstLineChars="200"/>
        <w:rPr>
          <w:rFonts w:ascii="宋体" w:hAnsi="宋体"/>
        </w:rPr>
      </w:pPr>
      <w:r>
        <w:rPr>
          <w:rFonts w:hint="eastAsia" w:ascii="宋体" w:hAnsi="宋体"/>
        </w:rPr>
        <w:t>中标人为残疾人福利性单位的，采购人或采购代理机构随采购结果同时公告其《残疾人福利性单位声明函》，接受社会监督。</w:t>
      </w:r>
    </w:p>
    <w:p>
      <w:pPr>
        <w:spacing w:line="360" w:lineRule="auto"/>
        <w:ind w:firstLine="420" w:firstLineChars="200"/>
        <w:rPr>
          <w:rFonts w:ascii="宋体" w:hAnsi="宋体"/>
        </w:rPr>
      </w:pPr>
      <w:r>
        <w:rPr>
          <w:rFonts w:hint="eastAsia" w:ascii="宋体" w:hAnsi="宋体"/>
        </w:rPr>
        <w:t>投标人提供的《残疾人福利性单位声明函》与事实不符的，依照《政府采购法》第七十七条第一款的规定追究法律责任。</w:t>
      </w:r>
    </w:p>
    <w:p>
      <w:pPr>
        <w:spacing w:line="360" w:lineRule="auto"/>
        <w:rPr>
          <w:rFonts w:asciiTheme="minorEastAsia" w:hAnsiTheme="minorEastAsia" w:eastAsiaTheme="minorEastAsia"/>
          <w:b/>
          <w:szCs w:val="21"/>
        </w:rPr>
      </w:pPr>
      <w:r>
        <w:rPr>
          <w:rFonts w:hint="eastAsia" w:ascii="宋体" w:hAnsi="宋体"/>
          <w:b/>
          <w:szCs w:val="21"/>
        </w:rPr>
        <w:t>三、</w:t>
      </w:r>
      <w:r>
        <w:rPr>
          <w:rFonts w:hint="eastAsia" w:asciiTheme="minorEastAsia" w:hAnsiTheme="minorEastAsia" w:eastAsiaTheme="minorEastAsia"/>
          <w:b/>
          <w:szCs w:val="21"/>
        </w:rPr>
        <w:t>评审程序</w:t>
      </w:r>
    </w:p>
    <w:p>
      <w:pPr>
        <w:spacing w:line="360" w:lineRule="auto"/>
        <w:ind w:firstLine="435"/>
        <w:rPr>
          <w:rFonts w:asciiTheme="minorEastAsia" w:hAnsiTheme="minorEastAsia" w:eastAsiaTheme="minorEastAsia"/>
          <w:b/>
          <w:szCs w:val="21"/>
        </w:rPr>
      </w:pPr>
      <w:r>
        <w:rPr>
          <w:rFonts w:hint="eastAsia" w:asciiTheme="minorEastAsia" w:hAnsiTheme="minorEastAsia" w:eastAsiaTheme="minorEastAsia"/>
          <w:b/>
          <w:szCs w:val="21"/>
        </w:rPr>
        <w:t>1.资格审查</w:t>
      </w:r>
    </w:p>
    <w:p>
      <w:pPr>
        <w:spacing w:line="360" w:lineRule="auto"/>
        <w:ind w:firstLine="435"/>
        <w:rPr>
          <w:rFonts w:asciiTheme="minorEastAsia" w:hAnsiTheme="minorEastAsia" w:eastAsiaTheme="minorEastAsia"/>
          <w:szCs w:val="21"/>
        </w:rPr>
      </w:pPr>
      <w:r>
        <w:rPr>
          <w:rFonts w:asciiTheme="minorEastAsia" w:hAnsiTheme="minorEastAsia" w:eastAsiaTheme="minorEastAsia"/>
          <w:szCs w:val="21"/>
        </w:rPr>
        <w:t>由采购人或采购代理机构对</w:t>
      </w:r>
      <w:r>
        <w:rPr>
          <w:rFonts w:hint="eastAsia" w:asciiTheme="minorEastAsia" w:hAnsiTheme="minorEastAsia" w:eastAsiaTheme="minorEastAsia"/>
          <w:szCs w:val="21"/>
        </w:rPr>
        <w:t>投标人进行资格审查</w:t>
      </w:r>
      <w:r>
        <w:rPr>
          <w:rFonts w:asciiTheme="minorEastAsia" w:hAnsiTheme="minorEastAsia" w:eastAsiaTheme="minorEastAsia"/>
          <w:szCs w:val="21"/>
        </w:rPr>
        <w:t>。资格审查</w:t>
      </w:r>
      <w:r>
        <w:rPr>
          <w:rFonts w:hint="eastAsia" w:asciiTheme="minorEastAsia" w:hAnsiTheme="minorEastAsia" w:eastAsiaTheme="minorEastAsia"/>
          <w:szCs w:val="21"/>
        </w:rPr>
        <w:t>内容</w:t>
      </w:r>
      <w:r>
        <w:rPr>
          <w:rFonts w:asciiTheme="minorEastAsia" w:hAnsiTheme="minorEastAsia" w:eastAsiaTheme="minorEastAsia"/>
          <w:szCs w:val="21"/>
        </w:rPr>
        <w:t>如下：</w:t>
      </w:r>
    </w:p>
    <w:tbl>
      <w:tblPr>
        <w:tblStyle w:val="44"/>
        <w:tblW w:w="87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25"/>
        <w:gridCol w:w="314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825" w:type="dxa"/>
            <w:tcBorders>
              <w:bottom w:val="single" w:color="auto" w:sz="4" w:space="0"/>
            </w:tcBorders>
            <w:vAlign w:val="center"/>
          </w:tcPr>
          <w:p>
            <w:pPr>
              <w:pStyle w:val="393"/>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评审指标</w:t>
            </w:r>
          </w:p>
        </w:tc>
        <w:tc>
          <w:tcPr>
            <w:tcW w:w="3142"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评审标准</w:t>
            </w:r>
          </w:p>
        </w:tc>
        <w:tc>
          <w:tcPr>
            <w:tcW w:w="311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825"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营业执照</w:t>
            </w:r>
          </w:p>
        </w:tc>
        <w:tc>
          <w:tcPr>
            <w:tcW w:w="3142" w:type="dxa"/>
            <w:vAlign w:val="center"/>
          </w:tcPr>
          <w:p>
            <w:pPr>
              <w:ind w:right="-10"/>
              <w:jc w:val="center"/>
              <w:rPr>
                <w:rFonts w:asciiTheme="minorEastAsia" w:hAnsiTheme="minorEastAsia" w:eastAsiaTheme="minorEastAsia"/>
                <w:szCs w:val="21"/>
              </w:rPr>
            </w:pPr>
            <w:r>
              <w:rPr>
                <w:rFonts w:hint="eastAsia" w:asciiTheme="minorEastAsia" w:hAnsiTheme="minorEastAsia" w:eastAsiaTheme="minorEastAsia"/>
                <w:szCs w:val="21"/>
              </w:rPr>
              <w:t>合法有效</w:t>
            </w:r>
          </w:p>
        </w:tc>
        <w:tc>
          <w:tcPr>
            <w:tcW w:w="3113"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提供有效的投标人营业执照复制件（包括拍照、复印、扫描等）并加盖公章。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825"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不良信用记录查询</w:t>
            </w:r>
          </w:p>
        </w:tc>
        <w:tc>
          <w:tcPr>
            <w:tcW w:w="3142"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投标人不得存在不良信用记录情形</w:t>
            </w:r>
          </w:p>
        </w:tc>
        <w:tc>
          <w:tcPr>
            <w:tcW w:w="3113" w:type="dxa"/>
            <w:tcBorders>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详见投标人须知正文第12条要求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825" w:type="dxa"/>
            <w:tcBorders>
              <w:bottom w:val="single" w:color="auto" w:sz="4" w:space="0"/>
            </w:tcBorders>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无重大违法记录</w:t>
            </w:r>
          </w:p>
        </w:tc>
        <w:tc>
          <w:tcPr>
            <w:tcW w:w="3142"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格式、填写符合招标文件要求并加盖公章</w:t>
            </w:r>
          </w:p>
        </w:tc>
        <w:tc>
          <w:tcPr>
            <w:tcW w:w="3113" w:type="dxa"/>
            <w:tcBorders>
              <w:bottom w:val="single" w:color="auto" w:sz="4" w:space="0"/>
            </w:tcBorders>
            <w:vAlign w:val="center"/>
          </w:tcPr>
          <w:p>
            <w:pPr>
              <w:adjustRightInd w:val="0"/>
              <w:snapToGrid w:val="0"/>
              <w:ind w:right="-10"/>
              <w:jc w:val="left"/>
              <w:rPr>
                <w:rFonts w:asciiTheme="minorEastAsia" w:hAnsiTheme="minorEastAsia" w:eastAsiaTheme="minorEastAsia"/>
                <w:szCs w:val="21"/>
              </w:rPr>
            </w:pPr>
            <w:r>
              <w:rPr>
                <w:rFonts w:hint="eastAsia" w:asciiTheme="minorEastAsia" w:hAnsiTheme="minorEastAsia" w:eastAsiaTheme="minorEastAsia"/>
                <w:szCs w:val="21"/>
              </w:rPr>
              <w:t>投标人资格声明函。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825" w:type="dxa"/>
            <w:tcBorders>
              <w:bottom w:val="single" w:color="auto" w:sz="4" w:space="0"/>
            </w:tcBorders>
            <w:vAlign w:val="center"/>
          </w:tcPr>
          <w:p>
            <w:pPr>
              <w:ind w:right="-10"/>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联合</w:t>
            </w:r>
            <w:r>
              <w:rPr>
                <w:rFonts w:hint="eastAsia" w:asciiTheme="minorEastAsia" w:hAnsiTheme="minorEastAsia" w:eastAsiaTheme="minorEastAsia"/>
                <w:szCs w:val="21"/>
                <w:lang w:val="en-US" w:eastAsia="zh-CN"/>
              </w:rPr>
              <w:t>体投标</w:t>
            </w:r>
          </w:p>
        </w:tc>
        <w:tc>
          <w:tcPr>
            <w:tcW w:w="3142" w:type="dxa"/>
            <w:tcBorders>
              <w:bottom w:val="single" w:color="auto" w:sz="4" w:space="0"/>
            </w:tcBorders>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本项目</w:t>
            </w:r>
            <w:r>
              <w:rPr>
                <w:rFonts w:hint="eastAsia" w:asciiTheme="minorEastAsia" w:hAnsiTheme="minorEastAsia" w:eastAsiaTheme="minorEastAsia"/>
                <w:szCs w:val="21"/>
                <w:lang w:val="en-US" w:eastAsia="zh-CN"/>
              </w:rPr>
              <w:t>不</w:t>
            </w:r>
            <w:r>
              <w:rPr>
                <w:rFonts w:hint="eastAsia" w:asciiTheme="minorEastAsia" w:hAnsiTheme="minorEastAsia" w:eastAsiaTheme="minorEastAsia"/>
                <w:szCs w:val="21"/>
              </w:rPr>
              <w:t>接受联合体投标。</w:t>
            </w:r>
          </w:p>
        </w:tc>
        <w:tc>
          <w:tcPr>
            <w:tcW w:w="3113" w:type="dxa"/>
            <w:tcBorders>
              <w:bottom w:val="single" w:color="auto" w:sz="4" w:space="0"/>
            </w:tcBorders>
            <w:vAlign w:val="center"/>
          </w:tcPr>
          <w:p>
            <w:pPr>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联合体投标</w:t>
            </w:r>
            <w:r>
              <w:rPr>
                <w:rFonts w:hint="eastAsia" w:asciiTheme="minorEastAsia" w:hAnsiTheme="minorEastAsia" w:eastAsiaTheme="minorEastAsia"/>
                <w:szCs w:val="21"/>
                <w:lang w:val="en-US" w:eastAsia="zh-CN"/>
              </w:rPr>
              <w:t>的将被拒绝。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825" w:type="dxa"/>
            <w:tcBorders>
              <w:bottom w:val="single" w:color="auto" w:sz="4" w:space="0"/>
            </w:tcBorders>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投标人特定资质</w:t>
            </w:r>
          </w:p>
        </w:tc>
        <w:tc>
          <w:tcPr>
            <w:tcW w:w="3142"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符合申请人的资格要求</w:t>
            </w:r>
          </w:p>
        </w:tc>
        <w:tc>
          <w:tcPr>
            <w:tcW w:w="3113" w:type="dxa"/>
            <w:tcBorders>
              <w:bottom w:val="single" w:color="auto" w:sz="4" w:space="0"/>
            </w:tcBorders>
            <w:vAlign w:val="center"/>
          </w:tcPr>
          <w:p>
            <w:pPr>
              <w:adjustRightInd w:val="0"/>
              <w:snapToGrid w:val="0"/>
              <w:ind w:right="-1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w:t>
            </w:r>
          </w:p>
        </w:tc>
      </w:tr>
    </w:tbl>
    <w:p>
      <w:pPr>
        <w:spacing w:line="360" w:lineRule="auto"/>
        <w:ind w:firstLine="437"/>
        <w:rPr>
          <w:rFonts w:asciiTheme="minorEastAsia" w:hAnsiTheme="minorEastAsia" w:eastAsiaTheme="minorEastAsia"/>
          <w:szCs w:val="21"/>
        </w:rPr>
      </w:pPr>
      <w:r>
        <w:rPr>
          <w:rFonts w:hint="eastAsia" w:asciiTheme="minorEastAsia" w:hAnsiTheme="minorEastAsia" w:eastAsiaTheme="minorEastAsia"/>
          <w:b/>
          <w:bCs/>
          <w:szCs w:val="21"/>
        </w:rPr>
        <w:t>资格审查指标通过标准：</w:t>
      </w:r>
      <w:r>
        <w:rPr>
          <w:rFonts w:hint="eastAsia" w:asciiTheme="minorEastAsia" w:hAnsiTheme="minorEastAsia" w:eastAsiaTheme="minorEastAsia"/>
          <w:szCs w:val="21"/>
        </w:rPr>
        <w:t>投标人必须通过资格审查表中的全部评审指标。</w:t>
      </w:r>
    </w:p>
    <w:p>
      <w:pPr>
        <w:spacing w:line="360" w:lineRule="auto"/>
        <w:ind w:firstLine="437"/>
        <w:rPr>
          <w:rFonts w:asciiTheme="minorEastAsia" w:hAnsiTheme="minorEastAsia" w:eastAsiaTheme="minorEastAsia"/>
          <w:b/>
          <w:szCs w:val="21"/>
        </w:rPr>
      </w:pPr>
      <w:r>
        <w:rPr>
          <w:rFonts w:hint="eastAsia" w:asciiTheme="minorEastAsia" w:hAnsiTheme="minorEastAsia" w:eastAsiaTheme="minorEastAsia"/>
          <w:b/>
          <w:szCs w:val="21"/>
        </w:rPr>
        <w:t>2.符合性审查</w:t>
      </w:r>
    </w:p>
    <w:p>
      <w:pPr>
        <w:spacing w:line="360" w:lineRule="auto"/>
        <w:ind w:firstLine="437"/>
        <w:rPr>
          <w:rFonts w:asciiTheme="minorEastAsia" w:hAnsiTheme="minorEastAsia" w:eastAsiaTheme="minorEastAsia"/>
          <w:szCs w:val="21"/>
        </w:rPr>
      </w:pPr>
      <w:r>
        <w:rPr>
          <w:rFonts w:hint="eastAsia" w:asciiTheme="minorEastAsia" w:hAnsiTheme="minorEastAsia" w:eastAsiaTheme="minorEastAsia"/>
          <w:szCs w:val="21"/>
        </w:rPr>
        <w:t>评标委员会对通过资格审查的投标人的投标文件进行符合性审查，以确定其是否满足招标文件的实质性要求。符合性</w:t>
      </w:r>
      <w:r>
        <w:rPr>
          <w:rFonts w:asciiTheme="minorEastAsia" w:hAnsiTheme="minorEastAsia" w:eastAsiaTheme="minorEastAsia"/>
          <w:szCs w:val="21"/>
        </w:rPr>
        <w:t>审查</w:t>
      </w:r>
      <w:r>
        <w:rPr>
          <w:rFonts w:hint="eastAsia" w:asciiTheme="minorEastAsia" w:hAnsiTheme="minorEastAsia" w:eastAsiaTheme="minorEastAsia"/>
          <w:szCs w:val="21"/>
        </w:rPr>
        <w:t>内容</w:t>
      </w:r>
      <w:r>
        <w:rPr>
          <w:rFonts w:asciiTheme="minorEastAsia" w:hAnsiTheme="minorEastAsia" w:eastAsiaTheme="minorEastAsia"/>
          <w:szCs w:val="21"/>
        </w:rPr>
        <w:t>如下</w:t>
      </w:r>
      <w:r>
        <w:rPr>
          <w:rFonts w:hint="eastAsia" w:asciiTheme="minorEastAsia" w:hAnsiTheme="minorEastAsia" w:eastAsiaTheme="minorEastAsia"/>
          <w:szCs w:val="21"/>
        </w:rPr>
        <w:t>：</w:t>
      </w:r>
    </w:p>
    <w:tbl>
      <w:tblPr>
        <w:tblStyle w:val="44"/>
        <w:tblW w:w="88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56"/>
        <w:gridCol w:w="3002"/>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12"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6" w:type="dxa"/>
            <w:tcBorders>
              <w:bottom w:val="single" w:color="auto" w:sz="4" w:space="0"/>
            </w:tcBorders>
            <w:vAlign w:val="center"/>
          </w:tcPr>
          <w:p>
            <w:pPr>
              <w:pStyle w:val="393"/>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评审指标</w:t>
            </w:r>
          </w:p>
        </w:tc>
        <w:tc>
          <w:tcPr>
            <w:tcW w:w="3002"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评审标准</w:t>
            </w:r>
          </w:p>
        </w:tc>
        <w:tc>
          <w:tcPr>
            <w:tcW w:w="3171"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开标一览表</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格式、填写符合招标文件要求并加盖公章</w:t>
            </w:r>
          </w:p>
        </w:tc>
        <w:tc>
          <w:tcPr>
            <w:tcW w:w="317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投标函</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格式、填写符合招标文件要求并加盖公章</w:t>
            </w:r>
          </w:p>
        </w:tc>
        <w:tc>
          <w:tcPr>
            <w:tcW w:w="317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asciiTheme="minorEastAsia" w:hAnsiTheme="minorEastAsia" w:eastAsiaTheme="minorEastAsia"/>
                <w:szCs w:val="21"/>
              </w:rPr>
              <w:t>3</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法定代表人授权委托书及其附件</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格式、填写符合招标文件要求并加盖公章</w:t>
            </w:r>
          </w:p>
        </w:tc>
        <w:tc>
          <w:tcPr>
            <w:tcW w:w="3171" w:type="dxa"/>
            <w:vAlign w:val="center"/>
          </w:tcPr>
          <w:p>
            <w:pPr>
              <w:adjustRightInd w:val="0"/>
              <w:snapToGrid w:val="0"/>
              <w:ind w:right="-10"/>
              <w:rPr>
                <w:rFonts w:asciiTheme="minorEastAsia" w:hAnsiTheme="minorEastAsia" w:eastAsiaTheme="minorEastAsia"/>
                <w:szCs w:val="21"/>
              </w:rPr>
            </w:pPr>
            <w:r>
              <w:rPr>
                <w:rFonts w:hint="eastAsia" w:asciiTheme="minorEastAsia" w:hAnsiTheme="minorEastAsia" w:eastAsiaTheme="minorEastAsia"/>
                <w:szCs w:val="21"/>
              </w:rPr>
              <w:t>授权委托书及其附件；法定代表人参加投标的无需此件，提供身份证正反面复印件即可。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商务要求响应情况</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符合招标文件采购需求中明确的商务要求。</w:t>
            </w:r>
          </w:p>
        </w:tc>
        <w:tc>
          <w:tcPr>
            <w:tcW w:w="317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商务要求响应表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技术要求响应情况</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符合招标文件采购需求中明确的技术及服务要求。</w:t>
            </w:r>
          </w:p>
        </w:tc>
        <w:tc>
          <w:tcPr>
            <w:tcW w:w="317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技术响应表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其他要求</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符合法律、行政法规规定的其他条件或不存在招标文件列明的拒绝投标、不允许存在的其他要求</w:t>
            </w:r>
          </w:p>
        </w:tc>
        <w:tc>
          <w:tcPr>
            <w:tcW w:w="3171" w:type="dxa"/>
            <w:vAlign w:val="center"/>
          </w:tcPr>
          <w:p>
            <w:pPr>
              <w:adjustRightInd w:val="0"/>
              <w:snapToGrid w:val="0"/>
              <w:ind w:right="-1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投标报价</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投标报价未超过最高限价，且经评标委员会认定报价合理，不存在影响项目服务质量和合同履行的情形。</w:t>
            </w:r>
          </w:p>
        </w:tc>
        <w:tc>
          <w:tcPr>
            <w:tcW w:w="317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投标报价</w:t>
            </w:r>
          </w:p>
        </w:tc>
      </w:tr>
    </w:tbl>
    <w:p>
      <w:pPr>
        <w:spacing w:line="360" w:lineRule="auto"/>
        <w:ind w:firstLine="422" w:firstLineChars="200"/>
        <w:rPr>
          <w:rFonts w:ascii="宋体" w:hAnsi="宋体"/>
          <w:b/>
          <w:szCs w:val="21"/>
        </w:rPr>
      </w:pPr>
    </w:p>
    <w:p>
      <w:pPr>
        <w:numPr>
          <w:ilvl w:val="0"/>
          <w:numId w:val="0"/>
        </w:numPr>
        <w:spacing w:line="360" w:lineRule="auto"/>
        <w:rPr>
          <w:rFonts w:hint="eastAsia" w:ascii="宋体" w:hAnsi="宋体"/>
          <w:b/>
          <w:szCs w:val="21"/>
        </w:rPr>
      </w:pPr>
      <w:r>
        <w:rPr>
          <w:rFonts w:hint="eastAsia" w:ascii="宋体" w:hAnsi="宋体"/>
          <w:b/>
          <w:szCs w:val="21"/>
          <w:lang w:val="en-US" w:eastAsia="zh-CN"/>
        </w:rPr>
        <w:t>3.</w:t>
      </w:r>
      <w:r>
        <w:rPr>
          <w:rFonts w:hint="eastAsia" w:ascii="宋体" w:hAnsi="宋体"/>
          <w:b/>
          <w:szCs w:val="21"/>
        </w:rPr>
        <w:t>评标标准（评委打分表）</w:t>
      </w:r>
    </w:p>
    <w:tbl>
      <w:tblPr>
        <w:tblStyle w:val="44"/>
        <w:tblpPr w:leftFromText="180" w:rightFromText="180" w:vertAnchor="text" w:horzAnchor="page" w:tblpX="986" w:tblpY="569"/>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36"/>
        <w:gridCol w:w="9"/>
        <w:gridCol w:w="791"/>
        <w:gridCol w:w="889"/>
        <w:gridCol w:w="825"/>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tblHeader/>
        </w:trPr>
        <w:tc>
          <w:tcPr>
            <w:tcW w:w="636" w:type="dxa"/>
            <w:shd w:val="clear" w:color="000000" w:fill="D9D9D9"/>
            <w:noWrap w:val="0"/>
            <w:vAlign w:val="center"/>
          </w:tcPr>
          <w:p>
            <w:pPr>
              <w:rPr>
                <w:rFonts w:ascii="宋体" w:hAnsi="宋体"/>
                <w:color w:val="auto"/>
                <w:highlight w:val="none"/>
              </w:rPr>
            </w:pPr>
            <w:r>
              <w:rPr>
                <w:rFonts w:hint="eastAsia" w:ascii="宋体" w:hAnsi="宋体"/>
                <w:color w:val="auto"/>
                <w:highlight w:val="none"/>
              </w:rPr>
              <w:t>序号</w:t>
            </w:r>
          </w:p>
        </w:tc>
        <w:tc>
          <w:tcPr>
            <w:tcW w:w="1689" w:type="dxa"/>
            <w:gridSpan w:val="3"/>
            <w:shd w:val="clear" w:color="000000" w:fill="D9D9D9"/>
            <w:noWrap w:val="0"/>
            <w:vAlign w:val="center"/>
          </w:tcPr>
          <w:p>
            <w:pPr>
              <w:rPr>
                <w:rFonts w:ascii="宋体" w:hAnsi="宋体"/>
                <w:color w:val="auto"/>
                <w:highlight w:val="none"/>
              </w:rPr>
            </w:pPr>
            <w:r>
              <w:rPr>
                <w:rFonts w:hint="eastAsia" w:ascii="宋体" w:hAnsi="宋体"/>
                <w:color w:val="auto"/>
                <w:highlight w:val="none"/>
              </w:rPr>
              <w:t>评分项</w:t>
            </w:r>
          </w:p>
        </w:tc>
        <w:tc>
          <w:tcPr>
            <w:tcW w:w="825" w:type="dxa"/>
            <w:shd w:val="clear" w:color="000000" w:fill="D9D9D9"/>
            <w:noWrap w:val="0"/>
            <w:vAlign w:val="center"/>
          </w:tcPr>
          <w:p>
            <w:pPr>
              <w:jc w:val="center"/>
              <w:rPr>
                <w:rFonts w:ascii="宋体" w:hAnsi="宋体"/>
                <w:color w:val="auto"/>
                <w:highlight w:val="none"/>
              </w:rPr>
            </w:pPr>
            <w:r>
              <w:rPr>
                <w:rFonts w:hint="eastAsia" w:ascii="宋体" w:hAnsi="宋体"/>
                <w:color w:val="auto"/>
                <w:highlight w:val="none"/>
              </w:rPr>
              <w:t>分值</w:t>
            </w:r>
          </w:p>
        </w:tc>
        <w:tc>
          <w:tcPr>
            <w:tcW w:w="6883" w:type="dxa"/>
            <w:shd w:val="clear" w:color="000000" w:fill="D9D9D9"/>
            <w:noWrap w:val="0"/>
            <w:vAlign w:val="center"/>
          </w:tcPr>
          <w:p>
            <w:pPr>
              <w:rPr>
                <w:rFonts w:ascii="宋体" w:hAnsi="宋体"/>
                <w:color w:val="auto"/>
                <w:highlight w:val="none"/>
              </w:rPr>
            </w:pPr>
            <w:r>
              <w:rPr>
                <w:rFonts w:hint="eastAsia" w:ascii="宋体" w:hAnsi="宋体"/>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trPr>
        <w:tc>
          <w:tcPr>
            <w:tcW w:w="636" w:type="dxa"/>
            <w:vMerge w:val="restart"/>
            <w:shd w:val="clear" w:color="000000" w:fill="FFFFFF"/>
            <w:noWrap/>
            <w:vAlign w:val="center"/>
          </w:tcPr>
          <w:p>
            <w:pPr>
              <w:rPr>
                <w:rFonts w:ascii="宋体" w:hAnsi="宋体"/>
                <w:color w:val="auto"/>
                <w:highlight w:val="none"/>
              </w:rPr>
            </w:pPr>
            <w:r>
              <w:rPr>
                <w:rFonts w:hint="eastAsia" w:ascii="宋体" w:hAnsi="宋体"/>
                <w:color w:val="auto"/>
                <w:highlight w:val="none"/>
              </w:rPr>
              <w:t>1</w:t>
            </w:r>
          </w:p>
        </w:tc>
        <w:tc>
          <w:tcPr>
            <w:tcW w:w="1689" w:type="dxa"/>
            <w:gridSpan w:val="3"/>
            <w:vMerge w:val="restart"/>
            <w:shd w:val="clear" w:color="000000" w:fill="FFFFFF"/>
            <w:noWrap w:val="0"/>
            <w:vAlign w:val="center"/>
          </w:tcPr>
          <w:p>
            <w:pPr>
              <w:rPr>
                <w:rFonts w:ascii="宋体" w:hAnsi="宋体"/>
                <w:color w:val="auto"/>
                <w:highlight w:val="none"/>
              </w:rPr>
            </w:pPr>
            <w:r>
              <w:rPr>
                <w:rFonts w:hint="eastAsia" w:ascii="宋体" w:hAnsi="宋体"/>
                <w:color w:val="auto"/>
                <w:highlight w:val="none"/>
              </w:rPr>
              <w:t>企业信誉（4分）</w:t>
            </w:r>
          </w:p>
        </w:tc>
        <w:tc>
          <w:tcPr>
            <w:tcW w:w="825" w:type="dxa"/>
            <w:shd w:val="clear" w:color="000000" w:fill="FFFFFF"/>
            <w:noWrap w:val="0"/>
            <w:vAlign w:val="center"/>
          </w:tcPr>
          <w:p>
            <w:pPr>
              <w:jc w:val="center"/>
              <w:rPr>
                <w:rFonts w:ascii="宋体" w:hAnsi="宋体"/>
                <w:color w:val="auto"/>
                <w:highlight w:val="none"/>
              </w:rPr>
            </w:pPr>
            <w:r>
              <w:rPr>
                <w:rFonts w:hint="eastAsia" w:ascii="宋体" w:hAnsi="宋体"/>
                <w:color w:val="auto"/>
                <w:highlight w:val="none"/>
              </w:rPr>
              <w:t>3</w:t>
            </w:r>
          </w:p>
        </w:tc>
        <w:tc>
          <w:tcPr>
            <w:tcW w:w="6883" w:type="dxa"/>
            <w:shd w:val="clear" w:color="000000" w:fill="FFFFFF"/>
            <w:noWrap w:val="0"/>
            <w:vAlign w:val="center"/>
          </w:tcPr>
          <w:p>
            <w:pPr>
              <w:rPr>
                <w:rFonts w:ascii="宋体" w:hAnsi="宋体"/>
                <w:color w:val="auto"/>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lang w:val="en-US" w:eastAsia="zh-CN"/>
              </w:rPr>
              <w:t>2020年1月1日以来</w:t>
            </w:r>
            <w:r>
              <w:rPr>
                <w:rFonts w:hint="eastAsia" w:ascii="宋体" w:hAnsi="宋体" w:eastAsia="宋体" w:cs="宋体"/>
                <w:color w:val="auto"/>
                <w:kern w:val="0"/>
                <w:szCs w:val="21"/>
                <w:highlight w:val="none"/>
              </w:rPr>
              <w:t>在全国所有环境监测服务活动中未受到环保主管部门负面通报、行政处罚及未有相关职能部门认定的关于生态、环境的刑事犯罪的</w:t>
            </w:r>
            <w:r>
              <w:rPr>
                <w:rFonts w:hint="eastAsia" w:ascii="宋体" w:hAnsi="宋体" w:eastAsia="宋体" w:cs="宋体"/>
                <w:color w:val="auto"/>
                <w:kern w:val="0"/>
                <w:szCs w:val="21"/>
                <w:highlight w:val="none"/>
                <w:lang w:val="en-US" w:eastAsia="zh-CN"/>
              </w:rPr>
              <w:t>得3分，提供</w:t>
            </w:r>
            <w:r>
              <w:rPr>
                <w:rFonts w:hint="eastAsia" w:ascii="宋体" w:hAnsi="宋体" w:eastAsia="宋体" w:cs="宋体"/>
                <w:color w:val="auto"/>
                <w:kern w:val="0"/>
                <w:szCs w:val="21"/>
                <w:highlight w:val="none"/>
              </w:rPr>
              <w:t>承诺书，未提供</w:t>
            </w:r>
            <w:r>
              <w:rPr>
                <w:rFonts w:hint="eastAsia" w:ascii="宋体" w:hAnsi="宋体" w:eastAsia="宋体" w:cs="宋体"/>
                <w:color w:val="auto"/>
                <w:kern w:val="0"/>
                <w:szCs w:val="21"/>
                <w:highlight w:val="none"/>
                <w:lang w:val="en-US" w:eastAsia="zh-CN"/>
              </w:rPr>
              <w:t>或承诺内容不完整的本项</w:t>
            </w:r>
            <w:r>
              <w:rPr>
                <w:rFonts w:hint="eastAsia" w:ascii="宋体" w:hAnsi="宋体" w:eastAsia="宋体" w:cs="宋体"/>
                <w:color w:val="auto"/>
                <w:kern w:val="0"/>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trPr>
        <w:tc>
          <w:tcPr>
            <w:tcW w:w="636" w:type="dxa"/>
            <w:vMerge w:val="continue"/>
            <w:shd w:val="clear" w:color="000000" w:fill="FFFFFF"/>
            <w:noWrap/>
            <w:vAlign w:val="center"/>
          </w:tcPr>
          <w:p>
            <w:pPr>
              <w:rPr>
                <w:rFonts w:ascii="宋体" w:hAnsi="宋体"/>
                <w:color w:val="auto"/>
                <w:highlight w:val="none"/>
              </w:rPr>
            </w:pPr>
          </w:p>
        </w:tc>
        <w:tc>
          <w:tcPr>
            <w:tcW w:w="1689" w:type="dxa"/>
            <w:gridSpan w:val="3"/>
            <w:vMerge w:val="continue"/>
            <w:shd w:val="clear" w:color="000000" w:fill="FFFFFF"/>
            <w:noWrap w:val="0"/>
            <w:vAlign w:val="center"/>
          </w:tcPr>
          <w:p>
            <w:pPr>
              <w:rPr>
                <w:rFonts w:ascii="宋体" w:hAnsi="宋体"/>
                <w:color w:val="auto"/>
                <w:highlight w:val="none"/>
              </w:rPr>
            </w:pPr>
          </w:p>
        </w:tc>
        <w:tc>
          <w:tcPr>
            <w:tcW w:w="825" w:type="dxa"/>
            <w:shd w:val="clear" w:color="000000" w:fill="FFFFFF"/>
            <w:noWrap w:val="0"/>
            <w:vAlign w:val="center"/>
          </w:tcPr>
          <w:p>
            <w:pPr>
              <w:jc w:val="center"/>
              <w:rPr>
                <w:rFonts w:ascii="宋体" w:hAnsi="宋体"/>
                <w:color w:val="auto"/>
                <w:highlight w:val="none"/>
              </w:rPr>
            </w:pPr>
            <w:r>
              <w:rPr>
                <w:rFonts w:hint="eastAsia" w:ascii="宋体" w:hAnsi="宋体"/>
                <w:color w:val="auto"/>
                <w:highlight w:val="none"/>
              </w:rPr>
              <w:t>1</w:t>
            </w:r>
          </w:p>
        </w:tc>
        <w:tc>
          <w:tcPr>
            <w:tcW w:w="6883" w:type="dxa"/>
            <w:shd w:val="clear" w:color="000000" w:fill="FFFFFF"/>
            <w:noWrap w:val="0"/>
            <w:vAlign w:val="center"/>
          </w:tcPr>
          <w:p>
            <w:pPr>
              <w:rPr>
                <w:rFonts w:ascii="宋体" w:hAnsi="宋体"/>
                <w:color w:val="auto"/>
                <w:highlight w:val="none"/>
              </w:rPr>
            </w:pPr>
            <w:r>
              <w:rPr>
                <w:rFonts w:hint="eastAsia" w:ascii="宋体" w:hAnsi="宋体"/>
                <w:color w:val="auto"/>
                <w:highlight w:val="none"/>
                <w:lang w:val="en-US" w:eastAsia="zh-CN"/>
              </w:rPr>
              <w:t>自2020年1月1日以来，</w:t>
            </w:r>
            <w:r>
              <w:rPr>
                <w:rFonts w:hint="eastAsia" w:ascii="宋体" w:hAnsi="宋体"/>
                <w:color w:val="auto"/>
                <w:highlight w:val="none"/>
              </w:rPr>
              <w:t>投标人获得过AAA级信用等级的，得1分，否则不得分，提供复印件加盖公章。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 w:hRule="atLeast"/>
        </w:trPr>
        <w:tc>
          <w:tcPr>
            <w:tcW w:w="636" w:type="dxa"/>
            <w:vMerge w:val="restart"/>
            <w:shd w:val="clear" w:color="000000" w:fill="FFFFFF"/>
            <w:noWrap/>
            <w:vAlign w:val="center"/>
          </w:tcPr>
          <w:p>
            <w:pPr>
              <w:rPr>
                <w:rFonts w:ascii="宋体" w:hAnsi="宋体"/>
                <w:color w:val="auto"/>
                <w:highlight w:val="none"/>
              </w:rPr>
            </w:pPr>
            <w:r>
              <w:rPr>
                <w:rFonts w:ascii="宋体" w:hAnsi="宋体"/>
                <w:color w:val="auto"/>
                <w:highlight w:val="none"/>
              </w:rPr>
              <w:t>2</w:t>
            </w:r>
          </w:p>
        </w:tc>
        <w:tc>
          <w:tcPr>
            <w:tcW w:w="1689" w:type="dxa"/>
            <w:gridSpan w:val="3"/>
            <w:vMerge w:val="restart"/>
            <w:shd w:val="clear" w:color="000000" w:fill="FFFFFF"/>
            <w:noWrap w:val="0"/>
            <w:vAlign w:val="center"/>
          </w:tcPr>
          <w:p>
            <w:pPr>
              <w:rPr>
                <w:rFonts w:ascii="宋体" w:hAnsi="宋体"/>
                <w:color w:val="auto"/>
                <w:highlight w:val="none"/>
              </w:rPr>
            </w:pPr>
            <w:r>
              <w:rPr>
                <w:rFonts w:hint="eastAsia" w:ascii="宋体" w:hAnsi="宋体"/>
                <w:color w:val="auto"/>
                <w:highlight w:val="none"/>
              </w:rPr>
              <w:t>企业</w:t>
            </w:r>
            <w:r>
              <w:rPr>
                <w:rFonts w:hint="eastAsia" w:ascii="宋体" w:hAnsi="宋体"/>
                <w:color w:val="auto"/>
                <w:highlight w:val="none"/>
                <w:lang w:val="en-US" w:eastAsia="zh-CN"/>
              </w:rPr>
              <w:t>实力和履约能力</w:t>
            </w:r>
            <w:r>
              <w:rPr>
                <w:rFonts w:hint="eastAsia" w:ascii="宋体" w:hAnsi="宋体"/>
                <w:color w:val="auto"/>
                <w:highlight w:val="none"/>
              </w:rPr>
              <w:t>（</w:t>
            </w:r>
            <w:r>
              <w:rPr>
                <w:rFonts w:hint="eastAsia" w:ascii="宋体" w:hAnsi="宋体"/>
                <w:color w:val="auto"/>
                <w:highlight w:val="none"/>
                <w:lang w:val="en-US" w:eastAsia="zh-CN"/>
              </w:rPr>
              <w:t>9</w:t>
            </w:r>
            <w:r>
              <w:rPr>
                <w:rFonts w:hint="eastAsia" w:ascii="宋体" w:hAnsi="宋体"/>
                <w:color w:val="auto"/>
                <w:highlight w:val="none"/>
              </w:rPr>
              <w:t>分）</w:t>
            </w:r>
          </w:p>
          <w:p>
            <w:pPr>
              <w:rPr>
                <w:rFonts w:ascii="宋体" w:hAnsi="宋体"/>
                <w:color w:val="auto"/>
                <w:highlight w:val="none"/>
              </w:rPr>
            </w:pPr>
          </w:p>
        </w:tc>
        <w:tc>
          <w:tcPr>
            <w:tcW w:w="825" w:type="dxa"/>
            <w:shd w:val="clear" w:color="000000" w:fill="FFFFFF"/>
            <w:noWrap w:val="0"/>
            <w:vAlign w:val="center"/>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5</w:t>
            </w:r>
          </w:p>
        </w:tc>
        <w:tc>
          <w:tcPr>
            <w:tcW w:w="6883" w:type="dxa"/>
            <w:shd w:val="clear" w:color="000000" w:fill="FFFFFF"/>
            <w:noWrap w:val="0"/>
            <w:vAlign w:val="center"/>
          </w:tcPr>
          <w:p>
            <w:pPr>
              <w:rPr>
                <w:rFonts w:hint="default" w:ascii="宋体" w:hAnsi="宋体" w:eastAsia="宋体"/>
                <w:color w:val="auto"/>
                <w:highlight w:val="none"/>
                <w:lang w:val="en-US" w:eastAsia="zh-CN"/>
              </w:rPr>
            </w:pPr>
            <w:r>
              <w:rPr>
                <w:rFonts w:hint="eastAsia" w:ascii="宋体" w:hAnsi="宋体"/>
                <w:color w:val="auto"/>
                <w:highlight w:val="none"/>
              </w:rPr>
              <w:t>投标人具备质量管理体系认证证书、环境管理体系认证证书、职业健康安全管理体系认证证书</w:t>
            </w:r>
            <w:r>
              <w:rPr>
                <w:rFonts w:hint="eastAsia" w:ascii="宋体" w:hAnsi="宋体"/>
                <w:color w:val="auto"/>
                <w:highlight w:val="none"/>
                <w:lang w:val="en-US" w:eastAsia="zh-CN"/>
              </w:rPr>
              <w:t>的、</w:t>
            </w:r>
            <w:r>
              <w:rPr>
                <w:rFonts w:hint="eastAsia" w:ascii="宋体" w:hAnsi="宋体" w:cs="宋体"/>
                <w:color w:val="auto"/>
                <w:kern w:val="0"/>
                <w:szCs w:val="21"/>
                <w:highlight w:val="none"/>
              </w:rPr>
              <w:t>信息技术服务管理体系认证证书、信息安全管理体系认证证书</w:t>
            </w:r>
            <w:r>
              <w:rPr>
                <w:rFonts w:hint="eastAsia" w:ascii="宋体" w:hAnsi="宋体"/>
                <w:color w:val="auto"/>
                <w:highlight w:val="none"/>
                <w:lang w:val="en-US" w:eastAsia="zh-CN"/>
              </w:rPr>
              <w:t>，每提供一份证书得1分，最高得5分</w:t>
            </w:r>
            <w:r>
              <w:rPr>
                <w:rFonts w:hint="eastAsia" w:ascii="宋体" w:hAnsi="宋体"/>
                <w:color w:val="auto"/>
                <w:highlight w:val="none"/>
              </w:rPr>
              <w:t>。</w:t>
            </w:r>
            <w:r>
              <w:rPr>
                <w:rFonts w:hint="eastAsia" w:ascii="宋体" w:hAnsi="宋体"/>
                <w:color w:val="auto"/>
                <w:highlight w:val="none"/>
                <w:lang w:val="en-US" w:eastAsia="zh-CN"/>
              </w:rPr>
              <w:t>提供相关证书复印件并加盖公章。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 w:hRule="atLeast"/>
        </w:trPr>
        <w:tc>
          <w:tcPr>
            <w:tcW w:w="636" w:type="dxa"/>
            <w:vMerge w:val="continue"/>
            <w:shd w:val="clear" w:color="000000" w:fill="FFFFFF"/>
            <w:noWrap/>
            <w:vAlign w:val="center"/>
          </w:tcPr>
          <w:p>
            <w:pPr>
              <w:rPr>
                <w:rFonts w:ascii="宋体" w:hAnsi="宋体"/>
                <w:color w:val="auto"/>
                <w:highlight w:val="none"/>
              </w:rPr>
            </w:pPr>
          </w:p>
        </w:tc>
        <w:tc>
          <w:tcPr>
            <w:tcW w:w="1689" w:type="dxa"/>
            <w:gridSpan w:val="3"/>
            <w:vMerge w:val="continue"/>
            <w:shd w:val="clear" w:color="000000" w:fill="FFFFFF"/>
            <w:noWrap w:val="0"/>
            <w:vAlign w:val="center"/>
          </w:tcPr>
          <w:p>
            <w:pPr>
              <w:rPr>
                <w:rFonts w:ascii="宋体" w:hAnsi="宋体"/>
                <w:color w:val="auto"/>
                <w:highlight w:val="none"/>
              </w:rPr>
            </w:pPr>
          </w:p>
        </w:tc>
        <w:tc>
          <w:tcPr>
            <w:tcW w:w="825" w:type="dxa"/>
            <w:shd w:val="clear" w:color="000000" w:fill="FFFFFF"/>
            <w:noWrap w:val="0"/>
            <w:vAlign w:val="center"/>
          </w:tcPr>
          <w:p>
            <w:pPr>
              <w:jc w:val="center"/>
              <w:rPr>
                <w:rFonts w:hint="default" w:ascii="宋体" w:hAnsi="宋体"/>
                <w:color w:val="auto"/>
                <w:highlight w:val="none"/>
                <w:lang w:val="en-US" w:eastAsia="zh-CN"/>
              </w:rPr>
            </w:pPr>
            <w:r>
              <w:rPr>
                <w:rFonts w:hint="eastAsia" w:ascii="宋体" w:hAnsi="宋体"/>
                <w:color w:val="auto"/>
                <w:highlight w:val="none"/>
                <w:lang w:val="en-US" w:eastAsia="zh-CN"/>
              </w:rPr>
              <w:t>2</w:t>
            </w:r>
          </w:p>
        </w:tc>
        <w:tc>
          <w:tcPr>
            <w:tcW w:w="6883" w:type="dxa"/>
            <w:shd w:val="clear" w:color="000000" w:fill="FFFFFF"/>
            <w:noWrap w:val="0"/>
            <w:vAlign w:val="center"/>
          </w:tcPr>
          <w:p>
            <w:pPr>
              <w:rPr>
                <w:rFonts w:hint="eastAsia" w:ascii="宋体" w:hAnsi="宋体"/>
                <w:color w:val="auto"/>
                <w:highlight w:val="none"/>
              </w:rPr>
            </w:pPr>
            <w:r>
              <w:rPr>
                <w:rFonts w:hint="eastAsia" w:ascii="宋体" w:hAnsi="宋体" w:cs="宋体"/>
                <w:color w:val="auto"/>
                <w:kern w:val="0"/>
                <w:szCs w:val="21"/>
                <w:highlight w:val="none"/>
                <w:lang w:val="en-US" w:eastAsia="zh-CN"/>
              </w:rPr>
              <w:t>2021</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投标人在</w:t>
            </w:r>
            <w:r>
              <w:rPr>
                <w:rFonts w:hint="eastAsia" w:ascii="宋体" w:hAnsi="宋体" w:cs="宋体"/>
                <w:color w:val="auto"/>
                <w:kern w:val="0"/>
                <w:szCs w:val="21"/>
                <w:highlight w:val="none"/>
              </w:rPr>
              <w:t>国家环境监测网运维单位服务质量星级评价结果</w:t>
            </w:r>
            <w:r>
              <w:rPr>
                <w:rFonts w:hint="eastAsia" w:ascii="宋体" w:hAnsi="宋体" w:cs="宋体"/>
                <w:color w:val="auto"/>
                <w:kern w:val="0"/>
                <w:szCs w:val="21"/>
                <w:highlight w:val="none"/>
                <w:lang w:val="en-US" w:eastAsia="zh-CN"/>
              </w:rPr>
              <w:t>中</w:t>
            </w:r>
            <w:r>
              <w:rPr>
                <w:rFonts w:hint="eastAsia" w:ascii="宋体" w:hAnsi="宋体" w:cs="宋体"/>
                <w:color w:val="auto"/>
                <w:kern w:val="0"/>
                <w:szCs w:val="21"/>
                <w:highlight w:val="none"/>
              </w:rPr>
              <w:t>获得4星级及以上的，得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其他星级的得1分，</w:t>
            </w:r>
            <w:r>
              <w:rPr>
                <w:rFonts w:hint="eastAsia" w:ascii="宋体" w:hAnsi="宋体" w:cs="宋体"/>
                <w:color w:val="auto"/>
                <w:kern w:val="0"/>
                <w:szCs w:val="21"/>
                <w:highlight w:val="none"/>
              </w:rPr>
              <w:t>没有</w:t>
            </w:r>
            <w:r>
              <w:rPr>
                <w:rFonts w:hint="eastAsia" w:ascii="宋体" w:hAnsi="宋体" w:cs="宋体"/>
                <w:color w:val="auto"/>
                <w:kern w:val="0"/>
                <w:szCs w:val="21"/>
                <w:highlight w:val="none"/>
                <w:lang w:val="en-US" w:eastAsia="zh-CN"/>
              </w:rPr>
              <w:t>提供相关评价结果证明的</w:t>
            </w:r>
            <w:r>
              <w:rPr>
                <w:rFonts w:hint="eastAsia" w:ascii="宋体" w:hAnsi="宋体" w:cs="宋体"/>
                <w:color w:val="auto"/>
                <w:kern w:val="0"/>
                <w:szCs w:val="21"/>
                <w:highlight w:val="none"/>
              </w:rPr>
              <w:t>不得分。需提供相关证明材料。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27" w:hRule="atLeast"/>
        </w:trPr>
        <w:tc>
          <w:tcPr>
            <w:tcW w:w="636" w:type="dxa"/>
            <w:vMerge w:val="continue"/>
            <w:shd w:val="clear" w:color="auto" w:fill="auto"/>
            <w:noWrap w:val="0"/>
            <w:vAlign w:val="center"/>
          </w:tcPr>
          <w:p>
            <w:pPr>
              <w:rPr>
                <w:rFonts w:ascii="宋体" w:hAnsi="宋体"/>
                <w:color w:val="auto"/>
                <w:highlight w:val="none"/>
              </w:rPr>
            </w:pPr>
          </w:p>
        </w:tc>
        <w:tc>
          <w:tcPr>
            <w:tcW w:w="1689" w:type="dxa"/>
            <w:gridSpan w:val="3"/>
            <w:vMerge w:val="continue"/>
            <w:shd w:val="clear" w:color="auto" w:fill="auto"/>
            <w:noWrap w:val="0"/>
            <w:vAlign w:val="center"/>
          </w:tcPr>
          <w:p>
            <w:pPr>
              <w:rPr>
                <w:rFonts w:ascii="宋体" w:hAnsi="宋体"/>
                <w:color w:val="auto"/>
                <w:highlight w:val="none"/>
              </w:rPr>
            </w:pPr>
          </w:p>
        </w:tc>
        <w:tc>
          <w:tcPr>
            <w:tcW w:w="825" w:type="dxa"/>
            <w:shd w:val="clear" w:color="000000" w:fill="FFFFFF"/>
            <w:noWrap w:val="0"/>
            <w:vAlign w:val="center"/>
          </w:tcPr>
          <w:p>
            <w:pPr>
              <w:jc w:val="center"/>
              <w:rPr>
                <w:rFonts w:ascii="宋体" w:hAnsi="宋体"/>
                <w:color w:val="auto"/>
                <w:highlight w:val="none"/>
              </w:rPr>
            </w:pPr>
            <w:r>
              <w:rPr>
                <w:rFonts w:hint="eastAsia" w:ascii="宋体" w:hAnsi="宋体"/>
                <w:color w:val="auto"/>
                <w:highlight w:val="none"/>
              </w:rPr>
              <w:t>2</w:t>
            </w:r>
          </w:p>
        </w:tc>
        <w:tc>
          <w:tcPr>
            <w:tcW w:w="6883" w:type="dxa"/>
            <w:shd w:val="clear" w:color="000000" w:fill="FFFFFF"/>
            <w:noWrap w:val="0"/>
            <w:vAlign w:val="center"/>
          </w:tcPr>
          <w:p>
            <w:pPr>
              <w:rPr>
                <w:rFonts w:hint="default" w:ascii="宋体" w:hAnsi="宋体" w:eastAsia="宋体"/>
                <w:color w:val="auto"/>
                <w:highlight w:val="none"/>
                <w:lang w:val="en-US" w:eastAsia="zh-CN"/>
              </w:rPr>
            </w:pPr>
            <w:r>
              <w:rPr>
                <w:rFonts w:hint="eastAsia" w:ascii="宋体" w:hAnsi="宋体" w:cs="宋体"/>
                <w:color w:val="auto"/>
                <w:kern w:val="0"/>
                <w:szCs w:val="21"/>
                <w:highlight w:val="none"/>
              </w:rPr>
              <w:t>投标人应具备相关环境技术服务能力，具有地表水水质自动监测站运营服务评价证书的得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分，无证书的不得分</w:t>
            </w:r>
            <w:r>
              <w:rPr>
                <w:rFonts w:ascii="宋体" w:hAnsi="宋体" w:cs="宋体"/>
                <w:b w:val="0"/>
                <w:bCs w:val="0"/>
                <w:color w:val="auto"/>
                <w:kern w:val="0"/>
                <w:szCs w:val="21"/>
                <w:highlight w:val="none"/>
              </w:rPr>
              <w:t>（提供证书扫描件加盖投标人公章，未提供或不符合要求不得分）</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trPr>
        <w:tc>
          <w:tcPr>
            <w:tcW w:w="636" w:type="dxa"/>
            <w:shd w:val="clear" w:color="000000" w:fill="FFFFFF"/>
            <w:noWrap/>
            <w:vAlign w:val="center"/>
          </w:tcPr>
          <w:p>
            <w:pPr>
              <w:rPr>
                <w:rFonts w:hint="eastAsia" w:ascii="宋体" w:hAnsi="宋体" w:eastAsia="宋体"/>
                <w:color w:val="auto"/>
                <w:highlight w:val="none"/>
                <w:lang w:eastAsia="zh-CN"/>
              </w:rPr>
            </w:pPr>
            <w:r>
              <w:rPr>
                <w:rFonts w:hint="eastAsia" w:ascii="宋体" w:hAnsi="宋体"/>
                <w:color w:val="auto"/>
                <w:highlight w:val="none"/>
                <w:lang w:val="en-US" w:eastAsia="zh-CN"/>
              </w:rPr>
              <w:t>3</w:t>
            </w:r>
          </w:p>
        </w:tc>
        <w:tc>
          <w:tcPr>
            <w:tcW w:w="1689" w:type="dxa"/>
            <w:gridSpan w:val="3"/>
            <w:shd w:val="clear" w:color="000000" w:fill="FFFFFF"/>
            <w:noWrap w:val="0"/>
            <w:vAlign w:val="center"/>
          </w:tcPr>
          <w:p>
            <w:pPr>
              <w:rPr>
                <w:rFonts w:ascii="宋体" w:hAnsi="宋体"/>
                <w:color w:val="auto"/>
                <w:highlight w:val="none"/>
              </w:rPr>
            </w:pPr>
            <w:r>
              <w:rPr>
                <w:rFonts w:hint="eastAsia" w:ascii="宋体" w:hAnsi="宋体"/>
                <w:color w:val="auto"/>
                <w:highlight w:val="none"/>
              </w:rPr>
              <w:t>项目经验（</w:t>
            </w:r>
            <w:r>
              <w:rPr>
                <w:rFonts w:hint="eastAsia" w:ascii="宋体" w:hAnsi="宋体"/>
                <w:color w:val="auto"/>
                <w:highlight w:val="none"/>
                <w:lang w:val="en-US" w:eastAsia="zh-CN"/>
              </w:rPr>
              <w:t>1</w:t>
            </w:r>
            <w:r>
              <w:rPr>
                <w:rFonts w:hint="eastAsia" w:ascii="宋体" w:hAnsi="宋体"/>
                <w:color w:val="auto"/>
                <w:highlight w:val="none"/>
              </w:rPr>
              <w:t>分）</w:t>
            </w:r>
          </w:p>
        </w:tc>
        <w:tc>
          <w:tcPr>
            <w:tcW w:w="825" w:type="dxa"/>
            <w:shd w:val="clear" w:color="000000" w:fill="FFFFFF"/>
            <w:noWrap w:val="0"/>
            <w:vAlign w:val="center"/>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1</w:t>
            </w:r>
          </w:p>
        </w:tc>
        <w:tc>
          <w:tcPr>
            <w:tcW w:w="6883" w:type="dxa"/>
            <w:shd w:val="clear" w:color="000000" w:fill="FFFFFF"/>
            <w:noWrap w:val="0"/>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rPr>
              <w:t>投标人</w:t>
            </w:r>
            <w:r>
              <w:rPr>
                <w:rFonts w:hint="eastAsia" w:ascii="宋体" w:hAnsi="宋体"/>
                <w:color w:val="auto"/>
                <w:szCs w:val="21"/>
                <w:highlight w:val="none"/>
                <w:lang w:val="en-US" w:eastAsia="zh-CN"/>
              </w:rPr>
              <w:t>自</w:t>
            </w:r>
            <w:r>
              <w:rPr>
                <w:color w:val="auto"/>
                <w:szCs w:val="21"/>
                <w:highlight w:val="none"/>
              </w:rPr>
              <w:t>20</w:t>
            </w:r>
            <w:r>
              <w:rPr>
                <w:rFonts w:hint="eastAsia"/>
                <w:color w:val="auto"/>
                <w:szCs w:val="21"/>
                <w:highlight w:val="none"/>
                <w:lang w:val="en-US" w:eastAsia="zh-CN"/>
              </w:rPr>
              <w:t>20</w:t>
            </w:r>
            <w:r>
              <w:rPr>
                <w:rFonts w:hint="eastAsia" w:ascii="宋体" w:hAnsi="宋体"/>
                <w:color w:val="auto"/>
                <w:szCs w:val="21"/>
                <w:highlight w:val="none"/>
              </w:rPr>
              <w:t xml:space="preserve">年1月1日 </w:t>
            </w:r>
            <w:r>
              <w:rPr>
                <w:rFonts w:hint="eastAsia" w:ascii="宋体" w:hAnsi="宋体"/>
                <w:color w:val="auto"/>
                <w:szCs w:val="21"/>
                <w:highlight w:val="none"/>
                <w:lang w:val="en-US" w:eastAsia="zh-CN"/>
              </w:rPr>
              <w:t>以来</w:t>
            </w:r>
            <w:r>
              <w:rPr>
                <w:rFonts w:hint="eastAsia" w:ascii="宋体" w:hAnsi="宋体"/>
                <w:color w:val="auto"/>
                <w:szCs w:val="21"/>
                <w:highlight w:val="none"/>
              </w:rPr>
              <w:t>（以合同签署日期为准）的</w:t>
            </w:r>
            <w:r>
              <w:rPr>
                <w:rFonts w:hint="eastAsia" w:ascii="宋体" w:hAnsi="宋体"/>
                <w:color w:val="auto"/>
                <w:szCs w:val="21"/>
                <w:highlight w:val="none"/>
                <w:lang w:val="en-US" w:eastAsia="zh-CN"/>
              </w:rPr>
              <w:t>市级及以上</w:t>
            </w:r>
            <w:r>
              <w:rPr>
                <w:rFonts w:hint="eastAsia" w:ascii="宋体" w:hAnsi="宋体"/>
                <w:color w:val="auto"/>
                <w:szCs w:val="21"/>
                <w:highlight w:val="none"/>
              </w:rPr>
              <w:t>地表水水质自动监测站</w:t>
            </w:r>
            <w:r>
              <w:rPr>
                <w:rFonts w:hint="eastAsia" w:ascii="宋体" w:hAnsi="宋体"/>
                <w:color w:val="auto"/>
                <w:highlight w:val="none"/>
              </w:rPr>
              <w:t>建设及运行维护</w:t>
            </w:r>
            <w:r>
              <w:rPr>
                <w:rFonts w:hint="eastAsia" w:ascii="宋体" w:hAnsi="宋体"/>
                <w:color w:val="auto"/>
                <w:szCs w:val="21"/>
                <w:highlight w:val="none"/>
              </w:rPr>
              <w:t>业绩或水质自动监测数据服务采购项目业绩</w:t>
            </w:r>
            <w:r>
              <w:rPr>
                <w:rFonts w:hint="eastAsia" w:ascii="宋体" w:hAnsi="宋体"/>
                <w:color w:val="auto"/>
                <w:szCs w:val="21"/>
                <w:highlight w:val="none"/>
                <w:lang w:val="en-US" w:eastAsia="zh-CN"/>
              </w:rPr>
              <w:t>的</w:t>
            </w:r>
            <w:r>
              <w:rPr>
                <w:rFonts w:hint="eastAsia" w:ascii="宋体" w:hAnsi="宋体"/>
                <w:color w:val="auto"/>
                <w:szCs w:val="21"/>
                <w:highlight w:val="none"/>
              </w:rPr>
              <w:t>得</w:t>
            </w:r>
            <w:r>
              <w:rPr>
                <w:rFonts w:hint="eastAsia" w:ascii="宋体" w:hAnsi="宋体"/>
                <w:color w:val="auto"/>
                <w:szCs w:val="21"/>
                <w:highlight w:val="none"/>
                <w:lang w:val="en-US" w:eastAsia="zh-CN"/>
              </w:rPr>
              <w:t>1</w:t>
            </w:r>
            <w:r>
              <w:rPr>
                <w:rFonts w:hint="eastAsia" w:ascii="宋体" w:hAnsi="宋体"/>
                <w:color w:val="auto"/>
                <w:szCs w:val="21"/>
                <w:highlight w:val="none"/>
              </w:rPr>
              <w:t>分</w:t>
            </w:r>
            <w:r>
              <w:rPr>
                <w:rFonts w:hint="eastAsia" w:ascii="宋体" w:hAnsi="宋体"/>
                <w:color w:val="auto"/>
                <w:szCs w:val="21"/>
                <w:highlight w:val="none"/>
                <w:lang w:eastAsia="zh-CN"/>
              </w:rPr>
              <w:t>。</w:t>
            </w:r>
          </w:p>
          <w:p>
            <w:pPr>
              <w:rPr>
                <w:rFonts w:hint="eastAsia" w:ascii="宋体" w:hAnsi="宋体" w:eastAsia="宋体"/>
                <w:color w:val="auto"/>
                <w:szCs w:val="21"/>
                <w:highlight w:val="none"/>
                <w:lang w:eastAsia="zh-CN"/>
              </w:rPr>
            </w:pPr>
            <w:r>
              <w:rPr>
                <w:rFonts w:hint="eastAsia" w:ascii="宋体" w:hAnsi="宋体"/>
                <w:bCs/>
                <w:color w:val="auto"/>
                <w:szCs w:val="21"/>
                <w:highlight w:val="none"/>
              </w:rPr>
              <w:t>注：</w:t>
            </w:r>
            <w:r>
              <w:rPr>
                <w:rFonts w:hint="eastAsia"/>
                <w:bCs/>
                <w:color w:val="auto"/>
                <w:highlight w:val="none"/>
              </w:rPr>
              <w:t>需提供中标通知书、合同复印件加盖公章</w:t>
            </w:r>
            <w:r>
              <w:rPr>
                <w:rFonts w:hint="eastAsia"/>
                <w:bCs/>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trPr>
        <w:tc>
          <w:tcPr>
            <w:tcW w:w="636" w:type="dxa"/>
            <w:vMerge w:val="restart"/>
            <w:shd w:val="clear" w:color="000000" w:fill="FFFFFF"/>
            <w:noWrap/>
            <w:vAlign w:val="center"/>
          </w:tcPr>
          <w:p>
            <w:pPr>
              <w:rPr>
                <w:rFonts w:hint="eastAsia" w:ascii="宋体" w:hAnsi="宋体" w:eastAsia="宋体"/>
                <w:color w:val="auto"/>
                <w:highlight w:val="none"/>
                <w:lang w:eastAsia="zh-CN"/>
              </w:rPr>
            </w:pPr>
            <w:r>
              <w:rPr>
                <w:rFonts w:hint="eastAsia" w:ascii="宋体" w:hAnsi="宋体"/>
                <w:color w:val="auto"/>
                <w:highlight w:val="none"/>
                <w:lang w:val="en-US" w:eastAsia="zh-CN"/>
              </w:rPr>
              <w:t>4</w:t>
            </w:r>
          </w:p>
        </w:tc>
        <w:tc>
          <w:tcPr>
            <w:tcW w:w="800" w:type="dxa"/>
            <w:gridSpan w:val="2"/>
            <w:vMerge w:val="restart"/>
            <w:shd w:val="clear" w:color="000000" w:fill="FFFFFF"/>
            <w:noWrap w:val="0"/>
            <w:vAlign w:val="center"/>
          </w:tcPr>
          <w:p>
            <w:pPr>
              <w:rPr>
                <w:rFonts w:ascii="宋体" w:hAnsi="宋体"/>
                <w:color w:val="auto"/>
                <w:highlight w:val="none"/>
              </w:rPr>
            </w:pPr>
            <w:r>
              <w:rPr>
                <w:rFonts w:hint="eastAsia" w:ascii="宋体" w:hAnsi="宋体"/>
                <w:color w:val="auto"/>
                <w:highlight w:val="none"/>
                <w:lang w:val="en-US" w:eastAsia="zh-CN"/>
              </w:rPr>
              <w:t>数据服务</w:t>
            </w:r>
            <w:r>
              <w:rPr>
                <w:rFonts w:hint="eastAsia" w:ascii="宋体" w:hAnsi="宋体"/>
                <w:color w:val="auto"/>
                <w:highlight w:val="none"/>
              </w:rPr>
              <w:t>运营及管理（</w:t>
            </w:r>
            <w:r>
              <w:rPr>
                <w:rFonts w:hint="eastAsia" w:ascii="宋体" w:hAnsi="宋体"/>
                <w:color w:val="auto"/>
                <w:highlight w:val="none"/>
                <w:lang w:val="en-US" w:eastAsia="zh-CN"/>
              </w:rPr>
              <w:t>52</w:t>
            </w:r>
            <w:r>
              <w:rPr>
                <w:rFonts w:ascii="宋体" w:hAnsi="宋体"/>
                <w:color w:val="auto"/>
                <w:highlight w:val="none"/>
              </w:rPr>
              <w:t>分</w:t>
            </w:r>
            <w:r>
              <w:rPr>
                <w:rFonts w:hint="eastAsia" w:ascii="宋体" w:hAnsi="宋体"/>
                <w:color w:val="auto"/>
                <w:highlight w:val="none"/>
              </w:rPr>
              <w:t>）</w:t>
            </w:r>
          </w:p>
        </w:tc>
        <w:tc>
          <w:tcPr>
            <w:tcW w:w="889" w:type="dxa"/>
            <w:shd w:val="clear" w:color="000000" w:fill="FFFFFF"/>
            <w:noWrap w:val="0"/>
            <w:vAlign w:val="center"/>
          </w:tcPr>
          <w:p>
            <w:pPr>
              <w:rPr>
                <w:rFonts w:ascii="宋体" w:hAnsi="宋体"/>
                <w:color w:val="auto"/>
                <w:highlight w:val="none"/>
              </w:rPr>
            </w:pPr>
            <w:r>
              <w:rPr>
                <w:rFonts w:hint="eastAsia"/>
                <w:color w:val="auto"/>
                <w:highlight w:val="none"/>
                <w:lang w:val="en-US" w:eastAsia="zh-CN"/>
              </w:rPr>
              <w:t>项目背景、</w:t>
            </w:r>
            <w:r>
              <w:rPr>
                <w:rFonts w:hint="eastAsia"/>
                <w:color w:val="auto"/>
                <w:highlight w:val="none"/>
              </w:rPr>
              <w:t>站点运行</w:t>
            </w:r>
            <w:r>
              <w:rPr>
                <w:rFonts w:hint="eastAsia"/>
                <w:color w:val="auto"/>
                <w:highlight w:val="none"/>
                <w:lang w:val="en-US" w:eastAsia="zh-CN"/>
              </w:rPr>
              <w:t>情况</w:t>
            </w:r>
          </w:p>
        </w:tc>
        <w:tc>
          <w:tcPr>
            <w:tcW w:w="825" w:type="dxa"/>
            <w:shd w:val="clear" w:color="000000" w:fill="FFFFFF"/>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6883" w:type="dxa"/>
            <w:shd w:val="clear" w:color="000000" w:fill="FFFFFF"/>
            <w:noWrap w:val="0"/>
            <w:vAlign w:val="center"/>
          </w:tcPr>
          <w:p>
            <w:pPr>
              <w:rPr>
                <w:rFonts w:hint="eastAsia"/>
                <w:color w:val="auto"/>
                <w:highlight w:val="none"/>
                <w:lang w:val="en-US" w:eastAsia="zh-CN"/>
              </w:rPr>
            </w:pPr>
            <w:r>
              <w:rPr>
                <w:rFonts w:hint="eastAsia"/>
                <w:color w:val="auto"/>
                <w:highlight w:val="none"/>
                <w:lang w:val="en-US" w:eastAsia="zh-CN"/>
              </w:rPr>
              <w:t>对项目背景和</w:t>
            </w:r>
            <w:r>
              <w:rPr>
                <w:rFonts w:hint="eastAsia"/>
                <w:color w:val="auto"/>
                <w:highlight w:val="none"/>
              </w:rPr>
              <w:t>所有站点运行现状</w:t>
            </w:r>
            <w:r>
              <w:rPr>
                <w:rFonts w:hint="eastAsia"/>
                <w:color w:val="auto"/>
                <w:highlight w:val="none"/>
                <w:lang w:val="en-US" w:eastAsia="zh-CN"/>
              </w:rPr>
              <w:t>了解情况进行综合评议：</w:t>
            </w:r>
          </w:p>
          <w:p>
            <w:pPr>
              <w:rPr>
                <w:rFonts w:hint="default"/>
                <w:color w:val="auto"/>
                <w:highlight w:val="none"/>
                <w:lang w:val="en-US" w:eastAsia="zh-CN"/>
              </w:rPr>
            </w:pPr>
            <w:r>
              <w:rPr>
                <w:rFonts w:hint="eastAsia" w:ascii="宋体" w:hAnsi="宋体" w:cs="宋体"/>
                <w:color w:val="auto"/>
                <w:szCs w:val="21"/>
                <w:highlight w:val="none"/>
                <w:lang w:val="en-US" w:eastAsia="zh-CN"/>
              </w:rPr>
              <w:t>项目背景与</w:t>
            </w:r>
            <w:r>
              <w:rPr>
                <w:rFonts w:hint="eastAsia" w:ascii="宋体" w:hAnsi="宋体" w:cs="宋体"/>
                <w:color w:val="auto"/>
                <w:szCs w:val="21"/>
                <w:highlight w:val="none"/>
              </w:rPr>
              <w:t>现状分析透彻，问题剖析准确的得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分；项目背景与现状分析、问题剖析与实际情况基本吻合的得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分；项目背景与现状分析、问题剖析存在缺陷，不能满足采购人需求的得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分；对项目情况不了解，对本项目</w:t>
            </w:r>
            <w:r>
              <w:rPr>
                <w:rFonts w:hint="eastAsia" w:ascii="宋体" w:hAnsi="宋体" w:cs="宋体"/>
                <w:color w:val="auto"/>
                <w:szCs w:val="21"/>
                <w:highlight w:val="none"/>
                <w:lang w:val="en-US" w:eastAsia="zh-CN"/>
              </w:rPr>
              <w:t>现状</w:t>
            </w:r>
            <w:r>
              <w:rPr>
                <w:rFonts w:hint="eastAsia" w:ascii="宋体" w:hAnsi="宋体" w:cs="宋体"/>
                <w:color w:val="auto"/>
                <w:szCs w:val="21"/>
                <w:highlight w:val="none"/>
              </w:rPr>
              <w:t>内容的无充分分析，内容有重大缺失的本项不得分。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trPr>
        <w:tc>
          <w:tcPr>
            <w:tcW w:w="636" w:type="dxa"/>
            <w:vMerge w:val="continue"/>
            <w:shd w:val="clear" w:color="000000" w:fill="FFFFFF"/>
            <w:noWrap/>
            <w:vAlign w:val="center"/>
          </w:tcPr>
          <w:p>
            <w:pPr>
              <w:rPr>
                <w:rFonts w:hint="eastAsia" w:ascii="宋体" w:hAnsi="宋体"/>
                <w:color w:val="auto"/>
                <w:highlight w:val="none"/>
                <w:lang w:val="en-US" w:eastAsia="zh-CN"/>
              </w:rPr>
            </w:pPr>
          </w:p>
        </w:tc>
        <w:tc>
          <w:tcPr>
            <w:tcW w:w="800" w:type="dxa"/>
            <w:gridSpan w:val="2"/>
            <w:vMerge w:val="continue"/>
            <w:shd w:val="clear" w:color="000000" w:fill="FFFFFF"/>
            <w:noWrap w:val="0"/>
            <w:vAlign w:val="center"/>
          </w:tcPr>
          <w:p>
            <w:pPr>
              <w:rPr>
                <w:rFonts w:hint="eastAsia" w:ascii="宋体" w:hAnsi="宋体"/>
                <w:color w:val="auto"/>
                <w:highlight w:val="none"/>
                <w:lang w:val="en-US" w:eastAsia="zh-CN"/>
              </w:rPr>
            </w:pPr>
          </w:p>
        </w:tc>
        <w:tc>
          <w:tcPr>
            <w:tcW w:w="889" w:type="dxa"/>
            <w:shd w:val="clear" w:color="000000" w:fill="FFFFFF"/>
            <w:noWrap w:val="0"/>
            <w:vAlign w:val="center"/>
          </w:tcPr>
          <w:p>
            <w:pPr>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highlight w:val="none"/>
                <w:lang w:val="en-US" w:eastAsia="zh-CN"/>
              </w:rPr>
              <w:t>数据服务</w:t>
            </w:r>
            <w:r>
              <w:rPr>
                <w:rFonts w:hint="eastAsia" w:ascii="宋体" w:hAnsi="宋体"/>
                <w:color w:val="auto"/>
                <w:highlight w:val="none"/>
              </w:rPr>
              <w:t>运维实施方案</w:t>
            </w:r>
          </w:p>
        </w:tc>
        <w:tc>
          <w:tcPr>
            <w:tcW w:w="825" w:type="dxa"/>
            <w:shd w:val="clear" w:color="000000" w:fill="FFFFFF"/>
            <w:noWrap w:val="0"/>
            <w:vAlign w:val="center"/>
          </w:tcPr>
          <w:p>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12</w:t>
            </w:r>
          </w:p>
        </w:tc>
        <w:tc>
          <w:tcPr>
            <w:tcW w:w="6883" w:type="dxa"/>
            <w:shd w:val="clear" w:color="000000" w:fill="FFFFFF"/>
            <w:noWrap w:val="0"/>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对</w:t>
            </w:r>
            <w:r>
              <w:rPr>
                <w:rFonts w:hint="eastAsia" w:ascii="宋体" w:hAnsi="宋体"/>
                <w:color w:val="auto"/>
                <w:szCs w:val="21"/>
                <w:highlight w:val="none"/>
              </w:rPr>
              <w:t>投标人的运维实施方案</w:t>
            </w:r>
            <w:r>
              <w:rPr>
                <w:rFonts w:hint="eastAsia" w:ascii="宋体" w:hAnsi="宋体"/>
                <w:color w:val="auto"/>
                <w:szCs w:val="21"/>
                <w:highlight w:val="none"/>
                <w:lang w:val="en-US" w:eastAsia="zh-CN"/>
              </w:rPr>
              <w:t>进行综合评议：</w:t>
            </w:r>
          </w:p>
          <w:p>
            <w:pP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方案内容完整、全面，考虑周全，符合采购需求要求的得12分；方案内容较为完整、考虑较为周全，基本符合采购需求要求的得9分；方案内容完整性一般，考虑欠周全，与采购需求要求稍有偏离的得6分；方案内容不完整，考虑不周全，不符合采购需求要求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trPr>
        <w:tc>
          <w:tcPr>
            <w:tcW w:w="636" w:type="dxa"/>
            <w:vMerge w:val="continue"/>
            <w:shd w:val="clear" w:color="000000" w:fill="FFFFFF"/>
            <w:noWrap/>
            <w:vAlign w:val="center"/>
          </w:tcPr>
          <w:p>
            <w:pPr>
              <w:rPr>
                <w:rFonts w:hint="eastAsia" w:ascii="宋体" w:hAnsi="宋体"/>
                <w:color w:val="auto"/>
                <w:highlight w:val="none"/>
                <w:lang w:val="en-US" w:eastAsia="zh-CN"/>
              </w:rPr>
            </w:pPr>
          </w:p>
        </w:tc>
        <w:tc>
          <w:tcPr>
            <w:tcW w:w="800" w:type="dxa"/>
            <w:gridSpan w:val="2"/>
            <w:vMerge w:val="continue"/>
            <w:shd w:val="clear" w:color="000000" w:fill="FFFFFF"/>
            <w:noWrap w:val="0"/>
            <w:vAlign w:val="center"/>
          </w:tcPr>
          <w:p>
            <w:pPr>
              <w:rPr>
                <w:rFonts w:hint="eastAsia" w:ascii="宋体" w:hAnsi="宋体"/>
                <w:color w:val="auto"/>
                <w:highlight w:val="none"/>
                <w:lang w:val="en-US" w:eastAsia="zh-CN"/>
              </w:rPr>
            </w:pPr>
          </w:p>
        </w:tc>
        <w:tc>
          <w:tcPr>
            <w:tcW w:w="889" w:type="dxa"/>
            <w:shd w:val="clear" w:color="000000" w:fill="FFFFFF"/>
            <w:noWrap w:val="0"/>
            <w:vAlign w:val="center"/>
          </w:tcPr>
          <w:p>
            <w:pPr>
              <w:rPr>
                <w:rFonts w:hint="default" w:ascii="宋体" w:hAnsi="宋体"/>
                <w:color w:val="auto"/>
                <w:highlight w:val="none"/>
                <w:lang w:val="en-US" w:eastAsia="zh-CN"/>
              </w:rPr>
            </w:pPr>
            <w:r>
              <w:rPr>
                <w:rFonts w:hint="eastAsia" w:ascii="宋体" w:hAnsi="宋体"/>
                <w:color w:val="auto"/>
                <w:highlight w:val="none"/>
                <w:lang w:val="en-US" w:eastAsia="zh-CN"/>
              </w:rPr>
              <w:t>重点难点分析和解决措施</w:t>
            </w:r>
          </w:p>
        </w:tc>
        <w:tc>
          <w:tcPr>
            <w:tcW w:w="825" w:type="dxa"/>
            <w:shd w:val="clear" w:color="000000" w:fill="FFFFFF"/>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6883" w:type="dxa"/>
            <w:shd w:val="clear" w:color="000000" w:fill="FFFFFF"/>
            <w:noWrap w:val="0"/>
            <w:vAlign w:val="center"/>
          </w:tcPr>
          <w:p>
            <w:pPr>
              <w:rPr>
                <w:rFonts w:hint="default" w:ascii="宋体" w:hAnsi="宋体" w:cs="宋体"/>
                <w:color w:val="auto"/>
                <w:sz w:val="21"/>
                <w:szCs w:val="21"/>
                <w:highlight w:val="none"/>
                <w:lang w:val="en-US"/>
              </w:rPr>
            </w:pPr>
            <w:r>
              <w:rPr>
                <w:rFonts w:hint="eastAsia" w:ascii="宋体" w:hAnsi="宋体"/>
                <w:color w:val="auto"/>
                <w:highlight w:val="none"/>
                <w:lang w:val="en-US" w:eastAsia="zh-CN"/>
              </w:rPr>
              <w:t>对项目重点难点分析和解决措施内容进行综合评议：</w:t>
            </w:r>
          </w:p>
          <w:p>
            <w:pPr>
              <w:rPr>
                <w:rFonts w:hint="eastAsia" w:ascii="宋体" w:hAnsi="宋体"/>
                <w:color w:val="auto"/>
                <w:szCs w:val="21"/>
                <w:highlight w:val="none"/>
                <w:lang w:val="en-US" w:eastAsia="zh-CN"/>
              </w:rPr>
            </w:pPr>
            <w:r>
              <w:rPr>
                <w:rFonts w:hint="eastAsia" w:ascii="宋体" w:hAnsi="宋体" w:cs="宋体"/>
                <w:color w:val="auto"/>
                <w:sz w:val="21"/>
                <w:szCs w:val="21"/>
                <w:highlight w:val="none"/>
              </w:rPr>
              <w:t>重点难点分析内容完整、准确，解决措施方案具有针对性，切实可行的得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分；重点难点分析内容较为完整、准确，解决措施方案基本可行的得</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分；重点难点分析内容不够完整、准确，解决措施方案可行性一般的得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分；重点难点分析内容不完整、准确，解决措施方案不具有针对性，不可行的本项不得分。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trPr>
        <w:tc>
          <w:tcPr>
            <w:tcW w:w="636" w:type="dxa"/>
            <w:vMerge w:val="continue"/>
            <w:shd w:val="clear" w:color="000000" w:fill="FFFFFF"/>
            <w:noWrap/>
            <w:vAlign w:val="center"/>
          </w:tcPr>
          <w:p>
            <w:pPr>
              <w:rPr>
                <w:rFonts w:ascii="宋体" w:hAnsi="宋体"/>
                <w:color w:val="auto"/>
                <w:highlight w:val="none"/>
              </w:rPr>
            </w:pPr>
          </w:p>
        </w:tc>
        <w:tc>
          <w:tcPr>
            <w:tcW w:w="800" w:type="dxa"/>
            <w:gridSpan w:val="2"/>
            <w:vMerge w:val="continue"/>
            <w:shd w:val="clear" w:color="000000" w:fill="FFFFFF"/>
            <w:noWrap w:val="0"/>
            <w:vAlign w:val="center"/>
          </w:tcPr>
          <w:p>
            <w:pPr>
              <w:rPr>
                <w:rFonts w:ascii="宋体" w:hAnsi="宋体"/>
                <w:color w:val="auto"/>
                <w:highlight w:val="none"/>
              </w:rPr>
            </w:pPr>
          </w:p>
        </w:tc>
        <w:tc>
          <w:tcPr>
            <w:tcW w:w="889" w:type="dxa"/>
            <w:shd w:val="clear" w:color="000000" w:fill="FFFFFF"/>
            <w:noWrap w:val="0"/>
            <w:vAlign w:val="center"/>
          </w:tcPr>
          <w:p>
            <w:pPr>
              <w:rPr>
                <w:rFonts w:ascii="宋体" w:hAnsi="宋体"/>
                <w:color w:val="auto"/>
                <w:highlight w:val="none"/>
              </w:rPr>
            </w:pPr>
            <w:r>
              <w:rPr>
                <w:rFonts w:hint="eastAsia" w:ascii="宋体" w:hAnsi="宋体"/>
                <w:color w:val="auto"/>
                <w:highlight w:val="none"/>
              </w:rPr>
              <w:t>运维应急预案</w:t>
            </w:r>
          </w:p>
        </w:tc>
        <w:tc>
          <w:tcPr>
            <w:tcW w:w="825" w:type="dxa"/>
            <w:shd w:val="clear" w:color="000000" w:fill="FFFFFF"/>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6883" w:type="dxa"/>
            <w:shd w:val="clear" w:color="000000" w:fill="FFFFFF"/>
            <w:noWrap w:val="0"/>
            <w:vAlign w:val="center"/>
          </w:tcPr>
          <w:p>
            <w:pPr>
              <w:rPr>
                <w:rFonts w:ascii="宋体" w:hAnsi="宋体"/>
                <w:color w:val="auto"/>
                <w:szCs w:val="21"/>
                <w:highlight w:val="none"/>
              </w:rPr>
            </w:pPr>
            <w:r>
              <w:rPr>
                <w:rFonts w:hint="eastAsia" w:ascii="宋体" w:hAnsi="宋体"/>
                <w:color w:val="auto"/>
                <w:szCs w:val="21"/>
                <w:highlight w:val="none"/>
                <w:lang w:val="en-US" w:eastAsia="zh-CN"/>
              </w:rPr>
              <w:t>对</w:t>
            </w:r>
            <w:r>
              <w:rPr>
                <w:rFonts w:hint="eastAsia" w:ascii="宋体" w:hAnsi="宋体"/>
                <w:color w:val="auto"/>
                <w:szCs w:val="21"/>
                <w:highlight w:val="none"/>
              </w:rPr>
              <w:t>投标人</w:t>
            </w:r>
            <w:r>
              <w:rPr>
                <w:rFonts w:hint="eastAsia" w:ascii="宋体" w:hAnsi="宋体"/>
                <w:color w:val="auto"/>
                <w:szCs w:val="21"/>
                <w:highlight w:val="none"/>
                <w:lang w:val="en-US" w:eastAsia="zh-CN"/>
              </w:rPr>
              <w:t>的</w:t>
            </w:r>
            <w:r>
              <w:rPr>
                <w:rFonts w:hint="eastAsia" w:ascii="宋体" w:hAnsi="宋体"/>
                <w:color w:val="auto"/>
                <w:szCs w:val="21"/>
                <w:highlight w:val="none"/>
              </w:rPr>
              <w:t>运维应急预案</w:t>
            </w:r>
            <w:r>
              <w:rPr>
                <w:rFonts w:hint="eastAsia" w:ascii="宋体" w:hAnsi="宋体"/>
                <w:color w:val="auto"/>
                <w:szCs w:val="21"/>
                <w:highlight w:val="none"/>
                <w:lang w:val="en-US" w:eastAsia="zh-CN"/>
              </w:rPr>
              <w:t>进行综合评议：</w:t>
            </w:r>
            <w:r>
              <w:rPr>
                <w:rFonts w:hint="eastAsia" w:ascii="宋体" w:hAnsi="宋体"/>
                <w:color w:val="auto"/>
                <w:highlight w:val="none"/>
                <w:lang w:val="en-US" w:eastAsia="zh-CN"/>
              </w:rPr>
              <w:t>方案内容完整、全面，考虑周全，符合采购需求要求的得10分；方案内容较为完整、考虑较为周全，基本符合采购需求要求的得8分；方案内容完整性一般、考虑欠周全，与采购需求要求稍有偏离的得6分；方案内容不完整，考虑不周全，不符合采购需求要求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353" w:hRule="atLeast"/>
        </w:trPr>
        <w:tc>
          <w:tcPr>
            <w:tcW w:w="636" w:type="dxa"/>
            <w:vMerge w:val="continue"/>
            <w:shd w:val="clear" w:color="000000" w:fill="FFFFFF"/>
            <w:noWrap/>
            <w:vAlign w:val="center"/>
          </w:tcPr>
          <w:p>
            <w:pPr>
              <w:rPr>
                <w:rFonts w:ascii="宋体" w:hAnsi="宋体"/>
                <w:color w:val="auto"/>
                <w:highlight w:val="none"/>
              </w:rPr>
            </w:pPr>
          </w:p>
        </w:tc>
        <w:tc>
          <w:tcPr>
            <w:tcW w:w="800" w:type="dxa"/>
            <w:gridSpan w:val="2"/>
            <w:vMerge w:val="continue"/>
            <w:shd w:val="clear" w:color="000000" w:fill="FFFFFF"/>
            <w:noWrap w:val="0"/>
            <w:vAlign w:val="center"/>
          </w:tcPr>
          <w:p>
            <w:pPr>
              <w:rPr>
                <w:rFonts w:ascii="宋体" w:hAnsi="宋体"/>
                <w:color w:val="auto"/>
                <w:highlight w:val="none"/>
              </w:rPr>
            </w:pPr>
          </w:p>
        </w:tc>
        <w:tc>
          <w:tcPr>
            <w:tcW w:w="889" w:type="dxa"/>
            <w:shd w:val="clear" w:color="000000" w:fill="FFFFFF"/>
            <w:noWrap w:val="0"/>
            <w:vAlign w:val="center"/>
          </w:tcPr>
          <w:p>
            <w:pPr>
              <w:rPr>
                <w:rFonts w:ascii="宋体" w:hAnsi="宋体"/>
                <w:color w:val="auto"/>
                <w:highlight w:val="none"/>
              </w:rPr>
            </w:pPr>
            <w:r>
              <w:rPr>
                <w:rFonts w:hint="eastAsia" w:ascii="宋体" w:hAnsi="宋体"/>
                <w:color w:val="auto"/>
                <w:highlight w:val="none"/>
              </w:rPr>
              <w:t>质量控制方案</w:t>
            </w:r>
          </w:p>
        </w:tc>
        <w:tc>
          <w:tcPr>
            <w:tcW w:w="825" w:type="dxa"/>
            <w:shd w:val="clear" w:color="000000" w:fill="FFFFFF"/>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6883" w:type="dxa"/>
            <w:shd w:val="clear" w:color="000000" w:fill="FFFFFF"/>
            <w:noWrap w:val="0"/>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对</w:t>
            </w:r>
            <w:r>
              <w:rPr>
                <w:rFonts w:hint="eastAsia" w:ascii="宋体" w:hAnsi="宋体"/>
                <w:color w:val="auto"/>
                <w:szCs w:val="21"/>
                <w:highlight w:val="none"/>
              </w:rPr>
              <w:t>投标人</w:t>
            </w:r>
            <w:r>
              <w:rPr>
                <w:rFonts w:hint="eastAsia" w:ascii="宋体" w:hAnsi="宋体"/>
                <w:color w:val="auto"/>
                <w:szCs w:val="21"/>
                <w:highlight w:val="none"/>
                <w:lang w:val="en-US" w:eastAsia="zh-CN"/>
              </w:rPr>
              <w:t>的</w:t>
            </w:r>
            <w:r>
              <w:rPr>
                <w:rFonts w:hint="eastAsia" w:ascii="宋体" w:hAnsi="宋体"/>
                <w:color w:val="auto"/>
                <w:szCs w:val="21"/>
                <w:highlight w:val="none"/>
              </w:rPr>
              <w:t>质量控制方案</w:t>
            </w:r>
            <w:r>
              <w:rPr>
                <w:rFonts w:hint="eastAsia" w:ascii="宋体" w:hAnsi="宋体"/>
                <w:color w:val="auto"/>
                <w:szCs w:val="21"/>
                <w:highlight w:val="none"/>
                <w:lang w:val="en-US" w:eastAsia="zh-CN"/>
              </w:rPr>
              <w:t>进行综合评议：</w:t>
            </w:r>
            <w:r>
              <w:rPr>
                <w:rFonts w:hint="eastAsia" w:ascii="宋体" w:hAnsi="宋体"/>
                <w:color w:val="auto"/>
                <w:highlight w:val="none"/>
                <w:lang w:val="en-US" w:eastAsia="zh-CN"/>
              </w:rPr>
              <w:t>方案内容完整、全面，考虑周全，符合采购需求要求的得10分；方案内容较为完整、考虑较为周全，基本符合采购需求要求的得8分；方案内容完整性一般、考虑欠周全，与采购需求要求稍有偏离的得6分；方案内容不完整，考虑不周全，不符合采购需求要求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465" w:hRule="atLeast"/>
        </w:trPr>
        <w:tc>
          <w:tcPr>
            <w:tcW w:w="636" w:type="dxa"/>
            <w:vMerge w:val="continue"/>
            <w:shd w:val="clear" w:color="000000" w:fill="FFFFFF"/>
            <w:noWrap w:val="0"/>
            <w:vAlign w:val="center"/>
          </w:tcPr>
          <w:p>
            <w:pPr>
              <w:rPr>
                <w:rFonts w:ascii="宋体" w:hAnsi="宋体"/>
                <w:color w:val="auto"/>
                <w:highlight w:val="none"/>
              </w:rPr>
            </w:pPr>
          </w:p>
        </w:tc>
        <w:tc>
          <w:tcPr>
            <w:tcW w:w="1689" w:type="dxa"/>
            <w:gridSpan w:val="3"/>
            <w:vMerge w:val="restart"/>
            <w:shd w:val="clear" w:color="000000" w:fill="FFFFFF"/>
            <w:noWrap w:val="0"/>
            <w:vAlign w:val="center"/>
          </w:tcPr>
          <w:p>
            <w:pPr>
              <w:rPr>
                <w:rFonts w:ascii="宋体" w:hAnsi="宋体"/>
                <w:color w:val="auto"/>
                <w:highlight w:val="none"/>
              </w:rPr>
            </w:pPr>
            <w:r>
              <w:rPr>
                <w:rFonts w:hint="eastAsia" w:ascii="宋体" w:hAnsi="宋体"/>
                <w:color w:val="auto"/>
                <w:highlight w:val="none"/>
              </w:rPr>
              <w:t>服务能力（</w:t>
            </w:r>
            <w:r>
              <w:rPr>
                <w:rFonts w:hint="eastAsia" w:ascii="宋体" w:hAnsi="宋体"/>
                <w:color w:val="auto"/>
                <w:szCs w:val="21"/>
                <w:highlight w:val="none"/>
                <w:lang w:val="en-US" w:eastAsia="zh-CN"/>
              </w:rPr>
              <w:t>24</w:t>
            </w:r>
            <w:r>
              <w:rPr>
                <w:rFonts w:hint="eastAsia" w:ascii="宋体" w:hAnsi="宋体"/>
                <w:color w:val="auto"/>
                <w:highlight w:val="none"/>
              </w:rPr>
              <w:t>分）</w:t>
            </w:r>
          </w:p>
        </w:tc>
        <w:tc>
          <w:tcPr>
            <w:tcW w:w="825" w:type="dxa"/>
            <w:shd w:val="clear" w:color="000000" w:fill="FFFFFF"/>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12</w:t>
            </w:r>
          </w:p>
        </w:tc>
        <w:tc>
          <w:tcPr>
            <w:tcW w:w="6883" w:type="dxa"/>
            <w:shd w:val="clear" w:color="000000" w:fill="FFFFFF"/>
            <w:noWrap w:val="0"/>
            <w:vAlign w:val="center"/>
          </w:tcPr>
          <w:p>
            <w:pPr>
              <w:numPr>
                <w:ilvl w:val="0"/>
                <w:numId w:val="0"/>
              </w:numPr>
              <w:rPr>
                <w:rFonts w:hint="eastAsia"/>
                <w:color w:val="auto"/>
                <w:highlight w:val="none"/>
                <w:lang w:val="en-US" w:eastAsia="zh-CN"/>
              </w:rPr>
            </w:pPr>
            <w:r>
              <w:rPr>
                <w:rFonts w:hint="eastAsia"/>
                <w:color w:val="auto"/>
                <w:highlight w:val="none"/>
                <w:lang w:val="en-US" w:eastAsia="zh-CN"/>
              </w:rPr>
              <w:t>项目团队：</w:t>
            </w:r>
          </w:p>
          <w:p>
            <w:pPr>
              <w:numPr>
                <w:ilvl w:val="0"/>
                <w:numId w:val="0"/>
              </w:numPr>
              <w:rPr>
                <w:rFonts w:hint="eastAsia"/>
                <w:color w:val="auto"/>
                <w:highlight w:val="none"/>
                <w:lang w:val="en-US" w:eastAsia="zh-CN"/>
              </w:rPr>
            </w:pPr>
            <w:r>
              <w:rPr>
                <w:rFonts w:hint="eastAsia"/>
                <w:color w:val="auto"/>
                <w:highlight w:val="none"/>
                <w:lang w:val="en-US" w:eastAsia="zh-CN"/>
              </w:rPr>
              <w:t>（1）项目负责人具备中级及以上职称且具备有效期内相关环境监测部门或环境监测协会颁发的水质环境自动监测系统运维培训合格证的，得2分，没有不得分。</w:t>
            </w:r>
            <w:r>
              <w:rPr>
                <w:rFonts w:hint="eastAsia"/>
                <w:color w:val="auto"/>
                <w:highlight w:val="none"/>
                <w:lang w:val="en-US" w:eastAsia="zh-CN"/>
              </w:rPr>
              <w:br w:type="textWrapping"/>
            </w:r>
            <w:r>
              <w:rPr>
                <w:rFonts w:hint="eastAsia"/>
                <w:color w:val="auto"/>
                <w:highlight w:val="none"/>
                <w:lang w:val="en-US" w:eastAsia="zh-CN"/>
              </w:rPr>
              <w:t>注：需提供相关证书和投标文件递交截止时间前近3个月任意1个月的社保缴纳证明。</w:t>
            </w:r>
          </w:p>
          <w:p>
            <w:pPr>
              <w:numPr>
                <w:ilvl w:val="0"/>
                <w:numId w:val="0"/>
              </w:numPr>
              <w:rPr>
                <w:rFonts w:hint="default" w:ascii="宋体" w:hAnsi="宋体" w:eastAsia="宋体"/>
                <w:color w:val="auto"/>
                <w:szCs w:val="21"/>
                <w:highlight w:val="none"/>
                <w:lang w:val="en-US" w:eastAsia="zh-CN"/>
              </w:rPr>
            </w:pPr>
            <w:r>
              <w:rPr>
                <w:rFonts w:hint="eastAsia"/>
                <w:color w:val="auto"/>
                <w:highlight w:val="none"/>
                <w:lang w:val="en-US" w:eastAsia="zh-CN"/>
              </w:rPr>
              <w:t>（2）</w:t>
            </w:r>
            <w:r>
              <w:rPr>
                <w:rFonts w:hint="default"/>
                <w:color w:val="auto"/>
                <w:highlight w:val="none"/>
                <w:lang w:val="en-US" w:eastAsia="zh-CN"/>
              </w:rPr>
              <w:t>项目运维人员</w:t>
            </w:r>
            <w:r>
              <w:rPr>
                <w:rFonts w:hint="eastAsia"/>
                <w:color w:val="auto"/>
                <w:highlight w:val="none"/>
                <w:lang w:val="en-US" w:eastAsia="zh-CN"/>
              </w:rPr>
              <w:t>（项目负责人除外）</w:t>
            </w:r>
            <w:r>
              <w:rPr>
                <w:rFonts w:hint="default"/>
                <w:color w:val="auto"/>
                <w:highlight w:val="none"/>
                <w:lang w:val="en-US" w:eastAsia="zh-CN"/>
              </w:rPr>
              <w:t>具备有效期内的相关环境监测部门或环境监测协会颁发的水质环境自动监测系统运维培训合格证，每</w:t>
            </w:r>
            <w:r>
              <w:rPr>
                <w:rFonts w:hint="eastAsia"/>
                <w:color w:val="auto"/>
                <w:highlight w:val="none"/>
                <w:lang w:val="en-US" w:eastAsia="zh-CN"/>
              </w:rPr>
              <w:t>有一</w:t>
            </w:r>
            <w:r>
              <w:rPr>
                <w:rFonts w:hint="default"/>
                <w:color w:val="auto"/>
                <w:highlight w:val="none"/>
                <w:lang w:val="en-US" w:eastAsia="zh-CN"/>
              </w:rPr>
              <w:t>人</w:t>
            </w:r>
            <w:r>
              <w:rPr>
                <w:rFonts w:hint="eastAsia"/>
                <w:color w:val="auto"/>
                <w:highlight w:val="none"/>
                <w:lang w:val="en-US" w:eastAsia="zh-CN"/>
              </w:rPr>
              <w:t>的</w:t>
            </w:r>
            <w:r>
              <w:rPr>
                <w:rFonts w:hint="default"/>
                <w:color w:val="auto"/>
                <w:highlight w:val="none"/>
                <w:lang w:val="en-US" w:eastAsia="zh-CN"/>
              </w:rPr>
              <w:t>得</w:t>
            </w:r>
            <w:r>
              <w:rPr>
                <w:rFonts w:hint="eastAsia"/>
                <w:color w:val="auto"/>
                <w:highlight w:val="none"/>
                <w:lang w:val="en-US" w:eastAsia="zh-CN"/>
              </w:rPr>
              <w:t>1</w:t>
            </w:r>
            <w:r>
              <w:rPr>
                <w:rFonts w:hint="default"/>
                <w:color w:val="auto"/>
                <w:highlight w:val="none"/>
                <w:lang w:val="en-US" w:eastAsia="zh-CN"/>
              </w:rPr>
              <w:t>分，最高得</w:t>
            </w:r>
            <w:r>
              <w:rPr>
                <w:rFonts w:hint="eastAsia"/>
                <w:color w:val="auto"/>
                <w:highlight w:val="none"/>
                <w:lang w:val="en-US" w:eastAsia="zh-CN"/>
              </w:rPr>
              <w:t>10</w:t>
            </w:r>
            <w:r>
              <w:rPr>
                <w:rFonts w:hint="default"/>
                <w:color w:val="auto"/>
                <w:highlight w:val="none"/>
                <w:lang w:val="en-US" w:eastAsia="zh-CN"/>
              </w:rPr>
              <w:t>分</w:t>
            </w:r>
            <w:r>
              <w:rPr>
                <w:rFonts w:hint="eastAsia"/>
                <w:color w:val="auto"/>
                <w:highlight w:val="none"/>
                <w:lang w:val="en-US" w:eastAsia="zh-CN"/>
              </w:rPr>
              <w:t>，没有不得分</w:t>
            </w:r>
            <w:r>
              <w:rPr>
                <w:rFonts w:hint="default" w:ascii="宋体" w:hAnsi="宋体" w:eastAsia="宋体"/>
                <w:color w:val="auto"/>
                <w:szCs w:val="21"/>
                <w:highlight w:val="none"/>
                <w:lang w:val="en-US" w:eastAsia="zh-CN"/>
              </w:rPr>
              <w:t>。</w:t>
            </w:r>
          </w:p>
          <w:p>
            <w:pPr>
              <w:rPr>
                <w:rFonts w:hint="default"/>
                <w:color w:val="auto"/>
                <w:highlight w:val="none"/>
                <w:lang w:val="en-US" w:eastAsia="zh-CN"/>
              </w:rPr>
            </w:pPr>
            <w:r>
              <w:rPr>
                <w:rFonts w:hint="eastAsia" w:ascii="宋体" w:hAnsi="宋体" w:eastAsia="宋体"/>
                <w:color w:val="auto"/>
                <w:szCs w:val="21"/>
                <w:highlight w:val="none"/>
                <w:lang w:val="en-US" w:eastAsia="zh-CN"/>
              </w:rPr>
              <w:t>注：需提供相关证书和投标文件递交截止时间前近3个月任意1个月的社保缴纳证明。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890" w:hRule="atLeast"/>
        </w:trPr>
        <w:tc>
          <w:tcPr>
            <w:tcW w:w="636" w:type="dxa"/>
            <w:vMerge w:val="continue"/>
            <w:shd w:val="clear" w:color="000000" w:fill="FFFFFF"/>
            <w:noWrap w:val="0"/>
            <w:vAlign w:val="center"/>
          </w:tcPr>
          <w:p>
            <w:pPr>
              <w:rPr>
                <w:rFonts w:ascii="宋体" w:hAnsi="宋体"/>
                <w:color w:val="auto"/>
                <w:highlight w:val="none"/>
              </w:rPr>
            </w:pPr>
          </w:p>
        </w:tc>
        <w:tc>
          <w:tcPr>
            <w:tcW w:w="1689" w:type="dxa"/>
            <w:gridSpan w:val="3"/>
            <w:vMerge w:val="continue"/>
            <w:shd w:val="clear" w:color="000000" w:fill="FFFFFF"/>
            <w:noWrap w:val="0"/>
            <w:vAlign w:val="center"/>
          </w:tcPr>
          <w:p>
            <w:pPr>
              <w:rPr>
                <w:rFonts w:hint="eastAsia" w:ascii="宋体" w:hAnsi="宋体"/>
                <w:color w:val="auto"/>
                <w:highlight w:val="none"/>
              </w:rPr>
            </w:pPr>
          </w:p>
        </w:tc>
        <w:tc>
          <w:tcPr>
            <w:tcW w:w="825" w:type="dxa"/>
            <w:shd w:val="clear" w:color="000000" w:fill="FFFFFF"/>
            <w:noWrap w:val="0"/>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olor w:val="auto"/>
                <w:szCs w:val="21"/>
                <w:highlight w:val="none"/>
                <w:lang w:val="en-US" w:eastAsia="zh-CN"/>
              </w:rPr>
              <w:t>12</w:t>
            </w:r>
          </w:p>
        </w:tc>
        <w:tc>
          <w:tcPr>
            <w:tcW w:w="6883" w:type="dxa"/>
            <w:shd w:val="clear" w:color="000000" w:fill="FFFFFF"/>
            <w:noWrap w:val="0"/>
            <w:vAlign w:val="center"/>
          </w:tcPr>
          <w:p>
            <w:pPr>
              <w:spacing w:after="120" w:afterLines="50"/>
              <w:rPr>
                <w:rFonts w:hint="eastAsia" w:ascii="Times New Roman" w:hAnsi="Times New Roman" w:eastAsia="宋体" w:cs="Times New Roman"/>
                <w:b/>
                <w:bCs/>
                <w:color w:val="auto"/>
                <w:kern w:val="2"/>
                <w:sz w:val="21"/>
                <w:szCs w:val="24"/>
                <w:highlight w:val="none"/>
                <w:lang w:val="en-US" w:eastAsia="zh-CN" w:bidi="ar-SA"/>
              </w:rPr>
            </w:pPr>
            <w:r>
              <w:rPr>
                <w:rFonts w:hint="eastAsia" w:ascii="宋体" w:hAnsi="宋体"/>
                <w:color w:val="auto"/>
                <w:szCs w:val="21"/>
                <w:highlight w:val="none"/>
                <w:lang w:val="en-US" w:eastAsia="zh-CN"/>
              </w:rPr>
              <w:t>对</w:t>
            </w:r>
            <w:r>
              <w:rPr>
                <w:rFonts w:hint="eastAsia" w:ascii="宋体" w:hAnsi="宋体"/>
                <w:color w:val="auto"/>
                <w:szCs w:val="21"/>
                <w:highlight w:val="none"/>
              </w:rPr>
              <w:t>投标人</w:t>
            </w:r>
            <w:r>
              <w:rPr>
                <w:rFonts w:hint="eastAsia" w:ascii="宋体" w:hAnsi="宋体"/>
                <w:color w:val="auto"/>
                <w:szCs w:val="21"/>
                <w:highlight w:val="none"/>
                <w:lang w:val="en-US" w:eastAsia="zh-CN"/>
              </w:rPr>
              <w:t>的</w:t>
            </w:r>
            <w:r>
              <w:rPr>
                <w:rFonts w:hint="eastAsia" w:ascii="宋体" w:hAnsi="宋体"/>
                <w:color w:val="auto"/>
                <w:szCs w:val="21"/>
                <w:highlight w:val="none"/>
              </w:rPr>
              <w:t>服务能力：备机、备品备件库、服务网点、运维车辆</w:t>
            </w:r>
            <w:r>
              <w:rPr>
                <w:rFonts w:hint="eastAsia" w:ascii="宋体" w:hAnsi="宋体"/>
                <w:color w:val="auto"/>
                <w:szCs w:val="21"/>
                <w:highlight w:val="none"/>
                <w:lang w:val="en-US" w:eastAsia="zh-CN"/>
              </w:rPr>
              <w:t>进行综合评议（提供相关证明材料）：备机、备品备件库配备完善，网点服务便捷，车辆充足，完全满足运维服务要求的得12分；备机、备品备件库配备较为完善，网点服务较为便捷，车辆较为充足，基本满足运维服务要求的得9分；备机、备品备件库配备完善性一般，网点服务便捷性一般，车辆略有缺失，与运维服务要求稍有偏离的得6分；备机、备品备件库配备不完善，网点服务不便捷，车辆不充足，不能满足运维服务要求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trPr>
        <w:tc>
          <w:tcPr>
            <w:tcW w:w="645" w:type="dxa"/>
            <w:gridSpan w:val="2"/>
            <w:shd w:val="clear" w:color="auto" w:fill="auto"/>
            <w:noWrap w:val="0"/>
            <w:vAlign w:val="center"/>
          </w:tcPr>
          <w:p>
            <w:pPr>
              <w:rPr>
                <w:rFonts w:hint="eastAsia" w:ascii="宋体" w:hAnsi="宋体" w:eastAsia="宋体"/>
                <w:color w:val="auto"/>
                <w:highlight w:val="none"/>
                <w:lang w:eastAsia="zh-CN"/>
              </w:rPr>
            </w:pPr>
            <w:r>
              <w:rPr>
                <w:rFonts w:hint="eastAsia" w:ascii="宋体" w:hAnsi="宋体"/>
                <w:color w:val="auto"/>
                <w:highlight w:val="none"/>
                <w:lang w:val="en-US" w:eastAsia="zh-CN"/>
              </w:rPr>
              <w:t>5</w:t>
            </w:r>
          </w:p>
        </w:tc>
        <w:tc>
          <w:tcPr>
            <w:tcW w:w="1680" w:type="dxa"/>
            <w:gridSpan w:val="2"/>
            <w:shd w:val="clear" w:color="auto" w:fill="auto"/>
            <w:noWrap w:val="0"/>
            <w:vAlign w:val="center"/>
          </w:tcPr>
          <w:p>
            <w:pPr>
              <w:rPr>
                <w:rFonts w:ascii="宋体" w:hAnsi="宋体"/>
                <w:color w:val="auto"/>
                <w:highlight w:val="none"/>
              </w:rPr>
            </w:pPr>
            <w:r>
              <w:rPr>
                <w:rFonts w:hint="eastAsia" w:ascii="宋体" w:hAnsi="宋体"/>
                <w:color w:val="auto"/>
                <w:highlight w:val="none"/>
              </w:rPr>
              <w:t>价格分（10分）</w:t>
            </w:r>
          </w:p>
        </w:tc>
        <w:tc>
          <w:tcPr>
            <w:tcW w:w="825" w:type="dxa"/>
            <w:shd w:val="clear" w:color="000000" w:fill="FFFFFF"/>
            <w:noWrap w:val="0"/>
            <w:vAlign w:val="center"/>
          </w:tcPr>
          <w:p>
            <w:pPr>
              <w:jc w:val="center"/>
              <w:rPr>
                <w:rFonts w:ascii="宋体" w:hAnsi="宋体"/>
                <w:color w:val="auto"/>
                <w:highlight w:val="none"/>
              </w:rPr>
            </w:pPr>
            <w:r>
              <w:rPr>
                <w:rFonts w:hint="eastAsia" w:ascii="宋体" w:hAnsi="宋体"/>
                <w:color w:val="auto"/>
                <w:highlight w:val="none"/>
              </w:rPr>
              <w:t>10</w:t>
            </w:r>
          </w:p>
        </w:tc>
        <w:tc>
          <w:tcPr>
            <w:tcW w:w="6883" w:type="dxa"/>
            <w:shd w:val="clear" w:color="000000" w:fill="FFFFFF"/>
            <w:noWrap w:val="0"/>
            <w:vAlign w:val="center"/>
          </w:tcPr>
          <w:p>
            <w:pPr>
              <w:rPr>
                <w:rFonts w:ascii="宋体" w:hAnsi="宋体" w:cs="宋体"/>
                <w:color w:val="auto"/>
                <w:sz w:val="20"/>
                <w:szCs w:val="20"/>
              </w:rPr>
            </w:pPr>
            <w:r>
              <w:rPr>
                <w:rFonts w:hint="eastAsia" w:ascii="宋体" w:hAnsi="宋体" w:cs="宋体"/>
                <w:color w:val="auto"/>
                <w:sz w:val="20"/>
                <w:szCs w:val="20"/>
              </w:rPr>
              <w:t>参与评审的价格=满足采购文件要求的投标报价</w:t>
            </w:r>
          </w:p>
          <w:p>
            <w:pPr>
              <w:rPr>
                <w:rFonts w:ascii="宋体" w:hAnsi="宋体" w:cs="宋体"/>
                <w:color w:val="auto"/>
                <w:sz w:val="20"/>
                <w:szCs w:val="20"/>
              </w:rPr>
            </w:pPr>
            <w:r>
              <w:rPr>
                <w:rFonts w:hint="eastAsia" w:ascii="宋体" w:hAnsi="宋体" w:cs="宋体"/>
                <w:color w:val="auto"/>
                <w:sz w:val="20"/>
                <w:szCs w:val="20"/>
              </w:rPr>
              <w:t>基准价=参与评审的价格中最低的投标报价</w:t>
            </w:r>
          </w:p>
          <w:p>
            <w:pPr>
              <w:rPr>
                <w:rFonts w:ascii="宋体" w:hAnsi="宋体" w:cs="宋体"/>
                <w:color w:val="auto"/>
                <w:sz w:val="20"/>
                <w:szCs w:val="20"/>
              </w:rPr>
            </w:pPr>
            <w:r>
              <w:rPr>
                <w:rFonts w:hint="eastAsia" w:ascii="宋体" w:hAnsi="宋体" w:cs="宋体"/>
                <w:color w:val="auto"/>
                <w:sz w:val="20"/>
                <w:szCs w:val="20"/>
              </w:rPr>
              <w:t>基准价</w:t>
            </w:r>
            <w:r>
              <w:rPr>
                <w:rFonts w:hint="eastAsia" w:ascii="宋体" w:hAnsi="宋体" w:cs="宋体"/>
                <w:color w:val="auto"/>
                <w:sz w:val="20"/>
                <w:szCs w:val="20"/>
                <w:lang w:val="en-US" w:eastAsia="zh-CN"/>
              </w:rPr>
              <w:t>得分为</w:t>
            </w:r>
            <w:r>
              <w:rPr>
                <w:rFonts w:hint="eastAsia" w:ascii="宋体" w:hAnsi="宋体" w:cs="宋体"/>
                <w:color w:val="auto"/>
                <w:sz w:val="20"/>
                <w:szCs w:val="20"/>
              </w:rPr>
              <w:t>10分</w:t>
            </w:r>
          </w:p>
          <w:p>
            <w:pPr>
              <w:rPr>
                <w:rFonts w:ascii="宋体" w:hAnsi="宋体" w:cs="宋体"/>
                <w:color w:val="auto"/>
                <w:sz w:val="20"/>
                <w:szCs w:val="20"/>
              </w:rPr>
            </w:pPr>
            <w:r>
              <w:rPr>
                <w:rFonts w:hint="eastAsia" w:ascii="宋体" w:hAnsi="宋体" w:cs="宋体"/>
                <w:color w:val="auto"/>
                <w:sz w:val="20"/>
                <w:szCs w:val="20"/>
              </w:rPr>
              <w:t>报价得分=（基准价/参与评审的价格）×10</w:t>
            </w:r>
          </w:p>
          <w:p>
            <w:pPr>
              <w:rPr>
                <w:rFonts w:ascii="宋体" w:hAnsi="宋体"/>
                <w:color w:val="auto"/>
                <w:highlight w:val="none"/>
              </w:rPr>
            </w:pPr>
            <w:r>
              <w:rPr>
                <w:rFonts w:hint="eastAsia" w:ascii="宋体" w:hAnsi="宋体" w:cs="宋体"/>
                <w:color w:val="auto"/>
                <w:sz w:val="20"/>
                <w:szCs w:val="20"/>
              </w:rPr>
              <w:t>本项目</w:t>
            </w:r>
            <w:r>
              <w:rPr>
                <w:rFonts w:hint="eastAsia" w:ascii="宋体" w:hAnsi="宋体" w:cs="宋体"/>
                <w:color w:val="auto"/>
                <w:sz w:val="20"/>
                <w:szCs w:val="20"/>
                <w:lang w:val="en-US" w:eastAsia="zh-CN"/>
              </w:rPr>
              <w:t>不</w:t>
            </w:r>
            <w:r>
              <w:rPr>
                <w:rFonts w:hint="eastAsia" w:ascii="宋体" w:hAnsi="宋体" w:cs="宋体"/>
                <w:color w:val="auto"/>
                <w:sz w:val="20"/>
                <w:szCs w:val="20"/>
              </w:rPr>
              <w:t>专门面向中小微企业，执行价格评审优惠的扶持政策。</w:t>
            </w:r>
          </w:p>
        </w:tc>
      </w:tr>
    </w:tbl>
    <w:p>
      <w:pPr>
        <w:spacing w:before="120" w:beforeLines="50" w:line="360" w:lineRule="auto"/>
        <w:ind w:firstLine="476" w:firstLineChars="200"/>
        <w:rPr>
          <w:rFonts w:hint="eastAsia" w:ascii="宋体" w:hAnsi="宋体"/>
          <w:spacing w:val="14"/>
          <w:szCs w:val="21"/>
        </w:rPr>
      </w:pPr>
      <w:r>
        <w:rPr>
          <w:rFonts w:hint="eastAsia" w:ascii="宋体" w:hAnsi="宋体"/>
          <w:spacing w:val="14"/>
          <w:szCs w:val="21"/>
        </w:rPr>
        <w:t>评委签名：                                 日  期：</w:t>
      </w:r>
    </w:p>
    <w:p>
      <w:pPr>
        <w:pStyle w:val="54"/>
        <w:rPr>
          <w:rFonts w:hint="eastAsia"/>
        </w:rPr>
      </w:pPr>
    </w:p>
    <w:p>
      <w:pPr>
        <w:rPr>
          <w:rFonts w:hint="eastAsia" w:ascii="宋体" w:hAnsi="宋体" w:eastAsia="宋体"/>
          <w:sz w:val="24"/>
        </w:rPr>
      </w:pPr>
      <w:bookmarkStart w:id="47" w:name="_Toc34844745"/>
      <w:r>
        <w:rPr>
          <w:rFonts w:hint="eastAsia" w:ascii="宋体" w:hAnsi="宋体" w:eastAsia="宋体"/>
          <w:sz w:val="24"/>
        </w:rPr>
        <w:br w:type="page"/>
      </w:r>
    </w:p>
    <w:p>
      <w:pPr>
        <w:pStyle w:val="41"/>
        <w:spacing w:line="360" w:lineRule="auto"/>
        <w:rPr>
          <w:rFonts w:ascii="宋体" w:hAnsi="宋体" w:eastAsia="宋体"/>
          <w:sz w:val="32"/>
        </w:rPr>
      </w:pPr>
      <w:r>
        <w:rPr>
          <w:rFonts w:hint="eastAsia" w:ascii="宋体" w:hAnsi="宋体" w:eastAsia="宋体"/>
          <w:sz w:val="24"/>
        </w:rPr>
        <w:t>第五章  合同文本</w:t>
      </w:r>
      <w:bookmarkEnd w:id="47"/>
    </w:p>
    <w:p>
      <w:pPr>
        <w:spacing w:line="400" w:lineRule="exact"/>
        <w:rPr>
          <w:b/>
          <w:color w:val="000000"/>
          <w:szCs w:val="21"/>
        </w:rPr>
      </w:pPr>
      <w:r>
        <w:rPr>
          <w:rFonts w:hint="eastAsia"/>
          <w:b/>
          <w:color w:val="000000"/>
          <w:szCs w:val="21"/>
        </w:rPr>
        <w:t>甲</w:t>
      </w:r>
      <w:r>
        <w:rPr>
          <w:b/>
          <w:color w:val="000000"/>
          <w:szCs w:val="21"/>
        </w:rPr>
        <w:t xml:space="preserve">    </w:t>
      </w:r>
      <w:r>
        <w:rPr>
          <w:rFonts w:hint="eastAsia"/>
          <w:b/>
          <w:color w:val="000000"/>
          <w:szCs w:val="21"/>
        </w:rPr>
        <w:t>方</w:t>
      </w:r>
      <w:r>
        <w:rPr>
          <w:rFonts w:hint="eastAsia"/>
          <w:color w:val="000000"/>
          <w:szCs w:val="21"/>
        </w:rPr>
        <w:t>（采购人）</w:t>
      </w:r>
      <w:r>
        <w:rPr>
          <w:rFonts w:hint="eastAsia"/>
          <w:b/>
          <w:color w:val="000000"/>
          <w:szCs w:val="21"/>
        </w:rPr>
        <w:t>：</w:t>
      </w:r>
      <w:r>
        <w:rPr>
          <w:b/>
          <w:color w:val="000000"/>
          <w:szCs w:val="21"/>
          <w:u w:val="single"/>
        </w:rPr>
        <w:t xml:space="preserve"> </w:t>
      </w:r>
      <w:r>
        <w:rPr>
          <w:rFonts w:hint="eastAsia"/>
          <w:b/>
          <w:color w:val="000000"/>
          <w:szCs w:val="21"/>
          <w:u w:val="single"/>
        </w:rPr>
        <w:t xml:space="preserve">                  </w:t>
      </w:r>
    </w:p>
    <w:p>
      <w:pPr>
        <w:spacing w:line="400" w:lineRule="exact"/>
        <w:rPr>
          <w:color w:val="000000"/>
          <w:szCs w:val="21"/>
        </w:rPr>
      </w:pPr>
      <w:r>
        <w:rPr>
          <w:rFonts w:hint="eastAsia"/>
          <w:b/>
          <w:color w:val="000000"/>
          <w:szCs w:val="21"/>
        </w:rPr>
        <w:t>乙</w:t>
      </w:r>
      <w:r>
        <w:rPr>
          <w:b/>
          <w:color w:val="000000"/>
          <w:szCs w:val="21"/>
        </w:rPr>
        <w:t xml:space="preserve">    </w:t>
      </w:r>
      <w:r>
        <w:rPr>
          <w:rFonts w:hint="eastAsia"/>
          <w:b/>
          <w:color w:val="000000"/>
          <w:szCs w:val="21"/>
        </w:rPr>
        <w:t>方</w:t>
      </w:r>
      <w:r>
        <w:rPr>
          <w:rFonts w:hint="eastAsia"/>
          <w:color w:val="000000"/>
          <w:szCs w:val="21"/>
        </w:rPr>
        <w:t>（中标人）</w:t>
      </w:r>
      <w:r>
        <w:rPr>
          <w:rFonts w:hint="eastAsia"/>
          <w:b/>
          <w:color w:val="000000"/>
          <w:szCs w:val="21"/>
        </w:rPr>
        <w:t>：</w:t>
      </w:r>
      <w:r>
        <w:rPr>
          <w:b/>
          <w:color w:val="000000"/>
          <w:szCs w:val="21"/>
          <w:u w:val="single"/>
        </w:rPr>
        <w:t xml:space="preserve">                   </w:t>
      </w:r>
      <w:r>
        <w:rPr>
          <w:b/>
          <w:color w:val="000000"/>
          <w:szCs w:val="21"/>
        </w:rPr>
        <w:br w:type="textWrapping"/>
      </w:r>
    </w:p>
    <w:p>
      <w:pPr>
        <w:spacing w:line="360" w:lineRule="exact"/>
        <w:ind w:firstLine="315" w:firstLineChars="150"/>
        <w:rPr>
          <w:rFonts w:hAnsi="宋体"/>
          <w:color w:val="000000"/>
          <w:szCs w:val="21"/>
        </w:rPr>
      </w:pPr>
      <w:r>
        <w:rPr>
          <w:rFonts w:hint="eastAsia" w:hAnsi="宋体"/>
          <w:color w:val="000000"/>
          <w:szCs w:val="21"/>
        </w:rPr>
        <w:t>根据</w:t>
      </w:r>
      <w:r>
        <w:rPr>
          <w:rFonts w:hint="eastAsia" w:hAnsi="宋体"/>
          <w:color w:val="000000"/>
          <w:szCs w:val="21"/>
          <w:u w:val="single"/>
        </w:rPr>
        <w:t xml:space="preserve"> </w:t>
      </w:r>
      <w:r>
        <w:rPr>
          <w:rFonts w:hAnsi="宋体"/>
          <w:color w:val="000000"/>
          <w:szCs w:val="21"/>
          <w:u w:val="single"/>
        </w:rPr>
        <w:t xml:space="preserve">                                     </w:t>
      </w:r>
      <w:r>
        <w:rPr>
          <w:rFonts w:hint="eastAsia" w:hAnsi="宋体"/>
          <w:color w:val="000000"/>
          <w:szCs w:val="21"/>
          <w:u w:val="single"/>
        </w:rPr>
        <w:t>项目</w:t>
      </w:r>
      <w:r>
        <w:rPr>
          <w:rFonts w:hint="eastAsia" w:hAnsi="宋体"/>
          <w:color w:val="000000"/>
          <w:szCs w:val="21"/>
        </w:rPr>
        <w:t>（项目编号：</w:t>
      </w:r>
      <w:r>
        <w:rPr>
          <w:bCs/>
          <w:color w:val="000000"/>
          <w:szCs w:val="21"/>
          <w:u w:val="single"/>
        </w:rPr>
        <w:t xml:space="preserve">               </w:t>
      </w:r>
      <w:r>
        <w:rPr>
          <w:rFonts w:hint="eastAsia"/>
          <w:bCs/>
          <w:color w:val="000000"/>
          <w:szCs w:val="21"/>
          <w:u w:val="single"/>
        </w:rPr>
        <w:t xml:space="preserve"> </w:t>
      </w:r>
      <w:r>
        <w:rPr>
          <w:rFonts w:hint="eastAsia" w:hAnsi="宋体"/>
          <w:color w:val="000000"/>
          <w:szCs w:val="21"/>
        </w:rPr>
        <w:t>）的采购结果，按照《中华人民共和国政府采购法》及其实施条例、</w:t>
      </w:r>
      <w:r>
        <w:rPr>
          <w:color w:val="000000"/>
          <w:szCs w:val="21"/>
        </w:rPr>
        <w:t>87</w:t>
      </w:r>
      <w:r>
        <w:rPr>
          <w:rFonts w:hint="eastAsia" w:hAnsi="宋体"/>
          <w:color w:val="000000"/>
          <w:szCs w:val="21"/>
        </w:rPr>
        <w:t>号令、《中华人民共和国民法典》的规定，</w:t>
      </w:r>
      <w:r>
        <w:rPr>
          <w:rFonts w:hint="eastAsia" w:hAnsi="宋体"/>
          <w:color w:val="000000"/>
          <w:kern w:val="28"/>
          <w:szCs w:val="21"/>
        </w:rPr>
        <w:t>经双方协商，</w:t>
      </w:r>
      <w:r>
        <w:rPr>
          <w:rFonts w:hint="eastAsia" w:hAnsi="宋体"/>
          <w:color w:val="000000"/>
          <w:szCs w:val="21"/>
        </w:rPr>
        <w:t>本着平等互利和诚实信用的原则，</w:t>
      </w:r>
      <w:r>
        <w:rPr>
          <w:rFonts w:hint="eastAsia" w:hAnsi="宋体"/>
          <w:color w:val="000000"/>
          <w:kern w:val="28"/>
          <w:szCs w:val="21"/>
        </w:rPr>
        <w:t>一致同意签订本合同如下</w:t>
      </w:r>
      <w:r>
        <w:rPr>
          <w:rFonts w:hint="eastAsia" w:hAnsi="宋体"/>
          <w:color w:val="000000"/>
          <w:szCs w:val="21"/>
        </w:rPr>
        <w:t>。</w:t>
      </w:r>
    </w:p>
    <w:p>
      <w:pPr>
        <w:spacing w:line="400" w:lineRule="exact"/>
        <w:ind w:firstLine="420" w:firstLineChars="200"/>
        <w:rPr>
          <w:color w:val="000000"/>
          <w:szCs w:val="21"/>
        </w:rPr>
      </w:pPr>
    </w:p>
    <w:p>
      <w:pPr>
        <w:spacing w:line="400" w:lineRule="exact"/>
        <w:rPr>
          <w:color w:val="000000"/>
          <w:szCs w:val="21"/>
        </w:rPr>
      </w:pPr>
      <w:r>
        <w:rPr>
          <w:rFonts w:hint="eastAsia"/>
          <w:color w:val="000000"/>
          <w:szCs w:val="21"/>
        </w:rPr>
        <w:t>一、</w:t>
      </w:r>
      <w:bookmarkStart w:id="48" w:name="_Toc435540759"/>
      <w:r>
        <w:rPr>
          <w:rFonts w:hint="eastAsia"/>
          <w:color w:val="000000"/>
          <w:szCs w:val="21"/>
        </w:rPr>
        <w:t>合同金额</w:t>
      </w:r>
      <w:bookmarkEnd w:id="48"/>
    </w:p>
    <w:p>
      <w:pPr>
        <w:pStyle w:val="24"/>
        <w:spacing w:beforeLines="0" w:afterLines="0"/>
        <w:ind w:firstLine="420" w:firstLineChars="200"/>
        <w:rPr>
          <w:rFonts w:ascii="Times New Roman" w:hAnsi="Times New Roman"/>
          <w:color w:val="000000"/>
          <w:sz w:val="21"/>
          <w:szCs w:val="21"/>
        </w:rPr>
      </w:pPr>
      <w:r>
        <w:rPr>
          <w:rFonts w:hint="eastAsia" w:ascii="Times New Roman" w:hAnsi="宋体"/>
          <w:color w:val="000000"/>
          <w:sz w:val="21"/>
          <w:szCs w:val="21"/>
        </w:rPr>
        <w:t>合同金额为（大写）：</w:t>
      </w:r>
      <w:r>
        <w:rPr>
          <w:rFonts w:ascii="Times New Roman" w:hAnsi="Times New Roman"/>
          <w:color w:val="000000"/>
          <w:sz w:val="21"/>
          <w:szCs w:val="21"/>
        </w:rPr>
        <w:t>_________________</w:t>
      </w:r>
      <w:r>
        <w:rPr>
          <w:rFonts w:hint="eastAsia" w:ascii="Times New Roman" w:hAnsi="宋体"/>
          <w:color w:val="000000"/>
          <w:sz w:val="21"/>
          <w:szCs w:val="21"/>
        </w:rPr>
        <w:t>元（小写</w:t>
      </w:r>
      <w:r>
        <w:rPr>
          <w:rFonts w:ascii="Times New Roman" w:hAnsi="Times New Roman"/>
          <w:color w:val="000000"/>
          <w:sz w:val="21"/>
          <w:szCs w:val="21"/>
        </w:rPr>
        <w:t>_______________</w:t>
      </w:r>
      <w:r>
        <w:rPr>
          <w:rFonts w:hint="eastAsia" w:ascii="Times New Roman" w:hAnsi="宋体"/>
          <w:color w:val="000000"/>
          <w:sz w:val="21"/>
          <w:szCs w:val="21"/>
        </w:rPr>
        <w:t>元），已包含人工、材料、交通、通讯、差旅、材料审查、成果编制等乙方为履行本合同所需的所有费用。</w:t>
      </w:r>
    </w:p>
    <w:p>
      <w:pPr>
        <w:spacing w:line="400" w:lineRule="exact"/>
        <w:rPr>
          <w:color w:val="000000"/>
          <w:szCs w:val="21"/>
        </w:rPr>
      </w:pPr>
      <w:bookmarkStart w:id="49" w:name="_Toc435540760"/>
      <w:r>
        <w:rPr>
          <w:rFonts w:hint="eastAsia"/>
          <w:color w:val="000000"/>
          <w:szCs w:val="21"/>
        </w:rPr>
        <w:t>二、服务范围</w:t>
      </w:r>
      <w:bookmarkEnd w:id="49"/>
    </w:p>
    <w:p>
      <w:pPr>
        <w:spacing w:line="360" w:lineRule="exact"/>
        <w:rPr>
          <w:color w:val="000000"/>
          <w:szCs w:val="21"/>
          <w:u w:val="single"/>
        </w:rPr>
      </w:pPr>
      <w:r>
        <w:rPr>
          <w:rFonts w:hint="eastAsia" w:hAnsi="宋体"/>
          <w:color w:val="000000"/>
          <w:szCs w:val="21"/>
        </w:rPr>
        <w:t>　　</w:t>
      </w:r>
      <w:r>
        <w:rPr>
          <w:color w:val="000000"/>
          <w:szCs w:val="21"/>
        </w:rPr>
        <w:t>1</w:t>
      </w:r>
      <w:r>
        <w:rPr>
          <w:rFonts w:hint="eastAsia" w:hAnsi="宋体"/>
          <w:color w:val="000000"/>
          <w:szCs w:val="21"/>
        </w:rPr>
        <w:t>．本合同项下的服务指</w:t>
      </w:r>
      <w:r>
        <w:rPr>
          <w:rFonts w:hint="eastAsia" w:ascii="Arial" w:hAnsi="宋体" w:cs="Arial"/>
          <w:color w:val="000000"/>
          <w:szCs w:val="21"/>
          <w:u w:val="single"/>
        </w:rPr>
        <w:t xml:space="preserve">                </w:t>
      </w:r>
      <w:r>
        <w:rPr>
          <w:color w:val="000000"/>
          <w:szCs w:val="21"/>
          <w:u w:val="single"/>
        </w:rPr>
        <w:t xml:space="preserve"> </w:t>
      </w:r>
    </w:p>
    <w:p>
      <w:pPr>
        <w:spacing w:line="400" w:lineRule="exact"/>
        <w:rPr>
          <w:color w:val="000000"/>
          <w:szCs w:val="21"/>
        </w:rPr>
      </w:pPr>
      <w:r>
        <w:rPr>
          <w:rFonts w:hint="eastAsia" w:hAnsi="宋体"/>
          <w:color w:val="000000"/>
          <w:szCs w:val="21"/>
        </w:rPr>
        <w:t>　　</w:t>
      </w:r>
      <w:r>
        <w:rPr>
          <w:color w:val="000000"/>
          <w:szCs w:val="21"/>
        </w:rPr>
        <w:t>2</w:t>
      </w:r>
      <w:r>
        <w:rPr>
          <w:rFonts w:hint="eastAsia" w:hAnsi="宋体"/>
          <w:color w:val="000000"/>
          <w:szCs w:val="21"/>
        </w:rPr>
        <w:t>．服务范围：</w:t>
      </w:r>
      <w:r>
        <w:rPr>
          <w:rFonts w:hint="eastAsia" w:ascii="Arial" w:cs="Arial"/>
          <w:color w:val="000000"/>
          <w:szCs w:val="21"/>
          <w:u w:val="single"/>
        </w:rPr>
        <w:t xml:space="preserve"> </w:t>
      </w:r>
      <w:r>
        <w:rPr>
          <w:rFonts w:ascii="Arial" w:cs="Arial"/>
          <w:color w:val="000000"/>
          <w:szCs w:val="21"/>
          <w:u w:val="single"/>
        </w:rPr>
        <w:t xml:space="preserve">                                    </w:t>
      </w:r>
      <w:r>
        <w:rPr>
          <w:rFonts w:ascii="Arial" w:hAnsi="Arial" w:cs="Arial"/>
          <w:color w:val="000000"/>
          <w:szCs w:val="21"/>
          <w:u w:val="single"/>
        </w:rPr>
        <w:t xml:space="preserve">   </w:t>
      </w:r>
    </w:p>
    <w:p>
      <w:pPr>
        <w:spacing w:line="400" w:lineRule="exact"/>
        <w:rPr>
          <w:color w:val="000000"/>
          <w:szCs w:val="21"/>
        </w:rPr>
      </w:pPr>
      <w:bookmarkStart w:id="50" w:name="_Toc435540761"/>
      <w:r>
        <w:rPr>
          <w:rFonts w:hint="eastAsia"/>
          <w:color w:val="000000"/>
          <w:szCs w:val="21"/>
        </w:rPr>
        <w:t>三、甲方乙方的权利和义务</w:t>
      </w:r>
      <w:bookmarkEnd w:id="50"/>
    </w:p>
    <w:p>
      <w:pPr>
        <w:spacing w:line="400" w:lineRule="exact"/>
        <w:rPr>
          <w:color w:val="000000"/>
          <w:szCs w:val="21"/>
        </w:rPr>
      </w:pPr>
      <w:r>
        <w:rPr>
          <w:rFonts w:hint="eastAsia" w:hAnsi="宋体"/>
          <w:color w:val="000000"/>
          <w:szCs w:val="21"/>
        </w:rPr>
        <w:t>　　（一）甲方的义务：按合同约定支付合同款项。</w:t>
      </w:r>
    </w:p>
    <w:p>
      <w:pPr>
        <w:spacing w:line="400" w:lineRule="exact"/>
        <w:ind w:left="405"/>
        <w:rPr>
          <w:rFonts w:hAnsi="宋体"/>
          <w:color w:val="000000"/>
          <w:szCs w:val="21"/>
        </w:rPr>
      </w:pPr>
      <w:r>
        <w:rPr>
          <w:rFonts w:hint="eastAsia" w:hAnsi="宋体"/>
          <w:color w:val="000000"/>
          <w:szCs w:val="21"/>
        </w:rPr>
        <w:t>（二）乙方的义务：</w:t>
      </w:r>
    </w:p>
    <w:p>
      <w:pPr>
        <w:spacing w:line="400" w:lineRule="exact"/>
        <w:ind w:left="405" w:firstLine="210" w:firstLineChars="100"/>
        <w:rPr>
          <w:rFonts w:hAnsi="宋体"/>
          <w:color w:val="000000"/>
          <w:szCs w:val="21"/>
        </w:rPr>
      </w:pPr>
      <w:r>
        <w:rPr>
          <w:rFonts w:hint="eastAsia" w:hAnsi="宋体"/>
          <w:color w:val="000000"/>
          <w:szCs w:val="21"/>
        </w:rPr>
        <w:t>1、按合同约定完成本项目全部服务内容并提交给甲方通过甲方审查验收。</w:t>
      </w:r>
    </w:p>
    <w:p>
      <w:pPr>
        <w:spacing w:line="400" w:lineRule="exact"/>
        <w:ind w:left="405" w:firstLine="210" w:firstLineChars="100"/>
        <w:rPr>
          <w:rFonts w:hAnsi="宋体"/>
          <w:color w:val="000000"/>
          <w:szCs w:val="21"/>
        </w:rPr>
      </w:pPr>
      <w:r>
        <w:rPr>
          <w:rFonts w:hint="eastAsia" w:hAnsi="宋体"/>
          <w:color w:val="000000"/>
          <w:szCs w:val="21"/>
        </w:rPr>
        <w:t>2、保证其提供服务的合法性及项目成果的真实性、准确性和完整性，且此责任不因合同终止、解除等情况免除或减轻。</w:t>
      </w:r>
    </w:p>
    <w:p>
      <w:pPr>
        <w:spacing w:line="400" w:lineRule="exact"/>
        <w:rPr>
          <w:color w:val="000000"/>
          <w:szCs w:val="21"/>
        </w:rPr>
      </w:pPr>
      <w:bookmarkStart w:id="51" w:name="_Toc435540762"/>
      <w:r>
        <w:rPr>
          <w:rFonts w:hint="eastAsia"/>
          <w:color w:val="000000"/>
          <w:szCs w:val="21"/>
        </w:rPr>
        <w:t>五、</w:t>
      </w:r>
      <w:bookmarkEnd w:id="51"/>
      <w:r>
        <w:rPr>
          <w:rFonts w:hint="eastAsia"/>
          <w:color w:val="000000"/>
          <w:szCs w:val="21"/>
        </w:rPr>
        <w:t>服务时间：</w:t>
      </w:r>
      <w:r>
        <w:rPr>
          <w:color w:val="000000"/>
          <w:szCs w:val="21"/>
        </w:rPr>
        <w:t xml:space="preserve"> </w:t>
      </w:r>
    </w:p>
    <w:p>
      <w:pPr>
        <w:spacing w:line="400" w:lineRule="exact"/>
        <w:ind w:firstLine="435"/>
        <w:rPr>
          <w:rFonts w:ascii="Arial" w:hAnsi="宋体" w:cs="Arial"/>
          <w:szCs w:val="21"/>
        </w:rPr>
      </w:pPr>
    </w:p>
    <w:p>
      <w:pPr>
        <w:spacing w:line="400" w:lineRule="exact"/>
        <w:rPr>
          <w:rFonts w:hAnsi="宋体"/>
          <w:szCs w:val="21"/>
        </w:rPr>
      </w:pPr>
      <w:r>
        <w:rPr>
          <w:rFonts w:hint="eastAsia"/>
        </w:rPr>
        <w:t>六、履约保证金：</w:t>
      </w:r>
    </w:p>
    <w:p/>
    <w:p>
      <w:pPr>
        <w:spacing w:line="400" w:lineRule="exact"/>
        <w:rPr>
          <w:szCs w:val="21"/>
        </w:rPr>
      </w:pPr>
      <w:r>
        <w:rPr>
          <w:rFonts w:hint="eastAsia"/>
          <w:szCs w:val="21"/>
        </w:rPr>
        <w:t>六、</w:t>
      </w:r>
      <w:bookmarkStart w:id="52" w:name="_Toc435540763"/>
      <w:r>
        <w:rPr>
          <w:rFonts w:hint="eastAsia"/>
          <w:szCs w:val="21"/>
        </w:rPr>
        <w:t>付款</w:t>
      </w:r>
      <w:bookmarkEnd w:id="52"/>
      <w:r>
        <w:rPr>
          <w:rFonts w:hint="eastAsia"/>
          <w:szCs w:val="21"/>
        </w:rPr>
        <w:t>方法</w:t>
      </w:r>
    </w:p>
    <w:p>
      <w:pPr>
        <w:spacing w:line="400" w:lineRule="exact"/>
        <w:ind w:firstLine="435"/>
        <w:rPr>
          <w:rFonts w:ascii="Arial" w:hAnsi="宋体" w:cs="Arial"/>
          <w:szCs w:val="21"/>
        </w:rPr>
      </w:pPr>
      <w:bookmarkStart w:id="53" w:name="_Toc435540764"/>
    </w:p>
    <w:p>
      <w:pPr>
        <w:spacing w:line="400" w:lineRule="exact"/>
        <w:rPr>
          <w:szCs w:val="21"/>
        </w:rPr>
      </w:pPr>
      <w:r>
        <w:rPr>
          <w:rFonts w:hint="eastAsia"/>
          <w:szCs w:val="21"/>
        </w:rPr>
        <w:t>七、知识产权产权归属</w:t>
      </w:r>
      <w:bookmarkEnd w:id="53"/>
    </w:p>
    <w:p>
      <w:pPr>
        <w:spacing w:line="400" w:lineRule="exact"/>
        <w:ind w:firstLine="420" w:firstLineChars="200"/>
        <w:rPr>
          <w:rFonts w:hAnsi="宋体"/>
          <w:color w:val="000000"/>
          <w:szCs w:val="21"/>
        </w:rPr>
      </w:pPr>
      <w:r>
        <w:rPr>
          <w:rFonts w:hint="eastAsia" w:hAnsi="宋体"/>
          <w:color w:val="000000"/>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54" w:name="_Toc435540765"/>
    </w:p>
    <w:p>
      <w:pPr>
        <w:spacing w:line="400" w:lineRule="exact"/>
        <w:ind w:firstLine="420" w:firstLineChars="200"/>
        <w:rPr>
          <w:rFonts w:hAnsi="宋体"/>
          <w:color w:val="000000"/>
          <w:szCs w:val="21"/>
        </w:rPr>
      </w:pPr>
      <w:r>
        <w:rPr>
          <w:rFonts w:hint="eastAsia" w:hAnsi="宋体"/>
          <w:color w:val="000000"/>
          <w:szCs w:val="21"/>
        </w:rPr>
        <w:t>乙方在项目实施过程中所形成的所有原始资料、中间及最终成果及其所涉知识产权归甲方所有。</w:t>
      </w:r>
    </w:p>
    <w:p>
      <w:pPr>
        <w:spacing w:line="400" w:lineRule="exact"/>
        <w:rPr>
          <w:color w:val="000000"/>
          <w:szCs w:val="21"/>
        </w:rPr>
      </w:pPr>
      <w:r>
        <w:rPr>
          <w:rFonts w:hint="eastAsia"/>
          <w:color w:val="000000"/>
          <w:szCs w:val="21"/>
        </w:rPr>
        <w:t>八、保密</w:t>
      </w:r>
      <w:bookmarkEnd w:id="54"/>
    </w:p>
    <w:p>
      <w:pPr>
        <w:spacing w:line="400" w:lineRule="exact"/>
        <w:ind w:firstLine="420" w:firstLineChars="200"/>
        <w:rPr>
          <w:color w:val="000000"/>
          <w:szCs w:val="21"/>
        </w:rPr>
      </w:pPr>
      <w:r>
        <w:rPr>
          <w:rFonts w:hint="eastAsia" w:hAnsi="宋体"/>
          <w:color w:val="000000"/>
          <w:szCs w:val="21"/>
        </w:rPr>
        <w:t>乙方必须采取措施对本项目实施过程中的技术资料保密，否则，由于乙方过错导致的上述资料泄密的，乙方必须承担一切责任。项目完成后，乙方有责任对本项目的技术保密承担责任。</w:t>
      </w:r>
    </w:p>
    <w:p>
      <w:pPr>
        <w:tabs>
          <w:tab w:val="left" w:pos="900"/>
        </w:tabs>
        <w:spacing w:line="400" w:lineRule="exact"/>
        <w:ind w:firstLine="420" w:firstLineChars="200"/>
        <w:rPr>
          <w:color w:val="000000"/>
          <w:szCs w:val="21"/>
        </w:rPr>
      </w:pPr>
      <w:r>
        <w:rPr>
          <w:color w:val="000000"/>
          <w:szCs w:val="21"/>
        </w:rPr>
        <w:t>1</w:t>
      </w:r>
      <w:r>
        <w:rPr>
          <w:rFonts w:hint="eastAsia" w:hAnsi="宋体"/>
          <w:color w:val="000000"/>
          <w:szCs w:val="21"/>
        </w:rPr>
        <w:t>）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tabs>
          <w:tab w:val="left" w:pos="900"/>
        </w:tabs>
        <w:spacing w:line="400" w:lineRule="exact"/>
        <w:ind w:firstLine="420" w:firstLineChars="200"/>
        <w:rPr>
          <w:rFonts w:hint="eastAsia" w:hAnsi="宋体"/>
          <w:color w:val="000000"/>
          <w:szCs w:val="21"/>
        </w:rPr>
      </w:pPr>
      <w:r>
        <w:rPr>
          <w:color w:val="000000"/>
          <w:szCs w:val="21"/>
        </w:rPr>
        <w:t>2</w:t>
      </w:r>
      <w:r>
        <w:rPr>
          <w:rFonts w:hint="eastAsia" w:hAnsi="宋体"/>
          <w:color w:val="000000"/>
          <w:szCs w:val="21"/>
        </w:rPr>
        <w:t>）如果甲方有要求，乙方在完成合同后应将有关资料还给甲方。</w:t>
      </w:r>
    </w:p>
    <w:p>
      <w:pPr>
        <w:tabs>
          <w:tab w:val="left" w:pos="900"/>
        </w:tabs>
        <w:spacing w:line="400" w:lineRule="exact"/>
        <w:ind w:firstLine="420" w:firstLineChars="200"/>
        <w:rPr>
          <w:rFonts w:hint="default"/>
          <w:color w:val="000000"/>
          <w:szCs w:val="21"/>
          <w:lang w:val="en-US" w:eastAsia="zh-CN"/>
        </w:rPr>
      </w:pPr>
      <w:r>
        <w:rPr>
          <w:rFonts w:hint="eastAsia"/>
          <w:color w:val="000000"/>
          <w:szCs w:val="21"/>
          <w:lang w:val="en-US" w:eastAsia="zh-CN"/>
        </w:rPr>
        <w:t>3）保密期限：长期有效。</w:t>
      </w:r>
    </w:p>
    <w:p>
      <w:pPr>
        <w:spacing w:line="400" w:lineRule="exact"/>
        <w:rPr>
          <w:color w:val="000000"/>
          <w:szCs w:val="21"/>
        </w:rPr>
      </w:pPr>
      <w:bookmarkStart w:id="55" w:name="_Toc435540766"/>
      <w:bookmarkStart w:id="56" w:name="_Toc435540767"/>
      <w:r>
        <w:rPr>
          <w:rFonts w:hint="eastAsia"/>
          <w:color w:val="000000"/>
          <w:szCs w:val="21"/>
        </w:rPr>
        <w:t>九、违约责任与赔偿损失</w:t>
      </w:r>
      <w:bookmarkEnd w:id="55"/>
    </w:p>
    <w:p>
      <w:pPr>
        <w:spacing w:line="400" w:lineRule="exact"/>
        <w:ind w:firstLine="420" w:firstLineChars="200"/>
        <w:rPr>
          <w:color w:val="000000"/>
          <w:szCs w:val="21"/>
        </w:rPr>
      </w:pPr>
      <w:r>
        <w:rPr>
          <w:color w:val="000000"/>
          <w:szCs w:val="21"/>
        </w:rPr>
        <w:t>1</w:t>
      </w:r>
      <w:r>
        <w:rPr>
          <w:rFonts w:hint="eastAsia"/>
          <w:color w:val="000000"/>
          <w:szCs w:val="21"/>
        </w:rPr>
        <w:t>）乙方提供的服务不符合采购文件、投标文件或本合同规定的，甲方有权拒收，并且乙方须向甲方支付本合同总价10%的违约金。</w:t>
      </w:r>
    </w:p>
    <w:p>
      <w:pPr>
        <w:tabs>
          <w:tab w:val="left" w:pos="720"/>
          <w:tab w:val="left" w:pos="900"/>
        </w:tabs>
        <w:spacing w:line="400" w:lineRule="exact"/>
        <w:ind w:right="51" w:firstLine="420" w:firstLineChars="200"/>
        <w:rPr>
          <w:color w:val="000000"/>
          <w:szCs w:val="21"/>
        </w:rPr>
      </w:pPr>
      <w:r>
        <w:rPr>
          <w:color w:val="000000"/>
          <w:szCs w:val="21"/>
        </w:rPr>
        <w:t>2</w:t>
      </w:r>
      <w:r>
        <w:rPr>
          <w:rFonts w:hint="eastAsia" w:hAnsi="宋体"/>
          <w:color w:val="000000"/>
          <w:szCs w:val="21"/>
        </w:rPr>
        <w:t>）乙方未能按本合同规定的交货时间交付货物的</w:t>
      </w:r>
      <w:r>
        <w:rPr>
          <w:color w:val="000000"/>
          <w:szCs w:val="21"/>
        </w:rPr>
        <w:t>/</w:t>
      </w:r>
      <w:r>
        <w:rPr>
          <w:rFonts w:hint="eastAsia" w:hAnsi="宋体"/>
          <w:color w:val="000000"/>
          <w:szCs w:val="21"/>
        </w:rPr>
        <w:t>提供服务的，从逾期之日起每日按本合同总价</w:t>
      </w:r>
      <w:r>
        <w:rPr>
          <w:rFonts w:hint="eastAsia"/>
          <w:color w:val="000000"/>
          <w:szCs w:val="21"/>
        </w:rPr>
        <w:t>的</w:t>
      </w:r>
      <w:r>
        <w:rPr>
          <w:rFonts w:hint="eastAsia" w:hAnsi="宋体"/>
          <w:color w:val="000000"/>
          <w:szCs w:val="21"/>
        </w:rPr>
        <w:t>万分之五向甲方偿付违约金；逾期</w:t>
      </w:r>
      <w:r>
        <w:rPr>
          <w:color w:val="000000"/>
          <w:szCs w:val="21"/>
        </w:rPr>
        <w:t>15</w:t>
      </w:r>
      <w:r>
        <w:rPr>
          <w:rFonts w:hint="eastAsia" w:hAnsi="宋体"/>
          <w:color w:val="000000"/>
          <w:szCs w:val="21"/>
        </w:rPr>
        <w:t>天以上（含</w:t>
      </w:r>
      <w:r>
        <w:rPr>
          <w:color w:val="000000"/>
          <w:szCs w:val="21"/>
        </w:rPr>
        <w:t>15</w:t>
      </w:r>
      <w:r>
        <w:rPr>
          <w:rFonts w:hint="eastAsia" w:hAnsi="宋体"/>
          <w:color w:val="000000"/>
          <w:szCs w:val="21"/>
        </w:rPr>
        <w:t>天）的，甲方有权终止合同，并要求乙方按合同总价的20%支付违约金，并且给甲方造成的经济损失由乙方承担赔偿责任。</w:t>
      </w:r>
    </w:p>
    <w:p>
      <w:pPr>
        <w:spacing w:line="400" w:lineRule="exact"/>
        <w:ind w:firstLine="420" w:firstLineChars="200"/>
        <w:rPr>
          <w:bCs/>
          <w:color w:val="000000"/>
          <w:szCs w:val="21"/>
        </w:rPr>
      </w:pPr>
      <w:r>
        <w:rPr>
          <w:rFonts w:hint="eastAsia"/>
          <w:bCs/>
          <w:color w:val="000000"/>
          <w:szCs w:val="21"/>
        </w:rPr>
        <w:t>3</w:t>
      </w:r>
      <w:r>
        <w:rPr>
          <w:rFonts w:hint="eastAsia" w:hAnsi="宋体"/>
          <w:bCs/>
          <w:color w:val="000000"/>
          <w:szCs w:val="21"/>
        </w:rPr>
        <w:t>）其它违约责任按《中华人民共和国民法典》处理。</w:t>
      </w:r>
    </w:p>
    <w:p>
      <w:pPr>
        <w:spacing w:line="400" w:lineRule="exact"/>
        <w:rPr>
          <w:color w:val="000000"/>
          <w:szCs w:val="21"/>
        </w:rPr>
      </w:pPr>
      <w:r>
        <w:rPr>
          <w:rFonts w:hint="eastAsia"/>
          <w:color w:val="000000"/>
          <w:szCs w:val="21"/>
        </w:rPr>
        <w:t>十、争端的解决</w:t>
      </w:r>
      <w:bookmarkEnd w:id="56"/>
    </w:p>
    <w:p>
      <w:pPr>
        <w:spacing w:line="400" w:lineRule="exact"/>
        <w:ind w:firstLine="420" w:firstLineChars="200"/>
        <w:rPr>
          <w:color w:val="000000"/>
          <w:szCs w:val="21"/>
        </w:rPr>
      </w:pPr>
      <w:r>
        <w:rPr>
          <w:rFonts w:hint="eastAsia" w:hAnsi="宋体"/>
          <w:color w:val="000000"/>
          <w:szCs w:val="21"/>
        </w:rPr>
        <w:t>合同执行过程中发生的任何争议，如双方不能通过友好协商解决，甲、乙双方一致同意向甲方所在地人民法院提起诉讼。</w:t>
      </w:r>
    </w:p>
    <w:p>
      <w:pPr>
        <w:spacing w:line="400" w:lineRule="exact"/>
        <w:rPr>
          <w:color w:val="000000"/>
          <w:szCs w:val="21"/>
        </w:rPr>
      </w:pPr>
      <w:bookmarkStart w:id="57" w:name="_Toc435540768"/>
      <w:r>
        <w:rPr>
          <w:rFonts w:hint="eastAsia"/>
          <w:color w:val="000000"/>
          <w:szCs w:val="21"/>
        </w:rPr>
        <w:t>十一、不可抗力</w:t>
      </w:r>
      <w:bookmarkEnd w:id="57"/>
    </w:p>
    <w:p>
      <w:pPr>
        <w:spacing w:line="400" w:lineRule="exact"/>
        <w:ind w:firstLine="420" w:firstLineChars="200"/>
        <w:rPr>
          <w:color w:val="000000"/>
          <w:szCs w:val="21"/>
        </w:rPr>
      </w:pPr>
      <w:r>
        <w:rPr>
          <w:rFonts w:hint="eastAsia" w:hAnsi="宋体"/>
          <w:color w:val="000000"/>
          <w:szCs w:val="21"/>
        </w:rPr>
        <w:t>任何一方由于不可抗力原因不能履行合同时，应在不可抗力事件结束后</w:t>
      </w:r>
      <w:r>
        <w:rPr>
          <w:color w:val="000000"/>
          <w:szCs w:val="21"/>
        </w:rPr>
        <w:t>1</w:t>
      </w:r>
      <w:r>
        <w:rPr>
          <w:rFonts w:hint="eastAsia" w:hAnsi="宋体"/>
          <w:color w:val="000000"/>
          <w:szCs w:val="21"/>
        </w:rPr>
        <w:t>日内向对方通报，以减轻可能给对方造成的损失，在取得有关机构的不可抗力证明或双方谅解确认后，允许延期履行或修订合同，并根据情况可部分或全部免于承担违约责任。</w:t>
      </w:r>
    </w:p>
    <w:p>
      <w:pPr>
        <w:spacing w:line="400" w:lineRule="exact"/>
        <w:rPr>
          <w:color w:val="000000"/>
          <w:szCs w:val="21"/>
        </w:rPr>
      </w:pPr>
      <w:bookmarkStart w:id="58" w:name="_Toc435540769"/>
      <w:r>
        <w:rPr>
          <w:rFonts w:hint="eastAsia"/>
          <w:color w:val="000000"/>
          <w:szCs w:val="21"/>
        </w:rPr>
        <w:t>十二、税费</w:t>
      </w:r>
      <w:bookmarkEnd w:id="58"/>
    </w:p>
    <w:p>
      <w:pPr>
        <w:spacing w:line="400" w:lineRule="exact"/>
        <w:ind w:firstLine="420" w:firstLineChars="200"/>
        <w:rPr>
          <w:color w:val="000000"/>
          <w:szCs w:val="21"/>
        </w:rPr>
      </w:pPr>
      <w:r>
        <w:rPr>
          <w:rFonts w:hint="eastAsia" w:hAnsi="宋体"/>
          <w:color w:val="000000"/>
          <w:szCs w:val="21"/>
        </w:rPr>
        <w:t>在中国境内、外发生的与本合同执行有关的一切税费均由乙方负担。</w:t>
      </w:r>
    </w:p>
    <w:p>
      <w:pPr>
        <w:spacing w:line="400" w:lineRule="exact"/>
        <w:rPr>
          <w:color w:val="000000"/>
          <w:szCs w:val="21"/>
        </w:rPr>
      </w:pPr>
      <w:bookmarkStart w:id="59" w:name="_Toc435540770"/>
      <w:r>
        <w:rPr>
          <w:rFonts w:hint="eastAsia"/>
          <w:color w:val="000000"/>
          <w:szCs w:val="21"/>
        </w:rPr>
        <w:t>十三、其它</w:t>
      </w:r>
      <w:bookmarkEnd w:id="59"/>
    </w:p>
    <w:p>
      <w:pPr>
        <w:spacing w:line="400" w:lineRule="exact"/>
        <w:ind w:firstLine="420" w:firstLineChars="200"/>
        <w:rPr>
          <w:b/>
          <w:color w:val="000000"/>
          <w:szCs w:val="21"/>
        </w:rPr>
      </w:pPr>
      <w:r>
        <w:rPr>
          <w:color w:val="000000"/>
          <w:szCs w:val="21"/>
        </w:rPr>
        <w:t>1</w:t>
      </w:r>
      <w:r>
        <w:rPr>
          <w:rFonts w:hint="eastAsia" w:hAnsi="宋体"/>
          <w:color w:val="000000"/>
          <w:szCs w:val="21"/>
        </w:rPr>
        <w:t>）本合同所有附件、采购文件、投标文件、中标通知书均为合同的有效组成部分，与本合同具有同等法律效力。</w:t>
      </w:r>
    </w:p>
    <w:p>
      <w:pPr>
        <w:spacing w:line="400" w:lineRule="exact"/>
        <w:ind w:firstLine="420" w:firstLineChars="200"/>
        <w:rPr>
          <w:color w:val="000000"/>
          <w:szCs w:val="21"/>
        </w:rPr>
      </w:pPr>
      <w:r>
        <w:rPr>
          <w:bCs/>
          <w:color w:val="000000"/>
          <w:szCs w:val="21"/>
        </w:rPr>
        <w:t>2</w:t>
      </w:r>
      <w:r>
        <w:rPr>
          <w:rFonts w:hint="eastAsia" w:hAnsi="宋体"/>
          <w:color w:val="000000"/>
          <w:szCs w:val="21"/>
        </w:rPr>
        <w:t>）在执行本合同的过程中，所有经双方签署确认的文件（包括会议纪要、补充协议、往来信函）即成为本合同的有效组成部分。</w:t>
      </w:r>
    </w:p>
    <w:p>
      <w:pPr>
        <w:spacing w:line="400" w:lineRule="exact"/>
        <w:ind w:firstLine="420" w:firstLineChars="200"/>
        <w:rPr>
          <w:color w:val="000000"/>
          <w:szCs w:val="21"/>
        </w:rPr>
      </w:pPr>
      <w:r>
        <w:rPr>
          <w:color w:val="000000"/>
          <w:szCs w:val="21"/>
        </w:rPr>
        <w:t>3</w:t>
      </w:r>
      <w:r>
        <w:rPr>
          <w:rFonts w:hint="eastAsia" w:hAnsi="宋体"/>
          <w:color w:val="000000"/>
          <w:szCs w:val="21"/>
        </w:rPr>
        <w:t>）如一方地址、电话、传真号码有变更，应在变更当日内书面通知对方，否则，应承担相应责任。</w:t>
      </w:r>
      <w:r>
        <w:rPr>
          <w:color w:val="000000"/>
          <w:szCs w:val="21"/>
        </w:rPr>
        <w:t xml:space="preserve"> </w:t>
      </w:r>
    </w:p>
    <w:p>
      <w:pPr>
        <w:spacing w:line="400" w:lineRule="exact"/>
        <w:ind w:firstLine="420" w:firstLineChars="200"/>
        <w:rPr>
          <w:color w:val="000000"/>
          <w:szCs w:val="21"/>
        </w:rPr>
      </w:pPr>
      <w:r>
        <w:rPr>
          <w:color w:val="000000"/>
          <w:szCs w:val="21"/>
        </w:rPr>
        <w:t>4</w:t>
      </w:r>
      <w:r>
        <w:rPr>
          <w:rFonts w:hint="eastAsia" w:hAnsi="宋体"/>
          <w:color w:val="000000"/>
          <w:szCs w:val="21"/>
        </w:rPr>
        <w:t>）除甲方事先书面同意外，乙方不得部分或全部转让其应履行的合同项下的义务。</w:t>
      </w:r>
    </w:p>
    <w:p>
      <w:pPr>
        <w:spacing w:line="400" w:lineRule="exact"/>
        <w:rPr>
          <w:color w:val="000000"/>
          <w:szCs w:val="21"/>
        </w:rPr>
      </w:pPr>
      <w:bookmarkStart w:id="60" w:name="_Toc435540771"/>
      <w:r>
        <w:rPr>
          <w:rFonts w:hint="eastAsia"/>
          <w:color w:val="000000"/>
          <w:szCs w:val="21"/>
        </w:rPr>
        <w:t>十四、合同生效</w:t>
      </w:r>
      <w:bookmarkEnd w:id="60"/>
    </w:p>
    <w:p>
      <w:pPr>
        <w:spacing w:line="400" w:lineRule="exact"/>
        <w:ind w:firstLine="420" w:firstLineChars="200"/>
        <w:rPr>
          <w:color w:val="000000"/>
          <w:szCs w:val="21"/>
        </w:rPr>
      </w:pPr>
      <w:r>
        <w:rPr>
          <w:color w:val="000000"/>
          <w:szCs w:val="21"/>
        </w:rPr>
        <w:t>1</w:t>
      </w:r>
      <w:r>
        <w:rPr>
          <w:rFonts w:hint="eastAsia" w:hAnsi="宋体"/>
          <w:color w:val="000000"/>
          <w:szCs w:val="21"/>
        </w:rPr>
        <w:t>）合同自甲乙双方</w:t>
      </w:r>
      <w:r>
        <w:rPr>
          <w:rFonts w:hint="eastAsia" w:ascii="Arial" w:cs="Arial"/>
          <w:color w:val="000000"/>
          <w:szCs w:val="21"/>
        </w:rPr>
        <w:t>法定代表人</w:t>
      </w:r>
      <w:r>
        <w:rPr>
          <w:rFonts w:hint="eastAsia" w:hAnsi="宋体"/>
          <w:color w:val="000000"/>
          <w:szCs w:val="21"/>
        </w:rPr>
        <w:t>或其</w:t>
      </w:r>
      <w:r>
        <w:rPr>
          <w:rFonts w:hint="eastAsia" w:ascii="Arial" w:cs="Arial"/>
          <w:color w:val="000000"/>
          <w:szCs w:val="21"/>
        </w:rPr>
        <w:t>授权代表人</w:t>
      </w:r>
      <w:r>
        <w:rPr>
          <w:rFonts w:hint="eastAsia" w:hAnsi="宋体"/>
          <w:color w:val="000000"/>
          <w:szCs w:val="21"/>
        </w:rPr>
        <w:t>签字盖章后生效。</w:t>
      </w:r>
    </w:p>
    <w:p>
      <w:pPr>
        <w:spacing w:line="400" w:lineRule="exact"/>
        <w:ind w:firstLine="420" w:firstLineChars="200"/>
        <w:rPr>
          <w:rFonts w:ascii="Arial" w:hAnsi="Arial" w:cs="Arial"/>
          <w:color w:val="000000"/>
          <w:szCs w:val="21"/>
        </w:rPr>
      </w:pPr>
      <w:r>
        <w:rPr>
          <w:color w:val="000000"/>
          <w:szCs w:val="21"/>
        </w:rPr>
        <w:t>2</w:t>
      </w:r>
      <w:r>
        <w:rPr>
          <w:rFonts w:hint="eastAsia" w:hAnsi="宋体"/>
          <w:color w:val="000000"/>
          <w:szCs w:val="21"/>
        </w:rPr>
        <w:t>）合同壹式</w:t>
      </w:r>
      <w:r>
        <w:rPr>
          <w:color w:val="000000"/>
          <w:szCs w:val="21"/>
          <w:u w:val="single"/>
        </w:rPr>
        <w:t xml:space="preserve"> </w:t>
      </w:r>
      <w:r>
        <w:rPr>
          <w:rFonts w:hint="eastAsia"/>
          <w:color w:val="000000"/>
          <w:szCs w:val="21"/>
          <w:u w:val="single"/>
        </w:rPr>
        <w:t>伍</w:t>
      </w:r>
      <w:r>
        <w:rPr>
          <w:color w:val="000000"/>
          <w:szCs w:val="21"/>
          <w:u w:val="single"/>
        </w:rPr>
        <w:t xml:space="preserve"> </w:t>
      </w:r>
      <w:r>
        <w:rPr>
          <w:rFonts w:hint="eastAsia" w:hAnsi="宋体"/>
          <w:color w:val="000000"/>
          <w:szCs w:val="21"/>
        </w:rPr>
        <w:t>份，其中甲乙双方各执</w:t>
      </w:r>
      <w:r>
        <w:rPr>
          <w:color w:val="000000"/>
          <w:szCs w:val="21"/>
          <w:u w:val="single"/>
        </w:rPr>
        <w:t xml:space="preserve"> </w:t>
      </w:r>
      <w:r>
        <w:rPr>
          <w:rFonts w:hint="eastAsia"/>
          <w:color w:val="000000"/>
          <w:szCs w:val="21"/>
          <w:u w:val="single"/>
        </w:rPr>
        <w:t>贰</w:t>
      </w:r>
      <w:r>
        <w:rPr>
          <w:color w:val="000000"/>
          <w:szCs w:val="21"/>
          <w:u w:val="single"/>
        </w:rPr>
        <w:t xml:space="preserve"> </w:t>
      </w:r>
      <w:r>
        <w:rPr>
          <w:rFonts w:hint="eastAsia" w:hAnsi="宋体"/>
          <w:color w:val="000000"/>
          <w:szCs w:val="21"/>
        </w:rPr>
        <w:t>份，采购代理机构执壹份。</w:t>
      </w:r>
      <w:r>
        <w:rPr>
          <w:rFonts w:ascii="Arial" w:hAnsi="Arial" w:cs="Arial"/>
          <w:color w:val="000000"/>
          <w:szCs w:val="21"/>
        </w:rPr>
        <w:t xml:space="preserve"> </w:t>
      </w:r>
    </w:p>
    <w:p>
      <w:pPr>
        <w:spacing w:line="400" w:lineRule="exact"/>
        <w:ind w:firstLine="210" w:firstLineChars="100"/>
        <w:rPr>
          <w:rFonts w:ascii="Arial" w:hAnsi="Arial" w:cs="Arial"/>
          <w:color w:val="000000"/>
          <w:szCs w:val="21"/>
        </w:rPr>
      </w:pPr>
      <w:r>
        <w:rPr>
          <w:rFonts w:hint="eastAsia" w:ascii="Arial" w:cs="Arial"/>
          <w:color w:val="000000"/>
          <w:szCs w:val="21"/>
        </w:rPr>
        <w:t>甲方：</w:t>
      </w:r>
      <w:r>
        <w:rPr>
          <w:rFonts w:ascii="Arial" w:hAnsi="Arial" w:cs="Arial"/>
          <w:color w:val="000000"/>
          <w:szCs w:val="21"/>
        </w:rPr>
        <w:t xml:space="preserve">                                   </w:t>
      </w:r>
      <w:r>
        <w:rPr>
          <w:rFonts w:hint="eastAsia" w:ascii="Arial" w:cs="Arial"/>
          <w:color w:val="000000"/>
          <w:szCs w:val="21"/>
        </w:rPr>
        <w:t>乙方：</w:t>
      </w:r>
      <w:r>
        <w:rPr>
          <w:rFonts w:ascii="Arial" w:hAnsi="Arial" w:cs="Arial"/>
          <w:color w:val="000000"/>
          <w:szCs w:val="21"/>
        </w:rPr>
        <w:t xml:space="preserve"> </w:t>
      </w:r>
    </w:p>
    <w:p>
      <w:pPr>
        <w:spacing w:line="400" w:lineRule="exact"/>
        <w:rPr>
          <w:rFonts w:ascii="Arial" w:hAnsi="Arial" w:cs="Arial"/>
          <w:color w:val="000000"/>
          <w:szCs w:val="21"/>
        </w:rPr>
      </w:pPr>
      <w:r>
        <w:rPr>
          <w:rFonts w:ascii="Arial" w:hAnsi="Arial" w:cs="Arial"/>
          <w:color w:val="000000"/>
          <w:szCs w:val="21"/>
        </w:rPr>
        <w:t xml:space="preserve">  </w:t>
      </w:r>
      <w:r>
        <w:rPr>
          <w:rFonts w:hint="eastAsia" w:ascii="Arial" w:cs="Arial"/>
          <w:color w:val="000000"/>
          <w:szCs w:val="21"/>
        </w:rPr>
        <w:t>地址：</w:t>
      </w:r>
      <w:r>
        <w:rPr>
          <w:rFonts w:ascii="Arial" w:hAnsi="Arial" w:cs="Arial"/>
          <w:color w:val="000000"/>
          <w:szCs w:val="21"/>
        </w:rPr>
        <w:t xml:space="preserve">                                   </w:t>
      </w:r>
      <w:r>
        <w:rPr>
          <w:rFonts w:hint="eastAsia" w:ascii="Arial" w:cs="Arial"/>
          <w:color w:val="000000"/>
          <w:szCs w:val="21"/>
        </w:rPr>
        <w:t>地址：</w:t>
      </w:r>
      <w:r>
        <w:rPr>
          <w:rFonts w:ascii="Arial" w:hAnsi="Arial" w:cs="Arial"/>
          <w:color w:val="000000"/>
          <w:szCs w:val="21"/>
        </w:rPr>
        <w:t xml:space="preserve"> </w:t>
      </w:r>
    </w:p>
    <w:p>
      <w:pPr>
        <w:spacing w:line="400" w:lineRule="exact"/>
        <w:rPr>
          <w:rFonts w:ascii="Arial" w:hAnsi="Arial" w:cs="Arial"/>
          <w:color w:val="000000"/>
          <w:szCs w:val="21"/>
        </w:rPr>
      </w:pPr>
      <w:r>
        <w:rPr>
          <w:rFonts w:ascii="Arial" w:hAnsi="Arial" w:cs="Arial"/>
          <w:color w:val="000000"/>
          <w:szCs w:val="21"/>
        </w:rPr>
        <w:t xml:space="preserve">  </w:t>
      </w:r>
      <w:r>
        <w:rPr>
          <w:rFonts w:hint="eastAsia" w:ascii="Arial" w:cs="Arial"/>
          <w:color w:val="000000"/>
          <w:szCs w:val="21"/>
        </w:rPr>
        <w:t>法定代表人（或授权代表人）：</w:t>
      </w:r>
      <w:r>
        <w:rPr>
          <w:rFonts w:ascii="Arial" w:hAnsi="Arial" w:cs="Arial"/>
          <w:color w:val="000000"/>
          <w:szCs w:val="21"/>
        </w:rPr>
        <w:t xml:space="preserve">                </w:t>
      </w:r>
      <w:r>
        <w:rPr>
          <w:rFonts w:hint="eastAsia" w:ascii="Arial" w:cs="Arial"/>
          <w:color w:val="000000"/>
          <w:szCs w:val="21"/>
        </w:rPr>
        <w:t>法定代表人（或授权代表人）：</w:t>
      </w:r>
    </w:p>
    <w:p>
      <w:pPr>
        <w:pStyle w:val="387"/>
        <w:spacing w:line="360" w:lineRule="auto"/>
        <w:ind w:left="0" w:leftChars="0" w:firstLine="210" w:firstLineChars="100"/>
        <w:rPr>
          <w:rFonts w:asciiTheme="minorEastAsia" w:hAnsiTheme="minorEastAsia" w:eastAsiaTheme="minorEastAsia"/>
          <w:u w:val="single"/>
        </w:rPr>
      </w:pPr>
      <w:r>
        <w:rPr>
          <w:rFonts w:hint="eastAsia" w:ascii="Arial" w:cs="Arial"/>
          <w:color w:val="000000"/>
        </w:rPr>
        <w:t>签字日期：</w:t>
      </w:r>
      <w:r>
        <w:rPr>
          <w:rFonts w:ascii="Arial" w:hAnsi="Arial" w:cs="Arial"/>
          <w:color w:val="000000"/>
        </w:rPr>
        <w:t xml:space="preserve">      </w:t>
      </w:r>
      <w:r>
        <w:rPr>
          <w:rFonts w:hint="eastAsia" w:ascii="Arial" w:cs="Arial"/>
          <w:color w:val="000000"/>
        </w:rPr>
        <w:t>年</w:t>
      </w:r>
      <w:r>
        <w:rPr>
          <w:rFonts w:ascii="Arial" w:hAnsi="Arial" w:cs="Arial"/>
          <w:color w:val="000000"/>
        </w:rPr>
        <w:t xml:space="preserve">  </w:t>
      </w:r>
      <w:r>
        <w:rPr>
          <w:rFonts w:hint="eastAsia" w:ascii="Arial" w:cs="Arial"/>
          <w:color w:val="000000"/>
        </w:rPr>
        <w:t>月</w:t>
      </w:r>
      <w:r>
        <w:rPr>
          <w:rFonts w:ascii="Arial" w:hAnsi="Arial" w:cs="Arial"/>
          <w:color w:val="000000"/>
        </w:rPr>
        <w:t xml:space="preserve">  </w:t>
      </w:r>
      <w:r>
        <w:rPr>
          <w:rFonts w:hint="eastAsia" w:ascii="Arial" w:hAnsi="Arial" w:cs="Arial"/>
          <w:color w:val="000000"/>
        </w:rPr>
        <w:t>日</w:t>
      </w:r>
      <w:r>
        <w:rPr>
          <w:rFonts w:ascii="Arial" w:hAnsi="Arial" w:cs="Arial"/>
          <w:color w:val="000000"/>
        </w:rPr>
        <w:t xml:space="preserve">                 </w:t>
      </w:r>
      <w:r>
        <w:rPr>
          <w:rFonts w:hint="eastAsia" w:ascii="Arial" w:hAnsi="Arial" w:cs="Arial"/>
          <w:color w:val="000000"/>
        </w:rPr>
        <w:t>签字日期：</w:t>
      </w:r>
      <w:r>
        <w:rPr>
          <w:rFonts w:ascii="Arial" w:hAnsi="Arial" w:cs="Arial"/>
          <w:color w:val="000000"/>
        </w:rPr>
        <w:t xml:space="preserve">      </w:t>
      </w:r>
      <w:r>
        <w:rPr>
          <w:rFonts w:hint="eastAsia" w:ascii="Arial" w:hAnsi="Arial" w:cs="Arial"/>
          <w:color w:val="000000"/>
        </w:rPr>
        <w:t>年</w:t>
      </w:r>
      <w:r>
        <w:rPr>
          <w:rFonts w:ascii="Arial" w:hAnsi="Arial" w:cs="Arial"/>
          <w:color w:val="000000"/>
        </w:rPr>
        <w:t xml:space="preserve">  </w:t>
      </w:r>
      <w:r>
        <w:rPr>
          <w:rFonts w:hint="eastAsia" w:ascii="Arial" w:hAnsi="Arial" w:cs="Arial"/>
          <w:color w:val="000000"/>
        </w:rPr>
        <w:t>月</w:t>
      </w:r>
      <w:r>
        <w:rPr>
          <w:rFonts w:ascii="Arial" w:hAnsi="Arial" w:cs="Arial"/>
          <w:color w:val="000000"/>
        </w:rPr>
        <w:t xml:space="preserve">  </w:t>
      </w:r>
      <w:r>
        <w:rPr>
          <w:rFonts w:hint="eastAsia" w:ascii="Arial" w:hAnsi="Arial" w:cs="Arial"/>
          <w:color w:val="000000"/>
        </w:rPr>
        <w:t>日</w:t>
      </w:r>
    </w:p>
    <w:p>
      <w:pPr>
        <w:pStyle w:val="387"/>
        <w:spacing w:line="360" w:lineRule="auto"/>
        <w:ind w:left="0" w:leftChars="0" w:firstLine="0"/>
        <w:jc w:val="center"/>
        <w:rPr>
          <w:rFonts w:ascii="宋体" w:hAnsi="宋体"/>
          <w:b/>
          <w:sz w:val="28"/>
        </w:rPr>
      </w:pPr>
      <w:r>
        <w:rPr>
          <w:rFonts w:ascii="宋体" w:hAnsi="宋体"/>
        </w:rPr>
        <w:br w:type="page"/>
      </w:r>
      <w:bookmarkStart w:id="61" w:name="_Toc34844746"/>
      <w:r>
        <w:rPr>
          <w:rFonts w:hint="eastAsia" w:ascii="宋体" w:hAnsi="宋体"/>
          <w:b/>
          <w:sz w:val="24"/>
        </w:rPr>
        <w:t>第六章  投标文件格式</w:t>
      </w:r>
      <w:bookmarkEnd w:id="61"/>
    </w:p>
    <w:p>
      <w:pPr>
        <w:snapToGrid w:val="0"/>
        <w:spacing w:line="360" w:lineRule="auto"/>
        <w:ind w:left="-23" w:leftChars="-11" w:right="-214" w:rightChars="-102" w:firstLine="21" w:firstLineChars="10"/>
        <w:jc w:val="left"/>
        <w:rPr>
          <w:rFonts w:ascii="宋体" w:hAnsi="宋体"/>
          <w:b/>
        </w:rPr>
      </w:pPr>
      <w:r>
        <w:rPr>
          <w:rFonts w:hint="eastAsia" w:ascii="宋体" w:hAnsi="宋体"/>
          <w:b/>
        </w:rPr>
        <w:t>1、资格要求响应文件的有关格式</w:t>
      </w:r>
    </w:p>
    <w:p>
      <w:pPr>
        <w:pStyle w:val="20"/>
        <w:spacing w:line="360" w:lineRule="auto"/>
        <w:ind w:left="0" w:leftChars="0"/>
        <w:jc w:val="center"/>
        <w:rPr>
          <w:rFonts w:ascii="宋体" w:hAnsi="宋体" w:cs="宋体"/>
          <w:b/>
          <w:kern w:val="1"/>
          <w:szCs w:val="21"/>
        </w:rPr>
      </w:pPr>
      <w:r>
        <w:rPr>
          <w:rFonts w:ascii="宋体" w:hAnsi="宋体" w:cs="宋体"/>
          <w:b/>
          <w:sz w:val="21"/>
          <w:szCs w:val="21"/>
        </w:rPr>
        <w:t>投标人资格声明函</w:t>
      </w:r>
    </w:p>
    <w:p>
      <w:pPr>
        <w:spacing w:line="360" w:lineRule="auto"/>
        <w:rPr>
          <w:rFonts w:ascii="宋体" w:hAnsi="宋体" w:cs="宋体"/>
          <w:b/>
          <w:kern w:val="1"/>
          <w:szCs w:val="21"/>
        </w:rPr>
      </w:pPr>
      <w:r>
        <w:rPr>
          <w:rFonts w:hint="eastAsia" w:ascii="宋体" w:hAnsi="宋体"/>
          <w:bCs/>
          <w:szCs w:val="21"/>
        </w:rPr>
        <w:t>致：</w:t>
      </w:r>
      <w:r>
        <w:rPr>
          <w:rFonts w:hint="eastAsia" w:ascii="宋体" w:hAnsi="宋体"/>
          <w:szCs w:val="21"/>
          <w:u w:val="single"/>
        </w:rPr>
        <w:t>宁波市生态环境局、宁波名诚招标代理有限公司</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根据贵方的招标公告和投标邀请，我方自愿</w:t>
      </w:r>
      <w:r>
        <w:rPr>
          <w:rFonts w:cs="Arial" w:asciiTheme="minorEastAsia" w:hAnsiTheme="minorEastAsia" w:eastAsiaTheme="minorEastAsia"/>
          <w:szCs w:val="21"/>
        </w:rPr>
        <w:t>参加投标并声明</w:t>
      </w:r>
      <w:r>
        <w:rPr>
          <w:rFonts w:hint="eastAsia" w:cs="Arial" w:asciiTheme="minorEastAsia" w:hAnsiTheme="minorEastAsia" w:eastAsiaTheme="minorEastAsia"/>
          <w:szCs w:val="21"/>
        </w:rPr>
        <w:t>：</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1.具有独立承担民事责任的能力；</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2.具有良好的商业信誉和健全的财务会计制度；</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3.具有履行本项目合同所必需的设备和专业技术能力；</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4.有依法缴纳税收和社会保障资金的良好记录；</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pPr>
        <w:spacing w:line="360" w:lineRule="auto"/>
        <w:ind w:firstLine="424"/>
        <w:rPr>
          <w:rFonts w:ascii="宋体" w:hAnsi="宋体" w:cs="Arial"/>
          <w:color w:val="FF0000"/>
          <w:szCs w:val="21"/>
        </w:rPr>
      </w:pPr>
      <w:r>
        <w:rPr>
          <w:rFonts w:hint="eastAsia" w:cs="Arial" w:asciiTheme="minorEastAsia" w:hAnsiTheme="minorEastAsia" w:eastAsiaTheme="minorEastAsia"/>
          <w:szCs w:val="21"/>
        </w:rPr>
        <w:t>7.具有</w:t>
      </w:r>
      <w:r>
        <w:rPr>
          <w:rFonts w:cs="Arial" w:asciiTheme="minorEastAsia" w:hAnsiTheme="minorEastAsia" w:eastAsiaTheme="minorEastAsia"/>
          <w:szCs w:val="21"/>
        </w:rPr>
        <w:t>法律、行政法规规定的其他条件</w:t>
      </w:r>
      <w:r>
        <w:rPr>
          <w:rFonts w:hint="eastAsia" w:cs="Arial" w:asciiTheme="minorEastAsia" w:hAnsiTheme="minorEastAsia" w:eastAsiaTheme="minorEastAsia"/>
          <w:szCs w:val="21"/>
        </w:rPr>
        <w:t>。</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ascii="宋体" w:hAnsi="宋体"/>
          <w:color w:val="000000"/>
          <w:szCs w:val="21"/>
          <w:u w:val="single"/>
        </w:rPr>
        <w:t>___</w:t>
      </w:r>
      <w:r>
        <w:rPr>
          <w:rFonts w:hint="eastAsia" w:ascii="宋体" w:hAnsi="宋体"/>
          <w:color w:val="000000"/>
          <w:szCs w:val="21"/>
          <w:u w:val="single"/>
        </w:rPr>
        <w:t xml:space="preserve">    （填写全称并加盖公章)</w:t>
      </w:r>
      <w:r>
        <w:rPr>
          <w:rFonts w:ascii="宋体" w:hAnsi="宋体"/>
          <w:color w:val="000000"/>
          <w:szCs w:val="21"/>
          <w:u w:val="single"/>
        </w:rPr>
        <w:t>___________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法定代表人或授权代表：</w:t>
      </w:r>
      <w:r>
        <w:rPr>
          <w:rFonts w:ascii="宋体" w:hAnsi="宋体"/>
          <w:color w:val="000000"/>
          <w:szCs w:val="21"/>
          <w:u w:val="single"/>
        </w:rPr>
        <w:t xml:space="preserve"> ___</w:t>
      </w:r>
      <w:r>
        <w:rPr>
          <w:rFonts w:hint="eastAsia" w:ascii="宋体" w:hAnsi="宋体"/>
          <w:szCs w:val="21"/>
          <w:u w:val="single"/>
        </w:rPr>
        <w:t>（签字或盖章）</w:t>
      </w:r>
      <w:r>
        <w:rPr>
          <w:rFonts w:ascii="宋体" w:hAnsi="宋体"/>
          <w:color w:val="000000"/>
          <w:szCs w:val="21"/>
          <w:u w:val="single"/>
        </w:rPr>
        <w:t>_____</w:t>
      </w:r>
      <w:r>
        <w:rPr>
          <w:rFonts w:ascii="宋体" w:hAnsi="宋体"/>
          <w:color w:val="000000"/>
          <w:szCs w:val="21"/>
        </w:rPr>
        <w:t>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pPr>
        <w:snapToGrid w:val="0"/>
        <w:spacing w:line="360" w:lineRule="auto"/>
        <w:ind w:left="-23" w:leftChars="-11" w:right="-214" w:rightChars="-102" w:firstLine="21" w:firstLineChars="10"/>
        <w:jc w:val="left"/>
        <w:rPr>
          <w:rFonts w:ascii="宋体" w:hAnsi="宋体" w:cs="宋体"/>
          <w:b/>
          <w:szCs w:val="21"/>
        </w:rPr>
      </w:pPr>
      <w:r>
        <w:rPr>
          <w:rFonts w:ascii="宋体" w:hAnsi="宋体" w:cs="宋体"/>
          <w:b/>
          <w:szCs w:val="21"/>
        </w:rPr>
        <w:br w:type="page"/>
      </w:r>
      <w:r>
        <w:rPr>
          <w:rFonts w:hint="eastAsia" w:ascii="宋体" w:hAnsi="宋体"/>
          <w:b/>
        </w:rPr>
        <w:t>2、商务技术文件的有关格式</w:t>
      </w:r>
    </w:p>
    <w:p>
      <w:pPr>
        <w:pStyle w:val="20"/>
        <w:spacing w:line="360" w:lineRule="auto"/>
        <w:ind w:left="0" w:leftChars="0"/>
        <w:jc w:val="center"/>
        <w:rPr>
          <w:rFonts w:ascii="宋体" w:hAnsi="宋体" w:cs="宋体"/>
          <w:b/>
          <w:sz w:val="21"/>
          <w:szCs w:val="21"/>
        </w:rPr>
      </w:pPr>
      <w:r>
        <w:rPr>
          <w:rFonts w:hint="eastAsia" w:ascii="宋体" w:hAnsi="宋体" w:cs="宋体"/>
          <w:b/>
          <w:sz w:val="21"/>
          <w:szCs w:val="21"/>
        </w:rPr>
        <w:t>1）投标函</w:t>
      </w:r>
    </w:p>
    <w:p>
      <w:pPr>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rPr>
        <w:t>宁波市生态环境局、宁波名诚招标代理有限公司</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根据贵方的招标公告和投标邀请，我方兹宣布同意如下：</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1.按招标文件规定提供的服务（包括安装调试等工作）的最终投标报价见开标一览表。</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2.我方将根据招标文件的规定，严格履行合同的责任和义务。</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3.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4.我方的投标文件在招标文件规定的投标有效期之前均对我方具有约束力。</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5.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6.我方完全理解最低报价并不是中标的唯一标准。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rPr>
        <w:t>7</w:t>
      </w:r>
      <w:r>
        <w:rPr>
          <w:rFonts w:asciiTheme="minorEastAsia" w:hAnsiTheme="minorEastAsia" w:eastAsiaTheme="minorEastAsia"/>
        </w:rPr>
        <w:t>.如我方获得中标</w:t>
      </w:r>
      <w:r>
        <w:rPr>
          <w:rFonts w:asciiTheme="minorEastAsia" w:hAnsiTheme="minorEastAsia" w:eastAsiaTheme="minorEastAsia"/>
          <w:szCs w:val="21"/>
        </w:rPr>
        <w:t>，承诺按照招标文件规定的金额、时间和方式支付</w:t>
      </w:r>
      <w:r>
        <w:rPr>
          <w:rFonts w:hint="eastAsia" w:asciiTheme="minorEastAsia" w:hAnsiTheme="minorEastAsia" w:eastAsiaTheme="minorEastAsia"/>
          <w:szCs w:val="21"/>
        </w:rPr>
        <w:t>采购</w:t>
      </w:r>
      <w:r>
        <w:rPr>
          <w:rFonts w:asciiTheme="minorEastAsia" w:hAnsiTheme="minorEastAsia" w:eastAsiaTheme="minorEastAsia"/>
          <w:szCs w:val="21"/>
        </w:rPr>
        <w:t>代理服务费。因我方违约致使</w:t>
      </w:r>
      <w:r>
        <w:rPr>
          <w:rFonts w:hint="eastAsia" w:asciiTheme="minorEastAsia" w:hAnsiTheme="minorEastAsia" w:eastAsiaTheme="minorEastAsia"/>
          <w:szCs w:val="21"/>
        </w:rPr>
        <w:t>采购</w:t>
      </w:r>
      <w:r>
        <w:rPr>
          <w:rFonts w:asciiTheme="minorEastAsia" w:hAnsiTheme="minorEastAsia" w:eastAsiaTheme="minorEastAsia"/>
          <w:szCs w:val="21"/>
        </w:rPr>
        <w:t>代理机构采取诉讼或仲裁等方式实现债权，为此支付的</w:t>
      </w:r>
      <w:r>
        <w:rPr>
          <w:rFonts w:hint="eastAsia" w:asciiTheme="minorEastAsia" w:hAnsiTheme="minorEastAsia" w:eastAsiaTheme="minorEastAsia"/>
          <w:szCs w:val="21"/>
        </w:rPr>
        <w:t>律师费、诉讼费、</w:t>
      </w:r>
      <w:r>
        <w:rPr>
          <w:rFonts w:asciiTheme="minorEastAsia" w:hAnsiTheme="minorEastAsia" w:eastAsiaTheme="minorEastAsia"/>
          <w:szCs w:val="21"/>
        </w:rPr>
        <w:t>执行费</w:t>
      </w:r>
      <w:r>
        <w:rPr>
          <w:rFonts w:hint="eastAsia" w:asciiTheme="minorEastAsia" w:hAnsiTheme="minorEastAsia" w:eastAsiaTheme="minorEastAsia"/>
          <w:szCs w:val="21"/>
        </w:rPr>
        <w:t>、公证费、认证费、鉴定费、保全费、担保费、差旅费等为</w:t>
      </w:r>
      <w:r>
        <w:rPr>
          <w:rFonts w:asciiTheme="minorEastAsia" w:hAnsiTheme="minorEastAsia" w:eastAsiaTheme="minorEastAsia"/>
          <w:szCs w:val="21"/>
        </w:rPr>
        <w:t>实现债权的一切费用由我方承担。</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8.所有有关本次投标的函电请寄：</w:t>
      </w:r>
    </w:p>
    <w:p>
      <w:pPr>
        <w:snapToGrid w:val="0"/>
        <w:spacing w:line="360" w:lineRule="auto"/>
        <w:rPr>
          <w:rFonts w:ascii="宋体" w:hAnsi="宋体"/>
          <w:u w:val="single"/>
        </w:rPr>
      </w:pPr>
      <w:r>
        <w:rPr>
          <w:rFonts w:hint="eastAsia" w:asciiTheme="minorEastAsia" w:hAnsiTheme="minorEastAsia" w:eastAsiaTheme="minorEastAsia"/>
          <w:szCs w:val="21"/>
        </w:rPr>
        <w:t>地址：</w:t>
      </w:r>
      <w:r>
        <w:rPr>
          <w:rFonts w:hint="eastAsia" w:ascii="宋体" w:hAnsi="宋体"/>
          <w:u w:val="single"/>
        </w:rPr>
        <w:t xml:space="preserve">           </w:t>
      </w:r>
      <w:r>
        <w:rPr>
          <w:rFonts w:hint="eastAsia" w:asciiTheme="minorEastAsia" w:hAnsiTheme="minorEastAsia" w:eastAsiaTheme="minorEastAsia"/>
          <w:szCs w:val="21"/>
        </w:rPr>
        <w:t xml:space="preserve">   邮编：</w:t>
      </w:r>
      <w:r>
        <w:rPr>
          <w:rFonts w:hint="eastAsia" w:ascii="宋体" w:hAnsi="宋体"/>
          <w:u w:val="single"/>
        </w:rPr>
        <w:t xml:space="preserve">           </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电话：</w:t>
      </w:r>
      <w:r>
        <w:rPr>
          <w:rFonts w:hint="eastAsia" w:ascii="宋体" w:hAnsi="宋体"/>
          <w:u w:val="single"/>
        </w:rPr>
        <w:t xml:space="preserve">           </w:t>
      </w:r>
      <w:r>
        <w:rPr>
          <w:rFonts w:hint="eastAsia" w:asciiTheme="minorEastAsia" w:hAnsiTheme="minorEastAsia" w:eastAsiaTheme="minorEastAsia"/>
          <w:szCs w:val="21"/>
        </w:rPr>
        <w:t xml:space="preserve">   电子邮箱： </w:t>
      </w:r>
      <w:r>
        <w:rPr>
          <w:rFonts w:hint="eastAsia" w:ascii="宋体" w:hAnsi="宋体"/>
          <w:u w:val="single"/>
        </w:rPr>
        <w:t xml:space="preserve">           </w:t>
      </w:r>
    </w:p>
    <w:p>
      <w:pPr>
        <w:snapToGrid w:val="0"/>
        <w:spacing w:line="360" w:lineRule="auto"/>
        <w:rPr>
          <w:rFonts w:ascii="宋体" w:hAnsi="宋体"/>
          <w:color w:val="000000"/>
          <w:szCs w:val="21"/>
        </w:rPr>
      </w:pPr>
    </w:p>
    <w:p>
      <w:pPr>
        <w:snapToGrid w:val="0"/>
        <w:spacing w:line="360" w:lineRule="auto"/>
        <w:rPr>
          <w:rFonts w:ascii="宋体" w:hAnsi="宋体"/>
          <w:color w:val="000000"/>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ascii="宋体" w:hAnsi="宋体"/>
          <w:color w:val="000000"/>
          <w:szCs w:val="21"/>
          <w:u w:val="single"/>
        </w:rPr>
        <w:t>___</w:t>
      </w:r>
      <w:r>
        <w:rPr>
          <w:rFonts w:hint="eastAsia" w:ascii="宋体" w:hAnsi="宋体"/>
          <w:color w:val="000000"/>
          <w:szCs w:val="21"/>
          <w:u w:val="single"/>
        </w:rPr>
        <w:t xml:space="preserve">    （填写全称并加盖公章)</w:t>
      </w:r>
      <w:r>
        <w:rPr>
          <w:rFonts w:ascii="宋体" w:hAnsi="宋体"/>
          <w:color w:val="000000"/>
          <w:szCs w:val="21"/>
          <w:u w:val="single"/>
        </w:rPr>
        <w:t>___________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法定代表人或授权代表签名：</w:t>
      </w:r>
      <w:r>
        <w:rPr>
          <w:rFonts w:ascii="宋体" w:hAnsi="宋体"/>
          <w:color w:val="000000"/>
          <w:szCs w:val="21"/>
          <w:u w:val="single"/>
        </w:rPr>
        <w:t xml:space="preserve"> </w:t>
      </w:r>
      <w:r>
        <w:rPr>
          <w:rFonts w:hint="eastAsia" w:ascii="宋体" w:hAnsi="宋体"/>
          <w:szCs w:val="21"/>
          <w:u w:val="single"/>
        </w:rPr>
        <w:t>（签字或盖章）</w:t>
      </w:r>
      <w:r>
        <w:rPr>
          <w:rFonts w:ascii="宋体" w:hAnsi="宋体"/>
          <w:color w:val="000000"/>
          <w:szCs w:val="21"/>
          <w:u w:val="single"/>
        </w:rPr>
        <w:t>_____</w:t>
      </w:r>
      <w:r>
        <w:rPr>
          <w:rFonts w:ascii="宋体" w:hAnsi="宋体"/>
          <w:color w:val="000000"/>
          <w:szCs w:val="21"/>
        </w:rPr>
        <w:t>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pPr>
        <w:pStyle w:val="20"/>
        <w:spacing w:line="360" w:lineRule="auto"/>
        <w:ind w:left="0" w:leftChars="0"/>
        <w:jc w:val="center"/>
        <w:rPr>
          <w:rFonts w:ascii="宋体" w:hAnsi="宋体"/>
          <w:b/>
          <w:szCs w:val="21"/>
        </w:rPr>
      </w:pPr>
      <w:r>
        <w:rPr>
          <w:rFonts w:ascii="宋体" w:hAnsi="宋体"/>
          <w:b/>
          <w:szCs w:val="21"/>
        </w:rPr>
        <w:br w:type="page"/>
      </w:r>
      <w:r>
        <w:rPr>
          <w:rFonts w:hint="eastAsia" w:ascii="宋体" w:hAnsi="宋体"/>
          <w:b/>
          <w:sz w:val="21"/>
          <w:szCs w:val="21"/>
        </w:rPr>
        <w:t>2）</w:t>
      </w:r>
      <w:r>
        <w:rPr>
          <w:rFonts w:ascii="宋体" w:hAnsi="宋体" w:cs="宋体"/>
          <w:b/>
          <w:sz w:val="21"/>
          <w:szCs w:val="21"/>
        </w:rPr>
        <w:t>法定代表人授权委托书</w:t>
      </w:r>
    </w:p>
    <w:p>
      <w:pPr>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rPr>
        <w:t>宁波市生态环境局、宁波名诚招标代理有限公司</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（姓名）</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lang w:eastAsia="zh-CN"/>
        </w:rPr>
        <w:t>宁波市地表水水质自动监测数据采购（第二期）项目</w:t>
      </w:r>
      <w:r>
        <w:rPr>
          <w:rFonts w:hint="eastAsia" w:asciiTheme="minorEastAsia" w:hAnsiTheme="minorEastAsia" w:eastAsiaTheme="minorEastAsia"/>
          <w:szCs w:val="21"/>
        </w:rPr>
        <w:t>的投标活动，并代表我方全权办理针对上述项目投标有关的具体事务办理并签署相关文件。</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我方对授权代表的签名事项负全部责任。</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授权代表无转委托权，特此委托。</w:t>
      </w:r>
    </w:p>
    <w:p>
      <w:pPr>
        <w:snapToGrid w:val="0"/>
        <w:spacing w:line="360" w:lineRule="auto"/>
        <w:rPr>
          <w:rFonts w:asciiTheme="minorEastAsia" w:hAnsiTheme="minorEastAsia" w:eastAsiaTheme="minorEastAsia"/>
          <w:szCs w:val="21"/>
        </w:rPr>
      </w:pPr>
    </w:p>
    <w:p>
      <w:pPr>
        <w:snapToGrid w:val="0"/>
        <w:spacing w:line="360" w:lineRule="auto"/>
        <w:ind w:firstLine="3685" w:firstLineChars="1755"/>
        <w:rPr>
          <w:rFonts w:ascii="宋体" w:hAnsi="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hint="eastAsia" w:ascii="宋体" w:hAnsi="宋体"/>
          <w:szCs w:val="21"/>
          <w:u w:val="single"/>
        </w:rPr>
        <w:t xml:space="preserve">          （填写全称并加盖公章）     </w:t>
      </w:r>
    </w:p>
    <w:p>
      <w:pPr>
        <w:snapToGrid w:val="0"/>
        <w:spacing w:line="360" w:lineRule="auto"/>
        <w:ind w:firstLine="3685" w:firstLineChars="1755"/>
        <w:rPr>
          <w:rFonts w:ascii="宋体" w:hAnsi="宋体"/>
          <w:szCs w:val="21"/>
        </w:rPr>
      </w:pPr>
      <w:r>
        <w:rPr>
          <w:rFonts w:hint="eastAsia" w:ascii="宋体" w:hAnsi="宋体"/>
          <w:szCs w:val="21"/>
        </w:rPr>
        <w:t>法定代表人：</w:t>
      </w:r>
      <w:r>
        <w:rPr>
          <w:rFonts w:hint="eastAsia" w:ascii="宋体" w:hAnsi="宋体"/>
          <w:szCs w:val="21"/>
          <w:u w:val="single"/>
        </w:rPr>
        <w:t xml:space="preserve">           （签字</w:t>
      </w:r>
      <w:r>
        <w:rPr>
          <w:rFonts w:hint="eastAsia" w:asciiTheme="minorEastAsia" w:hAnsiTheme="minorEastAsia" w:eastAsiaTheme="minorEastAsia"/>
          <w:szCs w:val="21"/>
          <w:u w:val="single"/>
        </w:rPr>
        <w:t>或盖章</w:t>
      </w:r>
      <w:r>
        <w:rPr>
          <w:rFonts w:hint="eastAsia" w:ascii="宋体" w:hAnsi="宋体"/>
          <w:szCs w:val="21"/>
          <w:u w:val="single"/>
        </w:rPr>
        <w:t xml:space="preserve">）        </w:t>
      </w:r>
    </w:p>
    <w:p>
      <w:pPr>
        <w:snapToGrid w:val="0"/>
        <w:spacing w:line="360" w:lineRule="auto"/>
        <w:ind w:firstLine="3685" w:firstLineChars="1755"/>
        <w:rPr>
          <w:rFonts w:ascii="宋体" w:hAnsi="宋体"/>
          <w:szCs w:val="21"/>
          <w:u w:val="single"/>
        </w:rPr>
      </w:pPr>
      <w:r>
        <w:rPr>
          <w:rFonts w:hint="eastAsia" w:ascii="宋体" w:hAnsi="宋体"/>
          <w:szCs w:val="21"/>
        </w:rPr>
        <w:t>授权代表：</w:t>
      </w:r>
      <w:r>
        <w:rPr>
          <w:rFonts w:hint="eastAsia" w:ascii="宋体" w:hAnsi="宋体"/>
          <w:szCs w:val="21"/>
          <w:u w:val="single"/>
        </w:rPr>
        <w:t xml:space="preserve">              （签字</w:t>
      </w:r>
      <w:r>
        <w:rPr>
          <w:rFonts w:hint="eastAsia" w:asciiTheme="minorEastAsia" w:hAnsiTheme="minorEastAsia" w:eastAsiaTheme="minorEastAsia"/>
          <w:szCs w:val="21"/>
          <w:u w:val="single"/>
        </w:rPr>
        <w:t>或盖章</w:t>
      </w:r>
      <w:r>
        <w:rPr>
          <w:rFonts w:hint="eastAsia" w:ascii="宋体" w:hAnsi="宋体"/>
          <w:szCs w:val="21"/>
          <w:u w:val="single"/>
        </w:rPr>
        <w:t xml:space="preserve">）       </w:t>
      </w:r>
    </w:p>
    <w:p>
      <w:pPr>
        <w:snapToGrid w:val="0"/>
        <w:spacing w:line="360" w:lineRule="auto"/>
        <w:ind w:firstLine="3685" w:firstLineChars="1755"/>
        <w:rPr>
          <w:rFonts w:ascii="宋体" w:hAnsi="宋体"/>
          <w:szCs w:val="21"/>
        </w:rPr>
      </w:pPr>
      <w:r>
        <w:rPr>
          <w:rFonts w:hint="eastAsia" w:ascii="宋体" w:hAnsi="宋体"/>
          <w:szCs w:val="21"/>
        </w:rPr>
        <w:t>授权委托日期：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b/>
          <w:szCs w:val="21"/>
        </w:rPr>
      </w:pPr>
      <w:r>
        <w:rPr>
          <w:rFonts w:hint="eastAsia" w:asciiTheme="minorEastAsia" w:hAnsiTheme="minorEastAsia" w:eastAsiaTheme="minorEastAsia"/>
          <w:b/>
          <w:szCs w:val="21"/>
        </w:rPr>
        <w:t>注：本项目只允许有唯一的投标人授权代表，附授权代表</w:t>
      </w:r>
      <w:r>
        <w:rPr>
          <w:rFonts w:hint="eastAsia" w:asciiTheme="minorEastAsia" w:hAnsiTheme="minorEastAsia" w:eastAsiaTheme="minorEastAsia"/>
          <w:b/>
          <w:szCs w:val="21"/>
          <w:u w:val="single"/>
        </w:rPr>
        <w:t>身份证正反面</w:t>
      </w:r>
      <w:r>
        <w:rPr>
          <w:rFonts w:hint="eastAsia" w:asciiTheme="minorEastAsia" w:hAnsiTheme="minorEastAsia" w:eastAsiaTheme="minorEastAsia"/>
          <w:b/>
          <w:szCs w:val="21"/>
        </w:rPr>
        <w:t>、</w:t>
      </w:r>
      <w:r>
        <w:rPr>
          <w:rFonts w:hint="eastAsia" w:asciiTheme="minorEastAsia" w:hAnsiTheme="minorEastAsia" w:eastAsiaTheme="minorEastAsia"/>
          <w:b/>
          <w:szCs w:val="21"/>
          <w:u w:val="single"/>
        </w:rPr>
        <w:t>近</w:t>
      </w:r>
      <w:r>
        <w:rPr>
          <w:rFonts w:hint="eastAsia" w:asciiTheme="minorEastAsia" w:hAnsiTheme="minorEastAsia" w:eastAsiaTheme="minorEastAsia"/>
          <w:b/>
          <w:szCs w:val="21"/>
          <w:u w:val="single"/>
          <w:lang w:val="en-US" w:eastAsia="zh-CN"/>
        </w:rPr>
        <w:t>三</w:t>
      </w:r>
      <w:r>
        <w:rPr>
          <w:rFonts w:hint="eastAsia" w:asciiTheme="minorEastAsia" w:hAnsiTheme="minorEastAsia" w:eastAsiaTheme="minorEastAsia"/>
          <w:b/>
          <w:szCs w:val="21"/>
          <w:u w:val="single"/>
        </w:rPr>
        <w:t>个月任意一个月的社保证明或提供劳动人事部门出示的相关在册人员的证明材料</w:t>
      </w:r>
      <w:r>
        <w:rPr>
          <w:rFonts w:hint="eastAsia" w:asciiTheme="minorEastAsia" w:hAnsiTheme="minorEastAsia" w:eastAsiaTheme="minorEastAsia"/>
          <w:b/>
          <w:szCs w:val="21"/>
        </w:rPr>
        <w:t>复印件</w:t>
      </w:r>
    </w:p>
    <w:p>
      <w:pPr>
        <w:spacing w:line="360" w:lineRule="auto"/>
        <w:jc w:val="center"/>
        <w:rPr>
          <w:rFonts w:ascii="宋体" w:hAnsi="宋体"/>
          <w:szCs w:val="21"/>
        </w:rPr>
      </w:pPr>
    </w:p>
    <w:p>
      <w:pPr>
        <w:snapToGrid w:val="0"/>
        <w:spacing w:line="360" w:lineRule="auto"/>
        <w:jc w:val="left"/>
        <w:rPr>
          <w:rFonts w:ascii="宋体" w:hAnsi="宋体"/>
          <w:szCs w:val="21"/>
        </w:rPr>
      </w:pPr>
    </w:p>
    <w:p>
      <w:pPr>
        <w:pStyle w:val="20"/>
        <w:spacing w:line="360" w:lineRule="auto"/>
        <w:ind w:left="0" w:leftChars="0"/>
        <w:jc w:val="center"/>
        <w:rPr>
          <w:rFonts w:ascii="宋体" w:hAnsi="宋体"/>
          <w:color w:val="000000"/>
          <w:szCs w:val="21"/>
        </w:rPr>
      </w:pPr>
      <w:r>
        <w:rPr>
          <w:rFonts w:ascii="宋体" w:hAnsi="宋体"/>
          <w:szCs w:val="21"/>
        </w:rPr>
        <w:br w:type="page"/>
      </w:r>
      <w:r>
        <w:rPr>
          <w:rFonts w:hint="eastAsia" w:ascii="宋体" w:hAnsi="宋体"/>
          <w:b/>
          <w:sz w:val="21"/>
          <w:szCs w:val="21"/>
        </w:rPr>
        <w:t>3）</w:t>
      </w:r>
      <w:r>
        <w:rPr>
          <w:rFonts w:hint="eastAsia" w:ascii="宋体" w:hAnsi="宋体" w:cs="宋体"/>
          <w:b/>
          <w:sz w:val="21"/>
          <w:szCs w:val="21"/>
        </w:rPr>
        <w:t>评委打分</w:t>
      </w:r>
      <w:r>
        <w:rPr>
          <w:rFonts w:hint="eastAsia" w:ascii="宋体" w:hAnsi="宋体"/>
          <w:b/>
          <w:sz w:val="21"/>
          <w:szCs w:val="21"/>
        </w:rPr>
        <w:t>索引表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序号</w:t>
            </w:r>
          </w:p>
        </w:tc>
        <w:tc>
          <w:tcPr>
            <w:tcW w:w="3742" w:type="dxa"/>
            <w:vAlign w:val="center"/>
          </w:tcPr>
          <w:p>
            <w:pPr>
              <w:spacing w:line="300" w:lineRule="exact"/>
              <w:jc w:val="center"/>
              <w:rPr>
                <w:rFonts w:ascii="宋体" w:hAnsi="宋体"/>
                <w:szCs w:val="21"/>
              </w:rPr>
            </w:pPr>
            <w:r>
              <w:rPr>
                <w:rFonts w:hint="eastAsia" w:ascii="宋体" w:hAnsi="宋体"/>
                <w:szCs w:val="21"/>
              </w:rPr>
              <w:t>评分项目</w:t>
            </w:r>
          </w:p>
        </w:tc>
        <w:tc>
          <w:tcPr>
            <w:tcW w:w="1701" w:type="dxa"/>
            <w:vAlign w:val="center"/>
          </w:tcPr>
          <w:p>
            <w:pPr>
              <w:spacing w:line="300" w:lineRule="exact"/>
              <w:jc w:val="center"/>
              <w:rPr>
                <w:rFonts w:ascii="宋体" w:hAnsi="宋体"/>
                <w:szCs w:val="21"/>
              </w:rPr>
            </w:pPr>
            <w:r>
              <w:rPr>
                <w:rFonts w:hint="eastAsia" w:ascii="宋体" w:hAnsi="宋体"/>
                <w:szCs w:val="21"/>
              </w:rPr>
              <w:t>文件或证明材料所在页码区间</w:t>
            </w:r>
          </w:p>
        </w:tc>
        <w:tc>
          <w:tcPr>
            <w:tcW w:w="2268" w:type="dxa"/>
            <w:vAlign w:val="center"/>
          </w:tcPr>
          <w:p>
            <w:pPr>
              <w:spacing w:line="300" w:lineRule="exact"/>
              <w:jc w:val="center"/>
              <w:rPr>
                <w:rFonts w:ascii="宋体" w:hAnsi="宋体"/>
                <w:szCs w:val="21"/>
              </w:rPr>
            </w:pPr>
            <w:r>
              <w:rPr>
                <w:rFonts w:hint="eastAsia" w:ascii="宋体" w:hAnsi="宋体"/>
                <w:szCs w:val="21"/>
              </w:rPr>
              <w:t>自评得分（主观评审部分不用填写自评得分）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1</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26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2</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26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3</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26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4</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26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5</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26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268" w:type="dxa"/>
            <w:vAlign w:val="center"/>
          </w:tcPr>
          <w:p>
            <w:pPr>
              <w:spacing w:line="300" w:lineRule="exact"/>
              <w:jc w:val="center"/>
              <w:rPr>
                <w:rFonts w:ascii="宋体" w:hAnsi="宋体"/>
                <w:szCs w:val="21"/>
              </w:rPr>
            </w:pPr>
          </w:p>
        </w:tc>
      </w:tr>
    </w:tbl>
    <w:p>
      <w:pPr>
        <w:pStyle w:val="20"/>
        <w:spacing w:before="120" w:beforeLines="50" w:line="360" w:lineRule="auto"/>
        <w:ind w:left="141" w:leftChars="67"/>
        <w:rPr>
          <w:rFonts w:ascii="宋体" w:hAnsi="宋体"/>
          <w:sz w:val="21"/>
          <w:szCs w:val="21"/>
        </w:rPr>
      </w:pPr>
      <w:r>
        <w:rPr>
          <w:rFonts w:hint="eastAsia" w:ascii="宋体" w:hAnsi="宋体"/>
          <w:sz w:val="21"/>
          <w:szCs w:val="21"/>
        </w:rPr>
        <w:t>注：按照评委打分表内容逐项填写</w:t>
      </w:r>
      <w:r>
        <w:rPr>
          <w:rFonts w:hint="eastAsia" w:asciiTheme="minorEastAsia" w:hAnsiTheme="minorEastAsia" w:eastAsiaTheme="minorEastAsia"/>
          <w:sz w:val="21"/>
          <w:szCs w:val="21"/>
        </w:rPr>
        <w:t>，报价项无需列入</w:t>
      </w:r>
      <w:r>
        <w:rPr>
          <w:rFonts w:hint="eastAsia" w:ascii="宋体" w:hAnsi="宋体"/>
          <w:sz w:val="21"/>
          <w:szCs w:val="21"/>
        </w:rPr>
        <w:t>。</w:t>
      </w:r>
    </w:p>
    <w:p>
      <w:pPr>
        <w:pStyle w:val="20"/>
        <w:spacing w:line="360" w:lineRule="auto"/>
        <w:rPr>
          <w:rFonts w:ascii="宋体" w:hAnsi="宋体"/>
          <w:b/>
          <w:sz w:val="21"/>
          <w:szCs w:val="21"/>
        </w:rPr>
      </w:pPr>
    </w:p>
    <w:p>
      <w:pPr>
        <w:snapToGrid w:val="0"/>
        <w:spacing w:before="50" w:after="50" w:line="360" w:lineRule="auto"/>
        <w:ind w:left="-21" w:leftChars="-72" w:right="-817" w:rightChars="-389" w:hanging="130" w:hangingChars="62"/>
        <w:rPr>
          <w:rFonts w:ascii="宋体" w:hAnsi="宋体"/>
          <w:szCs w:val="21"/>
        </w:rPr>
      </w:pPr>
    </w:p>
    <w:p>
      <w:pPr>
        <w:pStyle w:val="20"/>
        <w:spacing w:line="360" w:lineRule="auto"/>
        <w:ind w:left="0" w:leftChars="0"/>
        <w:jc w:val="center"/>
        <w:rPr>
          <w:rFonts w:ascii="宋体" w:hAnsi="宋体" w:cs="宋体"/>
          <w:b/>
          <w:sz w:val="21"/>
          <w:szCs w:val="21"/>
        </w:rPr>
      </w:pPr>
      <w:r>
        <w:rPr>
          <w:rFonts w:ascii="宋体" w:hAnsi="宋体"/>
          <w:kern w:val="1"/>
          <w:sz w:val="21"/>
          <w:szCs w:val="21"/>
        </w:rPr>
        <w:br w:type="page"/>
      </w:r>
      <w:r>
        <w:rPr>
          <w:rFonts w:hint="eastAsia" w:ascii="宋体" w:hAnsi="宋体" w:cs="宋体"/>
          <w:b/>
          <w:sz w:val="21"/>
          <w:szCs w:val="21"/>
        </w:rPr>
        <w:t>4）</w:t>
      </w:r>
      <w:r>
        <w:rPr>
          <w:rFonts w:hint="eastAsia" w:ascii="宋体" w:hAnsi="宋体" w:cs="宋体"/>
          <w:b/>
          <w:sz w:val="21"/>
          <w:szCs w:val="21"/>
          <w:lang w:val="en-US" w:eastAsia="zh-CN"/>
        </w:rPr>
        <w:t>技术</w:t>
      </w:r>
      <w:r>
        <w:rPr>
          <w:rFonts w:hint="eastAsia" w:ascii="宋体" w:hAnsi="宋体" w:cs="宋体"/>
          <w:b/>
          <w:sz w:val="21"/>
          <w:szCs w:val="21"/>
        </w:rPr>
        <w:t>要求响应表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kern w:val="1"/>
                <w:szCs w:val="21"/>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招标文件</w:t>
            </w:r>
            <w:r>
              <w:rPr>
                <w:rFonts w:hint="eastAsia" w:ascii="宋体" w:hAnsi="宋体"/>
                <w:szCs w:val="21"/>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响应情况</w:t>
            </w:r>
          </w:p>
          <w:p>
            <w:pPr>
              <w:widowControl/>
              <w:jc w:val="center"/>
              <w:rPr>
                <w:rFonts w:ascii="宋体" w:hAnsi="宋体"/>
                <w:szCs w:val="21"/>
              </w:rPr>
            </w:pPr>
            <w:r>
              <w:rPr>
                <w:rFonts w:hint="eastAsia" w:ascii="宋体" w:hAnsi="宋体"/>
                <w:szCs w:val="21"/>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7</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8</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s="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9</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10</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bl>
    <w:p>
      <w:pPr>
        <w:snapToGrid w:val="0"/>
        <w:spacing w:before="50" w:after="50" w:line="360" w:lineRule="auto"/>
        <w:ind w:left="-23" w:leftChars="-11" w:right="-57" w:rightChars="-27" w:firstLine="21" w:firstLineChars="10"/>
        <w:rPr>
          <w:rFonts w:ascii="宋体" w:hAnsi="宋体"/>
          <w:b/>
          <w:szCs w:val="21"/>
        </w:rPr>
      </w:pPr>
      <w:r>
        <w:rPr>
          <w:rFonts w:hint="eastAsia" w:ascii="宋体" w:hAnsi="宋体"/>
          <w:b/>
          <w:szCs w:val="21"/>
        </w:rPr>
        <w:t>注：响应情况栏填写“响应”即为满足</w:t>
      </w:r>
      <w:r>
        <w:rPr>
          <w:rFonts w:ascii="宋体" w:hAnsi="宋体"/>
          <w:b/>
          <w:szCs w:val="21"/>
        </w:rPr>
        <w:t>招标文件</w:t>
      </w:r>
      <w:r>
        <w:rPr>
          <w:rFonts w:hint="eastAsia" w:ascii="宋体" w:hAnsi="宋体"/>
          <w:b/>
          <w:szCs w:val="21"/>
        </w:rPr>
        <w:t>的要求，填写“正偏离”为优于</w:t>
      </w:r>
      <w:r>
        <w:rPr>
          <w:rFonts w:ascii="宋体" w:hAnsi="宋体"/>
          <w:b/>
          <w:szCs w:val="21"/>
        </w:rPr>
        <w:t>招标文件</w:t>
      </w:r>
      <w:r>
        <w:rPr>
          <w:rFonts w:hint="eastAsia" w:ascii="宋体" w:hAnsi="宋体"/>
          <w:b/>
          <w:szCs w:val="21"/>
        </w:rPr>
        <w:t>的要求，填写“负偏离”为不能满足</w:t>
      </w:r>
      <w:r>
        <w:rPr>
          <w:rFonts w:ascii="宋体" w:hAnsi="宋体"/>
          <w:b/>
          <w:szCs w:val="21"/>
        </w:rPr>
        <w:t>招标文件</w:t>
      </w:r>
      <w:r>
        <w:rPr>
          <w:rFonts w:hint="eastAsia" w:ascii="宋体" w:hAnsi="宋体"/>
          <w:b/>
          <w:szCs w:val="21"/>
        </w:rPr>
        <w:t>的要求，响应条款有“正偏离”</w:t>
      </w:r>
      <w:r>
        <w:rPr>
          <w:rFonts w:hint="eastAsia" w:ascii="宋体" w:hAnsi="宋体"/>
          <w:b/>
          <w:szCs w:val="21"/>
          <w:lang w:val="en-US" w:eastAsia="zh-CN"/>
        </w:rPr>
        <w:t>或</w:t>
      </w:r>
      <w:r>
        <w:rPr>
          <w:rFonts w:hint="eastAsia" w:ascii="宋体" w:hAnsi="宋体"/>
          <w:b/>
          <w:szCs w:val="21"/>
        </w:rPr>
        <w:t>“负偏离”的应当在“偏离情况说明”栏进行明确描述，响应情况由评标委员会认定。</w:t>
      </w:r>
    </w:p>
    <w:p>
      <w:pPr>
        <w:snapToGrid w:val="0"/>
        <w:spacing w:before="50" w:after="50" w:line="360" w:lineRule="auto"/>
        <w:ind w:left="-23" w:leftChars="-11" w:right="27" w:rightChars="13" w:firstLine="21" w:firstLineChars="10"/>
        <w:rPr>
          <w:rFonts w:ascii="宋体" w:hAnsi="宋体" w:cs="宋体"/>
          <w:b/>
          <w:bCs/>
          <w:szCs w:val="30"/>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ascii="宋体" w:hAnsi="宋体"/>
          <w:color w:val="000000"/>
          <w:szCs w:val="21"/>
          <w:u w:val="single"/>
        </w:rPr>
        <w:t>___</w:t>
      </w:r>
      <w:r>
        <w:rPr>
          <w:rFonts w:hint="eastAsia" w:ascii="宋体" w:hAnsi="宋体"/>
          <w:color w:val="000000"/>
          <w:szCs w:val="21"/>
          <w:u w:val="single"/>
        </w:rPr>
        <w:t xml:space="preserve">    （填写全称并加盖公章)</w:t>
      </w:r>
      <w:r>
        <w:rPr>
          <w:rFonts w:ascii="宋体" w:hAnsi="宋体"/>
          <w:color w:val="000000"/>
          <w:szCs w:val="21"/>
          <w:u w:val="single"/>
        </w:rPr>
        <w:t>___________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法定代表人或授权代表签名：</w:t>
      </w:r>
      <w:r>
        <w:rPr>
          <w:rFonts w:ascii="宋体" w:hAnsi="宋体"/>
          <w:color w:val="000000"/>
          <w:szCs w:val="21"/>
          <w:u w:val="single"/>
        </w:rPr>
        <w:t xml:space="preserve"> _</w:t>
      </w:r>
      <w:r>
        <w:rPr>
          <w:rFonts w:hint="eastAsia" w:ascii="宋体" w:hAnsi="宋体"/>
          <w:szCs w:val="21"/>
          <w:u w:val="single"/>
        </w:rPr>
        <w:t>（签字或盖章）</w:t>
      </w:r>
      <w:r>
        <w:rPr>
          <w:rFonts w:ascii="宋体" w:hAnsi="宋体"/>
          <w:color w:val="000000"/>
          <w:szCs w:val="21"/>
          <w:u w:val="single"/>
        </w:rPr>
        <w:t>_____</w:t>
      </w:r>
      <w:r>
        <w:rPr>
          <w:rFonts w:ascii="宋体" w:hAnsi="宋体"/>
          <w:color w:val="000000"/>
          <w:szCs w:val="21"/>
        </w:rPr>
        <w:t>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pPr>
        <w:pStyle w:val="20"/>
        <w:spacing w:line="360" w:lineRule="auto"/>
        <w:ind w:left="0" w:leftChars="0"/>
        <w:jc w:val="center"/>
        <w:rPr>
          <w:rFonts w:ascii="宋体" w:hAnsi="宋体" w:cs="宋体"/>
          <w:b/>
          <w:sz w:val="21"/>
          <w:szCs w:val="21"/>
        </w:rPr>
      </w:pPr>
      <w:r>
        <w:rPr>
          <w:rFonts w:ascii="宋体" w:hAnsi="宋体"/>
          <w:color w:val="000000"/>
          <w:szCs w:val="21"/>
        </w:rPr>
        <w:br w:type="page"/>
      </w:r>
      <w:r>
        <w:rPr>
          <w:rFonts w:hint="eastAsia" w:ascii="宋体" w:hAnsi="宋体" w:cs="宋体"/>
          <w:b/>
          <w:sz w:val="21"/>
          <w:szCs w:val="21"/>
        </w:rPr>
        <w:t>5）商务要求响应表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kern w:val="1"/>
                <w:szCs w:val="21"/>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招标文件</w:t>
            </w:r>
            <w:r>
              <w:rPr>
                <w:rFonts w:hint="eastAsia" w:ascii="宋体" w:hAnsi="宋体"/>
                <w:szCs w:val="21"/>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响应情况</w:t>
            </w:r>
          </w:p>
          <w:p>
            <w:pPr>
              <w:widowControl/>
              <w:jc w:val="center"/>
              <w:rPr>
                <w:rFonts w:ascii="宋体" w:hAnsi="宋体"/>
                <w:szCs w:val="21"/>
              </w:rPr>
            </w:pPr>
            <w:r>
              <w:rPr>
                <w:rFonts w:hint="eastAsia" w:ascii="宋体" w:hAnsi="宋体"/>
                <w:szCs w:val="21"/>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7</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8</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s="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9</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10</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bl>
    <w:p>
      <w:pPr>
        <w:snapToGrid w:val="0"/>
        <w:spacing w:before="50" w:after="50" w:line="360" w:lineRule="auto"/>
        <w:ind w:left="-23" w:leftChars="-11" w:right="-57" w:rightChars="-27" w:firstLine="21" w:firstLineChars="10"/>
        <w:rPr>
          <w:rFonts w:ascii="宋体" w:hAnsi="宋体"/>
          <w:b/>
          <w:szCs w:val="21"/>
        </w:rPr>
      </w:pPr>
      <w:r>
        <w:rPr>
          <w:rFonts w:hint="eastAsia" w:ascii="宋体" w:hAnsi="宋体"/>
          <w:b/>
          <w:szCs w:val="21"/>
        </w:rPr>
        <w:t>注：响应情况栏填写“响应”即为满足</w:t>
      </w:r>
      <w:r>
        <w:rPr>
          <w:rFonts w:ascii="宋体" w:hAnsi="宋体"/>
          <w:b/>
          <w:szCs w:val="21"/>
        </w:rPr>
        <w:t>招标文件</w:t>
      </w:r>
      <w:r>
        <w:rPr>
          <w:rFonts w:hint="eastAsia" w:ascii="宋体" w:hAnsi="宋体"/>
          <w:b/>
          <w:szCs w:val="21"/>
        </w:rPr>
        <w:t>的要求，填写“正偏离”为优于</w:t>
      </w:r>
      <w:r>
        <w:rPr>
          <w:rFonts w:ascii="宋体" w:hAnsi="宋体"/>
          <w:b/>
          <w:szCs w:val="21"/>
        </w:rPr>
        <w:t>招标文件</w:t>
      </w:r>
      <w:r>
        <w:rPr>
          <w:rFonts w:hint="eastAsia" w:ascii="宋体" w:hAnsi="宋体"/>
          <w:b/>
          <w:szCs w:val="21"/>
        </w:rPr>
        <w:t>的要求，填写“负偏离”为不能满足</w:t>
      </w:r>
      <w:r>
        <w:rPr>
          <w:rFonts w:ascii="宋体" w:hAnsi="宋体"/>
          <w:b/>
          <w:szCs w:val="21"/>
        </w:rPr>
        <w:t>招标文件</w:t>
      </w:r>
      <w:r>
        <w:rPr>
          <w:rFonts w:hint="eastAsia" w:ascii="宋体" w:hAnsi="宋体"/>
          <w:b/>
          <w:szCs w:val="21"/>
        </w:rPr>
        <w:t>的要求，响应条款有“正偏离”</w:t>
      </w:r>
      <w:r>
        <w:rPr>
          <w:rFonts w:hint="eastAsia" w:ascii="宋体" w:hAnsi="宋体"/>
          <w:b/>
          <w:szCs w:val="21"/>
          <w:lang w:val="en-US" w:eastAsia="zh-CN"/>
        </w:rPr>
        <w:t>或</w:t>
      </w:r>
      <w:r>
        <w:rPr>
          <w:rFonts w:hint="eastAsia" w:ascii="宋体" w:hAnsi="宋体"/>
          <w:b/>
          <w:szCs w:val="21"/>
        </w:rPr>
        <w:t>“负偏离”的应当在“偏离情况说明”栏进行明确描述，响应情况由评标委员会认定。</w:t>
      </w:r>
    </w:p>
    <w:p>
      <w:pPr>
        <w:snapToGrid w:val="0"/>
        <w:spacing w:before="50" w:after="50" w:line="360" w:lineRule="auto"/>
        <w:ind w:left="-23" w:leftChars="-11" w:right="-57" w:rightChars="-27" w:firstLine="21" w:firstLineChars="10"/>
        <w:rPr>
          <w:rFonts w:ascii="宋体" w:hAnsi="宋体"/>
          <w:b/>
          <w:szCs w:val="21"/>
        </w:rPr>
      </w:pPr>
    </w:p>
    <w:p>
      <w:pPr>
        <w:snapToGrid w:val="0"/>
        <w:spacing w:line="360" w:lineRule="auto"/>
        <w:ind w:firstLine="3685" w:firstLineChars="1755"/>
        <w:rPr>
          <w:rFonts w:ascii="宋体" w:hAnsi="宋体"/>
          <w:color w:val="000000"/>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ascii="宋体" w:hAnsi="宋体"/>
          <w:color w:val="000000"/>
          <w:szCs w:val="21"/>
          <w:u w:val="single"/>
        </w:rPr>
        <w:t>___</w:t>
      </w:r>
      <w:r>
        <w:rPr>
          <w:rFonts w:hint="eastAsia" w:ascii="宋体" w:hAnsi="宋体"/>
          <w:color w:val="000000"/>
          <w:szCs w:val="21"/>
          <w:u w:val="single"/>
        </w:rPr>
        <w:t xml:space="preserve">    （填写全称并加盖公章)</w:t>
      </w:r>
      <w:r>
        <w:rPr>
          <w:rFonts w:ascii="宋体" w:hAnsi="宋体"/>
          <w:color w:val="000000"/>
          <w:szCs w:val="21"/>
          <w:u w:val="single"/>
        </w:rPr>
        <w:t>___________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法定代表人或授权代表签名：</w:t>
      </w:r>
      <w:r>
        <w:rPr>
          <w:rFonts w:hint="eastAsia" w:ascii="宋体" w:hAnsi="宋体"/>
          <w:szCs w:val="21"/>
          <w:u w:val="single"/>
        </w:rPr>
        <w:t>（签字或盖章）</w:t>
      </w:r>
      <w:r>
        <w:rPr>
          <w:rFonts w:ascii="宋体" w:hAnsi="宋体"/>
          <w:color w:val="000000"/>
          <w:szCs w:val="21"/>
          <w:u w:val="single"/>
        </w:rPr>
        <w:t>_____</w:t>
      </w:r>
      <w:r>
        <w:rPr>
          <w:rFonts w:ascii="宋体" w:hAnsi="宋体"/>
          <w:color w:val="000000"/>
          <w:szCs w:val="21"/>
        </w:rPr>
        <w:t>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pPr>
        <w:snapToGrid w:val="0"/>
        <w:spacing w:line="360" w:lineRule="auto"/>
        <w:ind w:firstLine="3685" w:firstLineChars="1755"/>
        <w:rPr>
          <w:rFonts w:ascii="宋体" w:hAnsi="宋体"/>
          <w:color w:val="000000"/>
          <w:szCs w:val="21"/>
        </w:rPr>
      </w:pPr>
    </w:p>
    <w:p>
      <w:pPr>
        <w:pStyle w:val="20"/>
        <w:spacing w:line="360" w:lineRule="auto"/>
        <w:ind w:left="0" w:leftChars="0"/>
        <w:jc w:val="center"/>
        <w:rPr>
          <w:rFonts w:ascii="宋体" w:hAnsi="宋体"/>
          <w:b/>
        </w:rPr>
      </w:pPr>
      <w:r>
        <w:rPr>
          <w:rFonts w:ascii="宋体" w:hAnsi="宋体"/>
          <w:szCs w:val="21"/>
        </w:rPr>
        <w:br w:type="page"/>
      </w:r>
      <w:r>
        <w:rPr>
          <w:rFonts w:hint="eastAsia" w:ascii="宋体" w:hAnsi="宋体" w:cs="宋体"/>
          <w:b/>
          <w:sz w:val="21"/>
          <w:szCs w:val="21"/>
        </w:rPr>
        <w:t>6）项目实施人员情况表</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bCs/>
                <w:szCs w:val="21"/>
              </w:rPr>
            </w:pPr>
            <w:r>
              <w:rPr>
                <w:rFonts w:hint="eastAsia" w:ascii="宋体" w:hAnsi="宋体"/>
                <w:bCs/>
                <w:szCs w:val="21"/>
              </w:rPr>
              <w:t>序号</w:t>
            </w:r>
          </w:p>
        </w:tc>
        <w:tc>
          <w:tcPr>
            <w:tcW w:w="1527" w:type="dxa"/>
            <w:vAlign w:val="center"/>
          </w:tcPr>
          <w:p>
            <w:pPr>
              <w:jc w:val="center"/>
              <w:rPr>
                <w:rFonts w:ascii="宋体" w:hAnsi="宋体"/>
                <w:bCs/>
                <w:szCs w:val="21"/>
              </w:rPr>
            </w:pPr>
            <w:r>
              <w:rPr>
                <w:rFonts w:hint="eastAsia" w:ascii="宋体" w:hAnsi="宋体"/>
                <w:bCs/>
                <w:szCs w:val="21"/>
              </w:rPr>
              <w:t>姓名</w:t>
            </w:r>
          </w:p>
        </w:tc>
        <w:tc>
          <w:tcPr>
            <w:tcW w:w="1167" w:type="dxa"/>
            <w:vAlign w:val="center"/>
          </w:tcPr>
          <w:p>
            <w:pPr>
              <w:jc w:val="center"/>
              <w:rPr>
                <w:rFonts w:ascii="宋体" w:hAnsi="宋体"/>
                <w:bCs/>
                <w:szCs w:val="21"/>
              </w:rPr>
            </w:pPr>
            <w:r>
              <w:rPr>
                <w:rFonts w:hint="eastAsia" w:ascii="宋体" w:hAnsi="宋体"/>
                <w:bCs/>
                <w:szCs w:val="21"/>
              </w:rPr>
              <w:t>岗位</w:t>
            </w:r>
          </w:p>
        </w:tc>
        <w:tc>
          <w:tcPr>
            <w:tcW w:w="1275" w:type="dxa"/>
            <w:vAlign w:val="center"/>
          </w:tcPr>
          <w:p>
            <w:pPr>
              <w:jc w:val="center"/>
              <w:rPr>
                <w:rFonts w:ascii="宋体" w:hAnsi="宋体"/>
                <w:bCs/>
                <w:szCs w:val="21"/>
              </w:rPr>
            </w:pPr>
            <w:r>
              <w:rPr>
                <w:rFonts w:hint="eastAsia" w:ascii="宋体" w:hAnsi="宋体"/>
                <w:bCs/>
                <w:szCs w:val="21"/>
              </w:rPr>
              <w:t>本项目主要工作内容</w:t>
            </w:r>
          </w:p>
        </w:tc>
        <w:tc>
          <w:tcPr>
            <w:tcW w:w="851" w:type="dxa"/>
            <w:vAlign w:val="center"/>
          </w:tcPr>
          <w:p>
            <w:pPr>
              <w:jc w:val="center"/>
              <w:rPr>
                <w:rFonts w:ascii="宋体" w:hAnsi="宋体"/>
                <w:bCs/>
                <w:szCs w:val="21"/>
              </w:rPr>
            </w:pPr>
            <w:r>
              <w:rPr>
                <w:rFonts w:hint="eastAsia" w:ascii="宋体" w:hAnsi="宋体"/>
                <w:bCs/>
                <w:szCs w:val="21"/>
              </w:rPr>
              <w:t>年龄</w:t>
            </w:r>
          </w:p>
        </w:tc>
        <w:tc>
          <w:tcPr>
            <w:tcW w:w="850" w:type="dxa"/>
            <w:vAlign w:val="center"/>
          </w:tcPr>
          <w:p>
            <w:pPr>
              <w:jc w:val="center"/>
              <w:rPr>
                <w:rFonts w:ascii="宋体" w:hAnsi="宋体"/>
                <w:bCs/>
                <w:szCs w:val="21"/>
              </w:rPr>
            </w:pPr>
            <w:r>
              <w:rPr>
                <w:rFonts w:hint="eastAsia" w:ascii="宋体" w:hAnsi="宋体"/>
                <w:bCs/>
                <w:szCs w:val="21"/>
              </w:rPr>
              <w:t>性别</w:t>
            </w:r>
          </w:p>
        </w:tc>
        <w:tc>
          <w:tcPr>
            <w:tcW w:w="1134" w:type="dxa"/>
            <w:vAlign w:val="center"/>
          </w:tcPr>
          <w:p>
            <w:pPr>
              <w:jc w:val="center"/>
              <w:rPr>
                <w:rFonts w:ascii="宋体" w:hAnsi="宋体"/>
                <w:bCs/>
                <w:szCs w:val="21"/>
              </w:rPr>
            </w:pPr>
            <w:r>
              <w:rPr>
                <w:rFonts w:hint="eastAsia" w:ascii="宋体" w:hAnsi="宋体"/>
                <w:bCs/>
                <w:szCs w:val="21"/>
              </w:rPr>
              <w:t>学历</w:t>
            </w:r>
          </w:p>
        </w:tc>
        <w:tc>
          <w:tcPr>
            <w:tcW w:w="1560" w:type="dxa"/>
            <w:vAlign w:val="center"/>
          </w:tcPr>
          <w:p>
            <w:pPr>
              <w:jc w:val="center"/>
              <w:rPr>
                <w:rFonts w:ascii="宋体" w:hAnsi="宋体"/>
                <w:bCs/>
                <w:szCs w:val="21"/>
              </w:rPr>
            </w:pPr>
            <w:r>
              <w:rPr>
                <w:rFonts w:hint="eastAsia" w:ascii="宋体" w:hAnsi="宋体"/>
                <w:bCs/>
                <w:szCs w:val="21"/>
              </w:rPr>
              <w:t>职称、执业资格等能力情况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1</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2</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3</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4</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5</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bl>
    <w:p>
      <w:pPr>
        <w:spacing w:line="360" w:lineRule="auto"/>
        <w:ind w:left="924" w:hanging="924" w:hangingChars="440"/>
        <w:rPr>
          <w:rFonts w:ascii="宋体" w:hAnsi="宋体" w:cs="宋体"/>
        </w:rPr>
      </w:pPr>
      <w:r>
        <w:rPr>
          <w:rFonts w:hint="eastAsia" w:ascii="宋体" w:hAnsi="宋体" w:cs="宋体"/>
        </w:rPr>
        <w:t>注：1、</w:t>
      </w:r>
      <w:r>
        <w:rPr>
          <w:rFonts w:hint="eastAsia" w:ascii="宋体" w:hAnsi="宋体" w:cs="宋体"/>
          <w:b/>
        </w:rPr>
        <w:t>项目负责人等与评审因素相关的人员列入本表并明确</w:t>
      </w:r>
      <w:r>
        <w:rPr>
          <w:rFonts w:hint="eastAsia" w:ascii="宋体" w:hAnsi="宋体" w:cs="宋体"/>
        </w:rPr>
        <w:t>。</w:t>
      </w:r>
    </w:p>
    <w:p>
      <w:pPr>
        <w:spacing w:line="360" w:lineRule="auto"/>
        <w:ind w:left="924" w:hanging="924" w:hangingChars="440"/>
        <w:rPr>
          <w:rFonts w:ascii="宋体" w:hAnsi="宋体" w:cs="宋体"/>
        </w:rPr>
      </w:pPr>
      <w:r>
        <w:rPr>
          <w:rFonts w:hint="eastAsia" w:ascii="宋体" w:hAnsi="宋体" w:cs="宋体"/>
        </w:rPr>
        <w:t>2、列入本表人员如要更换，需经采购人同意，擅自更换或不到位属违约行为。</w:t>
      </w:r>
    </w:p>
    <w:p>
      <w:pPr>
        <w:spacing w:line="360" w:lineRule="auto"/>
        <w:ind w:left="924" w:hanging="924" w:hangingChars="440"/>
        <w:rPr>
          <w:rFonts w:ascii="宋体" w:hAnsi="宋体" w:cs="宋体"/>
        </w:rPr>
      </w:pPr>
      <w:r>
        <w:rPr>
          <w:rFonts w:hint="eastAsia" w:ascii="宋体" w:hAnsi="宋体" w:cs="宋体"/>
        </w:rPr>
        <w:t>3、</w:t>
      </w:r>
      <w:r>
        <w:rPr>
          <w:rFonts w:hint="eastAsia" w:ascii="宋体" w:hAnsi="宋体"/>
          <w:bCs/>
          <w:szCs w:val="21"/>
        </w:rPr>
        <w:t>职称、执业资格</w:t>
      </w:r>
      <w:r>
        <w:rPr>
          <w:rFonts w:hint="eastAsia" w:ascii="宋体" w:hAnsi="宋体"/>
          <w:bCs/>
          <w:szCs w:val="21"/>
          <w:lang w:eastAsia="zh-CN"/>
        </w:rPr>
        <w:t>、</w:t>
      </w:r>
      <w:r>
        <w:rPr>
          <w:rFonts w:hint="eastAsia" w:ascii="宋体" w:hAnsi="宋体"/>
          <w:bCs/>
          <w:szCs w:val="21"/>
          <w:lang w:val="en-US" w:eastAsia="zh-CN"/>
        </w:rPr>
        <w:t>社保证明</w:t>
      </w:r>
      <w:r>
        <w:rPr>
          <w:rFonts w:hint="eastAsia" w:ascii="宋体" w:hAnsi="宋体"/>
          <w:bCs/>
          <w:szCs w:val="21"/>
        </w:rPr>
        <w:t>等</w:t>
      </w:r>
      <w:r>
        <w:rPr>
          <w:rFonts w:hint="eastAsia" w:ascii="宋体" w:hAnsi="宋体" w:cs="宋体"/>
        </w:rPr>
        <w:t>证明材料的复印件后附（如</w:t>
      </w:r>
      <w:r>
        <w:rPr>
          <w:rFonts w:hint="eastAsia" w:ascii="宋体" w:hAnsi="宋体" w:cs="宋体"/>
          <w:lang w:val="en-US" w:eastAsia="zh-CN"/>
        </w:rPr>
        <w:t>要求</w:t>
      </w:r>
      <w:r>
        <w:rPr>
          <w:rFonts w:hint="eastAsia" w:ascii="宋体" w:hAnsi="宋体" w:cs="宋体"/>
        </w:rPr>
        <w:t>）。</w:t>
      </w:r>
    </w:p>
    <w:p>
      <w:pPr>
        <w:spacing w:line="360" w:lineRule="auto"/>
        <w:ind w:firstLine="420" w:firstLineChars="200"/>
        <w:rPr>
          <w:rFonts w:ascii="宋体" w:hAnsi="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ascii="宋体" w:hAnsi="宋体"/>
          <w:color w:val="000000"/>
          <w:szCs w:val="21"/>
          <w:u w:val="single"/>
        </w:rPr>
        <w:t>___</w:t>
      </w:r>
      <w:r>
        <w:rPr>
          <w:rFonts w:hint="eastAsia" w:ascii="宋体" w:hAnsi="宋体"/>
          <w:color w:val="000000"/>
          <w:szCs w:val="21"/>
          <w:u w:val="single"/>
        </w:rPr>
        <w:t xml:space="preserve">    （填写全称并加盖公章)</w:t>
      </w:r>
      <w:r>
        <w:rPr>
          <w:rFonts w:ascii="宋体" w:hAnsi="宋体"/>
          <w:color w:val="000000"/>
          <w:szCs w:val="21"/>
          <w:u w:val="single"/>
        </w:rPr>
        <w:t>___________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法定代表人或授权代表签名：</w:t>
      </w:r>
      <w:r>
        <w:rPr>
          <w:rFonts w:hint="eastAsia" w:ascii="宋体" w:hAnsi="宋体"/>
          <w:szCs w:val="21"/>
          <w:u w:val="single"/>
        </w:rPr>
        <w:t>（签字或盖章）</w:t>
      </w:r>
      <w:r>
        <w:rPr>
          <w:rFonts w:ascii="宋体" w:hAnsi="宋体"/>
          <w:color w:val="000000"/>
          <w:szCs w:val="21"/>
          <w:u w:val="single"/>
        </w:rPr>
        <w:t>_____</w:t>
      </w:r>
      <w:r>
        <w:rPr>
          <w:rFonts w:ascii="宋体" w:hAnsi="宋体"/>
          <w:color w:val="000000"/>
          <w:szCs w:val="21"/>
        </w:rPr>
        <w:t xml:space="preserve">_ </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pPr>
        <w:snapToGrid w:val="0"/>
        <w:spacing w:line="360" w:lineRule="auto"/>
        <w:rPr>
          <w:rFonts w:ascii="宋体" w:hAnsi="宋体"/>
          <w:szCs w:val="21"/>
        </w:rPr>
      </w:pPr>
    </w:p>
    <w:p>
      <w:pPr>
        <w:pStyle w:val="20"/>
        <w:spacing w:line="360" w:lineRule="auto"/>
        <w:jc w:val="center"/>
        <w:rPr>
          <w:rFonts w:ascii="宋体" w:hAnsi="宋体"/>
          <w:sz w:val="21"/>
          <w:szCs w:val="21"/>
        </w:rPr>
      </w:pPr>
    </w:p>
    <w:p>
      <w:pPr>
        <w:pStyle w:val="20"/>
        <w:spacing w:line="360" w:lineRule="auto"/>
        <w:ind w:left="0" w:leftChars="0"/>
        <w:jc w:val="center"/>
        <w:rPr>
          <w:rFonts w:ascii="宋体" w:hAnsi="宋体"/>
          <w:szCs w:val="21"/>
        </w:rPr>
      </w:pPr>
      <w:r>
        <w:rPr>
          <w:rFonts w:ascii="宋体" w:hAnsi="宋体"/>
          <w:szCs w:val="21"/>
        </w:rPr>
        <w:br w:type="page"/>
      </w:r>
      <w:r>
        <w:rPr>
          <w:rFonts w:hint="eastAsia" w:ascii="宋体" w:hAnsi="宋体" w:cs="宋体"/>
          <w:b/>
          <w:sz w:val="21"/>
          <w:szCs w:val="21"/>
        </w:rPr>
        <w:t>7）类似项目业绩一览表</w:t>
      </w:r>
    </w:p>
    <w:tbl>
      <w:tblPr>
        <w:tblStyle w:val="44"/>
        <w:tblW w:w="8827"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701"/>
        <w:gridCol w:w="1560"/>
        <w:gridCol w:w="1984"/>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序号</w:t>
            </w:r>
          </w:p>
        </w:tc>
        <w:tc>
          <w:tcPr>
            <w:tcW w:w="1701" w:type="dxa"/>
            <w:vAlign w:val="center"/>
          </w:tcPr>
          <w:p>
            <w:pPr>
              <w:spacing w:line="300" w:lineRule="exact"/>
              <w:jc w:val="center"/>
              <w:rPr>
                <w:rFonts w:ascii="宋体" w:hAnsi="宋体"/>
                <w:bCs/>
                <w:szCs w:val="21"/>
              </w:rPr>
            </w:pPr>
            <w:r>
              <w:rPr>
                <w:rFonts w:hint="eastAsia" w:ascii="宋体" w:hAnsi="宋体"/>
                <w:bCs/>
                <w:szCs w:val="21"/>
              </w:rPr>
              <w:t>用户名称</w:t>
            </w:r>
          </w:p>
        </w:tc>
        <w:tc>
          <w:tcPr>
            <w:tcW w:w="1560" w:type="dxa"/>
            <w:vAlign w:val="center"/>
          </w:tcPr>
          <w:p>
            <w:pPr>
              <w:spacing w:line="300" w:lineRule="exact"/>
              <w:jc w:val="center"/>
              <w:rPr>
                <w:rFonts w:ascii="宋体" w:hAnsi="宋体"/>
                <w:bCs/>
                <w:szCs w:val="21"/>
              </w:rPr>
            </w:pPr>
            <w:r>
              <w:rPr>
                <w:rFonts w:hint="eastAsia" w:ascii="宋体" w:hAnsi="宋体"/>
                <w:bCs/>
                <w:szCs w:val="21"/>
              </w:rPr>
              <w:t>项目内容</w:t>
            </w:r>
          </w:p>
        </w:tc>
        <w:tc>
          <w:tcPr>
            <w:tcW w:w="1984" w:type="dxa"/>
            <w:vAlign w:val="center"/>
          </w:tcPr>
          <w:p>
            <w:pPr>
              <w:spacing w:line="300" w:lineRule="exact"/>
              <w:jc w:val="center"/>
              <w:rPr>
                <w:rFonts w:ascii="宋体" w:hAnsi="宋体"/>
                <w:bCs/>
                <w:szCs w:val="21"/>
              </w:rPr>
            </w:pPr>
            <w:r>
              <w:rPr>
                <w:rFonts w:hint="eastAsia" w:ascii="宋体" w:hAnsi="宋体"/>
                <w:bCs/>
                <w:szCs w:val="21"/>
              </w:rPr>
              <w:t>合同金额</w:t>
            </w:r>
          </w:p>
        </w:tc>
        <w:tc>
          <w:tcPr>
            <w:tcW w:w="2835" w:type="dxa"/>
            <w:tcBorders>
              <w:right w:val="single" w:color="auto" w:sz="4" w:space="0"/>
            </w:tcBorders>
            <w:vAlign w:val="center"/>
          </w:tcPr>
          <w:p>
            <w:pPr>
              <w:spacing w:line="300" w:lineRule="exact"/>
              <w:jc w:val="center"/>
              <w:rPr>
                <w:rFonts w:ascii="宋体" w:hAnsi="宋体"/>
                <w:bCs/>
                <w:szCs w:val="21"/>
              </w:rPr>
            </w:pPr>
            <w:r>
              <w:rPr>
                <w:rFonts w:hint="eastAsia" w:ascii="宋体" w:hAnsi="宋体"/>
                <w:bCs/>
                <w:szCs w:val="21"/>
              </w:rPr>
              <w:t>用户联系人及其联系电话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1</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2</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3</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4</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5</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bl>
    <w:p>
      <w:pPr>
        <w:spacing w:line="360" w:lineRule="auto"/>
        <w:ind w:left="924" w:hanging="924" w:hangingChars="440"/>
        <w:rPr>
          <w:rFonts w:ascii="宋体" w:hAnsi="宋体" w:cs="宋体"/>
        </w:rPr>
      </w:pPr>
      <w:r>
        <w:rPr>
          <w:rFonts w:hint="eastAsia" w:ascii="宋体" w:hAnsi="宋体" w:cs="宋体"/>
          <w:bCs/>
          <w:szCs w:val="21"/>
        </w:rPr>
        <w:t>注：根据评委打分表的要求提供证明材料</w:t>
      </w:r>
      <w:r>
        <w:rPr>
          <w:rFonts w:hint="eastAsia" w:ascii="宋体" w:hAnsi="宋体"/>
          <w:szCs w:val="21"/>
        </w:rPr>
        <w:t>。</w:t>
      </w:r>
    </w:p>
    <w:p>
      <w:pPr>
        <w:snapToGrid w:val="0"/>
        <w:spacing w:before="50" w:after="50" w:line="360" w:lineRule="auto"/>
        <w:ind w:left="-23" w:leftChars="-11" w:right="27" w:rightChars="13" w:firstLine="21" w:firstLineChars="10"/>
        <w:rPr>
          <w:rFonts w:ascii="宋体" w:hAnsi="宋体" w:cs="宋体"/>
          <w:bCs/>
          <w:szCs w:val="21"/>
        </w:rPr>
      </w:pPr>
    </w:p>
    <w:p>
      <w:pPr>
        <w:spacing w:line="360" w:lineRule="auto"/>
        <w:rPr>
          <w:rFonts w:ascii="宋体" w:hAnsi="宋体" w:cs="宋体"/>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ascii="宋体" w:hAnsi="宋体"/>
          <w:color w:val="000000"/>
          <w:szCs w:val="21"/>
          <w:u w:val="single"/>
        </w:rPr>
        <w:t>___</w:t>
      </w:r>
      <w:r>
        <w:rPr>
          <w:rFonts w:hint="eastAsia" w:ascii="宋体" w:hAnsi="宋体"/>
          <w:color w:val="000000"/>
          <w:szCs w:val="21"/>
          <w:u w:val="single"/>
        </w:rPr>
        <w:t xml:space="preserve">    （填写全称并加盖公章)</w:t>
      </w:r>
      <w:r>
        <w:rPr>
          <w:rFonts w:ascii="宋体" w:hAnsi="宋体"/>
          <w:color w:val="000000"/>
          <w:szCs w:val="21"/>
          <w:u w:val="single"/>
        </w:rPr>
        <w:t>___________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法定代表人或授权代表签名：</w:t>
      </w:r>
      <w:r>
        <w:rPr>
          <w:rFonts w:hint="eastAsia" w:ascii="宋体" w:hAnsi="宋体"/>
          <w:szCs w:val="21"/>
          <w:u w:val="single"/>
        </w:rPr>
        <w:t>（签字或盖章）</w:t>
      </w:r>
      <w:r>
        <w:rPr>
          <w:rFonts w:ascii="宋体" w:hAnsi="宋体"/>
          <w:color w:val="000000"/>
          <w:szCs w:val="21"/>
          <w:u w:val="single"/>
        </w:rPr>
        <w:t>_____</w:t>
      </w:r>
      <w:r>
        <w:rPr>
          <w:rFonts w:ascii="宋体" w:hAnsi="宋体"/>
          <w:color w:val="000000"/>
          <w:szCs w:val="21"/>
        </w:rPr>
        <w:t>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pPr>
        <w:snapToGrid w:val="0"/>
        <w:spacing w:line="360" w:lineRule="auto"/>
        <w:ind w:left="-23" w:leftChars="-11" w:right="-214" w:rightChars="-102" w:firstLine="21" w:firstLineChars="10"/>
        <w:jc w:val="left"/>
        <w:rPr>
          <w:rFonts w:ascii="宋体" w:hAnsi="宋体"/>
          <w:b/>
        </w:rPr>
      </w:pPr>
      <w:r>
        <w:rPr>
          <w:rFonts w:ascii="宋体" w:hAnsi="宋体"/>
          <w:b/>
          <w:szCs w:val="21"/>
        </w:rPr>
        <w:br w:type="page"/>
      </w:r>
      <w:r>
        <w:rPr>
          <w:rFonts w:hint="eastAsia" w:ascii="宋体" w:hAnsi="宋体"/>
          <w:b/>
        </w:rPr>
        <w:t>3、报价要求响应文件的有关格式</w:t>
      </w:r>
    </w:p>
    <w:p>
      <w:pPr>
        <w:pStyle w:val="20"/>
        <w:spacing w:line="360" w:lineRule="auto"/>
        <w:ind w:left="0" w:leftChars="0"/>
        <w:jc w:val="center"/>
        <w:rPr>
          <w:rFonts w:ascii="宋体" w:hAnsi="宋体"/>
          <w:kern w:val="1"/>
          <w:szCs w:val="21"/>
        </w:rPr>
      </w:pPr>
      <w:r>
        <w:rPr>
          <w:rFonts w:hint="eastAsia" w:ascii="宋体" w:hAnsi="宋体" w:cs="宋体"/>
          <w:b/>
          <w:sz w:val="21"/>
          <w:szCs w:val="21"/>
        </w:rPr>
        <w:t>1）开标一览表</w:t>
      </w:r>
    </w:p>
    <w:tbl>
      <w:tblPr>
        <w:tblStyle w:val="44"/>
        <w:tblpPr w:leftFromText="180" w:rightFromText="180" w:vertAnchor="text" w:horzAnchor="margin" w:tblpY="1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1"/>
        <w:gridCol w:w="5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891" w:type="dxa"/>
            <w:tcBorders>
              <w:top w:val="single" w:color="auto" w:sz="4" w:space="0"/>
              <w:left w:val="single" w:color="auto" w:sz="4" w:space="0"/>
              <w:bottom w:val="single" w:color="auto" w:sz="4" w:space="0"/>
              <w:right w:val="single" w:color="auto" w:sz="4" w:space="0"/>
            </w:tcBorders>
            <w:vAlign w:val="center"/>
          </w:tcPr>
          <w:p>
            <w:pPr>
              <w:pStyle w:val="20"/>
              <w:spacing w:after="0"/>
              <w:ind w:left="457" w:leftChars="0" w:hanging="457" w:hangingChars="218"/>
              <w:jc w:val="center"/>
              <w:rPr>
                <w:rFonts w:ascii="宋体" w:hAnsi="宋体"/>
                <w:kern w:val="2"/>
                <w:sz w:val="21"/>
                <w:szCs w:val="21"/>
              </w:rPr>
            </w:pPr>
            <w:r>
              <w:rPr>
                <w:rFonts w:ascii="宋体" w:hAnsi="宋体"/>
                <w:kern w:val="2"/>
                <w:sz w:val="21"/>
                <w:szCs w:val="21"/>
              </w:rPr>
              <w:t>项目名称</w:t>
            </w:r>
          </w:p>
        </w:tc>
        <w:tc>
          <w:tcPr>
            <w:tcW w:w="5848" w:type="dxa"/>
            <w:tcBorders>
              <w:top w:val="single" w:color="auto" w:sz="4" w:space="0"/>
              <w:left w:val="single" w:color="auto" w:sz="4" w:space="0"/>
              <w:bottom w:val="single" w:color="auto" w:sz="4" w:space="0"/>
              <w:right w:val="single" w:color="auto" w:sz="4" w:space="0"/>
            </w:tcBorders>
            <w:vAlign w:val="center"/>
          </w:tcPr>
          <w:p>
            <w:pPr>
              <w:pStyle w:val="20"/>
              <w:spacing w:after="0"/>
              <w:ind w:left="36" w:leftChars="17"/>
              <w:jc w:val="center"/>
              <w:rPr>
                <w:rFonts w:hint="eastAsia" w:ascii="宋体" w:hAnsi="宋体" w:eastAsia="宋体"/>
                <w:kern w:val="2"/>
                <w:sz w:val="21"/>
                <w:szCs w:val="21"/>
                <w:lang w:eastAsia="zh-CN"/>
              </w:rPr>
            </w:pPr>
            <w:r>
              <w:rPr>
                <w:rFonts w:hint="eastAsia" w:ascii="宋体" w:hAnsi="宋体"/>
                <w:kern w:val="2"/>
                <w:sz w:val="21"/>
                <w:szCs w:val="21"/>
                <w:lang w:eastAsia="zh-CN"/>
              </w:rPr>
              <w:t>宁波市地表水水质自动监测数据采购（第二期）项目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891"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sz w:val="21"/>
                <w:szCs w:val="21"/>
              </w:rPr>
            </w:pPr>
            <w:r>
              <w:rPr>
                <w:rFonts w:hint="eastAsia" w:ascii="宋体" w:hAnsi="宋体"/>
                <w:kern w:val="2"/>
                <w:sz w:val="21"/>
                <w:szCs w:val="21"/>
              </w:rPr>
              <w:t>项目编号</w:t>
            </w:r>
          </w:p>
        </w:tc>
        <w:tc>
          <w:tcPr>
            <w:tcW w:w="5848" w:type="dxa"/>
            <w:tcBorders>
              <w:top w:val="single" w:color="auto" w:sz="4" w:space="0"/>
              <w:left w:val="single" w:color="auto" w:sz="4" w:space="0"/>
              <w:right w:val="single" w:color="auto" w:sz="4" w:space="0"/>
            </w:tcBorders>
            <w:vAlign w:val="center"/>
          </w:tcPr>
          <w:p>
            <w:pPr>
              <w:pStyle w:val="20"/>
              <w:spacing w:after="0"/>
              <w:ind w:left="36" w:leftChars="17"/>
              <w:jc w:val="center"/>
              <w:rPr>
                <w:rFonts w:hint="eastAsia" w:ascii="宋体" w:hAnsi="宋体" w:eastAsia="宋体"/>
                <w:kern w:val="2"/>
                <w:sz w:val="21"/>
                <w:szCs w:val="21"/>
                <w:lang w:eastAsia="zh-CN"/>
              </w:rPr>
            </w:pPr>
            <w:r>
              <w:rPr>
                <w:rFonts w:ascii="宋体" w:hAnsi="宋体"/>
                <w:kern w:val="2"/>
                <w:sz w:val="21"/>
                <w:szCs w:val="21"/>
              </w:rPr>
              <w:t>NBMC-</w:t>
            </w:r>
            <w:r>
              <w:rPr>
                <w:rFonts w:hint="eastAsia" w:ascii="宋体" w:hAnsi="宋体"/>
                <w:kern w:val="2"/>
                <w:sz w:val="21"/>
                <w:szCs w:val="21"/>
                <w:lang w:eastAsia="zh-CN"/>
              </w:rPr>
              <w:t>20239023G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891"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sz w:val="21"/>
                <w:szCs w:val="21"/>
              </w:rPr>
            </w:pPr>
            <w:r>
              <w:rPr>
                <w:rFonts w:hint="eastAsia" w:ascii="宋体" w:hAnsi="宋体"/>
                <w:kern w:val="2"/>
                <w:sz w:val="21"/>
                <w:szCs w:val="21"/>
              </w:rPr>
              <w:t>标项</w:t>
            </w:r>
          </w:p>
        </w:tc>
        <w:tc>
          <w:tcPr>
            <w:tcW w:w="5848" w:type="dxa"/>
            <w:tcBorders>
              <w:top w:val="single" w:color="auto" w:sz="4" w:space="0"/>
              <w:left w:val="single" w:color="auto" w:sz="4" w:space="0"/>
              <w:right w:val="single" w:color="auto" w:sz="4" w:space="0"/>
            </w:tcBorders>
            <w:vAlign w:val="center"/>
          </w:tcPr>
          <w:p>
            <w:pPr>
              <w:pStyle w:val="20"/>
              <w:spacing w:after="0"/>
              <w:ind w:left="36" w:leftChars="17"/>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891"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sz w:val="21"/>
                <w:szCs w:val="21"/>
              </w:rPr>
            </w:pPr>
            <w:r>
              <w:rPr>
                <w:rFonts w:hint="eastAsia" w:ascii="宋体" w:hAnsi="宋体"/>
                <w:kern w:val="2"/>
                <w:sz w:val="21"/>
                <w:szCs w:val="21"/>
              </w:rPr>
              <w:t>投标报价（元）</w:t>
            </w:r>
          </w:p>
        </w:tc>
        <w:tc>
          <w:tcPr>
            <w:tcW w:w="5848"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left"/>
              <w:rPr>
                <w:rFonts w:hint="default" w:ascii="宋体" w:hAnsi="宋体" w:eastAsia="宋体"/>
                <w:sz w:val="21"/>
                <w:szCs w:val="21"/>
                <w:lang w:val="en-US" w:eastAsia="zh-CN"/>
              </w:rPr>
            </w:pPr>
            <w:r>
              <w:rPr>
                <w:rFonts w:hint="eastAsia" w:ascii="宋体" w:hAnsi="宋体"/>
                <w:kern w:val="2"/>
                <w:sz w:val="21"/>
                <w:szCs w:val="21"/>
              </w:rPr>
              <w:t>小写：</w:t>
            </w:r>
            <w:r>
              <w:rPr>
                <w:rFonts w:hint="eastAsia" w:ascii="宋体" w:hAnsi="宋体"/>
                <w:kern w:val="2"/>
                <w:sz w:val="21"/>
                <w:szCs w:val="21"/>
                <w:lang w:val="en-US" w:eastAsia="zh-CN"/>
              </w:rPr>
              <w:t xml:space="preserve">RMB </w:t>
            </w:r>
            <w:r>
              <w:rPr>
                <w:rFonts w:hint="eastAsia" w:ascii="宋体" w:hAnsi="宋体"/>
                <w:kern w:val="2"/>
                <w:sz w:val="21"/>
                <w:szCs w:val="21"/>
                <w:u w:val="single"/>
                <w:lang w:val="en-US" w:eastAsia="zh-CN"/>
              </w:rPr>
              <w:t xml:space="preserve">         </w:t>
            </w:r>
            <w:r>
              <w:rPr>
                <w:rFonts w:hint="eastAsia" w:ascii="宋体" w:hAnsi="宋体"/>
                <w:kern w:val="2"/>
                <w:sz w:val="21"/>
                <w:szCs w:val="21"/>
                <w:lang w:val="en-US" w:eastAsia="zh-CN"/>
              </w:rPr>
              <w:t>元/年</w:t>
            </w:r>
          </w:p>
          <w:p>
            <w:pPr>
              <w:pStyle w:val="20"/>
              <w:spacing w:after="0"/>
              <w:ind w:left="457" w:leftChars="0" w:hanging="457" w:hangingChars="218"/>
              <w:jc w:val="left"/>
              <w:rPr>
                <w:rFonts w:hint="default" w:ascii="宋体" w:hAnsi="宋体" w:eastAsia="宋体"/>
                <w:kern w:val="2"/>
                <w:sz w:val="21"/>
                <w:szCs w:val="21"/>
                <w:lang w:val="en-US" w:eastAsia="zh-CN"/>
              </w:rPr>
            </w:pPr>
            <w:r>
              <w:rPr>
                <w:rFonts w:hint="eastAsia" w:ascii="宋体" w:hAnsi="宋体"/>
                <w:kern w:val="2"/>
                <w:sz w:val="21"/>
                <w:szCs w:val="21"/>
              </w:rPr>
              <w:t>大写：</w:t>
            </w:r>
            <w:r>
              <w:rPr>
                <w:rFonts w:hint="eastAsia" w:ascii="宋体" w:hAnsi="宋体"/>
                <w:kern w:val="2"/>
                <w:sz w:val="21"/>
                <w:szCs w:val="21"/>
                <w:lang w:val="en-US" w:eastAsia="zh-CN"/>
              </w:rPr>
              <w:t>每年人民币</w:t>
            </w:r>
            <w:r>
              <w:rPr>
                <w:rFonts w:hint="eastAsia" w:ascii="宋体" w:hAnsi="宋体"/>
                <w:kern w:val="2"/>
                <w:sz w:val="21"/>
                <w:szCs w:val="21"/>
                <w:u w:val="single"/>
                <w:lang w:val="en-US" w:eastAsia="zh-CN"/>
              </w:rPr>
              <w:t xml:space="preserve">             </w:t>
            </w:r>
            <w:r>
              <w:rPr>
                <w:rFonts w:hint="eastAsia" w:ascii="宋体" w:hAnsi="宋体"/>
                <w:kern w:val="2"/>
                <w:sz w:val="21"/>
                <w:szCs w:val="21"/>
                <w:lang w:val="en-US" w:eastAsia="zh-CN"/>
              </w:rPr>
              <w:t>元整</w:t>
            </w:r>
          </w:p>
        </w:tc>
      </w:tr>
    </w:tbl>
    <w:p>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rPr>
        <w:t>注</w:t>
      </w:r>
      <w:r>
        <w:rPr>
          <w:rFonts w:ascii="宋体" w:hAnsi="宋体" w:cs="宋体"/>
          <w:bCs/>
          <w:szCs w:val="21"/>
        </w:rPr>
        <w:t>：</w:t>
      </w:r>
      <w:r>
        <w:rPr>
          <w:rFonts w:hint="eastAsia" w:ascii="宋体" w:hAnsi="宋体" w:cs="宋体"/>
          <w:bCs/>
          <w:szCs w:val="21"/>
        </w:rPr>
        <w:t>1、报价一经涂改，应在涂改处加盖单位公章或由法定代表人或其授权代表签字，否则评标委员会将不接受该修改内容。</w:t>
      </w:r>
    </w:p>
    <w:p>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rPr>
        <w:t>2、以招标文件所述的采购（工作）量的总价填写投标报价。</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ascii="宋体" w:hAnsi="宋体"/>
          <w:color w:val="000000"/>
          <w:szCs w:val="21"/>
          <w:u w:val="single"/>
        </w:rPr>
        <w:t>___</w:t>
      </w:r>
      <w:r>
        <w:rPr>
          <w:rFonts w:hint="eastAsia" w:ascii="宋体" w:hAnsi="宋体"/>
          <w:color w:val="000000"/>
          <w:szCs w:val="21"/>
          <w:u w:val="single"/>
        </w:rPr>
        <w:t xml:space="preserve">    （填写全称并加盖公章)</w:t>
      </w:r>
      <w:r>
        <w:rPr>
          <w:rFonts w:ascii="宋体" w:hAnsi="宋体"/>
          <w:color w:val="000000"/>
          <w:szCs w:val="21"/>
          <w:u w:val="single"/>
        </w:rPr>
        <w:t>___________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法定代表人或授权代表签名：</w:t>
      </w:r>
      <w:r>
        <w:rPr>
          <w:rFonts w:hint="eastAsia" w:ascii="宋体" w:hAnsi="宋体"/>
          <w:szCs w:val="21"/>
          <w:u w:val="single"/>
        </w:rPr>
        <w:t>（签字或盖章）</w:t>
      </w:r>
      <w:r>
        <w:rPr>
          <w:rFonts w:ascii="宋体" w:hAnsi="宋体"/>
          <w:color w:val="000000"/>
          <w:szCs w:val="21"/>
          <w:u w:val="single"/>
        </w:rPr>
        <w:t>_____</w:t>
      </w:r>
      <w:r>
        <w:rPr>
          <w:rFonts w:ascii="宋体" w:hAnsi="宋体"/>
          <w:color w:val="000000"/>
          <w:szCs w:val="21"/>
        </w:rPr>
        <w:t>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pPr>
        <w:pStyle w:val="20"/>
        <w:numPr>
          <w:ilvl w:val="0"/>
          <w:numId w:val="0"/>
        </w:numPr>
        <w:spacing w:line="360" w:lineRule="auto"/>
        <w:jc w:val="center"/>
        <w:rPr>
          <w:rFonts w:ascii="宋体" w:hAnsi="宋体" w:cs="宋体"/>
          <w:b/>
          <w:sz w:val="21"/>
          <w:szCs w:val="21"/>
        </w:rPr>
      </w:pPr>
      <w:r>
        <w:rPr>
          <w:rFonts w:ascii="宋体" w:hAnsi="宋体"/>
          <w:b/>
          <w:szCs w:val="21"/>
        </w:rPr>
        <w:br w:type="page"/>
      </w:r>
      <w:r>
        <w:rPr>
          <w:rFonts w:hint="eastAsia" w:ascii="宋体" w:hAnsi="宋体"/>
          <w:b/>
          <w:szCs w:val="21"/>
          <w:lang w:val="en-US" w:eastAsia="zh-CN"/>
        </w:rPr>
        <w:t>2）</w:t>
      </w:r>
      <w:r>
        <w:rPr>
          <w:rFonts w:ascii="宋体" w:hAnsi="宋体" w:cs="宋体"/>
          <w:b/>
          <w:sz w:val="21"/>
          <w:szCs w:val="21"/>
        </w:rPr>
        <w:t>投标报价组成明细表</w:t>
      </w:r>
    </w:p>
    <w:p>
      <w:pPr>
        <w:pStyle w:val="20"/>
        <w:numPr>
          <w:ilvl w:val="0"/>
          <w:numId w:val="0"/>
        </w:numPr>
        <w:spacing w:line="360" w:lineRule="auto"/>
        <w:jc w:val="both"/>
        <w:rPr>
          <w:rFonts w:hint="default" w:ascii="宋体" w:hAnsi="宋体" w:eastAsia="宋体" w:cs="宋体"/>
          <w:b/>
          <w:sz w:val="21"/>
          <w:szCs w:val="21"/>
          <w:lang w:val="en-US" w:eastAsia="zh-CN"/>
        </w:rPr>
      </w:pPr>
      <w:r>
        <w:rPr>
          <w:rFonts w:hint="eastAsia" w:ascii="宋体" w:hAnsi="宋体" w:cs="宋体"/>
          <w:b/>
          <w:sz w:val="21"/>
          <w:szCs w:val="21"/>
          <w:lang w:val="en-US" w:eastAsia="zh-CN"/>
        </w:rPr>
        <w:t>标项1：</w:t>
      </w:r>
      <w:r>
        <w:rPr>
          <w:rFonts w:hint="eastAsia" w:ascii="宋体" w:hAnsi="宋体" w:cs="宋体"/>
          <w:b/>
          <w:sz w:val="21"/>
          <w:szCs w:val="21"/>
          <w:u w:val="single"/>
          <w:lang w:val="en-US" w:eastAsia="zh-CN"/>
        </w:rPr>
        <w:t xml:space="preserve">                                   </w:t>
      </w:r>
      <w:r>
        <w:rPr>
          <w:rFonts w:hint="eastAsia" w:ascii="宋体" w:hAnsi="宋体" w:cs="宋体"/>
          <w:b/>
          <w:sz w:val="21"/>
          <w:szCs w:val="21"/>
          <w:lang w:val="en-US" w:eastAsia="zh-CN"/>
        </w:rPr>
        <w:t xml:space="preserve">     </w:t>
      </w:r>
    </w:p>
    <w:tbl>
      <w:tblPr>
        <w:tblStyle w:val="4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839"/>
        <w:gridCol w:w="847"/>
        <w:gridCol w:w="729"/>
        <w:gridCol w:w="1115"/>
        <w:gridCol w:w="1243"/>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bCs/>
                <w:szCs w:val="21"/>
              </w:rPr>
            </w:pPr>
            <w:r>
              <w:rPr>
                <w:rFonts w:ascii="宋体" w:hAnsi="宋体"/>
                <w:bCs/>
                <w:szCs w:val="21"/>
              </w:rPr>
              <w:t>序号</w:t>
            </w:r>
          </w:p>
        </w:tc>
        <w:tc>
          <w:tcPr>
            <w:tcW w:w="2839" w:type="dxa"/>
            <w:vAlign w:val="center"/>
          </w:tcPr>
          <w:p>
            <w:pPr>
              <w:spacing w:line="300" w:lineRule="exact"/>
              <w:jc w:val="center"/>
              <w:rPr>
                <w:rFonts w:ascii="宋体" w:hAnsi="宋体"/>
                <w:bCs/>
                <w:szCs w:val="21"/>
              </w:rPr>
            </w:pPr>
            <w:r>
              <w:rPr>
                <w:rFonts w:hint="eastAsia" w:ascii="宋体" w:hAnsi="宋体"/>
                <w:szCs w:val="21"/>
                <w:lang w:val="en-US" w:eastAsia="zh-CN"/>
              </w:rPr>
              <w:t>监测数据服务点位</w:t>
            </w:r>
          </w:p>
        </w:tc>
        <w:tc>
          <w:tcPr>
            <w:tcW w:w="847" w:type="dxa"/>
            <w:vAlign w:val="center"/>
          </w:tcPr>
          <w:p>
            <w:pPr>
              <w:spacing w:line="300" w:lineRule="exact"/>
              <w:jc w:val="center"/>
              <w:rPr>
                <w:rFonts w:ascii="宋体" w:hAnsi="宋体"/>
                <w:bCs/>
                <w:szCs w:val="21"/>
              </w:rPr>
            </w:pPr>
            <w:r>
              <w:rPr>
                <w:rFonts w:hint="eastAsia" w:ascii="宋体" w:hAnsi="宋体"/>
                <w:bCs/>
                <w:szCs w:val="21"/>
              </w:rPr>
              <w:t>单位</w:t>
            </w:r>
          </w:p>
        </w:tc>
        <w:tc>
          <w:tcPr>
            <w:tcW w:w="729" w:type="dxa"/>
            <w:vAlign w:val="center"/>
          </w:tcPr>
          <w:p>
            <w:pPr>
              <w:spacing w:line="300" w:lineRule="exact"/>
              <w:jc w:val="center"/>
              <w:rPr>
                <w:rFonts w:ascii="宋体" w:hAnsi="宋体"/>
                <w:bCs/>
                <w:szCs w:val="21"/>
              </w:rPr>
            </w:pPr>
            <w:r>
              <w:rPr>
                <w:rFonts w:ascii="宋体" w:hAnsi="宋体"/>
                <w:bCs/>
                <w:szCs w:val="21"/>
              </w:rPr>
              <w:t>数量</w:t>
            </w:r>
          </w:p>
        </w:tc>
        <w:tc>
          <w:tcPr>
            <w:tcW w:w="1115" w:type="dxa"/>
            <w:vAlign w:val="center"/>
          </w:tcPr>
          <w:p>
            <w:pPr>
              <w:spacing w:line="300" w:lineRule="exact"/>
              <w:jc w:val="center"/>
              <w:rPr>
                <w:rFonts w:hint="default" w:ascii="宋体" w:hAnsi="宋体" w:eastAsia="宋体"/>
                <w:bCs/>
                <w:szCs w:val="21"/>
                <w:lang w:val="en-US" w:eastAsia="zh-CN"/>
              </w:rPr>
            </w:pPr>
            <w:r>
              <w:rPr>
                <w:rFonts w:hint="eastAsia" w:ascii="宋体" w:hAnsi="宋体"/>
                <w:bCs/>
                <w:szCs w:val="21"/>
                <w:lang w:val="en-US" w:eastAsia="zh-CN"/>
              </w:rPr>
              <w:t>服务期限</w:t>
            </w:r>
          </w:p>
        </w:tc>
        <w:tc>
          <w:tcPr>
            <w:tcW w:w="1243" w:type="dxa"/>
            <w:vAlign w:val="center"/>
          </w:tcPr>
          <w:p>
            <w:pPr>
              <w:spacing w:line="300" w:lineRule="exact"/>
              <w:jc w:val="center"/>
              <w:rPr>
                <w:rFonts w:ascii="宋体" w:hAnsi="宋体"/>
                <w:bCs/>
                <w:szCs w:val="21"/>
              </w:rPr>
            </w:pPr>
            <w:r>
              <w:rPr>
                <w:rFonts w:ascii="宋体" w:hAnsi="宋体"/>
                <w:bCs/>
                <w:szCs w:val="21"/>
              </w:rPr>
              <w:t>单价（元）</w:t>
            </w:r>
          </w:p>
        </w:tc>
        <w:tc>
          <w:tcPr>
            <w:tcW w:w="1292" w:type="dxa"/>
            <w:vAlign w:val="center"/>
          </w:tcPr>
          <w:p>
            <w:pPr>
              <w:spacing w:line="300" w:lineRule="exact"/>
              <w:jc w:val="center"/>
              <w:rPr>
                <w:rFonts w:ascii="宋体" w:hAnsi="宋体"/>
                <w:bCs/>
                <w:szCs w:val="21"/>
              </w:rPr>
            </w:pPr>
            <w:r>
              <w:rPr>
                <w:rFonts w:ascii="宋体" w:hAnsi="宋体"/>
                <w:bCs/>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aps/>
                <w:szCs w:val="21"/>
              </w:rPr>
            </w:pPr>
            <w:r>
              <w:rPr>
                <w:rFonts w:ascii="宋体" w:hAnsi="宋体"/>
                <w:caps/>
                <w:szCs w:val="21"/>
              </w:rPr>
              <w:t>1</w:t>
            </w:r>
          </w:p>
        </w:tc>
        <w:tc>
          <w:tcPr>
            <w:tcW w:w="2839" w:type="dxa"/>
            <w:vAlign w:val="center"/>
          </w:tcPr>
          <w:p>
            <w:pPr>
              <w:spacing w:line="300" w:lineRule="exact"/>
              <w:rPr>
                <w:rFonts w:hint="default" w:ascii="宋体" w:hAnsi="宋体" w:eastAsia="宋体"/>
                <w:b w:val="0"/>
                <w:bCs w:val="0"/>
                <w:kern w:val="44"/>
                <w:szCs w:val="21"/>
                <w:u w:val="none"/>
                <w:lang w:val="en-US" w:eastAsia="zh-CN"/>
              </w:rPr>
            </w:pPr>
            <w:r>
              <w:rPr>
                <w:rFonts w:hint="eastAsia" w:ascii="宋体" w:hAnsi="宋体"/>
                <w:szCs w:val="21"/>
                <w:u w:val="none"/>
              </w:rPr>
              <w:t>象山县</w:t>
            </w:r>
            <w:r>
              <w:rPr>
                <w:rFonts w:hint="eastAsia" w:ascii="宋体" w:hAnsi="宋体"/>
                <w:szCs w:val="21"/>
                <w:u w:val="none"/>
                <w:lang w:val="en-US" w:eastAsia="zh-CN"/>
              </w:rPr>
              <w:t>监测点位</w:t>
            </w:r>
          </w:p>
        </w:tc>
        <w:tc>
          <w:tcPr>
            <w:tcW w:w="847" w:type="dxa"/>
            <w:vAlign w:val="center"/>
          </w:tcPr>
          <w:p>
            <w:pPr>
              <w:spacing w:line="300" w:lineRule="exact"/>
              <w:jc w:val="center"/>
              <w:rPr>
                <w:rFonts w:hint="default" w:ascii="宋体" w:hAnsi="宋体" w:eastAsia="宋体"/>
                <w:b w:val="0"/>
                <w:bCs w:val="0"/>
                <w:kern w:val="44"/>
                <w:szCs w:val="21"/>
                <w:lang w:val="en-US" w:eastAsia="zh-CN"/>
              </w:rPr>
            </w:pPr>
            <w:r>
              <w:rPr>
                <w:rFonts w:hint="eastAsia" w:ascii="宋体" w:hAnsi="宋体" w:eastAsia="宋体"/>
                <w:b w:val="0"/>
                <w:bCs w:val="0"/>
                <w:kern w:val="44"/>
                <w:szCs w:val="21"/>
                <w:lang w:val="en-US" w:eastAsia="zh-CN"/>
              </w:rPr>
              <w:t>个</w:t>
            </w:r>
          </w:p>
        </w:tc>
        <w:tc>
          <w:tcPr>
            <w:tcW w:w="729" w:type="dxa"/>
            <w:vAlign w:val="center"/>
          </w:tcPr>
          <w:p>
            <w:pPr>
              <w:spacing w:line="300" w:lineRule="exact"/>
              <w:jc w:val="center"/>
              <w:rPr>
                <w:rFonts w:hint="default" w:ascii="宋体" w:hAnsi="宋体" w:eastAsia="宋体"/>
                <w:b w:val="0"/>
                <w:bCs w:val="0"/>
                <w:szCs w:val="21"/>
                <w:lang w:val="en-US" w:eastAsia="zh-CN"/>
              </w:rPr>
            </w:pPr>
            <w:r>
              <w:rPr>
                <w:rFonts w:hint="eastAsia" w:ascii="宋体" w:hAnsi="宋体" w:eastAsia="宋体"/>
                <w:b w:val="0"/>
                <w:bCs w:val="0"/>
                <w:szCs w:val="21"/>
                <w:lang w:val="en-US" w:eastAsia="zh-CN"/>
              </w:rPr>
              <w:t>6</w:t>
            </w:r>
          </w:p>
        </w:tc>
        <w:tc>
          <w:tcPr>
            <w:tcW w:w="1115" w:type="dxa"/>
            <w:vAlign w:val="center"/>
          </w:tcPr>
          <w:p>
            <w:pPr>
              <w:spacing w:line="300" w:lineRule="exact"/>
              <w:jc w:val="center"/>
              <w:rPr>
                <w:rFonts w:hint="default" w:ascii="宋体" w:hAnsi="宋体" w:eastAsia="宋体"/>
                <w:szCs w:val="21"/>
                <w:lang w:val="en-US" w:eastAsia="zh-CN"/>
              </w:rPr>
            </w:pPr>
            <w:r>
              <w:rPr>
                <w:rFonts w:hint="eastAsia" w:ascii="宋体" w:hAnsi="宋体"/>
                <w:szCs w:val="21"/>
                <w:lang w:val="en-US" w:eastAsia="zh-CN"/>
              </w:rPr>
              <w:t>1年</w:t>
            </w:r>
          </w:p>
        </w:tc>
        <w:tc>
          <w:tcPr>
            <w:tcW w:w="1243" w:type="dxa"/>
            <w:vAlign w:val="center"/>
          </w:tcPr>
          <w:p>
            <w:pPr>
              <w:spacing w:line="300" w:lineRule="exact"/>
              <w:rPr>
                <w:rFonts w:ascii="宋体" w:hAnsi="宋体"/>
                <w:szCs w:val="21"/>
              </w:rPr>
            </w:pPr>
          </w:p>
        </w:tc>
        <w:tc>
          <w:tcPr>
            <w:tcW w:w="1292"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hint="default" w:ascii="宋体" w:hAnsi="宋体" w:eastAsia="宋体"/>
                <w:szCs w:val="21"/>
                <w:lang w:val="en-US" w:eastAsia="zh-CN"/>
              </w:rPr>
            </w:pPr>
            <w:r>
              <w:rPr>
                <w:rFonts w:hint="eastAsia" w:ascii="宋体" w:hAnsi="宋体" w:eastAsia="宋体"/>
                <w:szCs w:val="21"/>
                <w:lang w:val="en-US" w:eastAsia="zh-CN"/>
              </w:rPr>
              <w:t>2</w:t>
            </w:r>
          </w:p>
        </w:tc>
        <w:tc>
          <w:tcPr>
            <w:tcW w:w="2839" w:type="dxa"/>
            <w:vAlign w:val="center"/>
          </w:tcPr>
          <w:p>
            <w:pPr>
              <w:spacing w:line="300" w:lineRule="exact"/>
              <w:rPr>
                <w:rFonts w:ascii="宋体" w:hAnsi="宋体"/>
                <w:b/>
                <w:bCs/>
                <w:kern w:val="44"/>
                <w:szCs w:val="21"/>
                <w:u w:val="none"/>
              </w:rPr>
            </w:pPr>
            <w:r>
              <w:rPr>
                <w:rFonts w:hint="eastAsia" w:ascii="宋体" w:hAnsi="宋体"/>
                <w:szCs w:val="21"/>
                <w:u w:val="none"/>
              </w:rPr>
              <w:t>宁海县</w:t>
            </w:r>
            <w:r>
              <w:rPr>
                <w:rFonts w:hint="eastAsia" w:ascii="宋体" w:hAnsi="宋体"/>
                <w:szCs w:val="21"/>
                <w:u w:val="none"/>
                <w:lang w:val="en-US" w:eastAsia="zh-CN"/>
              </w:rPr>
              <w:t>监测点位</w:t>
            </w:r>
          </w:p>
        </w:tc>
        <w:tc>
          <w:tcPr>
            <w:tcW w:w="847" w:type="dxa"/>
            <w:vAlign w:val="center"/>
          </w:tcPr>
          <w:p>
            <w:pPr>
              <w:spacing w:line="300" w:lineRule="exact"/>
              <w:jc w:val="center"/>
              <w:rPr>
                <w:rFonts w:hint="eastAsia" w:ascii="宋体" w:hAnsi="宋体" w:eastAsia="宋体"/>
                <w:b w:val="0"/>
                <w:bCs w:val="0"/>
                <w:kern w:val="44"/>
                <w:szCs w:val="21"/>
                <w:lang w:val="en-US" w:eastAsia="zh-CN"/>
              </w:rPr>
            </w:pPr>
            <w:r>
              <w:rPr>
                <w:rFonts w:hint="eastAsia" w:ascii="宋体" w:hAnsi="宋体"/>
                <w:b w:val="0"/>
                <w:bCs w:val="0"/>
                <w:kern w:val="44"/>
                <w:szCs w:val="21"/>
                <w:lang w:val="en-US" w:eastAsia="zh-CN"/>
              </w:rPr>
              <w:t>个</w:t>
            </w:r>
          </w:p>
        </w:tc>
        <w:tc>
          <w:tcPr>
            <w:tcW w:w="729" w:type="dxa"/>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8</w:t>
            </w:r>
          </w:p>
        </w:tc>
        <w:tc>
          <w:tcPr>
            <w:tcW w:w="1115" w:type="dxa"/>
            <w:vAlign w:val="center"/>
          </w:tcPr>
          <w:p>
            <w:pPr>
              <w:spacing w:line="300" w:lineRule="exact"/>
              <w:jc w:val="center"/>
              <w:rPr>
                <w:rFonts w:ascii="宋体" w:hAnsi="宋体"/>
                <w:szCs w:val="21"/>
              </w:rPr>
            </w:pPr>
            <w:r>
              <w:rPr>
                <w:rFonts w:hint="eastAsia" w:ascii="宋体" w:hAnsi="宋体"/>
                <w:szCs w:val="21"/>
                <w:lang w:val="en-US" w:eastAsia="zh-CN"/>
              </w:rPr>
              <w:t>1年</w:t>
            </w:r>
          </w:p>
        </w:tc>
        <w:tc>
          <w:tcPr>
            <w:tcW w:w="1243" w:type="dxa"/>
            <w:vAlign w:val="center"/>
          </w:tcPr>
          <w:p>
            <w:pPr>
              <w:spacing w:line="300" w:lineRule="exact"/>
              <w:rPr>
                <w:rFonts w:ascii="宋体" w:hAnsi="宋体"/>
                <w:szCs w:val="21"/>
              </w:rPr>
            </w:pPr>
          </w:p>
        </w:tc>
        <w:tc>
          <w:tcPr>
            <w:tcW w:w="1292"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hint="default" w:ascii="宋体" w:hAnsi="宋体" w:eastAsia="宋体"/>
                <w:szCs w:val="21"/>
                <w:lang w:val="en-US" w:eastAsia="zh-CN"/>
              </w:rPr>
            </w:pPr>
            <w:r>
              <w:rPr>
                <w:rFonts w:hint="eastAsia" w:ascii="宋体" w:hAnsi="宋体" w:eastAsia="宋体"/>
                <w:szCs w:val="21"/>
                <w:lang w:val="en-US" w:eastAsia="zh-CN"/>
              </w:rPr>
              <w:t>3</w:t>
            </w:r>
          </w:p>
        </w:tc>
        <w:tc>
          <w:tcPr>
            <w:tcW w:w="2839" w:type="dxa"/>
            <w:vAlign w:val="center"/>
          </w:tcPr>
          <w:p>
            <w:pPr>
              <w:spacing w:line="300" w:lineRule="exact"/>
              <w:rPr>
                <w:rFonts w:ascii="宋体" w:hAnsi="宋体"/>
                <w:b/>
                <w:bCs/>
                <w:kern w:val="44"/>
                <w:szCs w:val="21"/>
                <w:u w:val="none"/>
              </w:rPr>
            </w:pPr>
            <w:r>
              <w:rPr>
                <w:rFonts w:hint="eastAsia" w:ascii="宋体" w:hAnsi="宋体"/>
                <w:szCs w:val="21"/>
                <w:u w:val="none"/>
              </w:rPr>
              <w:t>奉化区</w:t>
            </w:r>
            <w:r>
              <w:rPr>
                <w:rFonts w:hint="eastAsia" w:ascii="宋体" w:hAnsi="宋体"/>
                <w:szCs w:val="21"/>
                <w:u w:val="none"/>
                <w:lang w:val="en-US" w:eastAsia="zh-CN"/>
              </w:rPr>
              <w:t>监测点位</w:t>
            </w:r>
          </w:p>
        </w:tc>
        <w:tc>
          <w:tcPr>
            <w:tcW w:w="847" w:type="dxa"/>
            <w:vAlign w:val="center"/>
          </w:tcPr>
          <w:p>
            <w:pPr>
              <w:spacing w:line="300" w:lineRule="exact"/>
              <w:jc w:val="center"/>
              <w:rPr>
                <w:rFonts w:ascii="宋体" w:hAnsi="宋体"/>
                <w:b w:val="0"/>
                <w:bCs w:val="0"/>
                <w:kern w:val="44"/>
                <w:szCs w:val="21"/>
              </w:rPr>
            </w:pPr>
            <w:r>
              <w:rPr>
                <w:rFonts w:hint="eastAsia" w:ascii="宋体" w:hAnsi="宋体" w:eastAsia="宋体"/>
                <w:b w:val="0"/>
                <w:bCs w:val="0"/>
                <w:kern w:val="44"/>
                <w:szCs w:val="21"/>
                <w:lang w:val="en-US" w:eastAsia="zh-CN"/>
              </w:rPr>
              <w:t>个</w:t>
            </w:r>
          </w:p>
        </w:tc>
        <w:tc>
          <w:tcPr>
            <w:tcW w:w="729" w:type="dxa"/>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5</w:t>
            </w:r>
          </w:p>
        </w:tc>
        <w:tc>
          <w:tcPr>
            <w:tcW w:w="1115" w:type="dxa"/>
            <w:vAlign w:val="center"/>
          </w:tcPr>
          <w:p>
            <w:pPr>
              <w:spacing w:line="300" w:lineRule="exact"/>
              <w:jc w:val="center"/>
              <w:rPr>
                <w:rFonts w:ascii="宋体" w:hAnsi="宋体"/>
                <w:szCs w:val="21"/>
              </w:rPr>
            </w:pPr>
            <w:r>
              <w:rPr>
                <w:rFonts w:hint="eastAsia" w:ascii="宋体" w:hAnsi="宋体"/>
                <w:szCs w:val="21"/>
                <w:lang w:val="en-US" w:eastAsia="zh-CN"/>
              </w:rPr>
              <w:t>1年</w:t>
            </w:r>
          </w:p>
        </w:tc>
        <w:tc>
          <w:tcPr>
            <w:tcW w:w="1243" w:type="dxa"/>
            <w:vAlign w:val="center"/>
          </w:tcPr>
          <w:p>
            <w:pPr>
              <w:spacing w:line="300" w:lineRule="exact"/>
              <w:rPr>
                <w:rFonts w:ascii="宋体" w:hAnsi="宋体"/>
                <w:szCs w:val="21"/>
              </w:rPr>
            </w:pPr>
          </w:p>
        </w:tc>
        <w:tc>
          <w:tcPr>
            <w:tcW w:w="1292"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hint="default" w:ascii="宋体" w:hAnsi="宋体" w:eastAsia="宋体"/>
                <w:szCs w:val="21"/>
                <w:lang w:val="en-US" w:eastAsia="zh-CN"/>
              </w:rPr>
            </w:pPr>
            <w:r>
              <w:rPr>
                <w:rFonts w:hint="eastAsia" w:ascii="宋体" w:hAnsi="宋体" w:eastAsia="宋体"/>
                <w:szCs w:val="21"/>
                <w:lang w:val="en-US" w:eastAsia="zh-CN"/>
              </w:rPr>
              <w:t>4</w:t>
            </w:r>
          </w:p>
        </w:tc>
        <w:tc>
          <w:tcPr>
            <w:tcW w:w="2839" w:type="dxa"/>
            <w:vAlign w:val="center"/>
          </w:tcPr>
          <w:p>
            <w:pPr>
              <w:spacing w:line="300" w:lineRule="exact"/>
              <w:rPr>
                <w:rFonts w:ascii="宋体" w:hAnsi="宋体"/>
                <w:b/>
                <w:bCs/>
                <w:kern w:val="44"/>
                <w:szCs w:val="21"/>
                <w:u w:val="none"/>
              </w:rPr>
            </w:pPr>
            <w:r>
              <w:rPr>
                <w:rFonts w:hint="eastAsia" w:ascii="宋体" w:hAnsi="宋体"/>
                <w:szCs w:val="21"/>
                <w:u w:val="none"/>
              </w:rPr>
              <w:t>鄞州区</w:t>
            </w:r>
            <w:r>
              <w:rPr>
                <w:rFonts w:hint="eastAsia" w:ascii="宋体" w:hAnsi="宋体"/>
                <w:szCs w:val="21"/>
                <w:u w:val="none"/>
                <w:lang w:val="en-US" w:eastAsia="zh-CN"/>
              </w:rPr>
              <w:t>监测点位</w:t>
            </w:r>
          </w:p>
        </w:tc>
        <w:tc>
          <w:tcPr>
            <w:tcW w:w="847" w:type="dxa"/>
            <w:vAlign w:val="center"/>
          </w:tcPr>
          <w:p>
            <w:pPr>
              <w:spacing w:line="300" w:lineRule="exact"/>
              <w:jc w:val="center"/>
              <w:rPr>
                <w:rFonts w:ascii="宋体" w:hAnsi="宋体"/>
                <w:b w:val="0"/>
                <w:bCs w:val="0"/>
                <w:kern w:val="44"/>
                <w:szCs w:val="21"/>
              </w:rPr>
            </w:pPr>
            <w:r>
              <w:rPr>
                <w:rFonts w:hint="eastAsia" w:ascii="宋体" w:hAnsi="宋体" w:eastAsia="宋体"/>
                <w:b w:val="0"/>
                <w:bCs w:val="0"/>
                <w:kern w:val="44"/>
                <w:szCs w:val="21"/>
                <w:lang w:val="en-US" w:eastAsia="zh-CN"/>
              </w:rPr>
              <w:t>个</w:t>
            </w:r>
          </w:p>
        </w:tc>
        <w:tc>
          <w:tcPr>
            <w:tcW w:w="729" w:type="dxa"/>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6</w:t>
            </w:r>
          </w:p>
        </w:tc>
        <w:tc>
          <w:tcPr>
            <w:tcW w:w="1115" w:type="dxa"/>
            <w:vAlign w:val="center"/>
          </w:tcPr>
          <w:p>
            <w:pPr>
              <w:spacing w:line="300" w:lineRule="exact"/>
              <w:jc w:val="center"/>
              <w:rPr>
                <w:rFonts w:ascii="宋体" w:hAnsi="宋体"/>
                <w:szCs w:val="21"/>
              </w:rPr>
            </w:pPr>
            <w:r>
              <w:rPr>
                <w:rFonts w:hint="eastAsia" w:ascii="宋体" w:hAnsi="宋体"/>
                <w:szCs w:val="21"/>
                <w:lang w:val="en-US" w:eastAsia="zh-CN"/>
              </w:rPr>
              <w:t>1年</w:t>
            </w:r>
          </w:p>
        </w:tc>
        <w:tc>
          <w:tcPr>
            <w:tcW w:w="1243" w:type="dxa"/>
            <w:vAlign w:val="center"/>
          </w:tcPr>
          <w:p>
            <w:pPr>
              <w:spacing w:line="300" w:lineRule="exact"/>
              <w:rPr>
                <w:rFonts w:ascii="宋体" w:hAnsi="宋体"/>
                <w:szCs w:val="21"/>
              </w:rPr>
            </w:pPr>
          </w:p>
        </w:tc>
        <w:tc>
          <w:tcPr>
            <w:tcW w:w="1292"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hint="default" w:ascii="宋体" w:hAnsi="宋体"/>
                <w:szCs w:val="21"/>
                <w:lang w:val="en-US" w:eastAsia="zh-CN"/>
              </w:rPr>
            </w:pPr>
            <w:r>
              <w:rPr>
                <w:rFonts w:hint="eastAsia" w:ascii="宋体" w:hAnsi="宋体"/>
                <w:szCs w:val="21"/>
                <w:lang w:val="en-US" w:eastAsia="zh-CN"/>
              </w:rPr>
              <w:t>5</w:t>
            </w:r>
          </w:p>
        </w:tc>
        <w:tc>
          <w:tcPr>
            <w:tcW w:w="2839" w:type="dxa"/>
            <w:vAlign w:val="center"/>
          </w:tcPr>
          <w:p>
            <w:pPr>
              <w:spacing w:line="300" w:lineRule="exact"/>
              <w:rPr>
                <w:rFonts w:ascii="宋体" w:hAnsi="宋体"/>
                <w:b/>
                <w:bCs/>
                <w:kern w:val="44"/>
                <w:szCs w:val="21"/>
                <w:u w:val="none"/>
              </w:rPr>
            </w:pPr>
            <w:r>
              <w:rPr>
                <w:rFonts w:hint="eastAsia" w:ascii="宋体" w:hAnsi="宋体"/>
                <w:szCs w:val="21"/>
                <w:u w:val="none"/>
              </w:rPr>
              <w:t>高新区</w:t>
            </w:r>
            <w:r>
              <w:rPr>
                <w:rFonts w:hint="eastAsia" w:ascii="宋体" w:hAnsi="宋体"/>
                <w:szCs w:val="21"/>
                <w:u w:val="none"/>
                <w:lang w:val="en-US" w:eastAsia="zh-CN"/>
              </w:rPr>
              <w:t>监测点位</w:t>
            </w:r>
          </w:p>
        </w:tc>
        <w:tc>
          <w:tcPr>
            <w:tcW w:w="847" w:type="dxa"/>
            <w:vAlign w:val="center"/>
          </w:tcPr>
          <w:p>
            <w:pPr>
              <w:spacing w:line="300" w:lineRule="exact"/>
              <w:jc w:val="center"/>
              <w:rPr>
                <w:rFonts w:ascii="宋体" w:hAnsi="宋体"/>
                <w:b w:val="0"/>
                <w:bCs w:val="0"/>
                <w:kern w:val="44"/>
                <w:szCs w:val="21"/>
              </w:rPr>
            </w:pPr>
            <w:r>
              <w:rPr>
                <w:rFonts w:hint="eastAsia" w:ascii="宋体" w:hAnsi="宋体" w:eastAsia="宋体"/>
                <w:b w:val="0"/>
                <w:bCs w:val="0"/>
                <w:kern w:val="44"/>
                <w:szCs w:val="21"/>
                <w:lang w:val="en-US" w:eastAsia="zh-CN"/>
              </w:rPr>
              <w:t>个</w:t>
            </w:r>
          </w:p>
        </w:tc>
        <w:tc>
          <w:tcPr>
            <w:tcW w:w="729" w:type="dxa"/>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2</w:t>
            </w:r>
          </w:p>
        </w:tc>
        <w:tc>
          <w:tcPr>
            <w:tcW w:w="1115" w:type="dxa"/>
            <w:vAlign w:val="center"/>
          </w:tcPr>
          <w:p>
            <w:pPr>
              <w:spacing w:line="300" w:lineRule="exact"/>
              <w:jc w:val="center"/>
              <w:rPr>
                <w:rFonts w:ascii="宋体" w:hAnsi="宋体"/>
                <w:szCs w:val="21"/>
              </w:rPr>
            </w:pPr>
            <w:r>
              <w:rPr>
                <w:rFonts w:hint="eastAsia" w:ascii="宋体" w:hAnsi="宋体"/>
                <w:szCs w:val="21"/>
                <w:lang w:val="en-US" w:eastAsia="zh-CN"/>
              </w:rPr>
              <w:t>1年</w:t>
            </w:r>
          </w:p>
        </w:tc>
        <w:tc>
          <w:tcPr>
            <w:tcW w:w="1243" w:type="dxa"/>
            <w:vAlign w:val="center"/>
          </w:tcPr>
          <w:p>
            <w:pPr>
              <w:spacing w:line="300" w:lineRule="exact"/>
              <w:rPr>
                <w:rFonts w:ascii="宋体" w:hAnsi="宋体"/>
                <w:szCs w:val="21"/>
              </w:rPr>
            </w:pPr>
          </w:p>
        </w:tc>
        <w:tc>
          <w:tcPr>
            <w:tcW w:w="1292"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hint="default" w:ascii="宋体" w:hAnsi="宋体"/>
                <w:szCs w:val="21"/>
                <w:lang w:val="en-US" w:eastAsia="zh-CN"/>
              </w:rPr>
            </w:pPr>
            <w:r>
              <w:rPr>
                <w:rFonts w:hint="eastAsia" w:ascii="宋体" w:hAnsi="宋体"/>
                <w:szCs w:val="21"/>
                <w:lang w:val="en-US" w:eastAsia="zh-CN"/>
              </w:rPr>
              <w:t>6</w:t>
            </w:r>
          </w:p>
        </w:tc>
        <w:tc>
          <w:tcPr>
            <w:tcW w:w="2839" w:type="dxa"/>
            <w:vAlign w:val="center"/>
          </w:tcPr>
          <w:p>
            <w:pPr>
              <w:spacing w:line="300" w:lineRule="exact"/>
              <w:rPr>
                <w:rFonts w:hint="eastAsia" w:ascii="宋体" w:hAnsi="宋体"/>
                <w:szCs w:val="21"/>
                <w:u w:val="none"/>
              </w:rPr>
            </w:pPr>
            <w:r>
              <w:rPr>
                <w:rFonts w:hint="eastAsia" w:ascii="宋体" w:hAnsi="宋体"/>
                <w:szCs w:val="21"/>
                <w:u w:val="none"/>
              </w:rPr>
              <w:t>北仑区</w:t>
            </w:r>
            <w:r>
              <w:rPr>
                <w:rFonts w:hint="eastAsia" w:ascii="宋体" w:hAnsi="宋体"/>
                <w:szCs w:val="21"/>
                <w:u w:val="none"/>
                <w:lang w:val="en-US" w:eastAsia="zh-CN"/>
              </w:rPr>
              <w:t>监测点位</w:t>
            </w:r>
          </w:p>
        </w:tc>
        <w:tc>
          <w:tcPr>
            <w:tcW w:w="847" w:type="dxa"/>
            <w:vAlign w:val="center"/>
          </w:tcPr>
          <w:p>
            <w:pPr>
              <w:spacing w:line="300" w:lineRule="exact"/>
              <w:jc w:val="center"/>
              <w:rPr>
                <w:rFonts w:ascii="宋体" w:hAnsi="宋体"/>
                <w:b w:val="0"/>
                <w:bCs w:val="0"/>
                <w:kern w:val="44"/>
                <w:szCs w:val="21"/>
              </w:rPr>
            </w:pPr>
            <w:r>
              <w:rPr>
                <w:rFonts w:hint="eastAsia" w:ascii="宋体" w:hAnsi="宋体" w:eastAsia="宋体"/>
                <w:b w:val="0"/>
                <w:bCs w:val="0"/>
                <w:kern w:val="44"/>
                <w:szCs w:val="21"/>
                <w:lang w:val="en-US" w:eastAsia="zh-CN"/>
              </w:rPr>
              <w:t>个</w:t>
            </w:r>
          </w:p>
        </w:tc>
        <w:tc>
          <w:tcPr>
            <w:tcW w:w="729" w:type="dxa"/>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8</w:t>
            </w:r>
          </w:p>
        </w:tc>
        <w:tc>
          <w:tcPr>
            <w:tcW w:w="1115" w:type="dxa"/>
            <w:vAlign w:val="center"/>
          </w:tcPr>
          <w:p>
            <w:pPr>
              <w:spacing w:line="300" w:lineRule="exact"/>
              <w:jc w:val="center"/>
              <w:rPr>
                <w:rFonts w:ascii="宋体" w:hAnsi="宋体"/>
                <w:szCs w:val="21"/>
              </w:rPr>
            </w:pPr>
            <w:r>
              <w:rPr>
                <w:rFonts w:hint="eastAsia" w:ascii="宋体" w:hAnsi="宋体"/>
                <w:szCs w:val="21"/>
                <w:lang w:val="en-US" w:eastAsia="zh-CN"/>
              </w:rPr>
              <w:t>1年</w:t>
            </w:r>
          </w:p>
        </w:tc>
        <w:tc>
          <w:tcPr>
            <w:tcW w:w="1243" w:type="dxa"/>
            <w:vAlign w:val="center"/>
          </w:tcPr>
          <w:p>
            <w:pPr>
              <w:spacing w:line="300" w:lineRule="exact"/>
              <w:rPr>
                <w:rFonts w:ascii="宋体" w:hAnsi="宋体"/>
                <w:szCs w:val="21"/>
              </w:rPr>
            </w:pPr>
          </w:p>
        </w:tc>
        <w:tc>
          <w:tcPr>
            <w:tcW w:w="1292"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hint="default" w:ascii="宋体" w:hAnsi="宋体"/>
                <w:szCs w:val="21"/>
                <w:lang w:val="en-US" w:eastAsia="zh-CN"/>
              </w:rPr>
            </w:pPr>
            <w:r>
              <w:rPr>
                <w:rFonts w:hint="eastAsia" w:ascii="宋体" w:hAnsi="宋体"/>
                <w:szCs w:val="21"/>
                <w:lang w:val="en-US" w:eastAsia="zh-CN"/>
              </w:rPr>
              <w:t>7</w:t>
            </w:r>
          </w:p>
        </w:tc>
        <w:tc>
          <w:tcPr>
            <w:tcW w:w="2839" w:type="dxa"/>
            <w:vAlign w:val="center"/>
          </w:tcPr>
          <w:p>
            <w:pPr>
              <w:spacing w:line="300" w:lineRule="exact"/>
              <w:rPr>
                <w:rFonts w:hint="eastAsia" w:ascii="宋体" w:hAnsi="宋体"/>
                <w:szCs w:val="21"/>
                <w:u w:val="none"/>
              </w:rPr>
            </w:pPr>
            <w:r>
              <w:rPr>
                <w:rFonts w:hint="eastAsia" w:ascii="宋体" w:hAnsi="宋体"/>
                <w:szCs w:val="21"/>
                <w:u w:val="none"/>
              </w:rPr>
              <w:t>镇海区</w:t>
            </w:r>
            <w:r>
              <w:rPr>
                <w:rFonts w:hint="eastAsia" w:ascii="宋体" w:hAnsi="宋体"/>
                <w:szCs w:val="21"/>
                <w:u w:val="none"/>
                <w:lang w:val="en-US" w:eastAsia="zh-CN"/>
              </w:rPr>
              <w:t>监测点位</w:t>
            </w:r>
          </w:p>
        </w:tc>
        <w:tc>
          <w:tcPr>
            <w:tcW w:w="847" w:type="dxa"/>
            <w:vAlign w:val="center"/>
          </w:tcPr>
          <w:p>
            <w:pPr>
              <w:spacing w:line="300" w:lineRule="exact"/>
              <w:jc w:val="center"/>
              <w:rPr>
                <w:rFonts w:ascii="宋体" w:hAnsi="宋体"/>
                <w:b w:val="0"/>
                <w:bCs w:val="0"/>
                <w:kern w:val="44"/>
                <w:szCs w:val="21"/>
              </w:rPr>
            </w:pPr>
            <w:r>
              <w:rPr>
                <w:rFonts w:hint="eastAsia" w:ascii="宋体" w:hAnsi="宋体" w:eastAsia="宋体"/>
                <w:b w:val="0"/>
                <w:bCs w:val="0"/>
                <w:kern w:val="44"/>
                <w:szCs w:val="21"/>
                <w:lang w:val="en-US" w:eastAsia="zh-CN"/>
              </w:rPr>
              <w:t>个</w:t>
            </w:r>
          </w:p>
        </w:tc>
        <w:tc>
          <w:tcPr>
            <w:tcW w:w="729" w:type="dxa"/>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4</w:t>
            </w:r>
          </w:p>
        </w:tc>
        <w:tc>
          <w:tcPr>
            <w:tcW w:w="1115" w:type="dxa"/>
            <w:vAlign w:val="center"/>
          </w:tcPr>
          <w:p>
            <w:pPr>
              <w:spacing w:line="300" w:lineRule="exact"/>
              <w:jc w:val="center"/>
              <w:rPr>
                <w:rFonts w:ascii="宋体" w:hAnsi="宋体"/>
                <w:szCs w:val="21"/>
              </w:rPr>
            </w:pPr>
            <w:r>
              <w:rPr>
                <w:rFonts w:hint="eastAsia" w:ascii="宋体" w:hAnsi="宋体"/>
                <w:szCs w:val="21"/>
                <w:lang w:val="en-US" w:eastAsia="zh-CN"/>
              </w:rPr>
              <w:t>1年</w:t>
            </w:r>
          </w:p>
        </w:tc>
        <w:tc>
          <w:tcPr>
            <w:tcW w:w="1243" w:type="dxa"/>
            <w:vAlign w:val="center"/>
          </w:tcPr>
          <w:p>
            <w:pPr>
              <w:spacing w:line="300" w:lineRule="exact"/>
              <w:rPr>
                <w:rFonts w:ascii="宋体" w:hAnsi="宋体"/>
                <w:szCs w:val="21"/>
              </w:rPr>
            </w:pPr>
          </w:p>
        </w:tc>
        <w:tc>
          <w:tcPr>
            <w:tcW w:w="1292"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hint="default" w:ascii="宋体" w:hAnsi="宋体"/>
                <w:szCs w:val="21"/>
                <w:lang w:val="en-US" w:eastAsia="zh-CN"/>
              </w:rPr>
            </w:pPr>
            <w:r>
              <w:rPr>
                <w:rFonts w:hint="eastAsia" w:ascii="宋体" w:hAnsi="宋体"/>
                <w:szCs w:val="21"/>
                <w:lang w:val="en-US" w:eastAsia="zh-CN"/>
              </w:rPr>
              <w:t>8</w:t>
            </w:r>
          </w:p>
        </w:tc>
        <w:tc>
          <w:tcPr>
            <w:tcW w:w="2839" w:type="dxa"/>
            <w:vAlign w:val="center"/>
          </w:tcPr>
          <w:p>
            <w:pPr>
              <w:spacing w:line="300" w:lineRule="exact"/>
              <w:rPr>
                <w:rFonts w:hint="eastAsia" w:ascii="宋体" w:hAnsi="宋体"/>
                <w:szCs w:val="21"/>
                <w:u w:val="none"/>
              </w:rPr>
            </w:pPr>
            <w:r>
              <w:rPr>
                <w:rFonts w:hint="eastAsia" w:ascii="宋体" w:hAnsi="宋体"/>
                <w:szCs w:val="21"/>
                <w:u w:val="none"/>
              </w:rPr>
              <w:t>东钱湖旅游度假区</w:t>
            </w:r>
            <w:r>
              <w:rPr>
                <w:rFonts w:hint="eastAsia" w:ascii="宋体" w:hAnsi="宋体"/>
                <w:szCs w:val="21"/>
                <w:u w:val="none"/>
                <w:lang w:val="en-US" w:eastAsia="zh-CN"/>
              </w:rPr>
              <w:t>监测点位</w:t>
            </w:r>
          </w:p>
        </w:tc>
        <w:tc>
          <w:tcPr>
            <w:tcW w:w="847" w:type="dxa"/>
            <w:vAlign w:val="center"/>
          </w:tcPr>
          <w:p>
            <w:pPr>
              <w:spacing w:line="300" w:lineRule="exact"/>
              <w:jc w:val="center"/>
              <w:rPr>
                <w:rFonts w:ascii="宋体" w:hAnsi="宋体"/>
                <w:b w:val="0"/>
                <w:bCs w:val="0"/>
                <w:kern w:val="44"/>
                <w:szCs w:val="21"/>
              </w:rPr>
            </w:pPr>
            <w:r>
              <w:rPr>
                <w:rFonts w:hint="eastAsia" w:ascii="宋体" w:hAnsi="宋体" w:eastAsia="宋体"/>
                <w:b w:val="0"/>
                <w:bCs w:val="0"/>
                <w:kern w:val="44"/>
                <w:szCs w:val="21"/>
                <w:lang w:val="en-US" w:eastAsia="zh-CN"/>
              </w:rPr>
              <w:t>个</w:t>
            </w:r>
          </w:p>
        </w:tc>
        <w:tc>
          <w:tcPr>
            <w:tcW w:w="729" w:type="dxa"/>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1115" w:type="dxa"/>
            <w:vAlign w:val="center"/>
          </w:tcPr>
          <w:p>
            <w:pPr>
              <w:spacing w:line="300" w:lineRule="exact"/>
              <w:jc w:val="center"/>
              <w:rPr>
                <w:rFonts w:ascii="宋体" w:hAnsi="宋体"/>
                <w:szCs w:val="21"/>
              </w:rPr>
            </w:pPr>
            <w:r>
              <w:rPr>
                <w:rFonts w:hint="eastAsia" w:ascii="宋体" w:hAnsi="宋体"/>
                <w:szCs w:val="21"/>
                <w:lang w:val="en-US" w:eastAsia="zh-CN"/>
              </w:rPr>
              <w:t>1年</w:t>
            </w:r>
          </w:p>
        </w:tc>
        <w:tc>
          <w:tcPr>
            <w:tcW w:w="1243" w:type="dxa"/>
            <w:vAlign w:val="center"/>
          </w:tcPr>
          <w:p>
            <w:pPr>
              <w:spacing w:line="300" w:lineRule="exact"/>
              <w:rPr>
                <w:rFonts w:ascii="宋体" w:hAnsi="宋体"/>
                <w:szCs w:val="21"/>
              </w:rPr>
            </w:pPr>
          </w:p>
        </w:tc>
        <w:tc>
          <w:tcPr>
            <w:tcW w:w="1292"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hint="eastAsia" w:ascii="宋体" w:hAnsi="宋体"/>
                <w:szCs w:val="21"/>
                <w:lang w:val="en-US" w:eastAsia="zh-CN"/>
              </w:rPr>
            </w:pPr>
          </w:p>
        </w:tc>
        <w:tc>
          <w:tcPr>
            <w:tcW w:w="2839" w:type="dxa"/>
            <w:vAlign w:val="center"/>
          </w:tcPr>
          <w:p>
            <w:pPr>
              <w:spacing w:line="300" w:lineRule="exact"/>
              <w:rPr>
                <w:rFonts w:hint="eastAsia" w:ascii="宋体" w:hAnsi="宋体"/>
                <w:szCs w:val="21"/>
                <w:u w:val="single"/>
              </w:rPr>
            </w:pPr>
          </w:p>
        </w:tc>
        <w:tc>
          <w:tcPr>
            <w:tcW w:w="847" w:type="dxa"/>
            <w:vAlign w:val="center"/>
          </w:tcPr>
          <w:p>
            <w:pPr>
              <w:spacing w:line="300" w:lineRule="exact"/>
              <w:rPr>
                <w:rFonts w:ascii="宋体" w:hAnsi="宋体"/>
                <w:b/>
                <w:bCs/>
                <w:kern w:val="44"/>
                <w:szCs w:val="21"/>
              </w:rPr>
            </w:pPr>
          </w:p>
        </w:tc>
        <w:tc>
          <w:tcPr>
            <w:tcW w:w="729" w:type="dxa"/>
            <w:vAlign w:val="center"/>
          </w:tcPr>
          <w:p>
            <w:pPr>
              <w:spacing w:line="300" w:lineRule="exact"/>
              <w:rPr>
                <w:rFonts w:ascii="宋体" w:hAnsi="宋体"/>
                <w:szCs w:val="21"/>
              </w:rPr>
            </w:pPr>
          </w:p>
        </w:tc>
        <w:tc>
          <w:tcPr>
            <w:tcW w:w="1115" w:type="dxa"/>
            <w:vAlign w:val="center"/>
          </w:tcPr>
          <w:p>
            <w:pPr>
              <w:spacing w:line="300" w:lineRule="exact"/>
              <w:rPr>
                <w:rFonts w:ascii="宋体" w:hAnsi="宋体"/>
                <w:szCs w:val="21"/>
              </w:rPr>
            </w:pPr>
          </w:p>
        </w:tc>
        <w:tc>
          <w:tcPr>
            <w:tcW w:w="1243" w:type="dxa"/>
            <w:vAlign w:val="center"/>
          </w:tcPr>
          <w:p>
            <w:pPr>
              <w:spacing w:line="300" w:lineRule="exact"/>
              <w:rPr>
                <w:rFonts w:ascii="宋体" w:hAnsi="宋体"/>
                <w:szCs w:val="21"/>
              </w:rPr>
            </w:pPr>
          </w:p>
        </w:tc>
        <w:tc>
          <w:tcPr>
            <w:tcW w:w="1292"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hint="eastAsia" w:ascii="宋体" w:hAnsi="宋体"/>
                <w:szCs w:val="21"/>
                <w:lang w:val="en-US" w:eastAsia="zh-CN"/>
              </w:rPr>
            </w:pPr>
          </w:p>
        </w:tc>
        <w:tc>
          <w:tcPr>
            <w:tcW w:w="2839" w:type="dxa"/>
            <w:vAlign w:val="center"/>
          </w:tcPr>
          <w:p>
            <w:pPr>
              <w:spacing w:line="300" w:lineRule="exact"/>
              <w:rPr>
                <w:rFonts w:hint="eastAsia" w:ascii="宋体" w:hAnsi="宋体"/>
                <w:szCs w:val="21"/>
                <w:u w:val="single"/>
              </w:rPr>
            </w:pPr>
          </w:p>
        </w:tc>
        <w:tc>
          <w:tcPr>
            <w:tcW w:w="847" w:type="dxa"/>
            <w:vAlign w:val="center"/>
          </w:tcPr>
          <w:p>
            <w:pPr>
              <w:spacing w:line="300" w:lineRule="exact"/>
              <w:rPr>
                <w:rFonts w:ascii="宋体" w:hAnsi="宋体"/>
                <w:b/>
                <w:bCs/>
                <w:kern w:val="44"/>
                <w:szCs w:val="21"/>
              </w:rPr>
            </w:pPr>
          </w:p>
        </w:tc>
        <w:tc>
          <w:tcPr>
            <w:tcW w:w="729" w:type="dxa"/>
            <w:vAlign w:val="center"/>
          </w:tcPr>
          <w:p>
            <w:pPr>
              <w:spacing w:line="300" w:lineRule="exact"/>
              <w:rPr>
                <w:rFonts w:ascii="宋体" w:hAnsi="宋体"/>
                <w:szCs w:val="21"/>
              </w:rPr>
            </w:pPr>
          </w:p>
        </w:tc>
        <w:tc>
          <w:tcPr>
            <w:tcW w:w="1115" w:type="dxa"/>
            <w:vAlign w:val="center"/>
          </w:tcPr>
          <w:p>
            <w:pPr>
              <w:spacing w:line="300" w:lineRule="exact"/>
              <w:rPr>
                <w:rFonts w:ascii="宋体" w:hAnsi="宋体"/>
                <w:szCs w:val="21"/>
              </w:rPr>
            </w:pPr>
          </w:p>
        </w:tc>
        <w:tc>
          <w:tcPr>
            <w:tcW w:w="1243" w:type="dxa"/>
            <w:vAlign w:val="center"/>
          </w:tcPr>
          <w:p>
            <w:pPr>
              <w:spacing w:line="300" w:lineRule="exact"/>
              <w:rPr>
                <w:rFonts w:ascii="宋体" w:hAnsi="宋体"/>
                <w:szCs w:val="21"/>
              </w:rPr>
            </w:pPr>
          </w:p>
        </w:tc>
        <w:tc>
          <w:tcPr>
            <w:tcW w:w="1292"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27" w:type="dxa"/>
            <w:gridSpan w:val="4"/>
            <w:vAlign w:val="center"/>
          </w:tcPr>
          <w:p>
            <w:pPr>
              <w:spacing w:line="300" w:lineRule="exact"/>
              <w:jc w:val="center"/>
              <w:rPr>
                <w:rFonts w:ascii="宋体" w:hAnsi="宋体"/>
                <w:color w:val="auto"/>
                <w:szCs w:val="21"/>
              </w:rPr>
            </w:pPr>
            <w:r>
              <w:rPr>
                <w:rFonts w:hint="eastAsia" w:ascii="宋体" w:hAnsi="宋体"/>
                <w:color w:val="auto"/>
                <w:szCs w:val="21"/>
                <w:lang w:val="en-US" w:eastAsia="zh-CN"/>
              </w:rPr>
              <w:t>每年服务期</w:t>
            </w:r>
            <w:r>
              <w:rPr>
                <w:rFonts w:hint="eastAsia" w:ascii="宋体" w:hAnsi="宋体"/>
                <w:color w:val="auto"/>
                <w:szCs w:val="21"/>
              </w:rPr>
              <w:t>报价</w:t>
            </w:r>
            <w:r>
              <w:rPr>
                <w:rFonts w:hint="eastAsia" w:ascii="宋体" w:hAnsi="宋体"/>
                <w:color w:val="auto"/>
                <w:szCs w:val="21"/>
                <w:lang w:val="en-US" w:eastAsia="zh-CN"/>
              </w:rPr>
              <w:t>合计</w:t>
            </w:r>
            <w:r>
              <w:rPr>
                <w:rFonts w:hint="eastAsia" w:ascii="宋体" w:hAnsi="宋体"/>
                <w:color w:val="auto"/>
                <w:szCs w:val="21"/>
              </w:rPr>
              <w:t>（元）</w:t>
            </w:r>
          </w:p>
        </w:tc>
        <w:tc>
          <w:tcPr>
            <w:tcW w:w="3650" w:type="dxa"/>
            <w:gridSpan w:val="3"/>
            <w:vAlign w:val="center"/>
          </w:tcPr>
          <w:p>
            <w:pPr>
              <w:spacing w:line="300" w:lineRule="exact"/>
              <w:jc w:val="left"/>
              <w:rPr>
                <w:rFonts w:hint="eastAsia" w:ascii="Times New Roman" w:hAnsi="Times New Roman" w:eastAsia="宋体" w:cs="Times New Roman"/>
                <w:color w:val="auto"/>
              </w:rPr>
            </w:pPr>
            <w:r>
              <w:rPr>
                <w:rFonts w:hint="eastAsia" w:ascii="Times New Roman" w:hAnsi="Times New Roman" w:eastAsia="宋体" w:cs="Times New Roman"/>
                <w:color w:val="auto"/>
              </w:rPr>
              <w:t>小写：</w:t>
            </w:r>
          </w:p>
          <w:p>
            <w:pPr>
              <w:spacing w:line="300" w:lineRule="exact"/>
              <w:jc w:val="left"/>
              <w:rPr>
                <w:rFonts w:hint="default" w:eastAsia="宋体"/>
                <w:color w:val="auto"/>
                <w:lang w:val="en-US" w:eastAsia="zh-CN"/>
              </w:rPr>
            </w:pPr>
            <w:r>
              <w:rPr>
                <w:rFonts w:hint="eastAsia" w:ascii="Times New Roman" w:hAnsi="Times New Roman" w:eastAsia="宋体" w:cs="Times New Roman"/>
                <w:color w:val="auto"/>
                <w:lang w:val="en-US" w:eastAsia="zh-CN"/>
              </w:rPr>
              <w:t>大写：</w:t>
            </w:r>
          </w:p>
        </w:tc>
      </w:tr>
    </w:tbl>
    <w:p>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rPr>
        <w:t>注：上述各项的详细分项报价及具体内容，可另页描述。</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ascii="宋体" w:hAnsi="宋体"/>
          <w:color w:val="000000"/>
          <w:szCs w:val="21"/>
          <w:u w:val="single"/>
        </w:rPr>
        <w:t>___</w:t>
      </w:r>
      <w:r>
        <w:rPr>
          <w:rFonts w:hint="eastAsia" w:ascii="宋体" w:hAnsi="宋体"/>
          <w:color w:val="000000"/>
          <w:szCs w:val="21"/>
          <w:u w:val="single"/>
        </w:rPr>
        <w:t xml:space="preserve">    （填写全称并加盖公章)</w:t>
      </w:r>
      <w:r>
        <w:rPr>
          <w:rFonts w:ascii="宋体" w:hAnsi="宋体"/>
          <w:color w:val="000000"/>
          <w:szCs w:val="21"/>
          <w:u w:val="single"/>
        </w:rPr>
        <w:t>___________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法定代表人或授权代表签名：</w:t>
      </w:r>
      <w:r>
        <w:rPr>
          <w:rFonts w:ascii="宋体" w:hAnsi="宋体"/>
          <w:color w:val="000000"/>
          <w:szCs w:val="21"/>
          <w:u w:val="single"/>
        </w:rPr>
        <w:t xml:space="preserve"> </w:t>
      </w:r>
      <w:r>
        <w:rPr>
          <w:rFonts w:hint="eastAsia" w:ascii="宋体" w:hAnsi="宋体"/>
          <w:szCs w:val="21"/>
          <w:u w:val="single"/>
        </w:rPr>
        <w:t>（签字或盖章）</w:t>
      </w:r>
      <w:r>
        <w:rPr>
          <w:rFonts w:ascii="宋体" w:hAnsi="宋体"/>
          <w:color w:val="000000"/>
          <w:szCs w:val="21"/>
          <w:u w:val="single"/>
        </w:rPr>
        <w:t>_____</w:t>
      </w:r>
      <w:r>
        <w:rPr>
          <w:rFonts w:ascii="宋体" w:hAnsi="宋体"/>
          <w:color w:val="000000"/>
          <w:szCs w:val="21"/>
        </w:rPr>
        <w:t>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pPr>
        <w:rPr>
          <w:rFonts w:ascii="宋体" w:hAnsi="宋体"/>
          <w:szCs w:val="21"/>
        </w:rPr>
      </w:pPr>
      <w:r>
        <w:rPr>
          <w:rFonts w:ascii="宋体" w:hAnsi="宋体"/>
          <w:szCs w:val="21"/>
        </w:rPr>
        <w:br w:type="page"/>
      </w:r>
    </w:p>
    <w:p>
      <w:pPr>
        <w:pStyle w:val="20"/>
        <w:numPr>
          <w:ilvl w:val="0"/>
          <w:numId w:val="0"/>
        </w:numPr>
        <w:spacing w:line="360" w:lineRule="auto"/>
        <w:jc w:val="both"/>
        <w:rPr>
          <w:rFonts w:hint="eastAsia" w:ascii="宋体" w:hAnsi="宋体" w:cs="宋体"/>
          <w:b/>
          <w:sz w:val="21"/>
          <w:szCs w:val="21"/>
          <w:lang w:val="en-US" w:eastAsia="zh-CN"/>
        </w:rPr>
      </w:pPr>
    </w:p>
    <w:p>
      <w:pPr>
        <w:pStyle w:val="20"/>
        <w:numPr>
          <w:ilvl w:val="0"/>
          <w:numId w:val="0"/>
        </w:numPr>
        <w:spacing w:line="360" w:lineRule="auto"/>
        <w:jc w:val="both"/>
        <w:rPr>
          <w:rFonts w:hint="default" w:ascii="宋体" w:hAnsi="宋体" w:eastAsia="宋体" w:cs="宋体"/>
          <w:b/>
          <w:sz w:val="21"/>
          <w:szCs w:val="21"/>
          <w:lang w:val="en-US" w:eastAsia="zh-CN"/>
        </w:rPr>
      </w:pPr>
      <w:r>
        <w:rPr>
          <w:rFonts w:hint="eastAsia" w:ascii="宋体" w:hAnsi="宋体" w:cs="宋体"/>
          <w:b/>
          <w:sz w:val="21"/>
          <w:szCs w:val="21"/>
          <w:lang w:val="en-US" w:eastAsia="zh-CN"/>
        </w:rPr>
        <w:t>标项2：</w:t>
      </w:r>
      <w:r>
        <w:rPr>
          <w:rFonts w:hint="eastAsia" w:ascii="宋体" w:hAnsi="宋体" w:cs="宋体"/>
          <w:b/>
          <w:sz w:val="21"/>
          <w:szCs w:val="21"/>
          <w:u w:val="single"/>
          <w:lang w:val="en-US" w:eastAsia="zh-CN"/>
        </w:rPr>
        <w:t xml:space="preserve">                                   </w:t>
      </w:r>
      <w:r>
        <w:rPr>
          <w:rFonts w:hint="eastAsia" w:ascii="宋体" w:hAnsi="宋体" w:cs="宋体"/>
          <w:b/>
          <w:sz w:val="21"/>
          <w:szCs w:val="21"/>
          <w:lang w:val="en-US" w:eastAsia="zh-CN"/>
        </w:rPr>
        <w:t xml:space="preserve">     </w:t>
      </w:r>
    </w:p>
    <w:tbl>
      <w:tblPr>
        <w:tblStyle w:val="4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839"/>
        <w:gridCol w:w="847"/>
        <w:gridCol w:w="729"/>
        <w:gridCol w:w="1115"/>
        <w:gridCol w:w="1243"/>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bCs/>
                <w:szCs w:val="21"/>
              </w:rPr>
            </w:pPr>
            <w:r>
              <w:rPr>
                <w:rFonts w:ascii="宋体" w:hAnsi="宋体"/>
                <w:bCs/>
                <w:szCs w:val="21"/>
              </w:rPr>
              <w:t>序号</w:t>
            </w:r>
          </w:p>
        </w:tc>
        <w:tc>
          <w:tcPr>
            <w:tcW w:w="2839" w:type="dxa"/>
            <w:vAlign w:val="center"/>
          </w:tcPr>
          <w:p>
            <w:pPr>
              <w:spacing w:line="300" w:lineRule="exact"/>
              <w:jc w:val="center"/>
              <w:rPr>
                <w:rFonts w:ascii="宋体" w:hAnsi="宋体"/>
                <w:bCs/>
                <w:szCs w:val="21"/>
              </w:rPr>
            </w:pPr>
            <w:r>
              <w:rPr>
                <w:rFonts w:hint="eastAsia" w:ascii="宋体" w:hAnsi="宋体"/>
                <w:szCs w:val="21"/>
                <w:lang w:val="en-US" w:eastAsia="zh-CN"/>
              </w:rPr>
              <w:t>监测数据服务点位</w:t>
            </w:r>
            <w:bookmarkStart w:id="64" w:name="_GoBack"/>
            <w:bookmarkEnd w:id="64"/>
          </w:p>
        </w:tc>
        <w:tc>
          <w:tcPr>
            <w:tcW w:w="847" w:type="dxa"/>
            <w:vAlign w:val="center"/>
          </w:tcPr>
          <w:p>
            <w:pPr>
              <w:spacing w:line="300" w:lineRule="exact"/>
              <w:jc w:val="center"/>
              <w:rPr>
                <w:rFonts w:ascii="宋体" w:hAnsi="宋体"/>
                <w:bCs/>
                <w:szCs w:val="21"/>
              </w:rPr>
            </w:pPr>
            <w:r>
              <w:rPr>
                <w:rFonts w:hint="eastAsia" w:ascii="宋体" w:hAnsi="宋体"/>
                <w:bCs/>
                <w:szCs w:val="21"/>
              </w:rPr>
              <w:t>单位</w:t>
            </w:r>
          </w:p>
        </w:tc>
        <w:tc>
          <w:tcPr>
            <w:tcW w:w="729" w:type="dxa"/>
            <w:vAlign w:val="center"/>
          </w:tcPr>
          <w:p>
            <w:pPr>
              <w:spacing w:line="300" w:lineRule="exact"/>
              <w:jc w:val="center"/>
              <w:rPr>
                <w:rFonts w:ascii="宋体" w:hAnsi="宋体"/>
                <w:bCs/>
                <w:szCs w:val="21"/>
              </w:rPr>
            </w:pPr>
            <w:r>
              <w:rPr>
                <w:rFonts w:ascii="宋体" w:hAnsi="宋体"/>
                <w:bCs/>
                <w:szCs w:val="21"/>
              </w:rPr>
              <w:t>数量</w:t>
            </w:r>
          </w:p>
        </w:tc>
        <w:tc>
          <w:tcPr>
            <w:tcW w:w="1115" w:type="dxa"/>
            <w:vAlign w:val="center"/>
          </w:tcPr>
          <w:p>
            <w:pPr>
              <w:spacing w:line="300" w:lineRule="exact"/>
              <w:jc w:val="center"/>
              <w:rPr>
                <w:rFonts w:hint="default" w:ascii="宋体" w:hAnsi="宋体" w:eastAsia="宋体"/>
                <w:bCs/>
                <w:szCs w:val="21"/>
                <w:lang w:val="en-US" w:eastAsia="zh-CN"/>
              </w:rPr>
            </w:pPr>
            <w:r>
              <w:rPr>
                <w:rFonts w:hint="eastAsia" w:ascii="宋体" w:hAnsi="宋体"/>
                <w:bCs/>
                <w:szCs w:val="21"/>
                <w:lang w:val="en-US" w:eastAsia="zh-CN"/>
              </w:rPr>
              <w:t>服务期限</w:t>
            </w:r>
          </w:p>
        </w:tc>
        <w:tc>
          <w:tcPr>
            <w:tcW w:w="1243" w:type="dxa"/>
            <w:vAlign w:val="center"/>
          </w:tcPr>
          <w:p>
            <w:pPr>
              <w:spacing w:line="300" w:lineRule="exact"/>
              <w:jc w:val="center"/>
              <w:rPr>
                <w:rFonts w:ascii="宋体" w:hAnsi="宋体"/>
                <w:bCs/>
                <w:szCs w:val="21"/>
              </w:rPr>
            </w:pPr>
            <w:r>
              <w:rPr>
                <w:rFonts w:ascii="宋体" w:hAnsi="宋体"/>
                <w:bCs/>
                <w:szCs w:val="21"/>
              </w:rPr>
              <w:t>单价（元）</w:t>
            </w:r>
          </w:p>
        </w:tc>
        <w:tc>
          <w:tcPr>
            <w:tcW w:w="1292" w:type="dxa"/>
            <w:vAlign w:val="center"/>
          </w:tcPr>
          <w:p>
            <w:pPr>
              <w:spacing w:line="300" w:lineRule="exact"/>
              <w:jc w:val="center"/>
              <w:rPr>
                <w:rFonts w:ascii="宋体" w:hAnsi="宋体"/>
                <w:bCs/>
                <w:szCs w:val="21"/>
              </w:rPr>
            </w:pPr>
            <w:r>
              <w:rPr>
                <w:rFonts w:ascii="宋体" w:hAnsi="宋体"/>
                <w:bCs/>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aps/>
                <w:szCs w:val="21"/>
              </w:rPr>
            </w:pPr>
            <w:r>
              <w:rPr>
                <w:rFonts w:ascii="宋体" w:hAnsi="宋体"/>
                <w:caps/>
                <w:szCs w:val="21"/>
              </w:rPr>
              <w:t>1</w:t>
            </w:r>
          </w:p>
        </w:tc>
        <w:tc>
          <w:tcPr>
            <w:tcW w:w="2839" w:type="dxa"/>
            <w:vAlign w:val="center"/>
          </w:tcPr>
          <w:p>
            <w:pPr>
              <w:spacing w:line="300" w:lineRule="exact"/>
              <w:rPr>
                <w:rFonts w:hint="default" w:ascii="宋体" w:hAnsi="宋体" w:eastAsia="宋体"/>
                <w:b w:val="0"/>
                <w:bCs w:val="0"/>
                <w:kern w:val="44"/>
                <w:szCs w:val="21"/>
                <w:u w:val="none"/>
                <w:lang w:val="en-US" w:eastAsia="zh-CN"/>
              </w:rPr>
            </w:pPr>
            <w:r>
              <w:rPr>
                <w:rFonts w:hint="eastAsia" w:ascii="宋体" w:hAnsi="宋体"/>
                <w:szCs w:val="21"/>
                <w:u w:val="none"/>
                <w:lang w:val="en-US" w:eastAsia="zh-CN"/>
              </w:rPr>
              <w:t>余姚市监测点位</w:t>
            </w:r>
          </w:p>
        </w:tc>
        <w:tc>
          <w:tcPr>
            <w:tcW w:w="847" w:type="dxa"/>
            <w:vAlign w:val="center"/>
          </w:tcPr>
          <w:p>
            <w:pPr>
              <w:spacing w:line="300" w:lineRule="exact"/>
              <w:jc w:val="center"/>
              <w:rPr>
                <w:rFonts w:hint="default" w:ascii="宋体" w:hAnsi="宋体" w:eastAsia="宋体"/>
                <w:b w:val="0"/>
                <w:bCs w:val="0"/>
                <w:kern w:val="44"/>
                <w:szCs w:val="21"/>
                <w:lang w:val="en-US" w:eastAsia="zh-CN"/>
              </w:rPr>
            </w:pPr>
            <w:r>
              <w:rPr>
                <w:rFonts w:hint="eastAsia" w:ascii="宋体" w:hAnsi="宋体" w:eastAsia="宋体"/>
                <w:b w:val="0"/>
                <w:bCs w:val="0"/>
                <w:kern w:val="44"/>
                <w:szCs w:val="21"/>
                <w:lang w:val="en-US" w:eastAsia="zh-CN"/>
              </w:rPr>
              <w:t>个</w:t>
            </w:r>
          </w:p>
        </w:tc>
        <w:tc>
          <w:tcPr>
            <w:tcW w:w="729" w:type="dxa"/>
            <w:vAlign w:val="center"/>
          </w:tcPr>
          <w:p>
            <w:pPr>
              <w:spacing w:line="300" w:lineRule="exact"/>
              <w:jc w:val="center"/>
              <w:rPr>
                <w:rFonts w:hint="default" w:ascii="宋体" w:hAnsi="宋体" w:eastAsia="宋体"/>
                <w:b w:val="0"/>
                <w:bCs w:val="0"/>
                <w:szCs w:val="21"/>
                <w:lang w:val="en-US" w:eastAsia="zh-CN"/>
              </w:rPr>
            </w:pPr>
            <w:r>
              <w:rPr>
                <w:rFonts w:hint="eastAsia" w:ascii="宋体" w:hAnsi="宋体" w:eastAsia="宋体"/>
                <w:b w:val="0"/>
                <w:bCs w:val="0"/>
                <w:szCs w:val="21"/>
                <w:lang w:val="en-US" w:eastAsia="zh-CN"/>
              </w:rPr>
              <w:t>11</w:t>
            </w:r>
          </w:p>
        </w:tc>
        <w:tc>
          <w:tcPr>
            <w:tcW w:w="1115" w:type="dxa"/>
            <w:vAlign w:val="center"/>
          </w:tcPr>
          <w:p>
            <w:pPr>
              <w:spacing w:line="300" w:lineRule="exact"/>
              <w:jc w:val="center"/>
              <w:rPr>
                <w:rFonts w:hint="default" w:ascii="宋体" w:hAnsi="宋体" w:eastAsia="宋体"/>
                <w:szCs w:val="21"/>
                <w:lang w:val="en-US" w:eastAsia="zh-CN"/>
              </w:rPr>
            </w:pPr>
            <w:r>
              <w:rPr>
                <w:rFonts w:hint="eastAsia" w:ascii="宋体" w:hAnsi="宋体"/>
                <w:szCs w:val="21"/>
                <w:lang w:val="en-US" w:eastAsia="zh-CN"/>
              </w:rPr>
              <w:t>1年</w:t>
            </w:r>
          </w:p>
        </w:tc>
        <w:tc>
          <w:tcPr>
            <w:tcW w:w="1243" w:type="dxa"/>
            <w:vAlign w:val="center"/>
          </w:tcPr>
          <w:p>
            <w:pPr>
              <w:spacing w:line="300" w:lineRule="exact"/>
              <w:rPr>
                <w:rFonts w:ascii="宋体" w:hAnsi="宋体"/>
                <w:szCs w:val="21"/>
              </w:rPr>
            </w:pPr>
          </w:p>
        </w:tc>
        <w:tc>
          <w:tcPr>
            <w:tcW w:w="1292"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hint="default" w:ascii="宋体" w:hAnsi="宋体" w:eastAsia="宋体"/>
                <w:szCs w:val="21"/>
                <w:lang w:val="en-US" w:eastAsia="zh-CN"/>
              </w:rPr>
            </w:pPr>
            <w:r>
              <w:rPr>
                <w:rFonts w:hint="eastAsia" w:ascii="宋体" w:hAnsi="宋体" w:eastAsia="宋体"/>
                <w:szCs w:val="21"/>
                <w:lang w:val="en-US" w:eastAsia="zh-CN"/>
              </w:rPr>
              <w:t>2</w:t>
            </w:r>
          </w:p>
        </w:tc>
        <w:tc>
          <w:tcPr>
            <w:tcW w:w="2839" w:type="dxa"/>
            <w:vAlign w:val="center"/>
          </w:tcPr>
          <w:p>
            <w:pPr>
              <w:spacing w:line="300" w:lineRule="exact"/>
              <w:rPr>
                <w:rFonts w:ascii="宋体" w:hAnsi="宋体"/>
                <w:b/>
                <w:bCs/>
                <w:kern w:val="44"/>
                <w:szCs w:val="21"/>
                <w:u w:val="none"/>
              </w:rPr>
            </w:pPr>
            <w:r>
              <w:rPr>
                <w:rFonts w:hint="eastAsia" w:ascii="宋体" w:hAnsi="宋体"/>
                <w:szCs w:val="21"/>
                <w:u w:val="none"/>
                <w:lang w:val="en-US" w:eastAsia="zh-CN"/>
              </w:rPr>
              <w:t>慈溪市监测点位</w:t>
            </w:r>
          </w:p>
        </w:tc>
        <w:tc>
          <w:tcPr>
            <w:tcW w:w="847" w:type="dxa"/>
            <w:vAlign w:val="center"/>
          </w:tcPr>
          <w:p>
            <w:pPr>
              <w:spacing w:line="300" w:lineRule="exact"/>
              <w:jc w:val="center"/>
              <w:rPr>
                <w:rFonts w:hint="eastAsia" w:ascii="宋体" w:hAnsi="宋体" w:eastAsia="宋体"/>
                <w:b w:val="0"/>
                <w:bCs w:val="0"/>
                <w:kern w:val="44"/>
                <w:szCs w:val="21"/>
                <w:lang w:val="en-US" w:eastAsia="zh-CN"/>
              </w:rPr>
            </w:pPr>
            <w:r>
              <w:rPr>
                <w:rFonts w:hint="eastAsia" w:ascii="宋体" w:hAnsi="宋体"/>
                <w:b w:val="0"/>
                <w:bCs w:val="0"/>
                <w:kern w:val="44"/>
                <w:szCs w:val="21"/>
                <w:lang w:val="en-US" w:eastAsia="zh-CN"/>
              </w:rPr>
              <w:t>个</w:t>
            </w:r>
          </w:p>
        </w:tc>
        <w:tc>
          <w:tcPr>
            <w:tcW w:w="729" w:type="dxa"/>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7</w:t>
            </w:r>
          </w:p>
        </w:tc>
        <w:tc>
          <w:tcPr>
            <w:tcW w:w="1115" w:type="dxa"/>
            <w:vAlign w:val="center"/>
          </w:tcPr>
          <w:p>
            <w:pPr>
              <w:spacing w:line="300" w:lineRule="exact"/>
              <w:jc w:val="center"/>
              <w:rPr>
                <w:rFonts w:ascii="宋体" w:hAnsi="宋体"/>
                <w:szCs w:val="21"/>
              </w:rPr>
            </w:pPr>
            <w:r>
              <w:rPr>
                <w:rFonts w:hint="eastAsia" w:ascii="宋体" w:hAnsi="宋体"/>
                <w:szCs w:val="21"/>
                <w:lang w:val="en-US" w:eastAsia="zh-CN"/>
              </w:rPr>
              <w:t>1年</w:t>
            </w:r>
          </w:p>
        </w:tc>
        <w:tc>
          <w:tcPr>
            <w:tcW w:w="1243" w:type="dxa"/>
            <w:vAlign w:val="center"/>
          </w:tcPr>
          <w:p>
            <w:pPr>
              <w:spacing w:line="300" w:lineRule="exact"/>
              <w:rPr>
                <w:rFonts w:ascii="宋体" w:hAnsi="宋体"/>
                <w:szCs w:val="21"/>
              </w:rPr>
            </w:pPr>
          </w:p>
        </w:tc>
        <w:tc>
          <w:tcPr>
            <w:tcW w:w="1292"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hint="default" w:ascii="宋体" w:hAnsi="宋体" w:eastAsia="宋体"/>
                <w:szCs w:val="21"/>
                <w:lang w:val="en-US" w:eastAsia="zh-CN"/>
              </w:rPr>
            </w:pPr>
            <w:r>
              <w:rPr>
                <w:rFonts w:hint="eastAsia" w:ascii="宋体" w:hAnsi="宋体" w:eastAsia="宋体"/>
                <w:szCs w:val="21"/>
                <w:lang w:val="en-US" w:eastAsia="zh-CN"/>
              </w:rPr>
              <w:t>3</w:t>
            </w:r>
          </w:p>
        </w:tc>
        <w:tc>
          <w:tcPr>
            <w:tcW w:w="2839" w:type="dxa"/>
            <w:vAlign w:val="center"/>
          </w:tcPr>
          <w:p>
            <w:pPr>
              <w:spacing w:line="300" w:lineRule="exact"/>
              <w:rPr>
                <w:rFonts w:ascii="宋体" w:hAnsi="宋体"/>
                <w:b/>
                <w:bCs/>
                <w:kern w:val="44"/>
                <w:szCs w:val="21"/>
                <w:u w:val="none"/>
              </w:rPr>
            </w:pPr>
            <w:r>
              <w:rPr>
                <w:rFonts w:hint="eastAsia" w:ascii="宋体" w:hAnsi="宋体"/>
                <w:szCs w:val="21"/>
                <w:u w:val="none"/>
                <w:lang w:val="en-US" w:eastAsia="zh-CN"/>
              </w:rPr>
              <w:t>江北区监测点位</w:t>
            </w:r>
          </w:p>
        </w:tc>
        <w:tc>
          <w:tcPr>
            <w:tcW w:w="847" w:type="dxa"/>
            <w:vAlign w:val="center"/>
          </w:tcPr>
          <w:p>
            <w:pPr>
              <w:spacing w:line="300" w:lineRule="exact"/>
              <w:jc w:val="center"/>
              <w:rPr>
                <w:rFonts w:ascii="宋体" w:hAnsi="宋体"/>
                <w:b w:val="0"/>
                <w:bCs w:val="0"/>
                <w:kern w:val="44"/>
                <w:szCs w:val="21"/>
              </w:rPr>
            </w:pPr>
            <w:r>
              <w:rPr>
                <w:rFonts w:hint="eastAsia" w:ascii="宋体" w:hAnsi="宋体" w:eastAsia="宋体"/>
                <w:b w:val="0"/>
                <w:bCs w:val="0"/>
                <w:kern w:val="44"/>
                <w:szCs w:val="21"/>
                <w:lang w:val="en-US" w:eastAsia="zh-CN"/>
              </w:rPr>
              <w:t>个</w:t>
            </w:r>
          </w:p>
        </w:tc>
        <w:tc>
          <w:tcPr>
            <w:tcW w:w="729" w:type="dxa"/>
            <w:vAlign w:val="center"/>
          </w:tcPr>
          <w:p>
            <w:pPr>
              <w:spacing w:line="300" w:lineRule="exact"/>
              <w:jc w:val="center"/>
              <w:rPr>
                <w:rFonts w:hint="default" w:ascii="宋体" w:hAnsi="宋体" w:eastAsia="宋体"/>
                <w:szCs w:val="21"/>
                <w:lang w:val="en-US" w:eastAsia="zh-CN"/>
              </w:rPr>
            </w:pPr>
            <w:r>
              <w:rPr>
                <w:rFonts w:hint="eastAsia" w:ascii="宋体" w:hAnsi="宋体"/>
                <w:szCs w:val="21"/>
                <w:lang w:val="en-US" w:eastAsia="zh-CN"/>
              </w:rPr>
              <w:t>11</w:t>
            </w:r>
          </w:p>
        </w:tc>
        <w:tc>
          <w:tcPr>
            <w:tcW w:w="1115" w:type="dxa"/>
            <w:vAlign w:val="center"/>
          </w:tcPr>
          <w:p>
            <w:pPr>
              <w:spacing w:line="300" w:lineRule="exact"/>
              <w:jc w:val="center"/>
              <w:rPr>
                <w:rFonts w:ascii="宋体" w:hAnsi="宋体"/>
                <w:szCs w:val="21"/>
              </w:rPr>
            </w:pPr>
            <w:r>
              <w:rPr>
                <w:rFonts w:hint="eastAsia" w:ascii="宋体" w:hAnsi="宋体"/>
                <w:szCs w:val="21"/>
                <w:lang w:val="en-US" w:eastAsia="zh-CN"/>
              </w:rPr>
              <w:t>1年</w:t>
            </w:r>
          </w:p>
        </w:tc>
        <w:tc>
          <w:tcPr>
            <w:tcW w:w="1243" w:type="dxa"/>
            <w:vAlign w:val="center"/>
          </w:tcPr>
          <w:p>
            <w:pPr>
              <w:spacing w:line="300" w:lineRule="exact"/>
              <w:rPr>
                <w:rFonts w:ascii="宋体" w:hAnsi="宋体"/>
                <w:szCs w:val="21"/>
              </w:rPr>
            </w:pPr>
          </w:p>
        </w:tc>
        <w:tc>
          <w:tcPr>
            <w:tcW w:w="1292"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hint="default" w:ascii="宋体" w:hAnsi="宋体" w:eastAsia="宋体"/>
                <w:szCs w:val="21"/>
                <w:lang w:val="en-US" w:eastAsia="zh-CN"/>
              </w:rPr>
            </w:pPr>
            <w:r>
              <w:rPr>
                <w:rFonts w:hint="eastAsia" w:ascii="宋体" w:hAnsi="宋体" w:eastAsia="宋体"/>
                <w:szCs w:val="21"/>
                <w:lang w:val="en-US" w:eastAsia="zh-CN"/>
              </w:rPr>
              <w:t>4</w:t>
            </w:r>
          </w:p>
        </w:tc>
        <w:tc>
          <w:tcPr>
            <w:tcW w:w="2839" w:type="dxa"/>
            <w:vAlign w:val="center"/>
          </w:tcPr>
          <w:p>
            <w:pPr>
              <w:spacing w:line="300" w:lineRule="exact"/>
              <w:rPr>
                <w:rFonts w:ascii="宋体" w:hAnsi="宋体"/>
                <w:b/>
                <w:bCs/>
                <w:kern w:val="44"/>
                <w:szCs w:val="21"/>
                <w:u w:val="none"/>
              </w:rPr>
            </w:pPr>
            <w:r>
              <w:rPr>
                <w:rFonts w:hint="eastAsia" w:ascii="宋体" w:hAnsi="宋体"/>
                <w:szCs w:val="21"/>
                <w:u w:val="none"/>
                <w:lang w:val="en-US" w:eastAsia="zh-CN"/>
              </w:rPr>
              <w:t>海曙区监测点位</w:t>
            </w:r>
          </w:p>
        </w:tc>
        <w:tc>
          <w:tcPr>
            <w:tcW w:w="847" w:type="dxa"/>
            <w:vAlign w:val="center"/>
          </w:tcPr>
          <w:p>
            <w:pPr>
              <w:spacing w:line="300" w:lineRule="exact"/>
              <w:jc w:val="center"/>
              <w:rPr>
                <w:rFonts w:ascii="宋体" w:hAnsi="宋体"/>
                <w:b w:val="0"/>
                <w:bCs w:val="0"/>
                <w:kern w:val="44"/>
                <w:szCs w:val="21"/>
              </w:rPr>
            </w:pPr>
            <w:r>
              <w:rPr>
                <w:rFonts w:hint="eastAsia" w:ascii="宋体" w:hAnsi="宋体" w:eastAsia="宋体"/>
                <w:b w:val="0"/>
                <w:bCs w:val="0"/>
                <w:kern w:val="44"/>
                <w:szCs w:val="21"/>
                <w:lang w:val="en-US" w:eastAsia="zh-CN"/>
              </w:rPr>
              <w:t>个</w:t>
            </w:r>
          </w:p>
        </w:tc>
        <w:tc>
          <w:tcPr>
            <w:tcW w:w="729" w:type="dxa"/>
            <w:vAlign w:val="center"/>
          </w:tcPr>
          <w:p>
            <w:pPr>
              <w:spacing w:line="300" w:lineRule="exact"/>
              <w:jc w:val="center"/>
              <w:rPr>
                <w:rFonts w:hint="default" w:ascii="宋体" w:hAnsi="宋体" w:eastAsia="宋体"/>
                <w:szCs w:val="21"/>
                <w:lang w:val="en-US" w:eastAsia="zh-CN"/>
              </w:rPr>
            </w:pPr>
            <w:r>
              <w:rPr>
                <w:rFonts w:hint="eastAsia" w:ascii="宋体" w:hAnsi="宋体"/>
                <w:szCs w:val="21"/>
                <w:lang w:val="en-US" w:eastAsia="zh-CN"/>
              </w:rPr>
              <w:t>11</w:t>
            </w:r>
          </w:p>
        </w:tc>
        <w:tc>
          <w:tcPr>
            <w:tcW w:w="1115" w:type="dxa"/>
            <w:vAlign w:val="center"/>
          </w:tcPr>
          <w:p>
            <w:pPr>
              <w:spacing w:line="300" w:lineRule="exact"/>
              <w:jc w:val="center"/>
              <w:rPr>
                <w:rFonts w:ascii="宋体" w:hAnsi="宋体"/>
                <w:szCs w:val="21"/>
              </w:rPr>
            </w:pPr>
            <w:r>
              <w:rPr>
                <w:rFonts w:hint="eastAsia" w:ascii="宋体" w:hAnsi="宋体"/>
                <w:szCs w:val="21"/>
                <w:lang w:val="en-US" w:eastAsia="zh-CN"/>
              </w:rPr>
              <w:t>1年</w:t>
            </w:r>
          </w:p>
        </w:tc>
        <w:tc>
          <w:tcPr>
            <w:tcW w:w="1243" w:type="dxa"/>
            <w:vAlign w:val="center"/>
          </w:tcPr>
          <w:p>
            <w:pPr>
              <w:spacing w:line="300" w:lineRule="exact"/>
              <w:rPr>
                <w:rFonts w:ascii="宋体" w:hAnsi="宋体"/>
                <w:szCs w:val="21"/>
              </w:rPr>
            </w:pPr>
          </w:p>
        </w:tc>
        <w:tc>
          <w:tcPr>
            <w:tcW w:w="1292"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12" w:type="dxa"/>
            <w:vAlign w:val="center"/>
          </w:tcPr>
          <w:p>
            <w:pPr>
              <w:spacing w:line="300" w:lineRule="exact"/>
              <w:jc w:val="center"/>
              <w:rPr>
                <w:rFonts w:hint="default" w:ascii="宋体" w:hAnsi="宋体"/>
                <w:szCs w:val="21"/>
                <w:lang w:val="en-US" w:eastAsia="zh-CN"/>
              </w:rPr>
            </w:pPr>
            <w:r>
              <w:rPr>
                <w:rFonts w:hint="eastAsia" w:ascii="宋体" w:hAnsi="宋体"/>
                <w:szCs w:val="21"/>
                <w:lang w:val="en-US" w:eastAsia="zh-CN"/>
              </w:rPr>
              <w:t>5</w:t>
            </w:r>
          </w:p>
        </w:tc>
        <w:tc>
          <w:tcPr>
            <w:tcW w:w="2839" w:type="dxa"/>
            <w:vAlign w:val="center"/>
          </w:tcPr>
          <w:p>
            <w:pPr>
              <w:spacing w:line="300" w:lineRule="exact"/>
              <w:rPr>
                <w:rFonts w:ascii="宋体" w:hAnsi="宋体"/>
                <w:b/>
                <w:bCs/>
                <w:kern w:val="44"/>
                <w:szCs w:val="21"/>
                <w:u w:val="none"/>
              </w:rPr>
            </w:pPr>
            <w:r>
              <w:rPr>
                <w:rFonts w:hint="eastAsia" w:ascii="宋体" w:hAnsi="宋体"/>
                <w:szCs w:val="21"/>
                <w:u w:val="none"/>
                <w:lang w:val="en-US" w:eastAsia="zh-CN"/>
              </w:rPr>
              <w:t>杭州湾新区监测点位</w:t>
            </w:r>
          </w:p>
        </w:tc>
        <w:tc>
          <w:tcPr>
            <w:tcW w:w="847" w:type="dxa"/>
            <w:vAlign w:val="center"/>
          </w:tcPr>
          <w:p>
            <w:pPr>
              <w:spacing w:line="300" w:lineRule="exact"/>
              <w:jc w:val="center"/>
              <w:rPr>
                <w:rFonts w:ascii="宋体" w:hAnsi="宋体"/>
                <w:b w:val="0"/>
                <w:bCs w:val="0"/>
                <w:kern w:val="44"/>
                <w:szCs w:val="21"/>
              </w:rPr>
            </w:pPr>
            <w:r>
              <w:rPr>
                <w:rFonts w:hint="eastAsia" w:ascii="宋体" w:hAnsi="宋体" w:eastAsia="宋体"/>
                <w:b w:val="0"/>
                <w:bCs w:val="0"/>
                <w:kern w:val="44"/>
                <w:szCs w:val="21"/>
                <w:lang w:val="en-US" w:eastAsia="zh-CN"/>
              </w:rPr>
              <w:t>个</w:t>
            </w:r>
          </w:p>
        </w:tc>
        <w:tc>
          <w:tcPr>
            <w:tcW w:w="729" w:type="dxa"/>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1115" w:type="dxa"/>
            <w:vAlign w:val="center"/>
          </w:tcPr>
          <w:p>
            <w:pPr>
              <w:spacing w:line="300" w:lineRule="exact"/>
              <w:jc w:val="center"/>
              <w:rPr>
                <w:rFonts w:ascii="宋体" w:hAnsi="宋体"/>
                <w:szCs w:val="21"/>
              </w:rPr>
            </w:pPr>
            <w:r>
              <w:rPr>
                <w:rFonts w:hint="eastAsia" w:ascii="宋体" w:hAnsi="宋体"/>
                <w:szCs w:val="21"/>
                <w:lang w:val="en-US" w:eastAsia="zh-CN"/>
              </w:rPr>
              <w:t>1年</w:t>
            </w:r>
          </w:p>
        </w:tc>
        <w:tc>
          <w:tcPr>
            <w:tcW w:w="1243" w:type="dxa"/>
            <w:vAlign w:val="center"/>
          </w:tcPr>
          <w:p>
            <w:pPr>
              <w:spacing w:line="300" w:lineRule="exact"/>
              <w:rPr>
                <w:rFonts w:ascii="宋体" w:hAnsi="宋体"/>
                <w:szCs w:val="21"/>
              </w:rPr>
            </w:pPr>
          </w:p>
        </w:tc>
        <w:tc>
          <w:tcPr>
            <w:tcW w:w="1292"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12" w:type="dxa"/>
            <w:vAlign w:val="center"/>
          </w:tcPr>
          <w:p>
            <w:pPr>
              <w:spacing w:line="300" w:lineRule="exact"/>
              <w:jc w:val="center"/>
              <w:rPr>
                <w:rFonts w:hint="default" w:ascii="宋体" w:hAnsi="宋体"/>
                <w:szCs w:val="21"/>
                <w:lang w:val="en-US" w:eastAsia="zh-CN"/>
              </w:rPr>
            </w:pPr>
          </w:p>
        </w:tc>
        <w:tc>
          <w:tcPr>
            <w:tcW w:w="2839" w:type="dxa"/>
            <w:vAlign w:val="center"/>
          </w:tcPr>
          <w:p>
            <w:pPr>
              <w:spacing w:line="300" w:lineRule="exact"/>
              <w:rPr>
                <w:rFonts w:hint="eastAsia" w:ascii="宋体" w:hAnsi="宋体"/>
                <w:szCs w:val="21"/>
                <w:u w:val="none"/>
              </w:rPr>
            </w:pPr>
          </w:p>
        </w:tc>
        <w:tc>
          <w:tcPr>
            <w:tcW w:w="847" w:type="dxa"/>
            <w:vAlign w:val="center"/>
          </w:tcPr>
          <w:p>
            <w:pPr>
              <w:spacing w:line="300" w:lineRule="exact"/>
              <w:jc w:val="center"/>
              <w:rPr>
                <w:rFonts w:ascii="宋体" w:hAnsi="宋体"/>
                <w:b w:val="0"/>
                <w:bCs w:val="0"/>
                <w:kern w:val="44"/>
                <w:szCs w:val="21"/>
              </w:rPr>
            </w:pPr>
          </w:p>
        </w:tc>
        <w:tc>
          <w:tcPr>
            <w:tcW w:w="729" w:type="dxa"/>
            <w:vAlign w:val="center"/>
          </w:tcPr>
          <w:p>
            <w:pPr>
              <w:spacing w:line="300" w:lineRule="exact"/>
              <w:jc w:val="center"/>
              <w:rPr>
                <w:rFonts w:hint="eastAsia" w:ascii="宋体" w:hAnsi="宋体" w:eastAsia="宋体"/>
                <w:szCs w:val="21"/>
                <w:lang w:val="en-US" w:eastAsia="zh-CN"/>
              </w:rPr>
            </w:pPr>
          </w:p>
        </w:tc>
        <w:tc>
          <w:tcPr>
            <w:tcW w:w="1115" w:type="dxa"/>
            <w:vAlign w:val="center"/>
          </w:tcPr>
          <w:p>
            <w:pPr>
              <w:spacing w:line="300" w:lineRule="exact"/>
              <w:jc w:val="center"/>
              <w:rPr>
                <w:rFonts w:ascii="宋体" w:hAnsi="宋体"/>
                <w:szCs w:val="21"/>
              </w:rPr>
            </w:pPr>
          </w:p>
        </w:tc>
        <w:tc>
          <w:tcPr>
            <w:tcW w:w="1243" w:type="dxa"/>
            <w:vAlign w:val="center"/>
          </w:tcPr>
          <w:p>
            <w:pPr>
              <w:spacing w:line="300" w:lineRule="exact"/>
              <w:rPr>
                <w:rFonts w:ascii="宋体" w:hAnsi="宋体"/>
                <w:szCs w:val="21"/>
              </w:rPr>
            </w:pPr>
          </w:p>
        </w:tc>
        <w:tc>
          <w:tcPr>
            <w:tcW w:w="1292"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hint="default" w:ascii="宋体" w:hAnsi="宋体"/>
                <w:szCs w:val="21"/>
                <w:lang w:val="en-US" w:eastAsia="zh-CN"/>
              </w:rPr>
            </w:pPr>
          </w:p>
        </w:tc>
        <w:tc>
          <w:tcPr>
            <w:tcW w:w="2839" w:type="dxa"/>
            <w:vAlign w:val="center"/>
          </w:tcPr>
          <w:p>
            <w:pPr>
              <w:spacing w:line="300" w:lineRule="exact"/>
              <w:rPr>
                <w:rFonts w:hint="eastAsia" w:ascii="宋体" w:hAnsi="宋体"/>
                <w:szCs w:val="21"/>
                <w:u w:val="none"/>
              </w:rPr>
            </w:pPr>
          </w:p>
        </w:tc>
        <w:tc>
          <w:tcPr>
            <w:tcW w:w="847" w:type="dxa"/>
            <w:vAlign w:val="center"/>
          </w:tcPr>
          <w:p>
            <w:pPr>
              <w:spacing w:line="300" w:lineRule="exact"/>
              <w:jc w:val="center"/>
              <w:rPr>
                <w:rFonts w:ascii="宋体" w:hAnsi="宋体"/>
                <w:b w:val="0"/>
                <w:bCs w:val="0"/>
                <w:kern w:val="44"/>
                <w:szCs w:val="21"/>
              </w:rPr>
            </w:pPr>
          </w:p>
        </w:tc>
        <w:tc>
          <w:tcPr>
            <w:tcW w:w="729" w:type="dxa"/>
            <w:vAlign w:val="center"/>
          </w:tcPr>
          <w:p>
            <w:pPr>
              <w:spacing w:line="300" w:lineRule="exact"/>
              <w:jc w:val="center"/>
              <w:rPr>
                <w:rFonts w:hint="eastAsia" w:ascii="宋体" w:hAnsi="宋体" w:eastAsia="宋体"/>
                <w:szCs w:val="21"/>
                <w:lang w:val="en-US" w:eastAsia="zh-CN"/>
              </w:rPr>
            </w:pPr>
          </w:p>
        </w:tc>
        <w:tc>
          <w:tcPr>
            <w:tcW w:w="1115" w:type="dxa"/>
            <w:vAlign w:val="center"/>
          </w:tcPr>
          <w:p>
            <w:pPr>
              <w:spacing w:line="300" w:lineRule="exact"/>
              <w:jc w:val="center"/>
              <w:rPr>
                <w:rFonts w:ascii="宋体" w:hAnsi="宋体"/>
                <w:szCs w:val="21"/>
              </w:rPr>
            </w:pPr>
          </w:p>
        </w:tc>
        <w:tc>
          <w:tcPr>
            <w:tcW w:w="1243" w:type="dxa"/>
            <w:vAlign w:val="center"/>
          </w:tcPr>
          <w:p>
            <w:pPr>
              <w:spacing w:line="300" w:lineRule="exact"/>
              <w:rPr>
                <w:rFonts w:ascii="宋体" w:hAnsi="宋体"/>
                <w:szCs w:val="21"/>
              </w:rPr>
            </w:pPr>
          </w:p>
        </w:tc>
        <w:tc>
          <w:tcPr>
            <w:tcW w:w="1292"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hint="default" w:ascii="宋体" w:hAnsi="宋体"/>
                <w:szCs w:val="21"/>
                <w:lang w:val="en-US" w:eastAsia="zh-CN"/>
              </w:rPr>
            </w:pPr>
          </w:p>
        </w:tc>
        <w:tc>
          <w:tcPr>
            <w:tcW w:w="2839" w:type="dxa"/>
            <w:vAlign w:val="center"/>
          </w:tcPr>
          <w:p>
            <w:pPr>
              <w:spacing w:line="300" w:lineRule="exact"/>
              <w:rPr>
                <w:rFonts w:hint="eastAsia" w:ascii="宋体" w:hAnsi="宋体"/>
                <w:szCs w:val="21"/>
                <w:u w:val="none"/>
              </w:rPr>
            </w:pPr>
          </w:p>
        </w:tc>
        <w:tc>
          <w:tcPr>
            <w:tcW w:w="847" w:type="dxa"/>
            <w:vAlign w:val="center"/>
          </w:tcPr>
          <w:p>
            <w:pPr>
              <w:spacing w:line="300" w:lineRule="exact"/>
              <w:jc w:val="center"/>
              <w:rPr>
                <w:rFonts w:ascii="宋体" w:hAnsi="宋体"/>
                <w:b w:val="0"/>
                <w:bCs w:val="0"/>
                <w:kern w:val="44"/>
                <w:szCs w:val="21"/>
              </w:rPr>
            </w:pPr>
          </w:p>
        </w:tc>
        <w:tc>
          <w:tcPr>
            <w:tcW w:w="729" w:type="dxa"/>
            <w:vAlign w:val="center"/>
          </w:tcPr>
          <w:p>
            <w:pPr>
              <w:spacing w:line="300" w:lineRule="exact"/>
              <w:jc w:val="center"/>
              <w:rPr>
                <w:rFonts w:hint="eastAsia" w:ascii="宋体" w:hAnsi="宋体" w:eastAsia="宋体"/>
                <w:szCs w:val="21"/>
                <w:lang w:val="en-US" w:eastAsia="zh-CN"/>
              </w:rPr>
            </w:pPr>
          </w:p>
        </w:tc>
        <w:tc>
          <w:tcPr>
            <w:tcW w:w="1115" w:type="dxa"/>
            <w:vAlign w:val="center"/>
          </w:tcPr>
          <w:p>
            <w:pPr>
              <w:spacing w:line="300" w:lineRule="exact"/>
              <w:jc w:val="center"/>
              <w:rPr>
                <w:rFonts w:ascii="宋体" w:hAnsi="宋体"/>
                <w:szCs w:val="21"/>
              </w:rPr>
            </w:pPr>
          </w:p>
        </w:tc>
        <w:tc>
          <w:tcPr>
            <w:tcW w:w="1243" w:type="dxa"/>
            <w:vAlign w:val="center"/>
          </w:tcPr>
          <w:p>
            <w:pPr>
              <w:spacing w:line="300" w:lineRule="exact"/>
              <w:rPr>
                <w:rFonts w:ascii="宋体" w:hAnsi="宋体"/>
                <w:szCs w:val="21"/>
              </w:rPr>
            </w:pPr>
          </w:p>
        </w:tc>
        <w:tc>
          <w:tcPr>
            <w:tcW w:w="1292"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hint="eastAsia" w:ascii="宋体" w:hAnsi="宋体"/>
                <w:szCs w:val="21"/>
                <w:lang w:val="en-US" w:eastAsia="zh-CN"/>
              </w:rPr>
            </w:pPr>
          </w:p>
        </w:tc>
        <w:tc>
          <w:tcPr>
            <w:tcW w:w="2839" w:type="dxa"/>
            <w:vAlign w:val="center"/>
          </w:tcPr>
          <w:p>
            <w:pPr>
              <w:spacing w:line="300" w:lineRule="exact"/>
              <w:rPr>
                <w:rFonts w:hint="eastAsia" w:ascii="宋体" w:hAnsi="宋体"/>
                <w:szCs w:val="21"/>
                <w:u w:val="single"/>
              </w:rPr>
            </w:pPr>
          </w:p>
        </w:tc>
        <w:tc>
          <w:tcPr>
            <w:tcW w:w="847" w:type="dxa"/>
            <w:vAlign w:val="center"/>
          </w:tcPr>
          <w:p>
            <w:pPr>
              <w:spacing w:line="300" w:lineRule="exact"/>
              <w:rPr>
                <w:rFonts w:ascii="宋体" w:hAnsi="宋体"/>
                <w:b/>
                <w:bCs/>
                <w:kern w:val="44"/>
                <w:szCs w:val="21"/>
              </w:rPr>
            </w:pPr>
          </w:p>
        </w:tc>
        <w:tc>
          <w:tcPr>
            <w:tcW w:w="729" w:type="dxa"/>
            <w:vAlign w:val="center"/>
          </w:tcPr>
          <w:p>
            <w:pPr>
              <w:spacing w:line="300" w:lineRule="exact"/>
              <w:rPr>
                <w:rFonts w:ascii="宋体" w:hAnsi="宋体"/>
                <w:szCs w:val="21"/>
              </w:rPr>
            </w:pPr>
          </w:p>
        </w:tc>
        <w:tc>
          <w:tcPr>
            <w:tcW w:w="1115" w:type="dxa"/>
            <w:vAlign w:val="center"/>
          </w:tcPr>
          <w:p>
            <w:pPr>
              <w:spacing w:line="300" w:lineRule="exact"/>
              <w:rPr>
                <w:rFonts w:ascii="宋体" w:hAnsi="宋体"/>
                <w:szCs w:val="21"/>
              </w:rPr>
            </w:pPr>
          </w:p>
        </w:tc>
        <w:tc>
          <w:tcPr>
            <w:tcW w:w="1243" w:type="dxa"/>
            <w:vAlign w:val="center"/>
          </w:tcPr>
          <w:p>
            <w:pPr>
              <w:spacing w:line="300" w:lineRule="exact"/>
              <w:rPr>
                <w:rFonts w:ascii="宋体" w:hAnsi="宋体"/>
                <w:szCs w:val="21"/>
              </w:rPr>
            </w:pPr>
          </w:p>
        </w:tc>
        <w:tc>
          <w:tcPr>
            <w:tcW w:w="1292"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hint="eastAsia" w:ascii="宋体" w:hAnsi="宋体"/>
                <w:szCs w:val="21"/>
                <w:lang w:val="en-US" w:eastAsia="zh-CN"/>
              </w:rPr>
            </w:pPr>
          </w:p>
        </w:tc>
        <w:tc>
          <w:tcPr>
            <w:tcW w:w="2839" w:type="dxa"/>
            <w:vAlign w:val="center"/>
          </w:tcPr>
          <w:p>
            <w:pPr>
              <w:spacing w:line="300" w:lineRule="exact"/>
              <w:rPr>
                <w:rFonts w:hint="eastAsia" w:ascii="宋体" w:hAnsi="宋体"/>
                <w:szCs w:val="21"/>
                <w:u w:val="single"/>
              </w:rPr>
            </w:pPr>
          </w:p>
        </w:tc>
        <w:tc>
          <w:tcPr>
            <w:tcW w:w="847" w:type="dxa"/>
            <w:vAlign w:val="center"/>
          </w:tcPr>
          <w:p>
            <w:pPr>
              <w:spacing w:line="300" w:lineRule="exact"/>
              <w:rPr>
                <w:rFonts w:ascii="宋体" w:hAnsi="宋体"/>
                <w:b/>
                <w:bCs/>
                <w:kern w:val="44"/>
                <w:szCs w:val="21"/>
              </w:rPr>
            </w:pPr>
          </w:p>
        </w:tc>
        <w:tc>
          <w:tcPr>
            <w:tcW w:w="729" w:type="dxa"/>
            <w:vAlign w:val="center"/>
          </w:tcPr>
          <w:p>
            <w:pPr>
              <w:spacing w:line="300" w:lineRule="exact"/>
              <w:rPr>
                <w:rFonts w:ascii="宋体" w:hAnsi="宋体"/>
                <w:szCs w:val="21"/>
              </w:rPr>
            </w:pPr>
          </w:p>
        </w:tc>
        <w:tc>
          <w:tcPr>
            <w:tcW w:w="1115" w:type="dxa"/>
            <w:vAlign w:val="center"/>
          </w:tcPr>
          <w:p>
            <w:pPr>
              <w:spacing w:line="300" w:lineRule="exact"/>
              <w:rPr>
                <w:rFonts w:ascii="宋体" w:hAnsi="宋体"/>
                <w:szCs w:val="21"/>
              </w:rPr>
            </w:pPr>
          </w:p>
        </w:tc>
        <w:tc>
          <w:tcPr>
            <w:tcW w:w="1243" w:type="dxa"/>
            <w:vAlign w:val="center"/>
          </w:tcPr>
          <w:p>
            <w:pPr>
              <w:spacing w:line="300" w:lineRule="exact"/>
              <w:rPr>
                <w:rFonts w:ascii="宋体" w:hAnsi="宋体"/>
                <w:szCs w:val="21"/>
              </w:rPr>
            </w:pPr>
          </w:p>
        </w:tc>
        <w:tc>
          <w:tcPr>
            <w:tcW w:w="1292"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27" w:type="dxa"/>
            <w:gridSpan w:val="4"/>
            <w:vAlign w:val="center"/>
          </w:tcPr>
          <w:p>
            <w:pPr>
              <w:spacing w:line="300" w:lineRule="exact"/>
              <w:jc w:val="center"/>
              <w:rPr>
                <w:rFonts w:ascii="宋体" w:hAnsi="宋体"/>
                <w:color w:val="auto"/>
                <w:szCs w:val="21"/>
              </w:rPr>
            </w:pPr>
            <w:r>
              <w:rPr>
                <w:rFonts w:hint="eastAsia" w:ascii="宋体" w:hAnsi="宋体"/>
                <w:color w:val="auto"/>
                <w:szCs w:val="21"/>
                <w:lang w:val="en-US" w:eastAsia="zh-CN"/>
              </w:rPr>
              <w:t>每年服务期</w:t>
            </w:r>
            <w:r>
              <w:rPr>
                <w:rFonts w:hint="eastAsia" w:ascii="宋体" w:hAnsi="宋体"/>
                <w:color w:val="auto"/>
                <w:szCs w:val="21"/>
              </w:rPr>
              <w:t>报价</w:t>
            </w:r>
            <w:r>
              <w:rPr>
                <w:rFonts w:hint="eastAsia" w:ascii="宋体" w:hAnsi="宋体"/>
                <w:color w:val="auto"/>
                <w:szCs w:val="21"/>
                <w:lang w:val="en-US" w:eastAsia="zh-CN"/>
              </w:rPr>
              <w:t>合计</w:t>
            </w:r>
            <w:r>
              <w:rPr>
                <w:rFonts w:hint="eastAsia" w:ascii="宋体" w:hAnsi="宋体"/>
                <w:color w:val="auto"/>
                <w:szCs w:val="21"/>
              </w:rPr>
              <w:t>（元）</w:t>
            </w:r>
          </w:p>
        </w:tc>
        <w:tc>
          <w:tcPr>
            <w:tcW w:w="3650" w:type="dxa"/>
            <w:gridSpan w:val="3"/>
            <w:vAlign w:val="center"/>
          </w:tcPr>
          <w:p>
            <w:pPr>
              <w:spacing w:line="300" w:lineRule="exact"/>
              <w:jc w:val="left"/>
              <w:rPr>
                <w:rFonts w:hint="eastAsia" w:ascii="Times New Roman" w:hAnsi="Times New Roman" w:eastAsia="宋体" w:cs="Times New Roman"/>
                <w:color w:val="auto"/>
              </w:rPr>
            </w:pPr>
            <w:r>
              <w:rPr>
                <w:rFonts w:hint="eastAsia" w:ascii="Times New Roman" w:hAnsi="Times New Roman" w:eastAsia="宋体" w:cs="Times New Roman"/>
                <w:color w:val="auto"/>
              </w:rPr>
              <w:t>小写：</w:t>
            </w:r>
          </w:p>
          <w:p>
            <w:pPr>
              <w:spacing w:line="300" w:lineRule="exact"/>
              <w:jc w:val="left"/>
              <w:rPr>
                <w:rFonts w:hint="default" w:eastAsia="宋体"/>
                <w:color w:val="auto"/>
                <w:lang w:val="en-US" w:eastAsia="zh-CN"/>
              </w:rPr>
            </w:pPr>
            <w:r>
              <w:rPr>
                <w:rFonts w:hint="eastAsia" w:ascii="Times New Roman" w:hAnsi="Times New Roman" w:eastAsia="宋体" w:cs="Times New Roman"/>
                <w:color w:val="auto"/>
                <w:lang w:val="en-US" w:eastAsia="zh-CN"/>
              </w:rPr>
              <w:t>大写：</w:t>
            </w:r>
          </w:p>
        </w:tc>
      </w:tr>
    </w:tbl>
    <w:p>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rPr>
        <w:t>注：上述各项的详细分项报价及具体内容，可另页描述。</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ascii="宋体" w:hAnsi="宋体"/>
          <w:color w:val="000000"/>
          <w:szCs w:val="21"/>
          <w:u w:val="single"/>
        </w:rPr>
        <w:t>___</w:t>
      </w:r>
      <w:r>
        <w:rPr>
          <w:rFonts w:hint="eastAsia" w:ascii="宋体" w:hAnsi="宋体"/>
          <w:color w:val="000000"/>
          <w:szCs w:val="21"/>
          <w:u w:val="single"/>
        </w:rPr>
        <w:t xml:space="preserve">    （填写全称并加盖公章)</w:t>
      </w:r>
      <w:r>
        <w:rPr>
          <w:rFonts w:ascii="宋体" w:hAnsi="宋体"/>
          <w:color w:val="000000"/>
          <w:szCs w:val="21"/>
          <w:u w:val="single"/>
        </w:rPr>
        <w:t>___________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法定代表人或授权代表签名：</w:t>
      </w:r>
      <w:r>
        <w:rPr>
          <w:rFonts w:ascii="宋体" w:hAnsi="宋体"/>
          <w:color w:val="000000"/>
          <w:szCs w:val="21"/>
          <w:u w:val="single"/>
        </w:rPr>
        <w:t xml:space="preserve"> </w:t>
      </w:r>
      <w:r>
        <w:rPr>
          <w:rFonts w:hint="eastAsia" w:ascii="宋体" w:hAnsi="宋体"/>
          <w:szCs w:val="21"/>
          <w:u w:val="single"/>
        </w:rPr>
        <w:t>（签字或盖章）</w:t>
      </w:r>
      <w:r>
        <w:rPr>
          <w:rFonts w:ascii="宋体" w:hAnsi="宋体"/>
          <w:color w:val="000000"/>
          <w:szCs w:val="21"/>
          <w:u w:val="single"/>
        </w:rPr>
        <w:t>_____</w:t>
      </w:r>
      <w:r>
        <w:rPr>
          <w:rFonts w:ascii="宋体" w:hAnsi="宋体"/>
          <w:color w:val="000000"/>
          <w:szCs w:val="21"/>
        </w:rPr>
        <w:t>_</w:t>
      </w:r>
    </w:p>
    <w:p>
      <w:pPr>
        <w:snapToGrid w:val="0"/>
        <w:spacing w:line="360" w:lineRule="auto"/>
        <w:ind w:firstLine="3685" w:firstLineChars="1755"/>
        <w:rPr>
          <w:rFonts w:ascii="宋体" w:hAnsi="宋体"/>
          <w:szCs w:val="21"/>
        </w:rPr>
      </w:pPr>
      <w:r>
        <w:rPr>
          <w:rFonts w:hint="eastAsia" w:ascii="宋体" w:hAnsi="宋体"/>
          <w:color w:val="000000"/>
          <w:szCs w:val="21"/>
        </w:rPr>
        <w:t>日  期：</w:t>
      </w:r>
    </w:p>
    <w:p>
      <w:pPr>
        <w:pStyle w:val="20"/>
        <w:spacing w:line="360" w:lineRule="auto"/>
        <w:ind w:left="0" w:leftChars="0"/>
        <w:jc w:val="center"/>
        <w:rPr>
          <w:rFonts w:ascii="宋体" w:hAnsi="宋体"/>
        </w:rPr>
      </w:pPr>
      <w:r>
        <w:rPr>
          <w:rFonts w:ascii="宋体" w:hAnsi="宋体"/>
          <w:szCs w:val="21"/>
        </w:rPr>
        <w:br w:type="page"/>
      </w:r>
      <w:r>
        <w:rPr>
          <w:rFonts w:hint="eastAsia" w:ascii="宋体" w:hAnsi="宋体"/>
          <w:b/>
          <w:bCs/>
          <w:szCs w:val="21"/>
          <w:lang w:val="en-US" w:eastAsia="zh-CN"/>
        </w:rPr>
        <w:t>3</w:t>
      </w:r>
      <w:r>
        <w:rPr>
          <w:rFonts w:hint="eastAsia" w:ascii="宋体" w:hAnsi="宋体" w:cs="宋体"/>
          <w:b/>
          <w:bCs/>
          <w:sz w:val="21"/>
          <w:szCs w:val="21"/>
        </w:rPr>
        <w:t>）</w:t>
      </w:r>
      <w:r>
        <w:rPr>
          <w:rFonts w:ascii="宋体" w:hAnsi="宋体" w:cs="宋体"/>
          <w:b/>
          <w:sz w:val="21"/>
          <w:szCs w:val="21"/>
        </w:rPr>
        <w:t>中小企业声明函</w:t>
      </w:r>
    </w:p>
    <w:p>
      <w:pPr>
        <w:spacing w:line="360" w:lineRule="auto"/>
        <w:ind w:firstLine="420" w:firstLineChars="200"/>
        <w:jc w:val="left"/>
        <w:rPr>
          <w:rFonts w:ascii="宋体" w:hAnsi="宋体"/>
          <w:b w:val="0"/>
          <w:bCs w:val="0"/>
        </w:rPr>
      </w:pPr>
      <w:r>
        <w:rPr>
          <w:rFonts w:ascii="宋体" w:hAnsi="宋体"/>
        </w:rPr>
        <w:t>本公司（联合体）郑重声明，根据《政府采购促进中小企业发展管理办法》（财库﹝2020﹞46号）的规定，本公司（联合体）参加</w:t>
      </w:r>
      <w:r>
        <w:rPr>
          <w:rFonts w:hint="eastAsia" w:ascii="宋体" w:hAnsi="宋体"/>
          <w:u w:val="single"/>
        </w:rPr>
        <w:t>宁波市生态环境局</w:t>
      </w:r>
      <w:r>
        <w:rPr>
          <w:rFonts w:ascii="宋体" w:hAnsi="宋体"/>
        </w:rPr>
        <w:t>的</w:t>
      </w:r>
      <w:r>
        <w:rPr>
          <w:rFonts w:hint="eastAsia" w:ascii="宋体" w:hAnsi="宋体"/>
          <w:szCs w:val="28"/>
          <w:u w:val="single"/>
          <w:lang w:eastAsia="zh-CN"/>
        </w:rPr>
        <w:t>宁波市地表水水质自动监测数据采购（第二期）项目</w:t>
      </w:r>
      <w:r>
        <w:rPr>
          <w:rFonts w:ascii="宋体" w:hAnsi="宋体"/>
        </w:rPr>
        <w:t>采购活动，服务全部由符合政策要求的中小企业承接。相关企业（含联合体中的中小企业、签订分包意向协议的中小企业）的具体情况如下：</w:t>
      </w:r>
    </w:p>
    <w:p>
      <w:pPr>
        <w:spacing w:line="360" w:lineRule="auto"/>
        <w:ind w:firstLine="420" w:firstLineChars="200"/>
        <w:jc w:val="left"/>
        <w:rPr>
          <w:rFonts w:ascii="宋体" w:hAnsi="宋体"/>
          <w:b w:val="0"/>
          <w:bCs w:val="0"/>
        </w:rPr>
      </w:pPr>
      <w:r>
        <w:rPr>
          <w:rFonts w:ascii="宋体" w:hAnsi="宋体"/>
          <w:b w:val="0"/>
          <w:bCs w:val="0"/>
        </w:rPr>
        <w:t xml:space="preserve">1. </w:t>
      </w:r>
      <w:r>
        <w:rPr>
          <w:rFonts w:hint="eastAsia" w:ascii="宋体" w:hAnsi="宋体"/>
          <w:b w:val="0"/>
          <w:bCs w:val="0"/>
          <w:iCs/>
          <w:u w:val="single"/>
          <w:lang w:eastAsia="zh-CN"/>
        </w:rPr>
        <w:t>宁波市地表水水质自动监测数据采购（第二期）项目</w:t>
      </w:r>
      <w:r>
        <w:rPr>
          <w:rFonts w:ascii="宋体" w:hAnsi="宋体"/>
          <w:b w:val="0"/>
          <w:bCs w:val="0"/>
        </w:rPr>
        <w:t>，</w:t>
      </w:r>
      <w:r>
        <w:rPr>
          <w:rFonts w:hint="eastAsia" w:ascii="宋体" w:hAnsi="宋体"/>
          <w:b w:val="0"/>
          <w:bCs w:val="0"/>
          <w:lang w:val="en-US" w:eastAsia="zh-CN"/>
        </w:rPr>
        <w:t>标项</w:t>
      </w:r>
      <w:r>
        <w:rPr>
          <w:rFonts w:hint="eastAsia" w:ascii="宋体" w:hAnsi="宋体"/>
          <w:b w:val="0"/>
          <w:bCs w:val="0"/>
          <w:u w:val="single"/>
          <w:lang w:val="en-US" w:eastAsia="zh-CN"/>
        </w:rPr>
        <w:t xml:space="preserve">     </w:t>
      </w:r>
      <w:r>
        <w:rPr>
          <w:rFonts w:ascii="宋体" w:hAnsi="宋体"/>
          <w:b w:val="0"/>
          <w:bCs w:val="0"/>
        </w:rPr>
        <w:t>属于</w:t>
      </w:r>
      <w:r>
        <w:rPr>
          <w:rFonts w:hint="eastAsia" w:ascii="宋体" w:hAnsi="宋体"/>
          <w:b w:val="0"/>
          <w:bCs w:val="0"/>
          <w:iCs/>
          <w:u w:val="none"/>
          <w:lang w:eastAsia="zh-CN"/>
        </w:rPr>
        <w:t>其他未列明行业</w:t>
      </w:r>
      <w:r>
        <w:rPr>
          <w:rFonts w:ascii="宋体" w:hAnsi="宋体"/>
          <w:b w:val="0"/>
          <w:bCs w:val="0"/>
        </w:rPr>
        <w:t>；承接企业为</w:t>
      </w:r>
      <w:r>
        <w:rPr>
          <w:rFonts w:ascii="宋体" w:hAnsi="宋体"/>
          <w:b w:val="0"/>
          <w:bCs w:val="0"/>
          <w:u w:val="single"/>
        </w:rPr>
        <w:t>（</w:t>
      </w:r>
      <w:r>
        <w:rPr>
          <w:rFonts w:ascii="宋体" w:hAnsi="宋体"/>
          <w:b w:val="0"/>
          <w:bCs w:val="0"/>
          <w:i/>
          <w:u w:val="single"/>
        </w:rPr>
        <w:t>企业名称</w:t>
      </w:r>
      <w:r>
        <w:rPr>
          <w:rFonts w:ascii="宋体" w:hAnsi="宋体"/>
          <w:b w:val="0"/>
          <w:bCs w:val="0"/>
          <w:u w:val="single"/>
        </w:rPr>
        <w:t>）</w:t>
      </w:r>
      <w:r>
        <w:rPr>
          <w:rFonts w:ascii="宋体" w:hAnsi="宋体"/>
          <w:b w:val="0"/>
          <w:bCs w:val="0"/>
        </w:rPr>
        <w:t>，从业人员</w:t>
      </w:r>
      <w:r>
        <w:rPr>
          <w:rFonts w:hint="eastAsia" w:ascii="宋体" w:hAnsi="宋体"/>
          <w:b w:val="0"/>
          <w:bCs w:val="0"/>
          <w:u w:val="single"/>
        </w:rPr>
        <w:t xml:space="preserve">   </w:t>
      </w:r>
      <w:r>
        <w:rPr>
          <w:rFonts w:ascii="宋体" w:hAnsi="宋体"/>
          <w:b w:val="0"/>
          <w:bCs w:val="0"/>
        </w:rPr>
        <w:t>人，营业收入为</w:t>
      </w:r>
      <w:r>
        <w:rPr>
          <w:rFonts w:hint="eastAsia" w:ascii="宋体" w:hAnsi="宋体"/>
          <w:b w:val="0"/>
          <w:bCs w:val="0"/>
          <w:u w:val="single"/>
        </w:rPr>
        <w:t xml:space="preserve">   </w:t>
      </w:r>
      <w:r>
        <w:rPr>
          <w:rFonts w:ascii="宋体" w:hAnsi="宋体"/>
          <w:b w:val="0"/>
          <w:bCs w:val="0"/>
        </w:rPr>
        <w:t>万元，资产总额为</w:t>
      </w:r>
      <w:r>
        <w:rPr>
          <w:rFonts w:hint="eastAsia" w:ascii="宋体" w:hAnsi="宋体"/>
          <w:b w:val="0"/>
          <w:bCs w:val="0"/>
          <w:u w:val="single"/>
        </w:rPr>
        <w:t xml:space="preserve">   </w:t>
      </w:r>
      <w:r>
        <w:rPr>
          <w:rFonts w:ascii="宋体" w:hAnsi="宋体"/>
          <w:b w:val="0"/>
          <w:bCs w:val="0"/>
        </w:rPr>
        <w:t>万元，属于</w:t>
      </w:r>
      <w:r>
        <w:rPr>
          <w:rFonts w:ascii="宋体" w:hAnsi="宋体"/>
          <w:b w:val="0"/>
          <w:bCs w:val="0"/>
          <w:i/>
          <w:u w:val="single"/>
        </w:rPr>
        <w:t>（中型企业、小型企业、微型企业）</w:t>
      </w:r>
      <w:r>
        <w:rPr>
          <w:rFonts w:ascii="宋体" w:hAnsi="宋体"/>
          <w:b w:val="0"/>
          <w:bCs w:val="0"/>
        </w:rPr>
        <w:t>；</w:t>
      </w:r>
    </w:p>
    <w:p>
      <w:pPr>
        <w:spacing w:line="360" w:lineRule="auto"/>
        <w:ind w:firstLine="420" w:firstLineChars="200"/>
        <w:jc w:val="left"/>
        <w:rPr>
          <w:rFonts w:ascii="宋体" w:hAnsi="宋体"/>
        </w:rPr>
      </w:pPr>
      <w:r>
        <w:rPr>
          <w:rFonts w:ascii="宋体" w:hAnsi="宋体"/>
          <w:b w:val="0"/>
          <w:bCs w:val="0"/>
        </w:rPr>
        <w:t xml:space="preserve">2. </w:t>
      </w:r>
      <w:r>
        <w:rPr>
          <w:rFonts w:hint="eastAsia" w:ascii="宋体" w:hAnsi="宋体"/>
          <w:b w:val="0"/>
          <w:bCs w:val="0"/>
          <w:iCs/>
          <w:u w:val="single"/>
          <w:lang w:eastAsia="zh-CN"/>
        </w:rPr>
        <w:t>宁波市地表水水质自动监测数据采购（第二期）项目</w:t>
      </w:r>
      <w:r>
        <w:rPr>
          <w:rFonts w:ascii="宋体" w:hAnsi="宋体"/>
          <w:b w:val="0"/>
          <w:bCs w:val="0"/>
        </w:rPr>
        <w:t>，</w:t>
      </w:r>
      <w:r>
        <w:rPr>
          <w:rFonts w:hint="eastAsia" w:ascii="宋体" w:hAnsi="宋体"/>
          <w:b w:val="0"/>
          <w:bCs w:val="0"/>
          <w:lang w:val="en-US" w:eastAsia="zh-CN"/>
        </w:rPr>
        <w:t>标项</w:t>
      </w:r>
      <w:r>
        <w:rPr>
          <w:rFonts w:hint="eastAsia" w:ascii="宋体" w:hAnsi="宋体"/>
          <w:b w:val="0"/>
          <w:bCs w:val="0"/>
          <w:u w:val="single"/>
          <w:lang w:val="en-US" w:eastAsia="zh-CN"/>
        </w:rPr>
        <w:t xml:space="preserve">     </w:t>
      </w:r>
      <w:r>
        <w:rPr>
          <w:rFonts w:ascii="宋体" w:hAnsi="宋体"/>
          <w:b w:val="0"/>
          <w:bCs w:val="0"/>
        </w:rPr>
        <w:t>属于</w:t>
      </w:r>
      <w:r>
        <w:rPr>
          <w:rFonts w:hint="eastAsia" w:ascii="宋体" w:hAnsi="宋体"/>
          <w:b w:val="0"/>
          <w:bCs w:val="0"/>
          <w:iCs/>
          <w:u w:val="none"/>
          <w:lang w:eastAsia="zh-CN"/>
        </w:rPr>
        <w:t>其他未列明行业</w:t>
      </w:r>
      <w:r>
        <w:rPr>
          <w:rFonts w:ascii="宋体" w:hAnsi="宋体"/>
          <w:b w:val="0"/>
          <w:bCs w:val="0"/>
          <w:u w:val="none"/>
        </w:rPr>
        <w:t>；</w:t>
      </w:r>
      <w:r>
        <w:rPr>
          <w:rFonts w:ascii="宋体" w:hAnsi="宋体"/>
          <w:b w:val="0"/>
          <w:bCs w:val="0"/>
        </w:rPr>
        <w:t>承</w:t>
      </w:r>
      <w:r>
        <w:rPr>
          <w:rFonts w:ascii="宋体" w:hAnsi="宋体"/>
        </w:rPr>
        <w:t>接企业为</w:t>
      </w:r>
      <w:r>
        <w:rPr>
          <w:rFonts w:ascii="宋体" w:hAnsi="宋体"/>
          <w:u w:val="single"/>
        </w:rPr>
        <w:t>（</w:t>
      </w:r>
      <w:r>
        <w:rPr>
          <w:rFonts w:ascii="宋体" w:hAnsi="宋体"/>
          <w:i/>
          <w:u w:val="single"/>
        </w:rPr>
        <w:t>企业名称</w:t>
      </w:r>
      <w:r>
        <w:rPr>
          <w:rFonts w:ascii="宋体" w:hAnsi="宋体"/>
          <w:u w:val="single"/>
        </w:rPr>
        <w:t>）</w:t>
      </w:r>
      <w:r>
        <w:rPr>
          <w:rFonts w:ascii="宋体" w:hAnsi="宋体"/>
        </w:rPr>
        <w:t>，从业人员</w:t>
      </w:r>
      <w:r>
        <w:rPr>
          <w:rFonts w:hint="eastAsia" w:ascii="宋体" w:hAnsi="宋体"/>
          <w:u w:val="single"/>
        </w:rPr>
        <w:t xml:space="preserve">   </w:t>
      </w:r>
      <w:r>
        <w:rPr>
          <w:rFonts w:ascii="宋体" w:hAnsi="宋体"/>
        </w:rPr>
        <w:t>人，营业收入为</w:t>
      </w:r>
      <w:r>
        <w:rPr>
          <w:rFonts w:hint="eastAsia" w:ascii="宋体" w:hAnsi="宋体"/>
          <w:u w:val="single"/>
        </w:rPr>
        <w:t xml:space="preserve">   </w:t>
      </w:r>
      <w:r>
        <w:rPr>
          <w:rFonts w:ascii="宋体" w:hAnsi="宋体"/>
        </w:rPr>
        <w:t>万元，资产总额为</w:t>
      </w:r>
      <w:r>
        <w:rPr>
          <w:rFonts w:hint="eastAsia" w:ascii="宋体" w:hAnsi="宋体"/>
          <w:u w:val="single"/>
        </w:rPr>
        <w:t xml:space="preserve">   </w:t>
      </w:r>
      <w:r>
        <w:rPr>
          <w:rFonts w:ascii="宋体" w:hAnsi="宋体"/>
        </w:rPr>
        <w:t>万元，属于</w:t>
      </w:r>
      <w:r>
        <w:rPr>
          <w:rFonts w:ascii="宋体" w:hAnsi="宋体"/>
          <w:i/>
          <w:u w:val="single"/>
        </w:rPr>
        <w:t>（中型企业、 小型企业、微型企业）</w:t>
      </w:r>
      <w:r>
        <w:rPr>
          <w:rFonts w:ascii="宋体" w:hAnsi="宋体"/>
        </w:rPr>
        <w:t>；</w:t>
      </w:r>
    </w:p>
    <w:p>
      <w:pPr>
        <w:spacing w:line="360" w:lineRule="auto"/>
        <w:ind w:firstLine="420" w:firstLineChars="200"/>
        <w:jc w:val="left"/>
        <w:rPr>
          <w:rFonts w:ascii="宋体" w:hAnsi="宋体"/>
        </w:rPr>
      </w:pPr>
      <w:r>
        <w:rPr>
          <w:rFonts w:ascii="宋体" w:hAnsi="宋体"/>
        </w:rPr>
        <w:t>……</w:t>
      </w:r>
    </w:p>
    <w:p>
      <w:pPr>
        <w:spacing w:line="360" w:lineRule="auto"/>
        <w:ind w:firstLine="420" w:firstLineChars="200"/>
        <w:jc w:val="left"/>
        <w:rPr>
          <w:rFonts w:ascii="宋体" w:hAnsi="宋体"/>
        </w:rPr>
      </w:pPr>
      <w:r>
        <w:rPr>
          <w:rFonts w:ascii="宋体" w:hAnsi="宋体"/>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rPr>
      </w:pPr>
      <w:r>
        <w:rPr>
          <w:rFonts w:ascii="宋体" w:hAnsi="宋体"/>
        </w:rPr>
        <w:t>本企业对上述声明内容的真实性负责。如有虚假，将依法承担相应责任。</w:t>
      </w:r>
    </w:p>
    <w:p>
      <w:pPr>
        <w:spacing w:line="360" w:lineRule="auto"/>
        <w:ind w:firstLine="420" w:firstLineChars="200"/>
        <w:jc w:val="left"/>
        <w:rPr>
          <w:rFonts w:ascii="宋体" w:hAnsi="宋体"/>
        </w:rPr>
      </w:pPr>
    </w:p>
    <w:p>
      <w:pPr>
        <w:spacing w:line="360" w:lineRule="auto"/>
        <w:ind w:firstLine="4676" w:firstLineChars="2227"/>
        <w:jc w:val="left"/>
        <w:rPr>
          <w:rFonts w:ascii="宋体" w:hAnsi="宋体"/>
        </w:rPr>
      </w:pPr>
      <w:r>
        <w:rPr>
          <w:rFonts w:ascii="宋体" w:hAnsi="宋体"/>
        </w:rPr>
        <w:t>企业名称（盖章）：</w:t>
      </w:r>
    </w:p>
    <w:p>
      <w:pPr>
        <w:spacing w:line="360" w:lineRule="auto"/>
        <w:ind w:firstLine="4676" w:firstLineChars="2227"/>
        <w:jc w:val="left"/>
        <w:rPr>
          <w:rFonts w:ascii="宋体" w:hAnsi="宋体"/>
        </w:rPr>
      </w:pPr>
      <w:r>
        <w:rPr>
          <w:rFonts w:ascii="宋体" w:hAnsi="宋体"/>
        </w:rPr>
        <w:t>日 期：</w:t>
      </w:r>
    </w:p>
    <w:p>
      <w:pPr>
        <w:pStyle w:val="20"/>
        <w:spacing w:line="360" w:lineRule="auto"/>
        <w:jc w:val="center"/>
        <w:rPr>
          <w:rFonts w:ascii="宋体" w:hAnsi="宋体"/>
        </w:rPr>
      </w:pPr>
    </w:p>
    <w:p>
      <w:pPr>
        <w:snapToGrid w:val="0"/>
        <w:spacing w:before="50" w:after="50" w:line="360" w:lineRule="auto"/>
        <w:ind w:left="-23" w:leftChars="-11" w:right="-214" w:rightChars="-102"/>
        <w:jc w:val="left"/>
        <w:rPr>
          <w:rFonts w:asciiTheme="minorEastAsia" w:hAnsiTheme="minorEastAsia" w:eastAsiaTheme="minorEastAsia"/>
          <w:b/>
          <w:color w:val="000000" w:themeColor="text1"/>
          <w14:textFill>
            <w14:solidFill>
              <w14:schemeClr w14:val="tx1"/>
            </w14:solidFill>
          </w14:textFill>
        </w:rPr>
      </w:pPr>
    </w:p>
    <w:p>
      <w:pPr>
        <w:snapToGrid w:val="0"/>
        <w:spacing w:before="50" w:after="50" w:line="360" w:lineRule="auto"/>
        <w:ind w:left="-23" w:leftChars="-11" w:right="-214" w:rightChars="-102"/>
        <w:jc w:val="left"/>
        <w:rPr>
          <w:rFonts w:hint="eastAsia" w:ascii="宋体" w:hAnsi="宋体" w:eastAsia="宋体"/>
          <w:lang w:eastAsia="zh-CN"/>
        </w:rPr>
      </w:pPr>
      <w:r>
        <w:rPr>
          <w:rFonts w:hint="eastAsia" w:asciiTheme="minorEastAsia" w:hAnsiTheme="minorEastAsia" w:eastAsiaTheme="minorEastAsia"/>
          <w:b/>
          <w:color w:val="000000" w:themeColor="text1"/>
          <w14:textFill>
            <w14:solidFill>
              <w14:schemeClr w14:val="tx1"/>
            </w14:solidFill>
          </w14:textFill>
        </w:rPr>
        <w:t>说明：</w:t>
      </w:r>
      <w:r>
        <w:rPr>
          <w:rFonts w:hint="eastAsia" w:ascii="宋体" w:hAnsi="宋体" w:eastAsiaTheme="minorEastAsia"/>
          <w:b/>
          <w:color w:val="000000" w:themeColor="text1"/>
          <w:lang w:eastAsia="zh-CN"/>
          <w14:textFill>
            <w14:solidFill>
              <w14:schemeClr w14:val="tx1"/>
            </w14:solidFill>
          </w14:textFill>
        </w:rPr>
        <w:t>其他未列明行业</w:t>
      </w:r>
      <w:r>
        <w:rPr>
          <w:rFonts w:hint="eastAsia" w:ascii="宋体" w:hAnsi="宋体"/>
          <w:b/>
          <w:color w:val="000000" w:themeColor="text1"/>
          <w14:textFill>
            <w14:solidFill>
              <w14:schemeClr w14:val="tx1"/>
            </w14:solidFill>
          </w14:textFill>
        </w:rPr>
        <w:t>：从业人员300人以下的为中小微型企业。其中，从业人员100人及以上的为中型企业；从业人员10人及以上的为小型企业；从业人员10人以下的为微型企业。</w:t>
      </w:r>
    </w:p>
    <w:p>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注：1、从业人员、营业收入、资产总额填报上一年度数据，无上一年度数据的新成立企业可不填报。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2、供应商应当对其出具的《中小企业声明函》真实性负责，供应商出具的《中小企业声明函》内容不实的，属于提供虚假材料。</w:t>
      </w:r>
    </w:p>
    <w:p>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3、事业单位不属于企业不应提交本声明函，其他组织形式的供应商参与本项目并提交本声明函前请仔细阅读相关文件。</w:t>
      </w:r>
    </w:p>
    <w:p>
      <w:pPr>
        <w:tabs>
          <w:tab w:val="left" w:pos="4860"/>
        </w:tabs>
        <w:spacing w:line="360" w:lineRule="auto"/>
        <w:ind w:right="1560" w:firstLine="420" w:firstLineChars="200"/>
        <w:jc w:val="center"/>
        <w:rPr>
          <w:rFonts w:ascii="宋体" w:hAnsi="宋体"/>
          <w:szCs w:val="21"/>
        </w:rPr>
      </w:pPr>
    </w:p>
    <w:p>
      <w:pPr>
        <w:spacing w:line="360" w:lineRule="auto"/>
        <w:ind w:firstLine="420" w:firstLineChars="200"/>
        <w:jc w:val="left"/>
        <w:rPr>
          <w:rFonts w:ascii="宋体" w:hAnsi="宋体"/>
          <w:szCs w:val="21"/>
        </w:rPr>
      </w:pPr>
    </w:p>
    <w:p>
      <w:pPr>
        <w:pStyle w:val="20"/>
        <w:spacing w:line="360" w:lineRule="auto"/>
        <w:ind w:left="0" w:leftChars="0"/>
        <w:jc w:val="center"/>
        <w:rPr>
          <w:rFonts w:ascii="宋体" w:hAnsi="宋体"/>
          <w:b/>
          <w:spacing w:val="6"/>
          <w:szCs w:val="21"/>
        </w:rPr>
      </w:pPr>
      <w:bookmarkStart w:id="62" w:name="OLE_LINK13"/>
      <w:bookmarkStart w:id="63" w:name="OLE_LINK14"/>
      <w:r>
        <w:rPr>
          <w:rFonts w:ascii="宋体" w:hAnsi="宋体"/>
          <w:szCs w:val="21"/>
        </w:rPr>
        <w:br w:type="page"/>
      </w:r>
      <w:r>
        <w:rPr>
          <w:rFonts w:hint="eastAsia" w:ascii="宋体" w:hAnsi="宋体" w:cs="宋体"/>
          <w:b/>
          <w:sz w:val="21"/>
          <w:szCs w:val="21"/>
          <w:lang w:val="en-US" w:eastAsia="zh-CN"/>
        </w:rPr>
        <w:t>4</w:t>
      </w:r>
      <w:r>
        <w:rPr>
          <w:rFonts w:hint="eastAsia" w:ascii="宋体" w:hAnsi="宋体" w:cs="宋体"/>
          <w:b/>
          <w:sz w:val="21"/>
          <w:szCs w:val="21"/>
        </w:rPr>
        <w:t>）残疾人福利性单位声明函</w:t>
      </w:r>
      <w:bookmarkEnd w:id="62"/>
      <w:bookmarkEnd w:id="63"/>
    </w:p>
    <w:p>
      <w:pPr>
        <w:spacing w:line="360" w:lineRule="auto"/>
        <w:ind w:firstLine="444" w:firstLineChars="200"/>
        <w:rPr>
          <w:rFonts w:asciiTheme="minorEastAsia" w:hAnsiTheme="minorEastAsia" w:eastAsiaTheme="minorEastAsia"/>
          <w:spacing w:val="6"/>
        </w:rPr>
      </w:pPr>
      <w:r>
        <w:rPr>
          <w:rFonts w:hint="eastAsia" w:asciiTheme="minorEastAsia" w:hAnsiTheme="minorEastAsia" w:eastAsiaTheme="minorEastAsia"/>
          <w:spacing w:val="6"/>
        </w:rPr>
        <w:t>本单位郑重声明，根据《财政部 民政部 中国残疾人联合会关于促进残疾人就业政府采购政策的通知》（财库</w:t>
      </w:r>
      <w:r>
        <w:rPr>
          <w:rFonts w:hint="eastAsia" w:asciiTheme="minorEastAsia" w:hAnsiTheme="minorEastAsia" w:eastAsiaTheme="minorEastAsia"/>
        </w:rPr>
        <w:t>〔2017〕 141</w:t>
      </w:r>
      <w:r>
        <w:rPr>
          <w:rFonts w:hint="eastAsia" w:asciiTheme="minorEastAsia" w:hAnsiTheme="minorEastAsia" w:eastAsiaTheme="minorEastAsia"/>
          <w:spacing w:val="6"/>
        </w:rPr>
        <w:t>号）的规定，本单位为符合条件的残疾人福利性单位，且本单位参加</w:t>
      </w:r>
      <w:r>
        <w:rPr>
          <w:rFonts w:hint="eastAsia" w:asciiTheme="minorEastAsia" w:hAnsiTheme="minorEastAsia" w:eastAsiaTheme="minorEastAsia"/>
          <w:spacing w:val="6"/>
          <w:u w:val="single"/>
        </w:rPr>
        <w:t xml:space="preserve">   （填采购人名称）      </w:t>
      </w:r>
      <w:r>
        <w:rPr>
          <w:rFonts w:hint="eastAsia" w:asciiTheme="minorEastAsia" w:hAnsiTheme="minorEastAsia" w:eastAsiaTheme="minorEastAsia"/>
          <w:spacing w:val="6"/>
        </w:rPr>
        <w:t>单位的</w:t>
      </w:r>
      <w:r>
        <w:rPr>
          <w:rFonts w:hint="eastAsia" w:asciiTheme="minorEastAsia" w:hAnsiTheme="minorEastAsia" w:eastAsiaTheme="minorEastAsia"/>
          <w:spacing w:val="6"/>
          <w:u w:val="single"/>
        </w:rPr>
        <w:t xml:space="preserve">     （填项目名称）       </w:t>
      </w:r>
      <w:r>
        <w:rPr>
          <w:rFonts w:hint="eastAsia" w:asciiTheme="minorEastAsia" w:hAnsiTheme="minorEastAsia" w:eastAsiaTheme="minorEastAsia"/>
          <w:spacing w:val="6"/>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Theme="minorEastAsia" w:hAnsiTheme="minorEastAsia" w:eastAsiaTheme="minorEastAsia"/>
          <w:spacing w:val="6"/>
        </w:rPr>
      </w:pPr>
      <w:r>
        <w:rPr>
          <w:rFonts w:hint="eastAsia" w:asciiTheme="minorEastAsia" w:hAnsiTheme="minorEastAsia" w:eastAsiaTheme="minorEastAsia"/>
          <w:spacing w:val="6"/>
        </w:rPr>
        <w:t>本单位对上述声明的真实性负责。如有虚假，将依法承担相应责任。</w:t>
      </w:r>
    </w:p>
    <w:p>
      <w:pPr>
        <w:spacing w:line="360" w:lineRule="auto"/>
        <w:ind w:firstLine="444" w:firstLineChars="200"/>
        <w:rPr>
          <w:rFonts w:asciiTheme="minorEastAsia" w:hAnsiTheme="minorEastAsia" w:eastAsiaTheme="minorEastAsia"/>
          <w:spacing w:val="6"/>
        </w:rPr>
      </w:pPr>
    </w:p>
    <w:p>
      <w:pPr>
        <w:spacing w:line="360" w:lineRule="auto"/>
        <w:ind w:firstLine="444" w:firstLineChars="200"/>
        <w:rPr>
          <w:rFonts w:asciiTheme="minorEastAsia" w:hAnsiTheme="minorEastAsia" w:eastAsiaTheme="minorEastAsia"/>
          <w:spacing w:val="6"/>
        </w:rPr>
      </w:pPr>
    </w:p>
    <w:p>
      <w:pPr>
        <w:tabs>
          <w:tab w:val="left" w:pos="4860"/>
        </w:tabs>
        <w:spacing w:line="360" w:lineRule="auto"/>
        <w:ind w:right="1560" w:firstLine="444" w:firstLineChars="200"/>
        <w:jc w:val="center"/>
        <w:rPr>
          <w:rFonts w:asciiTheme="minorEastAsia" w:hAnsiTheme="minorEastAsia" w:eastAsiaTheme="minorEastAsia"/>
          <w:spacing w:val="6"/>
        </w:rPr>
      </w:pPr>
      <w:r>
        <w:rPr>
          <w:rFonts w:hint="eastAsia" w:asciiTheme="minorEastAsia" w:hAnsiTheme="minorEastAsia" w:eastAsiaTheme="minorEastAsia"/>
          <w:spacing w:val="6"/>
        </w:rPr>
        <w:t>单位名称（盖章）：</w:t>
      </w:r>
    </w:p>
    <w:p>
      <w:pPr>
        <w:tabs>
          <w:tab w:val="left" w:pos="4860"/>
        </w:tabs>
        <w:spacing w:line="360" w:lineRule="auto"/>
        <w:ind w:right="1560" w:firstLine="444" w:firstLineChars="200"/>
        <w:jc w:val="center"/>
        <w:rPr>
          <w:rFonts w:asciiTheme="minorEastAsia" w:hAnsiTheme="minorEastAsia" w:eastAsiaTheme="minorEastAsia"/>
          <w:spacing w:val="6"/>
        </w:rPr>
      </w:pPr>
      <w:r>
        <w:rPr>
          <w:rFonts w:hint="eastAsia" w:asciiTheme="minorEastAsia" w:hAnsiTheme="minorEastAsia" w:eastAsiaTheme="minorEastAsia"/>
          <w:spacing w:val="6"/>
        </w:rPr>
        <w:t>日  期：</w:t>
      </w:r>
    </w:p>
    <w:p>
      <w:pPr>
        <w:pStyle w:val="20"/>
        <w:snapToGrid w:val="0"/>
        <w:spacing w:line="360" w:lineRule="auto"/>
        <w:ind w:firstLine="437" w:firstLineChars="196"/>
        <w:rPr>
          <w:rFonts w:ascii="宋体" w:hAnsi="宋体" w:cs="宋体"/>
          <w:b/>
          <w:spacing w:val="6"/>
          <w:sz w:val="21"/>
          <w:szCs w:val="21"/>
        </w:rPr>
      </w:pPr>
    </w:p>
    <w:p>
      <w:pPr>
        <w:pStyle w:val="20"/>
        <w:snapToGrid w:val="0"/>
        <w:spacing w:line="360" w:lineRule="auto"/>
        <w:ind w:firstLine="437" w:firstLineChars="196"/>
        <w:rPr>
          <w:rFonts w:ascii="宋体" w:hAnsi="宋体" w:cs="宋体"/>
          <w:b/>
          <w:spacing w:val="6"/>
          <w:sz w:val="21"/>
          <w:szCs w:val="21"/>
        </w:rPr>
      </w:pPr>
    </w:p>
    <w:p>
      <w:pPr>
        <w:pStyle w:val="20"/>
        <w:snapToGrid w:val="0"/>
        <w:spacing w:line="360" w:lineRule="auto"/>
        <w:ind w:firstLine="437" w:firstLineChars="196"/>
        <w:rPr>
          <w:rFonts w:ascii="宋体" w:hAnsi="宋体" w:cs="宋体"/>
          <w:b/>
          <w:spacing w:val="6"/>
          <w:sz w:val="21"/>
          <w:szCs w:val="21"/>
        </w:rPr>
      </w:pPr>
    </w:p>
    <w:p>
      <w:pPr>
        <w:spacing w:line="360" w:lineRule="auto"/>
        <w:rPr>
          <w:rFonts w:ascii="宋体" w:hAnsi="宋体"/>
          <w:b/>
        </w:rPr>
      </w:pPr>
    </w:p>
    <w:p>
      <w:pPr>
        <w:spacing w:line="360" w:lineRule="auto"/>
        <w:rPr>
          <w:rFonts w:ascii="宋体" w:hAnsi="宋体"/>
          <w:b/>
        </w:rPr>
      </w:pPr>
      <w:r>
        <w:rPr>
          <w:rFonts w:hint="eastAsia" w:ascii="宋体" w:hAnsi="宋体"/>
          <w:b/>
        </w:rPr>
        <w:t>说明：不属于残疾人福利性单位无需且不应当提供本声明函，否则自行承担相应的责任。</w:t>
      </w:r>
    </w:p>
    <w:p>
      <w:pPr>
        <w:spacing w:line="360" w:lineRule="auto"/>
        <w:ind w:firstLine="422" w:firstLineChars="200"/>
        <w:rPr>
          <w:rFonts w:ascii="宋体" w:hAnsi="宋体"/>
          <w:b/>
          <w:szCs w:val="21"/>
        </w:rPr>
      </w:pPr>
    </w:p>
    <w:sectPr>
      <w:headerReference r:id="rId8" w:type="default"/>
      <w:footerReference r:id="rId9" w:type="even"/>
      <w:pgSz w:w="11906" w:h="16838"/>
      <w:pgMar w:top="1276" w:right="1440" w:bottom="1276" w:left="161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華康辦公用具篇">
    <w:altName w:val="Segoe Print"/>
    <w:panose1 w:val="00000000000000000000"/>
    <w:charset w:val="00"/>
    <w:family w:val="roman"/>
    <w:pitch w:val="default"/>
    <w:sig w:usb0="00000000" w:usb1="00000000" w:usb2="00000000" w:usb3="00000000" w:csb0="00000001" w:csb1="00000000"/>
  </w:font>
  <w:font w:name="Courier">
    <w:panose1 w:val="02060409020205020404"/>
    <w:charset w:val="00"/>
    <w:family w:val="modern"/>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0000010" w:usb3="00000000" w:csb0="0002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7</w:t>
    </w:r>
    <w:r>
      <w:rPr>
        <w:rFonts w:ascii="宋体" w:hAnsi="宋体"/>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ceVkaCAIAABIEAAAOAAAAAAAAAAEAIAAAAB4BAABkcnMv&#10;ZTJvRG9jLnhtbFBLBQYAAAAABgAGAFkBAACY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8"/>
      </w:rPr>
    </w:pPr>
    <w:r>
      <w:fldChar w:fldCharType="begin"/>
    </w:r>
    <w:r>
      <w:rPr>
        <w:rStyle w:val="48"/>
      </w:rPr>
      <w:instrText xml:space="preserve">PAGE  </w:instrText>
    </w:r>
    <w:r>
      <w:fldChar w:fldCharType="end"/>
    </w:r>
  </w:p>
  <w:p>
    <w:pPr>
      <w:pStyle w:val="2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4"/>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jFkNDc0NTJiZTI2MTFkNWVjMWVkNzhlOTBjYjMifQ=="/>
  </w:docVars>
  <w:rsids>
    <w:rsidRoot w:val="003E2D88"/>
    <w:rsid w:val="00000FB1"/>
    <w:rsid w:val="00003B2E"/>
    <w:rsid w:val="00004BCB"/>
    <w:rsid w:val="00005489"/>
    <w:rsid w:val="000058AD"/>
    <w:rsid w:val="00005F49"/>
    <w:rsid w:val="00007484"/>
    <w:rsid w:val="0001041F"/>
    <w:rsid w:val="00010A88"/>
    <w:rsid w:val="0001181A"/>
    <w:rsid w:val="00012AAB"/>
    <w:rsid w:val="00012BD8"/>
    <w:rsid w:val="00013295"/>
    <w:rsid w:val="00013641"/>
    <w:rsid w:val="0001460A"/>
    <w:rsid w:val="00016639"/>
    <w:rsid w:val="00016D6A"/>
    <w:rsid w:val="00017683"/>
    <w:rsid w:val="0001783E"/>
    <w:rsid w:val="000210F3"/>
    <w:rsid w:val="00022B6E"/>
    <w:rsid w:val="0002338A"/>
    <w:rsid w:val="0002554D"/>
    <w:rsid w:val="0002586E"/>
    <w:rsid w:val="00025EC1"/>
    <w:rsid w:val="0002731E"/>
    <w:rsid w:val="000314AF"/>
    <w:rsid w:val="00034A7D"/>
    <w:rsid w:val="000361E5"/>
    <w:rsid w:val="00036FA2"/>
    <w:rsid w:val="00040AD2"/>
    <w:rsid w:val="00040D82"/>
    <w:rsid w:val="000414F8"/>
    <w:rsid w:val="00042DCA"/>
    <w:rsid w:val="00043D09"/>
    <w:rsid w:val="00044921"/>
    <w:rsid w:val="00044F0D"/>
    <w:rsid w:val="000453DF"/>
    <w:rsid w:val="0004704A"/>
    <w:rsid w:val="00047B97"/>
    <w:rsid w:val="0005081C"/>
    <w:rsid w:val="00051340"/>
    <w:rsid w:val="00051C25"/>
    <w:rsid w:val="00053642"/>
    <w:rsid w:val="00053A47"/>
    <w:rsid w:val="00053B0C"/>
    <w:rsid w:val="0005427E"/>
    <w:rsid w:val="00054668"/>
    <w:rsid w:val="00054A34"/>
    <w:rsid w:val="00055BE8"/>
    <w:rsid w:val="0005609E"/>
    <w:rsid w:val="00056188"/>
    <w:rsid w:val="000569B8"/>
    <w:rsid w:val="00057999"/>
    <w:rsid w:val="000602AB"/>
    <w:rsid w:val="000629A5"/>
    <w:rsid w:val="000646CB"/>
    <w:rsid w:val="000655A5"/>
    <w:rsid w:val="000656CA"/>
    <w:rsid w:val="00065D43"/>
    <w:rsid w:val="00066348"/>
    <w:rsid w:val="00066D44"/>
    <w:rsid w:val="000670FA"/>
    <w:rsid w:val="0007082C"/>
    <w:rsid w:val="00070B7E"/>
    <w:rsid w:val="00070D34"/>
    <w:rsid w:val="000711DD"/>
    <w:rsid w:val="00071B75"/>
    <w:rsid w:val="000721AA"/>
    <w:rsid w:val="0007412D"/>
    <w:rsid w:val="00074A24"/>
    <w:rsid w:val="000750F1"/>
    <w:rsid w:val="00076320"/>
    <w:rsid w:val="0007652A"/>
    <w:rsid w:val="000772D0"/>
    <w:rsid w:val="00077C51"/>
    <w:rsid w:val="0008036E"/>
    <w:rsid w:val="00080EE8"/>
    <w:rsid w:val="00081F9E"/>
    <w:rsid w:val="00082082"/>
    <w:rsid w:val="00082B8F"/>
    <w:rsid w:val="00082FC2"/>
    <w:rsid w:val="00085BE6"/>
    <w:rsid w:val="00090224"/>
    <w:rsid w:val="00090A04"/>
    <w:rsid w:val="000917BA"/>
    <w:rsid w:val="00091AF7"/>
    <w:rsid w:val="00091D00"/>
    <w:rsid w:val="000928C4"/>
    <w:rsid w:val="0009369B"/>
    <w:rsid w:val="00093C95"/>
    <w:rsid w:val="00093DD1"/>
    <w:rsid w:val="00094A2D"/>
    <w:rsid w:val="00096667"/>
    <w:rsid w:val="00097827"/>
    <w:rsid w:val="00097C49"/>
    <w:rsid w:val="000A0470"/>
    <w:rsid w:val="000A12BF"/>
    <w:rsid w:val="000A1BD6"/>
    <w:rsid w:val="000A2717"/>
    <w:rsid w:val="000A2945"/>
    <w:rsid w:val="000A2EC7"/>
    <w:rsid w:val="000A2FA0"/>
    <w:rsid w:val="000A3D8C"/>
    <w:rsid w:val="000A79AA"/>
    <w:rsid w:val="000B17C7"/>
    <w:rsid w:val="000B2161"/>
    <w:rsid w:val="000B2EFC"/>
    <w:rsid w:val="000B3666"/>
    <w:rsid w:val="000B3948"/>
    <w:rsid w:val="000B3FA8"/>
    <w:rsid w:val="000B405E"/>
    <w:rsid w:val="000B5760"/>
    <w:rsid w:val="000B5B1A"/>
    <w:rsid w:val="000B5BA9"/>
    <w:rsid w:val="000B621D"/>
    <w:rsid w:val="000B6E3B"/>
    <w:rsid w:val="000C0A82"/>
    <w:rsid w:val="000C3D43"/>
    <w:rsid w:val="000C5050"/>
    <w:rsid w:val="000C59EF"/>
    <w:rsid w:val="000C6491"/>
    <w:rsid w:val="000C658D"/>
    <w:rsid w:val="000C74C3"/>
    <w:rsid w:val="000D132B"/>
    <w:rsid w:val="000D2439"/>
    <w:rsid w:val="000D24E4"/>
    <w:rsid w:val="000D3745"/>
    <w:rsid w:val="000D39B4"/>
    <w:rsid w:val="000D4B5F"/>
    <w:rsid w:val="000D4BAB"/>
    <w:rsid w:val="000D6F04"/>
    <w:rsid w:val="000D7745"/>
    <w:rsid w:val="000D7BBF"/>
    <w:rsid w:val="000D7FFC"/>
    <w:rsid w:val="000E148F"/>
    <w:rsid w:val="000E176D"/>
    <w:rsid w:val="000E1863"/>
    <w:rsid w:val="000E30E9"/>
    <w:rsid w:val="000E3701"/>
    <w:rsid w:val="000E4B85"/>
    <w:rsid w:val="000E5B4F"/>
    <w:rsid w:val="000E5C77"/>
    <w:rsid w:val="000E5F40"/>
    <w:rsid w:val="000E61E4"/>
    <w:rsid w:val="000E77C4"/>
    <w:rsid w:val="000E7E17"/>
    <w:rsid w:val="000F196D"/>
    <w:rsid w:val="000F4607"/>
    <w:rsid w:val="000F52B9"/>
    <w:rsid w:val="000F765B"/>
    <w:rsid w:val="00103A7C"/>
    <w:rsid w:val="00104929"/>
    <w:rsid w:val="0010500C"/>
    <w:rsid w:val="00105764"/>
    <w:rsid w:val="00105B77"/>
    <w:rsid w:val="001066B9"/>
    <w:rsid w:val="001067DC"/>
    <w:rsid w:val="00107B7A"/>
    <w:rsid w:val="00107D5A"/>
    <w:rsid w:val="00110F1E"/>
    <w:rsid w:val="00111BBA"/>
    <w:rsid w:val="00112256"/>
    <w:rsid w:val="0011530A"/>
    <w:rsid w:val="00115456"/>
    <w:rsid w:val="00116493"/>
    <w:rsid w:val="00117330"/>
    <w:rsid w:val="00117D03"/>
    <w:rsid w:val="00124D50"/>
    <w:rsid w:val="00125FD5"/>
    <w:rsid w:val="00130BC0"/>
    <w:rsid w:val="00131096"/>
    <w:rsid w:val="001311D7"/>
    <w:rsid w:val="0013137F"/>
    <w:rsid w:val="00133046"/>
    <w:rsid w:val="00133400"/>
    <w:rsid w:val="00134DF0"/>
    <w:rsid w:val="0013587D"/>
    <w:rsid w:val="00135B6F"/>
    <w:rsid w:val="00135EB5"/>
    <w:rsid w:val="0013630C"/>
    <w:rsid w:val="0013692D"/>
    <w:rsid w:val="00136D06"/>
    <w:rsid w:val="00137EDD"/>
    <w:rsid w:val="00140197"/>
    <w:rsid w:val="00140458"/>
    <w:rsid w:val="001404E9"/>
    <w:rsid w:val="00140814"/>
    <w:rsid w:val="00141CEF"/>
    <w:rsid w:val="0014297F"/>
    <w:rsid w:val="00143818"/>
    <w:rsid w:val="00143FCF"/>
    <w:rsid w:val="00146925"/>
    <w:rsid w:val="001469A5"/>
    <w:rsid w:val="001476FE"/>
    <w:rsid w:val="00147B0A"/>
    <w:rsid w:val="00150D65"/>
    <w:rsid w:val="00151CCB"/>
    <w:rsid w:val="001528B0"/>
    <w:rsid w:val="001534DD"/>
    <w:rsid w:val="00153B15"/>
    <w:rsid w:val="00153BE7"/>
    <w:rsid w:val="00153FD2"/>
    <w:rsid w:val="00154D3B"/>
    <w:rsid w:val="00156D02"/>
    <w:rsid w:val="00157973"/>
    <w:rsid w:val="00161721"/>
    <w:rsid w:val="0016179A"/>
    <w:rsid w:val="00161D2D"/>
    <w:rsid w:val="00162871"/>
    <w:rsid w:val="00164318"/>
    <w:rsid w:val="001652AB"/>
    <w:rsid w:val="00165980"/>
    <w:rsid w:val="0016603F"/>
    <w:rsid w:val="0016640A"/>
    <w:rsid w:val="00166849"/>
    <w:rsid w:val="001703EC"/>
    <w:rsid w:val="00170558"/>
    <w:rsid w:val="0017055E"/>
    <w:rsid w:val="00170FF9"/>
    <w:rsid w:val="00173244"/>
    <w:rsid w:val="00174B4A"/>
    <w:rsid w:val="00180189"/>
    <w:rsid w:val="00180AE4"/>
    <w:rsid w:val="00181F56"/>
    <w:rsid w:val="00184771"/>
    <w:rsid w:val="00184CD7"/>
    <w:rsid w:val="001862DF"/>
    <w:rsid w:val="00186E43"/>
    <w:rsid w:val="0018755D"/>
    <w:rsid w:val="00187F7E"/>
    <w:rsid w:val="00191CF6"/>
    <w:rsid w:val="00191E38"/>
    <w:rsid w:val="00192313"/>
    <w:rsid w:val="0019413A"/>
    <w:rsid w:val="00194142"/>
    <w:rsid w:val="00196D9B"/>
    <w:rsid w:val="0019759D"/>
    <w:rsid w:val="001A0732"/>
    <w:rsid w:val="001A14BB"/>
    <w:rsid w:val="001A15E6"/>
    <w:rsid w:val="001A1F33"/>
    <w:rsid w:val="001A2CFA"/>
    <w:rsid w:val="001A2F99"/>
    <w:rsid w:val="001A2FCE"/>
    <w:rsid w:val="001A3512"/>
    <w:rsid w:val="001A3874"/>
    <w:rsid w:val="001A3E4C"/>
    <w:rsid w:val="001A4B0E"/>
    <w:rsid w:val="001A59A9"/>
    <w:rsid w:val="001A5A5D"/>
    <w:rsid w:val="001A7873"/>
    <w:rsid w:val="001A7D73"/>
    <w:rsid w:val="001B22A7"/>
    <w:rsid w:val="001B25BA"/>
    <w:rsid w:val="001B2973"/>
    <w:rsid w:val="001B2CCD"/>
    <w:rsid w:val="001B3104"/>
    <w:rsid w:val="001B3F6D"/>
    <w:rsid w:val="001B4D51"/>
    <w:rsid w:val="001B5292"/>
    <w:rsid w:val="001B6C3E"/>
    <w:rsid w:val="001C520B"/>
    <w:rsid w:val="001C5B24"/>
    <w:rsid w:val="001C63A1"/>
    <w:rsid w:val="001C6AB1"/>
    <w:rsid w:val="001C6AEE"/>
    <w:rsid w:val="001D12DB"/>
    <w:rsid w:val="001D24EA"/>
    <w:rsid w:val="001D3024"/>
    <w:rsid w:val="001D35BD"/>
    <w:rsid w:val="001D3B2C"/>
    <w:rsid w:val="001D4239"/>
    <w:rsid w:val="001D46E7"/>
    <w:rsid w:val="001D4944"/>
    <w:rsid w:val="001D4B1A"/>
    <w:rsid w:val="001D5309"/>
    <w:rsid w:val="001D6A6C"/>
    <w:rsid w:val="001D7AAC"/>
    <w:rsid w:val="001D7CF0"/>
    <w:rsid w:val="001E0FDC"/>
    <w:rsid w:val="001E16C8"/>
    <w:rsid w:val="001E2FDA"/>
    <w:rsid w:val="001E3740"/>
    <w:rsid w:val="001E3FE2"/>
    <w:rsid w:val="001E6C06"/>
    <w:rsid w:val="001E7E64"/>
    <w:rsid w:val="001F0501"/>
    <w:rsid w:val="001F0E3A"/>
    <w:rsid w:val="001F1CFE"/>
    <w:rsid w:val="001F2802"/>
    <w:rsid w:val="001F38AB"/>
    <w:rsid w:val="001F4F64"/>
    <w:rsid w:val="001F67A3"/>
    <w:rsid w:val="001F693A"/>
    <w:rsid w:val="002005BD"/>
    <w:rsid w:val="0020105E"/>
    <w:rsid w:val="002019A0"/>
    <w:rsid w:val="002019B4"/>
    <w:rsid w:val="00201E34"/>
    <w:rsid w:val="00201E7D"/>
    <w:rsid w:val="00202DE9"/>
    <w:rsid w:val="00202E1D"/>
    <w:rsid w:val="00205CFA"/>
    <w:rsid w:val="00207959"/>
    <w:rsid w:val="00207A20"/>
    <w:rsid w:val="00212063"/>
    <w:rsid w:val="00212D12"/>
    <w:rsid w:val="00213ADF"/>
    <w:rsid w:val="00213F66"/>
    <w:rsid w:val="00216B4E"/>
    <w:rsid w:val="00216FD6"/>
    <w:rsid w:val="002170E1"/>
    <w:rsid w:val="0021793A"/>
    <w:rsid w:val="00220EE2"/>
    <w:rsid w:val="00221651"/>
    <w:rsid w:val="00224529"/>
    <w:rsid w:val="0022470C"/>
    <w:rsid w:val="002264D3"/>
    <w:rsid w:val="00226CD8"/>
    <w:rsid w:val="00227154"/>
    <w:rsid w:val="00227555"/>
    <w:rsid w:val="00232EB5"/>
    <w:rsid w:val="00233365"/>
    <w:rsid w:val="0023340E"/>
    <w:rsid w:val="0023497F"/>
    <w:rsid w:val="00234A80"/>
    <w:rsid w:val="002356CE"/>
    <w:rsid w:val="00235D2B"/>
    <w:rsid w:val="002375AD"/>
    <w:rsid w:val="002410C2"/>
    <w:rsid w:val="0024158A"/>
    <w:rsid w:val="002420DA"/>
    <w:rsid w:val="0024401C"/>
    <w:rsid w:val="002446D5"/>
    <w:rsid w:val="00244C44"/>
    <w:rsid w:val="00246E5E"/>
    <w:rsid w:val="00247071"/>
    <w:rsid w:val="002470E1"/>
    <w:rsid w:val="00247772"/>
    <w:rsid w:val="002501A0"/>
    <w:rsid w:val="00254BC6"/>
    <w:rsid w:val="00254D9C"/>
    <w:rsid w:val="00255DB2"/>
    <w:rsid w:val="00255DE4"/>
    <w:rsid w:val="002565F3"/>
    <w:rsid w:val="00256F84"/>
    <w:rsid w:val="002570FF"/>
    <w:rsid w:val="00260A57"/>
    <w:rsid w:val="00260B20"/>
    <w:rsid w:val="00262BF3"/>
    <w:rsid w:val="002632B8"/>
    <w:rsid w:val="0026350D"/>
    <w:rsid w:val="00263B0D"/>
    <w:rsid w:val="0026504D"/>
    <w:rsid w:val="00266B8D"/>
    <w:rsid w:val="00267F56"/>
    <w:rsid w:val="00271B06"/>
    <w:rsid w:val="00273EF7"/>
    <w:rsid w:val="00273F1F"/>
    <w:rsid w:val="00274A78"/>
    <w:rsid w:val="0027512C"/>
    <w:rsid w:val="00275E97"/>
    <w:rsid w:val="0027766B"/>
    <w:rsid w:val="00282346"/>
    <w:rsid w:val="002836C0"/>
    <w:rsid w:val="00285478"/>
    <w:rsid w:val="002860A0"/>
    <w:rsid w:val="002864EF"/>
    <w:rsid w:val="002874C3"/>
    <w:rsid w:val="002877AC"/>
    <w:rsid w:val="00290339"/>
    <w:rsid w:val="002903A5"/>
    <w:rsid w:val="00290701"/>
    <w:rsid w:val="002924F4"/>
    <w:rsid w:val="00292B6D"/>
    <w:rsid w:val="0029380C"/>
    <w:rsid w:val="00293E89"/>
    <w:rsid w:val="00294289"/>
    <w:rsid w:val="00294439"/>
    <w:rsid w:val="0029526A"/>
    <w:rsid w:val="00297E71"/>
    <w:rsid w:val="002A0C88"/>
    <w:rsid w:val="002A0ED0"/>
    <w:rsid w:val="002A19B4"/>
    <w:rsid w:val="002A20D2"/>
    <w:rsid w:val="002A33A0"/>
    <w:rsid w:val="002A33C2"/>
    <w:rsid w:val="002A37C1"/>
    <w:rsid w:val="002A4A1C"/>
    <w:rsid w:val="002A521C"/>
    <w:rsid w:val="002B0E6C"/>
    <w:rsid w:val="002B20C5"/>
    <w:rsid w:val="002B5A68"/>
    <w:rsid w:val="002B68DE"/>
    <w:rsid w:val="002B7060"/>
    <w:rsid w:val="002B7933"/>
    <w:rsid w:val="002B7BA3"/>
    <w:rsid w:val="002B7C06"/>
    <w:rsid w:val="002C217D"/>
    <w:rsid w:val="002C2286"/>
    <w:rsid w:val="002C4373"/>
    <w:rsid w:val="002C4406"/>
    <w:rsid w:val="002C6B00"/>
    <w:rsid w:val="002C6DCB"/>
    <w:rsid w:val="002D0343"/>
    <w:rsid w:val="002D1AC2"/>
    <w:rsid w:val="002D222F"/>
    <w:rsid w:val="002D2E76"/>
    <w:rsid w:val="002D4E64"/>
    <w:rsid w:val="002D5326"/>
    <w:rsid w:val="002D5C6E"/>
    <w:rsid w:val="002D6335"/>
    <w:rsid w:val="002D6B16"/>
    <w:rsid w:val="002D6E20"/>
    <w:rsid w:val="002D76BD"/>
    <w:rsid w:val="002E11F2"/>
    <w:rsid w:val="002E2727"/>
    <w:rsid w:val="002E466C"/>
    <w:rsid w:val="002E6353"/>
    <w:rsid w:val="002E7704"/>
    <w:rsid w:val="002E7820"/>
    <w:rsid w:val="002F09FA"/>
    <w:rsid w:val="002F0BA3"/>
    <w:rsid w:val="002F20E5"/>
    <w:rsid w:val="002F3598"/>
    <w:rsid w:val="002F4142"/>
    <w:rsid w:val="002F4860"/>
    <w:rsid w:val="002F556D"/>
    <w:rsid w:val="002F6DF7"/>
    <w:rsid w:val="0030256A"/>
    <w:rsid w:val="00307484"/>
    <w:rsid w:val="00310F45"/>
    <w:rsid w:val="00312BA1"/>
    <w:rsid w:val="00313678"/>
    <w:rsid w:val="00313943"/>
    <w:rsid w:val="00315019"/>
    <w:rsid w:val="003157BE"/>
    <w:rsid w:val="0031678D"/>
    <w:rsid w:val="00317760"/>
    <w:rsid w:val="00317E72"/>
    <w:rsid w:val="00320549"/>
    <w:rsid w:val="0032068B"/>
    <w:rsid w:val="00323CB0"/>
    <w:rsid w:val="003253AF"/>
    <w:rsid w:val="003255FC"/>
    <w:rsid w:val="003258FB"/>
    <w:rsid w:val="0032594F"/>
    <w:rsid w:val="00330939"/>
    <w:rsid w:val="00330965"/>
    <w:rsid w:val="0033165B"/>
    <w:rsid w:val="00331A7B"/>
    <w:rsid w:val="00331FE0"/>
    <w:rsid w:val="00332FA6"/>
    <w:rsid w:val="00333940"/>
    <w:rsid w:val="0033428F"/>
    <w:rsid w:val="003358AA"/>
    <w:rsid w:val="00340FB1"/>
    <w:rsid w:val="003433AE"/>
    <w:rsid w:val="003437D2"/>
    <w:rsid w:val="00343959"/>
    <w:rsid w:val="00344ED0"/>
    <w:rsid w:val="00347371"/>
    <w:rsid w:val="00347B8F"/>
    <w:rsid w:val="00347BFD"/>
    <w:rsid w:val="0035053A"/>
    <w:rsid w:val="00350E19"/>
    <w:rsid w:val="00351433"/>
    <w:rsid w:val="00352721"/>
    <w:rsid w:val="00353516"/>
    <w:rsid w:val="00354A37"/>
    <w:rsid w:val="00354B3C"/>
    <w:rsid w:val="00356CB7"/>
    <w:rsid w:val="00357403"/>
    <w:rsid w:val="00360669"/>
    <w:rsid w:val="003610DA"/>
    <w:rsid w:val="0036185C"/>
    <w:rsid w:val="00361E52"/>
    <w:rsid w:val="00362DAF"/>
    <w:rsid w:val="00362ECC"/>
    <w:rsid w:val="00363102"/>
    <w:rsid w:val="00363253"/>
    <w:rsid w:val="00363BB0"/>
    <w:rsid w:val="00365795"/>
    <w:rsid w:val="00365E0E"/>
    <w:rsid w:val="003674AC"/>
    <w:rsid w:val="00367A67"/>
    <w:rsid w:val="0037012F"/>
    <w:rsid w:val="00373CB3"/>
    <w:rsid w:val="00374BC9"/>
    <w:rsid w:val="00376AA5"/>
    <w:rsid w:val="0037719F"/>
    <w:rsid w:val="003778C5"/>
    <w:rsid w:val="00377AC0"/>
    <w:rsid w:val="00381B66"/>
    <w:rsid w:val="00381DC6"/>
    <w:rsid w:val="00382288"/>
    <w:rsid w:val="00382B53"/>
    <w:rsid w:val="00382B8A"/>
    <w:rsid w:val="00383E21"/>
    <w:rsid w:val="00383F04"/>
    <w:rsid w:val="00383FF6"/>
    <w:rsid w:val="00384103"/>
    <w:rsid w:val="00384FDB"/>
    <w:rsid w:val="00386453"/>
    <w:rsid w:val="0038660A"/>
    <w:rsid w:val="00386F65"/>
    <w:rsid w:val="0038796C"/>
    <w:rsid w:val="00390BA5"/>
    <w:rsid w:val="003930C5"/>
    <w:rsid w:val="00393DB8"/>
    <w:rsid w:val="003971BA"/>
    <w:rsid w:val="003A1F55"/>
    <w:rsid w:val="003A20F9"/>
    <w:rsid w:val="003A2972"/>
    <w:rsid w:val="003A348B"/>
    <w:rsid w:val="003A39B6"/>
    <w:rsid w:val="003A4FC3"/>
    <w:rsid w:val="003A5FA3"/>
    <w:rsid w:val="003A69D2"/>
    <w:rsid w:val="003B1A3E"/>
    <w:rsid w:val="003B1F20"/>
    <w:rsid w:val="003B1FFB"/>
    <w:rsid w:val="003B2003"/>
    <w:rsid w:val="003B2202"/>
    <w:rsid w:val="003B32C8"/>
    <w:rsid w:val="003B3C44"/>
    <w:rsid w:val="003B3D69"/>
    <w:rsid w:val="003B42DA"/>
    <w:rsid w:val="003B44C0"/>
    <w:rsid w:val="003B4DD5"/>
    <w:rsid w:val="003B60B1"/>
    <w:rsid w:val="003B6657"/>
    <w:rsid w:val="003B6A76"/>
    <w:rsid w:val="003C0BE4"/>
    <w:rsid w:val="003C0E55"/>
    <w:rsid w:val="003C142F"/>
    <w:rsid w:val="003C2384"/>
    <w:rsid w:val="003C2561"/>
    <w:rsid w:val="003C6276"/>
    <w:rsid w:val="003C6757"/>
    <w:rsid w:val="003D2B0F"/>
    <w:rsid w:val="003D3060"/>
    <w:rsid w:val="003D4E49"/>
    <w:rsid w:val="003D641C"/>
    <w:rsid w:val="003D677D"/>
    <w:rsid w:val="003D6BD7"/>
    <w:rsid w:val="003D6ECD"/>
    <w:rsid w:val="003E0751"/>
    <w:rsid w:val="003E2D88"/>
    <w:rsid w:val="003E5BE4"/>
    <w:rsid w:val="003E5CF9"/>
    <w:rsid w:val="003E610A"/>
    <w:rsid w:val="003E6B06"/>
    <w:rsid w:val="003E70B8"/>
    <w:rsid w:val="003E7966"/>
    <w:rsid w:val="003F090C"/>
    <w:rsid w:val="003F1E1D"/>
    <w:rsid w:val="003F2AB1"/>
    <w:rsid w:val="003F3A34"/>
    <w:rsid w:val="003F4523"/>
    <w:rsid w:val="003F4996"/>
    <w:rsid w:val="003F56A5"/>
    <w:rsid w:val="003F5D06"/>
    <w:rsid w:val="003F704F"/>
    <w:rsid w:val="003F74BD"/>
    <w:rsid w:val="003F74F9"/>
    <w:rsid w:val="003F7772"/>
    <w:rsid w:val="003F78B9"/>
    <w:rsid w:val="003F7EB1"/>
    <w:rsid w:val="00401F27"/>
    <w:rsid w:val="0040229E"/>
    <w:rsid w:val="00402769"/>
    <w:rsid w:val="0040475A"/>
    <w:rsid w:val="00406EDB"/>
    <w:rsid w:val="004104CC"/>
    <w:rsid w:val="00411D87"/>
    <w:rsid w:val="00414960"/>
    <w:rsid w:val="00414E83"/>
    <w:rsid w:val="004159D7"/>
    <w:rsid w:val="00415A5F"/>
    <w:rsid w:val="00415D56"/>
    <w:rsid w:val="004168CD"/>
    <w:rsid w:val="00416EBB"/>
    <w:rsid w:val="004202C8"/>
    <w:rsid w:val="004213F1"/>
    <w:rsid w:val="004239A3"/>
    <w:rsid w:val="0043047C"/>
    <w:rsid w:val="00430D2A"/>
    <w:rsid w:val="004312C0"/>
    <w:rsid w:val="0043132E"/>
    <w:rsid w:val="004314B5"/>
    <w:rsid w:val="00431742"/>
    <w:rsid w:val="0043223A"/>
    <w:rsid w:val="004343C3"/>
    <w:rsid w:val="00435E6E"/>
    <w:rsid w:val="004365A5"/>
    <w:rsid w:val="00437475"/>
    <w:rsid w:val="00437A8D"/>
    <w:rsid w:val="00437DB2"/>
    <w:rsid w:val="004400C4"/>
    <w:rsid w:val="004412CB"/>
    <w:rsid w:val="00441824"/>
    <w:rsid w:val="00441A5F"/>
    <w:rsid w:val="00441AD2"/>
    <w:rsid w:val="00441B71"/>
    <w:rsid w:val="00441F23"/>
    <w:rsid w:val="004445C9"/>
    <w:rsid w:val="00444DA6"/>
    <w:rsid w:val="004454D3"/>
    <w:rsid w:val="0044568E"/>
    <w:rsid w:val="004470B0"/>
    <w:rsid w:val="0044714E"/>
    <w:rsid w:val="0044763D"/>
    <w:rsid w:val="00450365"/>
    <w:rsid w:val="004509A8"/>
    <w:rsid w:val="00450D48"/>
    <w:rsid w:val="0045180D"/>
    <w:rsid w:val="00451EE5"/>
    <w:rsid w:val="004529F5"/>
    <w:rsid w:val="00452AB7"/>
    <w:rsid w:val="004540BB"/>
    <w:rsid w:val="0045446D"/>
    <w:rsid w:val="0045459A"/>
    <w:rsid w:val="00461B95"/>
    <w:rsid w:val="004632E0"/>
    <w:rsid w:val="00464A44"/>
    <w:rsid w:val="00465510"/>
    <w:rsid w:val="00467702"/>
    <w:rsid w:val="0047178D"/>
    <w:rsid w:val="0047302F"/>
    <w:rsid w:val="00473E7D"/>
    <w:rsid w:val="00474E5F"/>
    <w:rsid w:val="004766FE"/>
    <w:rsid w:val="004774B9"/>
    <w:rsid w:val="00482DA6"/>
    <w:rsid w:val="00482FD9"/>
    <w:rsid w:val="00483B54"/>
    <w:rsid w:val="00483F6D"/>
    <w:rsid w:val="00484C2B"/>
    <w:rsid w:val="0048504C"/>
    <w:rsid w:val="004853D6"/>
    <w:rsid w:val="00485766"/>
    <w:rsid w:val="00486D95"/>
    <w:rsid w:val="00486E22"/>
    <w:rsid w:val="00487D4C"/>
    <w:rsid w:val="00487E32"/>
    <w:rsid w:val="00491018"/>
    <w:rsid w:val="00492998"/>
    <w:rsid w:val="00494DA4"/>
    <w:rsid w:val="0049591A"/>
    <w:rsid w:val="00496BB9"/>
    <w:rsid w:val="00496C8B"/>
    <w:rsid w:val="00496F08"/>
    <w:rsid w:val="004A0D0F"/>
    <w:rsid w:val="004A162D"/>
    <w:rsid w:val="004A2144"/>
    <w:rsid w:val="004A2B68"/>
    <w:rsid w:val="004A54D4"/>
    <w:rsid w:val="004A630E"/>
    <w:rsid w:val="004B02D9"/>
    <w:rsid w:val="004B0A9B"/>
    <w:rsid w:val="004B12F4"/>
    <w:rsid w:val="004B3FA3"/>
    <w:rsid w:val="004B5FDC"/>
    <w:rsid w:val="004B6D9A"/>
    <w:rsid w:val="004B7F68"/>
    <w:rsid w:val="004C13FC"/>
    <w:rsid w:val="004C250C"/>
    <w:rsid w:val="004C40FE"/>
    <w:rsid w:val="004C497F"/>
    <w:rsid w:val="004C4E7C"/>
    <w:rsid w:val="004C6785"/>
    <w:rsid w:val="004D1842"/>
    <w:rsid w:val="004D3513"/>
    <w:rsid w:val="004D3F3B"/>
    <w:rsid w:val="004D6025"/>
    <w:rsid w:val="004D6D1F"/>
    <w:rsid w:val="004D7E80"/>
    <w:rsid w:val="004E08A7"/>
    <w:rsid w:val="004E218B"/>
    <w:rsid w:val="004E2B01"/>
    <w:rsid w:val="004E3699"/>
    <w:rsid w:val="004E43D7"/>
    <w:rsid w:val="004E4B4E"/>
    <w:rsid w:val="004E5DA5"/>
    <w:rsid w:val="004E6F29"/>
    <w:rsid w:val="004E72E9"/>
    <w:rsid w:val="004F1C50"/>
    <w:rsid w:val="004F26ED"/>
    <w:rsid w:val="004F352B"/>
    <w:rsid w:val="004F371F"/>
    <w:rsid w:val="004F48B6"/>
    <w:rsid w:val="004F59B6"/>
    <w:rsid w:val="004F67EF"/>
    <w:rsid w:val="005011D7"/>
    <w:rsid w:val="00501216"/>
    <w:rsid w:val="00501517"/>
    <w:rsid w:val="005019E1"/>
    <w:rsid w:val="00501C2A"/>
    <w:rsid w:val="00502256"/>
    <w:rsid w:val="005033D1"/>
    <w:rsid w:val="00503707"/>
    <w:rsid w:val="00503964"/>
    <w:rsid w:val="005039EB"/>
    <w:rsid w:val="00504C8A"/>
    <w:rsid w:val="00505BD5"/>
    <w:rsid w:val="00506372"/>
    <w:rsid w:val="00506B1E"/>
    <w:rsid w:val="00506D1E"/>
    <w:rsid w:val="00510A7B"/>
    <w:rsid w:val="00510ECC"/>
    <w:rsid w:val="00511275"/>
    <w:rsid w:val="00512027"/>
    <w:rsid w:val="00514B87"/>
    <w:rsid w:val="00515C14"/>
    <w:rsid w:val="005162B6"/>
    <w:rsid w:val="00516715"/>
    <w:rsid w:val="00517018"/>
    <w:rsid w:val="00517199"/>
    <w:rsid w:val="005207CF"/>
    <w:rsid w:val="00520FDA"/>
    <w:rsid w:val="00521246"/>
    <w:rsid w:val="00522041"/>
    <w:rsid w:val="0052240F"/>
    <w:rsid w:val="005227D8"/>
    <w:rsid w:val="00523398"/>
    <w:rsid w:val="00527907"/>
    <w:rsid w:val="00531090"/>
    <w:rsid w:val="00531B71"/>
    <w:rsid w:val="005324AB"/>
    <w:rsid w:val="005325C7"/>
    <w:rsid w:val="0053437D"/>
    <w:rsid w:val="00534592"/>
    <w:rsid w:val="005345A8"/>
    <w:rsid w:val="0053502F"/>
    <w:rsid w:val="00535707"/>
    <w:rsid w:val="005362C9"/>
    <w:rsid w:val="005363CE"/>
    <w:rsid w:val="00536620"/>
    <w:rsid w:val="00536C65"/>
    <w:rsid w:val="0053732B"/>
    <w:rsid w:val="0054111C"/>
    <w:rsid w:val="00542EE4"/>
    <w:rsid w:val="0054330D"/>
    <w:rsid w:val="00543572"/>
    <w:rsid w:val="005445AA"/>
    <w:rsid w:val="00545763"/>
    <w:rsid w:val="00545E1C"/>
    <w:rsid w:val="00545FF2"/>
    <w:rsid w:val="005465E4"/>
    <w:rsid w:val="005474BB"/>
    <w:rsid w:val="005506C9"/>
    <w:rsid w:val="0055222F"/>
    <w:rsid w:val="005525D1"/>
    <w:rsid w:val="00552EAC"/>
    <w:rsid w:val="00553794"/>
    <w:rsid w:val="00554034"/>
    <w:rsid w:val="00554310"/>
    <w:rsid w:val="005554A0"/>
    <w:rsid w:val="0055559B"/>
    <w:rsid w:val="00556AAC"/>
    <w:rsid w:val="00560116"/>
    <w:rsid w:val="005601E5"/>
    <w:rsid w:val="005602CD"/>
    <w:rsid w:val="00560FBE"/>
    <w:rsid w:val="00561997"/>
    <w:rsid w:val="00562539"/>
    <w:rsid w:val="0056327E"/>
    <w:rsid w:val="00563776"/>
    <w:rsid w:val="00563785"/>
    <w:rsid w:val="00564A7F"/>
    <w:rsid w:val="0056673C"/>
    <w:rsid w:val="005673B1"/>
    <w:rsid w:val="00567832"/>
    <w:rsid w:val="0057005D"/>
    <w:rsid w:val="005714AE"/>
    <w:rsid w:val="00571707"/>
    <w:rsid w:val="005721E0"/>
    <w:rsid w:val="00572F79"/>
    <w:rsid w:val="00574125"/>
    <w:rsid w:val="00576557"/>
    <w:rsid w:val="00580A7B"/>
    <w:rsid w:val="00580B9C"/>
    <w:rsid w:val="005825C9"/>
    <w:rsid w:val="00582A7A"/>
    <w:rsid w:val="00582BC3"/>
    <w:rsid w:val="005846E4"/>
    <w:rsid w:val="005856DC"/>
    <w:rsid w:val="005908FE"/>
    <w:rsid w:val="00591B75"/>
    <w:rsid w:val="005924DD"/>
    <w:rsid w:val="005948BF"/>
    <w:rsid w:val="005949A6"/>
    <w:rsid w:val="00594F24"/>
    <w:rsid w:val="00596156"/>
    <w:rsid w:val="0059638F"/>
    <w:rsid w:val="005965FA"/>
    <w:rsid w:val="00597CE9"/>
    <w:rsid w:val="005A05A0"/>
    <w:rsid w:val="005A13F2"/>
    <w:rsid w:val="005A163B"/>
    <w:rsid w:val="005A1FA0"/>
    <w:rsid w:val="005A4A02"/>
    <w:rsid w:val="005A5A46"/>
    <w:rsid w:val="005A7BDC"/>
    <w:rsid w:val="005A7CDA"/>
    <w:rsid w:val="005A7D9B"/>
    <w:rsid w:val="005B051F"/>
    <w:rsid w:val="005B0D7C"/>
    <w:rsid w:val="005B1084"/>
    <w:rsid w:val="005B1B76"/>
    <w:rsid w:val="005B1E49"/>
    <w:rsid w:val="005B3368"/>
    <w:rsid w:val="005B3CBB"/>
    <w:rsid w:val="005B3EAF"/>
    <w:rsid w:val="005B591D"/>
    <w:rsid w:val="005B671E"/>
    <w:rsid w:val="005B6F71"/>
    <w:rsid w:val="005B7F7D"/>
    <w:rsid w:val="005C0270"/>
    <w:rsid w:val="005C04E2"/>
    <w:rsid w:val="005C3A23"/>
    <w:rsid w:val="005C568E"/>
    <w:rsid w:val="005C5B45"/>
    <w:rsid w:val="005C5D10"/>
    <w:rsid w:val="005C60D2"/>
    <w:rsid w:val="005C633C"/>
    <w:rsid w:val="005C64F2"/>
    <w:rsid w:val="005C667E"/>
    <w:rsid w:val="005D002C"/>
    <w:rsid w:val="005D1B1F"/>
    <w:rsid w:val="005D276A"/>
    <w:rsid w:val="005D2CC0"/>
    <w:rsid w:val="005D471B"/>
    <w:rsid w:val="005D4C66"/>
    <w:rsid w:val="005D4D7B"/>
    <w:rsid w:val="005D5535"/>
    <w:rsid w:val="005D6F77"/>
    <w:rsid w:val="005D7D04"/>
    <w:rsid w:val="005D7E20"/>
    <w:rsid w:val="005E01E6"/>
    <w:rsid w:val="005E13FF"/>
    <w:rsid w:val="005E214D"/>
    <w:rsid w:val="005E2A8F"/>
    <w:rsid w:val="005E4816"/>
    <w:rsid w:val="005E504B"/>
    <w:rsid w:val="005E51D8"/>
    <w:rsid w:val="005E6528"/>
    <w:rsid w:val="005E720F"/>
    <w:rsid w:val="005E7C74"/>
    <w:rsid w:val="005F32AA"/>
    <w:rsid w:val="005F3442"/>
    <w:rsid w:val="005F4A7E"/>
    <w:rsid w:val="005F4A9B"/>
    <w:rsid w:val="005F531B"/>
    <w:rsid w:val="005F5ACD"/>
    <w:rsid w:val="005F5F3A"/>
    <w:rsid w:val="005F6E4E"/>
    <w:rsid w:val="006001EA"/>
    <w:rsid w:val="00601CF8"/>
    <w:rsid w:val="00603EDA"/>
    <w:rsid w:val="00604766"/>
    <w:rsid w:val="00605635"/>
    <w:rsid w:val="00605EAE"/>
    <w:rsid w:val="00606493"/>
    <w:rsid w:val="00610120"/>
    <w:rsid w:val="006106CD"/>
    <w:rsid w:val="00610A4F"/>
    <w:rsid w:val="00611FE3"/>
    <w:rsid w:val="006125DA"/>
    <w:rsid w:val="006133E0"/>
    <w:rsid w:val="00614126"/>
    <w:rsid w:val="00614617"/>
    <w:rsid w:val="006158AE"/>
    <w:rsid w:val="00615F18"/>
    <w:rsid w:val="00616309"/>
    <w:rsid w:val="0061720E"/>
    <w:rsid w:val="006230A6"/>
    <w:rsid w:val="00626344"/>
    <w:rsid w:val="006278B1"/>
    <w:rsid w:val="00627FA6"/>
    <w:rsid w:val="00630C2A"/>
    <w:rsid w:val="0063138D"/>
    <w:rsid w:val="00632422"/>
    <w:rsid w:val="00632B7C"/>
    <w:rsid w:val="0063427A"/>
    <w:rsid w:val="006344AB"/>
    <w:rsid w:val="00636C1E"/>
    <w:rsid w:val="00637086"/>
    <w:rsid w:val="006412C6"/>
    <w:rsid w:val="006417B9"/>
    <w:rsid w:val="006427C0"/>
    <w:rsid w:val="006445FB"/>
    <w:rsid w:val="0064707F"/>
    <w:rsid w:val="00652036"/>
    <w:rsid w:val="00652336"/>
    <w:rsid w:val="00652956"/>
    <w:rsid w:val="00652A46"/>
    <w:rsid w:val="0065325A"/>
    <w:rsid w:val="0065462C"/>
    <w:rsid w:val="00654BDA"/>
    <w:rsid w:val="00654FD3"/>
    <w:rsid w:val="00655462"/>
    <w:rsid w:val="00655694"/>
    <w:rsid w:val="00657120"/>
    <w:rsid w:val="00657A7B"/>
    <w:rsid w:val="00657E32"/>
    <w:rsid w:val="00657E49"/>
    <w:rsid w:val="00665A32"/>
    <w:rsid w:val="00665C39"/>
    <w:rsid w:val="00666A30"/>
    <w:rsid w:val="00666B8C"/>
    <w:rsid w:val="00666FD1"/>
    <w:rsid w:val="00667B92"/>
    <w:rsid w:val="006700E6"/>
    <w:rsid w:val="00670EF5"/>
    <w:rsid w:val="006713DC"/>
    <w:rsid w:val="0067146E"/>
    <w:rsid w:val="0067231C"/>
    <w:rsid w:val="00672735"/>
    <w:rsid w:val="006728FF"/>
    <w:rsid w:val="00672907"/>
    <w:rsid w:val="006757D4"/>
    <w:rsid w:val="00676F6A"/>
    <w:rsid w:val="00677938"/>
    <w:rsid w:val="006827B0"/>
    <w:rsid w:val="00683239"/>
    <w:rsid w:val="00685CC8"/>
    <w:rsid w:val="00690C3A"/>
    <w:rsid w:val="006913AF"/>
    <w:rsid w:val="0069183F"/>
    <w:rsid w:val="00693C72"/>
    <w:rsid w:val="006951B3"/>
    <w:rsid w:val="006964B5"/>
    <w:rsid w:val="00696685"/>
    <w:rsid w:val="006971F7"/>
    <w:rsid w:val="006A0BAC"/>
    <w:rsid w:val="006A1402"/>
    <w:rsid w:val="006A1894"/>
    <w:rsid w:val="006A21B9"/>
    <w:rsid w:val="006A2873"/>
    <w:rsid w:val="006A3BFD"/>
    <w:rsid w:val="006A41CB"/>
    <w:rsid w:val="006A4C03"/>
    <w:rsid w:val="006A4E05"/>
    <w:rsid w:val="006A4FD5"/>
    <w:rsid w:val="006A58AF"/>
    <w:rsid w:val="006A65E3"/>
    <w:rsid w:val="006A7455"/>
    <w:rsid w:val="006A76F0"/>
    <w:rsid w:val="006B0B33"/>
    <w:rsid w:val="006B10CB"/>
    <w:rsid w:val="006B309D"/>
    <w:rsid w:val="006B32F7"/>
    <w:rsid w:val="006B3883"/>
    <w:rsid w:val="006B39DA"/>
    <w:rsid w:val="006B50B9"/>
    <w:rsid w:val="006B6139"/>
    <w:rsid w:val="006B68F8"/>
    <w:rsid w:val="006B71B6"/>
    <w:rsid w:val="006C0759"/>
    <w:rsid w:val="006C0AA7"/>
    <w:rsid w:val="006C22A1"/>
    <w:rsid w:val="006C29E9"/>
    <w:rsid w:val="006C3208"/>
    <w:rsid w:val="006C5B67"/>
    <w:rsid w:val="006C68DB"/>
    <w:rsid w:val="006C6DED"/>
    <w:rsid w:val="006C7C16"/>
    <w:rsid w:val="006C7FF1"/>
    <w:rsid w:val="006D0C84"/>
    <w:rsid w:val="006D0EE6"/>
    <w:rsid w:val="006D10A2"/>
    <w:rsid w:val="006D128D"/>
    <w:rsid w:val="006D18F1"/>
    <w:rsid w:val="006D1AAD"/>
    <w:rsid w:val="006D2467"/>
    <w:rsid w:val="006D275A"/>
    <w:rsid w:val="006D2FDE"/>
    <w:rsid w:val="006D4804"/>
    <w:rsid w:val="006D6796"/>
    <w:rsid w:val="006D74E7"/>
    <w:rsid w:val="006D791B"/>
    <w:rsid w:val="006E0770"/>
    <w:rsid w:val="006E119B"/>
    <w:rsid w:val="006E1B49"/>
    <w:rsid w:val="006E2D9A"/>
    <w:rsid w:val="006E37AE"/>
    <w:rsid w:val="006E3E9B"/>
    <w:rsid w:val="006E5971"/>
    <w:rsid w:val="006E5D3B"/>
    <w:rsid w:val="006F3353"/>
    <w:rsid w:val="006F4249"/>
    <w:rsid w:val="006F5B5C"/>
    <w:rsid w:val="006F5EF9"/>
    <w:rsid w:val="00702BB2"/>
    <w:rsid w:val="00705FD0"/>
    <w:rsid w:val="00706D8E"/>
    <w:rsid w:val="00711496"/>
    <w:rsid w:val="00711925"/>
    <w:rsid w:val="00711DB3"/>
    <w:rsid w:val="00712311"/>
    <w:rsid w:val="00712E87"/>
    <w:rsid w:val="00714D25"/>
    <w:rsid w:val="00714DE2"/>
    <w:rsid w:val="0071693C"/>
    <w:rsid w:val="00717493"/>
    <w:rsid w:val="00721CF6"/>
    <w:rsid w:val="00721F7D"/>
    <w:rsid w:val="00722356"/>
    <w:rsid w:val="007227BE"/>
    <w:rsid w:val="00725DAA"/>
    <w:rsid w:val="00726212"/>
    <w:rsid w:val="007264C0"/>
    <w:rsid w:val="0072689E"/>
    <w:rsid w:val="0072789A"/>
    <w:rsid w:val="00732B37"/>
    <w:rsid w:val="007343E1"/>
    <w:rsid w:val="00734A7B"/>
    <w:rsid w:val="00735088"/>
    <w:rsid w:val="007367E0"/>
    <w:rsid w:val="00736E6A"/>
    <w:rsid w:val="00741467"/>
    <w:rsid w:val="007422AB"/>
    <w:rsid w:val="007428D8"/>
    <w:rsid w:val="00744620"/>
    <w:rsid w:val="00746507"/>
    <w:rsid w:val="00746FF0"/>
    <w:rsid w:val="007470A0"/>
    <w:rsid w:val="007476BB"/>
    <w:rsid w:val="00747D0E"/>
    <w:rsid w:val="007513C5"/>
    <w:rsid w:val="00751AD1"/>
    <w:rsid w:val="00751B95"/>
    <w:rsid w:val="00751C04"/>
    <w:rsid w:val="00751ECF"/>
    <w:rsid w:val="00752BAC"/>
    <w:rsid w:val="00753362"/>
    <w:rsid w:val="00754169"/>
    <w:rsid w:val="007544A4"/>
    <w:rsid w:val="00755435"/>
    <w:rsid w:val="0075718D"/>
    <w:rsid w:val="0075752F"/>
    <w:rsid w:val="007576E2"/>
    <w:rsid w:val="007605D9"/>
    <w:rsid w:val="007615EB"/>
    <w:rsid w:val="007622CE"/>
    <w:rsid w:val="00762628"/>
    <w:rsid w:val="00765D32"/>
    <w:rsid w:val="00766DAF"/>
    <w:rsid w:val="00766DD8"/>
    <w:rsid w:val="00767BD0"/>
    <w:rsid w:val="00767C06"/>
    <w:rsid w:val="00767ED6"/>
    <w:rsid w:val="0077275F"/>
    <w:rsid w:val="0077388C"/>
    <w:rsid w:val="0077631B"/>
    <w:rsid w:val="00776A7D"/>
    <w:rsid w:val="00776DEC"/>
    <w:rsid w:val="007774AE"/>
    <w:rsid w:val="00780516"/>
    <w:rsid w:val="00781920"/>
    <w:rsid w:val="00781AB5"/>
    <w:rsid w:val="00781F37"/>
    <w:rsid w:val="007828BD"/>
    <w:rsid w:val="00783C73"/>
    <w:rsid w:val="00783DD7"/>
    <w:rsid w:val="00784161"/>
    <w:rsid w:val="00784CD9"/>
    <w:rsid w:val="007855A5"/>
    <w:rsid w:val="007855F3"/>
    <w:rsid w:val="00787674"/>
    <w:rsid w:val="007876C0"/>
    <w:rsid w:val="00791272"/>
    <w:rsid w:val="00792348"/>
    <w:rsid w:val="00792A0D"/>
    <w:rsid w:val="007931F7"/>
    <w:rsid w:val="00793A2B"/>
    <w:rsid w:val="00793FF6"/>
    <w:rsid w:val="00794389"/>
    <w:rsid w:val="00794DEB"/>
    <w:rsid w:val="00794E61"/>
    <w:rsid w:val="00795A7F"/>
    <w:rsid w:val="00796918"/>
    <w:rsid w:val="00796CF1"/>
    <w:rsid w:val="007A09EF"/>
    <w:rsid w:val="007A125C"/>
    <w:rsid w:val="007A31FF"/>
    <w:rsid w:val="007A5249"/>
    <w:rsid w:val="007A78FD"/>
    <w:rsid w:val="007B21A4"/>
    <w:rsid w:val="007B220E"/>
    <w:rsid w:val="007B300E"/>
    <w:rsid w:val="007B3683"/>
    <w:rsid w:val="007B37FA"/>
    <w:rsid w:val="007B45E5"/>
    <w:rsid w:val="007B663F"/>
    <w:rsid w:val="007B6798"/>
    <w:rsid w:val="007B6B5F"/>
    <w:rsid w:val="007B6CAC"/>
    <w:rsid w:val="007B774B"/>
    <w:rsid w:val="007B7A5C"/>
    <w:rsid w:val="007C0944"/>
    <w:rsid w:val="007C11EC"/>
    <w:rsid w:val="007C217A"/>
    <w:rsid w:val="007C42F8"/>
    <w:rsid w:val="007C462D"/>
    <w:rsid w:val="007C50D6"/>
    <w:rsid w:val="007C720F"/>
    <w:rsid w:val="007D0996"/>
    <w:rsid w:val="007D0AE2"/>
    <w:rsid w:val="007D1C90"/>
    <w:rsid w:val="007D1C91"/>
    <w:rsid w:val="007D1F2A"/>
    <w:rsid w:val="007D687B"/>
    <w:rsid w:val="007E05BF"/>
    <w:rsid w:val="007E0BB1"/>
    <w:rsid w:val="007E35C1"/>
    <w:rsid w:val="007E37E9"/>
    <w:rsid w:val="007E3989"/>
    <w:rsid w:val="007E53B9"/>
    <w:rsid w:val="007E5CD1"/>
    <w:rsid w:val="007E63CF"/>
    <w:rsid w:val="007E6AD5"/>
    <w:rsid w:val="007E7ED4"/>
    <w:rsid w:val="007F0237"/>
    <w:rsid w:val="007F0268"/>
    <w:rsid w:val="007F03F1"/>
    <w:rsid w:val="007F0977"/>
    <w:rsid w:val="007F0FD5"/>
    <w:rsid w:val="007F104B"/>
    <w:rsid w:val="007F25AB"/>
    <w:rsid w:val="007F40EC"/>
    <w:rsid w:val="007F4D47"/>
    <w:rsid w:val="007F529D"/>
    <w:rsid w:val="007F71AE"/>
    <w:rsid w:val="007F7A72"/>
    <w:rsid w:val="00800263"/>
    <w:rsid w:val="00800926"/>
    <w:rsid w:val="00800E91"/>
    <w:rsid w:val="00801FAC"/>
    <w:rsid w:val="008032DB"/>
    <w:rsid w:val="00805544"/>
    <w:rsid w:val="008103A3"/>
    <w:rsid w:val="00810D37"/>
    <w:rsid w:val="00810F81"/>
    <w:rsid w:val="00811B37"/>
    <w:rsid w:val="008131D7"/>
    <w:rsid w:val="008148F7"/>
    <w:rsid w:val="00814EA3"/>
    <w:rsid w:val="00815A3B"/>
    <w:rsid w:val="00815DB1"/>
    <w:rsid w:val="00820946"/>
    <w:rsid w:val="00821D20"/>
    <w:rsid w:val="00821F3C"/>
    <w:rsid w:val="008221B5"/>
    <w:rsid w:val="00823894"/>
    <w:rsid w:val="0082416E"/>
    <w:rsid w:val="008244AD"/>
    <w:rsid w:val="00824E15"/>
    <w:rsid w:val="00826281"/>
    <w:rsid w:val="00826608"/>
    <w:rsid w:val="008273D1"/>
    <w:rsid w:val="0082788F"/>
    <w:rsid w:val="008310DE"/>
    <w:rsid w:val="00831146"/>
    <w:rsid w:val="008315A6"/>
    <w:rsid w:val="008327FC"/>
    <w:rsid w:val="00832CF1"/>
    <w:rsid w:val="00833A86"/>
    <w:rsid w:val="00833E93"/>
    <w:rsid w:val="00834C6F"/>
    <w:rsid w:val="00835468"/>
    <w:rsid w:val="0083566E"/>
    <w:rsid w:val="008429E3"/>
    <w:rsid w:val="008437A0"/>
    <w:rsid w:val="00845B4C"/>
    <w:rsid w:val="00845C55"/>
    <w:rsid w:val="00845D3F"/>
    <w:rsid w:val="008469A3"/>
    <w:rsid w:val="00847A4D"/>
    <w:rsid w:val="00851B7B"/>
    <w:rsid w:val="00852296"/>
    <w:rsid w:val="00852496"/>
    <w:rsid w:val="00852719"/>
    <w:rsid w:val="00852BC5"/>
    <w:rsid w:val="008533A9"/>
    <w:rsid w:val="00853A9E"/>
    <w:rsid w:val="00854666"/>
    <w:rsid w:val="00854CCA"/>
    <w:rsid w:val="00856189"/>
    <w:rsid w:val="008577FC"/>
    <w:rsid w:val="00857DEB"/>
    <w:rsid w:val="008603C4"/>
    <w:rsid w:val="00860EC5"/>
    <w:rsid w:val="0086199B"/>
    <w:rsid w:val="00861A09"/>
    <w:rsid w:val="0086280C"/>
    <w:rsid w:val="00862A99"/>
    <w:rsid w:val="00863A49"/>
    <w:rsid w:val="00865840"/>
    <w:rsid w:val="00865AD6"/>
    <w:rsid w:val="00865B75"/>
    <w:rsid w:val="00865D01"/>
    <w:rsid w:val="00867C15"/>
    <w:rsid w:val="008706AD"/>
    <w:rsid w:val="00871471"/>
    <w:rsid w:val="00871599"/>
    <w:rsid w:val="0087356D"/>
    <w:rsid w:val="008744CB"/>
    <w:rsid w:val="00875180"/>
    <w:rsid w:val="008752A4"/>
    <w:rsid w:val="00875DDB"/>
    <w:rsid w:val="00876AB2"/>
    <w:rsid w:val="008776AF"/>
    <w:rsid w:val="00881F65"/>
    <w:rsid w:val="008822B3"/>
    <w:rsid w:val="00882486"/>
    <w:rsid w:val="00882B75"/>
    <w:rsid w:val="00882C99"/>
    <w:rsid w:val="008839FB"/>
    <w:rsid w:val="00883AFC"/>
    <w:rsid w:val="00883F48"/>
    <w:rsid w:val="00884671"/>
    <w:rsid w:val="00886874"/>
    <w:rsid w:val="00886965"/>
    <w:rsid w:val="00886B4C"/>
    <w:rsid w:val="008876AA"/>
    <w:rsid w:val="008901D6"/>
    <w:rsid w:val="0089077A"/>
    <w:rsid w:val="00890A35"/>
    <w:rsid w:val="00890D8D"/>
    <w:rsid w:val="00890EB5"/>
    <w:rsid w:val="00891189"/>
    <w:rsid w:val="00891250"/>
    <w:rsid w:val="00891743"/>
    <w:rsid w:val="0089238A"/>
    <w:rsid w:val="00893626"/>
    <w:rsid w:val="00893B29"/>
    <w:rsid w:val="008947B3"/>
    <w:rsid w:val="00896244"/>
    <w:rsid w:val="00896FCE"/>
    <w:rsid w:val="008A0148"/>
    <w:rsid w:val="008A03BE"/>
    <w:rsid w:val="008A06F1"/>
    <w:rsid w:val="008A12BA"/>
    <w:rsid w:val="008A1444"/>
    <w:rsid w:val="008A1AD7"/>
    <w:rsid w:val="008A38D7"/>
    <w:rsid w:val="008A3A5D"/>
    <w:rsid w:val="008A4504"/>
    <w:rsid w:val="008A4F84"/>
    <w:rsid w:val="008A5541"/>
    <w:rsid w:val="008A58B2"/>
    <w:rsid w:val="008A5E13"/>
    <w:rsid w:val="008A7C88"/>
    <w:rsid w:val="008B00B6"/>
    <w:rsid w:val="008B18C6"/>
    <w:rsid w:val="008B2A09"/>
    <w:rsid w:val="008B3D57"/>
    <w:rsid w:val="008B427D"/>
    <w:rsid w:val="008B5440"/>
    <w:rsid w:val="008B6D9F"/>
    <w:rsid w:val="008B7AEF"/>
    <w:rsid w:val="008C00D0"/>
    <w:rsid w:val="008C1FC5"/>
    <w:rsid w:val="008C2B0D"/>
    <w:rsid w:val="008D1092"/>
    <w:rsid w:val="008D145D"/>
    <w:rsid w:val="008D27DF"/>
    <w:rsid w:val="008D2CDC"/>
    <w:rsid w:val="008D43AD"/>
    <w:rsid w:val="008D5E46"/>
    <w:rsid w:val="008D6D7B"/>
    <w:rsid w:val="008D7EF7"/>
    <w:rsid w:val="008D7FAA"/>
    <w:rsid w:val="008E480B"/>
    <w:rsid w:val="008E49C8"/>
    <w:rsid w:val="008E5C39"/>
    <w:rsid w:val="008E6610"/>
    <w:rsid w:val="008E718A"/>
    <w:rsid w:val="008F06F5"/>
    <w:rsid w:val="008F0A4D"/>
    <w:rsid w:val="008F0C25"/>
    <w:rsid w:val="008F2531"/>
    <w:rsid w:val="008F3037"/>
    <w:rsid w:val="008F30D5"/>
    <w:rsid w:val="008F521A"/>
    <w:rsid w:val="008F5EB9"/>
    <w:rsid w:val="008F738F"/>
    <w:rsid w:val="008F73CA"/>
    <w:rsid w:val="008F7791"/>
    <w:rsid w:val="008F7868"/>
    <w:rsid w:val="008F7DAD"/>
    <w:rsid w:val="0090276A"/>
    <w:rsid w:val="00902B6D"/>
    <w:rsid w:val="009030BA"/>
    <w:rsid w:val="00903DA0"/>
    <w:rsid w:val="00903ECD"/>
    <w:rsid w:val="00904827"/>
    <w:rsid w:val="0090510E"/>
    <w:rsid w:val="009066AE"/>
    <w:rsid w:val="0090712F"/>
    <w:rsid w:val="00907A19"/>
    <w:rsid w:val="00907DEE"/>
    <w:rsid w:val="009122BE"/>
    <w:rsid w:val="009140C5"/>
    <w:rsid w:val="00914DCB"/>
    <w:rsid w:val="00917137"/>
    <w:rsid w:val="009175A0"/>
    <w:rsid w:val="00917D49"/>
    <w:rsid w:val="009209F3"/>
    <w:rsid w:val="00921647"/>
    <w:rsid w:val="00922121"/>
    <w:rsid w:val="009231F9"/>
    <w:rsid w:val="00923297"/>
    <w:rsid w:val="0092503C"/>
    <w:rsid w:val="00927826"/>
    <w:rsid w:val="00927E34"/>
    <w:rsid w:val="00932731"/>
    <w:rsid w:val="00932C8C"/>
    <w:rsid w:val="009341B1"/>
    <w:rsid w:val="009344D8"/>
    <w:rsid w:val="00934A3F"/>
    <w:rsid w:val="00935A52"/>
    <w:rsid w:val="009361CA"/>
    <w:rsid w:val="0093687D"/>
    <w:rsid w:val="00937368"/>
    <w:rsid w:val="009403B5"/>
    <w:rsid w:val="00940E87"/>
    <w:rsid w:val="00941E62"/>
    <w:rsid w:val="00942153"/>
    <w:rsid w:val="009433FB"/>
    <w:rsid w:val="00943C15"/>
    <w:rsid w:val="009457A6"/>
    <w:rsid w:val="0094581C"/>
    <w:rsid w:val="00945C8A"/>
    <w:rsid w:val="00945CD6"/>
    <w:rsid w:val="00946058"/>
    <w:rsid w:val="00947B1B"/>
    <w:rsid w:val="00950B06"/>
    <w:rsid w:val="00950B7D"/>
    <w:rsid w:val="00950DB7"/>
    <w:rsid w:val="00952074"/>
    <w:rsid w:val="009530A2"/>
    <w:rsid w:val="00953AC0"/>
    <w:rsid w:val="0095454E"/>
    <w:rsid w:val="00954602"/>
    <w:rsid w:val="0095527D"/>
    <w:rsid w:val="009552FE"/>
    <w:rsid w:val="009561CF"/>
    <w:rsid w:val="00956F50"/>
    <w:rsid w:val="00957483"/>
    <w:rsid w:val="00960D52"/>
    <w:rsid w:val="00961943"/>
    <w:rsid w:val="0096236B"/>
    <w:rsid w:val="00962C16"/>
    <w:rsid w:val="009647E4"/>
    <w:rsid w:val="00964AFC"/>
    <w:rsid w:val="00965F01"/>
    <w:rsid w:val="00966745"/>
    <w:rsid w:val="009700CE"/>
    <w:rsid w:val="0097177C"/>
    <w:rsid w:val="009721E6"/>
    <w:rsid w:val="009740E9"/>
    <w:rsid w:val="009752D1"/>
    <w:rsid w:val="00977126"/>
    <w:rsid w:val="00982E1A"/>
    <w:rsid w:val="00983368"/>
    <w:rsid w:val="009833E0"/>
    <w:rsid w:val="00983B9F"/>
    <w:rsid w:val="00985C90"/>
    <w:rsid w:val="009870CF"/>
    <w:rsid w:val="009875FC"/>
    <w:rsid w:val="00990667"/>
    <w:rsid w:val="0099143D"/>
    <w:rsid w:val="00991919"/>
    <w:rsid w:val="00992176"/>
    <w:rsid w:val="00992883"/>
    <w:rsid w:val="00993534"/>
    <w:rsid w:val="009944F8"/>
    <w:rsid w:val="009949DD"/>
    <w:rsid w:val="009959B8"/>
    <w:rsid w:val="00996CCE"/>
    <w:rsid w:val="0099732B"/>
    <w:rsid w:val="009977A8"/>
    <w:rsid w:val="009A02A3"/>
    <w:rsid w:val="009A1D6A"/>
    <w:rsid w:val="009A2EDF"/>
    <w:rsid w:val="009A467E"/>
    <w:rsid w:val="009A47D2"/>
    <w:rsid w:val="009A4A38"/>
    <w:rsid w:val="009A5342"/>
    <w:rsid w:val="009A5A4F"/>
    <w:rsid w:val="009A5C10"/>
    <w:rsid w:val="009A7827"/>
    <w:rsid w:val="009A7E6A"/>
    <w:rsid w:val="009B080D"/>
    <w:rsid w:val="009B104E"/>
    <w:rsid w:val="009B1991"/>
    <w:rsid w:val="009B2959"/>
    <w:rsid w:val="009B3877"/>
    <w:rsid w:val="009B4242"/>
    <w:rsid w:val="009B442D"/>
    <w:rsid w:val="009B50BC"/>
    <w:rsid w:val="009B5BF1"/>
    <w:rsid w:val="009B5D12"/>
    <w:rsid w:val="009B6B2E"/>
    <w:rsid w:val="009B7D11"/>
    <w:rsid w:val="009C09F8"/>
    <w:rsid w:val="009C0E80"/>
    <w:rsid w:val="009C2591"/>
    <w:rsid w:val="009C32E7"/>
    <w:rsid w:val="009C4A57"/>
    <w:rsid w:val="009C4E92"/>
    <w:rsid w:val="009C53B5"/>
    <w:rsid w:val="009C5830"/>
    <w:rsid w:val="009C6880"/>
    <w:rsid w:val="009D1212"/>
    <w:rsid w:val="009D1551"/>
    <w:rsid w:val="009D16C7"/>
    <w:rsid w:val="009D1A18"/>
    <w:rsid w:val="009D228B"/>
    <w:rsid w:val="009D38FE"/>
    <w:rsid w:val="009D4061"/>
    <w:rsid w:val="009D4C84"/>
    <w:rsid w:val="009D5759"/>
    <w:rsid w:val="009D61F7"/>
    <w:rsid w:val="009E066F"/>
    <w:rsid w:val="009E2322"/>
    <w:rsid w:val="009E56C1"/>
    <w:rsid w:val="009E5CA9"/>
    <w:rsid w:val="009E5D0A"/>
    <w:rsid w:val="009E5F0A"/>
    <w:rsid w:val="009E666A"/>
    <w:rsid w:val="009F0A3F"/>
    <w:rsid w:val="009F0C13"/>
    <w:rsid w:val="009F1D9D"/>
    <w:rsid w:val="009F1DB3"/>
    <w:rsid w:val="009F207E"/>
    <w:rsid w:val="009F2177"/>
    <w:rsid w:val="009F3156"/>
    <w:rsid w:val="009F3DA7"/>
    <w:rsid w:val="009F4473"/>
    <w:rsid w:val="009F69C5"/>
    <w:rsid w:val="009F7746"/>
    <w:rsid w:val="00A01396"/>
    <w:rsid w:val="00A02648"/>
    <w:rsid w:val="00A03F51"/>
    <w:rsid w:val="00A0411F"/>
    <w:rsid w:val="00A04F2D"/>
    <w:rsid w:val="00A05D81"/>
    <w:rsid w:val="00A07917"/>
    <w:rsid w:val="00A11782"/>
    <w:rsid w:val="00A11D92"/>
    <w:rsid w:val="00A11E55"/>
    <w:rsid w:val="00A20643"/>
    <w:rsid w:val="00A20690"/>
    <w:rsid w:val="00A20C25"/>
    <w:rsid w:val="00A217D0"/>
    <w:rsid w:val="00A2274D"/>
    <w:rsid w:val="00A22D72"/>
    <w:rsid w:val="00A26455"/>
    <w:rsid w:val="00A27960"/>
    <w:rsid w:val="00A30ABE"/>
    <w:rsid w:val="00A31281"/>
    <w:rsid w:val="00A320B4"/>
    <w:rsid w:val="00A32563"/>
    <w:rsid w:val="00A32841"/>
    <w:rsid w:val="00A32F46"/>
    <w:rsid w:val="00A353BD"/>
    <w:rsid w:val="00A35A41"/>
    <w:rsid w:val="00A36F35"/>
    <w:rsid w:val="00A371C7"/>
    <w:rsid w:val="00A3738D"/>
    <w:rsid w:val="00A3769A"/>
    <w:rsid w:val="00A379D3"/>
    <w:rsid w:val="00A4065B"/>
    <w:rsid w:val="00A406F7"/>
    <w:rsid w:val="00A41A3E"/>
    <w:rsid w:val="00A431A4"/>
    <w:rsid w:val="00A448AD"/>
    <w:rsid w:val="00A459DE"/>
    <w:rsid w:val="00A459DF"/>
    <w:rsid w:val="00A45D6A"/>
    <w:rsid w:val="00A463C3"/>
    <w:rsid w:val="00A46890"/>
    <w:rsid w:val="00A47A0D"/>
    <w:rsid w:val="00A47D24"/>
    <w:rsid w:val="00A47E8F"/>
    <w:rsid w:val="00A50E0A"/>
    <w:rsid w:val="00A523EB"/>
    <w:rsid w:val="00A52CFC"/>
    <w:rsid w:val="00A543BF"/>
    <w:rsid w:val="00A5522E"/>
    <w:rsid w:val="00A61368"/>
    <w:rsid w:val="00A61445"/>
    <w:rsid w:val="00A63B93"/>
    <w:rsid w:val="00A64B65"/>
    <w:rsid w:val="00A64D8C"/>
    <w:rsid w:val="00A64F5D"/>
    <w:rsid w:val="00A65210"/>
    <w:rsid w:val="00A66765"/>
    <w:rsid w:val="00A66819"/>
    <w:rsid w:val="00A66C4B"/>
    <w:rsid w:val="00A713DB"/>
    <w:rsid w:val="00A72BB8"/>
    <w:rsid w:val="00A72D4B"/>
    <w:rsid w:val="00A74189"/>
    <w:rsid w:val="00A755C9"/>
    <w:rsid w:val="00A76209"/>
    <w:rsid w:val="00A76DE5"/>
    <w:rsid w:val="00A811DF"/>
    <w:rsid w:val="00A8141A"/>
    <w:rsid w:val="00A81B47"/>
    <w:rsid w:val="00A8335F"/>
    <w:rsid w:val="00A8365B"/>
    <w:rsid w:val="00A86281"/>
    <w:rsid w:val="00A90CE8"/>
    <w:rsid w:val="00A920CC"/>
    <w:rsid w:val="00A938B0"/>
    <w:rsid w:val="00A959CC"/>
    <w:rsid w:val="00A969F6"/>
    <w:rsid w:val="00A96D58"/>
    <w:rsid w:val="00A97381"/>
    <w:rsid w:val="00AA0424"/>
    <w:rsid w:val="00AA0F74"/>
    <w:rsid w:val="00AA216A"/>
    <w:rsid w:val="00AA4F62"/>
    <w:rsid w:val="00AA58CE"/>
    <w:rsid w:val="00AA5B84"/>
    <w:rsid w:val="00AA5D1D"/>
    <w:rsid w:val="00AA5E96"/>
    <w:rsid w:val="00AA7B4E"/>
    <w:rsid w:val="00AA7C35"/>
    <w:rsid w:val="00AB08C9"/>
    <w:rsid w:val="00AB0AB3"/>
    <w:rsid w:val="00AB23CC"/>
    <w:rsid w:val="00AB26D9"/>
    <w:rsid w:val="00AB300D"/>
    <w:rsid w:val="00AB31B3"/>
    <w:rsid w:val="00AB3ED9"/>
    <w:rsid w:val="00AB6848"/>
    <w:rsid w:val="00AB7C9F"/>
    <w:rsid w:val="00AC0897"/>
    <w:rsid w:val="00AC1186"/>
    <w:rsid w:val="00AC21C0"/>
    <w:rsid w:val="00AC24F8"/>
    <w:rsid w:val="00AC31B0"/>
    <w:rsid w:val="00AC34E2"/>
    <w:rsid w:val="00AC360D"/>
    <w:rsid w:val="00AC42FB"/>
    <w:rsid w:val="00AC47C9"/>
    <w:rsid w:val="00AC4908"/>
    <w:rsid w:val="00AC67E2"/>
    <w:rsid w:val="00AD0080"/>
    <w:rsid w:val="00AD40C0"/>
    <w:rsid w:val="00AD57B9"/>
    <w:rsid w:val="00AD7923"/>
    <w:rsid w:val="00AE286C"/>
    <w:rsid w:val="00AE4AED"/>
    <w:rsid w:val="00AE5167"/>
    <w:rsid w:val="00AE583E"/>
    <w:rsid w:val="00AE5EF2"/>
    <w:rsid w:val="00AF0F52"/>
    <w:rsid w:val="00AF1CAC"/>
    <w:rsid w:val="00AF3143"/>
    <w:rsid w:val="00AF5424"/>
    <w:rsid w:val="00AF71FF"/>
    <w:rsid w:val="00AF72F7"/>
    <w:rsid w:val="00AF7922"/>
    <w:rsid w:val="00AF7F5B"/>
    <w:rsid w:val="00B00FC8"/>
    <w:rsid w:val="00B01697"/>
    <w:rsid w:val="00B01E32"/>
    <w:rsid w:val="00B021D6"/>
    <w:rsid w:val="00B0254A"/>
    <w:rsid w:val="00B03278"/>
    <w:rsid w:val="00B046CE"/>
    <w:rsid w:val="00B04DD9"/>
    <w:rsid w:val="00B04E5C"/>
    <w:rsid w:val="00B05E4F"/>
    <w:rsid w:val="00B10AD1"/>
    <w:rsid w:val="00B10CAC"/>
    <w:rsid w:val="00B10D2A"/>
    <w:rsid w:val="00B11BF2"/>
    <w:rsid w:val="00B1227A"/>
    <w:rsid w:val="00B13398"/>
    <w:rsid w:val="00B137D0"/>
    <w:rsid w:val="00B13857"/>
    <w:rsid w:val="00B205F8"/>
    <w:rsid w:val="00B20EF2"/>
    <w:rsid w:val="00B21330"/>
    <w:rsid w:val="00B2202A"/>
    <w:rsid w:val="00B220D8"/>
    <w:rsid w:val="00B22D31"/>
    <w:rsid w:val="00B22F51"/>
    <w:rsid w:val="00B23CE3"/>
    <w:rsid w:val="00B24024"/>
    <w:rsid w:val="00B2454F"/>
    <w:rsid w:val="00B2586C"/>
    <w:rsid w:val="00B26131"/>
    <w:rsid w:val="00B308C0"/>
    <w:rsid w:val="00B31391"/>
    <w:rsid w:val="00B3164A"/>
    <w:rsid w:val="00B32733"/>
    <w:rsid w:val="00B333FF"/>
    <w:rsid w:val="00B33BAD"/>
    <w:rsid w:val="00B35246"/>
    <w:rsid w:val="00B40DBD"/>
    <w:rsid w:val="00B41043"/>
    <w:rsid w:val="00B411DB"/>
    <w:rsid w:val="00B42D40"/>
    <w:rsid w:val="00B43223"/>
    <w:rsid w:val="00B445FE"/>
    <w:rsid w:val="00B45238"/>
    <w:rsid w:val="00B47B48"/>
    <w:rsid w:val="00B5174F"/>
    <w:rsid w:val="00B52029"/>
    <w:rsid w:val="00B528C3"/>
    <w:rsid w:val="00B52E48"/>
    <w:rsid w:val="00B53359"/>
    <w:rsid w:val="00B533D2"/>
    <w:rsid w:val="00B53793"/>
    <w:rsid w:val="00B53F5A"/>
    <w:rsid w:val="00B554AD"/>
    <w:rsid w:val="00B626EC"/>
    <w:rsid w:val="00B63C1E"/>
    <w:rsid w:val="00B6525F"/>
    <w:rsid w:val="00B6539B"/>
    <w:rsid w:val="00B65569"/>
    <w:rsid w:val="00B655E7"/>
    <w:rsid w:val="00B656EB"/>
    <w:rsid w:val="00B65729"/>
    <w:rsid w:val="00B659D0"/>
    <w:rsid w:val="00B66285"/>
    <w:rsid w:val="00B66760"/>
    <w:rsid w:val="00B66797"/>
    <w:rsid w:val="00B67ACE"/>
    <w:rsid w:val="00B67D5A"/>
    <w:rsid w:val="00B67E10"/>
    <w:rsid w:val="00B67EDE"/>
    <w:rsid w:val="00B71247"/>
    <w:rsid w:val="00B714F0"/>
    <w:rsid w:val="00B72CB6"/>
    <w:rsid w:val="00B73309"/>
    <w:rsid w:val="00B74B8B"/>
    <w:rsid w:val="00B74FCA"/>
    <w:rsid w:val="00B75ED9"/>
    <w:rsid w:val="00B76736"/>
    <w:rsid w:val="00B771A0"/>
    <w:rsid w:val="00B7769E"/>
    <w:rsid w:val="00B808B1"/>
    <w:rsid w:val="00B81563"/>
    <w:rsid w:val="00B81D5A"/>
    <w:rsid w:val="00B8244B"/>
    <w:rsid w:val="00B82968"/>
    <w:rsid w:val="00B8477A"/>
    <w:rsid w:val="00B84E61"/>
    <w:rsid w:val="00B85EF6"/>
    <w:rsid w:val="00B90B55"/>
    <w:rsid w:val="00B9594B"/>
    <w:rsid w:val="00B95E5B"/>
    <w:rsid w:val="00B97CCF"/>
    <w:rsid w:val="00BA0511"/>
    <w:rsid w:val="00BA2186"/>
    <w:rsid w:val="00BA3154"/>
    <w:rsid w:val="00BA36E2"/>
    <w:rsid w:val="00BA428D"/>
    <w:rsid w:val="00BA46FC"/>
    <w:rsid w:val="00BA66D0"/>
    <w:rsid w:val="00BB03A4"/>
    <w:rsid w:val="00BB3942"/>
    <w:rsid w:val="00BB3957"/>
    <w:rsid w:val="00BB40DC"/>
    <w:rsid w:val="00BB64B8"/>
    <w:rsid w:val="00BB7EDD"/>
    <w:rsid w:val="00BC0D1D"/>
    <w:rsid w:val="00BC0E40"/>
    <w:rsid w:val="00BC1F70"/>
    <w:rsid w:val="00BC3360"/>
    <w:rsid w:val="00BC4C6A"/>
    <w:rsid w:val="00BC4F25"/>
    <w:rsid w:val="00BC55B5"/>
    <w:rsid w:val="00BC560A"/>
    <w:rsid w:val="00BC6061"/>
    <w:rsid w:val="00BC62E5"/>
    <w:rsid w:val="00BC6547"/>
    <w:rsid w:val="00BC7567"/>
    <w:rsid w:val="00BC7AEF"/>
    <w:rsid w:val="00BD1756"/>
    <w:rsid w:val="00BD2000"/>
    <w:rsid w:val="00BD4C1A"/>
    <w:rsid w:val="00BD6A92"/>
    <w:rsid w:val="00BD6BCF"/>
    <w:rsid w:val="00BD7653"/>
    <w:rsid w:val="00BD7AC1"/>
    <w:rsid w:val="00BE0ACC"/>
    <w:rsid w:val="00BE0B86"/>
    <w:rsid w:val="00BE10D2"/>
    <w:rsid w:val="00BE11BA"/>
    <w:rsid w:val="00BE144D"/>
    <w:rsid w:val="00BE1897"/>
    <w:rsid w:val="00BE28E2"/>
    <w:rsid w:val="00BE2F58"/>
    <w:rsid w:val="00BE3787"/>
    <w:rsid w:val="00BE4632"/>
    <w:rsid w:val="00BE4D44"/>
    <w:rsid w:val="00BE53C1"/>
    <w:rsid w:val="00BE5FF0"/>
    <w:rsid w:val="00BF001C"/>
    <w:rsid w:val="00BF1798"/>
    <w:rsid w:val="00BF32F6"/>
    <w:rsid w:val="00BF378A"/>
    <w:rsid w:val="00BF522B"/>
    <w:rsid w:val="00BF5D1F"/>
    <w:rsid w:val="00BF6D2C"/>
    <w:rsid w:val="00BF75CF"/>
    <w:rsid w:val="00C01291"/>
    <w:rsid w:val="00C02185"/>
    <w:rsid w:val="00C0286F"/>
    <w:rsid w:val="00C0287B"/>
    <w:rsid w:val="00C02CFB"/>
    <w:rsid w:val="00C04B21"/>
    <w:rsid w:val="00C04D0B"/>
    <w:rsid w:val="00C052D6"/>
    <w:rsid w:val="00C06047"/>
    <w:rsid w:val="00C10B55"/>
    <w:rsid w:val="00C10E98"/>
    <w:rsid w:val="00C1109C"/>
    <w:rsid w:val="00C128BC"/>
    <w:rsid w:val="00C14272"/>
    <w:rsid w:val="00C155F8"/>
    <w:rsid w:val="00C15EE8"/>
    <w:rsid w:val="00C15F89"/>
    <w:rsid w:val="00C17EC1"/>
    <w:rsid w:val="00C208F0"/>
    <w:rsid w:val="00C21503"/>
    <w:rsid w:val="00C2239B"/>
    <w:rsid w:val="00C2390B"/>
    <w:rsid w:val="00C2439B"/>
    <w:rsid w:val="00C25C8E"/>
    <w:rsid w:val="00C25E7D"/>
    <w:rsid w:val="00C26035"/>
    <w:rsid w:val="00C267BA"/>
    <w:rsid w:val="00C274D5"/>
    <w:rsid w:val="00C30389"/>
    <w:rsid w:val="00C307C5"/>
    <w:rsid w:val="00C30FFB"/>
    <w:rsid w:val="00C3119F"/>
    <w:rsid w:val="00C313C2"/>
    <w:rsid w:val="00C31A3B"/>
    <w:rsid w:val="00C323BD"/>
    <w:rsid w:val="00C33403"/>
    <w:rsid w:val="00C342B0"/>
    <w:rsid w:val="00C347F1"/>
    <w:rsid w:val="00C360E0"/>
    <w:rsid w:val="00C368EC"/>
    <w:rsid w:val="00C41104"/>
    <w:rsid w:val="00C4182B"/>
    <w:rsid w:val="00C42C20"/>
    <w:rsid w:val="00C431B6"/>
    <w:rsid w:val="00C471A3"/>
    <w:rsid w:val="00C47EE6"/>
    <w:rsid w:val="00C52029"/>
    <w:rsid w:val="00C52F80"/>
    <w:rsid w:val="00C56570"/>
    <w:rsid w:val="00C57911"/>
    <w:rsid w:val="00C57CEB"/>
    <w:rsid w:val="00C61A2E"/>
    <w:rsid w:val="00C61F0F"/>
    <w:rsid w:val="00C623BB"/>
    <w:rsid w:val="00C6343E"/>
    <w:rsid w:val="00C640FE"/>
    <w:rsid w:val="00C642AE"/>
    <w:rsid w:val="00C65163"/>
    <w:rsid w:val="00C65A19"/>
    <w:rsid w:val="00C667ED"/>
    <w:rsid w:val="00C669D8"/>
    <w:rsid w:val="00C66B17"/>
    <w:rsid w:val="00C67603"/>
    <w:rsid w:val="00C70A4E"/>
    <w:rsid w:val="00C73216"/>
    <w:rsid w:val="00C73A53"/>
    <w:rsid w:val="00C73F7D"/>
    <w:rsid w:val="00C74D85"/>
    <w:rsid w:val="00C75173"/>
    <w:rsid w:val="00C75181"/>
    <w:rsid w:val="00C75235"/>
    <w:rsid w:val="00C774AB"/>
    <w:rsid w:val="00C77C29"/>
    <w:rsid w:val="00C803C1"/>
    <w:rsid w:val="00C8053E"/>
    <w:rsid w:val="00C80983"/>
    <w:rsid w:val="00C80FD7"/>
    <w:rsid w:val="00C8211E"/>
    <w:rsid w:val="00C83206"/>
    <w:rsid w:val="00C83C4E"/>
    <w:rsid w:val="00C843E8"/>
    <w:rsid w:val="00C86D73"/>
    <w:rsid w:val="00C86E2B"/>
    <w:rsid w:val="00C86F0B"/>
    <w:rsid w:val="00C87AC5"/>
    <w:rsid w:val="00C87F17"/>
    <w:rsid w:val="00C90A2B"/>
    <w:rsid w:val="00C916FA"/>
    <w:rsid w:val="00C92B0B"/>
    <w:rsid w:val="00C932A2"/>
    <w:rsid w:val="00C939BA"/>
    <w:rsid w:val="00C96EA3"/>
    <w:rsid w:val="00C9711A"/>
    <w:rsid w:val="00C9764A"/>
    <w:rsid w:val="00C97DC6"/>
    <w:rsid w:val="00CA0F45"/>
    <w:rsid w:val="00CA1A3B"/>
    <w:rsid w:val="00CA1D18"/>
    <w:rsid w:val="00CA3523"/>
    <w:rsid w:val="00CA366B"/>
    <w:rsid w:val="00CA3FAA"/>
    <w:rsid w:val="00CA4152"/>
    <w:rsid w:val="00CA4E72"/>
    <w:rsid w:val="00CA5C7F"/>
    <w:rsid w:val="00CB129C"/>
    <w:rsid w:val="00CB2B47"/>
    <w:rsid w:val="00CB5526"/>
    <w:rsid w:val="00CB5D54"/>
    <w:rsid w:val="00CB6BFA"/>
    <w:rsid w:val="00CB7236"/>
    <w:rsid w:val="00CB74DE"/>
    <w:rsid w:val="00CB78D4"/>
    <w:rsid w:val="00CC0804"/>
    <w:rsid w:val="00CC0A7D"/>
    <w:rsid w:val="00CC0AF3"/>
    <w:rsid w:val="00CC19F9"/>
    <w:rsid w:val="00CC22C9"/>
    <w:rsid w:val="00CC2E50"/>
    <w:rsid w:val="00CC2FA4"/>
    <w:rsid w:val="00CC30D0"/>
    <w:rsid w:val="00CC3701"/>
    <w:rsid w:val="00CC4BC4"/>
    <w:rsid w:val="00CC6A54"/>
    <w:rsid w:val="00CC6DE6"/>
    <w:rsid w:val="00CD0489"/>
    <w:rsid w:val="00CD04D8"/>
    <w:rsid w:val="00CD0E41"/>
    <w:rsid w:val="00CD14F1"/>
    <w:rsid w:val="00CD251F"/>
    <w:rsid w:val="00CD310D"/>
    <w:rsid w:val="00CD3753"/>
    <w:rsid w:val="00CD421B"/>
    <w:rsid w:val="00CD4423"/>
    <w:rsid w:val="00CD462D"/>
    <w:rsid w:val="00CD4B80"/>
    <w:rsid w:val="00CD4EA0"/>
    <w:rsid w:val="00CD50D2"/>
    <w:rsid w:val="00CD5A2A"/>
    <w:rsid w:val="00CD6F3D"/>
    <w:rsid w:val="00CD78FB"/>
    <w:rsid w:val="00CD7DD6"/>
    <w:rsid w:val="00CE0108"/>
    <w:rsid w:val="00CE04EE"/>
    <w:rsid w:val="00CE0D50"/>
    <w:rsid w:val="00CE0DFF"/>
    <w:rsid w:val="00CE1715"/>
    <w:rsid w:val="00CE422B"/>
    <w:rsid w:val="00CE5685"/>
    <w:rsid w:val="00CE608E"/>
    <w:rsid w:val="00CE6197"/>
    <w:rsid w:val="00CE6781"/>
    <w:rsid w:val="00CE6DE8"/>
    <w:rsid w:val="00CE79F8"/>
    <w:rsid w:val="00CF148F"/>
    <w:rsid w:val="00CF1B03"/>
    <w:rsid w:val="00CF1D9D"/>
    <w:rsid w:val="00CF64AF"/>
    <w:rsid w:val="00CF6FCB"/>
    <w:rsid w:val="00CF7D0D"/>
    <w:rsid w:val="00D00E9D"/>
    <w:rsid w:val="00D01EA0"/>
    <w:rsid w:val="00D02AB8"/>
    <w:rsid w:val="00D02BF2"/>
    <w:rsid w:val="00D03640"/>
    <w:rsid w:val="00D04A38"/>
    <w:rsid w:val="00D05EF4"/>
    <w:rsid w:val="00D065AB"/>
    <w:rsid w:val="00D066EB"/>
    <w:rsid w:val="00D11C72"/>
    <w:rsid w:val="00D11E9B"/>
    <w:rsid w:val="00D11F16"/>
    <w:rsid w:val="00D131B2"/>
    <w:rsid w:val="00D13531"/>
    <w:rsid w:val="00D136C2"/>
    <w:rsid w:val="00D14A0E"/>
    <w:rsid w:val="00D14A8D"/>
    <w:rsid w:val="00D169BB"/>
    <w:rsid w:val="00D17F51"/>
    <w:rsid w:val="00D20674"/>
    <w:rsid w:val="00D20696"/>
    <w:rsid w:val="00D20D0E"/>
    <w:rsid w:val="00D2113A"/>
    <w:rsid w:val="00D21302"/>
    <w:rsid w:val="00D21515"/>
    <w:rsid w:val="00D215FD"/>
    <w:rsid w:val="00D22BCD"/>
    <w:rsid w:val="00D238BF"/>
    <w:rsid w:val="00D2426B"/>
    <w:rsid w:val="00D260F9"/>
    <w:rsid w:val="00D269FE"/>
    <w:rsid w:val="00D26E3A"/>
    <w:rsid w:val="00D278ED"/>
    <w:rsid w:val="00D27DAB"/>
    <w:rsid w:val="00D32CA0"/>
    <w:rsid w:val="00D33DD9"/>
    <w:rsid w:val="00D34707"/>
    <w:rsid w:val="00D37870"/>
    <w:rsid w:val="00D37E4D"/>
    <w:rsid w:val="00D37F20"/>
    <w:rsid w:val="00D40278"/>
    <w:rsid w:val="00D4275C"/>
    <w:rsid w:val="00D43977"/>
    <w:rsid w:val="00D44CEE"/>
    <w:rsid w:val="00D5070C"/>
    <w:rsid w:val="00D50742"/>
    <w:rsid w:val="00D54176"/>
    <w:rsid w:val="00D54774"/>
    <w:rsid w:val="00D54C55"/>
    <w:rsid w:val="00D54EFA"/>
    <w:rsid w:val="00D55214"/>
    <w:rsid w:val="00D553E0"/>
    <w:rsid w:val="00D55E48"/>
    <w:rsid w:val="00D56D9E"/>
    <w:rsid w:val="00D57585"/>
    <w:rsid w:val="00D57813"/>
    <w:rsid w:val="00D6282D"/>
    <w:rsid w:val="00D629C4"/>
    <w:rsid w:val="00D62B14"/>
    <w:rsid w:val="00D66F70"/>
    <w:rsid w:val="00D70B11"/>
    <w:rsid w:val="00D710B6"/>
    <w:rsid w:val="00D726FC"/>
    <w:rsid w:val="00D72DC9"/>
    <w:rsid w:val="00D732C1"/>
    <w:rsid w:val="00D73C25"/>
    <w:rsid w:val="00D73D62"/>
    <w:rsid w:val="00D75944"/>
    <w:rsid w:val="00D75A15"/>
    <w:rsid w:val="00D766FA"/>
    <w:rsid w:val="00D803CA"/>
    <w:rsid w:val="00D814E7"/>
    <w:rsid w:val="00D825E9"/>
    <w:rsid w:val="00D82BD6"/>
    <w:rsid w:val="00D83EC1"/>
    <w:rsid w:val="00D844B1"/>
    <w:rsid w:val="00D8475C"/>
    <w:rsid w:val="00D859AF"/>
    <w:rsid w:val="00D85EF7"/>
    <w:rsid w:val="00D87B09"/>
    <w:rsid w:val="00D87BC3"/>
    <w:rsid w:val="00D92BA1"/>
    <w:rsid w:val="00D93BD0"/>
    <w:rsid w:val="00D94496"/>
    <w:rsid w:val="00D950F8"/>
    <w:rsid w:val="00DA3688"/>
    <w:rsid w:val="00DB080F"/>
    <w:rsid w:val="00DB0FE3"/>
    <w:rsid w:val="00DB1B52"/>
    <w:rsid w:val="00DB27EA"/>
    <w:rsid w:val="00DB31B8"/>
    <w:rsid w:val="00DB3493"/>
    <w:rsid w:val="00DB4B20"/>
    <w:rsid w:val="00DB7525"/>
    <w:rsid w:val="00DB7925"/>
    <w:rsid w:val="00DC0289"/>
    <w:rsid w:val="00DC0C58"/>
    <w:rsid w:val="00DC0CFE"/>
    <w:rsid w:val="00DC16D3"/>
    <w:rsid w:val="00DC3F21"/>
    <w:rsid w:val="00DC46D5"/>
    <w:rsid w:val="00DC4C32"/>
    <w:rsid w:val="00DC6F87"/>
    <w:rsid w:val="00DD0866"/>
    <w:rsid w:val="00DD118D"/>
    <w:rsid w:val="00DD1445"/>
    <w:rsid w:val="00DD2192"/>
    <w:rsid w:val="00DD2DB3"/>
    <w:rsid w:val="00DD48FA"/>
    <w:rsid w:val="00DD5ED4"/>
    <w:rsid w:val="00DD6196"/>
    <w:rsid w:val="00DD657F"/>
    <w:rsid w:val="00DE0B7D"/>
    <w:rsid w:val="00DE2D5E"/>
    <w:rsid w:val="00DE4C55"/>
    <w:rsid w:val="00DE53EA"/>
    <w:rsid w:val="00DE70F4"/>
    <w:rsid w:val="00DE78E7"/>
    <w:rsid w:val="00DF05DD"/>
    <w:rsid w:val="00DF0E1A"/>
    <w:rsid w:val="00DF0FEA"/>
    <w:rsid w:val="00DF12BC"/>
    <w:rsid w:val="00DF1547"/>
    <w:rsid w:val="00DF175B"/>
    <w:rsid w:val="00DF1FF5"/>
    <w:rsid w:val="00DF23EB"/>
    <w:rsid w:val="00DF261B"/>
    <w:rsid w:val="00DF403E"/>
    <w:rsid w:val="00DF4380"/>
    <w:rsid w:val="00DF4766"/>
    <w:rsid w:val="00DF480E"/>
    <w:rsid w:val="00DF5DCE"/>
    <w:rsid w:val="00E0041A"/>
    <w:rsid w:val="00E00BAF"/>
    <w:rsid w:val="00E00CFE"/>
    <w:rsid w:val="00E00E4F"/>
    <w:rsid w:val="00E0126D"/>
    <w:rsid w:val="00E0197C"/>
    <w:rsid w:val="00E038E8"/>
    <w:rsid w:val="00E058B7"/>
    <w:rsid w:val="00E0600B"/>
    <w:rsid w:val="00E104FE"/>
    <w:rsid w:val="00E126A3"/>
    <w:rsid w:val="00E14680"/>
    <w:rsid w:val="00E1488E"/>
    <w:rsid w:val="00E15A3D"/>
    <w:rsid w:val="00E15F25"/>
    <w:rsid w:val="00E17027"/>
    <w:rsid w:val="00E1721D"/>
    <w:rsid w:val="00E21A14"/>
    <w:rsid w:val="00E2238D"/>
    <w:rsid w:val="00E227C0"/>
    <w:rsid w:val="00E22C7A"/>
    <w:rsid w:val="00E2359A"/>
    <w:rsid w:val="00E23AAF"/>
    <w:rsid w:val="00E23B49"/>
    <w:rsid w:val="00E23DC8"/>
    <w:rsid w:val="00E240DF"/>
    <w:rsid w:val="00E25113"/>
    <w:rsid w:val="00E27653"/>
    <w:rsid w:val="00E2766B"/>
    <w:rsid w:val="00E30DAD"/>
    <w:rsid w:val="00E31D7C"/>
    <w:rsid w:val="00E35E16"/>
    <w:rsid w:val="00E36100"/>
    <w:rsid w:val="00E374E5"/>
    <w:rsid w:val="00E42165"/>
    <w:rsid w:val="00E42DE5"/>
    <w:rsid w:val="00E433A7"/>
    <w:rsid w:val="00E4452F"/>
    <w:rsid w:val="00E4528A"/>
    <w:rsid w:val="00E4697A"/>
    <w:rsid w:val="00E47AAB"/>
    <w:rsid w:val="00E50A71"/>
    <w:rsid w:val="00E5137B"/>
    <w:rsid w:val="00E51D0B"/>
    <w:rsid w:val="00E52E03"/>
    <w:rsid w:val="00E54218"/>
    <w:rsid w:val="00E54956"/>
    <w:rsid w:val="00E54C82"/>
    <w:rsid w:val="00E552C5"/>
    <w:rsid w:val="00E55D40"/>
    <w:rsid w:val="00E55E6E"/>
    <w:rsid w:val="00E56D2D"/>
    <w:rsid w:val="00E57901"/>
    <w:rsid w:val="00E62166"/>
    <w:rsid w:val="00E62B6D"/>
    <w:rsid w:val="00E65383"/>
    <w:rsid w:val="00E66EDA"/>
    <w:rsid w:val="00E67AA8"/>
    <w:rsid w:val="00E67C84"/>
    <w:rsid w:val="00E72670"/>
    <w:rsid w:val="00E727B5"/>
    <w:rsid w:val="00E73156"/>
    <w:rsid w:val="00E73710"/>
    <w:rsid w:val="00E74881"/>
    <w:rsid w:val="00E75031"/>
    <w:rsid w:val="00E8288E"/>
    <w:rsid w:val="00E8493D"/>
    <w:rsid w:val="00E855EE"/>
    <w:rsid w:val="00E85769"/>
    <w:rsid w:val="00E86C6D"/>
    <w:rsid w:val="00E9037E"/>
    <w:rsid w:val="00E91DE1"/>
    <w:rsid w:val="00E91EA9"/>
    <w:rsid w:val="00E91F53"/>
    <w:rsid w:val="00E92D08"/>
    <w:rsid w:val="00E932E3"/>
    <w:rsid w:val="00E93D96"/>
    <w:rsid w:val="00E95357"/>
    <w:rsid w:val="00E97286"/>
    <w:rsid w:val="00EA1844"/>
    <w:rsid w:val="00EA1A72"/>
    <w:rsid w:val="00EA27E9"/>
    <w:rsid w:val="00EA4AF9"/>
    <w:rsid w:val="00EA4D0A"/>
    <w:rsid w:val="00EA4DFC"/>
    <w:rsid w:val="00EA4E62"/>
    <w:rsid w:val="00EA5AE9"/>
    <w:rsid w:val="00EA5BE0"/>
    <w:rsid w:val="00EA663F"/>
    <w:rsid w:val="00EA6B48"/>
    <w:rsid w:val="00EA7589"/>
    <w:rsid w:val="00EA75B0"/>
    <w:rsid w:val="00EA7BE8"/>
    <w:rsid w:val="00EB153C"/>
    <w:rsid w:val="00EB27DA"/>
    <w:rsid w:val="00EB2F33"/>
    <w:rsid w:val="00EB48F0"/>
    <w:rsid w:val="00EB4EF0"/>
    <w:rsid w:val="00EB5852"/>
    <w:rsid w:val="00EB5905"/>
    <w:rsid w:val="00EB5A6F"/>
    <w:rsid w:val="00EB7460"/>
    <w:rsid w:val="00EB7C64"/>
    <w:rsid w:val="00EC24BD"/>
    <w:rsid w:val="00EC25DA"/>
    <w:rsid w:val="00EC430D"/>
    <w:rsid w:val="00EC43AB"/>
    <w:rsid w:val="00EC4F41"/>
    <w:rsid w:val="00EC68AF"/>
    <w:rsid w:val="00EC6FF0"/>
    <w:rsid w:val="00EC78DD"/>
    <w:rsid w:val="00EC7FDC"/>
    <w:rsid w:val="00ED203B"/>
    <w:rsid w:val="00ED22E9"/>
    <w:rsid w:val="00ED34B0"/>
    <w:rsid w:val="00ED4A3B"/>
    <w:rsid w:val="00ED634B"/>
    <w:rsid w:val="00ED6DA6"/>
    <w:rsid w:val="00ED6F46"/>
    <w:rsid w:val="00ED7592"/>
    <w:rsid w:val="00EE255F"/>
    <w:rsid w:val="00EE46D2"/>
    <w:rsid w:val="00EE4D75"/>
    <w:rsid w:val="00EE5C23"/>
    <w:rsid w:val="00EE5FC4"/>
    <w:rsid w:val="00EF0137"/>
    <w:rsid w:val="00EF0959"/>
    <w:rsid w:val="00EF159C"/>
    <w:rsid w:val="00EF326D"/>
    <w:rsid w:val="00EF3547"/>
    <w:rsid w:val="00EF5F8E"/>
    <w:rsid w:val="00EF6DD9"/>
    <w:rsid w:val="00F02235"/>
    <w:rsid w:val="00F05EF4"/>
    <w:rsid w:val="00F06B08"/>
    <w:rsid w:val="00F079B2"/>
    <w:rsid w:val="00F10B77"/>
    <w:rsid w:val="00F11634"/>
    <w:rsid w:val="00F11812"/>
    <w:rsid w:val="00F11D08"/>
    <w:rsid w:val="00F11E1A"/>
    <w:rsid w:val="00F121BD"/>
    <w:rsid w:val="00F123F1"/>
    <w:rsid w:val="00F12C86"/>
    <w:rsid w:val="00F14F3B"/>
    <w:rsid w:val="00F17F70"/>
    <w:rsid w:val="00F201D7"/>
    <w:rsid w:val="00F20731"/>
    <w:rsid w:val="00F210AD"/>
    <w:rsid w:val="00F21431"/>
    <w:rsid w:val="00F21BEA"/>
    <w:rsid w:val="00F21BF2"/>
    <w:rsid w:val="00F22406"/>
    <w:rsid w:val="00F2529B"/>
    <w:rsid w:val="00F25857"/>
    <w:rsid w:val="00F2607D"/>
    <w:rsid w:val="00F260F8"/>
    <w:rsid w:val="00F261C3"/>
    <w:rsid w:val="00F2746D"/>
    <w:rsid w:val="00F32304"/>
    <w:rsid w:val="00F3246F"/>
    <w:rsid w:val="00F32B51"/>
    <w:rsid w:val="00F32D16"/>
    <w:rsid w:val="00F341C6"/>
    <w:rsid w:val="00F342E2"/>
    <w:rsid w:val="00F34771"/>
    <w:rsid w:val="00F34C12"/>
    <w:rsid w:val="00F363D8"/>
    <w:rsid w:val="00F3650E"/>
    <w:rsid w:val="00F37A06"/>
    <w:rsid w:val="00F407A3"/>
    <w:rsid w:val="00F40CE0"/>
    <w:rsid w:val="00F41673"/>
    <w:rsid w:val="00F41DD3"/>
    <w:rsid w:val="00F4223E"/>
    <w:rsid w:val="00F42EC5"/>
    <w:rsid w:val="00F430C7"/>
    <w:rsid w:val="00F4321F"/>
    <w:rsid w:val="00F43A8E"/>
    <w:rsid w:val="00F449BA"/>
    <w:rsid w:val="00F46CF7"/>
    <w:rsid w:val="00F47FA8"/>
    <w:rsid w:val="00F51B23"/>
    <w:rsid w:val="00F5419D"/>
    <w:rsid w:val="00F541C2"/>
    <w:rsid w:val="00F558B2"/>
    <w:rsid w:val="00F55D03"/>
    <w:rsid w:val="00F606DE"/>
    <w:rsid w:val="00F61430"/>
    <w:rsid w:val="00F6206D"/>
    <w:rsid w:val="00F628FC"/>
    <w:rsid w:val="00F62CC8"/>
    <w:rsid w:val="00F63AEC"/>
    <w:rsid w:val="00F641C0"/>
    <w:rsid w:val="00F6426A"/>
    <w:rsid w:val="00F64A02"/>
    <w:rsid w:val="00F66B8E"/>
    <w:rsid w:val="00F70395"/>
    <w:rsid w:val="00F72B72"/>
    <w:rsid w:val="00F740B9"/>
    <w:rsid w:val="00F74F2C"/>
    <w:rsid w:val="00F7529E"/>
    <w:rsid w:val="00F76A93"/>
    <w:rsid w:val="00F76D5F"/>
    <w:rsid w:val="00F77ABD"/>
    <w:rsid w:val="00F77C00"/>
    <w:rsid w:val="00F80401"/>
    <w:rsid w:val="00F80C38"/>
    <w:rsid w:val="00F81E90"/>
    <w:rsid w:val="00F8273E"/>
    <w:rsid w:val="00F82960"/>
    <w:rsid w:val="00F82EA6"/>
    <w:rsid w:val="00F83BF3"/>
    <w:rsid w:val="00F84911"/>
    <w:rsid w:val="00F84980"/>
    <w:rsid w:val="00F9176E"/>
    <w:rsid w:val="00F9187A"/>
    <w:rsid w:val="00F925C3"/>
    <w:rsid w:val="00F93686"/>
    <w:rsid w:val="00F93C54"/>
    <w:rsid w:val="00F96A37"/>
    <w:rsid w:val="00F97794"/>
    <w:rsid w:val="00FA11B8"/>
    <w:rsid w:val="00FA1881"/>
    <w:rsid w:val="00FA2A2A"/>
    <w:rsid w:val="00FA2BB3"/>
    <w:rsid w:val="00FA3531"/>
    <w:rsid w:val="00FA58EF"/>
    <w:rsid w:val="00FA7123"/>
    <w:rsid w:val="00FA7142"/>
    <w:rsid w:val="00FA7350"/>
    <w:rsid w:val="00FA798B"/>
    <w:rsid w:val="00FB09E5"/>
    <w:rsid w:val="00FB644A"/>
    <w:rsid w:val="00FC18A2"/>
    <w:rsid w:val="00FC2EEC"/>
    <w:rsid w:val="00FC6155"/>
    <w:rsid w:val="00FC6946"/>
    <w:rsid w:val="00FC7ADE"/>
    <w:rsid w:val="00FC7B69"/>
    <w:rsid w:val="00FD14C8"/>
    <w:rsid w:val="00FD2931"/>
    <w:rsid w:val="00FD6850"/>
    <w:rsid w:val="00FD68E4"/>
    <w:rsid w:val="00FE09CC"/>
    <w:rsid w:val="00FE0EC0"/>
    <w:rsid w:val="00FE124E"/>
    <w:rsid w:val="00FE15C4"/>
    <w:rsid w:val="00FE2603"/>
    <w:rsid w:val="00FE343A"/>
    <w:rsid w:val="00FE3A0D"/>
    <w:rsid w:val="00FE56D2"/>
    <w:rsid w:val="00FE59D6"/>
    <w:rsid w:val="00FE6917"/>
    <w:rsid w:val="00FE6E01"/>
    <w:rsid w:val="00FF00D0"/>
    <w:rsid w:val="00FF0647"/>
    <w:rsid w:val="00FF120E"/>
    <w:rsid w:val="00FF1985"/>
    <w:rsid w:val="00FF1E3C"/>
    <w:rsid w:val="00FF2C45"/>
    <w:rsid w:val="00FF3560"/>
    <w:rsid w:val="00FF3BD0"/>
    <w:rsid w:val="00FF48AE"/>
    <w:rsid w:val="00FF504A"/>
    <w:rsid w:val="00FF56AE"/>
    <w:rsid w:val="00FF5887"/>
    <w:rsid w:val="00FF6AB3"/>
    <w:rsid w:val="017149DC"/>
    <w:rsid w:val="017F0419"/>
    <w:rsid w:val="01B0035E"/>
    <w:rsid w:val="02A93B2F"/>
    <w:rsid w:val="02B1794E"/>
    <w:rsid w:val="02DB41C7"/>
    <w:rsid w:val="03010756"/>
    <w:rsid w:val="032920CF"/>
    <w:rsid w:val="033E4BBF"/>
    <w:rsid w:val="038D16A3"/>
    <w:rsid w:val="03BD5AE4"/>
    <w:rsid w:val="03C2759E"/>
    <w:rsid w:val="04642403"/>
    <w:rsid w:val="046B0B81"/>
    <w:rsid w:val="04C737E2"/>
    <w:rsid w:val="051A6F66"/>
    <w:rsid w:val="052C7503"/>
    <w:rsid w:val="05E94240"/>
    <w:rsid w:val="06011ED8"/>
    <w:rsid w:val="063C1B1A"/>
    <w:rsid w:val="066449C6"/>
    <w:rsid w:val="06E4782C"/>
    <w:rsid w:val="07F14A12"/>
    <w:rsid w:val="08234384"/>
    <w:rsid w:val="08315ADF"/>
    <w:rsid w:val="08B008BC"/>
    <w:rsid w:val="08E27D9B"/>
    <w:rsid w:val="08F16230"/>
    <w:rsid w:val="08F71A98"/>
    <w:rsid w:val="08FC70AE"/>
    <w:rsid w:val="090221EB"/>
    <w:rsid w:val="09047D11"/>
    <w:rsid w:val="093C3628"/>
    <w:rsid w:val="09405A02"/>
    <w:rsid w:val="09A6405C"/>
    <w:rsid w:val="09AB2883"/>
    <w:rsid w:val="0A185FBA"/>
    <w:rsid w:val="0A5C4871"/>
    <w:rsid w:val="0ABB4D5E"/>
    <w:rsid w:val="0B2B4625"/>
    <w:rsid w:val="0B426827"/>
    <w:rsid w:val="0BAB62AB"/>
    <w:rsid w:val="0BBE689D"/>
    <w:rsid w:val="0BC2386E"/>
    <w:rsid w:val="0BE300B2"/>
    <w:rsid w:val="0C674DD5"/>
    <w:rsid w:val="0C774C9E"/>
    <w:rsid w:val="0C8106BD"/>
    <w:rsid w:val="0CB10376"/>
    <w:rsid w:val="0CC76B18"/>
    <w:rsid w:val="0CCE0D62"/>
    <w:rsid w:val="0CF25960"/>
    <w:rsid w:val="0D022D81"/>
    <w:rsid w:val="0D1471FC"/>
    <w:rsid w:val="0D5D5C42"/>
    <w:rsid w:val="0DD9341B"/>
    <w:rsid w:val="0DE92646"/>
    <w:rsid w:val="0E9D7E6D"/>
    <w:rsid w:val="0F5B21EB"/>
    <w:rsid w:val="0F854B4D"/>
    <w:rsid w:val="107B6716"/>
    <w:rsid w:val="109A0F5B"/>
    <w:rsid w:val="10A5515D"/>
    <w:rsid w:val="11170296"/>
    <w:rsid w:val="113413B0"/>
    <w:rsid w:val="11423ACC"/>
    <w:rsid w:val="11C56F82"/>
    <w:rsid w:val="11EA1A6B"/>
    <w:rsid w:val="12117DB8"/>
    <w:rsid w:val="122C48A4"/>
    <w:rsid w:val="12E77EAE"/>
    <w:rsid w:val="145A737F"/>
    <w:rsid w:val="14932B9F"/>
    <w:rsid w:val="14942891"/>
    <w:rsid w:val="14D5509D"/>
    <w:rsid w:val="151D7C9E"/>
    <w:rsid w:val="1525173B"/>
    <w:rsid w:val="15437E13"/>
    <w:rsid w:val="155B7ED3"/>
    <w:rsid w:val="158A63F2"/>
    <w:rsid w:val="1598015F"/>
    <w:rsid w:val="160027CF"/>
    <w:rsid w:val="172F5370"/>
    <w:rsid w:val="176C3B22"/>
    <w:rsid w:val="180D5282"/>
    <w:rsid w:val="18505053"/>
    <w:rsid w:val="185A16FC"/>
    <w:rsid w:val="18815EBF"/>
    <w:rsid w:val="18F465E3"/>
    <w:rsid w:val="19FA24E6"/>
    <w:rsid w:val="1A330456"/>
    <w:rsid w:val="1A3A7069"/>
    <w:rsid w:val="1A512716"/>
    <w:rsid w:val="1A646862"/>
    <w:rsid w:val="1A7647E7"/>
    <w:rsid w:val="1B033C7C"/>
    <w:rsid w:val="1B8743E8"/>
    <w:rsid w:val="1B877B80"/>
    <w:rsid w:val="1BE85270"/>
    <w:rsid w:val="1BF05D3E"/>
    <w:rsid w:val="1C961170"/>
    <w:rsid w:val="1CCD6B3D"/>
    <w:rsid w:val="1CD34B02"/>
    <w:rsid w:val="1D555328"/>
    <w:rsid w:val="1E446F10"/>
    <w:rsid w:val="1E4B43F9"/>
    <w:rsid w:val="1E7A6B3F"/>
    <w:rsid w:val="1EC37BCD"/>
    <w:rsid w:val="1EE67810"/>
    <w:rsid w:val="1EFA69A2"/>
    <w:rsid w:val="1F240CB5"/>
    <w:rsid w:val="1F261F29"/>
    <w:rsid w:val="1F527273"/>
    <w:rsid w:val="1F8E783A"/>
    <w:rsid w:val="203B6335"/>
    <w:rsid w:val="20552210"/>
    <w:rsid w:val="2070748D"/>
    <w:rsid w:val="20740B35"/>
    <w:rsid w:val="20D12777"/>
    <w:rsid w:val="21364B43"/>
    <w:rsid w:val="213A031C"/>
    <w:rsid w:val="21651A56"/>
    <w:rsid w:val="21CF2305"/>
    <w:rsid w:val="2208666C"/>
    <w:rsid w:val="221A2DC0"/>
    <w:rsid w:val="22557608"/>
    <w:rsid w:val="22C257E0"/>
    <w:rsid w:val="23005595"/>
    <w:rsid w:val="2347045A"/>
    <w:rsid w:val="23D04AFB"/>
    <w:rsid w:val="240964E8"/>
    <w:rsid w:val="24210D53"/>
    <w:rsid w:val="24266F40"/>
    <w:rsid w:val="24284930"/>
    <w:rsid w:val="24E3525A"/>
    <w:rsid w:val="24F15BCE"/>
    <w:rsid w:val="25230953"/>
    <w:rsid w:val="258C4EBE"/>
    <w:rsid w:val="25BE76BC"/>
    <w:rsid w:val="25C40AFC"/>
    <w:rsid w:val="25EA3429"/>
    <w:rsid w:val="25F50CB6"/>
    <w:rsid w:val="261C1726"/>
    <w:rsid w:val="262F3B44"/>
    <w:rsid w:val="26881B2A"/>
    <w:rsid w:val="26C03072"/>
    <w:rsid w:val="27336EA3"/>
    <w:rsid w:val="276010B8"/>
    <w:rsid w:val="27DD7C53"/>
    <w:rsid w:val="280D5870"/>
    <w:rsid w:val="28EE4A43"/>
    <w:rsid w:val="294C5091"/>
    <w:rsid w:val="2A2C6C70"/>
    <w:rsid w:val="2A3F0751"/>
    <w:rsid w:val="2A443A74"/>
    <w:rsid w:val="2A5276CC"/>
    <w:rsid w:val="2A7F3244"/>
    <w:rsid w:val="2AF3311B"/>
    <w:rsid w:val="2B1240B8"/>
    <w:rsid w:val="2B2E5E2F"/>
    <w:rsid w:val="2B471579"/>
    <w:rsid w:val="2BA36B57"/>
    <w:rsid w:val="2BB313F7"/>
    <w:rsid w:val="2C290928"/>
    <w:rsid w:val="2C4E7372"/>
    <w:rsid w:val="2D0D2D89"/>
    <w:rsid w:val="2D9F04D0"/>
    <w:rsid w:val="2E425882"/>
    <w:rsid w:val="2E5D63A7"/>
    <w:rsid w:val="2EBF4B49"/>
    <w:rsid w:val="2EC37999"/>
    <w:rsid w:val="2F320BDA"/>
    <w:rsid w:val="2F4A6550"/>
    <w:rsid w:val="301B756B"/>
    <w:rsid w:val="3034062C"/>
    <w:rsid w:val="305A6DC2"/>
    <w:rsid w:val="30922964"/>
    <w:rsid w:val="30BA6D84"/>
    <w:rsid w:val="318D791C"/>
    <w:rsid w:val="31E85B2B"/>
    <w:rsid w:val="32370010"/>
    <w:rsid w:val="32BF4B25"/>
    <w:rsid w:val="32C00185"/>
    <w:rsid w:val="32CE4D68"/>
    <w:rsid w:val="32E20814"/>
    <w:rsid w:val="32FB52D3"/>
    <w:rsid w:val="333D462E"/>
    <w:rsid w:val="33442CBD"/>
    <w:rsid w:val="33892DF2"/>
    <w:rsid w:val="33AD2BD0"/>
    <w:rsid w:val="344D447F"/>
    <w:rsid w:val="34AE437F"/>
    <w:rsid w:val="34BD5492"/>
    <w:rsid w:val="34F57737"/>
    <w:rsid w:val="350C3926"/>
    <w:rsid w:val="351D3D85"/>
    <w:rsid w:val="363B2715"/>
    <w:rsid w:val="36873BAC"/>
    <w:rsid w:val="368C11C2"/>
    <w:rsid w:val="37072C34"/>
    <w:rsid w:val="37180CA8"/>
    <w:rsid w:val="372431A9"/>
    <w:rsid w:val="375810A4"/>
    <w:rsid w:val="37B944C8"/>
    <w:rsid w:val="37C11451"/>
    <w:rsid w:val="384E2916"/>
    <w:rsid w:val="38653A79"/>
    <w:rsid w:val="38EB6C68"/>
    <w:rsid w:val="39730417"/>
    <w:rsid w:val="399157A6"/>
    <w:rsid w:val="39A364DE"/>
    <w:rsid w:val="3B732951"/>
    <w:rsid w:val="3BF35840"/>
    <w:rsid w:val="3C863A1C"/>
    <w:rsid w:val="3D421C50"/>
    <w:rsid w:val="3D6C4D19"/>
    <w:rsid w:val="3D6D1908"/>
    <w:rsid w:val="3D830794"/>
    <w:rsid w:val="3DB64A21"/>
    <w:rsid w:val="3DEA7FBF"/>
    <w:rsid w:val="3E3D638D"/>
    <w:rsid w:val="3E944997"/>
    <w:rsid w:val="3ED437FA"/>
    <w:rsid w:val="3F6A65BA"/>
    <w:rsid w:val="3FAF5B9F"/>
    <w:rsid w:val="408077B7"/>
    <w:rsid w:val="40992D2E"/>
    <w:rsid w:val="40CD48B1"/>
    <w:rsid w:val="40D614B8"/>
    <w:rsid w:val="41586BF6"/>
    <w:rsid w:val="42220C2D"/>
    <w:rsid w:val="42843695"/>
    <w:rsid w:val="43602D4F"/>
    <w:rsid w:val="436549B3"/>
    <w:rsid w:val="438F1AD4"/>
    <w:rsid w:val="446A25E1"/>
    <w:rsid w:val="448B0D0B"/>
    <w:rsid w:val="44D34460"/>
    <w:rsid w:val="44D81A76"/>
    <w:rsid w:val="44E17603"/>
    <w:rsid w:val="44F00DD0"/>
    <w:rsid w:val="45101210"/>
    <w:rsid w:val="4537679D"/>
    <w:rsid w:val="45D3473A"/>
    <w:rsid w:val="460040BB"/>
    <w:rsid w:val="46081EE8"/>
    <w:rsid w:val="461F3BB2"/>
    <w:rsid w:val="464A4ED7"/>
    <w:rsid w:val="465D3F9B"/>
    <w:rsid w:val="467D0C55"/>
    <w:rsid w:val="4693055E"/>
    <w:rsid w:val="46DA4DD9"/>
    <w:rsid w:val="46DD5122"/>
    <w:rsid w:val="46FF778E"/>
    <w:rsid w:val="471C20EE"/>
    <w:rsid w:val="47246F9A"/>
    <w:rsid w:val="474D674C"/>
    <w:rsid w:val="475E7A8B"/>
    <w:rsid w:val="47D711A6"/>
    <w:rsid w:val="47E1039E"/>
    <w:rsid w:val="4896239C"/>
    <w:rsid w:val="489D2798"/>
    <w:rsid w:val="48EA5CDB"/>
    <w:rsid w:val="48F0738F"/>
    <w:rsid w:val="493C0826"/>
    <w:rsid w:val="49653977"/>
    <w:rsid w:val="49C01C51"/>
    <w:rsid w:val="49F41101"/>
    <w:rsid w:val="4A4A19B3"/>
    <w:rsid w:val="4A7F6DC7"/>
    <w:rsid w:val="4B0610EB"/>
    <w:rsid w:val="4B5E72FC"/>
    <w:rsid w:val="4B887D52"/>
    <w:rsid w:val="4BEC4616"/>
    <w:rsid w:val="4BEF4ECA"/>
    <w:rsid w:val="4C2537F3"/>
    <w:rsid w:val="4CCF20E6"/>
    <w:rsid w:val="4D1869E5"/>
    <w:rsid w:val="4D64659D"/>
    <w:rsid w:val="4D7C38E7"/>
    <w:rsid w:val="4DD252B5"/>
    <w:rsid w:val="4E216020"/>
    <w:rsid w:val="4E6E29BE"/>
    <w:rsid w:val="4F0E5101"/>
    <w:rsid w:val="4F512B51"/>
    <w:rsid w:val="4FE90FDC"/>
    <w:rsid w:val="50701A6F"/>
    <w:rsid w:val="50A5584E"/>
    <w:rsid w:val="50B13DFB"/>
    <w:rsid w:val="50CA2BBB"/>
    <w:rsid w:val="510452DE"/>
    <w:rsid w:val="513444D8"/>
    <w:rsid w:val="51626FFE"/>
    <w:rsid w:val="51840FE8"/>
    <w:rsid w:val="51CE2237"/>
    <w:rsid w:val="51F6353C"/>
    <w:rsid w:val="525C7843"/>
    <w:rsid w:val="52BC083F"/>
    <w:rsid w:val="52F953D7"/>
    <w:rsid w:val="53AF7E46"/>
    <w:rsid w:val="54471DE8"/>
    <w:rsid w:val="54AF3AB7"/>
    <w:rsid w:val="54DA7A98"/>
    <w:rsid w:val="54F82FF4"/>
    <w:rsid w:val="55CC4C12"/>
    <w:rsid w:val="561B17C3"/>
    <w:rsid w:val="56C50E7F"/>
    <w:rsid w:val="56C81B55"/>
    <w:rsid w:val="571B6D4F"/>
    <w:rsid w:val="578D68C3"/>
    <w:rsid w:val="57CF6D09"/>
    <w:rsid w:val="58FE78A6"/>
    <w:rsid w:val="591E74B9"/>
    <w:rsid w:val="59A41257"/>
    <w:rsid w:val="59E4332A"/>
    <w:rsid w:val="5A0F0005"/>
    <w:rsid w:val="5AEC60DA"/>
    <w:rsid w:val="5B647768"/>
    <w:rsid w:val="5B7006AF"/>
    <w:rsid w:val="5C3B496D"/>
    <w:rsid w:val="5C473312"/>
    <w:rsid w:val="5C605C82"/>
    <w:rsid w:val="5C922CA1"/>
    <w:rsid w:val="5D431D2B"/>
    <w:rsid w:val="5D616655"/>
    <w:rsid w:val="5DA00CD0"/>
    <w:rsid w:val="5DB22A0D"/>
    <w:rsid w:val="5DE73612"/>
    <w:rsid w:val="5E2558D5"/>
    <w:rsid w:val="5F1F2324"/>
    <w:rsid w:val="5F2F496F"/>
    <w:rsid w:val="5F5D2E4C"/>
    <w:rsid w:val="5FF85648"/>
    <w:rsid w:val="5FF93827"/>
    <w:rsid w:val="60391CA9"/>
    <w:rsid w:val="60C421F5"/>
    <w:rsid w:val="610F3B2A"/>
    <w:rsid w:val="61737D1C"/>
    <w:rsid w:val="61A3598A"/>
    <w:rsid w:val="61C24E40"/>
    <w:rsid w:val="62274BFD"/>
    <w:rsid w:val="624119BB"/>
    <w:rsid w:val="62D653F0"/>
    <w:rsid w:val="6325110A"/>
    <w:rsid w:val="63615A0A"/>
    <w:rsid w:val="63645459"/>
    <w:rsid w:val="63EA73A4"/>
    <w:rsid w:val="64BB409E"/>
    <w:rsid w:val="65322954"/>
    <w:rsid w:val="65332685"/>
    <w:rsid w:val="65B71508"/>
    <w:rsid w:val="65E14610"/>
    <w:rsid w:val="661C7ED9"/>
    <w:rsid w:val="66C10844"/>
    <w:rsid w:val="66D35AD2"/>
    <w:rsid w:val="6703252B"/>
    <w:rsid w:val="671169F6"/>
    <w:rsid w:val="67591334"/>
    <w:rsid w:val="675C32C4"/>
    <w:rsid w:val="68430E58"/>
    <w:rsid w:val="68C205EB"/>
    <w:rsid w:val="693C63AF"/>
    <w:rsid w:val="694F10D7"/>
    <w:rsid w:val="697D0373"/>
    <w:rsid w:val="69A3068A"/>
    <w:rsid w:val="6A262C7B"/>
    <w:rsid w:val="6AA608A5"/>
    <w:rsid w:val="6AB378FF"/>
    <w:rsid w:val="6ACF2E50"/>
    <w:rsid w:val="6B092642"/>
    <w:rsid w:val="6B4B6462"/>
    <w:rsid w:val="6B99520C"/>
    <w:rsid w:val="6D1160A3"/>
    <w:rsid w:val="6D1D3C35"/>
    <w:rsid w:val="6D477E6E"/>
    <w:rsid w:val="6DD75754"/>
    <w:rsid w:val="6E097927"/>
    <w:rsid w:val="6E98699D"/>
    <w:rsid w:val="6ED7516C"/>
    <w:rsid w:val="6EDD7156"/>
    <w:rsid w:val="6F395503"/>
    <w:rsid w:val="6F3C65DA"/>
    <w:rsid w:val="6F655B31"/>
    <w:rsid w:val="6FCE0C7C"/>
    <w:rsid w:val="702C2AF3"/>
    <w:rsid w:val="702F4391"/>
    <w:rsid w:val="70702E41"/>
    <w:rsid w:val="709D624E"/>
    <w:rsid w:val="70AB7EBB"/>
    <w:rsid w:val="70C95159"/>
    <w:rsid w:val="70F94877"/>
    <w:rsid w:val="7102242D"/>
    <w:rsid w:val="7120362B"/>
    <w:rsid w:val="717413EA"/>
    <w:rsid w:val="71AA0173"/>
    <w:rsid w:val="71D8405F"/>
    <w:rsid w:val="72064488"/>
    <w:rsid w:val="723316CF"/>
    <w:rsid w:val="723839D1"/>
    <w:rsid w:val="7285561F"/>
    <w:rsid w:val="72962DC4"/>
    <w:rsid w:val="72FE690C"/>
    <w:rsid w:val="7319311D"/>
    <w:rsid w:val="733A5527"/>
    <w:rsid w:val="7419338E"/>
    <w:rsid w:val="744E6674"/>
    <w:rsid w:val="748F53FE"/>
    <w:rsid w:val="7494406A"/>
    <w:rsid w:val="74AC4202"/>
    <w:rsid w:val="74C06CC5"/>
    <w:rsid w:val="74DC2C2C"/>
    <w:rsid w:val="75035007"/>
    <w:rsid w:val="75B73FDD"/>
    <w:rsid w:val="75FC15FF"/>
    <w:rsid w:val="769D788B"/>
    <w:rsid w:val="76E314EB"/>
    <w:rsid w:val="770440F8"/>
    <w:rsid w:val="770943CA"/>
    <w:rsid w:val="77186FF9"/>
    <w:rsid w:val="77477A5C"/>
    <w:rsid w:val="77C11C4A"/>
    <w:rsid w:val="77F51B55"/>
    <w:rsid w:val="78324DE7"/>
    <w:rsid w:val="7866572F"/>
    <w:rsid w:val="787D5E27"/>
    <w:rsid w:val="78B13B95"/>
    <w:rsid w:val="78EA7678"/>
    <w:rsid w:val="799E38A7"/>
    <w:rsid w:val="79E60341"/>
    <w:rsid w:val="7A814A1B"/>
    <w:rsid w:val="7AE5221C"/>
    <w:rsid w:val="7AFC6A44"/>
    <w:rsid w:val="7B036ACB"/>
    <w:rsid w:val="7B0B379D"/>
    <w:rsid w:val="7B136D2E"/>
    <w:rsid w:val="7B166879"/>
    <w:rsid w:val="7B2345AB"/>
    <w:rsid w:val="7B3B62E0"/>
    <w:rsid w:val="7B9C6D7F"/>
    <w:rsid w:val="7BAA111C"/>
    <w:rsid w:val="7BB22021"/>
    <w:rsid w:val="7BFA3AA5"/>
    <w:rsid w:val="7C1009D7"/>
    <w:rsid w:val="7C3A6597"/>
    <w:rsid w:val="7C7623EB"/>
    <w:rsid w:val="7C765821"/>
    <w:rsid w:val="7CEFDACB"/>
    <w:rsid w:val="7D660289"/>
    <w:rsid w:val="7D965A4F"/>
    <w:rsid w:val="7DC51E91"/>
    <w:rsid w:val="7E340975"/>
    <w:rsid w:val="7E3732AC"/>
    <w:rsid w:val="7E5D785B"/>
    <w:rsid w:val="7EAA7A04"/>
    <w:rsid w:val="7EED5B43"/>
    <w:rsid w:val="7EF16DC7"/>
    <w:rsid w:val="7F4B6E66"/>
    <w:rsid w:val="7F8474BB"/>
    <w:rsid w:val="7F952B2F"/>
    <w:rsid w:val="7FF200BC"/>
    <w:rsid w:val="EBFB781D"/>
    <w:rsid w:val="FFFF68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0"/>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1"/>
    <w:qFormat/>
    <w:uiPriority w:val="0"/>
    <w:pPr>
      <w:keepNext/>
      <w:keepLines/>
      <w:tabs>
        <w:tab w:val="left" w:pos="1740"/>
      </w:tabs>
      <w:spacing w:before="260" w:line="413" w:lineRule="auto"/>
      <w:ind w:left="1740"/>
      <w:outlineLvl w:val="2"/>
    </w:pPr>
    <w:rPr>
      <w:b/>
      <w:bCs/>
      <w:kern w:val="0"/>
      <w:sz w:val="32"/>
      <w:szCs w:val="32"/>
    </w:rPr>
  </w:style>
  <w:style w:type="paragraph" w:styleId="7">
    <w:name w:val="heading 4"/>
    <w:basedOn w:val="1"/>
    <w:next w:val="1"/>
    <w:link w:val="62"/>
    <w:qFormat/>
    <w:uiPriority w:val="0"/>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63"/>
    <w:qFormat/>
    <w:uiPriority w:val="0"/>
    <w:pPr>
      <w:keepNext/>
      <w:keepLines/>
      <w:tabs>
        <w:tab w:val="left" w:pos="2580"/>
      </w:tabs>
      <w:spacing w:before="280" w:line="372" w:lineRule="auto"/>
      <w:outlineLvl w:val="4"/>
    </w:pPr>
    <w:rPr>
      <w:b/>
      <w:bCs/>
      <w:kern w:val="0"/>
      <w:sz w:val="28"/>
      <w:szCs w:val="28"/>
    </w:rPr>
  </w:style>
  <w:style w:type="paragraph" w:styleId="9">
    <w:name w:val="heading 6"/>
    <w:basedOn w:val="1"/>
    <w:next w:val="1"/>
    <w:link w:val="64"/>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10">
    <w:name w:val="heading 7"/>
    <w:basedOn w:val="1"/>
    <w:next w:val="11"/>
    <w:link w:val="65"/>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2">
    <w:name w:val="heading 8"/>
    <w:basedOn w:val="1"/>
    <w:next w:val="1"/>
    <w:link w:val="66"/>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3">
    <w:name w:val="heading 9"/>
    <w:basedOn w:val="1"/>
    <w:next w:val="1"/>
    <w:link w:val="67"/>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7"/>
    <w:qFormat/>
    <w:uiPriority w:val="99"/>
    <w:pPr>
      <w:spacing w:after="120"/>
    </w:pPr>
    <w:rPr>
      <w:rFonts w:ascii="Calibri" w:hAnsi="Calibri"/>
      <w:kern w:val="0"/>
      <w:sz w:val="28"/>
    </w:rPr>
  </w:style>
  <w:style w:type="paragraph" w:styleId="3">
    <w:name w:val="Body Text First Indent"/>
    <w:basedOn w:val="2"/>
    <w:next w:val="1"/>
    <w:link w:val="96"/>
    <w:unhideWhenUsed/>
    <w:qFormat/>
    <w:uiPriority w:val="0"/>
    <w:pPr>
      <w:ind w:firstLine="420" w:firstLineChars="100"/>
    </w:pPr>
  </w:style>
  <w:style w:type="paragraph" w:customStyle="1" w:styleId="11">
    <w:name w:val="文档正文"/>
    <w:basedOn w:val="1"/>
    <w:qFormat/>
    <w:uiPriority w:val="0"/>
    <w:pPr>
      <w:adjustRightInd w:val="0"/>
      <w:spacing w:before="60" w:line="360" w:lineRule="atLeast"/>
      <w:ind w:firstLine="482"/>
      <w:textAlignment w:val="baseline"/>
    </w:pPr>
    <w:rPr>
      <w:sz w:val="24"/>
    </w:rPr>
  </w:style>
  <w:style w:type="paragraph" w:styleId="14">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5">
    <w:name w:val="Normal Indent"/>
    <w:basedOn w:val="1"/>
    <w:link w:val="102"/>
    <w:qFormat/>
    <w:uiPriority w:val="0"/>
    <w:pPr>
      <w:ind w:firstLine="420"/>
    </w:pPr>
    <w:rPr>
      <w:rFonts w:ascii="Calibri" w:hAnsi="Calibri"/>
      <w:szCs w:val="22"/>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55"/>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8">
    <w:name w:val="annotation text"/>
    <w:basedOn w:val="1"/>
    <w:link w:val="122"/>
    <w:qFormat/>
    <w:uiPriority w:val="0"/>
    <w:pPr>
      <w:spacing w:afterLines="100" w:line="360" w:lineRule="auto"/>
      <w:ind w:firstLine="200" w:firstLineChars="200"/>
      <w:jc w:val="left"/>
    </w:pPr>
    <w:rPr>
      <w:rFonts w:ascii="Calibri" w:hAnsi="Calibri"/>
      <w:kern w:val="0"/>
      <w:sz w:val="24"/>
    </w:rPr>
  </w:style>
  <w:style w:type="paragraph" w:styleId="19">
    <w:name w:val="Body Text 3"/>
    <w:basedOn w:val="1"/>
    <w:link w:val="152"/>
    <w:qFormat/>
    <w:uiPriority w:val="0"/>
    <w:pPr>
      <w:snapToGrid w:val="0"/>
      <w:spacing w:before="50" w:after="50"/>
    </w:pPr>
    <w:rPr>
      <w:rFonts w:ascii="Calibri" w:hAnsi="宋体" w:eastAsia="仿宋_GB2312"/>
      <w:b/>
      <w:bCs/>
      <w:kern w:val="0"/>
      <w:sz w:val="24"/>
      <w:szCs w:val="20"/>
    </w:rPr>
  </w:style>
  <w:style w:type="paragraph" w:styleId="20">
    <w:name w:val="Body Text Indent"/>
    <w:basedOn w:val="1"/>
    <w:link w:val="73"/>
    <w:unhideWhenUsed/>
    <w:qFormat/>
    <w:uiPriority w:val="0"/>
    <w:pPr>
      <w:spacing w:after="120"/>
      <w:ind w:left="420" w:leftChars="200"/>
    </w:pPr>
    <w:rPr>
      <w:kern w:val="0"/>
      <w:sz w:val="20"/>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100" w:leftChars="200" w:hanging="200" w:hangingChars="200"/>
    </w:pPr>
    <w:rPr>
      <w:sz w:val="28"/>
    </w:rPr>
  </w:style>
  <w:style w:type="paragraph" w:styleId="23">
    <w:name w:val="toc 3"/>
    <w:basedOn w:val="1"/>
    <w:next w:val="1"/>
    <w:qFormat/>
    <w:uiPriority w:val="39"/>
    <w:pPr>
      <w:spacing w:line="360" w:lineRule="auto"/>
      <w:ind w:left="480" w:firstLine="200" w:firstLineChars="200"/>
      <w:jc w:val="left"/>
    </w:pPr>
    <w:rPr>
      <w:i/>
      <w:iCs/>
      <w:sz w:val="20"/>
      <w:szCs w:val="20"/>
    </w:rPr>
  </w:style>
  <w:style w:type="paragraph" w:styleId="24">
    <w:name w:val="Plain Text"/>
    <w:basedOn w:val="1"/>
    <w:link w:val="149"/>
    <w:qFormat/>
    <w:uiPriority w:val="0"/>
    <w:pPr>
      <w:spacing w:beforeLines="50" w:afterLines="50" w:line="400" w:lineRule="exact"/>
    </w:pPr>
    <w:rPr>
      <w:rFonts w:ascii="宋体" w:hAnsi="Courier New"/>
      <w:kern w:val="0"/>
      <w:sz w:val="24"/>
    </w:rPr>
  </w:style>
  <w:style w:type="paragraph" w:styleId="25">
    <w:name w:val="Date"/>
    <w:basedOn w:val="1"/>
    <w:next w:val="1"/>
    <w:link w:val="133"/>
    <w:qFormat/>
    <w:uiPriority w:val="0"/>
    <w:pPr>
      <w:ind w:left="2500" w:leftChars="2500"/>
    </w:pPr>
    <w:rPr>
      <w:rFonts w:ascii="Calibri" w:hAnsi="Calibri" w:eastAsia="楷体_GB2312"/>
      <w:kern w:val="0"/>
      <w:sz w:val="32"/>
      <w:szCs w:val="20"/>
    </w:rPr>
  </w:style>
  <w:style w:type="paragraph" w:styleId="26">
    <w:name w:val="Body Text Indent 2"/>
    <w:basedOn w:val="1"/>
    <w:link w:val="127"/>
    <w:qFormat/>
    <w:uiPriority w:val="0"/>
    <w:pPr>
      <w:snapToGrid w:val="0"/>
      <w:ind w:firstLine="542" w:firstLineChars="225"/>
    </w:pPr>
    <w:rPr>
      <w:rFonts w:ascii="仿宋_GB2312" w:hAnsi="宋体"/>
      <w:b/>
      <w:bCs/>
      <w:color w:val="000000"/>
      <w:kern w:val="0"/>
      <w:sz w:val="24"/>
    </w:rPr>
  </w:style>
  <w:style w:type="paragraph" w:styleId="27">
    <w:name w:val="Balloon Text"/>
    <w:basedOn w:val="1"/>
    <w:link w:val="70"/>
    <w:unhideWhenUsed/>
    <w:qFormat/>
    <w:uiPriority w:val="0"/>
    <w:rPr>
      <w:rFonts w:ascii="Calibri" w:hAnsi="Calibri"/>
      <w:kern w:val="0"/>
      <w:sz w:val="16"/>
      <w:szCs w:val="16"/>
    </w:rPr>
  </w:style>
  <w:style w:type="paragraph" w:styleId="28">
    <w:name w:val="footer"/>
    <w:basedOn w:val="1"/>
    <w:link w:val="58"/>
    <w:unhideWhenUsed/>
    <w:qFormat/>
    <w:uiPriority w:val="99"/>
    <w:pPr>
      <w:tabs>
        <w:tab w:val="center" w:pos="4153"/>
        <w:tab w:val="right" w:pos="8306"/>
      </w:tabs>
      <w:snapToGrid w:val="0"/>
      <w:jc w:val="left"/>
    </w:pPr>
    <w:rPr>
      <w:rFonts w:ascii="Calibri" w:hAnsi="Calibri"/>
      <w:kern w:val="0"/>
      <w:sz w:val="18"/>
      <w:szCs w:val="18"/>
    </w:rPr>
  </w:style>
  <w:style w:type="paragraph" w:styleId="29">
    <w:name w:val="envelope return"/>
    <w:basedOn w:val="1"/>
    <w:qFormat/>
    <w:uiPriority w:val="0"/>
    <w:pPr>
      <w:widowControl w:val="0"/>
      <w:snapToGrid w:val="0"/>
      <w:spacing w:beforeLines="40" w:afterLines="40" w:line="300" w:lineRule="auto"/>
      <w:ind w:firstLine="420"/>
      <w:jc w:val="both"/>
    </w:pPr>
    <w:rPr>
      <w:rFonts w:ascii="Arial" w:hAnsi="Arial" w:cs="Arial"/>
      <w:kern w:val="2"/>
    </w:rPr>
  </w:style>
  <w:style w:type="paragraph" w:styleId="30">
    <w:name w:val="header"/>
    <w:basedOn w:val="1"/>
    <w:link w:val="57"/>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1">
    <w:name w:val="toc 1"/>
    <w:basedOn w:val="1"/>
    <w:next w:val="1"/>
    <w:qFormat/>
    <w:uiPriority w:val="39"/>
  </w:style>
  <w:style w:type="paragraph" w:styleId="32">
    <w:name w:val="Subtitle"/>
    <w:basedOn w:val="1"/>
    <w:next w:val="1"/>
    <w:link w:val="114"/>
    <w:qFormat/>
    <w:uiPriority w:val="11"/>
    <w:pPr>
      <w:spacing w:before="240" w:after="60" w:line="312" w:lineRule="auto"/>
      <w:jc w:val="center"/>
      <w:outlineLvl w:val="1"/>
    </w:pPr>
    <w:rPr>
      <w:rFonts w:ascii="Cambria" w:hAnsi="Cambria"/>
      <w:b/>
      <w:bCs/>
      <w:kern w:val="28"/>
      <w:sz w:val="32"/>
      <w:szCs w:val="32"/>
    </w:rPr>
  </w:style>
  <w:style w:type="paragraph" w:styleId="33">
    <w:name w:val="List"/>
    <w:basedOn w:val="1"/>
    <w:qFormat/>
    <w:uiPriority w:val="0"/>
    <w:pPr>
      <w:ind w:left="200" w:hanging="200" w:hangingChars="200"/>
    </w:pPr>
    <w:rPr>
      <w:sz w:val="28"/>
    </w:rPr>
  </w:style>
  <w:style w:type="paragraph" w:styleId="34">
    <w:name w:val="footnote text"/>
    <w:basedOn w:val="1"/>
    <w:link w:val="80"/>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5">
    <w:name w:val="Body Text Indent 3"/>
    <w:basedOn w:val="1"/>
    <w:link w:val="124"/>
    <w:qFormat/>
    <w:uiPriority w:val="0"/>
    <w:pPr>
      <w:snapToGrid w:val="0"/>
      <w:ind w:firstLine="480" w:firstLineChars="200"/>
      <w:jc w:val="left"/>
    </w:pPr>
    <w:rPr>
      <w:rFonts w:ascii="仿宋_GB2312" w:hAnsi="宋体" w:eastAsia="仿宋_GB2312"/>
      <w:color w:val="000000"/>
      <w:kern w:val="0"/>
      <w:sz w:val="24"/>
    </w:rPr>
  </w:style>
  <w:style w:type="paragraph" w:styleId="36">
    <w:name w:val="toc 2"/>
    <w:basedOn w:val="1"/>
    <w:next w:val="1"/>
    <w:unhideWhenUsed/>
    <w:qFormat/>
    <w:uiPriority w:val="39"/>
    <w:pPr>
      <w:ind w:left="420" w:leftChars="200"/>
    </w:pPr>
  </w:style>
  <w:style w:type="paragraph" w:styleId="37">
    <w:name w:val="Body Text 2"/>
    <w:basedOn w:val="1"/>
    <w:link w:val="129"/>
    <w:qFormat/>
    <w:uiPriority w:val="0"/>
    <w:pPr>
      <w:widowControl/>
      <w:snapToGrid w:val="0"/>
      <w:spacing w:before="50" w:afterLines="50" w:line="400" w:lineRule="exact"/>
      <w:jc w:val="left"/>
    </w:pPr>
    <w:rPr>
      <w:rFonts w:ascii="宋体" w:hAnsi="宋体"/>
      <w:color w:val="000000"/>
      <w:kern w:val="0"/>
      <w:sz w:val="24"/>
    </w:rPr>
  </w:style>
  <w:style w:type="paragraph" w:styleId="38">
    <w:name w:val="HTML Preformatted"/>
    <w:basedOn w:val="1"/>
    <w:link w:val="137"/>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link w:val="165"/>
    <w:qFormat/>
    <w:uiPriority w:val="99"/>
    <w:pPr>
      <w:widowControl/>
      <w:spacing w:before="100" w:beforeAutospacing="1" w:after="100" w:afterAutospacing="1"/>
      <w:jc w:val="left"/>
    </w:pPr>
    <w:rPr>
      <w:rFonts w:ascii="Calibri" w:hAnsi="Calibri"/>
      <w:kern w:val="0"/>
      <w:sz w:val="24"/>
    </w:rPr>
  </w:style>
  <w:style w:type="paragraph" w:styleId="40">
    <w:name w:val="index 1"/>
    <w:basedOn w:val="1"/>
    <w:next w:val="1"/>
    <w:qFormat/>
    <w:uiPriority w:val="0"/>
    <w:pPr>
      <w:jc w:val="center"/>
    </w:pPr>
    <w:rPr>
      <w:rFonts w:ascii="Arial" w:hAnsi="Arial" w:eastAsia="Arial" w:cs="Arial"/>
      <w:b/>
      <w:bCs/>
      <w:sz w:val="28"/>
      <w:szCs w:val="20"/>
    </w:rPr>
  </w:style>
  <w:style w:type="paragraph" w:styleId="41">
    <w:name w:val="Title"/>
    <w:basedOn w:val="1"/>
    <w:link w:val="372"/>
    <w:qFormat/>
    <w:uiPriority w:val="0"/>
    <w:pPr>
      <w:spacing w:before="240" w:after="60"/>
      <w:jc w:val="center"/>
      <w:outlineLvl w:val="0"/>
    </w:pPr>
    <w:rPr>
      <w:rFonts w:ascii="Arial" w:hAnsi="Arial" w:eastAsia="仿宋_GB2312"/>
      <w:b/>
      <w:bCs/>
      <w:kern w:val="0"/>
      <w:sz w:val="36"/>
      <w:szCs w:val="32"/>
    </w:rPr>
  </w:style>
  <w:style w:type="paragraph" w:styleId="42">
    <w:name w:val="annotation subject"/>
    <w:basedOn w:val="18"/>
    <w:next w:val="18"/>
    <w:link w:val="160"/>
    <w:qFormat/>
    <w:uiPriority w:val="0"/>
    <w:rPr>
      <w:b/>
      <w:bCs/>
    </w:rPr>
  </w:style>
  <w:style w:type="paragraph" w:styleId="43">
    <w:name w:val="Body Text First Indent 2"/>
    <w:basedOn w:val="20"/>
    <w:link w:val="72"/>
    <w:semiHidden/>
    <w:qFormat/>
    <w:uiPriority w:val="0"/>
    <w:pPr>
      <w:spacing w:line="360" w:lineRule="auto"/>
      <w:ind w:firstLine="420" w:firstLineChars="200"/>
    </w:pPr>
    <w:rPr>
      <w:rFonts w:ascii="宋体" w:hAnsi="Courier New"/>
      <w:spacing w:val="-4"/>
      <w:sz w:val="24"/>
    </w:rPr>
  </w:style>
  <w:style w:type="table" w:styleId="45">
    <w:name w:val="Table Grid"/>
    <w:basedOn w:val="44"/>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semiHidden/>
    <w:unhideWhenUsed/>
    <w:qFormat/>
    <w:uiPriority w:val="99"/>
    <w:rPr>
      <w:color w:val="800080"/>
      <w:u w:val="single"/>
    </w:rPr>
  </w:style>
  <w:style w:type="character" w:styleId="50">
    <w:name w:val="Emphasis"/>
    <w:qFormat/>
    <w:uiPriority w:val="0"/>
    <w:rPr>
      <w:i/>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styleId="53">
    <w:name w:val="HTML Cite"/>
    <w:basedOn w:val="46"/>
    <w:semiHidden/>
    <w:unhideWhenUsed/>
    <w:qFormat/>
    <w:uiPriority w:val="99"/>
  </w:style>
  <w:style w:type="paragraph" w:customStyle="1" w:styleId="54">
    <w:name w:val="正文文本 31"/>
    <w:basedOn w:val="1"/>
    <w:qFormat/>
    <w:uiPriority w:val="0"/>
    <w:rPr>
      <w:sz w:val="16"/>
      <w:szCs w:val="16"/>
    </w:rPr>
  </w:style>
  <w:style w:type="paragraph" w:customStyle="1" w:styleId="55">
    <w:name w:val="表格文字"/>
    <w:basedOn w:val="1"/>
    <w:next w:val="2"/>
    <w:qFormat/>
    <w:uiPriority w:val="0"/>
    <w:pPr>
      <w:spacing w:beforeLines="25" w:afterLines="25"/>
      <w:jc w:val="left"/>
    </w:pPr>
    <w:rPr>
      <w:spacing w:val="10"/>
      <w:sz w:val="24"/>
    </w:rPr>
  </w:style>
  <w:style w:type="paragraph" w:customStyle="1" w:styleId="56">
    <w:name w:val="首行缩进"/>
    <w:basedOn w:val="1"/>
    <w:qFormat/>
    <w:uiPriority w:val="0"/>
    <w:pPr>
      <w:spacing w:line="360" w:lineRule="auto"/>
      <w:ind w:firstLine="480" w:firstLineChars="200"/>
    </w:pPr>
    <w:rPr>
      <w:rFonts w:hAnsi="宋体" w:cs="宋体"/>
      <w:sz w:val="24"/>
    </w:rPr>
  </w:style>
  <w:style w:type="character" w:customStyle="1" w:styleId="57">
    <w:name w:val="页眉 字符"/>
    <w:link w:val="30"/>
    <w:qFormat/>
    <w:uiPriority w:val="99"/>
    <w:rPr>
      <w:sz w:val="18"/>
      <w:szCs w:val="18"/>
    </w:rPr>
  </w:style>
  <w:style w:type="character" w:customStyle="1" w:styleId="58">
    <w:name w:val="页脚 字符1"/>
    <w:link w:val="28"/>
    <w:qFormat/>
    <w:uiPriority w:val="99"/>
    <w:rPr>
      <w:sz w:val="18"/>
      <w:szCs w:val="18"/>
    </w:rPr>
  </w:style>
  <w:style w:type="character" w:customStyle="1" w:styleId="59">
    <w:name w:val="标题 1 字符"/>
    <w:link w:val="4"/>
    <w:qFormat/>
    <w:uiPriority w:val="0"/>
    <w:rPr>
      <w:rFonts w:ascii="Times New Roman" w:hAnsi="Times New Roman" w:eastAsia="宋体" w:cs="Times New Roman"/>
      <w:b/>
      <w:bCs/>
      <w:kern w:val="44"/>
      <w:sz w:val="44"/>
      <w:szCs w:val="44"/>
    </w:rPr>
  </w:style>
  <w:style w:type="character" w:customStyle="1" w:styleId="60">
    <w:name w:val="标题 2 字符"/>
    <w:link w:val="5"/>
    <w:qFormat/>
    <w:uiPriority w:val="0"/>
    <w:rPr>
      <w:rFonts w:ascii="Arial" w:hAnsi="Arial" w:eastAsia="黑体" w:cs="Times New Roman"/>
      <w:b/>
      <w:bCs/>
      <w:sz w:val="32"/>
      <w:szCs w:val="32"/>
    </w:rPr>
  </w:style>
  <w:style w:type="character" w:customStyle="1" w:styleId="61">
    <w:name w:val="标题 3 字符"/>
    <w:link w:val="6"/>
    <w:qFormat/>
    <w:uiPriority w:val="0"/>
    <w:rPr>
      <w:rFonts w:ascii="Times New Roman" w:hAnsi="Times New Roman" w:eastAsia="宋体" w:cs="Times New Roman"/>
      <w:b/>
      <w:bCs/>
      <w:sz w:val="32"/>
      <w:szCs w:val="32"/>
    </w:rPr>
  </w:style>
  <w:style w:type="character" w:customStyle="1" w:styleId="62">
    <w:name w:val="标题 4 字符"/>
    <w:link w:val="7"/>
    <w:qFormat/>
    <w:uiPriority w:val="0"/>
    <w:rPr>
      <w:rFonts w:ascii="Cambria" w:hAnsi="Cambria" w:eastAsia="宋体" w:cs="Times New Roman"/>
      <w:b/>
      <w:bCs/>
      <w:sz w:val="28"/>
      <w:szCs w:val="28"/>
    </w:rPr>
  </w:style>
  <w:style w:type="character" w:customStyle="1" w:styleId="63">
    <w:name w:val="标题 5 字符"/>
    <w:link w:val="8"/>
    <w:qFormat/>
    <w:uiPriority w:val="0"/>
    <w:rPr>
      <w:rFonts w:ascii="Times New Roman" w:hAnsi="Times New Roman" w:eastAsia="宋体" w:cs="Times New Roman"/>
      <w:b/>
      <w:bCs/>
      <w:sz w:val="28"/>
      <w:szCs w:val="28"/>
    </w:rPr>
  </w:style>
  <w:style w:type="character" w:customStyle="1" w:styleId="64">
    <w:name w:val="标题 6 字符"/>
    <w:link w:val="9"/>
    <w:qFormat/>
    <w:uiPriority w:val="0"/>
    <w:rPr>
      <w:rFonts w:ascii="Arial" w:hAnsi="Arial" w:eastAsia="黑体" w:cs="Times New Roman"/>
      <w:b/>
      <w:bCs/>
      <w:sz w:val="24"/>
      <w:szCs w:val="24"/>
    </w:rPr>
  </w:style>
  <w:style w:type="character" w:customStyle="1" w:styleId="65">
    <w:name w:val="标题 7 字符"/>
    <w:link w:val="10"/>
    <w:qFormat/>
    <w:uiPriority w:val="0"/>
    <w:rPr>
      <w:rFonts w:ascii="Times New Roman" w:hAnsi="Times New Roman" w:eastAsia="宋体" w:cs="Times New Roman"/>
      <w:b/>
      <w:bCs/>
      <w:sz w:val="24"/>
      <w:szCs w:val="24"/>
    </w:rPr>
  </w:style>
  <w:style w:type="character" w:customStyle="1" w:styleId="66">
    <w:name w:val="标题 8 字符"/>
    <w:link w:val="12"/>
    <w:qFormat/>
    <w:uiPriority w:val="0"/>
    <w:rPr>
      <w:rFonts w:ascii="Arial" w:hAnsi="Arial" w:eastAsia="黑体" w:cs="Times New Roman"/>
      <w:sz w:val="24"/>
      <w:szCs w:val="24"/>
    </w:rPr>
  </w:style>
  <w:style w:type="character" w:customStyle="1" w:styleId="67">
    <w:name w:val="标题 9 字符"/>
    <w:link w:val="13"/>
    <w:qFormat/>
    <w:uiPriority w:val="0"/>
    <w:rPr>
      <w:rFonts w:ascii="Arial" w:hAnsi="Arial" w:eastAsia="黑体" w:cs="Times New Roman"/>
      <w:szCs w:val="21"/>
    </w:rPr>
  </w:style>
  <w:style w:type="paragraph" w:customStyle="1" w:styleId="68">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Char Char4"/>
    <w:qFormat/>
    <w:uiPriority w:val="0"/>
    <w:rPr>
      <w:rFonts w:eastAsia="宋体"/>
      <w:kern w:val="2"/>
      <w:sz w:val="24"/>
      <w:lang w:val="en-US" w:eastAsia="zh-CN" w:bidi="ar-SA"/>
    </w:rPr>
  </w:style>
  <w:style w:type="character" w:customStyle="1" w:styleId="70">
    <w:name w:val="批注框文本 字符"/>
    <w:link w:val="27"/>
    <w:qFormat/>
    <w:uiPriority w:val="0"/>
    <w:rPr>
      <w:sz w:val="16"/>
      <w:szCs w:val="16"/>
    </w:rPr>
  </w:style>
  <w:style w:type="character" w:customStyle="1" w:styleId="71">
    <w:name w:val="批注框文本 Char1"/>
    <w:semiHidden/>
    <w:qFormat/>
    <w:uiPriority w:val="99"/>
    <w:rPr>
      <w:rFonts w:ascii="Times New Roman" w:hAnsi="Times New Roman" w:eastAsia="宋体" w:cs="Times New Roman"/>
      <w:sz w:val="18"/>
      <w:szCs w:val="18"/>
    </w:rPr>
  </w:style>
  <w:style w:type="character" w:customStyle="1" w:styleId="72">
    <w:name w:val="正文文本首行缩进 2 字符"/>
    <w:link w:val="43"/>
    <w:semiHidden/>
    <w:qFormat/>
    <w:uiPriority w:val="0"/>
    <w:rPr>
      <w:rFonts w:ascii="宋体" w:hAnsi="Courier New"/>
      <w:spacing w:val="-4"/>
      <w:sz w:val="24"/>
      <w:szCs w:val="24"/>
    </w:rPr>
  </w:style>
  <w:style w:type="character" w:customStyle="1" w:styleId="73">
    <w:name w:val="正文文本缩进 字符"/>
    <w:link w:val="20"/>
    <w:qFormat/>
    <w:uiPriority w:val="0"/>
    <w:rPr>
      <w:rFonts w:ascii="Times New Roman" w:hAnsi="Times New Roman" w:eastAsia="宋体" w:cs="Times New Roman"/>
      <w:szCs w:val="24"/>
    </w:rPr>
  </w:style>
  <w:style w:type="character" w:customStyle="1" w:styleId="74">
    <w:name w:val="正文首行缩进 2 Char1"/>
    <w:semiHidden/>
    <w:qFormat/>
    <w:uiPriority w:val="99"/>
    <w:rPr>
      <w:rFonts w:ascii="Times New Roman" w:hAnsi="Times New Roman" w:eastAsia="宋体" w:cs="Times New Roman"/>
      <w:szCs w:val="24"/>
    </w:rPr>
  </w:style>
  <w:style w:type="character" w:customStyle="1" w:styleId="75">
    <w:name w:val="投标文件 正文首行缩进 Char"/>
    <w:qFormat/>
    <w:uiPriority w:val="0"/>
    <w:rPr>
      <w:rFonts w:ascii="Arial" w:hAnsi="Arial" w:eastAsia="宋体"/>
      <w:kern w:val="2"/>
      <w:sz w:val="21"/>
      <w:szCs w:val="24"/>
      <w:lang w:val="en-US" w:eastAsia="zh-CN" w:bidi="ar-SA"/>
    </w:rPr>
  </w:style>
  <w:style w:type="character" w:customStyle="1" w:styleId="76">
    <w:name w:val="_正文段落 Char"/>
    <w:qFormat/>
    <w:uiPriority w:val="0"/>
    <w:rPr>
      <w:rFonts w:eastAsia="宋体"/>
      <w:kern w:val="2"/>
      <w:sz w:val="21"/>
      <w:szCs w:val="24"/>
      <w:lang w:val="en-US" w:eastAsia="zh-CN" w:bidi="ar-SA"/>
    </w:rPr>
  </w:style>
  <w:style w:type="character" w:customStyle="1" w:styleId="77">
    <w:name w:val="Char Char17"/>
    <w:qFormat/>
    <w:uiPriority w:val="0"/>
    <w:rPr>
      <w:rFonts w:ascii="Arial" w:hAnsi="Arial" w:eastAsia="黑体"/>
      <w:b/>
      <w:bCs/>
      <w:kern w:val="2"/>
      <w:sz w:val="32"/>
      <w:szCs w:val="32"/>
      <w:lang w:val="en-US" w:eastAsia="zh-CN" w:bidi="ar-SA"/>
    </w:rPr>
  </w:style>
  <w:style w:type="character" w:customStyle="1" w:styleId="78">
    <w:name w:val="Char Char14"/>
    <w:qFormat/>
    <w:uiPriority w:val="0"/>
    <w:rPr>
      <w:rFonts w:eastAsia="宋体"/>
      <w:b/>
      <w:bCs/>
      <w:kern w:val="2"/>
      <w:sz w:val="28"/>
      <w:szCs w:val="28"/>
      <w:lang w:val="en-US" w:eastAsia="zh-CN" w:bidi="ar-SA"/>
    </w:rPr>
  </w:style>
  <w:style w:type="character" w:customStyle="1" w:styleId="79">
    <w:name w:val="ptt1"/>
    <w:qFormat/>
    <w:uiPriority w:val="0"/>
    <w:rPr>
      <w:rFonts w:hint="eastAsia" w:ascii="宋体" w:hAnsi="宋体" w:eastAsia="宋体"/>
      <w:sz w:val="18"/>
      <w:szCs w:val="18"/>
    </w:rPr>
  </w:style>
  <w:style w:type="character" w:customStyle="1" w:styleId="80">
    <w:name w:val="脚注文本 字符"/>
    <w:link w:val="34"/>
    <w:semiHidden/>
    <w:qFormat/>
    <w:uiPriority w:val="0"/>
    <w:rPr>
      <w:sz w:val="18"/>
      <w:szCs w:val="24"/>
    </w:rPr>
  </w:style>
  <w:style w:type="character" w:customStyle="1" w:styleId="81">
    <w:name w:val="脚注文本 Char1"/>
    <w:semiHidden/>
    <w:qFormat/>
    <w:uiPriority w:val="99"/>
    <w:rPr>
      <w:rFonts w:ascii="Times New Roman" w:hAnsi="Times New Roman" w:eastAsia="宋体" w:cs="Times New Roman"/>
      <w:sz w:val="18"/>
      <w:szCs w:val="18"/>
    </w:rPr>
  </w:style>
  <w:style w:type="character" w:customStyle="1" w:styleId="82">
    <w:name w:val="Char Char18"/>
    <w:qFormat/>
    <w:uiPriority w:val="0"/>
    <w:rPr>
      <w:rFonts w:eastAsia="宋体"/>
      <w:b/>
      <w:bCs/>
      <w:kern w:val="44"/>
      <w:sz w:val="44"/>
      <w:szCs w:val="44"/>
      <w:lang w:val="en-US" w:eastAsia="zh-CN" w:bidi="ar-SA"/>
    </w:rPr>
  </w:style>
  <w:style w:type="character" w:customStyle="1" w:styleId="83">
    <w:name w:val="font2"/>
    <w:qFormat/>
    <w:uiPriority w:val="0"/>
  </w:style>
  <w:style w:type="character" w:customStyle="1" w:styleId="84">
    <w:name w:val="缺省文本 Char"/>
    <w:qFormat/>
    <w:uiPriority w:val="0"/>
    <w:rPr>
      <w:rFonts w:eastAsia="宋体"/>
      <w:sz w:val="24"/>
      <w:lang w:val="en-US" w:eastAsia="zh-CN" w:bidi="ar-SA"/>
    </w:rPr>
  </w:style>
  <w:style w:type="character" w:customStyle="1" w:styleId="85">
    <w:name w:val="HTML 预设格式 Char1"/>
    <w:semiHidden/>
    <w:qFormat/>
    <w:uiPriority w:val="99"/>
    <w:rPr>
      <w:rFonts w:ascii="Courier New" w:hAnsi="Courier New"/>
      <w:kern w:val="2"/>
    </w:rPr>
  </w:style>
  <w:style w:type="character" w:customStyle="1" w:styleId="86">
    <w:name w:val="Char Char8"/>
    <w:qFormat/>
    <w:uiPriority w:val="0"/>
    <w:rPr>
      <w:sz w:val="24"/>
    </w:rPr>
  </w:style>
  <w:style w:type="character" w:customStyle="1" w:styleId="87">
    <w:name w:val="Char Char9"/>
    <w:qFormat/>
    <w:uiPriority w:val="0"/>
    <w:rPr>
      <w:rFonts w:ascii="Arial" w:hAnsi="Arial" w:cs="Arial"/>
      <w:vanish/>
      <w:sz w:val="16"/>
      <w:szCs w:val="16"/>
    </w:rPr>
  </w:style>
  <w:style w:type="character" w:customStyle="1" w:styleId="88">
    <w:name w:val="font31"/>
    <w:qFormat/>
    <w:uiPriority w:val="0"/>
    <w:rPr>
      <w:rFonts w:hint="default" w:ascii="Times New Roman" w:hAnsi="Times New Roman" w:cs="Times New Roman"/>
      <w:color w:val="FF0000"/>
      <w:sz w:val="24"/>
      <w:szCs w:val="24"/>
      <w:u w:val="none"/>
    </w:rPr>
  </w:style>
  <w:style w:type="character" w:customStyle="1" w:styleId="89">
    <w:name w:val="列表段落 字符"/>
    <w:link w:val="90"/>
    <w:qFormat/>
    <w:uiPriority w:val="0"/>
    <w:rPr>
      <w:rFonts w:ascii="Calibri" w:hAnsi="Calibri"/>
    </w:rPr>
  </w:style>
  <w:style w:type="paragraph" w:styleId="90">
    <w:name w:val="List Paragraph"/>
    <w:basedOn w:val="1"/>
    <w:link w:val="89"/>
    <w:qFormat/>
    <w:uiPriority w:val="0"/>
    <w:pPr>
      <w:ind w:left="420" w:firstLine="420" w:firstLineChars="200"/>
    </w:pPr>
    <w:rPr>
      <w:rFonts w:ascii="Calibri" w:hAnsi="Calibri"/>
      <w:kern w:val="0"/>
      <w:sz w:val="20"/>
      <w:szCs w:val="20"/>
    </w:rPr>
  </w:style>
  <w:style w:type="character" w:customStyle="1" w:styleId="91">
    <w:name w:val="_标题3 Char"/>
    <w:qFormat/>
    <w:uiPriority w:val="0"/>
    <w:rPr>
      <w:rFonts w:ascii="Arial" w:hAnsi="Arial" w:eastAsia="黑体"/>
      <w:bCs/>
      <w:kern w:val="2"/>
      <w:sz w:val="30"/>
      <w:szCs w:val="32"/>
      <w:lang w:val="en-US" w:eastAsia="zh-CN" w:bidi="ar-SA"/>
    </w:rPr>
  </w:style>
  <w:style w:type="character" w:customStyle="1" w:styleId="92">
    <w:name w:val="_正文段落加粗 Char"/>
    <w:qFormat/>
    <w:uiPriority w:val="0"/>
    <w:rPr>
      <w:rFonts w:eastAsia="宋体"/>
      <w:b/>
      <w:kern w:val="2"/>
      <w:sz w:val="21"/>
      <w:szCs w:val="24"/>
      <w:lang w:val="en-US" w:eastAsia="zh-CN" w:bidi="ar-SA"/>
    </w:rPr>
  </w:style>
  <w:style w:type="character" w:customStyle="1" w:styleId="93">
    <w:name w:val="Char Char"/>
    <w:qFormat/>
    <w:uiPriority w:val="0"/>
    <w:rPr>
      <w:rFonts w:ascii="宋体" w:hAnsi="Courier New"/>
      <w:kern w:val="2"/>
      <w:sz w:val="21"/>
    </w:rPr>
  </w:style>
  <w:style w:type="character" w:customStyle="1" w:styleId="94">
    <w:name w:val="p2"/>
    <w:qFormat/>
    <w:uiPriority w:val="0"/>
  </w:style>
  <w:style w:type="character" w:customStyle="1" w:styleId="95">
    <w:name w:val="_题注 Char"/>
    <w:qFormat/>
    <w:uiPriority w:val="0"/>
    <w:rPr>
      <w:rFonts w:ascii="Arial" w:hAnsi="Arial" w:eastAsia="黑体" w:cs="Arial"/>
      <w:kern w:val="2"/>
      <w:sz w:val="21"/>
      <w:lang w:val="en-US" w:eastAsia="zh-CN" w:bidi="ar-SA"/>
    </w:rPr>
  </w:style>
  <w:style w:type="character" w:customStyle="1" w:styleId="96">
    <w:name w:val="正文文本首行缩进 字符"/>
    <w:link w:val="3"/>
    <w:qFormat/>
    <w:uiPriority w:val="0"/>
    <w:rPr>
      <w:sz w:val="28"/>
      <w:szCs w:val="24"/>
    </w:rPr>
  </w:style>
  <w:style w:type="character" w:customStyle="1" w:styleId="97">
    <w:name w:val="正文文本 字符"/>
    <w:link w:val="2"/>
    <w:qFormat/>
    <w:uiPriority w:val="99"/>
    <w:rPr>
      <w:sz w:val="28"/>
      <w:szCs w:val="24"/>
    </w:rPr>
  </w:style>
  <w:style w:type="character" w:customStyle="1" w:styleId="98">
    <w:name w:val="正文文本 Char1"/>
    <w:semiHidden/>
    <w:qFormat/>
    <w:uiPriority w:val="99"/>
    <w:rPr>
      <w:rFonts w:ascii="Times New Roman" w:hAnsi="Times New Roman" w:eastAsia="宋体" w:cs="Times New Roman"/>
      <w:szCs w:val="24"/>
    </w:rPr>
  </w:style>
  <w:style w:type="character" w:customStyle="1" w:styleId="99">
    <w:name w:val="正文首行缩进 Char1"/>
    <w:semiHidden/>
    <w:qFormat/>
    <w:uiPriority w:val="99"/>
    <w:rPr>
      <w:rFonts w:ascii="Times New Roman" w:hAnsi="Times New Roman" w:eastAsia="宋体" w:cs="Times New Roman"/>
      <w:szCs w:val="24"/>
    </w:rPr>
  </w:style>
  <w:style w:type="character" w:customStyle="1" w:styleId="100">
    <w:name w:val="样式1 Char Char"/>
    <w:link w:val="101"/>
    <w:qFormat/>
    <w:uiPriority w:val="0"/>
    <w:rPr>
      <w:rFonts w:ascii="Arial" w:hAnsi="Arial"/>
      <w:szCs w:val="24"/>
    </w:rPr>
  </w:style>
  <w:style w:type="paragraph" w:customStyle="1" w:styleId="101">
    <w:name w:val="样式1"/>
    <w:basedOn w:val="1"/>
    <w:link w:val="100"/>
    <w:qFormat/>
    <w:uiPriority w:val="0"/>
    <w:pPr>
      <w:spacing w:line="360" w:lineRule="exact"/>
      <w:ind w:firstLine="200" w:firstLineChars="200"/>
    </w:pPr>
    <w:rPr>
      <w:rFonts w:ascii="Arial" w:hAnsi="Arial"/>
      <w:kern w:val="0"/>
      <w:sz w:val="20"/>
    </w:rPr>
  </w:style>
  <w:style w:type="character" w:customStyle="1" w:styleId="102">
    <w:name w:val="正文缩进 字符"/>
    <w:link w:val="15"/>
    <w:qFormat/>
    <w:uiPriority w:val="0"/>
  </w:style>
  <w:style w:type="character" w:customStyle="1" w:styleId="103">
    <w:name w:val="z-窗体顶端 字符"/>
    <w:link w:val="104"/>
    <w:qFormat/>
    <w:uiPriority w:val="0"/>
    <w:rPr>
      <w:rFonts w:ascii="Arial" w:hAnsi="Arial" w:cs="Arial"/>
      <w:vanish/>
      <w:sz w:val="16"/>
      <w:szCs w:val="16"/>
    </w:rPr>
  </w:style>
  <w:style w:type="paragraph" w:customStyle="1" w:styleId="104">
    <w:name w:val="z-窗体顶端1"/>
    <w:basedOn w:val="1"/>
    <w:next w:val="1"/>
    <w:link w:val="103"/>
    <w:qFormat/>
    <w:uiPriority w:val="0"/>
    <w:pPr>
      <w:widowControl/>
      <w:pBdr>
        <w:bottom w:val="single" w:color="auto" w:sz="6" w:space="1"/>
      </w:pBdr>
      <w:jc w:val="center"/>
    </w:pPr>
    <w:rPr>
      <w:rFonts w:ascii="Arial" w:hAnsi="Arial"/>
      <w:vanish/>
      <w:kern w:val="0"/>
      <w:sz w:val="16"/>
      <w:szCs w:val="16"/>
    </w:rPr>
  </w:style>
  <w:style w:type="character" w:customStyle="1" w:styleId="105">
    <w:name w:val="z-窗体顶端 Char1"/>
    <w:semiHidden/>
    <w:qFormat/>
    <w:uiPriority w:val="99"/>
    <w:rPr>
      <w:rFonts w:ascii="Arial" w:hAnsi="Arial" w:eastAsia="宋体" w:cs="Arial"/>
      <w:vanish/>
      <w:sz w:val="16"/>
      <w:szCs w:val="16"/>
    </w:rPr>
  </w:style>
  <w:style w:type="character" w:customStyle="1" w:styleId="106">
    <w:name w:val="z-窗体底端 字符"/>
    <w:link w:val="107"/>
    <w:qFormat/>
    <w:uiPriority w:val="0"/>
    <w:rPr>
      <w:rFonts w:ascii="Arial" w:hAnsi="Arial" w:cs="Arial"/>
      <w:vanish/>
      <w:sz w:val="16"/>
      <w:szCs w:val="16"/>
    </w:rPr>
  </w:style>
  <w:style w:type="paragraph" w:customStyle="1" w:styleId="107">
    <w:name w:val="z-窗体底端1"/>
    <w:basedOn w:val="1"/>
    <w:next w:val="1"/>
    <w:link w:val="106"/>
    <w:qFormat/>
    <w:uiPriority w:val="0"/>
    <w:pPr>
      <w:widowControl/>
      <w:pBdr>
        <w:top w:val="single" w:color="auto" w:sz="6" w:space="1"/>
      </w:pBdr>
      <w:jc w:val="center"/>
    </w:pPr>
    <w:rPr>
      <w:rFonts w:ascii="Arial" w:hAnsi="Arial"/>
      <w:vanish/>
      <w:kern w:val="0"/>
      <w:sz w:val="16"/>
      <w:szCs w:val="16"/>
    </w:rPr>
  </w:style>
  <w:style w:type="character" w:customStyle="1" w:styleId="108">
    <w:name w:val="z-窗体底端 Char1"/>
    <w:semiHidden/>
    <w:qFormat/>
    <w:uiPriority w:val="99"/>
    <w:rPr>
      <w:rFonts w:ascii="Arial" w:hAnsi="Arial" w:eastAsia="宋体" w:cs="Arial"/>
      <w:vanish/>
      <w:sz w:val="16"/>
      <w:szCs w:val="16"/>
    </w:rPr>
  </w:style>
  <w:style w:type="character" w:customStyle="1" w:styleId="109">
    <w:name w:val="正文首行缩进两字符 Char"/>
    <w:qFormat/>
    <w:uiPriority w:val="0"/>
    <w:rPr>
      <w:rFonts w:ascii="Arial" w:hAnsi="Arial"/>
      <w:kern w:val="2"/>
      <w:sz w:val="24"/>
      <w:szCs w:val="24"/>
    </w:rPr>
  </w:style>
  <w:style w:type="character" w:customStyle="1" w:styleId="110">
    <w:name w:val="msonormal"/>
    <w:qFormat/>
    <w:uiPriority w:val="0"/>
  </w:style>
  <w:style w:type="character" w:customStyle="1" w:styleId="111">
    <w:name w:val="Char Char2"/>
    <w:qFormat/>
    <w:uiPriority w:val="0"/>
    <w:rPr>
      <w:sz w:val="24"/>
    </w:rPr>
  </w:style>
  <w:style w:type="character" w:customStyle="1" w:styleId="112">
    <w:name w:val="Char Char3"/>
    <w:qFormat/>
    <w:uiPriority w:val="0"/>
    <w:rPr>
      <w:rFonts w:ascii="宋体" w:hAnsi="宋体" w:cs="宋体"/>
      <w:sz w:val="24"/>
      <w:szCs w:val="24"/>
    </w:rPr>
  </w:style>
  <w:style w:type="character" w:customStyle="1" w:styleId="113">
    <w:name w:val="Char Char5"/>
    <w:qFormat/>
    <w:uiPriority w:val="0"/>
    <w:rPr>
      <w:rFonts w:ascii="Arial" w:hAnsi="Arial" w:eastAsia="黑体" w:cs="Arial"/>
    </w:rPr>
  </w:style>
  <w:style w:type="character" w:customStyle="1" w:styleId="114">
    <w:name w:val="副标题 字符"/>
    <w:link w:val="32"/>
    <w:qFormat/>
    <w:uiPriority w:val="11"/>
    <w:rPr>
      <w:rFonts w:ascii="Cambria" w:hAnsi="Cambria"/>
      <w:b/>
      <w:bCs/>
      <w:kern w:val="28"/>
      <w:sz w:val="32"/>
      <w:szCs w:val="32"/>
    </w:rPr>
  </w:style>
  <w:style w:type="character" w:customStyle="1" w:styleId="115">
    <w:name w:val="副标题 Char1"/>
    <w:qFormat/>
    <w:uiPriority w:val="11"/>
    <w:rPr>
      <w:rFonts w:ascii="Cambria" w:hAnsi="Cambria" w:eastAsia="宋体" w:cs="Times New Roman"/>
      <w:b/>
      <w:bCs/>
      <w:kern w:val="28"/>
      <w:sz w:val="32"/>
      <w:szCs w:val="32"/>
    </w:rPr>
  </w:style>
  <w:style w:type="character" w:customStyle="1" w:styleId="116">
    <w:name w:val="_标题2 Char"/>
    <w:qFormat/>
    <w:uiPriority w:val="0"/>
    <w:rPr>
      <w:rFonts w:ascii="Tahoma" w:hAnsi="Tahoma" w:eastAsia="黑体"/>
      <w:bCs/>
      <w:kern w:val="2"/>
      <w:sz w:val="32"/>
      <w:szCs w:val="32"/>
      <w:lang w:val="en-US" w:eastAsia="zh-CN" w:bidi="ar-SA"/>
    </w:rPr>
  </w:style>
  <w:style w:type="character" w:customStyle="1" w:styleId="117">
    <w:name w:val="f14b1"/>
    <w:qFormat/>
    <w:uiPriority w:val="0"/>
    <w:rPr>
      <w:rFonts w:hint="default" w:ascii="??" w:hAnsi="??"/>
      <w:b/>
      <w:bCs/>
      <w:color w:val="333333"/>
      <w:sz w:val="21"/>
      <w:szCs w:val="21"/>
    </w:rPr>
  </w:style>
  <w:style w:type="character" w:customStyle="1" w:styleId="118">
    <w:name w:val="首行缩进2字符 Char"/>
    <w:qFormat/>
    <w:uiPriority w:val="0"/>
    <w:rPr>
      <w:rFonts w:eastAsia="宋体"/>
      <w:snapToGrid w:val="0"/>
      <w:sz w:val="21"/>
      <w:szCs w:val="21"/>
      <w:lang w:val="en-US" w:eastAsia="zh-CN" w:bidi="ar-SA"/>
    </w:rPr>
  </w:style>
  <w:style w:type="character" w:customStyle="1" w:styleId="119">
    <w:name w:val="Char Char6"/>
    <w:qFormat/>
    <w:uiPriority w:val="0"/>
    <w:rPr>
      <w:rFonts w:ascii="Arial" w:hAnsi="Arial" w:cs="Arial"/>
      <w:vanish/>
      <w:sz w:val="16"/>
      <w:szCs w:val="16"/>
    </w:rPr>
  </w:style>
  <w:style w:type="character" w:customStyle="1" w:styleId="120">
    <w:name w:val="文档正文 Char"/>
    <w:qFormat/>
    <w:uiPriority w:val="0"/>
    <w:rPr>
      <w:rFonts w:eastAsia="宋体"/>
      <w:sz w:val="24"/>
      <w:lang w:val="en-US" w:eastAsia="zh-CN" w:bidi="ar-SA"/>
    </w:rPr>
  </w:style>
  <w:style w:type="character" w:customStyle="1" w:styleId="121">
    <w:name w:val="Char Char11"/>
    <w:qFormat/>
    <w:uiPriority w:val="0"/>
    <w:rPr>
      <w:rFonts w:ascii="Arial" w:hAnsi="Arial" w:eastAsia="黑体"/>
      <w:sz w:val="24"/>
      <w:szCs w:val="24"/>
      <w:lang w:val="en-US" w:eastAsia="zh-CN" w:bidi="ar-SA"/>
    </w:rPr>
  </w:style>
  <w:style w:type="character" w:customStyle="1" w:styleId="122">
    <w:name w:val="批注文字 字符"/>
    <w:link w:val="18"/>
    <w:qFormat/>
    <w:uiPriority w:val="0"/>
    <w:rPr>
      <w:sz w:val="24"/>
      <w:szCs w:val="24"/>
    </w:rPr>
  </w:style>
  <w:style w:type="character" w:customStyle="1" w:styleId="123">
    <w:name w:val="批注文字 Char1"/>
    <w:semiHidden/>
    <w:qFormat/>
    <w:uiPriority w:val="99"/>
    <w:rPr>
      <w:rFonts w:ascii="Times New Roman" w:hAnsi="Times New Roman" w:eastAsia="宋体" w:cs="Times New Roman"/>
      <w:szCs w:val="24"/>
    </w:rPr>
  </w:style>
  <w:style w:type="character" w:customStyle="1" w:styleId="124">
    <w:name w:val="正文文本缩进 3 字符"/>
    <w:link w:val="35"/>
    <w:qFormat/>
    <w:uiPriority w:val="0"/>
    <w:rPr>
      <w:rFonts w:ascii="仿宋_GB2312" w:hAnsi="宋体" w:eastAsia="仿宋_GB2312"/>
      <w:color w:val="000000"/>
      <w:sz w:val="24"/>
      <w:szCs w:val="24"/>
    </w:rPr>
  </w:style>
  <w:style w:type="character" w:customStyle="1" w:styleId="125">
    <w:name w:val="正文文本缩进 3 Char1"/>
    <w:semiHidden/>
    <w:qFormat/>
    <w:uiPriority w:val="99"/>
    <w:rPr>
      <w:rFonts w:ascii="Times New Roman" w:hAnsi="Times New Roman" w:eastAsia="宋体" w:cs="Times New Roman"/>
      <w:sz w:val="16"/>
      <w:szCs w:val="16"/>
    </w:rPr>
  </w:style>
  <w:style w:type="character" w:customStyle="1" w:styleId="126">
    <w:name w:val="_表格文字 Char"/>
    <w:qFormat/>
    <w:uiPriority w:val="0"/>
    <w:rPr>
      <w:rFonts w:eastAsia="宋体"/>
      <w:kern w:val="2"/>
      <w:sz w:val="21"/>
      <w:szCs w:val="24"/>
      <w:lang w:val="en-US" w:eastAsia="zh-CN" w:bidi="ar-SA"/>
    </w:rPr>
  </w:style>
  <w:style w:type="character" w:customStyle="1" w:styleId="127">
    <w:name w:val="正文文本缩进 2 字符"/>
    <w:link w:val="26"/>
    <w:qFormat/>
    <w:uiPriority w:val="0"/>
    <w:rPr>
      <w:rFonts w:ascii="仿宋_GB2312" w:hAnsi="宋体" w:cs="Arial"/>
      <w:b/>
      <w:bCs/>
      <w:color w:val="000000"/>
      <w:sz w:val="24"/>
      <w:szCs w:val="24"/>
    </w:rPr>
  </w:style>
  <w:style w:type="character" w:customStyle="1" w:styleId="128">
    <w:name w:val="正文文本缩进 2 Char1"/>
    <w:semiHidden/>
    <w:qFormat/>
    <w:uiPriority w:val="99"/>
    <w:rPr>
      <w:rFonts w:ascii="Times New Roman" w:hAnsi="Times New Roman" w:eastAsia="宋体" w:cs="Times New Roman"/>
      <w:szCs w:val="24"/>
    </w:rPr>
  </w:style>
  <w:style w:type="character" w:customStyle="1" w:styleId="129">
    <w:name w:val="正文文本 2 字符"/>
    <w:link w:val="37"/>
    <w:qFormat/>
    <w:uiPriority w:val="0"/>
    <w:rPr>
      <w:rFonts w:ascii="宋体" w:hAnsi="宋体"/>
      <w:color w:val="000000"/>
      <w:sz w:val="24"/>
      <w:szCs w:val="24"/>
    </w:rPr>
  </w:style>
  <w:style w:type="character" w:customStyle="1" w:styleId="130">
    <w:name w:val="正文文本 2 Char1"/>
    <w:semiHidden/>
    <w:qFormat/>
    <w:uiPriority w:val="99"/>
    <w:rPr>
      <w:rFonts w:ascii="Times New Roman" w:hAnsi="Times New Roman" w:eastAsia="宋体" w:cs="Times New Roman"/>
      <w:szCs w:val="24"/>
    </w:rPr>
  </w:style>
  <w:style w:type="character" w:customStyle="1" w:styleId="131">
    <w:name w:val="图 Char Char"/>
    <w:qFormat/>
    <w:uiPriority w:val="0"/>
    <w:rPr>
      <w:rFonts w:eastAsia="黑体"/>
      <w:b/>
      <w:sz w:val="24"/>
    </w:rPr>
  </w:style>
  <w:style w:type="character" w:customStyle="1" w:styleId="132">
    <w:name w:val="普通文字1 Char"/>
    <w:qFormat/>
    <w:uiPriority w:val="0"/>
    <w:rPr>
      <w:rFonts w:ascii="宋体" w:hAnsi="Courier New" w:eastAsia="宋体" w:cs="Courier New"/>
      <w:kern w:val="2"/>
      <w:sz w:val="21"/>
      <w:szCs w:val="21"/>
      <w:lang w:val="en-US" w:eastAsia="zh-CN" w:bidi="ar-SA"/>
    </w:rPr>
  </w:style>
  <w:style w:type="character" w:customStyle="1" w:styleId="133">
    <w:name w:val="日期 字符"/>
    <w:link w:val="25"/>
    <w:qFormat/>
    <w:uiPriority w:val="0"/>
    <w:rPr>
      <w:rFonts w:eastAsia="楷体_GB2312"/>
      <w:sz w:val="32"/>
    </w:rPr>
  </w:style>
  <w:style w:type="character" w:customStyle="1" w:styleId="134">
    <w:name w:val="日期 Char1"/>
    <w:semiHidden/>
    <w:qFormat/>
    <w:uiPriority w:val="99"/>
    <w:rPr>
      <w:rFonts w:ascii="Times New Roman" w:hAnsi="Times New Roman" w:eastAsia="宋体" w:cs="Times New Roman"/>
      <w:szCs w:val="24"/>
    </w:rPr>
  </w:style>
  <w:style w:type="character" w:customStyle="1" w:styleId="135">
    <w:name w:val="mark13"/>
    <w:basedOn w:val="46"/>
    <w:qFormat/>
    <w:uiPriority w:val="0"/>
  </w:style>
  <w:style w:type="character" w:customStyle="1" w:styleId="136">
    <w:name w:val="st1"/>
    <w:qFormat/>
    <w:uiPriority w:val="0"/>
    <w:rPr>
      <w:spacing w:val="240"/>
    </w:rPr>
  </w:style>
  <w:style w:type="character" w:customStyle="1" w:styleId="137">
    <w:name w:val="HTML 预设格式 字符"/>
    <w:link w:val="38"/>
    <w:semiHidden/>
    <w:qFormat/>
    <w:uiPriority w:val="0"/>
    <w:rPr>
      <w:rFonts w:ascii="宋体" w:hAnsi="宋体" w:cs="宋体"/>
      <w:sz w:val="24"/>
      <w:szCs w:val="24"/>
    </w:rPr>
  </w:style>
  <w:style w:type="character" w:customStyle="1" w:styleId="138">
    <w:name w:val="HTML 预设格式 Char2"/>
    <w:semiHidden/>
    <w:qFormat/>
    <w:uiPriority w:val="99"/>
    <w:rPr>
      <w:rFonts w:ascii="Courier New" w:hAnsi="Courier New" w:eastAsia="宋体" w:cs="Courier New"/>
      <w:sz w:val="20"/>
      <w:szCs w:val="20"/>
    </w:rPr>
  </w:style>
  <w:style w:type="character" w:customStyle="1" w:styleId="139">
    <w:name w:val="Char Char1"/>
    <w:qFormat/>
    <w:uiPriority w:val="0"/>
    <w:rPr>
      <w:sz w:val="24"/>
    </w:rPr>
  </w:style>
  <w:style w:type="character" w:customStyle="1" w:styleId="140">
    <w:name w:val="图 Char"/>
    <w:qFormat/>
    <w:uiPriority w:val="0"/>
    <w:rPr>
      <w:rFonts w:eastAsia="黑体"/>
      <w:b/>
      <w:sz w:val="24"/>
      <w:lang w:val="en-US" w:eastAsia="zh-CN" w:bidi="ar-SA"/>
    </w:rPr>
  </w:style>
  <w:style w:type="character" w:customStyle="1" w:styleId="141">
    <w:name w:val="font61"/>
    <w:qFormat/>
    <w:uiPriority w:val="0"/>
    <w:rPr>
      <w:rFonts w:hint="eastAsia" w:ascii="宋体" w:hAnsi="宋体" w:eastAsia="宋体" w:cs="宋体"/>
      <w:color w:val="000000"/>
      <w:sz w:val="24"/>
      <w:szCs w:val="24"/>
      <w:u w:val="none"/>
    </w:rPr>
  </w:style>
  <w:style w:type="character" w:customStyle="1" w:styleId="142">
    <w:name w:val="a4red1"/>
    <w:qFormat/>
    <w:uiPriority w:val="0"/>
    <w:rPr>
      <w:rFonts w:hint="default" w:ascii="Tahoma" w:hAnsi="Tahoma" w:cs="Tahoma"/>
      <w:color w:val="FF3300"/>
      <w:sz w:val="18"/>
      <w:szCs w:val="18"/>
      <w:u w:val="single"/>
    </w:rPr>
  </w:style>
  <w:style w:type="character" w:customStyle="1" w:styleId="143">
    <w:name w:val="Char Char12"/>
    <w:qFormat/>
    <w:uiPriority w:val="0"/>
    <w:rPr>
      <w:rFonts w:eastAsia="宋体"/>
      <w:b/>
      <w:bCs/>
      <w:sz w:val="24"/>
      <w:szCs w:val="24"/>
      <w:lang w:val="en-US" w:eastAsia="zh-CN" w:bidi="ar-SA"/>
    </w:rPr>
  </w:style>
  <w:style w:type="character" w:customStyle="1" w:styleId="144">
    <w:name w:val="orange"/>
    <w:basedOn w:val="46"/>
    <w:qFormat/>
    <w:uiPriority w:val="0"/>
  </w:style>
  <w:style w:type="character" w:customStyle="1" w:styleId="145">
    <w:name w:val="font01"/>
    <w:qFormat/>
    <w:uiPriority w:val="0"/>
    <w:rPr>
      <w:rFonts w:hint="eastAsia" w:ascii="宋体" w:hAnsi="宋体" w:eastAsia="宋体" w:cs="宋体"/>
      <w:color w:val="FF0000"/>
      <w:sz w:val="24"/>
      <w:szCs w:val="24"/>
      <w:u w:val="none"/>
    </w:rPr>
  </w:style>
  <w:style w:type="character" w:customStyle="1" w:styleId="146">
    <w:name w:val="jianju1"/>
    <w:qFormat/>
    <w:uiPriority w:val="0"/>
    <w:rPr>
      <w:color w:val="000000"/>
      <w:sz w:val="21"/>
      <w:szCs w:val="21"/>
      <w:u w:val="none"/>
    </w:rPr>
  </w:style>
  <w:style w:type="character" w:customStyle="1" w:styleId="147">
    <w:name w:val="fontb5"/>
    <w:basedOn w:val="46"/>
    <w:qFormat/>
    <w:uiPriority w:val="0"/>
  </w:style>
  <w:style w:type="character" w:customStyle="1" w:styleId="148">
    <w:name w:val="_列表 Char"/>
    <w:qFormat/>
    <w:uiPriority w:val="0"/>
    <w:rPr>
      <w:kern w:val="2"/>
      <w:sz w:val="24"/>
      <w:szCs w:val="24"/>
    </w:rPr>
  </w:style>
  <w:style w:type="character" w:customStyle="1" w:styleId="149">
    <w:name w:val="纯文本 字符"/>
    <w:link w:val="24"/>
    <w:qFormat/>
    <w:uiPriority w:val="0"/>
    <w:rPr>
      <w:rFonts w:ascii="宋体" w:hAnsi="Courier New"/>
      <w:sz w:val="24"/>
      <w:szCs w:val="24"/>
    </w:rPr>
  </w:style>
  <w:style w:type="character" w:customStyle="1" w:styleId="150">
    <w:name w:val="纯文本 Char1"/>
    <w:semiHidden/>
    <w:qFormat/>
    <w:uiPriority w:val="99"/>
    <w:rPr>
      <w:rFonts w:ascii="宋体" w:hAnsi="Courier New" w:eastAsia="宋体" w:cs="Courier New"/>
      <w:szCs w:val="21"/>
    </w:rPr>
  </w:style>
  <w:style w:type="character" w:customStyle="1" w:styleId="151">
    <w:name w:val="Char Char15"/>
    <w:qFormat/>
    <w:uiPriority w:val="0"/>
    <w:rPr>
      <w:rFonts w:ascii="Arial" w:hAnsi="Arial" w:eastAsia="黑体"/>
      <w:b/>
      <w:bCs/>
      <w:kern w:val="2"/>
      <w:sz w:val="28"/>
      <w:szCs w:val="28"/>
      <w:lang w:val="en-US" w:eastAsia="zh-CN" w:bidi="ar-SA"/>
    </w:rPr>
  </w:style>
  <w:style w:type="character" w:customStyle="1" w:styleId="152">
    <w:name w:val="正文文本 3 字符"/>
    <w:link w:val="19"/>
    <w:qFormat/>
    <w:uiPriority w:val="0"/>
    <w:rPr>
      <w:rFonts w:hAnsi="宋体" w:eastAsia="仿宋_GB2312"/>
      <w:b/>
      <w:bCs/>
      <w:sz w:val="24"/>
    </w:rPr>
  </w:style>
  <w:style w:type="character" w:customStyle="1" w:styleId="153">
    <w:name w:val="正文文本 3 Char1"/>
    <w:semiHidden/>
    <w:qFormat/>
    <w:uiPriority w:val="99"/>
    <w:rPr>
      <w:rFonts w:ascii="Times New Roman" w:hAnsi="Times New Roman" w:eastAsia="宋体" w:cs="Times New Roman"/>
      <w:sz w:val="16"/>
      <w:szCs w:val="16"/>
    </w:rPr>
  </w:style>
  <w:style w:type="character" w:customStyle="1" w:styleId="154">
    <w:name w:val="font11"/>
    <w:qFormat/>
    <w:uiPriority w:val="0"/>
    <w:rPr>
      <w:rFonts w:hint="default" w:ascii="Times New Roman" w:hAnsi="Times New Roman" w:cs="Times New Roman"/>
      <w:color w:val="000000"/>
      <w:sz w:val="24"/>
      <w:szCs w:val="24"/>
      <w:u w:val="none"/>
    </w:rPr>
  </w:style>
  <w:style w:type="character" w:customStyle="1" w:styleId="155">
    <w:name w:val="文档结构图 字符"/>
    <w:link w:val="17"/>
    <w:semiHidden/>
    <w:qFormat/>
    <w:uiPriority w:val="0"/>
    <w:rPr>
      <w:sz w:val="24"/>
      <w:szCs w:val="24"/>
      <w:shd w:val="clear" w:color="auto" w:fill="000080"/>
    </w:rPr>
  </w:style>
  <w:style w:type="character" w:customStyle="1" w:styleId="156">
    <w:name w:val="文档结构图 Char1"/>
    <w:semiHidden/>
    <w:qFormat/>
    <w:uiPriority w:val="99"/>
    <w:rPr>
      <w:rFonts w:ascii="宋体" w:hAnsi="Times New Roman" w:eastAsia="宋体" w:cs="Times New Roman"/>
      <w:sz w:val="18"/>
      <w:szCs w:val="18"/>
    </w:rPr>
  </w:style>
  <w:style w:type="character" w:customStyle="1" w:styleId="157">
    <w:name w:val="Char Char13"/>
    <w:qFormat/>
    <w:uiPriority w:val="0"/>
    <w:rPr>
      <w:rFonts w:ascii="Arial" w:hAnsi="Arial" w:eastAsia="黑体"/>
      <w:b/>
      <w:bCs/>
      <w:kern w:val="2"/>
      <w:sz w:val="24"/>
      <w:szCs w:val="24"/>
      <w:lang w:val="en-US" w:eastAsia="zh-CN" w:bidi="ar-SA"/>
    </w:rPr>
  </w:style>
  <w:style w:type="character" w:customStyle="1" w:styleId="158">
    <w:name w:val="_标题4 Char"/>
    <w:qFormat/>
    <w:uiPriority w:val="0"/>
    <w:rPr>
      <w:rFonts w:ascii="Tahoma" w:hAnsi="Tahoma" w:eastAsia="黑体"/>
      <w:bCs/>
      <w:kern w:val="2"/>
      <w:sz w:val="28"/>
      <w:szCs w:val="28"/>
      <w:lang w:val="en-US" w:eastAsia="zh-CN" w:bidi="ar-SA"/>
    </w:rPr>
  </w:style>
  <w:style w:type="character" w:customStyle="1" w:styleId="159">
    <w:name w:val="_表格标题 Char"/>
    <w:qFormat/>
    <w:uiPriority w:val="0"/>
    <w:rPr>
      <w:rFonts w:eastAsia="宋体"/>
      <w:b/>
      <w:kern w:val="2"/>
      <w:sz w:val="24"/>
      <w:szCs w:val="24"/>
      <w:lang w:val="en-US" w:eastAsia="zh-CN" w:bidi="ar-SA"/>
    </w:rPr>
  </w:style>
  <w:style w:type="character" w:customStyle="1" w:styleId="160">
    <w:name w:val="批注主题 字符"/>
    <w:link w:val="42"/>
    <w:qFormat/>
    <w:uiPriority w:val="0"/>
    <w:rPr>
      <w:b/>
      <w:bCs/>
      <w:sz w:val="24"/>
      <w:szCs w:val="24"/>
    </w:rPr>
  </w:style>
  <w:style w:type="character" w:customStyle="1" w:styleId="161">
    <w:name w:val="批注主题 Char1"/>
    <w:semiHidden/>
    <w:qFormat/>
    <w:uiPriority w:val="99"/>
    <w:rPr>
      <w:rFonts w:ascii="Times New Roman" w:hAnsi="Times New Roman" w:eastAsia="宋体" w:cs="Times New Roman"/>
      <w:b/>
      <w:bCs/>
      <w:szCs w:val="24"/>
    </w:rPr>
  </w:style>
  <w:style w:type="character" w:customStyle="1" w:styleId="162">
    <w:name w:val="普通正文 Char"/>
    <w:qFormat/>
    <w:uiPriority w:val="0"/>
    <w:rPr>
      <w:rFonts w:ascii="Arial" w:hAnsi="Arial" w:eastAsia="宋体"/>
      <w:sz w:val="24"/>
      <w:lang w:val="en-US" w:eastAsia="zh-CN" w:bidi="ar-SA"/>
    </w:rPr>
  </w:style>
  <w:style w:type="character" w:customStyle="1" w:styleId="163">
    <w:name w:val="Char Char7"/>
    <w:qFormat/>
    <w:uiPriority w:val="0"/>
    <w:rPr>
      <w:sz w:val="18"/>
    </w:rPr>
  </w:style>
  <w:style w:type="character" w:customStyle="1" w:styleId="164">
    <w:name w:val="tw4winMark"/>
    <w:qFormat/>
    <w:uiPriority w:val="0"/>
    <w:rPr>
      <w:rFonts w:ascii="Courier New" w:hAnsi="Courier New" w:cs="Courier New"/>
      <w:vanish/>
      <w:color w:val="800080"/>
      <w:vertAlign w:val="subscript"/>
    </w:rPr>
  </w:style>
  <w:style w:type="character" w:customStyle="1" w:styleId="165">
    <w:name w:val="普通(网站) 字符"/>
    <w:link w:val="39"/>
    <w:qFormat/>
    <w:locked/>
    <w:uiPriority w:val="99"/>
    <w:rPr>
      <w:sz w:val="24"/>
      <w:szCs w:val="24"/>
    </w:rPr>
  </w:style>
  <w:style w:type="character" w:customStyle="1" w:styleId="166">
    <w:name w:val="Char Char16"/>
    <w:qFormat/>
    <w:uiPriority w:val="0"/>
    <w:rPr>
      <w:rFonts w:eastAsia="宋体"/>
      <w:b/>
      <w:bCs/>
      <w:kern w:val="2"/>
      <w:sz w:val="32"/>
      <w:szCs w:val="32"/>
      <w:lang w:val="en-US" w:eastAsia="zh-CN" w:bidi="ar-SA"/>
    </w:rPr>
  </w:style>
  <w:style w:type="paragraph" w:customStyle="1" w:styleId="167">
    <w:name w:val="font10"/>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68">
    <w:name w:val="缺省文本"/>
    <w:basedOn w:val="1"/>
    <w:qFormat/>
    <w:uiPriority w:val="0"/>
    <w:pPr>
      <w:autoSpaceDE w:val="0"/>
      <w:autoSpaceDN w:val="0"/>
      <w:adjustRightInd w:val="0"/>
      <w:ind w:firstLine="454"/>
    </w:pPr>
    <w:rPr>
      <w:sz w:val="24"/>
    </w:rPr>
  </w:style>
  <w:style w:type="paragraph" w:customStyle="1" w:styleId="169">
    <w:name w:val="默认段落字体 Para Char Char Char Char Char Char Char Char Char1 Char Char Char Char"/>
    <w:basedOn w:val="1"/>
    <w:qFormat/>
    <w:uiPriority w:val="0"/>
    <w:rPr>
      <w:rFonts w:ascii="Tahoma" w:hAnsi="Tahoma"/>
      <w:sz w:val="24"/>
      <w:szCs w:val="20"/>
    </w:rPr>
  </w:style>
  <w:style w:type="paragraph" w:customStyle="1" w:styleId="170">
    <w:name w:val="首行缩进2字符"/>
    <w:basedOn w:val="1"/>
    <w:qFormat/>
    <w:uiPriority w:val="0"/>
    <w:pPr>
      <w:autoSpaceDE w:val="0"/>
      <w:autoSpaceDN w:val="0"/>
      <w:adjustRightInd w:val="0"/>
      <w:spacing w:line="360" w:lineRule="auto"/>
      <w:ind w:firstLine="420" w:firstLineChars="200"/>
      <w:jc w:val="left"/>
    </w:pPr>
    <w:rPr>
      <w:snapToGrid w:val="0"/>
      <w:szCs w:val="21"/>
    </w:rPr>
  </w:style>
  <w:style w:type="paragraph" w:customStyle="1" w:styleId="171">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72">
    <w:name w:val="五级条标题"/>
    <w:basedOn w:val="173"/>
    <w:next w:val="1"/>
    <w:qFormat/>
    <w:uiPriority w:val="0"/>
    <w:pPr>
      <w:tabs>
        <w:tab w:val="left" w:pos="360"/>
      </w:tabs>
      <w:outlineLvl w:val="6"/>
    </w:pPr>
  </w:style>
  <w:style w:type="paragraph" w:customStyle="1" w:styleId="173">
    <w:name w:val="四级条标题"/>
    <w:basedOn w:val="174"/>
    <w:next w:val="1"/>
    <w:qFormat/>
    <w:uiPriority w:val="0"/>
    <w:pPr>
      <w:tabs>
        <w:tab w:val="left" w:pos="360"/>
      </w:tabs>
      <w:outlineLvl w:val="5"/>
    </w:pPr>
  </w:style>
  <w:style w:type="paragraph" w:customStyle="1" w:styleId="174">
    <w:name w:val="三级条标题"/>
    <w:basedOn w:val="175"/>
    <w:next w:val="1"/>
    <w:qFormat/>
    <w:uiPriority w:val="0"/>
    <w:pPr>
      <w:tabs>
        <w:tab w:val="left" w:pos="360"/>
      </w:tabs>
      <w:outlineLvl w:val="4"/>
    </w:pPr>
  </w:style>
  <w:style w:type="paragraph" w:customStyle="1" w:styleId="175">
    <w:name w:val="二级条标题"/>
    <w:basedOn w:val="176"/>
    <w:next w:val="1"/>
    <w:qFormat/>
    <w:uiPriority w:val="0"/>
    <w:pPr>
      <w:tabs>
        <w:tab w:val="left" w:pos="360"/>
      </w:tabs>
      <w:outlineLvl w:val="3"/>
    </w:pPr>
  </w:style>
  <w:style w:type="paragraph" w:customStyle="1" w:styleId="176">
    <w:name w:val="一级条标题"/>
    <w:basedOn w:val="177"/>
    <w:next w:val="1"/>
    <w:qFormat/>
    <w:uiPriority w:val="0"/>
    <w:pPr>
      <w:tabs>
        <w:tab w:val="left" w:pos="360"/>
      </w:tabs>
      <w:spacing w:beforeLines="0" w:afterLines="0"/>
      <w:outlineLvl w:val="2"/>
    </w:pPr>
  </w:style>
  <w:style w:type="paragraph" w:customStyle="1" w:styleId="177">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7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9">
    <w:name w:val="Char Char Char"/>
    <w:basedOn w:val="1"/>
    <w:qFormat/>
    <w:uiPriority w:val="0"/>
  </w:style>
  <w:style w:type="paragraph" w:customStyle="1" w:styleId="180">
    <w:name w:val="Char Char Char Char Char Char Char Char Char Char Char Char1 Char"/>
    <w:basedOn w:val="17"/>
    <w:qFormat/>
    <w:uiPriority w:val="0"/>
    <w:pPr>
      <w:spacing w:afterLines="0" w:line="240" w:lineRule="auto"/>
      <w:ind w:firstLine="0" w:firstLineChars="0"/>
    </w:pPr>
    <w:rPr>
      <w:rFonts w:ascii="Tahoma" w:hAnsi="Tahoma"/>
    </w:rPr>
  </w:style>
  <w:style w:type="paragraph" w:customStyle="1" w:styleId="181">
    <w:name w:val="font6"/>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82">
    <w:name w:val="样式2"/>
    <w:basedOn w:val="1"/>
    <w:qFormat/>
    <w:uiPriority w:val="0"/>
    <w:pPr>
      <w:adjustRightInd w:val="0"/>
      <w:spacing w:before="60" w:line="360" w:lineRule="atLeast"/>
      <w:ind w:left="425" w:hanging="425"/>
      <w:textAlignment w:val="baseline"/>
    </w:pPr>
    <w:rPr>
      <w:kern w:val="0"/>
      <w:sz w:val="24"/>
      <w:szCs w:val="20"/>
    </w:rPr>
  </w:style>
  <w:style w:type="paragraph" w:customStyle="1" w:styleId="183">
    <w:name w:val="_标题6"/>
    <w:basedOn w:val="9"/>
    <w:next w:val="184"/>
    <w:qFormat/>
    <w:uiPriority w:val="0"/>
    <w:pPr>
      <w:ind w:left="4820" w:hanging="4820" w:firstLineChars="0"/>
    </w:pPr>
    <w:rPr>
      <w:rFonts w:ascii="Tahoma" w:hAnsi="Tahoma"/>
      <w:b w:val="0"/>
    </w:rPr>
  </w:style>
  <w:style w:type="paragraph" w:customStyle="1" w:styleId="184">
    <w:name w:val="_正文段落"/>
    <w:basedOn w:val="1"/>
    <w:qFormat/>
    <w:uiPriority w:val="0"/>
    <w:pPr>
      <w:spacing w:beforeLines="15" w:afterLines="15" w:line="360" w:lineRule="auto"/>
      <w:ind w:firstLine="200" w:firstLineChars="200"/>
    </w:pPr>
  </w:style>
  <w:style w:type="paragraph" w:customStyle="1" w:styleId="185">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18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7">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88">
    <w:name w:val="默认段落字体 Para Char Char Char Char Char Char Char"/>
    <w:basedOn w:val="1"/>
    <w:qFormat/>
    <w:uiPriority w:val="0"/>
    <w:rPr>
      <w:rFonts w:ascii="Verdana" w:hAnsi="Verdana" w:eastAsia="楷体_GB2312"/>
      <w:b/>
      <w:i/>
      <w:iCs/>
      <w:color w:val="000000"/>
      <w:kern w:val="0"/>
      <w:sz w:val="20"/>
      <w:szCs w:val="20"/>
      <w:lang w:eastAsia="en-US"/>
    </w:rPr>
  </w:style>
  <w:style w:type="paragraph" w:customStyle="1" w:styleId="189">
    <w:name w:val="CM37"/>
    <w:basedOn w:val="190"/>
    <w:next w:val="190"/>
    <w:qFormat/>
    <w:uiPriority w:val="0"/>
    <w:pPr>
      <w:spacing w:after="533"/>
    </w:pPr>
    <w:rPr>
      <w:rFonts w:ascii="宋体" w:hAnsi="Times New Roman"/>
      <w:color w:val="auto"/>
    </w:rPr>
  </w:style>
  <w:style w:type="paragraph" w:customStyle="1" w:styleId="190">
    <w:name w:val="Default"/>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191">
    <w:name w:val="font8"/>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92">
    <w:name w:val="_标题3"/>
    <w:basedOn w:val="6"/>
    <w:next w:val="1"/>
    <w:qFormat/>
    <w:uiPriority w:val="0"/>
    <w:pPr>
      <w:tabs>
        <w:tab w:val="left" w:pos="720"/>
      </w:tabs>
      <w:spacing w:beforeLines="50" w:afterLines="50"/>
      <w:ind w:left="720"/>
    </w:pPr>
    <w:rPr>
      <w:rFonts w:ascii="Arial" w:hAnsi="Arial" w:eastAsia="黑体"/>
      <w:sz w:val="30"/>
    </w:rPr>
  </w:style>
  <w:style w:type="paragraph" w:customStyle="1" w:styleId="193">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94">
    <w:name w:val="Main Title"/>
    <w:basedOn w:val="1"/>
    <w:qFormat/>
    <w:uiPriority w:val="0"/>
    <w:pPr>
      <w:spacing w:before="480" w:afterLines="50"/>
      <w:jc w:val="center"/>
    </w:pPr>
    <w:rPr>
      <w:rFonts w:ascii="Arial" w:hAnsi="Arial"/>
      <w:b/>
      <w:kern w:val="28"/>
      <w:sz w:val="32"/>
      <w:szCs w:val="20"/>
      <w:lang w:eastAsia="en-US"/>
    </w:rPr>
  </w:style>
  <w:style w:type="paragraph" w:customStyle="1" w:styleId="195">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96">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97">
    <w:name w:val="Char Char Char Char Char Char"/>
    <w:basedOn w:val="1"/>
    <w:qFormat/>
    <w:uiPriority w:val="0"/>
    <w:rPr>
      <w:rFonts w:ascii="Tahoma" w:hAnsi="Tahoma"/>
      <w:sz w:val="24"/>
      <w:szCs w:val="20"/>
    </w:rPr>
  </w:style>
  <w:style w:type="paragraph" w:customStyle="1" w:styleId="198">
    <w:name w:val="列出段落1"/>
    <w:basedOn w:val="1"/>
    <w:qFormat/>
    <w:uiPriority w:val="0"/>
    <w:pPr>
      <w:ind w:firstLine="420" w:firstLineChars="200"/>
    </w:pPr>
    <w:rPr>
      <w:rFonts w:ascii="Calibri" w:hAnsi="Calibri"/>
      <w:szCs w:val="22"/>
    </w:rPr>
  </w:style>
  <w:style w:type="paragraph" w:customStyle="1" w:styleId="19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0">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01">
    <w:name w:val="xl77"/>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2">
    <w:name w:val="图名"/>
    <w:basedOn w:val="1"/>
    <w:qFormat/>
    <w:uiPriority w:val="0"/>
    <w:pPr>
      <w:spacing w:line="360" w:lineRule="auto"/>
      <w:jc w:val="center"/>
    </w:pPr>
    <w:rPr>
      <w:rFonts w:ascii="黑体" w:eastAsia="黑体"/>
      <w:b/>
      <w:sz w:val="32"/>
      <w:szCs w:val="32"/>
    </w:rPr>
  </w:style>
  <w:style w:type="paragraph" w:customStyle="1" w:styleId="203">
    <w:name w:val="_标题5"/>
    <w:basedOn w:val="8"/>
    <w:next w:val="184"/>
    <w:qFormat/>
    <w:uiPriority w:val="0"/>
    <w:pPr>
      <w:ind w:left="4253" w:hanging="4253"/>
    </w:pPr>
    <w:rPr>
      <w:rFonts w:ascii="Arial" w:hAnsi="Arial" w:eastAsia="黑体"/>
      <w:b w:val="0"/>
      <w:sz w:val="24"/>
    </w:rPr>
  </w:style>
  <w:style w:type="paragraph" w:customStyle="1" w:styleId="204">
    <w:name w:val="标题 21"/>
    <w:basedOn w:val="1"/>
    <w:qFormat/>
    <w:uiPriority w:val="0"/>
    <w:pPr>
      <w:spacing w:afterLines="100" w:line="360" w:lineRule="auto"/>
    </w:pPr>
    <w:rPr>
      <w:sz w:val="24"/>
    </w:rPr>
  </w:style>
  <w:style w:type="paragraph" w:customStyle="1" w:styleId="205">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206">
    <w:name w:val="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0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9">
    <w:name w:val="xl38"/>
    <w:basedOn w:val="1"/>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1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1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12">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13">
    <w:name w:val="xl94"/>
    <w:basedOn w:val="1"/>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14">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15">
    <w:name w:val="标题 12"/>
    <w:basedOn w:val="1"/>
    <w:qFormat/>
    <w:uiPriority w:val="0"/>
    <w:pPr>
      <w:spacing w:afterLines="100" w:line="360" w:lineRule="auto"/>
    </w:pPr>
    <w:rPr>
      <w:sz w:val="24"/>
    </w:rPr>
  </w:style>
  <w:style w:type="paragraph" w:customStyle="1" w:styleId="216">
    <w:name w:val="font9"/>
    <w:basedOn w:val="1"/>
    <w:qFormat/>
    <w:uiPriority w:val="0"/>
    <w:pPr>
      <w:widowControl/>
      <w:spacing w:before="100" w:beforeAutospacing="1" w:afterAutospacing="1"/>
      <w:jc w:val="left"/>
    </w:pPr>
    <w:rPr>
      <w:kern w:val="0"/>
      <w:sz w:val="20"/>
      <w:szCs w:val="20"/>
    </w:rPr>
  </w:style>
  <w:style w:type="paragraph" w:customStyle="1" w:styleId="21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18">
    <w:name w:val="p15"/>
    <w:basedOn w:val="1"/>
    <w:qFormat/>
    <w:uiPriority w:val="0"/>
    <w:pPr>
      <w:widowControl/>
    </w:pPr>
    <w:rPr>
      <w:kern w:val="0"/>
      <w:sz w:val="24"/>
    </w:rPr>
  </w:style>
  <w:style w:type="paragraph" w:customStyle="1" w:styleId="219">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0">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21">
    <w:name w:val="Char1"/>
    <w:basedOn w:val="1"/>
    <w:qFormat/>
    <w:uiPriority w:val="0"/>
    <w:pPr>
      <w:widowControl/>
      <w:spacing w:line="240" w:lineRule="exact"/>
      <w:jc w:val="left"/>
    </w:pPr>
    <w:rPr>
      <w:rFonts w:ascii="Verdana" w:hAnsi="Verdana"/>
      <w:kern w:val="0"/>
      <w:szCs w:val="20"/>
      <w:lang w:eastAsia="en-US"/>
    </w:rPr>
  </w:style>
  <w:style w:type="paragraph" w:customStyle="1" w:styleId="222">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23">
    <w:name w:val="编写建议"/>
    <w:basedOn w:val="1"/>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24">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225">
    <w:name w:val="默认段落字体 Para Char"/>
    <w:basedOn w:val="1"/>
    <w:qFormat/>
    <w:uiPriority w:val="0"/>
    <w:rPr>
      <w:rFonts w:ascii="Tahoma" w:hAnsi="Tahoma"/>
      <w:sz w:val="24"/>
      <w:szCs w:val="20"/>
    </w:rPr>
  </w:style>
  <w:style w:type="paragraph" w:customStyle="1" w:styleId="226">
    <w:name w:val="xl59"/>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22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8">
    <w:name w:val="样式 标题 5口H5PIM 5h5Level 3 - iheading 51.1.1.1.1标题 5标ghfhg..."/>
    <w:basedOn w:val="8"/>
    <w:qFormat/>
    <w:uiPriority w:val="0"/>
    <w:pPr>
      <w:adjustRightInd w:val="0"/>
      <w:spacing w:line="376" w:lineRule="atLeast"/>
      <w:ind w:left="992" w:hanging="420"/>
      <w:textAlignment w:val="baseline"/>
    </w:pPr>
    <w:rPr>
      <w:color w:val="000000"/>
      <w:sz w:val="24"/>
      <w:szCs w:val="20"/>
    </w:rPr>
  </w:style>
  <w:style w:type="paragraph" w:customStyle="1" w:styleId="229">
    <w:name w:val="列出段落2"/>
    <w:basedOn w:val="1"/>
    <w:qFormat/>
    <w:uiPriority w:val="0"/>
    <w:pPr>
      <w:ind w:firstLine="420" w:firstLineChars="200"/>
    </w:pPr>
    <w:rPr>
      <w:rFonts w:ascii="Calibri" w:hAnsi="Calibri"/>
      <w:szCs w:val="22"/>
    </w:rPr>
  </w:style>
  <w:style w:type="paragraph" w:customStyle="1" w:styleId="230">
    <w:name w:val="xl113"/>
    <w:basedOn w:val="1"/>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31">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2">
    <w:name w:val="标题 31"/>
    <w:basedOn w:val="1"/>
    <w:qFormat/>
    <w:uiPriority w:val="0"/>
    <w:pPr>
      <w:spacing w:afterLines="100" w:line="360" w:lineRule="auto"/>
    </w:pPr>
    <w:rPr>
      <w:sz w:val="24"/>
    </w:rPr>
  </w:style>
  <w:style w:type="paragraph" w:customStyle="1" w:styleId="233">
    <w:name w:val="font5"/>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234">
    <w:name w:val="正文 + 宋体"/>
    <w:basedOn w:val="1"/>
    <w:qFormat/>
    <w:uiPriority w:val="0"/>
    <w:pPr>
      <w:adjustRightInd w:val="0"/>
      <w:spacing w:line="360" w:lineRule="auto"/>
      <w:ind w:firstLine="200" w:firstLineChars="200"/>
      <w:textAlignment w:val="baseline"/>
    </w:pPr>
    <w:rPr>
      <w:rFonts w:ascii="宋体"/>
      <w:kern w:val="0"/>
      <w:szCs w:val="21"/>
    </w:rPr>
  </w:style>
  <w:style w:type="paragraph" w:customStyle="1" w:styleId="235">
    <w:name w:val="项目"/>
    <w:basedOn w:val="184"/>
    <w:qFormat/>
    <w:uiPriority w:val="0"/>
    <w:pPr>
      <w:spacing w:beforeLines="0" w:afterLines="0"/>
      <w:ind w:firstLine="0" w:firstLineChars="0"/>
    </w:pPr>
    <w:rPr>
      <w:rFonts w:ascii="宋体" w:hAnsi="宋体"/>
      <w:sz w:val="24"/>
    </w:rPr>
  </w:style>
  <w:style w:type="paragraph" w:customStyle="1" w:styleId="236">
    <w:name w:val="_表格文字"/>
    <w:basedOn w:val="1"/>
    <w:qFormat/>
    <w:uiPriority w:val="0"/>
    <w:pPr>
      <w:spacing w:beforeLines="10" w:afterLines="10"/>
    </w:pPr>
  </w:style>
  <w:style w:type="paragraph" w:customStyle="1" w:styleId="237">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8">
    <w:name w:val="Char"/>
    <w:basedOn w:val="1"/>
    <w:qFormat/>
    <w:uiPriority w:val="0"/>
    <w:rPr>
      <w:sz w:val="24"/>
    </w:rPr>
  </w:style>
  <w:style w:type="paragraph" w:customStyle="1" w:styleId="239">
    <w:name w:val="样式 标题 5 + 右侧:  -0.18 字符"/>
    <w:basedOn w:val="1"/>
    <w:qFormat/>
    <w:uiPriority w:val="0"/>
    <w:pPr>
      <w:tabs>
        <w:tab w:val="left" w:pos="1008"/>
      </w:tabs>
      <w:ind w:left="1008" w:hanging="1008"/>
    </w:pPr>
  </w:style>
  <w:style w:type="paragraph" w:customStyle="1" w:styleId="240">
    <w:name w:val="Char Char1 Char"/>
    <w:basedOn w:val="1"/>
    <w:qFormat/>
    <w:uiPriority w:val="0"/>
    <w:pPr>
      <w:spacing w:line="360" w:lineRule="auto"/>
    </w:pPr>
    <w:rPr>
      <w:rFonts w:ascii="Tahoma" w:hAnsi="Tahoma"/>
      <w:sz w:val="24"/>
      <w:szCs w:val="20"/>
    </w:rPr>
  </w:style>
  <w:style w:type="paragraph" w:customStyle="1" w:styleId="241">
    <w:name w:val="_正文段落加粗"/>
    <w:basedOn w:val="184"/>
    <w:qFormat/>
    <w:uiPriority w:val="0"/>
    <w:pPr>
      <w:spacing w:beforeLines="0" w:afterLines="0"/>
      <w:ind w:firstLine="480"/>
    </w:pPr>
    <w:rPr>
      <w:b/>
    </w:rPr>
  </w:style>
  <w:style w:type="paragraph" w:customStyle="1" w:styleId="242">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43">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244">
    <w:name w:val="xl30"/>
    <w:basedOn w:val="1"/>
    <w:qFormat/>
    <w:uiPriority w:val="0"/>
    <w:pPr>
      <w:widowControl/>
      <w:spacing w:before="100" w:beforeAutospacing="1" w:afterAutospacing="1"/>
      <w:jc w:val="left"/>
    </w:pPr>
    <w:rPr>
      <w:rFonts w:ascii="宋体" w:hAnsi="宋体"/>
      <w:kern w:val="0"/>
      <w:sz w:val="28"/>
      <w:szCs w:val="28"/>
    </w:rPr>
  </w:style>
  <w:style w:type="paragraph" w:customStyle="1" w:styleId="245">
    <w:name w:val="xl75"/>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4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7">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48">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4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1">
    <w:name w:val="pt105"/>
    <w:basedOn w:val="1"/>
    <w:qFormat/>
    <w:uiPriority w:val="0"/>
    <w:pPr>
      <w:widowControl/>
      <w:spacing w:before="100" w:beforeAutospacing="1" w:afterLines="100"/>
      <w:jc w:val="left"/>
    </w:pPr>
    <w:rPr>
      <w:rFonts w:ascii="宋体" w:hAnsi="宋体" w:cs="宋体"/>
      <w:kern w:val="0"/>
      <w:sz w:val="24"/>
    </w:rPr>
  </w:style>
  <w:style w:type="paragraph" w:customStyle="1" w:styleId="252">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3">
    <w:name w:val="Char2"/>
    <w:basedOn w:val="1"/>
    <w:qFormat/>
    <w:uiPriority w:val="0"/>
    <w:rPr>
      <w:rFonts w:ascii="Tahoma" w:hAnsi="Tahoma"/>
      <w:sz w:val="24"/>
      <w:szCs w:val="20"/>
    </w:rPr>
  </w:style>
  <w:style w:type="paragraph" w:customStyle="1" w:styleId="254">
    <w:name w:val="xl7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5">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6">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57">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258">
    <w:name w:val="_标题4"/>
    <w:basedOn w:val="7"/>
    <w:next w:val="1"/>
    <w:qFormat/>
    <w:uiPriority w:val="0"/>
    <w:pPr>
      <w:tabs>
        <w:tab w:val="left" w:pos="2160"/>
      </w:tabs>
      <w:spacing w:after="0" w:line="372" w:lineRule="auto"/>
      <w:ind w:left="3402" w:hanging="3402"/>
    </w:pPr>
    <w:rPr>
      <w:rFonts w:ascii="Tahoma" w:hAnsi="Tahoma" w:eastAsia="黑体"/>
    </w:rPr>
  </w:style>
  <w:style w:type="paragraph" w:customStyle="1" w:styleId="25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60">
    <w:name w:val="表"/>
    <w:basedOn w:val="1"/>
    <w:next w:val="11"/>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61">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62">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4">
    <w:name w:val="公文行文"/>
    <w:basedOn w:val="1"/>
    <w:qFormat/>
    <w:uiPriority w:val="0"/>
    <w:pPr>
      <w:spacing w:line="360" w:lineRule="auto"/>
      <w:ind w:firstLine="200" w:firstLineChars="200"/>
    </w:pPr>
    <w:rPr>
      <w:rFonts w:eastAsia="仿宋_GB2312"/>
      <w:sz w:val="28"/>
    </w:rPr>
  </w:style>
  <w:style w:type="paragraph" w:customStyle="1" w:styleId="265">
    <w:name w:val="正文首行缩进两字符"/>
    <w:basedOn w:val="1"/>
    <w:qFormat/>
    <w:uiPriority w:val="0"/>
    <w:pPr>
      <w:spacing w:line="300" w:lineRule="auto"/>
      <w:ind w:firstLine="200" w:firstLineChars="200"/>
    </w:pPr>
    <w:rPr>
      <w:rFonts w:ascii="Arial" w:hAnsi="Arial"/>
      <w:sz w:val="24"/>
    </w:rPr>
  </w:style>
  <w:style w:type="paragraph" w:customStyle="1" w:styleId="26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67">
    <w:name w:val="_题注"/>
    <w:basedOn w:val="16"/>
    <w:qFormat/>
    <w:uiPriority w:val="0"/>
    <w:pPr>
      <w:spacing w:before="0" w:afterLines="100"/>
      <w:jc w:val="center"/>
    </w:pPr>
    <w:rPr>
      <w:sz w:val="21"/>
      <w:szCs w:val="24"/>
    </w:rPr>
  </w:style>
  <w:style w:type="paragraph" w:customStyle="1" w:styleId="26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69">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270">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71">
    <w:name w:val="正文(首行缩进)"/>
    <w:basedOn w:val="1"/>
    <w:qFormat/>
    <w:uiPriority w:val="0"/>
    <w:pPr>
      <w:spacing w:line="360" w:lineRule="auto"/>
      <w:ind w:firstLine="200" w:firstLineChars="200"/>
    </w:pPr>
    <w:rPr>
      <w:rFonts w:ascii="Arial Narrow" w:hAnsi="Arial Narrow" w:eastAsia="楷体_GB2312"/>
      <w:sz w:val="24"/>
    </w:rPr>
  </w:style>
  <w:style w:type="paragraph" w:customStyle="1" w:styleId="272">
    <w:name w:val="_列表"/>
    <w:basedOn w:val="184"/>
    <w:qFormat/>
    <w:uiPriority w:val="0"/>
    <w:pPr>
      <w:spacing w:beforeLines="0" w:afterLines="0"/>
    </w:pPr>
    <w:rPr>
      <w:sz w:val="24"/>
    </w:rPr>
  </w:style>
  <w:style w:type="paragraph" w:customStyle="1" w:styleId="273">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74">
    <w:name w:val="标题 11"/>
    <w:basedOn w:val="1"/>
    <w:qFormat/>
    <w:uiPriority w:val="0"/>
    <w:pPr>
      <w:spacing w:afterLines="100" w:line="360" w:lineRule="auto"/>
    </w:pPr>
    <w:rPr>
      <w:sz w:val="24"/>
    </w:rPr>
  </w:style>
  <w:style w:type="paragraph" w:customStyle="1" w:styleId="275">
    <w:name w:val="新华社正文"/>
    <w:basedOn w:val="1"/>
    <w:qFormat/>
    <w:uiPriority w:val="0"/>
    <w:pPr>
      <w:snapToGrid w:val="0"/>
      <w:spacing w:line="360" w:lineRule="auto"/>
      <w:ind w:right="-36" w:firstLine="360" w:firstLineChars="150"/>
      <w:jc w:val="left"/>
    </w:pPr>
    <w:rPr>
      <w:rFonts w:ascii="Arial" w:hAnsi="Arial"/>
      <w:sz w:val="24"/>
    </w:rPr>
  </w:style>
  <w:style w:type="paragraph" w:customStyle="1" w:styleId="276">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7">
    <w:name w:val="_标题1"/>
    <w:basedOn w:val="4"/>
    <w:next w:val="184"/>
    <w:qFormat/>
    <w:uiPriority w:val="0"/>
    <w:pPr>
      <w:tabs>
        <w:tab w:val="left" w:pos="708"/>
        <w:tab w:val="left" w:pos="900"/>
      </w:tabs>
      <w:spacing w:after="0" w:line="576" w:lineRule="auto"/>
      <w:ind w:left="567" w:hanging="567"/>
      <w:jc w:val="center"/>
    </w:pPr>
    <w:rPr>
      <w:rFonts w:ascii="Arial" w:hAnsi="Arial" w:eastAsia="黑体"/>
      <w:b w:val="0"/>
    </w:rPr>
  </w:style>
  <w:style w:type="paragraph" w:customStyle="1" w:styleId="27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9">
    <w:name w:val="图题"/>
    <w:basedOn w:val="1"/>
    <w:next w:val="1"/>
    <w:qFormat/>
    <w:uiPriority w:val="0"/>
    <w:pPr>
      <w:widowControl/>
      <w:tabs>
        <w:tab w:val="left" w:pos="0"/>
      </w:tabs>
      <w:autoSpaceDN w:val="0"/>
      <w:spacing w:line="300" w:lineRule="auto"/>
      <w:jc w:val="center"/>
    </w:pPr>
    <w:rPr>
      <w:rFonts w:ascii="宋体" w:hAnsi="宋体"/>
      <w:kern w:val="0"/>
      <w:sz w:val="24"/>
    </w:rPr>
  </w:style>
  <w:style w:type="paragraph" w:customStyle="1" w:styleId="280">
    <w:name w:val="TOC 标题1"/>
    <w:basedOn w:val="4"/>
    <w:next w:val="1"/>
    <w:qFormat/>
    <w:uiPriority w:val="39"/>
    <w:pPr>
      <w:outlineLvl w:val="9"/>
    </w:pPr>
  </w:style>
  <w:style w:type="paragraph" w:customStyle="1" w:styleId="281">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82">
    <w:name w:val="font7"/>
    <w:basedOn w:val="1"/>
    <w:qFormat/>
    <w:uiPriority w:val="0"/>
    <w:pPr>
      <w:widowControl/>
      <w:spacing w:before="100" w:beforeAutospacing="1" w:afterAutospacing="1"/>
      <w:jc w:val="left"/>
    </w:pPr>
    <w:rPr>
      <w:rFonts w:ascii="宋体" w:hAnsi="宋体" w:cs="宋体"/>
      <w:kern w:val="0"/>
      <w:sz w:val="20"/>
      <w:szCs w:val="20"/>
    </w:rPr>
  </w:style>
  <w:style w:type="paragraph" w:customStyle="1" w:styleId="28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4">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85">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6">
    <w:name w:val="_标题2"/>
    <w:basedOn w:val="5"/>
    <w:next w:val="1"/>
    <w:qFormat/>
    <w:uiPriority w:val="0"/>
    <w:pPr>
      <w:tabs>
        <w:tab w:val="left" w:pos="860"/>
      </w:tabs>
      <w:spacing w:beforeLines="50" w:afterLines="50" w:line="413" w:lineRule="auto"/>
      <w:ind w:left="1418" w:hanging="1418"/>
    </w:pPr>
    <w:rPr>
      <w:rFonts w:ascii="Tahoma" w:hAnsi="Tahoma"/>
    </w:rPr>
  </w:style>
  <w:style w:type="paragraph" w:customStyle="1" w:styleId="287">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8">
    <w:name w:val="_图片"/>
    <w:basedOn w:val="1"/>
    <w:next w:val="184"/>
    <w:qFormat/>
    <w:uiPriority w:val="0"/>
    <w:pPr>
      <w:spacing w:before="46" w:line="360" w:lineRule="auto"/>
      <w:jc w:val="center"/>
    </w:pPr>
    <w:rPr>
      <w:sz w:val="18"/>
    </w:rPr>
  </w:style>
  <w:style w:type="paragraph" w:customStyle="1" w:styleId="289">
    <w:name w:val="投标文件 正文首行缩进"/>
    <w:basedOn w:val="43"/>
    <w:qFormat/>
    <w:uiPriority w:val="0"/>
    <w:pPr>
      <w:spacing w:after="220"/>
      <w:ind w:left="0" w:leftChars="0" w:firstLine="200"/>
    </w:pPr>
    <w:rPr>
      <w:rFonts w:ascii="Arial" w:hAnsi="Arial"/>
      <w:sz w:val="21"/>
    </w:rPr>
  </w:style>
  <w:style w:type="paragraph" w:customStyle="1" w:styleId="290">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91">
    <w:name w:val="图"/>
    <w:basedOn w:val="1"/>
    <w:next w:val="11"/>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92">
    <w:name w:val="indent"/>
    <w:basedOn w:val="1"/>
    <w:qFormat/>
    <w:uiPriority w:val="0"/>
    <w:pPr>
      <w:widowControl/>
      <w:spacing w:before="60"/>
      <w:jc w:val="left"/>
    </w:pPr>
    <w:rPr>
      <w:rFonts w:ascii="Verdana" w:hAnsi="Verdana" w:cs="宋体"/>
      <w:color w:val="000000"/>
      <w:kern w:val="0"/>
      <w:sz w:val="18"/>
      <w:szCs w:val="18"/>
    </w:rPr>
  </w:style>
  <w:style w:type="paragraph" w:customStyle="1" w:styleId="293">
    <w:name w:val="正文段"/>
    <w:basedOn w:val="1"/>
    <w:qFormat/>
    <w:uiPriority w:val="0"/>
    <w:pPr>
      <w:widowControl/>
      <w:snapToGrid w:val="0"/>
      <w:spacing w:afterLines="50"/>
      <w:ind w:firstLine="200" w:firstLineChars="200"/>
    </w:pPr>
    <w:rPr>
      <w:kern w:val="0"/>
      <w:sz w:val="24"/>
      <w:szCs w:val="20"/>
    </w:rPr>
  </w:style>
  <w:style w:type="paragraph" w:customStyle="1" w:styleId="294">
    <w:name w:val="普通正文"/>
    <w:basedOn w:val="1"/>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95">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97">
    <w:name w:val="bodytext"/>
    <w:basedOn w:val="1"/>
    <w:qFormat/>
    <w:uiPriority w:val="0"/>
    <w:pPr>
      <w:widowControl/>
      <w:spacing w:before="140" w:line="360" w:lineRule="auto"/>
      <w:ind w:firstLine="420"/>
      <w:jc w:val="left"/>
    </w:pPr>
    <w:rPr>
      <w:rFonts w:ascii="宋体" w:hAnsi="宋体"/>
      <w:kern w:val="0"/>
      <w:szCs w:val="21"/>
    </w:rPr>
  </w:style>
  <w:style w:type="paragraph" w:customStyle="1" w:styleId="298">
    <w:name w:val="标题 22"/>
    <w:basedOn w:val="1"/>
    <w:qFormat/>
    <w:uiPriority w:val="0"/>
    <w:pPr>
      <w:spacing w:afterLines="100" w:line="360" w:lineRule="auto"/>
    </w:pPr>
    <w:rPr>
      <w:sz w:val="24"/>
    </w:rPr>
  </w:style>
  <w:style w:type="paragraph" w:customStyle="1" w:styleId="299">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00">
    <w:name w:val="_表格标题"/>
    <w:basedOn w:val="236"/>
    <w:qFormat/>
    <w:uiPriority w:val="0"/>
    <w:pPr>
      <w:spacing w:beforeLines="30" w:afterLines="30"/>
      <w:jc w:val="center"/>
    </w:pPr>
    <w:rPr>
      <w:b/>
      <w:sz w:val="24"/>
    </w:rPr>
  </w:style>
  <w:style w:type="paragraph" w:customStyle="1" w:styleId="301">
    <w:name w:val="Char Char Char Char Char Char Char Char Char Char Char Char Char Char Char Char"/>
    <w:basedOn w:val="1"/>
    <w:qFormat/>
    <w:uiPriority w:val="0"/>
    <w:rPr>
      <w:sz w:val="24"/>
    </w:rPr>
  </w:style>
  <w:style w:type="paragraph" w:customStyle="1" w:styleId="302">
    <w:name w:val="xl26"/>
    <w:basedOn w:val="1"/>
    <w:qFormat/>
    <w:uiPriority w:val="0"/>
    <w:pPr>
      <w:widowControl/>
      <w:spacing w:before="100" w:beforeAutospacing="1" w:afterAutospacing="1"/>
      <w:jc w:val="center"/>
    </w:pPr>
    <w:rPr>
      <w:rFonts w:ascii="宋体" w:hAnsi="宋体"/>
      <w:kern w:val="0"/>
      <w:sz w:val="24"/>
    </w:rPr>
  </w:style>
  <w:style w:type="paragraph" w:customStyle="1" w:styleId="303">
    <w:name w:val="CM13"/>
    <w:basedOn w:val="190"/>
    <w:next w:val="190"/>
    <w:qFormat/>
    <w:uiPriority w:val="0"/>
    <w:pPr>
      <w:spacing w:line="468" w:lineRule="atLeast"/>
    </w:pPr>
    <w:rPr>
      <w:rFonts w:ascii="宋体" w:hAnsi="Times New Roman"/>
      <w:color w:val="auto"/>
    </w:rPr>
  </w:style>
  <w:style w:type="paragraph" w:customStyle="1" w:styleId="304">
    <w:name w:val="xl32"/>
    <w:basedOn w:val="1"/>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305">
    <w:name w:val="content"/>
    <w:basedOn w:val="1"/>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306">
    <w:name w:val="标题 32"/>
    <w:basedOn w:val="1"/>
    <w:qFormat/>
    <w:uiPriority w:val="0"/>
    <w:pPr>
      <w:spacing w:afterLines="100" w:line="360" w:lineRule="auto"/>
    </w:pPr>
    <w:rPr>
      <w:sz w:val="24"/>
    </w:rPr>
  </w:style>
  <w:style w:type="paragraph" w:customStyle="1" w:styleId="307">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308">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09">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10">
    <w:name w:val="postmetadata"/>
    <w:basedOn w:val="1"/>
    <w:qFormat/>
    <w:uiPriority w:val="0"/>
    <w:pPr>
      <w:widowControl/>
      <w:pBdr>
        <w:bottom w:val="single" w:color="DDDDDD" w:sz="6" w:space="12"/>
      </w:pBdr>
      <w:spacing w:before="153"/>
      <w:jc w:val="right"/>
    </w:pPr>
    <w:rPr>
      <w:rFonts w:ascii="宋体" w:hAnsi="宋体" w:cs="宋体"/>
      <w:kern w:val="0"/>
      <w:sz w:val="24"/>
    </w:rPr>
  </w:style>
  <w:style w:type="paragraph" w:customStyle="1" w:styleId="311">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2">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313">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14">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15">
    <w:name w:val="插图"/>
    <w:basedOn w:val="24"/>
    <w:qFormat/>
    <w:uiPriority w:val="0"/>
    <w:pPr>
      <w:tabs>
        <w:tab w:val="left" w:pos="425"/>
      </w:tabs>
      <w:spacing w:beforeLines="0" w:afterLines="0" w:line="240" w:lineRule="auto"/>
      <w:jc w:val="center"/>
    </w:pPr>
    <w:rPr>
      <w:sz w:val="21"/>
      <w:szCs w:val="21"/>
    </w:rPr>
  </w:style>
  <w:style w:type="paragraph" w:customStyle="1" w:styleId="316">
    <w:name w:val="模板普通正文"/>
    <w:basedOn w:val="20"/>
    <w:qFormat/>
    <w:uiPriority w:val="0"/>
    <w:pPr>
      <w:spacing w:beforeLines="50" w:line="360" w:lineRule="auto"/>
      <w:ind w:left="0" w:leftChars="0" w:firstLine="490" w:firstLineChars="175"/>
      <w:jc w:val="left"/>
    </w:pPr>
    <w:rPr>
      <w:sz w:val="24"/>
    </w:rPr>
  </w:style>
  <w:style w:type="paragraph" w:customStyle="1" w:styleId="317">
    <w:name w:val="p0"/>
    <w:basedOn w:val="1"/>
    <w:qFormat/>
    <w:uiPriority w:val="0"/>
    <w:pPr>
      <w:widowControl/>
    </w:pPr>
    <w:rPr>
      <w:rFonts w:ascii="華康辦公用具篇" w:hAnsi="華康辦公用具篇" w:cs="宋体"/>
      <w:kern w:val="0"/>
      <w:szCs w:val="21"/>
    </w:rPr>
  </w:style>
  <w:style w:type="paragraph" w:customStyle="1" w:styleId="31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9">
    <w:name w:val="xl29"/>
    <w:basedOn w:val="1"/>
    <w:qFormat/>
    <w:uiPriority w:val="0"/>
    <w:pPr>
      <w:widowControl/>
      <w:spacing w:before="100" w:beforeAutospacing="1" w:afterAutospacing="1"/>
      <w:jc w:val="left"/>
    </w:pPr>
    <w:rPr>
      <w:rFonts w:ascii="宋体" w:hAnsi="宋体"/>
      <w:kern w:val="0"/>
      <w:sz w:val="28"/>
      <w:szCs w:val="28"/>
    </w:rPr>
  </w:style>
  <w:style w:type="paragraph" w:customStyle="1" w:styleId="320">
    <w:name w:val="Char Char1 Char Char Char Char"/>
    <w:basedOn w:val="17"/>
    <w:qFormat/>
    <w:uiPriority w:val="0"/>
    <w:pPr>
      <w:spacing w:afterLines="0"/>
      <w:ind w:firstLine="540" w:firstLineChars="0"/>
    </w:pPr>
    <w:rPr>
      <w:rFonts w:eastAsia="仿宋_GB2312"/>
      <w:b/>
      <w:sz w:val="36"/>
      <w:szCs w:val="36"/>
    </w:rPr>
  </w:style>
  <w:style w:type="paragraph" w:customStyle="1" w:styleId="321">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22">
    <w:name w:val="程序段"/>
    <w:basedOn w:val="1"/>
    <w:qFormat/>
    <w:uiPriority w:val="0"/>
    <w:pPr>
      <w:ind w:firstLine="420" w:firstLineChars="200"/>
    </w:pPr>
    <w:rPr>
      <w:rFonts w:ascii="Courier" w:hAnsi="Courier"/>
    </w:rPr>
  </w:style>
  <w:style w:type="paragraph" w:customStyle="1" w:styleId="323">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24">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25">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26">
    <w:name w:val="xl31"/>
    <w:basedOn w:val="1"/>
    <w:qFormat/>
    <w:uiPriority w:val="0"/>
    <w:pPr>
      <w:widowControl/>
      <w:spacing w:before="100" w:beforeAutospacing="1" w:afterAutospacing="1"/>
      <w:jc w:val="center"/>
    </w:pPr>
    <w:rPr>
      <w:rFonts w:ascii="宋体" w:hAnsi="宋体"/>
      <w:kern w:val="0"/>
      <w:sz w:val="28"/>
      <w:szCs w:val="28"/>
    </w:rPr>
  </w:style>
  <w:style w:type="paragraph" w:customStyle="1" w:styleId="32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28">
    <w:name w:val="font12"/>
    <w:basedOn w:val="1"/>
    <w:qFormat/>
    <w:uiPriority w:val="0"/>
    <w:pPr>
      <w:widowControl/>
      <w:spacing w:before="100" w:beforeAutospacing="1" w:afterAutospacing="1"/>
      <w:jc w:val="left"/>
    </w:pPr>
    <w:rPr>
      <w:color w:val="000000"/>
      <w:kern w:val="0"/>
      <w:sz w:val="28"/>
      <w:szCs w:val="28"/>
    </w:rPr>
  </w:style>
  <w:style w:type="paragraph" w:customStyle="1" w:styleId="329">
    <w:name w:val="列出段落3"/>
    <w:basedOn w:val="1"/>
    <w:qFormat/>
    <w:uiPriority w:val="0"/>
    <w:pPr>
      <w:ind w:firstLine="420" w:firstLineChars="200"/>
    </w:pPr>
    <w:rPr>
      <w:rFonts w:ascii="Calibri" w:hAnsi="Calibri"/>
      <w:szCs w:val="22"/>
    </w:rPr>
  </w:style>
  <w:style w:type="paragraph" w:customStyle="1" w:styleId="33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3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2">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33">
    <w:name w:val="xl58"/>
    <w:basedOn w:val="1"/>
    <w:qFormat/>
    <w:uiPriority w:val="0"/>
    <w:pPr>
      <w:widowControl/>
      <w:spacing w:before="100" w:beforeAutospacing="1" w:afterAutospacing="1"/>
      <w:jc w:val="left"/>
      <w:textAlignment w:val="center"/>
    </w:pPr>
    <w:rPr>
      <w:rFonts w:ascii="宋体" w:hAnsi="宋体"/>
      <w:b/>
      <w:bCs/>
      <w:kern w:val="0"/>
      <w:sz w:val="24"/>
    </w:rPr>
  </w:style>
  <w:style w:type="paragraph" w:customStyle="1" w:styleId="33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3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3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7">
    <w:name w:val="xl24"/>
    <w:basedOn w:val="1"/>
    <w:qFormat/>
    <w:uiPriority w:val="0"/>
    <w:pPr>
      <w:widowControl/>
      <w:spacing w:before="100" w:beforeAutospacing="1" w:afterAutospacing="1"/>
      <w:jc w:val="center"/>
    </w:pPr>
    <w:rPr>
      <w:rFonts w:ascii="宋体" w:hAnsi="宋体"/>
      <w:kern w:val="0"/>
      <w:sz w:val="24"/>
    </w:rPr>
  </w:style>
  <w:style w:type="paragraph" w:customStyle="1" w:styleId="33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41">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2">
    <w:name w:val="xl27"/>
    <w:basedOn w:val="1"/>
    <w:qFormat/>
    <w:uiPriority w:val="0"/>
    <w:pPr>
      <w:widowControl/>
      <w:spacing w:before="100" w:beforeAutospacing="1" w:afterAutospacing="1"/>
      <w:jc w:val="center"/>
    </w:pPr>
    <w:rPr>
      <w:rFonts w:ascii="宋体" w:hAnsi="宋体"/>
      <w:kern w:val="0"/>
      <w:sz w:val="24"/>
    </w:rPr>
  </w:style>
  <w:style w:type="paragraph" w:customStyle="1" w:styleId="343">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4">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5">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46">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4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52">
    <w:name w:val="xl28"/>
    <w:basedOn w:val="1"/>
    <w:qFormat/>
    <w:uiPriority w:val="0"/>
    <w:pPr>
      <w:widowControl/>
      <w:spacing w:before="100" w:beforeAutospacing="1" w:afterAutospacing="1"/>
      <w:jc w:val="center"/>
    </w:pPr>
    <w:rPr>
      <w:kern w:val="0"/>
      <w:sz w:val="28"/>
      <w:szCs w:val="28"/>
    </w:rPr>
  </w:style>
  <w:style w:type="paragraph" w:customStyle="1" w:styleId="35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6">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8">
    <w:name w:val="xl115"/>
    <w:basedOn w:val="1"/>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6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62">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6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6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65">
    <w:name w:val="xl60"/>
    <w:basedOn w:val="1"/>
    <w:qFormat/>
    <w:uiPriority w:val="0"/>
    <w:pPr>
      <w:widowControl/>
      <w:spacing w:before="100" w:beforeAutospacing="1" w:afterAutospacing="1"/>
      <w:jc w:val="center"/>
      <w:textAlignment w:val="center"/>
    </w:pPr>
    <w:rPr>
      <w:rFonts w:ascii="宋体" w:hAnsi="宋体"/>
      <w:kern w:val="0"/>
      <w:sz w:val="24"/>
    </w:rPr>
  </w:style>
  <w:style w:type="paragraph" w:customStyle="1" w:styleId="366">
    <w:name w:val="xl62"/>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367">
    <w:name w:val="table_1stline"/>
    <w:basedOn w:val="1"/>
    <w:qFormat/>
    <w:uiPriority w:val="0"/>
    <w:pPr>
      <w:widowControl/>
      <w:spacing w:before="120"/>
      <w:jc w:val="left"/>
    </w:pPr>
    <w:rPr>
      <w:rFonts w:eastAsia="MS Mincho"/>
      <w:bCs/>
      <w:kern w:val="0"/>
      <w:sz w:val="20"/>
      <w:szCs w:val="20"/>
      <w:lang w:val="de-DE" w:eastAsia="de-DE"/>
    </w:rPr>
  </w:style>
  <w:style w:type="paragraph" w:customStyle="1" w:styleId="368">
    <w:name w:val="table_lines"/>
    <w:basedOn w:val="1"/>
    <w:qFormat/>
    <w:uiPriority w:val="0"/>
    <w:pPr>
      <w:widowControl/>
      <w:jc w:val="left"/>
    </w:pPr>
    <w:rPr>
      <w:rFonts w:eastAsia="MS Mincho"/>
      <w:kern w:val="0"/>
      <w:sz w:val="20"/>
      <w:szCs w:val="20"/>
      <w:lang w:val="de-DE" w:eastAsia="de-DE"/>
    </w:rPr>
  </w:style>
  <w:style w:type="character" w:customStyle="1" w:styleId="369">
    <w:name w:val="3zw1"/>
    <w:qFormat/>
    <w:uiPriority w:val="0"/>
    <w:rPr>
      <w:color w:val="000000"/>
      <w:sz w:val="21"/>
      <w:szCs w:val="21"/>
    </w:rPr>
  </w:style>
  <w:style w:type="character" w:customStyle="1" w:styleId="370">
    <w:name w:val="正文2 Char Char"/>
    <w:link w:val="371"/>
    <w:qFormat/>
    <w:uiPriority w:val="0"/>
    <w:rPr>
      <w:sz w:val="24"/>
    </w:rPr>
  </w:style>
  <w:style w:type="paragraph" w:customStyle="1" w:styleId="371">
    <w:name w:val="正文2"/>
    <w:basedOn w:val="1"/>
    <w:link w:val="370"/>
    <w:qFormat/>
    <w:uiPriority w:val="0"/>
    <w:pPr>
      <w:spacing w:before="156" w:line="360" w:lineRule="auto"/>
      <w:ind w:firstLine="510" w:firstLineChars="200"/>
    </w:pPr>
    <w:rPr>
      <w:rFonts w:ascii="Calibri" w:hAnsi="Calibri"/>
      <w:kern w:val="0"/>
      <w:sz w:val="24"/>
      <w:szCs w:val="20"/>
    </w:rPr>
  </w:style>
  <w:style w:type="character" w:customStyle="1" w:styleId="372">
    <w:name w:val="标题 字符"/>
    <w:link w:val="41"/>
    <w:qFormat/>
    <w:uiPriority w:val="0"/>
    <w:rPr>
      <w:rFonts w:ascii="Arial" w:hAnsi="Arial" w:eastAsia="仿宋_GB2312"/>
      <w:b/>
      <w:bCs/>
      <w:sz w:val="36"/>
      <w:szCs w:val="32"/>
    </w:rPr>
  </w:style>
  <w:style w:type="character" w:customStyle="1" w:styleId="373">
    <w:name w:val="标题 Char1"/>
    <w:qFormat/>
    <w:uiPriority w:val="10"/>
    <w:rPr>
      <w:rFonts w:ascii="Cambria" w:hAnsi="Cambria" w:eastAsia="宋体" w:cs="Times New Roman"/>
      <w:b/>
      <w:bCs/>
      <w:sz w:val="32"/>
      <w:szCs w:val="32"/>
    </w:rPr>
  </w:style>
  <w:style w:type="character" w:customStyle="1" w:styleId="374">
    <w:name w:val="font101"/>
    <w:qFormat/>
    <w:uiPriority w:val="0"/>
    <w:rPr>
      <w:rFonts w:hint="default" w:ascii="Times New Roman" w:hAnsi="Times New Roman" w:cs="Times New Roman"/>
      <w:color w:val="000000"/>
      <w:sz w:val="21"/>
      <w:szCs w:val="21"/>
      <w:u w:val="none"/>
    </w:rPr>
  </w:style>
  <w:style w:type="character" w:customStyle="1" w:styleId="375">
    <w:name w:val="页脚 字符"/>
    <w:qFormat/>
    <w:uiPriority w:val="99"/>
  </w:style>
  <w:style w:type="character" w:customStyle="1" w:styleId="376">
    <w:name w:val="param-name1"/>
    <w:qFormat/>
    <w:uiPriority w:val="0"/>
    <w:rPr>
      <w:rFonts w:cs="Times New Roman"/>
      <w:b/>
    </w:rPr>
  </w:style>
  <w:style w:type="character" w:customStyle="1" w:styleId="377">
    <w:name w:val="font91"/>
    <w:qFormat/>
    <w:uiPriority w:val="0"/>
    <w:rPr>
      <w:rFonts w:hint="eastAsia" w:ascii="宋体" w:hAnsi="宋体" w:eastAsia="宋体" w:cs="宋体"/>
      <w:color w:val="000000"/>
      <w:sz w:val="21"/>
      <w:szCs w:val="21"/>
      <w:u w:val="none"/>
    </w:rPr>
  </w:style>
  <w:style w:type="character" w:customStyle="1" w:styleId="378">
    <w:name w:val="font71"/>
    <w:qFormat/>
    <w:uiPriority w:val="0"/>
    <w:rPr>
      <w:rFonts w:hint="eastAsia" w:ascii="宋体" w:hAnsi="宋体" w:eastAsia="宋体" w:cs="宋体"/>
      <w:color w:val="000000"/>
      <w:sz w:val="21"/>
      <w:szCs w:val="21"/>
      <w:u w:val="none"/>
    </w:rPr>
  </w:style>
  <w:style w:type="character" w:customStyle="1" w:styleId="379">
    <w:name w:val="15"/>
    <w:qFormat/>
    <w:uiPriority w:val="0"/>
    <w:rPr>
      <w:rFonts w:hint="eastAsia" w:ascii="宋体" w:hAnsi="宋体" w:eastAsia="宋体" w:cs="宋体"/>
      <w:color w:val="000000"/>
      <w:sz w:val="22"/>
      <w:szCs w:val="22"/>
    </w:rPr>
  </w:style>
  <w:style w:type="character" w:customStyle="1" w:styleId="380">
    <w:name w:val="font21"/>
    <w:basedOn w:val="46"/>
    <w:qFormat/>
    <w:uiPriority w:val="0"/>
    <w:rPr>
      <w:rFonts w:ascii="Arial" w:hAnsi="Arial" w:cs="Arial"/>
      <w:color w:val="000000"/>
      <w:sz w:val="21"/>
      <w:szCs w:val="21"/>
      <w:u w:val="none"/>
    </w:rPr>
  </w:style>
  <w:style w:type="character" w:customStyle="1" w:styleId="381">
    <w:name w:val="font161"/>
    <w:qFormat/>
    <w:uiPriority w:val="0"/>
    <w:rPr>
      <w:rFonts w:hint="default" w:ascii="Times New Roman" w:hAnsi="Times New Roman" w:cs="Times New Roman"/>
      <w:color w:val="000000"/>
      <w:sz w:val="18"/>
      <w:szCs w:val="18"/>
      <w:u w:val="none"/>
    </w:rPr>
  </w:style>
  <w:style w:type="character" w:customStyle="1" w:styleId="382">
    <w:name w:val="font41"/>
    <w:qFormat/>
    <w:uiPriority w:val="0"/>
    <w:rPr>
      <w:rFonts w:hint="eastAsia" w:ascii="宋体" w:hAnsi="宋体" w:eastAsia="宋体" w:cs="宋体"/>
      <w:color w:val="FF0000"/>
      <w:sz w:val="28"/>
      <w:szCs w:val="28"/>
      <w:u w:val="none"/>
    </w:rPr>
  </w:style>
  <w:style w:type="character" w:customStyle="1" w:styleId="383">
    <w:name w:val="apple-converted-space"/>
    <w:basedOn w:val="46"/>
    <w:qFormat/>
    <w:uiPriority w:val="0"/>
  </w:style>
  <w:style w:type="character" w:customStyle="1" w:styleId="384">
    <w:name w:val="font151"/>
    <w:qFormat/>
    <w:uiPriority w:val="0"/>
    <w:rPr>
      <w:rFonts w:hint="default" w:ascii="Times New Roman" w:hAnsi="Times New Roman" w:cs="Times New Roman"/>
      <w:color w:val="000000"/>
      <w:sz w:val="21"/>
      <w:szCs w:val="21"/>
      <w:u w:val="none"/>
    </w:rPr>
  </w:style>
  <w:style w:type="paragraph" w:customStyle="1" w:styleId="38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Fließtext"/>
    <w:basedOn w:val="1"/>
    <w:qFormat/>
    <w:uiPriority w:val="0"/>
    <w:pPr>
      <w:overflowPunct w:val="0"/>
      <w:autoSpaceDE w:val="0"/>
      <w:autoSpaceDN w:val="0"/>
      <w:adjustRightInd w:val="0"/>
      <w:textAlignment w:val="baseline"/>
    </w:pPr>
    <w:rPr>
      <w:kern w:val="28"/>
      <w:szCs w:val="20"/>
    </w:rPr>
  </w:style>
  <w:style w:type="paragraph" w:customStyle="1" w:styleId="387">
    <w:name w:val="Body Text First Indent 21"/>
    <w:basedOn w:val="1"/>
    <w:qFormat/>
    <w:uiPriority w:val="0"/>
    <w:pPr>
      <w:ind w:left="420" w:leftChars="200" w:firstLine="420"/>
    </w:pPr>
    <w:rPr>
      <w:szCs w:val="21"/>
    </w:rPr>
  </w:style>
  <w:style w:type="paragraph" w:customStyle="1" w:styleId="388">
    <w:name w:val="项目编号"/>
    <w:basedOn w:val="1"/>
    <w:qFormat/>
    <w:uiPriority w:val="0"/>
    <w:pPr>
      <w:tabs>
        <w:tab w:val="left" w:pos="1440"/>
      </w:tabs>
      <w:spacing w:line="360" w:lineRule="auto"/>
      <w:ind w:left="735" w:firstLine="200" w:firstLineChars="200"/>
    </w:pPr>
    <w:rPr>
      <w:rFonts w:ascii="仿宋_GB2312" w:eastAsia="仿宋_GB2312"/>
      <w:sz w:val="24"/>
    </w:rPr>
  </w:style>
  <w:style w:type="character" w:customStyle="1" w:styleId="389">
    <w:name w:val="fontstyle01"/>
    <w:qFormat/>
    <w:uiPriority w:val="0"/>
    <w:rPr>
      <w:rFonts w:hint="eastAsia" w:ascii="宋体" w:hAnsi="宋体" w:eastAsia="宋体"/>
      <w:color w:val="000000"/>
      <w:sz w:val="22"/>
      <w:szCs w:val="22"/>
    </w:rPr>
  </w:style>
  <w:style w:type="paragraph" w:customStyle="1" w:styleId="39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91">
    <w:name w:val="p17"/>
    <w:basedOn w:val="1"/>
    <w:unhideWhenUsed/>
    <w:qFormat/>
    <w:uiPriority w:val="0"/>
    <w:pPr>
      <w:widowControl/>
      <w:snapToGrid w:val="0"/>
      <w:spacing w:line="315" w:lineRule="atLeast"/>
      <w:ind w:firstLine="420"/>
      <w:jc w:val="left"/>
    </w:pPr>
    <w:rPr>
      <w:rFonts w:ascii="宋体" w:hAnsi="宋体"/>
      <w:kern w:val="0"/>
      <w:szCs w:val="21"/>
    </w:rPr>
  </w:style>
  <w:style w:type="character" w:customStyle="1" w:styleId="392">
    <w:name w:val="未处理的提及1"/>
    <w:basedOn w:val="46"/>
    <w:semiHidden/>
    <w:unhideWhenUsed/>
    <w:qFormat/>
    <w:uiPriority w:val="99"/>
    <w:rPr>
      <w:color w:val="605E5C"/>
      <w:shd w:val="clear" w:color="auto" w:fill="E1DFDD"/>
    </w:rPr>
  </w:style>
  <w:style w:type="paragraph" w:customStyle="1" w:styleId="393">
    <w:name w:val="D&amp;L"/>
    <w:basedOn w:val="30"/>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394">
    <w:name w:val="**正文"/>
    <w:basedOn w:val="1"/>
    <w:qFormat/>
    <w:uiPriority w:val="0"/>
    <w:pPr>
      <w:autoSpaceDE w:val="0"/>
      <w:autoSpaceDN w:val="0"/>
      <w:adjustRightInd w:val="0"/>
      <w:spacing w:before="163" w:beforeLines="50" w:line="360" w:lineRule="auto"/>
      <w:ind w:firstLine="480" w:firstLineChars="200"/>
      <w:jc w:val="left"/>
    </w:pPr>
    <w:rPr>
      <w:rFonts w:ascii="宋体" w:hAnsi="宋体"/>
      <w:color w:val="000000"/>
      <w:sz w:val="24"/>
      <w:lang w:val="zh-CN"/>
    </w:rPr>
  </w:style>
  <w:style w:type="paragraph" w:customStyle="1" w:styleId="395">
    <w:name w:val="6报告表格文字（大表新）"/>
    <w:basedOn w:val="1"/>
    <w:qFormat/>
    <w:uiPriority w:val="0"/>
    <w:pPr>
      <w:spacing w:before="100" w:beforeAutospacing="1" w:after="100" w:afterAutospacing="1"/>
      <w:jc w:val="center"/>
    </w:pPr>
    <w:rPr>
      <w:kern w:val="0"/>
      <w:sz w:val="18"/>
    </w:rPr>
  </w:style>
  <w:style w:type="paragraph" w:customStyle="1" w:styleId="396">
    <w:name w:val="投标正文"/>
    <w:basedOn w:val="1"/>
    <w:qFormat/>
    <w:uiPriority w:val="0"/>
    <w:pPr>
      <w:spacing w:line="360" w:lineRule="auto"/>
      <w:ind w:left="102" w:firstLine="200" w:firstLineChars="200"/>
    </w:pPr>
    <w:rPr>
      <w:rFonts w:ascii="Calibri" w:hAnsi="Calibri" w:eastAsia="仿宋"/>
      <w:sz w:val="32"/>
    </w:rPr>
  </w:style>
  <w:style w:type="character" w:customStyle="1" w:styleId="397">
    <w:name w:val="bsharetext"/>
    <w:basedOn w:val="46"/>
    <w:qFormat/>
    <w:uiPriority w:val="0"/>
  </w:style>
  <w:style w:type="paragraph" w:customStyle="1" w:styleId="39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99">
    <w:name w:val="bookmark-item"/>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45</Pages>
  <Words>27303</Words>
  <Characters>29759</Characters>
  <Lines>315</Lines>
  <Paragraphs>88</Paragraphs>
  <TotalTime>0</TotalTime>
  <ScaleCrop>false</ScaleCrop>
  <LinksUpToDate>false</LinksUpToDate>
  <CharactersWithSpaces>30552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2021-03-30T09:58:00Z</dcterms:created>
  <dc:creator>Administrator</dc:creator>
  <cp:lastModifiedBy>a</cp:lastModifiedBy>
  <cp:lastPrinted>2023-01-05T05:47:00Z</cp:lastPrinted>
  <dcterms:modified xsi:type="dcterms:W3CDTF">2023-02-02T10:24:35Z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701679DCDCE04B01A6B0AE5D94E7E215</vt:lpwstr>
  </property>
</Properties>
</file>